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127E2" w:rsidRPr="00343254" w:rsidRDefault="0002021F" w:rsidP="00E127E2">
      <w:pPr>
        <w:pStyle w:val="TPHeading1"/>
        <w:spacing w:before="600"/>
        <w:ind w:left="0"/>
        <w:jc w:val="center"/>
        <w:rPr>
          <w:rFonts w:ascii="Garamond" w:hAnsi="Garamond"/>
          <w:b w:val="0"/>
          <w:caps w:val="0"/>
          <w:sz w:val="56"/>
          <w:szCs w:val="56"/>
        </w:rPr>
      </w:pPr>
      <w:r w:rsidRPr="00343254">
        <w:rPr>
          <w:rFonts w:ascii="Garamond" w:hAnsi="Garamond"/>
          <w:b w:val="0"/>
          <w:caps w:val="0"/>
          <w:sz w:val="16"/>
          <w:szCs w:val="56"/>
        </w:rPr>
        <w:fldChar w:fldCharType="begin"/>
      </w:r>
      <w:r w:rsidRPr="00343254">
        <w:rPr>
          <w:rFonts w:ascii="Garamond" w:hAnsi="Garamond"/>
          <w:b w:val="0"/>
          <w:caps w:val="0"/>
          <w:sz w:val="16"/>
          <w:szCs w:val="56"/>
        </w:rPr>
        <w:instrText xml:space="preserve"> :Start Index: </w:instrText>
      </w:r>
      <w:r w:rsidRPr="00343254">
        <w:rPr>
          <w:rFonts w:ascii="Garamond" w:hAnsi="Garamond"/>
          <w:b w:val="0"/>
          <w:caps w:val="0"/>
          <w:sz w:val="16"/>
          <w:szCs w:val="56"/>
        </w:rPr>
        <w:fldChar w:fldCharType="end"/>
      </w:r>
      <w:r w:rsidRPr="00343254">
        <w:rPr>
          <w:rFonts w:ascii="Garamond" w:hAnsi="Garamond"/>
          <w:b w:val="0"/>
          <w:caps w:val="0"/>
          <w:sz w:val="16"/>
          <w:szCs w:val="56"/>
        </w:rPr>
        <w:fldChar w:fldCharType="begin"/>
      </w:r>
      <w:r w:rsidRPr="00343254">
        <w:rPr>
          <w:rFonts w:ascii="Garamond" w:hAnsi="Garamond"/>
          <w:b w:val="0"/>
          <w:caps w:val="0"/>
          <w:sz w:val="16"/>
          <w:szCs w:val="56"/>
        </w:rPr>
        <w:instrText xml:space="preserve"> :Accountability:|Budget Policy Division_JR1|Treasury|Budget Policy Division|Jonathan Rollings|Luke Spear|Shibani Iyer|x3664 </w:instrText>
      </w:r>
      <w:r w:rsidRPr="00343254">
        <w:rPr>
          <w:rFonts w:ascii="Garamond" w:hAnsi="Garamond"/>
          <w:b w:val="0"/>
          <w:caps w:val="0"/>
          <w:sz w:val="16"/>
          <w:szCs w:val="56"/>
        </w:rPr>
        <w:fldChar w:fldCharType="end"/>
      </w:r>
      <w:r w:rsidRPr="00343254">
        <w:rPr>
          <w:rFonts w:ascii="Garamond" w:hAnsi="Garamond"/>
          <w:b w:val="0"/>
          <w:caps w:val="0"/>
          <w:sz w:val="16"/>
          <w:szCs w:val="56"/>
        </w:rPr>
        <w:fldChar w:fldCharType="begin"/>
      </w:r>
      <w:r w:rsidRPr="00343254">
        <w:rPr>
          <w:rFonts w:ascii="Garamond" w:hAnsi="Garamond"/>
          <w:b w:val="0"/>
          <w:caps w:val="0"/>
          <w:sz w:val="16"/>
          <w:szCs w:val="56"/>
        </w:rPr>
        <w:instrText xml:space="preserve"> :End Index: </w:instrText>
      </w:r>
      <w:r w:rsidRPr="00343254">
        <w:rPr>
          <w:rFonts w:ascii="Garamond" w:hAnsi="Garamond"/>
          <w:b w:val="0"/>
          <w:caps w:val="0"/>
          <w:sz w:val="16"/>
          <w:szCs w:val="56"/>
        </w:rPr>
        <w:fldChar w:fldCharType="end"/>
      </w:r>
      <w:r w:rsidR="00E127E2" w:rsidRPr="00343254">
        <w:rPr>
          <w:rFonts w:ascii="Garamond" w:hAnsi="Garamond"/>
          <w:b w:val="0"/>
          <w:caps w:val="0"/>
          <w:sz w:val="56"/>
          <w:szCs w:val="56"/>
        </w:rPr>
        <w:t>Mid</w:t>
      </w:r>
      <w:r w:rsidR="00E127E2" w:rsidRPr="00343254">
        <w:rPr>
          <w:rFonts w:ascii="Garamond" w:hAnsi="Garamond"/>
          <w:b w:val="0"/>
          <w:caps w:val="0"/>
          <w:sz w:val="56"/>
          <w:szCs w:val="56"/>
        </w:rPr>
        <w:noBreakHyphen/>
        <w:t xml:space="preserve">Year Economic and </w:t>
      </w:r>
      <w:r w:rsidR="00E127E2" w:rsidRPr="00343254">
        <w:rPr>
          <w:rFonts w:ascii="Garamond" w:hAnsi="Garamond"/>
          <w:b w:val="0"/>
          <w:caps w:val="0"/>
          <w:sz w:val="56"/>
          <w:szCs w:val="56"/>
        </w:rPr>
        <w:br/>
        <w:t>Fiscal Outlook</w:t>
      </w:r>
    </w:p>
    <w:p w:rsidR="00E127E2" w:rsidRPr="00343254" w:rsidRDefault="00E127E2" w:rsidP="00E127E2">
      <w:pPr>
        <w:pStyle w:val="TPHeading2"/>
        <w:spacing w:after="240"/>
        <w:ind w:left="0"/>
        <w:jc w:val="center"/>
        <w:rPr>
          <w:rFonts w:ascii="Garamond" w:hAnsi="Garamond"/>
          <w:caps w:val="0"/>
          <w:sz w:val="56"/>
          <w:szCs w:val="56"/>
        </w:rPr>
      </w:pPr>
      <w:r w:rsidRPr="00343254">
        <w:rPr>
          <w:rFonts w:ascii="Garamond" w:hAnsi="Garamond"/>
          <w:caps w:val="0"/>
          <w:sz w:val="56"/>
          <w:szCs w:val="56"/>
        </w:rPr>
        <w:t>2017</w:t>
      </w:r>
      <w:r w:rsidRPr="00343254">
        <w:rPr>
          <w:rFonts w:ascii="Garamond" w:hAnsi="Garamond"/>
          <w:caps w:val="0"/>
          <w:sz w:val="56"/>
          <w:szCs w:val="56"/>
        </w:rPr>
        <w:noBreakHyphen/>
        <w:t>18</w:t>
      </w:r>
    </w:p>
    <w:p w:rsidR="00E127E2" w:rsidRPr="00343254" w:rsidRDefault="00E127E2" w:rsidP="00E127E2">
      <w:pPr>
        <w:pStyle w:val="TPHEADING3space"/>
        <w:ind w:left="0"/>
        <w:jc w:val="center"/>
        <w:rPr>
          <w:rFonts w:ascii="Garamond" w:hAnsi="Garamond"/>
          <w:sz w:val="24"/>
          <w:szCs w:val="24"/>
        </w:rPr>
      </w:pPr>
      <w:r w:rsidRPr="00343254">
        <w:rPr>
          <w:rFonts w:ascii="Garamond" w:hAnsi="Garamond"/>
          <w:sz w:val="24"/>
          <w:szCs w:val="24"/>
        </w:rPr>
        <w:t>December 2017</w:t>
      </w:r>
    </w:p>
    <w:p w:rsidR="00E127E2" w:rsidRPr="00343254" w:rsidRDefault="00E127E2" w:rsidP="00E127E2">
      <w:pPr>
        <w:rPr>
          <w:rFonts w:ascii="Arial" w:hAnsi="Arial" w:cs="Arial"/>
        </w:rPr>
      </w:pPr>
    </w:p>
    <w:p w:rsidR="00E127E2" w:rsidRPr="00343254" w:rsidRDefault="00E127E2" w:rsidP="00E127E2">
      <w:pPr>
        <w:rPr>
          <w:rFonts w:ascii="Arial" w:hAnsi="Arial" w:cs="Arial"/>
        </w:rPr>
      </w:pPr>
    </w:p>
    <w:p w:rsidR="00E127E2" w:rsidRPr="00343254" w:rsidRDefault="00E127E2" w:rsidP="00E127E2">
      <w:pPr>
        <w:rPr>
          <w:rFonts w:ascii="Arial" w:hAnsi="Arial" w:cs="Arial"/>
        </w:rPr>
      </w:pPr>
    </w:p>
    <w:p w:rsidR="00E127E2" w:rsidRPr="00343254" w:rsidRDefault="00E127E2" w:rsidP="00E127E2">
      <w:pPr>
        <w:rPr>
          <w:rFonts w:ascii="Arial" w:hAnsi="Arial" w:cs="Arial"/>
        </w:rPr>
      </w:pPr>
    </w:p>
    <w:p w:rsidR="00E127E2" w:rsidRPr="00343254" w:rsidRDefault="00E127E2" w:rsidP="00E127E2">
      <w:pPr>
        <w:pStyle w:val="TPHEADING3boldspace"/>
        <w:ind w:left="0"/>
        <w:jc w:val="center"/>
        <w:rPr>
          <w:b w:val="0"/>
        </w:rPr>
      </w:pPr>
      <w:r w:rsidRPr="00343254">
        <w:rPr>
          <w:rFonts w:ascii="Garamond" w:hAnsi="Garamond"/>
          <w:b w:val="0"/>
          <w:caps w:val="0"/>
        </w:rPr>
        <w:t>Statement</w:t>
      </w:r>
      <w:r w:rsidRPr="00343254">
        <w:rPr>
          <w:b w:val="0"/>
        </w:rPr>
        <w:t xml:space="preserve"> </w:t>
      </w:r>
      <w:r w:rsidRPr="00343254">
        <w:rPr>
          <w:rFonts w:ascii="Garamond" w:hAnsi="Garamond"/>
          <w:b w:val="0"/>
          <w:caps w:val="0"/>
        </w:rPr>
        <w:t>by</w:t>
      </w:r>
    </w:p>
    <w:p w:rsidR="00E127E2" w:rsidRPr="00343254" w:rsidRDefault="00E127E2" w:rsidP="00E127E2">
      <w:pPr>
        <w:pStyle w:val="TPHeading3"/>
        <w:ind w:left="0"/>
        <w:jc w:val="center"/>
        <w:rPr>
          <w:rFonts w:ascii="Garamond" w:hAnsi="Garamond" w:cs="Arial"/>
          <w:caps w:val="0"/>
          <w:sz w:val="22"/>
          <w:szCs w:val="22"/>
        </w:rPr>
      </w:pPr>
      <w:r w:rsidRPr="00343254">
        <w:rPr>
          <w:rFonts w:ascii="Garamond" w:hAnsi="Garamond" w:cs="Arial"/>
          <w:caps w:val="0"/>
          <w:sz w:val="22"/>
          <w:szCs w:val="22"/>
        </w:rPr>
        <w:t>The Honourable Scott Morrison MP</w:t>
      </w:r>
    </w:p>
    <w:p w:rsidR="00E127E2" w:rsidRPr="00343254" w:rsidRDefault="00E127E2" w:rsidP="00E127E2">
      <w:pPr>
        <w:pStyle w:val="TPHeading3"/>
        <w:ind w:left="0"/>
        <w:jc w:val="center"/>
        <w:rPr>
          <w:rFonts w:ascii="Garamond" w:hAnsi="Garamond" w:cs="Arial"/>
          <w:caps w:val="0"/>
          <w:sz w:val="22"/>
          <w:szCs w:val="22"/>
        </w:rPr>
      </w:pPr>
      <w:r w:rsidRPr="00343254">
        <w:rPr>
          <w:rFonts w:ascii="Garamond" w:hAnsi="Garamond" w:cs="Arial"/>
          <w:caps w:val="0"/>
          <w:sz w:val="22"/>
          <w:szCs w:val="22"/>
        </w:rPr>
        <w:t>Treasurer of the Commonwealth of Australia</w:t>
      </w:r>
    </w:p>
    <w:p w:rsidR="00E127E2" w:rsidRPr="00343254" w:rsidRDefault="00E127E2" w:rsidP="00E127E2">
      <w:pPr>
        <w:pStyle w:val="TPHeading3"/>
        <w:ind w:left="0"/>
        <w:jc w:val="center"/>
        <w:rPr>
          <w:rFonts w:ascii="Garamond" w:hAnsi="Garamond" w:cs="Arial"/>
          <w:caps w:val="0"/>
          <w:sz w:val="22"/>
          <w:szCs w:val="22"/>
        </w:rPr>
      </w:pPr>
      <w:proofErr w:type="gramStart"/>
      <w:r w:rsidRPr="00343254">
        <w:rPr>
          <w:rFonts w:ascii="Garamond" w:hAnsi="Garamond" w:cs="Arial"/>
          <w:caps w:val="0"/>
          <w:sz w:val="22"/>
          <w:szCs w:val="22"/>
        </w:rPr>
        <w:t>and</w:t>
      </w:r>
      <w:proofErr w:type="gramEnd"/>
    </w:p>
    <w:p w:rsidR="00E127E2" w:rsidRPr="00343254" w:rsidRDefault="00E127E2" w:rsidP="00E127E2">
      <w:pPr>
        <w:pStyle w:val="TPHeading3bold"/>
        <w:ind w:left="0"/>
        <w:jc w:val="center"/>
        <w:rPr>
          <w:b w:val="0"/>
        </w:rPr>
      </w:pPr>
      <w:r w:rsidRPr="00343254">
        <w:rPr>
          <w:rFonts w:ascii="Garamond" w:hAnsi="Garamond"/>
          <w:b w:val="0"/>
          <w:caps w:val="0"/>
        </w:rPr>
        <w:t xml:space="preserve">Senator the Honourable Mathias </w:t>
      </w:r>
      <w:proofErr w:type="spellStart"/>
      <w:r w:rsidRPr="00343254">
        <w:rPr>
          <w:rFonts w:ascii="Garamond" w:hAnsi="Garamond"/>
          <w:b w:val="0"/>
          <w:caps w:val="0"/>
        </w:rPr>
        <w:t>Cormann</w:t>
      </w:r>
      <w:proofErr w:type="spellEnd"/>
    </w:p>
    <w:p w:rsidR="00E127E2" w:rsidRPr="00343254" w:rsidRDefault="00E127E2" w:rsidP="00E127E2">
      <w:pPr>
        <w:pStyle w:val="TPHeading3"/>
        <w:spacing w:after="240"/>
        <w:ind w:left="0"/>
        <w:jc w:val="center"/>
        <w:rPr>
          <w:rFonts w:ascii="Garamond" w:hAnsi="Garamond" w:cs="Arial"/>
          <w:caps w:val="0"/>
          <w:sz w:val="22"/>
          <w:szCs w:val="22"/>
        </w:rPr>
      </w:pPr>
      <w:r w:rsidRPr="00343254">
        <w:rPr>
          <w:rFonts w:ascii="Garamond" w:hAnsi="Garamond" w:cs="Arial"/>
          <w:caps w:val="0"/>
          <w:sz w:val="22"/>
          <w:szCs w:val="22"/>
        </w:rPr>
        <w:t>Minister for Finance of the Commonwealth of Australia</w:t>
      </w:r>
    </w:p>
    <w:p w:rsidR="00E127E2" w:rsidRPr="00343254" w:rsidRDefault="00E127E2" w:rsidP="00E127E2">
      <w:pPr>
        <w:pStyle w:val="TPHEADING4space"/>
        <w:ind w:left="0"/>
        <w:jc w:val="center"/>
        <w:rPr>
          <w:rFonts w:ascii="Garamond" w:hAnsi="Garamond"/>
          <w:caps w:val="0"/>
        </w:rPr>
      </w:pPr>
      <w:r w:rsidRPr="00343254">
        <w:rPr>
          <w:rFonts w:ascii="Garamond" w:hAnsi="Garamond"/>
          <w:caps w:val="0"/>
        </w:rPr>
        <w:t>For the information of honourable members</w:t>
      </w:r>
    </w:p>
    <w:p w:rsidR="00E127E2" w:rsidRPr="00343254" w:rsidRDefault="00E127E2" w:rsidP="00E127E2">
      <w:pPr>
        <w:sectPr w:rsidR="00E127E2" w:rsidRPr="00343254">
          <w:headerReference w:type="even" r:id="rId8"/>
          <w:footerReference w:type="even" r:id="rId9"/>
          <w:footerReference w:type="default" r:id="rId10"/>
          <w:pgSz w:w="11907" w:h="16840" w:code="9"/>
          <w:pgMar w:top="2466" w:right="2098" w:bottom="2466" w:left="2098" w:header="1899" w:footer="1899" w:gutter="0"/>
          <w:pgNumType w:fmt="lowerRoman" w:start="1"/>
          <w:cols w:space="708"/>
          <w:vAlign w:val="center"/>
          <w:titlePg/>
          <w:docGrid w:linePitch="360"/>
        </w:sectPr>
      </w:pPr>
    </w:p>
    <w:p w:rsidR="00E127E2" w:rsidRPr="00343254" w:rsidRDefault="00E127E2" w:rsidP="00E127E2">
      <w:pPr>
        <w:spacing w:after="120" w:line="220" w:lineRule="exact"/>
      </w:pPr>
      <w:r w:rsidRPr="00343254">
        <w:rPr>
          <w:rFonts w:ascii="Arial" w:hAnsi="Arial"/>
        </w:rPr>
        <w:lastRenderedPageBreak/>
        <w:t>©</w:t>
      </w:r>
      <w:r w:rsidRPr="00343254">
        <w:t xml:space="preserve"> Commonwealth of Australia 2017</w:t>
      </w:r>
    </w:p>
    <w:p w:rsidR="00E127E2" w:rsidRPr="00343254" w:rsidRDefault="00E127E2" w:rsidP="00E127E2">
      <w:pPr>
        <w:spacing w:after="120" w:line="220" w:lineRule="exact"/>
      </w:pPr>
      <w:r w:rsidRPr="00343254">
        <w:t>ISSN 2205</w:t>
      </w:r>
      <w:r w:rsidRPr="00343254">
        <w:noBreakHyphen/>
        <w:t>6750 (print)</w:t>
      </w:r>
    </w:p>
    <w:p w:rsidR="00E127E2" w:rsidRPr="00343254" w:rsidRDefault="00E127E2" w:rsidP="00E127E2">
      <w:pPr>
        <w:spacing w:after="120" w:line="220" w:lineRule="exact"/>
      </w:pPr>
      <w:r w:rsidRPr="00343254">
        <w:t>ISSN 2205</w:t>
      </w:r>
      <w:r w:rsidRPr="00343254">
        <w:noBreakHyphen/>
        <w:t>6769 (online)</w:t>
      </w:r>
    </w:p>
    <w:p w:rsidR="00E127E2" w:rsidRPr="00343254" w:rsidRDefault="00E127E2" w:rsidP="00E127E2">
      <w:pPr>
        <w:spacing w:after="80"/>
        <w:rPr>
          <w:rStyle w:val="A5"/>
        </w:rPr>
      </w:pPr>
      <w:r w:rsidRPr="00343254">
        <w:rPr>
          <w:rStyle w:val="A5"/>
          <w:rFonts w:cs="Calibri"/>
        </w:rPr>
        <w:t xml:space="preserve">This publication is available for your use under a </w:t>
      </w:r>
      <w:r w:rsidRPr="00343254">
        <w:t>Creative Commons BY Attribution 3.0 Australia</w:t>
      </w:r>
      <w:r w:rsidRPr="00343254">
        <w:rPr>
          <w:rStyle w:val="A5"/>
          <w:rFonts w:cs="Calibri"/>
        </w:rPr>
        <w:t xml:space="preserve"> licence, with the exception of the Commonwealth Coat of Arms, third party content and where otherwise stated. The full licence terms are available from </w:t>
      </w:r>
      <w:r w:rsidRPr="00343254">
        <w:t>http://creativecommons.org/licenses/by/3.0/au/legalcode</w:t>
      </w:r>
      <w:r w:rsidRPr="00343254">
        <w:rPr>
          <w:rStyle w:val="A5"/>
          <w:rFonts w:cs="Calibri"/>
        </w:rPr>
        <w:t>.</w:t>
      </w:r>
    </w:p>
    <w:p w:rsidR="00E127E2" w:rsidRPr="00343254" w:rsidRDefault="00B92624" w:rsidP="00E127E2">
      <w:pPr>
        <w:pStyle w:val="TableGraphic"/>
      </w:pPr>
      <w:r>
        <w:rPr>
          <w:noProof/>
        </w:rPr>
        <w:drawing>
          <wp:inline distT="0" distB="0" distL="0" distR="0">
            <wp:extent cx="905510" cy="344805"/>
            <wp:effectExtent l="0" t="0" r="8890" b="0"/>
            <wp:docPr id="1" name="Picture 4" descr="Creative Comm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5510" cy="344805"/>
                    </a:xfrm>
                    <a:prstGeom prst="rect">
                      <a:avLst/>
                    </a:prstGeom>
                    <a:noFill/>
                    <a:ln>
                      <a:noFill/>
                    </a:ln>
                  </pic:spPr>
                </pic:pic>
              </a:graphicData>
            </a:graphic>
          </wp:inline>
        </w:drawing>
      </w:r>
    </w:p>
    <w:p w:rsidR="00E127E2" w:rsidRPr="00343254" w:rsidRDefault="00E127E2" w:rsidP="00E127E2">
      <w:pPr>
        <w:spacing w:after="80"/>
      </w:pPr>
      <w:r w:rsidRPr="00343254">
        <w:t xml:space="preserve">Use of Commonwealth of Australia material under a Creative Commons BY </w:t>
      </w:r>
      <w:r w:rsidRPr="00343254">
        <w:rPr>
          <w:iCs/>
        </w:rPr>
        <w:t>Attribution 3.0 Australia</w:t>
      </w:r>
      <w:r w:rsidRPr="00343254">
        <w:t xml:space="preserve"> licence requires you to attribute the work (but not in any way that suggests that the Commonwealth of Australia endorses you or your use of the work).</w:t>
      </w:r>
    </w:p>
    <w:p w:rsidR="00E127E2" w:rsidRPr="00574F9F" w:rsidRDefault="00E127E2" w:rsidP="00E127E2">
      <w:pPr>
        <w:spacing w:after="160" w:line="240" w:lineRule="auto"/>
        <w:ind w:left="720"/>
        <w:rPr>
          <w:rStyle w:val="A5"/>
          <w:rFonts w:cs="Calibri"/>
        </w:rPr>
      </w:pPr>
      <w:proofErr w:type="gramStart"/>
      <w:r w:rsidRPr="00574F9F">
        <w:rPr>
          <w:color w:val="000000"/>
        </w:rPr>
        <w:t>Commonwealth</w:t>
      </w:r>
      <w:r w:rsidRPr="00574F9F">
        <w:rPr>
          <w:rStyle w:val="A5"/>
          <w:rFonts w:cs="Calibri"/>
        </w:rPr>
        <w:t xml:space="preserve"> of Australia material used ‘as </w:t>
      </w:r>
      <w:r w:rsidRPr="00574F9F">
        <w:rPr>
          <w:iCs/>
        </w:rPr>
        <w:t>supplied’</w:t>
      </w:r>
      <w:r w:rsidRPr="00574F9F">
        <w:rPr>
          <w:rStyle w:val="A5"/>
          <w:rFonts w:cs="Calibri"/>
        </w:rPr>
        <w:t>.</w:t>
      </w:r>
      <w:proofErr w:type="gramEnd"/>
    </w:p>
    <w:p w:rsidR="00E127E2" w:rsidRPr="00343254" w:rsidRDefault="00E127E2" w:rsidP="00E127E2">
      <w:pPr>
        <w:spacing w:after="80"/>
      </w:pPr>
      <w:r w:rsidRPr="00343254">
        <w:t xml:space="preserve">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 </w:t>
      </w:r>
    </w:p>
    <w:p w:rsidR="00E127E2" w:rsidRPr="00574F9F" w:rsidRDefault="00E127E2" w:rsidP="00E127E2">
      <w:pPr>
        <w:spacing w:after="160" w:line="240" w:lineRule="auto"/>
        <w:ind w:left="720"/>
        <w:rPr>
          <w:rFonts w:cs="Calibri"/>
          <w:color w:val="000000"/>
        </w:rPr>
      </w:pPr>
      <w:r w:rsidRPr="00574F9F">
        <w:rPr>
          <w:rFonts w:cs="Calibri"/>
          <w:color w:val="000000"/>
        </w:rPr>
        <w:t xml:space="preserve">Source: </w:t>
      </w:r>
      <w:r w:rsidRPr="00574F9F">
        <w:rPr>
          <w:rFonts w:cs="Calibri"/>
          <w:i/>
          <w:iCs/>
        </w:rPr>
        <w:t xml:space="preserve">The </w:t>
      </w:r>
      <w:r w:rsidRPr="00574F9F">
        <w:rPr>
          <w:rFonts w:cs="Calibri"/>
          <w:i/>
          <w:color w:val="000000"/>
        </w:rPr>
        <w:t>Commonwealth of Australia</w:t>
      </w:r>
      <w:r w:rsidRPr="00574F9F">
        <w:rPr>
          <w:rFonts w:cs="Calibri"/>
          <w:i/>
          <w:iCs/>
        </w:rPr>
        <w:t>.</w:t>
      </w:r>
    </w:p>
    <w:p w:rsidR="00E127E2" w:rsidRPr="00343254" w:rsidRDefault="00E127E2" w:rsidP="00E127E2">
      <w:pPr>
        <w:spacing w:after="80" w:line="240" w:lineRule="auto"/>
        <w:rPr>
          <w:rFonts w:cs="Calibri"/>
          <w:b/>
          <w:iCs/>
          <w:color w:val="000000"/>
        </w:rPr>
      </w:pPr>
      <w:r w:rsidRPr="00343254">
        <w:rPr>
          <w:rFonts w:cs="Calibri"/>
          <w:b/>
          <w:iCs/>
          <w:color w:val="000000"/>
        </w:rPr>
        <w:t>Derivative material</w:t>
      </w:r>
    </w:p>
    <w:p w:rsidR="00E127E2" w:rsidRPr="00343254" w:rsidRDefault="00E127E2" w:rsidP="00E127E2">
      <w:pPr>
        <w:spacing w:after="80"/>
      </w:pPr>
      <w:r w:rsidRPr="00343254">
        <w:t xml:space="preserve">If you have modified or transformed Commonwealth of Australia material, or derived new material from those of the Commonwealth of Australia in any way, then the Commonwealth of Australia prefers the following attribution: </w:t>
      </w:r>
    </w:p>
    <w:p w:rsidR="00E127E2" w:rsidRPr="00574F9F" w:rsidRDefault="00E127E2" w:rsidP="00E127E2">
      <w:pPr>
        <w:spacing w:after="160" w:line="240" w:lineRule="auto"/>
        <w:ind w:left="720"/>
        <w:rPr>
          <w:rFonts w:cs="Calibri"/>
          <w:i/>
          <w:color w:val="000000"/>
        </w:rPr>
      </w:pPr>
      <w:proofErr w:type="gramStart"/>
      <w:r w:rsidRPr="00574F9F">
        <w:rPr>
          <w:rFonts w:cs="Calibri"/>
          <w:i/>
          <w:color w:val="000000"/>
        </w:rPr>
        <w:t>Based on Commonwealth of Australia data.</w:t>
      </w:r>
      <w:proofErr w:type="gramEnd"/>
    </w:p>
    <w:p w:rsidR="00E127E2" w:rsidRPr="00343254" w:rsidRDefault="00E127E2" w:rsidP="00E127E2">
      <w:pPr>
        <w:spacing w:after="80" w:line="240" w:lineRule="auto"/>
      </w:pPr>
      <w:r w:rsidRPr="00343254">
        <w:rPr>
          <w:rStyle w:val="A5"/>
          <w:rFonts w:cs="Calibri"/>
          <w:b/>
        </w:rPr>
        <w:t>Use of the Coat of Arms</w:t>
      </w:r>
    </w:p>
    <w:p w:rsidR="00E127E2" w:rsidRPr="00343254" w:rsidRDefault="00E127E2" w:rsidP="00E127E2">
      <w:pPr>
        <w:spacing w:after="80"/>
        <w:rPr>
          <w:rStyle w:val="A5"/>
          <w:rFonts w:cs="Calibri"/>
        </w:rPr>
      </w:pPr>
      <w:r w:rsidRPr="00343254">
        <w:rPr>
          <w:rStyle w:val="A5"/>
          <w:rFonts w:cs="Calibri"/>
        </w:rPr>
        <w:t xml:space="preserve">The terms under which the Coat of Arms can be used are set out on the It’s an Honour website (see </w:t>
      </w:r>
      <w:hyperlink r:id="rId12" w:history="1">
        <w:r w:rsidRPr="00343254">
          <w:rPr>
            <w:rStyle w:val="Hyperlink"/>
          </w:rPr>
          <w:t>www.itsanhonour.gov.au</w:t>
        </w:r>
      </w:hyperlink>
      <w:r w:rsidRPr="00343254">
        <w:rPr>
          <w:rStyle w:val="A5"/>
          <w:rFonts w:cs="Calibri"/>
        </w:rPr>
        <w:t>).</w:t>
      </w:r>
    </w:p>
    <w:p w:rsidR="00E127E2" w:rsidRPr="00343254" w:rsidRDefault="00E127E2" w:rsidP="00E127E2">
      <w:pPr>
        <w:spacing w:after="80" w:line="240" w:lineRule="auto"/>
        <w:rPr>
          <w:rStyle w:val="A5"/>
          <w:rFonts w:cs="Calibri"/>
          <w:b/>
        </w:rPr>
      </w:pPr>
      <w:r w:rsidRPr="00343254">
        <w:rPr>
          <w:rStyle w:val="A5"/>
          <w:rFonts w:cs="Calibri"/>
          <w:b/>
        </w:rPr>
        <w:t>Other uses</w:t>
      </w:r>
    </w:p>
    <w:p w:rsidR="00E127E2" w:rsidRPr="00343254" w:rsidRDefault="00E127E2" w:rsidP="00E127E2">
      <w:pPr>
        <w:spacing w:after="80"/>
        <w:rPr>
          <w:i/>
        </w:rPr>
      </w:pPr>
      <w:r w:rsidRPr="00343254">
        <w:t>Enquiries regarding this licence and any other use of this document are welcome at:</w:t>
      </w:r>
    </w:p>
    <w:p w:rsidR="00E127E2" w:rsidRPr="00343254" w:rsidRDefault="00E127E2" w:rsidP="00E127E2">
      <w:pPr>
        <w:spacing w:after="0" w:line="240" w:lineRule="auto"/>
        <w:ind w:left="720"/>
        <w:rPr>
          <w:rFonts w:cs="Calibri"/>
          <w:i/>
        </w:rPr>
      </w:pPr>
      <w:r w:rsidRPr="00343254">
        <w:rPr>
          <w:rFonts w:cs="Calibri"/>
        </w:rPr>
        <w:t>Manager</w:t>
      </w:r>
    </w:p>
    <w:p w:rsidR="00E127E2" w:rsidRPr="00343254" w:rsidRDefault="00E127E2" w:rsidP="00E127E2">
      <w:pPr>
        <w:spacing w:after="0" w:line="240" w:lineRule="auto"/>
        <w:ind w:left="720"/>
        <w:rPr>
          <w:rFonts w:cs="Calibri"/>
        </w:rPr>
      </w:pPr>
      <w:r w:rsidRPr="00343254">
        <w:rPr>
          <w:rFonts w:cs="Calibri"/>
        </w:rPr>
        <w:t>Communications</w:t>
      </w:r>
    </w:p>
    <w:p w:rsidR="00E127E2" w:rsidRPr="00343254" w:rsidRDefault="00E127E2" w:rsidP="00E127E2">
      <w:pPr>
        <w:spacing w:after="0" w:line="240" w:lineRule="auto"/>
        <w:ind w:left="720"/>
        <w:rPr>
          <w:rFonts w:cs="Calibri"/>
          <w:i/>
        </w:rPr>
      </w:pPr>
      <w:r w:rsidRPr="00343254">
        <w:rPr>
          <w:rFonts w:cs="Calibri"/>
        </w:rPr>
        <w:t>The Treasury</w:t>
      </w:r>
    </w:p>
    <w:p w:rsidR="00E127E2" w:rsidRPr="00343254" w:rsidRDefault="00E127E2" w:rsidP="00E127E2">
      <w:pPr>
        <w:spacing w:after="0" w:line="240" w:lineRule="auto"/>
        <w:ind w:left="720"/>
        <w:rPr>
          <w:rFonts w:cs="Calibri"/>
          <w:i/>
        </w:rPr>
      </w:pPr>
      <w:r w:rsidRPr="00343254">
        <w:rPr>
          <w:rFonts w:cs="Calibri"/>
        </w:rPr>
        <w:t>Langton Crescent Parkes ACT 2600</w:t>
      </w:r>
    </w:p>
    <w:p w:rsidR="00E127E2" w:rsidRPr="00343254" w:rsidRDefault="00E127E2" w:rsidP="00E127E2">
      <w:pPr>
        <w:spacing w:after="160" w:line="240" w:lineRule="auto"/>
        <w:ind w:left="720"/>
        <w:rPr>
          <w:rFonts w:cs="Calibri"/>
        </w:rPr>
      </w:pPr>
      <w:r w:rsidRPr="00343254">
        <w:rPr>
          <w:rFonts w:cs="Calibri"/>
        </w:rPr>
        <w:t>Email: medialiaison@treasury.gov.au</w:t>
      </w:r>
    </w:p>
    <w:p w:rsidR="00E127E2" w:rsidRPr="00343254" w:rsidRDefault="00E127E2" w:rsidP="00E127E2">
      <w:pPr>
        <w:spacing w:after="80" w:line="240" w:lineRule="auto"/>
        <w:rPr>
          <w:rStyle w:val="A5"/>
          <w:rFonts w:cs="Calibri"/>
          <w:b/>
        </w:rPr>
      </w:pPr>
      <w:r w:rsidRPr="00343254">
        <w:rPr>
          <w:rStyle w:val="A5"/>
          <w:rFonts w:cs="Calibri"/>
          <w:b/>
        </w:rPr>
        <w:t>Internet</w:t>
      </w:r>
    </w:p>
    <w:p w:rsidR="00E127E2" w:rsidRPr="00343254" w:rsidRDefault="00E127E2" w:rsidP="00B10B5A">
      <w:pPr>
        <w:spacing w:after="180"/>
      </w:pPr>
      <w:r w:rsidRPr="00343254">
        <w:t xml:space="preserve">A copy of this document is available on the central Budget website at: </w:t>
      </w:r>
      <w:hyperlink r:id="rId13" w:history="1">
        <w:r w:rsidRPr="00343254">
          <w:rPr>
            <w:rStyle w:val="Hyperlink"/>
          </w:rPr>
          <w:t>www.budget.gov.au</w:t>
        </w:r>
      </w:hyperlink>
      <w:r w:rsidRPr="00343254">
        <w:t>.</w:t>
      </w:r>
    </w:p>
    <w:p w:rsidR="00E127E2" w:rsidRPr="00343254" w:rsidRDefault="00E127E2" w:rsidP="00E127E2">
      <w:pPr>
        <w:spacing w:after="0"/>
      </w:pPr>
      <w:proofErr w:type="gramStart"/>
      <w:r w:rsidRPr="00343254">
        <w:t xml:space="preserve">Printed by </w:t>
      </w:r>
      <w:proofErr w:type="spellStart"/>
      <w:r w:rsidRPr="00343254">
        <w:t>CanPrint</w:t>
      </w:r>
      <w:proofErr w:type="spellEnd"/>
      <w:r w:rsidRPr="00343254">
        <w:t xml:space="preserve"> Communications Pty Ltd.</w:t>
      </w:r>
      <w:proofErr w:type="gramEnd"/>
    </w:p>
    <w:p w:rsidR="00E127E2" w:rsidRPr="00343254" w:rsidRDefault="00E127E2" w:rsidP="00E127E2">
      <w:pPr>
        <w:spacing w:after="0"/>
        <w:sectPr w:rsidR="00E127E2" w:rsidRPr="00343254">
          <w:headerReference w:type="first" r:id="rId14"/>
          <w:footerReference w:type="first" r:id="rId15"/>
          <w:pgSz w:w="11907" w:h="16840" w:code="9"/>
          <w:pgMar w:top="2466" w:right="2098" w:bottom="2466" w:left="2098" w:header="1899" w:footer="1899" w:gutter="0"/>
          <w:pgNumType w:fmt="lowerRoman"/>
          <w:cols w:space="708"/>
          <w:titlePg/>
          <w:docGrid w:linePitch="360"/>
        </w:sectPr>
      </w:pPr>
    </w:p>
    <w:p w:rsidR="00E127E2" w:rsidRPr="00343254" w:rsidRDefault="00E127E2" w:rsidP="00E127E2">
      <w:pPr>
        <w:pStyle w:val="Versoheadings"/>
      </w:pPr>
      <w:r w:rsidRPr="00343254">
        <w:lastRenderedPageBreak/>
        <w:t>NOTES</w:t>
      </w:r>
    </w:p>
    <w:p w:rsidR="00E127E2" w:rsidRPr="00343254" w:rsidRDefault="00E127E2" w:rsidP="00E127E2">
      <w:pPr>
        <w:tabs>
          <w:tab w:val="left" w:pos="426"/>
        </w:tabs>
        <w:spacing w:after="120"/>
        <w:ind w:left="425" w:hanging="425"/>
      </w:pPr>
      <w:r w:rsidRPr="00343254">
        <w:t>(a)</w:t>
      </w:r>
      <w:r w:rsidRPr="00343254">
        <w:tab/>
        <w:t>The following definitions are used in this Mid</w:t>
      </w:r>
      <w:r w:rsidRPr="00343254">
        <w:noBreakHyphen/>
        <w:t>Year Economic and Fiscal Outlook (MYEFO):</w:t>
      </w:r>
    </w:p>
    <w:p w:rsidR="00E127E2" w:rsidRPr="00343254" w:rsidRDefault="00E127E2" w:rsidP="00E127E2">
      <w:pPr>
        <w:pStyle w:val="Dash"/>
        <w:numPr>
          <w:ilvl w:val="1"/>
          <w:numId w:val="9"/>
        </w:numPr>
        <w:tabs>
          <w:tab w:val="clear" w:pos="567"/>
          <w:tab w:val="num" w:pos="700"/>
        </w:tabs>
        <w:spacing w:after="120"/>
        <w:ind w:left="697" w:hanging="272"/>
      </w:pPr>
      <w:r w:rsidRPr="00343254">
        <w:t>‘real’ means adjusted for the effect of inflation;</w:t>
      </w:r>
    </w:p>
    <w:p w:rsidR="00E127E2" w:rsidRPr="00343254" w:rsidRDefault="00E127E2" w:rsidP="00E127E2">
      <w:pPr>
        <w:pStyle w:val="Dash"/>
        <w:numPr>
          <w:ilvl w:val="1"/>
          <w:numId w:val="9"/>
        </w:numPr>
        <w:tabs>
          <w:tab w:val="clear" w:pos="567"/>
          <w:tab w:val="num" w:pos="700"/>
        </w:tabs>
        <w:spacing w:after="120"/>
        <w:ind w:left="697" w:hanging="272"/>
      </w:pPr>
      <w:r w:rsidRPr="00343254">
        <w:t>real growth in expenses and payments is calculated by the Consumer Price Index (CPI) as the deflator;</w:t>
      </w:r>
    </w:p>
    <w:p w:rsidR="00E127E2" w:rsidRPr="00343254" w:rsidRDefault="004B4DFA" w:rsidP="00E127E2">
      <w:pPr>
        <w:pStyle w:val="Dash"/>
        <w:numPr>
          <w:ilvl w:val="1"/>
          <w:numId w:val="9"/>
        </w:numPr>
        <w:tabs>
          <w:tab w:val="clear" w:pos="567"/>
          <w:tab w:val="num" w:pos="700"/>
        </w:tabs>
        <w:spacing w:after="120"/>
        <w:ind w:left="700" w:hanging="274"/>
      </w:pPr>
      <w:r w:rsidRPr="00343254">
        <w:t>the Budget year refers to 2017</w:t>
      </w:r>
      <w:r w:rsidRPr="00343254">
        <w:noBreakHyphen/>
        <w:t>18</w:t>
      </w:r>
      <w:r w:rsidR="00E127E2" w:rsidRPr="00343254">
        <w:t>, while</w:t>
      </w:r>
      <w:r w:rsidRPr="00343254">
        <w:t xml:space="preserve"> the forward years refer to 2018</w:t>
      </w:r>
      <w:r w:rsidRPr="00343254">
        <w:noBreakHyphen/>
        <w:t>19, 2019</w:t>
      </w:r>
      <w:r w:rsidRPr="00343254">
        <w:noBreakHyphen/>
        <w:t>20 and 2020</w:t>
      </w:r>
      <w:r w:rsidRPr="00343254">
        <w:noBreakHyphen/>
        <w:t>21</w:t>
      </w:r>
      <w:r w:rsidR="00E127E2" w:rsidRPr="00343254">
        <w:t>; and</w:t>
      </w:r>
    </w:p>
    <w:p w:rsidR="00E127E2" w:rsidRPr="00343254" w:rsidRDefault="00E127E2" w:rsidP="00E127E2">
      <w:pPr>
        <w:pStyle w:val="Dash"/>
        <w:numPr>
          <w:ilvl w:val="1"/>
          <w:numId w:val="9"/>
        </w:numPr>
        <w:tabs>
          <w:tab w:val="clear" w:pos="567"/>
          <w:tab w:val="num" w:pos="700"/>
        </w:tabs>
        <w:ind w:left="697" w:hanging="272"/>
      </w:pPr>
      <w:proofErr w:type="gramStart"/>
      <w:r w:rsidRPr="00343254">
        <w:t>one</w:t>
      </w:r>
      <w:proofErr w:type="gramEnd"/>
      <w:r w:rsidRPr="00343254">
        <w:t xml:space="preserve"> billion is equal to one thousand million.</w:t>
      </w:r>
    </w:p>
    <w:p w:rsidR="00E127E2" w:rsidRPr="00343254" w:rsidRDefault="00E127E2" w:rsidP="00E127E2">
      <w:pPr>
        <w:tabs>
          <w:tab w:val="left" w:pos="400"/>
        </w:tabs>
        <w:spacing w:after="120"/>
        <w:ind w:left="400" w:hanging="400"/>
      </w:pPr>
      <w:r w:rsidRPr="00343254">
        <w:t>(b)</w:t>
      </w:r>
      <w:r w:rsidRPr="00343254">
        <w:tab/>
        <w:t>Figures in tables and generally in the text have been rounded. Discrepancies in tables between totals and sums of components are due to rounding:</w:t>
      </w:r>
    </w:p>
    <w:p w:rsidR="00E127E2" w:rsidRPr="00343254" w:rsidRDefault="00E127E2" w:rsidP="00E127E2">
      <w:pPr>
        <w:pStyle w:val="Dash"/>
        <w:numPr>
          <w:ilvl w:val="1"/>
          <w:numId w:val="9"/>
        </w:numPr>
        <w:tabs>
          <w:tab w:val="clear" w:pos="567"/>
          <w:tab w:val="num" w:pos="700"/>
        </w:tabs>
        <w:spacing w:after="120"/>
        <w:ind w:left="697" w:hanging="272"/>
      </w:pPr>
      <w:r w:rsidRPr="00343254">
        <w:t>estimates under $100,000 are rounded to the nearest thousand;</w:t>
      </w:r>
    </w:p>
    <w:p w:rsidR="00E127E2" w:rsidRPr="00343254" w:rsidRDefault="00E127E2" w:rsidP="00E127E2">
      <w:pPr>
        <w:pStyle w:val="Dash"/>
        <w:numPr>
          <w:ilvl w:val="1"/>
          <w:numId w:val="9"/>
        </w:numPr>
        <w:tabs>
          <w:tab w:val="clear" w:pos="567"/>
          <w:tab w:val="num" w:pos="700"/>
        </w:tabs>
        <w:spacing w:after="120"/>
        <w:ind w:left="697" w:hanging="272"/>
      </w:pPr>
      <w:r w:rsidRPr="00343254">
        <w:t>estimates $100,000 and over are generally rounded to the nearest tenth of a million;</w:t>
      </w:r>
    </w:p>
    <w:p w:rsidR="00E127E2" w:rsidRPr="00343254" w:rsidRDefault="00E127E2" w:rsidP="00E127E2">
      <w:pPr>
        <w:pStyle w:val="Dash"/>
        <w:numPr>
          <w:ilvl w:val="1"/>
          <w:numId w:val="9"/>
        </w:numPr>
        <w:tabs>
          <w:tab w:val="clear" w:pos="567"/>
          <w:tab w:val="num" w:pos="700"/>
        </w:tabs>
        <w:spacing w:after="120"/>
        <w:ind w:left="697" w:hanging="272"/>
      </w:pPr>
      <w:r w:rsidRPr="00343254">
        <w:t>estimates midway between rounding points are rounded up; and</w:t>
      </w:r>
    </w:p>
    <w:p w:rsidR="00E127E2" w:rsidRPr="00343254" w:rsidRDefault="00E127E2" w:rsidP="00E127E2">
      <w:pPr>
        <w:pStyle w:val="Dash"/>
        <w:numPr>
          <w:ilvl w:val="1"/>
          <w:numId w:val="9"/>
        </w:numPr>
        <w:tabs>
          <w:tab w:val="clear" w:pos="567"/>
          <w:tab w:val="num" w:pos="700"/>
        </w:tabs>
        <w:ind w:left="700" w:hanging="274"/>
      </w:pPr>
      <w:proofErr w:type="gramStart"/>
      <w:r w:rsidRPr="00343254">
        <w:t>the</w:t>
      </w:r>
      <w:proofErr w:type="gramEnd"/>
      <w:r w:rsidRPr="00343254">
        <w:t xml:space="preserve"> percentage changes in statistical tables are calculated using unrounded data.</w:t>
      </w:r>
    </w:p>
    <w:p w:rsidR="00E127E2" w:rsidRPr="00343254" w:rsidRDefault="00E127E2" w:rsidP="00E127E2">
      <w:pPr>
        <w:tabs>
          <w:tab w:val="left" w:pos="426"/>
        </w:tabs>
        <w:ind w:left="426" w:hanging="426"/>
      </w:pPr>
      <w:r w:rsidRPr="00343254">
        <w:t>(c)</w:t>
      </w:r>
      <w:r w:rsidRPr="00343254">
        <w:tab/>
        <w:t>For the budget balance, a negative sign indicates a deficit while no sign indicates a surplus.</w:t>
      </w:r>
    </w:p>
    <w:p w:rsidR="00E127E2" w:rsidRPr="00343254" w:rsidRDefault="00E127E2" w:rsidP="00E127E2">
      <w:pPr>
        <w:tabs>
          <w:tab w:val="left" w:pos="426"/>
        </w:tabs>
        <w:spacing w:after="120"/>
      </w:pPr>
      <w:r w:rsidRPr="00343254">
        <w:t>(d)</w:t>
      </w:r>
      <w:r w:rsidRPr="00343254">
        <w:tab/>
        <w:t>The following notations are used:</w:t>
      </w:r>
    </w:p>
    <w:tbl>
      <w:tblPr>
        <w:tblW w:w="0" w:type="auto"/>
        <w:jc w:val="center"/>
        <w:tblLayout w:type="fixed"/>
        <w:tblCellMar>
          <w:left w:w="0" w:type="dxa"/>
          <w:right w:w="0" w:type="dxa"/>
        </w:tblCellMar>
        <w:tblLook w:val="04A0" w:firstRow="1" w:lastRow="0" w:firstColumn="1" w:lastColumn="0" w:noHBand="0" w:noVBand="1"/>
      </w:tblPr>
      <w:tblGrid>
        <w:gridCol w:w="1398"/>
        <w:gridCol w:w="4854"/>
      </w:tblGrid>
      <w:tr w:rsidR="00E127E2" w:rsidRPr="00343254" w:rsidTr="00E67D3B">
        <w:trPr>
          <w:jc w:val="center"/>
        </w:trPr>
        <w:tc>
          <w:tcPr>
            <w:tcW w:w="1398" w:type="dxa"/>
            <w:hideMark/>
          </w:tcPr>
          <w:p w:rsidR="00E127E2" w:rsidRPr="00343254" w:rsidRDefault="00E127E2" w:rsidP="00E67D3B">
            <w:pPr>
              <w:spacing w:after="120"/>
            </w:pPr>
            <w:r w:rsidRPr="00343254">
              <w:noBreakHyphen/>
            </w:r>
          </w:p>
        </w:tc>
        <w:tc>
          <w:tcPr>
            <w:tcW w:w="4854" w:type="dxa"/>
            <w:hideMark/>
          </w:tcPr>
          <w:p w:rsidR="00E127E2" w:rsidRPr="00343254" w:rsidRDefault="00E127E2" w:rsidP="00E67D3B">
            <w:pPr>
              <w:spacing w:after="120"/>
            </w:pPr>
            <w:r w:rsidRPr="00343254">
              <w:t>nil</w:t>
            </w:r>
          </w:p>
        </w:tc>
      </w:tr>
      <w:tr w:rsidR="00E127E2" w:rsidRPr="00343254" w:rsidTr="00E67D3B">
        <w:trPr>
          <w:jc w:val="center"/>
        </w:trPr>
        <w:tc>
          <w:tcPr>
            <w:tcW w:w="1398" w:type="dxa"/>
            <w:hideMark/>
          </w:tcPr>
          <w:p w:rsidR="00E127E2" w:rsidRPr="00343254" w:rsidRDefault="00E127E2" w:rsidP="00E67D3B">
            <w:pPr>
              <w:spacing w:after="120"/>
            </w:pPr>
            <w:proofErr w:type="spellStart"/>
            <w:r w:rsidRPr="00343254">
              <w:t>na</w:t>
            </w:r>
            <w:proofErr w:type="spellEnd"/>
          </w:p>
        </w:tc>
        <w:tc>
          <w:tcPr>
            <w:tcW w:w="4854" w:type="dxa"/>
            <w:hideMark/>
          </w:tcPr>
          <w:p w:rsidR="00E127E2" w:rsidRPr="00343254" w:rsidRDefault="00E127E2" w:rsidP="00E67D3B">
            <w:pPr>
              <w:spacing w:after="120"/>
            </w:pPr>
            <w:r w:rsidRPr="00343254">
              <w:t>not applicable (unless otherwise specified)</w:t>
            </w:r>
          </w:p>
        </w:tc>
      </w:tr>
      <w:tr w:rsidR="00E127E2" w:rsidRPr="00343254" w:rsidTr="00E67D3B">
        <w:trPr>
          <w:jc w:val="center"/>
        </w:trPr>
        <w:tc>
          <w:tcPr>
            <w:tcW w:w="1398" w:type="dxa"/>
          </w:tcPr>
          <w:p w:rsidR="00E127E2" w:rsidRPr="00343254" w:rsidRDefault="00E127E2" w:rsidP="00E67D3B">
            <w:pPr>
              <w:spacing w:after="120"/>
            </w:pPr>
            <w:r w:rsidRPr="00343254">
              <w:t>$m</w:t>
            </w:r>
          </w:p>
        </w:tc>
        <w:tc>
          <w:tcPr>
            <w:tcW w:w="4854" w:type="dxa"/>
          </w:tcPr>
          <w:p w:rsidR="00E127E2" w:rsidRPr="00343254" w:rsidRDefault="00E127E2" w:rsidP="00E67D3B">
            <w:pPr>
              <w:spacing w:after="120"/>
            </w:pPr>
            <w:r w:rsidRPr="00343254">
              <w:t>millions of dollars</w:t>
            </w:r>
          </w:p>
        </w:tc>
      </w:tr>
      <w:tr w:rsidR="00E127E2" w:rsidRPr="00343254" w:rsidTr="00E67D3B">
        <w:trPr>
          <w:jc w:val="center"/>
        </w:trPr>
        <w:tc>
          <w:tcPr>
            <w:tcW w:w="1398" w:type="dxa"/>
          </w:tcPr>
          <w:p w:rsidR="00E127E2" w:rsidRPr="00343254" w:rsidRDefault="00E127E2" w:rsidP="00E67D3B">
            <w:pPr>
              <w:spacing w:after="120"/>
            </w:pPr>
            <w:r w:rsidRPr="00343254">
              <w:t>$b</w:t>
            </w:r>
          </w:p>
        </w:tc>
        <w:tc>
          <w:tcPr>
            <w:tcW w:w="4854" w:type="dxa"/>
          </w:tcPr>
          <w:p w:rsidR="00E127E2" w:rsidRPr="00343254" w:rsidRDefault="00E127E2" w:rsidP="00E67D3B">
            <w:pPr>
              <w:spacing w:after="120"/>
            </w:pPr>
            <w:r w:rsidRPr="00343254">
              <w:t>billions of dollars</w:t>
            </w:r>
          </w:p>
        </w:tc>
      </w:tr>
      <w:tr w:rsidR="00E127E2" w:rsidRPr="00343254" w:rsidTr="00E67D3B">
        <w:trPr>
          <w:jc w:val="center"/>
        </w:trPr>
        <w:tc>
          <w:tcPr>
            <w:tcW w:w="1398" w:type="dxa"/>
          </w:tcPr>
          <w:p w:rsidR="00E127E2" w:rsidRPr="00343254" w:rsidRDefault="00E127E2" w:rsidP="00E67D3B">
            <w:pPr>
              <w:spacing w:after="120"/>
            </w:pPr>
            <w:proofErr w:type="spellStart"/>
            <w:r w:rsidRPr="00343254">
              <w:t>nfp</w:t>
            </w:r>
            <w:proofErr w:type="spellEnd"/>
          </w:p>
        </w:tc>
        <w:tc>
          <w:tcPr>
            <w:tcW w:w="4854" w:type="dxa"/>
          </w:tcPr>
          <w:p w:rsidR="00E127E2" w:rsidRPr="00343254" w:rsidRDefault="00E127E2" w:rsidP="00E67D3B">
            <w:pPr>
              <w:spacing w:after="120"/>
            </w:pPr>
            <w:r w:rsidRPr="00343254">
              <w:t>not for publication</w:t>
            </w:r>
          </w:p>
        </w:tc>
      </w:tr>
      <w:tr w:rsidR="00E127E2" w:rsidRPr="00343254" w:rsidTr="00E67D3B">
        <w:trPr>
          <w:jc w:val="center"/>
        </w:trPr>
        <w:tc>
          <w:tcPr>
            <w:tcW w:w="1398" w:type="dxa"/>
            <w:hideMark/>
          </w:tcPr>
          <w:p w:rsidR="00E127E2" w:rsidRPr="00343254" w:rsidRDefault="00E127E2" w:rsidP="00E67D3B">
            <w:pPr>
              <w:spacing w:after="120"/>
            </w:pPr>
            <w:r w:rsidRPr="00343254">
              <w:t>(e)</w:t>
            </w:r>
          </w:p>
        </w:tc>
        <w:tc>
          <w:tcPr>
            <w:tcW w:w="4854" w:type="dxa"/>
            <w:hideMark/>
          </w:tcPr>
          <w:p w:rsidR="00E127E2" w:rsidRPr="00343254" w:rsidRDefault="00E127E2" w:rsidP="00E67D3B">
            <w:pPr>
              <w:spacing w:after="120"/>
            </w:pPr>
            <w:r w:rsidRPr="00343254">
              <w:t>estimates (unless otherwise specified)</w:t>
            </w:r>
          </w:p>
        </w:tc>
      </w:tr>
      <w:tr w:rsidR="00E127E2" w:rsidRPr="00343254" w:rsidTr="00E67D3B">
        <w:trPr>
          <w:jc w:val="center"/>
        </w:trPr>
        <w:tc>
          <w:tcPr>
            <w:tcW w:w="1398" w:type="dxa"/>
            <w:hideMark/>
          </w:tcPr>
          <w:p w:rsidR="00E127E2" w:rsidRPr="00343254" w:rsidRDefault="00E127E2" w:rsidP="00E67D3B">
            <w:pPr>
              <w:spacing w:after="120"/>
            </w:pPr>
            <w:r w:rsidRPr="00343254">
              <w:t>(p)</w:t>
            </w:r>
          </w:p>
        </w:tc>
        <w:tc>
          <w:tcPr>
            <w:tcW w:w="4854" w:type="dxa"/>
            <w:hideMark/>
          </w:tcPr>
          <w:p w:rsidR="00E127E2" w:rsidRPr="00343254" w:rsidRDefault="00E127E2" w:rsidP="00E67D3B">
            <w:pPr>
              <w:spacing w:after="120"/>
            </w:pPr>
            <w:r w:rsidRPr="00343254">
              <w:t>projections (unless otherwise specified)</w:t>
            </w:r>
          </w:p>
        </w:tc>
      </w:tr>
      <w:tr w:rsidR="00E127E2" w:rsidRPr="00343254" w:rsidTr="00E67D3B">
        <w:trPr>
          <w:jc w:val="center"/>
        </w:trPr>
        <w:tc>
          <w:tcPr>
            <w:tcW w:w="1398" w:type="dxa"/>
          </w:tcPr>
          <w:p w:rsidR="00E127E2" w:rsidRPr="00343254" w:rsidRDefault="00E127E2" w:rsidP="00E67D3B">
            <w:pPr>
              <w:spacing w:after="120"/>
            </w:pPr>
            <w:r w:rsidRPr="00343254">
              <w:t>NEC/</w:t>
            </w:r>
            <w:proofErr w:type="spellStart"/>
            <w:r w:rsidRPr="00343254">
              <w:t>nec</w:t>
            </w:r>
            <w:proofErr w:type="spellEnd"/>
          </w:p>
        </w:tc>
        <w:tc>
          <w:tcPr>
            <w:tcW w:w="4854" w:type="dxa"/>
          </w:tcPr>
          <w:p w:rsidR="00E127E2" w:rsidRPr="00343254" w:rsidDel="007F1468" w:rsidRDefault="00E127E2" w:rsidP="00E67D3B">
            <w:pPr>
              <w:spacing w:after="120"/>
            </w:pPr>
            <w:r w:rsidRPr="00343254">
              <w:t>not elsewhere classified</w:t>
            </w:r>
          </w:p>
        </w:tc>
      </w:tr>
    </w:tbl>
    <w:p w:rsidR="00E127E2" w:rsidRPr="00343254" w:rsidRDefault="00E127E2" w:rsidP="00E127E2"/>
    <w:p w:rsidR="00E127E2" w:rsidRPr="00343254" w:rsidRDefault="00E127E2" w:rsidP="00E127E2">
      <w:r w:rsidRPr="00343254">
        <w:br/>
      </w:r>
    </w:p>
    <w:p w:rsidR="00E127E2" w:rsidRPr="00343254" w:rsidRDefault="00E127E2" w:rsidP="00E127E2">
      <w:pPr>
        <w:tabs>
          <w:tab w:val="left" w:pos="426"/>
        </w:tabs>
        <w:ind w:left="426" w:hanging="426"/>
      </w:pPr>
      <w:r w:rsidRPr="00343254">
        <w:lastRenderedPageBreak/>
        <w:t>(e)</w:t>
      </w:r>
      <w:r w:rsidRPr="00343254">
        <w:tab/>
        <w:t>The Australian Capital Territory and the Northern Territory are referred to as ‘the Territories’. References to the ‘States’ or ‘each State’ include the Territories. The following abbreviations are used for the names of the States, where appropriate:</w:t>
      </w:r>
    </w:p>
    <w:tbl>
      <w:tblPr>
        <w:tblW w:w="0" w:type="auto"/>
        <w:jc w:val="center"/>
        <w:tblLayout w:type="fixed"/>
        <w:tblCellMar>
          <w:left w:w="0" w:type="dxa"/>
          <w:right w:w="0" w:type="dxa"/>
        </w:tblCellMar>
        <w:tblLook w:val="04A0" w:firstRow="1" w:lastRow="0" w:firstColumn="1" w:lastColumn="0" w:noHBand="0" w:noVBand="1"/>
      </w:tblPr>
      <w:tblGrid>
        <w:gridCol w:w="1398"/>
        <w:gridCol w:w="4854"/>
      </w:tblGrid>
      <w:tr w:rsidR="00E127E2" w:rsidRPr="00343254" w:rsidTr="00E67D3B">
        <w:trPr>
          <w:jc w:val="center"/>
        </w:trPr>
        <w:tc>
          <w:tcPr>
            <w:tcW w:w="1398" w:type="dxa"/>
            <w:hideMark/>
          </w:tcPr>
          <w:p w:rsidR="00E127E2" w:rsidRPr="00343254" w:rsidRDefault="00E127E2" w:rsidP="00E67D3B">
            <w:pPr>
              <w:spacing w:after="120"/>
            </w:pPr>
            <w:r w:rsidRPr="00343254">
              <w:t>NSW</w:t>
            </w:r>
          </w:p>
        </w:tc>
        <w:tc>
          <w:tcPr>
            <w:tcW w:w="4854" w:type="dxa"/>
            <w:hideMark/>
          </w:tcPr>
          <w:p w:rsidR="00E127E2" w:rsidRPr="00343254" w:rsidRDefault="00E127E2" w:rsidP="00E67D3B">
            <w:pPr>
              <w:spacing w:after="120"/>
            </w:pPr>
            <w:r w:rsidRPr="00343254">
              <w:t>New South Wales</w:t>
            </w:r>
          </w:p>
        </w:tc>
      </w:tr>
      <w:tr w:rsidR="00E127E2" w:rsidRPr="00343254" w:rsidTr="00E67D3B">
        <w:trPr>
          <w:jc w:val="center"/>
        </w:trPr>
        <w:tc>
          <w:tcPr>
            <w:tcW w:w="1398" w:type="dxa"/>
            <w:hideMark/>
          </w:tcPr>
          <w:p w:rsidR="00E127E2" w:rsidRPr="00343254" w:rsidRDefault="00E127E2" w:rsidP="00E67D3B">
            <w:pPr>
              <w:spacing w:after="120"/>
            </w:pPr>
            <w:r w:rsidRPr="00343254">
              <w:t>VIC</w:t>
            </w:r>
          </w:p>
        </w:tc>
        <w:tc>
          <w:tcPr>
            <w:tcW w:w="4854" w:type="dxa"/>
            <w:hideMark/>
          </w:tcPr>
          <w:p w:rsidR="00E127E2" w:rsidRPr="00343254" w:rsidRDefault="00E127E2" w:rsidP="00E67D3B">
            <w:pPr>
              <w:spacing w:after="120"/>
            </w:pPr>
            <w:r w:rsidRPr="00343254">
              <w:t>Victoria</w:t>
            </w:r>
          </w:p>
        </w:tc>
      </w:tr>
      <w:tr w:rsidR="00E127E2" w:rsidRPr="00343254" w:rsidTr="00E67D3B">
        <w:trPr>
          <w:jc w:val="center"/>
        </w:trPr>
        <w:tc>
          <w:tcPr>
            <w:tcW w:w="1398" w:type="dxa"/>
            <w:hideMark/>
          </w:tcPr>
          <w:p w:rsidR="00E127E2" w:rsidRPr="00343254" w:rsidRDefault="00E127E2" w:rsidP="00E67D3B">
            <w:pPr>
              <w:spacing w:after="120"/>
            </w:pPr>
            <w:r w:rsidRPr="00343254">
              <w:t>QLD</w:t>
            </w:r>
          </w:p>
        </w:tc>
        <w:tc>
          <w:tcPr>
            <w:tcW w:w="4854" w:type="dxa"/>
            <w:hideMark/>
          </w:tcPr>
          <w:p w:rsidR="00E127E2" w:rsidRPr="00343254" w:rsidRDefault="00E127E2" w:rsidP="00E67D3B">
            <w:pPr>
              <w:spacing w:after="120"/>
            </w:pPr>
            <w:r w:rsidRPr="00343254">
              <w:t>Queensland</w:t>
            </w:r>
          </w:p>
        </w:tc>
      </w:tr>
      <w:tr w:rsidR="00E127E2" w:rsidRPr="00343254" w:rsidTr="00E67D3B">
        <w:trPr>
          <w:jc w:val="center"/>
        </w:trPr>
        <w:tc>
          <w:tcPr>
            <w:tcW w:w="1398" w:type="dxa"/>
            <w:hideMark/>
          </w:tcPr>
          <w:p w:rsidR="00E127E2" w:rsidRPr="00343254" w:rsidRDefault="00E127E2" w:rsidP="00E67D3B">
            <w:pPr>
              <w:spacing w:after="120"/>
            </w:pPr>
            <w:r w:rsidRPr="00343254">
              <w:t>WA</w:t>
            </w:r>
          </w:p>
        </w:tc>
        <w:tc>
          <w:tcPr>
            <w:tcW w:w="4854" w:type="dxa"/>
            <w:hideMark/>
          </w:tcPr>
          <w:p w:rsidR="00E127E2" w:rsidRPr="00343254" w:rsidRDefault="00E127E2" w:rsidP="00E67D3B">
            <w:pPr>
              <w:spacing w:after="120"/>
            </w:pPr>
            <w:r w:rsidRPr="00343254">
              <w:t>Western Australia</w:t>
            </w:r>
          </w:p>
        </w:tc>
      </w:tr>
      <w:tr w:rsidR="00E127E2" w:rsidRPr="00343254" w:rsidTr="00E67D3B">
        <w:trPr>
          <w:jc w:val="center"/>
        </w:trPr>
        <w:tc>
          <w:tcPr>
            <w:tcW w:w="1398" w:type="dxa"/>
            <w:hideMark/>
          </w:tcPr>
          <w:p w:rsidR="00E127E2" w:rsidRPr="00343254" w:rsidRDefault="00E127E2" w:rsidP="00E67D3B">
            <w:pPr>
              <w:spacing w:after="120"/>
            </w:pPr>
            <w:r w:rsidRPr="00343254">
              <w:t>SA</w:t>
            </w:r>
          </w:p>
        </w:tc>
        <w:tc>
          <w:tcPr>
            <w:tcW w:w="4854" w:type="dxa"/>
            <w:hideMark/>
          </w:tcPr>
          <w:p w:rsidR="00E127E2" w:rsidRPr="00343254" w:rsidRDefault="00E127E2" w:rsidP="00E67D3B">
            <w:pPr>
              <w:spacing w:after="120"/>
            </w:pPr>
            <w:r w:rsidRPr="00343254">
              <w:t>South Australia</w:t>
            </w:r>
          </w:p>
        </w:tc>
      </w:tr>
      <w:tr w:rsidR="00E127E2" w:rsidRPr="00343254" w:rsidTr="00E67D3B">
        <w:trPr>
          <w:jc w:val="center"/>
        </w:trPr>
        <w:tc>
          <w:tcPr>
            <w:tcW w:w="1398" w:type="dxa"/>
            <w:hideMark/>
          </w:tcPr>
          <w:p w:rsidR="00E127E2" w:rsidRPr="00343254" w:rsidRDefault="00E127E2" w:rsidP="00E67D3B">
            <w:pPr>
              <w:spacing w:after="120"/>
            </w:pPr>
            <w:r w:rsidRPr="00343254">
              <w:t>TAS</w:t>
            </w:r>
          </w:p>
        </w:tc>
        <w:tc>
          <w:tcPr>
            <w:tcW w:w="4854" w:type="dxa"/>
            <w:hideMark/>
          </w:tcPr>
          <w:p w:rsidR="00E127E2" w:rsidRPr="00343254" w:rsidRDefault="00E127E2" w:rsidP="00E67D3B">
            <w:pPr>
              <w:spacing w:after="120"/>
            </w:pPr>
            <w:r w:rsidRPr="00343254">
              <w:t>Tasmania</w:t>
            </w:r>
          </w:p>
        </w:tc>
      </w:tr>
      <w:tr w:rsidR="00E127E2" w:rsidRPr="00343254" w:rsidTr="00E67D3B">
        <w:trPr>
          <w:jc w:val="center"/>
        </w:trPr>
        <w:tc>
          <w:tcPr>
            <w:tcW w:w="1398" w:type="dxa"/>
            <w:hideMark/>
          </w:tcPr>
          <w:p w:rsidR="00E127E2" w:rsidRPr="00343254" w:rsidRDefault="00E127E2" w:rsidP="00E67D3B">
            <w:pPr>
              <w:spacing w:after="120"/>
            </w:pPr>
            <w:r w:rsidRPr="00343254">
              <w:t>ACT</w:t>
            </w:r>
          </w:p>
        </w:tc>
        <w:tc>
          <w:tcPr>
            <w:tcW w:w="4854" w:type="dxa"/>
            <w:hideMark/>
          </w:tcPr>
          <w:p w:rsidR="00E127E2" w:rsidRPr="00343254" w:rsidRDefault="00E127E2" w:rsidP="00E67D3B">
            <w:pPr>
              <w:spacing w:after="120"/>
            </w:pPr>
            <w:r w:rsidRPr="00343254">
              <w:t>Australian Capital Territory</w:t>
            </w:r>
          </w:p>
        </w:tc>
      </w:tr>
      <w:tr w:rsidR="00E127E2" w:rsidRPr="00343254" w:rsidTr="00E67D3B">
        <w:trPr>
          <w:jc w:val="center"/>
        </w:trPr>
        <w:tc>
          <w:tcPr>
            <w:tcW w:w="1398" w:type="dxa"/>
            <w:hideMark/>
          </w:tcPr>
          <w:p w:rsidR="00E127E2" w:rsidRPr="00343254" w:rsidRDefault="00E127E2" w:rsidP="00E67D3B">
            <w:pPr>
              <w:spacing w:after="120"/>
            </w:pPr>
            <w:r w:rsidRPr="00343254">
              <w:t>NT</w:t>
            </w:r>
          </w:p>
        </w:tc>
        <w:tc>
          <w:tcPr>
            <w:tcW w:w="4854" w:type="dxa"/>
            <w:hideMark/>
          </w:tcPr>
          <w:p w:rsidR="00E127E2" w:rsidRPr="00343254" w:rsidRDefault="00E127E2" w:rsidP="00E67D3B">
            <w:pPr>
              <w:spacing w:after="120"/>
            </w:pPr>
            <w:r w:rsidRPr="00343254">
              <w:t>Northern Territory</w:t>
            </w:r>
          </w:p>
        </w:tc>
      </w:tr>
    </w:tbl>
    <w:p w:rsidR="00E127E2" w:rsidRPr="00343254" w:rsidRDefault="00E127E2" w:rsidP="00E127E2">
      <w:pPr>
        <w:spacing w:before="240"/>
        <w:ind w:left="425" w:hanging="425"/>
      </w:pPr>
      <w:r w:rsidRPr="00343254">
        <w:t>(f)</w:t>
      </w:r>
      <w:r w:rsidRPr="00343254">
        <w:tab/>
        <w:t>In this paper the term Commonwealth refers to the Commonwealth of Australia. The term is used when referring to the legal entity of the Commonwealth of Australia.</w:t>
      </w:r>
    </w:p>
    <w:p w:rsidR="00E127E2" w:rsidRPr="00343254" w:rsidRDefault="00E127E2" w:rsidP="00E127E2">
      <w:pPr>
        <w:pStyle w:val="NormalIndent"/>
        <w:ind w:left="426"/>
      </w:pPr>
      <w:r w:rsidRPr="00343254">
        <w:t>The term Australian Government is used when referring to the Government and the decisions and activities made by the Government on behalf of the Commonwealth of Australia.</w:t>
      </w:r>
    </w:p>
    <w:p w:rsidR="00E127E2" w:rsidRPr="00343254" w:rsidRDefault="00E127E2" w:rsidP="00E127E2">
      <w:pPr>
        <w:spacing w:after="0" w:line="240" w:lineRule="auto"/>
        <w:jc w:val="left"/>
      </w:pPr>
      <w:r w:rsidRPr="00343254">
        <w:br w:type="page"/>
      </w:r>
    </w:p>
    <w:p w:rsidR="00E127E2" w:rsidRPr="00343254" w:rsidRDefault="00E127E2" w:rsidP="00E127E2">
      <w:pPr>
        <w:pStyle w:val="Heading1"/>
      </w:pPr>
      <w:bookmarkStart w:id="1" w:name="_Toc122086183"/>
      <w:bookmarkStart w:id="2" w:name="_Toc122086360"/>
      <w:bookmarkStart w:id="3" w:name="_Toc122137986"/>
      <w:bookmarkStart w:id="4" w:name="_Toc122141843"/>
      <w:bookmarkStart w:id="5" w:name="_Toc122142672"/>
      <w:bookmarkStart w:id="6" w:name="_Toc122175614"/>
      <w:bookmarkStart w:id="7" w:name="_Toc180033878"/>
      <w:bookmarkStart w:id="8" w:name="_Toc501043830"/>
      <w:r w:rsidRPr="00343254">
        <w:lastRenderedPageBreak/>
        <w:t>Foreword</w:t>
      </w:r>
      <w:bookmarkEnd w:id="1"/>
      <w:bookmarkEnd w:id="2"/>
      <w:bookmarkEnd w:id="3"/>
      <w:bookmarkEnd w:id="4"/>
      <w:bookmarkEnd w:id="5"/>
      <w:bookmarkEnd w:id="6"/>
      <w:bookmarkEnd w:id="7"/>
      <w:bookmarkEnd w:id="8"/>
    </w:p>
    <w:p w:rsidR="00E127E2" w:rsidRPr="00343254" w:rsidRDefault="00E127E2" w:rsidP="00E127E2">
      <w:r w:rsidRPr="00343254">
        <w:t xml:space="preserve">The </w:t>
      </w:r>
      <w:r w:rsidRPr="00343254">
        <w:rPr>
          <w:rStyle w:val="Normalitalics"/>
        </w:rPr>
        <w:t>Mid</w:t>
      </w:r>
      <w:r w:rsidRPr="00343254">
        <w:rPr>
          <w:rStyle w:val="Normalitalics"/>
        </w:rPr>
        <w:noBreakHyphen/>
        <w:t>Year Economic and Fiscal Outlook</w:t>
      </w:r>
      <w:r w:rsidRPr="00343254">
        <w:t xml:space="preserve"> </w:t>
      </w:r>
      <w:r w:rsidR="004B4DFA" w:rsidRPr="00343254">
        <w:rPr>
          <w:rStyle w:val="Normalitalics"/>
        </w:rPr>
        <w:t>2017</w:t>
      </w:r>
      <w:r w:rsidR="004B4DFA" w:rsidRPr="00343254">
        <w:rPr>
          <w:rStyle w:val="Normalitalics"/>
        </w:rPr>
        <w:noBreakHyphen/>
        <w:t>18</w:t>
      </w:r>
      <w:r w:rsidRPr="00343254">
        <w:rPr>
          <w:rStyle w:val="Normalitalics"/>
        </w:rPr>
        <w:t xml:space="preserve"> </w:t>
      </w:r>
      <w:r w:rsidRPr="00343254">
        <w:t xml:space="preserve">(MYEFO) </w:t>
      </w:r>
      <w:proofErr w:type="gramStart"/>
      <w:r w:rsidRPr="00343254">
        <w:t>has</w:t>
      </w:r>
      <w:proofErr w:type="gramEnd"/>
      <w:r w:rsidRPr="00343254">
        <w:t xml:space="preserve"> been prepared in accordance with the </w:t>
      </w:r>
      <w:r w:rsidRPr="00343254">
        <w:rPr>
          <w:rStyle w:val="Normalitalics"/>
        </w:rPr>
        <w:t>Charter of Budget Honesty Act 1998</w:t>
      </w:r>
      <w:r w:rsidRPr="00343254">
        <w:t>. The Charter requires that the Government provide a mid</w:t>
      </w:r>
      <w:r w:rsidRPr="00343254">
        <w:noBreakHyphen/>
        <w:t>year budget report which provides updated information on the Government’s fiscal position.</w:t>
      </w:r>
    </w:p>
    <w:p w:rsidR="00E127E2" w:rsidRPr="00343254" w:rsidRDefault="00E127E2" w:rsidP="00E127E2">
      <w:pPr>
        <w:spacing w:after="200"/>
      </w:pPr>
      <w:r w:rsidRPr="00343254">
        <w:t>Consistent with these requirements:</w:t>
      </w:r>
    </w:p>
    <w:p w:rsidR="00E127E2" w:rsidRPr="00343254" w:rsidRDefault="00E127E2" w:rsidP="00E127E2">
      <w:pPr>
        <w:pStyle w:val="Bullet"/>
        <w:numPr>
          <w:ilvl w:val="0"/>
          <w:numId w:val="9"/>
        </w:numPr>
        <w:spacing w:after="200"/>
        <w:ind w:left="284" w:hanging="284"/>
      </w:pPr>
      <w:r w:rsidRPr="00343254">
        <w:rPr>
          <w:b/>
        </w:rPr>
        <w:t>Part 1: Overview</w:t>
      </w:r>
      <w:r w:rsidRPr="00343254">
        <w:t xml:space="preserve"> — contains summary information on the key fiscal and economic indicators and outlook.</w:t>
      </w:r>
    </w:p>
    <w:p w:rsidR="00E127E2" w:rsidRPr="00343254" w:rsidRDefault="00E127E2" w:rsidP="00E127E2">
      <w:pPr>
        <w:pStyle w:val="Bullet"/>
        <w:numPr>
          <w:ilvl w:val="0"/>
          <w:numId w:val="9"/>
        </w:numPr>
        <w:spacing w:after="200"/>
        <w:ind w:left="284" w:hanging="284"/>
      </w:pPr>
      <w:r w:rsidRPr="00343254">
        <w:rPr>
          <w:b/>
        </w:rPr>
        <w:t>Part 2: Economic outlook</w:t>
      </w:r>
      <w:r w:rsidRPr="00343254">
        <w:t xml:space="preserve"> — discusses the domestic and international economic forecasts and projections that underpin the budget estimates.</w:t>
      </w:r>
    </w:p>
    <w:p w:rsidR="00E127E2" w:rsidRPr="00343254" w:rsidRDefault="00E127E2" w:rsidP="00E127E2">
      <w:pPr>
        <w:pStyle w:val="Bullet"/>
        <w:numPr>
          <w:ilvl w:val="0"/>
          <w:numId w:val="9"/>
        </w:numPr>
        <w:spacing w:after="200"/>
        <w:ind w:left="284" w:hanging="284"/>
      </w:pPr>
      <w:r w:rsidRPr="00343254">
        <w:rPr>
          <w:b/>
        </w:rPr>
        <w:t>Part 3: Fiscal strategy and outlook</w:t>
      </w:r>
      <w:r w:rsidRPr="00343254">
        <w:t xml:space="preserve"> — provides a discussion of the fiscal strategy and outlook, in addition to a summary of the factors explaining variations in the cash flow statement, the operating statement and the balance sheet since the</w:t>
      </w:r>
      <w:r w:rsidR="00B10B5A" w:rsidRPr="00343254">
        <w:br/>
      </w:r>
      <w:r w:rsidR="004B4DFA" w:rsidRPr="00343254">
        <w:t>2017-18 Budget</w:t>
      </w:r>
      <w:r w:rsidRPr="00343254">
        <w:t>. This part includes discussion of the sensitivity of the budget estimates to changes in economic parameters, confidence intervals around forecasts, expenses by function, tax expenditures, payments to the States, and a debt statement.</w:t>
      </w:r>
    </w:p>
    <w:p w:rsidR="00E127E2" w:rsidRPr="00343254" w:rsidRDefault="00E127E2" w:rsidP="00E127E2">
      <w:pPr>
        <w:pStyle w:val="Bullet"/>
        <w:numPr>
          <w:ilvl w:val="0"/>
          <w:numId w:val="9"/>
        </w:numPr>
        <w:spacing w:after="200"/>
        <w:ind w:left="284" w:hanging="284"/>
      </w:pPr>
      <w:r w:rsidRPr="00343254">
        <w:rPr>
          <w:b/>
          <w:bCs/>
        </w:rPr>
        <w:t xml:space="preserve">Appendix A: Policy decisions taken since the </w:t>
      </w:r>
      <w:r w:rsidR="004B4DFA" w:rsidRPr="00343254">
        <w:rPr>
          <w:b/>
          <w:bCs/>
        </w:rPr>
        <w:t>2017-18 Budget</w:t>
      </w:r>
      <w:r w:rsidRPr="00343254">
        <w:rPr>
          <w:b/>
          <w:bCs/>
        </w:rPr>
        <w:t xml:space="preserve"> </w:t>
      </w:r>
      <w:r w:rsidRPr="00343254">
        <w:t xml:space="preserve">— provides details of decisions taken since the </w:t>
      </w:r>
      <w:r w:rsidR="004B4DFA" w:rsidRPr="00343254">
        <w:t>2017-18 Budget</w:t>
      </w:r>
      <w:r w:rsidRPr="00343254">
        <w:t xml:space="preserve"> that affect revenue, expense and capital estimates.</w:t>
      </w:r>
    </w:p>
    <w:p w:rsidR="00E127E2" w:rsidRPr="00343254" w:rsidRDefault="00E127E2" w:rsidP="00E127E2">
      <w:pPr>
        <w:pStyle w:val="Bullet"/>
        <w:numPr>
          <w:ilvl w:val="0"/>
          <w:numId w:val="9"/>
        </w:numPr>
        <w:spacing w:after="200"/>
        <w:ind w:left="284" w:hanging="284"/>
      </w:pPr>
      <w:r w:rsidRPr="00343254">
        <w:rPr>
          <w:b/>
        </w:rPr>
        <w:t>Appendix B: Australian Government Budget Financial Statements</w:t>
      </w:r>
      <w:r w:rsidRPr="00343254">
        <w:t xml:space="preserve"> — provides financial statements for the general government, public non</w:t>
      </w:r>
      <w:r w:rsidRPr="00343254">
        <w:noBreakHyphen/>
        <w:t>financial corporations and total non</w:t>
      </w:r>
      <w:r w:rsidRPr="00343254">
        <w:noBreakHyphen/>
        <w:t>financial public sectors.</w:t>
      </w:r>
    </w:p>
    <w:p w:rsidR="00E127E2" w:rsidRPr="00343254" w:rsidRDefault="00E127E2" w:rsidP="00E127E2">
      <w:pPr>
        <w:pStyle w:val="Bullet"/>
        <w:numPr>
          <w:ilvl w:val="0"/>
          <w:numId w:val="9"/>
        </w:numPr>
        <w:spacing w:after="200"/>
        <w:ind w:left="284" w:hanging="284"/>
      </w:pPr>
      <w:r w:rsidRPr="00343254">
        <w:rPr>
          <w:b/>
        </w:rPr>
        <w:t>Appendix C: Statement of risks</w:t>
      </w:r>
      <w:r w:rsidRPr="00343254">
        <w:t xml:space="preserve"> — provides details of general developments or specific events that may have an impact on the fiscal position, and contingent liabilities which are costs the government may possibly face, some of which are quantified.</w:t>
      </w:r>
    </w:p>
    <w:p w:rsidR="00E127E2" w:rsidRPr="00343254" w:rsidRDefault="00E127E2" w:rsidP="00E127E2">
      <w:pPr>
        <w:pStyle w:val="Bullet"/>
        <w:numPr>
          <w:ilvl w:val="0"/>
          <w:numId w:val="9"/>
        </w:numPr>
        <w:ind w:left="284" w:hanging="284"/>
      </w:pPr>
      <w:r w:rsidRPr="00343254">
        <w:rPr>
          <w:b/>
        </w:rPr>
        <w:t xml:space="preserve">Appendix D: Historical </w:t>
      </w:r>
      <w:bookmarkStart w:id="9" w:name="OLE_LINK1"/>
      <w:r w:rsidRPr="00343254">
        <w:rPr>
          <w:b/>
        </w:rPr>
        <w:t>Australian Government</w:t>
      </w:r>
      <w:bookmarkEnd w:id="9"/>
      <w:r w:rsidRPr="00343254">
        <w:rPr>
          <w:b/>
        </w:rPr>
        <w:t xml:space="preserve"> data</w:t>
      </w:r>
      <w:r w:rsidRPr="00343254">
        <w:t xml:space="preserve"> — provides historical data for the Australian Government’s key fiscal aggregates.</w:t>
      </w:r>
    </w:p>
    <w:p w:rsidR="00E127E2" w:rsidRPr="00343254" w:rsidRDefault="00E127E2" w:rsidP="00E127E2">
      <w:pPr>
        <w:spacing w:after="0" w:line="240" w:lineRule="auto"/>
        <w:jc w:val="left"/>
        <w:sectPr w:rsidR="00E127E2" w:rsidRPr="00343254" w:rsidSect="00E67D3B">
          <w:footerReference w:type="default" r:id="rId16"/>
          <w:footerReference w:type="first" r:id="rId17"/>
          <w:pgSz w:w="11907" w:h="16840" w:code="9"/>
          <w:pgMar w:top="2466" w:right="2098" w:bottom="2466" w:left="2098" w:header="1899" w:footer="1899" w:gutter="0"/>
          <w:pgNumType w:fmt="lowerRoman"/>
          <w:cols w:space="708"/>
          <w:titlePg/>
          <w:docGrid w:linePitch="360"/>
        </w:sectPr>
      </w:pPr>
    </w:p>
    <w:p w:rsidR="00FC2085" w:rsidRPr="00343254" w:rsidRDefault="00E127E2" w:rsidP="00E127E2">
      <w:pPr>
        <w:pStyle w:val="ContentsHeading"/>
        <w:spacing w:after="240"/>
      </w:pPr>
      <w:bookmarkStart w:id="10" w:name="_Toc213211209"/>
      <w:r w:rsidRPr="00343254">
        <w:lastRenderedPageBreak/>
        <w:t>Contents</w:t>
      </w:r>
      <w:bookmarkEnd w:id="10"/>
    </w:p>
    <w:p w:rsidR="00E127E2" w:rsidRPr="0083785D" w:rsidRDefault="00E127E2" w:rsidP="00E127E2">
      <w:pPr>
        <w:pStyle w:val="ContentsHeading"/>
        <w:spacing w:after="240"/>
        <w:rPr>
          <w:color w:val="FFFFFF"/>
          <w:sz w:val="2"/>
          <w:szCs w:val="2"/>
        </w:rPr>
      </w:pP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“01 Part 1.doc”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“02 Part 2.doc</w:instrText>
      </w:r>
      <w:r w:rsidR="0066313C" w:rsidRPr="0083785D">
        <w:rPr>
          <w:rFonts w:ascii="Arial Bold" w:hAnsi="Arial Bold"/>
          <w:smallCaps w:val="0"/>
          <w:vanish/>
          <w:color w:val="FFFFFF"/>
          <w:sz w:val="2"/>
          <w:szCs w:val="2"/>
        </w:rPr>
        <w:instrText>x</w:instrText>
      </w:r>
      <w:r w:rsidRPr="0083785D">
        <w:rPr>
          <w:rFonts w:ascii="Arial Bold" w:hAnsi="Arial Bold"/>
          <w:smallCaps w:val="0"/>
          <w:vanish/>
          <w:color w:val="FFFFFF"/>
          <w:sz w:val="2"/>
          <w:szCs w:val="2"/>
        </w:rPr>
        <w:instrText xml:space="preserve">”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“03 Part 3.doc”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“04 Attachment A.doc”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“05 Attachment B.doc”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“06 Attachment C.doc”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“07 Attachment D.doc”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“08 Attachment E.doc”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“09 Appendix </w:instrText>
      </w:r>
      <w:r w:rsidR="00A415C2" w:rsidRPr="0083785D">
        <w:rPr>
          <w:rFonts w:ascii="Arial Bold" w:hAnsi="Arial Bold"/>
          <w:smallCaps w:val="0"/>
          <w:vanish/>
          <w:color w:val="FFFFFF"/>
          <w:sz w:val="2"/>
          <w:szCs w:val="2"/>
        </w:rPr>
        <w:instrText>A</w:instrText>
      </w:r>
      <w:r w:rsidRPr="0083785D">
        <w:rPr>
          <w:rFonts w:ascii="Arial Bold" w:hAnsi="Arial Bold"/>
          <w:smallCaps w:val="0"/>
          <w:vanish/>
          <w:color w:val="FFFFFF"/>
          <w:sz w:val="2"/>
          <w:szCs w:val="2"/>
        </w:rPr>
        <w:instrText>.doc</w:instrText>
      </w:r>
      <w:r w:rsidR="0066313C" w:rsidRPr="0083785D">
        <w:rPr>
          <w:rFonts w:ascii="Arial Bold" w:hAnsi="Arial Bold"/>
          <w:smallCaps w:val="0"/>
          <w:vanish/>
          <w:color w:val="FFFFFF"/>
          <w:sz w:val="2"/>
          <w:szCs w:val="2"/>
        </w:rPr>
        <w:instrText>x</w:instrText>
      </w:r>
      <w:r w:rsidRPr="0083785D">
        <w:rPr>
          <w:rFonts w:ascii="Arial Bold" w:hAnsi="Arial Bold"/>
          <w:smallCaps w:val="0"/>
          <w:vanish/>
          <w:color w:val="FFFFFF"/>
          <w:sz w:val="2"/>
          <w:szCs w:val="2"/>
        </w:rPr>
        <w:instrText xml:space="preserve">” </w:instrText>
      </w:r>
      <w:r w:rsidRPr="0083785D">
        <w:rPr>
          <w:rFonts w:ascii="Arial Bold" w:hAnsi="Arial Bold"/>
          <w:smallCaps w:val="0"/>
          <w:vanish/>
          <w:color w:val="FFFFFF"/>
          <w:sz w:val="2"/>
          <w:szCs w:val="2"/>
        </w:rPr>
        <w:fldChar w:fldCharType="end"/>
      </w:r>
      <w:r w:rsidR="00A415C2" w:rsidRPr="0083785D">
        <w:rPr>
          <w:rFonts w:ascii="Arial Bold" w:hAnsi="Arial Bold"/>
          <w:smallCaps w:val="0"/>
          <w:vanish/>
          <w:color w:val="FFFFFF"/>
          <w:sz w:val="2"/>
          <w:szCs w:val="2"/>
        </w:rPr>
        <w:fldChar w:fldCharType="begin"/>
      </w:r>
      <w:r w:rsidR="00A415C2" w:rsidRPr="0083785D">
        <w:rPr>
          <w:rFonts w:ascii="Arial Bold" w:hAnsi="Arial Bold"/>
          <w:smallCaps w:val="0"/>
          <w:vanish/>
          <w:color w:val="FFFFFF"/>
          <w:sz w:val="2"/>
          <w:szCs w:val="2"/>
        </w:rPr>
        <w:instrText xml:space="preserve"> RD  “10 Appendix B.doc” </w:instrText>
      </w:r>
      <w:r w:rsidR="00A415C2"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“1</w:instrText>
      </w:r>
      <w:r w:rsidR="00A415C2" w:rsidRPr="0083785D">
        <w:rPr>
          <w:rFonts w:ascii="Arial Bold" w:hAnsi="Arial Bold"/>
          <w:smallCaps w:val="0"/>
          <w:vanish/>
          <w:color w:val="FFFFFF"/>
          <w:sz w:val="2"/>
          <w:szCs w:val="2"/>
        </w:rPr>
        <w:instrText>1</w:instrText>
      </w:r>
      <w:r w:rsidRPr="0083785D">
        <w:rPr>
          <w:rFonts w:ascii="Arial Bold" w:hAnsi="Arial Bold"/>
          <w:smallCaps w:val="0"/>
          <w:vanish/>
          <w:color w:val="FFFFFF"/>
          <w:sz w:val="2"/>
          <w:szCs w:val="2"/>
        </w:rPr>
        <w:instrText xml:space="preserve"> AppB Attachment B.doc”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“1</w:instrText>
      </w:r>
      <w:r w:rsidR="00A415C2" w:rsidRPr="0083785D">
        <w:rPr>
          <w:rFonts w:ascii="Arial Bold" w:hAnsi="Arial Bold"/>
          <w:smallCaps w:val="0"/>
          <w:vanish/>
          <w:color w:val="FFFFFF"/>
          <w:sz w:val="2"/>
          <w:szCs w:val="2"/>
        </w:rPr>
        <w:instrText>2</w:instrText>
      </w:r>
      <w:r w:rsidRPr="0083785D">
        <w:rPr>
          <w:rFonts w:ascii="Arial Bold" w:hAnsi="Arial Bold"/>
          <w:smallCaps w:val="0"/>
          <w:vanish/>
          <w:color w:val="FFFFFF"/>
          <w:sz w:val="2"/>
          <w:szCs w:val="2"/>
        </w:rPr>
        <w:instrText xml:space="preserve"> Appendix C</w:instrText>
      </w:r>
      <w:r w:rsidR="002F60D5" w:rsidRPr="0083785D">
        <w:rPr>
          <w:rFonts w:ascii="Arial Bold" w:hAnsi="Arial Bold"/>
          <w:smallCaps w:val="0"/>
          <w:vanish/>
          <w:color w:val="FFFFFF"/>
          <w:sz w:val="2"/>
          <w:szCs w:val="2"/>
        </w:rPr>
        <w:instrText xml:space="preserve"> </w:instrText>
      </w:r>
      <w:r w:rsidRPr="0083785D">
        <w:rPr>
          <w:rFonts w:ascii="Arial Bold" w:hAnsi="Arial Bold"/>
          <w:smallCaps w:val="0"/>
          <w:vanish/>
          <w:color w:val="FFFFFF"/>
          <w:sz w:val="2"/>
          <w:szCs w:val="2"/>
        </w:rPr>
        <w:instrText>.doc</w:instrText>
      </w:r>
      <w:r w:rsidR="0066313C" w:rsidRPr="0083785D">
        <w:rPr>
          <w:rFonts w:ascii="Arial Bold" w:hAnsi="Arial Bold"/>
          <w:smallCaps w:val="0"/>
          <w:vanish/>
          <w:color w:val="FFFFFF"/>
          <w:sz w:val="2"/>
          <w:szCs w:val="2"/>
        </w:rPr>
        <w:instrText>x</w:instrText>
      </w:r>
      <w:r w:rsidRPr="0083785D">
        <w:rPr>
          <w:rFonts w:ascii="Arial Bold" w:hAnsi="Arial Bold"/>
          <w:smallCaps w:val="0"/>
          <w:vanish/>
          <w:color w:val="FFFFFF"/>
          <w:sz w:val="2"/>
          <w:szCs w:val="2"/>
        </w:rPr>
        <w:instrText xml:space="preserve">” </w:instrText>
      </w:r>
      <w:r w:rsidRPr="0083785D">
        <w:rPr>
          <w:rFonts w:ascii="Arial Bold" w:hAnsi="Arial Bold"/>
          <w:smallCaps w:val="0"/>
          <w:vanish/>
          <w:color w:val="FFFFFF"/>
          <w:sz w:val="2"/>
          <w:szCs w:val="2"/>
        </w:rPr>
        <w:fldChar w:fldCharType="end"/>
      </w:r>
      <w:r w:rsidRPr="0083785D">
        <w:rPr>
          <w:rFonts w:ascii="Arial Bold" w:hAnsi="Arial Bold"/>
          <w:smallCaps w:val="0"/>
          <w:vanish/>
          <w:color w:val="FFFFFF"/>
          <w:sz w:val="2"/>
          <w:szCs w:val="2"/>
        </w:rPr>
        <w:fldChar w:fldCharType="begin"/>
      </w:r>
      <w:r w:rsidRPr="0083785D">
        <w:rPr>
          <w:rFonts w:ascii="Arial Bold" w:hAnsi="Arial Bold"/>
          <w:smallCaps w:val="0"/>
          <w:vanish/>
          <w:color w:val="FFFFFF"/>
          <w:sz w:val="2"/>
          <w:szCs w:val="2"/>
        </w:rPr>
        <w:instrText xml:space="preserve"> RD  “1</w:instrText>
      </w:r>
      <w:r w:rsidR="00A415C2" w:rsidRPr="0083785D">
        <w:rPr>
          <w:rFonts w:ascii="Arial Bold" w:hAnsi="Arial Bold"/>
          <w:smallCaps w:val="0"/>
          <w:vanish/>
          <w:color w:val="FFFFFF"/>
          <w:sz w:val="2"/>
          <w:szCs w:val="2"/>
        </w:rPr>
        <w:instrText>3</w:instrText>
      </w:r>
      <w:r w:rsidRPr="0083785D">
        <w:rPr>
          <w:rFonts w:ascii="Arial Bold" w:hAnsi="Arial Bold"/>
          <w:smallCaps w:val="0"/>
          <w:vanish/>
          <w:color w:val="FFFFFF"/>
          <w:sz w:val="2"/>
          <w:szCs w:val="2"/>
        </w:rPr>
        <w:instrText xml:space="preserve"> Appendix D.doc” </w:instrText>
      </w:r>
      <w:r w:rsidRPr="0083785D">
        <w:rPr>
          <w:rFonts w:ascii="Arial Bold" w:hAnsi="Arial Bold"/>
          <w:smallCaps w:val="0"/>
          <w:vanish/>
          <w:color w:val="FFFFFF"/>
          <w:sz w:val="2"/>
          <w:szCs w:val="2"/>
        </w:rPr>
        <w:fldChar w:fldCharType="end"/>
      </w:r>
    </w:p>
    <w:p w:rsidR="00CF7B38" w:rsidRPr="00C346B1" w:rsidRDefault="00E127E2">
      <w:pPr>
        <w:pStyle w:val="TOC1"/>
        <w:rPr>
          <w:rFonts w:ascii="Calibri" w:hAnsi="Calibri"/>
          <w:b w:val="0"/>
          <w:szCs w:val="22"/>
        </w:rPr>
      </w:pPr>
      <w:r w:rsidRPr="00343254">
        <w:fldChar w:fldCharType="begin"/>
      </w:r>
      <w:r w:rsidRPr="00343254">
        <w:instrText xml:space="preserve"> TOC \o "1-2" \t "Heading 3,2,Attachment heading,1" </w:instrText>
      </w:r>
      <w:r w:rsidRPr="00343254">
        <w:fldChar w:fldCharType="separate"/>
      </w:r>
      <w:r w:rsidR="00CF7B38">
        <w:t>Foreword</w:t>
      </w:r>
      <w:r w:rsidR="00CF7B38">
        <w:tab/>
      </w:r>
      <w:r w:rsidR="00CF7B38">
        <w:fldChar w:fldCharType="begin"/>
      </w:r>
      <w:r w:rsidR="00CF7B38">
        <w:instrText xml:space="preserve"> PAGEREF _Toc501043830 \h </w:instrText>
      </w:r>
      <w:r w:rsidR="00CF7B38">
        <w:fldChar w:fldCharType="separate"/>
      </w:r>
      <w:r w:rsidR="00B74A08">
        <w:t>v</w:t>
      </w:r>
      <w:r w:rsidR="00CF7B38">
        <w:fldChar w:fldCharType="end"/>
      </w:r>
    </w:p>
    <w:p w:rsidR="00CF7B38" w:rsidRPr="00C346B1" w:rsidRDefault="00CF7B38">
      <w:pPr>
        <w:pStyle w:val="TOC1"/>
        <w:rPr>
          <w:rFonts w:ascii="Calibri" w:hAnsi="Calibri"/>
          <w:b w:val="0"/>
          <w:szCs w:val="22"/>
        </w:rPr>
      </w:pPr>
      <w:r>
        <w:t>Part 1: Overview</w:t>
      </w:r>
      <w:r>
        <w:tab/>
        <w:t>1</w:t>
      </w:r>
    </w:p>
    <w:p w:rsidR="00CF7B38" w:rsidRPr="00C346B1" w:rsidRDefault="00CF7B38" w:rsidP="007056C8">
      <w:pPr>
        <w:pStyle w:val="TOC2"/>
        <w:rPr>
          <w:rFonts w:ascii="Calibri" w:hAnsi="Calibri"/>
          <w:sz w:val="22"/>
          <w:szCs w:val="22"/>
        </w:rPr>
      </w:pPr>
      <w:r>
        <w:t>Updated fiscal outlook</w:t>
      </w:r>
      <w:r>
        <w:tab/>
        <w:t>2</w:t>
      </w:r>
    </w:p>
    <w:p w:rsidR="00CF7B38" w:rsidRPr="00C346B1" w:rsidRDefault="00CF7B38" w:rsidP="007056C8">
      <w:pPr>
        <w:pStyle w:val="TOC2"/>
        <w:rPr>
          <w:rFonts w:ascii="Calibri" w:hAnsi="Calibri"/>
          <w:sz w:val="22"/>
          <w:szCs w:val="22"/>
        </w:rPr>
      </w:pPr>
      <w:r>
        <w:t>Updated economic outlook</w:t>
      </w:r>
      <w:r>
        <w:tab/>
        <w:t>3</w:t>
      </w:r>
    </w:p>
    <w:p w:rsidR="00CF7B38" w:rsidRPr="00C346B1" w:rsidRDefault="00CF7B38" w:rsidP="007056C8">
      <w:pPr>
        <w:pStyle w:val="TOC2"/>
        <w:rPr>
          <w:rFonts w:ascii="Calibri" w:hAnsi="Calibri"/>
          <w:sz w:val="22"/>
          <w:szCs w:val="22"/>
        </w:rPr>
      </w:pPr>
      <w:r>
        <w:t>Delivering on the Government’s economic plan</w:t>
      </w:r>
      <w:r>
        <w:tab/>
        <w:t>4</w:t>
      </w:r>
    </w:p>
    <w:p w:rsidR="00CF7B38" w:rsidRPr="00C346B1" w:rsidRDefault="00CF7B38" w:rsidP="007056C8">
      <w:pPr>
        <w:pStyle w:val="TOC2"/>
        <w:rPr>
          <w:rFonts w:ascii="Calibri" w:hAnsi="Calibri"/>
          <w:sz w:val="22"/>
          <w:szCs w:val="22"/>
        </w:rPr>
      </w:pPr>
      <w:r>
        <w:t>Stronger growth</w:t>
      </w:r>
      <w:r>
        <w:tab/>
        <w:t>4</w:t>
      </w:r>
    </w:p>
    <w:p w:rsidR="00CF7B38" w:rsidRPr="00C346B1" w:rsidRDefault="00CF7B38" w:rsidP="007056C8">
      <w:pPr>
        <w:pStyle w:val="TOC2"/>
        <w:rPr>
          <w:rFonts w:ascii="Calibri" w:hAnsi="Calibri"/>
          <w:sz w:val="22"/>
          <w:szCs w:val="22"/>
        </w:rPr>
      </w:pPr>
      <w:r>
        <w:t>Guaranteeing the essentials</w:t>
      </w:r>
      <w:r>
        <w:tab/>
        <w:t>5</w:t>
      </w:r>
    </w:p>
    <w:p w:rsidR="00CF7B38" w:rsidRPr="00C346B1" w:rsidRDefault="00CF7B38" w:rsidP="007056C8">
      <w:pPr>
        <w:pStyle w:val="TOC2"/>
        <w:rPr>
          <w:rFonts w:ascii="Calibri" w:hAnsi="Calibri"/>
          <w:sz w:val="22"/>
          <w:szCs w:val="22"/>
        </w:rPr>
      </w:pPr>
      <w:r>
        <w:t>Returning the Budget to balance by living within our means</w:t>
      </w:r>
      <w:r>
        <w:tab/>
        <w:t>8</w:t>
      </w:r>
    </w:p>
    <w:p w:rsidR="00CF7B38" w:rsidRPr="00C346B1" w:rsidRDefault="00CF7B38" w:rsidP="007056C8">
      <w:pPr>
        <w:pStyle w:val="TOC2"/>
        <w:rPr>
          <w:rFonts w:ascii="Calibri" w:hAnsi="Calibri"/>
          <w:sz w:val="22"/>
          <w:szCs w:val="22"/>
        </w:rPr>
      </w:pPr>
      <w:r>
        <w:t>Progress on budget repair measures</w:t>
      </w:r>
      <w:r>
        <w:tab/>
        <w:t>10</w:t>
      </w:r>
    </w:p>
    <w:p w:rsidR="00CF7B38" w:rsidRPr="00C346B1" w:rsidRDefault="00CF7B38">
      <w:pPr>
        <w:pStyle w:val="TOC1"/>
        <w:rPr>
          <w:rFonts w:ascii="Calibri" w:hAnsi="Calibri"/>
          <w:b w:val="0"/>
          <w:szCs w:val="22"/>
        </w:rPr>
      </w:pPr>
      <w:r>
        <w:t>Part 2: Economic outlook</w:t>
      </w:r>
      <w:r>
        <w:tab/>
        <w:t>11</w:t>
      </w:r>
    </w:p>
    <w:p w:rsidR="00CF7B38" w:rsidRPr="00C346B1" w:rsidRDefault="00CF7B38" w:rsidP="007056C8">
      <w:pPr>
        <w:pStyle w:val="TOC2"/>
        <w:rPr>
          <w:rFonts w:ascii="Calibri" w:hAnsi="Calibri"/>
          <w:sz w:val="22"/>
          <w:szCs w:val="22"/>
        </w:rPr>
      </w:pPr>
      <w:r>
        <w:t>Overview</w:t>
      </w:r>
      <w:r>
        <w:tab/>
        <w:t>11</w:t>
      </w:r>
    </w:p>
    <w:p w:rsidR="00CF7B38" w:rsidRPr="00C346B1" w:rsidRDefault="00CF7B38" w:rsidP="007056C8">
      <w:pPr>
        <w:pStyle w:val="TOC2"/>
        <w:rPr>
          <w:rFonts w:ascii="Calibri" w:hAnsi="Calibri"/>
          <w:sz w:val="22"/>
          <w:szCs w:val="22"/>
        </w:rPr>
      </w:pPr>
      <w:r>
        <w:t>International economic outlook</w:t>
      </w:r>
      <w:r>
        <w:tab/>
        <w:t>11</w:t>
      </w:r>
    </w:p>
    <w:p w:rsidR="00CF7B38" w:rsidRPr="00C346B1" w:rsidRDefault="00CF7B38" w:rsidP="007056C8">
      <w:pPr>
        <w:pStyle w:val="TOC2"/>
        <w:rPr>
          <w:rFonts w:ascii="Calibri" w:hAnsi="Calibri"/>
          <w:sz w:val="22"/>
          <w:szCs w:val="22"/>
        </w:rPr>
      </w:pPr>
      <w:r>
        <w:t>Domestic economic outlook</w:t>
      </w:r>
      <w:r>
        <w:tab/>
        <w:t>14</w:t>
      </w:r>
    </w:p>
    <w:p w:rsidR="00CF7B38" w:rsidRPr="00C346B1" w:rsidRDefault="00CF7B38" w:rsidP="007056C8">
      <w:pPr>
        <w:pStyle w:val="TOC2"/>
        <w:rPr>
          <w:rFonts w:ascii="Calibri" w:hAnsi="Calibri"/>
          <w:sz w:val="22"/>
          <w:szCs w:val="22"/>
        </w:rPr>
      </w:pPr>
      <w:r>
        <w:t>Medium</w:t>
      </w:r>
      <w:r>
        <w:noBreakHyphen/>
        <w:t>term projections</w:t>
      </w:r>
      <w:r>
        <w:tab/>
        <w:t>20</w:t>
      </w:r>
    </w:p>
    <w:p w:rsidR="00CF7B38" w:rsidRPr="00C346B1" w:rsidRDefault="00CF7B38">
      <w:pPr>
        <w:pStyle w:val="TOC1"/>
        <w:rPr>
          <w:rFonts w:ascii="Calibri" w:hAnsi="Calibri"/>
          <w:b w:val="0"/>
          <w:szCs w:val="22"/>
        </w:rPr>
      </w:pPr>
      <w:r>
        <w:t>Part 3: Fiscal strategy and outlook</w:t>
      </w:r>
      <w:r>
        <w:tab/>
        <w:t>23</w:t>
      </w:r>
    </w:p>
    <w:p w:rsidR="00CF7B38" w:rsidRPr="00C346B1" w:rsidRDefault="00CF7B38" w:rsidP="007056C8">
      <w:pPr>
        <w:pStyle w:val="TOC2"/>
        <w:rPr>
          <w:rFonts w:ascii="Calibri" w:hAnsi="Calibri"/>
          <w:sz w:val="22"/>
          <w:szCs w:val="22"/>
        </w:rPr>
      </w:pPr>
      <w:r w:rsidRPr="00C13E7C">
        <w:t>Overview</w:t>
      </w:r>
      <w:r>
        <w:tab/>
        <w:t>23</w:t>
      </w:r>
    </w:p>
    <w:p w:rsidR="00CF7B38" w:rsidRPr="00C346B1" w:rsidRDefault="00CF7B38" w:rsidP="007056C8">
      <w:pPr>
        <w:pStyle w:val="TOC2"/>
        <w:rPr>
          <w:rFonts w:ascii="Calibri" w:hAnsi="Calibri"/>
          <w:sz w:val="22"/>
          <w:szCs w:val="22"/>
        </w:rPr>
      </w:pPr>
      <w:r w:rsidRPr="00C13E7C">
        <w:t>Fiscal strategy</w:t>
      </w:r>
      <w:r>
        <w:tab/>
        <w:t>24</w:t>
      </w:r>
    </w:p>
    <w:p w:rsidR="00CF7B38" w:rsidRPr="00C346B1" w:rsidRDefault="00CF7B38" w:rsidP="007056C8">
      <w:pPr>
        <w:pStyle w:val="TOC2"/>
        <w:rPr>
          <w:rFonts w:ascii="Calibri" w:hAnsi="Calibri"/>
          <w:sz w:val="22"/>
          <w:szCs w:val="22"/>
        </w:rPr>
      </w:pPr>
      <w:r>
        <w:t>Returning the budget to balance</w:t>
      </w:r>
      <w:r>
        <w:tab/>
        <w:t>24</w:t>
      </w:r>
    </w:p>
    <w:p w:rsidR="00CF7B38" w:rsidRPr="00C346B1" w:rsidRDefault="00CF7B38" w:rsidP="007056C8">
      <w:pPr>
        <w:pStyle w:val="TOC2"/>
        <w:rPr>
          <w:rFonts w:ascii="Calibri" w:hAnsi="Calibri"/>
          <w:sz w:val="22"/>
          <w:szCs w:val="22"/>
        </w:rPr>
      </w:pPr>
      <w:r>
        <w:t>Fiscal outlook</w:t>
      </w:r>
      <w:r>
        <w:tab/>
        <w:t>32</w:t>
      </w:r>
    </w:p>
    <w:p w:rsidR="00CF7B38" w:rsidRPr="00C346B1" w:rsidRDefault="00CF7B38" w:rsidP="007056C8">
      <w:pPr>
        <w:pStyle w:val="TOC2"/>
        <w:rPr>
          <w:rFonts w:ascii="Calibri" w:hAnsi="Calibri"/>
          <w:sz w:val="22"/>
          <w:szCs w:val="22"/>
        </w:rPr>
      </w:pPr>
      <w:r>
        <w:t>Budget aggregates</w:t>
      </w:r>
      <w:r>
        <w:tab/>
        <w:t>32</w:t>
      </w:r>
    </w:p>
    <w:p w:rsidR="00CF7B38" w:rsidRPr="00C346B1" w:rsidRDefault="00CF7B38" w:rsidP="007056C8">
      <w:pPr>
        <w:pStyle w:val="TOC2"/>
        <w:rPr>
          <w:rFonts w:ascii="Calibri" w:hAnsi="Calibri"/>
          <w:sz w:val="22"/>
          <w:szCs w:val="22"/>
        </w:rPr>
      </w:pPr>
      <w:r>
        <w:t>Underlying cash balance estimates</w:t>
      </w:r>
      <w:r>
        <w:tab/>
        <w:t>33</w:t>
      </w:r>
    </w:p>
    <w:p w:rsidR="00CF7B38" w:rsidRPr="00C346B1" w:rsidRDefault="00CF7B38" w:rsidP="007056C8">
      <w:pPr>
        <w:pStyle w:val="TOC2"/>
        <w:rPr>
          <w:rFonts w:ascii="Calibri" w:hAnsi="Calibri"/>
          <w:sz w:val="22"/>
          <w:szCs w:val="22"/>
        </w:rPr>
      </w:pPr>
      <w:r>
        <w:t>Receipts estimates</w:t>
      </w:r>
      <w:r>
        <w:tab/>
        <w:t>35</w:t>
      </w:r>
    </w:p>
    <w:p w:rsidR="00CF7B38" w:rsidRPr="00C346B1" w:rsidRDefault="00CF7B38" w:rsidP="007056C8">
      <w:pPr>
        <w:pStyle w:val="TOC2"/>
        <w:rPr>
          <w:rFonts w:ascii="Calibri" w:hAnsi="Calibri"/>
          <w:sz w:val="22"/>
          <w:szCs w:val="22"/>
        </w:rPr>
      </w:pPr>
      <w:r>
        <w:t>Payments estimates</w:t>
      </w:r>
      <w:r>
        <w:tab/>
        <w:t>41</w:t>
      </w:r>
    </w:p>
    <w:p w:rsidR="00CF7B38" w:rsidRPr="00C346B1" w:rsidRDefault="00CF7B38" w:rsidP="007056C8">
      <w:pPr>
        <w:pStyle w:val="TOC2"/>
        <w:rPr>
          <w:rFonts w:ascii="Calibri" w:hAnsi="Calibri"/>
          <w:sz w:val="22"/>
          <w:szCs w:val="22"/>
        </w:rPr>
      </w:pPr>
      <w:r>
        <w:t>Net operating balance estimates</w:t>
      </w:r>
      <w:r>
        <w:tab/>
        <w:t>43</w:t>
      </w:r>
    </w:p>
    <w:p w:rsidR="00CF7B38" w:rsidRPr="00C346B1" w:rsidRDefault="00CF7B38" w:rsidP="007056C8">
      <w:pPr>
        <w:pStyle w:val="TOC2"/>
        <w:rPr>
          <w:rFonts w:ascii="Calibri" w:hAnsi="Calibri"/>
          <w:sz w:val="22"/>
          <w:szCs w:val="22"/>
        </w:rPr>
      </w:pPr>
      <w:r>
        <w:t>Revenue estimates</w:t>
      </w:r>
      <w:r>
        <w:tab/>
        <w:t>44</w:t>
      </w:r>
    </w:p>
    <w:p w:rsidR="00CF7B38" w:rsidRPr="00C346B1" w:rsidRDefault="00CF7B38" w:rsidP="007056C8">
      <w:pPr>
        <w:pStyle w:val="TOC2"/>
        <w:rPr>
          <w:rFonts w:ascii="Calibri" w:hAnsi="Calibri"/>
          <w:sz w:val="22"/>
          <w:szCs w:val="22"/>
        </w:rPr>
      </w:pPr>
      <w:r>
        <w:t>Expense estimates</w:t>
      </w:r>
      <w:r>
        <w:tab/>
        <w:t>48</w:t>
      </w:r>
    </w:p>
    <w:p w:rsidR="00CF7B38" w:rsidRPr="00C346B1" w:rsidRDefault="00CF7B38" w:rsidP="007056C8">
      <w:pPr>
        <w:pStyle w:val="TOC2"/>
        <w:rPr>
          <w:rFonts w:ascii="Calibri" w:hAnsi="Calibri"/>
          <w:sz w:val="22"/>
          <w:szCs w:val="22"/>
        </w:rPr>
      </w:pPr>
      <w:r>
        <w:t>Net capital investment estimates</w:t>
      </w:r>
      <w:r>
        <w:tab/>
        <w:t>49</w:t>
      </w:r>
    </w:p>
    <w:p w:rsidR="00CF7B38" w:rsidRPr="00C346B1" w:rsidRDefault="00CF7B38" w:rsidP="007056C8">
      <w:pPr>
        <w:pStyle w:val="TOC2"/>
        <w:rPr>
          <w:rFonts w:ascii="Calibri" w:hAnsi="Calibri"/>
          <w:sz w:val="22"/>
          <w:szCs w:val="22"/>
        </w:rPr>
      </w:pPr>
      <w:r>
        <w:t>Headline cash balance</w:t>
      </w:r>
      <w:r>
        <w:tab/>
        <w:t>49</w:t>
      </w:r>
    </w:p>
    <w:p w:rsidR="00CF7B38" w:rsidRPr="00C346B1" w:rsidRDefault="00CF7B38" w:rsidP="007056C8">
      <w:pPr>
        <w:pStyle w:val="TOC2"/>
        <w:rPr>
          <w:rFonts w:ascii="Calibri" w:hAnsi="Calibri"/>
          <w:sz w:val="22"/>
          <w:szCs w:val="22"/>
        </w:rPr>
      </w:pPr>
      <w:r>
        <w:t>Recurrent and capital spending</w:t>
      </w:r>
      <w:r>
        <w:tab/>
        <w:t>51</w:t>
      </w:r>
    </w:p>
    <w:p w:rsidR="00CF7B38" w:rsidRPr="00C346B1" w:rsidRDefault="00CF7B38" w:rsidP="007056C8">
      <w:pPr>
        <w:pStyle w:val="TOC2"/>
        <w:rPr>
          <w:rFonts w:ascii="Calibri" w:hAnsi="Calibri"/>
          <w:sz w:val="22"/>
          <w:szCs w:val="22"/>
        </w:rPr>
      </w:pPr>
      <w:r>
        <w:t>Structural budget balance</w:t>
      </w:r>
      <w:r>
        <w:tab/>
        <w:t>52</w:t>
      </w:r>
    </w:p>
    <w:p w:rsidR="00CF7B38" w:rsidRPr="00C346B1" w:rsidRDefault="00CF7B38">
      <w:pPr>
        <w:pStyle w:val="TOC1"/>
        <w:rPr>
          <w:rFonts w:ascii="Calibri" w:hAnsi="Calibri"/>
          <w:b w:val="0"/>
          <w:szCs w:val="22"/>
        </w:rPr>
      </w:pPr>
      <w:r>
        <w:br w:type="page"/>
      </w:r>
      <w:r>
        <w:lastRenderedPageBreak/>
        <w:t>Attachment A</w:t>
      </w:r>
      <w:r>
        <w:tab/>
        <w:t>55</w:t>
      </w:r>
    </w:p>
    <w:p w:rsidR="00CF7B38" w:rsidRPr="00C346B1" w:rsidRDefault="00CF7B38" w:rsidP="007056C8">
      <w:pPr>
        <w:pStyle w:val="TOC2"/>
        <w:rPr>
          <w:rFonts w:ascii="Calibri" w:hAnsi="Calibri"/>
          <w:sz w:val="22"/>
          <w:szCs w:val="22"/>
        </w:rPr>
      </w:pPr>
      <w:r>
        <w:t>Forecast uncertainties, sensitivities and scenarios</w:t>
      </w:r>
      <w:r>
        <w:tab/>
        <w:t>55</w:t>
      </w:r>
    </w:p>
    <w:p w:rsidR="00CF7B38" w:rsidRPr="00C346B1" w:rsidRDefault="00CF7B38" w:rsidP="007056C8">
      <w:pPr>
        <w:pStyle w:val="TOC2"/>
        <w:rPr>
          <w:rFonts w:ascii="Calibri" w:hAnsi="Calibri"/>
          <w:sz w:val="22"/>
          <w:szCs w:val="22"/>
        </w:rPr>
      </w:pPr>
      <w:r>
        <w:t>Overview</w:t>
      </w:r>
      <w:r>
        <w:tab/>
        <w:t>55</w:t>
      </w:r>
    </w:p>
    <w:p w:rsidR="00CF7B38" w:rsidRPr="00C346B1" w:rsidRDefault="00CF7B38" w:rsidP="007056C8">
      <w:pPr>
        <w:pStyle w:val="TOC2"/>
        <w:rPr>
          <w:rFonts w:ascii="Calibri" w:hAnsi="Calibri"/>
          <w:sz w:val="22"/>
          <w:szCs w:val="22"/>
        </w:rPr>
      </w:pPr>
      <w:r>
        <w:t>Confidence intervals around economic and fiscal forecasts</w:t>
      </w:r>
      <w:r>
        <w:tab/>
        <w:t>55</w:t>
      </w:r>
    </w:p>
    <w:p w:rsidR="00CF7B38" w:rsidRPr="00C346B1" w:rsidRDefault="00CF7B38" w:rsidP="007056C8">
      <w:pPr>
        <w:pStyle w:val="TOC2"/>
        <w:rPr>
          <w:rFonts w:ascii="Calibri" w:hAnsi="Calibri"/>
          <w:sz w:val="22"/>
          <w:szCs w:val="22"/>
        </w:rPr>
      </w:pPr>
      <w:r>
        <w:t>Measures of uncertainty around economic forecasts</w:t>
      </w:r>
      <w:r>
        <w:tab/>
        <w:t>55</w:t>
      </w:r>
    </w:p>
    <w:p w:rsidR="00CF7B38" w:rsidRPr="00C346B1" w:rsidRDefault="00CF7B38" w:rsidP="007056C8">
      <w:pPr>
        <w:pStyle w:val="TOC2"/>
        <w:rPr>
          <w:rFonts w:ascii="Calibri" w:hAnsi="Calibri"/>
          <w:sz w:val="22"/>
          <w:szCs w:val="22"/>
        </w:rPr>
      </w:pPr>
      <w:r>
        <w:t>Measures of uncertainty around fiscal forecasts</w:t>
      </w:r>
      <w:r>
        <w:tab/>
        <w:t>57</w:t>
      </w:r>
    </w:p>
    <w:p w:rsidR="00CF7B38" w:rsidRPr="00C346B1" w:rsidRDefault="00CF7B38" w:rsidP="007056C8">
      <w:pPr>
        <w:pStyle w:val="TOC2"/>
        <w:rPr>
          <w:rFonts w:ascii="Calibri" w:hAnsi="Calibri"/>
          <w:sz w:val="22"/>
          <w:szCs w:val="22"/>
        </w:rPr>
      </w:pPr>
      <w:r>
        <w:t>Sensitivity and scenario analysis</w:t>
      </w:r>
      <w:r>
        <w:tab/>
        <w:t>60</w:t>
      </w:r>
    </w:p>
    <w:p w:rsidR="00CF7B38" w:rsidRPr="00C346B1" w:rsidRDefault="00CF7B38" w:rsidP="007056C8">
      <w:pPr>
        <w:pStyle w:val="TOC2"/>
        <w:rPr>
          <w:rFonts w:ascii="Calibri" w:hAnsi="Calibri"/>
          <w:sz w:val="22"/>
          <w:szCs w:val="22"/>
        </w:rPr>
      </w:pPr>
      <w:r>
        <w:t>Sensitivity analysis over the forecast period</w:t>
      </w:r>
      <w:r>
        <w:tab/>
        <w:t>61</w:t>
      </w:r>
    </w:p>
    <w:p w:rsidR="00CF7B38" w:rsidRPr="00C346B1" w:rsidRDefault="00CF7B38" w:rsidP="007056C8">
      <w:pPr>
        <w:pStyle w:val="TOC2"/>
        <w:rPr>
          <w:rFonts w:ascii="Calibri" w:hAnsi="Calibri"/>
          <w:sz w:val="22"/>
          <w:szCs w:val="22"/>
        </w:rPr>
      </w:pPr>
      <w:r>
        <w:t>Sensitivity analysis over the medium term</w:t>
      </w:r>
      <w:r>
        <w:tab/>
        <w:t>66</w:t>
      </w:r>
    </w:p>
    <w:p w:rsidR="00CF7B38" w:rsidRPr="00C346B1" w:rsidRDefault="00CF7B38">
      <w:pPr>
        <w:pStyle w:val="TOC1"/>
        <w:rPr>
          <w:rFonts w:ascii="Calibri" w:hAnsi="Calibri"/>
          <w:b w:val="0"/>
          <w:szCs w:val="22"/>
        </w:rPr>
      </w:pPr>
      <w:r>
        <w:t>Attachment B</w:t>
      </w:r>
      <w:r>
        <w:tab/>
        <w:t>69</w:t>
      </w:r>
    </w:p>
    <w:p w:rsidR="00CF7B38" w:rsidRPr="00C346B1" w:rsidRDefault="00CF7B38" w:rsidP="007056C8">
      <w:pPr>
        <w:pStyle w:val="TOC2"/>
        <w:rPr>
          <w:rFonts w:ascii="Calibri" w:hAnsi="Calibri"/>
          <w:sz w:val="22"/>
          <w:szCs w:val="22"/>
        </w:rPr>
      </w:pPr>
      <w:r>
        <w:t>Tax expenditures</w:t>
      </w:r>
      <w:r>
        <w:tab/>
        <w:t>69</w:t>
      </w:r>
    </w:p>
    <w:p w:rsidR="00CF7B38" w:rsidRPr="00C346B1" w:rsidRDefault="00CF7B38">
      <w:pPr>
        <w:pStyle w:val="TOC1"/>
        <w:rPr>
          <w:rFonts w:ascii="Calibri" w:hAnsi="Calibri"/>
          <w:b w:val="0"/>
          <w:szCs w:val="22"/>
        </w:rPr>
      </w:pPr>
      <w:r>
        <w:t>Attachment C</w:t>
      </w:r>
      <w:r>
        <w:tab/>
        <w:t>71</w:t>
      </w:r>
    </w:p>
    <w:p w:rsidR="00CF7B38" w:rsidRPr="00C346B1" w:rsidRDefault="00CF7B38" w:rsidP="007056C8">
      <w:pPr>
        <w:pStyle w:val="TOC2"/>
        <w:rPr>
          <w:rFonts w:ascii="Calibri" w:hAnsi="Calibri"/>
          <w:sz w:val="22"/>
          <w:szCs w:val="22"/>
        </w:rPr>
      </w:pPr>
      <w:r>
        <w:t>Supplementary expenses table and the Contingency Reserve</w:t>
      </w:r>
      <w:r>
        <w:tab/>
        <w:t>71</w:t>
      </w:r>
    </w:p>
    <w:p w:rsidR="00CF7B38" w:rsidRPr="00C346B1" w:rsidRDefault="00CF7B38">
      <w:pPr>
        <w:pStyle w:val="TOC1"/>
        <w:rPr>
          <w:rFonts w:ascii="Calibri" w:hAnsi="Calibri"/>
          <w:b w:val="0"/>
          <w:szCs w:val="22"/>
        </w:rPr>
      </w:pPr>
      <w:r>
        <w:t>Attachment D</w:t>
      </w:r>
      <w:r>
        <w:tab/>
        <w:t>75</w:t>
      </w:r>
    </w:p>
    <w:p w:rsidR="00CF7B38" w:rsidRPr="00C346B1" w:rsidRDefault="00CF7B38" w:rsidP="007056C8">
      <w:pPr>
        <w:pStyle w:val="TOC2"/>
        <w:rPr>
          <w:rFonts w:ascii="Calibri" w:hAnsi="Calibri"/>
          <w:sz w:val="22"/>
          <w:szCs w:val="22"/>
        </w:rPr>
      </w:pPr>
      <w:r>
        <w:t>Australia’s Federal Relations</w:t>
      </w:r>
      <w:r>
        <w:tab/>
        <w:t>75</w:t>
      </w:r>
    </w:p>
    <w:p w:rsidR="00CF7B38" w:rsidRPr="00C346B1" w:rsidRDefault="00CF7B38" w:rsidP="007056C8">
      <w:pPr>
        <w:pStyle w:val="TOC2"/>
        <w:rPr>
          <w:rFonts w:ascii="Calibri" w:hAnsi="Calibri"/>
          <w:sz w:val="22"/>
          <w:szCs w:val="22"/>
        </w:rPr>
      </w:pPr>
      <w:r>
        <w:t>Overview of payments to the States</w:t>
      </w:r>
      <w:r>
        <w:tab/>
        <w:t>75</w:t>
      </w:r>
    </w:p>
    <w:p w:rsidR="00CF7B38" w:rsidRPr="00C346B1" w:rsidRDefault="00CF7B38" w:rsidP="007056C8">
      <w:pPr>
        <w:pStyle w:val="TOC2"/>
        <w:rPr>
          <w:rFonts w:ascii="Calibri" w:hAnsi="Calibri"/>
          <w:sz w:val="22"/>
          <w:szCs w:val="22"/>
        </w:rPr>
      </w:pPr>
      <w:r>
        <w:t>Payments for specific purposes</w:t>
      </w:r>
      <w:r>
        <w:tab/>
        <w:t>76</w:t>
      </w:r>
    </w:p>
    <w:p w:rsidR="00CF7B38" w:rsidRPr="00C346B1" w:rsidRDefault="00CF7B38" w:rsidP="007056C8">
      <w:pPr>
        <w:pStyle w:val="TOC2"/>
        <w:rPr>
          <w:rFonts w:ascii="Calibri" w:hAnsi="Calibri"/>
          <w:sz w:val="22"/>
          <w:szCs w:val="22"/>
        </w:rPr>
      </w:pPr>
      <w:r>
        <w:t>General revenue assistance</w:t>
      </w:r>
      <w:r>
        <w:tab/>
        <w:t>80</w:t>
      </w:r>
    </w:p>
    <w:p w:rsidR="00CF7B38" w:rsidRPr="00C346B1" w:rsidRDefault="00CF7B38">
      <w:pPr>
        <w:pStyle w:val="TOC1"/>
        <w:rPr>
          <w:rFonts w:ascii="Calibri" w:hAnsi="Calibri"/>
          <w:b w:val="0"/>
          <w:szCs w:val="22"/>
        </w:rPr>
      </w:pPr>
      <w:r>
        <w:t>Attachment E</w:t>
      </w:r>
      <w:r>
        <w:tab/>
        <w:t>84</w:t>
      </w:r>
    </w:p>
    <w:p w:rsidR="00CF7B38" w:rsidRPr="00C346B1" w:rsidRDefault="00CF7B38" w:rsidP="007056C8">
      <w:pPr>
        <w:pStyle w:val="TOC2"/>
        <w:rPr>
          <w:rFonts w:ascii="Calibri" w:hAnsi="Calibri"/>
          <w:sz w:val="22"/>
          <w:szCs w:val="22"/>
        </w:rPr>
      </w:pPr>
      <w:r>
        <w:t>Debt Statement</w:t>
      </w:r>
      <w:r>
        <w:tab/>
        <w:t>84</w:t>
      </w:r>
    </w:p>
    <w:p w:rsidR="00CF7B38" w:rsidRPr="00C346B1" w:rsidRDefault="00CF7B38" w:rsidP="007056C8">
      <w:pPr>
        <w:pStyle w:val="TOC2"/>
        <w:rPr>
          <w:rFonts w:ascii="Calibri" w:hAnsi="Calibri"/>
          <w:sz w:val="22"/>
          <w:szCs w:val="22"/>
        </w:rPr>
      </w:pPr>
      <w:r>
        <w:t>Commonwealth Government Securities issuance</w:t>
      </w:r>
      <w:r>
        <w:tab/>
        <w:t>84</w:t>
      </w:r>
    </w:p>
    <w:p w:rsidR="00CF7B38" w:rsidRPr="00C346B1" w:rsidRDefault="00CF7B38" w:rsidP="007056C8">
      <w:pPr>
        <w:pStyle w:val="TOC2"/>
        <w:rPr>
          <w:rFonts w:ascii="Calibri" w:hAnsi="Calibri"/>
          <w:sz w:val="22"/>
          <w:szCs w:val="22"/>
        </w:rPr>
      </w:pPr>
      <w:r>
        <w:t>Estimates and projections of key debt aggregates</w:t>
      </w:r>
      <w:r>
        <w:tab/>
        <w:t>85</w:t>
      </w:r>
    </w:p>
    <w:p w:rsidR="00CF7B38" w:rsidRPr="00C346B1" w:rsidRDefault="00CF7B38" w:rsidP="007056C8">
      <w:pPr>
        <w:pStyle w:val="TOC2"/>
        <w:rPr>
          <w:rFonts w:ascii="Calibri" w:hAnsi="Calibri"/>
          <w:sz w:val="22"/>
          <w:szCs w:val="22"/>
        </w:rPr>
      </w:pPr>
      <w:r>
        <w:t>Estimates and projections of net debt</w:t>
      </w:r>
      <w:r>
        <w:tab/>
        <w:t>86</w:t>
      </w:r>
    </w:p>
    <w:p w:rsidR="00CF7B38" w:rsidRPr="00C346B1" w:rsidRDefault="00CF7B38" w:rsidP="007056C8">
      <w:pPr>
        <w:pStyle w:val="TOC2"/>
        <w:rPr>
          <w:rFonts w:ascii="Calibri" w:hAnsi="Calibri"/>
          <w:sz w:val="22"/>
          <w:szCs w:val="22"/>
        </w:rPr>
      </w:pPr>
      <w:r>
        <w:t>Estimates and projections of CGS on issue</w:t>
      </w:r>
      <w:r>
        <w:tab/>
        <w:t>88</w:t>
      </w:r>
    </w:p>
    <w:p w:rsidR="00CF7B38" w:rsidRPr="00C346B1" w:rsidRDefault="00CF7B38" w:rsidP="007056C8">
      <w:pPr>
        <w:pStyle w:val="TOC2"/>
        <w:rPr>
          <w:rFonts w:ascii="Calibri" w:hAnsi="Calibri"/>
          <w:sz w:val="22"/>
          <w:szCs w:val="22"/>
        </w:rPr>
      </w:pPr>
      <w:r>
        <w:t>Breakdown of CGS currently on issue</w:t>
      </w:r>
      <w:r>
        <w:tab/>
        <w:t>91</w:t>
      </w:r>
    </w:p>
    <w:p w:rsidR="00CF7B38" w:rsidRPr="00C346B1" w:rsidRDefault="00CF7B38" w:rsidP="007056C8">
      <w:pPr>
        <w:pStyle w:val="TOC2"/>
        <w:rPr>
          <w:rFonts w:ascii="Calibri" w:hAnsi="Calibri"/>
          <w:sz w:val="22"/>
          <w:szCs w:val="22"/>
        </w:rPr>
      </w:pPr>
      <w:r>
        <w:t>Non</w:t>
      </w:r>
      <w:r>
        <w:noBreakHyphen/>
        <w:t>resident holdings of CGS on issue</w:t>
      </w:r>
      <w:r>
        <w:tab/>
        <w:t>93</w:t>
      </w:r>
    </w:p>
    <w:p w:rsidR="00CF7B38" w:rsidRPr="00C346B1" w:rsidRDefault="00CF7B38" w:rsidP="007056C8">
      <w:pPr>
        <w:pStyle w:val="TOC2"/>
        <w:rPr>
          <w:rFonts w:ascii="Calibri" w:hAnsi="Calibri"/>
          <w:sz w:val="22"/>
          <w:szCs w:val="22"/>
        </w:rPr>
      </w:pPr>
      <w:r>
        <w:t>Interest on CGS</w:t>
      </w:r>
      <w:r>
        <w:tab/>
        <w:t>93</w:t>
      </w:r>
    </w:p>
    <w:p w:rsidR="00CF7B38" w:rsidRPr="00C346B1" w:rsidRDefault="00CF7B38" w:rsidP="007056C8">
      <w:pPr>
        <w:pStyle w:val="TOC2"/>
        <w:rPr>
          <w:rFonts w:ascii="Calibri" w:hAnsi="Calibri"/>
          <w:sz w:val="22"/>
          <w:szCs w:val="22"/>
        </w:rPr>
      </w:pPr>
      <w:r>
        <w:t>Climate spending</w:t>
      </w:r>
      <w:r>
        <w:tab/>
        <w:t>95</w:t>
      </w:r>
    </w:p>
    <w:p w:rsidR="00CF7B38" w:rsidRPr="00C346B1" w:rsidRDefault="00CF7B38">
      <w:pPr>
        <w:pStyle w:val="TOC1"/>
        <w:rPr>
          <w:rFonts w:ascii="Calibri" w:hAnsi="Calibri"/>
          <w:b w:val="0"/>
          <w:szCs w:val="22"/>
        </w:rPr>
      </w:pPr>
      <w:r>
        <w:t>Appendix A: Policy decisions taken since the 2017-18 Budget</w:t>
      </w:r>
      <w:r>
        <w:tab/>
        <w:t>97</w:t>
      </w:r>
    </w:p>
    <w:p w:rsidR="00CF7B38" w:rsidRPr="00C346B1" w:rsidRDefault="00CF7B38" w:rsidP="007056C8">
      <w:pPr>
        <w:pStyle w:val="TOC2"/>
        <w:rPr>
          <w:rFonts w:ascii="Calibri" w:hAnsi="Calibri"/>
          <w:sz w:val="22"/>
          <w:szCs w:val="22"/>
        </w:rPr>
      </w:pPr>
      <w:r>
        <w:t>Revenue Measures</w:t>
      </w:r>
      <w:r>
        <w:tab/>
        <w:t>97</w:t>
      </w:r>
    </w:p>
    <w:p w:rsidR="00CF7B38" w:rsidRPr="00C346B1" w:rsidRDefault="00CF7B38" w:rsidP="007056C8">
      <w:pPr>
        <w:pStyle w:val="TOC2"/>
        <w:rPr>
          <w:rFonts w:ascii="Calibri" w:hAnsi="Calibri"/>
          <w:sz w:val="22"/>
          <w:szCs w:val="22"/>
        </w:rPr>
      </w:pPr>
      <w:r>
        <w:t>Expense Measures</w:t>
      </w:r>
      <w:r>
        <w:tab/>
        <w:t>123</w:t>
      </w:r>
    </w:p>
    <w:p w:rsidR="00CF7B38" w:rsidRPr="00C346B1" w:rsidRDefault="00CF7B38" w:rsidP="007056C8">
      <w:pPr>
        <w:pStyle w:val="TOC2"/>
        <w:rPr>
          <w:rFonts w:ascii="Calibri" w:hAnsi="Calibri"/>
          <w:sz w:val="22"/>
          <w:szCs w:val="22"/>
        </w:rPr>
      </w:pPr>
      <w:r>
        <w:t>Capital Measures</w:t>
      </w:r>
      <w:r>
        <w:tab/>
        <w:t>193</w:t>
      </w:r>
    </w:p>
    <w:p w:rsidR="00CF7B38" w:rsidRPr="00C346B1" w:rsidRDefault="00CF7B38">
      <w:pPr>
        <w:pStyle w:val="TOC1"/>
        <w:rPr>
          <w:rFonts w:ascii="Calibri" w:hAnsi="Calibri"/>
          <w:b w:val="0"/>
          <w:szCs w:val="22"/>
        </w:rPr>
      </w:pPr>
      <w:r>
        <w:br w:type="page"/>
      </w:r>
      <w:r>
        <w:lastRenderedPageBreak/>
        <w:t>Appendix B: Australian Government Budget Financial Statements</w:t>
      </w:r>
      <w:r>
        <w:tab/>
        <w:t>199</w:t>
      </w:r>
    </w:p>
    <w:p w:rsidR="00CF7B38" w:rsidRPr="00C346B1" w:rsidRDefault="00CF7B38" w:rsidP="007056C8">
      <w:pPr>
        <w:pStyle w:val="TOC2"/>
        <w:rPr>
          <w:rFonts w:ascii="Calibri" w:hAnsi="Calibri"/>
          <w:sz w:val="22"/>
          <w:szCs w:val="22"/>
        </w:rPr>
      </w:pPr>
      <w:r>
        <w:t>Australian Government Financial Statements</w:t>
      </w:r>
      <w:r>
        <w:tab/>
        <w:t>200</w:t>
      </w:r>
    </w:p>
    <w:p w:rsidR="00CF7B38" w:rsidRPr="00C346B1" w:rsidRDefault="00CF7B38" w:rsidP="007056C8">
      <w:pPr>
        <w:pStyle w:val="TOC2"/>
        <w:rPr>
          <w:rFonts w:ascii="Calibri" w:hAnsi="Calibri"/>
          <w:sz w:val="22"/>
          <w:szCs w:val="22"/>
        </w:rPr>
      </w:pPr>
      <w:r>
        <w:t>Notes to the general government sector financial statements</w:t>
      </w:r>
      <w:r>
        <w:tab/>
        <w:t>215</w:t>
      </w:r>
    </w:p>
    <w:p w:rsidR="00CF7B38" w:rsidRPr="00C346B1" w:rsidRDefault="00CF7B38">
      <w:pPr>
        <w:pStyle w:val="TOC1"/>
        <w:rPr>
          <w:rFonts w:ascii="Calibri" w:hAnsi="Calibri"/>
          <w:b w:val="0"/>
          <w:szCs w:val="22"/>
        </w:rPr>
      </w:pPr>
      <w:r w:rsidRPr="00C13E7C">
        <w:t>Attachment A</w:t>
      </w:r>
      <w:r>
        <w:tab/>
        <w:t>231</w:t>
      </w:r>
    </w:p>
    <w:p w:rsidR="00CF7B38" w:rsidRPr="00C346B1" w:rsidRDefault="00CF7B38" w:rsidP="007056C8">
      <w:pPr>
        <w:pStyle w:val="TOC2"/>
        <w:rPr>
          <w:rFonts w:ascii="Calibri" w:hAnsi="Calibri"/>
          <w:sz w:val="22"/>
          <w:szCs w:val="22"/>
        </w:rPr>
      </w:pPr>
      <w:r>
        <w:t>Financial reporting standards and budget concepts</w:t>
      </w:r>
      <w:r>
        <w:tab/>
        <w:t>231</w:t>
      </w:r>
    </w:p>
    <w:p w:rsidR="00CF7B38" w:rsidRPr="00C346B1" w:rsidRDefault="00CF7B38">
      <w:pPr>
        <w:pStyle w:val="TOC1"/>
        <w:rPr>
          <w:rFonts w:ascii="Calibri" w:hAnsi="Calibri"/>
          <w:b w:val="0"/>
          <w:szCs w:val="22"/>
        </w:rPr>
      </w:pPr>
      <w:r>
        <w:t>Attachment B</w:t>
      </w:r>
      <w:r>
        <w:tab/>
        <w:t>239</w:t>
      </w:r>
    </w:p>
    <w:p w:rsidR="00CF7B38" w:rsidRPr="00C346B1" w:rsidRDefault="00CF7B38" w:rsidP="007056C8">
      <w:pPr>
        <w:pStyle w:val="TOC2"/>
        <w:rPr>
          <w:rFonts w:ascii="Calibri" w:hAnsi="Calibri"/>
          <w:sz w:val="22"/>
          <w:szCs w:val="22"/>
        </w:rPr>
      </w:pPr>
      <w:r>
        <w:t>Australian Loan Council Allocation</w:t>
      </w:r>
      <w:r>
        <w:tab/>
        <w:t>239</w:t>
      </w:r>
    </w:p>
    <w:p w:rsidR="00B74A08" w:rsidRPr="00B74A08" w:rsidRDefault="00B74A08" w:rsidP="00B74A08">
      <w:pPr>
        <w:pStyle w:val="TOC1"/>
      </w:pPr>
      <w:r w:rsidRPr="00B74A08">
        <w:t>Appendix C: Statement of Risk</w:t>
      </w:r>
      <w:r w:rsidRPr="00B74A08">
        <w:tab/>
        <w:t>241</w:t>
      </w:r>
    </w:p>
    <w:p w:rsidR="00DE5E7C" w:rsidRDefault="00DE5E7C" w:rsidP="007056C8">
      <w:pPr>
        <w:pStyle w:val="TOC2"/>
        <w:rPr>
          <w:rFonts w:ascii="Calibri" w:hAnsi="Calibri"/>
          <w:sz w:val="22"/>
          <w:szCs w:val="22"/>
        </w:rPr>
      </w:pPr>
      <w:r>
        <w:t>Overview</w:t>
      </w:r>
      <w:r>
        <w:tab/>
        <w:t>241</w:t>
      </w:r>
    </w:p>
    <w:p w:rsidR="00DE5E7C" w:rsidRDefault="00DE5E7C" w:rsidP="007056C8">
      <w:pPr>
        <w:pStyle w:val="TOC2"/>
        <w:rPr>
          <w:rFonts w:ascii="Calibri" w:hAnsi="Calibri"/>
          <w:sz w:val="22"/>
          <w:szCs w:val="22"/>
        </w:rPr>
      </w:pPr>
      <w:r>
        <w:t>Details of fiscal risks and contingent liabilities</w:t>
      </w:r>
      <w:r>
        <w:tab/>
        <w:t>241</w:t>
      </w:r>
    </w:p>
    <w:p w:rsidR="00DE5E7C" w:rsidRDefault="00DE5E7C" w:rsidP="007056C8">
      <w:pPr>
        <w:pStyle w:val="TOC2"/>
        <w:rPr>
          <w:rFonts w:ascii="Calibri" w:hAnsi="Calibri"/>
          <w:sz w:val="22"/>
          <w:szCs w:val="22"/>
        </w:rPr>
      </w:pPr>
      <w:r>
        <w:t>Fiscal risks</w:t>
      </w:r>
      <w:r>
        <w:tab/>
        <w:t>243</w:t>
      </w:r>
    </w:p>
    <w:p w:rsidR="00DE5E7C" w:rsidRDefault="00DE5E7C" w:rsidP="007056C8">
      <w:pPr>
        <w:pStyle w:val="TOC2"/>
      </w:pPr>
      <w:r>
        <w:t>Education and Training</w:t>
      </w:r>
      <w:r>
        <w:tab/>
        <w:t>243</w:t>
      </w:r>
    </w:p>
    <w:p w:rsidR="00DE5E7C" w:rsidRDefault="00DE5E7C" w:rsidP="007056C8">
      <w:pPr>
        <w:pStyle w:val="TOC2"/>
      </w:pPr>
      <w:r>
        <w:t>Environment and Energy</w:t>
      </w:r>
      <w:r>
        <w:tab/>
        <w:t>244</w:t>
      </w:r>
    </w:p>
    <w:p w:rsidR="00DE5E7C" w:rsidRDefault="00DE5E7C" w:rsidP="007056C8">
      <w:pPr>
        <w:pStyle w:val="TOC2"/>
      </w:pPr>
      <w:r>
        <w:t>Home Affairs</w:t>
      </w:r>
      <w:r>
        <w:tab/>
        <w:t>244</w:t>
      </w:r>
    </w:p>
    <w:p w:rsidR="00DE5E7C" w:rsidRDefault="00DE5E7C" w:rsidP="007056C8">
      <w:pPr>
        <w:pStyle w:val="TOC2"/>
      </w:pPr>
      <w:r>
        <w:t>Infrastructure and Regional Development</w:t>
      </w:r>
      <w:r>
        <w:tab/>
        <w:t>244</w:t>
      </w:r>
    </w:p>
    <w:p w:rsidR="00DE5E7C" w:rsidRDefault="00DE5E7C" w:rsidP="007056C8">
      <w:pPr>
        <w:pStyle w:val="TOC2"/>
        <w:rPr>
          <w:rFonts w:ascii="Calibri" w:hAnsi="Calibri"/>
          <w:sz w:val="22"/>
          <w:szCs w:val="22"/>
        </w:rPr>
      </w:pPr>
      <w:r>
        <w:t>Significant but remote contingencies</w:t>
      </w:r>
      <w:r>
        <w:tab/>
        <w:t>244</w:t>
      </w:r>
    </w:p>
    <w:p w:rsidR="00DE5E7C" w:rsidRDefault="00DE5E7C" w:rsidP="007056C8">
      <w:pPr>
        <w:pStyle w:val="TOC2"/>
        <w:rPr>
          <w:rFonts w:ascii="Calibri" w:hAnsi="Calibri"/>
          <w:sz w:val="22"/>
          <w:szCs w:val="22"/>
        </w:rPr>
      </w:pPr>
      <w:r>
        <w:t>Communications and the Arts</w:t>
      </w:r>
      <w:r>
        <w:tab/>
        <w:t>244</w:t>
      </w:r>
    </w:p>
    <w:p w:rsidR="00DE5E7C" w:rsidRDefault="00DE5E7C" w:rsidP="007056C8">
      <w:pPr>
        <w:pStyle w:val="TOC2"/>
        <w:rPr>
          <w:rFonts w:ascii="Calibri" w:hAnsi="Calibri"/>
          <w:sz w:val="22"/>
          <w:szCs w:val="22"/>
        </w:rPr>
      </w:pPr>
      <w:r>
        <w:t>Defence</w:t>
      </w:r>
      <w:r w:rsidR="007056C8">
        <w:tab/>
        <w:t>246</w:t>
      </w:r>
    </w:p>
    <w:p w:rsidR="00DE5E7C" w:rsidRDefault="00DE5E7C" w:rsidP="007056C8">
      <w:pPr>
        <w:pStyle w:val="TOC2"/>
      </w:pPr>
      <w:r w:rsidRPr="00A0255F">
        <w:t>Infrastructure and Regional Development</w:t>
      </w:r>
      <w:r w:rsidR="007056C8">
        <w:tab/>
        <w:t>246</w:t>
      </w:r>
    </w:p>
    <w:p w:rsidR="00DE5E7C" w:rsidRDefault="00DE5E7C" w:rsidP="007056C8">
      <w:pPr>
        <w:pStyle w:val="TOC2"/>
        <w:rPr>
          <w:rFonts w:ascii="Calibri" w:hAnsi="Calibri"/>
          <w:sz w:val="22"/>
          <w:szCs w:val="22"/>
        </w:rPr>
      </w:pPr>
      <w:r>
        <w:t>Treasury</w:t>
      </w:r>
      <w:r>
        <w:tab/>
        <w:t>246</w:t>
      </w:r>
    </w:p>
    <w:p w:rsidR="00DE5E7C" w:rsidRDefault="00DE5E7C" w:rsidP="007056C8">
      <w:pPr>
        <w:pStyle w:val="TOC2"/>
        <w:rPr>
          <w:rFonts w:ascii="Calibri" w:hAnsi="Calibri"/>
          <w:sz w:val="22"/>
          <w:szCs w:val="22"/>
        </w:rPr>
      </w:pPr>
      <w:r>
        <w:t>Contingent liabilities — unquantifiable</w:t>
      </w:r>
      <w:r>
        <w:tab/>
        <w:t>248</w:t>
      </w:r>
    </w:p>
    <w:p w:rsidR="00DE5E7C" w:rsidRDefault="00DE5E7C" w:rsidP="007056C8">
      <w:pPr>
        <w:pStyle w:val="TOC2"/>
        <w:rPr>
          <w:rFonts w:ascii="Calibri" w:hAnsi="Calibri"/>
          <w:sz w:val="22"/>
          <w:szCs w:val="22"/>
        </w:rPr>
      </w:pPr>
      <w:r>
        <w:t>Agriculture and Water Resources</w:t>
      </w:r>
      <w:r>
        <w:tab/>
        <w:t>248</w:t>
      </w:r>
    </w:p>
    <w:p w:rsidR="00DE5E7C" w:rsidRDefault="00DE5E7C" w:rsidP="007056C8">
      <w:pPr>
        <w:pStyle w:val="TOC2"/>
      </w:pPr>
      <w:r w:rsidRPr="00A0255F">
        <w:t>Communications and the Arts</w:t>
      </w:r>
      <w:r w:rsidRPr="00A0255F">
        <w:tab/>
        <w:t>24</w:t>
      </w:r>
      <w:r w:rsidR="007056C8">
        <w:t>8</w:t>
      </w:r>
    </w:p>
    <w:p w:rsidR="00DE5E7C" w:rsidRDefault="00DE5E7C" w:rsidP="007056C8">
      <w:pPr>
        <w:pStyle w:val="TOC2"/>
        <w:rPr>
          <w:rFonts w:ascii="Calibri" w:hAnsi="Calibri"/>
          <w:sz w:val="22"/>
          <w:szCs w:val="22"/>
        </w:rPr>
      </w:pPr>
      <w:r>
        <w:t>Defence</w:t>
      </w:r>
      <w:r>
        <w:tab/>
        <w:t>24</w:t>
      </w:r>
      <w:r w:rsidR="007056C8">
        <w:t>9</w:t>
      </w:r>
    </w:p>
    <w:p w:rsidR="00DE5E7C" w:rsidRDefault="00DE5E7C" w:rsidP="007056C8">
      <w:pPr>
        <w:pStyle w:val="TOC2"/>
      </w:pPr>
      <w:r>
        <w:t>Employment</w:t>
      </w:r>
      <w:r w:rsidR="007056C8">
        <w:tab/>
        <w:t>249</w:t>
      </w:r>
    </w:p>
    <w:p w:rsidR="00DE5E7C" w:rsidRDefault="00DE5E7C" w:rsidP="007056C8">
      <w:pPr>
        <w:pStyle w:val="TOC2"/>
        <w:rPr>
          <w:rFonts w:ascii="Calibri" w:hAnsi="Calibri"/>
          <w:sz w:val="22"/>
          <w:szCs w:val="22"/>
        </w:rPr>
      </w:pPr>
      <w:r>
        <w:t>Finance</w:t>
      </w:r>
      <w:r>
        <w:tab/>
        <w:t>249</w:t>
      </w:r>
    </w:p>
    <w:p w:rsidR="00DE5E7C" w:rsidRDefault="00DE5E7C" w:rsidP="007056C8">
      <w:pPr>
        <w:pStyle w:val="TOC2"/>
      </w:pPr>
      <w:r>
        <w:t>Home Affairs</w:t>
      </w:r>
      <w:r w:rsidR="007056C8">
        <w:tab/>
        <w:t>249</w:t>
      </w:r>
    </w:p>
    <w:p w:rsidR="00DE5E7C" w:rsidRDefault="00DE5E7C" w:rsidP="007056C8">
      <w:pPr>
        <w:pStyle w:val="TOC2"/>
        <w:rPr>
          <w:rFonts w:ascii="Calibri" w:hAnsi="Calibri"/>
          <w:sz w:val="22"/>
          <w:szCs w:val="22"/>
        </w:rPr>
      </w:pPr>
      <w:r>
        <w:t>Infrastructure and Regional Development</w:t>
      </w:r>
      <w:r>
        <w:tab/>
        <w:t>250</w:t>
      </w:r>
    </w:p>
    <w:p w:rsidR="00DE5E7C" w:rsidRDefault="00DE5E7C" w:rsidP="007056C8">
      <w:pPr>
        <w:pStyle w:val="TOC2"/>
        <w:rPr>
          <w:rFonts w:ascii="Calibri" w:hAnsi="Calibri"/>
          <w:sz w:val="22"/>
          <w:szCs w:val="22"/>
        </w:rPr>
      </w:pPr>
      <w:r>
        <w:t>Contingent assets — unquantifiable</w:t>
      </w:r>
      <w:r>
        <w:tab/>
        <w:t>251</w:t>
      </w:r>
    </w:p>
    <w:p w:rsidR="00DE5E7C" w:rsidRDefault="00DE5E7C" w:rsidP="007056C8">
      <w:pPr>
        <w:pStyle w:val="TOC2"/>
      </w:pPr>
      <w:r>
        <w:t>Defence</w:t>
      </w:r>
      <w:r>
        <w:tab/>
        <w:t>251</w:t>
      </w:r>
    </w:p>
    <w:p w:rsidR="00DE5E7C" w:rsidRPr="00A0255F" w:rsidRDefault="00DE5E7C" w:rsidP="007056C8">
      <w:pPr>
        <w:pStyle w:val="TOC2"/>
      </w:pPr>
      <w:r>
        <w:t>Home Affairs</w:t>
      </w:r>
      <w:r w:rsidR="007056C8">
        <w:tab/>
        <w:t>251</w:t>
      </w:r>
    </w:p>
    <w:p w:rsidR="00DE5E7C" w:rsidRDefault="00DE5E7C" w:rsidP="007056C8">
      <w:pPr>
        <w:pStyle w:val="TOC2"/>
        <w:rPr>
          <w:rFonts w:ascii="Calibri" w:hAnsi="Calibri"/>
          <w:sz w:val="22"/>
          <w:szCs w:val="22"/>
        </w:rPr>
      </w:pPr>
      <w:r>
        <w:t>Contingent liabilities — quantifiable</w:t>
      </w:r>
      <w:r>
        <w:tab/>
        <w:t>25</w:t>
      </w:r>
      <w:r w:rsidR="007056C8">
        <w:t>2</w:t>
      </w:r>
    </w:p>
    <w:p w:rsidR="00DE5E7C" w:rsidRDefault="00DE5E7C" w:rsidP="007056C8">
      <w:pPr>
        <w:pStyle w:val="TOC2"/>
        <w:rPr>
          <w:rFonts w:ascii="Calibri" w:hAnsi="Calibri"/>
          <w:sz w:val="22"/>
          <w:szCs w:val="22"/>
        </w:rPr>
      </w:pPr>
      <w:r>
        <w:t>Defence</w:t>
      </w:r>
      <w:r>
        <w:tab/>
        <w:t>25</w:t>
      </w:r>
      <w:r w:rsidR="007056C8">
        <w:t>2</w:t>
      </w:r>
    </w:p>
    <w:p w:rsidR="00DE5E7C" w:rsidRDefault="00DE5E7C" w:rsidP="007056C8">
      <w:pPr>
        <w:pStyle w:val="TOC2"/>
        <w:rPr>
          <w:rFonts w:ascii="Calibri" w:hAnsi="Calibri"/>
          <w:sz w:val="22"/>
          <w:szCs w:val="22"/>
        </w:rPr>
      </w:pPr>
      <w:r>
        <w:t>Foreign Affairs and Trade</w:t>
      </w:r>
      <w:r>
        <w:tab/>
        <w:t>25</w:t>
      </w:r>
      <w:r w:rsidR="007056C8">
        <w:t>2</w:t>
      </w:r>
    </w:p>
    <w:p w:rsidR="00DE5E7C" w:rsidRDefault="00DE5E7C" w:rsidP="007056C8">
      <w:pPr>
        <w:pStyle w:val="TOC2"/>
      </w:pPr>
      <w:r>
        <w:t>Prime Minister and Cabinet</w:t>
      </w:r>
      <w:r w:rsidR="007056C8">
        <w:tab/>
        <w:t>252</w:t>
      </w:r>
    </w:p>
    <w:p w:rsidR="00DE5E7C" w:rsidRDefault="00DE5E7C" w:rsidP="007056C8">
      <w:pPr>
        <w:pStyle w:val="TOC2"/>
        <w:rPr>
          <w:rFonts w:ascii="Calibri" w:hAnsi="Calibri"/>
          <w:sz w:val="22"/>
          <w:szCs w:val="22"/>
        </w:rPr>
      </w:pPr>
      <w:r>
        <w:t>Treasury</w:t>
      </w:r>
      <w:r>
        <w:tab/>
        <w:t>25</w:t>
      </w:r>
      <w:r w:rsidR="007056C8">
        <w:t>3</w:t>
      </w:r>
    </w:p>
    <w:p w:rsidR="00DE5E7C" w:rsidRDefault="00DE5E7C" w:rsidP="007056C8">
      <w:pPr>
        <w:pStyle w:val="TOC2"/>
        <w:rPr>
          <w:rFonts w:ascii="Calibri" w:hAnsi="Calibri"/>
          <w:sz w:val="22"/>
          <w:szCs w:val="22"/>
        </w:rPr>
      </w:pPr>
      <w:r>
        <w:t>Contingent assets — quantifiable</w:t>
      </w:r>
      <w:r>
        <w:tab/>
        <w:t>25</w:t>
      </w:r>
      <w:r w:rsidR="007056C8">
        <w:t>4</w:t>
      </w:r>
    </w:p>
    <w:p w:rsidR="00DE5E7C" w:rsidRDefault="00DE5E7C" w:rsidP="007056C8">
      <w:pPr>
        <w:pStyle w:val="TOC2"/>
        <w:rPr>
          <w:rFonts w:ascii="Calibri" w:hAnsi="Calibri"/>
          <w:sz w:val="22"/>
          <w:szCs w:val="22"/>
        </w:rPr>
      </w:pPr>
      <w:r>
        <w:t>Defence</w:t>
      </w:r>
      <w:r>
        <w:tab/>
        <w:t>25</w:t>
      </w:r>
      <w:r w:rsidR="007056C8">
        <w:t>4</w:t>
      </w:r>
    </w:p>
    <w:p w:rsidR="00DE5E7C" w:rsidRDefault="00DE5E7C" w:rsidP="007056C8">
      <w:pPr>
        <w:pStyle w:val="TOC2"/>
        <w:rPr>
          <w:rFonts w:ascii="Calibri" w:hAnsi="Calibri"/>
          <w:sz w:val="22"/>
          <w:szCs w:val="22"/>
        </w:rPr>
      </w:pPr>
      <w:r>
        <w:br w:type="page"/>
      </w:r>
      <w:r>
        <w:lastRenderedPageBreak/>
        <w:t>Government loans</w:t>
      </w:r>
      <w:r>
        <w:tab/>
        <w:t>254</w:t>
      </w:r>
    </w:p>
    <w:p w:rsidR="00DE5E7C" w:rsidRDefault="00DE5E7C" w:rsidP="007056C8">
      <w:pPr>
        <w:pStyle w:val="TOC2"/>
        <w:rPr>
          <w:rFonts w:ascii="Calibri" w:hAnsi="Calibri"/>
          <w:sz w:val="22"/>
          <w:szCs w:val="22"/>
        </w:rPr>
      </w:pPr>
      <w:r>
        <w:t>Higher Education Loan Programme</w:t>
      </w:r>
      <w:r>
        <w:tab/>
        <w:t>257</w:t>
      </w:r>
    </w:p>
    <w:p w:rsidR="00DE5E7C" w:rsidRDefault="00DE5E7C" w:rsidP="007056C8">
      <w:pPr>
        <w:pStyle w:val="TOC2"/>
      </w:pPr>
      <w:r>
        <w:t>NBN Co Loan</w:t>
      </w:r>
      <w:r w:rsidR="007056C8">
        <w:tab/>
        <w:t>257</w:t>
      </w:r>
    </w:p>
    <w:p w:rsidR="00DE5E7C" w:rsidRDefault="00DE5E7C" w:rsidP="007056C8">
      <w:pPr>
        <w:pStyle w:val="TOC2"/>
        <w:rPr>
          <w:rFonts w:ascii="Calibri" w:hAnsi="Calibri"/>
          <w:sz w:val="22"/>
          <w:szCs w:val="22"/>
        </w:rPr>
      </w:pPr>
      <w:r>
        <w:t>Clean Energy Finance Corporation</w:t>
      </w:r>
      <w:r>
        <w:tab/>
        <w:t>257</w:t>
      </w:r>
    </w:p>
    <w:p w:rsidR="00DE5E7C" w:rsidRPr="007056C8" w:rsidRDefault="00DE5E7C" w:rsidP="007056C8">
      <w:pPr>
        <w:pStyle w:val="TOC2"/>
      </w:pPr>
      <w:r w:rsidRPr="007056C8">
        <w:t>Commonwealth</w:t>
      </w:r>
      <w:r w:rsidRPr="007056C8">
        <w:noBreakHyphen/>
        <w:t>State financing arrangements —</w:t>
      </w:r>
      <w:r w:rsidRPr="007056C8">
        <w:br/>
        <w:t>Housing and Specific Purpose Capital</w:t>
      </w:r>
      <w:r w:rsidRPr="007056C8">
        <w:tab/>
        <w:t>25</w:t>
      </w:r>
      <w:r w:rsidR="007056C8" w:rsidRPr="007056C8">
        <w:t>8</w:t>
      </w:r>
    </w:p>
    <w:p w:rsidR="00DE5E7C" w:rsidRDefault="00DE5E7C" w:rsidP="007056C8">
      <w:pPr>
        <w:pStyle w:val="TOC2"/>
      </w:pPr>
      <w:r w:rsidRPr="006B5F4F">
        <w:t>WestConnex Stage 2 Concessional Loan</w:t>
      </w:r>
      <w:r w:rsidR="007056C8">
        <w:tab/>
        <w:t>258</w:t>
      </w:r>
    </w:p>
    <w:p w:rsidR="00DE5E7C" w:rsidRPr="006B5F4F" w:rsidRDefault="00DE5E7C" w:rsidP="007056C8">
      <w:pPr>
        <w:pStyle w:val="TOC2"/>
      </w:pPr>
      <w:r w:rsidRPr="006B5F4F">
        <w:t>Concessional loan for asbestos removal in the ACT —</w:t>
      </w:r>
      <w:r>
        <w:br/>
      </w:r>
      <w:r w:rsidRPr="006B5F4F">
        <w:t>Mr Fluffy loose fill asbestos remediation</w:t>
      </w:r>
      <w:r w:rsidR="007056C8">
        <w:tab/>
        <w:t>258</w:t>
      </w:r>
    </w:p>
    <w:p w:rsidR="00DE5E7C" w:rsidRDefault="00DE5E7C" w:rsidP="007056C8">
      <w:pPr>
        <w:pStyle w:val="TOC2"/>
        <w:rPr>
          <w:rFonts w:ascii="Calibri" w:hAnsi="Calibri"/>
          <w:sz w:val="22"/>
          <w:szCs w:val="22"/>
        </w:rPr>
      </w:pPr>
      <w:r>
        <w:t>Drought related and Farm Finance Concessional Loans — Agriculture</w:t>
      </w:r>
      <w:r>
        <w:tab/>
        <w:t>258</w:t>
      </w:r>
    </w:p>
    <w:p w:rsidR="00DE5E7C" w:rsidRDefault="00DE5E7C" w:rsidP="007056C8">
      <w:pPr>
        <w:pStyle w:val="TOC2"/>
        <w:rPr>
          <w:rFonts w:ascii="Calibri" w:hAnsi="Calibri"/>
          <w:sz w:val="22"/>
          <w:szCs w:val="22"/>
        </w:rPr>
      </w:pPr>
      <w:r>
        <w:t>Indigenous Home Ownership, Business Development and Assistance</w:t>
      </w:r>
      <w:r>
        <w:tab/>
        <w:t>2</w:t>
      </w:r>
      <w:r w:rsidR="007056C8">
        <w:t>60</w:t>
      </w:r>
    </w:p>
    <w:p w:rsidR="00DE5E7C" w:rsidRDefault="00DE5E7C" w:rsidP="007056C8">
      <w:pPr>
        <w:pStyle w:val="TOC2"/>
        <w:rPr>
          <w:rFonts w:ascii="Calibri" w:hAnsi="Calibri"/>
          <w:sz w:val="22"/>
          <w:szCs w:val="22"/>
        </w:rPr>
      </w:pPr>
      <w:r>
        <w:t>International Monetary Fund New Arrangements to Borrow</w:t>
      </w:r>
      <w:r>
        <w:tab/>
        <w:t>2</w:t>
      </w:r>
      <w:r w:rsidR="007056C8">
        <w:t>60</w:t>
      </w:r>
    </w:p>
    <w:p w:rsidR="00DE5E7C" w:rsidRDefault="00DE5E7C" w:rsidP="007056C8">
      <w:pPr>
        <w:pStyle w:val="TOC2"/>
        <w:rPr>
          <w:rFonts w:ascii="Calibri" w:hAnsi="Calibri"/>
          <w:sz w:val="22"/>
          <w:szCs w:val="22"/>
        </w:rPr>
      </w:pPr>
      <w:r>
        <w:t>Trade Support Loans Programme</w:t>
      </w:r>
      <w:r>
        <w:tab/>
        <w:t>26</w:t>
      </w:r>
      <w:r w:rsidR="007056C8">
        <w:t>1</w:t>
      </w:r>
    </w:p>
    <w:p w:rsidR="00DE5E7C" w:rsidRDefault="00DE5E7C" w:rsidP="007056C8">
      <w:pPr>
        <w:pStyle w:val="TOC2"/>
        <w:rPr>
          <w:rFonts w:ascii="Calibri" w:hAnsi="Calibri"/>
          <w:sz w:val="22"/>
          <w:szCs w:val="22"/>
        </w:rPr>
      </w:pPr>
      <w:r>
        <w:t>Student Financial Supplement Scheme</w:t>
      </w:r>
      <w:r w:rsidR="007056C8">
        <w:tab/>
        <w:t>261</w:t>
      </w:r>
    </w:p>
    <w:p w:rsidR="00DE5E7C" w:rsidRDefault="00DE5E7C" w:rsidP="007056C8">
      <w:pPr>
        <w:pStyle w:val="TOC2"/>
        <w:rPr>
          <w:rFonts w:ascii="Calibri" w:hAnsi="Calibri"/>
          <w:sz w:val="22"/>
          <w:szCs w:val="22"/>
        </w:rPr>
      </w:pPr>
      <w:r>
        <w:t>Indigenous Land Corporation</w:t>
      </w:r>
      <w:r>
        <w:noBreakHyphen/>
        <w:t>Voyages Indigenous Tourism Australia Pty Ltd</w:t>
      </w:r>
      <w:r w:rsidR="007056C8">
        <w:tab/>
        <w:t>261</w:t>
      </w:r>
    </w:p>
    <w:p w:rsidR="00DE5E7C" w:rsidRDefault="00DE5E7C" w:rsidP="007056C8">
      <w:pPr>
        <w:pStyle w:val="TOC2"/>
        <w:rPr>
          <w:rFonts w:ascii="Calibri" w:hAnsi="Calibri"/>
          <w:sz w:val="22"/>
          <w:szCs w:val="22"/>
        </w:rPr>
      </w:pPr>
      <w:r>
        <w:t>Zero Real Interest Loans</w:t>
      </w:r>
      <w:r w:rsidR="007056C8">
        <w:tab/>
        <w:t>261</w:t>
      </w:r>
    </w:p>
    <w:p w:rsidR="00DE5E7C" w:rsidRDefault="00DE5E7C" w:rsidP="007056C8">
      <w:pPr>
        <w:pStyle w:val="TOC2"/>
        <w:rPr>
          <w:rFonts w:ascii="Calibri" w:hAnsi="Calibri"/>
          <w:sz w:val="22"/>
          <w:szCs w:val="22"/>
        </w:rPr>
      </w:pPr>
      <w:r>
        <w:t>Papua New Guinea Liquefied Natural Gas</w:t>
      </w:r>
      <w:r w:rsidR="007056C8">
        <w:tab/>
        <w:t>262</w:t>
      </w:r>
    </w:p>
    <w:p w:rsidR="00DE5E7C" w:rsidRDefault="00DE5E7C" w:rsidP="007056C8">
      <w:pPr>
        <w:pStyle w:val="TOC2"/>
      </w:pPr>
      <w:r w:rsidRPr="006B5F4F">
        <w:t>Northern Australia Infrastructure Facility Loans</w:t>
      </w:r>
      <w:r w:rsidR="007056C8">
        <w:tab/>
        <w:t>262</w:t>
      </w:r>
    </w:p>
    <w:p w:rsidR="00CF7B38" w:rsidRPr="00C346B1" w:rsidRDefault="00CF7B38">
      <w:pPr>
        <w:pStyle w:val="TOC1"/>
        <w:rPr>
          <w:rFonts w:ascii="Calibri" w:hAnsi="Calibri"/>
          <w:b w:val="0"/>
          <w:szCs w:val="22"/>
        </w:rPr>
      </w:pPr>
      <w:r>
        <w:t>Appendix D: Historical Australian Government data</w:t>
      </w:r>
      <w:r>
        <w:tab/>
        <w:t>263</w:t>
      </w:r>
    </w:p>
    <w:p w:rsidR="00CF7B38" w:rsidRPr="00C346B1" w:rsidRDefault="00CF7B38" w:rsidP="007056C8">
      <w:pPr>
        <w:pStyle w:val="TOC2"/>
        <w:rPr>
          <w:rFonts w:ascii="Calibri" w:hAnsi="Calibri"/>
          <w:sz w:val="22"/>
          <w:szCs w:val="22"/>
        </w:rPr>
      </w:pPr>
      <w:r>
        <w:t>Data sources</w:t>
      </w:r>
      <w:r>
        <w:tab/>
        <w:t>263</w:t>
      </w:r>
    </w:p>
    <w:p w:rsidR="00CF7B38" w:rsidRPr="00C346B1" w:rsidRDefault="00CF7B38" w:rsidP="007056C8">
      <w:pPr>
        <w:pStyle w:val="TOC2"/>
        <w:rPr>
          <w:rFonts w:ascii="Calibri" w:hAnsi="Calibri"/>
          <w:sz w:val="22"/>
          <w:szCs w:val="22"/>
        </w:rPr>
      </w:pPr>
      <w:r>
        <w:t>Comparability of data across years</w:t>
      </w:r>
      <w:r>
        <w:tab/>
        <w:t>263</w:t>
      </w:r>
    </w:p>
    <w:p w:rsidR="00CF7B38" w:rsidRPr="00C346B1" w:rsidRDefault="00CF7B38" w:rsidP="007056C8">
      <w:pPr>
        <w:pStyle w:val="TOC2"/>
        <w:rPr>
          <w:rFonts w:ascii="Calibri" w:hAnsi="Calibri"/>
          <w:sz w:val="22"/>
          <w:szCs w:val="22"/>
        </w:rPr>
      </w:pPr>
      <w:r>
        <w:t>Revisions to previously published data</w:t>
      </w:r>
      <w:r>
        <w:tab/>
        <w:t>264</w:t>
      </w:r>
    </w:p>
    <w:p w:rsidR="00E127E2" w:rsidRDefault="00E127E2" w:rsidP="007056C8">
      <w:pPr>
        <w:pStyle w:val="TOC2"/>
      </w:pPr>
      <w:r w:rsidRPr="00343254">
        <w:fldChar w:fldCharType="end"/>
      </w:r>
    </w:p>
    <w:p w:rsidR="007056C8" w:rsidRPr="007056C8" w:rsidRDefault="007056C8" w:rsidP="007056C8"/>
    <w:p w:rsidR="007056C8" w:rsidRPr="007056C8" w:rsidRDefault="007056C8" w:rsidP="007056C8"/>
    <w:p w:rsidR="00E127E2" w:rsidRPr="007056C8" w:rsidRDefault="00E127E2" w:rsidP="007056C8"/>
    <w:p w:rsidR="00E127E2" w:rsidRPr="007056C8" w:rsidRDefault="00E127E2" w:rsidP="007056C8"/>
    <w:p w:rsidR="0093363A" w:rsidRPr="007056C8" w:rsidRDefault="0093363A" w:rsidP="007056C8"/>
    <w:sectPr w:rsidR="0093363A" w:rsidRPr="007056C8" w:rsidSect="00E6445E">
      <w:headerReference w:type="even" r:id="rId18"/>
      <w:headerReference w:type="default" r:id="rId19"/>
      <w:footerReference w:type="even" r:id="rId20"/>
      <w:footerReference w:type="default" r:id="rId21"/>
      <w:headerReference w:type="first" r:id="rId22"/>
      <w:type w:val="oddPage"/>
      <w:pgSz w:w="11906" w:h="16838" w:code="9"/>
      <w:pgMar w:top="2466" w:right="2098" w:bottom="2466" w:left="2098" w:header="1899" w:footer="1899" w:gutter="0"/>
      <w:pgNumType w:fmt="lowerRoman"/>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85D" w:rsidRDefault="0083785D" w:rsidP="00E40261">
      <w:pPr>
        <w:spacing w:after="0" w:line="240" w:lineRule="auto"/>
      </w:pPr>
      <w:r>
        <w:separator/>
      </w:r>
    </w:p>
  </w:endnote>
  <w:endnote w:type="continuationSeparator" w:id="0">
    <w:p w:rsidR="0083785D" w:rsidRDefault="0083785D"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E2" w:rsidRDefault="00E127E2">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B458F0">
      <w:rPr>
        <w:rStyle w:val="PageNumber"/>
        <w:noProof/>
      </w:rPr>
      <w:t>iv</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E2" w:rsidRDefault="00E127E2">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E2" w:rsidRPr="00EB6DE4" w:rsidRDefault="00E127E2" w:rsidP="00E67D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E2" w:rsidRPr="00EB6DE4" w:rsidRDefault="00E127E2" w:rsidP="00E67D3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B458F0">
      <w:rPr>
        <w:rStyle w:val="PageNumber"/>
        <w:noProof/>
      </w:rPr>
      <w:t>v</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E2" w:rsidRPr="00306292" w:rsidRDefault="00E127E2" w:rsidP="00E67D3B">
    <w:pPr>
      <w:pStyle w:val="Footer"/>
      <w:ind w:right="11"/>
      <w:rPr>
        <w:rStyle w:val="PageNumber"/>
      </w:rPr>
    </w:pPr>
    <w:r>
      <w:rPr>
        <w:rStyle w:val="PageNumber"/>
      </w:rPr>
      <w:fldChar w:fldCharType="begin"/>
    </w:r>
    <w:r>
      <w:rPr>
        <w:rStyle w:val="PageNumber"/>
      </w:rPr>
      <w:instrText xml:space="preserve"> PAGE </w:instrText>
    </w:r>
    <w:r>
      <w:rPr>
        <w:rStyle w:val="PageNumber"/>
      </w:rPr>
      <w:fldChar w:fldCharType="separate"/>
    </w:r>
    <w:r w:rsidR="00B458F0">
      <w:rPr>
        <w:rStyle w:val="PageNumber"/>
        <w:noProof/>
      </w:rPr>
      <w:t>vii</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E6445E" w:rsidRDefault="00E6445E" w:rsidP="00E6445E">
    <w:pPr>
      <w:pStyle w:val="Footer"/>
      <w:ind w:right="11"/>
      <w:rPr>
        <w:rFonts w:cs="Arial"/>
      </w:rPr>
    </w:pPr>
    <w:r>
      <w:rPr>
        <w:rStyle w:val="PageNumber"/>
      </w:rPr>
      <w:fldChar w:fldCharType="begin"/>
    </w:r>
    <w:r>
      <w:rPr>
        <w:rStyle w:val="PageNumber"/>
      </w:rPr>
      <w:instrText xml:space="preserve"> PAGE </w:instrText>
    </w:r>
    <w:r>
      <w:rPr>
        <w:rStyle w:val="PageNumber"/>
      </w:rPr>
      <w:fldChar w:fldCharType="separate"/>
    </w:r>
    <w:r w:rsidR="00B458F0">
      <w:rPr>
        <w:rStyle w:val="PageNumber"/>
        <w:noProof/>
      </w:rPr>
      <w:t>x</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E6445E" w:rsidRDefault="00E6445E" w:rsidP="00E6445E">
    <w:pPr>
      <w:pStyle w:val="Footer"/>
      <w:ind w:right="11"/>
      <w:rPr>
        <w:rFonts w:cs="Arial"/>
      </w:rPr>
    </w:pPr>
    <w:r>
      <w:rPr>
        <w:rStyle w:val="PageNumber"/>
      </w:rPr>
      <w:fldChar w:fldCharType="begin"/>
    </w:r>
    <w:r>
      <w:rPr>
        <w:rStyle w:val="PageNumber"/>
      </w:rPr>
      <w:instrText xml:space="preserve"> PAGE </w:instrText>
    </w:r>
    <w:r>
      <w:rPr>
        <w:rStyle w:val="PageNumber"/>
      </w:rPr>
      <w:fldChar w:fldCharType="separate"/>
    </w:r>
    <w:r w:rsidR="00B458F0">
      <w:rPr>
        <w:rStyle w:val="PageNumber"/>
        <w:noProof/>
      </w:rPr>
      <w:t>ix</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85D" w:rsidRDefault="0083785D" w:rsidP="00E40261">
      <w:pPr>
        <w:spacing w:after="0" w:line="240" w:lineRule="auto"/>
      </w:pPr>
      <w:r>
        <w:separator/>
      </w:r>
    </w:p>
  </w:footnote>
  <w:footnote w:type="continuationSeparator" w:id="0">
    <w:p w:rsidR="0083785D" w:rsidRDefault="0083785D" w:rsidP="00E40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E2" w:rsidRDefault="00E127E2">
    <w:pPr>
      <w:pStyle w:val="HeaderEven"/>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E2" w:rsidRPr="00EB6DE4" w:rsidRDefault="00E127E2" w:rsidP="00E67D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E6445E" w:rsidRDefault="00D1685E" w:rsidP="00E644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E6445E" w:rsidRDefault="00D1685E" w:rsidP="00E6445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nsid w:val="27440C8B"/>
    <w:multiLevelType w:val="multilevel"/>
    <w:tmpl w:val="AF04C206"/>
    <w:lvl w:ilvl="0">
      <w:start w:val="1"/>
      <w:numFmt w:val="bullet"/>
      <w:lvlRestart w:val="0"/>
      <w:lvlText w:val="•"/>
      <w:lvlJc w:val="left"/>
      <w:pPr>
        <w:tabs>
          <w:tab w:val="num" w:pos="283"/>
        </w:tabs>
        <w:ind w:left="283" w:hanging="283"/>
      </w:pPr>
      <w:rPr>
        <w:rFonts w:ascii="Book Antiqua" w:hAnsi="Book Antiqua" w:hint="default"/>
        <w:b w:val="0"/>
        <w:i w:val="0"/>
        <w:position w:val="0"/>
        <w:sz w:val="18"/>
        <w:szCs w:val="18"/>
      </w:rPr>
    </w:lvl>
    <w:lvl w:ilvl="1">
      <w:start w:val="1"/>
      <w:numFmt w:val="bullet"/>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3">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4">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5">
    <w:nsid w:val="66022277"/>
    <w:multiLevelType w:val="singleLevel"/>
    <w:tmpl w:val="EF02D596"/>
    <w:lvl w:ilvl="0">
      <w:start w:val="1"/>
      <w:numFmt w:val="lowerLetter"/>
      <w:lvlRestart w:val="0"/>
      <w:lvlText w:val="(%1)"/>
      <w:lvlJc w:val="left"/>
      <w:pPr>
        <w:tabs>
          <w:tab w:val="num" w:pos="283"/>
        </w:tabs>
        <w:ind w:left="283" w:hanging="283"/>
      </w:pPr>
      <w:rPr>
        <w:rFonts w:ascii="Arial" w:hAnsi="Arial" w:cs="Arial"/>
        <w:b w:val="0"/>
        <w:i w:val="0"/>
        <w:sz w:val="16"/>
      </w:rPr>
    </w:lvl>
  </w:abstractNum>
  <w:abstractNum w:abstractNumId="6">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4"/>
  </w:num>
  <w:num w:numId="2">
    <w:abstractNumId w:val="1"/>
  </w:num>
  <w:num w:numId="3">
    <w:abstractNumId w:val="0"/>
  </w:num>
  <w:num w:numId="4">
    <w:abstractNumId w:val="3"/>
  </w:num>
  <w:num w:numId="5">
    <w:abstractNumId w:val="6"/>
  </w:num>
  <w:num w:numId="6">
    <w:abstractNumId w:val="0"/>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E127E2"/>
    <w:rsid w:val="00013EA8"/>
    <w:rsid w:val="0002021F"/>
    <w:rsid w:val="00035D8D"/>
    <w:rsid w:val="000E105B"/>
    <w:rsid w:val="00172CFE"/>
    <w:rsid w:val="0019115B"/>
    <w:rsid w:val="001970E6"/>
    <w:rsid w:val="001C29BA"/>
    <w:rsid w:val="001E6697"/>
    <w:rsid w:val="00237F04"/>
    <w:rsid w:val="00247814"/>
    <w:rsid w:val="00267200"/>
    <w:rsid w:val="00270334"/>
    <w:rsid w:val="00281716"/>
    <w:rsid w:val="002B6106"/>
    <w:rsid w:val="002E638A"/>
    <w:rsid w:val="002F60D5"/>
    <w:rsid w:val="003421CD"/>
    <w:rsid w:val="00343254"/>
    <w:rsid w:val="003451F5"/>
    <w:rsid w:val="003506C0"/>
    <w:rsid w:val="00382E3D"/>
    <w:rsid w:val="003A3AC2"/>
    <w:rsid w:val="003B357E"/>
    <w:rsid w:val="0048563A"/>
    <w:rsid w:val="004B4DFA"/>
    <w:rsid w:val="004F3FD9"/>
    <w:rsid w:val="004F60DD"/>
    <w:rsid w:val="0057096F"/>
    <w:rsid w:val="00574F9F"/>
    <w:rsid w:val="00580056"/>
    <w:rsid w:val="005A43A4"/>
    <w:rsid w:val="005B3010"/>
    <w:rsid w:val="005D23CB"/>
    <w:rsid w:val="0060305C"/>
    <w:rsid w:val="00622CDB"/>
    <w:rsid w:val="0066313C"/>
    <w:rsid w:val="00664F1B"/>
    <w:rsid w:val="00677EBB"/>
    <w:rsid w:val="00682D05"/>
    <w:rsid w:val="007056C8"/>
    <w:rsid w:val="0072449F"/>
    <w:rsid w:val="00744B90"/>
    <w:rsid w:val="0075044D"/>
    <w:rsid w:val="007C51F4"/>
    <w:rsid w:val="00824E07"/>
    <w:rsid w:val="0083785D"/>
    <w:rsid w:val="00885620"/>
    <w:rsid w:val="008D71E5"/>
    <w:rsid w:val="008E7225"/>
    <w:rsid w:val="0093363A"/>
    <w:rsid w:val="00940194"/>
    <w:rsid w:val="00943C8B"/>
    <w:rsid w:val="009804F5"/>
    <w:rsid w:val="009C4905"/>
    <w:rsid w:val="009D7662"/>
    <w:rsid w:val="009E766A"/>
    <w:rsid w:val="00A27CD5"/>
    <w:rsid w:val="00A36880"/>
    <w:rsid w:val="00A415C2"/>
    <w:rsid w:val="00A55511"/>
    <w:rsid w:val="00A77652"/>
    <w:rsid w:val="00B10B5A"/>
    <w:rsid w:val="00B120DA"/>
    <w:rsid w:val="00B458F0"/>
    <w:rsid w:val="00B61F9D"/>
    <w:rsid w:val="00B74A08"/>
    <w:rsid w:val="00B91AED"/>
    <w:rsid w:val="00B92624"/>
    <w:rsid w:val="00BB207D"/>
    <w:rsid w:val="00C346B1"/>
    <w:rsid w:val="00C4293F"/>
    <w:rsid w:val="00C64CC1"/>
    <w:rsid w:val="00CF7B38"/>
    <w:rsid w:val="00D1685E"/>
    <w:rsid w:val="00D82B0F"/>
    <w:rsid w:val="00DA42A3"/>
    <w:rsid w:val="00DA58C6"/>
    <w:rsid w:val="00DE5E7C"/>
    <w:rsid w:val="00E127E2"/>
    <w:rsid w:val="00E40261"/>
    <w:rsid w:val="00E6445E"/>
    <w:rsid w:val="00E66821"/>
    <w:rsid w:val="00E67D3B"/>
    <w:rsid w:val="00E80210"/>
    <w:rsid w:val="00EF4C8A"/>
    <w:rsid w:val="00F84F40"/>
    <w:rsid w:val="00F90052"/>
    <w:rsid w:val="00FA668E"/>
    <w:rsid w:val="00FC2085"/>
    <w:rsid w:val="00FC7371"/>
    <w:rsid w:val="00FF5E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7D"/>
    <w:pPr>
      <w:spacing w:after="240" w:line="260" w:lineRule="exact"/>
      <w:jc w:val="both"/>
    </w:pPr>
    <w:rPr>
      <w:rFonts w:ascii="Book Antiqua" w:eastAsia="Times New Roman" w:hAnsi="Book Antiqua"/>
    </w:rPr>
  </w:style>
  <w:style w:type="paragraph" w:styleId="Heading1">
    <w:name w:val="heading 1"/>
    <w:basedOn w:val="HeadingBase"/>
    <w:next w:val="Normal"/>
    <w:link w:val="Heading1Char"/>
    <w:qFormat/>
    <w:rsid w:val="00BB207D"/>
    <w:pPr>
      <w:spacing w:after="240"/>
      <w:jc w:val="center"/>
      <w:outlineLvl w:val="0"/>
    </w:pPr>
    <w:rPr>
      <w:b/>
      <w:smallCaps/>
      <w:kern w:val="34"/>
      <w:sz w:val="34"/>
    </w:r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BB207D"/>
    <w:rPr>
      <w:rFonts w:ascii="Arial" w:eastAsia="Times New Roman" w:hAnsi="Arial" w:cs="Times New Roman"/>
      <w:b/>
      <w:smallCaps/>
      <w:kern w:val="34"/>
      <w:sz w:val="34"/>
      <w:szCs w:val="20"/>
      <w:lang w:eastAsia="en-AU"/>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10B5A"/>
    <w:rPr>
      <w:color w:val="auto"/>
      <w:u w:val="non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10B5A"/>
    <w:pPr>
      <w:tabs>
        <w:tab w:val="right" w:leader="dot" w:pos="7700"/>
      </w:tabs>
      <w:spacing w:before="240"/>
      <w:ind w:left="284" w:right="851" w:hanging="284"/>
    </w:pPr>
    <w:rPr>
      <w:rFonts w:ascii="Arial Bold" w:hAnsi="Arial Bold"/>
      <w:b/>
      <w:i w:val="0"/>
      <w:noProof/>
      <w:sz w:val="22"/>
    </w:rPr>
  </w:style>
  <w:style w:type="paragraph" w:styleId="TOC2">
    <w:name w:val="toc 2"/>
    <w:basedOn w:val="HeadingBase"/>
    <w:next w:val="Normal"/>
    <w:uiPriority w:val="39"/>
    <w:rsid w:val="007056C8"/>
    <w:pPr>
      <w:tabs>
        <w:tab w:val="right" w:leader="dot" w:pos="7700"/>
      </w:tabs>
      <w:spacing w:before="40"/>
      <w:ind w:left="284" w:right="851" w:hanging="284"/>
    </w:pPr>
    <w:rPr>
      <w:noProof/>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rsid w:val="00BB207D"/>
    <w:pPr>
      <w:spacing w:before="60" w:after="60"/>
      <w:ind w:left="1134"/>
    </w:pPr>
    <w:rPr>
      <w:rFonts w:ascii="Arial Bold" w:hAnsi="Arial Bold"/>
      <w:b/>
      <w:caps/>
      <w:spacing w:val="-10"/>
      <w:sz w:val="28"/>
    </w:rPr>
  </w:style>
  <w:style w:type="paragraph" w:customStyle="1" w:styleId="TPHeading2">
    <w:name w:val="TP Heading 2"/>
    <w:basedOn w:val="HeadingBase"/>
    <w:rsid w:val="00BB207D"/>
    <w:pPr>
      <w:ind w:left="1134"/>
    </w:pPr>
    <w:rPr>
      <w:caps/>
      <w:spacing w:val="-10"/>
      <w:sz w:val="28"/>
    </w:rPr>
  </w:style>
  <w:style w:type="paragraph" w:customStyle="1" w:styleId="TPHeading3">
    <w:name w:val="TP Heading 3"/>
    <w:basedOn w:val="HeadingBase"/>
    <w:rsid w:val="00BB207D"/>
    <w:pPr>
      <w:ind w:left="1134"/>
    </w:pPr>
    <w:rPr>
      <w:caps/>
      <w:spacing w:val="-10"/>
    </w:rPr>
  </w:style>
  <w:style w:type="paragraph" w:customStyle="1" w:styleId="TPHeading3bold">
    <w:name w:val="TP Heading 3 bold"/>
    <w:basedOn w:val="TPHeading3"/>
    <w:rsid w:val="00BB207D"/>
    <w:rPr>
      <w:rFonts w:cs="Arial"/>
      <w:b/>
      <w:sz w:val="22"/>
      <w:szCs w:val="22"/>
    </w:rPr>
  </w:style>
  <w:style w:type="paragraph" w:customStyle="1" w:styleId="TPHEADING3boldspace">
    <w:name w:val="TP HEADING 3 bold space"/>
    <w:basedOn w:val="TPHeading3bold"/>
    <w:rsid w:val="00BB207D"/>
    <w:pPr>
      <w:spacing w:after="120"/>
    </w:pPr>
  </w:style>
  <w:style w:type="paragraph" w:customStyle="1" w:styleId="TPHEADING3space">
    <w:name w:val="TP HEADING 3 space"/>
    <w:basedOn w:val="TPHeading3"/>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rsid w:val="00BB207D"/>
  </w:style>
  <w:style w:type="character" w:customStyle="1" w:styleId="A5">
    <w:name w:val="A5"/>
    <w:uiPriority w:val="99"/>
    <w:rsid w:val="00E127E2"/>
    <w:rPr>
      <w:rFonts w:cs="Swiss 721 BT"/>
      <w:color w:val="000000"/>
      <w:sz w:val="20"/>
      <w:szCs w:val="20"/>
    </w:rPr>
  </w:style>
  <w:style w:type="paragraph" w:customStyle="1" w:styleId="Versoheadings">
    <w:name w:val="Verso headings"/>
    <w:basedOn w:val="Normal"/>
    <w:qFormat/>
    <w:rsid w:val="00E127E2"/>
    <w:pPr>
      <w:spacing w:after="120"/>
    </w:pPr>
    <w:rPr>
      <w:rFonts w:ascii="Arial" w:hAnsi="Arial" w:cs="Calibri"/>
      <w:b/>
      <w:sz w:val="18"/>
      <w:szCs w:val="24"/>
      <w:lang w:eastAsia="en-US"/>
    </w:rPr>
  </w:style>
  <w:style w:type="character" w:customStyle="1" w:styleId="Normalitalics">
    <w:name w:val="Normal italics"/>
    <w:rsid w:val="00E127E2"/>
    <w:rPr>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07D"/>
    <w:pPr>
      <w:spacing w:after="240" w:line="260" w:lineRule="exact"/>
      <w:jc w:val="both"/>
    </w:pPr>
    <w:rPr>
      <w:rFonts w:ascii="Book Antiqua" w:eastAsia="Times New Roman" w:hAnsi="Book Antiqua"/>
    </w:rPr>
  </w:style>
  <w:style w:type="paragraph" w:styleId="Heading1">
    <w:name w:val="heading 1"/>
    <w:basedOn w:val="HeadingBase"/>
    <w:next w:val="Normal"/>
    <w:link w:val="Heading1Char"/>
    <w:qFormat/>
    <w:rsid w:val="00BB207D"/>
    <w:pPr>
      <w:spacing w:after="240"/>
      <w:jc w:val="center"/>
      <w:outlineLvl w:val="0"/>
    </w:pPr>
    <w:rPr>
      <w:b/>
      <w:smallCaps/>
      <w:kern w:val="34"/>
      <w:sz w:val="34"/>
    </w:r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BB207D"/>
    <w:rPr>
      <w:rFonts w:ascii="Arial" w:eastAsia="Times New Roman" w:hAnsi="Arial" w:cs="Times New Roman"/>
      <w:b/>
      <w:smallCaps/>
      <w:kern w:val="34"/>
      <w:sz w:val="34"/>
      <w:szCs w:val="20"/>
      <w:lang w:eastAsia="en-AU"/>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10B5A"/>
    <w:rPr>
      <w:color w:val="auto"/>
      <w:u w:val="non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10B5A"/>
    <w:pPr>
      <w:tabs>
        <w:tab w:val="right" w:leader="dot" w:pos="7700"/>
      </w:tabs>
      <w:spacing w:before="240"/>
      <w:ind w:left="284" w:right="851" w:hanging="284"/>
    </w:pPr>
    <w:rPr>
      <w:rFonts w:ascii="Arial Bold" w:hAnsi="Arial Bold"/>
      <w:b/>
      <w:i w:val="0"/>
      <w:noProof/>
      <w:sz w:val="22"/>
    </w:rPr>
  </w:style>
  <w:style w:type="paragraph" w:styleId="TOC2">
    <w:name w:val="toc 2"/>
    <w:basedOn w:val="HeadingBase"/>
    <w:next w:val="Normal"/>
    <w:uiPriority w:val="39"/>
    <w:rsid w:val="007056C8"/>
    <w:pPr>
      <w:tabs>
        <w:tab w:val="right" w:leader="dot" w:pos="7700"/>
      </w:tabs>
      <w:spacing w:before="40"/>
      <w:ind w:left="284" w:right="851" w:hanging="284"/>
    </w:pPr>
    <w:rPr>
      <w:noProof/>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rsid w:val="00BB207D"/>
    <w:pPr>
      <w:spacing w:before="60" w:after="60"/>
      <w:ind w:left="1134"/>
    </w:pPr>
    <w:rPr>
      <w:rFonts w:ascii="Arial Bold" w:hAnsi="Arial Bold"/>
      <w:b/>
      <w:caps/>
      <w:spacing w:val="-10"/>
      <w:sz w:val="28"/>
    </w:rPr>
  </w:style>
  <w:style w:type="paragraph" w:customStyle="1" w:styleId="TPHeading2">
    <w:name w:val="TP Heading 2"/>
    <w:basedOn w:val="HeadingBase"/>
    <w:rsid w:val="00BB207D"/>
    <w:pPr>
      <w:ind w:left="1134"/>
    </w:pPr>
    <w:rPr>
      <w:caps/>
      <w:spacing w:val="-10"/>
      <w:sz w:val="28"/>
    </w:rPr>
  </w:style>
  <w:style w:type="paragraph" w:customStyle="1" w:styleId="TPHeading3">
    <w:name w:val="TP Heading 3"/>
    <w:basedOn w:val="HeadingBase"/>
    <w:rsid w:val="00BB207D"/>
    <w:pPr>
      <w:ind w:left="1134"/>
    </w:pPr>
    <w:rPr>
      <w:caps/>
      <w:spacing w:val="-10"/>
    </w:rPr>
  </w:style>
  <w:style w:type="paragraph" w:customStyle="1" w:styleId="TPHeading3bold">
    <w:name w:val="TP Heading 3 bold"/>
    <w:basedOn w:val="TPHeading3"/>
    <w:rsid w:val="00BB207D"/>
    <w:rPr>
      <w:rFonts w:cs="Arial"/>
      <w:b/>
      <w:sz w:val="22"/>
      <w:szCs w:val="22"/>
    </w:rPr>
  </w:style>
  <w:style w:type="paragraph" w:customStyle="1" w:styleId="TPHEADING3boldspace">
    <w:name w:val="TP HEADING 3 bold space"/>
    <w:basedOn w:val="TPHeading3bold"/>
    <w:rsid w:val="00BB207D"/>
    <w:pPr>
      <w:spacing w:after="120"/>
    </w:pPr>
  </w:style>
  <w:style w:type="paragraph" w:customStyle="1" w:styleId="TPHEADING3space">
    <w:name w:val="TP HEADING 3 space"/>
    <w:basedOn w:val="TPHeading3"/>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rsid w:val="00BB207D"/>
  </w:style>
  <w:style w:type="character" w:customStyle="1" w:styleId="A5">
    <w:name w:val="A5"/>
    <w:uiPriority w:val="99"/>
    <w:rsid w:val="00E127E2"/>
    <w:rPr>
      <w:rFonts w:cs="Swiss 721 BT"/>
      <w:color w:val="000000"/>
      <w:sz w:val="20"/>
      <w:szCs w:val="20"/>
    </w:rPr>
  </w:style>
  <w:style w:type="paragraph" w:customStyle="1" w:styleId="Versoheadings">
    <w:name w:val="Verso headings"/>
    <w:basedOn w:val="Normal"/>
    <w:qFormat/>
    <w:rsid w:val="00E127E2"/>
    <w:pPr>
      <w:spacing w:after="120"/>
    </w:pPr>
    <w:rPr>
      <w:rFonts w:ascii="Arial" w:hAnsi="Arial" w:cs="Calibri"/>
      <w:b/>
      <w:sz w:val="18"/>
      <w:szCs w:val="24"/>
      <w:lang w:eastAsia="en-US"/>
    </w:rPr>
  </w:style>
  <w:style w:type="character" w:customStyle="1" w:styleId="Normalitalics">
    <w:name w:val="Normal italics"/>
    <w:rsid w:val="00E127E2"/>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romulus\csg_h$\MCD\Publishing\Internet%20&amp;%20Intranet%20Services%20Team\To_Do_For_Conversion\MYEFO\2017-18\www.budget.gov.au" TargetMode="Externa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www.itsanhonour.gov.au"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Budget Template.dotm</Template>
  <TotalTime>1</TotalTime>
  <Pages>10</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10790</CharactersWithSpaces>
  <SharedDoc>false</SharedDoc>
  <HLinks>
    <vt:vector size="12" baseType="variant">
      <vt:variant>
        <vt:i4>5177356</vt:i4>
      </vt:variant>
      <vt:variant>
        <vt:i4>9</vt:i4>
      </vt:variant>
      <vt:variant>
        <vt:i4>0</vt:i4>
      </vt:variant>
      <vt:variant>
        <vt:i4>5</vt:i4>
      </vt:variant>
      <vt:variant>
        <vt:lpwstr>www.budget.gov.au</vt:lpwstr>
      </vt:variant>
      <vt:variant>
        <vt:lpwstr/>
      </vt:variant>
      <vt:variant>
        <vt:i4>7471148</vt:i4>
      </vt:variant>
      <vt:variant>
        <vt:i4>6</vt:i4>
      </vt:variant>
      <vt:variant>
        <vt:i4>0</vt:i4>
      </vt:variant>
      <vt:variant>
        <vt:i4>5</vt:i4>
      </vt:variant>
      <vt:variant>
        <vt:lpwstr>http://www.itsanhonour.gov.au/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Preliminaries and Foreword</dc:subject>
  <dc:creator>The Treasury</dc:creator>
  <cp:lastModifiedBy>Thomas, Deborah</cp:lastModifiedBy>
  <cp:revision>4</cp:revision>
  <cp:lastPrinted>2017-12-15T00:23:00Z</cp:lastPrinted>
  <dcterms:created xsi:type="dcterms:W3CDTF">2017-12-17T21:30:00Z</dcterms:created>
  <dcterms:modified xsi:type="dcterms:W3CDTF">2017-12-17T21:33:00Z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Preliminaries</vt:lpwstr>
  </property>
  <property fmtid="{D5CDD505-2E9C-101B-9397-08002B2CF9AE}" pid="5" name="metadataStatementName">
    <vt:lpwstr>Preliminaries</vt:lpwstr>
  </property>
  <property fmtid="{D5CDD505-2E9C-101B-9397-08002B2CF9AE}" pid="6" name="metadataCoordinator">
    <vt:lpwstr>Shibani Iyer (x3664)</vt:lpwstr>
  </property>
  <property fmtid="{D5CDD505-2E9C-101B-9397-08002B2CF9AE}" pid="7" name="GlobalLastAccountabilityID">
    <vt:lpwstr>Budget Policy Division_JR1</vt:lpwstr>
  </property>
</Properties>
</file>