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11B13" w:rsidRPr="00FE3F15" w:rsidRDefault="00A174F5" w:rsidP="00DC7486">
      <w:pPr>
        <w:pStyle w:val="Heading1"/>
      </w:pPr>
      <w:r w:rsidRPr="00FE3F15">
        <w:rPr>
          <w:sz w:val="16"/>
        </w:rPr>
        <w:fldChar w:fldCharType="begin"/>
      </w:r>
      <w:r w:rsidRPr="00FE3F15">
        <w:rPr>
          <w:sz w:val="16"/>
        </w:rPr>
        <w:instrText xml:space="preserve"> :Start Index: </w:instrText>
      </w:r>
      <w:r w:rsidRPr="00FE3F15">
        <w:rPr>
          <w:sz w:val="16"/>
        </w:rPr>
        <w:fldChar w:fldCharType="end"/>
      </w:r>
      <w:r w:rsidR="00C97EDA" w:rsidRPr="00FE3F15">
        <w:rPr>
          <w:sz w:val="16"/>
        </w:rPr>
        <w:fldChar w:fldCharType="begin"/>
      </w:r>
      <w:r w:rsidR="00C97EDA" w:rsidRPr="00FE3F15">
        <w:rPr>
          <w:sz w:val="16"/>
        </w:rPr>
        <w:instrText xml:space="preserve"> :Accountability:|MECD_WT_12|Treasury|MECD|Warren Tease|James McIntyre|Razor Ray Harris|3041 </w:instrText>
      </w:r>
      <w:r w:rsidR="00C97EDA" w:rsidRPr="00FE3F15">
        <w:rPr>
          <w:sz w:val="16"/>
        </w:rPr>
        <w:fldChar w:fldCharType="end"/>
      </w:r>
      <w:r w:rsidR="00C97EDA" w:rsidRPr="00FE3F15">
        <w:rPr>
          <w:sz w:val="16"/>
        </w:rPr>
        <w:fldChar w:fldCharType="begin"/>
      </w:r>
      <w:r w:rsidR="00C97EDA" w:rsidRPr="00FE3F15">
        <w:rPr>
          <w:sz w:val="16"/>
        </w:rPr>
        <w:instrText xml:space="preserve"> :Accountability:|MECD_WT_11|Treasury|MECD|Warren Tease|Christine Carmody|Melissa Ljubic|3612 </w:instrText>
      </w:r>
      <w:r w:rsidR="00C97EDA" w:rsidRPr="00FE3F15">
        <w:rPr>
          <w:sz w:val="16"/>
        </w:rPr>
        <w:fldChar w:fldCharType="end"/>
      </w:r>
      <w:r w:rsidR="00C97EDA" w:rsidRPr="00FE3F15">
        <w:rPr>
          <w:sz w:val="16"/>
        </w:rPr>
        <w:fldChar w:fldCharType="begin"/>
      </w:r>
      <w:r w:rsidR="00C97EDA" w:rsidRPr="00FE3F15">
        <w:rPr>
          <w:sz w:val="16"/>
        </w:rPr>
        <w:instrText xml:space="preserve"> :Accountability:|MECD_WT_10|Treasury|MECD|Warren Tease|Christine Carmody|Danika Maxwell|4129 </w:instrText>
      </w:r>
      <w:r w:rsidR="00C97EDA" w:rsidRPr="00FE3F15">
        <w:rPr>
          <w:sz w:val="16"/>
        </w:rPr>
        <w:fldChar w:fldCharType="end"/>
      </w:r>
      <w:r w:rsidR="00DA2E22" w:rsidRPr="00FE3F15">
        <w:rPr>
          <w:sz w:val="16"/>
        </w:rPr>
        <w:fldChar w:fldCharType="begin"/>
      </w:r>
      <w:r w:rsidR="00DA2E22" w:rsidRPr="00FE3F15">
        <w:rPr>
          <w:sz w:val="16"/>
        </w:rPr>
        <w:instrText xml:space="preserve"> :Accountability:|MECD_WT9|Treasury|MECD|Warren Tease|Leah Wojcik|Bethany Rose O'Shaughnessy|3951 </w:instrText>
      </w:r>
      <w:r w:rsidR="00DA2E22" w:rsidRPr="00FE3F15">
        <w:rPr>
          <w:sz w:val="16"/>
        </w:rPr>
        <w:fldChar w:fldCharType="end"/>
      </w:r>
      <w:r w:rsidR="00DA2E22" w:rsidRPr="00FE3F15">
        <w:rPr>
          <w:sz w:val="16"/>
        </w:rPr>
        <w:fldChar w:fldCharType="begin"/>
      </w:r>
      <w:r w:rsidR="00DA2E22" w:rsidRPr="00FE3F15">
        <w:rPr>
          <w:sz w:val="16"/>
        </w:rPr>
        <w:instrText xml:space="preserve"> :Accountability:|MECD_WT8|Treasury|MECD|Warren Tease|Leah Wojcik|Caroline Gibbons|2903 </w:instrText>
      </w:r>
      <w:r w:rsidR="00DA2E22" w:rsidRPr="00FE3F15">
        <w:rPr>
          <w:sz w:val="16"/>
        </w:rPr>
        <w:fldChar w:fldCharType="end"/>
      </w:r>
      <w:r w:rsidR="00DA2E22" w:rsidRPr="00FE3F15">
        <w:rPr>
          <w:sz w:val="16"/>
        </w:rPr>
        <w:fldChar w:fldCharType="begin"/>
      </w:r>
      <w:r w:rsidR="00DA2E22" w:rsidRPr="00FE3F15">
        <w:rPr>
          <w:sz w:val="16"/>
        </w:rPr>
        <w:instrText xml:space="preserve"> :Accountability:|MECD_WT7|Treasury|MECD|Warren Tease|Leah Wojcik|Aaron Van Bridges|3639 </w:instrText>
      </w:r>
      <w:r w:rsidR="00DA2E22" w:rsidRPr="00FE3F15">
        <w:rPr>
          <w:sz w:val="16"/>
        </w:rPr>
        <w:fldChar w:fldCharType="end"/>
      </w:r>
      <w:r w:rsidR="00E67D83" w:rsidRPr="00FE3F15">
        <w:rPr>
          <w:sz w:val="16"/>
        </w:rPr>
        <w:fldChar w:fldCharType="begin"/>
      </w:r>
      <w:r w:rsidR="00E67D83" w:rsidRPr="00FE3F15">
        <w:rPr>
          <w:sz w:val="16"/>
        </w:rPr>
        <w:instrText xml:space="preserve"> :Accountability:|MECD_WT6|Treasury|MECD|Warren Tease|Christine Carmody|Matthew Mercer|3584 </w:instrText>
      </w:r>
      <w:r w:rsidR="00E67D83" w:rsidRPr="00FE3F15">
        <w:rPr>
          <w:sz w:val="16"/>
        </w:rPr>
        <w:fldChar w:fldCharType="end"/>
      </w:r>
      <w:r w:rsidR="00E67D83" w:rsidRPr="00FE3F15">
        <w:rPr>
          <w:sz w:val="16"/>
        </w:rPr>
        <w:fldChar w:fldCharType="begin"/>
      </w:r>
      <w:r w:rsidR="00E67D83" w:rsidRPr="00FE3F15">
        <w:rPr>
          <w:sz w:val="16"/>
        </w:rPr>
        <w:instrText xml:space="preserve"> :Accountability:|MECD_WT5|Treasury|MECD|Warren Tease|Christine Carmody|Tim Pidhirnyj|3222 </w:instrText>
      </w:r>
      <w:r w:rsidR="00E67D83" w:rsidRPr="00FE3F15">
        <w:rPr>
          <w:sz w:val="16"/>
        </w:rPr>
        <w:fldChar w:fldCharType="end"/>
      </w:r>
      <w:r w:rsidR="00E67D83" w:rsidRPr="00FE3F15">
        <w:rPr>
          <w:sz w:val="16"/>
        </w:rPr>
        <w:fldChar w:fldCharType="begin"/>
      </w:r>
      <w:r w:rsidR="00E67D83" w:rsidRPr="00FE3F15">
        <w:rPr>
          <w:sz w:val="16"/>
        </w:rPr>
        <w:instrText xml:space="preserve"> :Accountability:|MECD_WT4|Treasury|MECD|Warren Tease|Leah Wojcik|Phillip de la Rue|2962 </w:instrText>
      </w:r>
      <w:r w:rsidR="00E67D83" w:rsidRPr="00FE3F15">
        <w:rPr>
          <w:sz w:val="16"/>
        </w:rPr>
        <w:fldChar w:fldCharType="end"/>
      </w:r>
      <w:r w:rsidR="00E67D83" w:rsidRPr="00FE3F15">
        <w:rPr>
          <w:sz w:val="16"/>
        </w:rPr>
        <w:fldChar w:fldCharType="begin"/>
      </w:r>
      <w:r w:rsidR="00E67D83" w:rsidRPr="00FE3F15">
        <w:rPr>
          <w:sz w:val="16"/>
        </w:rPr>
        <w:instrText xml:space="preserve"> :Accountability:|MECD_WT3|Treasury|MECD|Warren Tease|Christine Carmody|Tom Williamson|4275 </w:instrText>
      </w:r>
      <w:r w:rsidR="00E67D83" w:rsidRPr="00FE3F15">
        <w:rPr>
          <w:sz w:val="16"/>
        </w:rPr>
        <w:fldChar w:fldCharType="end"/>
      </w:r>
      <w:r w:rsidR="00E67D83" w:rsidRPr="00FE3F15">
        <w:rPr>
          <w:sz w:val="16"/>
        </w:rPr>
        <w:fldChar w:fldCharType="begin"/>
      </w:r>
      <w:r w:rsidR="00E67D83" w:rsidRPr="00FE3F15">
        <w:rPr>
          <w:sz w:val="16"/>
        </w:rPr>
        <w:instrText xml:space="preserve"> :Accountability:|MECD_WT2|Treasury|MECD|Warren Tease|Christine Carmody|Kahlia Vandyk|2136 </w:instrText>
      </w:r>
      <w:r w:rsidR="00E67D83" w:rsidRPr="00FE3F15">
        <w:rPr>
          <w:sz w:val="16"/>
        </w:rPr>
        <w:fldChar w:fldCharType="end"/>
      </w:r>
      <w:r w:rsidRPr="00FE3F15">
        <w:rPr>
          <w:sz w:val="16"/>
        </w:rPr>
        <w:fldChar w:fldCharType="begin"/>
      </w:r>
      <w:r w:rsidRPr="00FE3F15">
        <w:rPr>
          <w:sz w:val="16"/>
        </w:rPr>
        <w:instrText xml:space="preserve"> :Accountability:|MECD_WT1|Treasury|MECD|Warren Tease|James McIntyre|Harry Withers|4462 </w:instrText>
      </w:r>
      <w:r w:rsidRPr="00FE3F15">
        <w:rPr>
          <w:sz w:val="16"/>
        </w:rPr>
        <w:fldChar w:fldCharType="end"/>
      </w:r>
      <w:r w:rsidRPr="00FE3F15">
        <w:rPr>
          <w:sz w:val="16"/>
        </w:rPr>
        <w:fldChar w:fldCharType="begin"/>
      </w:r>
      <w:r w:rsidRPr="00FE3F15">
        <w:rPr>
          <w:sz w:val="16"/>
        </w:rPr>
        <w:instrText xml:space="preserve"> :End Index: </w:instrText>
      </w:r>
      <w:r w:rsidRPr="00FE3F15">
        <w:rPr>
          <w:sz w:val="16"/>
        </w:rPr>
        <w:fldChar w:fldCharType="end"/>
      </w:r>
      <w:r w:rsidRPr="00FE3F15">
        <w:rPr>
          <w:sz w:val="16"/>
        </w:rPr>
        <w:fldChar w:fldCharType="begin"/>
      </w:r>
      <w:r w:rsidRPr="00FE3F15">
        <w:rPr>
          <w:sz w:val="16"/>
        </w:rPr>
        <w:instrText xml:space="preserve"> :Start:MECD_WT1 </w:instrText>
      </w:r>
      <w:r w:rsidRPr="00FE3F15">
        <w:rPr>
          <w:sz w:val="16"/>
        </w:rPr>
        <w:fldChar w:fldCharType="end"/>
      </w:r>
      <w:r w:rsidR="00511B13" w:rsidRPr="00FE3F15">
        <w:t xml:space="preserve">Part 2: Economic outlook </w:t>
      </w:r>
    </w:p>
    <w:p w:rsidR="003A7739" w:rsidRPr="00FE3F15" w:rsidRDefault="003A7739" w:rsidP="00DC7486">
      <w:pPr>
        <w:pStyle w:val="Heading2"/>
      </w:pPr>
      <w:r w:rsidRPr="00FE3F15">
        <w:t xml:space="preserve">Overview </w:t>
      </w:r>
    </w:p>
    <w:p w:rsidR="0007704E" w:rsidRPr="00FE3F15" w:rsidRDefault="00BD3384" w:rsidP="00DC7486">
      <w:r w:rsidRPr="00FE3F15">
        <w:t xml:space="preserve">The Australian economy </w:t>
      </w:r>
      <w:r w:rsidR="00AC302A" w:rsidRPr="00FE3F15">
        <w:t>is expected to grow at a solid pace in 2017-18</w:t>
      </w:r>
      <w:r w:rsidR="00490F1E" w:rsidRPr="00FE3F15">
        <w:t>.</w:t>
      </w:r>
      <w:r w:rsidR="00AC302A" w:rsidRPr="00FE3F15">
        <w:t xml:space="preserve"> Non-mining business investment has </w:t>
      </w:r>
      <w:r w:rsidR="0007704E" w:rsidRPr="00FE3F15">
        <w:t xml:space="preserve">been increasing, while the drag on growth from </w:t>
      </w:r>
      <w:r w:rsidR="002B7988" w:rsidRPr="00FE3F15">
        <w:t xml:space="preserve">falling </w:t>
      </w:r>
      <w:r w:rsidR="0007704E" w:rsidRPr="00FE3F15">
        <w:t xml:space="preserve">mining investment </w:t>
      </w:r>
      <w:r w:rsidR="00537532" w:rsidRPr="00FE3F15">
        <w:t xml:space="preserve">has been </w:t>
      </w:r>
      <w:r w:rsidR="0007704E" w:rsidRPr="00FE3F15">
        <w:t xml:space="preserve">diminishing and </w:t>
      </w:r>
      <w:r w:rsidR="00E74576" w:rsidRPr="00FE3F15">
        <w:t>has nearly run its course</w:t>
      </w:r>
      <w:r w:rsidR="0007704E" w:rsidRPr="00FE3F15">
        <w:t>. Labour market conditions</w:t>
      </w:r>
      <w:r w:rsidR="002640C3">
        <w:t xml:space="preserve"> have strengthened, with over 38</w:t>
      </w:r>
      <w:r w:rsidR="0007704E" w:rsidRPr="00FE3F15">
        <w:t>0,000 jobs created in the past year, but growt</w:t>
      </w:r>
      <w:r w:rsidR="00D754D4" w:rsidRPr="00FE3F15">
        <w:t>h in household consumption has been modest</w:t>
      </w:r>
      <w:r w:rsidR="0007704E" w:rsidRPr="00FE3F15">
        <w:t xml:space="preserve"> and inflation and wage growth remain subdued.</w:t>
      </w:r>
    </w:p>
    <w:p w:rsidR="003A7739" w:rsidRPr="00FE3F15" w:rsidRDefault="00A174F5" w:rsidP="00303AEE">
      <w:r w:rsidRPr="00FE3F15">
        <w:fldChar w:fldCharType="begin"/>
      </w:r>
      <w:r w:rsidRPr="00FE3F15">
        <w:instrText xml:space="preserve"> :End:MECD_WT1 </w:instrText>
      </w:r>
      <w:r w:rsidRPr="00FE3F15">
        <w:fldChar w:fldCharType="end"/>
      </w:r>
      <w:r w:rsidRPr="00FE3F15">
        <w:fldChar w:fldCharType="begin"/>
      </w:r>
      <w:r w:rsidRPr="00FE3F15">
        <w:instrText xml:space="preserve"> :Start:MECD_WT1 </w:instrText>
      </w:r>
      <w:r w:rsidRPr="00FE3F15">
        <w:fldChar w:fldCharType="end"/>
      </w:r>
      <w:r w:rsidR="00AC302A" w:rsidRPr="00FE3F15">
        <w:t xml:space="preserve">Real GDP growth is forecast to lift as the drag from </w:t>
      </w:r>
      <w:r w:rsidR="002B7988" w:rsidRPr="00FE3F15">
        <w:t xml:space="preserve">falling </w:t>
      </w:r>
      <w:r w:rsidR="00D754D4" w:rsidRPr="00FE3F15">
        <w:t xml:space="preserve">mining investment diminishes. </w:t>
      </w:r>
      <w:r w:rsidR="00E74576" w:rsidRPr="00FE3F15">
        <w:t>In</w:t>
      </w:r>
      <w:r w:rsidR="008167FF" w:rsidRPr="00FE3F15">
        <w:t> </w:t>
      </w:r>
      <w:r w:rsidR="00E74576" w:rsidRPr="00FE3F15">
        <w:t>2016-17</w:t>
      </w:r>
      <w:r w:rsidR="00883CAD" w:rsidRPr="00FE3F15">
        <w:t>,</w:t>
      </w:r>
      <w:r w:rsidR="00E74576" w:rsidRPr="00FE3F15">
        <w:t xml:space="preserve"> m</w:t>
      </w:r>
      <w:r w:rsidR="00D754D4" w:rsidRPr="00FE3F15">
        <w:t xml:space="preserve">ining investment made its smallest detraction from growth in </w:t>
      </w:r>
      <w:r w:rsidR="007316F2" w:rsidRPr="00FE3F15">
        <w:t xml:space="preserve">three </w:t>
      </w:r>
      <w:r w:rsidR="00D754D4" w:rsidRPr="00FE3F15">
        <w:t>years. Non-mining business investment, household consumption</w:t>
      </w:r>
      <w:r w:rsidR="00AF7098" w:rsidRPr="00FE3F15">
        <w:t xml:space="preserve">, </w:t>
      </w:r>
      <w:r w:rsidR="00C24FB2" w:rsidRPr="00FE3F15">
        <w:t>public final demand</w:t>
      </w:r>
      <w:r w:rsidR="00D754D4" w:rsidRPr="00FE3F15">
        <w:t xml:space="preserve"> and exports are also expected to </w:t>
      </w:r>
      <w:r w:rsidR="00303AEE" w:rsidRPr="00FE3F15">
        <w:t xml:space="preserve">provide solid support to growth in 2017-18. </w:t>
      </w:r>
      <w:r w:rsidR="0020129F" w:rsidRPr="00FE3F15">
        <w:t>Dwelling</w:t>
      </w:r>
      <w:r w:rsidR="008167FF" w:rsidRPr="00FE3F15">
        <w:t> </w:t>
      </w:r>
      <w:r w:rsidR="0020129F" w:rsidRPr="00FE3F15">
        <w:t xml:space="preserve">investment is forecast to fall slightly. </w:t>
      </w:r>
      <w:r w:rsidR="00AC302A" w:rsidRPr="00FE3F15">
        <w:t>Re</w:t>
      </w:r>
      <w:r w:rsidR="0007704E" w:rsidRPr="00FE3F15">
        <w:t>al GDP is forecast to grow by 2½</w:t>
      </w:r>
      <w:r w:rsidR="008167FF" w:rsidRPr="00FE3F15">
        <w:t> </w:t>
      </w:r>
      <w:r w:rsidR="00AC302A" w:rsidRPr="00FE3F15">
        <w:t>per</w:t>
      </w:r>
      <w:r w:rsidR="008167FF" w:rsidRPr="00FE3F15">
        <w:t> </w:t>
      </w:r>
      <w:r w:rsidR="00AC302A" w:rsidRPr="00FE3F15">
        <w:t>cent in 2017-18 and 3 per cent in 2018</w:t>
      </w:r>
      <w:r w:rsidR="00AC302A" w:rsidRPr="00FE3F15">
        <w:noBreakHyphen/>
        <w:t>19</w:t>
      </w:r>
      <w:r w:rsidR="00AF7098" w:rsidRPr="00FE3F15">
        <w:t xml:space="preserve"> compared </w:t>
      </w:r>
      <w:r w:rsidR="00490F1E" w:rsidRPr="00FE3F15">
        <w:t xml:space="preserve">to 2.0 per cent achieved in 2016-17 and Budget forecasts of </w:t>
      </w:r>
      <w:r w:rsidR="00AF7098" w:rsidRPr="00FE3F15">
        <w:t>2¾ per cent and 3</w:t>
      </w:r>
      <w:r w:rsidR="008167FF" w:rsidRPr="00FE3F15">
        <w:t> </w:t>
      </w:r>
      <w:r w:rsidR="00AF7098" w:rsidRPr="00FE3F15">
        <w:t>per</w:t>
      </w:r>
      <w:r w:rsidR="008167FF" w:rsidRPr="00FE3F15">
        <w:t> </w:t>
      </w:r>
      <w:r w:rsidR="00AF7098" w:rsidRPr="00FE3F15">
        <w:t>cent at Budget</w:t>
      </w:r>
      <w:r w:rsidR="00490F1E" w:rsidRPr="00FE3F15">
        <w:t xml:space="preserve"> for 2017-18 and 2018-</w:t>
      </w:r>
      <w:r w:rsidR="00E42BAA" w:rsidRPr="00FE3F15">
        <w:t xml:space="preserve">19 </w:t>
      </w:r>
      <w:r w:rsidR="00490F1E" w:rsidRPr="00FE3F15">
        <w:t>respectively</w:t>
      </w:r>
      <w:r w:rsidR="00AF7098" w:rsidRPr="00FE3F15">
        <w:t>.</w:t>
      </w:r>
      <w:r w:rsidRPr="00FE3F15">
        <w:fldChar w:fldCharType="begin"/>
      </w:r>
      <w:r w:rsidRPr="00FE3F15">
        <w:instrText xml:space="preserve"> :End:MECD_WT1 </w:instrText>
      </w:r>
      <w:r w:rsidRPr="00FE3F15">
        <w:fldChar w:fldCharType="end"/>
      </w:r>
    </w:p>
    <w:p w:rsidR="00303AEE" w:rsidRPr="00FE3F15" w:rsidRDefault="00A174F5" w:rsidP="00303AEE">
      <w:r w:rsidRPr="00FE3F15">
        <w:fldChar w:fldCharType="begin"/>
      </w:r>
      <w:r w:rsidRPr="00FE3F15">
        <w:instrText xml:space="preserve"> :Start:MECD_WT1 </w:instrText>
      </w:r>
      <w:r w:rsidRPr="00FE3F15">
        <w:fldChar w:fldCharType="end"/>
      </w:r>
      <w:r w:rsidR="00303AEE" w:rsidRPr="00FE3F15">
        <w:t>The slight</w:t>
      </w:r>
      <w:r w:rsidR="002A67A3" w:rsidRPr="00FE3F15">
        <w:t>ly</w:t>
      </w:r>
      <w:r w:rsidR="00303AEE" w:rsidRPr="00FE3F15">
        <w:t xml:space="preserve"> </w:t>
      </w:r>
      <w:r w:rsidR="002A67A3" w:rsidRPr="00FE3F15">
        <w:t>lower</w:t>
      </w:r>
      <w:r w:rsidR="00303AEE" w:rsidRPr="00FE3F15">
        <w:t xml:space="preserve"> real GDP </w:t>
      </w:r>
      <w:r w:rsidR="002B7988" w:rsidRPr="00FE3F15">
        <w:t xml:space="preserve">growth </w:t>
      </w:r>
      <w:r w:rsidR="00303AEE" w:rsidRPr="00FE3F15">
        <w:t xml:space="preserve">forecast in 2017-18 </w:t>
      </w:r>
      <w:r w:rsidR="00C24FB2" w:rsidRPr="00FE3F15">
        <w:t xml:space="preserve">compared with Budget reflects recent modest growth in household consumption, while business investment is expected to grow at a slightly stronger pace than expected at Budget. </w:t>
      </w:r>
      <w:r w:rsidRPr="00FE3F15">
        <w:fldChar w:fldCharType="begin"/>
      </w:r>
      <w:r w:rsidRPr="00FE3F15">
        <w:instrText xml:space="preserve"> :End:MECD_WT1 </w:instrText>
      </w:r>
      <w:r w:rsidRPr="00FE3F15">
        <w:fldChar w:fldCharType="end"/>
      </w:r>
      <w:r w:rsidR="00E67D83" w:rsidRPr="00FE3F15">
        <w:fldChar w:fldCharType="begin"/>
      </w:r>
      <w:r w:rsidR="00E67D83" w:rsidRPr="00FE3F15">
        <w:instrText xml:space="preserve"> :Start:MECD_WT2 </w:instrText>
      </w:r>
      <w:r w:rsidR="00E67D83" w:rsidRPr="00FE3F15">
        <w:fldChar w:fldCharType="end"/>
      </w:r>
      <w:r w:rsidR="00C24FB2" w:rsidRPr="00FE3F15">
        <w:t>Non</w:t>
      </w:r>
      <w:r w:rsidR="00D97B76" w:rsidRPr="00FE3F15">
        <w:noBreakHyphen/>
      </w:r>
      <w:r w:rsidR="00C24FB2" w:rsidRPr="00FE3F15">
        <w:t>mining</w:t>
      </w:r>
      <w:r w:rsidR="00D97B76" w:rsidRPr="00FE3F15">
        <w:t> </w:t>
      </w:r>
      <w:r w:rsidR="00C24FB2" w:rsidRPr="00FE3F15">
        <w:t>business investment is forecast to grow by 5 per cent in both 2017-18 and 2018-19.</w:t>
      </w:r>
      <w:r w:rsidR="0020129F" w:rsidRPr="00FE3F15">
        <w:t xml:space="preserve"> There has been a strengthening in business conditions and non-mining</w:t>
      </w:r>
      <w:r w:rsidR="003851BC" w:rsidRPr="00FE3F15">
        <w:t xml:space="preserve"> capital expenditure intentions over the past year.</w:t>
      </w:r>
    </w:p>
    <w:p w:rsidR="00786FCE" w:rsidRPr="00FE3F15" w:rsidRDefault="00E67D83" w:rsidP="003A4BA6">
      <w:r w:rsidRPr="00FE3F15">
        <w:fldChar w:fldCharType="begin"/>
      </w:r>
      <w:r w:rsidRPr="00FE3F15">
        <w:instrText xml:space="preserve"> :End:MECD_WT2 </w:instrText>
      </w:r>
      <w:r w:rsidRPr="00FE3F15">
        <w:fldChar w:fldCharType="end"/>
      </w:r>
      <w:r w:rsidRPr="00FE3F15">
        <w:fldChar w:fldCharType="begin"/>
      </w:r>
      <w:r w:rsidRPr="00FE3F15">
        <w:instrText xml:space="preserve"> :Start:MECD_WT1 </w:instrText>
      </w:r>
      <w:r w:rsidRPr="00FE3F15">
        <w:fldChar w:fldCharType="end"/>
      </w:r>
      <w:r w:rsidR="003A4BA6" w:rsidRPr="00FE3F15">
        <w:t xml:space="preserve">Nominal GDP is forecast to grow by 3½ per cent in 2017-18 and 4 per cent in 2018-19. </w:t>
      </w:r>
      <w:r w:rsidR="001006FD" w:rsidRPr="00FE3F15">
        <w:t xml:space="preserve">The 2017-18 </w:t>
      </w:r>
      <w:proofErr w:type="gramStart"/>
      <w:r w:rsidR="001006FD" w:rsidRPr="00FE3F15">
        <w:t>forecast</w:t>
      </w:r>
      <w:proofErr w:type="gramEnd"/>
      <w:r w:rsidR="001006FD" w:rsidRPr="00FE3F15">
        <w:t xml:space="preserve"> is lower compared with Budget</w:t>
      </w:r>
      <w:r w:rsidR="003A4BA6" w:rsidRPr="00FE3F15">
        <w:t xml:space="preserve">, </w:t>
      </w:r>
      <w:r w:rsidR="00E81763" w:rsidRPr="00FE3F15">
        <w:t xml:space="preserve">largely </w:t>
      </w:r>
      <w:r w:rsidR="003A4BA6" w:rsidRPr="00FE3F15">
        <w:t xml:space="preserve">reflecting recent </w:t>
      </w:r>
      <w:r w:rsidR="00687A65" w:rsidRPr="00FE3F15">
        <w:t xml:space="preserve">subdued </w:t>
      </w:r>
      <w:r w:rsidR="00511B13" w:rsidRPr="00FE3F15">
        <w:t>outcomes for wage</w:t>
      </w:r>
      <w:r w:rsidR="003A4BA6" w:rsidRPr="00FE3F15">
        <w:t xml:space="preserve"> growth and domestic prices.</w:t>
      </w:r>
      <w:r w:rsidRPr="00FE3F15">
        <w:fldChar w:fldCharType="begin"/>
      </w:r>
      <w:r w:rsidRPr="00FE3F15">
        <w:instrText xml:space="preserve"> :End:MECD_WT1 </w:instrText>
      </w:r>
      <w:r w:rsidRPr="00FE3F15">
        <w:fldChar w:fldCharType="end"/>
      </w:r>
      <w:r w:rsidR="003A4BA6" w:rsidRPr="00FE3F15">
        <w:t xml:space="preserve"> </w:t>
      </w:r>
      <w:r w:rsidRPr="00FE3F15">
        <w:fldChar w:fldCharType="begin"/>
      </w:r>
      <w:r w:rsidRPr="00FE3F15">
        <w:instrText xml:space="preserve"> :Start:MECD_WT3 </w:instrText>
      </w:r>
      <w:r w:rsidRPr="00FE3F15">
        <w:fldChar w:fldCharType="end"/>
      </w:r>
      <w:r w:rsidR="003A4BA6" w:rsidRPr="00FE3F15">
        <w:t>Wages</w:t>
      </w:r>
      <w:r w:rsidR="00301C1F" w:rsidRPr="00FE3F15">
        <w:t xml:space="preserve"> are forecast to grow by 2¼ per </w:t>
      </w:r>
      <w:r w:rsidR="003A4BA6" w:rsidRPr="00FE3F15">
        <w:t xml:space="preserve">cent through the year to the June quarter 2018 </w:t>
      </w:r>
      <w:r w:rsidR="008B4C8E" w:rsidRPr="00FE3F15">
        <w:t>and 2¾ per cent through the year to the June quarter 2019.</w:t>
      </w:r>
      <w:r w:rsidR="00687A65" w:rsidRPr="00FE3F15">
        <w:t xml:space="preserve"> </w:t>
      </w:r>
      <w:r w:rsidR="00883CAD" w:rsidRPr="00FE3F15">
        <w:t>At the same time, t</w:t>
      </w:r>
      <w:r w:rsidR="00687A65" w:rsidRPr="00FE3F15">
        <w:t xml:space="preserve">he unemployment rate is expected to be lower than forecast at Budget as a result of recent strong </w:t>
      </w:r>
      <w:r w:rsidR="00D83761" w:rsidRPr="00FE3F15">
        <w:t>labour market outcomes.</w:t>
      </w:r>
      <w:r w:rsidRPr="00FE3F15">
        <w:fldChar w:fldCharType="begin"/>
      </w:r>
      <w:r w:rsidRPr="00FE3F15">
        <w:instrText xml:space="preserve"> :End:MECD_WT3 </w:instrText>
      </w:r>
      <w:r w:rsidRPr="00FE3F15">
        <w:fldChar w:fldCharType="end"/>
      </w:r>
    </w:p>
    <w:p w:rsidR="003A7739" w:rsidRPr="00FE3F15" w:rsidRDefault="003A7739" w:rsidP="00D05FEA">
      <w:pPr>
        <w:pStyle w:val="Heading2"/>
        <w:rPr>
          <w:b w:val="0"/>
          <w:smallCaps w:val="0"/>
        </w:rPr>
      </w:pPr>
      <w:r w:rsidRPr="00FE3F15">
        <w:t xml:space="preserve">International economic outlook </w:t>
      </w:r>
    </w:p>
    <w:p w:rsidR="00925872" w:rsidRPr="00FE3F15" w:rsidRDefault="00E67D83" w:rsidP="001534EE">
      <w:r w:rsidRPr="00FE3F15">
        <w:fldChar w:fldCharType="begin"/>
      </w:r>
      <w:r w:rsidRPr="00FE3F15">
        <w:instrText xml:space="preserve"> :Start:MECD_WT4 </w:instrText>
      </w:r>
      <w:r w:rsidRPr="00FE3F15">
        <w:fldChar w:fldCharType="end"/>
      </w:r>
      <w:r w:rsidR="003A7739" w:rsidRPr="00FE3F15">
        <w:t xml:space="preserve">Global growth has strengthened </w:t>
      </w:r>
      <w:r w:rsidR="004270CF" w:rsidRPr="00FE3F15">
        <w:t xml:space="preserve">significantly </w:t>
      </w:r>
      <w:r w:rsidR="003A7739" w:rsidRPr="00FE3F15">
        <w:t xml:space="preserve">over the course of the year. While </w:t>
      </w:r>
      <w:r w:rsidR="00906CE7" w:rsidRPr="00FE3F15">
        <w:t>the</w:t>
      </w:r>
      <w:r w:rsidR="00786FCE" w:rsidRPr="00FE3F15">
        <w:t xml:space="preserve"> strengthening in growth</w:t>
      </w:r>
      <w:r w:rsidR="003A7739" w:rsidRPr="00FE3F15">
        <w:t xml:space="preserve"> was anticipated at Budget, </w:t>
      </w:r>
      <w:r w:rsidR="00786FCE" w:rsidRPr="00FE3F15">
        <w:t>it</w:t>
      </w:r>
      <w:r w:rsidR="003A7739" w:rsidRPr="00FE3F15">
        <w:t xml:space="preserve"> has </w:t>
      </w:r>
      <w:r w:rsidR="00E74576" w:rsidRPr="00FE3F15">
        <w:t xml:space="preserve">accelerated </w:t>
      </w:r>
      <w:r w:rsidR="003A7739" w:rsidRPr="00FE3F15">
        <w:t xml:space="preserve">by more than forecast. </w:t>
      </w:r>
      <w:r w:rsidR="00906CE7" w:rsidRPr="00FE3F15">
        <w:t xml:space="preserve">The forecast for global growth has been upgraded to </w:t>
      </w:r>
      <w:r w:rsidR="00786FCE" w:rsidRPr="00FE3F15">
        <w:t>3½ per cent in 2017</w:t>
      </w:r>
      <w:r w:rsidR="00906CE7" w:rsidRPr="00FE3F15">
        <w:t xml:space="preserve"> and remains at </w:t>
      </w:r>
      <w:r w:rsidR="00786FCE" w:rsidRPr="00FE3F15">
        <w:t>3½</w:t>
      </w:r>
      <w:r w:rsidR="00DC7486" w:rsidRPr="00FE3F15">
        <w:t> </w:t>
      </w:r>
      <w:r w:rsidR="00786FCE" w:rsidRPr="00FE3F15">
        <w:t>per cent in 2018 and 3¾ per cent in 2019.</w:t>
      </w:r>
      <w:r w:rsidR="00906CE7" w:rsidRPr="00FE3F15">
        <w:t xml:space="preserve"> </w:t>
      </w:r>
      <w:r w:rsidR="00AD61E7" w:rsidRPr="00FE3F15">
        <w:t xml:space="preserve">The forecast for major trading partner growth </w:t>
      </w:r>
      <w:r w:rsidR="006E4911" w:rsidRPr="00FE3F15">
        <w:t>has also been upgraded in 2017</w:t>
      </w:r>
      <w:r w:rsidR="008B1C7F" w:rsidRPr="00FE3F15">
        <w:t xml:space="preserve">, with momentum in </w:t>
      </w:r>
      <w:r w:rsidR="009E2536" w:rsidRPr="00FE3F15">
        <w:t>China</w:t>
      </w:r>
      <w:r w:rsidR="00C92730" w:rsidRPr="00FE3F15">
        <w:t>, Japan</w:t>
      </w:r>
      <w:r w:rsidR="009E2536" w:rsidRPr="00FE3F15">
        <w:t xml:space="preserve"> and </w:t>
      </w:r>
      <w:r w:rsidR="00301C1F" w:rsidRPr="00FE3F15">
        <w:t>o</w:t>
      </w:r>
      <w:r w:rsidR="009E2536" w:rsidRPr="00FE3F15">
        <w:t>ther East</w:t>
      </w:r>
      <w:r w:rsidR="00DC7486" w:rsidRPr="00FE3F15">
        <w:t> </w:t>
      </w:r>
      <w:r w:rsidR="009E2536" w:rsidRPr="00FE3F15">
        <w:t>Asian economies</w:t>
      </w:r>
      <w:r w:rsidR="006E4911" w:rsidRPr="00FE3F15">
        <w:t>.</w:t>
      </w:r>
    </w:p>
    <w:p w:rsidR="00DC7486" w:rsidRPr="00FE3F15" w:rsidRDefault="00E67D83">
      <w:pPr>
        <w:spacing w:after="200" w:line="276" w:lineRule="auto"/>
      </w:pPr>
      <w:r w:rsidRPr="00FE3F15">
        <w:fldChar w:fldCharType="begin"/>
      </w:r>
      <w:r w:rsidRPr="00FE3F15">
        <w:instrText xml:space="preserve"> :End:MECD_WT4 </w:instrText>
      </w:r>
      <w:r w:rsidRPr="00FE3F15">
        <w:fldChar w:fldCharType="end"/>
      </w:r>
      <w:r w:rsidR="00DC7486" w:rsidRPr="00FE3F15">
        <w:br w:type="page"/>
      </w:r>
    </w:p>
    <w:p w:rsidR="003A7739" w:rsidRPr="00FE3F15" w:rsidRDefault="00E67D83" w:rsidP="00B615E1">
      <w:r w:rsidRPr="00FE3F15">
        <w:lastRenderedPageBreak/>
        <w:fldChar w:fldCharType="begin"/>
      </w:r>
      <w:r w:rsidRPr="00FE3F15">
        <w:instrText xml:space="preserve"> :Start:MECD_WT4 </w:instrText>
      </w:r>
      <w:r w:rsidRPr="00FE3F15">
        <w:fldChar w:fldCharType="end"/>
      </w:r>
      <w:r w:rsidR="00906CE7" w:rsidRPr="00FE3F15">
        <w:t>The drivers of global growth hav</w:t>
      </w:r>
      <w:r w:rsidR="00925872" w:rsidRPr="00FE3F15">
        <w:t xml:space="preserve">e </w:t>
      </w:r>
      <w:r w:rsidR="00712E34" w:rsidRPr="00FE3F15">
        <w:t>become</w:t>
      </w:r>
      <w:r w:rsidR="00925872" w:rsidRPr="00FE3F15">
        <w:t xml:space="preserve"> increasingly broad</w:t>
      </w:r>
      <w:r w:rsidR="00D97B76" w:rsidRPr="00FE3F15">
        <w:t xml:space="preserve"> </w:t>
      </w:r>
      <w:r w:rsidR="00925872" w:rsidRPr="00FE3F15">
        <w:t xml:space="preserve">based. </w:t>
      </w:r>
      <w:r w:rsidR="003A7739" w:rsidRPr="00FE3F15">
        <w:t xml:space="preserve">Growth </w:t>
      </w:r>
      <w:r w:rsidR="006A49BB" w:rsidRPr="00FE3F15">
        <w:t xml:space="preserve">has </w:t>
      </w:r>
      <w:r w:rsidR="003A7739" w:rsidRPr="00FE3F15">
        <w:t>strengthened in most advanced and emerging economies</w:t>
      </w:r>
      <w:r w:rsidR="00A614A7" w:rsidRPr="00FE3F15">
        <w:t xml:space="preserve"> over the year</w:t>
      </w:r>
      <w:r w:rsidR="003A7739" w:rsidRPr="00FE3F15">
        <w:t xml:space="preserve">, producing a more synchronised global expansion. </w:t>
      </w:r>
      <w:r w:rsidR="00A614A7" w:rsidRPr="00FE3F15">
        <w:t>T</w:t>
      </w:r>
      <w:r w:rsidR="003A7739" w:rsidRPr="00FE3F15">
        <w:t xml:space="preserve">he signs of stronger business sentiment that were emerging at </w:t>
      </w:r>
      <w:r w:rsidR="00252422" w:rsidRPr="00FE3F15">
        <w:t xml:space="preserve">the time of the </w:t>
      </w:r>
      <w:r w:rsidR="003A7739" w:rsidRPr="00FE3F15">
        <w:t>Budget have been reflected in increased business investment and industrial</w:t>
      </w:r>
      <w:r w:rsidR="00B27B9F" w:rsidRPr="00FE3F15">
        <w:t xml:space="preserve"> production in some countries. </w:t>
      </w:r>
      <w:r w:rsidR="00E74576" w:rsidRPr="00FE3F15">
        <w:t>Consequently, g</w:t>
      </w:r>
      <w:r w:rsidR="00A614A7" w:rsidRPr="00FE3F15">
        <w:t>rowth in g</w:t>
      </w:r>
      <w:r w:rsidR="003A7739" w:rsidRPr="00FE3F15">
        <w:t xml:space="preserve">lobal trade </w:t>
      </w:r>
      <w:r w:rsidR="00A614A7" w:rsidRPr="00FE3F15">
        <w:t>has</w:t>
      </w:r>
      <w:r w:rsidR="003A7739" w:rsidRPr="00FE3F15">
        <w:t xml:space="preserve"> also </w:t>
      </w:r>
      <w:r w:rsidR="00E74576" w:rsidRPr="00FE3F15">
        <w:t>increased</w:t>
      </w:r>
      <w:r w:rsidR="003A7739" w:rsidRPr="00FE3F15">
        <w:t>, especially in Asia.</w:t>
      </w:r>
    </w:p>
    <w:p w:rsidR="005F2A0A" w:rsidRPr="00FE3F15" w:rsidRDefault="00E74576" w:rsidP="00B615E1">
      <w:r w:rsidRPr="00FE3F15">
        <w:t xml:space="preserve">Stronger </w:t>
      </w:r>
      <w:r w:rsidR="00A614A7" w:rsidRPr="00FE3F15">
        <w:t xml:space="preserve">growth has resulted in </w:t>
      </w:r>
      <w:r w:rsidR="00252422" w:rsidRPr="00FE3F15">
        <w:t xml:space="preserve">a significant absorption of </w:t>
      </w:r>
      <w:r w:rsidR="00A614A7" w:rsidRPr="00FE3F15">
        <w:t xml:space="preserve">spare </w:t>
      </w:r>
      <w:r w:rsidR="006A49BB" w:rsidRPr="00FE3F15">
        <w:t>capacity in major advanced economies</w:t>
      </w:r>
      <w:r w:rsidR="00A60774" w:rsidRPr="00FE3F15">
        <w:t xml:space="preserve">. </w:t>
      </w:r>
      <w:r w:rsidR="00A614A7" w:rsidRPr="00FE3F15">
        <w:t>L</w:t>
      </w:r>
      <w:r w:rsidR="00A60774" w:rsidRPr="00FE3F15">
        <w:t xml:space="preserve">abour market conditions have tightened, with </w:t>
      </w:r>
      <w:r w:rsidR="005F2A0A" w:rsidRPr="00FE3F15">
        <w:t xml:space="preserve">Japan and the </w:t>
      </w:r>
      <w:r w:rsidR="00A60774" w:rsidRPr="00FE3F15">
        <w:t xml:space="preserve">United States reporting unemployment rates </w:t>
      </w:r>
      <w:r w:rsidR="005F2A0A" w:rsidRPr="00FE3F15">
        <w:t>that have not been experienced in around two decades. The euro area unemployment rate is</w:t>
      </w:r>
      <w:r w:rsidR="00B27B9F" w:rsidRPr="00FE3F15">
        <w:t xml:space="preserve"> at</w:t>
      </w:r>
      <w:r w:rsidR="005F2A0A" w:rsidRPr="00FE3F15">
        <w:t xml:space="preserve"> its lowest level since 2009.</w:t>
      </w:r>
    </w:p>
    <w:p w:rsidR="003A7739" w:rsidRPr="00FE3F15" w:rsidRDefault="00715F02" w:rsidP="00B615E1">
      <w:r w:rsidRPr="00FE3F15">
        <w:t xml:space="preserve">Despite tightening labour market conditions, inflation remains below </w:t>
      </w:r>
      <w:r w:rsidR="00E74576" w:rsidRPr="00FE3F15">
        <w:t xml:space="preserve">central bank </w:t>
      </w:r>
      <w:r w:rsidRPr="00FE3F15">
        <w:t>target</w:t>
      </w:r>
      <w:r w:rsidR="00E74576" w:rsidRPr="00FE3F15">
        <w:t>s</w:t>
      </w:r>
      <w:r w:rsidRPr="00FE3F15">
        <w:t xml:space="preserve"> in many advanced economies</w:t>
      </w:r>
      <w:r w:rsidR="00712E34" w:rsidRPr="00FE3F15">
        <w:t xml:space="preserve"> and </w:t>
      </w:r>
      <w:r w:rsidR="00D63AE2" w:rsidRPr="00FE3F15">
        <w:t xml:space="preserve">there remains </w:t>
      </w:r>
      <w:r w:rsidR="00712E34" w:rsidRPr="00FE3F15">
        <w:t>uncertainty around the outlook for inflation and wage growth</w:t>
      </w:r>
      <w:r w:rsidRPr="00FE3F15">
        <w:t>. A</w:t>
      </w:r>
      <w:r w:rsidR="00DB39BB" w:rsidRPr="00FE3F15">
        <w:t>s th</w:t>
      </w:r>
      <w:r w:rsidR="00843765" w:rsidRPr="00FE3F15">
        <w:t>e</w:t>
      </w:r>
      <w:r w:rsidR="00DB39BB" w:rsidRPr="00FE3F15">
        <w:t xml:space="preserve"> major advanced</w:t>
      </w:r>
      <w:r w:rsidR="003A7739" w:rsidRPr="00FE3F15">
        <w:t xml:space="preserve"> economies continue to press </w:t>
      </w:r>
      <w:r w:rsidR="00843765" w:rsidRPr="00FE3F15">
        <w:t xml:space="preserve">up </w:t>
      </w:r>
      <w:r w:rsidR="003A7739" w:rsidRPr="00FE3F15">
        <w:t xml:space="preserve">against capacity </w:t>
      </w:r>
      <w:r w:rsidR="00712E34" w:rsidRPr="00FE3F15">
        <w:t>constraints</w:t>
      </w:r>
      <w:r w:rsidR="00883CAD" w:rsidRPr="00FE3F15">
        <w:t>,</w:t>
      </w:r>
      <w:r w:rsidR="00712E34" w:rsidRPr="00FE3F15">
        <w:t xml:space="preserve"> </w:t>
      </w:r>
      <w:r w:rsidR="003A7739" w:rsidRPr="00FE3F15">
        <w:t xml:space="preserve">some cyclical response in inflation is </w:t>
      </w:r>
      <w:r w:rsidR="00712E34" w:rsidRPr="00FE3F15">
        <w:t>expected.</w:t>
      </w:r>
      <w:r w:rsidR="00DB39BB" w:rsidRPr="00FE3F15">
        <w:t xml:space="preserve"> </w:t>
      </w:r>
      <w:r w:rsidR="003A7739" w:rsidRPr="00FE3F15">
        <w:t xml:space="preserve">Monetary policy settings remain accommodative but the process of slowly withdrawing stimulus has begun in some advanced economies, </w:t>
      </w:r>
      <w:r w:rsidR="00925872" w:rsidRPr="00FE3F15">
        <w:t xml:space="preserve">most </w:t>
      </w:r>
      <w:r w:rsidR="003A7739" w:rsidRPr="00FE3F15">
        <w:t xml:space="preserve">notably </w:t>
      </w:r>
      <w:r w:rsidR="00925872" w:rsidRPr="00FE3F15">
        <w:t xml:space="preserve">in </w:t>
      </w:r>
      <w:r w:rsidR="003A7739" w:rsidRPr="00FE3F15">
        <w:t>the United States</w:t>
      </w:r>
      <w:r w:rsidR="00712E34" w:rsidRPr="00FE3F15">
        <w:t xml:space="preserve">. </w:t>
      </w:r>
    </w:p>
    <w:p w:rsidR="003A7739" w:rsidRPr="00FE3F15" w:rsidRDefault="003A7739" w:rsidP="00B615E1">
      <w:r w:rsidRPr="00FE3F15">
        <w:t xml:space="preserve">Short-term risks to the global outlook are </w:t>
      </w:r>
      <w:r w:rsidR="00421F1C" w:rsidRPr="00FE3F15">
        <w:t>more</w:t>
      </w:r>
      <w:r w:rsidRPr="00FE3F15">
        <w:t xml:space="preserve"> balanced than they have been for some time. Global growth has strengthened and appears to be </w:t>
      </w:r>
      <w:r w:rsidR="00D63AE2" w:rsidRPr="00FE3F15">
        <w:t>more sustainable</w:t>
      </w:r>
      <w:r w:rsidR="00B27B9F" w:rsidRPr="00FE3F15">
        <w:t xml:space="preserve">. </w:t>
      </w:r>
      <w:r w:rsidRPr="00FE3F15">
        <w:t xml:space="preserve">There is a risk that the momentum experienced in 2017 continues at a stronger-than-expected pace into 2018 and advanced economies </w:t>
      </w:r>
      <w:r w:rsidR="009E2536" w:rsidRPr="00FE3F15">
        <w:t xml:space="preserve">press </w:t>
      </w:r>
      <w:r w:rsidRPr="00FE3F15">
        <w:t xml:space="preserve">up against capacity constraints </w:t>
      </w:r>
      <w:r w:rsidR="00E74576" w:rsidRPr="00FE3F15">
        <w:t>sooner</w:t>
      </w:r>
      <w:r w:rsidRPr="00FE3F15">
        <w:t xml:space="preserve">. </w:t>
      </w:r>
      <w:r w:rsidR="00E74576" w:rsidRPr="00FE3F15">
        <w:t>S</w:t>
      </w:r>
      <w:r w:rsidRPr="00FE3F15">
        <w:t xml:space="preserve">tronger </w:t>
      </w:r>
      <w:r w:rsidR="002A06C2" w:rsidRPr="00FE3F15">
        <w:t>growth</w:t>
      </w:r>
      <w:r w:rsidR="009E2536" w:rsidRPr="00FE3F15">
        <w:t xml:space="preserve"> </w:t>
      </w:r>
      <w:r w:rsidRPr="00FE3F15">
        <w:t xml:space="preserve">in 2018 could mean weaker growth in 2019. The recalibration of monetary policy in several major </w:t>
      </w:r>
      <w:r w:rsidR="00B34AEA" w:rsidRPr="00FE3F15">
        <w:t>advanced</w:t>
      </w:r>
      <w:r w:rsidRPr="00FE3F15">
        <w:t xml:space="preserve"> economies may be </w:t>
      </w:r>
      <w:r w:rsidR="002A06C2" w:rsidRPr="00FE3F15">
        <w:t>challeng</w:t>
      </w:r>
      <w:r w:rsidR="00E74576" w:rsidRPr="00FE3F15">
        <w:t>ing</w:t>
      </w:r>
      <w:r w:rsidR="002A06C2" w:rsidRPr="00FE3F15">
        <w:t xml:space="preserve"> </w:t>
      </w:r>
      <w:r w:rsidRPr="00FE3F15">
        <w:t>in this environment.</w:t>
      </w:r>
    </w:p>
    <w:p w:rsidR="003A7739" w:rsidRPr="00FE3F15" w:rsidRDefault="003A7739" w:rsidP="00B615E1">
      <w:r w:rsidRPr="00FE3F15">
        <w:t>Geopolitical uncertainty remains elevated</w:t>
      </w:r>
      <w:r w:rsidR="00D46619" w:rsidRPr="00FE3F15">
        <w:t>,</w:t>
      </w:r>
      <w:r w:rsidR="00C92730" w:rsidRPr="00FE3F15">
        <w:t xml:space="preserve"> including on the Korean Peninsula</w:t>
      </w:r>
      <w:r w:rsidR="00D46619" w:rsidRPr="00FE3F15">
        <w:t>,</w:t>
      </w:r>
      <w:r w:rsidRPr="00FE3F15">
        <w:t xml:space="preserve"> and a range of medium-term risks remain. High levels of debt, potential financial imbalances, and overcapacity in some sectors remain key vulnerabilities to China’s</w:t>
      </w:r>
      <w:r w:rsidR="00F33397" w:rsidRPr="00FE3F15">
        <w:t xml:space="preserve"> </w:t>
      </w:r>
      <w:r w:rsidRPr="00FE3F15">
        <w:t xml:space="preserve">economy. Broader structural challenges, including demographic </w:t>
      </w:r>
      <w:r w:rsidR="00D97B76" w:rsidRPr="00FE3F15">
        <w:t xml:space="preserve">change </w:t>
      </w:r>
      <w:r w:rsidRPr="00FE3F15">
        <w:t>and slower productivity growth in many countries, will continue to weigh on global growth potential over the medium to long</w:t>
      </w:r>
      <w:r w:rsidR="00C43CF5" w:rsidRPr="00FE3F15">
        <w:t>er</w:t>
      </w:r>
      <w:r w:rsidR="00D97B76" w:rsidRPr="00FE3F15">
        <w:t xml:space="preserve"> </w:t>
      </w:r>
      <w:r w:rsidRPr="00FE3F15">
        <w:t xml:space="preserve">term.  </w:t>
      </w:r>
    </w:p>
    <w:p w:rsidR="00DC7486" w:rsidRPr="00FE3F15" w:rsidRDefault="00DC7486">
      <w:pPr>
        <w:spacing w:after="200" w:line="276" w:lineRule="auto"/>
        <w:rPr>
          <w:rFonts w:ascii="Helvetica" w:hAnsi="Helvetica" w:cs="Helvetica"/>
          <w:b/>
          <w:bCs/>
          <w:sz w:val="16"/>
          <w:szCs w:val="16"/>
        </w:rPr>
      </w:pPr>
      <w:r w:rsidRPr="00FE3F15">
        <w:rPr>
          <w:rFonts w:ascii="Helvetica" w:hAnsi="Helvetica" w:cs="Helvetica"/>
          <w:b/>
          <w:bCs/>
          <w:sz w:val="16"/>
          <w:szCs w:val="16"/>
        </w:rPr>
        <w:br w:type="page"/>
      </w:r>
    </w:p>
    <w:p w:rsidR="00DF52A0" w:rsidRPr="00FE3F15" w:rsidRDefault="00DF52A0" w:rsidP="00DC7486">
      <w:pPr>
        <w:pStyle w:val="TableHeading"/>
      </w:pPr>
      <w:r w:rsidRPr="00FE3F15">
        <w:lastRenderedPageBreak/>
        <w:t xml:space="preserve">Table 2.1: International GDP growth </w:t>
      </w:r>
      <w:proofErr w:type="gramStart"/>
      <w:r w:rsidRPr="00FE3F15">
        <w:t>forecasts</w:t>
      </w:r>
      <w:r w:rsidRPr="00FE3F15">
        <w:rPr>
          <w:rFonts w:ascii="Arial Bold" w:hAnsi="Arial Bold"/>
          <w:vertAlign w:val="superscript"/>
        </w:rPr>
        <w:t>(</w:t>
      </w:r>
      <w:proofErr w:type="gramEnd"/>
      <w:r w:rsidRPr="00FE3F15">
        <w:rPr>
          <w:rFonts w:ascii="Arial Bold" w:hAnsi="Arial Bold"/>
          <w:vertAlign w:val="superscript"/>
        </w:rPr>
        <w:t>a)</w:t>
      </w:r>
    </w:p>
    <w:p w:rsidR="00DF52A0" w:rsidRPr="00FE3F15" w:rsidRDefault="008F7AC9" w:rsidP="008F7AC9">
      <w:pPr>
        <w:pStyle w:val="TableGraphic"/>
      </w:pPr>
      <w:r w:rsidRPr="00FE3F15">
        <w:object w:dxaOrig="7758" w:dyaOrig="21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8pt;height:108.95pt" o:ole="">
            <v:imagedata r:id="rId9" o:title=""/>
          </v:shape>
          <o:OLEObject Type="Link" ProgID="Excel.Sheet.12" ShapeID="_x0000_i1025" DrawAspect="Content" r:id="rId10" UpdateMode="Always">
            <o:LinkType>EnhancedMetaFile</o:LinkType>
            <o:LockedField/>
          </o:OLEObject>
        </w:object>
      </w:r>
    </w:p>
    <w:p w:rsidR="00DF52A0" w:rsidRPr="00FE3F15" w:rsidRDefault="00DF52A0" w:rsidP="00DC7486">
      <w:pPr>
        <w:pStyle w:val="ChartandTableFootnoteAlpha"/>
      </w:pPr>
      <w:r w:rsidRPr="00FE3F15">
        <w:t>World, euro area and other East Asia growth rates are calculated using GDP weights based on purchasing power parity (PPP), while growth rates for major trading partners are calculated using export trade weights.</w:t>
      </w:r>
    </w:p>
    <w:p w:rsidR="00DF52A0" w:rsidRPr="00FE3F15" w:rsidRDefault="00DF52A0" w:rsidP="00DC7486">
      <w:pPr>
        <w:pStyle w:val="ChartandTableFootnoteAlpha"/>
      </w:pPr>
      <w:r w:rsidRPr="00FE3F15">
        <w:t>Other East Asia comprises Hong Kong, South Korea, Singapore</w:t>
      </w:r>
      <w:r w:rsidR="00024B17" w:rsidRPr="00FE3F15">
        <w:t xml:space="preserve">, </w:t>
      </w:r>
      <w:r w:rsidRPr="00FE3F15">
        <w:t>Taiwan and the Association of Southeast Asian Nations group of five (ASEAN-5): Indonesia, Malaysia, the Philippines, Thailand and Vietnam.</w:t>
      </w:r>
    </w:p>
    <w:p w:rsidR="00DF52A0" w:rsidRPr="00FE3F15" w:rsidRDefault="00DF52A0" w:rsidP="00DC7486">
      <w:pPr>
        <w:pStyle w:val="ChartandTableFootnote"/>
      </w:pPr>
      <w:r w:rsidRPr="00FE3F15">
        <w:t>Source: National statistical agencies, IMF World Economic Outlook (October 2017), Thomson Reuters and Treasury.</w:t>
      </w:r>
    </w:p>
    <w:p w:rsidR="001A06B2" w:rsidRPr="00FE3F15" w:rsidRDefault="001A06B2" w:rsidP="00DC7486">
      <w:pPr>
        <w:pStyle w:val="SingleParagraph"/>
      </w:pPr>
    </w:p>
    <w:p w:rsidR="003A7739" w:rsidRPr="00FE3F15" w:rsidRDefault="003A7739" w:rsidP="00DB39BB">
      <w:r w:rsidRPr="00FE3F15">
        <w:t xml:space="preserve">The </w:t>
      </w:r>
      <w:r w:rsidRPr="00FE3F15">
        <w:rPr>
          <w:b/>
        </w:rPr>
        <w:t>United States</w:t>
      </w:r>
      <w:r w:rsidRPr="00FE3F15">
        <w:t xml:space="preserve"> economy continues to </w:t>
      </w:r>
      <w:r w:rsidR="00DB39BB" w:rsidRPr="00FE3F15">
        <w:t xml:space="preserve">grow at above-potential rates. As a result, the unemployment rate has fallen to </w:t>
      </w:r>
      <w:r w:rsidR="00B27B9F" w:rsidRPr="00FE3F15">
        <w:t xml:space="preserve">17-year lows. </w:t>
      </w:r>
      <w:r w:rsidRPr="00FE3F15">
        <w:t xml:space="preserve">While inflation remains below the </w:t>
      </w:r>
      <w:r w:rsidR="00602B40" w:rsidRPr="00FE3F15">
        <w:t>Federal Reserve’s</w:t>
      </w:r>
      <w:r w:rsidRPr="00FE3F15">
        <w:t xml:space="preserve"> target it is expected to increase over the next few years</w:t>
      </w:r>
      <w:r w:rsidR="00DB39BB" w:rsidRPr="00FE3F15">
        <w:t xml:space="preserve"> and </w:t>
      </w:r>
      <w:r w:rsidR="002A06C2" w:rsidRPr="00FE3F15">
        <w:t>the Federal Reserve</w:t>
      </w:r>
      <w:r w:rsidR="00602B40" w:rsidRPr="00FE3F15">
        <w:t xml:space="preserve"> </w:t>
      </w:r>
      <w:r w:rsidR="000E239C" w:rsidRPr="00FE3F15">
        <w:t xml:space="preserve">has begun </w:t>
      </w:r>
      <w:r w:rsidRPr="00FE3F15">
        <w:t>t</w:t>
      </w:r>
      <w:r w:rsidR="00B27B9F" w:rsidRPr="00FE3F15">
        <w:t xml:space="preserve">o raise </w:t>
      </w:r>
      <w:r w:rsidR="00E74576" w:rsidRPr="00FE3F15">
        <w:t xml:space="preserve">short-term </w:t>
      </w:r>
      <w:r w:rsidR="00B27B9F" w:rsidRPr="00FE3F15">
        <w:t>interest rates</w:t>
      </w:r>
      <w:r w:rsidR="00E74576" w:rsidRPr="00FE3F15">
        <w:t xml:space="preserve"> slowly</w:t>
      </w:r>
      <w:r w:rsidR="00B27B9F" w:rsidRPr="00FE3F15">
        <w:t xml:space="preserve">. </w:t>
      </w:r>
      <w:r w:rsidRPr="00FE3F15">
        <w:t xml:space="preserve">It has also begun the process of winding back its quantitative easing program by initiating graduated reductions in the rollover of maturing securities. There is a degree of uncertainty around the US outlook, </w:t>
      </w:r>
      <w:r w:rsidR="00F73DD0" w:rsidRPr="00FE3F15">
        <w:t xml:space="preserve">particularly </w:t>
      </w:r>
      <w:r w:rsidRPr="00FE3F15">
        <w:t xml:space="preserve">with ongoing negotiations </w:t>
      </w:r>
      <w:r w:rsidR="00DB39BB" w:rsidRPr="00FE3F15">
        <w:t>around</w:t>
      </w:r>
      <w:r w:rsidRPr="00FE3F15">
        <w:t xml:space="preserve"> </w:t>
      </w:r>
      <w:r w:rsidR="00DB39BB" w:rsidRPr="00FE3F15">
        <w:t>tax reform.</w:t>
      </w:r>
    </w:p>
    <w:p w:rsidR="003A7739" w:rsidRPr="00FE3F15" w:rsidRDefault="003A7739" w:rsidP="000E239C">
      <w:r w:rsidRPr="00FE3F15">
        <w:rPr>
          <w:b/>
        </w:rPr>
        <w:t>Euro area</w:t>
      </w:r>
      <w:r w:rsidRPr="00FE3F15">
        <w:t xml:space="preserve"> economies have </w:t>
      </w:r>
      <w:r w:rsidR="000E239C" w:rsidRPr="00FE3F15">
        <w:t xml:space="preserve">recorded strong growth since the Budget and there have been continued reductions in unemployment rates across the bloc. </w:t>
      </w:r>
      <w:r w:rsidRPr="00FE3F15">
        <w:t>Consumption,</w:t>
      </w:r>
      <w:r w:rsidR="00F058A9" w:rsidRPr="00FE3F15">
        <w:t> </w:t>
      </w:r>
      <w:r w:rsidRPr="00FE3F15">
        <w:t xml:space="preserve">investment and trade </w:t>
      </w:r>
      <w:r w:rsidR="000E239C" w:rsidRPr="00FE3F15">
        <w:t>have all</w:t>
      </w:r>
      <w:r w:rsidRPr="00FE3F15">
        <w:t xml:space="preserve"> contributed</w:t>
      </w:r>
      <w:r w:rsidR="000E239C" w:rsidRPr="00FE3F15">
        <w:t xml:space="preserve"> to growth. </w:t>
      </w:r>
      <w:r w:rsidRPr="00FE3F15">
        <w:t xml:space="preserve">While the political makeup and policy direction of some European countries have been resolved through the year, </w:t>
      </w:r>
      <w:r w:rsidR="00C43CF5" w:rsidRPr="00FE3F15">
        <w:t xml:space="preserve">uncertainty remains </w:t>
      </w:r>
      <w:r w:rsidRPr="00FE3F15">
        <w:t xml:space="preserve">for other key euro </w:t>
      </w:r>
      <w:r w:rsidR="00C43CF5" w:rsidRPr="00FE3F15">
        <w:t xml:space="preserve">area </w:t>
      </w:r>
      <w:r w:rsidRPr="00FE3F15">
        <w:t>economies. Negotiations</w:t>
      </w:r>
      <w:r w:rsidR="00F058A9" w:rsidRPr="00FE3F15">
        <w:t> </w:t>
      </w:r>
      <w:r w:rsidRPr="00FE3F15">
        <w:t>concerning the exit of the UK from the EU continue and fragilities persist in the banking sectors of a number of economies. While the euro area previously struggled to sustain economic momentum in the period following the G</w:t>
      </w:r>
      <w:r w:rsidR="000E239C" w:rsidRPr="00FE3F15">
        <w:t>lobal Financial Crisis</w:t>
      </w:r>
      <w:r w:rsidRPr="00FE3F15">
        <w:t>, the balanced nature of growth across countries and a supportive external environment are positive factors.</w:t>
      </w:r>
    </w:p>
    <w:p w:rsidR="003A7739" w:rsidRPr="00FE3F15" w:rsidRDefault="003A7739" w:rsidP="000E239C">
      <w:pPr>
        <w:rPr>
          <w:b/>
        </w:rPr>
      </w:pPr>
      <w:r w:rsidRPr="00FE3F15">
        <w:rPr>
          <w:b/>
        </w:rPr>
        <w:t xml:space="preserve">Japan </w:t>
      </w:r>
      <w:r w:rsidRPr="00FE3F15">
        <w:t>is benefiting from strong economic momentum, with the unemployment rate falling to new lows. A surge in global electronics demand has boosted exports</w:t>
      </w:r>
      <w:r w:rsidR="00C77AF4" w:rsidRPr="00FE3F15">
        <w:t>, while i</w:t>
      </w:r>
      <w:r w:rsidRPr="00FE3F15">
        <w:t>nvestment has been assisted by Olympics-related infrastructure spending. There is growing pressure on corporates to use retained earnings more productively, in particular by lifting wages in order to support household consumption. Unf</w:t>
      </w:r>
      <w:r w:rsidR="000E239C" w:rsidRPr="00FE3F15">
        <w:t>avourable</w:t>
      </w:r>
      <w:r w:rsidR="00C05417" w:rsidRPr="00FE3F15">
        <w:t> </w:t>
      </w:r>
      <w:r w:rsidR="000E239C" w:rsidRPr="00FE3F15">
        <w:t>demographics continue</w:t>
      </w:r>
      <w:r w:rsidRPr="00FE3F15">
        <w:t xml:space="preserve"> to weigh on Japan’s long-term growth outlook and</w:t>
      </w:r>
      <w:r w:rsidR="000E239C" w:rsidRPr="00FE3F15">
        <w:t xml:space="preserve"> </w:t>
      </w:r>
      <w:r w:rsidRPr="00FE3F15">
        <w:t>core inflation remains well below target.</w:t>
      </w:r>
      <w:r w:rsidRPr="00FE3F15">
        <w:rPr>
          <w:b/>
        </w:rPr>
        <w:t xml:space="preserve"> </w:t>
      </w:r>
    </w:p>
    <w:p w:rsidR="00DC7486" w:rsidRPr="00FE3F15" w:rsidRDefault="00DC7486">
      <w:pPr>
        <w:spacing w:after="200" w:line="276" w:lineRule="auto"/>
        <w:rPr>
          <w:b/>
        </w:rPr>
      </w:pPr>
      <w:r w:rsidRPr="00FE3F15">
        <w:rPr>
          <w:b/>
        </w:rPr>
        <w:br w:type="page"/>
      </w:r>
    </w:p>
    <w:p w:rsidR="00602B40" w:rsidRPr="00FE3F15" w:rsidRDefault="00602B40" w:rsidP="00602B40">
      <w:r w:rsidRPr="00FE3F15">
        <w:rPr>
          <w:b/>
        </w:rPr>
        <w:lastRenderedPageBreak/>
        <w:t>China</w:t>
      </w:r>
      <w:r w:rsidRPr="00FE3F15">
        <w:t xml:space="preserve"> maintained </w:t>
      </w:r>
      <w:r w:rsidR="00E74576" w:rsidRPr="00FE3F15">
        <w:t xml:space="preserve">strong </w:t>
      </w:r>
      <w:r w:rsidRPr="00FE3F15">
        <w:t xml:space="preserve">growth through 2017, supported by momentum in </w:t>
      </w:r>
      <w:r w:rsidR="00C92730" w:rsidRPr="00FE3F15">
        <w:t xml:space="preserve">the </w:t>
      </w:r>
      <w:r w:rsidRPr="00FE3F15">
        <w:t xml:space="preserve">property </w:t>
      </w:r>
      <w:r w:rsidR="00C92730" w:rsidRPr="00FE3F15">
        <w:t xml:space="preserve">and </w:t>
      </w:r>
      <w:r w:rsidRPr="00FE3F15">
        <w:t>services sector</w:t>
      </w:r>
      <w:r w:rsidR="00C92730" w:rsidRPr="00FE3F15">
        <w:t>s</w:t>
      </w:r>
      <w:r w:rsidR="00E74576" w:rsidRPr="00FE3F15">
        <w:t>. E</w:t>
      </w:r>
      <w:r w:rsidRPr="00FE3F15">
        <w:t xml:space="preserve">xports and imports strengthened </w:t>
      </w:r>
      <w:r w:rsidR="00F33397" w:rsidRPr="00FE3F15">
        <w:t xml:space="preserve">alongside the </w:t>
      </w:r>
      <w:r w:rsidRPr="00FE3F15">
        <w:t>recovery in global trade flows. Growth is expected to moderate in coming years, reflecting</w:t>
      </w:r>
      <w:r w:rsidR="001006FD" w:rsidRPr="00FE3F15">
        <w:t xml:space="preserve"> slowing infrastructure investment growth by local governments and</w:t>
      </w:r>
      <w:r w:rsidRPr="00FE3F15">
        <w:t xml:space="preserve"> a gradual tightening of financial conditions as authorities address financial sector risks. The</w:t>
      </w:r>
      <w:r w:rsidR="00C05417" w:rsidRPr="00FE3F15">
        <w:t> </w:t>
      </w:r>
      <w:r w:rsidRPr="00FE3F15">
        <w:t>recent National Party Congress emphasised the need to shift from recent rapid growth towards high-quality growth and to focus on addressing financial risks.</w:t>
      </w:r>
    </w:p>
    <w:p w:rsidR="003A7739" w:rsidRPr="00FE3F15" w:rsidRDefault="003A7739" w:rsidP="0000583A">
      <w:r w:rsidRPr="00FE3F15">
        <w:t xml:space="preserve">A recovery in global trade has contributed to stronger activity in many of the </w:t>
      </w:r>
      <w:r w:rsidRPr="00FE3F15">
        <w:rPr>
          <w:b/>
        </w:rPr>
        <w:t>ASEAN</w:t>
      </w:r>
      <w:r w:rsidR="00D97B76" w:rsidRPr="00FE3F15">
        <w:rPr>
          <w:b/>
        </w:rPr>
        <w:noBreakHyphen/>
      </w:r>
      <w:r w:rsidRPr="00FE3F15">
        <w:rPr>
          <w:b/>
        </w:rPr>
        <w:t>5</w:t>
      </w:r>
      <w:r w:rsidRPr="00FE3F15">
        <w:t xml:space="preserve"> economies, particularly in Malaysia, but also in the Philippines, Thailand and Vietnam. Continued strength in external demand for these economies’ exports of electronics and consumer products would support growth into next year. Less</w:t>
      </w:r>
      <w:r w:rsidR="00F058A9" w:rsidRPr="00FE3F15">
        <w:t> </w:t>
      </w:r>
      <w:r w:rsidR="00883CAD" w:rsidRPr="00FE3F15">
        <w:t>export</w:t>
      </w:r>
      <w:r w:rsidR="00883CAD" w:rsidRPr="00FE3F15">
        <w:noBreakHyphen/>
      </w:r>
      <w:r w:rsidRPr="00FE3F15">
        <w:t xml:space="preserve">oriented than many of its regional neighbours, Indonesia </w:t>
      </w:r>
      <w:r w:rsidR="00C43CF5" w:rsidRPr="00FE3F15">
        <w:t xml:space="preserve">is expected to </w:t>
      </w:r>
      <w:r w:rsidRPr="00FE3F15">
        <w:t>continue to rely on domestic demand to drive growth.</w:t>
      </w:r>
    </w:p>
    <w:p w:rsidR="003A7739" w:rsidRPr="00FE3F15" w:rsidRDefault="003A7739" w:rsidP="0000583A">
      <w:r w:rsidRPr="00FE3F15">
        <w:t xml:space="preserve">Growth has moderated in </w:t>
      </w:r>
      <w:r w:rsidRPr="00FE3F15">
        <w:rPr>
          <w:b/>
        </w:rPr>
        <w:t>India</w:t>
      </w:r>
      <w:r w:rsidR="0000583A" w:rsidRPr="00FE3F15">
        <w:rPr>
          <w:b/>
        </w:rPr>
        <w:t xml:space="preserve"> </w:t>
      </w:r>
      <w:r w:rsidR="0000583A" w:rsidRPr="00FE3F15">
        <w:t>during 2017</w:t>
      </w:r>
      <w:r w:rsidRPr="00FE3F15">
        <w:t>, mainly due to subdued investment and disruption associated with the implementation of a nationwide goods and services tax (GST). The Indian Government is taking steps to free up capital flows, particularly with the announcement of a large public sector bank recapitalisation plan. Growth</w:t>
      </w:r>
      <w:r w:rsidR="00F058A9" w:rsidRPr="00FE3F15">
        <w:t> </w:t>
      </w:r>
      <w:r w:rsidR="00E74576" w:rsidRPr="00FE3F15">
        <w:t xml:space="preserve">accelerated in the September quarter and is </w:t>
      </w:r>
      <w:r w:rsidRPr="00FE3F15">
        <w:t xml:space="preserve">expected to </w:t>
      </w:r>
      <w:r w:rsidR="00E74576" w:rsidRPr="00FE3F15">
        <w:t>return to the rates seen in recent years</w:t>
      </w:r>
      <w:r w:rsidRPr="00FE3F15">
        <w:t xml:space="preserve"> as the transitional impact of the GST fades and the benefits of the Government’s reform package support the economy. </w:t>
      </w:r>
    </w:p>
    <w:p w:rsidR="003A7739" w:rsidRPr="00FE3F15" w:rsidRDefault="00E67D83" w:rsidP="00DB39BB">
      <w:pPr>
        <w:pStyle w:val="Heading2"/>
        <w:rPr>
          <w:b w:val="0"/>
          <w:smallCaps w:val="0"/>
        </w:rPr>
      </w:pPr>
      <w:r w:rsidRPr="00FE3F15">
        <w:fldChar w:fldCharType="begin"/>
      </w:r>
      <w:r w:rsidRPr="00FE3F15">
        <w:instrText xml:space="preserve"> :End:MECD_WT4 </w:instrText>
      </w:r>
      <w:r w:rsidRPr="00FE3F15">
        <w:fldChar w:fldCharType="end"/>
      </w:r>
      <w:r w:rsidRPr="00FE3F15">
        <w:fldChar w:fldCharType="begin"/>
      </w:r>
      <w:r w:rsidRPr="00FE3F15">
        <w:instrText xml:space="preserve"> :Start:MECD_WT1 </w:instrText>
      </w:r>
      <w:r w:rsidRPr="00FE3F15">
        <w:fldChar w:fldCharType="end"/>
      </w:r>
      <w:r w:rsidR="003A7739" w:rsidRPr="00FE3F15">
        <w:t xml:space="preserve">Domestic economic outlook </w:t>
      </w:r>
    </w:p>
    <w:p w:rsidR="00903A60" w:rsidRPr="00FE3F15" w:rsidRDefault="003A7739" w:rsidP="00903A60">
      <w:r w:rsidRPr="00FE3F15">
        <w:t>Australia’s economy has now completed its 26th conse</w:t>
      </w:r>
      <w:r w:rsidR="00903A60" w:rsidRPr="00FE3F15">
        <w:t xml:space="preserve">cutive year of economic growth and is expected to grow at a solid pace in 2017-18 as the drag on growth from </w:t>
      </w:r>
      <w:r w:rsidR="008167FF" w:rsidRPr="00FE3F15">
        <w:t xml:space="preserve">falling </w:t>
      </w:r>
      <w:r w:rsidR="00903A60" w:rsidRPr="00FE3F15">
        <w:t xml:space="preserve">mining investment </w:t>
      </w:r>
      <w:r w:rsidR="005A2C77" w:rsidRPr="00FE3F15">
        <w:t>nears completion</w:t>
      </w:r>
      <w:r w:rsidR="008F2B66" w:rsidRPr="00FE3F15">
        <w:t>. Support to growth is expected from n</w:t>
      </w:r>
      <w:r w:rsidR="00C05417" w:rsidRPr="00FE3F15">
        <w:t>on</w:t>
      </w:r>
      <w:r w:rsidR="00C05417" w:rsidRPr="00FE3F15">
        <w:noBreakHyphen/>
        <w:t>mining </w:t>
      </w:r>
      <w:r w:rsidR="00903A60" w:rsidRPr="00FE3F15">
        <w:t xml:space="preserve">business investment, household consumption, public final demand and exports. </w:t>
      </w:r>
      <w:r w:rsidR="00285CDB" w:rsidRPr="00FE3F15">
        <w:t xml:space="preserve">After the 2016-17 </w:t>
      </w:r>
      <w:proofErr w:type="gramStart"/>
      <w:r w:rsidR="00285CDB" w:rsidRPr="00FE3F15">
        <w:t>outcome</w:t>
      </w:r>
      <w:proofErr w:type="gramEnd"/>
      <w:r w:rsidR="00285CDB" w:rsidRPr="00FE3F15">
        <w:t xml:space="preserve"> of 2.0 per cent, r</w:t>
      </w:r>
      <w:r w:rsidR="00903A60" w:rsidRPr="00FE3F15">
        <w:t>eal GDP is forecast to grow by 2½</w:t>
      </w:r>
      <w:r w:rsidR="008616D4" w:rsidRPr="00FE3F15">
        <w:t> </w:t>
      </w:r>
      <w:r w:rsidR="00903A60" w:rsidRPr="00FE3F15">
        <w:t>per cent in 2017-18 and 3 per cent in 2018</w:t>
      </w:r>
      <w:r w:rsidR="00903A60" w:rsidRPr="00FE3F15">
        <w:noBreakHyphen/>
        <w:t xml:space="preserve">19. </w:t>
      </w:r>
    </w:p>
    <w:p w:rsidR="00DF52A0" w:rsidRPr="00FE3F15" w:rsidRDefault="00DF52A0" w:rsidP="00DC7486">
      <w:pPr>
        <w:pStyle w:val="TableHeading"/>
      </w:pPr>
      <w:r w:rsidRPr="00FE3F15">
        <w:lastRenderedPageBreak/>
        <w:t>Table 2.2: Domestic economy forecasts</w:t>
      </w:r>
      <w:r w:rsidRPr="00FE3F15">
        <w:rPr>
          <w:rFonts w:ascii="Arial Bold" w:hAnsi="Arial Bold"/>
          <w:vertAlign w:val="superscript"/>
        </w:rPr>
        <w:t>(a)</w:t>
      </w:r>
    </w:p>
    <w:p w:rsidR="007E1CEA" w:rsidRPr="00FE3F15" w:rsidRDefault="003D674C" w:rsidP="005B67F7">
      <w:pPr>
        <w:pStyle w:val="TableGraphic"/>
      </w:pPr>
      <w:r w:rsidRPr="00FE3F15">
        <w:fldChar w:fldCharType="begin"/>
      </w:r>
      <w:r w:rsidRPr="00FE3F15">
        <w:instrText xml:space="preserve"> LINK Excel.Sheet.12 "\\\\fs5.budget.gov\\budget$\\2017-18 MYEFO\\Tables Economic\\Part 2\\Table - Domestic economy forecasts - unlinked.xlsx!Sheet1!R3C1:R36C9" "" \a \p </w:instrText>
      </w:r>
      <w:r w:rsidRPr="00FE3F15">
        <w:fldChar w:fldCharType="separate"/>
      </w:r>
      <w:r w:rsidR="00CD7242">
        <w:object w:dxaOrig="7425" w:dyaOrig="6765">
          <v:shape id="_x0000_i1026" type="#_x0000_t75" style="width:388.8pt;height:329.3pt">
            <v:imagedata r:id="rId11" o:title=""/>
          </v:shape>
        </w:object>
      </w:r>
      <w:r w:rsidRPr="00FE3F15">
        <w:fldChar w:fldCharType="end"/>
      </w:r>
    </w:p>
    <w:p w:rsidR="0091146D" w:rsidRPr="00FE3F15" w:rsidRDefault="00DF52A0" w:rsidP="007E1CEA">
      <w:pPr>
        <w:pStyle w:val="ChartandTableFootnoteAlpha"/>
        <w:numPr>
          <w:ilvl w:val="0"/>
          <w:numId w:val="15"/>
        </w:numPr>
      </w:pPr>
      <w:r w:rsidRPr="00FE3F15">
        <w:t>Percentage change on preceding year unless otherwise indicated.</w:t>
      </w:r>
    </w:p>
    <w:p w:rsidR="00627F7A" w:rsidRPr="00FE3F15" w:rsidRDefault="00627F7A" w:rsidP="007E1CEA">
      <w:pPr>
        <w:pStyle w:val="ChartandTableFootnoteAlpha"/>
      </w:pPr>
      <w:r w:rsidRPr="00FE3F15">
        <w:t>Calculated using original data unless otherwise indicated.</w:t>
      </w:r>
    </w:p>
    <w:p w:rsidR="0091146D" w:rsidRPr="00FE3F15" w:rsidRDefault="0091146D" w:rsidP="007E1CEA">
      <w:pPr>
        <w:pStyle w:val="ChartandTableFootnoteAlpha"/>
      </w:pPr>
      <w:r w:rsidRPr="00FE3F15">
        <w:t>Excluding second</w:t>
      </w:r>
      <w:r w:rsidRPr="00FE3F15">
        <w:noBreakHyphen/>
        <w:t>hand asset sales from the public sector to the private sector.</w:t>
      </w:r>
    </w:p>
    <w:p w:rsidR="0091146D" w:rsidRPr="00FE3F15" w:rsidRDefault="0091146D" w:rsidP="007E1CEA">
      <w:pPr>
        <w:pStyle w:val="ChartandTableFootnoteAlpha"/>
      </w:pPr>
      <w:r w:rsidRPr="00FE3F15">
        <w:t xml:space="preserve">Percentage point contribution to growth in GDP. </w:t>
      </w:r>
    </w:p>
    <w:p w:rsidR="0091146D" w:rsidRPr="00FE3F15" w:rsidRDefault="00565EF7" w:rsidP="007E1CEA">
      <w:pPr>
        <w:pStyle w:val="ChartandTableFootnoteAlpha"/>
      </w:pPr>
      <w:r w:rsidRPr="00FE3F15">
        <w:t xml:space="preserve">Through the </w:t>
      </w:r>
      <w:r w:rsidR="0091146D" w:rsidRPr="00FE3F15">
        <w:t>year growth rate to the June quarter.</w:t>
      </w:r>
    </w:p>
    <w:p w:rsidR="0091146D" w:rsidRPr="00FE3F15" w:rsidRDefault="00565EF7" w:rsidP="007E1CEA">
      <w:pPr>
        <w:pStyle w:val="ChartandTableFootnoteAlpha"/>
      </w:pPr>
      <w:r w:rsidRPr="00FE3F15">
        <w:t xml:space="preserve">Seasonally adjusted, through the </w:t>
      </w:r>
      <w:r w:rsidR="0091146D" w:rsidRPr="00FE3F15">
        <w:t>year growth rate to the June quarter.</w:t>
      </w:r>
    </w:p>
    <w:p w:rsidR="0091146D" w:rsidRPr="00FE3F15" w:rsidRDefault="0091146D" w:rsidP="007E1CEA">
      <w:pPr>
        <w:pStyle w:val="ChartandTableFootnoteAlpha"/>
      </w:pPr>
      <w:r w:rsidRPr="00FE3F15">
        <w:t>Seasonally adjusted rate for the June quarter.</w:t>
      </w:r>
    </w:p>
    <w:p w:rsidR="0091146D" w:rsidRPr="00FE3F15" w:rsidRDefault="0091146D" w:rsidP="007E1CEA">
      <w:pPr>
        <w:pStyle w:val="ChartandTableFootnoteAlpha"/>
      </w:pPr>
      <w:r w:rsidRPr="00FE3F15">
        <w:t xml:space="preserve">The forecasts are underpinned by </w:t>
      </w:r>
      <w:r w:rsidR="00024B17" w:rsidRPr="00FE3F15">
        <w:t xml:space="preserve">spot </w:t>
      </w:r>
      <w:r w:rsidRPr="00FE3F15">
        <w:t>price</w:t>
      </w:r>
      <w:r w:rsidR="00774F9F" w:rsidRPr="00FE3F15">
        <w:t>s of US$55</w:t>
      </w:r>
      <w:r w:rsidRPr="00FE3F15">
        <w:t xml:space="preserve"> </w:t>
      </w:r>
      <w:r w:rsidR="00774F9F" w:rsidRPr="00FE3F15">
        <w:t>per tonne (FOB) for</w:t>
      </w:r>
      <w:r w:rsidRPr="00FE3F15">
        <w:t xml:space="preserve"> iron ore</w:t>
      </w:r>
      <w:r w:rsidR="00774F9F" w:rsidRPr="00FE3F15">
        <w:t xml:space="preserve"> and US$85</w:t>
      </w:r>
      <w:r w:rsidR="00E61962" w:rsidRPr="00FE3F15">
        <w:t> </w:t>
      </w:r>
      <w:r w:rsidR="00774F9F" w:rsidRPr="00FE3F15">
        <w:t>per</w:t>
      </w:r>
      <w:r w:rsidR="00E61962" w:rsidRPr="00FE3F15">
        <w:t> </w:t>
      </w:r>
      <w:r w:rsidR="00774F9F" w:rsidRPr="00FE3F15">
        <w:t xml:space="preserve">tonne (FOB) for </w:t>
      </w:r>
      <w:r w:rsidRPr="00FE3F15">
        <w:t>thermal coal</w:t>
      </w:r>
      <w:r w:rsidR="00E61962" w:rsidRPr="00FE3F15">
        <w:t>. M</w:t>
      </w:r>
      <w:r w:rsidR="00774F9F" w:rsidRPr="00FE3F15">
        <w:t>etallurgical coal prices are assumed to decline towards US$120 per tonne (FOB)</w:t>
      </w:r>
      <w:r w:rsidR="00E61962" w:rsidRPr="00FE3F15">
        <w:t xml:space="preserve"> by</w:t>
      </w:r>
      <w:r w:rsidR="00774F9F" w:rsidRPr="00FE3F15">
        <w:t xml:space="preserve"> the September quarter 2018. </w:t>
      </w:r>
      <w:r w:rsidR="00E61962" w:rsidRPr="00FE3F15">
        <w:t>(</w:t>
      </w:r>
      <w:r w:rsidRPr="00FE3F15">
        <w:t xml:space="preserve">Box </w:t>
      </w:r>
      <w:r w:rsidR="003C3C6B" w:rsidRPr="00FE3F15">
        <w:t>A</w:t>
      </w:r>
      <w:r w:rsidR="00D26164" w:rsidRPr="00FE3F15">
        <w:t xml:space="preserve"> contains analysis on the sensitivity of nominal GDP forecasts to metallurgical coal price movements</w:t>
      </w:r>
      <w:r w:rsidR="003C3C6B" w:rsidRPr="00FE3F15">
        <w:t>).</w:t>
      </w:r>
    </w:p>
    <w:p w:rsidR="0091146D" w:rsidRPr="00FE3F15" w:rsidRDefault="0091146D" w:rsidP="007E1CEA">
      <w:pPr>
        <w:pStyle w:val="ChartandTableFootnote"/>
      </w:pPr>
      <w:r w:rsidRPr="00FE3F15">
        <w:t>Note: The forecasts for the domestic economy are based on several technical assumptions. The exchange rate is assumed to remain around its recent average level — a trade</w:t>
      </w:r>
      <w:r w:rsidRPr="00FE3F15">
        <w:noBreakHyphen/>
        <w:t>weighted index of around 64 and a US$</w:t>
      </w:r>
      <w:r w:rsidR="00E61962" w:rsidRPr="00FE3F15">
        <w:t> </w:t>
      </w:r>
      <w:r w:rsidRPr="00FE3F15">
        <w:t xml:space="preserve">exchange rate of around 76 US cents. Interest rates are assumed to move broadly in line with market expectations. World oil prices (Malaysian Tapis) are assumed to remain around US$65 per barrel. </w:t>
      </w:r>
    </w:p>
    <w:p w:rsidR="0091146D" w:rsidRPr="00FE3F15" w:rsidRDefault="0091146D" w:rsidP="007E1CEA">
      <w:pPr>
        <w:pStyle w:val="ChartandTableFootnote"/>
      </w:pPr>
      <w:r w:rsidRPr="00FE3F15">
        <w:t xml:space="preserve">Source: ABS cat. </w:t>
      </w:r>
      <w:proofErr w:type="gramStart"/>
      <w:r w:rsidR="004227AF">
        <w:t>n</w:t>
      </w:r>
      <w:r w:rsidRPr="00FE3F15">
        <w:t>o</w:t>
      </w:r>
      <w:proofErr w:type="gramEnd"/>
      <w:r w:rsidR="004227AF">
        <w:t>.</w:t>
      </w:r>
      <w:r w:rsidRPr="00FE3F15">
        <w:t xml:space="preserve"> 5206.0, 5302.0, 6202.0, 6345.0, 6401.0, unpublished ABS data and Treasury.</w:t>
      </w:r>
    </w:p>
    <w:p w:rsidR="00DC7486" w:rsidRPr="00FE3F15" w:rsidRDefault="00DC7486" w:rsidP="00DC7486">
      <w:pPr>
        <w:pStyle w:val="SingleParagraph"/>
      </w:pPr>
    </w:p>
    <w:p w:rsidR="008F2B66" w:rsidRPr="00FE3F15" w:rsidRDefault="001F3B3F" w:rsidP="00DB39BB">
      <w:r w:rsidRPr="00FE3F15">
        <w:t>Slightly</w:t>
      </w:r>
      <w:r w:rsidR="00285CDB" w:rsidRPr="00FE3F15">
        <w:t xml:space="preserve"> lower </w:t>
      </w:r>
      <w:r w:rsidR="005A2C77" w:rsidRPr="00FE3F15">
        <w:t xml:space="preserve">real GDP </w:t>
      </w:r>
      <w:r w:rsidR="00770389" w:rsidRPr="00FE3F15">
        <w:t xml:space="preserve">growth </w:t>
      </w:r>
      <w:r w:rsidR="005A2C77" w:rsidRPr="00FE3F15">
        <w:t xml:space="preserve">in 2017-18 compared with Budget </w:t>
      </w:r>
      <w:r w:rsidR="00285CDB" w:rsidRPr="00FE3F15">
        <w:t xml:space="preserve">forecasts </w:t>
      </w:r>
      <w:r w:rsidR="005A2C77" w:rsidRPr="00FE3F15">
        <w:t>reflects recent modest growth in household consumption</w:t>
      </w:r>
      <w:r w:rsidR="00285CDB" w:rsidRPr="00FE3F15">
        <w:t>.  In contrast</w:t>
      </w:r>
      <w:r w:rsidR="005A2C77" w:rsidRPr="00FE3F15">
        <w:t>, business investment is expected to grow at a slightly stronger pace</w:t>
      </w:r>
      <w:r w:rsidR="00C60682" w:rsidRPr="00FE3F15">
        <w:t xml:space="preserve"> than forecast at Budget</w:t>
      </w:r>
      <w:r w:rsidR="005A2C77" w:rsidRPr="00FE3F15">
        <w:t>.</w:t>
      </w:r>
      <w:r w:rsidR="00C05417" w:rsidRPr="00FE3F15">
        <w:t xml:space="preserve"> Non</w:t>
      </w:r>
      <w:r w:rsidR="00C05417" w:rsidRPr="00FE3F15">
        <w:noBreakHyphen/>
      </w:r>
      <w:r w:rsidR="008F2B66" w:rsidRPr="00FE3F15">
        <w:t>mining</w:t>
      </w:r>
      <w:r w:rsidR="00C05417" w:rsidRPr="00FE3F15">
        <w:t> </w:t>
      </w:r>
      <w:r w:rsidR="008F2B66" w:rsidRPr="00FE3F15">
        <w:t>business investment is forecast to grow solidly</w:t>
      </w:r>
      <w:r w:rsidR="008A541F" w:rsidRPr="00FE3F15">
        <w:t>, with</w:t>
      </w:r>
      <w:r w:rsidR="005F2A0A" w:rsidRPr="00FE3F15">
        <w:t xml:space="preserve"> </w:t>
      </w:r>
      <w:r w:rsidR="00FB726E" w:rsidRPr="00FE3F15">
        <w:t xml:space="preserve">a </w:t>
      </w:r>
      <w:r w:rsidR="008F2B66" w:rsidRPr="00FE3F15">
        <w:t xml:space="preserve">strengthening in business conditions and non-mining capital expenditure intentions over the past year. </w:t>
      </w:r>
    </w:p>
    <w:p w:rsidR="007E1CEA" w:rsidRPr="00FE3F15" w:rsidRDefault="007E1CEA">
      <w:pPr>
        <w:spacing w:after="200" w:line="276" w:lineRule="auto"/>
        <w:jc w:val="left"/>
        <w:rPr>
          <w:b/>
        </w:rPr>
      </w:pPr>
      <w:r w:rsidRPr="00FE3F15">
        <w:rPr>
          <w:b/>
        </w:rPr>
        <w:br w:type="page"/>
      </w:r>
    </w:p>
    <w:p w:rsidR="000D3226" w:rsidRPr="00FE3F15" w:rsidRDefault="00E67D83" w:rsidP="00DB39BB">
      <w:r w:rsidRPr="00FE3F15">
        <w:rPr>
          <w:b/>
        </w:rPr>
        <w:lastRenderedPageBreak/>
        <w:fldChar w:fldCharType="begin"/>
      </w:r>
      <w:r w:rsidRPr="00FE3F15">
        <w:rPr>
          <w:b/>
        </w:rPr>
        <w:instrText xml:space="preserve"> :End:MECD_WT1 </w:instrText>
      </w:r>
      <w:r w:rsidRPr="00FE3F15">
        <w:rPr>
          <w:b/>
        </w:rPr>
        <w:fldChar w:fldCharType="end"/>
      </w:r>
      <w:r w:rsidRPr="00FE3F15">
        <w:rPr>
          <w:b/>
        </w:rPr>
        <w:fldChar w:fldCharType="begin"/>
      </w:r>
      <w:r w:rsidRPr="00FE3F15">
        <w:rPr>
          <w:b/>
        </w:rPr>
        <w:instrText xml:space="preserve"> :Start:MECD_WT5 </w:instrText>
      </w:r>
      <w:r w:rsidRPr="00FE3F15">
        <w:rPr>
          <w:b/>
        </w:rPr>
        <w:fldChar w:fldCharType="end"/>
      </w:r>
      <w:r w:rsidR="003A7739" w:rsidRPr="00FE3F15">
        <w:rPr>
          <w:b/>
        </w:rPr>
        <w:t>Household consumption</w:t>
      </w:r>
      <w:r w:rsidR="003A7739" w:rsidRPr="00FE3F15">
        <w:t xml:space="preserve"> </w:t>
      </w:r>
      <w:r w:rsidR="005A2C77" w:rsidRPr="00FE3F15">
        <w:t>is forecast to grow by 2¼ per cent in 2017-18 and 2¾ per cent i</w:t>
      </w:r>
      <w:r w:rsidR="00B17F4C" w:rsidRPr="00FE3F15">
        <w:t>n 2018-19. G</w:t>
      </w:r>
      <w:r w:rsidR="005A2C77" w:rsidRPr="00FE3F15">
        <w:t xml:space="preserve">rowth in household consumption has been relatively </w:t>
      </w:r>
      <w:r w:rsidR="009E2536" w:rsidRPr="00FE3F15">
        <w:t xml:space="preserve">modest </w:t>
      </w:r>
      <w:r w:rsidR="005A2C77" w:rsidRPr="00FE3F15">
        <w:t>in recent years compared with long-run historical growth rates</w:t>
      </w:r>
      <w:r w:rsidR="00DC512A" w:rsidRPr="00FE3F15">
        <w:t>,</w:t>
      </w:r>
      <w:r w:rsidR="005A2C77" w:rsidRPr="00FE3F15">
        <w:t xml:space="preserve"> reflecting subdued growth in household incomes. Growth </w:t>
      </w:r>
      <w:r w:rsidR="00B17F4C" w:rsidRPr="00FE3F15">
        <w:t xml:space="preserve">in consumption </w:t>
      </w:r>
      <w:r w:rsidR="005A2C77" w:rsidRPr="00FE3F15">
        <w:t>is expected to pick</w:t>
      </w:r>
      <w:r w:rsidR="00C105DD" w:rsidRPr="00FE3F15">
        <w:t xml:space="preserve"> </w:t>
      </w:r>
      <w:r w:rsidR="005A2C77" w:rsidRPr="00FE3F15">
        <w:t xml:space="preserve">up over the forecast </w:t>
      </w:r>
      <w:r w:rsidR="00DC512A" w:rsidRPr="00FE3F15">
        <w:t>period</w:t>
      </w:r>
      <w:r w:rsidR="005A2C77" w:rsidRPr="00FE3F15">
        <w:t xml:space="preserve"> in response to </w:t>
      </w:r>
      <w:r w:rsidR="000D3226" w:rsidRPr="00FE3F15">
        <w:t>strengthening</w:t>
      </w:r>
      <w:r w:rsidR="005A2C77" w:rsidRPr="00FE3F15">
        <w:t xml:space="preserve"> labour market </w:t>
      </w:r>
      <w:r w:rsidR="000D3226" w:rsidRPr="00FE3F15">
        <w:t>conditions</w:t>
      </w:r>
      <w:r w:rsidR="00392243" w:rsidRPr="00FE3F15">
        <w:t xml:space="preserve">. </w:t>
      </w:r>
      <w:r w:rsidR="000D3226" w:rsidRPr="00FE3F15">
        <w:t>Household incomes are also expected to rise over the forecast period</w:t>
      </w:r>
      <w:r w:rsidR="00E74576" w:rsidRPr="00FE3F15">
        <w:t>,</w:t>
      </w:r>
      <w:r w:rsidR="000D3226" w:rsidRPr="00FE3F15">
        <w:t xml:space="preserve"> with </w:t>
      </w:r>
      <w:r w:rsidR="00883CAD" w:rsidRPr="00FE3F15">
        <w:t xml:space="preserve">a pick-up </w:t>
      </w:r>
      <w:r w:rsidR="00E74576" w:rsidRPr="00FE3F15">
        <w:t xml:space="preserve">in </w:t>
      </w:r>
      <w:r w:rsidR="000D3226" w:rsidRPr="00FE3F15">
        <w:t>wage growth</w:t>
      </w:r>
      <w:r w:rsidR="00E74576" w:rsidRPr="00FE3F15">
        <w:t>. Consumption g</w:t>
      </w:r>
      <w:r w:rsidR="000D3226" w:rsidRPr="00FE3F15">
        <w:t xml:space="preserve">rowth </w:t>
      </w:r>
      <w:r w:rsidR="00E74576" w:rsidRPr="00FE3F15">
        <w:t xml:space="preserve">is expected </w:t>
      </w:r>
      <w:r w:rsidR="000D3226" w:rsidRPr="00FE3F15">
        <w:t xml:space="preserve">to </w:t>
      </w:r>
      <w:r w:rsidR="00E74576" w:rsidRPr="00FE3F15">
        <w:t xml:space="preserve">continue to </w:t>
      </w:r>
      <w:r w:rsidR="000D3226" w:rsidRPr="00FE3F15">
        <w:t xml:space="preserve">outpace growth in disposable incomes and the household saving rate </w:t>
      </w:r>
      <w:r w:rsidR="00B17F4C" w:rsidRPr="00FE3F15">
        <w:t>is expected to</w:t>
      </w:r>
      <w:r w:rsidR="000D3226" w:rsidRPr="00FE3F15">
        <w:t xml:space="preserve"> fall further.</w:t>
      </w:r>
    </w:p>
    <w:p w:rsidR="003A7739" w:rsidRPr="00FE3F15" w:rsidRDefault="00E67D83" w:rsidP="00DB39BB">
      <w:r w:rsidRPr="00FE3F15">
        <w:rPr>
          <w:b/>
        </w:rPr>
        <w:fldChar w:fldCharType="begin"/>
      </w:r>
      <w:r w:rsidRPr="00FE3F15">
        <w:rPr>
          <w:b/>
        </w:rPr>
        <w:instrText xml:space="preserve"> :End:MECD_WT5 </w:instrText>
      </w:r>
      <w:r w:rsidRPr="00FE3F15">
        <w:rPr>
          <w:b/>
        </w:rPr>
        <w:fldChar w:fldCharType="end"/>
      </w:r>
      <w:r w:rsidRPr="00FE3F15">
        <w:rPr>
          <w:b/>
        </w:rPr>
        <w:fldChar w:fldCharType="begin"/>
      </w:r>
      <w:r w:rsidRPr="00FE3F15">
        <w:rPr>
          <w:b/>
        </w:rPr>
        <w:instrText xml:space="preserve"> :Start:MECD_WT6 </w:instrText>
      </w:r>
      <w:r w:rsidRPr="00FE3F15">
        <w:rPr>
          <w:b/>
        </w:rPr>
        <w:fldChar w:fldCharType="end"/>
      </w:r>
      <w:r w:rsidR="003A7739" w:rsidRPr="00FE3F15">
        <w:rPr>
          <w:b/>
        </w:rPr>
        <w:t>Dwelling investment</w:t>
      </w:r>
      <w:r w:rsidR="003A7739" w:rsidRPr="00FE3F15">
        <w:t xml:space="preserve"> </w:t>
      </w:r>
      <w:r w:rsidR="002640C3">
        <w:t>is expected</w:t>
      </w:r>
      <w:r w:rsidR="00251121" w:rsidRPr="00FE3F15">
        <w:t xml:space="preserve"> to decline mod</w:t>
      </w:r>
      <w:r w:rsidR="00C02292" w:rsidRPr="00FE3F15">
        <w:t>erately</w:t>
      </w:r>
      <w:r w:rsidR="00251121" w:rsidRPr="00FE3F15">
        <w:t xml:space="preserve"> over the forecast period, falling by </w:t>
      </w:r>
      <w:r w:rsidR="00A4303C" w:rsidRPr="00FE3F15">
        <w:t xml:space="preserve">1½ </w:t>
      </w:r>
      <w:r w:rsidR="00251121" w:rsidRPr="00FE3F15">
        <w:t xml:space="preserve">per cent in </w:t>
      </w:r>
      <w:r w:rsidR="001F2274" w:rsidRPr="00FE3F15">
        <w:t xml:space="preserve">both </w:t>
      </w:r>
      <w:r w:rsidR="00251121" w:rsidRPr="00FE3F15">
        <w:t xml:space="preserve">2017-18 and 2018-19. </w:t>
      </w:r>
      <w:r w:rsidR="003A7739" w:rsidRPr="00FE3F15">
        <w:t xml:space="preserve">Recent data are consistent with a softening in </w:t>
      </w:r>
      <w:r w:rsidR="009E2536" w:rsidRPr="00FE3F15">
        <w:t xml:space="preserve">dwelling investment </w:t>
      </w:r>
      <w:r w:rsidR="00671086" w:rsidRPr="00FE3F15">
        <w:t>occurring slightly earlier than expected at the time of Budget</w:t>
      </w:r>
      <w:r w:rsidR="003A7739" w:rsidRPr="00FE3F15">
        <w:t xml:space="preserve">. </w:t>
      </w:r>
      <w:r w:rsidR="00602B40" w:rsidRPr="00FE3F15">
        <w:t>Dwelling investment has now declined for the past three quarters.</w:t>
      </w:r>
      <w:r w:rsidR="00B27B9F" w:rsidRPr="00FE3F15">
        <w:t xml:space="preserve"> </w:t>
      </w:r>
      <w:r w:rsidR="00602B40" w:rsidRPr="00FE3F15">
        <w:t xml:space="preserve">In addition, house </w:t>
      </w:r>
      <w:r w:rsidR="003A7739" w:rsidRPr="00FE3F15">
        <w:t>price growth has slowed and auction clearance rates have fallen si</w:t>
      </w:r>
      <w:r w:rsidR="00B27B9F" w:rsidRPr="00FE3F15">
        <w:t xml:space="preserve">nce the beginning of the year. </w:t>
      </w:r>
      <w:r w:rsidR="003A7739" w:rsidRPr="00FE3F15">
        <w:t>This is most evident in the Sydney market. Building approvals have fallen below the</w:t>
      </w:r>
      <w:r w:rsidR="00281028" w:rsidRPr="00FE3F15">
        <w:t>ir</w:t>
      </w:r>
      <w:r w:rsidR="003A7739" w:rsidRPr="00FE3F15">
        <w:t xml:space="preserve"> record levels</w:t>
      </w:r>
      <w:r w:rsidR="002640C3">
        <w:t xml:space="preserve"> recorded</w:t>
      </w:r>
      <w:r w:rsidR="003A7739" w:rsidRPr="00FE3F15">
        <w:t xml:space="preserve"> </w:t>
      </w:r>
      <w:r w:rsidR="005F2A0A" w:rsidRPr="00FE3F15">
        <w:t>in</w:t>
      </w:r>
      <w:r w:rsidR="003A7739" w:rsidRPr="00FE3F15">
        <w:t xml:space="preserve"> </w:t>
      </w:r>
      <w:r w:rsidR="00602B40" w:rsidRPr="00FE3F15">
        <w:t>mid-</w:t>
      </w:r>
      <w:r w:rsidR="003A7739" w:rsidRPr="00FE3F15">
        <w:t>2016 but remain a</w:t>
      </w:r>
      <w:r w:rsidR="00B27B9F" w:rsidRPr="00FE3F15">
        <w:t xml:space="preserve">bove their historical average. </w:t>
      </w:r>
      <w:r w:rsidR="003A7739" w:rsidRPr="00FE3F15">
        <w:t>The</w:t>
      </w:r>
      <w:r w:rsidR="00F058A9" w:rsidRPr="00FE3F15">
        <w:t> </w:t>
      </w:r>
      <w:r w:rsidR="003A7739" w:rsidRPr="00FE3F15">
        <w:t xml:space="preserve">pipeline of construction work remains elevated and is expected to support activity for some time. </w:t>
      </w:r>
      <w:r w:rsidRPr="00FE3F15">
        <w:fldChar w:fldCharType="begin"/>
      </w:r>
      <w:r w:rsidRPr="00FE3F15">
        <w:instrText xml:space="preserve"> :End:MECD_WT6 </w:instrText>
      </w:r>
      <w:r w:rsidRPr="00FE3F15">
        <w:fldChar w:fldCharType="end"/>
      </w:r>
    </w:p>
    <w:p w:rsidR="008B4884" w:rsidRPr="00FE3F15" w:rsidRDefault="00DA2E22" w:rsidP="00DB39BB">
      <w:r w:rsidRPr="00FE3F15">
        <w:rPr>
          <w:b/>
        </w:rPr>
        <w:fldChar w:fldCharType="begin"/>
      </w:r>
      <w:r w:rsidRPr="00FE3F15">
        <w:rPr>
          <w:b/>
        </w:rPr>
        <w:instrText xml:space="preserve"> :Start:MECD_WT2 </w:instrText>
      </w:r>
      <w:r w:rsidRPr="00FE3F15">
        <w:rPr>
          <w:b/>
        </w:rPr>
        <w:fldChar w:fldCharType="end"/>
      </w:r>
      <w:r w:rsidR="00671086" w:rsidRPr="00FE3F15">
        <w:rPr>
          <w:b/>
        </w:rPr>
        <w:t>Business investment</w:t>
      </w:r>
      <w:r w:rsidR="00671086" w:rsidRPr="00FE3F15">
        <w:t xml:space="preserve"> is expected to </w:t>
      </w:r>
      <w:r w:rsidR="0075113E" w:rsidRPr="00FE3F15">
        <w:t xml:space="preserve">grow at a stronger pace than </w:t>
      </w:r>
      <w:r w:rsidR="00012334" w:rsidRPr="00FE3F15">
        <w:t>forecast</w:t>
      </w:r>
      <w:r w:rsidR="00DD42E1" w:rsidRPr="00FE3F15">
        <w:t xml:space="preserve"> at Budget.</w:t>
      </w:r>
      <w:r w:rsidR="00DD42E1" w:rsidRPr="00FE3F15">
        <w:br/>
      </w:r>
      <w:r w:rsidR="00671086" w:rsidRPr="00FE3F15">
        <w:t>It is forecast to grow by 2 per cent in 2017-18 and 3 per cent in 2018-19. Mining</w:t>
      </w:r>
      <w:r w:rsidR="00F058A9" w:rsidRPr="00FE3F15">
        <w:t> </w:t>
      </w:r>
      <w:r w:rsidR="00671086" w:rsidRPr="00FE3F15">
        <w:t xml:space="preserve">investment is expected to continue to fall over the forecast horizon as large resource projects are </w:t>
      </w:r>
      <w:r w:rsidR="00195A61" w:rsidRPr="00FE3F15">
        <w:t>finalised</w:t>
      </w:r>
      <w:r w:rsidR="00671086" w:rsidRPr="00FE3F15">
        <w:t xml:space="preserve">, but the drag on </w:t>
      </w:r>
      <w:r w:rsidR="001F2274" w:rsidRPr="00FE3F15">
        <w:t xml:space="preserve">economic </w:t>
      </w:r>
      <w:r w:rsidR="00671086" w:rsidRPr="00FE3F15">
        <w:t xml:space="preserve">growth is near complete. </w:t>
      </w:r>
      <w:r w:rsidR="00012334" w:rsidRPr="00FE3F15">
        <w:t xml:space="preserve">Since its peak in the December quarter 2012, mining investment has fallen by </w:t>
      </w:r>
      <w:r w:rsidR="00602B40" w:rsidRPr="00FE3F15">
        <w:t xml:space="preserve">around 60 </w:t>
      </w:r>
      <w:r w:rsidR="00012334" w:rsidRPr="00FE3F15">
        <w:t>per cent.</w:t>
      </w:r>
      <w:r w:rsidR="00B91BA3" w:rsidRPr="00FE3F15">
        <w:t xml:space="preserve"> </w:t>
      </w:r>
      <w:r w:rsidR="00195A61" w:rsidRPr="00FE3F15">
        <w:t xml:space="preserve">Growth in non-mining business </w:t>
      </w:r>
      <w:r w:rsidR="00671086" w:rsidRPr="00FE3F15">
        <w:t xml:space="preserve">investment </w:t>
      </w:r>
      <w:r w:rsidR="00195A61" w:rsidRPr="00FE3F15">
        <w:t>was stronger than expected in 2016</w:t>
      </w:r>
      <w:r w:rsidR="00195A61" w:rsidRPr="00FE3F15">
        <w:noBreakHyphen/>
        <w:t xml:space="preserve">17 and is </w:t>
      </w:r>
      <w:r w:rsidR="0073155C" w:rsidRPr="00FE3F15">
        <w:t xml:space="preserve">forecast </w:t>
      </w:r>
      <w:r w:rsidR="00195A61" w:rsidRPr="00FE3F15">
        <w:t xml:space="preserve">to remain solid at </w:t>
      </w:r>
      <w:r w:rsidR="00671086" w:rsidRPr="00FE3F15">
        <w:t>5 per cent in both</w:t>
      </w:r>
      <w:r w:rsidR="0073155C" w:rsidRPr="00FE3F15">
        <w:t xml:space="preserve"> 2017-18 and 2018</w:t>
      </w:r>
      <w:r w:rsidR="0073155C" w:rsidRPr="00FE3F15">
        <w:noBreakHyphen/>
      </w:r>
      <w:r w:rsidR="00671086" w:rsidRPr="00FE3F15">
        <w:t>19</w:t>
      </w:r>
      <w:r w:rsidR="00B91BA3" w:rsidRPr="00FE3F15">
        <w:t xml:space="preserve">. </w:t>
      </w:r>
      <w:r w:rsidR="0075113E" w:rsidRPr="00FE3F15">
        <w:t>There</w:t>
      </w:r>
      <w:r w:rsidR="00F058A9" w:rsidRPr="00FE3F15">
        <w:t> </w:t>
      </w:r>
      <w:r w:rsidR="0075113E" w:rsidRPr="00FE3F15">
        <w:t xml:space="preserve">has been a </w:t>
      </w:r>
      <w:r w:rsidR="0036745F" w:rsidRPr="00FE3F15">
        <w:t xml:space="preserve">significant </w:t>
      </w:r>
      <w:r w:rsidR="0075113E" w:rsidRPr="00FE3F15">
        <w:t>strengthening</w:t>
      </w:r>
      <w:r w:rsidR="0073155C" w:rsidRPr="00FE3F15">
        <w:t xml:space="preserve"> in business conditions and non</w:t>
      </w:r>
      <w:r w:rsidR="0073155C" w:rsidRPr="00FE3F15">
        <w:noBreakHyphen/>
      </w:r>
      <w:r w:rsidR="0075113E" w:rsidRPr="00FE3F15">
        <w:t>mining capital expenditure intentions over the past year.</w:t>
      </w:r>
    </w:p>
    <w:p w:rsidR="00602B40" w:rsidRPr="00FE3F15" w:rsidRDefault="00602B40" w:rsidP="00DC7486">
      <w:pPr>
        <w:pStyle w:val="ChartHeading"/>
      </w:pPr>
      <w:r w:rsidRPr="00FE3F15">
        <w:lastRenderedPageBreak/>
        <w:t>Chart 2.1: Mining and non-mining business investment</w:t>
      </w:r>
    </w:p>
    <w:p w:rsidR="00602B40" w:rsidRPr="00FE3F15" w:rsidRDefault="004D0987" w:rsidP="00602B40">
      <w:pPr>
        <w:pStyle w:val="ChartGraphic"/>
      </w:pPr>
      <w:r w:rsidRPr="00FE3F15">
        <w:fldChar w:fldCharType="begin"/>
      </w:r>
      <w:r w:rsidRPr="00FE3F15">
        <w:instrText xml:space="preserve"> LINK Excel.Sheet.12 "\\\\fs5.budget.gov\\budget$\\2017-18 MYEFO\\Charts - Economic\\Part 2\\Part 2 - Business Investment.xlsx!Chart![Part 2 - Business Investment.xlsx]Chart Chart 1" "" \a \p </w:instrText>
      </w:r>
      <w:r w:rsidRPr="00FE3F15">
        <w:fldChar w:fldCharType="separate"/>
      </w:r>
      <w:r w:rsidR="00CD7242">
        <w:object w:dxaOrig="7350" w:dyaOrig="3930">
          <v:shape id="_x0000_i1027" type="#_x0000_t75" alt="This chart shows mining and non-mining business investment as a share of GDP for the period 1990-91 to 2018-19. Mining investment grew strongly after 1990-00, peaking at around 9 per cent of GDP in 2012-13, and is forecast to fall to around 3 per cent of GDP in 2018-19. Non-mining business investment fell from around 12.5 per cent in 2004-05 to around 8.5 per cent in 2013-14, but is forecast to pick up above 9 per cent of GDP by 2018-19." style="width:367.5pt;height:196.6pt">
            <v:imagedata r:id="rId12" o:title=""/>
          </v:shape>
        </w:object>
      </w:r>
      <w:r w:rsidRPr="00FE3F15">
        <w:fldChar w:fldCharType="end"/>
      </w:r>
    </w:p>
    <w:p w:rsidR="00602B40" w:rsidRPr="00FE3F15" w:rsidRDefault="00602B40" w:rsidP="001F3B3F">
      <w:pPr>
        <w:pStyle w:val="ChartandTableFootnote"/>
        <w:spacing w:before="60"/>
      </w:pPr>
      <w:r w:rsidRPr="00FE3F15">
        <w:t>Source: A</w:t>
      </w:r>
      <w:r w:rsidR="00A8458F" w:rsidRPr="00FE3F15">
        <w:t>BS cat. no. 5204.0 and Treasury.</w:t>
      </w:r>
    </w:p>
    <w:p w:rsidR="003A7739" w:rsidRPr="00FE3F15" w:rsidRDefault="003A7739" w:rsidP="00DB39BB">
      <w:r w:rsidRPr="00FE3F15">
        <w:rPr>
          <w:b/>
        </w:rPr>
        <w:t>Public final demand</w:t>
      </w:r>
      <w:r w:rsidRPr="00FE3F15">
        <w:t xml:space="preserve"> is forecast to grow by </w:t>
      </w:r>
      <w:r w:rsidR="00D63AE2" w:rsidRPr="00FE3F15">
        <w:t>4</w:t>
      </w:r>
      <w:r w:rsidRPr="00FE3F15">
        <w:t xml:space="preserve"> per cent in 2017-18 and </w:t>
      </w:r>
      <w:r w:rsidR="00D63AE2" w:rsidRPr="00FE3F15">
        <w:t>3 per cent in 2018</w:t>
      </w:r>
      <w:r w:rsidR="00D63AE2" w:rsidRPr="00FE3F15">
        <w:noBreakHyphen/>
      </w:r>
      <w:r w:rsidRPr="00FE3F15">
        <w:t xml:space="preserve">19. </w:t>
      </w:r>
      <w:r w:rsidR="0073155C" w:rsidRPr="00FE3F15">
        <w:t>Public final demand is expected to be supported by b</w:t>
      </w:r>
      <w:r w:rsidRPr="00FE3F15">
        <w:t>oth investment and consumption expenditure</w:t>
      </w:r>
      <w:r w:rsidR="0073155C" w:rsidRPr="00FE3F15">
        <w:t xml:space="preserve">, </w:t>
      </w:r>
      <w:r w:rsidRPr="00FE3F15">
        <w:t xml:space="preserve">with the National Broadband Network, National Disability Insurance Scheme and strong investment by the States and Territories all expected to </w:t>
      </w:r>
      <w:r w:rsidR="009E2536" w:rsidRPr="00FE3F15">
        <w:t xml:space="preserve">contribute </w:t>
      </w:r>
      <w:r w:rsidR="0073155C" w:rsidRPr="00FE3F15">
        <w:t>to growth.</w:t>
      </w:r>
    </w:p>
    <w:p w:rsidR="003A7739" w:rsidRPr="00FE3F15" w:rsidRDefault="00DA2E22" w:rsidP="00DB39BB">
      <w:r w:rsidRPr="00FE3F15">
        <w:rPr>
          <w:b/>
        </w:rPr>
        <w:fldChar w:fldCharType="begin"/>
      </w:r>
      <w:r w:rsidRPr="00FE3F15">
        <w:rPr>
          <w:b/>
        </w:rPr>
        <w:instrText xml:space="preserve"> :End:MECD_WT2 </w:instrText>
      </w:r>
      <w:r w:rsidRPr="00FE3F15">
        <w:rPr>
          <w:b/>
        </w:rPr>
        <w:fldChar w:fldCharType="end"/>
      </w:r>
      <w:r w:rsidRPr="00FE3F15">
        <w:rPr>
          <w:b/>
        </w:rPr>
        <w:fldChar w:fldCharType="begin"/>
      </w:r>
      <w:r w:rsidRPr="00FE3F15">
        <w:rPr>
          <w:b/>
        </w:rPr>
        <w:instrText xml:space="preserve"> :Start:MECD_WT7 </w:instrText>
      </w:r>
      <w:r w:rsidRPr="00FE3F15">
        <w:rPr>
          <w:b/>
        </w:rPr>
        <w:fldChar w:fldCharType="end"/>
      </w:r>
      <w:r w:rsidR="003A7739" w:rsidRPr="00FE3F15">
        <w:rPr>
          <w:b/>
        </w:rPr>
        <w:t>Exports</w:t>
      </w:r>
      <w:r w:rsidR="003A7739" w:rsidRPr="00FE3F15">
        <w:t xml:space="preserve"> are forecast to grow by </w:t>
      </w:r>
      <w:r w:rsidR="00D125DC" w:rsidRPr="00FE3F15">
        <w:t>3</w:t>
      </w:r>
      <w:r w:rsidR="003A7739" w:rsidRPr="00FE3F15">
        <w:t xml:space="preserve"> per cent in 2017-18 and </w:t>
      </w:r>
      <w:r w:rsidR="00D125DC" w:rsidRPr="00FE3F15">
        <w:t>4</w:t>
      </w:r>
      <w:r w:rsidR="003A7739" w:rsidRPr="00FE3F15">
        <w:t xml:space="preserve"> per cent in 2018-19. </w:t>
      </w:r>
      <w:r w:rsidRPr="00FE3F15">
        <w:fldChar w:fldCharType="begin"/>
      </w:r>
      <w:r w:rsidRPr="00FE3F15">
        <w:instrText xml:space="preserve"> :End:MECD_WT7 </w:instrText>
      </w:r>
      <w:r w:rsidRPr="00FE3F15">
        <w:fldChar w:fldCharType="end"/>
      </w:r>
      <w:r w:rsidRPr="00FE3F15">
        <w:fldChar w:fldCharType="begin"/>
      </w:r>
      <w:r w:rsidRPr="00FE3F15">
        <w:instrText xml:space="preserve"> :Start:MECD_WT8 </w:instrText>
      </w:r>
      <w:r w:rsidRPr="00FE3F15">
        <w:fldChar w:fldCharType="end"/>
      </w:r>
      <w:r w:rsidR="003A7739" w:rsidRPr="00FE3F15">
        <w:t>This</w:t>
      </w:r>
      <w:r w:rsidR="00F058A9" w:rsidRPr="00FE3F15">
        <w:t> </w:t>
      </w:r>
      <w:r w:rsidR="00741678" w:rsidRPr="00FE3F15">
        <w:t xml:space="preserve">growth </w:t>
      </w:r>
      <w:r w:rsidR="003A7739" w:rsidRPr="00FE3F15">
        <w:t>continues to be supported by resource exports</w:t>
      </w:r>
      <w:r w:rsidR="00741678" w:rsidRPr="00FE3F15">
        <w:t>,</w:t>
      </w:r>
      <w:r w:rsidR="003A7739" w:rsidRPr="00FE3F15">
        <w:t xml:space="preserve"> which are forecast to grow by </w:t>
      </w:r>
      <w:r w:rsidR="0048757B" w:rsidRPr="00FE3F15">
        <w:t xml:space="preserve">4½ </w:t>
      </w:r>
      <w:r w:rsidR="003A7739" w:rsidRPr="00FE3F15">
        <w:t xml:space="preserve">per cent and </w:t>
      </w:r>
      <w:r w:rsidR="0048757B" w:rsidRPr="00FE3F15">
        <w:t>6</w:t>
      </w:r>
      <w:r w:rsidR="003A7739" w:rsidRPr="00FE3F15">
        <w:t xml:space="preserve"> per cent respectively as the last of the major liquefied natural gas (LNG) and iron ore projects come online and ramp</w:t>
      </w:r>
      <w:r w:rsidR="007314D4" w:rsidRPr="00FE3F15">
        <w:t xml:space="preserve"> </w:t>
      </w:r>
      <w:r w:rsidR="003A7739" w:rsidRPr="00FE3F15">
        <w:t>up capacity. While</w:t>
      </w:r>
      <w:r w:rsidR="00F058A9" w:rsidRPr="00FE3F15">
        <w:t> </w:t>
      </w:r>
      <w:r w:rsidR="003A7739" w:rsidRPr="00FE3F15">
        <w:t>delays in the start</w:t>
      </w:r>
      <w:r w:rsidR="007314D4" w:rsidRPr="00FE3F15">
        <w:t>-</w:t>
      </w:r>
      <w:r w:rsidR="003A7739" w:rsidRPr="00FE3F15">
        <w:t>up of some LNG projects have softened the pace of growth over the forecast period</w:t>
      </w:r>
      <w:r w:rsidR="0048757B" w:rsidRPr="00FE3F15">
        <w:t xml:space="preserve">, </w:t>
      </w:r>
      <w:r w:rsidR="003A7739" w:rsidRPr="00FE3F15">
        <w:t>projects remain on track to reach expected cap</w:t>
      </w:r>
      <w:r w:rsidR="00B27B9F" w:rsidRPr="00FE3F15">
        <w:t xml:space="preserve">acity over the next few years. </w:t>
      </w:r>
    </w:p>
    <w:p w:rsidR="00281028" w:rsidRPr="00FE3F15" w:rsidRDefault="00DA2E22" w:rsidP="00DB39BB">
      <w:r w:rsidRPr="00FE3F15">
        <w:fldChar w:fldCharType="begin"/>
      </w:r>
      <w:r w:rsidRPr="00FE3F15">
        <w:instrText xml:space="preserve"> :End:MECD_WT8 </w:instrText>
      </w:r>
      <w:r w:rsidRPr="00FE3F15">
        <w:fldChar w:fldCharType="end"/>
      </w:r>
      <w:r w:rsidRPr="00FE3F15">
        <w:fldChar w:fldCharType="begin"/>
      </w:r>
      <w:r w:rsidRPr="00FE3F15">
        <w:instrText xml:space="preserve"> :Start:MECD_WT7 </w:instrText>
      </w:r>
      <w:r w:rsidRPr="00FE3F15">
        <w:fldChar w:fldCharType="end"/>
      </w:r>
      <w:r w:rsidR="003A7739" w:rsidRPr="00FE3F15">
        <w:t xml:space="preserve">Services exports are </w:t>
      </w:r>
      <w:r w:rsidR="00CB010A" w:rsidRPr="00FE3F15">
        <w:t xml:space="preserve">also </w:t>
      </w:r>
      <w:r w:rsidR="003A7739" w:rsidRPr="00FE3F15">
        <w:t xml:space="preserve">expected to continue to make a </w:t>
      </w:r>
      <w:r w:rsidR="00CB010A" w:rsidRPr="00FE3F15">
        <w:t xml:space="preserve">strong contribution to </w:t>
      </w:r>
      <w:r w:rsidR="00741678" w:rsidRPr="00FE3F15">
        <w:t xml:space="preserve">export </w:t>
      </w:r>
      <w:r w:rsidR="00B27B9F" w:rsidRPr="00FE3F15">
        <w:t xml:space="preserve">growth. </w:t>
      </w:r>
      <w:r w:rsidR="003A7739" w:rsidRPr="00FE3F15">
        <w:t xml:space="preserve">They are forecast to grow by </w:t>
      </w:r>
      <w:r w:rsidR="0048757B" w:rsidRPr="00FE3F15">
        <w:t>5</w:t>
      </w:r>
      <w:r w:rsidR="003A7739" w:rsidRPr="00FE3F15">
        <w:t xml:space="preserve"> per cent in 2017-18 and </w:t>
      </w:r>
      <w:r w:rsidR="0048757B" w:rsidRPr="00FE3F15">
        <w:t>4</w:t>
      </w:r>
      <w:r w:rsidR="00B27B9F" w:rsidRPr="00FE3F15">
        <w:t xml:space="preserve"> per cent in 2018</w:t>
      </w:r>
      <w:r w:rsidR="00B27B9F" w:rsidRPr="00FE3F15">
        <w:noBreakHyphen/>
        <w:t xml:space="preserve">19. </w:t>
      </w:r>
      <w:r w:rsidR="003A7739" w:rsidRPr="00FE3F15">
        <w:t xml:space="preserve">Growth in services exports continues to be driven by strong demand from Asia for Australia’s tourism and education services, </w:t>
      </w:r>
      <w:r w:rsidR="009E2536" w:rsidRPr="00FE3F15">
        <w:t xml:space="preserve">with </w:t>
      </w:r>
      <w:r w:rsidR="003A7739" w:rsidRPr="00FE3F15">
        <w:t>sustained growth in short</w:t>
      </w:r>
      <w:r w:rsidR="003A7739" w:rsidRPr="00FE3F15">
        <w:noBreakHyphen/>
        <w:t xml:space="preserve">term visitor arrivals and international student enrolments. </w:t>
      </w:r>
      <w:r w:rsidRPr="00FE3F15">
        <w:fldChar w:fldCharType="begin"/>
      </w:r>
      <w:r w:rsidRPr="00FE3F15">
        <w:instrText xml:space="preserve"> :End:MECD_WT7 </w:instrText>
      </w:r>
      <w:r w:rsidRPr="00FE3F15">
        <w:fldChar w:fldCharType="end"/>
      </w:r>
    </w:p>
    <w:p w:rsidR="003A7739" w:rsidRPr="00FE3F15" w:rsidRDefault="00DA2E22" w:rsidP="00DB39BB">
      <w:r w:rsidRPr="00FE3F15">
        <w:fldChar w:fldCharType="begin"/>
      </w:r>
      <w:r w:rsidRPr="00FE3F15">
        <w:instrText xml:space="preserve"> :Start:MECD_WT9 </w:instrText>
      </w:r>
      <w:r w:rsidRPr="00FE3F15">
        <w:fldChar w:fldCharType="end"/>
      </w:r>
      <w:r w:rsidR="003A7739" w:rsidRPr="00FE3F15">
        <w:t>Rural exports are expected to decline in 2017</w:t>
      </w:r>
      <w:r w:rsidR="003A7739" w:rsidRPr="00FE3F15">
        <w:noBreakHyphen/>
        <w:t xml:space="preserve">18, as crop production falls from the record levels achieved in 2016-17. The decline in rural exports is stronger than </w:t>
      </w:r>
      <w:r w:rsidR="002023A1" w:rsidRPr="00FE3F15">
        <w:t>forecast</w:t>
      </w:r>
      <w:r w:rsidR="00DC207D" w:rsidRPr="00FE3F15">
        <w:t xml:space="preserve"> at Budget as a result of drier-than-</w:t>
      </w:r>
      <w:r w:rsidR="003A7739" w:rsidRPr="00FE3F15">
        <w:t xml:space="preserve">expected seasonal conditions during </w:t>
      </w:r>
      <w:r w:rsidR="002640C3">
        <w:t>winter</w:t>
      </w:r>
      <w:r w:rsidR="008B4884" w:rsidRPr="00FE3F15">
        <w:t>.</w:t>
      </w:r>
    </w:p>
    <w:p w:rsidR="004B2ED2" w:rsidRPr="00FE3F15" w:rsidRDefault="00DA2E22" w:rsidP="00DB39BB">
      <w:r w:rsidRPr="00FE3F15">
        <w:rPr>
          <w:b/>
        </w:rPr>
        <w:fldChar w:fldCharType="begin"/>
      </w:r>
      <w:r w:rsidRPr="00FE3F15">
        <w:rPr>
          <w:b/>
        </w:rPr>
        <w:instrText xml:space="preserve"> :End:MECD_WT9 </w:instrText>
      </w:r>
      <w:r w:rsidRPr="00FE3F15">
        <w:rPr>
          <w:b/>
        </w:rPr>
        <w:fldChar w:fldCharType="end"/>
      </w:r>
      <w:r w:rsidRPr="00FE3F15">
        <w:rPr>
          <w:b/>
        </w:rPr>
        <w:fldChar w:fldCharType="begin"/>
      </w:r>
      <w:r w:rsidRPr="00FE3F15">
        <w:rPr>
          <w:b/>
        </w:rPr>
        <w:instrText xml:space="preserve"> :Start:MECD_WT7 </w:instrText>
      </w:r>
      <w:r w:rsidRPr="00FE3F15">
        <w:rPr>
          <w:b/>
        </w:rPr>
        <w:fldChar w:fldCharType="end"/>
      </w:r>
      <w:r w:rsidR="003A7739" w:rsidRPr="00FE3F15">
        <w:rPr>
          <w:b/>
        </w:rPr>
        <w:t>Imports</w:t>
      </w:r>
      <w:r w:rsidR="003A7739" w:rsidRPr="00FE3F15">
        <w:t xml:space="preserve"> are forecast to grow by </w:t>
      </w:r>
      <w:r w:rsidR="0048757B" w:rsidRPr="00FE3F15">
        <w:t>3</w:t>
      </w:r>
      <w:r w:rsidR="003A7739" w:rsidRPr="00FE3F15">
        <w:t xml:space="preserve"> per cent in 2017-18 and </w:t>
      </w:r>
      <w:r w:rsidR="0048757B" w:rsidRPr="00FE3F15">
        <w:t xml:space="preserve">2½ </w:t>
      </w:r>
      <w:r w:rsidR="004B2ED2" w:rsidRPr="00FE3F15">
        <w:t xml:space="preserve">per cent in 2018-19, </w:t>
      </w:r>
      <w:r w:rsidR="00E57212" w:rsidRPr="00FE3F15">
        <w:t xml:space="preserve">broadly </w:t>
      </w:r>
      <w:r w:rsidR="004B2ED2" w:rsidRPr="00FE3F15">
        <w:t xml:space="preserve">in line with growth </w:t>
      </w:r>
      <w:r w:rsidR="00E57212" w:rsidRPr="00FE3F15">
        <w:t xml:space="preserve">across </w:t>
      </w:r>
      <w:r w:rsidR="004B2ED2" w:rsidRPr="00FE3F15">
        <w:t>the economy.</w:t>
      </w:r>
      <w:r w:rsidRPr="00FE3F15">
        <w:fldChar w:fldCharType="begin"/>
      </w:r>
      <w:r w:rsidRPr="00FE3F15">
        <w:instrText xml:space="preserve"> :End:MECD_WT7 </w:instrText>
      </w:r>
      <w:r w:rsidRPr="00FE3F15">
        <w:fldChar w:fldCharType="end"/>
      </w:r>
    </w:p>
    <w:p w:rsidR="003A7739" w:rsidRPr="00FE3F15" w:rsidRDefault="00C97EDA" w:rsidP="00DB39BB">
      <w:r w:rsidRPr="00FE3F15">
        <w:rPr>
          <w:b/>
        </w:rPr>
        <w:fldChar w:fldCharType="begin"/>
      </w:r>
      <w:r w:rsidRPr="00FE3F15">
        <w:rPr>
          <w:b/>
        </w:rPr>
        <w:instrText xml:space="preserve"> :Start:MECD_WT_10 </w:instrText>
      </w:r>
      <w:r w:rsidRPr="00FE3F15">
        <w:rPr>
          <w:b/>
        </w:rPr>
        <w:fldChar w:fldCharType="end"/>
      </w:r>
      <w:r w:rsidR="00617A4A" w:rsidRPr="00FE3F15">
        <w:rPr>
          <w:b/>
        </w:rPr>
        <w:t>L</w:t>
      </w:r>
      <w:r w:rsidR="003A7739" w:rsidRPr="00FE3F15">
        <w:rPr>
          <w:b/>
        </w:rPr>
        <w:t xml:space="preserve">abour market </w:t>
      </w:r>
      <w:r w:rsidR="00617A4A" w:rsidRPr="00FE3F15">
        <w:t>conditions have been</w:t>
      </w:r>
      <w:r w:rsidR="003A7739" w:rsidRPr="00FE3F15">
        <w:t xml:space="preserve"> stronger than expected at Budget. Over</w:t>
      </w:r>
      <w:r w:rsidR="000D16A5" w:rsidRPr="00FE3F15">
        <w:t> </w:t>
      </w:r>
      <w:r w:rsidR="002640C3">
        <w:t>38</w:t>
      </w:r>
      <w:r w:rsidR="003A7739" w:rsidRPr="00FE3F15">
        <w:t>0,000</w:t>
      </w:r>
      <w:r w:rsidR="007E1CEA" w:rsidRPr="00FE3F15">
        <w:t> </w:t>
      </w:r>
      <w:r w:rsidR="003A7739" w:rsidRPr="00FE3F15">
        <w:t>jobs</w:t>
      </w:r>
      <w:r w:rsidR="00617A4A" w:rsidRPr="00FE3F15">
        <w:t xml:space="preserve"> have been created in the p</w:t>
      </w:r>
      <w:r w:rsidR="003A7739" w:rsidRPr="00FE3F15">
        <w:t>ast year, with the vast majority of these being full</w:t>
      </w:r>
      <w:r w:rsidR="002640C3">
        <w:t>-</w:t>
      </w:r>
      <w:r w:rsidR="003A7739" w:rsidRPr="00FE3F15">
        <w:t xml:space="preserve">time. </w:t>
      </w:r>
      <w:r w:rsidR="009354BA" w:rsidRPr="00FE3F15">
        <w:t>T</w:t>
      </w:r>
      <w:r w:rsidR="00617A4A" w:rsidRPr="00FE3F15">
        <w:t xml:space="preserve">he </w:t>
      </w:r>
      <w:r w:rsidR="003A7739" w:rsidRPr="00FE3F15">
        <w:t xml:space="preserve">underemployment </w:t>
      </w:r>
      <w:r w:rsidR="00617A4A" w:rsidRPr="00FE3F15">
        <w:t xml:space="preserve">rate </w:t>
      </w:r>
      <w:r w:rsidR="003A7739" w:rsidRPr="00FE3F15">
        <w:t xml:space="preserve">has not fallen </w:t>
      </w:r>
      <w:r w:rsidR="00617A4A" w:rsidRPr="00FE3F15">
        <w:t xml:space="preserve">by </w:t>
      </w:r>
      <w:r w:rsidR="003A7739" w:rsidRPr="00FE3F15">
        <w:t xml:space="preserve">as much as </w:t>
      </w:r>
      <w:r w:rsidR="00617A4A" w:rsidRPr="00FE3F15">
        <w:t xml:space="preserve">the </w:t>
      </w:r>
      <w:r w:rsidR="003A7739" w:rsidRPr="00FE3F15">
        <w:lastRenderedPageBreak/>
        <w:t>unemployment</w:t>
      </w:r>
      <w:r w:rsidR="00617A4A" w:rsidRPr="00FE3F15">
        <w:t xml:space="preserve"> rate</w:t>
      </w:r>
      <w:r w:rsidR="003A7739" w:rsidRPr="00FE3F15">
        <w:t>, indicating some ongoing spare capacity in the labour market. The</w:t>
      </w:r>
      <w:r w:rsidR="00F058A9" w:rsidRPr="00FE3F15">
        <w:t> </w:t>
      </w:r>
      <w:r w:rsidR="003A7739" w:rsidRPr="00FE3F15">
        <w:t xml:space="preserve">unemployment rate has fallen to 5.4 per </w:t>
      </w:r>
      <w:r w:rsidR="00D46619" w:rsidRPr="00FE3F15">
        <w:t>cent</w:t>
      </w:r>
      <w:r w:rsidR="002640C3">
        <w:t xml:space="preserve"> for three consecutive months</w:t>
      </w:r>
      <w:r w:rsidR="00D46619" w:rsidRPr="00FE3F15">
        <w:t>, the</w:t>
      </w:r>
      <w:r w:rsidR="00B27B9F" w:rsidRPr="00FE3F15">
        <w:t xml:space="preserve"> lowest rate in over </w:t>
      </w:r>
      <w:r w:rsidR="001F5E08" w:rsidRPr="00FE3F15">
        <w:t xml:space="preserve">four </w:t>
      </w:r>
      <w:r w:rsidR="00B27B9F" w:rsidRPr="00FE3F15">
        <w:t xml:space="preserve">years. </w:t>
      </w:r>
      <w:r w:rsidR="003A7739" w:rsidRPr="00FE3F15">
        <w:t xml:space="preserve">The participation rate has increased, including a </w:t>
      </w:r>
      <w:r w:rsidR="00CB010A" w:rsidRPr="00FE3F15">
        <w:t>notable</w:t>
      </w:r>
      <w:r w:rsidR="003A7739" w:rsidRPr="00FE3F15">
        <w:t xml:space="preserve"> increase in the female participation rate.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3"/>
      </w:tblGrid>
      <w:tr w:rsidR="00602B40" w:rsidRPr="00FE3F15" w:rsidTr="00FE16BD">
        <w:tc>
          <w:tcPr>
            <w:tcW w:w="3963" w:type="dxa"/>
          </w:tcPr>
          <w:p w:rsidR="00602B40" w:rsidRPr="00FE3F15" w:rsidRDefault="00602B40" w:rsidP="004F14AE">
            <w:pPr>
              <w:pStyle w:val="ChartHeading"/>
              <w:spacing w:before="0"/>
            </w:pPr>
            <w:r w:rsidRPr="00FE3F15">
              <w:t>Chart 2.2: Employment growth</w:t>
            </w:r>
          </w:p>
        </w:tc>
        <w:tc>
          <w:tcPr>
            <w:tcW w:w="3963" w:type="dxa"/>
          </w:tcPr>
          <w:p w:rsidR="00602B40" w:rsidRPr="00FE3F15" w:rsidRDefault="00602B40" w:rsidP="004F14AE">
            <w:pPr>
              <w:pStyle w:val="ChartHeading"/>
              <w:spacing w:before="0"/>
            </w:pPr>
            <w:r w:rsidRPr="00FE3F15">
              <w:t xml:space="preserve">Chart 2.3: Unemployment rate </w:t>
            </w:r>
          </w:p>
        </w:tc>
      </w:tr>
      <w:tr w:rsidR="00602B40" w:rsidRPr="00FE3F15" w:rsidTr="00FE16BD">
        <w:tc>
          <w:tcPr>
            <w:tcW w:w="3963" w:type="dxa"/>
          </w:tcPr>
          <w:p w:rsidR="00602B40" w:rsidRPr="00FE3F15" w:rsidRDefault="00A77830" w:rsidP="004F14AE">
            <w:pPr>
              <w:pStyle w:val="ChartGraphic"/>
            </w:pPr>
            <w:r w:rsidRPr="00FE3F15">
              <w:object w:dxaOrig="3615" w:dyaOrig="3690">
                <v:shape id="_x0000_i1028" type="#_x0000_t75" alt="The chart show employment growth on a quarterly basis, through the year from June 2009 to June 2019. It fluctuates between 0.2 per cent and 2.7 per cent. September quarter 2017 is the most recent actual result and through the year growth was 2.6 per cent. Data beyond September 2017 are forecasts. June 2018 employment growth is forecast to be 1.75 per cent and June 2019 is forecast to be 1.5 per cent." style="width:180.95pt;height:184.7pt" o:ole="">
                  <v:imagedata r:id="rId13" o:title=""/>
                </v:shape>
                <o:OLEObject Type="Link" ProgID="Excel.Sheet.12" ShapeID="_x0000_i1028" DrawAspect="Content" r:id="rId14" UpdateMode="Always">
                  <o:LinkType>EnhancedMetaFile</o:LinkType>
                  <o:LockedField>false</o:LockedField>
                </o:OLEObject>
              </w:object>
            </w:r>
          </w:p>
        </w:tc>
        <w:tc>
          <w:tcPr>
            <w:tcW w:w="3963" w:type="dxa"/>
          </w:tcPr>
          <w:p w:rsidR="00602B40" w:rsidRPr="00FE3F15" w:rsidRDefault="00A77830" w:rsidP="003441A1">
            <w:pPr>
              <w:pStyle w:val="ChartGraphic"/>
            </w:pPr>
            <w:r w:rsidRPr="00FE3F15">
              <w:fldChar w:fldCharType="begin"/>
            </w:r>
            <w:r w:rsidRPr="00FE3F15">
              <w:instrText xml:space="preserve"> LINK Excel.Sheet.12 "\\\\fs5.budget.gov\\budget$\\2017-18 MYEFO\\Charts - Economic\\Part 2\\Part 2 - Unemployment rate.xlsx!Charts![Part 2 - Unemployment rate.xlsx]Charts Chart 6" "" \a \p </w:instrText>
            </w:r>
            <w:r w:rsidRPr="00FE3F15">
              <w:fldChar w:fldCharType="separate"/>
            </w:r>
            <w:r>
              <w:rPr>
                <w:noProof/>
              </w:rPr>
              <w:drawing>
                <wp:inline distT="0" distB="0" distL="0" distR="0">
                  <wp:extent cx="2298065" cy="2345690"/>
                  <wp:effectExtent l="0" t="0" r="6985" b="0"/>
                  <wp:docPr id="1" name="Picture 1" descr="This chart shows the seasonally adjusted unemployment rate on a quarterly basis from June 2009 to June 2019. The unemployment rate has been trending downwards since reaching a peak of 6.25 per cent in December 2016. The most recent actual is 5.5 per cent. The June 2018 and June 2019 forecasts data points are 5.5 and 5.25 per cent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2" descr="This chart shows the seasonally adjusted unemployment rate on a quarterly basis from June 2009 to June 2019. The unemployment rate has been trending downwards since reaching a peak of 6.25 per cent in December 2016. The most recent actual is 5.5 per cent. The June 2018 and June 2019 forecasts data points are 5.5 and 5.25 per cent respectivel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98065" cy="2345690"/>
                          </a:xfrm>
                          <a:prstGeom prst="rect">
                            <a:avLst/>
                          </a:prstGeom>
                          <a:noFill/>
                          <a:ln>
                            <a:noFill/>
                          </a:ln>
                        </pic:spPr>
                      </pic:pic>
                    </a:graphicData>
                  </a:graphic>
                </wp:inline>
              </w:drawing>
            </w:r>
            <w:r w:rsidRPr="00FE3F15">
              <w:fldChar w:fldCharType="end"/>
            </w:r>
          </w:p>
        </w:tc>
      </w:tr>
      <w:tr w:rsidR="00D167D9" w:rsidRPr="00FE3F15" w:rsidTr="00FE16BD">
        <w:trPr>
          <w:trHeight w:val="476"/>
        </w:trPr>
        <w:tc>
          <w:tcPr>
            <w:tcW w:w="3963" w:type="dxa"/>
          </w:tcPr>
          <w:p w:rsidR="00D167D9" w:rsidRPr="00FE3F15" w:rsidRDefault="00D167D9" w:rsidP="009B72D7">
            <w:pPr>
              <w:pStyle w:val="ChartandTableFootnote"/>
            </w:pPr>
            <w:r w:rsidRPr="00FE3F15">
              <w:t>Note: Quarterly employment actuals reflect three</w:t>
            </w:r>
            <w:r w:rsidR="00DD42E1" w:rsidRPr="00FE3F15">
              <w:t> </w:t>
            </w:r>
            <w:r w:rsidRPr="00FE3F15">
              <w:t>month averages</w:t>
            </w:r>
            <w:r w:rsidR="00565EF7" w:rsidRPr="00FE3F15">
              <w:t>. F</w:t>
            </w:r>
            <w:r w:rsidRPr="00FE3F15">
              <w:t xml:space="preserve">orecasts reflect </w:t>
            </w:r>
            <w:r w:rsidR="00EB1BFD" w:rsidRPr="00FE3F15">
              <w:t xml:space="preserve">the seasonally adjusted, </w:t>
            </w:r>
            <w:r w:rsidRPr="00FE3F15">
              <w:t xml:space="preserve">through the year </w:t>
            </w:r>
            <w:r w:rsidR="00EB1BFD" w:rsidRPr="00FE3F15">
              <w:t xml:space="preserve">growth rate </w:t>
            </w:r>
            <w:r w:rsidRPr="00FE3F15">
              <w:t>to the June quarter</w:t>
            </w:r>
            <w:r w:rsidR="00565EF7" w:rsidRPr="00FE3F15">
              <w:t>.</w:t>
            </w:r>
          </w:p>
          <w:p w:rsidR="00C20367" w:rsidRPr="00FE3F15" w:rsidRDefault="004270CF" w:rsidP="00DD42E1">
            <w:pPr>
              <w:pStyle w:val="ChartandTableFootnote"/>
            </w:pPr>
            <w:r w:rsidRPr="00FE3F15">
              <w:t>Source: ABS c</w:t>
            </w:r>
            <w:r w:rsidR="00C20367" w:rsidRPr="00FE3F15">
              <w:t>at. no. 6202.0 and Treasury.</w:t>
            </w:r>
          </w:p>
        </w:tc>
        <w:tc>
          <w:tcPr>
            <w:tcW w:w="3963" w:type="dxa"/>
          </w:tcPr>
          <w:p w:rsidR="00D167D9" w:rsidRPr="00FE3F15" w:rsidRDefault="00D167D9" w:rsidP="009B72D7">
            <w:pPr>
              <w:pStyle w:val="ChartandTableFootnote"/>
            </w:pPr>
            <w:r w:rsidRPr="00FE3F15">
              <w:t xml:space="preserve">Note: Quarterly </w:t>
            </w:r>
            <w:r w:rsidR="00565EF7" w:rsidRPr="00FE3F15">
              <w:t>un</w:t>
            </w:r>
            <w:r w:rsidRPr="00FE3F15">
              <w:t>employment actuals reflect three</w:t>
            </w:r>
            <w:r w:rsidR="00DD42E1" w:rsidRPr="00FE3F15">
              <w:t> </w:t>
            </w:r>
            <w:r w:rsidRPr="00FE3F15">
              <w:t>month averages</w:t>
            </w:r>
            <w:r w:rsidR="00565EF7" w:rsidRPr="00FE3F15">
              <w:t>. F</w:t>
            </w:r>
            <w:r w:rsidRPr="00FE3F15">
              <w:t xml:space="preserve">orecasts reflect </w:t>
            </w:r>
            <w:r w:rsidR="00565EF7" w:rsidRPr="00FE3F15">
              <w:t>the seasonally adjusted June quarter rate.</w:t>
            </w:r>
          </w:p>
        </w:tc>
      </w:tr>
    </w:tbl>
    <w:p w:rsidR="00DC7486" w:rsidRPr="00FE3F15" w:rsidRDefault="00DC7486" w:rsidP="00DC7486">
      <w:pPr>
        <w:pStyle w:val="SingleParagraph"/>
      </w:pPr>
    </w:p>
    <w:p w:rsidR="00617A4A" w:rsidRPr="00FE3F15" w:rsidRDefault="003A7739" w:rsidP="00DB39BB">
      <w:r w:rsidRPr="00FE3F15">
        <w:t xml:space="preserve">Employment is forecast to grow by </w:t>
      </w:r>
      <w:r w:rsidR="00617A4A" w:rsidRPr="00FE3F15">
        <w:t xml:space="preserve">1¾ </w:t>
      </w:r>
      <w:r w:rsidRPr="00FE3F15">
        <w:t xml:space="preserve">per cent through the year to the </w:t>
      </w:r>
      <w:r w:rsidR="001F5E08" w:rsidRPr="00FE3F15">
        <w:t>June </w:t>
      </w:r>
      <w:r w:rsidRPr="00FE3F15">
        <w:t>quarter</w:t>
      </w:r>
      <w:r w:rsidR="001F5E08" w:rsidRPr="00FE3F15">
        <w:t> </w:t>
      </w:r>
      <w:r w:rsidRPr="00FE3F15">
        <w:t xml:space="preserve">2018 and </w:t>
      </w:r>
      <w:r w:rsidR="00617A4A" w:rsidRPr="00FE3F15">
        <w:t xml:space="preserve">1½ </w:t>
      </w:r>
      <w:r w:rsidRPr="00FE3F15">
        <w:t xml:space="preserve">per cent through the year to </w:t>
      </w:r>
      <w:r w:rsidR="001F5E08" w:rsidRPr="00FE3F15">
        <w:t xml:space="preserve">the </w:t>
      </w:r>
      <w:r w:rsidRPr="00FE3F15">
        <w:t xml:space="preserve">June quarter 2019. </w:t>
      </w:r>
      <w:r w:rsidR="00617A4A" w:rsidRPr="00FE3F15">
        <w:t>The</w:t>
      </w:r>
      <w:r w:rsidR="00F058A9" w:rsidRPr="00FE3F15">
        <w:t> </w:t>
      </w:r>
      <w:r w:rsidR="00617A4A" w:rsidRPr="00FE3F15">
        <w:t>unemployment rate is forecast to be 5½ per cent in the June quarter 2018 and 5</w:t>
      </w:r>
      <w:r w:rsidR="001F5E08" w:rsidRPr="00FE3F15">
        <w:t>¼ per </w:t>
      </w:r>
      <w:r w:rsidR="00617A4A" w:rsidRPr="00FE3F15">
        <w:t>cent in the June</w:t>
      </w:r>
      <w:r w:rsidR="000D16A5" w:rsidRPr="00FE3F15">
        <w:t> </w:t>
      </w:r>
      <w:r w:rsidR="00617A4A" w:rsidRPr="00FE3F15">
        <w:t>quarter 2019</w:t>
      </w:r>
      <w:r w:rsidR="002023A1" w:rsidRPr="00FE3F15">
        <w:t xml:space="preserve"> – lower than forec</w:t>
      </w:r>
      <w:r w:rsidR="002640C3">
        <w:t>ast at Budget as a result of</w:t>
      </w:r>
      <w:r w:rsidR="002023A1" w:rsidRPr="00FE3F15">
        <w:t xml:space="preserve"> recent strong labour market outcomes</w:t>
      </w:r>
      <w:r w:rsidR="00617A4A" w:rsidRPr="00FE3F15">
        <w:t xml:space="preserve">. The participation rate is forecast to be </w:t>
      </w:r>
      <w:r w:rsidR="001F5E08" w:rsidRPr="00FE3F15">
        <w:t>65 </w:t>
      </w:r>
      <w:r w:rsidR="00617A4A" w:rsidRPr="00FE3F15">
        <w:t>per</w:t>
      </w:r>
      <w:r w:rsidR="001F5E08" w:rsidRPr="00FE3F15">
        <w:t> </w:t>
      </w:r>
      <w:r w:rsidR="00617A4A" w:rsidRPr="00FE3F15">
        <w:t>cent in the June quarter 2018 and 64¾ per cent in the June quarter 2019.</w:t>
      </w:r>
    </w:p>
    <w:p w:rsidR="003A7739" w:rsidRPr="00FE3F15" w:rsidRDefault="00C97EDA" w:rsidP="00DB39BB">
      <w:r w:rsidRPr="00FE3F15">
        <w:rPr>
          <w:b/>
        </w:rPr>
        <w:fldChar w:fldCharType="begin"/>
      </w:r>
      <w:r w:rsidRPr="00FE3F15">
        <w:rPr>
          <w:b/>
        </w:rPr>
        <w:instrText xml:space="preserve"> :End:MECD_WT_10 </w:instrText>
      </w:r>
      <w:r w:rsidRPr="00FE3F15">
        <w:rPr>
          <w:b/>
        </w:rPr>
        <w:fldChar w:fldCharType="end"/>
      </w:r>
      <w:r w:rsidRPr="00FE3F15">
        <w:rPr>
          <w:b/>
        </w:rPr>
        <w:fldChar w:fldCharType="begin"/>
      </w:r>
      <w:r w:rsidRPr="00FE3F15">
        <w:rPr>
          <w:b/>
        </w:rPr>
        <w:instrText xml:space="preserve"> :Start:MECD_WT_11 </w:instrText>
      </w:r>
      <w:r w:rsidRPr="00FE3F15">
        <w:rPr>
          <w:b/>
        </w:rPr>
        <w:fldChar w:fldCharType="end"/>
      </w:r>
      <w:r w:rsidR="003A7739" w:rsidRPr="00FE3F15">
        <w:rPr>
          <w:b/>
        </w:rPr>
        <w:t>Wage growth</w:t>
      </w:r>
      <w:r w:rsidR="003A7739" w:rsidRPr="00FE3F15">
        <w:t xml:space="preserve"> remains low by historical standards in both the public and private sectors</w:t>
      </w:r>
      <w:r w:rsidR="00421F1C" w:rsidRPr="00FE3F15">
        <w:t xml:space="preserve"> and has been more </w:t>
      </w:r>
      <w:r w:rsidR="008B4884" w:rsidRPr="00FE3F15">
        <w:t>subdued</w:t>
      </w:r>
      <w:r w:rsidR="00C864E7" w:rsidRPr="00FE3F15">
        <w:t xml:space="preserve"> </w:t>
      </w:r>
      <w:r w:rsidR="00421F1C" w:rsidRPr="00FE3F15">
        <w:t xml:space="preserve">than expected since Budget. Wages, as measured by the Wage Price Index, are forecast to grow by 2¼ per cent through the year to the June quarter 2018 and 2¾ per cent through the year to the June quarter 2019. </w:t>
      </w:r>
      <w:r w:rsidR="005F2A0A" w:rsidRPr="00FE3F15">
        <w:t>This is</w:t>
      </w:r>
      <w:r w:rsidR="009B72D7" w:rsidRPr="00FE3F15">
        <w:t xml:space="preserve"> a</w:t>
      </w:r>
      <w:r w:rsidR="005F2A0A" w:rsidRPr="00FE3F15">
        <w:t xml:space="preserve"> </w:t>
      </w:r>
      <w:r w:rsidR="00421F1C" w:rsidRPr="00FE3F15">
        <w:t xml:space="preserve">¼ of a percentage point </w:t>
      </w:r>
      <w:r w:rsidR="00285CDB" w:rsidRPr="00FE3F15">
        <w:t xml:space="preserve">lower </w:t>
      </w:r>
      <w:r w:rsidR="00421F1C" w:rsidRPr="00FE3F15">
        <w:t>in both years</w:t>
      </w:r>
      <w:r w:rsidR="0009438E" w:rsidRPr="00FE3F15">
        <w:t xml:space="preserve"> compared with Budget. </w:t>
      </w:r>
      <w:r w:rsidR="00511B13" w:rsidRPr="00FE3F15">
        <w:t>Wage</w:t>
      </w:r>
      <w:r w:rsidR="00F058A9" w:rsidRPr="00FE3F15">
        <w:t> </w:t>
      </w:r>
      <w:r w:rsidR="003A7739" w:rsidRPr="00FE3F15">
        <w:t>growth</w:t>
      </w:r>
      <w:r w:rsidR="00421F1C" w:rsidRPr="00FE3F15">
        <w:t xml:space="preserve"> </w:t>
      </w:r>
      <w:r w:rsidR="003A7739" w:rsidRPr="00FE3F15">
        <w:t xml:space="preserve">is forecast to </w:t>
      </w:r>
      <w:r w:rsidR="00E071A2" w:rsidRPr="00FE3F15">
        <w:t xml:space="preserve">lift as the economy strengthens, inflation picks up </w:t>
      </w:r>
      <w:r w:rsidR="003A7739" w:rsidRPr="00FE3F15">
        <w:t xml:space="preserve">and excess capacity in the labour market is reduced. </w:t>
      </w:r>
      <w:r w:rsidRPr="00FE3F15">
        <w:fldChar w:fldCharType="begin"/>
      </w:r>
      <w:r w:rsidRPr="00FE3F15">
        <w:instrText xml:space="preserve"> :End:MECD_WT_11 </w:instrText>
      </w:r>
      <w:r w:rsidRPr="00FE3F15">
        <w:fldChar w:fldCharType="end"/>
      </w:r>
    </w:p>
    <w:p w:rsidR="007E1CEA" w:rsidRPr="00FE3F15" w:rsidRDefault="00C97EDA" w:rsidP="00C05417">
      <w:r w:rsidRPr="00FE3F15">
        <w:fldChar w:fldCharType="begin"/>
      </w:r>
      <w:r w:rsidRPr="00FE3F15">
        <w:instrText xml:space="preserve"> :Start:MECD_WT3 </w:instrText>
      </w:r>
      <w:r w:rsidRPr="00FE3F15">
        <w:fldChar w:fldCharType="end"/>
      </w:r>
      <w:r w:rsidR="003A7739" w:rsidRPr="00FE3F15">
        <w:t xml:space="preserve">Growth in </w:t>
      </w:r>
      <w:r w:rsidR="003A7739" w:rsidRPr="00FE3F15">
        <w:rPr>
          <w:b/>
        </w:rPr>
        <w:t>consumer prices</w:t>
      </w:r>
      <w:r w:rsidR="003A7739" w:rsidRPr="00FE3F15">
        <w:t xml:space="preserve"> also remains subdued, with the Consumer Price </w:t>
      </w:r>
      <w:r w:rsidR="001F5E08" w:rsidRPr="00FE3F15">
        <w:t>Index </w:t>
      </w:r>
      <w:r w:rsidR="0032302C" w:rsidRPr="00FE3F15">
        <w:t xml:space="preserve">(CPI) </w:t>
      </w:r>
      <w:r w:rsidR="003A7739" w:rsidRPr="00FE3F15">
        <w:t>increasing by 1.8 per cent through the year to the September quarter 2017. A</w:t>
      </w:r>
      <w:r w:rsidR="000D16A5" w:rsidRPr="00FE3F15">
        <w:t> </w:t>
      </w:r>
      <w:r w:rsidR="003A7739" w:rsidRPr="00FE3F15">
        <w:t>combination of factors including heightened competition in the retail sector</w:t>
      </w:r>
      <w:r w:rsidR="000E1F39" w:rsidRPr="00FE3F15">
        <w:t xml:space="preserve"> and</w:t>
      </w:r>
      <w:r w:rsidR="003A7739" w:rsidRPr="00FE3F15">
        <w:t xml:space="preserve"> subdued rental price growth are expected to</w:t>
      </w:r>
      <w:r w:rsidR="009354BA" w:rsidRPr="00FE3F15">
        <w:t xml:space="preserve"> contain inflation in the short </w:t>
      </w:r>
      <w:r w:rsidR="003A7739" w:rsidRPr="00FE3F15">
        <w:t>term</w:t>
      </w:r>
      <w:r w:rsidR="000E1F39" w:rsidRPr="00FE3F15">
        <w:t xml:space="preserve">. </w:t>
      </w:r>
      <w:r w:rsidR="0032302C" w:rsidRPr="00FE3F15">
        <w:t>The</w:t>
      </w:r>
      <w:r w:rsidR="00F058A9" w:rsidRPr="00FE3F15">
        <w:t> </w:t>
      </w:r>
      <w:r w:rsidR="002640C3">
        <w:t>updating of the weights of</w:t>
      </w:r>
      <w:r w:rsidR="0032302C" w:rsidRPr="00FE3F15">
        <w:t xml:space="preserve"> the expenditure classes in the CPI in the December</w:t>
      </w:r>
      <w:r w:rsidR="00DD42E1" w:rsidRPr="00FE3F15">
        <w:t> </w:t>
      </w:r>
      <w:r w:rsidR="0032302C" w:rsidRPr="00FE3F15">
        <w:t>quarter 2017 release is also likely to reduce measured inflation</w:t>
      </w:r>
      <w:r w:rsidR="000E1F39" w:rsidRPr="00FE3F15">
        <w:t xml:space="preserve">. Petrol and </w:t>
      </w:r>
      <w:r w:rsidR="000E1F39" w:rsidRPr="00FE3F15">
        <w:lastRenderedPageBreak/>
        <w:t xml:space="preserve">electricity prices are expected to add </w:t>
      </w:r>
      <w:r w:rsidR="00DF719B" w:rsidRPr="00FE3F15">
        <w:t xml:space="preserve">some </w:t>
      </w:r>
      <w:r w:rsidR="000E1F39" w:rsidRPr="00FE3F15">
        <w:t xml:space="preserve">short-term upward pressure. </w:t>
      </w:r>
      <w:r w:rsidR="003A7739" w:rsidRPr="00FE3F15">
        <w:t xml:space="preserve">Consumer prices are </w:t>
      </w:r>
      <w:r w:rsidR="000E1F39" w:rsidRPr="00FE3F15">
        <w:t>forecast</w:t>
      </w:r>
      <w:r w:rsidR="003A7739" w:rsidRPr="00FE3F15">
        <w:t xml:space="preserve"> to increase by </w:t>
      </w:r>
      <w:r w:rsidR="000E1F39" w:rsidRPr="00FE3F15">
        <w:t>2 </w:t>
      </w:r>
      <w:r w:rsidR="005F73DF" w:rsidRPr="00FE3F15">
        <w:t>per cent</w:t>
      </w:r>
      <w:r w:rsidR="003A7739" w:rsidRPr="00FE3F15">
        <w:t xml:space="preserve"> through the year to the June quarter </w:t>
      </w:r>
      <w:r w:rsidR="00DF719B" w:rsidRPr="00FE3F15">
        <w:t xml:space="preserve">2018, before </w:t>
      </w:r>
      <w:r w:rsidR="009354BA" w:rsidRPr="00FE3F15">
        <w:t xml:space="preserve">accelerating </w:t>
      </w:r>
      <w:r w:rsidR="00DF719B" w:rsidRPr="00FE3F15">
        <w:t>to 2¼ </w:t>
      </w:r>
      <w:r w:rsidR="005F73DF" w:rsidRPr="00FE3F15">
        <w:t>per cent</w:t>
      </w:r>
      <w:r w:rsidR="003A7739" w:rsidRPr="00FE3F15">
        <w:t xml:space="preserve"> through the year to the June quarter 2019.</w:t>
      </w:r>
      <w:r w:rsidRPr="00FE3F15">
        <w:fldChar w:fldCharType="begin"/>
      </w:r>
      <w:r w:rsidRPr="00FE3F15">
        <w:instrText xml:space="preserve"> :End:MECD_WT3 </w:instrText>
      </w:r>
      <w:r w:rsidRPr="00FE3F15">
        <w:fldChar w:fldCharType="end"/>
      </w:r>
      <w:r w:rsidR="007E1CEA" w:rsidRPr="00FE3F15">
        <w:rPr>
          <w:b/>
        </w:rPr>
        <w:br w:type="page"/>
      </w:r>
    </w:p>
    <w:p w:rsidR="003A7739" w:rsidRPr="00FE3F15" w:rsidRDefault="00C97EDA" w:rsidP="00DB39BB">
      <w:r w:rsidRPr="00FE3F15">
        <w:rPr>
          <w:b/>
        </w:rPr>
        <w:lastRenderedPageBreak/>
        <w:fldChar w:fldCharType="begin"/>
      </w:r>
      <w:r w:rsidRPr="00FE3F15">
        <w:rPr>
          <w:b/>
        </w:rPr>
        <w:instrText xml:space="preserve"> :Start:MECD_WT8 </w:instrText>
      </w:r>
      <w:r w:rsidRPr="00FE3F15">
        <w:rPr>
          <w:b/>
        </w:rPr>
        <w:fldChar w:fldCharType="end"/>
      </w:r>
      <w:r w:rsidR="003A7739" w:rsidRPr="00FE3F15">
        <w:rPr>
          <w:b/>
        </w:rPr>
        <w:t>Commodity prices</w:t>
      </w:r>
      <w:r w:rsidR="003A7739" w:rsidRPr="00FE3F15">
        <w:t xml:space="preserve"> remain sensitive to global developments, including Chinese policy intervention</w:t>
      </w:r>
      <w:r w:rsidR="00E07DAA" w:rsidRPr="00FE3F15">
        <w:t>s</w:t>
      </w:r>
      <w:r w:rsidR="003A7739" w:rsidRPr="00FE3F15">
        <w:t xml:space="preserve"> and supply disruptions both domestically and abroad. This volatility remains a key uncertainty in the outlook for the terms of trade and nominal GDP. Iron</w:t>
      </w:r>
      <w:r w:rsidR="00F058A9" w:rsidRPr="00FE3F15">
        <w:t> </w:t>
      </w:r>
      <w:r w:rsidR="003A7739" w:rsidRPr="00FE3F15">
        <w:t xml:space="preserve">ore prices </w:t>
      </w:r>
      <w:r w:rsidR="00DF719B" w:rsidRPr="00FE3F15">
        <w:t>are</w:t>
      </w:r>
      <w:r w:rsidR="003A7739" w:rsidRPr="00FE3F15">
        <w:t xml:space="preserve"> assumed to remain </w:t>
      </w:r>
      <w:r w:rsidR="005F73DF" w:rsidRPr="00FE3F15">
        <w:t>flat at</w:t>
      </w:r>
      <w:r w:rsidR="003A7739" w:rsidRPr="00FE3F15">
        <w:t xml:space="preserve"> </w:t>
      </w:r>
      <w:r w:rsidR="005F73DF" w:rsidRPr="00FE3F15">
        <w:t>US$55</w:t>
      </w:r>
      <w:r w:rsidR="003A7739" w:rsidRPr="00FE3F15">
        <w:t xml:space="preserve"> per tonne free-on-board (FOB) over the forecast period. </w:t>
      </w:r>
      <w:r w:rsidR="00DF719B" w:rsidRPr="00FE3F15">
        <w:t xml:space="preserve">This is broadly consistent with the Budget assumption that iron ore prices would fall to US$55 per tonne </w:t>
      </w:r>
      <w:r w:rsidR="00285CDB" w:rsidRPr="00FE3F15">
        <w:t xml:space="preserve">by </w:t>
      </w:r>
      <w:r w:rsidR="00DF719B" w:rsidRPr="00FE3F15">
        <w:t xml:space="preserve">the beginning of 2018. </w:t>
      </w:r>
      <w:r w:rsidR="0036745F" w:rsidRPr="00FE3F15">
        <w:t xml:space="preserve">By </w:t>
      </w:r>
      <w:r w:rsidR="003A7739" w:rsidRPr="00FE3F15">
        <w:t>contras</w:t>
      </w:r>
      <w:r w:rsidR="00DF719B" w:rsidRPr="00FE3F15">
        <w:t>t, metallurgical coal prices</w:t>
      </w:r>
      <w:r w:rsidR="003A7739" w:rsidRPr="00FE3F15">
        <w:t xml:space="preserve"> are assumed to decline later than </w:t>
      </w:r>
      <w:r w:rsidR="00DF719B" w:rsidRPr="00FE3F15">
        <w:t xml:space="preserve">assumed </w:t>
      </w:r>
      <w:r w:rsidR="003A7739" w:rsidRPr="00FE3F15">
        <w:t>at Budget, falling over the March</w:t>
      </w:r>
      <w:r w:rsidR="000D16A5" w:rsidRPr="00FE3F15">
        <w:t> </w:t>
      </w:r>
      <w:r w:rsidR="003A7739" w:rsidRPr="00FE3F15">
        <w:t>and June quarters of 2018 to reach US$</w:t>
      </w:r>
      <w:r w:rsidR="005F73DF" w:rsidRPr="00FE3F15">
        <w:t xml:space="preserve">120 </w:t>
      </w:r>
      <w:r w:rsidR="003A7739" w:rsidRPr="00FE3F15">
        <w:t>per tonne in the September</w:t>
      </w:r>
      <w:r w:rsidR="003D674C" w:rsidRPr="00FE3F15">
        <w:t> </w:t>
      </w:r>
      <w:r w:rsidR="003A7739" w:rsidRPr="00FE3F15">
        <w:t xml:space="preserve">quarter 2018. Thermal coal prices </w:t>
      </w:r>
      <w:r w:rsidR="002023A1" w:rsidRPr="00FE3F15">
        <w:t>are</w:t>
      </w:r>
      <w:r w:rsidR="003A7739" w:rsidRPr="00FE3F15">
        <w:t xml:space="preserve"> </w:t>
      </w:r>
      <w:r w:rsidR="002023A1" w:rsidRPr="00FE3F15">
        <w:t>assumed</w:t>
      </w:r>
      <w:r w:rsidR="003A7739" w:rsidRPr="00FE3F15">
        <w:t xml:space="preserve"> to </w:t>
      </w:r>
      <w:r w:rsidR="005F73DF" w:rsidRPr="00FE3F15">
        <w:t>be flat at</w:t>
      </w:r>
      <w:r w:rsidR="003A7739" w:rsidRPr="00FE3F15">
        <w:t xml:space="preserve"> </w:t>
      </w:r>
      <w:r w:rsidR="005F73DF" w:rsidRPr="00FE3F15">
        <w:t>US$85</w:t>
      </w:r>
      <w:r w:rsidR="003A7739" w:rsidRPr="00FE3F15">
        <w:t xml:space="preserve"> per tonne, consistent with </w:t>
      </w:r>
      <w:r w:rsidR="006438E6" w:rsidRPr="00FE3F15">
        <w:t>the Budget assumption</w:t>
      </w:r>
      <w:r w:rsidR="00511B13" w:rsidRPr="00FE3F15">
        <w:t xml:space="preserve"> </w:t>
      </w:r>
      <w:r w:rsidR="009E2536" w:rsidRPr="00FE3F15">
        <w:t>and the current Japanese fiscal year annual contract price</w:t>
      </w:r>
      <w:r w:rsidR="006438E6" w:rsidRPr="00FE3F1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2"/>
        <w:gridCol w:w="3912"/>
      </w:tblGrid>
      <w:tr w:rsidR="00602B40" w:rsidRPr="00FE3F15" w:rsidTr="007E1CEA">
        <w:tc>
          <w:tcPr>
            <w:tcW w:w="3912" w:type="dxa"/>
          </w:tcPr>
          <w:p w:rsidR="00602B40" w:rsidRPr="00FE3F15" w:rsidRDefault="00602B40" w:rsidP="00817196">
            <w:pPr>
              <w:pStyle w:val="ChartHeading"/>
              <w:spacing w:before="0"/>
            </w:pPr>
            <w:r w:rsidRPr="00FE3F15">
              <w:t xml:space="preserve">Chart 2.4: </w:t>
            </w:r>
            <w:r w:rsidR="00590321" w:rsidRPr="00FE3F15">
              <w:t xml:space="preserve">Iron ore </w:t>
            </w:r>
            <w:r w:rsidR="00C105DD" w:rsidRPr="00FE3F15">
              <w:t>p</w:t>
            </w:r>
            <w:r w:rsidRPr="00FE3F15">
              <w:t>rices</w:t>
            </w:r>
          </w:p>
        </w:tc>
        <w:tc>
          <w:tcPr>
            <w:tcW w:w="3912" w:type="dxa"/>
          </w:tcPr>
          <w:p w:rsidR="00602B40" w:rsidRPr="00FE3F15" w:rsidRDefault="00602B40" w:rsidP="00817196">
            <w:pPr>
              <w:pStyle w:val="ChartHeading"/>
              <w:spacing w:before="0"/>
            </w:pPr>
            <w:r w:rsidRPr="00FE3F15">
              <w:t xml:space="preserve">Chart 2.5: </w:t>
            </w:r>
            <w:r w:rsidR="00590321" w:rsidRPr="00FE3F15">
              <w:t>Coal</w:t>
            </w:r>
            <w:r w:rsidRPr="00FE3F15">
              <w:t xml:space="preserve"> </w:t>
            </w:r>
            <w:r w:rsidR="00C105DD" w:rsidRPr="00FE3F15">
              <w:t>p</w:t>
            </w:r>
            <w:r w:rsidRPr="00FE3F15">
              <w:t>rices</w:t>
            </w:r>
          </w:p>
        </w:tc>
      </w:tr>
      <w:tr w:rsidR="00602B40" w:rsidRPr="00FE3F15" w:rsidTr="007E1CEA">
        <w:tc>
          <w:tcPr>
            <w:tcW w:w="3912" w:type="dxa"/>
          </w:tcPr>
          <w:p w:rsidR="00602B40" w:rsidRPr="00FE3F15" w:rsidRDefault="007751BC" w:rsidP="00590321">
            <w:pPr>
              <w:pStyle w:val="ChartGraphic"/>
            </w:pPr>
            <w:r w:rsidRPr="00FE3F15">
              <w:object w:dxaOrig="3615" w:dyaOrig="3556">
                <v:shape id="_x0000_i1029" type="#_x0000_t75" alt="Iron ore spot prices (LHS): This chart shows the iron ore spot price from December 2011 to December 2017. Prices have fallen from a high of around US$150 per tonne in early 2013, reaching a low of around US$35 per tonne in December 2015. In early 2017, prices surged back towards US$90 per tonne and have remained volatile. Prices are currently sitting at around US$60 per tonne in December 2017." style="width:180.95pt;height:177.8pt" o:ole="">
                  <v:imagedata r:id="rId16" o:title=""/>
                </v:shape>
                <o:OLEObject Type="Link" ProgID="Excel.Sheet.12" ShapeID="_x0000_i1029" DrawAspect="Content" r:id="rId17" UpdateMode="Always">
                  <o:LinkType>EnhancedMetaFile</o:LinkType>
                  <o:LockedField/>
                </o:OLEObject>
              </w:object>
            </w:r>
          </w:p>
        </w:tc>
        <w:tc>
          <w:tcPr>
            <w:tcW w:w="3912" w:type="dxa"/>
          </w:tcPr>
          <w:p w:rsidR="00602B40" w:rsidRPr="00FE3F15" w:rsidRDefault="00EA3B51" w:rsidP="00F33397">
            <w:pPr>
              <w:pStyle w:val="ChartGraphic"/>
            </w:pPr>
            <w:r w:rsidRPr="00FE3F15">
              <w:object w:dxaOrig="3615" w:dyaOrig="3615">
                <v:shape id="_x0000_i1030" type="#_x0000_t75" alt="Coal prices chart (RHS): The metallurgical coal spot price chart shows significant price volatility from December 2011 to December 2017. In particular, the price of metallurgical coal gradually fell from over US$230 per tonne in December 2011 to a low of around US$70 per tonne by the end of 2015. Since then, the price jumped sharply back around US$300 per tonne on two occasions throughout 2016-17, before retracing these gains just as quickly. More recently, prices have been elevated and are currently above US$220 per tonne. Thermal coal prices have also exhibited volatility, more than doubling over 2016-17 to above US$100 per tonne, before falling back to around US$70per tonne. These prices also  escalated more recently and currently remain elevated above US$95 per tonne." style="width:180.95pt;height:180.95pt" o:ole="">
                  <v:imagedata r:id="rId18" o:title=""/>
                </v:shape>
                <o:OLEObject Type="Link" ProgID="Excel.Sheet.12" ShapeID="_x0000_i1030" DrawAspect="Content" r:id="rId19" UpdateMode="Always">
                  <o:LinkType>EnhancedMetaFile</o:LinkType>
                  <o:LockedField/>
                </o:OLEObject>
              </w:object>
            </w:r>
          </w:p>
        </w:tc>
      </w:tr>
    </w:tbl>
    <w:p w:rsidR="00DC7486" w:rsidRPr="00FE3F15" w:rsidRDefault="00DC7486" w:rsidP="00817196">
      <w:pPr>
        <w:pStyle w:val="ChartandTableFootnote"/>
        <w:spacing w:before="80"/>
      </w:pPr>
      <w:r w:rsidRPr="00FE3F15">
        <w:t>Note: Spot price data are presented as a seven-day moving average and are expressed in FOB terms which exclude the cost of freight.</w:t>
      </w:r>
    </w:p>
    <w:p w:rsidR="0036745F" w:rsidRPr="00FE3F15" w:rsidRDefault="0036745F" w:rsidP="0036745F">
      <w:pPr>
        <w:pStyle w:val="ChartandTableFootnote"/>
      </w:pPr>
      <w:r w:rsidRPr="00FE3F15">
        <w:t>Source: S&amp;P Global Platts and Treasury.</w:t>
      </w:r>
    </w:p>
    <w:p w:rsidR="00DC7486" w:rsidRPr="00FE3F15" w:rsidRDefault="00DC7486" w:rsidP="00DC7486">
      <w:pPr>
        <w:pStyle w:val="SingleParagraph"/>
      </w:pPr>
    </w:p>
    <w:p w:rsidR="003A7739" w:rsidRPr="00FE3F15" w:rsidRDefault="003A7739" w:rsidP="00DB39BB">
      <w:r w:rsidRPr="00FE3F15">
        <w:t xml:space="preserve">Iron ore prices are being </w:t>
      </w:r>
      <w:r w:rsidR="005F73DF" w:rsidRPr="00FE3F15">
        <w:t>affected</w:t>
      </w:r>
      <w:r w:rsidRPr="00FE3F15">
        <w:t xml:space="preserve"> by significant government-enforced shutdowns in China’s key steelmaking regions in an effort to combat seasonal pollution</w:t>
      </w:r>
      <w:r w:rsidR="008D45A8" w:rsidRPr="00FE3F15">
        <w:t xml:space="preserve"> during winter</w:t>
      </w:r>
      <w:r w:rsidRPr="00FE3F15">
        <w:t>. Meanwhile, significant supply disruptions and Chinese policy intervention</w:t>
      </w:r>
      <w:r w:rsidR="009354BA" w:rsidRPr="00FE3F15">
        <w:t>s</w:t>
      </w:r>
      <w:r w:rsidRPr="00FE3F15">
        <w:t xml:space="preserve"> have resulted in substantial</w:t>
      </w:r>
      <w:r w:rsidR="007B7E63" w:rsidRPr="00FE3F15">
        <w:t xml:space="preserve"> rises in coal prices over the p</w:t>
      </w:r>
      <w:r w:rsidRPr="00FE3F15">
        <w:t xml:space="preserve">ast year. Liaison with a range of industry contacts </w:t>
      </w:r>
      <w:r w:rsidR="00E57212" w:rsidRPr="00FE3F15">
        <w:t>continues to suggest</w:t>
      </w:r>
      <w:r w:rsidRPr="00FE3F15">
        <w:t xml:space="preserve"> that current prices for metallurgical coal are unlikely to be sustained. </w:t>
      </w:r>
      <w:r w:rsidR="00511B13" w:rsidRPr="00FE3F15">
        <w:t xml:space="preserve">While </w:t>
      </w:r>
      <w:r w:rsidR="0036745F" w:rsidRPr="00FE3F15">
        <w:t xml:space="preserve">the </w:t>
      </w:r>
      <w:r w:rsidR="00511B13" w:rsidRPr="00FE3F15">
        <w:t>prudent assumption for a</w:t>
      </w:r>
      <w:r w:rsidRPr="00FE3F15">
        <w:t xml:space="preserve"> </w:t>
      </w:r>
      <w:r w:rsidR="009E2536" w:rsidRPr="00FE3F15">
        <w:t xml:space="preserve">reduction </w:t>
      </w:r>
      <w:r w:rsidRPr="00FE3F15">
        <w:t xml:space="preserve">in prices has been </w:t>
      </w:r>
      <w:r w:rsidR="0036745F" w:rsidRPr="00FE3F15">
        <w:t>maintained</w:t>
      </w:r>
      <w:r w:rsidRPr="00FE3F15">
        <w:t xml:space="preserve">, determining the precise timing around commodity price movements poses </w:t>
      </w:r>
      <w:r w:rsidR="00E57212" w:rsidRPr="00FE3F15">
        <w:t xml:space="preserve">significant uncertainty </w:t>
      </w:r>
      <w:r w:rsidRPr="00FE3F15">
        <w:t xml:space="preserve">to the economic </w:t>
      </w:r>
      <w:r w:rsidR="005F73DF" w:rsidRPr="00FE3F15">
        <w:t>forecasts</w:t>
      </w:r>
      <w:r w:rsidRPr="00FE3F15">
        <w:t xml:space="preserve">. Sensitivity around the </w:t>
      </w:r>
      <w:r w:rsidR="009B72D7" w:rsidRPr="00FE3F15">
        <w:t xml:space="preserve">timing of this </w:t>
      </w:r>
      <w:r w:rsidRPr="00FE3F15">
        <w:t xml:space="preserve">assumption is presented in Box </w:t>
      </w:r>
      <w:r w:rsidR="009E2536" w:rsidRPr="00FE3F15">
        <w:t>A</w:t>
      </w:r>
      <w:r w:rsidRPr="00FE3F15">
        <w:t xml:space="preserve">. </w:t>
      </w:r>
    </w:p>
    <w:p w:rsidR="003A7739" w:rsidRPr="00FE3F15" w:rsidRDefault="00C97EDA" w:rsidP="00DB39BB">
      <w:r w:rsidRPr="00FE3F15">
        <w:fldChar w:fldCharType="begin"/>
      </w:r>
      <w:r w:rsidRPr="00FE3F15">
        <w:instrText xml:space="preserve"> :End:MECD_WT8 </w:instrText>
      </w:r>
      <w:r w:rsidRPr="00FE3F15">
        <w:fldChar w:fldCharType="end"/>
      </w:r>
      <w:r w:rsidRPr="00FE3F15">
        <w:fldChar w:fldCharType="begin"/>
      </w:r>
      <w:r w:rsidRPr="00FE3F15">
        <w:instrText xml:space="preserve"> :Start:MECD_WT1 </w:instrText>
      </w:r>
      <w:r w:rsidRPr="00FE3F15">
        <w:fldChar w:fldCharType="end"/>
      </w:r>
      <w:r w:rsidR="003A7739" w:rsidRPr="00FE3F15">
        <w:t xml:space="preserve">The </w:t>
      </w:r>
      <w:r w:rsidR="003A7739" w:rsidRPr="00FE3F15">
        <w:rPr>
          <w:b/>
        </w:rPr>
        <w:t>terms of trade</w:t>
      </w:r>
      <w:r w:rsidR="003A7739" w:rsidRPr="00FE3F15">
        <w:t xml:space="preserve"> are forecast to fall by </w:t>
      </w:r>
      <w:r w:rsidR="005F73DF" w:rsidRPr="00FE3F15">
        <w:t>2</w:t>
      </w:r>
      <w:r w:rsidR="003A7739" w:rsidRPr="00FE3F15">
        <w:t xml:space="preserve"> per cent in 2017-18 and by </w:t>
      </w:r>
      <w:r w:rsidR="005F73DF" w:rsidRPr="00FE3F15">
        <w:t>5</w:t>
      </w:r>
      <w:r w:rsidR="003A7739" w:rsidRPr="00FE3F15">
        <w:t xml:space="preserve"> per cent in 2018-19, after growing by </w:t>
      </w:r>
      <w:r w:rsidR="005F73DF" w:rsidRPr="00FE3F15">
        <w:t>14.5</w:t>
      </w:r>
      <w:r w:rsidR="003A7739" w:rsidRPr="00FE3F15">
        <w:t xml:space="preserve"> per cent in 2016-17 </w:t>
      </w:r>
      <w:r w:rsidR="007B7E63" w:rsidRPr="00FE3F15">
        <w:t>as a result of</w:t>
      </w:r>
      <w:r w:rsidR="003A7739" w:rsidRPr="00FE3F15">
        <w:t xml:space="preserve"> strong </w:t>
      </w:r>
      <w:r w:rsidR="007B7E63" w:rsidRPr="00FE3F15">
        <w:t>increases</w:t>
      </w:r>
      <w:r w:rsidR="003A7739" w:rsidRPr="00FE3F15">
        <w:t xml:space="preserve"> in commodity prices.</w:t>
      </w:r>
      <w:r w:rsidR="005F73DF" w:rsidRPr="00FE3F15">
        <w:t xml:space="preserve"> The slightly stronger forecast in 2017-18 and the slightly weaker forecast in 2018-19 compared </w:t>
      </w:r>
      <w:r w:rsidR="00CD1D7E" w:rsidRPr="00FE3F15">
        <w:t>with</w:t>
      </w:r>
      <w:r w:rsidR="005F73DF" w:rsidRPr="00FE3F15">
        <w:t xml:space="preserve"> Budget partly reflects the shift in the phase-down </w:t>
      </w:r>
      <w:r w:rsidR="007B7E63" w:rsidRPr="00FE3F15">
        <w:t xml:space="preserve">assumption </w:t>
      </w:r>
      <w:r w:rsidR="005F73DF" w:rsidRPr="00FE3F15">
        <w:t>for metallurgical coal prices.</w:t>
      </w:r>
      <w:r w:rsidRPr="00FE3F15">
        <w:fldChar w:fldCharType="begin"/>
      </w:r>
      <w:r w:rsidRPr="00FE3F15">
        <w:instrText xml:space="preserve"> :End:MECD_WT1 </w:instrText>
      </w:r>
      <w:r w:rsidRPr="00FE3F15">
        <w:fldChar w:fldCharType="end"/>
      </w:r>
    </w:p>
    <w:p w:rsidR="001F0016" w:rsidRPr="00FE3F15" w:rsidRDefault="00C97EDA" w:rsidP="00DB39BB">
      <w:r w:rsidRPr="00FE3F15">
        <w:rPr>
          <w:b/>
        </w:rPr>
        <w:lastRenderedPageBreak/>
        <w:fldChar w:fldCharType="begin"/>
      </w:r>
      <w:r w:rsidRPr="00FE3F15">
        <w:rPr>
          <w:b/>
        </w:rPr>
        <w:instrText xml:space="preserve"> :Start:MECD_WT_12 </w:instrText>
      </w:r>
      <w:r w:rsidRPr="00FE3F15">
        <w:rPr>
          <w:b/>
        </w:rPr>
        <w:fldChar w:fldCharType="end"/>
      </w:r>
      <w:r w:rsidR="003A7739" w:rsidRPr="00FE3F15">
        <w:rPr>
          <w:b/>
        </w:rPr>
        <w:t xml:space="preserve">Nominal GDP </w:t>
      </w:r>
      <w:r w:rsidR="005F73DF" w:rsidRPr="00FE3F15">
        <w:t xml:space="preserve">is forecast to grow by 3½ </w:t>
      </w:r>
      <w:r w:rsidR="003A7739" w:rsidRPr="00FE3F15">
        <w:t>per cent in 2017</w:t>
      </w:r>
      <w:r w:rsidR="003A7739" w:rsidRPr="00FE3F15">
        <w:noBreakHyphen/>
        <w:t xml:space="preserve">18 and </w:t>
      </w:r>
      <w:r w:rsidR="005F73DF" w:rsidRPr="00FE3F15">
        <w:t>4</w:t>
      </w:r>
      <w:r w:rsidR="003A7739" w:rsidRPr="00FE3F15">
        <w:t> per cent in 2018</w:t>
      </w:r>
      <w:r w:rsidR="003A7739" w:rsidRPr="00FE3F15">
        <w:noBreakHyphen/>
        <w:t xml:space="preserve">19. </w:t>
      </w:r>
      <w:r w:rsidR="002640C3">
        <w:t xml:space="preserve">The 2017-18 </w:t>
      </w:r>
      <w:proofErr w:type="gramStart"/>
      <w:r w:rsidR="002640C3">
        <w:t>forecast</w:t>
      </w:r>
      <w:proofErr w:type="gramEnd"/>
      <w:r w:rsidR="000A29F6">
        <w:t xml:space="preserve"> i</w:t>
      </w:r>
      <w:r w:rsidR="002640C3">
        <w:t>s lower compared with Budget</w:t>
      </w:r>
      <w:r w:rsidR="00817196" w:rsidRPr="00FE3F15">
        <w:t xml:space="preserve">, </w:t>
      </w:r>
      <w:r w:rsidR="00E81763" w:rsidRPr="00FE3F15">
        <w:t xml:space="preserve">largely </w:t>
      </w:r>
      <w:r w:rsidR="00817196" w:rsidRPr="00FE3F15">
        <w:t xml:space="preserve">reflecting recent subdued outcomes for wage growth and domestic prices. </w:t>
      </w:r>
      <w:r w:rsidR="001F0016" w:rsidRPr="00FE3F15">
        <w:t xml:space="preserve">Reflecting the </w:t>
      </w:r>
      <w:r w:rsidR="009354BA" w:rsidRPr="00FE3F15">
        <w:t xml:space="preserve">softer </w:t>
      </w:r>
      <w:r w:rsidR="001F0016" w:rsidRPr="00FE3F15">
        <w:t xml:space="preserve">outlook for wage growth, </w:t>
      </w:r>
      <w:r w:rsidR="00C5498B" w:rsidRPr="00FE3F15">
        <w:t xml:space="preserve">forecast </w:t>
      </w:r>
      <w:r w:rsidR="001F0016" w:rsidRPr="00FE3F15">
        <w:t xml:space="preserve">growth in compensation of employees has </w:t>
      </w:r>
      <w:r w:rsidR="00C5498B" w:rsidRPr="00FE3F15">
        <w:t xml:space="preserve">eased </w:t>
      </w:r>
      <w:r w:rsidR="001F0016" w:rsidRPr="00FE3F15">
        <w:t xml:space="preserve">while growth in corporate profits has been upgraded compared with Budget. Growth in unincorporated business income has </w:t>
      </w:r>
      <w:r w:rsidR="00C5498B" w:rsidRPr="00FE3F15">
        <w:t>also eased</w:t>
      </w:r>
      <w:r w:rsidR="001F0016" w:rsidRPr="00FE3F15">
        <w:t xml:space="preserve"> consistent with weaker domestic prices.</w:t>
      </w:r>
      <w:r w:rsidR="00570015" w:rsidRPr="00FE3F15">
        <w:t xml:space="preserve"> </w:t>
      </w:r>
      <w:r w:rsidR="00570015" w:rsidRPr="00FE3F15">
        <w:fldChar w:fldCharType="begin"/>
      </w:r>
      <w:r w:rsidR="00570015" w:rsidRPr="00FE3F15">
        <w:instrText xml:space="preserve"> :End:MECD_WT_12 </w:instrText>
      </w:r>
      <w:r w:rsidR="00570015" w:rsidRPr="00FE3F15">
        <w:fldChar w:fldCharType="end"/>
      </w:r>
    </w:p>
    <w:p w:rsidR="008E6E88" w:rsidRPr="00FE3F15" w:rsidRDefault="00C97EDA" w:rsidP="008E6E88">
      <w:r w:rsidRPr="00FE3F15">
        <w:fldChar w:fldCharType="begin"/>
      </w:r>
      <w:r w:rsidRPr="00FE3F15">
        <w:instrText xml:space="preserve"> :Start:MECD_WT4 </w:instrText>
      </w:r>
      <w:r w:rsidRPr="00FE3F15">
        <w:fldChar w:fldCharType="end"/>
      </w:r>
      <w:r w:rsidR="008E6E88" w:rsidRPr="00FE3F15">
        <w:t xml:space="preserve">There are a number of </w:t>
      </w:r>
      <w:r w:rsidR="008E6E88" w:rsidRPr="00FE3F15">
        <w:rPr>
          <w:b/>
        </w:rPr>
        <w:t>uncertainties</w:t>
      </w:r>
      <w:r w:rsidR="008E6E88" w:rsidRPr="00FE3F15">
        <w:t xml:space="preserve"> around the forecasts. </w:t>
      </w:r>
      <w:r w:rsidR="00A56ED9" w:rsidRPr="00FE3F15">
        <w:t>While g</w:t>
      </w:r>
      <w:r w:rsidR="008E6E88" w:rsidRPr="00FE3F15">
        <w:t xml:space="preserve">lobal growth has strengthened over the course of the year, </w:t>
      </w:r>
      <w:r w:rsidR="008B13E7" w:rsidRPr="00FE3F15">
        <w:t xml:space="preserve">there is uncertainty around the inflation outlook and the </w:t>
      </w:r>
      <w:r w:rsidR="008E6E88" w:rsidRPr="00FE3F15">
        <w:t xml:space="preserve">extent to which </w:t>
      </w:r>
      <w:r w:rsidR="00B01538" w:rsidRPr="00FE3F15">
        <w:t>financial conditions</w:t>
      </w:r>
      <w:r w:rsidR="002A28C5" w:rsidRPr="00FE3F15">
        <w:t xml:space="preserve"> in advanced economies might adjust</w:t>
      </w:r>
      <w:r w:rsidR="00B01538" w:rsidRPr="00FE3F15">
        <w:t xml:space="preserve">, with spill-overs to emerging economies. </w:t>
      </w:r>
      <w:r w:rsidR="008E6E88" w:rsidRPr="00FE3F15">
        <w:t>In China, the main challenge will be progressing structural reforms needed to su</w:t>
      </w:r>
      <w:r w:rsidR="000354AE" w:rsidRPr="00FE3F15">
        <w:t xml:space="preserve">stain growth while managing the </w:t>
      </w:r>
      <w:r w:rsidR="008E6E88" w:rsidRPr="00FE3F15">
        <w:t>risks associated with continued debt accumulation and excess capacity in parts of the economy.</w:t>
      </w:r>
      <w:r w:rsidR="002A28C5" w:rsidRPr="00FE3F15">
        <w:t xml:space="preserve"> More broadly, geopolitical risks remain elevated.</w:t>
      </w:r>
      <w:r w:rsidRPr="00FE3F15">
        <w:fldChar w:fldCharType="begin"/>
      </w:r>
      <w:r w:rsidRPr="00FE3F15">
        <w:instrText xml:space="preserve"> :End:MECD_WT4 </w:instrText>
      </w:r>
      <w:r w:rsidRPr="00FE3F15">
        <w:fldChar w:fldCharType="end"/>
      </w:r>
    </w:p>
    <w:p w:rsidR="007D4F1B" w:rsidRPr="00FE3F15" w:rsidRDefault="00C97EDA" w:rsidP="008B13E7">
      <w:r w:rsidRPr="00FE3F15">
        <w:fldChar w:fldCharType="begin"/>
      </w:r>
      <w:r w:rsidRPr="00FE3F15">
        <w:instrText xml:space="preserve"> :Start:MECD_WT2 </w:instrText>
      </w:r>
      <w:r w:rsidRPr="00FE3F15">
        <w:fldChar w:fldCharType="end"/>
      </w:r>
      <w:r w:rsidR="008B13E7" w:rsidRPr="00FE3F15">
        <w:t xml:space="preserve">There are also uncertainties around </w:t>
      </w:r>
      <w:r w:rsidR="00D838F4" w:rsidRPr="00FE3F15">
        <w:t>the forecasts for the domestic economy</w:t>
      </w:r>
      <w:r w:rsidR="00177763" w:rsidRPr="00FE3F15">
        <w:t xml:space="preserve">, with both upside and downside risks. </w:t>
      </w:r>
      <w:r w:rsidR="00675779" w:rsidRPr="00FE3F15">
        <w:t>The outlook for business investment appears to be firming and the risks around the forecasts are more balanced than they have been for some time</w:t>
      </w:r>
      <w:r w:rsidR="007D4F1B" w:rsidRPr="00FE3F15">
        <w:t xml:space="preserve">. A </w:t>
      </w:r>
      <w:r w:rsidR="00B0382F" w:rsidRPr="00FE3F15">
        <w:t xml:space="preserve">more significant </w:t>
      </w:r>
      <w:r w:rsidR="007D4F1B" w:rsidRPr="00FE3F15">
        <w:t xml:space="preserve">pick-up in the momentum </w:t>
      </w:r>
      <w:r w:rsidR="008167FF" w:rsidRPr="00FE3F15">
        <w:t xml:space="preserve">of </w:t>
      </w:r>
      <w:r w:rsidR="007D4F1B" w:rsidRPr="00FE3F15">
        <w:t xml:space="preserve">non-mining business investment is an upside risk to the forecasts, but it is still the case that </w:t>
      </w:r>
      <w:r w:rsidR="00602B40" w:rsidRPr="00FE3F15">
        <w:t xml:space="preserve">growth in </w:t>
      </w:r>
      <w:r w:rsidR="008B30C7" w:rsidRPr="00FE3F15">
        <w:t>non</w:t>
      </w:r>
      <w:r w:rsidR="008B30C7" w:rsidRPr="00FE3F15">
        <w:noBreakHyphen/>
      </w:r>
      <w:r w:rsidR="00F058A9" w:rsidRPr="00FE3F15">
        <w:t xml:space="preserve">mining </w:t>
      </w:r>
      <w:r w:rsidR="007D4F1B" w:rsidRPr="00FE3F15">
        <w:t>business investment has</w:t>
      </w:r>
      <w:r w:rsidR="00BF30AA" w:rsidRPr="00FE3F15">
        <w:t xml:space="preserve"> </w:t>
      </w:r>
      <w:r w:rsidR="007D4F1B" w:rsidRPr="00FE3F15">
        <w:t xml:space="preserve">not broadened across </w:t>
      </w:r>
      <w:r w:rsidR="00BF30AA" w:rsidRPr="00FE3F15">
        <w:t xml:space="preserve">all </w:t>
      </w:r>
      <w:r w:rsidR="007D4F1B" w:rsidRPr="00FE3F15">
        <w:t>industries. Such a broadening would ensure that the outlook for business investment was on a more sustainable path.</w:t>
      </w:r>
    </w:p>
    <w:p w:rsidR="007D4F1B" w:rsidRPr="00FE3F15" w:rsidRDefault="00C97EDA" w:rsidP="008B13E7">
      <w:r w:rsidRPr="00FE3F15">
        <w:fldChar w:fldCharType="begin"/>
      </w:r>
      <w:r w:rsidRPr="00FE3F15">
        <w:instrText xml:space="preserve"> :End:MECD_WT2 </w:instrText>
      </w:r>
      <w:r w:rsidRPr="00FE3F15">
        <w:fldChar w:fldCharType="end"/>
      </w:r>
      <w:r w:rsidRPr="00FE3F15">
        <w:fldChar w:fldCharType="begin"/>
      </w:r>
      <w:r w:rsidRPr="00FE3F15">
        <w:instrText xml:space="preserve"> :Start:MECD_WT5 </w:instrText>
      </w:r>
      <w:r w:rsidRPr="00FE3F15">
        <w:fldChar w:fldCharType="end"/>
      </w:r>
      <w:r w:rsidR="007D4F1B" w:rsidRPr="00FE3F15">
        <w:t>U</w:t>
      </w:r>
      <w:r w:rsidR="00A81D60" w:rsidRPr="00FE3F15">
        <w:t>ncertainties around</w:t>
      </w:r>
      <w:r w:rsidR="007D4F1B" w:rsidRPr="00FE3F15">
        <w:t xml:space="preserve"> the forecast for </w:t>
      </w:r>
      <w:r w:rsidR="00A81D60" w:rsidRPr="00FE3F15">
        <w:t>household consumption</w:t>
      </w:r>
      <w:r w:rsidR="007D4F1B" w:rsidRPr="00FE3F15">
        <w:t xml:space="preserve"> </w:t>
      </w:r>
      <w:r w:rsidR="00A81D60" w:rsidRPr="00FE3F15">
        <w:t>remain.</w:t>
      </w:r>
      <w:r w:rsidR="007D4F1B" w:rsidRPr="00FE3F15">
        <w:t xml:space="preserve"> </w:t>
      </w:r>
      <w:r w:rsidR="00D838F4" w:rsidRPr="00FE3F15">
        <w:t>Household</w:t>
      </w:r>
      <w:r w:rsidR="00F058A9" w:rsidRPr="00FE3F15">
        <w:t> </w:t>
      </w:r>
      <w:r w:rsidR="00D838F4" w:rsidRPr="00FE3F15">
        <w:t xml:space="preserve">consumption growth has </w:t>
      </w:r>
      <w:r w:rsidR="00473E92" w:rsidRPr="00FE3F15">
        <w:t xml:space="preserve">slowed </w:t>
      </w:r>
      <w:r w:rsidR="00D838F4" w:rsidRPr="00FE3F15">
        <w:t>over the past year</w:t>
      </w:r>
      <w:r w:rsidR="00C70461" w:rsidRPr="00FE3F15">
        <w:t xml:space="preserve"> and t</w:t>
      </w:r>
      <w:r w:rsidR="008B13E7" w:rsidRPr="00FE3F15">
        <w:t xml:space="preserve">here is a risk that </w:t>
      </w:r>
      <w:r w:rsidR="00A56ED9" w:rsidRPr="00FE3F15">
        <w:t>continued</w:t>
      </w:r>
      <w:r w:rsidR="003A7739" w:rsidRPr="00FE3F15">
        <w:t xml:space="preserve"> subdued income growth may result in slower </w:t>
      </w:r>
      <w:r w:rsidR="00AF14AA" w:rsidRPr="00FE3F15">
        <w:t xml:space="preserve">consumption </w:t>
      </w:r>
      <w:r w:rsidR="003A7739" w:rsidRPr="00FE3F15">
        <w:t xml:space="preserve">growth </w:t>
      </w:r>
      <w:r w:rsidR="008B13E7" w:rsidRPr="00FE3F15">
        <w:t xml:space="preserve">than forecast. </w:t>
      </w:r>
      <w:r w:rsidR="005A2C77" w:rsidRPr="00FE3F15">
        <w:t>A</w:t>
      </w:r>
      <w:r w:rsidR="000D16A5" w:rsidRPr="00FE3F15">
        <w:t> </w:t>
      </w:r>
      <w:r w:rsidR="005A2C77" w:rsidRPr="00FE3F15">
        <w:t xml:space="preserve">change in households’ attitudes towards saving could </w:t>
      </w:r>
      <w:r w:rsidR="00D838F4" w:rsidRPr="00FE3F15">
        <w:t xml:space="preserve">also </w:t>
      </w:r>
      <w:r w:rsidR="005A2C77" w:rsidRPr="00FE3F15">
        <w:t>lead to household consumption grow</w:t>
      </w:r>
      <w:r w:rsidR="00DD46D9" w:rsidRPr="00FE3F15">
        <w:t xml:space="preserve">th being weaker than forecast. </w:t>
      </w:r>
      <w:r w:rsidR="002A28C5" w:rsidRPr="00FE3F15">
        <w:t>Stronger labour m</w:t>
      </w:r>
      <w:r w:rsidR="002640C3">
        <w:t>arket conditions than forecast c</w:t>
      </w:r>
      <w:r w:rsidR="002A28C5" w:rsidRPr="00FE3F15">
        <w:t xml:space="preserve">ould provide an upside risk to consumption growth. </w:t>
      </w:r>
    </w:p>
    <w:p w:rsidR="008E6E88" w:rsidRPr="00FE3F15" w:rsidRDefault="00C97EDA" w:rsidP="006917C9">
      <w:r w:rsidRPr="00FE3F15">
        <w:fldChar w:fldCharType="begin"/>
      </w:r>
      <w:r w:rsidRPr="00FE3F15">
        <w:instrText xml:space="preserve"> :End:MECD_WT5 </w:instrText>
      </w:r>
      <w:r w:rsidRPr="00FE3F15">
        <w:fldChar w:fldCharType="end"/>
      </w:r>
      <w:r w:rsidRPr="00FE3F15">
        <w:fldChar w:fldCharType="begin"/>
      </w:r>
      <w:r w:rsidRPr="00FE3F15">
        <w:instrText xml:space="preserve"> :Start:MECD_WT8 </w:instrText>
      </w:r>
      <w:r w:rsidRPr="00FE3F15">
        <w:fldChar w:fldCharType="end"/>
      </w:r>
      <w:r w:rsidR="00A81D60" w:rsidRPr="00FE3F15">
        <w:t>Commodity prices are al</w:t>
      </w:r>
      <w:r w:rsidR="006917C9" w:rsidRPr="00FE3F15">
        <w:t>so</w:t>
      </w:r>
      <w:r w:rsidR="00A81D60" w:rsidRPr="00FE3F15">
        <w:t xml:space="preserve"> an uncertainty for the forecasts. </w:t>
      </w:r>
      <w:r w:rsidR="006917C9" w:rsidRPr="00FE3F15">
        <w:t>A permanent 10</w:t>
      </w:r>
      <w:r w:rsidR="008E6E88" w:rsidRPr="00FE3F15">
        <w:t> per cent rise (fall) in non</w:t>
      </w:r>
      <w:r w:rsidR="008E6E88" w:rsidRPr="00FE3F15">
        <w:noBreakHyphen/>
        <w:t xml:space="preserve">rural commodity prices could increase (reduce) </w:t>
      </w:r>
      <w:r w:rsidR="00050B44" w:rsidRPr="00FE3F15">
        <w:t xml:space="preserve">the level of </w:t>
      </w:r>
      <w:r w:rsidR="008E6E88" w:rsidRPr="00FE3F15">
        <w:t xml:space="preserve">nominal GDP by </w:t>
      </w:r>
      <w:r w:rsidR="002F64BB" w:rsidRPr="00FE3F15">
        <w:t>1</w:t>
      </w:r>
      <w:r w:rsidR="008E6E88" w:rsidRPr="00FE3F15">
        <w:t> per cent</w:t>
      </w:r>
      <w:r w:rsidR="00120EA4" w:rsidRPr="00FE3F15">
        <w:t xml:space="preserve"> by 2018</w:t>
      </w:r>
      <w:r w:rsidR="00120EA4" w:rsidRPr="00FE3F15">
        <w:noBreakHyphen/>
        <w:t xml:space="preserve">19 compared with </w:t>
      </w:r>
      <w:r w:rsidR="008E6E88" w:rsidRPr="00FE3F15">
        <w:t xml:space="preserve">forecast. This, in turn, would be expected to affect tax receipts and payments, increasing (reducing) the underlying cash balance by around </w:t>
      </w:r>
      <w:r w:rsidR="00511B13" w:rsidRPr="00FE3F15">
        <w:t>$</w:t>
      </w:r>
      <w:r w:rsidR="002F64BB" w:rsidRPr="00FE3F15">
        <w:t>1.8</w:t>
      </w:r>
      <w:r w:rsidR="00511B13" w:rsidRPr="00FE3F15">
        <w:t xml:space="preserve"> </w:t>
      </w:r>
      <w:r w:rsidR="008E6E88" w:rsidRPr="00FE3F15">
        <w:t>billion in 2017</w:t>
      </w:r>
      <w:r w:rsidR="008E6E88" w:rsidRPr="00FE3F15">
        <w:noBreakHyphen/>
        <w:t xml:space="preserve">18 and </w:t>
      </w:r>
      <w:r w:rsidR="00511B13" w:rsidRPr="00FE3F15">
        <w:t>$</w:t>
      </w:r>
      <w:r w:rsidR="002F64BB" w:rsidRPr="00FE3F15">
        <w:t>5.6</w:t>
      </w:r>
      <w:r w:rsidR="008E6E88" w:rsidRPr="00FE3F15">
        <w:t xml:space="preserve"> billion in 2018</w:t>
      </w:r>
      <w:r w:rsidR="008E6E88" w:rsidRPr="00FE3F15">
        <w:noBreakHyphen/>
        <w:t xml:space="preserve">19. See Attachment </w:t>
      </w:r>
      <w:proofErr w:type="gramStart"/>
      <w:r w:rsidR="008E6E88" w:rsidRPr="00FE3F15">
        <w:t>A</w:t>
      </w:r>
      <w:proofErr w:type="gramEnd"/>
      <w:r w:rsidR="008E6E88" w:rsidRPr="00FE3F15">
        <w:t xml:space="preserve"> of </w:t>
      </w:r>
      <w:r w:rsidR="00363D4E" w:rsidRPr="00FE3F15">
        <w:t>Part </w:t>
      </w:r>
      <w:r w:rsidR="008E6E88" w:rsidRPr="00FE3F15">
        <w:t xml:space="preserve">3 for further information on the estimated impact of a movement in the terms of trade. </w:t>
      </w:r>
      <w:r w:rsidRPr="00FE3F15">
        <w:fldChar w:fldCharType="begin"/>
      </w:r>
      <w:r w:rsidRPr="00FE3F15">
        <w:instrText xml:space="preserve"> :End:MECD_WT8 </w:instrText>
      </w:r>
      <w:r w:rsidRPr="00FE3F15">
        <w:fldChar w:fldCharType="end"/>
      </w:r>
    </w:p>
    <w:p w:rsidR="003A7739" w:rsidRPr="00FE3F15" w:rsidRDefault="00C97EDA" w:rsidP="00DC7486">
      <w:pPr>
        <w:pStyle w:val="Heading3"/>
      </w:pPr>
      <w:r w:rsidRPr="00FE3F15">
        <w:fldChar w:fldCharType="begin"/>
      </w:r>
      <w:r w:rsidRPr="00FE3F15">
        <w:instrText xml:space="preserve"> :Start:MECD_WT1 </w:instrText>
      </w:r>
      <w:r w:rsidRPr="00FE3F15">
        <w:fldChar w:fldCharType="end"/>
      </w:r>
      <w:r w:rsidR="003A7739" w:rsidRPr="00FE3F15">
        <w:t>Medium</w:t>
      </w:r>
      <w:r w:rsidR="003A7739" w:rsidRPr="00FE3F15">
        <w:noBreakHyphen/>
        <w:t xml:space="preserve">term projections </w:t>
      </w:r>
    </w:p>
    <w:p w:rsidR="003A7739" w:rsidRPr="00FE3F15" w:rsidRDefault="003A7739" w:rsidP="00DB39BB">
      <w:r w:rsidRPr="00FE3F15">
        <w:t xml:space="preserve">The fiscal aggregates in the MYEFO are underpinned by economic forecasts for the </w:t>
      </w:r>
      <w:r w:rsidR="00052453" w:rsidRPr="00FE3F15">
        <w:t>B</w:t>
      </w:r>
      <w:r w:rsidRPr="00FE3F15">
        <w:t>udget year and the subsequent financial year and then by economic projections for the following two financial years. These projections are not forecasts. Rather they are based on a medium</w:t>
      </w:r>
      <w:r w:rsidRPr="00FE3F15">
        <w:noBreakHyphen/>
        <w:t>term methodology and some key assumptions.</w:t>
      </w:r>
    </w:p>
    <w:p w:rsidR="003A7739" w:rsidRPr="00FE3F15" w:rsidRDefault="00052453" w:rsidP="00DB39BB">
      <w:r w:rsidRPr="00FE3F15">
        <w:lastRenderedPageBreak/>
        <w:t>The</w:t>
      </w:r>
      <w:r w:rsidR="003A7739" w:rsidRPr="00FE3F15">
        <w:t xml:space="preserve"> med</w:t>
      </w:r>
      <w:r w:rsidR="00A8458F" w:rsidRPr="00FE3F15">
        <w:t>ium</w:t>
      </w:r>
      <w:r w:rsidR="00A8458F" w:rsidRPr="00FE3F15">
        <w:noBreakHyphen/>
        <w:t xml:space="preserve">term projection methodology, </w:t>
      </w:r>
      <w:r w:rsidRPr="00FE3F15">
        <w:t xml:space="preserve">as </w:t>
      </w:r>
      <w:r w:rsidR="003A7739" w:rsidRPr="00FE3F15">
        <w:t>outlined in the 2014</w:t>
      </w:r>
      <w:r w:rsidR="003A7739" w:rsidRPr="00FE3F15">
        <w:noBreakHyphen/>
        <w:t>15 Budget</w:t>
      </w:r>
      <w:r w:rsidR="00A8458F" w:rsidRPr="00FE3F15">
        <w:t>,</w:t>
      </w:r>
      <w:r w:rsidRPr="00FE3F15">
        <w:t xml:space="preserve"> assumes </w:t>
      </w:r>
      <w:r w:rsidR="003A7739" w:rsidRPr="00FE3F15">
        <w:t>that spare capacity is absorbed over five years following the forecast period. The</w:t>
      </w:r>
      <w:r w:rsidR="00D00FF6" w:rsidRPr="00FE3F15">
        <w:t> </w:t>
      </w:r>
      <w:r w:rsidR="003A7739" w:rsidRPr="00FE3F15">
        <w:t>sensitivity of the projections to a different adjustment period was presented in 2017</w:t>
      </w:r>
      <w:r w:rsidR="003A7739" w:rsidRPr="00FE3F15">
        <w:noBreakHyphen/>
        <w:t>18</w:t>
      </w:r>
      <w:r w:rsidR="008167FF" w:rsidRPr="00FE3F15">
        <w:t> </w:t>
      </w:r>
      <w:r w:rsidR="003A7739" w:rsidRPr="00FE3F15">
        <w:t>Budget Paper No. 1 Statement 8: Forecasting Performance and Scenario Analysis.</w:t>
      </w:r>
    </w:p>
    <w:p w:rsidR="003A7739" w:rsidRPr="00FE3F15" w:rsidRDefault="003A7739" w:rsidP="00DB39BB">
      <w:r w:rsidRPr="00FE3F15">
        <w:t>As spare capacity is absorbed, labour market variables including employment and the participation rate converge to their long</w:t>
      </w:r>
      <w:r w:rsidRPr="00FE3F15">
        <w:noBreakHyphen/>
        <w:t>run levels and trends respectively. To absorb the spare capacity in the economy, real GDP</w:t>
      </w:r>
      <w:r w:rsidR="00C92730" w:rsidRPr="00FE3F15">
        <w:t xml:space="preserve"> from 2019</w:t>
      </w:r>
      <w:r w:rsidR="00C92730" w:rsidRPr="00FE3F15">
        <w:noBreakHyphen/>
        <w:t xml:space="preserve">20 </w:t>
      </w:r>
      <w:r w:rsidRPr="00FE3F15">
        <w:t>is projected to grow faster than potential at</w:t>
      </w:r>
      <w:r w:rsidR="00C864E7" w:rsidRPr="00FE3F15">
        <w:t xml:space="preserve"> </w:t>
      </w:r>
      <w:r w:rsidR="002F64BB" w:rsidRPr="00FE3F15">
        <w:t>3</w:t>
      </w:r>
      <w:r w:rsidRPr="00FE3F15">
        <w:t> per cent. By the end of 2023</w:t>
      </w:r>
      <w:r w:rsidRPr="00FE3F15">
        <w:noBreakHyphen/>
        <w:t>24 spare capacity is absorbed and real GDP is projected to grow at its potential rate thereafter.</w:t>
      </w:r>
    </w:p>
    <w:p w:rsidR="00602B40" w:rsidRPr="00FE3F15" w:rsidRDefault="00602B40" w:rsidP="007E1CEA">
      <w:pPr>
        <w:pStyle w:val="ChartHeading"/>
      </w:pPr>
      <w:r w:rsidRPr="00FE3F15">
        <w:t>Chart 2.6: Real GDP growth</w:t>
      </w:r>
    </w:p>
    <w:p w:rsidR="00602B40" w:rsidRPr="00FE3F15" w:rsidRDefault="00DD42E1" w:rsidP="003441A1">
      <w:pPr>
        <w:pStyle w:val="ChartGraphic"/>
      </w:pPr>
      <w:r w:rsidRPr="00FE3F15">
        <w:fldChar w:fldCharType="begin"/>
      </w:r>
      <w:r w:rsidRPr="00FE3F15">
        <w:instrText xml:space="preserve"> LINK Excel.Sheet.12 "\\\\fs5.budget.gov\\budget$\\2017-18 MYEFO\\Charts - Economic\\Part 2\\Part 2 - Real GDP growth.xlsx!Chart![Part 2 - Real GDP growth.xlsx]Chart Chart 4" "" \a \p </w:instrText>
      </w:r>
      <w:r w:rsidRPr="00FE3F15">
        <w:fldChar w:fldCharType="separate"/>
      </w:r>
      <w:r w:rsidR="00CD7242">
        <w:object w:dxaOrig="7365" w:dyaOrig="3960">
          <v:shape id="_x0000_i1031" type="#_x0000_t75" alt="This chart shows Australia's real GDP growth since 1989-90. Australia has completed its 26th consecutive year of economic growth after contracting in 1990-91. The graph shows that Australia's real GDP grew on average 4.2 per cent between 1992-93 and 1999-00, before growth fell to 1.9 per cent in 2000-01. Real GDP growth between 2001-02 and 2007-08 was above the 20 year average of 3.1 per cent. Since 2008-09 real GDP growth has predominantly been below the 20 year average. Real GDP growth is expected to increase to 2½ per cent in 2017-18 and 3 per cent in 2018-19." style="width:368.15pt;height:197.85pt;mso-position-vertical:absolute">
            <v:imagedata r:id="rId20" o:title=""/>
          </v:shape>
        </w:object>
      </w:r>
      <w:r w:rsidRPr="00FE3F15">
        <w:fldChar w:fldCharType="end"/>
      </w:r>
    </w:p>
    <w:p w:rsidR="00602B40" w:rsidRPr="00FE3F15" w:rsidRDefault="00602B40" w:rsidP="00817196">
      <w:pPr>
        <w:pStyle w:val="ChartandTableFootnote"/>
        <w:spacing w:before="80"/>
      </w:pPr>
      <w:r w:rsidRPr="00FE3F15">
        <w:t>Source: ABS cat. no. 5206.0 and Treasury</w:t>
      </w:r>
      <w:r w:rsidR="00A8458F" w:rsidRPr="00FE3F15">
        <w:t>.</w:t>
      </w:r>
    </w:p>
    <w:p w:rsidR="00602B40" w:rsidRPr="00FE3F15" w:rsidRDefault="00602B40" w:rsidP="007E1CEA">
      <w:pPr>
        <w:pStyle w:val="SingleParagraph"/>
      </w:pPr>
    </w:p>
    <w:p w:rsidR="003A7739" w:rsidRPr="00FE3F15" w:rsidRDefault="003A7739" w:rsidP="00EA7DA5">
      <w:r w:rsidRPr="00FE3F15">
        <w:t xml:space="preserve">Potential GDP is estimated based on analysis of underlying trends for population, productivity and participation. Australia’s potential GDP growth is estimated to be </w:t>
      </w:r>
      <w:r w:rsidR="00C864E7" w:rsidRPr="00FE3F15">
        <w:t>2¾ per</w:t>
      </w:r>
      <w:r w:rsidRPr="00FE3F15">
        <w:t xml:space="preserve"> cent over the next few years. The unemployment rate is projected to converge to </w:t>
      </w:r>
      <w:r w:rsidR="002F64BB" w:rsidRPr="00FE3F15">
        <w:t>5</w:t>
      </w:r>
      <w:r w:rsidRPr="00FE3F15">
        <w:t> per cent over the medium</w:t>
      </w:r>
      <w:r w:rsidR="002A28C5" w:rsidRPr="00FE3F15">
        <w:t xml:space="preserve"> </w:t>
      </w:r>
      <w:r w:rsidRPr="00FE3F15">
        <w:t>term, consistent with Treasury’s estimate of the non</w:t>
      </w:r>
      <w:r w:rsidRPr="00FE3F15">
        <w:noBreakHyphen/>
        <w:t xml:space="preserve">accelerating inflation rate of unemployment. Inflation is projected to be </w:t>
      </w:r>
      <w:r w:rsidR="002F64BB" w:rsidRPr="00FE3F15">
        <w:t>2½</w:t>
      </w:r>
      <w:r w:rsidRPr="00FE3F15">
        <w:t> per cent, consistent with the mid</w:t>
      </w:r>
      <w:r w:rsidRPr="00FE3F15">
        <w:noBreakHyphen/>
        <w:t>point of the</w:t>
      </w:r>
      <w:r w:rsidR="00EA7DA5" w:rsidRPr="00FE3F15">
        <w:t xml:space="preserve"> RBA’s medium</w:t>
      </w:r>
      <w:r w:rsidR="00EA7DA5" w:rsidRPr="00FE3F15">
        <w:noBreakHyphen/>
        <w:t xml:space="preserve">term target band. </w:t>
      </w:r>
      <w:r w:rsidRPr="00FE3F15">
        <w:t>The</w:t>
      </w:r>
      <w:r w:rsidR="00EA7DA5" w:rsidRPr="00FE3F15">
        <w:t> </w:t>
      </w:r>
      <w:r w:rsidRPr="00FE3F15">
        <w:t xml:space="preserve">terms of trade </w:t>
      </w:r>
      <w:r w:rsidR="00D46619" w:rsidRPr="00FE3F15">
        <w:t>are</w:t>
      </w:r>
      <w:r w:rsidR="008167FF" w:rsidRPr="00FE3F15">
        <w:t xml:space="preserve"> </w:t>
      </w:r>
      <w:r w:rsidRPr="00FE3F15">
        <w:t xml:space="preserve">projected to remain flat at around </w:t>
      </w:r>
      <w:r w:rsidR="00D46619" w:rsidRPr="00FE3F15">
        <w:t>their</w:t>
      </w:r>
      <w:r w:rsidRPr="00FE3F15">
        <w:t xml:space="preserve"> 2005 level from 2020</w:t>
      </w:r>
      <w:r w:rsidRPr="00FE3F15">
        <w:noBreakHyphen/>
        <w:t>21.</w:t>
      </w:r>
    </w:p>
    <w:tbl>
      <w:tblPr>
        <w:tblW w:w="0" w:type="auto"/>
        <w:jc w:val="center"/>
        <w:shd w:val="clear" w:color="auto" w:fill="E6E6E6"/>
        <w:tblLayout w:type="fixed"/>
        <w:tblLook w:val="0000" w:firstRow="0" w:lastRow="0" w:firstColumn="0" w:lastColumn="0" w:noHBand="0" w:noVBand="0"/>
      </w:tblPr>
      <w:tblGrid>
        <w:gridCol w:w="7655"/>
      </w:tblGrid>
      <w:tr w:rsidR="003A7739" w:rsidRPr="00FE3F15" w:rsidTr="00BB0486">
        <w:trPr>
          <w:cantSplit/>
          <w:jc w:val="center"/>
        </w:trPr>
        <w:tc>
          <w:tcPr>
            <w:tcW w:w="7655" w:type="dxa"/>
            <w:shd w:val="clear" w:color="auto" w:fill="E6E6E6"/>
          </w:tcPr>
          <w:p w:rsidR="003A7739" w:rsidRPr="00FE3F15" w:rsidRDefault="00C97EDA" w:rsidP="000D16A5">
            <w:pPr>
              <w:pStyle w:val="BoxHeading"/>
            </w:pPr>
            <w:r w:rsidRPr="00FE3F15">
              <w:lastRenderedPageBreak/>
              <w:fldChar w:fldCharType="begin"/>
            </w:r>
            <w:r w:rsidRPr="00FE3F15">
              <w:instrText xml:space="preserve"> :End:MECD_WT1 </w:instrText>
            </w:r>
            <w:r w:rsidRPr="00FE3F15">
              <w:fldChar w:fldCharType="end"/>
            </w:r>
            <w:r w:rsidR="003A7739" w:rsidRPr="00FE3F15">
              <w:br w:type="page"/>
            </w:r>
            <w:r w:rsidRPr="00FE3F15">
              <w:fldChar w:fldCharType="begin"/>
            </w:r>
            <w:r w:rsidRPr="00FE3F15">
              <w:instrText xml:space="preserve"> :Start:MECD_WT8 </w:instrText>
            </w:r>
            <w:r w:rsidRPr="00FE3F15">
              <w:fldChar w:fldCharType="end"/>
            </w:r>
            <w:r w:rsidR="003A7739" w:rsidRPr="00FE3F15">
              <w:t>Box A — Sensitivity analysis: Metallurgical coal</w:t>
            </w:r>
          </w:p>
          <w:p w:rsidR="003A7739" w:rsidRPr="00FE3F15" w:rsidRDefault="003A7739" w:rsidP="007436AF">
            <w:pPr>
              <w:pStyle w:val="BoxText"/>
            </w:pPr>
            <w:r w:rsidRPr="00FE3F15">
              <w:t>Extraordinary movements in metallurgical coal</w:t>
            </w:r>
            <w:r w:rsidR="00DB39BB" w:rsidRPr="00FE3F15">
              <w:t xml:space="preserve"> prices have occurred over the p</w:t>
            </w:r>
            <w:r w:rsidR="00C864E7" w:rsidRPr="00FE3F15">
              <w:t xml:space="preserve">ast year. </w:t>
            </w:r>
            <w:r w:rsidR="00511B13" w:rsidRPr="00FE3F15">
              <w:t>In l</w:t>
            </w:r>
            <w:r w:rsidRPr="00FE3F15">
              <w:t xml:space="preserve">ate 2016, Chinese authorities imposed </w:t>
            </w:r>
            <w:r w:rsidR="00610D6A" w:rsidRPr="00FE3F15">
              <w:t xml:space="preserve">restrictions </w:t>
            </w:r>
            <w:r w:rsidRPr="00FE3F15">
              <w:t xml:space="preserve">on domestic coal production, contributing to </w:t>
            </w:r>
            <w:r w:rsidR="00DB39BB" w:rsidRPr="00FE3F15">
              <w:t>a surge in prices</w:t>
            </w:r>
            <w:r w:rsidRPr="00FE3F15">
              <w:t xml:space="preserve"> to levels </w:t>
            </w:r>
            <w:r w:rsidR="00DB39BB" w:rsidRPr="00FE3F15">
              <w:t>last experienced during</w:t>
            </w:r>
            <w:r w:rsidRPr="00FE3F15">
              <w:t xml:space="preserve"> the peak of the</w:t>
            </w:r>
            <w:r w:rsidR="00B27B9F" w:rsidRPr="00FE3F15">
              <w:t xml:space="preserve"> commodity price boom in 2011.</w:t>
            </w:r>
          </w:p>
          <w:p w:rsidR="003A7739" w:rsidRPr="00FE3F15" w:rsidRDefault="003A7739" w:rsidP="007436AF">
            <w:pPr>
              <w:pStyle w:val="BoxText"/>
            </w:pPr>
            <w:r w:rsidRPr="00FE3F15">
              <w:t xml:space="preserve">While prices </w:t>
            </w:r>
            <w:r w:rsidR="00680412" w:rsidRPr="00FE3F15">
              <w:t>re</w:t>
            </w:r>
            <w:r w:rsidRPr="00FE3F15">
              <w:t>adjust</w:t>
            </w:r>
            <w:r w:rsidR="00680412" w:rsidRPr="00FE3F15">
              <w:t>ed</w:t>
            </w:r>
            <w:r w:rsidRPr="00FE3F15">
              <w:t xml:space="preserve"> as some of these measures were unwound, a temporary resurgence occurred in 2017 as Tropical Cyclone Debbie caused significant supply disruptions to Australia’s coal sector, which accounts for more than half of global sea</w:t>
            </w:r>
            <w:r w:rsidR="003D674C" w:rsidRPr="00FE3F15">
              <w:t>borne metallurgical coal trade.</w:t>
            </w:r>
          </w:p>
          <w:p w:rsidR="003A7739" w:rsidRPr="00FE3F15" w:rsidRDefault="003A7739" w:rsidP="007436AF">
            <w:pPr>
              <w:pStyle w:val="BoxText"/>
            </w:pPr>
            <w:r w:rsidRPr="00FE3F15">
              <w:t xml:space="preserve">The sensitivity of coal markets to supply factors creates considerable uncertainty around the outlook for metallurgical coal prices. While prices are assumed to decline over a six-month period from currently elevated levels, the below analysis outlines the impacts </w:t>
            </w:r>
            <w:r w:rsidR="005A2C77" w:rsidRPr="00FE3F15">
              <w:t>from altering the</w:t>
            </w:r>
            <w:r w:rsidRPr="00FE3F15">
              <w:t xml:space="preserve"> timing of this assumption.</w:t>
            </w:r>
          </w:p>
          <w:p w:rsidR="003A7739" w:rsidRPr="00FE3F15" w:rsidRDefault="003A7739" w:rsidP="007436AF">
            <w:pPr>
              <w:pStyle w:val="BoxText"/>
            </w:pPr>
            <w:r w:rsidRPr="00FE3F15">
              <w:t>If metallurgical coal prices were to remain elevated for two quarters longer</w:t>
            </w:r>
            <w:r w:rsidR="00DB39BB" w:rsidRPr="00FE3F15">
              <w:t xml:space="preserve"> than currently assumed</w:t>
            </w:r>
            <w:r w:rsidRPr="00FE3F15">
              <w:t>, before falling</w:t>
            </w:r>
            <w:r w:rsidR="002640C3">
              <w:t xml:space="preserve"> immediately</w:t>
            </w:r>
            <w:r w:rsidRPr="00FE3F15">
              <w:t xml:space="preserve"> to US$120 per tonne FOB, nominal GDP could be around $</w:t>
            </w:r>
            <w:r w:rsidR="00602B40" w:rsidRPr="00FE3F15">
              <w:t>1.8</w:t>
            </w:r>
            <w:r w:rsidRPr="00FE3F15">
              <w:t xml:space="preserve"> billion higher than forecast in 2017-18 and $</w:t>
            </w:r>
            <w:r w:rsidR="006A2C33" w:rsidRPr="00FE3F15">
              <w:t>2.5</w:t>
            </w:r>
            <w:r w:rsidRPr="00FE3F15">
              <w:t> billion higher in 2018</w:t>
            </w:r>
            <w:r w:rsidRPr="00FE3F15">
              <w:noBreakHyphen/>
              <w:t>19. This would result in an increase in tax receipts of around $</w:t>
            </w:r>
            <w:r w:rsidR="006A2C33" w:rsidRPr="00FE3F15">
              <w:t>0.1</w:t>
            </w:r>
            <w:r w:rsidRPr="00FE3F15">
              <w:t xml:space="preserve"> billion in 2017-18 and $</w:t>
            </w:r>
            <w:r w:rsidR="006A2C33" w:rsidRPr="00FE3F15">
              <w:t>0.9</w:t>
            </w:r>
            <w:r w:rsidRPr="00FE3F15">
              <w:t> billion in 2018-19 (Table A).</w:t>
            </w:r>
          </w:p>
          <w:p w:rsidR="003A7739" w:rsidRPr="00FE3F15" w:rsidRDefault="003A7739" w:rsidP="007436AF">
            <w:pPr>
              <w:pStyle w:val="BoxText"/>
            </w:pPr>
            <w:r w:rsidRPr="00FE3F15">
              <w:t xml:space="preserve">By contrast, if metallurgical coal prices were to fall </w:t>
            </w:r>
            <w:r w:rsidR="006A2C33" w:rsidRPr="00FE3F15">
              <w:t xml:space="preserve">immediately </w:t>
            </w:r>
            <w:r w:rsidRPr="00FE3F15">
              <w:t>to US$120</w:t>
            </w:r>
            <w:r w:rsidR="006A2C33" w:rsidRPr="00FE3F15">
              <w:t> </w:t>
            </w:r>
            <w:r w:rsidRPr="00FE3F15">
              <w:t>per</w:t>
            </w:r>
            <w:r w:rsidR="006A2C33" w:rsidRPr="00FE3F15">
              <w:t> </w:t>
            </w:r>
            <w:r w:rsidRPr="00FE3F15">
              <w:t>tonne FOB</w:t>
            </w:r>
            <w:r w:rsidR="00D00FF6" w:rsidRPr="00FE3F15">
              <w:t>,</w:t>
            </w:r>
            <w:r w:rsidRPr="00FE3F15">
              <w:t xml:space="preserve"> two quarters earlier</w:t>
            </w:r>
            <w:r w:rsidR="00FF4484" w:rsidRPr="00FE3F15">
              <w:t xml:space="preserve"> than assumed</w:t>
            </w:r>
            <w:r w:rsidRPr="00FE3F15">
              <w:t xml:space="preserve">, </w:t>
            </w:r>
            <w:r w:rsidR="00FF4484" w:rsidRPr="00FE3F15">
              <w:t>nominal GDP could be around $</w:t>
            </w:r>
            <w:r w:rsidR="006A2C33" w:rsidRPr="00FE3F15">
              <w:t>3.1</w:t>
            </w:r>
            <w:r w:rsidRPr="00FE3F15">
              <w:t> billion lower than forecast in 2017-18 a</w:t>
            </w:r>
            <w:r w:rsidR="00FF4484" w:rsidRPr="00FE3F15">
              <w:t>nd $</w:t>
            </w:r>
            <w:r w:rsidR="006A2C33" w:rsidRPr="00FE3F15">
              <w:t>1.2</w:t>
            </w:r>
            <w:r w:rsidRPr="00FE3F15">
              <w:t> billion lower in 2018</w:t>
            </w:r>
            <w:r w:rsidRPr="00FE3F15">
              <w:noBreakHyphen/>
              <w:t>19. This would result in a decrease in tax receipts of around $</w:t>
            </w:r>
            <w:r w:rsidR="006A2C33" w:rsidRPr="00FE3F15">
              <w:t>0.2</w:t>
            </w:r>
            <w:r w:rsidRPr="00FE3F15">
              <w:t xml:space="preserve"> billion in 2017-18 and $</w:t>
            </w:r>
            <w:r w:rsidR="006A2C33" w:rsidRPr="00FE3F15">
              <w:t>0.8</w:t>
            </w:r>
            <w:r w:rsidRPr="00FE3F15">
              <w:t> billion in 2018</w:t>
            </w:r>
            <w:r w:rsidRPr="00FE3F15">
              <w:noBreakHyphen/>
              <w:t>19.</w:t>
            </w:r>
          </w:p>
          <w:p w:rsidR="003A7739" w:rsidRPr="00FE3F15" w:rsidRDefault="00A8458F" w:rsidP="007436AF">
            <w:pPr>
              <w:pStyle w:val="TableHeading"/>
            </w:pPr>
            <w:r w:rsidRPr="00FE3F15">
              <w:t>Table A</w:t>
            </w:r>
            <w:r w:rsidR="003A7739" w:rsidRPr="00FE3F15">
              <w:t>: Sensitivity analysis of an earlier and later step down in metallurgical coal spot prices</w:t>
            </w:r>
          </w:p>
          <w:p w:rsidR="003A7739" w:rsidRPr="00FE3F15" w:rsidRDefault="00DD42E1" w:rsidP="00F3265D">
            <w:pPr>
              <w:pStyle w:val="TableGraphic"/>
            </w:pPr>
            <w:r w:rsidRPr="00FE3F15">
              <w:object w:dxaOrig="7470" w:dyaOrig="885">
                <v:shape id="_x0000_i1032" type="#_x0000_t75" style="width:373.75pt;height:44.45pt" o:ole="">
                  <v:imagedata r:id="rId21" o:title=""/>
                </v:shape>
                <o:OLEObject Type="Link" ProgID="Excel.Sheet.12" ShapeID="_x0000_i1032" DrawAspect="Content" r:id="rId22" UpdateMode="Always">
                  <o:LinkType>EnhancedMetaFile</o:LinkType>
                  <o:LockedField>false</o:LockedField>
                </o:OLEObject>
              </w:object>
            </w:r>
          </w:p>
          <w:p w:rsidR="003A7739" w:rsidRPr="00FE3F15" w:rsidRDefault="00D46619" w:rsidP="007436AF">
            <w:pPr>
              <w:pStyle w:val="ChartandTableFootnoteAlpha"/>
              <w:numPr>
                <w:ilvl w:val="0"/>
                <w:numId w:val="4"/>
              </w:numPr>
            </w:pPr>
            <w:r w:rsidRPr="00FE3F15">
              <w:t>FOB is the free-on-</w:t>
            </w:r>
            <w:r w:rsidR="003A7739" w:rsidRPr="00FE3F15">
              <w:t>board pric</w:t>
            </w:r>
            <w:r w:rsidR="003D674C" w:rsidRPr="00FE3F15">
              <w:t>e which excludes freight costs.</w:t>
            </w:r>
          </w:p>
          <w:p w:rsidR="003A7739" w:rsidRPr="00FE3F15" w:rsidRDefault="003A7739" w:rsidP="00A174F5">
            <w:pPr>
              <w:pStyle w:val="ChartandTableFootnote"/>
            </w:pPr>
            <w:r w:rsidRPr="00FE3F15">
              <w:t>Source: Treasury.</w:t>
            </w:r>
            <w:r w:rsidR="00C97EDA" w:rsidRPr="00FE3F15">
              <w:fldChar w:fldCharType="begin"/>
            </w:r>
            <w:r w:rsidR="00C97EDA" w:rsidRPr="00FE3F15">
              <w:instrText xml:space="preserve"> :End:MECD_WT8 </w:instrText>
            </w:r>
            <w:r w:rsidR="00C97EDA" w:rsidRPr="00FE3F15">
              <w:fldChar w:fldCharType="end"/>
            </w:r>
          </w:p>
        </w:tc>
      </w:tr>
    </w:tbl>
    <w:p w:rsidR="003A7739" w:rsidRPr="00FE3F15" w:rsidRDefault="003A7739" w:rsidP="003D674C"/>
    <w:p w:rsidR="003A7739" w:rsidRPr="00FE3F15" w:rsidRDefault="003A7739" w:rsidP="003D674C"/>
    <w:p w:rsidR="003A7739" w:rsidRPr="00FE3F15" w:rsidRDefault="003A7739" w:rsidP="003D674C"/>
    <w:p w:rsidR="001C471D" w:rsidRPr="00FE3F15" w:rsidRDefault="00157BBB" w:rsidP="003D674C"/>
    <w:sectPr w:rsidR="001C471D" w:rsidRPr="00FE3F15" w:rsidSect="008616D4">
      <w:headerReference w:type="even" r:id="rId23"/>
      <w:headerReference w:type="default" r:id="rId24"/>
      <w:footerReference w:type="even" r:id="rId25"/>
      <w:footerReference w:type="default" r:id="rId26"/>
      <w:footerReference w:type="first" r:id="rId27"/>
      <w:pgSz w:w="11906" w:h="16838" w:code="277"/>
      <w:pgMar w:top="2466" w:right="2098" w:bottom="2466" w:left="2098" w:header="1899" w:footer="1899" w:gutter="0"/>
      <w:pgNumType w:start="1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B13" w:rsidRDefault="00511B13" w:rsidP="00511B13">
      <w:pPr>
        <w:spacing w:after="0" w:line="240" w:lineRule="auto"/>
      </w:pPr>
      <w:r>
        <w:separator/>
      </w:r>
    </w:p>
  </w:endnote>
  <w:endnote w:type="continuationSeparator" w:id="0">
    <w:p w:rsidR="00511B13" w:rsidRDefault="00511B13" w:rsidP="00511B13">
      <w:pPr>
        <w:spacing w:after="0" w:line="240" w:lineRule="auto"/>
      </w:pPr>
      <w:r>
        <w:continuationSeparator/>
      </w:r>
    </w:p>
  </w:endnote>
  <w:endnote w:type="continuationNotice" w:id="1">
    <w:p w:rsidR="00DD62A2" w:rsidRDefault="00DD62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EA" w:rsidRPr="007E1CEA" w:rsidRDefault="007E1CEA" w:rsidP="007E1CEA">
    <w:pPr>
      <w:pStyle w:val="Footer"/>
    </w:pPr>
    <w:r>
      <w:fldChar w:fldCharType="begin"/>
    </w:r>
    <w:r>
      <w:instrText xml:space="preserve"> PAGE  \* MERGEFORMAT </w:instrText>
    </w:r>
    <w:r>
      <w:fldChar w:fldCharType="separate"/>
    </w:r>
    <w:r w:rsidR="00157BBB">
      <w:rPr>
        <w:noProof/>
      </w:rPr>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EA" w:rsidRPr="007E1CEA" w:rsidRDefault="007E1CEA" w:rsidP="007E1CEA">
    <w:pPr>
      <w:pStyle w:val="Footer"/>
    </w:pPr>
    <w:r>
      <w:fldChar w:fldCharType="begin"/>
    </w:r>
    <w:r>
      <w:instrText xml:space="preserve"> PAGE  \* MERGEFORMAT </w:instrText>
    </w:r>
    <w:r>
      <w:fldChar w:fldCharType="separate"/>
    </w:r>
    <w:r w:rsidR="00157BBB">
      <w:rPr>
        <w:noProof/>
      </w:rPr>
      <w:t>23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EA" w:rsidRPr="00B615E1" w:rsidRDefault="00B615E1" w:rsidP="00B615E1">
    <w:pPr>
      <w:pStyle w:val="Footer"/>
    </w:pPr>
    <w:r>
      <w:fldChar w:fldCharType="begin"/>
    </w:r>
    <w:r>
      <w:instrText xml:space="preserve"> PAGE  \* MERGEFORMAT </w:instrText>
    </w:r>
    <w:r>
      <w:fldChar w:fldCharType="separate"/>
    </w:r>
    <w:r w:rsidR="00CD7242">
      <w:rPr>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B13" w:rsidRDefault="00511B13" w:rsidP="00511B13">
      <w:pPr>
        <w:spacing w:after="0" w:line="240" w:lineRule="auto"/>
      </w:pPr>
      <w:r>
        <w:separator/>
      </w:r>
    </w:p>
  </w:footnote>
  <w:footnote w:type="continuationSeparator" w:id="0">
    <w:p w:rsidR="00511B13" w:rsidRDefault="00511B13" w:rsidP="00511B13">
      <w:pPr>
        <w:spacing w:after="0" w:line="240" w:lineRule="auto"/>
      </w:pPr>
      <w:r>
        <w:continuationSeparator/>
      </w:r>
    </w:p>
  </w:footnote>
  <w:footnote w:type="continuationNotice" w:id="1">
    <w:p w:rsidR="00DD62A2" w:rsidRDefault="00DD62A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EA" w:rsidRPr="00B615E1" w:rsidRDefault="00642567" w:rsidP="00B615E1">
    <w:pPr>
      <w:pStyle w:val="HeaderEven"/>
    </w:pPr>
    <w:fldSimple w:instr=" COMMENTS   \* MERGEFORMAT ">
      <w:r w:rsidR="00FB6DF5">
        <w:t>Part 2: Economic Outlook</w:t>
      </w:r>
    </w:fldSimple>
    <w:r w:rsidR="00662A0B">
      <w:fldChar w:fldCharType="begin"/>
    </w:r>
    <w:r w:rsidR="00662A0B">
      <w:instrText xml:space="preserve"> TITLE   \* MERGEFORMAT </w:instrText>
    </w:r>
    <w:r w:rsidR="00662A0B">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B13" w:rsidRPr="00B615E1" w:rsidRDefault="00642567" w:rsidP="00B615E1">
    <w:pPr>
      <w:pStyle w:val="HeaderOdd"/>
    </w:pPr>
    <w:fldSimple w:instr=" COMMENTS   \* MERGEFORMAT ">
      <w:r w:rsidR="00FB6DF5">
        <w:t>Part 2: Economic Outlook</w:t>
      </w:r>
    </w:fldSimple>
    <w:r w:rsidR="00662A0B">
      <w:fldChar w:fldCharType="begin"/>
    </w:r>
    <w:r w:rsidR="00662A0B">
      <w:instrText xml:space="preserve"> TITLE   \* MERGEFORMAT </w:instrText>
    </w:r>
    <w:r w:rsidR="00662A0B">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29CA"/>
    <w:multiLevelType w:val="multilevel"/>
    <w:tmpl w:val="BE44C77E"/>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nsid w:val="12324A2F"/>
    <w:multiLevelType w:val="multilevel"/>
    <w:tmpl w:val="4D4249B8"/>
    <w:name w:val="StandardBulletedList"/>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44237C5"/>
    <w:multiLevelType w:val="multilevel"/>
    <w:tmpl w:val="F0BE3518"/>
    <w:lvl w:ilvl="0">
      <w:start w:val="1"/>
      <w:numFmt w:val="decimal"/>
      <w:lvlRestart w:val="0"/>
      <w:pStyle w:val="OutlineNumbered1"/>
      <w:lvlText w:val="%1."/>
      <w:lvlJc w:val="left"/>
      <w:pPr>
        <w:tabs>
          <w:tab w:val="num" w:pos="567"/>
        </w:tabs>
        <w:ind w:left="567" w:hanging="567"/>
      </w:pPr>
      <w:rPr>
        <w:b w:val="0"/>
        <w:i w:val="0"/>
      </w:rPr>
    </w:lvl>
    <w:lvl w:ilvl="1">
      <w:start w:val="1"/>
      <w:numFmt w:val="decimal"/>
      <w:pStyle w:val="OutlineNumbered2"/>
      <w:lvlText w:val="%1.%2."/>
      <w:lvlJc w:val="left"/>
      <w:pPr>
        <w:tabs>
          <w:tab w:val="num" w:pos="1134"/>
        </w:tabs>
        <w:ind w:left="1134" w:hanging="567"/>
      </w:pPr>
      <w:rPr>
        <w:b w:val="0"/>
        <w:i w:val="0"/>
      </w:rPr>
    </w:lvl>
    <w:lvl w:ilvl="2">
      <w:start w:val="1"/>
      <w:numFmt w:val="decimal"/>
      <w:pStyle w:val="OutlineNumbered3"/>
      <w:lvlText w:val="%1.%2.%3."/>
      <w:lvlJc w:val="left"/>
      <w:pPr>
        <w:tabs>
          <w:tab w:val="num" w:pos="1701"/>
        </w:tabs>
        <w:ind w:left="1701" w:hanging="567"/>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5">
    <w:nsid w:val="37167D44"/>
    <w:multiLevelType w:val="multilevel"/>
    <w:tmpl w:val="607877AA"/>
    <w:name w:val="StandardNumberedList"/>
    <w:lvl w:ilvl="0">
      <w:start w:val="1"/>
      <w:numFmt w:val="decimal"/>
      <w:lvlText w:val="%1."/>
      <w:lvlJc w:val="left"/>
      <w:pPr>
        <w:tabs>
          <w:tab w:val="num" w:pos="472"/>
        </w:tabs>
        <w:ind w:left="472" w:hanging="472"/>
      </w:pPr>
    </w:lvl>
    <w:lvl w:ilvl="1">
      <w:start w:val="1"/>
      <w:numFmt w:val="decimal"/>
      <w:lvlText w:val="%1.%2."/>
      <w:lvlJc w:val="left"/>
      <w:pPr>
        <w:tabs>
          <w:tab w:val="num" w:pos="1465"/>
        </w:tabs>
        <w:ind w:left="1465" w:hanging="472"/>
      </w:pPr>
    </w:lvl>
    <w:lvl w:ilvl="2">
      <w:start w:val="1"/>
      <w:numFmt w:val="decimal"/>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7">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8">
    <w:nsid w:val="4B400F83"/>
    <w:multiLevelType w:val="multilevel"/>
    <w:tmpl w:val="F0EE9C22"/>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6022277"/>
    <w:multiLevelType w:val="singleLevel"/>
    <w:tmpl w:val="EF02D596"/>
    <w:lvl w:ilvl="0">
      <w:start w:val="1"/>
      <w:numFmt w:val="lowerLetter"/>
      <w:lvlRestart w:val="0"/>
      <w:lvlText w:val="(%1)"/>
      <w:lvlJc w:val="left"/>
      <w:pPr>
        <w:tabs>
          <w:tab w:val="num" w:pos="283"/>
        </w:tabs>
        <w:ind w:left="283" w:hanging="283"/>
      </w:pPr>
      <w:rPr>
        <w:rFonts w:ascii="Arial" w:hAnsi="Arial" w:cs="Arial"/>
        <w:b w:val="0"/>
        <w:i w:val="0"/>
        <w:sz w:val="16"/>
      </w:rPr>
    </w:lvl>
  </w:abstractNum>
  <w:abstractNum w:abstractNumId="1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1">
    <w:nsid w:val="6A020D12"/>
    <w:multiLevelType w:val="hybridMultilevel"/>
    <w:tmpl w:val="3C3071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4"/>
  </w:num>
  <w:num w:numId="4">
    <w:abstractNumId w:val="9"/>
    <w:lvlOverride w:ilvl="0">
      <w:startOverride w:val="1"/>
    </w:lvlOverride>
  </w:num>
  <w:num w:numId="5">
    <w:abstractNumId w:val="9"/>
    <w:lvlOverride w:ilvl="0">
      <w:startOverride w:val="1"/>
    </w:lvlOverride>
  </w:num>
  <w:num w:numId="6">
    <w:abstractNumId w:val="5"/>
  </w:num>
  <w:num w:numId="7">
    <w:abstractNumId w:val="11"/>
  </w:num>
  <w:num w:numId="8">
    <w:abstractNumId w:val="0"/>
  </w:num>
  <w:num w:numId="9">
    <w:abstractNumId w:val="8"/>
  </w:num>
  <w:num w:numId="10">
    <w:abstractNumId w:val="7"/>
  </w:num>
  <w:num w:numId="11">
    <w:abstractNumId w:val="2"/>
  </w:num>
  <w:num w:numId="12">
    <w:abstractNumId w:val="1"/>
  </w:num>
  <w:num w:numId="13">
    <w:abstractNumId w:val="6"/>
  </w:num>
  <w:num w:numId="14">
    <w:abstractNumId w:val="10"/>
  </w:num>
  <w:num w:numId="15">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linkStyles/>
  <w:defaultTabStop w:val="720"/>
  <w:evenAndOddHeaders/>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739"/>
    <w:rsid w:val="0000583A"/>
    <w:rsid w:val="0001224D"/>
    <w:rsid w:val="00012334"/>
    <w:rsid w:val="00016E5B"/>
    <w:rsid w:val="00024B17"/>
    <w:rsid w:val="000354AE"/>
    <w:rsid w:val="00040EEF"/>
    <w:rsid w:val="000472CC"/>
    <w:rsid w:val="00050B44"/>
    <w:rsid w:val="00052453"/>
    <w:rsid w:val="00075C5D"/>
    <w:rsid w:val="0007704E"/>
    <w:rsid w:val="0009438E"/>
    <w:rsid w:val="000A29F6"/>
    <w:rsid w:val="000D16A5"/>
    <w:rsid w:val="000D3226"/>
    <w:rsid w:val="000E1F39"/>
    <w:rsid w:val="000E239C"/>
    <w:rsid w:val="000F585E"/>
    <w:rsid w:val="001006FD"/>
    <w:rsid w:val="00120EA4"/>
    <w:rsid w:val="001534EE"/>
    <w:rsid w:val="00154A61"/>
    <w:rsid w:val="001576C4"/>
    <w:rsid w:val="00157BBB"/>
    <w:rsid w:val="001646A4"/>
    <w:rsid w:val="00177763"/>
    <w:rsid w:val="00195A61"/>
    <w:rsid w:val="001A06B2"/>
    <w:rsid w:val="001E5682"/>
    <w:rsid w:val="001F0016"/>
    <w:rsid w:val="001F2274"/>
    <w:rsid w:val="001F3B3F"/>
    <w:rsid w:val="001F5E08"/>
    <w:rsid w:val="001F7652"/>
    <w:rsid w:val="0020129F"/>
    <w:rsid w:val="002023A1"/>
    <w:rsid w:val="00241C96"/>
    <w:rsid w:val="00247897"/>
    <w:rsid w:val="00251121"/>
    <w:rsid w:val="00252422"/>
    <w:rsid w:val="002640C3"/>
    <w:rsid w:val="00281028"/>
    <w:rsid w:val="00285CDB"/>
    <w:rsid w:val="002A06C2"/>
    <w:rsid w:val="002A28C5"/>
    <w:rsid w:val="002A67A3"/>
    <w:rsid w:val="002B7988"/>
    <w:rsid w:val="002D3A9E"/>
    <w:rsid w:val="002D4B9D"/>
    <w:rsid w:val="002D7090"/>
    <w:rsid w:val="002E4C83"/>
    <w:rsid w:val="002F64BB"/>
    <w:rsid w:val="00301C1F"/>
    <w:rsid w:val="00303AEE"/>
    <w:rsid w:val="00305A95"/>
    <w:rsid w:val="0032302C"/>
    <w:rsid w:val="003441A1"/>
    <w:rsid w:val="00363D4E"/>
    <w:rsid w:val="0036745F"/>
    <w:rsid w:val="003851BC"/>
    <w:rsid w:val="0038555B"/>
    <w:rsid w:val="00392243"/>
    <w:rsid w:val="003A4BA6"/>
    <w:rsid w:val="003A7739"/>
    <w:rsid w:val="003B56B4"/>
    <w:rsid w:val="003C3C6B"/>
    <w:rsid w:val="003C69D5"/>
    <w:rsid w:val="003D674C"/>
    <w:rsid w:val="00402B36"/>
    <w:rsid w:val="00421F1C"/>
    <w:rsid w:val="004227AF"/>
    <w:rsid w:val="004270CF"/>
    <w:rsid w:val="00473E92"/>
    <w:rsid w:val="00476496"/>
    <w:rsid w:val="00486E1F"/>
    <w:rsid w:val="0048757B"/>
    <w:rsid w:val="00490F1E"/>
    <w:rsid w:val="004B2094"/>
    <w:rsid w:val="004B2ED2"/>
    <w:rsid w:val="004D0987"/>
    <w:rsid w:val="004F14AE"/>
    <w:rsid w:val="00511B13"/>
    <w:rsid w:val="00521107"/>
    <w:rsid w:val="00537532"/>
    <w:rsid w:val="00545F5A"/>
    <w:rsid w:val="00562F00"/>
    <w:rsid w:val="00565EF7"/>
    <w:rsid w:val="00570015"/>
    <w:rsid w:val="00590321"/>
    <w:rsid w:val="00593D1B"/>
    <w:rsid w:val="005A2B60"/>
    <w:rsid w:val="005A2C77"/>
    <w:rsid w:val="005B3CD4"/>
    <w:rsid w:val="005B67F7"/>
    <w:rsid w:val="005C31C3"/>
    <w:rsid w:val="005E6967"/>
    <w:rsid w:val="005F2A0A"/>
    <w:rsid w:val="005F73DF"/>
    <w:rsid w:val="00602B40"/>
    <w:rsid w:val="00610D6A"/>
    <w:rsid w:val="00617A4A"/>
    <w:rsid w:val="00623295"/>
    <w:rsid w:val="00627F7A"/>
    <w:rsid w:val="00632981"/>
    <w:rsid w:val="006343CD"/>
    <w:rsid w:val="00642567"/>
    <w:rsid w:val="006438E6"/>
    <w:rsid w:val="00657A89"/>
    <w:rsid w:val="00662A0B"/>
    <w:rsid w:val="00671086"/>
    <w:rsid w:val="00675779"/>
    <w:rsid w:val="00680412"/>
    <w:rsid w:val="00687A65"/>
    <w:rsid w:val="006917C9"/>
    <w:rsid w:val="006A2C33"/>
    <w:rsid w:val="006A49BB"/>
    <w:rsid w:val="006A70FB"/>
    <w:rsid w:val="006E4911"/>
    <w:rsid w:val="00712E34"/>
    <w:rsid w:val="00715F02"/>
    <w:rsid w:val="007255C5"/>
    <w:rsid w:val="007314D4"/>
    <w:rsid w:val="0073155C"/>
    <w:rsid w:val="007316F2"/>
    <w:rsid w:val="00741678"/>
    <w:rsid w:val="007436AF"/>
    <w:rsid w:val="0075113E"/>
    <w:rsid w:val="00762EF0"/>
    <w:rsid w:val="00770389"/>
    <w:rsid w:val="00774F9F"/>
    <w:rsid w:val="007751BC"/>
    <w:rsid w:val="00786FCE"/>
    <w:rsid w:val="007A0F5F"/>
    <w:rsid w:val="007B18C6"/>
    <w:rsid w:val="007B7E63"/>
    <w:rsid w:val="007D4F1B"/>
    <w:rsid w:val="007E1CEA"/>
    <w:rsid w:val="007E78AD"/>
    <w:rsid w:val="008167FF"/>
    <w:rsid w:val="00817196"/>
    <w:rsid w:val="008308C8"/>
    <w:rsid w:val="00842BD5"/>
    <w:rsid w:val="00843765"/>
    <w:rsid w:val="008616D4"/>
    <w:rsid w:val="00875278"/>
    <w:rsid w:val="00883CAD"/>
    <w:rsid w:val="00886E88"/>
    <w:rsid w:val="00892A74"/>
    <w:rsid w:val="00895A57"/>
    <w:rsid w:val="00896909"/>
    <w:rsid w:val="00896C64"/>
    <w:rsid w:val="008A541F"/>
    <w:rsid w:val="008B13E7"/>
    <w:rsid w:val="008B1C7F"/>
    <w:rsid w:val="008B30C7"/>
    <w:rsid w:val="008B4884"/>
    <w:rsid w:val="008B4C8E"/>
    <w:rsid w:val="008D45A8"/>
    <w:rsid w:val="008E6E88"/>
    <w:rsid w:val="008F2B66"/>
    <w:rsid w:val="008F7AC9"/>
    <w:rsid w:val="008F7B01"/>
    <w:rsid w:val="00903A60"/>
    <w:rsid w:val="00906CE7"/>
    <w:rsid w:val="0091146D"/>
    <w:rsid w:val="00914F54"/>
    <w:rsid w:val="00925872"/>
    <w:rsid w:val="009354BA"/>
    <w:rsid w:val="0094535B"/>
    <w:rsid w:val="009B4350"/>
    <w:rsid w:val="009B72D7"/>
    <w:rsid w:val="009E2536"/>
    <w:rsid w:val="00A12887"/>
    <w:rsid w:val="00A13751"/>
    <w:rsid w:val="00A174F5"/>
    <w:rsid w:val="00A4303C"/>
    <w:rsid w:val="00A56ED9"/>
    <w:rsid w:val="00A60774"/>
    <w:rsid w:val="00A614A7"/>
    <w:rsid w:val="00A77830"/>
    <w:rsid w:val="00A77AAB"/>
    <w:rsid w:val="00A80605"/>
    <w:rsid w:val="00A81D60"/>
    <w:rsid w:val="00A8458F"/>
    <w:rsid w:val="00AA5209"/>
    <w:rsid w:val="00AC302A"/>
    <w:rsid w:val="00AD61E7"/>
    <w:rsid w:val="00AE099B"/>
    <w:rsid w:val="00AF14AA"/>
    <w:rsid w:val="00AF7098"/>
    <w:rsid w:val="00B01538"/>
    <w:rsid w:val="00B0382F"/>
    <w:rsid w:val="00B17F4C"/>
    <w:rsid w:val="00B27B9F"/>
    <w:rsid w:val="00B34AEA"/>
    <w:rsid w:val="00B615E1"/>
    <w:rsid w:val="00B63E50"/>
    <w:rsid w:val="00B767C1"/>
    <w:rsid w:val="00B91BA3"/>
    <w:rsid w:val="00BB6AD9"/>
    <w:rsid w:val="00BD3384"/>
    <w:rsid w:val="00BF18A3"/>
    <w:rsid w:val="00BF30AA"/>
    <w:rsid w:val="00C02292"/>
    <w:rsid w:val="00C05417"/>
    <w:rsid w:val="00C05F9E"/>
    <w:rsid w:val="00C07A51"/>
    <w:rsid w:val="00C105DD"/>
    <w:rsid w:val="00C14A30"/>
    <w:rsid w:val="00C15757"/>
    <w:rsid w:val="00C20367"/>
    <w:rsid w:val="00C24FB2"/>
    <w:rsid w:val="00C43CF5"/>
    <w:rsid w:val="00C5498B"/>
    <w:rsid w:val="00C60682"/>
    <w:rsid w:val="00C62D63"/>
    <w:rsid w:val="00C65B4F"/>
    <w:rsid w:val="00C70461"/>
    <w:rsid w:val="00C77AF4"/>
    <w:rsid w:val="00C864E7"/>
    <w:rsid w:val="00C92730"/>
    <w:rsid w:val="00C97EDA"/>
    <w:rsid w:val="00CA7211"/>
    <w:rsid w:val="00CB010A"/>
    <w:rsid w:val="00CC11E0"/>
    <w:rsid w:val="00CD1D7E"/>
    <w:rsid w:val="00CD5397"/>
    <w:rsid w:val="00CD7242"/>
    <w:rsid w:val="00CE3839"/>
    <w:rsid w:val="00CE58F6"/>
    <w:rsid w:val="00CF6DAA"/>
    <w:rsid w:val="00CF75D9"/>
    <w:rsid w:val="00D00FF6"/>
    <w:rsid w:val="00D05FEA"/>
    <w:rsid w:val="00D125DC"/>
    <w:rsid w:val="00D167D9"/>
    <w:rsid w:val="00D20ED4"/>
    <w:rsid w:val="00D26164"/>
    <w:rsid w:val="00D3147E"/>
    <w:rsid w:val="00D46619"/>
    <w:rsid w:val="00D5169E"/>
    <w:rsid w:val="00D57A55"/>
    <w:rsid w:val="00D63AE2"/>
    <w:rsid w:val="00D754D4"/>
    <w:rsid w:val="00D83761"/>
    <w:rsid w:val="00D838F4"/>
    <w:rsid w:val="00D97B76"/>
    <w:rsid w:val="00DA2E22"/>
    <w:rsid w:val="00DB39BB"/>
    <w:rsid w:val="00DC207D"/>
    <w:rsid w:val="00DC512A"/>
    <w:rsid w:val="00DC7486"/>
    <w:rsid w:val="00DD42E1"/>
    <w:rsid w:val="00DD46D9"/>
    <w:rsid w:val="00DD558C"/>
    <w:rsid w:val="00DD62A2"/>
    <w:rsid w:val="00DE5B62"/>
    <w:rsid w:val="00DE637A"/>
    <w:rsid w:val="00DF52A0"/>
    <w:rsid w:val="00DF719B"/>
    <w:rsid w:val="00E071A2"/>
    <w:rsid w:val="00E07DAA"/>
    <w:rsid w:val="00E168C0"/>
    <w:rsid w:val="00E26207"/>
    <w:rsid w:val="00E405A1"/>
    <w:rsid w:val="00E42BAA"/>
    <w:rsid w:val="00E57212"/>
    <w:rsid w:val="00E57F7C"/>
    <w:rsid w:val="00E61962"/>
    <w:rsid w:val="00E67D83"/>
    <w:rsid w:val="00E74576"/>
    <w:rsid w:val="00E81763"/>
    <w:rsid w:val="00E90C53"/>
    <w:rsid w:val="00EA3B51"/>
    <w:rsid w:val="00EA7DA5"/>
    <w:rsid w:val="00EB1975"/>
    <w:rsid w:val="00EB1BFD"/>
    <w:rsid w:val="00EE1BCB"/>
    <w:rsid w:val="00EF03FC"/>
    <w:rsid w:val="00F058A9"/>
    <w:rsid w:val="00F3265D"/>
    <w:rsid w:val="00F33397"/>
    <w:rsid w:val="00F44AAF"/>
    <w:rsid w:val="00F47C44"/>
    <w:rsid w:val="00F60041"/>
    <w:rsid w:val="00F61D6C"/>
    <w:rsid w:val="00F73DD0"/>
    <w:rsid w:val="00FB4888"/>
    <w:rsid w:val="00FB6DF5"/>
    <w:rsid w:val="00FB726E"/>
    <w:rsid w:val="00FB778D"/>
    <w:rsid w:val="00FE16BD"/>
    <w:rsid w:val="00FE3F15"/>
    <w:rsid w:val="00FF371D"/>
    <w:rsid w:val="00FF44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242"/>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CD7242"/>
    <w:pPr>
      <w:spacing w:after="240"/>
      <w:jc w:val="center"/>
      <w:outlineLvl w:val="0"/>
    </w:pPr>
    <w:rPr>
      <w:b/>
      <w:smallCaps/>
      <w:kern w:val="34"/>
      <w:sz w:val="34"/>
    </w:rPr>
  </w:style>
  <w:style w:type="paragraph" w:styleId="Heading2">
    <w:name w:val="heading 2"/>
    <w:basedOn w:val="HeadingBase"/>
    <w:next w:val="Normal"/>
    <w:link w:val="Heading2Char"/>
    <w:qFormat/>
    <w:rsid w:val="00CD7242"/>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CD7242"/>
    <w:pPr>
      <w:spacing w:before="120" w:after="120"/>
      <w:outlineLvl w:val="2"/>
    </w:pPr>
    <w:rPr>
      <w:rFonts w:ascii="Arial Bold" w:hAnsi="Arial Bold"/>
      <w:b/>
      <w:sz w:val="22"/>
    </w:rPr>
  </w:style>
  <w:style w:type="paragraph" w:styleId="Heading4">
    <w:name w:val="heading 4"/>
    <w:basedOn w:val="HeadingBase"/>
    <w:next w:val="Normal"/>
    <w:link w:val="Heading4Char"/>
    <w:qFormat/>
    <w:rsid w:val="00CD7242"/>
    <w:pPr>
      <w:spacing w:after="120"/>
      <w:outlineLvl w:val="3"/>
    </w:pPr>
    <w:rPr>
      <w:rFonts w:ascii="Arial Bold" w:hAnsi="Arial Bold"/>
      <w:b/>
      <w:sz w:val="20"/>
    </w:rPr>
  </w:style>
  <w:style w:type="paragraph" w:styleId="Heading5">
    <w:name w:val="heading 5"/>
    <w:basedOn w:val="HeadingBase"/>
    <w:next w:val="Normal"/>
    <w:link w:val="Heading5Char"/>
    <w:qFormat/>
    <w:rsid w:val="00CD7242"/>
    <w:pPr>
      <w:spacing w:after="120"/>
      <w:outlineLvl w:val="4"/>
    </w:pPr>
    <w:rPr>
      <w:b/>
      <w:bCs/>
      <w:iCs/>
      <w:sz w:val="20"/>
      <w:szCs w:val="26"/>
    </w:rPr>
  </w:style>
  <w:style w:type="paragraph" w:styleId="Heading6">
    <w:name w:val="heading 6"/>
    <w:basedOn w:val="HeadingBase"/>
    <w:next w:val="Normal"/>
    <w:link w:val="Heading6Char"/>
    <w:rsid w:val="00CD7242"/>
    <w:pPr>
      <w:spacing w:after="120"/>
      <w:outlineLvl w:val="5"/>
    </w:pPr>
    <w:rPr>
      <w:bCs/>
      <w:sz w:val="20"/>
      <w:szCs w:val="22"/>
    </w:rPr>
  </w:style>
  <w:style w:type="paragraph" w:styleId="Heading7">
    <w:name w:val="heading 7"/>
    <w:basedOn w:val="HeadingBase"/>
    <w:next w:val="Normal"/>
    <w:link w:val="Heading7Char"/>
    <w:rsid w:val="00CD7242"/>
    <w:pPr>
      <w:spacing w:before="120"/>
      <w:outlineLvl w:val="6"/>
    </w:pPr>
    <w:rPr>
      <w:sz w:val="20"/>
      <w:szCs w:val="24"/>
    </w:rPr>
  </w:style>
  <w:style w:type="paragraph" w:styleId="Heading8">
    <w:name w:val="heading 8"/>
    <w:basedOn w:val="HeadingBase"/>
    <w:next w:val="Normal"/>
    <w:link w:val="Heading8Char"/>
    <w:rsid w:val="00CD7242"/>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rsid w:val="00CD724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D7242"/>
  </w:style>
  <w:style w:type="character" w:customStyle="1" w:styleId="Heading1Char">
    <w:name w:val="Heading 1 Char"/>
    <w:basedOn w:val="DefaultParagraphFont"/>
    <w:link w:val="Heading1"/>
    <w:rsid w:val="00CD7242"/>
    <w:rPr>
      <w:rFonts w:ascii="Arial" w:eastAsia="Times New Roman" w:hAnsi="Arial" w:cs="Times New Roman"/>
      <w:b/>
      <w:smallCaps/>
      <w:kern w:val="34"/>
      <w:sz w:val="34"/>
      <w:szCs w:val="20"/>
      <w:lang w:eastAsia="en-AU"/>
    </w:rPr>
  </w:style>
  <w:style w:type="character" w:customStyle="1" w:styleId="Heading2Char">
    <w:name w:val="Heading 2 Char"/>
    <w:basedOn w:val="DefaultParagraphFont"/>
    <w:link w:val="Heading2"/>
    <w:rsid w:val="00CD7242"/>
    <w:rPr>
      <w:rFonts w:ascii="Arial Bold" w:eastAsia="Times New Roman" w:hAnsi="Arial Bold" w:cs="Times New Roman"/>
      <w:b/>
      <w:smallCaps/>
      <w:sz w:val="26"/>
      <w:szCs w:val="20"/>
      <w:lang w:eastAsia="en-AU"/>
    </w:rPr>
  </w:style>
  <w:style w:type="character" w:customStyle="1" w:styleId="Heading3Char">
    <w:name w:val="Heading 3 Char"/>
    <w:basedOn w:val="DefaultParagraphFont"/>
    <w:link w:val="Heading3"/>
    <w:rsid w:val="00CD7242"/>
    <w:rPr>
      <w:rFonts w:ascii="Arial Bold" w:eastAsia="Times New Roman" w:hAnsi="Arial Bold" w:cs="Times New Roman"/>
      <w:b/>
      <w:szCs w:val="20"/>
      <w:lang w:eastAsia="en-AU"/>
    </w:rPr>
  </w:style>
  <w:style w:type="paragraph" w:customStyle="1" w:styleId="Bullet">
    <w:name w:val="Bullet"/>
    <w:aliases w:val="b"/>
    <w:basedOn w:val="Normal"/>
    <w:link w:val="BulletChar"/>
    <w:qFormat/>
    <w:rsid w:val="00CD7242"/>
    <w:pPr>
      <w:numPr>
        <w:numId w:val="12"/>
      </w:numPr>
    </w:pPr>
  </w:style>
  <w:style w:type="character" w:customStyle="1" w:styleId="BulletChar">
    <w:name w:val="Bullet Char"/>
    <w:basedOn w:val="DefaultParagraphFont"/>
    <w:link w:val="Bullet"/>
    <w:rsid w:val="003A7739"/>
    <w:rPr>
      <w:rFonts w:ascii="Book Antiqua" w:eastAsia="Times New Roman" w:hAnsi="Book Antiqua" w:cs="Times New Roman"/>
      <w:sz w:val="20"/>
      <w:szCs w:val="20"/>
      <w:lang w:eastAsia="en-AU"/>
    </w:rPr>
  </w:style>
  <w:style w:type="paragraph" w:customStyle="1" w:styleId="Dash">
    <w:name w:val="Dash"/>
    <w:basedOn w:val="Normal"/>
    <w:link w:val="DashChar"/>
    <w:qFormat/>
    <w:rsid w:val="00CD7242"/>
    <w:pPr>
      <w:numPr>
        <w:ilvl w:val="1"/>
        <w:numId w:val="12"/>
      </w:numPr>
      <w:tabs>
        <w:tab w:val="left" w:pos="567"/>
      </w:tabs>
    </w:pPr>
  </w:style>
  <w:style w:type="paragraph" w:customStyle="1" w:styleId="DoubleDot">
    <w:name w:val="Double Dot"/>
    <w:basedOn w:val="Normal"/>
    <w:rsid w:val="00CD7242"/>
    <w:pPr>
      <w:numPr>
        <w:ilvl w:val="2"/>
        <w:numId w:val="12"/>
      </w:numPr>
      <w:tabs>
        <w:tab w:val="clear" w:pos="850"/>
        <w:tab w:val="num" w:pos="360"/>
        <w:tab w:val="left" w:pos="851"/>
      </w:tabs>
    </w:pPr>
  </w:style>
  <w:style w:type="paragraph" w:customStyle="1" w:styleId="SingleParagraph">
    <w:name w:val="Single Paragraph"/>
    <w:basedOn w:val="Normal"/>
    <w:rsid w:val="00CD7242"/>
    <w:pPr>
      <w:spacing w:after="0"/>
    </w:pPr>
  </w:style>
  <w:style w:type="paragraph" w:customStyle="1" w:styleId="ChartHeading">
    <w:name w:val="Chart Heading"/>
    <w:basedOn w:val="HeadingBase"/>
    <w:next w:val="ChartGraphic"/>
    <w:qFormat/>
    <w:rsid w:val="00CD7242"/>
    <w:pPr>
      <w:spacing w:before="120" w:after="20"/>
      <w:jc w:val="center"/>
    </w:pPr>
    <w:rPr>
      <w:b/>
      <w:sz w:val="20"/>
    </w:rPr>
  </w:style>
  <w:style w:type="paragraph" w:customStyle="1" w:styleId="TableHeading">
    <w:name w:val="Table Heading"/>
    <w:basedOn w:val="HeadingBase"/>
    <w:next w:val="TableGraphic"/>
    <w:qFormat/>
    <w:rsid w:val="00CD7242"/>
    <w:pPr>
      <w:spacing w:before="120" w:after="20"/>
    </w:pPr>
    <w:rPr>
      <w:b/>
      <w:sz w:val="20"/>
    </w:rPr>
  </w:style>
  <w:style w:type="paragraph" w:customStyle="1" w:styleId="BoxHeading">
    <w:name w:val="Box Heading"/>
    <w:basedOn w:val="HeadingBase"/>
    <w:next w:val="BoxText"/>
    <w:rsid w:val="00CD7242"/>
    <w:pPr>
      <w:spacing w:before="120" w:after="120"/>
    </w:pPr>
    <w:rPr>
      <w:b/>
      <w:sz w:val="20"/>
    </w:rPr>
  </w:style>
  <w:style w:type="paragraph" w:customStyle="1" w:styleId="ChartandTableFootnoteAlpha">
    <w:name w:val="Chart and Table Footnote Alpha"/>
    <w:basedOn w:val="HeadingBase"/>
    <w:next w:val="Normal"/>
    <w:rsid w:val="00CD7242"/>
    <w:pPr>
      <w:keepNext w:val="0"/>
      <w:numPr>
        <w:numId w:val="13"/>
      </w:numPr>
      <w:jc w:val="both"/>
    </w:pPr>
    <w:rPr>
      <w:color w:val="000000"/>
      <w:sz w:val="16"/>
    </w:rPr>
  </w:style>
  <w:style w:type="paragraph" w:customStyle="1" w:styleId="ChartandTableFootnote">
    <w:name w:val="Chart and Table Footnote"/>
    <w:basedOn w:val="HeadingBase"/>
    <w:next w:val="Normal"/>
    <w:rsid w:val="00CD7242"/>
    <w:pPr>
      <w:keepNext w:val="0"/>
      <w:tabs>
        <w:tab w:val="left" w:pos="284"/>
      </w:tabs>
      <w:jc w:val="both"/>
    </w:pPr>
    <w:rPr>
      <w:color w:val="000000"/>
      <w:sz w:val="16"/>
    </w:rPr>
  </w:style>
  <w:style w:type="paragraph" w:customStyle="1" w:styleId="ChartGraphic">
    <w:name w:val="Chart Graphic"/>
    <w:basedOn w:val="HeadingBase"/>
    <w:rsid w:val="00CD7242"/>
    <w:pPr>
      <w:jc w:val="center"/>
    </w:pPr>
    <w:rPr>
      <w:sz w:val="20"/>
    </w:rPr>
  </w:style>
  <w:style w:type="paragraph" w:customStyle="1" w:styleId="TableGraphic">
    <w:name w:val="Table Graphic"/>
    <w:basedOn w:val="Normal"/>
    <w:next w:val="Normal"/>
    <w:rsid w:val="00CD7242"/>
    <w:pPr>
      <w:spacing w:after="0" w:line="240" w:lineRule="auto"/>
      <w:ind w:right="-113"/>
    </w:pPr>
  </w:style>
  <w:style w:type="character" w:styleId="CommentReference">
    <w:name w:val="annotation reference"/>
    <w:basedOn w:val="DefaultParagraphFont"/>
    <w:semiHidden/>
    <w:rsid w:val="00CD7242"/>
    <w:rPr>
      <w:sz w:val="16"/>
      <w:szCs w:val="16"/>
    </w:rPr>
  </w:style>
  <w:style w:type="paragraph" w:styleId="CommentText">
    <w:name w:val="annotation text"/>
    <w:basedOn w:val="Normal"/>
    <w:link w:val="CommentTextChar"/>
    <w:rsid w:val="00CD7242"/>
  </w:style>
  <w:style w:type="character" w:customStyle="1" w:styleId="CommentTextChar">
    <w:name w:val="Comment Text Char"/>
    <w:basedOn w:val="DefaultParagraphFont"/>
    <w:link w:val="CommentText"/>
    <w:rsid w:val="00CD7242"/>
    <w:rPr>
      <w:rFonts w:ascii="Book Antiqua" w:eastAsia="Times New Roman" w:hAnsi="Book Antiqua" w:cs="Times New Roman"/>
      <w:sz w:val="20"/>
      <w:szCs w:val="20"/>
      <w:lang w:eastAsia="en-AU"/>
    </w:rPr>
  </w:style>
  <w:style w:type="paragraph" w:customStyle="1" w:styleId="OutlineNumbered1">
    <w:name w:val="Outline Numbered 1"/>
    <w:basedOn w:val="Normal"/>
    <w:link w:val="OutlineNumbered1Char"/>
    <w:rsid w:val="003A7739"/>
    <w:pPr>
      <w:numPr>
        <w:numId w:val="3"/>
      </w:numPr>
      <w:tabs>
        <w:tab w:val="clear" w:pos="567"/>
        <w:tab w:val="num" w:pos="360"/>
      </w:tabs>
      <w:ind w:left="0" w:firstLine="0"/>
    </w:pPr>
    <w:rPr>
      <w:color w:val="000000"/>
    </w:rPr>
  </w:style>
  <w:style w:type="character" w:customStyle="1" w:styleId="OutlineNumbered1Char">
    <w:name w:val="Outline Numbered 1 Char"/>
    <w:link w:val="OutlineNumbered1"/>
    <w:rsid w:val="003A7739"/>
    <w:rPr>
      <w:rFonts w:ascii="Book Antiqua" w:eastAsia="Times New Roman" w:hAnsi="Book Antiqua" w:cs="Times New Roman"/>
      <w:color w:val="000000"/>
      <w:sz w:val="20"/>
      <w:szCs w:val="20"/>
      <w:lang w:eastAsia="en-AU"/>
    </w:rPr>
  </w:style>
  <w:style w:type="paragraph" w:customStyle="1" w:styleId="OutlineNumbered2">
    <w:name w:val="Outline Numbered 2"/>
    <w:basedOn w:val="Normal"/>
    <w:rsid w:val="003A7739"/>
    <w:pPr>
      <w:numPr>
        <w:ilvl w:val="1"/>
        <w:numId w:val="3"/>
      </w:numPr>
      <w:tabs>
        <w:tab w:val="clear" w:pos="1134"/>
        <w:tab w:val="num" w:pos="360"/>
      </w:tabs>
      <w:ind w:left="0" w:firstLine="0"/>
    </w:pPr>
    <w:rPr>
      <w:color w:val="000000"/>
    </w:rPr>
  </w:style>
  <w:style w:type="paragraph" w:customStyle="1" w:styleId="OutlineNumbered3">
    <w:name w:val="Outline Numbered 3"/>
    <w:basedOn w:val="Normal"/>
    <w:rsid w:val="003A7739"/>
    <w:pPr>
      <w:numPr>
        <w:ilvl w:val="2"/>
        <w:numId w:val="3"/>
      </w:numPr>
      <w:tabs>
        <w:tab w:val="clear" w:pos="1701"/>
        <w:tab w:val="num" w:pos="360"/>
      </w:tabs>
      <w:ind w:left="0" w:firstLine="0"/>
    </w:pPr>
    <w:rPr>
      <w:color w:val="000000"/>
    </w:rPr>
  </w:style>
  <w:style w:type="paragraph" w:styleId="BalloonText">
    <w:name w:val="Balloon Text"/>
    <w:basedOn w:val="Normal"/>
    <w:link w:val="BalloonTextChar"/>
    <w:rsid w:val="00CD7242"/>
    <w:rPr>
      <w:rFonts w:ascii="Tahoma" w:hAnsi="Tahoma" w:cs="Tahoma"/>
      <w:sz w:val="16"/>
      <w:szCs w:val="16"/>
    </w:rPr>
  </w:style>
  <w:style w:type="character" w:customStyle="1" w:styleId="BalloonTextChar">
    <w:name w:val="Balloon Text Char"/>
    <w:basedOn w:val="DefaultParagraphFont"/>
    <w:link w:val="BalloonText"/>
    <w:rsid w:val="00CD7242"/>
    <w:rPr>
      <w:rFonts w:ascii="Tahoma" w:eastAsia="Times New Roman" w:hAnsi="Tahoma" w:cs="Tahoma"/>
      <w:sz w:val="16"/>
      <w:szCs w:val="16"/>
      <w:lang w:eastAsia="en-AU"/>
    </w:rPr>
  </w:style>
  <w:style w:type="paragraph" w:styleId="ListParagraph">
    <w:name w:val="List Paragraph"/>
    <w:basedOn w:val="Normal"/>
    <w:uiPriority w:val="34"/>
    <w:qFormat/>
    <w:rsid w:val="00D754D4"/>
    <w:pPr>
      <w:spacing w:after="200" w:line="276" w:lineRule="auto"/>
      <w:ind w:left="720"/>
      <w:contextualSpacing/>
    </w:pPr>
  </w:style>
  <w:style w:type="character" w:customStyle="1" w:styleId="DashChar">
    <w:name w:val="Dash Char"/>
    <w:basedOn w:val="DefaultParagraphFont"/>
    <w:link w:val="Dash"/>
    <w:rsid w:val="00303AEE"/>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CD7242"/>
    <w:rPr>
      <w:b/>
      <w:bCs/>
    </w:rPr>
  </w:style>
  <w:style w:type="character" w:customStyle="1" w:styleId="CommentSubjectChar">
    <w:name w:val="Comment Subject Char"/>
    <w:basedOn w:val="CommentTextChar"/>
    <w:link w:val="CommentSubject"/>
    <w:semiHidden/>
    <w:rsid w:val="00CD7242"/>
    <w:rPr>
      <w:rFonts w:ascii="Book Antiqua" w:eastAsia="Times New Roman" w:hAnsi="Book Antiqua" w:cs="Times New Roman"/>
      <w:b/>
      <w:bCs/>
      <w:sz w:val="20"/>
      <w:szCs w:val="20"/>
      <w:lang w:eastAsia="en-AU"/>
    </w:rPr>
  </w:style>
  <w:style w:type="table" w:styleId="TableGrid">
    <w:name w:val="Table Grid"/>
    <w:basedOn w:val="TableNormal"/>
    <w:rsid w:val="00CD7242"/>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HeaderBase"/>
    <w:link w:val="HeaderChar"/>
    <w:rsid w:val="00CD7242"/>
    <w:pPr>
      <w:tabs>
        <w:tab w:val="center" w:pos="4153"/>
        <w:tab w:val="right" w:pos="8306"/>
      </w:tabs>
    </w:pPr>
  </w:style>
  <w:style w:type="character" w:customStyle="1" w:styleId="HeaderChar">
    <w:name w:val="Header Char"/>
    <w:basedOn w:val="DefaultParagraphFont"/>
    <w:link w:val="Header"/>
    <w:rsid w:val="00CD7242"/>
    <w:rPr>
      <w:rFonts w:ascii="Book Antiqua" w:eastAsia="Times New Roman" w:hAnsi="Book Antiqua" w:cs="Times New Roman"/>
      <w:i/>
      <w:sz w:val="20"/>
      <w:szCs w:val="20"/>
      <w:lang w:eastAsia="en-AU"/>
    </w:rPr>
  </w:style>
  <w:style w:type="paragraph" w:styleId="Footer">
    <w:name w:val="footer"/>
    <w:basedOn w:val="FooterBase"/>
    <w:link w:val="FooterChar"/>
    <w:rsid w:val="00CD7242"/>
    <w:pPr>
      <w:tabs>
        <w:tab w:val="center" w:pos="4153"/>
        <w:tab w:val="right" w:pos="8306"/>
      </w:tabs>
    </w:pPr>
  </w:style>
  <w:style w:type="character" w:customStyle="1" w:styleId="FooterChar">
    <w:name w:val="Footer Char"/>
    <w:basedOn w:val="DefaultParagraphFont"/>
    <w:link w:val="Footer"/>
    <w:rsid w:val="00CD7242"/>
    <w:rPr>
      <w:rFonts w:ascii="Arial" w:eastAsia="Times New Roman" w:hAnsi="Arial" w:cs="Times New Roman"/>
      <w:sz w:val="20"/>
      <w:szCs w:val="20"/>
      <w:lang w:eastAsia="en-AU"/>
    </w:rPr>
  </w:style>
  <w:style w:type="paragraph" w:customStyle="1" w:styleId="Classification">
    <w:name w:val="Classification"/>
    <w:basedOn w:val="HeadingBase"/>
    <w:rsid w:val="00CD7242"/>
    <w:pPr>
      <w:jc w:val="center"/>
    </w:pPr>
    <w:rPr>
      <w:b/>
      <w:smallCaps/>
    </w:rPr>
  </w:style>
  <w:style w:type="character" w:customStyle="1" w:styleId="Heading4Char">
    <w:name w:val="Heading 4 Char"/>
    <w:basedOn w:val="DefaultParagraphFont"/>
    <w:link w:val="Heading4"/>
    <w:rsid w:val="00CD7242"/>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CD7242"/>
    <w:rPr>
      <w:rFonts w:ascii="Arial" w:eastAsia="Times New Roman" w:hAnsi="Arial" w:cs="Times New Roman"/>
      <w:b/>
      <w:bCs/>
      <w:iCs/>
      <w:sz w:val="20"/>
      <w:szCs w:val="26"/>
      <w:lang w:eastAsia="en-AU"/>
    </w:rPr>
  </w:style>
  <w:style w:type="character" w:customStyle="1" w:styleId="Heading6Char">
    <w:name w:val="Heading 6 Char"/>
    <w:basedOn w:val="DefaultParagraphFont"/>
    <w:link w:val="Heading6"/>
    <w:rsid w:val="00CD7242"/>
    <w:rPr>
      <w:rFonts w:ascii="Arial" w:eastAsia="Times New Roman" w:hAnsi="Arial" w:cs="Times New Roman"/>
      <w:bCs/>
      <w:sz w:val="20"/>
      <w:lang w:eastAsia="en-AU"/>
    </w:rPr>
  </w:style>
  <w:style w:type="character" w:customStyle="1" w:styleId="Heading7Char">
    <w:name w:val="Heading 7 Char"/>
    <w:basedOn w:val="DefaultParagraphFont"/>
    <w:link w:val="Heading7"/>
    <w:rsid w:val="00CD7242"/>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CD7242"/>
    <w:rPr>
      <w:rFonts w:ascii="Times New Roman" w:eastAsia="Times New Roman" w:hAnsi="Times New Roman" w:cs="Times New Roman"/>
      <w:i/>
      <w:iCs/>
      <w:sz w:val="16"/>
      <w:szCs w:val="24"/>
      <w:lang w:eastAsia="en-AU"/>
    </w:rPr>
  </w:style>
  <w:style w:type="paragraph" w:customStyle="1" w:styleId="SecurityClassificationHeader">
    <w:name w:val="Security Classification Header"/>
    <w:link w:val="SecurityClassificationHeaderChar"/>
    <w:rsid w:val="00CD7242"/>
    <w:pPr>
      <w:spacing w:before="240" w:after="60" w:line="259" w:lineRule="auto"/>
      <w:jc w:val="center"/>
    </w:pPr>
    <w:rPr>
      <w:rFonts w:ascii="Calibri" w:eastAsia="Times New Roman" w:hAnsi="Calibri" w:cs="Calibri"/>
      <w:b/>
      <w:caps/>
      <w:sz w:val="24"/>
      <w:szCs w:val="20"/>
      <w:lang w:eastAsia="en-AU"/>
    </w:rPr>
  </w:style>
  <w:style w:type="character" w:customStyle="1" w:styleId="SecurityClassificationHeaderChar">
    <w:name w:val="Security Classification Header Char"/>
    <w:basedOn w:val="HeaderChar"/>
    <w:link w:val="SecurityClassificationHeader"/>
    <w:rsid w:val="00CD7242"/>
    <w:rPr>
      <w:rFonts w:ascii="Calibri" w:eastAsia="Times New Roman" w:hAnsi="Calibri" w:cs="Calibri"/>
      <w:b/>
      <w:i w:val="0"/>
      <w:caps/>
      <w:sz w:val="24"/>
      <w:szCs w:val="20"/>
      <w:lang w:eastAsia="en-AU"/>
    </w:rPr>
  </w:style>
  <w:style w:type="paragraph" w:customStyle="1" w:styleId="SecurityClassificationFooter">
    <w:name w:val="Security Classification Footer"/>
    <w:link w:val="SecurityClassificationFooterChar"/>
    <w:rsid w:val="00CD7242"/>
    <w:pPr>
      <w:spacing w:before="60" w:after="240" w:line="259" w:lineRule="auto"/>
      <w:jc w:val="center"/>
    </w:pPr>
    <w:rPr>
      <w:rFonts w:ascii="Calibri" w:eastAsia="Times New Roman" w:hAnsi="Calibri" w:cs="Calibri"/>
      <w:b/>
      <w:caps/>
      <w:sz w:val="24"/>
      <w:szCs w:val="20"/>
      <w:lang w:eastAsia="en-AU"/>
    </w:rPr>
  </w:style>
  <w:style w:type="character" w:customStyle="1" w:styleId="SecurityClassificationFooterChar">
    <w:name w:val="Security Classification Footer Char"/>
    <w:basedOn w:val="HeaderChar"/>
    <w:link w:val="SecurityClassificationFooter"/>
    <w:rsid w:val="00CD7242"/>
    <w:rPr>
      <w:rFonts w:ascii="Calibri" w:eastAsia="Times New Roman" w:hAnsi="Calibri" w:cs="Calibri"/>
      <w:b/>
      <w:i w:val="0"/>
      <w:caps/>
      <w:sz w:val="24"/>
      <w:szCs w:val="20"/>
      <w:lang w:eastAsia="en-AU"/>
    </w:rPr>
  </w:style>
  <w:style w:type="paragraph" w:customStyle="1" w:styleId="DLMSecurityHeader">
    <w:name w:val="DLM Security Header"/>
    <w:link w:val="DLMSecurityHeaderChar"/>
    <w:rsid w:val="00CD7242"/>
    <w:pPr>
      <w:spacing w:before="60" w:after="240" w:line="259" w:lineRule="auto"/>
      <w:jc w:val="center"/>
    </w:pPr>
    <w:rPr>
      <w:rFonts w:ascii="Calibri" w:eastAsia="Times New Roman" w:hAnsi="Calibri" w:cs="Calibri"/>
      <w:b/>
      <w:caps/>
      <w:sz w:val="24"/>
      <w:szCs w:val="20"/>
      <w:lang w:eastAsia="en-AU"/>
    </w:rPr>
  </w:style>
  <w:style w:type="character" w:customStyle="1" w:styleId="DLMSecurityHeaderChar">
    <w:name w:val="DLM Security Header Char"/>
    <w:basedOn w:val="HeaderChar"/>
    <w:link w:val="DLMSecurityHeader"/>
    <w:rsid w:val="00CD7242"/>
    <w:rPr>
      <w:rFonts w:ascii="Calibri" w:eastAsia="Times New Roman" w:hAnsi="Calibri" w:cs="Calibri"/>
      <w:b/>
      <w:i w:val="0"/>
      <w:caps/>
      <w:sz w:val="24"/>
      <w:szCs w:val="20"/>
      <w:lang w:eastAsia="en-AU"/>
    </w:rPr>
  </w:style>
  <w:style w:type="paragraph" w:customStyle="1" w:styleId="DLMSecurityFooter">
    <w:name w:val="DLM Security Footer"/>
    <w:link w:val="DLMSecurityFooterChar"/>
    <w:rsid w:val="00CD7242"/>
    <w:pPr>
      <w:spacing w:before="240" w:after="60" w:line="259" w:lineRule="auto"/>
      <w:jc w:val="center"/>
    </w:pPr>
    <w:rPr>
      <w:rFonts w:ascii="Calibri" w:eastAsia="Times New Roman" w:hAnsi="Calibri" w:cs="Calibri"/>
      <w:b/>
      <w:caps/>
      <w:sz w:val="24"/>
      <w:szCs w:val="20"/>
      <w:lang w:eastAsia="en-AU"/>
    </w:rPr>
  </w:style>
  <w:style w:type="character" w:customStyle="1" w:styleId="DLMSecurityFooterChar">
    <w:name w:val="DLM Security Footer Char"/>
    <w:basedOn w:val="HeaderChar"/>
    <w:link w:val="DLMSecurityFooter"/>
    <w:rsid w:val="00CD7242"/>
    <w:rPr>
      <w:rFonts w:ascii="Calibri" w:eastAsia="Times New Roman" w:hAnsi="Calibri" w:cs="Calibri"/>
      <w:b/>
      <w:i w:val="0"/>
      <w:caps/>
      <w:sz w:val="24"/>
      <w:szCs w:val="20"/>
      <w:lang w:eastAsia="en-AU"/>
    </w:rPr>
  </w:style>
  <w:style w:type="paragraph" w:customStyle="1" w:styleId="FileProperties">
    <w:name w:val="File Properties"/>
    <w:basedOn w:val="Normal"/>
    <w:rsid w:val="00CD7242"/>
    <w:rPr>
      <w:i/>
    </w:rPr>
  </w:style>
  <w:style w:type="paragraph" w:customStyle="1" w:styleId="AlphaParagraph">
    <w:name w:val="Alpha Paragraph"/>
    <w:basedOn w:val="Normal"/>
    <w:rsid w:val="00CD7242"/>
    <w:pPr>
      <w:numPr>
        <w:numId w:val="10"/>
      </w:numPr>
      <w:tabs>
        <w:tab w:val="clear" w:pos="567"/>
        <w:tab w:val="num" w:pos="360"/>
      </w:tabs>
      <w:ind w:left="0" w:firstLine="0"/>
    </w:pPr>
  </w:style>
  <w:style w:type="paragraph" w:customStyle="1" w:styleId="HeadingBase">
    <w:name w:val="Heading Base"/>
    <w:rsid w:val="00CD7242"/>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CD7242"/>
    <w:pPr>
      <w:spacing w:after="240"/>
      <w:jc w:val="center"/>
      <w:outlineLvl w:val="3"/>
    </w:pPr>
    <w:rPr>
      <w:b/>
      <w:smallCaps/>
      <w:sz w:val="30"/>
    </w:rPr>
  </w:style>
  <w:style w:type="paragraph" w:customStyle="1" w:styleId="BlockedQuotation">
    <w:name w:val="Blocked Quotation"/>
    <w:basedOn w:val="Normal"/>
    <w:rsid w:val="00CD7242"/>
    <w:pPr>
      <w:ind w:left="567"/>
    </w:pPr>
  </w:style>
  <w:style w:type="paragraph" w:customStyle="1" w:styleId="BoxText">
    <w:name w:val="Box Text"/>
    <w:basedOn w:val="Normal"/>
    <w:qFormat/>
    <w:rsid w:val="00CD7242"/>
    <w:pPr>
      <w:spacing w:before="120" w:after="120" w:line="240" w:lineRule="auto"/>
    </w:pPr>
  </w:style>
  <w:style w:type="paragraph" w:customStyle="1" w:styleId="BoxBullet">
    <w:name w:val="Box Bullet"/>
    <w:basedOn w:val="BoxText"/>
    <w:rsid w:val="00CD7242"/>
    <w:pPr>
      <w:numPr>
        <w:numId w:val="11"/>
      </w:numPr>
    </w:pPr>
  </w:style>
  <w:style w:type="paragraph" w:customStyle="1" w:styleId="BoxSubHeading">
    <w:name w:val="Box Sub Heading"/>
    <w:basedOn w:val="Heading6"/>
    <w:rsid w:val="00CD7242"/>
    <w:pPr>
      <w:spacing w:before="120" w:after="40"/>
    </w:pPr>
  </w:style>
  <w:style w:type="paragraph" w:styleId="Caption">
    <w:name w:val="caption"/>
    <w:basedOn w:val="Normal"/>
    <w:next w:val="Normal"/>
    <w:rsid w:val="00CD7242"/>
    <w:rPr>
      <w:b/>
      <w:bCs/>
    </w:rPr>
  </w:style>
  <w:style w:type="paragraph" w:customStyle="1" w:styleId="ChartandTableFootnoteSmall">
    <w:name w:val="Chart and Table Footnote Small"/>
    <w:basedOn w:val="HeadingBase"/>
    <w:next w:val="Normal"/>
    <w:rsid w:val="00CD7242"/>
    <w:pPr>
      <w:keepNext w:val="0"/>
      <w:tabs>
        <w:tab w:val="left" w:pos="284"/>
      </w:tabs>
      <w:jc w:val="both"/>
    </w:pPr>
    <w:rPr>
      <w:color w:val="000000"/>
      <w:sz w:val="15"/>
    </w:rPr>
  </w:style>
  <w:style w:type="paragraph" w:customStyle="1" w:styleId="ChartMainHeading">
    <w:name w:val="Chart Main Heading"/>
    <w:basedOn w:val="Normal"/>
    <w:next w:val="ChartGraphic"/>
    <w:rsid w:val="00CD7242"/>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CD7242"/>
    <w:pPr>
      <w:spacing w:before="60"/>
      <w:jc w:val="center"/>
    </w:pPr>
    <w:rPr>
      <w:sz w:val="20"/>
    </w:rPr>
  </w:style>
  <w:style w:type="paragraph" w:customStyle="1" w:styleId="ContentsHeading">
    <w:name w:val="Contents Heading"/>
    <w:basedOn w:val="HeadingBase"/>
    <w:next w:val="Normal"/>
    <w:rsid w:val="00CD7242"/>
    <w:pPr>
      <w:spacing w:after="720"/>
      <w:jc w:val="center"/>
    </w:pPr>
    <w:rPr>
      <w:b/>
      <w:smallCaps/>
      <w:sz w:val="34"/>
    </w:rPr>
  </w:style>
  <w:style w:type="paragraph" w:customStyle="1" w:styleId="ContentsnoToC">
    <w:name w:val="Contents no ToC"/>
    <w:basedOn w:val="ContentsHeading"/>
    <w:rsid w:val="00CD7242"/>
  </w:style>
  <w:style w:type="paragraph" w:styleId="DocumentMap">
    <w:name w:val="Document Map"/>
    <w:basedOn w:val="Normal"/>
    <w:link w:val="DocumentMapChar"/>
    <w:semiHidden/>
    <w:rsid w:val="00CD7242"/>
    <w:pPr>
      <w:shd w:val="clear" w:color="auto" w:fill="000080"/>
    </w:pPr>
    <w:rPr>
      <w:rFonts w:ascii="Tahoma" w:hAnsi="Tahoma" w:cs="Tahoma"/>
    </w:rPr>
  </w:style>
  <w:style w:type="character" w:customStyle="1" w:styleId="DocumentMapChar">
    <w:name w:val="Document Map Char"/>
    <w:basedOn w:val="DefaultParagraphFont"/>
    <w:link w:val="DocumentMap"/>
    <w:semiHidden/>
    <w:rsid w:val="00CD7242"/>
    <w:rPr>
      <w:rFonts w:ascii="Tahoma" w:eastAsia="Times New Roman" w:hAnsi="Tahoma" w:cs="Tahoma"/>
      <w:sz w:val="20"/>
      <w:szCs w:val="20"/>
      <w:shd w:val="clear" w:color="auto" w:fill="000080"/>
      <w:lang w:eastAsia="en-AU"/>
    </w:rPr>
  </w:style>
  <w:style w:type="character" w:styleId="EndnoteReference">
    <w:name w:val="endnote reference"/>
    <w:basedOn w:val="DefaultParagraphFont"/>
    <w:unhideWhenUsed/>
    <w:rsid w:val="00CD7242"/>
    <w:rPr>
      <w:vertAlign w:val="superscript"/>
    </w:rPr>
  </w:style>
  <w:style w:type="paragraph" w:styleId="EndnoteText">
    <w:name w:val="endnote text"/>
    <w:basedOn w:val="Normal"/>
    <w:link w:val="EndnoteTextChar"/>
    <w:unhideWhenUsed/>
    <w:rsid w:val="00CD7242"/>
  </w:style>
  <w:style w:type="character" w:customStyle="1" w:styleId="EndnoteTextChar">
    <w:name w:val="Endnote Text Char"/>
    <w:basedOn w:val="DefaultParagraphFont"/>
    <w:link w:val="EndnoteText"/>
    <w:rsid w:val="00CD7242"/>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CD7242"/>
    <w:pPr>
      <w:spacing w:before="120" w:after="20"/>
    </w:pPr>
    <w:rPr>
      <w:b/>
      <w:sz w:val="20"/>
    </w:rPr>
  </w:style>
  <w:style w:type="paragraph" w:customStyle="1" w:styleId="FooterBase">
    <w:name w:val="Footer Base"/>
    <w:rsid w:val="00CD7242"/>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CD7242"/>
    <w:pPr>
      <w:jc w:val="left"/>
    </w:pPr>
    <w:rPr>
      <w:sz w:val="18"/>
    </w:rPr>
  </w:style>
  <w:style w:type="paragraph" w:customStyle="1" w:styleId="FooterOdd">
    <w:name w:val="Footer Odd"/>
    <w:basedOn w:val="Footer"/>
    <w:rsid w:val="00CD7242"/>
    <w:pPr>
      <w:jc w:val="right"/>
    </w:pPr>
    <w:rPr>
      <w:sz w:val="18"/>
    </w:rPr>
  </w:style>
  <w:style w:type="character" w:styleId="FootnoteReference">
    <w:name w:val="footnote reference"/>
    <w:basedOn w:val="DefaultParagraphFont"/>
    <w:rsid w:val="00CD7242"/>
    <w:rPr>
      <w:vertAlign w:val="superscript"/>
    </w:rPr>
  </w:style>
  <w:style w:type="paragraph" w:styleId="FootnoteText">
    <w:name w:val="footnote text"/>
    <w:basedOn w:val="Normal"/>
    <w:link w:val="FootnoteTextChar"/>
    <w:rsid w:val="00CD7242"/>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rsid w:val="00CD7242"/>
    <w:rPr>
      <w:rFonts w:ascii="Book Antiqua" w:eastAsia="Times New Roman" w:hAnsi="Book Antiqua" w:cs="Times New Roman"/>
      <w:sz w:val="18"/>
      <w:szCs w:val="20"/>
      <w:lang w:eastAsia="en-AU"/>
    </w:rPr>
  </w:style>
  <w:style w:type="character" w:customStyle="1" w:styleId="FramedHeader">
    <w:name w:val="Framed Header"/>
    <w:basedOn w:val="DefaultParagraphFont"/>
    <w:rsid w:val="00CD7242"/>
    <w:rPr>
      <w:rFonts w:ascii="Book Antiqua" w:hAnsi="Book Antiqua"/>
      <w:i/>
      <w:dstrike w:val="0"/>
      <w:color w:val="auto"/>
      <w:sz w:val="20"/>
      <w:vertAlign w:val="baseline"/>
    </w:rPr>
  </w:style>
  <w:style w:type="paragraph" w:customStyle="1" w:styleId="HeaderBase">
    <w:name w:val="Header Base"/>
    <w:rsid w:val="00CD7242"/>
    <w:pPr>
      <w:spacing w:after="0" w:line="240" w:lineRule="auto"/>
    </w:pPr>
    <w:rPr>
      <w:rFonts w:ascii="Book Antiqua" w:eastAsia="Times New Roman" w:hAnsi="Book Antiqua" w:cs="Times New Roman"/>
      <w:i/>
      <w:sz w:val="20"/>
      <w:szCs w:val="20"/>
      <w:lang w:eastAsia="en-AU"/>
    </w:rPr>
  </w:style>
  <w:style w:type="paragraph" w:customStyle="1" w:styleId="HeaderEven">
    <w:name w:val="Header Even"/>
    <w:basedOn w:val="HeaderBase"/>
    <w:rsid w:val="00CD7242"/>
  </w:style>
  <w:style w:type="paragraph" w:customStyle="1" w:styleId="HeaderOdd">
    <w:name w:val="Header Odd"/>
    <w:basedOn w:val="HeaderBase"/>
    <w:rsid w:val="00CD7242"/>
    <w:pPr>
      <w:jc w:val="right"/>
    </w:pPr>
  </w:style>
  <w:style w:type="paragraph" w:customStyle="1" w:styleId="Heading3noTOC">
    <w:name w:val="Heading 3 no TOC"/>
    <w:basedOn w:val="Heading3"/>
    <w:rsid w:val="00CD7242"/>
    <w:pPr>
      <w:outlineLvl w:val="9"/>
    </w:pPr>
  </w:style>
  <w:style w:type="character" w:customStyle="1" w:styleId="HiddenSequenceCode">
    <w:name w:val="Hidden Sequence Code"/>
    <w:basedOn w:val="DefaultParagraphFont"/>
    <w:rsid w:val="00CD7242"/>
    <w:rPr>
      <w:rFonts w:ascii="Times New Roman" w:hAnsi="Times New Roman"/>
      <w:vanish/>
      <w:sz w:val="16"/>
    </w:rPr>
  </w:style>
  <w:style w:type="character" w:styleId="Hyperlink">
    <w:name w:val="Hyperlink"/>
    <w:basedOn w:val="DefaultParagraphFont"/>
    <w:uiPriority w:val="99"/>
    <w:unhideWhenUsed/>
    <w:rsid w:val="00CD7242"/>
    <w:rPr>
      <w:color w:val="0000FF"/>
      <w:u w:val="single"/>
    </w:rPr>
  </w:style>
  <w:style w:type="paragraph" w:styleId="Index1">
    <w:name w:val="index 1"/>
    <w:basedOn w:val="Normal"/>
    <w:next w:val="Normal"/>
    <w:rsid w:val="00CD7242"/>
    <w:pPr>
      <w:ind w:left="200" w:hanging="200"/>
    </w:pPr>
  </w:style>
  <w:style w:type="paragraph" w:styleId="Index2">
    <w:name w:val="index 2"/>
    <w:basedOn w:val="Normal"/>
    <w:next w:val="Normal"/>
    <w:rsid w:val="00CD7242"/>
    <w:pPr>
      <w:ind w:left="400" w:hanging="200"/>
    </w:pPr>
  </w:style>
  <w:style w:type="paragraph" w:styleId="Index3">
    <w:name w:val="index 3"/>
    <w:basedOn w:val="Normal"/>
    <w:next w:val="Normal"/>
    <w:rsid w:val="00CD7242"/>
    <w:pPr>
      <w:ind w:left="600" w:hanging="200"/>
    </w:pPr>
  </w:style>
  <w:style w:type="paragraph" w:styleId="Index4">
    <w:name w:val="index 4"/>
    <w:basedOn w:val="Normal"/>
    <w:next w:val="Normal"/>
    <w:autoRedefine/>
    <w:semiHidden/>
    <w:rsid w:val="00CD7242"/>
    <w:pPr>
      <w:ind w:left="800" w:hanging="200"/>
    </w:pPr>
  </w:style>
  <w:style w:type="paragraph" w:styleId="Index5">
    <w:name w:val="index 5"/>
    <w:basedOn w:val="Normal"/>
    <w:next w:val="Normal"/>
    <w:autoRedefine/>
    <w:semiHidden/>
    <w:rsid w:val="00CD7242"/>
    <w:pPr>
      <w:ind w:left="1000" w:hanging="200"/>
    </w:pPr>
  </w:style>
  <w:style w:type="paragraph" w:styleId="Index6">
    <w:name w:val="index 6"/>
    <w:basedOn w:val="Normal"/>
    <w:next w:val="Normal"/>
    <w:autoRedefine/>
    <w:semiHidden/>
    <w:rsid w:val="00CD7242"/>
    <w:pPr>
      <w:ind w:left="1200" w:hanging="200"/>
    </w:pPr>
  </w:style>
  <w:style w:type="paragraph" w:styleId="Index7">
    <w:name w:val="index 7"/>
    <w:basedOn w:val="Normal"/>
    <w:next w:val="Normal"/>
    <w:autoRedefine/>
    <w:semiHidden/>
    <w:rsid w:val="00CD7242"/>
    <w:pPr>
      <w:ind w:left="1400" w:hanging="200"/>
    </w:pPr>
  </w:style>
  <w:style w:type="paragraph" w:styleId="Index8">
    <w:name w:val="index 8"/>
    <w:basedOn w:val="Normal"/>
    <w:next w:val="Normal"/>
    <w:autoRedefine/>
    <w:semiHidden/>
    <w:rsid w:val="00CD7242"/>
    <w:pPr>
      <w:ind w:left="1600" w:hanging="200"/>
    </w:pPr>
  </w:style>
  <w:style w:type="paragraph" w:styleId="Index9">
    <w:name w:val="index 9"/>
    <w:basedOn w:val="Normal"/>
    <w:next w:val="Normal"/>
    <w:autoRedefine/>
    <w:semiHidden/>
    <w:rsid w:val="00CD7242"/>
    <w:pPr>
      <w:ind w:left="1800" w:hanging="200"/>
    </w:pPr>
  </w:style>
  <w:style w:type="paragraph" w:styleId="IndexHeading">
    <w:name w:val="index heading"/>
    <w:basedOn w:val="Normal"/>
    <w:next w:val="Index1"/>
    <w:rsid w:val="00CD7242"/>
    <w:rPr>
      <w:rFonts w:ascii="Arial Bold" w:hAnsi="Arial Bold" w:cs="Arial"/>
      <w:b/>
      <w:bCs/>
      <w:color w:val="002B54"/>
    </w:rPr>
  </w:style>
  <w:style w:type="paragraph" w:styleId="MacroText">
    <w:name w:val="macro"/>
    <w:link w:val="MacroTextChar"/>
    <w:unhideWhenUsed/>
    <w:rsid w:val="00CD7242"/>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CD7242"/>
    <w:rPr>
      <w:rFonts w:ascii="Courier New" w:eastAsia="Times New Roman" w:hAnsi="Courier New" w:cs="Courier New"/>
      <w:sz w:val="20"/>
      <w:szCs w:val="20"/>
      <w:lang w:eastAsia="en-AU"/>
    </w:rPr>
  </w:style>
  <w:style w:type="paragraph" w:styleId="NormalIndent">
    <w:name w:val="Normal Indent"/>
    <w:basedOn w:val="Normal"/>
    <w:rsid w:val="00CD7242"/>
    <w:pPr>
      <w:ind w:left="567"/>
    </w:pPr>
  </w:style>
  <w:style w:type="paragraph" w:customStyle="1" w:styleId="NoteTableHeading">
    <w:name w:val="Note Table Heading"/>
    <w:basedOn w:val="HeadingBase"/>
    <w:next w:val="Normal"/>
    <w:rsid w:val="00CD7242"/>
    <w:pPr>
      <w:spacing w:before="240"/>
    </w:pPr>
    <w:rPr>
      <w:b/>
      <w:sz w:val="20"/>
    </w:rPr>
  </w:style>
  <w:style w:type="paragraph" w:customStyle="1" w:styleId="OverviewParagraph">
    <w:name w:val="Overview Paragraph"/>
    <w:basedOn w:val="Normal"/>
    <w:rsid w:val="00CD7242"/>
    <w:pPr>
      <w:spacing w:before="120" w:after="120" w:line="240" w:lineRule="auto"/>
    </w:pPr>
  </w:style>
  <w:style w:type="character" w:styleId="PageNumber">
    <w:name w:val="page number"/>
    <w:basedOn w:val="DefaultParagraphFont"/>
    <w:rsid w:val="00CD7242"/>
    <w:rPr>
      <w:rFonts w:ascii="Arial" w:hAnsi="Arial" w:cs="Arial"/>
    </w:rPr>
  </w:style>
  <w:style w:type="paragraph" w:customStyle="1" w:styleId="Source">
    <w:name w:val="Source"/>
    <w:basedOn w:val="Normal"/>
    <w:rsid w:val="00CD7242"/>
    <w:pPr>
      <w:tabs>
        <w:tab w:val="left" w:pos="284"/>
      </w:tabs>
      <w:spacing w:line="240" w:lineRule="auto"/>
    </w:pPr>
    <w:rPr>
      <w:rFonts w:ascii="Arial" w:hAnsi="Arial"/>
      <w:sz w:val="16"/>
    </w:rPr>
  </w:style>
  <w:style w:type="paragraph" w:customStyle="1" w:styleId="SourceBox">
    <w:name w:val="Source Box"/>
    <w:basedOn w:val="Source"/>
    <w:rsid w:val="00CD7242"/>
    <w:pPr>
      <w:spacing w:after="120"/>
    </w:pPr>
  </w:style>
  <w:style w:type="paragraph" w:customStyle="1" w:styleId="TableColumnHeadingBase">
    <w:name w:val="Table Column Heading Base"/>
    <w:basedOn w:val="Normal"/>
    <w:rsid w:val="00CD7242"/>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CD7242"/>
    <w:pPr>
      <w:jc w:val="center"/>
    </w:pPr>
  </w:style>
  <w:style w:type="paragraph" w:customStyle="1" w:styleId="TableColumnHeadingLeft">
    <w:name w:val="Table Column Heading Left"/>
    <w:basedOn w:val="TableColumnHeadingBase"/>
    <w:next w:val="Normal"/>
    <w:rsid w:val="00CD7242"/>
  </w:style>
  <w:style w:type="paragraph" w:customStyle="1" w:styleId="TableColumnHeadingRight">
    <w:name w:val="Table Column Heading Right"/>
    <w:basedOn w:val="TableColumnHeadingBase"/>
    <w:next w:val="Normal"/>
    <w:rsid w:val="00CD7242"/>
    <w:pPr>
      <w:jc w:val="right"/>
    </w:pPr>
  </w:style>
  <w:style w:type="paragraph" w:customStyle="1" w:styleId="TableColumnHeadingS118pt">
    <w:name w:val="Table Column Heading S11 8 pt"/>
    <w:basedOn w:val="TableColumnHeadingBase"/>
    <w:rsid w:val="00CD7242"/>
    <w:pPr>
      <w:spacing w:after="0"/>
    </w:pPr>
    <w:rPr>
      <w:rFonts w:ascii="Arial" w:hAnsi="Arial"/>
    </w:rPr>
  </w:style>
  <w:style w:type="paragraph" w:customStyle="1" w:styleId="TableColumnHeadingS119pt">
    <w:name w:val="Table Column Heading S11 9 pt"/>
    <w:basedOn w:val="TableColumnHeadingBase"/>
    <w:rsid w:val="00CD7242"/>
    <w:pPr>
      <w:spacing w:before="60" w:after="60"/>
    </w:pPr>
    <w:rPr>
      <w:rFonts w:ascii="Arial" w:hAnsi="Arial"/>
      <w:sz w:val="18"/>
    </w:rPr>
  </w:style>
  <w:style w:type="paragraph" w:customStyle="1" w:styleId="TableHeadingcontinued">
    <w:name w:val="Table Heading continued"/>
    <w:basedOn w:val="HeadingBase"/>
    <w:next w:val="TableGraphic"/>
    <w:rsid w:val="00CD7242"/>
    <w:pPr>
      <w:spacing w:before="120" w:after="20"/>
    </w:pPr>
    <w:rPr>
      <w:rFonts w:ascii="Arial Bold" w:hAnsi="Arial Bold"/>
      <w:b/>
      <w:sz w:val="20"/>
    </w:rPr>
  </w:style>
  <w:style w:type="paragraph" w:styleId="TableofAuthorities">
    <w:name w:val="table of authorities"/>
    <w:basedOn w:val="Normal"/>
    <w:next w:val="Normal"/>
    <w:rsid w:val="00CD7242"/>
    <w:pPr>
      <w:ind w:left="200" w:hanging="200"/>
    </w:pPr>
  </w:style>
  <w:style w:type="paragraph" w:styleId="TableofFigures">
    <w:name w:val="table of figures"/>
    <w:basedOn w:val="Normal"/>
    <w:next w:val="Normal"/>
    <w:rsid w:val="00CD7242"/>
  </w:style>
  <w:style w:type="paragraph" w:customStyle="1" w:styleId="TableTextBase">
    <w:name w:val="Table Text Base"/>
    <w:basedOn w:val="Normal"/>
    <w:rsid w:val="00CD7242"/>
    <w:pPr>
      <w:spacing w:before="20" w:after="20" w:line="240" w:lineRule="auto"/>
      <w:jc w:val="left"/>
    </w:pPr>
    <w:rPr>
      <w:rFonts w:ascii="Arial" w:hAnsi="Arial"/>
      <w:sz w:val="16"/>
    </w:rPr>
  </w:style>
  <w:style w:type="paragraph" w:customStyle="1" w:styleId="TableTextCentred">
    <w:name w:val="Table Text Centred"/>
    <w:basedOn w:val="TableTextBase"/>
    <w:rsid w:val="00CD7242"/>
    <w:pPr>
      <w:jc w:val="center"/>
    </w:pPr>
  </w:style>
  <w:style w:type="paragraph" w:customStyle="1" w:styleId="TableTextIndented">
    <w:name w:val="Table Text Indented"/>
    <w:basedOn w:val="TableTextBase"/>
    <w:rsid w:val="00CD7242"/>
    <w:pPr>
      <w:ind w:left="284"/>
    </w:pPr>
  </w:style>
  <w:style w:type="paragraph" w:customStyle="1" w:styleId="TableTextLeft">
    <w:name w:val="Table Text Left"/>
    <w:basedOn w:val="TableTextBase"/>
    <w:rsid w:val="00CD7242"/>
  </w:style>
  <w:style w:type="paragraph" w:customStyle="1" w:styleId="TableTextRight">
    <w:name w:val="Table Text Right"/>
    <w:basedOn w:val="TableTextBase"/>
    <w:rsid w:val="00CD7242"/>
    <w:pPr>
      <w:jc w:val="right"/>
    </w:pPr>
  </w:style>
  <w:style w:type="paragraph" w:styleId="TOAHeading">
    <w:name w:val="toa heading"/>
    <w:basedOn w:val="Normal"/>
    <w:next w:val="Normal"/>
    <w:rsid w:val="00CD7242"/>
    <w:pPr>
      <w:spacing w:before="120"/>
    </w:pPr>
    <w:rPr>
      <w:rFonts w:ascii="Arial" w:hAnsi="Arial" w:cs="Arial"/>
      <w:b/>
      <w:bCs/>
      <w:sz w:val="24"/>
      <w:szCs w:val="24"/>
    </w:rPr>
  </w:style>
  <w:style w:type="paragraph" w:styleId="TOC1">
    <w:name w:val="toc 1"/>
    <w:basedOn w:val="HeaderBase"/>
    <w:next w:val="Normal"/>
    <w:uiPriority w:val="2"/>
    <w:rsid w:val="00CD7242"/>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CD7242"/>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CD7242"/>
    <w:pPr>
      <w:tabs>
        <w:tab w:val="right" w:leader="dot" w:pos="7700"/>
      </w:tabs>
      <w:spacing w:before="40"/>
      <w:ind w:right="851"/>
    </w:pPr>
    <w:rPr>
      <w:sz w:val="20"/>
    </w:rPr>
  </w:style>
  <w:style w:type="paragraph" w:styleId="TOC4">
    <w:name w:val="toc 4"/>
    <w:basedOn w:val="HeadingBase"/>
    <w:next w:val="Normal"/>
    <w:uiPriority w:val="2"/>
    <w:unhideWhenUsed/>
    <w:rsid w:val="00CD7242"/>
    <w:pPr>
      <w:tabs>
        <w:tab w:val="right" w:leader="dot" w:pos="7700"/>
      </w:tabs>
      <w:spacing w:before="40"/>
      <w:ind w:right="851"/>
    </w:pPr>
    <w:rPr>
      <w:sz w:val="20"/>
    </w:rPr>
  </w:style>
  <w:style w:type="paragraph" w:styleId="TOC5">
    <w:name w:val="toc 5"/>
    <w:basedOn w:val="Normal"/>
    <w:next w:val="Normal"/>
    <w:autoRedefine/>
    <w:uiPriority w:val="2"/>
    <w:semiHidden/>
    <w:rsid w:val="00CD7242"/>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CD7242"/>
    <w:pPr>
      <w:tabs>
        <w:tab w:val="left" w:pos="851"/>
      </w:tabs>
      <w:ind w:left="851" w:hanging="851"/>
    </w:pPr>
    <w:rPr>
      <w:color w:val="000000"/>
    </w:rPr>
  </w:style>
  <w:style w:type="paragraph" w:styleId="TOC7">
    <w:name w:val="toc 7"/>
    <w:basedOn w:val="Normal"/>
    <w:next w:val="Normal"/>
    <w:autoRedefine/>
    <w:uiPriority w:val="2"/>
    <w:semiHidden/>
    <w:rsid w:val="00CD7242"/>
    <w:pPr>
      <w:ind w:left="1200"/>
    </w:pPr>
  </w:style>
  <w:style w:type="paragraph" w:styleId="TOC8">
    <w:name w:val="toc 8"/>
    <w:basedOn w:val="Normal"/>
    <w:next w:val="Normal"/>
    <w:autoRedefine/>
    <w:uiPriority w:val="2"/>
    <w:semiHidden/>
    <w:rsid w:val="00CD7242"/>
    <w:pPr>
      <w:ind w:left="1400"/>
    </w:pPr>
  </w:style>
  <w:style w:type="paragraph" w:styleId="TOC9">
    <w:name w:val="toc 9"/>
    <w:basedOn w:val="Normal"/>
    <w:next w:val="Normal"/>
    <w:autoRedefine/>
    <w:uiPriority w:val="2"/>
    <w:semiHidden/>
    <w:rsid w:val="00CD7242"/>
    <w:pPr>
      <w:ind w:left="1600"/>
    </w:pPr>
  </w:style>
  <w:style w:type="paragraph" w:customStyle="1" w:styleId="TPHeading1">
    <w:name w:val="TP Heading 1"/>
    <w:basedOn w:val="HeadingBase"/>
    <w:semiHidden/>
    <w:rsid w:val="00CD7242"/>
    <w:pPr>
      <w:spacing w:before="60" w:after="60"/>
      <w:ind w:left="1134"/>
    </w:pPr>
    <w:rPr>
      <w:rFonts w:ascii="Arial Bold" w:hAnsi="Arial Bold"/>
      <w:b/>
      <w:caps/>
      <w:spacing w:val="-10"/>
      <w:sz w:val="28"/>
    </w:rPr>
  </w:style>
  <w:style w:type="paragraph" w:customStyle="1" w:styleId="TPHeading2">
    <w:name w:val="TP Heading 2"/>
    <w:basedOn w:val="HeadingBase"/>
    <w:semiHidden/>
    <w:rsid w:val="00CD7242"/>
    <w:pPr>
      <w:ind w:left="1134"/>
    </w:pPr>
    <w:rPr>
      <w:caps/>
      <w:spacing w:val="-10"/>
      <w:sz w:val="28"/>
    </w:rPr>
  </w:style>
  <w:style w:type="paragraph" w:customStyle="1" w:styleId="TPHeading3">
    <w:name w:val="TP Heading 3"/>
    <w:basedOn w:val="HeadingBase"/>
    <w:semiHidden/>
    <w:rsid w:val="00CD7242"/>
    <w:pPr>
      <w:ind w:left="1134"/>
    </w:pPr>
    <w:rPr>
      <w:caps/>
      <w:spacing w:val="-10"/>
    </w:rPr>
  </w:style>
  <w:style w:type="paragraph" w:customStyle="1" w:styleId="TPHeading3bold">
    <w:name w:val="TP Heading 3 bold"/>
    <w:basedOn w:val="TPHeading3"/>
    <w:semiHidden/>
    <w:rsid w:val="00CD7242"/>
    <w:rPr>
      <w:rFonts w:cs="Arial"/>
      <w:b/>
      <w:sz w:val="22"/>
      <w:szCs w:val="22"/>
    </w:rPr>
  </w:style>
  <w:style w:type="paragraph" w:customStyle="1" w:styleId="TPHEADING3boldspace">
    <w:name w:val="TP HEADING 3 bold space"/>
    <w:basedOn w:val="TPHeading3bold"/>
    <w:semiHidden/>
    <w:rsid w:val="00CD7242"/>
    <w:pPr>
      <w:spacing w:after="120"/>
    </w:pPr>
  </w:style>
  <w:style w:type="paragraph" w:customStyle="1" w:styleId="TPHEADING3space">
    <w:name w:val="TP HEADING 3 space"/>
    <w:basedOn w:val="TPHeading3"/>
    <w:semiHidden/>
    <w:rsid w:val="00CD7242"/>
    <w:pPr>
      <w:spacing w:before="120" w:after="120"/>
    </w:pPr>
    <w:rPr>
      <w:rFonts w:cs="Arial"/>
      <w:sz w:val="22"/>
      <w:szCs w:val="22"/>
    </w:rPr>
  </w:style>
  <w:style w:type="paragraph" w:customStyle="1" w:styleId="TPHeading4">
    <w:name w:val="TP Heading 4"/>
    <w:basedOn w:val="TPHeading3"/>
    <w:semiHidden/>
    <w:rsid w:val="00CD7242"/>
    <w:rPr>
      <w:sz w:val="20"/>
    </w:rPr>
  </w:style>
  <w:style w:type="paragraph" w:customStyle="1" w:styleId="TPHEADING4space">
    <w:name w:val="TP HEADING 4 space"/>
    <w:basedOn w:val="TPHEADING3space"/>
    <w:semiHidden/>
    <w:rsid w:val="00CD72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242"/>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CD7242"/>
    <w:pPr>
      <w:spacing w:after="240"/>
      <w:jc w:val="center"/>
      <w:outlineLvl w:val="0"/>
    </w:pPr>
    <w:rPr>
      <w:b/>
      <w:smallCaps/>
      <w:kern w:val="34"/>
      <w:sz w:val="34"/>
    </w:rPr>
  </w:style>
  <w:style w:type="paragraph" w:styleId="Heading2">
    <w:name w:val="heading 2"/>
    <w:basedOn w:val="HeadingBase"/>
    <w:next w:val="Normal"/>
    <w:link w:val="Heading2Char"/>
    <w:qFormat/>
    <w:rsid w:val="00CD7242"/>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CD7242"/>
    <w:pPr>
      <w:spacing w:before="120" w:after="120"/>
      <w:outlineLvl w:val="2"/>
    </w:pPr>
    <w:rPr>
      <w:rFonts w:ascii="Arial Bold" w:hAnsi="Arial Bold"/>
      <w:b/>
      <w:sz w:val="22"/>
    </w:rPr>
  </w:style>
  <w:style w:type="paragraph" w:styleId="Heading4">
    <w:name w:val="heading 4"/>
    <w:basedOn w:val="HeadingBase"/>
    <w:next w:val="Normal"/>
    <w:link w:val="Heading4Char"/>
    <w:qFormat/>
    <w:rsid w:val="00CD7242"/>
    <w:pPr>
      <w:spacing w:after="120"/>
      <w:outlineLvl w:val="3"/>
    </w:pPr>
    <w:rPr>
      <w:rFonts w:ascii="Arial Bold" w:hAnsi="Arial Bold"/>
      <w:b/>
      <w:sz w:val="20"/>
    </w:rPr>
  </w:style>
  <w:style w:type="paragraph" w:styleId="Heading5">
    <w:name w:val="heading 5"/>
    <w:basedOn w:val="HeadingBase"/>
    <w:next w:val="Normal"/>
    <w:link w:val="Heading5Char"/>
    <w:qFormat/>
    <w:rsid w:val="00CD7242"/>
    <w:pPr>
      <w:spacing w:after="120"/>
      <w:outlineLvl w:val="4"/>
    </w:pPr>
    <w:rPr>
      <w:b/>
      <w:bCs/>
      <w:iCs/>
      <w:sz w:val="20"/>
      <w:szCs w:val="26"/>
    </w:rPr>
  </w:style>
  <w:style w:type="paragraph" w:styleId="Heading6">
    <w:name w:val="heading 6"/>
    <w:basedOn w:val="HeadingBase"/>
    <w:next w:val="Normal"/>
    <w:link w:val="Heading6Char"/>
    <w:rsid w:val="00CD7242"/>
    <w:pPr>
      <w:spacing w:after="120"/>
      <w:outlineLvl w:val="5"/>
    </w:pPr>
    <w:rPr>
      <w:bCs/>
      <w:sz w:val="20"/>
      <w:szCs w:val="22"/>
    </w:rPr>
  </w:style>
  <w:style w:type="paragraph" w:styleId="Heading7">
    <w:name w:val="heading 7"/>
    <w:basedOn w:val="HeadingBase"/>
    <w:next w:val="Normal"/>
    <w:link w:val="Heading7Char"/>
    <w:rsid w:val="00CD7242"/>
    <w:pPr>
      <w:spacing w:before="120"/>
      <w:outlineLvl w:val="6"/>
    </w:pPr>
    <w:rPr>
      <w:sz w:val="20"/>
      <w:szCs w:val="24"/>
    </w:rPr>
  </w:style>
  <w:style w:type="paragraph" w:styleId="Heading8">
    <w:name w:val="heading 8"/>
    <w:basedOn w:val="HeadingBase"/>
    <w:next w:val="Normal"/>
    <w:link w:val="Heading8Char"/>
    <w:rsid w:val="00CD7242"/>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rsid w:val="00CD724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D7242"/>
  </w:style>
  <w:style w:type="character" w:customStyle="1" w:styleId="Heading1Char">
    <w:name w:val="Heading 1 Char"/>
    <w:basedOn w:val="DefaultParagraphFont"/>
    <w:link w:val="Heading1"/>
    <w:rsid w:val="00CD7242"/>
    <w:rPr>
      <w:rFonts w:ascii="Arial" w:eastAsia="Times New Roman" w:hAnsi="Arial" w:cs="Times New Roman"/>
      <w:b/>
      <w:smallCaps/>
      <w:kern w:val="34"/>
      <w:sz w:val="34"/>
      <w:szCs w:val="20"/>
      <w:lang w:eastAsia="en-AU"/>
    </w:rPr>
  </w:style>
  <w:style w:type="character" w:customStyle="1" w:styleId="Heading2Char">
    <w:name w:val="Heading 2 Char"/>
    <w:basedOn w:val="DefaultParagraphFont"/>
    <w:link w:val="Heading2"/>
    <w:rsid w:val="00CD7242"/>
    <w:rPr>
      <w:rFonts w:ascii="Arial Bold" w:eastAsia="Times New Roman" w:hAnsi="Arial Bold" w:cs="Times New Roman"/>
      <w:b/>
      <w:smallCaps/>
      <w:sz w:val="26"/>
      <w:szCs w:val="20"/>
      <w:lang w:eastAsia="en-AU"/>
    </w:rPr>
  </w:style>
  <w:style w:type="character" w:customStyle="1" w:styleId="Heading3Char">
    <w:name w:val="Heading 3 Char"/>
    <w:basedOn w:val="DefaultParagraphFont"/>
    <w:link w:val="Heading3"/>
    <w:rsid w:val="00CD7242"/>
    <w:rPr>
      <w:rFonts w:ascii="Arial Bold" w:eastAsia="Times New Roman" w:hAnsi="Arial Bold" w:cs="Times New Roman"/>
      <w:b/>
      <w:szCs w:val="20"/>
      <w:lang w:eastAsia="en-AU"/>
    </w:rPr>
  </w:style>
  <w:style w:type="paragraph" w:customStyle="1" w:styleId="Bullet">
    <w:name w:val="Bullet"/>
    <w:aliases w:val="b"/>
    <w:basedOn w:val="Normal"/>
    <w:link w:val="BulletChar"/>
    <w:qFormat/>
    <w:rsid w:val="00CD7242"/>
    <w:pPr>
      <w:numPr>
        <w:numId w:val="12"/>
      </w:numPr>
    </w:pPr>
  </w:style>
  <w:style w:type="character" w:customStyle="1" w:styleId="BulletChar">
    <w:name w:val="Bullet Char"/>
    <w:basedOn w:val="DefaultParagraphFont"/>
    <w:link w:val="Bullet"/>
    <w:rsid w:val="003A7739"/>
    <w:rPr>
      <w:rFonts w:ascii="Book Antiqua" w:eastAsia="Times New Roman" w:hAnsi="Book Antiqua" w:cs="Times New Roman"/>
      <w:sz w:val="20"/>
      <w:szCs w:val="20"/>
      <w:lang w:eastAsia="en-AU"/>
    </w:rPr>
  </w:style>
  <w:style w:type="paragraph" w:customStyle="1" w:styleId="Dash">
    <w:name w:val="Dash"/>
    <w:basedOn w:val="Normal"/>
    <w:link w:val="DashChar"/>
    <w:qFormat/>
    <w:rsid w:val="00CD7242"/>
    <w:pPr>
      <w:numPr>
        <w:ilvl w:val="1"/>
        <w:numId w:val="12"/>
      </w:numPr>
      <w:tabs>
        <w:tab w:val="left" w:pos="567"/>
      </w:tabs>
    </w:pPr>
  </w:style>
  <w:style w:type="paragraph" w:customStyle="1" w:styleId="DoubleDot">
    <w:name w:val="Double Dot"/>
    <w:basedOn w:val="Normal"/>
    <w:rsid w:val="00CD7242"/>
    <w:pPr>
      <w:numPr>
        <w:ilvl w:val="2"/>
        <w:numId w:val="12"/>
      </w:numPr>
      <w:tabs>
        <w:tab w:val="clear" w:pos="850"/>
        <w:tab w:val="num" w:pos="360"/>
        <w:tab w:val="left" w:pos="851"/>
      </w:tabs>
    </w:pPr>
  </w:style>
  <w:style w:type="paragraph" w:customStyle="1" w:styleId="SingleParagraph">
    <w:name w:val="Single Paragraph"/>
    <w:basedOn w:val="Normal"/>
    <w:rsid w:val="00CD7242"/>
    <w:pPr>
      <w:spacing w:after="0"/>
    </w:pPr>
  </w:style>
  <w:style w:type="paragraph" w:customStyle="1" w:styleId="ChartHeading">
    <w:name w:val="Chart Heading"/>
    <w:basedOn w:val="HeadingBase"/>
    <w:next w:val="ChartGraphic"/>
    <w:qFormat/>
    <w:rsid w:val="00CD7242"/>
    <w:pPr>
      <w:spacing w:before="120" w:after="20"/>
      <w:jc w:val="center"/>
    </w:pPr>
    <w:rPr>
      <w:b/>
      <w:sz w:val="20"/>
    </w:rPr>
  </w:style>
  <w:style w:type="paragraph" w:customStyle="1" w:styleId="TableHeading">
    <w:name w:val="Table Heading"/>
    <w:basedOn w:val="HeadingBase"/>
    <w:next w:val="TableGraphic"/>
    <w:qFormat/>
    <w:rsid w:val="00CD7242"/>
    <w:pPr>
      <w:spacing w:before="120" w:after="20"/>
    </w:pPr>
    <w:rPr>
      <w:b/>
      <w:sz w:val="20"/>
    </w:rPr>
  </w:style>
  <w:style w:type="paragraph" w:customStyle="1" w:styleId="BoxHeading">
    <w:name w:val="Box Heading"/>
    <w:basedOn w:val="HeadingBase"/>
    <w:next w:val="BoxText"/>
    <w:rsid w:val="00CD7242"/>
    <w:pPr>
      <w:spacing w:before="120" w:after="120"/>
    </w:pPr>
    <w:rPr>
      <w:b/>
      <w:sz w:val="20"/>
    </w:rPr>
  </w:style>
  <w:style w:type="paragraph" w:customStyle="1" w:styleId="ChartandTableFootnoteAlpha">
    <w:name w:val="Chart and Table Footnote Alpha"/>
    <w:basedOn w:val="HeadingBase"/>
    <w:next w:val="Normal"/>
    <w:rsid w:val="00CD7242"/>
    <w:pPr>
      <w:keepNext w:val="0"/>
      <w:numPr>
        <w:numId w:val="13"/>
      </w:numPr>
      <w:jc w:val="both"/>
    </w:pPr>
    <w:rPr>
      <w:color w:val="000000"/>
      <w:sz w:val="16"/>
    </w:rPr>
  </w:style>
  <w:style w:type="paragraph" w:customStyle="1" w:styleId="ChartandTableFootnote">
    <w:name w:val="Chart and Table Footnote"/>
    <w:basedOn w:val="HeadingBase"/>
    <w:next w:val="Normal"/>
    <w:rsid w:val="00CD7242"/>
    <w:pPr>
      <w:keepNext w:val="0"/>
      <w:tabs>
        <w:tab w:val="left" w:pos="284"/>
      </w:tabs>
      <w:jc w:val="both"/>
    </w:pPr>
    <w:rPr>
      <w:color w:val="000000"/>
      <w:sz w:val="16"/>
    </w:rPr>
  </w:style>
  <w:style w:type="paragraph" w:customStyle="1" w:styleId="ChartGraphic">
    <w:name w:val="Chart Graphic"/>
    <w:basedOn w:val="HeadingBase"/>
    <w:rsid w:val="00CD7242"/>
    <w:pPr>
      <w:jc w:val="center"/>
    </w:pPr>
    <w:rPr>
      <w:sz w:val="20"/>
    </w:rPr>
  </w:style>
  <w:style w:type="paragraph" w:customStyle="1" w:styleId="TableGraphic">
    <w:name w:val="Table Graphic"/>
    <w:basedOn w:val="Normal"/>
    <w:next w:val="Normal"/>
    <w:rsid w:val="00CD7242"/>
    <w:pPr>
      <w:spacing w:after="0" w:line="240" w:lineRule="auto"/>
      <w:ind w:right="-113"/>
    </w:pPr>
  </w:style>
  <w:style w:type="character" w:styleId="CommentReference">
    <w:name w:val="annotation reference"/>
    <w:basedOn w:val="DefaultParagraphFont"/>
    <w:semiHidden/>
    <w:rsid w:val="00CD7242"/>
    <w:rPr>
      <w:sz w:val="16"/>
      <w:szCs w:val="16"/>
    </w:rPr>
  </w:style>
  <w:style w:type="paragraph" w:styleId="CommentText">
    <w:name w:val="annotation text"/>
    <w:basedOn w:val="Normal"/>
    <w:link w:val="CommentTextChar"/>
    <w:rsid w:val="00CD7242"/>
  </w:style>
  <w:style w:type="character" w:customStyle="1" w:styleId="CommentTextChar">
    <w:name w:val="Comment Text Char"/>
    <w:basedOn w:val="DefaultParagraphFont"/>
    <w:link w:val="CommentText"/>
    <w:rsid w:val="00CD7242"/>
    <w:rPr>
      <w:rFonts w:ascii="Book Antiqua" w:eastAsia="Times New Roman" w:hAnsi="Book Antiqua" w:cs="Times New Roman"/>
      <w:sz w:val="20"/>
      <w:szCs w:val="20"/>
      <w:lang w:eastAsia="en-AU"/>
    </w:rPr>
  </w:style>
  <w:style w:type="paragraph" w:customStyle="1" w:styleId="OutlineNumbered1">
    <w:name w:val="Outline Numbered 1"/>
    <w:basedOn w:val="Normal"/>
    <w:link w:val="OutlineNumbered1Char"/>
    <w:rsid w:val="003A7739"/>
    <w:pPr>
      <w:numPr>
        <w:numId w:val="3"/>
      </w:numPr>
      <w:tabs>
        <w:tab w:val="clear" w:pos="567"/>
        <w:tab w:val="num" w:pos="360"/>
      </w:tabs>
      <w:ind w:left="0" w:firstLine="0"/>
    </w:pPr>
    <w:rPr>
      <w:color w:val="000000"/>
    </w:rPr>
  </w:style>
  <w:style w:type="character" w:customStyle="1" w:styleId="OutlineNumbered1Char">
    <w:name w:val="Outline Numbered 1 Char"/>
    <w:link w:val="OutlineNumbered1"/>
    <w:rsid w:val="003A7739"/>
    <w:rPr>
      <w:rFonts w:ascii="Book Antiqua" w:eastAsia="Times New Roman" w:hAnsi="Book Antiqua" w:cs="Times New Roman"/>
      <w:color w:val="000000"/>
      <w:sz w:val="20"/>
      <w:szCs w:val="20"/>
      <w:lang w:eastAsia="en-AU"/>
    </w:rPr>
  </w:style>
  <w:style w:type="paragraph" w:customStyle="1" w:styleId="OutlineNumbered2">
    <w:name w:val="Outline Numbered 2"/>
    <w:basedOn w:val="Normal"/>
    <w:rsid w:val="003A7739"/>
    <w:pPr>
      <w:numPr>
        <w:ilvl w:val="1"/>
        <w:numId w:val="3"/>
      </w:numPr>
      <w:tabs>
        <w:tab w:val="clear" w:pos="1134"/>
        <w:tab w:val="num" w:pos="360"/>
      </w:tabs>
      <w:ind w:left="0" w:firstLine="0"/>
    </w:pPr>
    <w:rPr>
      <w:color w:val="000000"/>
    </w:rPr>
  </w:style>
  <w:style w:type="paragraph" w:customStyle="1" w:styleId="OutlineNumbered3">
    <w:name w:val="Outline Numbered 3"/>
    <w:basedOn w:val="Normal"/>
    <w:rsid w:val="003A7739"/>
    <w:pPr>
      <w:numPr>
        <w:ilvl w:val="2"/>
        <w:numId w:val="3"/>
      </w:numPr>
      <w:tabs>
        <w:tab w:val="clear" w:pos="1701"/>
        <w:tab w:val="num" w:pos="360"/>
      </w:tabs>
      <w:ind w:left="0" w:firstLine="0"/>
    </w:pPr>
    <w:rPr>
      <w:color w:val="000000"/>
    </w:rPr>
  </w:style>
  <w:style w:type="paragraph" w:styleId="BalloonText">
    <w:name w:val="Balloon Text"/>
    <w:basedOn w:val="Normal"/>
    <w:link w:val="BalloonTextChar"/>
    <w:rsid w:val="00CD7242"/>
    <w:rPr>
      <w:rFonts w:ascii="Tahoma" w:hAnsi="Tahoma" w:cs="Tahoma"/>
      <w:sz w:val="16"/>
      <w:szCs w:val="16"/>
    </w:rPr>
  </w:style>
  <w:style w:type="character" w:customStyle="1" w:styleId="BalloonTextChar">
    <w:name w:val="Balloon Text Char"/>
    <w:basedOn w:val="DefaultParagraphFont"/>
    <w:link w:val="BalloonText"/>
    <w:rsid w:val="00CD7242"/>
    <w:rPr>
      <w:rFonts w:ascii="Tahoma" w:eastAsia="Times New Roman" w:hAnsi="Tahoma" w:cs="Tahoma"/>
      <w:sz w:val="16"/>
      <w:szCs w:val="16"/>
      <w:lang w:eastAsia="en-AU"/>
    </w:rPr>
  </w:style>
  <w:style w:type="paragraph" w:styleId="ListParagraph">
    <w:name w:val="List Paragraph"/>
    <w:basedOn w:val="Normal"/>
    <w:uiPriority w:val="34"/>
    <w:qFormat/>
    <w:rsid w:val="00D754D4"/>
    <w:pPr>
      <w:spacing w:after="200" w:line="276" w:lineRule="auto"/>
      <w:ind w:left="720"/>
      <w:contextualSpacing/>
    </w:pPr>
  </w:style>
  <w:style w:type="character" w:customStyle="1" w:styleId="DashChar">
    <w:name w:val="Dash Char"/>
    <w:basedOn w:val="DefaultParagraphFont"/>
    <w:link w:val="Dash"/>
    <w:rsid w:val="00303AEE"/>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CD7242"/>
    <w:rPr>
      <w:b/>
      <w:bCs/>
    </w:rPr>
  </w:style>
  <w:style w:type="character" w:customStyle="1" w:styleId="CommentSubjectChar">
    <w:name w:val="Comment Subject Char"/>
    <w:basedOn w:val="CommentTextChar"/>
    <w:link w:val="CommentSubject"/>
    <w:semiHidden/>
    <w:rsid w:val="00CD7242"/>
    <w:rPr>
      <w:rFonts w:ascii="Book Antiqua" w:eastAsia="Times New Roman" w:hAnsi="Book Antiqua" w:cs="Times New Roman"/>
      <w:b/>
      <w:bCs/>
      <w:sz w:val="20"/>
      <w:szCs w:val="20"/>
      <w:lang w:eastAsia="en-AU"/>
    </w:rPr>
  </w:style>
  <w:style w:type="table" w:styleId="TableGrid">
    <w:name w:val="Table Grid"/>
    <w:basedOn w:val="TableNormal"/>
    <w:rsid w:val="00CD7242"/>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HeaderBase"/>
    <w:link w:val="HeaderChar"/>
    <w:rsid w:val="00CD7242"/>
    <w:pPr>
      <w:tabs>
        <w:tab w:val="center" w:pos="4153"/>
        <w:tab w:val="right" w:pos="8306"/>
      </w:tabs>
    </w:pPr>
  </w:style>
  <w:style w:type="character" w:customStyle="1" w:styleId="HeaderChar">
    <w:name w:val="Header Char"/>
    <w:basedOn w:val="DefaultParagraphFont"/>
    <w:link w:val="Header"/>
    <w:rsid w:val="00CD7242"/>
    <w:rPr>
      <w:rFonts w:ascii="Book Antiqua" w:eastAsia="Times New Roman" w:hAnsi="Book Antiqua" w:cs="Times New Roman"/>
      <w:i/>
      <w:sz w:val="20"/>
      <w:szCs w:val="20"/>
      <w:lang w:eastAsia="en-AU"/>
    </w:rPr>
  </w:style>
  <w:style w:type="paragraph" w:styleId="Footer">
    <w:name w:val="footer"/>
    <w:basedOn w:val="FooterBase"/>
    <w:link w:val="FooterChar"/>
    <w:rsid w:val="00CD7242"/>
    <w:pPr>
      <w:tabs>
        <w:tab w:val="center" w:pos="4153"/>
        <w:tab w:val="right" w:pos="8306"/>
      </w:tabs>
    </w:pPr>
  </w:style>
  <w:style w:type="character" w:customStyle="1" w:styleId="FooterChar">
    <w:name w:val="Footer Char"/>
    <w:basedOn w:val="DefaultParagraphFont"/>
    <w:link w:val="Footer"/>
    <w:rsid w:val="00CD7242"/>
    <w:rPr>
      <w:rFonts w:ascii="Arial" w:eastAsia="Times New Roman" w:hAnsi="Arial" w:cs="Times New Roman"/>
      <w:sz w:val="20"/>
      <w:szCs w:val="20"/>
      <w:lang w:eastAsia="en-AU"/>
    </w:rPr>
  </w:style>
  <w:style w:type="paragraph" w:customStyle="1" w:styleId="Classification">
    <w:name w:val="Classification"/>
    <w:basedOn w:val="HeadingBase"/>
    <w:rsid w:val="00CD7242"/>
    <w:pPr>
      <w:jc w:val="center"/>
    </w:pPr>
    <w:rPr>
      <w:b/>
      <w:smallCaps/>
    </w:rPr>
  </w:style>
  <w:style w:type="character" w:customStyle="1" w:styleId="Heading4Char">
    <w:name w:val="Heading 4 Char"/>
    <w:basedOn w:val="DefaultParagraphFont"/>
    <w:link w:val="Heading4"/>
    <w:rsid w:val="00CD7242"/>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CD7242"/>
    <w:rPr>
      <w:rFonts w:ascii="Arial" w:eastAsia="Times New Roman" w:hAnsi="Arial" w:cs="Times New Roman"/>
      <w:b/>
      <w:bCs/>
      <w:iCs/>
      <w:sz w:val="20"/>
      <w:szCs w:val="26"/>
      <w:lang w:eastAsia="en-AU"/>
    </w:rPr>
  </w:style>
  <w:style w:type="character" w:customStyle="1" w:styleId="Heading6Char">
    <w:name w:val="Heading 6 Char"/>
    <w:basedOn w:val="DefaultParagraphFont"/>
    <w:link w:val="Heading6"/>
    <w:rsid w:val="00CD7242"/>
    <w:rPr>
      <w:rFonts w:ascii="Arial" w:eastAsia="Times New Roman" w:hAnsi="Arial" w:cs="Times New Roman"/>
      <w:bCs/>
      <w:sz w:val="20"/>
      <w:lang w:eastAsia="en-AU"/>
    </w:rPr>
  </w:style>
  <w:style w:type="character" w:customStyle="1" w:styleId="Heading7Char">
    <w:name w:val="Heading 7 Char"/>
    <w:basedOn w:val="DefaultParagraphFont"/>
    <w:link w:val="Heading7"/>
    <w:rsid w:val="00CD7242"/>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CD7242"/>
    <w:rPr>
      <w:rFonts w:ascii="Times New Roman" w:eastAsia="Times New Roman" w:hAnsi="Times New Roman" w:cs="Times New Roman"/>
      <w:i/>
      <w:iCs/>
      <w:sz w:val="16"/>
      <w:szCs w:val="24"/>
      <w:lang w:eastAsia="en-AU"/>
    </w:rPr>
  </w:style>
  <w:style w:type="paragraph" w:customStyle="1" w:styleId="SecurityClassificationHeader">
    <w:name w:val="Security Classification Header"/>
    <w:link w:val="SecurityClassificationHeaderChar"/>
    <w:rsid w:val="00CD7242"/>
    <w:pPr>
      <w:spacing w:before="240" w:after="60" w:line="259" w:lineRule="auto"/>
      <w:jc w:val="center"/>
    </w:pPr>
    <w:rPr>
      <w:rFonts w:ascii="Calibri" w:eastAsia="Times New Roman" w:hAnsi="Calibri" w:cs="Calibri"/>
      <w:b/>
      <w:caps/>
      <w:sz w:val="24"/>
      <w:szCs w:val="20"/>
      <w:lang w:eastAsia="en-AU"/>
    </w:rPr>
  </w:style>
  <w:style w:type="character" w:customStyle="1" w:styleId="SecurityClassificationHeaderChar">
    <w:name w:val="Security Classification Header Char"/>
    <w:basedOn w:val="HeaderChar"/>
    <w:link w:val="SecurityClassificationHeader"/>
    <w:rsid w:val="00CD7242"/>
    <w:rPr>
      <w:rFonts w:ascii="Calibri" w:eastAsia="Times New Roman" w:hAnsi="Calibri" w:cs="Calibri"/>
      <w:b/>
      <w:i w:val="0"/>
      <w:caps/>
      <w:sz w:val="24"/>
      <w:szCs w:val="20"/>
      <w:lang w:eastAsia="en-AU"/>
    </w:rPr>
  </w:style>
  <w:style w:type="paragraph" w:customStyle="1" w:styleId="SecurityClassificationFooter">
    <w:name w:val="Security Classification Footer"/>
    <w:link w:val="SecurityClassificationFooterChar"/>
    <w:rsid w:val="00CD7242"/>
    <w:pPr>
      <w:spacing w:before="60" w:after="240" w:line="259" w:lineRule="auto"/>
      <w:jc w:val="center"/>
    </w:pPr>
    <w:rPr>
      <w:rFonts w:ascii="Calibri" w:eastAsia="Times New Roman" w:hAnsi="Calibri" w:cs="Calibri"/>
      <w:b/>
      <w:caps/>
      <w:sz w:val="24"/>
      <w:szCs w:val="20"/>
      <w:lang w:eastAsia="en-AU"/>
    </w:rPr>
  </w:style>
  <w:style w:type="character" w:customStyle="1" w:styleId="SecurityClassificationFooterChar">
    <w:name w:val="Security Classification Footer Char"/>
    <w:basedOn w:val="HeaderChar"/>
    <w:link w:val="SecurityClassificationFooter"/>
    <w:rsid w:val="00CD7242"/>
    <w:rPr>
      <w:rFonts w:ascii="Calibri" w:eastAsia="Times New Roman" w:hAnsi="Calibri" w:cs="Calibri"/>
      <w:b/>
      <w:i w:val="0"/>
      <w:caps/>
      <w:sz w:val="24"/>
      <w:szCs w:val="20"/>
      <w:lang w:eastAsia="en-AU"/>
    </w:rPr>
  </w:style>
  <w:style w:type="paragraph" w:customStyle="1" w:styleId="DLMSecurityHeader">
    <w:name w:val="DLM Security Header"/>
    <w:link w:val="DLMSecurityHeaderChar"/>
    <w:rsid w:val="00CD7242"/>
    <w:pPr>
      <w:spacing w:before="60" w:after="240" w:line="259" w:lineRule="auto"/>
      <w:jc w:val="center"/>
    </w:pPr>
    <w:rPr>
      <w:rFonts w:ascii="Calibri" w:eastAsia="Times New Roman" w:hAnsi="Calibri" w:cs="Calibri"/>
      <w:b/>
      <w:caps/>
      <w:sz w:val="24"/>
      <w:szCs w:val="20"/>
      <w:lang w:eastAsia="en-AU"/>
    </w:rPr>
  </w:style>
  <w:style w:type="character" w:customStyle="1" w:styleId="DLMSecurityHeaderChar">
    <w:name w:val="DLM Security Header Char"/>
    <w:basedOn w:val="HeaderChar"/>
    <w:link w:val="DLMSecurityHeader"/>
    <w:rsid w:val="00CD7242"/>
    <w:rPr>
      <w:rFonts w:ascii="Calibri" w:eastAsia="Times New Roman" w:hAnsi="Calibri" w:cs="Calibri"/>
      <w:b/>
      <w:i w:val="0"/>
      <w:caps/>
      <w:sz w:val="24"/>
      <w:szCs w:val="20"/>
      <w:lang w:eastAsia="en-AU"/>
    </w:rPr>
  </w:style>
  <w:style w:type="paragraph" w:customStyle="1" w:styleId="DLMSecurityFooter">
    <w:name w:val="DLM Security Footer"/>
    <w:link w:val="DLMSecurityFooterChar"/>
    <w:rsid w:val="00CD7242"/>
    <w:pPr>
      <w:spacing w:before="240" w:after="60" w:line="259" w:lineRule="auto"/>
      <w:jc w:val="center"/>
    </w:pPr>
    <w:rPr>
      <w:rFonts w:ascii="Calibri" w:eastAsia="Times New Roman" w:hAnsi="Calibri" w:cs="Calibri"/>
      <w:b/>
      <w:caps/>
      <w:sz w:val="24"/>
      <w:szCs w:val="20"/>
      <w:lang w:eastAsia="en-AU"/>
    </w:rPr>
  </w:style>
  <w:style w:type="character" w:customStyle="1" w:styleId="DLMSecurityFooterChar">
    <w:name w:val="DLM Security Footer Char"/>
    <w:basedOn w:val="HeaderChar"/>
    <w:link w:val="DLMSecurityFooter"/>
    <w:rsid w:val="00CD7242"/>
    <w:rPr>
      <w:rFonts w:ascii="Calibri" w:eastAsia="Times New Roman" w:hAnsi="Calibri" w:cs="Calibri"/>
      <w:b/>
      <w:i w:val="0"/>
      <w:caps/>
      <w:sz w:val="24"/>
      <w:szCs w:val="20"/>
      <w:lang w:eastAsia="en-AU"/>
    </w:rPr>
  </w:style>
  <w:style w:type="paragraph" w:customStyle="1" w:styleId="FileProperties">
    <w:name w:val="File Properties"/>
    <w:basedOn w:val="Normal"/>
    <w:rsid w:val="00CD7242"/>
    <w:rPr>
      <w:i/>
    </w:rPr>
  </w:style>
  <w:style w:type="paragraph" w:customStyle="1" w:styleId="AlphaParagraph">
    <w:name w:val="Alpha Paragraph"/>
    <w:basedOn w:val="Normal"/>
    <w:rsid w:val="00CD7242"/>
    <w:pPr>
      <w:numPr>
        <w:numId w:val="10"/>
      </w:numPr>
      <w:tabs>
        <w:tab w:val="clear" w:pos="567"/>
        <w:tab w:val="num" w:pos="360"/>
      </w:tabs>
      <w:ind w:left="0" w:firstLine="0"/>
    </w:pPr>
  </w:style>
  <w:style w:type="paragraph" w:customStyle="1" w:styleId="HeadingBase">
    <w:name w:val="Heading Base"/>
    <w:rsid w:val="00CD7242"/>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CD7242"/>
    <w:pPr>
      <w:spacing w:after="240"/>
      <w:jc w:val="center"/>
      <w:outlineLvl w:val="3"/>
    </w:pPr>
    <w:rPr>
      <w:b/>
      <w:smallCaps/>
      <w:sz w:val="30"/>
    </w:rPr>
  </w:style>
  <w:style w:type="paragraph" w:customStyle="1" w:styleId="BlockedQuotation">
    <w:name w:val="Blocked Quotation"/>
    <w:basedOn w:val="Normal"/>
    <w:rsid w:val="00CD7242"/>
    <w:pPr>
      <w:ind w:left="567"/>
    </w:pPr>
  </w:style>
  <w:style w:type="paragraph" w:customStyle="1" w:styleId="BoxText">
    <w:name w:val="Box Text"/>
    <w:basedOn w:val="Normal"/>
    <w:qFormat/>
    <w:rsid w:val="00CD7242"/>
    <w:pPr>
      <w:spacing w:before="120" w:after="120" w:line="240" w:lineRule="auto"/>
    </w:pPr>
  </w:style>
  <w:style w:type="paragraph" w:customStyle="1" w:styleId="BoxBullet">
    <w:name w:val="Box Bullet"/>
    <w:basedOn w:val="BoxText"/>
    <w:rsid w:val="00CD7242"/>
    <w:pPr>
      <w:numPr>
        <w:numId w:val="11"/>
      </w:numPr>
    </w:pPr>
  </w:style>
  <w:style w:type="paragraph" w:customStyle="1" w:styleId="BoxSubHeading">
    <w:name w:val="Box Sub Heading"/>
    <w:basedOn w:val="Heading6"/>
    <w:rsid w:val="00CD7242"/>
    <w:pPr>
      <w:spacing w:before="120" w:after="40"/>
    </w:pPr>
  </w:style>
  <w:style w:type="paragraph" w:styleId="Caption">
    <w:name w:val="caption"/>
    <w:basedOn w:val="Normal"/>
    <w:next w:val="Normal"/>
    <w:rsid w:val="00CD7242"/>
    <w:rPr>
      <w:b/>
      <w:bCs/>
    </w:rPr>
  </w:style>
  <w:style w:type="paragraph" w:customStyle="1" w:styleId="ChartandTableFootnoteSmall">
    <w:name w:val="Chart and Table Footnote Small"/>
    <w:basedOn w:val="HeadingBase"/>
    <w:next w:val="Normal"/>
    <w:rsid w:val="00CD7242"/>
    <w:pPr>
      <w:keepNext w:val="0"/>
      <w:tabs>
        <w:tab w:val="left" w:pos="284"/>
      </w:tabs>
      <w:jc w:val="both"/>
    </w:pPr>
    <w:rPr>
      <w:color w:val="000000"/>
      <w:sz w:val="15"/>
    </w:rPr>
  </w:style>
  <w:style w:type="paragraph" w:customStyle="1" w:styleId="ChartMainHeading">
    <w:name w:val="Chart Main Heading"/>
    <w:basedOn w:val="Normal"/>
    <w:next w:val="ChartGraphic"/>
    <w:rsid w:val="00CD7242"/>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CD7242"/>
    <w:pPr>
      <w:spacing w:before="60"/>
      <w:jc w:val="center"/>
    </w:pPr>
    <w:rPr>
      <w:sz w:val="20"/>
    </w:rPr>
  </w:style>
  <w:style w:type="paragraph" w:customStyle="1" w:styleId="ContentsHeading">
    <w:name w:val="Contents Heading"/>
    <w:basedOn w:val="HeadingBase"/>
    <w:next w:val="Normal"/>
    <w:rsid w:val="00CD7242"/>
    <w:pPr>
      <w:spacing w:after="720"/>
      <w:jc w:val="center"/>
    </w:pPr>
    <w:rPr>
      <w:b/>
      <w:smallCaps/>
      <w:sz w:val="34"/>
    </w:rPr>
  </w:style>
  <w:style w:type="paragraph" w:customStyle="1" w:styleId="ContentsnoToC">
    <w:name w:val="Contents no ToC"/>
    <w:basedOn w:val="ContentsHeading"/>
    <w:rsid w:val="00CD7242"/>
  </w:style>
  <w:style w:type="paragraph" w:styleId="DocumentMap">
    <w:name w:val="Document Map"/>
    <w:basedOn w:val="Normal"/>
    <w:link w:val="DocumentMapChar"/>
    <w:semiHidden/>
    <w:rsid w:val="00CD7242"/>
    <w:pPr>
      <w:shd w:val="clear" w:color="auto" w:fill="000080"/>
    </w:pPr>
    <w:rPr>
      <w:rFonts w:ascii="Tahoma" w:hAnsi="Tahoma" w:cs="Tahoma"/>
    </w:rPr>
  </w:style>
  <w:style w:type="character" w:customStyle="1" w:styleId="DocumentMapChar">
    <w:name w:val="Document Map Char"/>
    <w:basedOn w:val="DefaultParagraphFont"/>
    <w:link w:val="DocumentMap"/>
    <w:semiHidden/>
    <w:rsid w:val="00CD7242"/>
    <w:rPr>
      <w:rFonts w:ascii="Tahoma" w:eastAsia="Times New Roman" w:hAnsi="Tahoma" w:cs="Tahoma"/>
      <w:sz w:val="20"/>
      <w:szCs w:val="20"/>
      <w:shd w:val="clear" w:color="auto" w:fill="000080"/>
      <w:lang w:eastAsia="en-AU"/>
    </w:rPr>
  </w:style>
  <w:style w:type="character" w:styleId="EndnoteReference">
    <w:name w:val="endnote reference"/>
    <w:basedOn w:val="DefaultParagraphFont"/>
    <w:unhideWhenUsed/>
    <w:rsid w:val="00CD7242"/>
    <w:rPr>
      <w:vertAlign w:val="superscript"/>
    </w:rPr>
  </w:style>
  <w:style w:type="paragraph" w:styleId="EndnoteText">
    <w:name w:val="endnote text"/>
    <w:basedOn w:val="Normal"/>
    <w:link w:val="EndnoteTextChar"/>
    <w:unhideWhenUsed/>
    <w:rsid w:val="00CD7242"/>
  </w:style>
  <w:style w:type="character" w:customStyle="1" w:styleId="EndnoteTextChar">
    <w:name w:val="Endnote Text Char"/>
    <w:basedOn w:val="DefaultParagraphFont"/>
    <w:link w:val="EndnoteText"/>
    <w:rsid w:val="00CD7242"/>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CD7242"/>
    <w:pPr>
      <w:spacing w:before="120" w:after="20"/>
    </w:pPr>
    <w:rPr>
      <w:b/>
      <w:sz w:val="20"/>
    </w:rPr>
  </w:style>
  <w:style w:type="paragraph" w:customStyle="1" w:styleId="FooterBase">
    <w:name w:val="Footer Base"/>
    <w:rsid w:val="00CD7242"/>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CD7242"/>
    <w:pPr>
      <w:jc w:val="left"/>
    </w:pPr>
    <w:rPr>
      <w:sz w:val="18"/>
    </w:rPr>
  </w:style>
  <w:style w:type="paragraph" w:customStyle="1" w:styleId="FooterOdd">
    <w:name w:val="Footer Odd"/>
    <w:basedOn w:val="Footer"/>
    <w:rsid w:val="00CD7242"/>
    <w:pPr>
      <w:jc w:val="right"/>
    </w:pPr>
    <w:rPr>
      <w:sz w:val="18"/>
    </w:rPr>
  </w:style>
  <w:style w:type="character" w:styleId="FootnoteReference">
    <w:name w:val="footnote reference"/>
    <w:basedOn w:val="DefaultParagraphFont"/>
    <w:rsid w:val="00CD7242"/>
    <w:rPr>
      <w:vertAlign w:val="superscript"/>
    </w:rPr>
  </w:style>
  <w:style w:type="paragraph" w:styleId="FootnoteText">
    <w:name w:val="footnote text"/>
    <w:basedOn w:val="Normal"/>
    <w:link w:val="FootnoteTextChar"/>
    <w:rsid w:val="00CD7242"/>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rsid w:val="00CD7242"/>
    <w:rPr>
      <w:rFonts w:ascii="Book Antiqua" w:eastAsia="Times New Roman" w:hAnsi="Book Antiqua" w:cs="Times New Roman"/>
      <w:sz w:val="18"/>
      <w:szCs w:val="20"/>
      <w:lang w:eastAsia="en-AU"/>
    </w:rPr>
  </w:style>
  <w:style w:type="character" w:customStyle="1" w:styleId="FramedHeader">
    <w:name w:val="Framed Header"/>
    <w:basedOn w:val="DefaultParagraphFont"/>
    <w:rsid w:val="00CD7242"/>
    <w:rPr>
      <w:rFonts w:ascii="Book Antiqua" w:hAnsi="Book Antiqua"/>
      <w:i/>
      <w:dstrike w:val="0"/>
      <w:color w:val="auto"/>
      <w:sz w:val="20"/>
      <w:vertAlign w:val="baseline"/>
    </w:rPr>
  </w:style>
  <w:style w:type="paragraph" w:customStyle="1" w:styleId="HeaderBase">
    <w:name w:val="Header Base"/>
    <w:rsid w:val="00CD7242"/>
    <w:pPr>
      <w:spacing w:after="0" w:line="240" w:lineRule="auto"/>
    </w:pPr>
    <w:rPr>
      <w:rFonts w:ascii="Book Antiqua" w:eastAsia="Times New Roman" w:hAnsi="Book Antiqua" w:cs="Times New Roman"/>
      <w:i/>
      <w:sz w:val="20"/>
      <w:szCs w:val="20"/>
      <w:lang w:eastAsia="en-AU"/>
    </w:rPr>
  </w:style>
  <w:style w:type="paragraph" w:customStyle="1" w:styleId="HeaderEven">
    <w:name w:val="Header Even"/>
    <w:basedOn w:val="HeaderBase"/>
    <w:rsid w:val="00CD7242"/>
  </w:style>
  <w:style w:type="paragraph" w:customStyle="1" w:styleId="HeaderOdd">
    <w:name w:val="Header Odd"/>
    <w:basedOn w:val="HeaderBase"/>
    <w:rsid w:val="00CD7242"/>
    <w:pPr>
      <w:jc w:val="right"/>
    </w:pPr>
  </w:style>
  <w:style w:type="paragraph" w:customStyle="1" w:styleId="Heading3noTOC">
    <w:name w:val="Heading 3 no TOC"/>
    <w:basedOn w:val="Heading3"/>
    <w:rsid w:val="00CD7242"/>
    <w:pPr>
      <w:outlineLvl w:val="9"/>
    </w:pPr>
  </w:style>
  <w:style w:type="character" w:customStyle="1" w:styleId="HiddenSequenceCode">
    <w:name w:val="Hidden Sequence Code"/>
    <w:basedOn w:val="DefaultParagraphFont"/>
    <w:rsid w:val="00CD7242"/>
    <w:rPr>
      <w:rFonts w:ascii="Times New Roman" w:hAnsi="Times New Roman"/>
      <w:vanish/>
      <w:sz w:val="16"/>
    </w:rPr>
  </w:style>
  <w:style w:type="character" w:styleId="Hyperlink">
    <w:name w:val="Hyperlink"/>
    <w:basedOn w:val="DefaultParagraphFont"/>
    <w:uiPriority w:val="99"/>
    <w:unhideWhenUsed/>
    <w:rsid w:val="00CD7242"/>
    <w:rPr>
      <w:color w:val="0000FF"/>
      <w:u w:val="single"/>
    </w:rPr>
  </w:style>
  <w:style w:type="paragraph" w:styleId="Index1">
    <w:name w:val="index 1"/>
    <w:basedOn w:val="Normal"/>
    <w:next w:val="Normal"/>
    <w:rsid w:val="00CD7242"/>
    <w:pPr>
      <w:ind w:left="200" w:hanging="200"/>
    </w:pPr>
  </w:style>
  <w:style w:type="paragraph" w:styleId="Index2">
    <w:name w:val="index 2"/>
    <w:basedOn w:val="Normal"/>
    <w:next w:val="Normal"/>
    <w:rsid w:val="00CD7242"/>
    <w:pPr>
      <w:ind w:left="400" w:hanging="200"/>
    </w:pPr>
  </w:style>
  <w:style w:type="paragraph" w:styleId="Index3">
    <w:name w:val="index 3"/>
    <w:basedOn w:val="Normal"/>
    <w:next w:val="Normal"/>
    <w:rsid w:val="00CD7242"/>
    <w:pPr>
      <w:ind w:left="600" w:hanging="200"/>
    </w:pPr>
  </w:style>
  <w:style w:type="paragraph" w:styleId="Index4">
    <w:name w:val="index 4"/>
    <w:basedOn w:val="Normal"/>
    <w:next w:val="Normal"/>
    <w:autoRedefine/>
    <w:semiHidden/>
    <w:rsid w:val="00CD7242"/>
    <w:pPr>
      <w:ind w:left="800" w:hanging="200"/>
    </w:pPr>
  </w:style>
  <w:style w:type="paragraph" w:styleId="Index5">
    <w:name w:val="index 5"/>
    <w:basedOn w:val="Normal"/>
    <w:next w:val="Normal"/>
    <w:autoRedefine/>
    <w:semiHidden/>
    <w:rsid w:val="00CD7242"/>
    <w:pPr>
      <w:ind w:left="1000" w:hanging="200"/>
    </w:pPr>
  </w:style>
  <w:style w:type="paragraph" w:styleId="Index6">
    <w:name w:val="index 6"/>
    <w:basedOn w:val="Normal"/>
    <w:next w:val="Normal"/>
    <w:autoRedefine/>
    <w:semiHidden/>
    <w:rsid w:val="00CD7242"/>
    <w:pPr>
      <w:ind w:left="1200" w:hanging="200"/>
    </w:pPr>
  </w:style>
  <w:style w:type="paragraph" w:styleId="Index7">
    <w:name w:val="index 7"/>
    <w:basedOn w:val="Normal"/>
    <w:next w:val="Normal"/>
    <w:autoRedefine/>
    <w:semiHidden/>
    <w:rsid w:val="00CD7242"/>
    <w:pPr>
      <w:ind w:left="1400" w:hanging="200"/>
    </w:pPr>
  </w:style>
  <w:style w:type="paragraph" w:styleId="Index8">
    <w:name w:val="index 8"/>
    <w:basedOn w:val="Normal"/>
    <w:next w:val="Normal"/>
    <w:autoRedefine/>
    <w:semiHidden/>
    <w:rsid w:val="00CD7242"/>
    <w:pPr>
      <w:ind w:left="1600" w:hanging="200"/>
    </w:pPr>
  </w:style>
  <w:style w:type="paragraph" w:styleId="Index9">
    <w:name w:val="index 9"/>
    <w:basedOn w:val="Normal"/>
    <w:next w:val="Normal"/>
    <w:autoRedefine/>
    <w:semiHidden/>
    <w:rsid w:val="00CD7242"/>
    <w:pPr>
      <w:ind w:left="1800" w:hanging="200"/>
    </w:pPr>
  </w:style>
  <w:style w:type="paragraph" w:styleId="IndexHeading">
    <w:name w:val="index heading"/>
    <w:basedOn w:val="Normal"/>
    <w:next w:val="Index1"/>
    <w:rsid w:val="00CD7242"/>
    <w:rPr>
      <w:rFonts w:ascii="Arial Bold" w:hAnsi="Arial Bold" w:cs="Arial"/>
      <w:b/>
      <w:bCs/>
      <w:color w:val="002B54"/>
    </w:rPr>
  </w:style>
  <w:style w:type="paragraph" w:styleId="MacroText">
    <w:name w:val="macro"/>
    <w:link w:val="MacroTextChar"/>
    <w:unhideWhenUsed/>
    <w:rsid w:val="00CD7242"/>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CD7242"/>
    <w:rPr>
      <w:rFonts w:ascii="Courier New" w:eastAsia="Times New Roman" w:hAnsi="Courier New" w:cs="Courier New"/>
      <w:sz w:val="20"/>
      <w:szCs w:val="20"/>
      <w:lang w:eastAsia="en-AU"/>
    </w:rPr>
  </w:style>
  <w:style w:type="paragraph" w:styleId="NormalIndent">
    <w:name w:val="Normal Indent"/>
    <w:basedOn w:val="Normal"/>
    <w:rsid w:val="00CD7242"/>
    <w:pPr>
      <w:ind w:left="567"/>
    </w:pPr>
  </w:style>
  <w:style w:type="paragraph" w:customStyle="1" w:styleId="NoteTableHeading">
    <w:name w:val="Note Table Heading"/>
    <w:basedOn w:val="HeadingBase"/>
    <w:next w:val="Normal"/>
    <w:rsid w:val="00CD7242"/>
    <w:pPr>
      <w:spacing w:before="240"/>
    </w:pPr>
    <w:rPr>
      <w:b/>
      <w:sz w:val="20"/>
    </w:rPr>
  </w:style>
  <w:style w:type="paragraph" w:customStyle="1" w:styleId="OverviewParagraph">
    <w:name w:val="Overview Paragraph"/>
    <w:basedOn w:val="Normal"/>
    <w:rsid w:val="00CD7242"/>
    <w:pPr>
      <w:spacing w:before="120" w:after="120" w:line="240" w:lineRule="auto"/>
    </w:pPr>
  </w:style>
  <w:style w:type="character" w:styleId="PageNumber">
    <w:name w:val="page number"/>
    <w:basedOn w:val="DefaultParagraphFont"/>
    <w:rsid w:val="00CD7242"/>
    <w:rPr>
      <w:rFonts w:ascii="Arial" w:hAnsi="Arial" w:cs="Arial"/>
    </w:rPr>
  </w:style>
  <w:style w:type="paragraph" w:customStyle="1" w:styleId="Source">
    <w:name w:val="Source"/>
    <w:basedOn w:val="Normal"/>
    <w:rsid w:val="00CD7242"/>
    <w:pPr>
      <w:tabs>
        <w:tab w:val="left" w:pos="284"/>
      </w:tabs>
      <w:spacing w:line="240" w:lineRule="auto"/>
    </w:pPr>
    <w:rPr>
      <w:rFonts w:ascii="Arial" w:hAnsi="Arial"/>
      <w:sz w:val="16"/>
    </w:rPr>
  </w:style>
  <w:style w:type="paragraph" w:customStyle="1" w:styleId="SourceBox">
    <w:name w:val="Source Box"/>
    <w:basedOn w:val="Source"/>
    <w:rsid w:val="00CD7242"/>
    <w:pPr>
      <w:spacing w:after="120"/>
    </w:pPr>
  </w:style>
  <w:style w:type="paragraph" w:customStyle="1" w:styleId="TableColumnHeadingBase">
    <w:name w:val="Table Column Heading Base"/>
    <w:basedOn w:val="Normal"/>
    <w:rsid w:val="00CD7242"/>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CD7242"/>
    <w:pPr>
      <w:jc w:val="center"/>
    </w:pPr>
  </w:style>
  <w:style w:type="paragraph" w:customStyle="1" w:styleId="TableColumnHeadingLeft">
    <w:name w:val="Table Column Heading Left"/>
    <w:basedOn w:val="TableColumnHeadingBase"/>
    <w:next w:val="Normal"/>
    <w:rsid w:val="00CD7242"/>
  </w:style>
  <w:style w:type="paragraph" w:customStyle="1" w:styleId="TableColumnHeadingRight">
    <w:name w:val="Table Column Heading Right"/>
    <w:basedOn w:val="TableColumnHeadingBase"/>
    <w:next w:val="Normal"/>
    <w:rsid w:val="00CD7242"/>
    <w:pPr>
      <w:jc w:val="right"/>
    </w:pPr>
  </w:style>
  <w:style w:type="paragraph" w:customStyle="1" w:styleId="TableColumnHeadingS118pt">
    <w:name w:val="Table Column Heading S11 8 pt"/>
    <w:basedOn w:val="TableColumnHeadingBase"/>
    <w:rsid w:val="00CD7242"/>
    <w:pPr>
      <w:spacing w:after="0"/>
    </w:pPr>
    <w:rPr>
      <w:rFonts w:ascii="Arial" w:hAnsi="Arial"/>
    </w:rPr>
  </w:style>
  <w:style w:type="paragraph" w:customStyle="1" w:styleId="TableColumnHeadingS119pt">
    <w:name w:val="Table Column Heading S11 9 pt"/>
    <w:basedOn w:val="TableColumnHeadingBase"/>
    <w:rsid w:val="00CD7242"/>
    <w:pPr>
      <w:spacing w:before="60" w:after="60"/>
    </w:pPr>
    <w:rPr>
      <w:rFonts w:ascii="Arial" w:hAnsi="Arial"/>
      <w:sz w:val="18"/>
    </w:rPr>
  </w:style>
  <w:style w:type="paragraph" w:customStyle="1" w:styleId="TableHeadingcontinued">
    <w:name w:val="Table Heading continued"/>
    <w:basedOn w:val="HeadingBase"/>
    <w:next w:val="TableGraphic"/>
    <w:rsid w:val="00CD7242"/>
    <w:pPr>
      <w:spacing w:before="120" w:after="20"/>
    </w:pPr>
    <w:rPr>
      <w:rFonts w:ascii="Arial Bold" w:hAnsi="Arial Bold"/>
      <w:b/>
      <w:sz w:val="20"/>
    </w:rPr>
  </w:style>
  <w:style w:type="paragraph" w:styleId="TableofAuthorities">
    <w:name w:val="table of authorities"/>
    <w:basedOn w:val="Normal"/>
    <w:next w:val="Normal"/>
    <w:rsid w:val="00CD7242"/>
    <w:pPr>
      <w:ind w:left="200" w:hanging="200"/>
    </w:pPr>
  </w:style>
  <w:style w:type="paragraph" w:styleId="TableofFigures">
    <w:name w:val="table of figures"/>
    <w:basedOn w:val="Normal"/>
    <w:next w:val="Normal"/>
    <w:rsid w:val="00CD7242"/>
  </w:style>
  <w:style w:type="paragraph" w:customStyle="1" w:styleId="TableTextBase">
    <w:name w:val="Table Text Base"/>
    <w:basedOn w:val="Normal"/>
    <w:rsid w:val="00CD7242"/>
    <w:pPr>
      <w:spacing w:before="20" w:after="20" w:line="240" w:lineRule="auto"/>
      <w:jc w:val="left"/>
    </w:pPr>
    <w:rPr>
      <w:rFonts w:ascii="Arial" w:hAnsi="Arial"/>
      <w:sz w:val="16"/>
    </w:rPr>
  </w:style>
  <w:style w:type="paragraph" w:customStyle="1" w:styleId="TableTextCentred">
    <w:name w:val="Table Text Centred"/>
    <w:basedOn w:val="TableTextBase"/>
    <w:rsid w:val="00CD7242"/>
    <w:pPr>
      <w:jc w:val="center"/>
    </w:pPr>
  </w:style>
  <w:style w:type="paragraph" w:customStyle="1" w:styleId="TableTextIndented">
    <w:name w:val="Table Text Indented"/>
    <w:basedOn w:val="TableTextBase"/>
    <w:rsid w:val="00CD7242"/>
    <w:pPr>
      <w:ind w:left="284"/>
    </w:pPr>
  </w:style>
  <w:style w:type="paragraph" w:customStyle="1" w:styleId="TableTextLeft">
    <w:name w:val="Table Text Left"/>
    <w:basedOn w:val="TableTextBase"/>
    <w:rsid w:val="00CD7242"/>
  </w:style>
  <w:style w:type="paragraph" w:customStyle="1" w:styleId="TableTextRight">
    <w:name w:val="Table Text Right"/>
    <w:basedOn w:val="TableTextBase"/>
    <w:rsid w:val="00CD7242"/>
    <w:pPr>
      <w:jc w:val="right"/>
    </w:pPr>
  </w:style>
  <w:style w:type="paragraph" w:styleId="TOAHeading">
    <w:name w:val="toa heading"/>
    <w:basedOn w:val="Normal"/>
    <w:next w:val="Normal"/>
    <w:rsid w:val="00CD7242"/>
    <w:pPr>
      <w:spacing w:before="120"/>
    </w:pPr>
    <w:rPr>
      <w:rFonts w:ascii="Arial" w:hAnsi="Arial" w:cs="Arial"/>
      <w:b/>
      <w:bCs/>
      <w:sz w:val="24"/>
      <w:szCs w:val="24"/>
    </w:rPr>
  </w:style>
  <w:style w:type="paragraph" w:styleId="TOC1">
    <w:name w:val="toc 1"/>
    <w:basedOn w:val="HeaderBase"/>
    <w:next w:val="Normal"/>
    <w:uiPriority w:val="2"/>
    <w:rsid w:val="00CD7242"/>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CD7242"/>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CD7242"/>
    <w:pPr>
      <w:tabs>
        <w:tab w:val="right" w:leader="dot" w:pos="7700"/>
      </w:tabs>
      <w:spacing w:before="40"/>
      <w:ind w:right="851"/>
    </w:pPr>
    <w:rPr>
      <w:sz w:val="20"/>
    </w:rPr>
  </w:style>
  <w:style w:type="paragraph" w:styleId="TOC4">
    <w:name w:val="toc 4"/>
    <w:basedOn w:val="HeadingBase"/>
    <w:next w:val="Normal"/>
    <w:uiPriority w:val="2"/>
    <w:unhideWhenUsed/>
    <w:rsid w:val="00CD7242"/>
    <w:pPr>
      <w:tabs>
        <w:tab w:val="right" w:leader="dot" w:pos="7700"/>
      </w:tabs>
      <w:spacing w:before="40"/>
      <w:ind w:right="851"/>
    </w:pPr>
    <w:rPr>
      <w:sz w:val="20"/>
    </w:rPr>
  </w:style>
  <w:style w:type="paragraph" w:styleId="TOC5">
    <w:name w:val="toc 5"/>
    <w:basedOn w:val="Normal"/>
    <w:next w:val="Normal"/>
    <w:autoRedefine/>
    <w:uiPriority w:val="2"/>
    <w:semiHidden/>
    <w:rsid w:val="00CD7242"/>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CD7242"/>
    <w:pPr>
      <w:tabs>
        <w:tab w:val="left" w:pos="851"/>
      </w:tabs>
      <w:ind w:left="851" w:hanging="851"/>
    </w:pPr>
    <w:rPr>
      <w:color w:val="000000"/>
    </w:rPr>
  </w:style>
  <w:style w:type="paragraph" w:styleId="TOC7">
    <w:name w:val="toc 7"/>
    <w:basedOn w:val="Normal"/>
    <w:next w:val="Normal"/>
    <w:autoRedefine/>
    <w:uiPriority w:val="2"/>
    <w:semiHidden/>
    <w:rsid w:val="00CD7242"/>
    <w:pPr>
      <w:ind w:left="1200"/>
    </w:pPr>
  </w:style>
  <w:style w:type="paragraph" w:styleId="TOC8">
    <w:name w:val="toc 8"/>
    <w:basedOn w:val="Normal"/>
    <w:next w:val="Normal"/>
    <w:autoRedefine/>
    <w:uiPriority w:val="2"/>
    <w:semiHidden/>
    <w:rsid w:val="00CD7242"/>
    <w:pPr>
      <w:ind w:left="1400"/>
    </w:pPr>
  </w:style>
  <w:style w:type="paragraph" w:styleId="TOC9">
    <w:name w:val="toc 9"/>
    <w:basedOn w:val="Normal"/>
    <w:next w:val="Normal"/>
    <w:autoRedefine/>
    <w:uiPriority w:val="2"/>
    <w:semiHidden/>
    <w:rsid w:val="00CD7242"/>
    <w:pPr>
      <w:ind w:left="1600"/>
    </w:pPr>
  </w:style>
  <w:style w:type="paragraph" w:customStyle="1" w:styleId="TPHeading1">
    <w:name w:val="TP Heading 1"/>
    <w:basedOn w:val="HeadingBase"/>
    <w:semiHidden/>
    <w:rsid w:val="00CD7242"/>
    <w:pPr>
      <w:spacing w:before="60" w:after="60"/>
      <w:ind w:left="1134"/>
    </w:pPr>
    <w:rPr>
      <w:rFonts w:ascii="Arial Bold" w:hAnsi="Arial Bold"/>
      <w:b/>
      <w:caps/>
      <w:spacing w:val="-10"/>
      <w:sz w:val="28"/>
    </w:rPr>
  </w:style>
  <w:style w:type="paragraph" w:customStyle="1" w:styleId="TPHeading2">
    <w:name w:val="TP Heading 2"/>
    <w:basedOn w:val="HeadingBase"/>
    <w:semiHidden/>
    <w:rsid w:val="00CD7242"/>
    <w:pPr>
      <w:ind w:left="1134"/>
    </w:pPr>
    <w:rPr>
      <w:caps/>
      <w:spacing w:val="-10"/>
      <w:sz w:val="28"/>
    </w:rPr>
  </w:style>
  <w:style w:type="paragraph" w:customStyle="1" w:styleId="TPHeading3">
    <w:name w:val="TP Heading 3"/>
    <w:basedOn w:val="HeadingBase"/>
    <w:semiHidden/>
    <w:rsid w:val="00CD7242"/>
    <w:pPr>
      <w:ind w:left="1134"/>
    </w:pPr>
    <w:rPr>
      <w:caps/>
      <w:spacing w:val="-10"/>
    </w:rPr>
  </w:style>
  <w:style w:type="paragraph" w:customStyle="1" w:styleId="TPHeading3bold">
    <w:name w:val="TP Heading 3 bold"/>
    <w:basedOn w:val="TPHeading3"/>
    <w:semiHidden/>
    <w:rsid w:val="00CD7242"/>
    <w:rPr>
      <w:rFonts w:cs="Arial"/>
      <w:b/>
      <w:sz w:val="22"/>
      <w:szCs w:val="22"/>
    </w:rPr>
  </w:style>
  <w:style w:type="paragraph" w:customStyle="1" w:styleId="TPHEADING3boldspace">
    <w:name w:val="TP HEADING 3 bold space"/>
    <w:basedOn w:val="TPHeading3bold"/>
    <w:semiHidden/>
    <w:rsid w:val="00CD7242"/>
    <w:pPr>
      <w:spacing w:after="120"/>
    </w:pPr>
  </w:style>
  <w:style w:type="paragraph" w:customStyle="1" w:styleId="TPHEADING3space">
    <w:name w:val="TP HEADING 3 space"/>
    <w:basedOn w:val="TPHeading3"/>
    <w:semiHidden/>
    <w:rsid w:val="00CD7242"/>
    <w:pPr>
      <w:spacing w:before="120" w:after="120"/>
    </w:pPr>
    <w:rPr>
      <w:rFonts w:cs="Arial"/>
      <w:sz w:val="22"/>
      <w:szCs w:val="22"/>
    </w:rPr>
  </w:style>
  <w:style w:type="paragraph" w:customStyle="1" w:styleId="TPHeading4">
    <w:name w:val="TP Heading 4"/>
    <w:basedOn w:val="TPHeading3"/>
    <w:semiHidden/>
    <w:rsid w:val="00CD7242"/>
    <w:rPr>
      <w:sz w:val="20"/>
    </w:rPr>
  </w:style>
  <w:style w:type="paragraph" w:customStyle="1" w:styleId="TPHEADING4space">
    <w:name w:val="TP HEADING 4 space"/>
    <w:basedOn w:val="TPHEADING3space"/>
    <w:semiHidden/>
    <w:rsid w:val="00CD7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252153">
      <w:bodyDiv w:val="1"/>
      <w:marLeft w:val="0"/>
      <w:marRight w:val="0"/>
      <w:marTop w:val="0"/>
      <w:marBottom w:val="0"/>
      <w:divBdr>
        <w:top w:val="none" w:sz="0" w:space="0" w:color="auto"/>
        <w:left w:val="none" w:sz="0" w:space="0" w:color="auto"/>
        <w:bottom w:val="none" w:sz="0" w:space="0" w:color="auto"/>
        <w:right w:val="none" w:sz="0" w:space="0" w:color="auto"/>
      </w:divBdr>
    </w:div>
    <w:div w:id="240063475">
      <w:bodyDiv w:val="1"/>
      <w:marLeft w:val="0"/>
      <w:marRight w:val="0"/>
      <w:marTop w:val="0"/>
      <w:marBottom w:val="0"/>
      <w:divBdr>
        <w:top w:val="none" w:sz="0" w:space="0" w:color="auto"/>
        <w:left w:val="none" w:sz="0" w:space="0" w:color="auto"/>
        <w:bottom w:val="none" w:sz="0" w:space="0" w:color="auto"/>
        <w:right w:val="none" w:sz="0" w:space="0" w:color="auto"/>
      </w:divBdr>
    </w:div>
    <w:div w:id="391194081">
      <w:bodyDiv w:val="1"/>
      <w:marLeft w:val="0"/>
      <w:marRight w:val="0"/>
      <w:marTop w:val="0"/>
      <w:marBottom w:val="0"/>
      <w:divBdr>
        <w:top w:val="none" w:sz="0" w:space="0" w:color="auto"/>
        <w:left w:val="none" w:sz="0" w:space="0" w:color="auto"/>
        <w:bottom w:val="none" w:sz="0" w:space="0" w:color="auto"/>
        <w:right w:val="none" w:sz="0" w:space="0" w:color="auto"/>
      </w:divBdr>
    </w:div>
    <w:div w:id="482115570">
      <w:bodyDiv w:val="1"/>
      <w:marLeft w:val="0"/>
      <w:marRight w:val="0"/>
      <w:marTop w:val="0"/>
      <w:marBottom w:val="0"/>
      <w:divBdr>
        <w:top w:val="none" w:sz="0" w:space="0" w:color="auto"/>
        <w:left w:val="none" w:sz="0" w:space="0" w:color="auto"/>
        <w:bottom w:val="none" w:sz="0" w:space="0" w:color="auto"/>
        <w:right w:val="none" w:sz="0" w:space="0" w:color="auto"/>
      </w:divBdr>
    </w:div>
    <w:div w:id="665473393">
      <w:bodyDiv w:val="1"/>
      <w:marLeft w:val="0"/>
      <w:marRight w:val="0"/>
      <w:marTop w:val="0"/>
      <w:marBottom w:val="0"/>
      <w:divBdr>
        <w:top w:val="none" w:sz="0" w:space="0" w:color="auto"/>
        <w:left w:val="none" w:sz="0" w:space="0" w:color="auto"/>
        <w:bottom w:val="none" w:sz="0" w:space="0" w:color="auto"/>
        <w:right w:val="none" w:sz="0" w:space="0" w:color="auto"/>
      </w:divBdr>
    </w:div>
    <w:div w:id="846675819">
      <w:bodyDiv w:val="1"/>
      <w:marLeft w:val="0"/>
      <w:marRight w:val="0"/>
      <w:marTop w:val="0"/>
      <w:marBottom w:val="0"/>
      <w:divBdr>
        <w:top w:val="none" w:sz="0" w:space="0" w:color="auto"/>
        <w:left w:val="none" w:sz="0" w:space="0" w:color="auto"/>
        <w:bottom w:val="none" w:sz="0" w:space="0" w:color="auto"/>
        <w:right w:val="none" w:sz="0" w:space="0" w:color="auto"/>
      </w:divBdr>
    </w:div>
    <w:div w:id="910385938">
      <w:bodyDiv w:val="1"/>
      <w:marLeft w:val="0"/>
      <w:marRight w:val="0"/>
      <w:marTop w:val="0"/>
      <w:marBottom w:val="0"/>
      <w:divBdr>
        <w:top w:val="none" w:sz="0" w:space="0" w:color="auto"/>
        <w:left w:val="none" w:sz="0" w:space="0" w:color="auto"/>
        <w:bottom w:val="none" w:sz="0" w:space="0" w:color="auto"/>
        <w:right w:val="none" w:sz="0" w:space="0" w:color="auto"/>
      </w:divBdr>
    </w:div>
    <w:div w:id="1412585230">
      <w:bodyDiv w:val="1"/>
      <w:marLeft w:val="0"/>
      <w:marRight w:val="0"/>
      <w:marTop w:val="0"/>
      <w:marBottom w:val="0"/>
      <w:divBdr>
        <w:top w:val="none" w:sz="0" w:space="0" w:color="auto"/>
        <w:left w:val="none" w:sz="0" w:space="0" w:color="auto"/>
        <w:bottom w:val="none" w:sz="0" w:space="0" w:color="auto"/>
        <w:right w:val="none" w:sz="0" w:space="0" w:color="auto"/>
      </w:divBdr>
    </w:div>
    <w:div w:id="1435050779">
      <w:bodyDiv w:val="1"/>
      <w:marLeft w:val="0"/>
      <w:marRight w:val="0"/>
      <w:marTop w:val="0"/>
      <w:marBottom w:val="0"/>
      <w:divBdr>
        <w:top w:val="none" w:sz="0" w:space="0" w:color="auto"/>
        <w:left w:val="none" w:sz="0" w:space="0" w:color="auto"/>
        <w:bottom w:val="none" w:sz="0" w:space="0" w:color="auto"/>
        <w:right w:val="none" w:sz="0" w:space="0" w:color="auto"/>
      </w:divBdr>
    </w:div>
    <w:div w:id="1549292340">
      <w:bodyDiv w:val="1"/>
      <w:marLeft w:val="0"/>
      <w:marRight w:val="0"/>
      <w:marTop w:val="0"/>
      <w:marBottom w:val="0"/>
      <w:divBdr>
        <w:top w:val="none" w:sz="0" w:space="0" w:color="auto"/>
        <w:left w:val="none" w:sz="0" w:space="0" w:color="auto"/>
        <w:bottom w:val="none" w:sz="0" w:space="0" w:color="auto"/>
        <w:right w:val="none" w:sz="0" w:space="0" w:color="auto"/>
      </w:divBdr>
    </w:div>
    <w:div w:id="1574122041">
      <w:bodyDiv w:val="1"/>
      <w:marLeft w:val="0"/>
      <w:marRight w:val="0"/>
      <w:marTop w:val="0"/>
      <w:marBottom w:val="0"/>
      <w:divBdr>
        <w:top w:val="none" w:sz="0" w:space="0" w:color="auto"/>
        <w:left w:val="none" w:sz="0" w:space="0" w:color="auto"/>
        <w:bottom w:val="none" w:sz="0" w:space="0" w:color="auto"/>
        <w:right w:val="none" w:sz="0" w:space="0" w:color="auto"/>
      </w:divBdr>
    </w:div>
    <w:div w:id="1716586703">
      <w:bodyDiv w:val="1"/>
      <w:marLeft w:val="0"/>
      <w:marRight w:val="0"/>
      <w:marTop w:val="0"/>
      <w:marBottom w:val="0"/>
      <w:divBdr>
        <w:top w:val="none" w:sz="0" w:space="0" w:color="auto"/>
        <w:left w:val="none" w:sz="0" w:space="0" w:color="auto"/>
        <w:bottom w:val="none" w:sz="0" w:space="0" w:color="auto"/>
        <w:right w:val="none" w:sz="0" w:space="0" w:color="auto"/>
      </w:divBdr>
    </w:div>
    <w:div w:id="1932346945">
      <w:bodyDiv w:val="1"/>
      <w:marLeft w:val="0"/>
      <w:marRight w:val="0"/>
      <w:marTop w:val="0"/>
      <w:marBottom w:val="0"/>
      <w:divBdr>
        <w:top w:val="none" w:sz="0" w:space="0" w:color="auto"/>
        <w:left w:val="none" w:sz="0" w:space="0" w:color="auto"/>
        <w:bottom w:val="none" w:sz="0" w:space="0" w:color="auto"/>
        <w:right w:val="none" w:sz="0" w:space="0" w:color="auto"/>
      </w:divBdr>
    </w:div>
    <w:div w:id="1933706947">
      <w:bodyDiv w:val="1"/>
      <w:marLeft w:val="0"/>
      <w:marRight w:val="0"/>
      <w:marTop w:val="0"/>
      <w:marBottom w:val="0"/>
      <w:divBdr>
        <w:top w:val="none" w:sz="0" w:space="0" w:color="auto"/>
        <w:left w:val="none" w:sz="0" w:space="0" w:color="auto"/>
        <w:bottom w:val="none" w:sz="0" w:space="0" w:color="auto"/>
        <w:right w:val="none" w:sz="0" w:space="0" w:color="auto"/>
      </w:divBdr>
    </w:div>
    <w:div w:id="1984040194">
      <w:bodyDiv w:val="1"/>
      <w:marLeft w:val="0"/>
      <w:marRight w:val="0"/>
      <w:marTop w:val="0"/>
      <w:marBottom w:val="0"/>
      <w:divBdr>
        <w:top w:val="none" w:sz="0" w:space="0" w:color="auto"/>
        <w:left w:val="none" w:sz="0" w:space="0" w:color="auto"/>
        <w:bottom w:val="none" w:sz="0" w:space="0" w:color="auto"/>
        <w:right w:val="none" w:sz="0" w:space="0" w:color="auto"/>
      </w:divBdr>
    </w:div>
    <w:div w:id="203884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7.e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file:///\\fs5.budget.gov\budget$\2017-18%20MYEFO\Charts%20-%20Economic\Part%202\Part%202%20-%20Iron%20ore%20prices.xlsx!Chart!%5bPart%202%20-%20Iron%20ore%20prices.xlsx%5dChart%20Chart%20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oleObject" Target="file:///\\fs5.budget.gov\budget$\2017-18%20MYEFO\Tables%20Economic\Part%202\Table%20-%20International%20GDP%20growth%20forecasts%20-%20unlinked.xlsx!Blank%20table!R2C1:R11C5" TargetMode="External"/><Relationship Id="rId19" Type="http://schemas.openxmlformats.org/officeDocument/2006/relationships/oleObject" Target="file:///\\fs5.budget.gov\budget$\2017-18%20MYEFO\Charts%20-%20Economic\Part%202\Part%202%20-%20Coal%20prices.xlsx!Chart!%5bPart%202%20-%20Coal%20prices.xlsx%5dChart%20Chart%204"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file:///\\fs5.budget.gov\budget$\2017-18%20MYEFO\Charts%20-%20Economic\Part%202\Part%202%20-%20Employment%20growth.xlsx!Charts!%5bPart%202%20-%20Employment%20growth.xlsx%5dCharts%20Chart%202" TargetMode="External"/><Relationship Id="rId22" Type="http://schemas.openxmlformats.org/officeDocument/2006/relationships/oleObject" Target="file:///\\fs5.budget.gov\budget$\2017-18%20MYEFO\Tables%20Economic\Part%202\Part%202%20-%20Table%20-%20Sensitivity%20analysis%20on%20met%20coal.xlsx!BS2%20Commodity%20Box%20sensitivities!R4C2:R7C7" TargetMode="Externa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A1955-4A8B-4B17-B85D-91044C7D9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57</TotalTime>
  <Pages>13</Pages>
  <Words>4420</Words>
  <Characters>25200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Mid-Year Economic and Fiscal Outlook 2017-18</vt:lpstr>
    </vt:vector>
  </TitlesOfParts>
  <Company>Australian Government - The Treasury</Company>
  <LinksUpToDate>false</LinksUpToDate>
  <CharactersWithSpaces>29561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2017-18</dc:title>
  <dc:subject>Part 2: Economic Outlook</dc:subject>
  <dc:creator>The Treasury</dc:creator>
  <dc:description>Part 2: Economic Outlook</dc:description>
  <cp:lastModifiedBy>Thomas, Deborah</cp:lastModifiedBy>
  <cp:revision>19</cp:revision>
  <cp:lastPrinted>2017-12-15T01:49:00Z</cp:lastPrinted>
  <dcterms:created xsi:type="dcterms:W3CDTF">2017-12-14T00:41:00Z</dcterms:created>
  <dcterms:modified xsi:type="dcterms:W3CDTF">2017-12-17T21:33:00Z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UpdateName">
    <vt:lpwstr>2017-18 MYEFO</vt:lpwstr>
  </property>
  <property fmtid="{D5CDD505-2E9C-101B-9397-08002B2CF9AE}" pid="3" name="metadataStatementName">
    <vt:lpwstr>Part 2</vt:lpwstr>
  </property>
  <property fmtid="{D5CDD505-2E9C-101B-9397-08002B2CF9AE}" pid="4" name="metadataCoordinator">
    <vt:lpwstr>James McIntyre</vt:lpwstr>
  </property>
  <property fmtid="{D5CDD505-2E9C-101B-9397-08002B2CF9AE}" pid="5" name="GlobalLastAccountabilityID">
    <vt:lpwstr>MECD_WT8</vt:lpwstr>
  </property>
</Properties>
</file>