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434412582"/>
    <w:bookmarkStart w:id="1" w:name="_Toc434412627"/>
    <w:bookmarkStart w:id="2" w:name="_Toc436316543"/>
    <w:bookmarkStart w:id="3" w:name="_GoBack"/>
    <w:bookmarkEnd w:id="3"/>
    <w:p w:rsidR="000411DC" w:rsidRPr="0042020B" w:rsidRDefault="0064570B" w:rsidP="000411DC">
      <w:pPr>
        <w:pStyle w:val="Heading1"/>
      </w:pPr>
      <w:r w:rsidRPr="0042020B">
        <w:rPr>
          <w:sz w:val="16"/>
        </w:rPr>
        <w:fldChar w:fldCharType="begin"/>
      </w:r>
      <w:r w:rsidRPr="0042020B">
        <w:rPr>
          <w:sz w:val="16"/>
        </w:rPr>
        <w:instrText xml:space="preserve"> :Start Index: </w:instrText>
      </w:r>
      <w:r w:rsidRPr="0042020B">
        <w:rPr>
          <w:sz w:val="16"/>
        </w:rPr>
        <w:fldChar w:fldCharType="end"/>
      </w:r>
      <w:r w:rsidR="00590756" w:rsidRPr="0042020B">
        <w:rPr>
          <w:sz w:val="16"/>
        </w:rPr>
        <w:fldChar w:fldCharType="begin"/>
      </w:r>
      <w:r w:rsidR="00590756" w:rsidRPr="0042020B">
        <w:rPr>
          <w:sz w:val="16"/>
        </w:rPr>
        <w:instrText xml:space="preserve"> :Accountability:|BPD_JR5|Treasury|BPD|Jonathan Rollings|Luke Spear|Cassie Leeds-Heath|x3906 </w:instrText>
      </w:r>
      <w:r w:rsidR="00590756" w:rsidRPr="0042020B">
        <w:rPr>
          <w:sz w:val="16"/>
        </w:rPr>
        <w:fldChar w:fldCharType="end"/>
      </w:r>
      <w:r w:rsidR="0023409E" w:rsidRPr="0042020B">
        <w:rPr>
          <w:sz w:val="16"/>
        </w:rPr>
        <w:fldChar w:fldCharType="begin"/>
      </w:r>
      <w:r w:rsidR="0023409E" w:rsidRPr="0042020B">
        <w:rPr>
          <w:sz w:val="16"/>
        </w:rPr>
        <w:instrText xml:space="preserve"> :Accountability:|BAB_DD1|Finance|BAB|Donna Degan|Tahsina Islam|James Martindale|6215 1795 </w:instrText>
      </w:r>
      <w:r w:rsidR="0023409E" w:rsidRPr="0042020B">
        <w:rPr>
          <w:sz w:val="16"/>
        </w:rPr>
        <w:fldChar w:fldCharType="end"/>
      </w:r>
      <w:r w:rsidR="0026755E" w:rsidRPr="0042020B">
        <w:rPr>
          <w:sz w:val="16"/>
        </w:rPr>
        <w:fldChar w:fldCharType="begin"/>
      </w:r>
      <w:r w:rsidR="0026755E" w:rsidRPr="0042020B">
        <w:rPr>
          <w:sz w:val="16"/>
        </w:rPr>
        <w:instrText xml:space="preserve"> :Accountability:|TAD_MB1|Treasury|TAD|Matthew Brine|Lan Lu|Jonathan O'Bannon|x2058 </w:instrText>
      </w:r>
      <w:r w:rsidR="0026755E" w:rsidRPr="0042020B">
        <w:rPr>
          <w:sz w:val="16"/>
        </w:rPr>
        <w:fldChar w:fldCharType="end"/>
      </w:r>
      <w:r w:rsidR="00BC1076" w:rsidRPr="0042020B">
        <w:rPr>
          <w:sz w:val="16"/>
        </w:rPr>
        <w:fldChar w:fldCharType="begin"/>
      </w:r>
      <w:r w:rsidR="00BC1076" w:rsidRPr="0042020B">
        <w:rPr>
          <w:sz w:val="16"/>
        </w:rPr>
        <w:instrText xml:space="preserve"> :Accountability:|TAD_MB2|Treasury|TAD|Matthew Brine|Amanda Hosking|Scott Richards|x2037 </w:instrText>
      </w:r>
      <w:r w:rsidR="00BC1076" w:rsidRPr="0042020B">
        <w:rPr>
          <w:sz w:val="16"/>
        </w:rPr>
        <w:fldChar w:fldCharType="end"/>
      </w:r>
      <w:r w:rsidR="003B0FBC" w:rsidRPr="0042020B">
        <w:rPr>
          <w:sz w:val="16"/>
        </w:rPr>
        <w:fldChar w:fldCharType="begin"/>
      </w:r>
      <w:r w:rsidR="003B0FBC" w:rsidRPr="0042020B">
        <w:rPr>
          <w:sz w:val="16"/>
        </w:rPr>
        <w:instrText xml:space="preserve"> :Accountability:|MMPD_JH1|Treasury|MMPD|Jim Hagan|Tanuja Doss|Genevieve Mitchell|x3591 </w:instrText>
      </w:r>
      <w:r w:rsidR="003B0FBC" w:rsidRPr="0042020B">
        <w:rPr>
          <w:sz w:val="16"/>
        </w:rPr>
        <w:fldChar w:fldCharType="end"/>
      </w:r>
      <w:r w:rsidR="003B0FBC" w:rsidRPr="0042020B">
        <w:rPr>
          <w:sz w:val="16"/>
        </w:rPr>
        <w:fldChar w:fldCharType="begin"/>
      </w:r>
      <w:r w:rsidR="003B0FBC" w:rsidRPr="0042020B">
        <w:rPr>
          <w:sz w:val="16"/>
        </w:rPr>
        <w:instrText xml:space="preserve"> :Accountability:|BPD_JR3|Treasury|BPD|Jonathan Rollings|Javier Hernandez|</w:instrText>
      </w:r>
      <w:r w:rsidR="009E5C0A" w:rsidRPr="0042020B">
        <w:rPr>
          <w:sz w:val="16"/>
        </w:rPr>
        <w:instrText>Kristina Nemet</w:instrText>
      </w:r>
      <w:r w:rsidR="003B0FBC" w:rsidRPr="0042020B">
        <w:rPr>
          <w:sz w:val="16"/>
        </w:rPr>
        <w:instrText>|</w:instrText>
      </w:r>
      <w:r w:rsidR="009E5C0A" w:rsidRPr="0042020B">
        <w:rPr>
          <w:sz w:val="16"/>
        </w:rPr>
        <w:instrText>x4110</w:instrText>
      </w:r>
      <w:r w:rsidR="003B0FBC" w:rsidRPr="0042020B">
        <w:rPr>
          <w:sz w:val="16"/>
        </w:rPr>
        <w:instrText xml:space="preserve"> </w:instrText>
      </w:r>
      <w:r w:rsidR="003B0FBC" w:rsidRPr="0042020B">
        <w:rPr>
          <w:sz w:val="16"/>
        </w:rPr>
        <w:fldChar w:fldCharType="end"/>
      </w:r>
      <w:r w:rsidR="003B0FBC" w:rsidRPr="0042020B">
        <w:rPr>
          <w:sz w:val="16"/>
        </w:rPr>
        <w:fldChar w:fldCharType="begin"/>
      </w:r>
      <w:r w:rsidR="003B0FBC" w:rsidRPr="0042020B">
        <w:rPr>
          <w:sz w:val="16"/>
        </w:rPr>
        <w:instrText xml:space="preserve"> :Accountability:|BPD_JR2|Treasury|BPD|Jonathan Rollings|Ian South|Linden Mackay|x3874 </w:instrText>
      </w:r>
      <w:r w:rsidR="003B0FBC" w:rsidRPr="0042020B">
        <w:rPr>
          <w:sz w:val="16"/>
        </w:rPr>
        <w:fldChar w:fldCharType="end"/>
      </w:r>
      <w:r w:rsidRPr="0042020B">
        <w:rPr>
          <w:sz w:val="16"/>
        </w:rPr>
        <w:fldChar w:fldCharType="begin"/>
      </w:r>
      <w:r w:rsidRPr="0042020B">
        <w:rPr>
          <w:sz w:val="16"/>
        </w:rPr>
        <w:instrText xml:space="preserve"> :Accountability:|FARM_PG1|Finance|FARM|Peter Gibson|Tony Olliffe|Niki Lee|6215 2697 </w:instrText>
      </w:r>
      <w:r w:rsidRPr="0042020B">
        <w:rPr>
          <w:sz w:val="16"/>
        </w:rPr>
        <w:fldChar w:fldCharType="end"/>
      </w:r>
      <w:r w:rsidRPr="0042020B">
        <w:rPr>
          <w:sz w:val="16"/>
        </w:rPr>
        <w:fldChar w:fldCharType="begin"/>
      </w:r>
      <w:r w:rsidRPr="0042020B">
        <w:rPr>
          <w:sz w:val="16"/>
        </w:rPr>
        <w:instrText xml:space="preserve"> :Accountability:|BPD_JR1|Treasury|BPD|Jonathan Rollings|Luke Spear|Linden Mackay|x3874 </w:instrText>
      </w:r>
      <w:r w:rsidRPr="0042020B">
        <w:rPr>
          <w:sz w:val="16"/>
        </w:rPr>
        <w:fldChar w:fldCharType="end"/>
      </w:r>
      <w:r w:rsidRPr="0042020B">
        <w:rPr>
          <w:sz w:val="16"/>
        </w:rPr>
        <w:fldChar w:fldCharType="begin"/>
      </w:r>
      <w:r w:rsidRPr="0042020B">
        <w:rPr>
          <w:sz w:val="16"/>
        </w:rPr>
        <w:instrText xml:space="preserve"> :End Index: </w:instrText>
      </w:r>
      <w:r w:rsidRPr="0042020B">
        <w:rPr>
          <w:sz w:val="16"/>
        </w:rPr>
        <w:fldChar w:fldCharType="end"/>
      </w:r>
      <w:r w:rsidR="00926393" w:rsidRPr="0042020B">
        <w:fldChar w:fldCharType="begin"/>
      </w:r>
      <w:r w:rsidR="00926393" w:rsidRPr="0042020B">
        <w:instrText xml:space="preserve"> :Start:BPD_JR1 </w:instrText>
      </w:r>
      <w:r w:rsidR="00926393" w:rsidRPr="0042020B">
        <w:fldChar w:fldCharType="end"/>
      </w:r>
      <w:r w:rsidR="000411DC" w:rsidRPr="0042020B">
        <w:t xml:space="preserve">Part 3: Fiscal </w:t>
      </w:r>
      <w:r w:rsidR="00114033" w:rsidRPr="0042020B">
        <w:t>s</w:t>
      </w:r>
      <w:r w:rsidR="000411DC" w:rsidRPr="0042020B">
        <w:t xml:space="preserve">trategy and </w:t>
      </w:r>
      <w:r w:rsidR="00114033" w:rsidRPr="0042020B">
        <w:t>o</w:t>
      </w:r>
      <w:r w:rsidR="000411DC" w:rsidRPr="0042020B">
        <w:t>utlook</w:t>
      </w:r>
      <w:bookmarkEnd w:id="0"/>
      <w:bookmarkEnd w:id="1"/>
      <w:bookmarkEnd w:id="2"/>
    </w:p>
    <w:p w:rsidR="000411DC" w:rsidRPr="0042020B" w:rsidRDefault="000411DC" w:rsidP="000411DC">
      <w:pPr>
        <w:pStyle w:val="Heading2noTOC"/>
        <w:rPr>
          <w:color w:val="auto"/>
        </w:rPr>
      </w:pPr>
      <w:bookmarkStart w:id="4" w:name="_Toc434412583"/>
      <w:bookmarkStart w:id="5" w:name="_Toc434412628"/>
      <w:bookmarkStart w:id="6" w:name="_Toc436316544"/>
      <w:r w:rsidRPr="0042020B">
        <w:rPr>
          <w:color w:val="auto"/>
        </w:rPr>
        <w:t>Overview</w:t>
      </w:r>
      <w:bookmarkEnd w:id="4"/>
      <w:bookmarkEnd w:id="5"/>
      <w:bookmarkEnd w:id="6"/>
    </w:p>
    <w:p w:rsidR="000411DC" w:rsidRPr="0042020B" w:rsidRDefault="000411DC" w:rsidP="000411DC">
      <w:r w:rsidRPr="0042020B">
        <w:t xml:space="preserve">The fiscal position is forecast to maintain an improving trajectory over the forward estimates period, consistent with the Government’s commitment to </w:t>
      </w:r>
      <w:r w:rsidR="0066306D" w:rsidRPr="0042020B">
        <w:t>responsible budget repair and strengthening the Government’s balance sheet over time</w:t>
      </w:r>
      <w:r w:rsidRPr="0042020B">
        <w:t xml:space="preserve">. In line with the </w:t>
      </w:r>
      <w:r w:rsidR="000F5D7C" w:rsidRPr="0042020B">
        <w:t>2017</w:t>
      </w:r>
      <w:r w:rsidR="000F5D7C" w:rsidRPr="0042020B">
        <w:noBreakHyphen/>
        <w:t>18 Budget</w:t>
      </w:r>
      <w:r w:rsidRPr="0042020B">
        <w:t>, the underlying cash balance is projected to return to surplus in 2020</w:t>
      </w:r>
      <w:r w:rsidR="00FB4A10" w:rsidRPr="0042020B">
        <w:noBreakHyphen/>
      </w:r>
      <w:r w:rsidRPr="0042020B">
        <w:t>21.</w:t>
      </w:r>
    </w:p>
    <w:p w:rsidR="00CF0EBC" w:rsidRPr="0042020B" w:rsidRDefault="00A103B5" w:rsidP="000411DC">
      <w:r w:rsidRPr="0042020B">
        <w:t>Reflecting</w:t>
      </w:r>
      <w:r w:rsidR="002F62BE" w:rsidRPr="0042020B">
        <w:t xml:space="preserve"> prudent fiscal management</w:t>
      </w:r>
      <w:r w:rsidR="00544BF0" w:rsidRPr="0042020B">
        <w:t>, t</w:t>
      </w:r>
      <w:r w:rsidR="000411DC" w:rsidRPr="0042020B">
        <w:t xml:space="preserve">he underlying cash </w:t>
      </w:r>
      <w:r w:rsidR="00CF0EBC" w:rsidRPr="0042020B">
        <w:t>balance is expected t</w:t>
      </w:r>
      <w:r w:rsidR="000411DC" w:rsidRPr="0042020B">
        <w:t xml:space="preserve">o </w:t>
      </w:r>
      <w:r w:rsidR="00CF0EBC" w:rsidRPr="0042020B">
        <w:t>improve</w:t>
      </w:r>
      <w:r w:rsidR="000411DC" w:rsidRPr="0042020B">
        <w:t xml:space="preserve"> from</w:t>
      </w:r>
      <w:r w:rsidR="00CF0EBC" w:rsidRPr="0042020B">
        <w:t xml:space="preserve"> a deficit of</w:t>
      </w:r>
      <w:r w:rsidR="000411DC" w:rsidRPr="0042020B">
        <w:t xml:space="preserve"> $</w:t>
      </w:r>
      <w:r w:rsidR="002E30A0" w:rsidRPr="0042020B">
        <w:t>23.6</w:t>
      </w:r>
      <w:r w:rsidR="00AB7DEB" w:rsidRPr="0042020B">
        <w:t> billion</w:t>
      </w:r>
      <w:r w:rsidR="000411DC" w:rsidRPr="0042020B">
        <w:t xml:space="preserve"> (</w:t>
      </w:r>
      <w:r w:rsidR="002E30A0" w:rsidRPr="0042020B">
        <w:t>1.3</w:t>
      </w:r>
      <w:r w:rsidR="00AE7AF3" w:rsidRPr="0042020B">
        <w:t> per cent</w:t>
      </w:r>
      <w:r w:rsidR="000411DC" w:rsidRPr="0042020B">
        <w:t xml:space="preserve"> of GDP) in 201</w:t>
      </w:r>
      <w:r w:rsidR="00CF0EBC" w:rsidRPr="0042020B">
        <w:t>7</w:t>
      </w:r>
      <w:r w:rsidR="00FB4A10" w:rsidRPr="0042020B">
        <w:noBreakHyphen/>
      </w:r>
      <w:r w:rsidR="000411DC" w:rsidRPr="0042020B">
        <w:t>1</w:t>
      </w:r>
      <w:r w:rsidR="00CF0EBC" w:rsidRPr="0042020B">
        <w:t>8</w:t>
      </w:r>
      <w:r w:rsidR="000411DC" w:rsidRPr="0042020B">
        <w:t xml:space="preserve"> to </w:t>
      </w:r>
      <w:r w:rsidR="00CF0EBC" w:rsidRPr="0042020B">
        <w:t xml:space="preserve">a surplus of </w:t>
      </w:r>
      <w:r w:rsidR="000411DC" w:rsidRPr="0042020B">
        <w:t>$</w:t>
      </w:r>
      <w:r w:rsidR="002E30A0" w:rsidRPr="0042020B">
        <w:t>10.2</w:t>
      </w:r>
      <w:r w:rsidR="00AB7DEB" w:rsidRPr="0042020B">
        <w:t> billion</w:t>
      </w:r>
      <w:r w:rsidR="000411DC" w:rsidRPr="0042020B">
        <w:t xml:space="preserve"> (</w:t>
      </w:r>
      <w:r w:rsidR="002E30A0" w:rsidRPr="0042020B">
        <w:t>0.5</w:t>
      </w:r>
      <w:r w:rsidR="00AE7AF3" w:rsidRPr="0042020B">
        <w:t> per cent</w:t>
      </w:r>
      <w:r w:rsidR="000411DC" w:rsidRPr="0042020B">
        <w:t xml:space="preserve"> of GDP) in 20</w:t>
      </w:r>
      <w:r w:rsidR="00CF0EBC" w:rsidRPr="0042020B">
        <w:t>20</w:t>
      </w:r>
      <w:r w:rsidR="00FB4A10" w:rsidRPr="0042020B">
        <w:noBreakHyphen/>
      </w:r>
      <w:r w:rsidR="000411DC" w:rsidRPr="0042020B">
        <w:t>2</w:t>
      </w:r>
      <w:r w:rsidR="00CF0EBC" w:rsidRPr="0042020B">
        <w:t>1</w:t>
      </w:r>
      <w:r w:rsidR="00E874FB" w:rsidRPr="0042020B">
        <w:t>.</w:t>
      </w:r>
      <w:r w:rsidR="0083186A" w:rsidRPr="0042020B">
        <w:t xml:space="preserve"> </w:t>
      </w:r>
      <w:r w:rsidR="00590756" w:rsidRPr="0042020B">
        <w:fldChar w:fldCharType="begin"/>
      </w:r>
      <w:r w:rsidR="00590756" w:rsidRPr="0042020B">
        <w:instrText xml:space="preserve"> :End:BPD_JR1 </w:instrText>
      </w:r>
      <w:r w:rsidR="00590756" w:rsidRPr="0042020B">
        <w:fldChar w:fldCharType="end"/>
      </w:r>
      <w:r w:rsidR="00590756" w:rsidRPr="0042020B">
        <w:fldChar w:fldCharType="begin"/>
      </w:r>
      <w:r w:rsidR="00590756" w:rsidRPr="0042020B">
        <w:instrText xml:space="preserve"> :Start:BPD_JR3 </w:instrText>
      </w:r>
      <w:r w:rsidR="00590756" w:rsidRPr="0042020B">
        <w:fldChar w:fldCharType="end"/>
      </w:r>
      <w:r w:rsidR="0084561E" w:rsidRPr="0042020B">
        <w:t>Over the medium term, the underlying cash balance is projected to peak at 0.5 per cent of GDP in 2026</w:t>
      </w:r>
      <w:r w:rsidR="00FB4A10" w:rsidRPr="0042020B">
        <w:noBreakHyphen/>
      </w:r>
      <w:r w:rsidR="0084561E" w:rsidRPr="0042020B">
        <w:t>27, before moderating to 0.4 per cent of GDP by 2027</w:t>
      </w:r>
      <w:r w:rsidR="00FB4A10" w:rsidRPr="0042020B">
        <w:noBreakHyphen/>
      </w:r>
      <w:r w:rsidR="0084561E" w:rsidRPr="0042020B">
        <w:t>28.</w:t>
      </w:r>
      <w:r w:rsidR="0064570B" w:rsidRPr="0042020B">
        <w:fldChar w:fldCharType="begin"/>
      </w:r>
      <w:r w:rsidR="0064570B" w:rsidRPr="0042020B">
        <w:instrText xml:space="preserve"> :End:BPD_JR</w:instrText>
      </w:r>
      <w:r w:rsidR="00590756" w:rsidRPr="0042020B">
        <w:instrText>3</w:instrText>
      </w:r>
      <w:r w:rsidR="0064570B" w:rsidRPr="0042020B">
        <w:instrText xml:space="preserve"> </w:instrText>
      </w:r>
      <w:r w:rsidR="0064570B" w:rsidRPr="0042020B">
        <w:fldChar w:fldCharType="end"/>
      </w:r>
    </w:p>
    <w:p w:rsidR="000411DC" w:rsidRPr="0042020B" w:rsidRDefault="00926393" w:rsidP="000411DC">
      <w:r w:rsidRPr="0042020B">
        <w:fldChar w:fldCharType="begin"/>
      </w:r>
      <w:r w:rsidRPr="0042020B">
        <w:instrText xml:space="preserve"> :Start:BPD_JR1 </w:instrText>
      </w:r>
      <w:r w:rsidRPr="0042020B">
        <w:fldChar w:fldCharType="end"/>
      </w:r>
      <w:r w:rsidR="00CF0EBC" w:rsidRPr="0042020B">
        <w:t>T</w:t>
      </w:r>
      <w:r w:rsidR="000411DC" w:rsidRPr="0042020B">
        <w:t xml:space="preserve">he </w:t>
      </w:r>
      <w:r w:rsidR="00CF0EBC" w:rsidRPr="0042020B">
        <w:t>net operating balance</w:t>
      </w:r>
      <w:r w:rsidR="000411DC" w:rsidRPr="0042020B">
        <w:t xml:space="preserve"> is </w:t>
      </w:r>
      <w:r w:rsidR="00CF0EBC" w:rsidRPr="0042020B">
        <w:t xml:space="preserve">also </w:t>
      </w:r>
      <w:r w:rsidR="000411DC" w:rsidRPr="0042020B">
        <w:t>expected to improve from</w:t>
      </w:r>
      <w:r w:rsidR="00CF0EBC" w:rsidRPr="0042020B">
        <w:t xml:space="preserve"> a deficit of </w:t>
      </w:r>
      <w:r w:rsidR="000411DC" w:rsidRPr="0042020B">
        <w:t>$</w:t>
      </w:r>
      <w:r w:rsidR="002E30A0" w:rsidRPr="0042020B">
        <w:t>18.2</w:t>
      </w:r>
      <w:r w:rsidR="00AB7DEB" w:rsidRPr="0042020B">
        <w:t> billion</w:t>
      </w:r>
      <w:r w:rsidR="000411DC" w:rsidRPr="0042020B">
        <w:t xml:space="preserve"> (</w:t>
      </w:r>
      <w:r w:rsidR="002E30A0" w:rsidRPr="0042020B">
        <w:t>1.0</w:t>
      </w:r>
      <w:r w:rsidR="00AE7AF3" w:rsidRPr="0042020B">
        <w:t> per cent</w:t>
      </w:r>
      <w:r w:rsidR="000411DC" w:rsidRPr="0042020B">
        <w:t xml:space="preserve"> of GDP) in 201</w:t>
      </w:r>
      <w:r w:rsidR="00CF0EBC" w:rsidRPr="0042020B">
        <w:t>7</w:t>
      </w:r>
      <w:r w:rsidR="00FB4A10" w:rsidRPr="0042020B">
        <w:noBreakHyphen/>
      </w:r>
      <w:r w:rsidR="000411DC" w:rsidRPr="0042020B">
        <w:t>1</w:t>
      </w:r>
      <w:r w:rsidR="00ED32BE" w:rsidRPr="0042020B">
        <w:t xml:space="preserve">8 </w:t>
      </w:r>
      <w:r w:rsidR="00CF0EBC" w:rsidRPr="0042020B">
        <w:t xml:space="preserve">to projected surpluses of </w:t>
      </w:r>
      <w:r w:rsidR="000411DC" w:rsidRPr="0042020B">
        <w:t>$</w:t>
      </w:r>
      <w:r w:rsidR="002E30A0" w:rsidRPr="0042020B">
        <w:t>6.8</w:t>
      </w:r>
      <w:r w:rsidR="00AB7DEB" w:rsidRPr="0042020B">
        <w:t> billion</w:t>
      </w:r>
      <w:r w:rsidR="000411DC" w:rsidRPr="0042020B">
        <w:t xml:space="preserve"> (</w:t>
      </w:r>
      <w:r w:rsidR="002E30A0" w:rsidRPr="0042020B">
        <w:t>0.3</w:t>
      </w:r>
      <w:r w:rsidR="00AE7AF3" w:rsidRPr="0042020B">
        <w:t> per cent</w:t>
      </w:r>
      <w:r w:rsidR="00816CFE" w:rsidRPr="0042020B">
        <w:t> of </w:t>
      </w:r>
      <w:r w:rsidR="000411DC" w:rsidRPr="0042020B">
        <w:t>GDP) in 2019</w:t>
      </w:r>
      <w:r w:rsidR="00FB4A10" w:rsidRPr="0042020B">
        <w:noBreakHyphen/>
      </w:r>
      <w:r w:rsidR="000411DC" w:rsidRPr="0042020B">
        <w:t xml:space="preserve">20 </w:t>
      </w:r>
      <w:r w:rsidR="00CF0EBC" w:rsidRPr="0042020B">
        <w:t>and $</w:t>
      </w:r>
      <w:r w:rsidR="002E30A0" w:rsidRPr="0042020B">
        <w:t>20.9</w:t>
      </w:r>
      <w:r w:rsidR="00AB7DEB" w:rsidRPr="0042020B">
        <w:t> billion</w:t>
      </w:r>
      <w:r w:rsidR="00CF0EBC" w:rsidRPr="0042020B">
        <w:t xml:space="preserve"> (</w:t>
      </w:r>
      <w:r w:rsidR="002E30A0" w:rsidRPr="0042020B">
        <w:t>1.0</w:t>
      </w:r>
      <w:r w:rsidR="00AE7AF3" w:rsidRPr="0042020B">
        <w:t> per cent</w:t>
      </w:r>
      <w:r w:rsidR="00CF0EBC" w:rsidRPr="0042020B">
        <w:t xml:space="preserve"> of GDP)</w:t>
      </w:r>
      <w:r w:rsidR="007A371C" w:rsidRPr="0042020B">
        <w:t xml:space="preserve"> in 2020</w:t>
      </w:r>
      <w:r w:rsidR="00FB4A10" w:rsidRPr="0042020B">
        <w:noBreakHyphen/>
      </w:r>
      <w:r w:rsidR="00CF0EBC" w:rsidRPr="0042020B">
        <w:t>21, as</w:t>
      </w:r>
      <w:r w:rsidR="00216546" w:rsidRPr="0042020B">
        <w:t> </w:t>
      </w:r>
      <w:r w:rsidR="00CF0EBC" w:rsidRPr="0042020B">
        <w:t xml:space="preserve">shown in </w:t>
      </w:r>
      <w:r w:rsidR="003602A0" w:rsidRPr="0042020B">
        <w:t>Table </w:t>
      </w:r>
      <w:r w:rsidR="000411DC" w:rsidRPr="0042020B">
        <w:t>3.</w:t>
      </w:r>
      <w:r w:rsidR="00653616" w:rsidRPr="0042020B">
        <w:t>1.</w:t>
      </w:r>
      <w:r w:rsidR="00590756" w:rsidRPr="0042020B">
        <w:fldChar w:fldCharType="begin"/>
      </w:r>
      <w:r w:rsidR="00590756" w:rsidRPr="0042020B">
        <w:instrText xml:space="preserve"> :End:BPD_JR1 </w:instrText>
      </w:r>
      <w:r w:rsidR="00590756" w:rsidRPr="0042020B">
        <w:fldChar w:fldCharType="end"/>
      </w:r>
    </w:p>
    <w:p w:rsidR="000411DC" w:rsidRPr="0042020B" w:rsidRDefault="003B0FBC" w:rsidP="00B871FA">
      <w:pPr>
        <w:pStyle w:val="TableHeading"/>
      </w:pPr>
      <w:r w:rsidRPr="0042020B">
        <w:fldChar w:fldCharType="begin"/>
      </w:r>
      <w:r w:rsidRPr="0042020B">
        <w:instrText xml:space="preserve"> :Start:FARM_PG1 </w:instrText>
      </w:r>
      <w:r w:rsidRPr="0042020B">
        <w:fldChar w:fldCharType="end"/>
      </w:r>
      <w:r w:rsidR="00CF0EBC" w:rsidRPr="0042020B">
        <w:t>Table 3.</w:t>
      </w:r>
      <w:r w:rsidR="00D316A5" w:rsidRPr="0042020B">
        <w:t>1</w:t>
      </w:r>
      <w:r w:rsidR="000411DC" w:rsidRPr="0042020B">
        <w:t>: Budget aggregates</w:t>
      </w:r>
    </w:p>
    <w:p w:rsidR="000411DC" w:rsidRPr="0042020B" w:rsidRDefault="00C4489A" w:rsidP="00F350C5">
      <w:pPr>
        <w:pStyle w:val="TableGraphic"/>
      </w:pPr>
      <w:r w:rsidRPr="0042020B">
        <w:object w:dxaOrig="7727" w:dyaOrig="36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6.3pt;height:180.3pt" o:ole="">
            <v:imagedata r:id="rId9" o:title=""/>
          </v:shape>
          <o:OLEObject Type="Link" ProgID="Excel.SheetMacroEnabled.12" ShapeID="_x0000_i1025" DrawAspect="Content" r:id="rId10" UpdateMode="Always">
            <o:LinkType>EnhancedMetaFile</o:LinkType>
            <o:LockedField/>
          </o:OLEObject>
        </w:object>
      </w:r>
    </w:p>
    <w:p w:rsidR="000411DC" w:rsidRPr="0042020B" w:rsidRDefault="000411DC" w:rsidP="00337498">
      <w:pPr>
        <w:pStyle w:val="ChartandTableFootnoteAlpha"/>
        <w:numPr>
          <w:ilvl w:val="0"/>
          <w:numId w:val="16"/>
        </w:numPr>
        <w:rPr>
          <w:color w:val="auto"/>
        </w:rPr>
      </w:pPr>
      <w:r w:rsidRPr="0042020B">
        <w:rPr>
          <w:color w:val="auto"/>
        </w:rPr>
        <w:t xml:space="preserve">Excludes expected </w:t>
      </w:r>
      <w:r w:rsidR="00204D8C" w:rsidRPr="0042020B">
        <w:rPr>
          <w:color w:val="auto"/>
        </w:rPr>
        <w:t xml:space="preserve">net </w:t>
      </w:r>
      <w:r w:rsidRPr="0042020B">
        <w:rPr>
          <w:color w:val="auto"/>
        </w:rPr>
        <w:t>Future Fund earnings</w:t>
      </w:r>
      <w:r w:rsidR="00CF0EBC" w:rsidRPr="0042020B">
        <w:rPr>
          <w:color w:val="auto"/>
        </w:rPr>
        <w:t xml:space="preserve"> before 2020</w:t>
      </w:r>
      <w:r w:rsidR="00FB4A10" w:rsidRPr="0042020B">
        <w:rPr>
          <w:color w:val="auto"/>
        </w:rPr>
        <w:noBreakHyphen/>
      </w:r>
      <w:r w:rsidR="00CF0EBC" w:rsidRPr="0042020B">
        <w:rPr>
          <w:color w:val="auto"/>
        </w:rPr>
        <w:t>21</w:t>
      </w:r>
      <w:r w:rsidRPr="0042020B">
        <w:rPr>
          <w:color w:val="auto"/>
        </w:rPr>
        <w:t>.</w:t>
      </w:r>
      <w:r w:rsidR="003B0FBC" w:rsidRPr="0042020B">
        <w:rPr>
          <w:color w:val="auto"/>
        </w:rPr>
        <w:t xml:space="preserve"> </w:t>
      </w:r>
      <w:r w:rsidR="003B0FBC" w:rsidRPr="0042020B">
        <w:rPr>
          <w:color w:val="auto"/>
        </w:rPr>
        <w:fldChar w:fldCharType="begin"/>
      </w:r>
      <w:r w:rsidR="003B0FBC" w:rsidRPr="0042020B">
        <w:rPr>
          <w:color w:val="auto"/>
        </w:rPr>
        <w:instrText xml:space="preserve"> :End:FARM_PG1 </w:instrText>
      </w:r>
      <w:r w:rsidR="003B0FBC" w:rsidRPr="0042020B">
        <w:rPr>
          <w:color w:val="auto"/>
        </w:rPr>
        <w:fldChar w:fldCharType="end"/>
      </w:r>
    </w:p>
    <w:p w:rsidR="000411DC" w:rsidRPr="0042020B" w:rsidRDefault="000411DC" w:rsidP="000411DC">
      <w:pPr>
        <w:pStyle w:val="SingleParagraph"/>
      </w:pPr>
      <w:bookmarkStart w:id="7" w:name="_Toc434412584"/>
      <w:bookmarkStart w:id="8" w:name="_Toc434412629"/>
      <w:bookmarkStart w:id="9" w:name="_Toc436316545"/>
    </w:p>
    <w:p w:rsidR="000411DC" w:rsidRPr="0042020B" w:rsidRDefault="00590756" w:rsidP="000411DC">
      <w:r w:rsidRPr="0042020B">
        <w:fldChar w:fldCharType="begin"/>
      </w:r>
      <w:r w:rsidRPr="0042020B">
        <w:instrText xml:space="preserve"> :Start:BPD_JR1 </w:instrText>
      </w:r>
      <w:r w:rsidRPr="0042020B">
        <w:fldChar w:fldCharType="end"/>
      </w:r>
      <w:r w:rsidR="00544BF0" w:rsidRPr="0042020B">
        <w:t>The Government ha</w:t>
      </w:r>
      <w:r w:rsidR="0083186A" w:rsidRPr="0042020B">
        <w:t xml:space="preserve">s </w:t>
      </w:r>
      <w:r w:rsidR="00544BF0" w:rsidRPr="0042020B">
        <w:t xml:space="preserve">continued </w:t>
      </w:r>
      <w:r w:rsidR="003B73AC" w:rsidRPr="0042020B">
        <w:t>to focus on</w:t>
      </w:r>
      <w:r w:rsidR="00544BF0" w:rsidRPr="0042020B">
        <w:t xml:space="preserve"> controlling </w:t>
      </w:r>
      <w:r w:rsidR="0083186A" w:rsidRPr="0042020B">
        <w:t xml:space="preserve">expenditure. </w:t>
      </w:r>
      <w:r w:rsidR="00C12E49" w:rsidRPr="0042020B">
        <w:t>N</w:t>
      </w:r>
      <w:r w:rsidR="0083186A" w:rsidRPr="0042020B">
        <w:t>ominal payments over the four years to 2020</w:t>
      </w:r>
      <w:r w:rsidR="00FB4A10" w:rsidRPr="0042020B">
        <w:noBreakHyphen/>
      </w:r>
      <w:r w:rsidR="0083186A" w:rsidRPr="0042020B">
        <w:t>21</w:t>
      </w:r>
      <w:r w:rsidR="00C12E49" w:rsidRPr="0042020B">
        <w:t xml:space="preserve"> are now expected to be $</w:t>
      </w:r>
      <w:r w:rsidR="002E30A0" w:rsidRPr="0042020B">
        <w:t>6.5</w:t>
      </w:r>
      <w:r w:rsidR="00AB7DEB" w:rsidRPr="0042020B">
        <w:t> billion</w:t>
      </w:r>
      <w:r w:rsidR="00C12E49" w:rsidRPr="0042020B">
        <w:t xml:space="preserve"> </w:t>
      </w:r>
      <w:r w:rsidR="002E30A0" w:rsidRPr="0042020B">
        <w:t>lower</w:t>
      </w:r>
      <w:r w:rsidR="00C12E49" w:rsidRPr="0042020B">
        <w:t xml:space="preserve"> than anticipated at the </w:t>
      </w:r>
      <w:r w:rsidR="000F5D7C" w:rsidRPr="0042020B">
        <w:t>2017</w:t>
      </w:r>
      <w:r w:rsidR="000F5D7C" w:rsidRPr="0042020B">
        <w:noBreakHyphen/>
        <w:t>18 Budget</w:t>
      </w:r>
      <w:r w:rsidR="0083186A" w:rsidRPr="0042020B">
        <w:t>.</w:t>
      </w:r>
      <w:r w:rsidR="00EB7409" w:rsidRPr="0042020B">
        <w:t xml:space="preserve"> </w:t>
      </w:r>
      <w:r w:rsidR="00EB7409" w:rsidRPr="0042020B">
        <w:fldChar w:fldCharType="begin"/>
      </w:r>
      <w:r w:rsidR="00EB7409" w:rsidRPr="0042020B">
        <w:instrText xml:space="preserve"> :End:BPD_JR1 </w:instrText>
      </w:r>
      <w:r w:rsidR="00EB7409" w:rsidRPr="0042020B">
        <w:fldChar w:fldCharType="end"/>
      </w:r>
      <w:r w:rsidR="00EB7409" w:rsidRPr="0042020B">
        <w:fldChar w:fldCharType="begin"/>
      </w:r>
      <w:r w:rsidR="00EB7409" w:rsidRPr="0042020B">
        <w:instrText xml:space="preserve"> :Start:BAB_DD1 </w:instrText>
      </w:r>
      <w:r w:rsidR="00EB7409" w:rsidRPr="0042020B">
        <w:fldChar w:fldCharType="end"/>
      </w:r>
      <w:r w:rsidR="0083186A" w:rsidRPr="0042020B">
        <w:t>Taking</w:t>
      </w:r>
      <w:r w:rsidR="00C12E49" w:rsidRPr="0042020B">
        <w:t xml:space="preserve"> account of Senate </w:t>
      </w:r>
      <w:r w:rsidR="00FD6BBB" w:rsidRPr="0042020B">
        <w:t>positions</w:t>
      </w:r>
      <w:r w:rsidR="001A2246" w:rsidRPr="0042020B">
        <w:t>,</w:t>
      </w:r>
      <w:r w:rsidR="0083186A" w:rsidRPr="0042020B">
        <w:t xml:space="preserve"> all new spending has been</w:t>
      </w:r>
      <w:r w:rsidR="00EA35B1" w:rsidRPr="0042020B">
        <w:t xml:space="preserve"> more than</w:t>
      </w:r>
      <w:r w:rsidR="0083186A" w:rsidRPr="0042020B">
        <w:t xml:space="preserve"> offset,</w:t>
      </w:r>
      <w:r w:rsidR="00EB7409" w:rsidRPr="0042020B">
        <w:fldChar w:fldCharType="begin"/>
      </w:r>
      <w:r w:rsidR="00EB7409" w:rsidRPr="0042020B">
        <w:instrText xml:space="preserve"> :End:BAB_DD1 </w:instrText>
      </w:r>
      <w:r w:rsidR="00EB7409" w:rsidRPr="0042020B">
        <w:fldChar w:fldCharType="end"/>
      </w:r>
      <w:r w:rsidR="0083186A" w:rsidRPr="0042020B">
        <w:t xml:space="preserve"> </w:t>
      </w:r>
      <w:r w:rsidR="00EB7409" w:rsidRPr="0042020B">
        <w:fldChar w:fldCharType="begin"/>
      </w:r>
      <w:r w:rsidR="00EB7409" w:rsidRPr="0042020B">
        <w:instrText xml:space="preserve"> :Start:BPD_JR1 </w:instrText>
      </w:r>
      <w:r w:rsidR="00EB7409" w:rsidRPr="0042020B">
        <w:fldChar w:fldCharType="end"/>
      </w:r>
      <w:r w:rsidR="0083186A" w:rsidRPr="0042020B">
        <w:t xml:space="preserve">consistent with the Government’s </w:t>
      </w:r>
      <w:r w:rsidR="003811F9" w:rsidRPr="0042020B">
        <w:t>fiscal strategy.</w:t>
      </w:r>
    </w:p>
    <w:p w:rsidR="00CE4140" w:rsidRPr="0042020B" w:rsidRDefault="00D316A5" w:rsidP="000411DC">
      <w:r w:rsidRPr="0042020B">
        <w:br w:type="page"/>
      </w:r>
      <w:r w:rsidR="00CE4140" w:rsidRPr="0042020B">
        <w:lastRenderedPageBreak/>
        <w:t xml:space="preserve">Economic parameter and other variations since the </w:t>
      </w:r>
      <w:r w:rsidR="000F5D7C" w:rsidRPr="0042020B">
        <w:t>2017</w:t>
      </w:r>
      <w:r w:rsidR="000F5D7C" w:rsidRPr="0042020B">
        <w:noBreakHyphen/>
        <w:t>18 Budget</w:t>
      </w:r>
      <w:r w:rsidR="00CE4140" w:rsidRPr="0042020B">
        <w:t xml:space="preserve"> have contributed to a $</w:t>
      </w:r>
      <w:r w:rsidR="002E30A0" w:rsidRPr="0042020B">
        <w:t>2.4</w:t>
      </w:r>
      <w:r w:rsidR="00CE4140" w:rsidRPr="0042020B">
        <w:t xml:space="preserve"> billion </w:t>
      </w:r>
      <w:r w:rsidR="002E30A0" w:rsidRPr="0042020B">
        <w:t>upward</w:t>
      </w:r>
      <w:r w:rsidR="00CE4140" w:rsidRPr="0042020B">
        <w:t xml:space="preserve"> revision to total receipts over the four</w:t>
      </w:r>
      <w:r w:rsidRPr="0042020B">
        <w:t> </w:t>
      </w:r>
      <w:r w:rsidR="00CE4140" w:rsidRPr="0042020B">
        <w:t>years to 2020</w:t>
      </w:r>
      <w:r w:rsidR="00FB4A10" w:rsidRPr="0042020B">
        <w:noBreakHyphen/>
      </w:r>
      <w:r w:rsidR="00CE4140" w:rsidRPr="0042020B">
        <w:t xml:space="preserve">21. </w:t>
      </w:r>
      <w:r w:rsidR="00590756" w:rsidRPr="0042020B">
        <w:fldChar w:fldCharType="begin"/>
      </w:r>
      <w:r w:rsidR="00590756" w:rsidRPr="0042020B">
        <w:instrText xml:space="preserve"> :End:BPD_JR1 </w:instrText>
      </w:r>
      <w:r w:rsidR="00590756" w:rsidRPr="0042020B">
        <w:fldChar w:fldCharType="end"/>
      </w:r>
      <w:r w:rsidR="00CC099A" w:rsidRPr="0042020B">
        <w:fldChar w:fldCharType="begin"/>
      </w:r>
      <w:r w:rsidR="00CC099A" w:rsidRPr="0042020B">
        <w:instrText xml:space="preserve"> :Start:TAD_MB1 </w:instrText>
      </w:r>
      <w:r w:rsidR="00CC099A" w:rsidRPr="0042020B">
        <w:fldChar w:fldCharType="end"/>
      </w:r>
      <w:r w:rsidR="00CE4140" w:rsidRPr="0042020B">
        <w:t>Stronger</w:t>
      </w:r>
      <w:r w:rsidR="00FB4A10" w:rsidRPr="0042020B">
        <w:noBreakHyphen/>
      </w:r>
      <w:r w:rsidR="00CE4140" w:rsidRPr="0042020B">
        <w:t>than</w:t>
      </w:r>
      <w:r w:rsidR="00FB4A10" w:rsidRPr="0042020B">
        <w:noBreakHyphen/>
      </w:r>
      <w:r w:rsidR="00CE4140" w:rsidRPr="0042020B">
        <w:t>expected company and superannuation fund taxes collections since Budget are largely offset by weaker forecasts for individuals income tax receipts.</w:t>
      </w:r>
      <w:r w:rsidR="00CC099A" w:rsidRPr="0042020B">
        <w:fldChar w:fldCharType="begin"/>
      </w:r>
      <w:r w:rsidR="00CC099A" w:rsidRPr="0042020B">
        <w:instrText xml:space="preserve"> :End:TAD_MB1 </w:instrText>
      </w:r>
      <w:r w:rsidR="00CC099A" w:rsidRPr="0042020B">
        <w:fldChar w:fldCharType="end"/>
      </w:r>
    </w:p>
    <w:p w:rsidR="000411DC" w:rsidRPr="0042020B" w:rsidRDefault="0064570B" w:rsidP="000411DC">
      <w:pPr>
        <w:pStyle w:val="Heading2noTOC"/>
        <w:rPr>
          <w:color w:val="auto"/>
        </w:rPr>
      </w:pPr>
      <w:r w:rsidRPr="0042020B">
        <w:rPr>
          <w:color w:val="auto"/>
        </w:rPr>
        <w:fldChar w:fldCharType="begin"/>
      </w:r>
      <w:r w:rsidRPr="0042020B">
        <w:rPr>
          <w:color w:val="auto"/>
        </w:rPr>
        <w:instrText xml:space="preserve"> :Start:BPD_JR1 </w:instrText>
      </w:r>
      <w:r w:rsidRPr="0042020B">
        <w:rPr>
          <w:color w:val="auto"/>
        </w:rPr>
        <w:fldChar w:fldCharType="end"/>
      </w:r>
      <w:r w:rsidR="000411DC" w:rsidRPr="0042020B">
        <w:rPr>
          <w:color w:val="auto"/>
        </w:rPr>
        <w:t xml:space="preserve">Fiscal </w:t>
      </w:r>
      <w:r w:rsidR="00114033" w:rsidRPr="0042020B">
        <w:rPr>
          <w:color w:val="auto"/>
        </w:rPr>
        <w:t>s</w:t>
      </w:r>
      <w:r w:rsidR="000411DC" w:rsidRPr="0042020B">
        <w:rPr>
          <w:color w:val="auto"/>
        </w:rPr>
        <w:t>trategy</w:t>
      </w:r>
      <w:bookmarkEnd w:id="7"/>
      <w:bookmarkEnd w:id="8"/>
      <w:bookmarkEnd w:id="9"/>
    </w:p>
    <w:p w:rsidR="000411DC" w:rsidRPr="0042020B" w:rsidRDefault="000411DC" w:rsidP="000411DC">
      <w:pPr>
        <w:pStyle w:val="Heading3"/>
      </w:pPr>
      <w:r w:rsidRPr="0042020B">
        <w:t xml:space="preserve">Returning the budget to </w:t>
      </w:r>
      <w:r w:rsidR="00287E1B" w:rsidRPr="0042020B">
        <w:t>balance</w:t>
      </w:r>
    </w:p>
    <w:p w:rsidR="00C76F3F" w:rsidRPr="0042020B" w:rsidRDefault="005C4155" w:rsidP="000411DC">
      <w:r w:rsidRPr="0042020B">
        <w:t xml:space="preserve">The </w:t>
      </w:r>
      <w:r w:rsidR="008377C0" w:rsidRPr="0042020B">
        <w:t xml:space="preserve">Government remains committed to returning the budget </w:t>
      </w:r>
      <w:r w:rsidR="0016642A" w:rsidRPr="0042020B">
        <w:t xml:space="preserve">to </w:t>
      </w:r>
      <w:r w:rsidR="008377C0" w:rsidRPr="0042020B">
        <w:t>a sustainable surplus as soon as possible</w:t>
      </w:r>
      <w:r w:rsidR="00C76F3F" w:rsidRPr="0042020B">
        <w:t>. Continued discipline to offset new expenditure and pass existing budget repair measures is needed to consolidate the budget and to lower government debt.</w:t>
      </w:r>
    </w:p>
    <w:p w:rsidR="004D3C8E" w:rsidRPr="0042020B" w:rsidRDefault="00C66B88" w:rsidP="00C66B88">
      <w:r w:rsidRPr="0042020B">
        <w:t>Table 3.</w:t>
      </w:r>
      <w:r w:rsidR="00653616" w:rsidRPr="0042020B">
        <w:t>2</w:t>
      </w:r>
      <w:r w:rsidRPr="0042020B">
        <w:t xml:space="preserve"> provides key budget aggregates for the Australian Government general government sector.</w:t>
      </w:r>
      <w:r w:rsidR="002E127F" w:rsidRPr="0042020B">
        <w:fldChar w:fldCharType="begin"/>
      </w:r>
      <w:r w:rsidR="002E127F" w:rsidRPr="0042020B">
        <w:instrText xml:space="preserve"> :End:BPD_JR1 </w:instrText>
      </w:r>
      <w:r w:rsidR="002E127F" w:rsidRPr="0042020B">
        <w:fldChar w:fldCharType="end"/>
      </w:r>
    </w:p>
    <w:p w:rsidR="004D3C8E" w:rsidRPr="0042020B" w:rsidRDefault="004D3C8E" w:rsidP="00B871FA">
      <w:pPr>
        <w:pStyle w:val="TableHeading"/>
      </w:pPr>
      <w:r w:rsidRPr="0042020B">
        <w:fldChar w:fldCharType="begin"/>
      </w:r>
      <w:r w:rsidRPr="0042020B">
        <w:instrText xml:space="preserve"> :Start:FARM_PG1 </w:instrText>
      </w:r>
      <w:r w:rsidRPr="0042020B">
        <w:fldChar w:fldCharType="end"/>
      </w:r>
      <w:r w:rsidRPr="0042020B">
        <w:t>Table 3.2: Australian Government general gove</w:t>
      </w:r>
      <w:r w:rsidR="00653616" w:rsidRPr="0042020B">
        <w:t>rnment sector budget aggregates</w:t>
      </w:r>
    </w:p>
    <w:p w:rsidR="004D3C8E" w:rsidRPr="0042020B" w:rsidRDefault="00C4489A" w:rsidP="004D3C8E">
      <w:pPr>
        <w:pStyle w:val="TableGraphic"/>
      </w:pPr>
      <w:r w:rsidRPr="0042020B">
        <w:object w:dxaOrig="7727" w:dyaOrig="5456">
          <v:shape id="_x0000_i1026" type="#_x0000_t75" style="width:386.3pt;height:272.95pt" o:ole="">
            <v:imagedata r:id="rId11" o:title=""/>
          </v:shape>
          <o:OLEObject Type="Link" ProgID="Excel.SheetMacroEnabled.12" ShapeID="_x0000_i1026" DrawAspect="Content" r:id="rId12" UpdateMode="Always">
            <o:LinkType>EnhancedMetaFile</o:LinkType>
            <o:LockedField/>
          </o:OLEObject>
        </w:object>
      </w:r>
    </w:p>
    <w:p w:rsidR="000411DC" w:rsidRPr="0042020B" w:rsidRDefault="000411DC" w:rsidP="00C66B88"/>
    <w:p w:rsidR="00C66B88" w:rsidRPr="0042020B" w:rsidRDefault="00C66B88" w:rsidP="00B871FA">
      <w:pPr>
        <w:pStyle w:val="TableHeadingcontinued"/>
      </w:pPr>
      <w:r w:rsidRPr="0042020B">
        <w:lastRenderedPageBreak/>
        <w:t>Table 3.</w:t>
      </w:r>
      <w:r w:rsidR="00D316A5" w:rsidRPr="0042020B">
        <w:t>2</w:t>
      </w:r>
      <w:r w:rsidRPr="0042020B">
        <w:t>: Australian Government general gove</w:t>
      </w:r>
      <w:r w:rsidR="00653616" w:rsidRPr="0042020B">
        <w:t>rnment sector budget aggregates</w:t>
      </w:r>
      <w:r w:rsidR="004D3C8E" w:rsidRPr="0042020B">
        <w:t xml:space="preserve"> (continued)</w:t>
      </w:r>
    </w:p>
    <w:p w:rsidR="00C66B88" w:rsidRPr="0042020B" w:rsidRDefault="00B81D1C" w:rsidP="004D3C8E">
      <w:pPr>
        <w:pStyle w:val="TableGraphic"/>
      </w:pPr>
      <w:r>
        <w:object w:dxaOrig="7727" w:dyaOrig="5456">
          <v:shape id="_x0000_i1027" type="#_x0000_t75" style="width:386.3pt;height:272.95pt" o:ole="">
            <v:imagedata r:id="rId13" o:title=""/>
          </v:shape>
          <o:OLEObject Type="Link" ProgID="Excel.SheetMacroEnabled.12" ShapeID="_x0000_i1027" DrawAspect="Content" r:id="rId14" UpdateMode="Always">
            <o:LinkType>EnhancedMetaFile</o:LinkType>
            <o:LockedField/>
          </o:OLEObject>
        </w:object>
      </w:r>
    </w:p>
    <w:p w:rsidR="00C66B88" w:rsidRPr="0042020B" w:rsidRDefault="00C66B88" w:rsidP="00C66B88">
      <w:pPr>
        <w:pStyle w:val="ChartandTableFootnoteAlpha"/>
        <w:rPr>
          <w:color w:val="auto"/>
        </w:rPr>
      </w:pPr>
      <w:r w:rsidRPr="0042020B">
        <w:rPr>
          <w:color w:val="auto"/>
        </w:rPr>
        <w:t>Equivalent to cash payments for operating activities, purchases of non</w:t>
      </w:r>
      <w:r w:rsidR="00FB4A10" w:rsidRPr="0042020B">
        <w:rPr>
          <w:color w:val="auto"/>
        </w:rPr>
        <w:noBreakHyphen/>
      </w:r>
      <w:r w:rsidRPr="0042020B">
        <w:rPr>
          <w:color w:val="auto"/>
        </w:rPr>
        <w:t>financial assets and net acquisition of assets under finance leases.</w:t>
      </w:r>
    </w:p>
    <w:p w:rsidR="00C66B88" w:rsidRPr="0042020B" w:rsidRDefault="00C66B88" w:rsidP="00C66B88">
      <w:pPr>
        <w:pStyle w:val="ChartandTableFootnoteAlpha"/>
        <w:rPr>
          <w:color w:val="auto"/>
        </w:rPr>
      </w:pPr>
      <w:r w:rsidRPr="0042020B">
        <w:rPr>
          <w:color w:val="auto"/>
        </w:rPr>
        <w:t xml:space="preserve">Under the </w:t>
      </w:r>
      <w:r w:rsidRPr="0042020B">
        <w:rPr>
          <w:i/>
          <w:color w:val="auto"/>
        </w:rPr>
        <w:t>Future Fund Act 2006</w:t>
      </w:r>
      <w:r w:rsidRPr="0042020B">
        <w:rPr>
          <w:color w:val="auto"/>
        </w:rPr>
        <w:t>, net Future Fund earnings will be available to meet the Government superannuation liability in 2020</w:t>
      </w:r>
      <w:r w:rsidR="00FB4A10" w:rsidRPr="0042020B">
        <w:rPr>
          <w:color w:val="auto"/>
        </w:rPr>
        <w:noBreakHyphen/>
      </w:r>
      <w:r w:rsidRPr="0042020B">
        <w:rPr>
          <w:color w:val="auto"/>
        </w:rPr>
        <w:t>21. From this time, the underlying cash balance includes expected net Future Fund earnings.</w:t>
      </w:r>
    </w:p>
    <w:p w:rsidR="008634B9" w:rsidRPr="0042020B" w:rsidRDefault="00C66B88" w:rsidP="00C66B88">
      <w:pPr>
        <w:pStyle w:val="ChartandTableFootnoteAlpha"/>
        <w:rPr>
          <w:color w:val="auto"/>
        </w:rPr>
      </w:pPr>
      <w:r w:rsidRPr="0042020B">
        <w:rPr>
          <w:color w:val="auto"/>
        </w:rPr>
        <w:t>Excludes expected net Future Fund earnings before 2020</w:t>
      </w:r>
      <w:r w:rsidR="00FB4A10" w:rsidRPr="0042020B">
        <w:rPr>
          <w:color w:val="auto"/>
        </w:rPr>
        <w:noBreakHyphen/>
      </w:r>
      <w:r w:rsidRPr="0042020B">
        <w:rPr>
          <w:color w:val="auto"/>
        </w:rPr>
        <w:t>21.</w:t>
      </w:r>
    </w:p>
    <w:p w:rsidR="00C66B88" w:rsidRPr="0042020B" w:rsidRDefault="0064570B" w:rsidP="008634B9">
      <w:pPr>
        <w:pStyle w:val="SingleParagraph"/>
      </w:pPr>
      <w:r w:rsidRPr="0042020B">
        <w:fldChar w:fldCharType="begin"/>
      </w:r>
      <w:r w:rsidRPr="0042020B">
        <w:instrText xml:space="preserve"> :End:FARM_PG1 </w:instrText>
      </w:r>
      <w:r w:rsidRPr="0042020B">
        <w:fldChar w:fldCharType="end"/>
      </w:r>
    </w:p>
    <w:p w:rsidR="00CE4140" w:rsidRPr="0042020B" w:rsidRDefault="001839BB" w:rsidP="00CF1F1B">
      <w:r w:rsidRPr="0042020B">
        <w:fldChar w:fldCharType="begin"/>
      </w:r>
      <w:r w:rsidRPr="0042020B">
        <w:instrText xml:space="preserve"> :Start:BPD_JR1 </w:instrText>
      </w:r>
      <w:r w:rsidRPr="0042020B">
        <w:fldChar w:fldCharType="end"/>
      </w:r>
      <w:r w:rsidRPr="0042020B">
        <w:t>Expected</w:t>
      </w:r>
      <w:r w:rsidR="00CD23A1" w:rsidRPr="0042020B">
        <w:t xml:space="preserve"> total receipts </w:t>
      </w:r>
      <w:r w:rsidR="00CE4140" w:rsidRPr="0042020B">
        <w:t xml:space="preserve">have been revised </w:t>
      </w:r>
      <w:r w:rsidR="00913088" w:rsidRPr="0042020B">
        <w:t>up</w:t>
      </w:r>
      <w:r w:rsidR="00CE4140" w:rsidRPr="0042020B">
        <w:t xml:space="preserve"> by around $</w:t>
      </w:r>
      <w:r w:rsidR="00CD23A1" w:rsidRPr="0042020B">
        <w:t>3</w:t>
      </w:r>
      <w:r w:rsidR="0098450F" w:rsidRPr="0042020B">
        <w:t>.</w:t>
      </w:r>
      <w:r w:rsidR="00CD23A1" w:rsidRPr="0042020B">
        <w:t>6</w:t>
      </w:r>
      <w:r w:rsidR="00AB7DEB" w:rsidRPr="0042020B">
        <w:t> billion</w:t>
      </w:r>
      <w:r w:rsidR="00CE4140" w:rsidRPr="0042020B">
        <w:t xml:space="preserve"> in 2017</w:t>
      </w:r>
      <w:r w:rsidR="00FB4A10" w:rsidRPr="0042020B">
        <w:noBreakHyphen/>
      </w:r>
      <w:r w:rsidR="00CE4140" w:rsidRPr="0042020B">
        <w:t>18 and $</w:t>
      </w:r>
      <w:r w:rsidR="00CD23A1" w:rsidRPr="0042020B">
        <w:t>2</w:t>
      </w:r>
      <w:r w:rsidR="0098450F" w:rsidRPr="0042020B">
        <w:t>.</w:t>
      </w:r>
      <w:r w:rsidR="00CD23A1" w:rsidRPr="0042020B">
        <w:t>8</w:t>
      </w:r>
      <w:r w:rsidR="00AB7DEB" w:rsidRPr="0042020B">
        <w:t> billion</w:t>
      </w:r>
      <w:r w:rsidR="00CE4140" w:rsidRPr="0042020B">
        <w:t xml:space="preserve"> over the four years to 2020</w:t>
      </w:r>
      <w:r w:rsidR="00FB4A10" w:rsidRPr="0042020B">
        <w:noBreakHyphen/>
      </w:r>
      <w:r w:rsidR="00CE4140" w:rsidRPr="0042020B">
        <w:t xml:space="preserve">21, relative to the levels at the time of the </w:t>
      </w:r>
      <w:r w:rsidR="000F5D7C" w:rsidRPr="0042020B">
        <w:t>2017</w:t>
      </w:r>
      <w:r w:rsidR="000F5D7C" w:rsidRPr="0042020B">
        <w:noBreakHyphen/>
        <w:t>18 Budget</w:t>
      </w:r>
      <w:r w:rsidR="00CE4140" w:rsidRPr="0042020B">
        <w:t>.</w:t>
      </w:r>
      <w:r w:rsidRPr="0042020B">
        <w:fldChar w:fldCharType="begin"/>
      </w:r>
      <w:r w:rsidRPr="0042020B">
        <w:instrText xml:space="preserve"> :End:BPD_JR1 </w:instrText>
      </w:r>
      <w:r w:rsidRPr="0042020B">
        <w:fldChar w:fldCharType="end"/>
      </w:r>
      <w:r w:rsidRPr="0042020B">
        <w:t xml:space="preserve"> </w:t>
      </w:r>
      <w:r w:rsidRPr="0042020B">
        <w:fldChar w:fldCharType="begin"/>
      </w:r>
      <w:r w:rsidRPr="0042020B">
        <w:instrText xml:space="preserve"> :Start:TAD_MB1 </w:instrText>
      </w:r>
      <w:r w:rsidRPr="0042020B">
        <w:fldChar w:fldCharType="end"/>
      </w:r>
      <w:r w:rsidRPr="0042020B">
        <w:t>This is mainly driven by upwards revisions to the forecasts for company tax and superannuation fund taxes.</w:t>
      </w:r>
      <w:r w:rsidRPr="0042020B">
        <w:fldChar w:fldCharType="begin"/>
      </w:r>
      <w:r w:rsidRPr="0042020B">
        <w:instrText xml:space="preserve"> :End:TAD_MB1 </w:instrText>
      </w:r>
      <w:r w:rsidRPr="0042020B">
        <w:fldChar w:fldCharType="end"/>
      </w:r>
    </w:p>
    <w:p w:rsidR="00843A08" w:rsidRPr="0042020B" w:rsidRDefault="00590756" w:rsidP="003465DC">
      <w:r w:rsidRPr="0042020B">
        <w:fldChar w:fldCharType="begin"/>
      </w:r>
      <w:r w:rsidRPr="0042020B">
        <w:instrText xml:space="preserve"> :Start:BPD_JR1 </w:instrText>
      </w:r>
      <w:r w:rsidRPr="0042020B">
        <w:fldChar w:fldCharType="end"/>
      </w:r>
      <w:r w:rsidR="009D1C46" w:rsidRPr="0042020B">
        <w:t>Estimated cash payments are lower for each year relative to the 2017</w:t>
      </w:r>
      <w:r w:rsidR="009D1C46" w:rsidRPr="0042020B">
        <w:noBreakHyphen/>
        <w:t>18 Budget. They have decreased by around $2.1 billion in 2017</w:t>
      </w:r>
      <w:r w:rsidR="009D1C46" w:rsidRPr="0042020B">
        <w:noBreakHyphen/>
        <w:t>18 and decreased in total by around $6.5 billion over the four years to 2020</w:t>
      </w:r>
      <w:r w:rsidR="009D1C46" w:rsidRPr="0042020B">
        <w:noBreakHyphen/>
        <w:t xml:space="preserve">21 compared </w:t>
      </w:r>
      <w:r w:rsidR="008B4987" w:rsidRPr="0042020B">
        <w:t>with</w:t>
      </w:r>
      <w:r w:rsidR="009D1C46" w:rsidRPr="0042020B">
        <w:t xml:space="preserve"> the 2017</w:t>
      </w:r>
      <w:r w:rsidR="009D1C46" w:rsidRPr="0042020B">
        <w:noBreakHyphen/>
        <w:t>18 Budget estimates.</w:t>
      </w:r>
    </w:p>
    <w:p w:rsidR="00C76F3F" w:rsidRPr="0042020B" w:rsidRDefault="00C76F3F" w:rsidP="003465DC">
      <w:r w:rsidRPr="0042020B">
        <w:t xml:space="preserve">In accordance with the Government’s budget repair strategy, increases in receipts and decreases in payments due to changes in the economy have </w:t>
      </w:r>
      <w:r w:rsidR="006A3C8D" w:rsidRPr="0042020B">
        <w:t>flowed through</w:t>
      </w:r>
      <w:r w:rsidRPr="0042020B">
        <w:t xml:space="preserve"> to </w:t>
      </w:r>
      <w:r w:rsidR="009D1C46" w:rsidRPr="0042020B">
        <w:t xml:space="preserve">improve </w:t>
      </w:r>
      <w:r w:rsidRPr="0042020B">
        <w:t xml:space="preserve">the </w:t>
      </w:r>
      <w:r w:rsidR="009D1C46" w:rsidRPr="0042020B">
        <w:t xml:space="preserve">budget </w:t>
      </w:r>
      <w:r w:rsidRPr="0042020B">
        <w:t>bottom line.</w:t>
      </w:r>
      <w:r w:rsidR="00F74286" w:rsidRPr="0042020B">
        <w:t xml:space="preserve"> </w:t>
      </w:r>
      <w:r w:rsidR="00F74286" w:rsidRPr="0042020B">
        <w:fldChar w:fldCharType="begin"/>
      </w:r>
      <w:r w:rsidR="00F74286" w:rsidRPr="0042020B">
        <w:instrText xml:space="preserve"> :End:BPD_JR1 </w:instrText>
      </w:r>
      <w:r w:rsidR="00F74286" w:rsidRPr="0042020B">
        <w:fldChar w:fldCharType="end"/>
      </w:r>
      <w:r w:rsidR="00F74286" w:rsidRPr="0042020B">
        <w:fldChar w:fldCharType="begin"/>
      </w:r>
      <w:r w:rsidR="00F74286" w:rsidRPr="0042020B">
        <w:instrText xml:space="preserve"> :Start:BAB_DD1 </w:instrText>
      </w:r>
      <w:r w:rsidR="00F74286" w:rsidRPr="0042020B">
        <w:fldChar w:fldCharType="end"/>
      </w:r>
      <w:r w:rsidR="00544BF0" w:rsidRPr="0042020B">
        <w:t>Excluding the effect</w:t>
      </w:r>
      <w:r w:rsidR="00D02E9F" w:rsidRPr="0042020B">
        <w:t xml:space="preserve"> of Senate</w:t>
      </w:r>
      <w:r w:rsidRPr="0042020B">
        <w:t xml:space="preserve"> </w:t>
      </w:r>
      <w:r w:rsidR="00FD6BBB" w:rsidRPr="0042020B">
        <w:t>positions</w:t>
      </w:r>
      <w:r w:rsidRPr="0042020B">
        <w:t>, all new spending decisions have been more than offset by decisions to reduce spending elsewhere in the budget.</w:t>
      </w:r>
      <w:r w:rsidR="00F74286" w:rsidRPr="0042020B">
        <w:fldChar w:fldCharType="begin"/>
      </w:r>
      <w:r w:rsidR="00F74286" w:rsidRPr="0042020B">
        <w:instrText xml:space="preserve"> :End:BAB_DD1 </w:instrText>
      </w:r>
      <w:r w:rsidR="00F74286" w:rsidRPr="0042020B">
        <w:fldChar w:fldCharType="end"/>
      </w:r>
    </w:p>
    <w:p w:rsidR="00250F83" w:rsidRPr="0042020B" w:rsidRDefault="004D3C8E" w:rsidP="00CF1F1B">
      <w:r w:rsidRPr="0042020B">
        <w:br w:type="page"/>
      </w:r>
      <w:r w:rsidR="00590756" w:rsidRPr="0042020B">
        <w:lastRenderedPageBreak/>
        <w:fldChar w:fldCharType="begin"/>
      </w:r>
      <w:r w:rsidR="00590756" w:rsidRPr="0042020B">
        <w:instrText xml:space="preserve"> :Start:BPD_JR1 </w:instrText>
      </w:r>
      <w:r w:rsidR="00590756" w:rsidRPr="0042020B">
        <w:fldChar w:fldCharType="end"/>
      </w:r>
      <w:r w:rsidR="00250F83" w:rsidRPr="0042020B">
        <w:t xml:space="preserve">The </w:t>
      </w:r>
      <w:r w:rsidR="00AB7DEB" w:rsidRPr="0042020B">
        <w:t>2017</w:t>
      </w:r>
      <w:r w:rsidR="00FB4A10" w:rsidRPr="0042020B">
        <w:noBreakHyphen/>
      </w:r>
      <w:r w:rsidR="00AB7DEB" w:rsidRPr="0042020B">
        <w:t>18 MYEFO</w:t>
      </w:r>
      <w:r w:rsidR="00250F83" w:rsidRPr="0042020B">
        <w:t xml:space="preserve"> continues to project a return to </w:t>
      </w:r>
      <w:r w:rsidR="00A4311B" w:rsidRPr="0042020B">
        <w:t>surplus</w:t>
      </w:r>
      <w:r w:rsidR="00250F83" w:rsidRPr="0042020B">
        <w:t xml:space="preserve"> in 2020</w:t>
      </w:r>
      <w:r w:rsidR="00FB4A10" w:rsidRPr="0042020B">
        <w:noBreakHyphen/>
      </w:r>
      <w:r w:rsidR="00250F83" w:rsidRPr="0042020B">
        <w:t>21. The underlying cash balance is expected to improve from a deficit of $</w:t>
      </w:r>
      <w:r w:rsidR="002E30A0" w:rsidRPr="0042020B">
        <w:t>23.6</w:t>
      </w:r>
      <w:r w:rsidR="00AB7DEB" w:rsidRPr="0042020B">
        <w:t> billion</w:t>
      </w:r>
      <w:r w:rsidR="00250F83" w:rsidRPr="0042020B">
        <w:t xml:space="preserve"> in 2017</w:t>
      </w:r>
      <w:r w:rsidR="00FB4A10" w:rsidRPr="0042020B">
        <w:noBreakHyphen/>
      </w:r>
      <w:r w:rsidR="00250F83" w:rsidRPr="0042020B">
        <w:t>18 (</w:t>
      </w:r>
      <w:r w:rsidR="002E30A0" w:rsidRPr="0042020B">
        <w:t>1.3</w:t>
      </w:r>
      <w:r w:rsidR="00250F83" w:rsidRPr="0042020B">
        <w:t> per cent of GDP) to a projected surplus of $</w:t>
      </w:r>
      <w:r w:rsidR="002E30A0" w:rsidRPr="0042020B">
        <w:t>10.2</w:t>
      </w:r>
      <w:r w:rsidR="00AB7DEB" w:rsidRPr="0042020B">
        <w:t> billion</w:t>
      </w:r>
      <w:r w:rsidR="00250F83" w:rsidRPr="0042020B">
        <w:t xml:space="preserve"> in 2020</w:t>
      </w:r>
      <w:r w:rsidR="00FB4A10" w:rsidRPr="0042020B">
        <w:noBreakHyphen/>
      </w:r>
      <w:r w:rsidR="00250F83" w:rsidRPr="0042020B">
        <w:t>21 (</w:t>
      </w:r>
      <w:r w:rsidR="002E30A0" w:rsidRPr="0042020B">
        <w:t>0.5</w:t>
      </w:r>
      <w:r w:rsidR="00250F83" w:rsidRPr="0042020B">
        <w:t> per cent of GDP)</w:t>
      </w:r>
      <w:r w:rsidR="002104FA" w:rsidRPr="0042020B">
        <w:t xml:space="preserve">. </w:t>
      </w:r>
      <w:r w:rsidR="007900D3" w:rsidRPr="0042020B">
        <w:t xml:space="preserve">Compared with the </w:t>
      </w:r>
      <w:r w:rsidR="000F5D7C" w:rsidRPr="0042020B">
        <w:t>2017</w:t>
      </w:r>
      <w:r w:rsidR="000F5D7C" w:rsidRPr="0042020B">
        <w:noBreakHyphen/>
        <w:t>18 Budget</w:t>
      </w:r>
      <w:r w:rsidR="007900D3" w:rsidRPr="0042020B">
        <w:t xml:space="preserve">, underlying cash balance estimates </w:t>
      </w:r>
      <w:r w:rsidR="000F2F42" w:rsidRPr="0042020B">
        <w:t xml:space="preserve">over the </w:t>
      </w:r>
      <w:r w:rsidR="0083186A" w:rsidRPr="0042020B">
        <w:t>four years to 2020</w:t>
      </w:r>
      <w:r w:rsidR="00FB4A10" w:rsidRPr="0042020B">
        <w:noBreakHyphen/>
      </w:r>
      <w:r w:rsidR="0083186A" w:rsidRPr="0042020B">
        <w:t>21</w:t>
      </w:r>
      <w:r w:rsidR="000F2F42" w:rsidRPr="0042020B">
        <w:t xml:space="preserve"> have </w:t>
      </w:r>
      <w:r w:rsidR="002E30A0" w:rsidRPr="0042020B">
        <w:t>improved</w:t>
      </w:r>
      <w:r w:rsidR="000F2F42" w:rsidRPr="0042020B">
        <w:t xml:space="preserve"> by a total of</w:t>
      </w:r>
      <w:r w:rsidR="007900D3" w:rsidRPr="0042020B">
        <w:t xml:space="preserve"> $</w:t>
      </w:r>
      <w:r w:rsidR="002E30A0" w:rsidRPr="0042020B">
        <w:t>9.3</w:t>
      </w:r>
      <w:r w:rsidR="00AB7DEB" w:rsidRPr="0042020B">
        <w:t> billion</w:t>
      </w:r>
      <w:r w:rsidR="00C510FE" w:rsidRPr="0042020B">
        <w:t>.</w:t>
      </w:r>
    </w:p>
    <w:p w:rsidR="00C76F3F" w:rsidRPr="0042020B" w:rsidRDefault="00C76F3F" w:rsidP="004D3C8E">
      <w:r w:rsidRPr="0042020B">
        <w:t xml:space="preserve">The average pace of consolidation remains at </w:t>
      </w:r>
      <w:r w:rsidR="002E30A0" w:rsidRPr="0042020B">
        <w:t>0</w:t>
      </w:r>
      <w:r w:rsidRPr="0042020B">
        <w:t>.</w:t>
      </w:r>
      <w:r w:rsidR="002E30A0" w:rsidRPr="0042020B">
        <w:t>6</w:t>
      </w:r>
      <w:r w:rsidRPr="0042020B">
        <w:t xml:space="preserve"> per cent over the forward estimates. A </w:t>
      </w:r>
      <w:r w:rsidR="00CE4140" w:rsidRPr="0042020B">
        <w:t>prudent</w:t>
      </w:r>
      <w:r w:rsidRPr="0042020B">
        <w:t xml:space="preserve"> and sustainable path to a surplus in 2020</w:t>
      </w:r>
      <w:r w:rsidR="00FB4A10" w:rsidRPr="0042020B">
        <w:noBreakHyphen/>
      </w:r>
      <w:r w:rsidRPr="0042020B">
        <w:t>21 has been maintained for five</w:t>
      </w:r>
      <w:r w:rsidR="00AD5206" w:rsidRPr="0042020B">
        <w:t> </w:t>
      </w:r>
      <w:r w:rsidRPr="0042020B">
        <w:t>successive Budget updates, reflecting the Government’s demonstrated commitment to its fisca</w:t>
      </w:r>
      <w:r w:rsidR="003B73AC" w:rsidRPr="0042020B">
        <w:t xml:space="preserve">l </w:t>
      </w:r>
      <w:r w:rsidR="00F5233D">
        <w:t xml:space="preserve">strategy </w:t>
      </w:r>
      <w:r w:rsidR="003B73AC" w:rsidRPr="0042020B">
        <w:t>and budget repair.</w:t>
      </w:r>
    </w:p>
    <w:p w:rsidR="00C76F3F" w:rsidRPr="0042020B" w:rsidRDefault="00C76F3F" w:rsidP="00C76F3F">
      <w:r w:rsidRPr="0042020B">
        <w:t>The payments</w:t>
      </w:r>
      <w:r w:rsidR="00FB4A10" w:rsidRPr="0042020B">
        <w:noBreakHyphen/>
      </w:r>
      <w:r w:rsidRPr="0042020B">
        <w:t>to</w:t>
      </w:r>
      <w:r w:rsidR="00FB4A10" w:rsidRPr="0042020B">
        <w:noBreakHyphen/>
      </w:r>
      <w:r w:rsidRPr="0042020B">
        <w:t>GDP ratio</w:t>
      </w:r>
      <w:r w:rsidR="00142B8C" w:rsidRPr="0042020B">
        <w:t xml:space="preserve"> —</w:t>
      </w:r>
      <w:r w:rsidRPr="0042020B">
        <w:t xml:space="preserve"> a key </w:t>
      </w:r>
      <w:r w:rsidR="00ED32BE" w:rsidRPr="0042020B">
        <w:t xml:space="preserve">element </w:t>
      </w:r>
      <w:r w:rsidR="00275FA9" w:rsidRPr="0042020B">
        <w:t>of</w:t>
      </w:r>
      <w:r w:rsidRPr="0042020B">
        <w:t xml:space="preserve"> the Government’s medium</w:t>
      </w:r>
      <w:r w:rsidR="00FB4A10" w:rsidRPr="0042020B">
        <w:noBreakHyphen/>
      </w:r>
      <w:r w:rsidRPr="0042020B">
        <w:t>term fiscal strategy</w:t>
      </w:r>
      <w:r w:rsidR="00142B8C" w:rsidRPr="0042020B">
        <w:t xml:space="preserve"> —</w:t>
      </w:r>
      <w:r w:rsidR="00250F83" w:rsidRPr="0042020B">
        <w:t xml:space="preserve"> </w:t>
      </w:r>
      <w:r w:rsidRPr="0042020B">
        <w:t xml:space="preserve">is expected to be </w:t>
      </w:r>
      <w:r w:rsidR="002E30A0" w:rsidRPr="0042020B">
        <w:t>25.2</w:t>
      </w:r>
      <w:r w:rsidRPr="0042020B">
        <w:t> per cent in 2017</w:t>
      </w:r>
      <w:r w:rsidR="00FB4A10" w:rsidRPr="0042020B">
        <w:noBreakHyphen/>
      </w:r>
      <w:r w:rsidR="00142B8C" w:rsidRPr="0042020B">
        <w:t>18</w:t>
      </w:r>
      <w:r w:rsidR="00ED7E79" w:rsidRPr="0042020B">
        <w:t xml:space="preserve">, falling to </w:t>
      </w:r>
      <w:r w:rsidR="002E30A0" w:rsidRPr="0042020B">
        <w:t>24.9</w:t>
      </w:r>
      <w:r w:rsidR="00ED7E79" w:rsidRPr="0042020B">
        <w:t> per cent of GDP by 2020</w:t>
      </w:r>
      <w:r w:rsidR="00FB4A10" w:rsidRPr="0042020B">
        <w:noBreakHyphen/>
      </w:r>
      <w:r w:rsidR="00ED7E79" w:rsidRPr="0042020B">
        <w:t>21</w:t>
      </w:r>
      <w:r w:rsidR="000B39A5" w:rsidRPr="0042020B">
        <w:t>, slight</w:t>
      </w:r>
      <w:r w:rsidR="00944587" w:rsidRPr="0042020B">
        <w:t>ly</w:t>
      </w:r>
      <w:r w:rsidR="000B39A5" w:rsidRPr="0042020B">
        <w:t xml:space="preserve"> above the 30</w:t>
      </w:r>
      <w:r w:rsidR="00FB4A10" w:rsidRPr="0042020B">
        <w:noBreakHyphen/>
      </w:r>
      <w:r w:rsidR="000B39A5" w:rsidRPr="0042020B">
        <w:t>year historical average</w:t>
      </w:r>
      <w:r w:rsidR="00944587" w:rsidRPr="0042020B">
        <w:t xml:space="preserve"> of 24.8 per cent of GDP</w:t>
      </w:r>
      <w:r w:rsidRPr="0042020B">
        <w:t>.</w:t>
      </w:r>
      <w:r w:rsidR="00142B8C" w:rsidRPr="0042020B">
        <w:t xml:space="preserve"> </w:t>
      </w:r>
      <w:r w:rsidR="000F2F42" w:rsidRPr="0042020B">
        <w:t xml:space="preserve">Compared with the </w:t>
      </w:r>
      <w:r w:rsidR="000F5D7C" w:rsidRPr="0042020B">
        <w:t>2017</w:t>
      </w:r>
      <w:r w:rsidR="000F5D7C" w:rsidRPr="0042020B">
        <w:noBreakHyphen/>
        <w:t>18 Budget</w:t>
      </w:r>
      <w:r w:rsidR="000F2F42" w:rsidRPr="0042020B">
        <w:t xml:space="preserve">, nominal payments have </w:t>
      </w:r>
      <w:r w:rsidR="002E30A0" w:rsidRPr="0042020B">
        <w:t>decreased</w:t>
      </w:r>
      <w:r w:rsidR="000F2F42" w:rsidRPr="0042020B">
        <w:t xml:space="preserve"> by a total of $</w:t>
      </w:r>
      <w:r w:rsidR="002E30A0" w:rsidRPr="0042020B">
        <w:t>6.5</w:t>
      </w:r>
      <w:r w:rsidR="00AB7DEB" w:rsidRPr="0042020B">
        <w:t> billion</w:t>
      </w:r>
      <w:r w:rsidR="000F2F42" w:rsidRPr="0042020B">
        <w:t xml:space="preserve"> across the forward estimates. </w:t>
      </w:r>
      <w:r w:rsidR="00ED7E79" w:rsidRPr="0042020B">
        <w:t xml:space="preserve">Further, </w:t>
      </w:r>
      <w:r w:rsidR="008B6882" w:rsidRPr="0042020B">
        <w:t xml:space="preserve">average </w:t>
      </w:r>
      <w:r w:rsidR="00ED7E79" w:rsidRPr="0042020B">
        <w:t xml:space="preserve">real growth in payments over the forward estimates is expected to be </w:t>
      </w:r>
      <w:r w:rsidR="002E30A0" w:rsidRPr="0042020B">
        <w:t>1</w:t>
      </w:r>
      <w:r w:rsidR="00ED7E79" w:rsidRPr="0042020B">
        <w:t>.</w:t>
      </w:r>
      <w:r w:rsidR="002E30A0" w:rsidRPr="0042020B">
        <w:t>9</w:t>
      </w:r>
      <w:r w:rsidR="00ED7E79" w:rsidRPr="0042020B">
        <w:t xml:space="preserve"> per cent per </w:t>
      </w:r>
      <w:r w:rsidR="008B6882" w:rsidRPr="0042020B">
        <w:t>annum</w:t>
      </w:r>
      <w:r w:rsidR="00ED7E79" w:rsidRPr="0042020B">
        <w:t xml:space="preserve">, consistent with the </w:t>
      </w:r>
      <w:r w:rsidR="000F5D7C" w:rsidRPr="0042020B">
        <w:t>2017</w:t>
      </w:r>
      <w:r w:rsidR="000F5D7C" w:rsidRPr="0042020B">
        <w:noBreakHyphen/>
        <w:t>18 Budget</w:t>
      </w:r>
      <w:r w:rsidR="00ED7E79" w:rsidRPr="0042020B">
        <w:t>.</w:t>
      </w:r>
      <w:r w:rsidR="00A93432" w:rsidRPr="0042020B">
        <w:fldChar w:fldCharType="begin"/>
      </w:r>
      <w:r w:rsidR="00A93432" w:rsidRPr="0042020B">
        <w:instrText xml:space="preserve"> :End:BPD_JR1 </w:instrText>
      </w:r>
      <w:r w:rsidR="00A93432" w:rsidRPr="0042020B">
        <w:fldChar w:fldCharType="end"/>
      </w:r>
    </w:p>
    <w:p w:rsidR="00F760E6" w:rsidRPr="0042020B" w:rsidRDefault="00A93432" w:rsidP="00C76F3F">
      <w:r w:rsidRPr="0042020B">
        <w:fldChar w:fldCharType="begin"/>
      </w:r>
      <w:r w:rsidRPr="0042020B">
        <w:instrText xml:space="preserve"> :Start:BPD_JR5 </w:instrText>
      </w:r>
      <w:r w:rsidRPr="0042020B">
        <w:fldChar w:fldCharType="end"/>
      </w:r>
      <w:r w:rsidRPr="0042020B">
        <w:rPr>
          <w:szCs w:val="20"/>
        </w:rPr>
        <w:t xml:space="preserve">Net debt is expected to stabilise over the forward estimates, peaking at </w:t>
      </w:r>
      <w:r w:rsidR="002E30A0" w:rsidRPr="0042020B">
        <w:rPr>
          <w:szCs w:val="20"/>
        </w:rPr>
        <w:t>19.2</w:t>
      </w:r>
      <w:r w:rsidRPr="0042020B">
        <w:rPr>
          <w:szCs w:val="20"/>
        </w:rPr>
        <w:t> per cent</w:t>
      </w:r>
      <w:r w:rsidR="006A4CAD" w:rsidRPr="0042020B">
        <w:rPr>
          <w:szCs w:val="20"/>
        </w:rPr>
        <w:t> </w:t>
      </w:r>
      <w:r w:rsidRPr="0042020B">
        <w:rPr>
          <w:szCs w:val="20"/>
        </w:rPr>
        <w:t>of</w:t>
      </w:r>
      <w:r w:rsidR="006A4CAD" w:rsidRPr="0042020B">
        <w:rPr>
          <w:szCs w:val="20"/>
        </w:rPr>
        <w:t> </w:t>
      </w:r>
      <w:r w:rsidRPr="0042020B">
        <w:rPr>
          <w:szCs w:val="20"/>
        </w:rPr>
        <w:t xml:space="preserve">GDP in </w:t>
      </w:r>
      <w:r w:rsidR="002E30A0" w:rsidRPr="0042020B">
        <w:rPr>
          <w:szCs w:val="20"/>
        </w:rPr>
        <w:t>2018</w:t>
      </w:r>
      <w:r w:rsidR="00FB4A10" w:rsidRPr="0042020B">
        <w:rPr>
          <w:szCs w:val="20"/>
        </w:rPr>
        <w:noBreakHyphen/>
      </w:r>
      <w:r w:rsidR="002E30A0" w:rsidRPr="0042020B">
        <w:rPr>
          <w:szCs w:val="20"/>
        </w:rPr>
        <w:t>19</w:t>
      </w:r>
      <w:r w:rsidR="009D1C46" w:rsidRPr="0042020B">
        <w:t>, an amount $1</w:t>
      </w:r>
      <w:r w:rsidR="009E0685">
        <w:t>1.9</w:t>
      </w:r>
      <w:r w:rsidR="009D1C46" w:rsidRPr="0042020B">
        <w:t> billion lower than the peak</w:t>
      </w:r>
      <w:r w:rsidR="00F23AB7" w:rsidRPr="0042020B">
        <w:t xml:space="preserve"> estimated</w:t>
      </w:r>
      <w:r w:rsidR="009D1C46" w:rsidRPr="0042020B">
        <w:t xml:space="preserve"> at Budget,</w:t>
      </w:r>
      <w:r w:rsidRPr="0042020B">
        <w:rPr>
          <w:szCs w:val="20"/>
        </w:rPr>
        <w:t xml:space="preserve"> and reducing to </w:t>
      </w:r>
      <w:r w:rsidR="002E30A0" w:rsidRPr="0042020B">
        <w:rPr>
          <w:szCs w:val="20"/>
        </w:rPr>
        <w:t>17.2</w:t>
      </w:r>
      <w:r w:rsidRPr="0042020B">
        <w:rPr>
          <w:szCs w:val="20"/>
        </w:rPr>
        <w:t> per cent of GDP in 2020</w:t>
      </w:r>
      <w:r w:rsidR="00FB4A10" w:rsidRPr="0042020B">
        <w:rPr>
          <w:szCs w:val="20"/>
        </w:rPr>
        <w:noBreakHyphen/>
      </w:r>
      <w:r w:rsidRPr="0042020B">
        <w:rPr>
          <w:szCs w:val="20"/>
        </w:rPr>
        <w:t xml:space="preserve">21. Across the forward estimates, the value of net debt has improved since the </w:t>
      </w:r>
      <w:r w:rsidR="000F5D7C" w:rsidRPr="0042020B">
        <w:rPr>
          <w:szCs w:val="20"/>
        </w:rPr>
        <w:t>2017</w:t>
      </w:r>
      <w:r w:rsidR="000F5D7C" w:rsidRPr="0042020B">
        <w:rPr>
          <w:szCs w:val="20"/>
        </w:rPr>
        <w:noBreakHyphen/>
        <w:t>18 Budget</w:t>
      </w:r>
      <w:r w:rsidRPr="0042020B">
        <w:rPr>
          <w:szCs w:val="20"/>
        </w:rPr>
        <w:t xml:space="preserve">, </w:t>
      </w:r>
      <w:r w:rsidR="006229B2" w:rsidRPr="0042020B">
        <w:rPr>
          <w:szCs w:val="20"/>
        </w:rPr>
        <w:t>reflecting</w:t>
      </w:r>
      <w:r w:rsidRPr="0042020B">
        <w:rPr>
          <w:szCs w:val="20"/>
        </w:rPr>
        <w:t xml:space="preserve"> lower levels of </w:t>
      </w:r>
      <w:r w:rsidR="00063435" w:rsidRPr="0042020B">
        <w:rPr>
          <w:szCs w:val="20"/>
        </w:rPr>
        <w:t>Commonwealth Government Securities (</w:t>
      </w:r>
      <w:r w:rsidRPr="0042020B">
        <w:rPr>
          <w:szCs w:val="20"/>
        </w:rPr>
        <w:t>CGS</w:t>
      </w:r>
      <w:r w:rsidR="00063435" w:rsidRPr="0042020B">
        <w:rPr>
          <w:szCs w:val="20"/>
        </w:rPr>
        <w:t>)</w:t>
      </w:r>
      <w:r w:rsidRPr="0042020B">
        <w:rPr>
          <w:szCs w:val="20"/>
        </w:rPr>
        <w:t xml:space="preserve"> on issue </w:t>
      </w:r>
      <w:r w:rsidR="00D554C5" w:rsidRPr="0042020B">
        <w:rPr>
          <w:szCs w:val="20"/>
        </w:rPr>
        <w:t>due to a</w:t>
      </w:r>
      <w:r w:rsidRPr="0042020B">
        <w:rPr>
          <w:szCs w:val="20"/>
        </w:rPr>
        <w:t xml:space="preserve"> change in the financing requirement</w:t>
      </w:r>
      <w:r w:rsidR="00D554C5" w:rsidRPr="0042020B">
        <w:rPr>
          <w:szCs w:val="20"/>
        </w:rPr>
        <w:t xml:space="preserve"> and an increase in investments, loans and placements, partly offset by a </w:t>
      </w:r>
      <w:r w:rsidR="00275FA9" w:rsidRPr="0042020B">
        <w:rPr>
          <w:szCs w:val="20"/>
        </w:rPr>
        <w:t>decrease in advances paid, predominantly relating to</w:t>
      </w:r>
      <w:r w:rsidR="00D554C5" w:rsidRPr="0042020B">
        <w:rPr>
          <w:szCs w:val="20"/>
        </w:rPr>
        <w:t xml:space="preserve"> student loans</w:t>
      </w:r>
      <w:r w:rsidRPr="0042020B">
        <w:rPr>
          <w:szCs w:val="20"/>
        </w:rPr>
        <w:t>.</w:t>
      </w:r>
      <w:r w:rsidR="00590756" w:rsidRPr="0042020B">
        <w:fldChar w:fldCharType="begin"/>
      </w:r>
      <w:r w:rsidR="00590756" w:rsidRPr="0042020B">
        <w:instrText xml:space="preserve"> :End:BPD_JR5 </w:instrText>
      </w:r>
      <w:r w:rsidR="00590756" w:rsidRPr="0042020B">
        <w:fldChar w:fldCharType="end"/>
      </w:r>
    </w:p>
    <w:p w:rsidR="00812C7D" w:rsidRPr="0042020B" w:rsidRDefault="00C722B9" w:rsidP="00F14158">
      <w:r w:rsidRPr="0042020B">
        <w:fldChar w:fldCharType="begin"/>
      </w:r>
      <w:r w:rsidRPr="0042020B">
        <w:instrText xml:space="preserve"> :Start:BPD_JR2 </w:instrText>
      </w:r>
      <w:r w:rsidRPr="0042020B">
        <w:fldChar w:fldCharType="end"/>
      </w:r>
      <w:r w:rsidR="00812C7D" w:rsidRPr="0042020B">
        <w:t xml:space="preserve">On an accrual basis, the net operating balance is projected to return to surplus </w:t>
      </w:r>
      <w:r w:rsidR="00F14158" w:rsidRPr="0042020B">
        <w:t>a year earlier than the underlying cash balance, reaching $</w:t>
      </w:r>
      <w:r w:rsidR="002E30A0" w:rsidRPr="0042020B">
        <w:t>6.8</w:t>
      </w:r>
      <w:r w:rsidR="00AB7DEB" w:rsidRPr="0042020B">
        <w:t> billion</w:t>
      </w:r>
      <w:r w:rsidR="00F14158" w:rsidRPr="0042020B">
        <w:t xml:space="preserve"> (</w:t>
      </w:r>
      <w:r w:rsidR="002E30A0" w:rsidRPr="0042020B">
        <w:t>0.3</w:t>
      </w:r>
      <w:r w:rsidR="00F14158" w:rsidRPr="0042020B">
        <w:t xml:space="preserve"> per cent of GDP) in </w:t>
      </w:r>
      <w:r w:rsidR="00812C7D" w:rsidRPr="0042020B">
        <w:t>2019</w:t>
      </w:r>
      <w:r w:rsidR="00FB4A10" w:rsidRPr="0042020B">
        <w:noBreakHyphen/>
      </w:r>
      <w:r w:rsidR="00812C7D" w:rsidRPr="0042020B">
        <w:t>20</w:t>
      </w:r>
      <w:r w:rsidR="00F14158" w:rsidRPr="0042020B">
        <w:t>, with a further surplus of $</w:t>
      </w:r>
      <w:r w:rsidR="002E30A0" w:rsidRPr="0042020B">
        <w:t>20.9</w:t>
      </w:r>
      <w:r w:rsidR="00AB7DEB" w:rsidRPr="0042020B">
        <w:t> billion</w:t>
      </w:r>
      <w:r w:rsidR="00F14158" w:rsidRPr="0042020B">
        <w:t xml:space="preserve"> (</w:t>
      </w:r>
      <w:r w:rsidR="002E30A0" w:rsidRPr="0042020B">
        <w:t>1.0</w:t>
      </w:r>
      <w:r w:rsidR="00F14158" w:rsidRPr="0042020B">
        <w:t xml:space="preserve"> per cent of GDP) </w:t>
      </w:r>
      <w:r w:rsidR="00812C7D" w:rsidRPr="0042020B">
        <w:t>in 2020</w:t>
      </w:r>
      <w:r w:rsidR="00FB4A10" w:rsidRPr="0042020B">
        <w:noBreakHyphen/>
      </w:r>
      <w:r w:rsidR="00812C7D" w:rsidRPr="0042020B">
        <w:t>21.</w:t>
      </w:r>
      <w:r w:rsidR="00F14158" w:rsidRPr="0042020B">
        <w:t xml:space="preserve"> After taking into account the net operating</w:t>
      </w:r>
      <w:r w:rsidR="00CA28AE" w:rsidRPr="0042020B">
        <w:t xml:space="preserve"> balance, infrastructure grants</w:t>
      </w:r>
      <w:r w:rsidR="00F14158" w:rsidRPr="0042020B">
        <w:t xml:space="preserve"> and non–cash accounting provisions, the </w:t>
      </w:r>
      <w:r w:rsidR="00F5233D">
        <w:t>Government</w:t>
      </w:r>
      <w:r w:rsidR="00F14158" w:rsidRPr="0042020B">
        <w:t xml:space="preserve"> </w:t>
      </w:r>
      <w:r w:rsidR="00A126E7" w:rsidRPr="0042020B">
        <w:t>is</w:t>
      </w:r>
      <w:r w:rsidR="00F14158" w:rsidRPr="0042020B">
        <w:t xml:space="preserve"> </w:t>
      </w:r>
      <w:r w:rsidR="009D1C46" w:rsidRPr="0042020B">
        <w:t xml:space="preserve">now </w:t>
      </w:r>
      <w:r w:rsidR="00F14158" w:rsidRPr="0042020B">
        <w:t xml:space="preserve">not </w:t>
      </w:r>
      <w:r w:rsidR="00A126E7" w:rsidRPr="0042020B">
        <w:t xml:space="preserve">expected to </w:t>
      </w:r>
      <w:r w:rsidR="00F14158" w:rsidRPr="0042020B">
        <w:t>need to borrow for recurrent spending</w:t>
      </w:r>
      <w:r w:rsidR="00CA28AE" w:rsidRPr="0042020B">
        <w:t xml:space="preserve"> from </w:t>
      </w:r>
      <w:r w:rsidR="00F14158" w:rsidRPr="0042020B">
        <w:t>201</w:t>
      </w:r>
      <w:r w:rsidR="00054A4F" w:rsidRPr="0042020B">
        <w:t>7</w:t>
      </w:r>
      <w:r w:rsidR="00FB4A10" w:rsidRPr="0042020B">
        <w:noBreakHyphen/>
      </w:r>
      <w:r w:rsidR="00105975" w:rsidRPr="0042020B">
        <w:t xml:space="preserve">18, which is a year earlier than was expected at the time of the </w:t>
      </w:r>
      <w:r w:rsidR="000F5D7C" w:rsidRPr="0042020B">
        <w:t>2017</w:t>
      </w:r>
      <w:r w:rsidR="000F5D7C" w:rsidRPr="0042020B">
        <w:noBreakHyphen/>
        <w:t>18 Budget</w:t>
      </w:r>
      <w:r w:rsidR="00F14158" w:rsidRPr="0042020B">
        <w:t>.</w:t>
      </w:r>
      <w:r w:rsidRPr="0042020B">
        <w:fldChar w:fldCharType="begin"/>
      </w:r>
      <w:r w:rsidRPr="0042020B">
        <w:instrText xml:space="preserve"> :End:BPD_JR2 </w:instrText>
      </w:r>
      <w:r w:rsidRPr="0042020B">
        <w:fldChar w:fldCharType="end"/>
      </w:r>
    </w:p>
    <w:p w:rsidR="00C76F3F" w:rsidRPr="0042020B" w:rsidRDefault="00C722B9" w:rsidP="00C76F3F">
      <w:r w:rsidRPr="0042020B">
        <w:fldChar w:fldCharType="begin"/>
      </w:r>
      <w:r w:rsidRPr="0042020B">
        <w:instrText xml:space="preserve"> :Start:BPD_JR1 </w:instrText>
      </w:r>
      <w:r w:rsidRPr="0042020B">
        <w:fldChar w:fldCharType="end"/>
      </w:r>
      <w:r w:rsidR="00250F83" w:rsidRPr="0042020B">
        <w:t xml:space="preserve">Continued discipline will be required to maintain the current trajectory and to sustain </w:t>
      </w:r>
      <w:r w:rsidR="00A126E7" w:rsidRPr="0042020B">
        <w:t xml:space="preserve">underlying cash </w:t>
      </w:r>
      <w:r w:rsidR="00250F83" w:rsidRPr="0042020B">
        <w:t>surpluses beyond 2020</w:t>
      </w:r>
      <w:r w:rsidR="00FB4A10" w:rsidRPr="0042020B">
        <w:noBreakHyphen/>
      </w:r>
      <w:r w:rsidR="00250F83" w:rsidRPr="0042020B">
        <w:t>21.</w:t>
      </w:r>
      <w:r w:rsidRPr="0042020B">
        <w:fldChar w:fldCharType="begin"/>
      </w:r>
      <w:r w:rsidRPr="0042020B">
        <w:instrText xml:space="preserve"> :End:BPD_JR1 </w:instrText>
      </w:r>
      <w:r w:rsidRPr="0042020B">
        <w:fldChar w:fldCharType="end"/>
      </w:r>
      <w:r w:rsidR="00F760E6" w:rsidRPr="0042020B">
        <w:t xml:space="preserve"> </w:t>
      </w:r>
      <w:r w:rsidR="00CD00BD" w:rsidRPr="0042020B">
        <w:fldChar w:fldCharType="begin"/>
      </w:r>
      <w:r w:rsidR="00CD00BD" w:rsidRPr="0042020B">
        <w:instrText xml:space="preserve"> :Start:BPD_JR3 </w:instrText>
      </w:r>
      <w:r w:rsidR="00CD00BD" w:rsidRPr="0042020B">
        <w:fldChar w:fldCharType="end"/>
      </w:r>
      <w:r w:rsidR="0084561E" w:rsidRPr="0042020B">
        <w:t>The underlying cash balance is projected to record modest surpluses over the medium term, peaking at 0.5 per cent of GDP in 2026</w:t>
      </w:r>
      <w:r w:rsidR="00FB4A10" w:rsidRPr="0042020B">
        <w:noBreakHyphen/>
      </w:r>
      <w:r w:rsidR="0084561E" w:rsidRPr="0042020B">
        <w:t>27, before moderating to 0.4 per cent of GDP by 2027</w:t>
      </w:r>
      <w:r w:rsidR="00FB4A10" w:rsidRPr="0042020B">
        <w:noBreakHyphen/>
      </w:r>
      <w:r w:rsidR="0084561E" w:rsidRPr="0042020B">
        <w:t>28. These projections incorporate tax receipts reaching the tax</w:t>
      </w:r>
      <w:r w:rsidR="00FB4A10" w:rsidRPr="0042020B">
        <w:noBreakHyphen/>
      </w:r>
      <w:r w:rsidR="0084561E" w:rsidRPr="0042020B">
        <w:t>to</w:t>
      </w:r>
      <w:r w:rsidR="00FB4A10" w:rsidRPr="0042020B">
        <w:noBreakHyphen/>
      </w:r>
      <w:r w:rsidR="0084561E" w:rsidRPr="0042020B">
        <w:t>GDP ‘cap’ of 23.9 per cent in 2022</w:t>
      </w:r>
      <w:r w:rsidR="00FB4A10" w:rsidRPr="0042020B">
        <w:noBreakHyphen/>
      </w:r>
      <w:r w:rsidR="0084561E" w:rsidRPr="0042020B">
        <w:t xml:space="preserve">23, as was projected at the </w:t>
      </w:r>
      <w:r w:rsidR="000F5D7C" w:rsidRPr="0042020B">
        <w:t>2017</w:t>
      </w:r>
      <w:r w:rsidR="000F5D7C" w:rsidRPr="0042020B">
        <w:noBreakHyphen/>
        <w:t>18 Budget</w:t>
      </w:r>
      <w:r w:rsidR="0084561E" w:rsidRPr="0042020B">
        <w:t>. Beyond 2022</w:t>
      </w:r>
      <w:r w:rsidR="00FB4A10" w:rsidRPr="0042020B">
        <w:noBreakHyphen/>
      </w:r>
      <w:r w:rsidR="0084561E" w:rsidRPr="0042020B">
        <w:t>23, tax receipts are assumed to remain constant as a share of GDP</w:t>
      </w:r>
      <w:r w:rsidR="00041EEA" w:rsidRPr="0042020B">
        <w:t>.</w:t>
      </w:r>
    </w:p>
    <w:p w:rsidR="00C76F3F" w:rsidRPr="0042020B" w:rsidRDefault="00C76F3F" w:rsidP="00C76F3F">
      <w:pPr>
        <w:pStyle w:val="ChartHeading"/>
        <w:rPr>
          <w:vertAlign w:val="superscript"/>
        </w:rPr>
      </w:pPr>
      <w:r w:rsidRPr="0042020B">
        <w:lastRenderedPageBreak/>
        <w:t>Chart 3.</w:t>
      </w:r>
      <w:r w:rsidR="00D316A5" w:rsidRPr="0042020B">
        <w:t>1</w:t>
      </w:r>
      <w:r w:rsidRPr="0042020B">
        <w:t>: Underlying cash balance projected to 2027</w:t>
      </w:r>
      <w:r w:rsidR="00FB4A10" w:rsidRPr="0042020B">
        <w:noBreakHyphen/>
      </w:r>
      <w:r w:rsidR="00653616" w:rsidRPr="0042020B">
        <w:t>28</w:t>
      </w:r>
    </w:p>
    <w:p w:rsidR="00C76F3F" w:rsidRPr="0042020B" w:rsidRDefault="00085FD4" w:rsidP="000851AC">
      <w:pPr>
        <w:pStyle w:val="ChartGraphic"/>
      </w:pPr>
      <w:r w:rsidRPr="0042020B">
        <w:object w:dxaOrig="7366" w:dyaOrig="4516">
          <v:shape id="_x0000_i1028" type="#_x0000_t75" alt="This chart compares the projected underlying cash balance (UCB) at the 2017-18 Budget and 2017-18 MYEFO. Projections of the underlying cash balance have slightly improved since the 2017-18 Budget, with the UCB projected to peak at 0.5 per cent of GDP in 2026-27." style="width:368.15pt;height:226pt" o:ole="">
            <v:imagedata r:id="rId15" o:title=""/>
          </v:shape>
          <o:OLEObject Type="Link" ProgID="Excel.Sheet.12" ShapeID="_x0000_i1028" DrawAspect="Content" r:id="rId16" UpdateMode="Always">
            <o:LinkType>EnhancedMetaFile</o:LinkType>
            <o:LockedField/>
          </o:OLEObject>
        </w:object>
      </w:r>
    </w:p>
    <w:p w:rsidR="00C76F3F" w:rsidRPr="0042020B" w:rsidRDefault="00C76F3F" w:rsidP="00C4489A">
      <w:pPr>
        <w:pStyle w:val="ChartandTableFootnote"/>
        <w:spacing w:before="80"/>
        <w:rPr>
          <w:color w:val="auto"/>
        </w:rPr>
      </w:pPr>
      <w:r w:rsidRPr="0042020B">
        <w:rPr>
          <w:color w:val="auto"/>
        </w:rPr>
        <w:t>Note: A tax</w:t>
      </w:r>
      <w:r w:rsidR="00FB4A10" w:rsidRPr="0042020B">
        <w:rPr>
          <w:color w:val="auto"/>
        </w:rPr>
        <w:noBreakHyphen/>
      </w:r>
      <w:r w:rsidRPr="0042020B">
        <w:rPr>
          <w:color w:val="auto"/>
        </w:rPr>
        <w:t>to</w:t>
      </w:r>
      <w:r w:rsidR="00FB4A10" w:rsidRPr="0042020B">
        <w:rPr>
          <w:color w:val="auto"/>
        </w:rPr>
        <w:noBreakHyphen/>
      </w:r>
      <w:r w:rsidRPr="0042020B">
        <w:rPr>
          <w:color w:val="auto"/>
        </w:rPr>
        <w:t xml:space="preserve">GDP ‘cap’ of 23.9 per cent is applied to the </w:t>
      </w:r>
      <w:r w:rsidR="00AB7DEB" w:rsidRPr="0042020B">
        <w:rPr>
          <w:color w:val="auto"/>
        </w:rPr>
        <w:t>2017</w:t>
      </w:r>
      <w:r w:rsidR="00FB4A10" w:rsidRPr="0042020B">
        <w:rPr>
          <w:color w:val="auto"/>
        </w:rPr>
        <w:noBreakHyphen/>
      </w:r>
      <w:r w:rsidR="00AB7DEB" w:rsidRPr="0042020B">
        <w:rPr>
          <w:color w:val="auto"/>
        </w:rPr>
        <w:t>18 MYEFO</w:t>
      </w:r>
      <w:r w:rsidRPr="0042020B">
        <w:rPr>
          <w:color w:val="auto"/>
        </w:rPr>
        <w:t xml:space="preserve"> projections from 202</w:t>
      </w:r>
      <w:r w:rsidR="0084561E" w:rsidRPr="0042020B">
        <w:rPr>
          <w:color w:val="auto"/>
        </w:rPr>
        <w:t>2</w:t>
      </w:r>
      <w:r w:rsidR="00FB4A10" w:rsidRPr="0042020B">
        <w:rPr>
          <w:color w:val="auto"/>
        </w:rPr>
        <w:noBreakHyphen/>
      </w:r>
      <w:r w:rsidRPr="0042020B">
        <w:rPr>
          <w:color w:val="auto"/>
        </w:rPr>
        <w:t>2</w:t>
      </w:r>
      <w:r w:rsidR="0084561E" w:rsidRPr="0042020B">
        <w:rPr>
          <w:color w:val="auto"/>
        </w:rPr>
        <w:t xml:space="preserve">3, as was projected at the </w:t>
      </w:r>
      <w:r w:rsidR="000F5D7C" w:rsidRPr="0042020B">
        <w:rPr>
          <w:color w:val="auto"/>
        </w:rPr>
        <w:t>2017</w:t>
      </w:r>
      <w:r w:rsidR="000F5D7C" w:rsidRPr="0042020B">
        <w:rPr>
          <w:color w:val="auto"/>
        </w:rPr>
        <w:noBreakHyphen/>
        <w:t>18 Budget</w:t>
      </w:r>
      <w:r w:rsidRPr="0042020B">
        <w:rPr>
          <w:color w:val="auto"/>
        </w:rPr>
        <w:t>. Net Future Fund earnings are included in projections of the underlying cash balance from 2020</w:t>
      </w:r>
      <w:r w:rsidR="00FB4A10" w:rsidRPr="0042020B">
        <w:rPr>
          <w:color w:val="auto"/>
        </w:rPr>
        <w:noBreakHyphen/>
      </w:r>
      <w:r w:rsidRPr="0042020B">
        <w:rPr>
          <w:color w:val="auto"/>
        </w:rPr>
        <w:t xml:space="preserve">21 when drawdowns from the Future Fund </w:t>
      </w:r>
      <w:r w:rsidR="00A126E7" w:rsidRPr="0042020B">
        <w:rPr>
          <w:color w:val="auto"/>
        </w:rPr>
        <w:t>are available</w:t>
      </w:r>
      <w:r w:rsidRPr="0042020B">
        <w:rPr>
          <w:color w:val="auto"/>
        </w:rPr>
        <w:t>.</w:t>
      </w:r>
    </w:p>
    <w:p w:rsidR="00C76F3F" w:rsidRPr="0042020B" w:rsidRDefault="00AD5206" w:rsidP="00AD5206">
      <w:pPr>
        <w:pStyle w:val="ChartandTableFootnote"/>
      </w:pPr>
      <w:r w:rsidRPr="0042020B">
        <w:t>Source: Treasury projections.</w:t>
      </w:r>
    </w:p>
    <w:p w:rsidR="00AD5206" w:rsidRPr="0042020B" w:rsidRDefault="00AD5206" w:rsidP="00AD5206">
      <w:pPr>
        <w:pStyle w:val="SingleParagraph"/>
        <w:rPr>
          <w:lang w:eastAsia="en-AU"/>
        </w:rPr>
      </w:pPr>
    </w:p>
    <w:p w:rsidR="000411DC" w:rsidRPr="0042020B" w:rsidRDefault="00041EEA" w:rsidP="00544BF0">
      <w:pPr>
        <w:pStyle w:val="Bullet"/>
        <w:numPr>
          <w:ilvl w:val="0"/>
          <w:numId w:val="0"/>
        </w:numPr>
      </w:pPr>
      <w:r w:rsidRPr="0042020B">
        <w:t>Chart 3.1 shows the projections of the underlying cash balance to 2027</w:t>
      </w:r>
      <w:r w:rsidR="00FB4A10" w:rsidRPr="0042020B">
        <w:noBreakHyphen/>
      </w:r>
      <w:r w:rsidRPr="0042020B">
        <w:t xml:space="preserve">28 compared with the projections at the </w:t>
      </w:r>
      <w:r w:rsidR="000F5D7C" w:rsidRPr="0042020B">
        <w:t>2017</w:t>
      </w:r>
      <w:r w:rsidR="000F5D7C" w:rsidRPr="0042020B">
        <w:noBreakHyphen/>
        <w:t>18 Budget</w:t>
      </w:r>
      <w:r w:rsidRPr="0042020B">
        <w:t>.</w:t>
      </w:r>
      <w:r w:rsidR="00707B1E" w:rsidRPr="0042020B">
        <w:t xml:space="preserve"> The</w:t>
      </w:r>
      <w:r w:rsidR="00A50D5A" w:rsidRPr="0042020B">
        <w:t xml:space="preserve"> projections of the underlying cash balance over the med</w:t>
      </w:r>
      <w:r w:rsidR="00707B1E" w:rsidRPr="0042020B">
        <w:t>ium term have slightly improved,</w:t>
      </w:r>
      <w:r w:rsidR="00A50D5A" w:rsidRPr="0042020B">
        <w:t xml:space="preserve"> driven by lower projected payments which more than offset lower tax receipts. </w:t>
      </w:r>
      <w:r w:rsidR="00DC630E" w:rsidRPr="0042020B">
        <w:t>The chart also illustrates the underlying cash balance projected to 2027</w:t>
      </w:r>
      <w:r w:rsidR="00DC630E" w:rsidRPr="0042020B">
        <w:noBreakHyphen/>
        <w:t>28 without the tax</w:t>
      </w:r>
      <w:r w:rsidR="00DC630E" w:rsidRPr="0042020B">
        <w:noBreakHyphen/>
        <w:t>to</w:t>
      </w:r>
      <w:r w:rsidR="00DC630E" w:rsidRPr="0042020B">
        <w:noBreakHyphen/>
        <w:t>GDP ‘cap’ assumption.</w:t>
      </w:r>
      <w:r w:rsidR="00A50D5A" w:rsidRPr="0042020B">
        <w:t xml:space="preserve"> In the absence of this assumption, the underlying cash balance is projected to reach a surplus of 1.6 per cent of GDP in 2027</w:t>
      </w:r>
      <w:r w:rsidR="00A50D5A" w:rsidRPr="0042020B">
        <w:noBreakHyphen/>
        <w:t>28.</w:t>
      </w:r>
      <w:r w:rsidR="00707B1E" w:rsidRPr="0042020B">
        <w:t xml:space="preserve"> </w:t>
      </w:r>
      <w:r w:rsidR="00946AE3" w:rsidRPr="0042020B">
        <w:t>This would be unrealistic, as unconstrained revenue projections imply constantly increasing average tax rates on personal income</w:t>
      </w:r>
      <w:r w:rsidR="00707B1E" w:rsidRPr="0042020B">
        <w:t>.</w:t>
      </w:r>
      <w:r w:rsidR="00817565" w:rsidRPr="0042020B">
        <w:fldChar w:fldCharType="begin"/>
      </w:r>
      <w:r w:rsidR="00817565" w:rsidRPr="0042020B">
        <w:instrText xml:space="preserve"> :End:BPD_JR3 </w:instrText>
      </w:r>
      <w:r w:rsidR="00817565" w:rsidRPr="0042020B">
        <w:fldChar w:fldCharType="end"/>
      </w:r>
      <w:bookmarkStart w:id="10" w:name="_Toc434412633"/>
      <w:bookmarkStart w:id="11" w:name="_Toc436316548"/>
    </w:p>
    <w:bookmarkStart w:id="12" w:name="_Toc434412635"/>
    <w:bookmarkStart w:id="13" w:name="_Toc436316550"/>
    <w:bookmarkEnd w:id="10"/>
    <w:bookmarkEnd w:id="11"/>
    <w:p w:rsidR="000411DC" w:rsidRPr="0042020B" w:rsidRDefault="007535E3" w:rsidP="00A60A4A">
      <w:pPr>
        <w:pStyle w:val="Heading4"/>
      </w:pPr>
      <w:r w:rsidRPr="0042020B">
        <w:rPr>
          <w:bCs/>
          <w:sz w:val="22"/>
          <w:szCs w:val="26"/>
        </w:rPr>
        <w:fldChar w:fldCharType="begin"/>
      </w:r>
      <w:r w:rsidRPr="0042020B">
        <w:rPr>
          <w:bCs/>
          <w:sz w:val="22"/>
          <w:szCs w:val="26"/>
        </w:rPr>
        <w:instrText xml:space="preserve"> :Start:BPD_JR5 </w:instrText>
      </w:r>
      <w:r w:rsidRPr="0042020B">
        <w:rPr>
          <w:bCs/>
          <w:sz w:val="22"/>
          <w:szCs w:val="26"/>
        </w:rPr>
        <w:fldChar w:fldCharType="end"/>
      </w:r>
      <w:r w:rsidR="00A60A4A" w:rsidRPr="0042020B">
        <w:rPr>
          <w:bCs/>
          <w:sz w:val="22"/>
          <w:szCs w:val="26"/>
        </w:rPr>
        <w:t>Strengthening</w:t>
      </w:r>
      <w:r w:rsidR="009C584D" w:rsidRPr="0042020B">
        <w:rPr>
          <w:bCs/>
          <w:sz w:val="22"/>
          <w:szCs w:val="26"/>
        </w:rPr>
        <w:t xml:space="preserve"> the Government’s balance sheet</w:t>
      </w:r>
    </w:p>
    <w:p w:rsidR="00E75297" w:rsidRPr="0042020B" w:rsidRDefault="00E75297" w:rsidP="00E75297">
      <w:r w:rsidRPr="0042020B">
        <w:t xml:space="preserve">A strong balance sheet provides the Government the flexibility to respond to unanticipated events during times of financial crises or economic shocks. </w:t>
      </w:r>
      <w:r w:rsidR="00ED32BE" w:rsidRPr="0042020B">
        <w:t>Some key</w:t>
      </w:r>
      <w:r w:rsidRPr="0042020B">
        <w:t xml:space="preserve"> aggregates </w:t>
      </w:r>
      <w:r w:rsidR="00ED32BE" w:rsidRPr="0042020B">
        <w:t>that relate to the balance sheet</w:t>
      </w:r>
      <w:r w:rsidRPr="0042020B">
        <w:t xml:space="preserve"> are set out in Table</w:t>
      </w:r>
      <w:r w:rsidR="003602A0" w:rsidRPr="0042020B">
        <w:t> </w:t>
      </w:r>
      <w:r w:rsidRPr="0042020B">
        <w:t>3.</w:t>
      </w:r>
      <w:r w:rsidR="00653616" w:rsidRPr="0042020B">
        <w:t>3</w:t>
      </w:r>
      <w:r w:rsidRPr="0042020B">
        <w:t xml:space="preserve">. </w:t>
      </w:r>
      <w:r w:rsidR="007535E3" w:rsidRPr="0042020B">
        <w:fldChar w:fldCharType="begin"/>
      </w:r>
      <w:r w:rsidR="007535E3" w:rsidRPr="0042020B">
        <w:instrText xml:space="preserve"> :End:BPD_JR5 </w:instrText>
      </w:r>
      <w:r w:rsidR="007535E3" w:rsidRPr="0042020B">
        <w:fldChar w:fldCharType="end"/>
      </w:r>
    </w:p>
    <w:p w:rsidR="000411DC" w:rsidRPr="0042020B" w:rsidRDefault="00A44FB1" w:rsidP="00B871FA">
      <w:pPr>
        <w:pStyle w:val="TableHeading"/>
      </w:pPr>
      <w:r w:rsidRPr="0042020B">
        <w:lastRenderedPageBreak/>
        <w:fldChar w:fldCharType="begin"/>
      </w:r>
      <w:r w:rsidRPr="0042020B">
        <w:instrText xml:space="preserve"> :Start:FARM_PG1 </w:instrText>
      </w:r>
      <w:r w:rsidRPr="0042020B">
        <w:fldChar w:fldCharType="end"/>
      </w:r>
      <w:r w:rsidR="000411DC" w:rsidRPr="0042020B">
        <w:t>Table 3.</w:t>
      </w:r>
      <w:r w:rsidR="00D316A5" w:rsidRPr="0042020B">
        <w:t>3</w:t>
      </w:r>
      <w:r w:rsidR="000411DC" w:rsidRPr="0042020B">
        <w:t>: Australian Government general government sector net worth, net financial worth, net debt and net interest payments</w:t>
      </w:r>
    </w:p>
    <w:p w:rsidR="000411DC" w:rsidRPr="0042020B" w:rsidRDefault="00C4489A" w:rsidP="005618FD">
      <w:pPr>
        <w:pStyle w:val="TableGraphic"/>
      </w:pPr>
      <w:r w:rsidRPr="0042020B">
        <w:object w:dxaOrig="7727" w:dyaOrig="7086">
          <v:shape id="_x0000_i1029" type="#_x0000_t75" style="width:386.3pt;height:354.35pt" o:ole="">
            <v:imagedata r:id="rId17" o:title=""/>
          </v:shape>
          <o:OLEObject Type="Link" ProgID="Excel.SheetMacroEnabled.12" ShapeID="_x0000_i1029" DrawAspect="Content" r:id="rId18" UpdateMode="Always">
            <o:LinkType>EnhancedMetaFile</o:LinkType>
            <o:LockedField/>
          </o:OLEObject>
        </w:object>
      </w:r>
    </w:p>
    <w:p w:rsidR="000411DC" w:rsidRPr="0042020B" w:rsidRDefault="000411DC" w:rsidP="00337498">
      <w:pPr>
        <w:pStyle w:val="ChartandTableFootnoteAlpha"/>
        <w:numPr>
          <w:ilvl w:val="0"/>
          <w:numId w:val="17"/>
        </w:numPr>
        <w:rPr>
          <w:color w:val="auto"/>
        </w:rPr>
      </w:pPr>
      <w:r w:rsidRPr="0042020B">
        <w:rPr>
          <w:color w:val="auto"/>
        </w:rPr>
        <w:t>Net financial worth equals total financial assets minus total liabilities.</w:t>
      </w:r>
    </w:p>
    <w:p w:rsidR="000411DC" w:rsidRPr="0042020B" w:rsidRDefault="000411DC" w:rsidP="00337498">
      <w:pPr>
        <w:pStyle w:val="ChartandTableFootnoteAlpha"/>
        <w:numPr>
          <w:ilvl w:val="0"/>
          <w:numId w:val="16"/>
        </w:numPr>
        <w:rPr>
          <w:color w:val="auto"/>
        </w:rPr>
      </w:pPr>
      <w:r w:rsidRPr="0042020B">
        <w:rPr>
          <w:color w:val="auto"/>
        </w:rPr>
        <w:t>Net debt equals the sum of deposits held, government securities, loans and other borrowing, minus the sum of cash and deposits, advances paid and investments, loans and placements.</w:t>
      </w:r>
      <w:r w:rsidR="00A44FB1" w:rsidRPr="0042020B">
        <w:rPr>
          <w:color w:val="auto"/>
        </w:rPr>
        <w:fldChar w:fldCharType="begin"/>
      </w:r>
      <w:r w:rsidR="00A44FB1" w:rsidRPr="0042020B">
        <w:rPr>
          <w:color w:val="auto"/>
        </w:rPr>
        <w:instrText xml:space="preserve"> :End:FARM_PG1 </w:instrText>
      </w:r>
      <w:r w:rsidR="00A44FB1" w:rsidRPr="0042020B">
        <w:rPr>
          <w:color w:val="auto"/>
        </w:rPr>
        <w:fldChar w:fldCharType="end"/>
      </w:r>
    </w:p>
    <w:p w:rsidR="000411DC" w:rsidRPr="0042020B" w:rsidRDefault="000411DC" w:rsidP="000411DC">
      <w:pPr>
        <w:pStyle w:val="SingleParagraph"/>
      </w:pPr>
    </w:p>
    <w:p w:rsidR="001A2246" w:rsidRPr="0042020B" w:rsidRDefault="007535E3" w:rsidP="001A2246">
      <w:r w:rsidRPr="0042020B">
        <w:rPr>
          <w:b/>
        </w:rPr>
        <w:fldChar w:fldCharType="begin"/>
      </w:r>
      <w:r w:rsidRPr="0042020B">
        <w:rPr>
          <w:b/>
        </w:rPr>
        <w:instrText xml:space="preserve"> :Start:BPD_JR5 </w:instrText>
      </w:r>
      <w:r w:rsidRPr="0042020B">
        <w:rPr>
          <w:b/>
        </w:rPr>
        <w:fldChar w:fldCharType="end"/>
      </w:r>
      <w:r w:rsidR="001A2246" w:rsidRPr="0042020B">
        <w:rPr>
          <w:b/>
        </w:rPr>
        <w:t>Net financial worth</w:t>
      </w:r>
      <w:r w:rsidR="001A2246" w:rsidRPr="0042020B">
        <w:t xml:space="preserve"> is an indicator of fiscal sustainability in the medium</w:t>
      </w:r>
      <w:r w:rsidR="00FB4A10" w:rsidRPr="0042020B">
        <w:noBreakHyphen/>
      </w:r>
      <w:r w:rsidR="001A2246" w:rsidRPr="0042020B">
        <w:t>term fiscal strategy. It measure</w:t>
      </w:r>
      <w:r w:rsidR="00727A34" w:rsidRPr="0042020B">
        <w:t>s</w:t>
      </w:r>
      <w:r w:rsidR="001A2246" w:rsidRPr="0042020B">
        <w:t xml:space="preserve"> the Gove</w:t>
      </w:r>
      <w:r w:rsidR="002F4215" w:rsidRPr="0042020B">
        <w:t xml:space="preserve">rnment’s financial assets and liabilities, </w:t>
      </w:r>
      <w:r w:rsidR="001A2246" w:rsidRPr="0042020B">
        <w:t>includ</w:t>
      </w:r>
      <w:r w:rsidR="002F4215" w:rsidRPr="0042020B">
        <w:t>ing</w:t>
      </w:r>
      <w:r w:rsidR="001A2246" w:rsidRPr="0042020B">
        <w:t xml:space="preserve"> both the assets of the Future Fund and the public superannuation liability that the Future</w:t>
      </w:r>
      <w:r w:rsidR="00DD4771" w:rsidRPr="0042020B">
        <w:t> </w:t>
      </w:r>
      <w:r w:rsidR="001A2246" w:rsidRPr="0042020B">
        <w:t>Fund seeks to finance.</w:t>
      </w:r>
    </w:p>
    <w:p w:rsidR="001A2246" w:rsidRPr="0042020B" w:rsidRDefault="00707B1E" w:rsidP="001A2246">
      <w:r w:rsidRPr="0042020B">
        <w:rPr>
          <w:szCs w:val="20"/>
        </w:rPr>
        <w:t>Compared with the 2017</w:t>
      </w:r>
      <w:r w:rsidRPr="0042020B">
        <w:rPr>
          <w:szCs w:val="20"/>
        </w:rPr>
        <w:noBreakHyphen/>
        <w:t xml:space="preserve">18 Budget, net financial worth has improved over the forward estimates. </w:t>
      </w:r>
      <w:r w:rsidR="00A93432" w:rsidRPr="0042020B">
        <w:rPr>
          <w:szCs w:val="20"/>
        </w:rPr>
        <w:t xml:space="preserve">Net financial worth is estimated to be </w:t>
      </w:r>
      <w:r w:rsidR="00FB4A10" w:rsidRPr="0042020B">
        <w:rPr>
          <w:szCs w:val="20"/>
        </w:rPr>
        <w:noBreakHyphen/>
      </w:r>
      <w:r w:rsidR="002E30A0" w:rsidRPr="0042020B">
        <w:rPr>
          <w:szCs w:val="20"/>
        </w:rPr>
        <w:t>$451.3</w:t>
      </w:r>
      <w:r w:rsidR="007E34FC" w:rsidRPr="0042020B">
        <w:rPr>
          <w:szCs w:val="20"/>
        </w:rPr>
        <w:t> billion in 2017</w:t>
      </w:r>
      <w:r w:rsidR="00FB4A10" w:rsidRPr="0042020B">
        <w:rPr>
          <w:szCs w:val="20"/>
        </w:rPr>
        <w:noBreakHyphen/>
      </w:r>
      <w:r w:rsidR="007E34FC" w:rsidRPr="0042020B">
        <w:rPr>
          <w:szCs w:val="20"/>
        </w:rPr>
        <w:t xml:space="preserve">18, </w:t>
      </w:r>
      <w:r w:rsidR="00A93432" w:rsidRPr="0042020B">
        <w:rPr>
          <w:szCs w:val="20"/>
        </w:rPr>
        <w:t>$</w:t>
      </w:r>
      <w:r w:rsidR="002E30A0" w:rsidRPr="0042020B">
        <w:rPr>
          <w:szCs w:val="20"/>
        </w:rPr>
        <w:t>6.5</w:t>
      </w:r>
      <w:r w:rsidR="007E34FC" w:rsidRPr="0042020B">
        <w:rPr>
          <w:szCs w:val="20"/>
        </w:rPr>
        <w:t> </w:t>
      </w:r>
      <w:r w:rsidR="00BA0E8C" w:rsidRPr="0042020B">
        <w:rPr>
          <w:szCs w:val="20"/>
        </w:rPr>
        <w:t>b</w:t>
      </w:r>
      <w:r w:rsidR="007E34FC" w:rsidRPr="0042020B">
        <w:rPr>
          <w:szCs w:val="20"/>
        </w:rPr>
        <w:t xml:space="preserve">illion </w:t>
      </w:r>
      <w:r w:rsidR="002E30A0" w:rsidRPr="0042020B">
        <w:rPr>
          <w:szCs w:val="20"/>
        </w:rPr>
        <w:t>better</w:t>
      </w:r>
      <w:r w:rsidR="00A93432" w:rsidRPr="0042020B">
        <w:rPr>
          <w:szCs w:val="20"/>
        </w:rPr>
        <w:t xml:space="preserve"> than estimated at the </w:t>
      </w:r>
      <w:r w:rsidR="000F5D7C" w:rsidRPr="0042020B">
        <w:rPr>
          <w:szCs w:val="20"/>
        </w:rPr>
        <w:t>2017</w:t>
      </w:r>
      <w:r w:rsidR="000F5D7C" w:rsidRPr="0042020B">
        <w:rPr>
          <w:szCs w:val="20"/>
        </w:rPr>
        <w:noBreakHyphen/>
        <w:t>18 Budget</w:t>
      </w:r>
      <w:r w:rsidR="00A93432" w:rsidRPr="0042020B">
        <w:rPr>
          <w:szCs w:val="20"/>
        </w:rPr>
        <w:t xml:space="preserve">. </w:t>
      </w:r>
      <w:r w:rsidR="00E229C4" w:rsidRPr="0042020B">
        <w:rPr>
          <w:szCs w:val="20"/>
        </w:rPr>
        <w:t>This reflects lower CGS issuance and an increase in the value of certain investments held by the Government, offset by a decrease in advances paid.</w:t>
      </w:r>
      <w:r w:rsidR="007535E3" w:rsidRPr="0042020B">
        <w:fldChar w:fldCharType="begin"/>
      </w:r>
      <w:r w:rsidR="007535E3" w:rsidRPr="0042020B">
        <w:instrText xml:space="preserve"> :End:BPD_JR5 </w:instrText>
      </w:r>
      <w:r w:rsidR="007535E3" w:rsidRPr="0042020B">
        <w:fldChar w:fldCharType="end"/>
      </w:r>
    </w:p>
    <w:p w:rsidR="001A2246" w:rsidRPr="0042020B" w:rsidRDefault="001A2246" w:rsidP="001A2246">
      <w:pPr>
        <w:pStyle w:val="SingleParagraph"/>
      </w:pPr>
      <w:r w:rsidRPr="0042020B">
        <w:fldChar w:fldCharType="begin"/>
      </w:r>
      <w:r w:rsidRPr="0042020B">
        <w:instrText xml:space="preserve"> :Start:BPD_JR3 </w:instrText>
      </w:r>
      <w:r w:rsidRPr="0042020B">
        <w:fldChar w:fldCharType="end"/>
      </w:r>
      <w:r w:rsidR="00886418" w:rsidRPr="0042020B">
        <w:t xml:space="preserve">Net financial worth </w:t>
      </w:r>
      <w:r w:rsidR="00707B1E" w:rsidRPr="0042020B">
        <w:t xml:space="preserve">also </w:t>
      </w:r>
      <w:r w:rsidR="00886418" w:rsidRPr="0042020B">
        <w:t xml:space="preserve">improves as a share of GDP over the medium term, rising to </w:t>
      </w:r>
      <w:r w:rsidR="00FB4A10" w:rsidRPr="0042020B">
        <w:noBreakHyphen/>
      </w:r>
      <w:r w:rsidR="00886418" w:rsidRPr="0042020B">
        <w:t>$29</w:t>
      </w:r>
      <w:r w:rsidR="00F5233D">
        <w:t>9</w:t>
      </w:r>
      <w:r w:rsidR="00886418" w:rsidRPr="0042020B">
        <w:t> billion (</w:t>
      </w:r>
      <w:r w:rsidR="00FB4A10" w:rsidRPr="0042020B">
        <w:noBreakHyphen/>
      </w:r>
      <w:r w:rsidR="00886418" w:rsidRPr="0042020B">
        <w:t>10.1 per cent of GDP) by 2027</w:t>
      </w:r>
      <w:r w:rsidR="00FB4A10" w:rsidRPr="0042020B">
        <w:noBreakHyphen/>
      </w:r>
      <w:r w:rsidR="007A690E" w:rsidRPr="0042020B">
        <w:t>28</w:t>
      </w:r>
      <w:r w:rsidR="00886418" w:rsidRPr="0042020B">
        <w:t>.</w:t>
      </w:r>
      <w:r w:rsidR="00EB7409" w:rsidRPr="0042020B">
        <w:t xml:space="preserve"> </w:t>
      </w:r>
      <w:r w:rsidR="00EB7409" w:rsidRPr="0042020B">
        <w:fldChar w:fldCharType="begin"/>
      </w:r>
      <w:r w:rsidR="00EB7409" w:rsidRPr="0042020B">
        <w:instrText xml:space="preserve"> :End:BPD_JR3 </w:instrText>
      </w:r>
      <w:r w:rsidR="00EB7409" w:rsidRPr="0042020B">
        <w:fldChar w:fldCharType="end"/>
      </w:r>
    </w:p>
    <w:p w:rsidR="00AB7DEB" w:rsidRPr="0042020B" w:rsidRDefault="007535E3" w:rsidP="000411DC">
      <w:r w:rsidRPr="0042020B">
        <w:rPr>
          <w:b/>
        </w:rPr>
        <w:lastRenderedPageBreak/>
        <w:fldChar w:fldCharType="begin"/>
      </w:r>
      <w:r w:rsidRPr="0042020B">
        <w:rPr>
          <w:b/>
        </w:rPr>
        <w:instrText xml:space="preserve"> :Start:BPD_JR5 </w:instrText>
      </w:r>
      <w:r w:rsidRPr="0042020B">
        <w:rPr>
          <w:b/>
        </w:rPr>
        <w:fldChar w:fldCharType="end"/>
      </w:r>
      <w:r w:rsidR="00AB7DEB" w:rsidRPr="0042020B">
        <w:rPr>
          <w:b/>
        </w:rPr>
        <w:t>Net worth</w:t>
      </w:r>
      <w:r w:rsidR="00AB7DEB" w:rsidRPr="0042020B">
        <w:t xml:space="preserve"> is equal to total assets less total liabilities. It reflects the contribution of the Australian Government to the wealth of Australia. </w:t>
      </w:r>
      <w:r w:rsidR="00707B1E" w:rsidRPr="0042020B">
        <w:rPr>
          <w:szCs w:val="20"/>
        </w:rPr>
        <w:t>Compared with the 2017</w:t>
      </w:r>
      <w:r w:rsidR="00707B1E" w:rsidRPr="0042020B">
        <w:rPr>
          <w:szCs w:val="20"/>
        </w:rPr>
        <w:noBreakHyphen/>
        <w:t xml:space="preserve">18 Budget, net worth has improved over the forward estimates. </w:t>
      </w:r>
      <w:r w:rsidR="00A93432" w:rsidRPr="0042020B">
        <w:rPr>
          <w:szCs w:val="20"/>
        </w:rPr>
        <w:t xml:space="preserve">Net worth is estimated to be </w:t>
      </w:r>
      <w:r w:rsidR="00FB4A10" w:rsidRPr="0042020B">
        <w:rPr>
          <w:szCs w:val="20"/>
        </w:rPr>
        <w:noBreakHyphen/>
      </w:r>
      <w:r w:rsidR="002E30A0" w:rsidRPr="0042020B">
        <w:rPr>
          <w:szCs w:val="20"/>
        </w:rPr>
        <w:t>$310.7</w:t>
      </w:r>
      <w:r w:rsidR="007E34FC" w:rsidRPr="0042020B">
        <w:rPr>
          <w:szCs w:val="20"/>
        </w:rPr>
        <w:t> billion</w:t>
      </w:r>
      <w:r w:rsidR="00A93432" w:rsidRPr="0042020B">
        <w:rPr>
          <w:szCs w:val="20"/>
        </w:rPr>
        <w:t xml:space="preserve"> in 2017</w:t>
      </w:r>
      <w:r w:rsidR="00FB4A10" w:rsidRPr="0042020B">
        <w:rPr>
          <w:szCs w:val="20"/>
        </w:rPr>
        <w:noBreakHyphen/>
      </w:r>
      <w:r w:rsidR="00A93432" w:rsidRPr="0042020B">
        <w:rPr>
          <w:szCs w:val="20"/>
        </w:rPr>
        <w:t>18, $</w:t>
      </w:r>
      <w:r w:rsidR="002E30A0" w:rsidRPr="0042020B">
        <w:rPr>
          <w:szCs w:val="20"/>
        </w:rPr>
        <w:t>7.4</w:t>
      </w:r>
      <w:r w:rsidR="00A93432" w:rsidRPr="0042020B">
        <w:rPr>
          <w:szCs w:val="20"/>
        </w:rPr>
        <w:t> </w:t>
      </w:r>
      <w:r w:rsidR="00870F11" w:rsidRPr="0042020B">
        <w:rPr>
          <w:szCs w:val="20"/>
        </w:rPr>
        <w:t>b</w:t>
      </w:r>
      <w:r w:rsidR="00A93432" w:rsidRPr="0042020B">
        <w:rPr>
          <w:szCs w:val="20"/>
        </w:rPr>
        <w:t xml:space="preserve">illion </w:t>
      </w:r>
      <w:r w:rsidR="002E30A0" w:rsidRPr="0042020B">
        <w:rPr>
          <w:szCs w:val="20"/>
        </w:rPr>
        <w:t>higher</w:t>
      </w:r>
      <w:r w:rsidR="00A93432" w:rsidRPr="0042020B">
        <w:rPr>
          <w:szCs w:val="20"/>
        </w:rPr>
        <w:t xml:space="preserve"> than estimated at the </w:t>
      </w:r>
      <w:r w:rsidR="000F5D7C" w:rsidRPr="0042020B">
        <w:rPr>
          <w:szCs w:val="20"/>
        </w:rPr>
        <w:t>2017</w:t>
      </w:r>
      <w:r w:rsidR="000F5D7C" w:rsidRPr="0042020B">
        <w:rPr>
          <w:szCs w:val="20"/>
        </w:rPr>
        <w:noBreakHyphen/>
        <w:t>18 Budget</w:t>
      </w:r>
      <w:r w:rsidR="00A93432" w:rsidRPr="0042020B">
        <w:rPr>
          <w:szCs w:val="20"/>
        </w:rPr>
        <w:t xml:space="preserve">. </w:t>
      </w:r>
    </w:p>
    <w:p w:rsidR="00E75297" w:rsidRPr="0042020B" w:rsidRDefault="00E75297" w:rsidP="000411DC">
      <w:r w:rsidRPr="0042020B">
        <w:rPr>
          <w:b/>
        </w:rPr>
        <w:t>Net debt</w:t>
      </w:r>
      <w:r w:rsidRPr="0042020B">
        <w:t xml:space="preserve"> is the sum of selected financial liabilities less the sum of selected financial assets and is a common measure of the strength of a government’s financial position. High levels of net debt impose a call on future revenue flows to service that debt.</w:t>
      </w:r>
    </w:p>
    <w:p w:rsidR="00707B1E" w:rsidRPr="0042020B" w:rsidRDefault="00A93432" w:rsidP="00E75297">
      <w:pPr>
        <w:spacing w:after="220"/>
        <w:rPr>
          <w:szCs w:val="20"/>
        </w:rPr>
      </w:pPr>
      <w:r w:rsidRPr="0042020B">
        <w:rPr>
          <w:szCs w:val="20"/>
        </w:rPr>
        <w:t xml:space="preserve">Net debt is estimated to peak as a proportion of GDP at </w:t>
      </w:r>
      <w:r w:rsidR="002E30A0" w:rsidRPr="0042020B">
        <w:rPr>
          <w:szCs w:val="20"/>
        </w:rPr>
        <w:t>19.2</w:t>
      </w:r>
      <w:r w:rsidRPr="0042020B">
        <w:rPr>
          <w:szCs w:val="20"/>
        </w:rPr>
        <w:t xml:space="preserve"> per cent in </w:t>
      </w:r>
      <w:r w:rsidR="002E30A0" w:rsidRPr="0042020B">
        <w:rPr>
          <w:szCs w:val="20"/>
        </w:rPr>
        <w:t>2018</w:t>
      </w:r>
      <w:r w:rsidR="00FB4A10" w:rsidRPr="0042020B">
        <w:rPr>
          <w:szCs w:val="20"/>
        </w:rPr>
        <w:noBreakHyphen/>
      </w:r>
      <w:r w:rsidR="002E30A0" w:rsidRPr="0042020B">
        <w:rPr>
          <w:szCs w:val="20"/>
        </w:rPr>
        <w:t>19</w:t>
      </w:r>
      <w:r w:rsidRPr="0042020B">
        <w:rPr>
          <w:szCs w:val="20"/>
        </w:rPr>
        <w:t xml:space="preserve">, lower than the peak of 19.8 per cent expected at the </w:t>
      </w:r>
      <w:r w:rsidR="000F5D7C" w:rsidRPr="0042020B">
        <w:rPr>
          <w:szCs w:val="20"/>
        </w:rPr>
        <w:t>2017</w:t>
      </w:r>
      <w:r w:rsidR="000F5D7C" w:rsidRPr="0042020B">
        <w:rPr>
          <w:szCs w:val="20"/>
        </w:rPr>
        <w:noBreakHyphen/>
        <w:t>18 Budget</w:t>
      </w:r>
      <w:r w:rsidR="00707B1E" w:rsidRPr="0042020B">
        <w:rPr>
          <w:szCs w:val="20"/>
        </w:rPr>
        <w:t>.</w:t>
      </w:r>
    </w:p>
    <w:p w:rsidR="00707B1E" w:rsidRPr="0042020B" w:rsidRDefault="00707B1E" w:rsidP="00E75297">
      <w:pPr>
        <w:spacing w:after="220"/>
      </w:pPr>
      <w:r w:rsidRPr="0042020B">
        <w:rPr>
          <w:szCs w:val="20"/>
        </w:rPr>
        <w:t>In the 2017-18 Budget, net debt was projected to be $366</w:t>
      </w:r>
      <w:r w:rsidR="009E0685">
        <w:rPr>
          <w:szCs w:val="20"/>
        </w:rPr>
        <w:t>.2</w:t>
      </w:r>
      <w:r w:rsidRPr="0042020B">
        <w:rPr>
          <w:szCs w:val="20"/>
        </w:rPr>
        <w:t> billion in 2020</w:t>
      </w:r>
      <w:r w:rsidRPr="0042020B">
        <w:rPr>
          <w:szCs w:val="20"/>
        </w:rPr>
        <w:noBreakHyphen/>
        <w:t>21. It is now projected to be $355</w:t>
      </w:r>
      <w:r w:rsidR="009E0685">
        <w:rPr>
          <w:szCs w:val="20"/>
        </w:rPr>
        <w:t>.3</w:t>
      </w:r>
      <w:r w:rsidRPr="0042020B">
        <w:rPr>
          <w:szCs w:val="20"/>
        </w:rPr>
        <w:t> billion</w:t>
      </w:r>
      <w:r w:rsidR="00AB273A" w:rsidRPr="0042020B">
        <w:rPr>
          <w:szCs w:val="20"/>
        </w:rPr>
        <w:t xml:space="preserve"> (or </w:t>
      </w:r>
      <w:r w:rsidRPr="0042020B">
        <w:rPr>
          <w:szCs w:val="20"/>
        </w:rPr>
        <w:t>$1</w:t>
      </w:r>
      <w:r w:rsidR="009E0685">
        <w:rPr>
          <w:szCs w:val="20"/>
        </w:rPr>
        <w:t>0.9</w:t>
      </w:r>
      <w:r w:rsidRPr="0042020B">
        <w:rPr>
          <w:szCs w:val="20"/>
        </w:rPr>
        <w:t> billion lower</w:t>
      </w:r>
      <w:r w:rsidR="00AB273A" w:rsidRPr="0042020B">
        <w:rPr>
          <w:szCs w:val="20"/>
        </w:rPr>
        <w:t>)</w:t>
      </w:r>
      <w:r w:rsidRPr="0042020B">
        <w:rPr>
          <w:szCs w:val="20"/>
        </w:rPr>
        <w:t xml:space="preserve"> in 2020</w:t>
      </w:r>
      <w:r w:rsidRPr="0042020B">
        <w:rPr>
          <w:szCs w:val="20"/>
        </w:rPr>
        <w:noBreakHyphen/>
        <w:t>21, declining as a share of GDP to 17.2 per cent.</w:t>
      </w:r>
      <w:r w:rsidR="00C17B52" w:rsidRPr="0042020B">
        <w:fldChar w:fldCharType="begin"/>
      </w:r>
      <w:r w:rsidR="00C17B52" w:rsidRPr="0042020B">
        <w:instrText xml:space="preserve"> :End:BPD_JR</w:instrText>
      </w:r>
      <w:r w:rsidR="007535E3" w:rsidRPr="0042020B">
        <w:instrText>5</w:instrText>
      </w:r>
      <w:r w:rsidR="00C17B52" w:rsidRPr="0042020B">
        <w:instrText xml:space="preserve"> </w:instrText>
      </w:r>
      <w:r w:rsidR="00C17B52" w:rsidRPr="0042020B">
        <w:fldChar w:fldCharType="end"/>
      </w:r>
      <w:r w:rsidR="00E75297" w:rsidRPr="0042020B">
        <w:t xml:space="preserve"> </w:t>
      </w:r>
    </w:p>
    <w:p w:rsidR="00E75297" w:rsidRPr="0042020B" w:rsidRDefault="0026755E" w:rsidP="00E75297">
      <w:pPr>
        <w:spacing w:after="220"/>
      </w:pPr>
      <w:r w:rsidRPr="0042020B">
        <w:fldChar w:fldCharType="begin"/>
      </w:r>
      <w:r w:rsidRPr="0042020B">
        <w:instrText xml:space="preserve"> :Start:BPD_JR3 </w:instrText>
      </w:r>
      <w:r w:rsidRPr="0042020B">
        <w:fldChar w:fldCharType="end"/>
      </w:r>
      <w:r w:rsidR="00707B1E" w:rsidRPr="0042020B">
        <w:t>In the 2017</w:t>
      </w:r>
      <w:r w:rsidR="00707B1E" w:rsidRPr="0042020B">
        <w:noBreakHyphen/>
        <w:t>18 Budget, n</w:t>
      </w:r>
      <w:r w:rsidR="007D4DA3" w:rsidRPr="0042020B">
        <w:t>et debt was projected to be $256</w:t>
      </w:r>
      <w:r w:rsidR="00707B1E" w:rsidRPr="0042020B">
        <w:t xml:space="preserve"> billion in 2027</w:t>
      </w:r>
      <w:r w:rsidR="00707B1E" w:rsidRPr="0042020B">
        <w:noBreakHyphen/>
        <w:t>28. Net debt is now projected to reach $228 billion by 2027</w:t>
      </w:r>
      <w:r w:rsidR="00707B1E" w:rsidRPr="0042020B">
        <w:noBreakHyphen/>
        <w:t xml:space="preserve">28 </w:t>
      </w:r>
      <w:r w:rsidR="00DB4498">
        <w:t>(</w:t>
      </w:r>
      <w:r w:rsidR="00707B1E" w:rsidRPr="0042020B">
        <w:t>$28 billion</w:t>
      </w:r>
      <w:r w:rsidR="00DB4498">
        <w:t xml:space="preserve"> lower),</w:t>
      </w:r>
      <w:r w:rsidR="00707B1E" w:rsidRPr="0042020B">
        <w:t xml:space="preserve"> falling to 7.7 per cent of GDP (Chart 3.2).</w:t>
      </w:r>
    </w:p>
    <w:p w:rsidR="00E75297" w:rsidRPr="0042020B" w:rsidRDefault="00E75297" w:rsidP="00E75297">
      <w:pPr>
        <w:pStyle w:val="ChartHeading"/>
        <w:rPr>
          <w:vertAlign w:val="superscript"/>
        </w:rPr>
      </w:pPr>
      <w:r w:rsidRPr="0042020B">
        <w:t>Chart 3.</w:t>
      </w:r>
      <w:r w:rsidR="007A690E" w:rsidRPr="0042020B">
        <w:t>2</w:t>
      </w:r>
      <w:r w:rsidRPr="0042020B">
        <w:t>: Net debt projected to 2027</w:t>
      </w:r>
      <w:r w:rsidR="00FB4A10" w:rsidRPr="0042020B">
        <w:noBreakHyphen/>
      </w:r>
      <w:r w:rsidR="00653616" w:rsidRPr="0042020B">
        <w:t>28</w:t>
      </w:r>
    </w:p>
    <w:p w:rsidR="00E75297" w:rsidRPr="0042020B" w:rsidRDefault="00085FD4" w:rsidP="000851AC">
      <w:pPr>
        <w:pStyle w:val="ChartGraphic"/>
      </w:pPr>
      <w:r w:rsidRPr="0042020B">
        <w:object w:dxaOrig="7351" w:dyaOrig="3961">
          <v:shape id="_x0000_i1030" type="#_x0000_t75" alt="This chart compares projections of net debt at the 2017-18 MYEFO and 2017-18 Budget. At the 2017-18 MYEFO, net debt was projected to improve from a peak of 19.2 per cent of GDP in 2018-19 to 7.7 per cent of GDP in 2027-28.  At the 2017-18 Budget, net debt is projected to improve from a peak of 19.8 per cent of GDP in 2018-19 to 8.5 per cent of GDP in 2027-28." style="width:367.5pt;height:197.85pt" o:ole="">
            <v:imagedata r:id="rId19" o:title=""/>
          </v:shape>
          <o:OLEObject Type="Link" ProgID="Excel.Sheet.12" ShapeID="_x0000_i1030" DrawAspect="Content" r:id="rId20" UpdateMode="Always">
            <o:LinkType>EnhancedMetaFile</o:LinkType>
            <o:LockedField/>
          </o:OLEObject>
        </w:object>
      </w:r>
    </w:p>
    <w:p w:rsidR="00E75297" w:rsidRPr="0042020B" w:rsidRDefault="00E75297" w:rsidP="00216546">
      <w:pPr>
        <w:pStyle w:val="ChartandTableFootnote"/>
        <w:keepNext/>
        <w:spacing w:before="80"/>
        <w:rPr>
          <w:color w:val="auto"/>
        </w:rPr>
      </w:pPr>
      <w:r w:rsidRPr="0042020B">
        <w:rPr>
          <w:color w:val="auto"/>
        </w:rPr>
        <w:t>Note: A tax</w:t>
      </w:r>
      <w:r w:rsidR="00FB4A10" w:rsidRPr="0042020B">
        <w:rPr>
          <w:color w:val="auto"/>
        </w:rPr>
        <w:noBreakHyphen/>
      </w:r>
      <w:r w:rsidRPr="0042020B">
        <w:rPr>
          <w:color w:val="auto"/>
        </w:rPr>
        <w:t>to</w:t>
      </w:r>
      <w:r w:rsidR="00FB4A10" w:rsidRPr="0042020B">
        <w:rPr>
          <w:color w:val="auto"/>
        </w:rPr>
        <w:noBreakHyphen/>
      </w:r>
      <w:r w:rsidRPr="0042020B">
        <w:rPr>
          <w:color w:val="auto"/>
        </w:rPr>
        <w:t>GDP ‘cap’ of 23.9</w:t>
      </w:r>
      <w:r w:rsidR="00AE7AF3" w:rsidRPr="0042020B">
        <w:rPr>
          <w:color w:val="auto"/>
        </w:rPr>
        <w:t> per cent</w:t>
      </w:r>
      <w:r w:rsidRPr="0042020B">
        <w:rPr>
          <w:color w:val="auto"/>
        </w:rPr>
        <w:t xml:space="preserve"> is applied to the </w:t>
      </w:r>
      <w:r w:rsidR="00AB7DEB" w:rsidRPr="0042020B">
        <w:rPr>
          <w:color w:val="auto"/>
        </w:rPr>
        <w:t>2017</w:t>
      </w:r>
      <w:r w:rsidR="00FB4A10" w:rsidRPr="0042020B">
        <w:rPr>
          <w:color w:val="auto"/>
        </w:rPr>
        <w:noBreakHyphen/>
      </w:r>
      <w:r w:rsidR="00AB7DEB" w:rsidRPr="0042020B">
        <w:rPr>
          <w:color w:val="auto"/>
        </w:rPr>
        <w:t>18 MYEFO</w:t>
      </w:r>
      <w:r w:rsidRPr="0042020B">
        <w:rPr>
          <w:color w:val="auto"/>
        </w:rPr>
        <w:t xml:space="preserve"> projections from </w:t>
      </w:r>
      <w:r w:rsidR="00AA3D6F" w:rsidRPr="0042020B">
        <w:rPr>
          <w:color w:val="auto"/>
        </w:rPr>
        <w:t>2022</w:t>
      </w:r>
      <w:r w:rsidR="00FB4A10" w:rsidRPr="0042020B">
        <w:rPr>
          <w:color w:val="auto"/>
        </w:rPr>
        <w:noBreakHyphen/>
      </w:r>
      <w:r w:rsidR="00AA3D6F" w:rsidRPr="0042020B">
        <w:rPr>
          <w:color w:val="auto"/>
        </w:rPr>
        <w:t xml:space="preserve">23, as was projected at </w:t>
      </w:r>
      <w:r w:rsidR="000F5D7C" w:rsidRPr="0042020B">
        <w:rPr>
          <w:color w:val="auto"/>
        </w:rPr>
        <w:t>2017</w:t>
      </w:r>
      <w:r w:rsidR="000F5D7C" w:rsidRPr="0042020B">
        <w:rPr>
          <w:color w:val="auto"/>
        </w:rPr>
        <w:noBreakHyphen/>
        <w:t>18 Budget</w:t>
      </w:r>
      <w:r w:rsidRPr="0042020B">
        <w:rPr>
          <w:color w:val="auto"/>
        </w:rPr>
        <w:t>.</w:t>
      </w:r>
    </w:p>
    <w:p w:rsidR="00E75297" w:rsidRPr="0042020B" w:rsidRDefault="00E75297" w:rsidP="00456A56">
      <w:pPr>
        <w:pStyle w:val="ChartandTableFootnoteAlpha"/>
        <w:numPr>
          <w:ilvl w:val="0"/>
          <w:numId w:val="0"/>
        </w:numPr>
        <w:ind w:left="284" w:hanging="284"/>
        <w:rPr>
          <w:color w:val="auto"/>
        </w:rPr>
      </w:pPr>
      <w:r w:rsidRPr="0042020B">
        <w:rPr>
          <w:color w:val="auto"/>
        </w:rPr>
        <w:t>Source: Treasury projections.</w:t>
      </w:r>
      <w:r w:rsidR="0026755E" w:rsidRPr="0042020B">
        <w:rPr>
          <w:color w:val="auto"/>
        </w:rPr>
        <w:fldChar w:fldCharType="begin"/>
      </w:r>
      <w:r w:rsidR="0026755E" w:rsidRPr="0042020B">
        <w:rPr>
          <w:color w:val="auto"/>
        </w:rPr>
        <w:instrText xml:space="preserve"> :End:BPD_JR3 </w:instrText>
      </w:r>
      <w:r w:rsidR="0026755E" w:rsidRPr="0042020B">
        <w:rPr>
          <w:color w:val="auto"/>
        </w:rPr>
        <w:fldChar w:fldCharType="end"/>
      </w:r>
    </w:p>
    <w:p w:rsidR="00456A56" w:rsidRPr="0042020B" w:rsidRDefault="00456A56" w:rsidP="00456A56">
      <w:pPr>
        <w:pStyle w:val="SingleParagraph"/>
      </w:pPr>
    </w:p>
    <w:bookmarkEnd w:id="12"/>
    <w:bookmarkEnd w:id="13"/>
    <w:p w:rsidR="00F755FB" w:rsidRPr="0042020B" w:rsidRDefault="007A690E" w:rsidP="000411DC">
      <w:pPr>
        <w:spacing w:after="220"/>
      </w:pPr>
      <w:r w:rsidRPr="0042020B">
        <w:rPr>
          <w:b/>
        </w:rPr>
        <w:br w:type="page"/>
      </w:r>
      <w:r w:rsidR="007535E3" w:rsidRPr="0042020B">
        <w:rPr>
          <w:b/>
        </w:rPr>
        <w:fldChar w:fldCharType="begin"/>
      </w:r>
      <w:r w:rsidR="007535E3" w:rsidRPr="0042020B">
        <w:rPr>
          <w:b/>
        </w:rPr>
        <w:instrText xml:space="preserve"> :Start:BPD_JR5 </w:instrText>
      </w:r>
      <w:r w:rsidR="007535E3" w:rsidRPr="0042020B">
        <w:rPr>
          <w:b/>
        </w:rPr>
        <w:fldChar w:fldCharType="end"/>
      </w:r>
      <w:r w:rsidR="000411DC" w:rsidRPr="0042020B">
        <w:rPr>
          <w:b/>
        </w:rPr>
        <w:t>Gross debt</w:t>
      </w:r>
      <w:r w:rsidR="00456A56" w:rsidRPr="0042020B">
        <w:t>, as measured by the face value of CGS on issue, is estimated to rise from $</w:t>
      </w:r>
      <w:r w:rsidR="00D72A0B" w:rsidRPr="0042020B">
        <w:t>534</w:t>
      </w:r>
      <w:r w:rsidR="00AB7DEB" w:rsidRPr="0042020B">
        <w:t> billion</w:t>
      </w:r>
      <w:r w:rsidR="00456A56" w:rsidRPr="0042020B">
        <w:t xml:space="preserve"> in 2017</w:t>
      </w:r>
      <w:r w:rsidR="00FB4A10" w:rsidRPr="0042020B">
        <w:noBreakHyphen/>
      </w:r>
      <w:r w:rsidR="00456A56" w:rsidRPr="0042020B">
        <w:t>18</w:t>
      </w:r>
      <w:r w:rsidR="005960DB" w:rsidRPr="0042020B">
        <w:t xml:space="preserve"> to</w:t>
      </w:r>
      <w:r w:rsidR="005E7021" w:rsidRPr="0042020B">
        <w:t xml:space="preserve"> $591</w:t>
      </w:r>
      <w:r w:rsidR="00CB172F" w:rsidRPr="0042020B">
        <w:t> </w:t>
      </w:r>
      <w:r w:rsidR="005E7021" w:rsidRPr="0042020B">
        <w:t>billion in 2019</w:t>
      </w:r>
      <w:r w:rsidR="00FB4A10" w:rsidRPr="0042020B">
        <w:noBreakHyphen/>
      </w:r>
      <w:r w:rsidR="005E7021" w:rsidRPr="0042020B">
        <w:t>20 before falling to</w:t>
      </w:r>
      <w:r w:rsidR="00456A56" w:rsidRPr="0042020B">
        <w:t xml:space="preserve"> $</w:t>
      </w:r>
      <w:r w:rsidR="00D72A0B" w:rsidRPr="0042020B">
        <w:t>583</w:t>
      </w:r>
      <w:r w:rsidR="00AB7DEB" w:rsidRPr="0042020B">
        <w:t> billion</w:t>
      </w:r>
      <w:r w:rsidR="00456A56" w:rsidRPr="0042020B">
        <w:t xml:space="preserve"> by the end of the forward estimates period</w:t>
      </w:r>
      <w:r w:rsidR="00BC6B41">
        <w:t xml:space="preserve"> (</w:t>
      </w:r>
      <w:r w:rsidR="00160F94" w:rsidRPr="0042020B">
        <w:t xml:space="preserve">$23 billion lower than </w:t>
      </w:r>
      <w:r w:rsidR="006D7305" w:rsidRPr="0042020B">
        <w:t>projected</w:t>
      </w:r>
      <w:r w:rsidR="00160F94" w:rsidRPr="0042020B">
        <w:t xml:space="preserve"> at Budget</w:t>
      </w:r>
      <w:r w:rsidR="00BC6B41">
        <w:t>)</w:t>
      </w:r>
      <w:r w:rsidR="00160F94" w:rsidRPr="0042020B">
        <w:t>.</w:t>
      </w:r>
    </w:p>
    <w:p w:rsidR="00160F94" w:rsidRPr="0042020B" w:rsidRDefault="007535E3" w:rsidP="00160F94">
      <w:pPr>
        <w:spacing w:after="220"/>
      </w:pPr>
      <w:r w:rsidRPr="0042020B">
        <w:fldChar w:fldCharType="begin"/>
      </w:r>
      <w:r w:rsidRPr="0042020B">
        <w:instrText xml:space="preserve"> :End:BPD_JR5 </w:instrText>
      </w:r>
      <w:r w:rsidRPr="0042020B">
        <w:fldChar w:fldCharType="end"/>
      </w:r>
      <w:r w:rsidR="0026755E" w:rsidRPr="0042020B">
        <w:fldChar w:fldCharType="begin"/>
      </w:r>
      <w:r w:rsidR="0026755E" w:rsidRPr="0042020B">
        <w:instrText xml:space="preserve"> :Start:BPD_JR3 </w:instrText>
      </w:r>
      <w:r w:rsidR="0026755E" w:rsidRPr="0042020B">
        <w:fldChar w:fldCharType="end"/>
      </w:r>
      <w:r w:rsidR="00160F94" w:rsidRPr="0042020B">
        <w:t>At the 2017</w:t>
      </w:r>
      <w:r w:rsidR="00160F94" w:rsidRPr="0042020B">
        <w:noBreakHyphen/>
        <w:t>18 Budget, gross debt was projected to be $725 billion in 2027</w:t>
      </w:r>
      <w:r w:rsidR="00160F94" w:rsidRPr="0042020B">
        <w:noBreakHyphen/>
        <w:t xml:space="preserve">28. Gross debt is now projected to reach </w:t>
      </w:r>
      <w:r w:rsidR="009E0685">
        <w:t xml:space="preserve">around </w:t>
      </w:r>
      <w:r w:rsidR="00160F94" w:rsidRPr="0042020B">
        <w:t>$684 billion by 2027</w:t>
      </w:r>
      <w:r w:rsidR="00160F94" w:rsidRPr="0042020B">
        <w:noBreakHyphen/>
        <w:t xml:space="preserve">28 — a fall of </w:t>
      </w:r>
      <w:r w:rsidR="007D4DA3" w:rsidRPr="0042020B">
        <w:t xml:space="preserve">around </w:t>
      </w:r>
      <w:r w:rsidR="00160F94" w:rsidRPr="0042020B">
        <w:t xml:space="preserve">$40 billion (Chart 3.3). </w:t>
      </w:r>
    </w:p>
    <w:p w:rsidR="000411DC" w:rsidRPr="0042020B" w:rsidRDefault="00A90AEC" w:rsidP="00160F94">
      <w:pPr>
        <w:spacing w:after="220"/>
      </w:pPr>
      <w:r w:rsidRPr="0042020B">
        <w:t>The projected increase in the level of gross debt over the medium term reflects the Government’s decision not to drawdown on the Future Fund’s earnings</w:t>
      </w:r>
      <w:r w:rsidR="009E0685">
        <w:t xml:space="preserve"> over the medium term </w:t>
      </w:r>
      <w:r w:rsidRPr="0042020B">
        <w:t>to meet unfunded superan</w:t>
      </w:r>
      <w:r w:rsidR="009E0685">
        <w:t>nuation liabilities, as well as</w:t>
      </w:r>
      <w:r w:rsidR="005960DB" w:rsidRPr="0042020B">
        <w:t xml:space="preserve"> </w:t>
      </w:r>
      <w:r w:rsidRPr="0042020B">
        <w:t>financ</w:t>
      </w:r>
      <w:r w:rsidR="009E0685">
        <w:t>ing</w:t>
      </w:r>
      <w:r w:rsidRPr="0042020B">
        <w:t xml:space="preserve"> the Government’s infrastructure and Defence Force recapitalisation programs</w:t>
      </w:r>
      <w:r w:rsidR="00160F94" w:rsidRPr="0042020B">
        <w:t>.</w:t>
      </w:r>
    </w:p>
    <w:p w:rsidR="000411DC" w:rsidRPr="0042020B" w:rsidRDefault="000411DC" w:rsidP="000411DC">
      <w:pPr>
        <w:pStyle w:val="ChartHeading"/>
      </w:pPr>
      <w:bookmarkStart w:id="14" w:name="_Toc434412587"/>
      <w:bookmarkStart w:id="15" w:name="_Toc434412641"/>
      <w:bookmarkStart w:id="16" w:name="_Toc436316557"/>
      <w:r w:rsidRPr="0042020B">
        <w:t>Chart 3.</w:t>
      </w:r>
      <w:r w:rsidR="007A690E" w:rsidRPr="0042020B">
        <w:t>3</w:t>
      </w:r>
      <w:r w:rsidRPr="0042020B">
        <w:t>: Gross debt projected to 202</w:t>
      </w:r>
      <w:r w:rsidR="00456A56" w:rsidRPr="0042020B">
        <w:t>7</w:t>
      </w:r>
      <w:r w:rsidR="00FB4A10" w:rsidRPr="0042020B">
        <w:noBreakHyphen/>
      </w:r>
      <w:r w:rsidRPr="0042020B">
        <w:t>2</w:t>
      </w:r>
      <w:r w:rsidR="00653616" w:rsidRPr="0042020B">
        <w:t>8</w:t>
      </w:r>
    </w:p>
    <w:p w:rsidR="000411DC" w:rsidRPr="0042020B" w:rsidRDefault="00085FD4" w:rsidP="00774E0C">
      <w:pPr>
        <w:pStyle w:val="ChartGraphic"/>
        <w:rPr>
          <w:noProof/>
        </w:rPr>
      </w:pPr>
      <w:r w:rsidRPr="0042020B">
        <w:rPr>
          <w:noProof/>
        </w:rPr>
        <w:object w:dxaOrig="7351" w:dyaOrig="3961">
          <v:shape id="_x0000_i1031" type="#_x0000_t75" alt="This chart compares projections of Commonwealth Government Securities (CGS) on issue at the 2017-18 MYEFO and the 2017-18 Budget.  At the 2017-18 MYEFO, CGS on issue was projected to rise to $684 billion in 2027-28.   At the 2017-18 Budget, CGS on issue is projected to rise to $725 billion in 2027-28." style="width:367.5pt;height:197.85pt" o:ole="">
            <v:imagedata r:id="rId21" o:title=""/>
          </v:shape>
          <o:OLEObject Type="Link" ProgID="Excel.Sheet.12" ShapeID="_x0000_i1031" DrawAspect="Content" r:id="rId22" UpdateMode="Always">
            <o:LinkType>EnhancedMetaFile</o:LinkType>
            <o:LockedField/>
          </o:OLEObject>
        </w:object>
      </w:r>
    </w:p>
    <w:p w:rsidR="000411DC" w:rsidRPr="0042020B" w:rsidRDefault="000411DC" w:rsidP="00216546">
      <w:pPr>
        <w:pStyle w:val="ChartandTableFootnote"/>
        <w:keepNext/>
        <w:spacing w:before="80"/>
        <w:rPr>
          <w:color w:val="auto"/>
        </w:rPr>
      </w:pPr>
      <w:r w:rsidRPr="0042020B">
        <w:rPr>
          <w:color w:val="auto"/>
        </w:rPr>
        <w:t>Note</w:t>
      </w:r>
      <w:r w:rsidR="00F278C0" w:rsidRPr="0042020B">
        <w:rPr>
          <w:color w:val="auto"/>
        </w:rPr>
        <w:t>:</w:t>
      </w:r>
      <w:r w:rsidR="00456A56" w:rsidRPr="0042020B">
        <w:rPr>
          <w:color w:val="auto"/>
        </w:rPr>
        <w:t xml:space="preserve"> A tax</w:t>
      </w:r>
      <w:r w:rsidR="00FB4A10" w:rsidRPr="0042020B">
        <w:rPr>
          <w:color w:val="auto"/>
        </w:rPr>
        <w:noBreakHyphen/>
      </w:r>
      <w:r w:rsidR="00456A56" w:rsidRPr="0042020B">
        <w:rPr>
          <w:color w:val="auto"/>
        </w:rPr>
        <w:t>to</w:t>
      </w:r>
      <w:r w:rsidR="00FB4A10" w:rsidRPr="0042020B">
        <w:rPr>
          <w:color w:val="auto"/>
        </w:rPr>
        <w:noBreakHyphen/>
      </w:r>
      <w:r w:rsidR="00456A56" w:rsidRPr="0042020B">
        <w:rPr>
          <w:color w:val="auto"/>
        </w:rPr>
        <w:t>GDP ‘cap’ of 23.9</w:t>
      </w:r>
      <w:r w:rsidR="00AE7AF3" w:rsidRPr="0042020B">
        <w:rPr>
          <w:color w:val="auto"/>
        </w:rPr>
        <w:t> per cent</w:t>
      </w:r>
      <w:r w:rsidR="00456A56" w:rsidRPr="0042020B">
        <w:rPr>
          <w:color w:val="auto"/>
        </w:rPr>
        <w:t xml:space="preserve"> is applied to the </w:t>
      </w:r>
      <w:r w:rsidR="00AB7DEB" w:rsidRPr="0042020B">
        <w:rPr>
          <w:color w:val="auto"/>
        </w:rPr>
        <w:t>2017</w:t>
      </w:r>
      <w:r w:rsidR="00FB4A10" w:rsidRPr="0042020B">
        <w:rPr>
          <w:color w:val="auto"/>
        </w:rPr>
        <w:noBreakHyphen/>
      </w:r>
      <w:r w:rsidR="00AB7DEB" w:rsidRPr="0042020B">
        <w:rPr>
          <w:color w:val="auto"/>
        </w:rPr>
        <w:t>18 MYEFO</w:t>
      </w:r>
      <w:r w:rsidR="00456A56" w:rsidRPr="0042020B">
        <w:rPr>
          <w:color w:val="auto"/>
        </w:rPr>
        <w:t xml:space="preserve"> projections from </w:t>
      </w:r>
      <w:r w:rsidR="00AA3D6F" w:rsidRPr="0042020B">
        <w:rPr>
          <w:color w:val="auto"/>
        </w:rPr>
        <w:t>2022</w:t>
      </w:r>
      <w:r w:rsidR="00FB4A10" w:rsidRPr="0042020B">
        <w:rPr>
          <w:color w:val="auto"/>
        </w:rPr>
        <w:noBreakHyphen/>
      </w:r>
      <w:r w:rsidR="00AA3D6F" w:rsidRPr="0042020B">
        <w:rPr>
          <w:color w:val="auto"/>
        </w:rPr>
        <w:t xml:space="preserve">23, as was projected at </w:t>
      </w:r>
      <w:r w:rsidR="000F5D7C" w:rsidRPr="0042020B">
        <w:rPr>
          <w:color w:val="auto"/>
        </w:rPr>
        <w:t>2017</w:t>
      </w:r>
      <w:r w:rsidR="000F5D7C" w:rsidRPr="0042020B">
        <w:rPr>
          <w:color w:val="auto"/>
        </w:rPr>
        <w:noBreakHyphen/>
        <w:t>18 Budget</w:t>
      </w:r>
      <w:r w:rsidR="00AA3D6F" w:rsidRPr="0042020B">
        <w:rPr>
          <w:color w:val="auto"/>
        </w:rPr>
        <w:t>.</w:t>
      </w:r>
    </w:p>
    <w:p w:rsidR="000411DC" w:rsidRPr="0042020B" w:rsidRDefault="000411DC" w:rsidP="00456A56">
      <w:pPr>
        <w:pStyle w:val="ChartandTableFootnoteAlpha"/>
        <w:numPr>
          <w:ilvl w:val="0"/>
          <w:numId w:val="0"/>
        </w:numPr>
        <w:ind w:left="284" w:hanging="284"/>
        <w:rPr>
          <w:color w:val="auto"/>
        </w:rPr>
      </w:pPr>
      <w:r w:rsidRPr="0042020B">
        <w:rPr>
          <w:color w:val="auto"/>
        </w:rPr>
        <w:t>Source: Australian Office of Financial Management and Treasury projections.</w:t>
      </w:r>
      <w:r w:rsidR="0026755E" w:rsidRPr="0042020B">
        <w:rPr>
          <w:color w:val="auto"/>
        </w:rPr>
        <w:fldChar w:fldCharType="begin"/>
      </w:r>
      <w:r w:rsidR="0026755E" w:rsidRPr="0042020B">
        <w:rPr>
          <w:color w:val="auto"/>
        </w:rPr>
        <w:instrText xml:space="preserve"> :End:BPD_JR3 </w:instrText>
      </w:r>
      <w:r w:rsidR="0026755E" w:rsidRPr="0042020B">
        <w:rPr>
          <w:color w:val="auto"/>
        </w:rPr>
        <w:fldChar w:fldCharType="end"/>
      </w:r>
    </w:p>
    <w:p w:rsidR="00544BF0" w:rsidRPr="0042020B" w:rsidRDefault="00544BF0" w:rsidP="00544BF0">
      <w:pPr>
        <w:pStyle w:val="SingleParagraph"/>
      </w:pPr>
    </w:p>
    <w:p w:rsidR="00495F5F" w:rsidRPr="0042020B" w:rsidRDefault="007535E3" w:rsidP="00495F5F">
      <w:r w:rsidRPr="0042020B">
        <w:fldChar w:fldCharType="begin"/>
      </w:r>
      <w:r w:rsidRPr="0042020B">
        <w:instrText xml:space="preserve"> :Start:BPD_JR1 </w:instrText>
      </w:r>
      <w:r w:rsidRPr="0042020B">
        <w:fldChar w:fldCharType="end"/>
      </w:r>
      <w:r w:rsidR="00544BF0" w:rsidRPr="0042020B">
        <w:t>Th</w:t>
      </w:r>
      <w:r w:rsidR="004A4696" w:rsidRPr="0042020B">
        <w:t xml:space="preserve">e Government’s fiscal strategy </w:t>
      </w:r>
      <w:r w:rsidR="00544BF0" w:rsidRPr="0042020B">
        <w:t>is outlined in Box A.</w:t>
      </w:r>
    </w:p>
    <w:tbl>
      <w:tblPr>
        <w:tblW w:w="0" w:type="auto"/>
        <w:jc w:val="center"/>
        <w:shd w:val="clear" w:color="auto" w:fill="E6E6E6"/>
        <w:tblLayout w:type="fixed"/>
        <w:tblLook w:val="0000" w:firstRow="0" w:lastRow="0" w:firstColumn="0" w:lastColumn="0" w:noHBand="0" w:noVBand="0"/>
      </w:tblPr>
      <w:tblGrid>
        <w:gridCol w:w="7655"/>
      </w:tblGrid>
      <w:tr w:rsidR="004D3C8E" w:rsidRPr="0042020B" w:rsidTr="00EC41D5">
        <w:trPr>
          <w:cantSplit/>
          <w:jc w:val="center"/>
        </w:trPr>
        <w:tc>
          <w:tcPr>
            <w:tcW w:w="7655" w:type="dxa"/>
            <w:shd w:val="clear" w:color="auto" w:fill="E6E6E6"/>
          </w:tcPr>
          <w:p w:rsidR="004D3C8E" w:rsidRPr="0042020B" w:rsidRDefault="004D3C8E" w:rsidP="004D3C8E">
            <w:pPr>
              <w:pStyle w:val="BoxHeading"/>
            </w:pPr>
            <w:r w:rsidRPr="0042020B">
              <w:t>Box A: The Government’s fiscal strategy</w:t>
            </w:r>
          </w:p>
          <w:p w:rsidR="004D3C8E" w:rsidRPr="0042020B" w:rsidRDefault="004D3C8E" w:rsidP="004D3C8E">
            <w:pPr>
              <w:pStyle w:val="BoxHeading2"/>
            </w:pPr>
            <w:r w:rsidRPr="0042020B">
              <w:t>Medium</w:t>
            </w:r>
            <w:r w:rsidR="00FB4A10" w:rsidRPr="0042020B">
              <w:noBreakHyphen/>
            </w:r>
            <w:r w:rsidRPr="0042020B">
              <w:t>term fiscal strategy</w:t>
            </w:r>
          </w:p>
          <w:p w:rsidR="004D3C8E" w:rsidRPr="0042020B" w:rsidRDefault="004D3C8E" w:rsidP="004D3C8E">
            <w:pPr>
              <w:pStyle w:val="BoxText"/>
            </w:pPr>
            <w:r w:rsidRPr="0042020B">
              <w:t>The Government’s medium</w:t>
            </w:r>
            <w:r w:rsidR="00FB4A10" w:rsidRPr="0042020B">
              <w:noBreakHyphen/>
            </w:r>
            <w:r w:rsidRPr="0042020B">
              <w:t>term fiscal strategy is to achieve budget surpluses, on average, over the course of the economic cycle. The fiscal strategy underlines the commitment to budget discipline and outlines how the Government will set medium</w:t>
            </w:r>
            <w:r w:rsidR="00FB4A10" w:rsidRPr="0042020B">
              <w:rPr>
                <w:rFonts w:ascii="Calibri" w:hAnsi="Calibri"/>
              </w:rPr>
              <w:noBreakHyphen/>
            </w:r>
            <w:r w:rsidRPr="0042020B">
              <w:t>term fiscal policy while allowing for flexibility in response to changing economic conditions.</w:t>
            </w:r>
          </w:p>
          <w:p w:rsidR="004D3C8E" w:rsidRPr="0042020B" w:rsidRDefault="004D3C8E" w:rsidP="004D3C8E">
            <w:pPr>
              <w:pStyle w:val="BoxText"/>
            </w:pPr>
            <w:r w:rsidRPr="0042020B">
              <w:t>The strategy is underpinned by the following four policy elements:</w:t>
            </w:r>
          </w:p>
          <w:p w:rsidR="004D3C8E" w:rsidRPr="0042020B" w:rsidRDefault="004D3C8E" w:rsidP="004D3C8E">
            <w:pPr>
              <w:pStyle w:val="BoxBullet"/>
            </w:pPr>
            <w:r w:rsidRPr="0042020B">
              <w:t>investing in a stronger economy by redirecting Government spending to quality investment to boost productivity and workforce participation;</w:t>
            </w:r>
          </w:p>
          <w:p w:rsidR="004D3C8E" w:rsidRPr="0042020B" w:rsidRDefault="004D3C8E" w:rsidP="004D3C8E">
            <w:pPr>
              <w:pStyle w:val="BoxBullet"/>
            </w:pPr>
            <w:r w:rsidRPr="0042020B">
              <w:t>maintaining strong fiscal discipline by controlling expenditure to reduce the Government’s share of the economy over time in order to free up resources for private investment to drive jobs and economic growth, with:</w:t>
            </w:r>
          </w:p>
          <w:p w:rsidR="004D3C8E" w:rsidRPr="0042020B" w:rsidRDefault="004D3C8E" w:rsidP="004D3C8E">
            <w:pPr>
              <w:pStyle w:val="BoxDash"/>
            </w:pPr>
            <w:r w:rsidRPr="0042020B">
              <w:t>the payments</w:t>
            </w:r>
            <w:r w:rsidR="00FB4A10" w:rsidRPr="0042020B">
              <w:noBreakHyphen/>
            </w:r>
            <w:r w:rsidRPr="0042020B">
              <w:t>to</w:t>
            </w:r>
            <w:r w:rsidR="00FB4A10" w:rsidRPr="0042020B">
              <w:noBreakHyphen/>
            </w:r>
            <w:r w:rsidRPr="0042020B">
              <w:t>GDP ratio falling;</w:t>
            </w:r>
          </w:p>
          <w:p w:rsidR="004D3C8E" w:rsidRPr="0042020B" w:rsidRDefault="004D3C8E" w:rsidP="004D3C8E">
            <w:pPr>
              <w:pStyle w:val="BoxDash"/>
            </w:pPr>
            <w:r w:rsidRPr="0042020B">
              <w:t>stabilising and then reducing net debt over time;</w:t>
            </w:r>
          </w:p>
          <w:p w:rsidR="004D3C8E" w:rsidRPr="0042020B" w:rsidRDefault="004D3C8E" w:rsidP="004D3C8E">
            <w:pPr>
              <w:pStyle w:val="BoxBullet"/>
            </w:pPr>
            <w:r w:rsidRPr="0042020B">
              <w:t>supporting revenue growth by supporting policies that drive earnings and economic growth; and</w:t>
            </w:r>
          </w:p>
          <w:p w:rsidR="004D3C8E" w:rsidRPr="0042020B" w:rsidRDefault="004D3C8E" w:rsidP="00514584">
            <w:pPr>
              <w:pStyle w:val="BoxBullet"/>
            </w:pPr>
            <w:r w:rsidRPr="0042020B">
              <w:t>strengthening the Government’s balance sheet by improving net financial worth over time.</w:t>
            </w:r>
          </w:p>
          <w:p w:rsidR="004D3C8E" w:rsidRPr="0042020B" w:rsidRDefault="004D3C8E" w:rsidP="004D3C8E">
            <w:pPr>
              <w:pStyle w:val="BoxHeading2"/>
            </w:pPr>
            <w:r w:rsidRPr="0042020B">
              <w:t>Budget repair strategy</w:t>
            </w:r>
          </w:p>
          <w:p w:rsidR="004D3C8E" w:rsidRPr="0042020B" w:rsidRDefault="004D3C8E" w:rsidP="004D3C8E">
            <w:pPr>
              <w:pStyle w:val="BoxText"/>
            </w:pPr>
            <w:r w:rsidRPr="0042020B">
              <w:t>The budget repair strategy is designed to deliver sustainable budget surpluses building to at least 1 per cent of GDP as soon as possible, consistent with the medium</w:t>
            </w:r>
            <w:r w:rsidR="00FB4A10" w:rsidRPr="0042020B">
              <w:noBreakHyphen/>
            </w:r>
            <w:r w:rsidRPr="0042020B">
              <w:t xml:space="preserve">term fiscal strategy. </w:t>
            </w:r>
          </w:p>
          <w:p w:rsidR="004D3C8E" w:rsidRPr="0042020B" w:rsidRDefault="004D3C8E" w:rsidP="004D3C8E">
            <w:pPr>
              <w:pStyle w:val="BoxText"/>
            </w:pPr>
            <w:r w:rsidRPr="0042020B">
              <w:t xml:space="preserve">The strategy sets out that: </w:t>
            </w:r>
          </w:p>
          <w:p w:rsidR="004D3C8E" w:rsidRPr="0042020B" w:rsidRDefault="004D3C8E" w:rsidP="004D3C8E">
            <w:pPr>
              <w:pStyle w:val="BoxBullet"/>
            </w:pPr>
            <w:r w:rsidRPr="0042020B">
              <w:t xml:space="preserve">new spending measures will be more than offset by reductions in spending elsewhere within the budget; </w:t>
            </w:r>
          </w:p>
          <w:p w:rsidR="004D3C8E" w:rsidRPr="0042020B" w:rsidRDefault="004D3C8E" w:rsidP="004D3C8E">
            <w:pPr>
              <w:pStyle w:val="BoxBullet"/>
            </w:pPr>
            <w:r w:rsidRPr="0042020B">
              <w:t>the overall impact of shifts in receipts and payments due to changes in the economy will be banked as an improvement to the budget bottom line, if this impact is positive; and</w:t>
            </w:r>
          </w:p>
          <w:p w:rsidR="004D3C8E" w:rsidRPr="0042020B" w:rsidRDefault="004D3C8E" w:rsidP="004D3C8E">
            <w:pPr>
              <w:pStyle w:val="BoxBullet"/>
            </w:pPr>
            <w:r w:rsidRPr="0042020B">
              <w:t>a clear path back to surplus is underpinned by decisions that build over time.</w:t>
            </w:r>
          </w:p>
          <w:p w:rsidR="004D3C8E" w:rsidRPr="0042020B" w:rsidRDefault="004D3C8E" w:rsidP="004D3C8E">
            <w:r w:rsidRPr="0042020B">
              <w:t>The budget repair strategy will stay in place until a strong and sustainable surplus is achieved and so long as economic growth prospects are sound and unemployment remains low.</w:t>
            </w:r>
          </w:p>
        </w:tc>
      </w:tr>
    </w:tbl>
    <w:p w:rsidR="004D3C8E" w:rsidRPr="0042020B" w:rsidRDefault="004D3C8E"/>
    <w:p w:rsidR="000411DC" w:rsidRPr="0042020B" w:rsidRDefault="00495F5F" w:rsidP="00495F5F">
      <w:pPr>
        <w:pStyle w:val="Heading2"/>
      </w:pPr>
      <w:r w:rsidRPr="0042020B">
        <w:br w:type="page"/>
      </w:r>
      <w:r w:rsidR="000411DC" w:rsidRPr="0042020B">
        <w:t xml:space="preserve">Fiscal </w:t>
      </w:r>
      <w:r w:rsidR="00D31348" w:rsidRPr="0042020B">
        <w:t>o</w:t>
      </w:r>
      <w:r w:rsidR="000411DC" w:rsidRPr="0042020B">
        <w:t>utlook</w:t>
      </w:r>
      <w:bookmarkEnd w:id="14"/>
      <w:bookmarkEnd w:id="15"/>
      <w:bookmarkEnd w:id="16"/>
      <w:r w:rsidR="000411DC" w:rsidRPr="0042020B">
        <w:t xml:space="preserve"> </w:t>
      </w:r>
    </w:p>
    <w:p w:rsidR="000411DC" w:rsidRPr="0042020B" w:rsidRDefault="000411DC" w:rsidP="000411DC">
      <w:pPr>
        <w:pStyle w:val="Heading3"/>
      </w:pPr>
      <w:bookmarkStart w:id="17" w:name="_Toc434412588"/>
      <w:bookmarkStart w:id="18" w:name="_Toc434412642"/>
      <w:bookmarkStart w:id="19" w:name="_Toc436316558"/>
      <w:r w:rsidRPr="0042020B">
        <w:t>Budget aggregates</w:t>
      </w:r>
      <w:bookmarkEnd w:id="17"/>
      <w:bookmarkEnd w:id="18"/>
      <w:bookmarkEnd w:id="19"/>
      <w:r w:rsidRPr="0042020B">
        <w:t xml:space="preserve"> </w:t>
      </w:r>
    </w:p>
    <w:p w:rsidR="000411DC" w:rsidRPr="0042020B" w:rsidRDefault="000411DC" w:rsidP="000411DC">
      <w:pPr>
        <w:spacing w:after="200"/>
      </w:pPr>
      <w:r w:rsidRPr="0042020B">
        <w:t xml:space="preserve">An </w:t>
      </w:r>
      <w:r w:rsidRPr="0042020B">
        <w:rPr>
          <w:b/>
        </w:rPr>
        <w:t>underlying cash deficit</w:t>
      </w:r>
      <w:r w:rsidRPr="0042020B">
        <w:t xml:space="preserve"> of $</w:t>
      </w:r>
      <w:r w:rsidR="002E30A0" w:rsidRPr="0042020B">
        <w:t>23.6</w:t>
      </w:r>
      <w:r w:rsidR="00AB7DEB" w:rsidRPr="0042020B">
        <w:t> billion</w:t>
      </w:r>
      <w:r w:rsidRPr="0042020B">
        <w:t xml:space="preserve"> (</w:t>
      </w:r>
      <w:r w:rsidR="002E30A0" w:rsidRPr="0042020B">
        <w:t>1.3</w:t>
      </w:r>
      <w:r w:rsidR="00AE7AF3" w:rsidRPr="0042020B">
        <w:t> per cent</w:t>
      </w:r>
      <w:r w:rsidRPr="0042020B">
        <w:t xml:space="preserve"> of GDP) is expected in 201</w:t>
      </w:r>
      <w:r w:rsidR="00EB4F71" w:rsidRPr="0042020B">
        <w:t>7</w:t>
      </w:r>
      <w:r w:rsidR="00FB4A10" w:rsidRPr="0042020B">
        <w:noBreakHyphen/>
      </w:r>
      <w:r w:rsidR="00EB4F71" w:rsidRPr="0042020B">
        <w:t>18</w:t>
      </w:r>
      <w:r w:rsidR="009A796B" w:rsidRPr="0042020B">
        <w:t>,</w:t>
      </w:r>
      <w:r w:rsidRPr="0042020B">
        <w:t xml:space="preserve"> improving to a </w:t>
      </w:r>
      <w:r w:rsidR="00EB4F71" w:rsidRPr="0042020B">
        <w:t>projected surplus</w:t>
      </w:r>
      <w:r w:rsidRPr="0042020B">
        <w:t xml:space="preserve"> of $</w:t>
      </w:r>
      <w:r w:rsidR="002E30A0" w:rsidRPr="0042020B">
        <w:t>10.2</w:t>
      </w:r>
      <w:r w:rsidR="00AB7DEB" w:rsidRPr="0042020B">
        <w:t> billion</w:t>
      </w:r>
      <w:r w:rsidRPr="0042020B">
        <w:t xml:space="preserve"> (</w:t>
      </w:r>
      <w:r w:rsidR="002E30A0" w:rsidRPr="0042020B">
        <w:t>0.5</w:t>
      </w:r>
      <w:r w:rsidR="00AE7AF3" w:rsidRPr="0042020B">
        <w:t> per cent</w:t>
      </w:r>
      <w:r w:rsidRPr="0042020B">
        <w:t xml:space="preserve"> of GDP) in 20</w:t>
      </w:r>
      <w:r w:rsidR="00EB4F71" w:rsidRPr="0042020B">
        <w:t>20</w:t>
      </w:r>
      <w:r w:rsidR="00FB4A10" w:rsidRPr="0042020B">
        <w:noBreakHyphen/>
      </w:r>
      <w:r w:rsidRPr="0042020B">
        <w:t>2</w:t>
      </w:r>
      <w:r w:rsidR="00EB4F71" w:rsidRPr="0042020B">
        <w:t>1</w:t>
      </w:r>
      <w:r w:rsidRPr="0042020B">
        <w:t xml:space="preserve">. </w:t>
      </w:r>
    </w:p>
    <w:p w:rsidR="00EB4F71" w:rsidRPr="0042020B" w:rsidRDefault="00EB4F71" w:rsidP="000411DC">
      <w:pPr>
        <w:spacing w:after="200"/>
      </w:pPr>
      <w:r w:rsidRPr="0042020B">
        <w:t xml:space="preserve">In accrual terms, a </w:t>
      </w:r>
      <w:r w:rsidRPr="0042020B">
        <w:rPr>
          <w:b/>
        </w:rPr>
        <w:t>net operating deficit</w:t>
      </w:r>
      <w:r w:rsidRPr="0042020B">
        <w:t xml:space="preserve"> of $</w:t>
      </w:r>
      <w:r w:rsidR="002E30A0" w:rsidRPr="0042020B">
        <w:t>18.2</w:t>
      </w:r>
      <w:r w:rsidR="00AB7DEB" w:rsidRPr="0042020B">
        <w:t> billion</w:t>
      </w:r>
      <w:r w:rsidRPr="0042020B">
        <w:t xml:space="preserve"> (</w:t>
      </w:r>
      <w:r w:rsidR="002E30A0" w:rsidRPr="0042020B">
        <w:t>1.0</w:t>
      </w:r>
      <w:r w:rsidR="00AE7AF3" w:rsidRPr="0042020B">
        <w:t> per cent</w:t>
      </w:r>
      <w:r w:rsidRPr="0042020B">
        <w:t xml:space="preserve"> of GDP) is expected in</w:t>
      </w:r>
      <w:r w:rsidR="0040320A" w:rsidRPr="0042020B">
        <w:t xml:space="preserve"> </w:t>
      </w:r>
      <w:r w:rsidRPr="0042020B">
        <w:t>201</w:t>
      </w:r>
      <w:r w:rsidR="0040320A" w:rsidRPr="0042020B">
        <w:t>7</w:t>
      </w:r>
      <w:r w:rsidR="00FB4A10" w:rsidRPr="0042020B">
        <w:noBreakHyphen/>
      </w:r>
      <w:r w:rsidRPr="0042020B">
        <w:t>1</w:t>
      </w:r>
      <w:r w:rsidR="0040320A" w:rsidRPr="0042020B">
        <w:t>8</w:t>
      </w:r>
      <w:r w:rsidRPr="0042020B">
        <w:t xml:space="preserve">, improving to a </w:t>
      </w:r>
      <w:r w:rsidR="0040320A" w:rsidRPr="0042020B">
        <w:t>projected surplus</w:t>
      </w:r>
      <w:r w:rsidRPr="0042020B">
        <w:t xml:space="preserve"> of $</w:t>
      </w:r>
      <w:r w:rsidR="002E30A0" w:rsidRPr="0042020B">
        <w:t>6.8</w:t>
      </w:r>
      <w:r w:rsidR="00AB7DEB" w:rsidRPr="0042020B">
        <w:t> billion</w:t>
      </w:r>
      <w:r w:rsidRPr="0042020B">
        <w:t xml:space="preserve"> (</w:t>
      </w:r>
      <w:r w:rsidR="002E30A0" w:rsidRPr="0042020B">
        <w:t>0.3</w:t>
      </w:r>
      <w:r w:rsidR="00AE7AF3" w:rsidRPr="0042020B">
        <w:t> per cent</w:t>
      </w:r>
      <w:r w:rsidR="00816CFE" w:rsidRPr="0042020B">
        <w:t> </w:t>
      </w:r>
      <w:r w:rsidRPr="0042020B">
        <w:t>of</w:t>
      </w:r>
      <w:r w:rsidR="00816CFE" w:rsidRPr="0042020B">
        <w:t> </w:t>
      </w:r>
      <w:r w:rsidRPr="0042020B">
        <w:t>GDP) in 20</w:t>
      </w:r>
      <w:r w:rsidR="0040320A" w:rsidRPr="0042020B">
        <w:t>19</w:t>
      </w:r>
      <w:r w:rsidR="00FB4A10" w:rsidRPr="0042020B">
        <w:noBreakHyphen/>
      </w:r>
      <w:r w:rsidRPr="0042020B">
        <w:t>2</w:t>
      </w:r>
      <w:r w:rsidR="0040320A" w:rsidRPr="0042020B">
        <w:t>0 and a larger projected surplus of $</w:t>
      </w:r>
      <w:r w:rsidR="002E30A0" w:rsidRPr="0042020B">
        <w:t>20.9</w:t>
      </w:r>
      <w:r w:rsidR="00AB7DEB" w:rsidRPr="0042020B">
        <w:t> billion</w:t>
      </w:r>
      <w:r w:rsidR="0040320A" w:rsidRPr="0042020B">
        <w:t xml:space="preserve"> (</w:t>
      </w:r>
      <w:r w:rsidR="002E30A0" w:rsidRPr="0042020B">
        <w:t>1.0</w:t>
      </w:r>
      <w:r w:rsidR="00AE7AF3" w:rsidRPr="0042020B">
        <w:t> per cent</w:t>
      </w:r>
      <w:r w:rsidR="0040320A" w:rsidRPr="0042020B">
        <w:t xml:space="preserve"> of GDP) in 2020</w:t>
      </w:r>
      <w:r w:rsidR="00FB4A10" w:rsidRPr="0042020B">
        <w:noBreakHyphen/>
      </w:r>
      <w:r w:rsidR="0040320A" w:rsidRPr="0042020B">
        <w:t>21</w:t>
      </w:r>
      <w:r w:rsidRPr="0042020B">
        <w:t>.</w:t>
      </w:r>
    </w:p>
    <w:p w:rsidR="004D3C8E" w:rsidRPr="0042020B" w:rsidRDefault="000411DC" w:rsidP="000411DC">
      <w:pPr>
        <w:spacing w:after="200"/>
      </w:pPr>
      <w:r w:rsidRPr="0042020B">
        <w:t xml:space="preserve">A </w:t>
      </w:r>
      <w:r w:rsidRPr="0042020B">
        <w:rPr>
          <w:b/>
        </w:rPr>
        <w:t>headline cash deficit</w:t>
      </w:r>
      <w:r w:rsidRPr="0042020B">
        <w:t xml:space="preserve"> of $</w:t>
      </w:r>
      <w:r w:rsidR="002E30A0" w:rsidRPr="0042020B">
        <w:t>39.6</w:t>
      </w:r>
      <w:r w:rsidR="00AB7DEB" w:rsidRPr="0042020B">
        <w:t> billion</w:t>
      </w:r>
      <w:r w:rsidRPr="0042020B">
        <w:t xml:space="preserve"> (</w:t>
      </w:r>
      <w:r w:rsidR="00E7554A" w:rsidRPr="0042020B">
        <w:t>2</w:t>
      </w:r>
      <w:r w:rsidRPr="0042020B">
        <w:t>.</w:t>
      </w:r>
      <w:r w:rsidR="00E7554A" w:rsidRPr="0042020B">
        <w:t>2</w:t>
      </w:r>
      <w:r w:rsidR="00AE7AF3" w:rsidRPr="0042020B">
        <w:t> per cent</w:t>
      </w:r>
      <w:r w:rsidRPr="0042020B">
        <w:t xml:space="preserve"> of GDP) is expected in </w:t>
      </w:r>
      <w:r w:rsidR="00EB4F71" w:rsidRPr="0042020B">
        <w:t>2017</w:t>
      </w:r>
      <w:r w:rsidR="00FB4A10" w:rsidRPr="0042020B">
        <w:noBreakHyphen/>
      </w:r>
      <w:r w:rsidR="00EB4F71" w:rsidRPr="0042020B">
        <w:t>18</w:t>
      </w:r>
      <w:r w:rsidRPr="0042020B">
        <w:t xml:space="preserve">, improving to a </w:t>
      </w:r>
      <w:r w:rsidR="00EB4F71" w:rsidRPr="0042020B">
        <w:t>projected surplus</w:t>
      </w:r>
      <w:r w:rsidRPr="0042020B">
        <w:t xml:space="preserve"> of $</w:t>
      </w:r>
      <w:r w:rsidR="002E30A0" w:rsidRPr="0042020B">
        <w:t>17.4</w:t>
      </w:r>
      <w:r w:rsidR="00AB7DEB" w:rsidRPr="0042020B">
        <w:t> billion</w:t>
      </w:r>
      <w:r w:rsidRPr="0042020B">
        <w:t xml:space="preserve"> (</w:t>
      </w:r>
      <w:r w:rsidR="00E7554A" w:rsidRPr="0042020B">
        <w:t>0.8</w:t>
      </w:r>
      <w:r w:rsidR="00AE7AF3" w:rsidRPr="0042020B">
        <w:t> per cent</w:t>
      </w:r>
      <w:r w:rsidRPr="0042020B">
        <w:t xml:space="preserve"> of GDP) in 20</w:t>
      </w:r>
      <w:r w:rsidR="00EB4F71" w:rsidRPr="0042020B">
        <w:t>20</w:t>
      </w:r>
      <w:r w:rsidR="00FB4A10" w:rsidRPr="0042020B">
        <w:noBreakHyphen/>
      </w:r>
      <w:r w:rsidRPr="0042020B">
        <w:t>2</w:t>
      </w:r>
      <w:r w:rsidR="00EB4F71" w:rsidRPr="0042020B">
        <w:t>1</w:t>
      </w:r>
      <w:r w:rsidRPr="0042020B">
        <w:t>.</w:t>
      </w:r>
      <w:r w:rsidR="002E127F" w:rsidRPr="0042020B">
        <w:t xml:space="preserve"> </w:t>
      </w:r>
      <w:r w:rsidR="002E127F" w:rsidRPr="0042020B">
        <w:fldChar w:fldCharType="begin"/>
      </w:r>
      <w:r w:rsidR="002E127F" w:rsidRPr="0042020B">
        <w:instrText xml:space="preserve"> :End:BPD_JR1 </w:instrText>
      </w:r>
      <w:r w:rsidR="002E127F" w:rsidRPr="0042020B">
        <w:fldChar w:fldCharType="end"/>
      </w:r>
    </w:p>
    <w:p w:rsidR="004D3C8E" w:rsidRPr="0042020B" w:rsidRDefault="004D3C8E" w:rsidP="00B871FA">
      <w:pPr>
        <w:pStyle w:val="TableHeading"/>
        <w:rPr>
          <w:rFonts w:ascii="Arial Bold" w:hAnsi="Arial Bold"/>
          <w:vertAlign w:val="superscript"/>
        </w:rPr>
      </w:pPr>
      <w:r w:rsidRPr="0042020B">
        <w:fldChar w:fldCharType="begin"/>
      </w:r>
      <w:r w:rsidRPr="0042020B">
        <w:instrText xml:space="preserve"> :Start:FARM_PG1 </w:instrText>
      </w:r>
      <w:r w:rsidRPr="0042020B">
        <w:fldChar w:fldCharType="end"/>
      </w:r>
      <w:r w:rsidRPr="0042020B">
        <w:t>Table 3.4: Summary of Australian Government gener</w:t>
      </w:r>
      <w:r w:rsidR="00653616" w:rsidRPr="0042020B">
        <w:t>al government sector cash flows</w:t>
      </w:r>
    </w:p>
    <w:p w:rsidR="004D3C8E" w:rsidRPr="0042020B" w:rsidRDefault="00C4489A" w:rsidP="004D3C8E">
      <w:pPr>
        <w:pStyle w:val="TableGraphic"/>
      </w:pPr>
      <w:r w:rsidRPr="0042020B">
        <w:object w:dxaOrig="7717" w:dyaOrig="5384">
          <v:shape id="_x0000_i1032" type="#_x0000_t75" style="width:385.65pt;height:269.2pt" o:ole="">
            <v:imagedata r:id="rId23" o:title=""/>
          </v:shape>
          <o:OLEObject Type="Link" ProgID="Excel.SheetMacroEnabled.12" ShapeID="_x0000_i1032" DrawAspect="Content" r:id="rId24" UpdateMode="Always">
            <o:LinkType>EnhancedMetaFile</o:LinkType>
            <o:LockedField/>
          </o:OLEObject>
        </w:object>
      </w:r>
    </w:p>
    <w:p w:rsidR="004D3C8E" w:rsidRPr="0042020B" w:rsidRDefault="004D3C8E" w:rsidP="000411DC">
      <w:pPr>
        <w:spacing w:after="200"/>
      </w:pPr>
    </w:p>
    <w:p w:rsidR="000411DC" w:rsidRPr="0042020B" w:rsidRDefault="000411DC" w:rsidP="00B871FA">
      <w:pPr>
        <w:pStyle w:val="TableHeadingcontinued"/>
        <w:rPr>
          <w:vertAlign w:val="superscript"/>
        </w:rPr>
      </w:pPr>
      <w:r w:rsidRPr="0042020B">
        <w:t>Table 3.</w:t>
      </w:r>
      <w:r w:rsidR="00D316A5" w:rsidRPr="0042020B">
        <w:t>4</w:t>
      </w:r>
      <w:r w:rsidRPr="0042020B">
        <w:t>: Summary of Australian Government general government sector cash flows</w:t>
      </w:r>
      <w:r w:rsidR="004036C9" w:rsidRPr="0042020B">
        <w:t xml:space="preserve"> </w:t>
      </w:r>
      <w:r w:rsidR="00695CA6" w:rsidRPr="0042020B">
        <w:t>(</w:t>
      </w:r>
      <w:r w:rsidR="004036C9" w:rsidRPr="0042020B">
        <w:t>continued</w:t>
      </w:r>
      <w:r w:rsidR="00695CA6" w:rsidRPr="0042020B">
        <w:t>)</w:t>
      </w:r>
    </w:p>
    <w:p w:rsidR="000411DC" w:rsidRPr="0042020B" w:rsidRDefault="00E20E49" w:rsidP="004036C9">
      <w:pPr>
        <w:pStyle w:val="TableGraphic"/>
      </w:pPr>
      <w:r w:rsidRPr="0042020B">
        <w:object w:dxaOrig="7717" w:dyaOrig="5442">
          <v:shape id="_x0000_i1033" type="#_x0000_t75" style="width:385.65pt;height:272.35pt" o:ole="">
            <v:imagedata r:id="rId25" o:title=""/>
          </v:shape>
          <o:OLEObject Type="Link" ProgID="Excel.SheetMacroEnabled.12" ShapeID="_x0000_i1033" DrawAspect="Content" r:id="rId26" UpdateMode="Always">
            <o:LinkType>EnhancedMetaFile</o:LinkType>
            <o:LockedField/>
          </o:OLEObject>
        </w:object>
      </w:r>
    </w:p>
    <w:p w:rsidR="000411DC" w:rsidRPr="0042020B" w:rsidRDefault="000411DC" w:rsidP="00337498">
      <w:pPr>
        <w:pStyle w:val="ChartandTableFootnoteAlpha"/>
        <w:numPr>
          <w:ilvl w:val="0"/>
          <w:numId w:val="14"/>
        </w:numPr>
        <w:rPr>
          <w:color w:val="auto"/>
        </w:rPr>
      </w:pPr>
      <w:r w:rsidRPr="0042020B">
        <w:rPr>
          <w:color w:val="auto"/>
        </w:rPr>
        <w:t>Equivalent to cash receipts from the sale of non</w:t>
      </w:r>
      <w:r w:rsidR="00FB4A10" w:rsidRPr="0042020B">
        <w:rPr>
          <w:color w:val="auto"/>
        </w:rPr>
        <w:noBreakHyphen/>
      </w:r>
      <w:r w:rsidRPr="0042020B">
        <w:rPr>
          <w:color w:val="auto"/>
        </w:rPr>
        <w:t>financial assets in the cash flow statement.</w:t>
      </w:r>
    </w:p>
    <w:p w:rsidR="000411DC" w:rsidRPr="0042020B" w:rsidRDefault="000411DC" w:rsidP="00337498">
      <w:pPr>
        <w:pStyle w:val="ChartandTableFootnoteAlpha"/>
        <w:numPr>
          <w:ilvl w:val="0"/>
          <w:numId w:val="16"/>
        </w:numPr>
        <w:rPr>
          <w:color w:val="auto"/>
        </w:rPr>
      </w:pPr>
      <w:r w:rsidRPr="0042020B">
        <w:rPr>
          <w:color w:val="auto"/>
        </w:rPr>
        <w:t>Equivalent to cash payments for purchases of non</w:t>
      </w:r>
      <w:r w:rsidR="00FB4A10" w:rsidRPr="0042020B">
        <w:rPr>
          <w:color w:val="auto"/>
        </w:rPr>
        <w:noBreakHyphen/>
      </w:r>
      <w:r w:rsidRPr="0042020B">
        <w:rPr>
          <w:color w:val="auto"/>
        </w:rPr>
        <w:t>financial assets in the cash flow statement.</w:t>
      </w:r>
    </w:p>
    <w:p w:rsidR="000E5416" w:rsidRPr="0042020B" w:rsidRDefault="000E5416" w:rsidP="000E5416">
      <w:pPr>
        <w:pStyle w:val="ChartandTableFootnoteAlpha"/>
        <w:numPr>
          <w:ilvl w:val="0"/>
          <w:numId w:val="16"/>
        </w:numPr>
        <w:rPr>
          <w:color w:val="auto"/>
        </w:rPr>
      </w:pPr>
      <w:r w:rsidRPr="0042020B">
        <w:rPr>
          <w:color w:val="auto"/>
        </w:rPr>
        <w:t xml:space="preserve">Due to the implementation of the 2015 ABS GFS Manual, from the </w:t>
      </w:r>
      <w:r w:rsidR="000F5D7C" w:rsidRPr="0042020B">
        <w:rPr>
          <w:color w:val="auto"/>
        </w:rPr>
        <w:t>2017</w:t>
      </w:r>
      <w:r w:rsidR="000F5D7C" w:rsidRPr="0042020B">
        <w:rPr>
          <w:color w:val="auto"/>
        </w:rPr>
        <w:noBreakHyphen/>
        <w:t>18 Budget</w:t>
      </w:r>
      <w:r w:rsidRPr="0042020B">
        <w:rPr>
          <w:color w:val="auto"/>
        </w:rPr>
        <w:t>, finance leases are no longer deducted in the derivation of the GFS cash surplus/deficit.</w:t>
      </w:r>
    </w:p>
    <w:p w:rsidR="00BC06BE" w:rsidRPr="0042020B" w:rsidRDefault="00BC06BE" w:rsidP="00337498">
      <w:pPr>
        <w:pStyle w:val="ChartandTableFootnoteAlpha"/>
        <w:numPr>
          <w:ilvl w:val="0"/>
          <w:numId w:val="16"/>
        </w:numPr>
        <w:rPr>
          <w:color w:val="auto"/>
        </w:rPr>
      </w:pPr>
      <w:r w:rsidRPr="0042020B">
        <w:rPr>
          <w:color w:val="auto"/>
        </w:rPr>
        <w:t xml:space="preserve">The acquisition of assets under finance leases </w:t>
      </w:r>
      <w:r w:rsidR="00C17B33" w:rsidRPr="0042020B">
        <w:rPr>
          <w:color w:val="auto"/>
        </w:rPr>
        <w:t>worsens</w:t>
      </w:r>
      <w:r w:rsidRPr="0042020B">
        <w:rPr>
          <w:color w:val="auto"/>
        </w:rPr>
        <w:t xml:space="preserve"> the underlying cash balance. The disposal of assets previously held under finance leases </w:t>
      </w:r>
      <w:r w:rsidR="00C17B33" w:rsidRPr="0042020B">
        <w:rPr>
          <w:color w:val="auto"/>
        </w:rPr>
        <w:t>improves the</w:t>
      </w:r>
      <w:r w:rsidRPr="0042020B">
        <w:rPr>
          <w:color w:val="auto"/>
        </w:rPr>
        <w:t xml:space="preserve"> underlying cash balance.</w:t>
      </w:r>
    </w:p>
    <w:p w:rsidR="00BC06BE" w:rsidRPr="0042020B" w:rsidRDefault="00BC06BE" w:rsidP="00337498">
      <w:pPr>
        <w:pStyle w:val="ChartandTableFootnoteAlpha"/>
        <w:numPr>
          <w:ilvl w:val="0"/>
          <w:numId w:val="16"/>
        </w:numPr>
        <w:rPr>
          <w:color w:val="auto"/>
        </w:rPr>
      </w:pPr>
      <w:r w:rsidRPr="0042020B">
        <w:rPr>
          <w:color w:val="auto"/>
        </w:rPr>
        <w:t xml:space="preserve">Under the </w:t>
      </w:r>
      <w:r w:rsidRPr="0042020B">
        <w:rPr>
          <w:i/>
          <w:color w:val="auto"/>
        </w:rPr>
        <w:t>Future Fund Act 2006</w:t>
      </w:r>
      <w:r w:rsidRPr="0042020B">
        <w:rPr>
          <w:color w:val="auto"/>
        </w:rPr>
        <w:t>, net Future Fund earnings will be available to meet the Government superannuation liability in 2020</w:t>
      </w:r>
      <w:r w:rsidR="00FB4A10" w:rsidRPr="0042020B">
        <w:rPr>
          <w:color w:val="auto"/>
        </w:rPr>
        <w:noBreakHyphen/>
      </w:r>
      <w:r w:rsidRPr="0042020B">
        <w:rPr>
          <w:color w:val="auto"/>
        </w:rPr>
        <w:t>21. From this time, the underlying cash balance includes expected net Future Fund earnings.</w:t>
      </w:r>
    </w:p>
    <w:p w:rsidR="000411DC" w:rsidRPr="0042020B" w:rsidRDefault="0040320A" w:rsidP="00337498">
      <w:pPr>
        <w:pStyle w:val="ChartandTableFootnoteAlpha"/>
        <w:numPr>
          <w:ilvl w:val="0"/>
          <w:numId w:val="16"/>
        </w:numPr>
        <w:rPr>
          <w:color w:val="auto"/>
        </w:rPr>
      </w:pPr>
      <w:r w:rsidRPr="0042020B">
        <w:rPr>
          <w:color w:val="auto"/>
        </w:rPr>
        <w:t>Excludes expected net Future Fund earnings before 2020</w:t>
      </w:r>
      <w:r w:rsidR="00FB4A10" w:rsidRPr="0042020B">
        <w:rPr>
          <w:color w:val="auto"/>
        </w:rPr>
        <w:noBreakHyphen/>
      </w:r>
      <w:r w:rsidRPr="0042020B">
        <w:rPr>
          <w:color w:val="auto"/>
        </w:rPr>
        <w:t>21.</w:t>
      </w:r>
      <w:r w:rsidR="0064570B" w:rsidRPr="0042020B">
        <w:rPr>
          <w:color w:val="auto"/>
        </w:rPr>
        <w:fldChar w:fldCharType="begin"/>
      </w:r>
      <w:r w:rsidR="0064570B" w:rsidRPr="0042020B">
        <w:rPr>
          <w:color w:val="auto"/>
        </w:rPr>
        <w:instrText xml:space="preserve"> :End:FARM_PG1 </w:instrText>
      </w:r>
      <w:r w:rsidR="0064570B" w:rsidRPr="0042020B">
        <w:rPr>
          <w:color w:val="auto"/>
        </w:rPr>
        <w:fldChar w:fldCharType="end"/>
      </w:r>
    </w:p>
    <w:p w:rsidR="000411DC" w:rsidRPr="0042020B" w:rsidRDefault="000411DC" w:rsidP="000E2DCD">
      <w:pPr>
        <w:pStyle w:val="SingleParagraph"/>
      </w:pPr>
    </w:p>
    <w:bookmarkStart w:id="20" w:name="_Toc434412589"/>
    <w:bookmarkStart w:id="21" w:name="_Toc434412643"/>
    <w:bookmarkStart w:id="22" w:name="_Toc436316559"/>
    <w:p w:rsidR="0040320A" w:rsidRPr="0042020B" w:rsidRDefault="00C17B52" w:rsidP="0040320A">
      <w:pPr>
        <w:pStyle w:val="Heading3"/>
      </w:pPr>
      <w:r w:rsidRPr="0042020B">
        <w:fldChar w:fldCharType="begin"/>
      </w:r>
      <w:r w:rsidRPr="0042020B">
        <w:instrText xml:space="preserve"> :Start:BPD_JR1 </w:instrText>
      </w:r>
      <w:r w:rsidRPr="0042020B">
        <w:fldChar w:fldCharType="end"/>
      </w:r>
      <w:r w:rsidR="0040320A" w:rsidRPr="0042020B">
        <w:t>Underlying cash balance estimates</w:t>
      </w:r>
      <w:bookmarkEnd w:id="20"/>
      <w:bookmarkEnd w:id="21"/>
      <w:bookmarkEnd w:id="22"/>
    </w:p>
    <w:p w:rsidR="00BC06BE" w:rsidRPr="0042020B" w:rsidRDefault="00BC06BE" w:rsidP="00BC06BE">
      <w:r w:rsidRPr="0042020B">
        <w:t>The estimated underlying cash deficit in 2017</w:t>
      </w:r>
      <w:r w:rsidR="00FB4A10" w:rsidRPr="0042020B">
        <w:noBreakHyphen/>
      </w:r>
      <w:r w:rsidRPr="0042020B">
        <w:t xml:space="preserve">18 has </w:t>
      </w:r>
      <w:r w:rsidR="002E30A0" w:rsidRPr="0042020B">
        <w:t>improved</w:t>
      </w:r>
      <w:r w:rsidRPr="0042020B">
        <w:t xml:space="preserve"> by $</w:t>
      </w:r>
      <w:r w:rsidR="002E30A0" w:rsidRPr="0042020B">
        <w:t>5.8</w:t>
      </w:r>
      <w:r w:rsidR="00AB7DEB" w:rsidRPr="0042020B">
        <w:t> billion</w:t>
      </w:r>
      <w:r w:rsidRPr="0042020B">
        <w:t xml:space="preserve"> compared </w:t>
      </w:r>
      <w:r w:rsidR="00C950D6" w:rsidRPr="0042020B">
        <w:t>with</w:t>
      </w:r>
      <w:r w:rsidRPr="0042020B">
        <w:t xml:space="preserve"> the </w:t>
      </w:r>
      <w:r w:rsidR="000F5D7C" w:rsidRPr="0042020B">
        <w:t>2017</w:t>
      </w:r>
      <w:r w:rsidR="000F5D7C" w:rsidRPr="0042020B">
        <w:noBreakHyphen/>
        <w:t>18 Budget</w:t>
      </w:r>
      <w:r w:rsidRPr="0042020B">
        <w:t>. Table</w:t>
      </w:r>
      <w:r w:rsidR="003602A0" w:rsidRPr="0042020B">
        <w:t> </w:t>
      </w:r>
      <w:r w:rsidR="007F3CDB" w:rsidRPr="0042020B">
        <w:t>3.</w:t>
      </w:r>
      <w:r w:rsidR="00001A95" w:rsidRPr="0042020B">
        <w:t>5</w:t>
      </w:r>
      <w:r w:rsidRPr="0042020B">
        <w:t xml:space="preserve"> provides a reconciliation of the variations in the underlying cash balance since the </w:t>
      </w:r>
      <w:r w:rsidR="000F5D7C" w:rsidRPr="0042020B">
        <w:t>2017</w:t>
      </w:r>
      <w:r w:rsidR="000F5D7C" w:rsidRPr="0042020B">
        <w:noBreakHyphen/>
        <w:t>18 Budget</w:t>
      </w:r>
      <w:r w:rsidRPr="0042020B">
        <w:t>.</w:t>
      </w:r>
      <w:r w:rsidR="00D65F01" w:rsidRPr="0042020B">
        <w:t xml:space="preserve"> </w:t>
      </w:r>
      <w:r w:rsidR="00D65F01" w:rsidRPr="0042020B">
        <w:fldChar w:fldCharType="begin"/>
      </w:r>
      <w:r w:rsidR="00D65F01" w:rsidRPr="0042020B">
        <w:instrText xml:space="preserve"> :End:BPD_JR1 </w:instrText>
      </w:r>
      <w:r w:rsidR="00D65F01" w:rsidRPr="0042020B">
        <w:fldChar w:fldCharType="end"/>
      </w:r>
    </w:p>
    <w:p w:rsidR="00BC06BE" w:rsidRPr="0042020B" w:rsidRDefault="00D65F01" w:rsidP="00BC06BE">
      <w:r w:rsidRPr="0042020B">
        <w:fldChar w:fldCharType="begin"/>
      </w:r>
      <w:r w:rsidRPr="0042020B">
        <w:instrText xml:space="preserve"> :Start:BAB_DD1 </w:instrText>
      </w:r>
      <w:r w:rsidRPr="0042020B">
        <w:fldChar w:fldCharType="end"/>
      </w:r>
      <w:r w:rsidR="00BC06BE" w:rsidRPr="0042020B">
        <w:t xml:space="preserve">Since the </w:t>
      </w:r>
      <w:r w:rsidR="000F5D7C" w:rsidRPr="0042020B">
        <w:t>2017</w:t>
      </w:r>
      <w:r w:rsidR="000F5D7C" w:rsidRPr="0042020B">
        <w:noBreakHyphen/>
        <w:t>18 Budget</w:t>
      </w:r>
      <w:r w:rsidR="00BC06BE" w:rsidRPr="0042020B">
        <w:t>, pol</w:t>
      </w:r>
      <w:r w:rsidR="00E7554A" w:rsidRPr="0042020B">
        <w:t>icy decisions</w:t>
      </w:r>
      <w:r w:rsidRPr="0042020B">
        <w:t>, after taking account of Senate positions,</w:t>
      </w:r>
      <w:r w:rsidR="00E7554A" w:rsidRPr="0042020B">
        <w:t xml:space="preserve"> have resulted in a</w:t>
      </w:r>
      <w:r w:rsidR="00BC06BE" w:rsidRPr="0042020B">
        <w:t xml:space="preserve"> $</w:t>
      </w:r>
      <w:r w:rsidRPr="0042020B">
        <w:t>573</w:t>
      </w:r>
      <w:r w:rsidR="00AB7DEB" w:rsidRPr="0042020B">
        <w:t> </w:t>
      </w:r>
      <w:r w:rsidRPr="0042020B">
        <w:t>m</w:t>
      </w:r>
      <w:r w:rsidR="00AB7DEB" w:rsidRPr="0042020B">
        <w:t>illion</w:t>
      </w:r>
      <w:r w:rsidR="00BC06BE" w:rsidRPr="0042020B">
        <w:t xml:space="preserve"> </w:t>
      </w:r>
      <w:r w:rsidRPr="0042020B">
        <w:t>improvement</w:t>
      </w:r>
      <w:r w:rsidR="00BC06BE" w:rsidRPr="0042020B">
        <w:t xml:space="preserve"> in the underlying cash balance </w:t>
      </w:r>
      <w:r w:rsidR="007F3CDB" w:rsidRPr="0042020B">
        <w:t>over the</w:t>
      </w:r>
      <w:r w:rsidR="00BC06BE" w:rsidRPr="0042020B">
        <w:t xml:space="preserve"> </w:t>
      </w:r>
      <w:r w:rsidR="00FC3219" w:rsidRPr="0042020B">
        <w:t>forward estimates</w:t>
      </w:r>
      <w:r w:rsidR="00BC06BE" w:rsidRPr="0042020B">
        <w:t>.</w:t>
      </w:r>
      <w:r w:rsidRPr="0042020B">
        <w:t xml:space="preserve"> </w:t>
      </w:r>
      <w:r w:rsidRPr="0042020B">
        <w:fldChar w:fldCharType="begin"/>
      </w:r>
      <w:r w:rsidRPr="0042020B">
        <w:instrText xml:space="preserve"> :End:BAB_DD1 </w:instrText>
      </w:r>
      <w:r w:rsidRPr="0042020B">
        <w:fldChar w:fldCharType="end"/>
      </w:r>
    </w:p>
    <w:p w:rsidR="00950716" w:rsidRPr="0042020B" w:rsidRDefault="00D65F01" w:rsidP="000A1CBA">
      <w:r w:rsidRPr="0042020B">
        <w:fldChar w:fldCharType="begin"/>
      </w:r>
      <w:r w:rsidRPr="0042020B">
        <w:instrText xml:space="preserve"> :Start:BPD_JR1 </w:instrText>
      </w:r>
      <w:r w:rsidRPr="0042020B">
        <w:fldChar w:fldCharType="end"/>
      </w:r>
      <w:r w:rsidR="00BC06BE" w:rsidRPr="0042020B">
        <w:t xml:space="preserve">Since the </w:t>
      </w:r>
      <w:r w:rsidR="000F5D7C" w:rsidRPr="0042020B">
        <w:t>2017</w:t>
      </w:r>
      <w:r w:rsidR="000F5D7C" w:rsidRPr="0042020B">
        <w:noBreakHyphen/>
        <w:t>18 Budget</w:t>
      </w:r>
      <w:r w:rsidR="00BC06BE" w:rsidRPr="0042020B">
        <w:t>, the effect of parameter and other variations has resulted in a $</w:t>
      </w:r>
      <w:r w:rsidR="002E30A0" w:rsidRPr="0042020B">
        <w:t>2.4</w:t>
      </w:r>
      <w:r w:rsidR="00AB7DEB" w:rsidRPr="0042020B">
        <w:t> billion</w:t>
      </w:r>
      <w:r w:rsidR="00BC06BE" w:rsidRPr="0042020B">
        <w:t xml:space="preserve"> </w:t>
      </w:r>
      <w:r w:rsidR="002E30A0" w:rsidRPr="0042020B">
        <w:t>increase</w:t>
      </w:r>
      <w:r w:rsidR="00BC06BE" w:rsidRPr="0042020B">
        <w:t xml:space="preserve"> in forecast receipts </w:t>
      </w:r>
      <w:r w:rsidR="00FC3219" w:rsidRPr="0042020B">
        <w:t xml:space="preserve">and a </w:t>
      </w:r>
      <w:r w:rsidR="00BC06BE" w:rsidRPr="0042020B">
        <w:t>$</w:t>
      </w:r>
      <w:r w:rsidR="002E30A0" w:rsidRPr="0042020B">
        <w:t>8.8</w:t>
      </w:r>
      <w:r w:rsidR="00AB7DEB" w:rsidRPr="0042020B">
        <w:t> billion</w:t>
      </w:r>
      <w:r w:rsidR="00BC06BE" w:rsidRPr="0042020B">
        <w:t xml:space="preserve"> </w:t>
      </w:r>
      <w:r w:rsidR="008562BE" w:rsidRPr="0042020B">
        <w:t>decrease</w:t>
      </w:r>
      <w:r w:rsidR="00BC06BE" w:rsidRPr="0042020B">
        <w:t xml:space="preserve"> in payments </w:t>
      </w:r>
      <w:r w:rsidR="00FC3219" w:rsidRPr="0042020B">
        <w:t>over the forward estimates</w:t>
      </w:r>
      <w:r w:rsidR="00544BF0" w:rsidRPr="0042020B">
        <w:t>.</w:t>
      </w:r>
    </w:p>
    <w:p w:rsidR="000A1CBA" w:rsidRPr="0042020B" w:rsidRDefault="004036C9" w:rsidP="000A1CBA">
      <w:r w:rsidRPr="0042020B">
        <w:br w:type="page"/>
      </w:r>
      <w:r w:rsidR="00950716" w:rsidRPr="0042020B">
        <w:t>From 2020</w:t>
      </w:r>
      <w:r w:rsidR="00FB4A10" w:rsidRPr="0042020B">
        <w:noBreakHyphen/>
      </w:r>
      <w:r w:rsidR="00950716" w:rsidRPr="0042020B">
        <w:t>21 onwards, net Future Fund earnings are included in the calculation of the underlying cash balance because the Future Fund becomes available to meet the Government’s superannuation liabilities from that year. The earnings do not include unrealised gains from the Future Fund that are the basis of the investment mandate provided to the Future Fund by the Government. Net Future Fund earnings are excluded from the calculation of the underlying cash balance between 2005</w:t>
      </w:r>
      <w:r w:rsidR="00FB4A10" w:rsidRPr="0042020B">
        <w:noBreakHyphen/>
      </w:r>
      <w:r w:rsidR="00950716" w:rsidRPr="0042020B">
        <w:t>06 and 2019</w:t>
      </w:r>
      <w:r w:rsidR="00FB4A10" w:rsidRPr="0042020B">
        <w:noBreakHyphen/>
      </w:r>
      <w:r w:rsidR="00950716" w:rsidRPr="0042020B">
        <w:t xml:space="preserve">20 as, under the </w:t>
      </w:r>
      <w:r w:rsidR="00950716" w:rsidRPr="0042020B">
        <w:rPr>
          <w:i/>
        </w:rPr>
        <w:t>Future Fund Act 2006</w:t>
      </w:r>
      <w:r w:rsidR="00950716" w:rsidRPr="0042020B">
        <w:t>, earnings are required to be reinvested to meet the future public sector superannuation liabilities in these years.</w:t>
      </w:r>
      <w:r w:rsidR="00817565" w:rsidRPr="0042020B">
        <w:fldChar w:fldCharType="begin"/>
      </w:r>
      <w:r w:rsidR="00817565" w:rsidRPr="0042020B">
        <w:instrText xml:space="preserve"> :End:BPD_JR1 </w:instrText>
      </w:r>
      <w:r w:rsidR="00817565" w:rsidRPr="0042020B">
        <w:fldChar w:fldCharType="end"/>
      </w:r>
    </w:p>
    <w:p w:rsidR="000411DC" w:rsidRPr="0042020B" w:rsidRDefault="00894AFB" w:rsidP="00B871FA">
      <w:pPr>
        <w:pStyle w:val="TableHeading"/>
      </w:pPr>
      <w:r w:rsidRPr="0042020B">
        <w:fldChar w:fldCharType="begin"/>
      </w:r>
      <w:r w:rsidRPr="0042020B">
        <w:instrText xml:space="preserve"> :Start:FARM_PG1 </w:instrText>
      </w:r>
      <w:r w:rsidRPr="0042020B">
        <w:fldChar w:fldCharType="end"/>
      </w:r>
      <w:r w:rsidR="000411DC" w:rsidRPr="0042020B">
        <w:t>Table</w:t>
      </w:r>
      <w:r w:rsidR="003602A0" w:rsidRPr="0042020B">
        <w:t> </w:t>
      </w:r>
      <w:r w:rsidR="000411DC" w:rsidRPr="0042020B">
        <w:t>3.</w:t>
      </w:r>
      <w:r w:rsidR="00D316A5" w:rsidRPr="0042020B">
        <w:t>5</w:t>
      </w:r>
      <w:r w:rsidR="000411DC" w:rsidRPr="0042020B">
        <w:t>: Reconciliation of general government sector underlying cash balance estimates</w:t>
      </w:r>
    </w:p>
    <w:p w:rsidR="000411DC" w:rsidRPr="0042020B" w:rsidRDefault="00B81D1C" w:rsidP="005618FD">
      <w:pPr>
        <w:pStyle w:val="TableGraphic"/>
      </w:pPr>
      <w:r>
        <w:object w:dxaOrig="7686" w:dyaOrig="4954">
          <v:shape id="_x0000_i1034" type="#_x0000_t75" style="width:384.4pt;height:247.95pt" o:ole="">
            <v:imagedata r:id="rId27" o:title=""/>
          </v:shape>
          <o:OLEObject Type="Link" ProgID="Excel.SheetMacroEnabled.12" ShapeID="_x0000_i1034" DrawAspect="Content" r:id="rId28" UpdateMode="Always">
            <o:LinkType>EnhancedMetaFile</o:LinkType>
            <o:LockedField/>
          </o:OLEObject>
        </w:object>
      </w:r>
    </w:p>
    <w:p w:rsidR="00FC3219" w:rsidRPr="0042020B" w:rsidRDefault="00FC3219" w:rsidP="00337498">
      <w:pPr>
        <w:pStyle w:val="ChartandTableFootnoteAlpha"/>
        <w:numPr>
          <w:ilvl w:val="0"/>
          <w:numId w:val="18"/>
        </w:numPr>
        <w:rPr>
          <w:color w:val="auto"/>
        </w:rPr>
      </w:pPr>
      <w:r w:rsidRPr="0042020B">
        <w:rPr>
          <w:color w:val="auto"/>
        </w:rPr>
        <w:t>Excludes expected net Future Fund earnings before 2020</w:t>
      </w:r>
      <w:r w:rsidR="00FB4A10" w:rsidRPr="0042020B">
        <w:rPr>
          <w:color w:val="auto"/>
        </w:rPr>
        <w:noBreakHyphen/>
      </w:r>
      <w:r w:rsidRPr="0042020B">
        <w:rPr>
          <w:color w:val="auto"/>
        </w:rPr>
        <w:t>21.</w:t>
      </w:r>
    </w:p>
    <w:p w:rsidR="000411DC" w:rsidRPr="0042020B" w:rsidRDefault="000411DC" w:rsidP="00337498">
      <w:pPr>
        <w:pStyle w:val="ChartandTableFootnoteAlpha"/>
        <w:numPr>
          <w:ilvl w:val="0"/>
          <w:numId w:val="16"/>
        </w:numPr>
        <w:rPr>
          <w:color w:val="auto"/>
        </w:rPr>
      </w:pPr>
      <w:r w:rsidRPr="0042020B">
        <w:rPr>
          <w:color w:val="auto"/>
        </w:rPr>
        <w:t>Excludes secondary impacts on public debt interest of policy decisions and offsets from the Contingency Reserve for decisions taken.</w:t>
      </w:r>
    </w:p>
    <w:p w:rsidR="000411DC" w:rsidRPr="0042020B" w:rsidRDefault="000411DC" w:rsidP="00337498">
      <w:pPr>
        <w:pStyle w:val="ChartandTableFootnoteAlpha"/>
        <w:numPr>
          <w:ilvl w:val="0"/>
          <w:numId w:val="16"/>
        </w:numPr>
        <w:rPr>
          <w:color w:val="auto"/>
        </w:rPr>
      </w:pPr>
      <w:r w:rsidRPr="0042020B">
        <w:rPr>
          <w:color w:val="auto"/>
        </w:rPr>
        <w:t xml:space="preserve">A positive number for receipts </w:t>
      </w:r>
      <w:r w:rsidR="00C17B33" w:rsidRPr="0042020B">
        <w:rPr>
          <w:color w:val="auto"/>
        </w:rPr>
        <w:t>improves</w:t>
      </w:r>
      <w:r w:rsidRPr="0042020B">
        <w:rPr>
          <w:color w:val="auto"/>
        </w:rPr>
        <w:t xml:space="preserve"> the underlying cash balance, while a positive number for payments </w:t>
      </w:r>
      <w:r w:rsidR="00C17B33" w:rsidRPr="0042020B">
        <w:rPr>
          <w:color w:val="auto"/>
        </w:rPr>
        <w:t>worsens</w:t>
      </w:r>
      <w:r w:rsidRPr="0042020B">
        <w:rPr>
          <w:color w:val="auto"/>
        </w:rPr>
        <w:t xml:space="preserve"> the underlying cash balance.</w:t>
      </w:r>
    </w:p>
    <w:p w:rsidR="00FC3219" w:rsidRPr="0042020B" w:rsidRDefault="00FC3219" w:rsidP="00337498">
      <w:pPr>
        <w:pStyle w:val="ChartandTableFootnoteAlpha"/>
        <w:numPr>
          <w:ilvl w:val="0"/>
          <w:numId w:val="16"/>
        </w:numPr>
        <w:rPr>
          <w:color w:val="auto"/>
        </w:rPr>
      </w:pPr>
      <w:r w:rsidRPr="0042020B">
        <w:rPr>
          <w:color w:val="auto"/>
        </w:rPr>
        <w:t xml:space="preserve">Under the </w:t>
      </w:r>
      <w:r w:rsidRPr="0042020B">
        <w:rPr>
          <w:i/>
          <w:color w:val="auto"/>
        </w:rPr>
        <w:t>Future Fund Act 2006</w:t>
      </w:r>
      <w:r w:rsidRPr="0042020B">
        <w:rPr>
          <w:color w:val="auto"/>
        </w:rPr>
        <w:t>, net Future Fund earnings will be available to meet the Govern</w:t>
      </w:r>
      <w:r w:rsidR="00A100F3" w:rsidRPr="0042020B">
        <w:rPr>
          <w:color w:val="auto"/>
        </w:rPr>
        <w:t xml:space="preserve">ment superannuation liability </w:t>
      </w:r>
      <w:r w:rsidRPr="0042020B">
        <w:rPr>
          <w:color w:val="auto"/>
        </w:rPr>
        <w:t>in 2020</w:t>
      </w:r>
      <w:r w:rsidR="00FB4A10" w:rsidRPr="0042020B">
        <w:rPr>
          <w:color w:val="auto"/>
        </w:rPr>
        <w:noBreakHyphen/>
      </w:r>
      <w:r w:rsidRPr="0042020B">
        <w:rPr>
          <w:color w:val="auto"/>
        </w:rPr>
        <w:t>21. From this time, the underlying cash balance includes expected net Future Fund earnings.</w:t>
      </w:r>
      <w:r w:rsidR="00894AFB" w:rsidRPr="0042020B">
        <w:rPr>
          <w:color w:val="auto"/>
        </w:rPr>
        <w:fldChar w:fldCharType="begin"/>
      </w:r>
      <w:r w:rsidR="00894AFB" w:rsidRPr="0042020B">
        <w:rPr>
          <w:color w:val="auto"/>
        </w:rPr>
        <w:instrText xml:space="preserve"> :End:FARM_PG1 </w:instrText>
      </w:r>
      <w:r w:rsidR="00894AFB" w:rsidRPr="0042020B">
        <w:rPr>
          <w:color w:val="auto"/>
        </w:rPr>
        <w:fldChar w:fldCharType="end"/>
      </w:r>
    </w:p>
    <w:p w:rsidR="000411DC" w:rsidRPr="0042020B" w:rsidRDefault="000411DC" w:rsidP="000411DC">
      <w:pPr>
        <w:pStyle w:val="SingleParagraph"/>
      </w:pPr>
    </w:p>
    <w:p w:rsidR="00425476" w:rsidRPr="0042020B" w:rsidRDefault="009D2FEC" w:rsidP="000411DC">
      <w:pPr>
        <w:pStyle w:val="SingleParagraph"/>
      </w:pPr>
      <w:r w:rsidRPr="0042020B">
        <w:fldChar w:fldCharType="begin"/>
      </w:r>
      <w:r w:rsidRPr="0042020B">
        <w:instrText xml:space="preserve"> :Start:BAB_DD1 </w:instrText>
      </w:r>
      <w:r w:rsidRPr="0042020B">
        <w:fldChar w:fldCharType="end"/>
      </w:r>
      <w:r w:rsidR="00425476" w:rsidRPr="0042020B">
        <w:rPr>
          <w:color w:val="000000"/>
        </w:rPr>
        <w:t>D</w:t>
      </w:r>
      <w:r w:rsidR="00425476" w:rsidRPr="0042020B">
        <w:t xml:space="preserve">ecisions taken since the </w:t>
      </w:r>
      <w:r w:rsidR="000F5D7C" w:rsidRPr="0042020B">
        <w:t>2017</w:t>
      </w:r>
      <w:r w:rsidR="000F5D7C" w:rsidRPr="0042020B">
        <w:noBreakHyphen/>
        <w:t>18 Budget</w:t>
      </w:r>
      <w:r w:rsidR="00425476" w:rsidRPr="0042020B">
        <w:t xml:space="preserve"> as a result of Senate positions had a net </w:t>
      </w:r>
      <w:r w:rsidR="00E15A28" w:rsidRPr="0042020B">
        <w:t xml:space="preserve">negative </w:t>
      </w:r>
      <w:r w:rsidR="00425476" w:rsidRPr="0042020B">
        <w:t xml:space="preserve">impact </w:t>
      </w:r>
      <w:r w:rsidR="00E15A28" w:rsidRPr="0042020B">
        <w:t>on</w:t>
      </w:r>
      <w:r w:rsidR="00425476" w:rsidRPr="0042020B">
        <w:t xml:space="preserve"> the underlying cash balance of $2.5</w:t>
      </w:r>
      <w:r w:rsidR="00813446" w:rsidRPr="0042020B">
        <w:t> </w:t>
      </w:r>
      <w:r w:rsidR="00425476" w:rsidRPr="0042020B">
        <w:t xml:space="preserve">billion over the forward estimates. Adjusting for these decisions, including those that helped secure parliamentary support for the Government’s School Reform Package and the impact of a revised Higher Education Reform Package, the net impact of policy decisions taken since the </w:t>
      </w:r>
      <w:r w:rsidR="000F5D7C" w:rsidRPr="0042020B">
        <w:t>2017</w:t>
      </w:r>
      <w:r w:rsidR="000F5D7C" w:rsidRPr="0042020B">
        <w:noBreakHyphen/>
        <w:t>18 Budget</w:t>
      </w:r>
      <w:r w:rsidR="00425476" w:rsidRPr="0042020B">
        <w:t xml:space="preserve"> is a $</w:t>
      </w:r>
      <w:r w:rsidR="002B29D9" w:rsidRPr="0042020B">
        <w:t>573</w:t>
      </w:r>
      <w:r w:rsidR="00425476" w:rsidRPr="0042020B">
        <w:t> million improvement in the underlying cash balance over the forward estimates</w:t>
      </w:r>
      <w:r w:rsidR="00D20C95" w:rsidRPr="0042020B">
        <w:t>,</w:t>
      </w:r>
      <w:r w:rsidR="00425476" w:rsidRPr="0042020B">
        <w:t xml:space="preserve"> as illustrated in Table </w:t>
      </w:r>
      <w:r w:rsidR="00813446" w:rsidRPr="0042020B">
        <w:t>3.6</w:t>
      </w:r>
      <w:r w:rsidR="00425476" w:rsidRPr="0042020B">
        <w:t xml:space="preserve"> below.</w:t>
      </w:r>
    </w:p>
    <w:p w:rsidR="000519D0" w:rsidRPr="0042020B" w:rsidRDefault="000519D0" w:rsidP="000519D0">
      <w:pPr>
        <w:pStyle w:val="TableHeading"/>
      </w:pPr>
      <w:r w:rsidRPr="0042020B">
        <w:t>Table 3.6: Reconciliation of Government decisions in the 2017</w:t>
      </w:r>
      <w:r w:rsidR="00FB4A10" w:rsidRPr="0042020B">
        <w:noBreakHyphen/>
      </w:r>
      <w:r w:rsidRPr="0042020B">
        <w:t>18 MYEFO adjusted for Senate positions (underlying cash balance estimates)</w:t>
      </w:r>
    </w:p>
    <w:p w:rsidR="000519D0" w:rsidRPr="0042020B" w:rsidRDefault="002201DA" w:rsidP="000519D0">
      <w:pPr>
        <w:pStyle w:val="TableGraphic"/>
      </w:pPr>
      <w:r w:rsidRPr="0042020B">
        <w:object w:dxaOrig="7686" w:dyaOrig="7579">
          <v:shape id="_x0000_i1035" type="#_x0000_t75" style="width:384.4pt;height:378.8pt" o:ole="">
            <v:imagedata r:id="rId29" o:title=""/>
          </v:shape>
          <o:OLEObject Type="Link" ProgID="Excel.Sheet.12" ShapeID="_x0000_i1035" DrawAspect="Content" r:id="rId30" UpdateMode="Always">
            <o:LinkType>EnhancedMetaFile</o:LinkType>
            <o:LockedField/>
          </o:OLEObject>
        </w:object>
      </w:r>
    </w:p>
    <w:p w:rsidR="000519D0" w:rsidRPr="0042020B" w:rsidRDefault="000519D0" w:rsidP="000411DC">
      <w:pPr>
        <w:pStyle w:val="SingleParagraph"/>
      </w:pPr>
    </w:p>
    <w:p w:rsidR="000411DC" w:rsidRPr="0042020B" w:rsidRDefault="005B358A" w:rsidP="00CE270E">
      <w:pPr>
        <w:pStyle w:val="Heading3"/>
      </w:pPr>
      <w:r w:rsidRPr="0042020B">
        <w:fldChar w:fldCharType="begin"/>
      </w:r>
      <w:r w:rsidRPr="0042020B">
        <w:instrText xml:space="preserve"> :End:BAB_DD1 </w:instrText>
      </w:r>
      <w:r w:rsidRPr="0042020B">
        <w:fldChar w:fldCharType="end"/>
      </w:r>
      <w:bookmarkStart w:id="23" w:name="_Toc434412590"/>
      <w:bookmarkStart w:id="24" w:name="_Toc434412644"/>
      <w:bookmarkStart w:id="25" w:name="_Toc436316560"/>
      <w:r w:rsidR="0026755E" w:rsidRPr="0042020B">
        <w:fldChar w:fldCharType="begin"/>
      </w:r>
      <w:r w:rsidR="0026755E" w:rsidRPr="0042020B">
        <w:instrText xml:space="preserve"> :Start:BPD_JR1 </w:instrText>
      </w:r>
      <w:r w:rsidR="0026755E" w:rsidRPr="0042020B">
        <w:fldChar w:fldCharType="end"/>
      </w:r>
      <w:r w:rsidR="000411DC" w:rsidRPr="0042020B">
        <w:t>Receipts estimates</w:t>
      </w:r>
    </w:p>
    <w:p w:rsidR="000411DC" w:rsidRPr="0042020B" w:rsidRDefault="000411DC" w:rsidP="000411DC">
      <w:r w:rsidRPr="0042020B">
        <w:t>Total receipts are expected to be $</w:t>
      </w:r>
      <w:r w:rsidR="002E30A0" w:rsidRPr="0042020B">
        <w:t>3.6</w:t>
      </w:r>
      <w:r w:rsidR="00AB7DEB" w:rsidRPr="0042020B">
        <w:t> billion</w:t>
      </w:r>
      <w:r w:rsidRPr="0042020B">
        <w:t xml:space="preserve"> </w:t>
      </w:r>
      <w:r w:rsidR="002E30A0" w:rsidRPr="0042020B">
        <w:t>higher</w:t>
      </w:r>
      <w:r w:rsidRPr="0042020B">
        <w:t xml:space="preserve"> in 201</w:t>
      </w:r>
      <w:r w:rsidR="00C950D6" w:rsidRPr="0042020B">
        <w:t>7</w:t>
      </w:r>
      <w:r w:rsidR="00FB4A10" w:rsidRPr="0042020B">
        <w:noBreakHyphen/>
      </w:r>
      <w:r w:rsidRPr="0042020B">
        <w:t>1</w:t>
      </w:r>
      <w:r w:rsidR="00C950D6" w:rsidRPr="0042020B">
        <w:t>8</w:t>
      </w:r>
      <w:r w:rsidRPr="0042020B">
        <w:t xml:space="preserve"> than estimated at the</w:t>
      </w:r>
      <w:r w:rsidR="00C950D6" w:rsidRPr="0042020B">
        <w:t xml:space="preserve"> </w:t>
      </w:r>
      <w:r w:rsidR="000F5D7C" w:rsidRPr="0042020B">
        <w:t>2017</w:t>
      </w:r>
      <w:r w:rsidR="000F5D7C" w:rsidRPr="0042020B">
        <w:noBreakHyphen/>
        <w:t>18 Budget</w:t>
      </w:r>
      <w:r w:rsidRPr="0042020B">
        <w:t>.</w:t>
      </w:r>
      <w:r w:rsidR="0026755E" w:rsidRPr="0042020B">
        <w:fldChar w:fldCharType="begin"/>
      </w:r>
      <w:r w:rsidR="0026755E" w:rsidRPr="0042020B">
        <w:instrText xml:space="preserve"> :End:BPD_JR1 </w:instrText>
      </w:r>
      <w:r w:rsidR="0026755E" w:rsidRPr="0042020B">
        <w:fldChar w:fldCharType="end"/>
      </w:r>
      <w:r w:rsidRPr="0042020B">
        <w:t xml:space="preserve"> </w:t>
      </w:r>
      <w:r w:rsidR="0026755E" w:rsidRPr="0042020B">
        <w:fldChar w:fldCharType="begin"/>
      </w:r>
      <w:r w:rsidR="0026755E" w:rsidRPr="0042020B">
        <w:instrText xml:space="preserve"> :Start:TAD_MB1 </w:instrText>
      </w:r>
      <w:r w:rsidR="0026755E" w:rsidRPr="0042020B">
        <w:fldChar w:fldCharType="end"/>
      </w:r>
      <w:r w:rsidR="00765B95" w:rsidRPr="0042020B">
        <w:t>In 2017</w:t>
      </w:r>
      <w:r w:rsidR="00FB4A10" w:rsidRPr="0042020B">
        <w:noBreakHyphen/>
      </w:r>
      <w:r w:rsidR="00765B95" w:rsidRPr="0042020B">
        <w:t>18</w:t>
      </w:r>
      <w:r w:rsidR="000C5AC7" w:rsidRPr="0042020B">
        <w:t>,</w:t>
      </w:r>
      <w:r w:rsidR="00765B95" w:rsidRPr="0042020B">
        <w:t xml:space="preserve"> t</w:t>
      </w:r>
      <w:r w:rsidRPr="0042020B">
        <w:t>ax receipts are $</w:t>
      </w:r>
      <w:r w:rsidR="00913088" w:rsidRPr="0042020B">
        <w:t>5</w:t>
      </w:r>
      <w:r w:rsidR="002E30A0" w:rsidRPr="0042020B">
        <w:t>.</w:t>
      </w:r>
      <w:r w:rsidR="00913088" w:rsidRPr="0042020B">
        <w:t>0</w:t>
      </w:r>
      <w:r w:rsidR="00AB7DEB" w:rsidRPr="0042020B">
        <w:t> billion</w:t>
      </w:r>
      <w:r w:rsidRPr="0042020B">
        <w:t xml:space="preserve"> </w:t>
      </w:r>
      <w:r w:rsidR="002E30A0" w:rsidRPr="0042020B">
        <w:t>higher</w:t>
      </w:r>
      <w:r w:rsidRPr="0042020B">
        <w:t xml:space="preserve"> and non</w:t>
      </w:r>
      <w:r w:rsidR="00FB4A10" w:rsidRPr="0042020B">
        <w:noBreakHyphen/>
      </w:r>
      <w:r w:rsidRPr="0042020B">
        <w:t>tax receipts are $</w:t>
      </w:r>
      <w:r w:rsidR="002E30A0" w:rsidRPr="0042020B">
        <w:t>1.</w:t>
      </w:r>
      <w:r w:rsidR="0098450F" w:rsidRPr="0042020B">
        <w:t>5</w:t>
      </w:r>
      <w:r w:rsidR="00AB7DEB" w:rsidRPr="0042020B">
        <w:t> billion</w:t>
      </w:r>
      <w:r w:rsidRPr="0042020B">
        <w:t xml:space="preserve"> </w:t>
      </w:r>
      <w:r w:rsidR="002E30A0" w:rsidRPr="0042020B">
        <w:t>lower</w:t>
      </w:r>
      <w:r w:rsidRPr="0042020B">
        <w:t xml:space="preserve"> compared with the </w:t>
      </w:r>
      <w:r w:rsidR="000F5D7C" w:rsidRPr="0042020B">
        <w:t>2017</w:t>
      </w:r>
      <w:r w:rsidR="000F5D7C" w:rsidRPr="0042020B">
        <w:noBreakHyphen/>
        <w:t>18 Budget</w:t>
      </w:r>
      <w:r w:rsidRPr="0042020B">
        <w:t>.</w:t>
      </w:r>
      <w:r w:rsidR="00913088" w:rsidRPr="0042020B">
        <w:t xml:space="preserve"> These revisions partly reflect the impact of the review of revenue reclassifications that occurred in the 2016</w:t>
      </w:r>
      <w:r w:rsidR="00FB4A10" w:rsidRPr="0042020B">
        <w:noBreakHyphen/>
      </w:r>
      <w:r w:rsidR="00913088" w:rsidRPr="0042020B">
        <w:t>17 Final Budget Outcome</w:t>
      </w:r>
      <w:r w:rsidR="000C5AC7" w:rsidRPr="0042020B">
        <w:t xml:space="preserve"> (FBO)</w:t>
      </w:r>
      <w:r w:rsidR="00913088" w:rsidRPr="0042020B">
        <w:t>, which had no impact on total receipts.</w:t>
      </w:r>
      <w:r w:rsidR="0026755E" w:rsidRPr="0042020B">
        <w:fldChar w:fldCharType="begin"/>
      </w:r>
      <w:r w:rsidR="0026755E" w:rsidRPr="0042020B">
        <w:instrText xml:space="preserve"> :End:TAD_MB1 </w:instrText>
      </w:r>
      <w:r w:rsidR="0026755E" w:rsidRPr="0042020B">
        <w:fldChar w:fldCharType="end"/>
      </w:r>
    </w:p>
    <w:p w:rsidR="000411DC" w:rsidRPr="0042020B" w:rsidRDefault="0026755E" w:rsidP="004036C9">
      <w:pPr>
        <w:spacing w:after="0"/>
      </w:pPr>
      <w:r w:rsidRPr="0042020B">
        <w:fldChar w:fldCharType="begin"/>
      </w:r>
      <w:r w:rsidRPr="0042020B">
        <w:instrText xml:space="preserve"> :Start:TAD_MB1 </w:instrText>
      </w:r>
      <w:r w:rsidRPr="0042020B">
        <w:fldChar w:fldCharType="end"/>
      </w:r>
      <w:r w:rsidR="000411DC" w:rsidRPr="0042020B">
        <w:t>Table</w:t>
      </w:r>
      <w:r w:rsidR="001D30C2" w:rsidRPr="0042020B">
        <w:t>s</w:t>
      </w:r>
      <w:r w:rsidR="000411DC" w:rsidRPr="0042020B">
        <w:t xml:space="preserve"> 3.</w:t>
      </w:r>
      <w:r w:rsidR="00C71592" w:rsidRPr="0042020B">
        <w:t>7</w:t>
      </w:r>
      <w:r w:rsidR="000411DC" w:rsidRPr="0042020B">
        <w:t xml:space="preserve"> and Table 3.</w:t>
      </w:r>
      <w:r w:rsidR="00C71592" w:rsidRPr="0042020B">
        <w:t>8</w:t>
      </w:r>
      <w:r w:rsidR="000411DC" w:rsidRPr="0042020B">
        <w:t xml:space="preserve"> provide a summary of changes in total receipts in 201</w:t>
      </w:r>
      <w:r w:rsidR="00C950D6" w:rsidRPr="0042020B">
        <w:t>7</w:t>
      </w:r>
      <w:r w:rsidR="00FB4A10" w:rsidRPr="0042020B">
        <w:noBreakHyphen/>
      </w:r>
      <w:r w:rsidR="000411DC" w:rsidRPr="0042020B">
        <w:t>1</w:t>
      </w:r>
      <w:r w:rsidR="00C950D6" w:rsidRPr="0042020B">
        <w:t>8</w:t>
      </w:r>
      <w:r w:rsidR="000411DC" w:rsidRPr="0042020B">
        <w:t xml:space="preserve"> and 201</w:t>
      </w:r>
      <w:r w:rsidR="00C950D6" w:rsidRPr="0042020B">
        <w:t>8</w:t>
      </w:r>
      <w:r w:rsidR="00FB4A10" w:rsidRPr="0042020B">
        <w:noBreakHyphen/>
      </w:r>
      <w:r w:rsidR="000411DC" w:rsidRPr="0042020B">
        <w:t>1</w:t>
      </w:r>
      <w:r w:rsidR="00C950D6" w:rsidRPr="0042020B">
        <w:t>9</w:t>
      </w:r>
      <w:r w:rsidR="000411DC" w:rsidRPr="0042020B">
        <w:t>.</w:t>
      </w:r>
    </w:p>
    <w:bookmarkEnd w:id="23"/>
    <w:bookmarkEnd w:id="24"/>
    <w:bookmarkEnd w:id="25"/>
    <w:p w:rsidR="000411DC" w:rsidRPr="0042020B" w:rsidRDefault="000411DC" w:rsidP="00B871FA">
      <w:pPr>
        <w:pStyle w:val="TableHeading"/>
      </w:pPr>
      <w:r w:rsidRPr="0042020B">
        <w:t>Table 3.</w:t>
      </w:r>
      <w:r w:rsidR="00C71592" w:rsidRPr="0042020B">
        <w:t>7</w:t>
      </w:r>
      <w:r w:rsidRPr="0042020B">
        <w:t>: Reconciliation of 201</w:t>
      </w:r>
      <w:r w:rsidR="00C950D6" w:rsidRPr="0042020B">
        <w:t>7</w:t>
      </w:r>
      <w:r w:rsidR="00FB4A10" w:rsidRPr="0042020B">
        <w:noBreakHyphen/>
      </w:r>
      <w:r w:rsidRPr="0042020B">
        <w:t>1</w:t>
      </w:r>
      <w:r w:rsidR="00C950D6" w:rsidRPr="0042020B">
        <w:t>8</w:t>
      </w:r>
      <w:r w:rsidRPr="0042020B">
        <w:t xml:space="preserve"> general government sector (cash) receipts</w:t>
      </w:r>
    </w:p>
    <w:p w:rsidR="000411DC" w:rsidRPr="0042020B" w:rsidRDefault="00E20E49" w:rsidP="002A1B1D">
      <w:pPr>
        <w:pStyle w:val="TableGraphic"/>
      </w:pPr>
      <w:r w:rsidRPr="0042020B">
        <w:object w:dxaOrig="7686" w:dyaOrig="9427">
          <v:shape id="_x0000_i1036" type="#_x0000_t75" style="width:384.4pt;height:471.45pt" o:ole="">
            <v:imagedata r:id="rId31" o:title=""/>
          </v:shape>
          <o:OLEObject Type="Link" ProgID="Excel.Sheet.12" ShapeID="_x0000_i1036" DrawAspect="Content" r:id="rId32" UpdateMode="Always">
            <o:LinkType>EnhancedMetaFile</o:LinkType>
            <o:LockedField/>
          </o:OLEObject>
        </w:object>
      </w:r>
    </w:p>
    <w:p w:rsidR="000411DC" w:rsidRPr="0042020B" w:rsidRDefault="000411DC" w:rsidP="00337498">
      <w:pPr>
        <w:pStyle w:val="ChartandTableFootnoteAlpha"/>
        <w:numPr>
          <w:ilvl w:val="0"/>
          <w:numId w:val="21"/>
        </w:numPr>
        <w:rPr>
          <w:color w:val="auto"/>
        </w:rPr>
      </w:pPr>
      <w:r w:rsidRPr="0042020B">
        <w:rPr>
          <w:color w:val="auto"/>
        </w:rPr>
        <w:t>‘Other alcoholic beverages’ are those not exceeding 10</w:t>
      </w:r>
      <w:r w:rsidR="00AE7AF3" w:rsidRPr="0042020B">
        <w:rPr>
          <w:color w:val="auto"/>
        </w:rPr>
        <w:t> per cent</w:t>
      </w:r>
      <w:r w:rsidRPr="0042020B">
        <w:rPr>
          <w:color w:val="auto"/>
        </w:rPr>
        <w:t xml:space="preserve"> by volume of alcohol (excluding beer, brandy and wine).</w:t>
      </w:r>
    </w:p>
    <w:p w:rsidR="000E1C10" w:rsidRPr="0042020B" w:rsidRDefault="000E1C10" w:rsidP="00337498">
      <w:pPr>
        <w:pStyle w:val="ChartandTableFootnoteAlpha"/>
        <w:numPr>
          <w:ilvl w:val="0"/>
          <w:numId w:val="21"/>
        </w:numPr>
        <w:rPr>
          <w:color w:val="auto"/>
        </w:rPr>
      </w:pPr>
      <w:r w:rsidRPr="0042020B">
        <w:rPr>
          <w:rFonts w:cs="Arial"/>
          <w:szCs w:val="16"/>
        </w:rPr>
        <w:t>In the 2016</w:t>
      </w:r>
      <w:r w:rsidR="00FB4A10" w:rsidRPr="0042020B">
        <w:rPr>
          <w:rFonts w:cs="Arial"/>
          <w:szCs w:val="16"/>
        </w:rPr>
        <w:noBreakHyphen/>
      </w:r>
      <w:r w:rsidRPr="0042020B">
        <w:rPr>
          <w:rFonts w:cs="Arial"/>
          <w:szCs w:val="16"/>
        </w:rPr>
        <w:t>17 FBO, the majority of corporations law fees were reclassified from non</w:t>
      </w:r>
      <w:r w:rsidR="00FB4A10" w:rsidRPr="0042020B">
        <w:rPr>
          <w:rFonts w:cs="Arial"/>
          <w:szCs w:val="16"/>
        </w:rPr>
        <w:noBreakHyphen/>
      </w:r>
      <w:r w:rsidRPr="0042020B">
        <w:rPr>
          <w:rFonts w:cs="Arial"/>
          <w:szCs w:val="16"/>
        </w:rPr>
        <w:t>taxation receipts to taxation receipts and financial institutions supervisory levies were reclassified from taxation receipts to non</w:t>
      </w:r>
      <w:r w:rsidR="00FB4A10" w:rsidRPr="0042020B">
        <w:rPr>
          <w:rFonts w:cs="Arial"/>
          <w:szCs w:val="16"/>
        </w:rPr>
        <w:noBreakHyphen/>
      </w:r>
      <w:r w:rsidR="00663739" w:rsidRPr="0042020B">
        <w:rPr>
          <w:rFonts w:cs="Arial"/>
          <w:szCs w:val="16"/>
        </w:rPr>
        <w:t>taxation receipts.</w:t>
      </w:r>
    </w:p>
    <w:p w:rsidR="000411DC" w:rsidRPr="0042020B" w:rsidRDefault="000411DC" w:rsidP="00337498">
      <w:pPr>
        <w:pStyle w:val="ChartandTableFootnoteAlpha"/>
        <w:numPr>
          <w:ilvl w:val="0"/>
          <w:numId w:val="21"/>
        </w:numPr>
        <w:rPr>
          <w:color w:val="auto"/>
        </w:rPr>
      </w:pPr>
      <w:r w:rsidRPr="0042020B">
        <w:rPr>
          <w:color w:val="auto"/>
        </w:rPr>
        <w:t>‘Capital gains tax’ is part of gross other individuals, company tax and superannuation fund taxes.</w:t>
      </w:r>
    </w:p>
    <w:p w:rsidR="000411DC" w:rsidRPr="0042020B" w:rsidRDefault="000411DC" w:rsidP="00B871FA">
      <w:pPr>
        <w:pStyle w:val="TableHeading"/>
      </w:pPr>
      <w:r w:rsidRPr="0042020B">
        <w:t>Table 3.</w:t>
      </w:r>
      <w:r w:rsidR="00C71592" w:rsidRPr="0042020B">
        <w:t>8</w:t>
      </w:r>
      <w:r w:rsidRPr="0042020B">
        <w:t>: Reconciliation of 201</w:t>
      </w:r>
      <w:r w:rsidR="00017E83" w:rsidRPr="0042020B">
        <w:t>8</w:t>
      </w:r>
      <w:r w:rsidR="00FB4A10" w:rsidRPr="0042020B">
        <w:noBreakHyphen/>
      </w:r>
      <w:r w:rsidRPr="0042020B">
        <w:t>1</w:t>
      </w:r>
      <w:r w:rsidR="00017E83" w:rsidRPr="0042020B">
        <w:t>9</w:t>
      </w:r>
      <w:r w:rsidRPr="0042020B">
        <w:t xml:space="preserve"> general government sector (cash) receipts</w:t>
      </w:r>
    </w:p>
    <w:p w:rsidR="000411DC" w:rsidRPr="0042020B" w:rsidRDefault="00E20E49" w:rsidP="000411DC">
      <w:pPr>
        <w:pStyle w:val="TableGraphic"/>
      </w:pPr>
      <w:r w:rsidRPr="0042020B">
        <w:object w:dxaOrig="7686" w:dyaOrig="9475">
          <v:shape id="_x0000_i1037" type="#_x0000_t75" style="width:384.4pt;height:473.95pt" o:ole="">
            <v:imagedata r:id="rId33" o:title=""/>
          </v:shape>
          <o:OLEObject Type="Link" ProgID="Excel.Sheet.12" ShapeID="_x0000_i1037" DrawAspect="Content" r:id="rId34" UpdateMode="Always">
            <o:LinkType>EnhancedMetaFile</o:LinkType>
            <o:LockedField/>
          </o:OLEObject>
        </w:object>
      </w:r>
    </w:p>
    <w:p w:rsidR="000411DC" w:rsidRPr="0042020B" w:rsidRDefault="000411DC" w:rsidP="00337498">
      <w:pPr>
        <w:pStyle w:val="ChartandTableFootnoteAlpha"/>
        <w:numPr>
          <w:ilvl w:val="0"/>
          <w:numId w:val="22"/>
        </w:numPr>
        <w:rPr>
          <w:color w:val="auto"/>
        </w:rPr>
      </w:pPr>
      <w:r w:rsidRPr="0042020B">
        <w:rPr>
          <w:color w:val="auto"/>
        </w:rPr>
        <w:t>‘Other alcoholic beverages’ are those not exceeding 10</w:t>
      </w:r>
      <w:r w:rsidR="00AE7AF3" w:rsidRPr="0042020B">
        <w:rPr>
          <w:color w:val="auto"/>
        </w:rPr>
        <w:t> per cent</w:t>
      </w:r>
      <w:r w:rsidRPr="0042020B">
        <w:rPr>
          <w:color w:val="auto"/>
        </w:rPr>
        <w:t xml:space="preserve"> by volume of alcohol (excluding beer, brandy and wine).</w:t>
      </w:r>
    </w:p>
    <w:p w:rsidR="000E1C10" w:rsidRPr="0042020B" w:rsidRDefault="000E1C10" w:rsidP="000E1C10">
      <w:pPr>
        <w:pStyle w:val="FooterChar"/>
        <w:numPr>
          <w:ilvl w:val="0"/>
          <w:numId w:val="22"/>
        </w:numPr>
        <w:spacing w:after="0" w:line="240" w:lineRule="auto"/>
        <w:rPr>
          <w:rFonts w:ascii="Arial" w:hAnsi="Arial" w:cs="Arial"/>
          <w:sz w:val="16"/>
          <w:szCs w:val="16"/>
        </w:rPr>
      </w:pPr>
      <w:r w:rsidRPr="0042020B">
        <w:rPr>
          <w:rFonts w:ascii="Arial" w:hAnsi="Arial" w:cs="Arial"/>
          <w:sz w:val="16"/>
          <w:szCs w:val="16"/>
        </w:rPr>
        <w:t>In the 2016</w:t>
      </w:r>
      <w:r w:rsidR="00FB4A10" w:rsidRPr="0042020B">
        <w:rPr>
          <w:rFonts w:ascii="Arial" w:hAnsi="Arial" w:cs="Arial"/>
          <w:sz w:val="16"/>
          <w:szCs w:val="16"/>
        </w:rPr>
        <w:noBreakHyphen/>
      </w:r>
      <w:r w:rsidRPr="0042020B">
        <w:rPr>
          <w:rFonts w:ascii="Arial" w:hAnsi="Arial" w:cs="Arial"/>
          <w:sz w:val="16"/>
          <w:szCs w:val="16"/>
        </w:rPr>
        <w:t>17 FBO, the majority of corporations law fees were reclassified from non</w:t>
      </w:r>
      <w:r w:rsidR="00FB4A10" w:rsidRPr="0042020B">
        <w:rPr>
          <w:rFonts w:ascii="Arial" w:hAnsi="Arial" w:cs="Arial"/>
          <w:sz w:val="16"/>
          <w:szCs w:val="16"/>
        </w:rPr>
        <w:noBreakHyphen/>
      </w:r>
      <w:r w:rsidRPr="0042020B">
        <w:rPr>
          <w:rFonts w:ascii="Arial" w:hAnsi="Arial" w:cs="Arial"/>
          <w:sz w:val="16"/>
          <w:szCs w:val="16"/>
        </w:rPr>
        <w:t>taxation receipts to taxation receipts and financial institutions supervisory levies were reclassified from taxation receipts to non</w:t>
      </w:r>
      <w:r w:rsidR="00FB4A10" w:rsidRPr="0042020B">
        <w:rPr>
          <w:rFonts w:ascii="Arial" w:hAnsi="Arial" w:cs="Arial"/>
          <w:sz w:val="16"/>
          <w:szCs w:val="16"/>
        </w:rPr>
        <w:noBreakHyphen/>
      </w:r>
      <w:r w:rsidRPr="0042020B">
        <w:rPr>
          <w:rFonts w:ascii="Arial" w:hAnsi="Arial" w:cs="Arial"/>
          <w:sz w:val="16"/>
          <w:szCs w:val="16"/>
        </w:rPr>
        <w:t>taxation receipts.</w:t>
      </w:r>
    </w:p>
    <w:p w:rsidR="000411DC" w:rsidRPr="0042020B" w:rsidRDefault="000411DC" w:rsidP="00337498">
      <w:pPr>
        <w:pStyle w:val="ChartandTableFootnoteAlpha"/>
        <w:numPr>
          <w:ilvl w:val="0"/>
          <w:numId w:val="22"/>
        </w:numPr>
        <w:rPr>
          <w:color w:val="auto"/>
        </w:rPr>
      </w:pPr>
      <w:r w:rsidRPr="0042020B">
        <w:rPr>
          <w:color w:val="auto"/>
        </w:rPr>
        <w:t>‘Capital gains tax’ is part of gross other individuals, company tax and superannuation fund taxes.</w:t>
      </w:r>
    </w:p>
    <w:p w:rsidR="000411DC" w:rsidRPr="0042020B" w:rsidRDefault="000411DC" w:rsidP="000411DC">
      <w:pPr>
        <w:pStyle w:val="SingleParagraph"/>
      </w:pPr>
    </w:p>
    <w:p w:rsidR="000411DC" w:rsidRPr="0042020B" w:rsidRDefault="000411DC" w:rsidP="000411DC">
      <w:r w:rsidRPr="0042020B">
        <w:t>Table 3.</w:t>
      </w:r>
      <w:r w:rsidR="00C71592" w:rsidRPr="0042020B">
        <w:t>9</w:t>
      </w:r>
      <w:r w:rsidRPr="0042020B">
        <w:t xml:space="preserve"> shows the Australian Government general government cash receipts from 201</w:t>
      </w:r>
      <w:r w:rsidR="00017E83" w:rsidRPr="0042020B">
        <w:t>6</w:t>
      </w:r>
      <w:r w:rsidR="00FB4A10" w:rsidRPr="0042020B">
        <w:noBreakHyphen/>
      </w:r>
      <w:r w:rsidRPr="0042020B">
        <w:t>1</w:t>
      </w:r>
      <w:r w:rsidR="00017E83" w:rsidRPr="0042020B">
        <w:t>7</w:t>
      </w:r>
      <w:r w:rsidRPr="0042020B">
        <w:t xml:space="preserve"> to 20</w:t>
      </w:r>
      <w:r w:rsidR="00017E83" w:rsidRPr="0042020B">
        <w:t>20</w:t>
      </w:r>
      <w:r w:rsidR="00FB4A10" w:rsidRPr="0042020B">
        <w:noBreakHyphen/>
      </w:r>
      <w:r w:rsidRPr="0042020B">
        <w:t>2</w:t>
      </w:r>
      <w:r w:rsidR="00017E83" w:rsidRPr="0042020B">
        <w:t>1</w:t>
      </w:r>
      <w:r w:rsidRPr="0042020B">
        <w:t xml:space="preserve"> by heads of revenue. </w:t>
      </w:r>
    </w:p>
    <w:p w:rsidR="000411DC" w:rsidRPr="0042020B" w:rsidRDefault="000411DC" w:rsidP="00B871FA">
      <w:pPr>
        <w:pStyle w:val="TableHeading"/>
      </w:pPr>
      <w:r w:rsidRPr="0042020B">
        <w:t>Table 3.</w:t>
      </w:r>
      <w:r w:rsidR="00C71592" w:rsidRPr="0042020B">
        <w:t>9</w:t>
      </w:r>
      <w:r w:rsidRPr="0042020B">
        <w:t>: Australian Government general government sector (cash) receipts</w:t>
      </w:r>
    </w:p>
    <w:p w:rsidR="004036C9" w:rsidRPr="0042020B" w:rsidRDefault="00E20E49" w:rsidP="001A0545">
      <w:pPr>
        <w:pStyle w:val="TableGraphic"/>
      </w:pPr>
      <w:r w:rsidRPr="0042020B">
        <w:object w:dxaOrig="7715" w:dyaOrig="9799">
          <v:shape id="_x0000_i1038" type="#_x0000_t75" style="width:385.65pt;height:490.25pt" o:ole="">
            <v:imagedata r:id="rId35" o:title=""/>
          </v:shape>
          <o:OLEObject Type="Link" ProgID="Excel.Sheet.12" ShapeID="_x0000_i1038" DrawAspect="Content" r:id="rId36" UpdateMode="Always">
            <o:LinkType>EnhancedMetaFile</o:LinkType>
            <o:LockedField/>
          </o:OLEObject>
        </w:object>
      </w:r>
    </w:p>
    <w:p w:rsidR="000411DC" w:rsidRPr="0042020B" w:rsidRDefault="000411DC" w:rsidP="004036C9">
      <w:pPr>
        <w:pStyle w:val="FooterChar"/>
        <w:numPr>
          <w:ilvl w:val="0"/>
          <w:numId w:val="30"/>
        </w:numPr>
        <w:spacing w:after="0" w:line="240" w:lineRule="auto"/>
        <w:ind w:left="284" w:hanging="284"/>
        <w:rPr>
          <w:rFonts w:ascii="Arial" w:hAnsi="Arial" w:cs="Arial"/>
          <w:sz w:val="16"/>
          <w:szCs w:val="16"/>
        </w:rPr>
      </w:pPr>
      <w:r w:rsidRPr="0042020B">
        <w:rPr>
          <w:rFonts w:ascii="Arial" w:hAnsi="Arial" w:cs="Arial"/>
          <w:sz w:val="16"/>
          <w:szCs w:val="16"/>
        </w:rPr>
        <w:t>This item includes a small amount of MRRT receipts relating to a pre</w:t>
      </w:r>
      <w:r w:rsidR="00FB4A10" w:rsidRPr="0042020B">
        <w:rPr>
          <w:rFonts w:ascii="Arial" w:hAnsi="Arial" w:cs="Arial"/>
          <w:sz w:val="16"/>
          <w:szCs w:val="16"/>
        </w:rPr>
        <w:noBreakHyphen/>
      </w:r>
      <w:r w:rsidRPr="0042020B">
        <w:rPr>
          <w:rFonts w:ascii="Arial" w:hAnsi="Arial" w:cs="Arial"/>
          <w:sz w:val="16"/>
          <w:szCs w:val="16"/>
        </w:rPr>
        <w:t>2013</w:t>
      </w:r>
      <w:r w:rsidR="00FB4A10" w:rsidRPr="0042020B">
        <w:rPr>
          <w:rFonts w:ascii="Arial" w:hAnsi="Arial" w:cs="Arial"/>
          <w:sz w:val="16"/>
          <w:szCs w:val="16"/>
        </w:rPr>
        <w:noBreakHyphen/>
      </w:r>
      <w:r w:rsidRPr="0042020B">
        <w:rPr>
          <w:rFonts w:ascii="Arial" w:hAnsi="Arial" w:cs="Arial"/>
          <w:sz w:val="16"/>
          <w:szCs w:val="16"/>
        </w:rPr>
        <w:t xml:space="preserve">14 </w:t>
      </w:r>
      <w:r w:rsidRPr="0042020B">
        <w:rPr>
          <w:rFonts w:ascii="Arial" w:hAnsi="Arial" w:cs="Arial"/>
          <w:sz w:val="16"/>
          <w:szCs w:val="16"/>
          <w:lang w:eastAsia="en-AU"/>
        </w:rPr>
        <w:t>income year which cannot be separately disclosed owing to taxpayer confidentiality.</w:t>
      </w:r>
    </w:p>
    <w:p w:rsidR="000411DC" w:rsidRPr="0042020B" w:rsidRDefault="000411DC" w:rsidP="004036C9">
      <w:pPr>
        <w:pStyle w:val="ChartandTableFootnoteAlpha"/>
        <w:numPr>
          <w:ilvl w:val="0"/>
          <w:numId w:val="20"/>
        </w:numPr>
        <w:ind w:left="284" w:hanging="284"/>
        <w:rPr>
          <w:color w:val="auto"/>
        </w:rPr>
      </w:pPr>
      <w:r w:rsidRPr="0042020B">
        <w:rPr>
          <w:color w:val="auto"/>
        </w:rPr>
        <w:t>‘Other alcoholic beverages’ are those not exceeding 10</w:t>
      </w:r>
      <w:r w:rsidR="00AE7AF3" w:rsidRPr="0042020B">
        <w:rPr>
          <w:color w:val="auto"/>
        </w:rPr>
        <w:t> per cent</w:t>
      </w:r>
      <w:r w:rsidRPr="0042020B">
        <w:rPr>
          <w:color w:val="auto"/>
        </w:rPr>
        <w:t xml:space="preserve"> by volume of alcohol (excluding beer, brandy and wine).</w:t>
      </w:r>
    </w:p>
    <w:p w:rsidR="000E1C10" w:rsidRPr="0042020B" w:rsidRDefault="000E1C10" w:rsidP="004036C9">
      <w:pPr>
        <w:pStyle w:val="ChartandTableFootnoteAlpha"/>
        <w:numPr>
          <w:ilvl w:val="0"/>
          <w:numId w:val="20"/>
        </w:numPr>
        <w:ind w:left="284" w:hanging="284"/>
        <w:rPr>
          <w:color w:val="auto"/>
        </w:rPr>
      </w:pPr>
      <w:r w:rsidRPr="0042020B">
        <w:rPr>
          <w:color w:val="auto"/>
        </w:rPr>
        <w:t>In the 2016</w:t>
      </w:r>
      <w:r w:rsidR="00FB4A10" w:rsidRPr="0042020B">
        <w:rPr>
          <w:color w:val="auto"/>
        </w:rPr>
        <w:noBreakHyphen/>
      </w:r>
      <w:r w:rsidRPr="0042020B">
        <w:rPr>
          <w:color w:val="auto"/>
        </w:rPr>
        <w:t>17 FBO, the majority of corporations law fees were reclassified from non</w:t>
      </w:r>
      <w:r w:rsidR="00FB4A10" w:rsidRPr="0042020B">
        <w:rPr>
          <w:color w:val="auto"/>
        </w:rPr>
        <w:noBreakHyphen/>
      </w:r>
      <w:r w:rsidRPr="0042020B">
        <w:rPr>
          <w:color w:val="auto"/>
        </w:rPr>
        <w:t>taxation receipts to taxation receipts and financial institutions supervisory levies were reclassified from taxation receipts to non</w:t>
      </w:r>
      <w:r w:rsidR="00FB4A10" w:rsidRPr="0042020B">
        <w:rPr>
          <w:color w:val="auto"/>
        </w:rPr>
        <w:noBreakHyphen/>
      </w:r>
      <w:r w:rsidRPr="0042020B">
        <w:rPr>
          <w:color w:val="auto"/>
        </w:rPr>
        <w:t>taxation receipts.</w:t>
      </w:r>
    </w:p>
    <w:p w:rsidR="000411DC" w:rsidRPr="0042020B" w:rsidRDefault="000411DC" w:rsidP="004036C9">
      <w:pPr>
        <w:pStyle w:val="ChartandTableFootnoteAlpha"/>
        <w:numPr>
          <w:ilvl w:val="0"/>
          <w:numId w:val="20"/>
        </w:numPr>
        <w:ind w:left="284" w:hanging="284"/>
        <w:rPr>
          <w:color w:val="auto"/>
        </w:rPr>
      </w:pPr>
      <w:r w:rsidRPr="0042020B">
        <w:rPr>
          <w:color w:val="auto"/>
        </w:rPr>
        <w:t>‘Capital gains tax’ is part of gross other individuals, company tax and superannuation fund taxes.</w:t>
      </w:r>
      <w:bookmarkStart w:id="26" w:name="_Toc434412645"/>
      <w:bookmarkStart w:id="27" w:name="_Toc436316561"/>
      <w:r w:rsidRPr="0042020B">
        <w:rPr>
          <w:color w:val="auto"/>
        </w:rPr>
        <w:t xml:space="preserve"> The 201</w:t>
      </w:r>
      <w:r w:rsidR="001A1BCD" w:rsidRPr="0042020B">
        <w:rPr>
          <w:color w:val="auto"/>
        </w:rPr>
        <w:t>6</w:t>
      </w:r>
      <w:r w:rsidR="00FB4A10" w:rsidRPr="0042020B">
        <w:rPr>
          <w:color w:val="auto"/>
        </w:rPr>
        <w:noBreakHyphen/>
      </w:r>
      <w:r w:rsidRPr="0042020B">
        <w:rPr>
          <w:color w:val="auto"/>
        </w:rPr>
        <w:t>1</w:t>
      </w:r>
      <w:r w:rsidR="001A1BCD" w:rsidRPr="0042020B">
        <w:rPr>
          <w:color w:val="auto"/>
        </w:rPr>
        <w:t>7</w:t>
      </w:r>
      <w:r w:rsidRPr="0042020B">
        <w:rPr>
          <w:color w:val="auto"/>
        </w:rPr>
        <w:t xml:space="preserve"> reported figure is an estimate.</w:t>
      </w:r>
      <w:r w:rsidR="0026755E" w:rsidRPr="0042020B">
        <w:rPr>
          <w:color w:val="auto"/>
        </w:rPr>
        <w:fldChar w:fldCharType="begin"/>
      </w:r>
      <w:r w:rsidR="0026755E" w:rsidRPr="0042020B">
        <w:rPr>
          <w:color w:val="auto"/>
        </w:rPr>
        <w:instrText xml:space="preserve"> :End:TAD_MB1 </w:instrText>
      </w:r>
      <w:r w:rsidR="0026755E" w:rsidRPr="0042020B">
        <w:rPr>
          <w:color w:val="auto"/>
        </w:rPr>
        <w:fldChar w:fldCharType="end"/>
      </w:r>
    </w:p>
    <w:p w:rsidR="000411DC" w:rsidRPr="0042020B" w:rsidRDefault="0026755E" w:rsidP="000411DC">
      <w:pPr>
        <w:pStyle w:val="Heading4"/>
      </w:pPr>
      <w:r w:rsidRPr="0042020B">
        <w:fldChar w:fldCharType="begin"/>
      </w:r>
      <w:r w:rsidRPr="0042020B">
        <w:instrText xml:space="preserve"> :Start:BPD_JR1 </w:instrText>
      </w:r>
      <w:r w:rsidRPr="0042020B">
        <w:fldChar w:fldCharType="end"/>
      </w:r>
      <w:r w:rsidR="000411DC" w:rsidRPr="0042020B">
        <w:t>Policy decisions</w:t>
      </w:r>
      <w:bookmarkEnd w:id="26"/>
      <w:bookmarkEnd w:id="27"/>
    </w:p>
    <w:p w:rsidR="000411DC" w:rsidRPr="0042020B" w:rsidRDefault="000411DC" w:rsidP="000411DC">
      <w:r w:rsidRPr="0042020B">
        <w:t xml:space="preserve">Policy decisions since the </w:t>
      </w:r>
      <w:r w:rsidR="000F5D7C" w:rsidRPr="0042020B">
        <w:t>2017</w:t>
      </w:r>
      <w:r w:rsidR="000F5D7C" w:rsidRPr="0042020B">
        <w:noBreakHyphen/>
        <w:t>18 Budget</w:t>
      </w:r>
      <w:r w:rsidRPr="0042020B">
        <w:t xml:space="preserve"> have </w:t>
      </w:r>
      <w:r w:rsidR="002E30A0" w:rsidRPr="0042020B">
        <w:t>increased</w:t>
      </w:r>
      <w:r w:rsidRPr="0042020B">
        <w:t xml:space="preserve"> total receipts by $</w:t>
      </w:r>
      <w:r w:rsidR="008562BE" w:rsidRPr="0042020B">
        <w:t>280</w:t>
      </w:r>
      <w:r w:rsidR="00AB7DEB" w:rsidRPr="0042020B">
        <w:t> million</w:t>
      </w:r>
      <w:r w:rsidRPr="0042020B">
        <w:t xml:space="preserve"> in 201</w:t>
      </w:r>
      <w:r w:rsidR="001F7368" w:rsidRPr="0042020B">
        <w:t>7</w:t>
      </w:r>
      <w:r w:rsidR="00FB4A10" w:rsidRPr="0042020B">
        <w:noBreakHyphen/>
      </w:r>
      <w:r w:rsidRPr="0042020B">
        <w:t>1</w:t>
      </w:r>
      <w:r w:rsidR="001F7368" w:rsidRPr="0042020B">
        <w:t>8</w:t>
      </w:r>
      <w:r w:rsidRPr="0042020B">
        <w:t xml:space="preserve"> and by $</w:t>
      </w:r>
      <w:r w:rsidR="008562BE" w:rsidRPr="0042020B">
        <w:t>365</w:t>
      </w:r>
      <w:r w:rsidR="00AB7DEB" w:rsidRPr="0042020B">
        <w:t> </w:t>
      </w:r>
      <w:r w:rsidR="008562BE" w:rsidRPr="0042020B">
        <w:t>m</w:t>
      </w:r>
      <w:r w:rsidR="00AB7DEB" w:rsidRPr="0042020B">
        <w:t>illion</w:t>
      </w:r>
      <w:r w:rsidRPr="0042020B">
        <w:t xml:space="preserve"> over the forward estimates period.</w:t>
      </w:r>
      <w:r w:rsidR="0026755E" w:rsidRPr="0042020B">
        <w:fldChar w:fldCharType="begin"/>
      </w:r>
      <w:r w:rsidR="0026755E" w:rsidRPr="0042020B">
        <w:instrText xml:space="preserve"> :End:BPD_JR1 </w:instrText>
      </w:r>
      <w:r w:rsidR="0026755E" w:rsidRPr="0042020B">
        <w:fldChar w:fldCharType="end"/>
      </w:r>
    </w:p>
    <w:bookmarkStart w:id="28" w:name="_Toc434412646"/>
    <w:bookmarkStart w:id="29" w:name="_Toc436316562"/>
    <w:p w:rsidR="000411DC" w:rsidRPr="0042020B" w:rsidRDefault="0026755E" w:rsidP="000411DC">
      <w:pPr>
        <w:pStyle w:val="Heading4"/>
      </w:pPr>
      <w:r w:rsidRPr="0042020B">
        <w:fldChar w:fldCharType="begin"/>
      </w:r>
      <w:r w:rsidRPr="0042020B">
        <w:instrText xml:space="preserve"> :Start:BPD_JR1 </w:instrText>
      </w:r>
      <w:r w:rsidRPr="0042020B">
        <w:fldChar w:fldCharType="end"/>
      </w:r>
      <w:r w:rsidR="000411DC" w:rsidRPr="0042020B">
        <w:t>Parameter and other variations</w:t>
      </w:r>
      <w:bookmarkEnd w:id="28"/>
      <w:bookmarkEnd w:id="29"/>
    </w:p>
    <w:p w:rsidR="000411DC" w:rsidRPr="0042020B" w:rsidRDefault="000411DC" w:rsidP="000411DC">
      <w:r w:rsidRPr="0042020B">
        <w:t xml:space="preserve">Parameter and other variations have </w:t>
      </w:r>
      <w:r w:rsidR="002E30A0" w:rsidRPr="0042020B">
        <w:t>increase</w:t>
      </w:r>
      <w:r w:rsidR="008562BE" w:rsidRPr="0042020B">
        <w:t>d</w:t>
      </w:r>
      <w:r w:rsidRPr="0042020B">
        <w:t xml:space="preserve"> total receipts since the </w:t>
      </w:r>
      <w:r w:rsidR="000F5D7C" w:rsidRPr="0042020B">
        <w:t>2017</w:t>
      </w:r>
      <w:r w:rsidR="000F5D7C" w:rsidRPr="0042020B">
        <w:noBreakHyphen/>
        <w:t>18 Budget</w:t>
      </w:r>
      <w:r w:rsidRPr="0042020B">
        <w:t xml:space="preserve"> by $</w:t>
      </w:r>
      <w:r w:rsidR="002E30A0" w:rsidRPr="0042020B">
        <w:t>3.3</w:t>
      </w:r>
      <w:r w:rsidR="00AB7DEB" w:rsidRPr="0042020B">
        <w:t> billion</w:t>
      </w:r>
      <w:r w:rsidRPr="0042020B">
        <w:t xml:space="preserve"> in 201</w:t>
      </w:r>
      <w:r w:rsidR="001F7368" w:rsidRPr="0042020B">
        <w:t>7</w:t>
      </w:r>
      <w:r w:rsidR="00FB4A10" w:rsidRPr="0042020B">
        <w:noBreakHyphen/>
      </w:r>
      <w:r w:rsidRPr="0042020B">
        <w:t>1</w:t>
      </w:r>
      <w:r w:rsidR="001F7368" w:rsidRPr="0042020B">
        <w:t>8</w:t>
      </w:r>
      <w:r w:rsidRPr="0042020B">
        <w:t xml:space="preserve"> and</w:t>
      </w:r>
      <w:r w:rsidR="001F7368" w:rsidRPr="0042020B">
        <w:t xml:space="preserve"> </w:t>
      </w:r>
      <w:r w:rsidRPr="0042020B">
        <w:t>$</w:t>
      </w:r>
      <w:r w:rsidR="002E30A0" w:rsidRPr="0042020B">
        <w:t>2.4</w:t>
      </w:r>
      <w:r w:rsidR="00AB7DEB" w:rsidRPr="0042020B">
        <w:t> billion</w:t>
      </w:r>
      <w:r w:rsidRPr="0042020B">
        <w:t xml:space="preserve"> over the forward estimates period.</w:t>
      </w:r>
      <w:r w:rsidR="0026755E" w:rsidRPr="0042020B">
        <w:fldChar w:fldCharType="begin"/>
      </w:r>
      <w:r w:rsidR="0026755E" w:rsidRPr="0042020B">
        <w:instrText xml:space="preserve"> :End:BPD_JR1 </w:instrText>
      </w:r>
      <w:r w:rsidR="0026755E" w:rsidRPr="0042020B">
        <w:fldChar w:fldCharType="end"/>
      </w:r>
    </w:p>
    <w:p w:rsidR="009642A2" w:rsidRPr="0042020B" w:rsidRDefault="009642A2" w:rsidP="000411DC">
      <w:r w:rsidRPr="0042020B">
        <w:fldChar w:fldCharType="begin"/>
      </w:r>
      <w:r w:rsidRPr="0042020B">
        <w:instrText xml:space="preserve"> :Start:BAB_DD1 </w:instrText>
      </w:r>
      <w:r w:rsidRPr="0042020B">
        <w:fldChar w:fldCharType="end"/>
      </w:r>
      <w:r w:rsidRPr="0042020B">
        <w:t>Parameter and other variations have decreased non</w:t>
      </w:r>
      <w:r w:rsidRPr="0042020B">
        <w:noBreakHyphen/>
        <w:t xml:space="preserve">taxation receipts since the </w:t>
      </w:r>
      <w:r w:rsidR="000F5D7C" w:rsidRPr="0042020B">
        <w:t>2017</w:t>
      </w:r>
      <w:r w:rsidR="000F5D7C" w:rsidRPr="0042020B">
        <w:noBreakHyphen/>
        <w:t>18 Budget</w:t>
      </w:r>
      <w:r w:rsidRPr="0042020B">
        <w:t xml:space="preserve"> by $1.8 billion in 2017</w:t>
      </w:r>
      <w:r w:rsidRPr="0042020B">
        <w:noBreakHyphen/>
        <w:t>18 and $2.6 billion over the forward estimates period, largely reflecting the impact of revenue reclassifications that occurred in the 2016</w:t>
      </w:r>
      <w:r w:rsidRPr="0042020B">
        <w:noBreakHyphen/>
        <w:t>17</w:t>
      </w:r>
      <w:r w:rsidR="000F5D7C" w:rsidRPr="0042020B">
        <w:t> FBO</w:t>
      </w:r>
      <w:r w:rsidRPr="0042020B">
        <w:t>, which had no impact on total receipts.</w:t>
      </w:r>
      <w:r w:rsidRPr="0042020B">
        <w:fldChar w:fldCharType="begin"/>
      </w:r>
      <w:r w:rsidRPr="0042020B">
        <w:instrText xml:space="preserve"> :End:BAB_DD1 </w:instrText>
      </w:r>
      <w:r w:rsidRPr="0042020B">
        <w:fldChar w:fldCharType="end"/>
      </w:r>
    </w:p>
    <w:p w:rsidR="009A608E" w:rsidRPr="0042020B" w:rsidRDefault="00ED3191" w:rsidP="000411DC">
      <w:r w:rsidRPr="0042020B">
        <w:fldChar w:fldCharType="begin"/>
      </w:r>
      <w:r w:rsidRPr="0042020B">
        <w:instrText xml:space="preserve"> :Start:TAD_MB1 </w:instrText>
      </w:r>
      <w:r w:rsidRPr="0042020B">
        <w:fldChar w:fldCharType="end"/>
      </w:r>
      <w:r w:rsidR="001839BB" w:rsidRPr="0042020B">
        <w:t xml:space="preserve">Parameter and other variations, including the impact of the revenue reclassifications, have increased tax receipts since the </w:t>
      </w:r>
      <w:r w:rsidR="000F5D7C" w:rsidRPr="0042020B">
        <w:t>2017</w:t>
      </w:r>
      <w:r w:rsidR="000F5D7C" w:rsidRPr="0042020B">
        <w:noBreakHyphen/>
        <w:t>18 Budget</w:t>
      </w:r>
      <w:r w:rsidR="001839BB" w:rsidRPr="0042020B">
        <w:t xml:space="preserve"> by $5.1 billion in 2017</w:t>
      </w:r>
      <w:r w:rsidR="001839BB" w:rsidRPr="0042020B">
        <w:noBreakHyphen/>
        <w:t>18 and $5.0 billion over the forward estimates period. Excluding GST, parameter and other variations have increased tax receipts by $5.0 billion in 2017</w:t>
      </w:r>
      <w:r w:rsidR="001839BB" w:rsidRPr="0042020B">
        <w:noBreakHyphen/>
        <w:t>18 and by $3.6 billion over the forward estimates. This revision reflects stronger</w:t>
      </w:r>
      <w:r w:rsidR="001839BB" w:rsidRPr="0042020B">
        <w:noBreakHyphen/>
        <w:t>than</w:t>
      </w:r>
      <w:r w:rsidR="001839BB" w:rsidRPr="0042020B">
        <w:noBreakHyphen/>
        <w:t>expected collections from company tax and superannuation fund taxes. Weaker forecasts for wages and unincorporated business income are expected to weigh on individuals</w:t>
      </w:r>
      <w:r w:rsidR="009B4FAD" w:rsidRPr="0042020B">
        <w:t>’</w:t>
      </w:r>
      <w:r w:rsidR="001839BB" w:rsidRPr="0042020B">
        <w:t xml:space="preserve"> </w:t>
      </w:r>
      <w:r w:rsidR="00EB7409" w:rsidRPr="0042020B">
        <w:t>income tax</w:t>
      </w:r>
      <w:r w:rsidR="001839BB" w:rsidRPr="0042020B">
        <w:t>.</w:t>
      </w:r>
      <w:r w:rsidRPr="0042020B">
        <w:fldChar w:fldCharType="begin"/>
      </w:r>
      <w:r w:rsidRPr="0042020B">
        <w:instrText xml:space="preserve"> :End:TAD_MB1 </w:instrText>
      </w:r>
      <w:r w:rsidRPr="0042020B">
        <w:fldChar w:fldCharType="end"/>
      </w:r>
    </w:p>
    <w:p w:rsidR="000411DC" w:rsidRPr="0042020B" w:rsidRDefault="00ED3191" w:rsidP="000411DC">
      <w:r w:rsidRPr="0042020B">
        <w:fldChar w:fldCharType="begin"/>
      </w:r>
      <w:r w:rsidRPr="0042020B">
        <w:instrText xml:space="preserve"> :Start:TAD_MB1 </w:instrText>
      </w:r>
      <w:r w:rsidRPr="0042020B">
        <w:fldChar w:fldCharType="end"/>
      </w:r>
      <w:r w:rsidR="000411DC" w:rsidRPr="0042020B">
        <w:t>The key economic parameters that influence tax receipts and tax revenue are shown in Table</w:t>
      </w:r>
      <w:r w:rsidR="003602A0" w:rsidRPr="0042020B">
        <w:t> </w:t>
      </w:r>
      <w:r w:rsidR="000411DC" w:rsidRPr="0042020B">
        <w:t>3.</w:t>
      </w:r>
      <w:r w:rsidR="00D64F1A" w:rsidRPr="0042020B">
        <w:t>1</w:t>
      </w:r>
      <w:r w:rsidR="00C71592" w:rsidRPr="0042020B">
        <w:t>0</w:t>
      </w:r>
      <w:r w:rsidR="000411DC" w:rsidRPr="0042020B">
        <w:t xml:space="preserve">. The table shows effects on the Australian Government’s main tax bases of the changed circumstances and outlook since the </w:t>
      </w:r>
      <w:r w:rsidR="000F5D7C" w:rsidRPr="0042020B">
        <w:t>2017</w:t>
      </w:r>
      <w:r w:rsidR="000F5D7C" w:rsidRPr="0042020B">
        <w:noBreakHyphen/>
        <w:t>18 Budget</w:t>
      </w:r>
      <w:r w:rsidR="000411DC" w:rsidRPr="0042020B">
        <w:t>.</w:t>
      </w:r>
    </w:p>
    <w:p w:rsidR="000411DC" w:rsidRPr="0042020B" w:rsidRDefault="000411DC" w:rsidP="00B871FA">
      <w:pPr>
        <w:pStyle w:val="TableHeading"/>
        <w:rPr>
          <w:rFonts w:ascii="Arial Bold" w:hAnsi="Arial Bold"/>
        </w:rPr>
      </w:pPr>
      <w:r w:rsidRPr="0042020B">
        <w:t>Table 3.</w:t>
      </w:r>
      <w:r w:rsidR="00D64F1A" w:rsidRPr="0042020B">
        <w:t>1</w:t>
      </w:r>
      <w:r w:rsidR="00C71592" w:rsidRPr="0042020B">
        <w:t>0</w:t>
      </w:r>
      <w:r w:rsidRPr="0042020B">
        <w:t>: Key economic parameters</w:t>
      </w:r>
      <w:r w:rsidRPr="0042020B">
        <w:rPr>
          <w:rFonts w:ascii="Arial Bold" w:hAnsi="Arial Bold"/>
          <w:vertAlign w:val="superscript"/>
        </w:rPr>
        <w:t>(a)</w:t>
      </w:r>
    </w:p>
    <w:bookmarkStart w:id="30" w:name="_Toc434412591"/>
    <w:bookmarkStart w:id="31" w:name="_Toc434412647"/>
    <w:p w:rsidR="000411DC" w:rsidRPr="0042020B" w:rsidRDefault="00E20E49" w:rsidP="004C2232">
      <w:pPr>
        <w:pStyle w:val="TableGraphic"/>
      </w:pPr>
      <w:r w:rsidRPr="0042020B">
        <w:object w:dxaOrig="7710" w:dyaOrig="3661">
          <v:shape id="_x0000_i1039" type="#_x0000_t75" style="width:385.65pt;height:182.8pt" o:ole="">
            <v:imagedata r:id="rId37" o:title=""/>
          </v:shape>
          <o:OLEObject Type="Link" ProgID="Excel.Sheet.12" ShapeID="_x0000_i1039" DrawAspect="Content" r:id="rId38" UpdateMode="Always">
            <o:LinkType>EnhancedMetaFile</o:LinkType>
            <o:LockedField/>
          </o:OLEObject>
        </w:object>
      </w:r>
    </w:p>
    <w:p w:rsidR="000411DC" w:rsidRPr="0042020B" w:rsidRDefault="000411DC" w:rsidP="00337498">
      <w:pPr>
        <w:pStyle w:val="ChartandTableFootnoteAlpha"/>
        <w:keepNext/>
        <w:numPr>
          <w:ilvl w:val="0"/>
          <w:numId w:val="19"/>
        </w:numPr>
        <w:rPr>
          <w:color w:val="auto"/>
        </w:rPr>
      </w:pPr>
      <w:r w:rsidRPr="0042020B">
        <w:rPr>
          <w:color w:val="auto"/>
        </w:rPr>
        <w:t>Current prices,</w:t>
      </w:r>
      <w:r w:rsidR="00AE7AF3" w:rsidRPr="0042020B">
        <w:rPr>
          <w:color w:val="auto"/>
        </w:rPr>
        <w:t> per cent</w:t>
      </w:r>
      <w:r w:rsidRPr="0042020B">
        <w:rPr>
          <w:color w:val="auto"/>
        </w:rPr>
        <w:t xml:space="preserve"> change on previ</w:t>
      </w:r>
      <w:r w:rsidR="0004730C" w:rsidRPr="0042020B">
        <w:rPr>
          <w:color w:val="auto"/>
        </w:rPr>
        <w:t xml:space="preserve">ous year. Changes since the </w:t>
      </w:r>
      <w:r w:rsidR="000F5D7C" w:rsidRPr="0042020B">
        <w:rPr>
          <w:color w:val="auto"/>
        </w:rPr>
        <w:t>2017</w:t>
      </w:r>
      <w:r w:rsidR="000F5D7C" w:rsidRPr="0042020B">
        <w:rPr>
          <w:color w:val="auto"/>
        </w:rPr>
        <w:noBreakHyphen/>
        <w:t>18 Budget</w:t>
      </w:r>
      <w:r w:rsidR="0004730C" w:rsidRPr="0042020B">
        <w:rPr>
          <w:color w:val="auto"/>
        </w:rPr>
        <w:t xml:space="preserve"> a</w:t>
      </w:r>
      <w:r w:rsidRPr="0042020B">
        <w:rPr>
          <w:color w:val="auto"/>
        </w:rPr>
        <w:t>re percentage points and may not reconcile due to rounding.</w:t>
      </w:r>
    </w:p>
    <w:p w:rsidR="000411DC" w:rsidRPr="0042020B" w:rsidRDefault="000411DC" w:rsidP="00337498">
      <w:pPr>
        <w:pStyle w:val="ChartandTableFootnoteAlpha"/>
        <w:keepNext/>
        <w:numPr>
          <w:ilvl w:val="0"/>
          <w:numId w:val="16"/>
        </w:numPr>
        <w:rPr>
          <w:color w:val="auto"/>
        </w:rPr>
      </w:pPr>
      <w:r w:rsidRPr="0042020B">
        <w:rPr>
          <w:color w:val="auto"/>
        </w:rPr>
        <w:t>Compensation of employees measures total remuneration earned by employees.</w:t>
      </w:r>
    </w:p>
    <w:p w:rsidR="000411DC" w:rsidRPr="0042020B" w:rsidRDefault="000411DC" w:rsidP="00337498">
      <w:pPr>
        <w:pStyle w:val="ChartandTableFootnoteAlpha"/>
        <w:keepNext/>
        <w:numPr>
          <w:ilvl w:val="0"/>
          <w:numId w:val="16"/>
        </w:numPr>
        <w:rPr>
          <w:color w:val="auto"/>
        </w:rPr>
      </w:pPr>
      <w:r w:rsidRPr="0042020B">
        <w:rPr>
          <w:color w:val="auto"/>
        </w:rPr>
        <w:t>Corporate gross operating surplus is an Australian System of National Accounts measure of company profits, gross of depreciation.</w:t>
      </w:r>
    </w:p>
    <w:p w:rsidR="000411DC" w:rsidRPr="0042020B" w:rsidRDefault="000411DC" w:rsidP="00337498">
      <w:pPr>
        <w:pStyle w:val="ChartandTableFootnoteAlpha"/>
        <w:keepNext/>
        <w:numPr>
          <w:ilvl w:val="0"/>
          <w:numId w:val="16"/>
        </w:numPr>
        <w:rPr>
          <w:color w:val="auto"/>
        </w:rPr>
      </w:pPr>
      <w:r w:rsidRPr="0042020B">
        <w:rPr>
          <w:color w:val="auto"/>
        </w:rPr>
        <w:t>Property income measures income derived from interest, rent and dividends.</w:t>
      </w:r>
    </w:p>
    <w:p w:rsidR="000411DC" w:rsidRPr="0042020B" w:rsidRDefault="000411DC" w:rsidP="000411DC">
      <w:pPr>
        <w:pStyle w:val="SingleParagraph"/>
      </w:pPr>
      <w:bookmarkStart w:id="32" w:name="_Toc436316563"/>
      <w:bookmarkEnd w:id="30"/>
      <w:bookmarkEnd w:id="31"/>
    </w:p>
    <w:p w:rsidR="00163DFE" w:rsidRPr="0042020B" w:rsidRDefault="00163DFE" w:rsidP="00163DFE">
      <w:r w:rsidRPr="0042020B">
        <w:t>Excluding policy decisions, individuals taxes have been revised down by $500</w:t>
      </w:r>
      <w:r w:rsidR="00765B95" w:rsidRPr="0042020B">
        <w:t> </w:t>
      </w:r>
      <w:r w:rsidRPr="0042020B">
        <w:t>million (0.2</w:t>
      </w:r>
      <w:r w:rsidR="00765B95" w:rsidRPr="0042020B">
        <w:t> </w:t>
      </w:r>
      <w:r w:rsidRPr="0042020B">
        <w:t>per</w:t>
      </w:r>
      <w:r w:rsidR="00765B95" w:rsidRPr="0042020B">
        <w:t> </w:t>
      </w:r>
      <w:r w:rsidRPr="0042020B">
        <w:t>cent) in 2017</w:t>
      </w:r>
      <w:r w:rsidR="00FB4A10" w:rsidRPr="0042020B">
        <w:noBreakHyphen/>
      </w:r>
      <w:r w:rsidRPr="0042020B">
        <w:t>18 and $8.0</w:t>
      </w:r>
      <w:r w:rsidR="00765B95" w:rsidRPr="0042020B">
        <w:t> </w:t>
      </w:r>
      <w:r w:rsidRPr="0042020B">
        <w:t>billion over the forward estimates. This reflects weaker forecasts for average wages growth and unincorporated business income.</w:t>
      </w:r>
    </w:p>
    <w:p w:rsidR="00163DFE" w:rsidRPr="0042020B" w:rsidRDefault="00163DFE" w:rsidP="00163DFE">
      <w:r w:rsidRPr="0042020B">
        <w:t>Excluding policy decisions, company tax receipts have been revised up by $3.2</w:t>
      </w:r>
      <w:r w:rsidR="00765B95" w:rsidRPr="0042020B">
        <w:t> </w:t>
      </w:r>
      <w:r w:rsidRPr="0042020B">
        <w:t>billion (4.1</w:t>
      </w:r>
      <w:r w:rsidR="00765B95" w:rsidRPr="0042020B">
        <w:t> </w:t>
      </w:r>
      <w:r w:rsidRPr="0042020B">
        <w:t>per</w:t>
      </w:r>
      <w:r w:rsidR="00765B95" w:rsidRPr="0042020B">
        <w:t> </w:t>
      </w:r>
      <w:r w:rsidRPr="0042020B">
        <w:t>cent) in 2017</w:t>
      </w:r>
      <w:r w:rsidR="00FB4A10" w:rsidRPr="0042020B">
        <w:noBreakHyphen/>
      </w:r>
      <w:r w:rsidRPr="0042020B">
        <w:t>18 and $7.4</w:t>
      </w:r>
      <w:r w:rsidR="00765B95" w:rsidRPr="0042020B">
        <w:t> </w:t>
      </w:r>
      <w:r w:rsidRPr="0042020B">
        <w:t>billion over the forward estimates. This is driven by stronger</w:t>
      </w:r>
      <w:r w:rsidR="00FB4A10" w:rsidRPr="0042020B">
        <w:noBreakHyphen/>
      </w:r>
      <w:r w:rsidRPr="0042020B">
        <w:t>than</w:t>
      </w:r>
      <w:r w:rsidR="00FB4A10" w:rsidRPr="0042020B">
        <w:noBreakHyphen/>
      </w:r>
      <w:r w:rsidRPr="0042020B">
        <w:t xml:space="preserve">expected collections </w:t>
      </w:r>
      <w:r w:rsidR="00EB7409" w:rsidRPr="0042020B">
        <w:t xml:space="preserve">in the </w:t>
      </w:r>
      <w:r w:rsidR="00354100" w:rsidRPr="0042020B">
        <w:t>year to date (</w:t>
      </w:r>
      <w:r w:rsidR="0088667B" w:rsidRPr="0042020B">
        <w:t xml:space="preserve">partly </w:t>
      </w:r>
      <w:r w:rsidRPr="0042020B">
        <w:t>reflecting higher mining profits in 2016</w:t>
      </w:r>
      <w:r w:rsidR="00FB4A10" w:rsidRPr="0042020B">
        <w:noBreakHyphen/>
      </w:r>
      <w:r w:rsidRPr="0042020B">
        <w:t>17</w:t>
      </w:r>
      <w:r w:rsidR="00354100" w:rsidRPr="0042020B">
        <w:t>), successful ATO enforcement activity</w:t>
      </w:r>
      <w:r w:rsidR="000F4934" w:rsidRPr="0042020B">
        <w:t xml:space="preserve"> and higher forecast growth</w:t>
      </w:r>
      <w:r w:rsidRPr="0042020B">
        <w:t xml:space="preserve"> for corporate profits from 2018</w:t>
      </w:r>
      <w:r w:rsidR="00FB4A10" w:rsidRPr="0042020B">
        <w:noBreakHyphen/>
      </w:r>
      <w:r w:rsidRPr="0042020B">
        <w:t>19.</w:t>
      </w:r>
    </w:p>
    <w:p w:rsidR="00163DFE" w:rsidRPr="0042020B" w:rsidRDefault="00163DFE" w:rsidP="00163DFE">
      <w:r w:rsidRPr="0042020B">
        <w:t>Excluding policy decisions, superannuation fund taxes have been revised up by $2.1</w:t>
      </w:r>
      <w:r w:rsidR="00765B95" w:rsidRPr="0042020B">
        <w:t> </w:t>
      </w:r>
      <w:r w:rsidRPr="0042020B">
        <w:t>billion in 2017</w:t>
      </w:r>
      <w:r w:rsidR="00FB4A10" w:rsidRPr="0042020B">
        <w:noBreakHyphen/>
      </w:r>
      <w:r w:rsidRPr="0042020B">
        <w:t>18 and $3.4</w:t>
      </w:r>
      <w:r w:rsidR="00765B95" w:rsidRPr="0042020B">
        <w:t> </w:t>
      </w:r>
      <w:r w:rsidRPr="0042020B">
        <w:t>billion over the forward estimates. This is driven by stronger</w:t>
      </w:r>
      <w:r w:rsidR="00FB4A10" w:rsidRPr="0042020B">
        <w:noBreakHyphen/>
      </w:r>
      <w:r w:rsidRPr="0042020B">
        <w:t>than</w:t>
      </w:r>
      <w:r w:rsidR="00FB4A10" w:rsidRPr="0042020B">
        <w:noBreakHyphen/>
      </w:r>
      <w:r w:rsidRPr="0042020B">
        <w:t xml:space="preserve">expected collections from APRA funds. Higher capital gains tax receipts are expected in the near term as some superannuation funds have used up the stock of capital losses they accumulated in previous years. </w:t>
      </w:r>
    </w:p>
    <w:p w:rsidR="00163DFE" w:rsidRPr="0042020B" w:rsidRDefault="00163DFE" w:rsidP="00163DFE">
      <w:r w:rsidRPr="0042020B">
        <w:t>Excluding policy decisions, goods and services tax receipts have been revised up by $100</w:t>
      </w:r>
      <w:r w:rsidR="00765B95" w:rsidRPr="0042020B">
        <w:t> </w:t>
      </w:r>
      <w:r w:rsidRPr="0042020B">
        <w:t>million in 2017</w:t>
      </w:r>
      <w:r w:rsidR="00FB4A10" w:rsidRPr="0042020B">
        <w:noBreakHyphen/>
      </w:r>
      <w:r w:rsidRPr="0042020B">
        <w:t>18 and $1.4</w:t>
      </w:r>
      <w:r w:rsidR="00765B95" w:rsidRPr="0042020B">
        <w:t> </w:t>
      </w:r>
      <w:r w:rsidRPr="0042020B">
        <w:t>billion over the forward estimates. This reflects stronger</w:t>
      </w:r>
      <w:r w:rsidR="00FB4A10" w:rsidRPr="0042020B">
        <w:noBreakHyphen/>
      </w:r>
      <w:r w:rsidRPr="0042020B">
        <w:t>than</w:t>
      </w:r>
      <w:r w:rsidR="00FB4A10" w:rsidRPr="0042020B">
        <w:noBreakHyphen/>
      </w:r>
      <w:r w:rsidRPr="0042020B">
        <w:t>expected collections</w:t>
      </w:r>
      <w:r w:rsidR="009B4FAD" w:rsidRPr="0042020B">
        <w:t xml:space="preserve"> since the Budget, including the 2016</w:t>
      </w:r>
      <w:r w:rsidR="009B4FAD" w:rsidRPr="0042020B">
        <w:noBreakHyphen/>
        <w:t>17 outcome</w:t>
      </w:r>
      <w:r w:rsidRPr="0042020B">
        <w:t xml:space="preserve">, partly offset by a weaker forecast for </w:t>
      </w:r>
      <w:r w:rsidR="00C40BE8" w:rsidRPr="0042020B">
        <w:t xml:space="preserve">growth in </w:t>
      </w:r>
      <w:r w:rsidRPr="0042020B">
        <w:t>consumption subject to GST.</w:t>
      </w:r>
    </w:p>
    <w:p w:rsidR="00163DFE" w:rsidRPr="0042020B" w:rsidRDefault="00163DFE" w:rsidP="00163DFE">
      <w:r w:rsidRPr="0042020B">
        <w:t>Excluding policy decisions, excise and customs duties have been revised up by $60</w:t>
      </w:r>
      <w:r w:rsidR="00765B95" w:rsidRPr="0042020B">
        <w:t> </w:t>
      </w:r>
      <w:r w:rsidRPr="0042020B">
        <w:t>million in 2017</w:t>
      </w:r>
      <w:r w:rsidR="00FB4A10" w:rsidRPr="0042020B">
        <w:noBreakHyphen/>
      </w:r>
      <w:r w:rsidRPr="0042020B">
        <w:t>18 and down by $1.2</w:t>
      </w:r>
      <w:r w:rsidR="00765B95" w:rsidRPr="0042020B">
        <w:t> </w:t>
      </w:r>
      <w:r w:rsidRPr="0042020B">
        <w:t>billion over the forward estimates, with lower forecasts for tobacco, alcohol and petrol partly offset by higher forecasts for diesel and other customs duty.</w:t>
      </w:r>
    </w:p>
    <w:p w:rsidR="001A1BCD" w:rsidRPr="0042020B" w:rsidRDefault="009E0685" w:rsidP="00497398">
      <w:r>
        <w:t>The estimate for the m</w:t>
      </w:r>
      <w:r w:rsidR="00794EA6" w:rsidRPr="0042020B">
        <w:t xml:space="preserve">ajor </w:t>
      </w:r>
      <w:r w:rsidR="00451BC9">
        <w:t>b</w:t>
      </w:r>
      <w:r w:rsidR="00794EA6" w:rsidRPr="0042020B">
        <w:t xml:space="preserve">ank </w:t>
      </w:r>
      <w:r w:rsidR="00451BC9">
        <w:t>l</w:t>
      </w:r>
      <w:r w:rsidR="00794EA6" w:rsidRPr="0042020B">
        <w:t xml:space="preserve">evy is the same as at the </w:t>
      </w:r>
      <w:r w:rsidR="000F5D7C" w:rsidRPr="0042020B">
        <w:t>2017</w:t>
      </w:r>
      <w:r w:rsidR="000F5D7C" w:rsidRPr="0042020B">
        <w:noBreakHyphen/>
        <w:t>18 Budget</w:t>
      </w:r>
      <w:r w:rsidR="00794EA6" w:rsidRPr="0042020B">
        <w:t>. Recent data from the major banks was in line with expectations. The first instalments are due in March 2018.</w:t>
      </w:r>
      <w:r w:rsidR="00497398" w:rsidRPr="0042020B">
        <w:t xml:space="preserve"> </w:t>
      </w:r>
    </w:p>
    <w:p w:rsidR="001A1BCD" w:rsidRPr="0042020B" w:rsidRDefault="000411DC" w:rsidP="00824E85">
      <w:pPr>
        <w:spacing w:after="190"/>
      </w:pPr>
      <w:r w:rsidRPr="0042020B">
        <w:t>Analysis of the sensitivity of the receipts estimates to changes in the economic outlook is provided in Attachment A to this part.</w:t>
      </w:r>
      <w:r w:rsidR="00817565" w:rsidRPr="0042020B">
        <w:fldChar w:fldCharType="begin"/>
      </w:r>
      <w:r w:rsidR="00817565" w:rsidRPr="0042020B">
        <w:instrText xml:space="preserve"> :End:TAD_MB1 </w:instrText>
      </w:r>
      <w:r w:rsidR="00817565" w:rsidRPr="0042020B">
        <w:fldChar w:fldCharType="end"/>
      </w:r>
    </w:p>
    <w:p w:rsidR="00A90C1B" w:rsidRPr="0042020B" w:rsidRDefault="00817565" w:rsidP="00A90C1B">
      <w:r w:rsidRPr="0042020B">
        <w:fldChar w:fldCharType="begin"/>
      </w:r>
      <w:r w:rsidRPr="0042020B">
        <w:instrText xml:space="preserve"> :Start:TAD_MB2 </w:instrText>
      </w:r>
      <w:r w:rsidRPr="0042020B">
        <w:fldChar w:fldCharType="end"/>
      </w:r>
      <w:r w:rsidR="00A90C1B" w:rsidRPr="0042020B">
        <w:t xml:space="preserve">The </w:t>
      </w:r>
      <w:r w:rsidR="00AB7DEB" w:rsidRPr="0042020B">
        <w:t>2017</w:t>
      </w:r>
      <w:r w:rsidR="00FB4A10" w:rsidRPr="0042020B">
        <w:noBreakHyphen/>
      </w:r>
      <w:r w:rsidR="00AB7DEB" w:rsidRPr="0042020B">
        <w:t>18 MYEFO</w:t>
      </w:r>
      <w:r w:rsidR="00A90C1B" w:rsidRPr="0042020B">
        <w:t xml:space="preserve"> continues to include provisions for a number of Free Trade Agreements (FTAs) which have not been finalised:</w:t>
      </w:r>
    </w:p>
    <w:p w:rsidR="00A90C1B" w:rsidRPr="0042020B" w:rsidRDefault="00A90C1B" w:rsidP="00A15DBA">
      <w:pPr>
        <w:pStyle w:val="Bullet"/>
      </w:pPr>
      <w:r w:rsidRPr="0042020B">
        <w:t>Environmental Goods Agreement</w:t>
      </w:r>
      <w:r w:rsidR="00B2096D" w:rsidRPr="0042020B">
        <w:t>;</w:t>
      </w:r>
    </w:p>
    <w:p w:rsidR="00A90C1B" w:rsidRPr="0042020B" w:rsidRDefault="00A90C1B" w:rsidP="00A90C1B">
      <w:pPr>
        <w:pStyle w:val="Bullet"/>
      </w:pPr>
      <w:r w:rsidRPr="0042020B">
        <w:t>FTA with the Gulf Cooperation Council</w:t>
      </w:r>
      <w:r w:rsidR="00B2096D" w:rsidRPr="0042020B">
        <w:t>;</w:t>
      </w:r>
    </w:p>
    <w:p w:rsidR="00A90C1B" w:rsidRPr="0042020B" w:rsidRDefault="00A90C1B" w:rsidP="00A90C1B">
      <w:pPr>
        <w:pStyle w:val="Bullet"/>
      </w:pPr>
      <w:r w:rsidRPr="0042020B">
        <w:t>India FTA — Comprehensive Economic Cooperation Agreement</w:t>
      </w:r>
      <w:r w:rsidR="00B2096D" w:rsidRPr="0042020B">
        <w:t>;</w:t>
      </w:r>
    </w:p>
    <w:p w:rsidR="00A90C1B" w:rsidRPr="0042020B" w:rsidRDefault="00A90C1B" w:rsidP="00A90C1B">
      <w:pPr>
        <w:pStyle w:val="Bullet"/>
      </w:pPr>
      <w:r w:rsidRPr="0042020B">
        <w:t>Regional Comprehen</w:t>
      </w:r>
      <w:r w:rsidR="007B0234" w:rsidRPr="0042020B">
        <w:t>sive Economic Partnership</w:t>
      </w:r>
      <w:r w:rsidR="00B2096D" w:rsidRPr="0042020B">
        <w:t>;</w:t>
      </w:r>
    </w:p>
    <w:p w:rsidR="00A90C1B" w:rsidRPr="0042020B" w:rsidRDefault="00A90C1B" w:rsidP="00A90C1B">
      <w:pPr>
        <w:pStyle w:val="Bullet"/>
      </w:pPr>
      <w:r w:rsidRPr="0042020B">
        <w:t>Australia’s accession to the World Trade Organisation Govern</w:t>
      </w:r>
      <w:r w:rsidR="007B0234" w:rsidRPr="0042020B">
        <w:t>ment Procurement Agreement</w:t>
      </w:r>
      <w:r w:rsidR="00B2096D" w:rsidRPr="0042020B">
        <w:t>;</w:t>
      </w:r>
    </w:p>
    <w:p w:rsidR="00A90C1B" w:rsidRPr="0042020B" w:rsidRDefault="00A90C1B" w:rsidP="00A90C1B">
      <w:pPr>
        <w:pStyle w:val="Bullet"/>
      </w:pPr>
      <w:r w:rsidRPr="0042020B">
        <w:t>Indonesia</w:t>
      </w:r>
      <w:r w:rsidR="00FB4A10" w:rsidRPr="0042020B">
        <w:noBreakHyphen/>
      </w:r>
      <w:r w:rsidRPr="0042020B">
        <w:t>Australia Comprehensive Economic Partnership Agreement</w:t>
      </w:r>
      <w:r w:rsidR="00B2096D" w:rsidRPr="0042020B">
        <w:t>; and</w:t>
      </w:r>
    </w:p>
    <w:p w:rsidR="00A90C1B" w:rsidRPr="0042020B" w:rsidRDefault="00A90C1B" w:rsidP="00A90C1B">
      <w:pPr>
        <w:pStyle w:val="Bullet"/>
      </w:pPr>
      <w:r w:rsidRPr="0042020B">
        <w:t>Australia</w:t>
      </w:r>
      <w:r w:rsidR="00FB4A10" w:rsidRPr="0042020B">
        <w:noBreakHyphen/>
      </w:r>
      <w:r w:rsidRPr="0042020B">
        <w:t>Hong Kong Free Trade Agreement</w:t>
      </w:r>
      <w:r w:rsidR="007B0234" w:rsidRPr="0042020B">
        <w:t>.</w:t>
      </w:r>
    </w:p>
    <w:p w:rsidR="0071248C" w:rsidRPr="0042020B" w:rsidRDefault="00A90C1B" w:rsidP="00A90C1B">
      <w:pPr>
        <w:spacing w:after="190"/>
      </w:pPr>
      <w:r w:rsidRPr="0042020B">
        <w:t xml:space="preserve">The </w:t>
      </w:r>
      <w:r w:rsidR="00AB7DEB" w:rsidRPr="0042020B">
        <w:t>2017</w:t>
      </w:r>
      <w:r w:rsidR="00FB4A10" w:rsidRPr="0042020B">
        <w:noBreakHyphen/>
      </w:r>
      <w:r w:rsidR="00AB7DEB" w:rsidRPr="0042020B">
        <w:t>18 MYEFO</w:t>
      </w:r>
      <w:r w:rsidRPr="0042020B">
        <w:t xml:space="preserve"> also includes new provisions for the Pacific Alliance Free Trade Agreement, </w:t>
      </w:r>
      <w:r w:rsidR="00A15DBA" w:rsidRPr="0042020B">
        <w:t>Peru</w:t>
      </w:r>
      <w:r w:rsidR="00FB4A10" w:rsidRPr="0042020B">
        <w:noBreakHyphen/>
      </w:r>
      <w:r w:rsidR="00A15DBA" w:rsidRPr="0042020B">
        <w:t>Australia Free Trade Agreement</w:t>
      </w:r>
      <w:r w:rsidRPr="0042020B">
        <w:t xml:space="preserve"> and the Australia</w:t>
      </w:r>
      <w:r w:rsidR="00FB4A10" w:rsidRPr="0042020B">
        <w:noBreakHyphen/>
      </w:r>
      <w:r w:rsidRPr="0042020B">
        <w:t>European Union Free Trade Agreement.</w:t>
      </w:r>
      <w:r w:rsidR="006E3409" w:rsidRPr="0042020B">
        <w:fldChar w:fldCharType="begin"/>
      </w:r>
      <w:r w:rsidR="006E3409" w:rsidRPr="0042020B">
        <w:instrText xml:space="preserve"> :End:TAD_MB2 </w:instrText>
      </w:r>
      <w:r w:rsidR="006E3409" w:rsidRPr="0042020B">
        <w:fldChar w:fldCharType="end"/>
      </w:r>
    </w:p>
    <w:p w:rsidR="000411DC" w:rsidRPr="0042020B" w:rsidRDefault="00912A5D" w:rsidP="000411DC">
      <w:pPr>
        <w:pStyle w:val="Heading3"/>
      </w:pPr>
      <w:r w:rsidRPr="0042020B">
        <w:fldChar w:fldCharType="begin"/>
      </w:r>
      <w:r w:rsidRPr="0042020B">
        <w:instrText xml:space="preserve"> :Start:BAB_DD1 </w:instrText>
      </w:r>
      <w:r w:rsidRPr="0042020B">
        <w:fldChar w:fldCharType="end"/>
      </w:r>
      <w:r w:rsidR="000411DC" w:rsidRPr="0042020B">
        <w:t>Payments estimates</w:t>
      </w:r>
      <w:bookmarkEnd w:id="32"/>
    </w:p>
    <w:p w:rsidR="000411DC" w:rsidRPr="0042020B" w:rsidRDefault="005F5595" w:rsidP="00E20E49">
      <w:bookmarkStart w:id="33" w:name="_Toc434412648"/>
      <w:bookmarkStart w:id="34" w:name="_Toc436316564"/>
      <w:r w:rsidRPr="0042020B">
        <w:t xml:space="preserve">Since the </w:t>
      </w:r>
      <w:r w:rsidR="000F5D7C" w:rsidRPr="0042020B">
        <w:t>2017</w:t>
      </w:r>
      <w:r w:rsidR="000F5D7C" w:rsidRPr="0042020B">
        <w:noBreakHyphen/>
        <w:t>18 Budget</w:t>
      </w:r>
      <w:r w:rsidRPr="0042020B">
        <w:t>, total cash payments for 2017</w:t>
      </w:r>
      <w:r w:rsidRPr="0042020B">
        <w:noBreakHyphen/>
        <w:t>18 have decreased by $2.1 billion and have decreased by $6.5 billion over the four years to 2020</w:t>
      </w:r>
      <w:r w:rsidRPr="0042020B">
        <w:noBreakHyphen/>
        <w:t xml:space="preserve">21. </w:t>
      </w:r>
      <w:r w:rsidR="003C30BB" w:rsidRPr="0042020B">
        <w:t>The overall net impact of payment related decisions (excluding the impact of Senate positions) has decreased total cash payments by $269 million over the four years to 2020</w:t>
      </w:r>
      <w:r w:rsidR="003C30BB" w:rsidRPr="0042020B">
        <w:noBreakHyphen/>
        <w:t>21</w:t>
      </w:r>
      <w:r w:rsidRPr="0042020B">
        <w:t>.</w:t>
      </w:r>
    </w:p>
    <w:p w:rsidR="000411DC" w:rsidRPr="0042020B" w:rsidRDefault="000411DC" w:rsidP="00D316A5">
      <w:pPr>
        <w:pStyle w:val="Heading4"/>
      </w:pPr>
      <w:r w:rsidRPr="0042020B">
        <w:t>Policy decisions</w:t>
      </w:r>
      <w:bookmarkEnd w:id="33"/>
      <w:bookmarkEnd w:id="34"/>
      <w:r w:rsidRPr="0042020B">
        <w:t xml:space="preserve"> </w:t>
      </w:r>
    </w:p>
    <w:p w:rsidR="00912A5D" w:rsidRPr="0042020B" w:rsidRDefault="00912A5D" w:rsidP="00E20E49">
      <w:pPr>
        <w:pStyle w:val="HeaderChar"/>
      </w:pPr>
      <w:bookmarkStart w:id="35" w:name="_Toc434412649"/>
      <w:bookmarkStart w:id="36" w:name="_Toc436316565"/>
      <w:r w:rsidRPr="0042020B">
        <w:t xml:space="preserve">Major increases in payments as a result of policy decisions since the </w:t>
      </w:r>
      <w:r w:rsidR="000F5D7C" w:rsidRPr="0042020B">
        <w:t>2017</w:t>
      </w:r>
      <w:r w:rsidR="000F5D7C" w:rsidRPr="0042020B">
        <w:noBreakHyphen/>
        <w:t>18 Budget</w:t>
      </w:r>
      <w:r w:rsidRPr="0042020B">
        <w:t xml:space="preserve"> include:</w:t>
      </w:r>
    </w:p>
    <w:p w:rsidR="005F5595" w:rsidRPr="0042020B" w:rsidRDefault="005F5595" w:rsidP="00E20E49">
      <w:pPr>
        <w:pStyle w:val="Bullet"/>
      </w:pPr>
      <w:r w:rsidRPr="0042020B">
        <w:t>introducing new and amended listings on the Pharmaceutical Benefits Scheme and the Repatriation Pharmaceutical Benefits Scheme, which is expected to increase payments by $</w:t>
      </w:r>
      <w:r w:rsidR="00562C07" w:rsidRPr="0042020B">
        <w:t>2</w:t>
      </w:r>
      <w:r w:rsidRPr="0042020B">
        <w:t>.</w:t>
      </w:r>
      <w:r w:rsidR="00562C07" w:rsidRPr="0042020B">
        <w:t>1</w:t>
      </w:r>
      <w:r w:rsidRPr="0042020B">
        <w:t xml:space="preserve"> billion over the four years to 2020</w:t>
      </w:r>
      <w:r w:rsidRPr="0042020B">
        <w:noBreakHyphen/>
        <w:t>21;</w:t>
      </w:r>
    </w:p>
    <w:p w:rsidR="005F5595" w:rsidRPr="0042020B" w:rsidRDefault="005F5595" w:rsidP="00E20E49">
      <w:pPr>
        <w:pStyle w:val="Bullet"/>
      </w:pPr>
      <w:r w:rsidRPr="0042020B">
        <w:t xml:space="preserve">implementing the Quality Schools reform package to build on the </w:t>
      </w:r>
      <w:r w:rsidR="000F5D7C" w:rsidRPr="0042020B">
        <w:t>2017</w:t>
      </w:r>
      <w:r w:rsidR="000F5D7C" w:rsidRPr="0042020B">
        <w:noBreakHyphen/>
        <w:t>18 Budget</w:t>
      </w:r>
      <w:r w:rsidRPr="0042020B">
        <w:t xml:space="preserve"> measure titled </w:t>
      </w:r>
      <w:r w:rsidRPr="0042020B">
        <w:rPr>
          <w:i/>
        </w:rPr>
        <w:t>Quality Schools - true needs-based funding for Australia's schools</w:t>
      </w:r>
      <w:r w:rsidRPr="0042020B">
        <w:t>, which delivers a consistent Commonwealth approach for all schools in all States and Territories. This is expected to increase payments by $1.3 billion over the four years to 2020</w:t>
      </w:r>
      <w:r w:rsidRPr="0042020B">
        <w:noBreakHyphen/>
        <w:t>21;</w:t>
      </w:r>
    </w:p>
    <w:p w:rsidR="005F5595" w:rsidRPr="0042020B" w:rsidRDefault="005F5595" w:rsidP="00E20E49">
      <w:pPr>
        <w:pStyle w:val="Bullet"/>
      </w:pPr>
      <w:r w:rsidRPr="0042020B">
        <w:t xml:space="preserve">proceeding </w:t>
      </w:r>
      <w:r w:rsidR="00B05F72" w:rsidRPr="0042020B">
        <w:t xml:space="preserve">with </w:t>
      </w:r>
      <w:r w:rsidRPr="0042020B">
        <w:rPr>
          <w:i/>
        </w:rPr>
        <w:t>Higher Education Reform</w:t>
      </w:r>
      <w:r w:rsidRPr="0042020B">
        <w:t xml:space="preserve"> to improve transparency, accountability, affordability and responsiveness to the aspirations of students and future workforce needs. This is expected to increase payments by $605 million over the four years to 2020</w:t>
      </w:r>
      <w:r w:rsidRPr="0042020B">
        <w:noBreakHyphen/>
        <w:t>21; and</w:t>
      </w:r>
    </w:p>
    <w:p w:rsidR="00912A5D" w:rsidRPr="0042020B" w:rsidRDefault="005F5595" w:rsidP="00E20E49">
      <w:pPr>
        <w:pStyle w:val="Bullet"/>
      </w:pPr>
      <w:r w:rsidRPr="0042020B">
        <w:t>providing additional funding in response to recommendations from the 2017 Independent Intelligence Review, including establishing the Office of National Intelligence, which is expected to increase payments by $118 million over the four</w:t>
      </w:r>
      <w:r w:rsidR="00216546" w:rsidRPr="0042020B">
        <w:t> </w:t>
      </w:r>
      <w:r w:rsidRPr="0042020B">
        <w:t>years to 2020</w:t>
      </w:r>
      <w:r w:rsidRPr="0042020B">
        <w:noBreakHyphen/>
        <w:t>21</w:t>
      </w:r>
      <w:r w:rsidR="00912A5D" w:rsidRPr="0042020B">
        <w:t>.</w:t>
      </w:r>
    </w:p>
    <w:p w:rsidR="00912A5D" w:rsidRPr="0042020B" w:rsidRDefault="00912A5D" w:rsidP="00E20E49">
      <w:pPr>
        <w:pStyle w:val="HeaderChar"/>
      </w:pPr>
      <w:r w:rsidRPr="0042020B">
        <w:t xml:space="preserve">Major decreases in payments as a result of policy decisions since the </w:t>
      </w:r>
      <w:r w:rsidR="000F5D7C" w:rsidRPr="0042020B">
        <w:t>2017</w:t>
      </w:r>
      <w:r w:rsidR="000F5D7C" w:rsidRPr="0042020B">
        <w:noBreakHyphen/>
        <w:t>18 Budget</w:t>
      </w:r>
      <w:r w:rsidRPr="0042020B">
        <w:t xml:space="preserve"> include: </w:t>
      </w:r>
    </w:p>
    <w:p w:rsidR="005F5595" w:rsidRPr="0042020B" w:rsidRDefault="005F5595" w:rsidP="00E20E49">
      <w:pPr>
        <w:pStyle w:val="Bullet"/>
      </w:pPr>
      <w:r w:rsidRPr="0042020B">
        <w:t>extending and expanding the requirements for newly arrived migrants to wait before they can access certain welfare payments, which is expected to decrease payments by $1.2 billion over the four years to 2020</w:t>
      </w:r>
      <w:r w:rsidRPr="0042020B">
        <w:noBreakHyphen/>
        <w:t>21;</w:t>
      </w:r>
    </w:p>
    <w:p w:rsidR="005F5595" w:rsidRPr="0042020B" w:rsidRDefault="005F5595" w:rsidP="00E20E49">
      <w:pPr>
        <w:pStyle w:val="Bullet"/>
      </w:pPr>
      <w:r w:rsidRPr="0042020B">
        <w:t>improving the integrity of payments to family day care services through increased compliance efforts to ensure a strong transition to the new Child Care package, which is expected to decrease payments by $1.0 billion over the four years to 2020</w:t>
      </w:r>
      <w:r w:rsidRPr="0042020B">
        <w:noBreakHyphen/>
        <w:t>21;</w:t>
      </w:r>
    </w:p>
    <w:p w:rsidR="005F5595" w:rsidRPr="0042020B" w:rsidRDefault="005F5595" w:rsidP="00E20E49">
      <w:pPr>
        <w:pStyle w:val="Bullet"/>
      </w:pPr>
      <w:r w:rsidRPr="0042020B">
        <w:t>requiring Family Tax Benefit lump</w:t>
      </w:r>
      <w:r w:rsidRPr="0042020B">
        <w:noBreakHyphen/>
        <w:t>sum, reconciliation or instalment arrears payments to be used to repay outstanding social security, student assistance or Paid Parental Leave debts. This is expected to decrease payments by $405 million over the four years to 2020</w:t>
      </w:r>
      <w:r w:rsidRPr="0042020B">
        <w:noBreakHyphen/>
        <w:t>21; and</w:t>
      </w:r>
    </w:p>
    <w:p w:rsidR="000411DC" w:rsidRPr="0042020B" w:rsidRDefault="005F5595" w:rsidP="00E20E49">
      <w:pPr>
        <w:pStyle w:val="Bullet"/>
      </w:pPr>
      <w:r w:rsidRPr="0042020B">
        <w:t>maintaining the higher income thresholds and supplement amounts for family payments at their current levels until 30 June 2021, which is expected to decrease payments by $186 million over the four years to 2020</w:t>
      </w:r>
      <w:r w:rsidRPr="0042020B">
        <w:noBreakHyphen/>
        <w:t>21.</w:t>
      </w:r>
    </w:p>
    <w:p w:rsidR="000411DC" w:rsidRPr="0042020B" w:rsidRDefault="000411DC" w:rsidP="00B23E35">
      <w:pPr>
        <w:pStyle w:val="Heading4"/>
      </w:pPr>
      <w:r w:rsidRPr="0042020B">
        <w:t>Parameter and other variations</w:t>
      </w:r>
      <w:bookmarkEnd w:id="35"/>
      <w:bookmarkEnd w:id="36"/>
    </w:p>
    <w:p w:rsidR="00B23E35" w:rsidRPr="0042020B" w:rsidRDefault="00B23E35" w:rsidP="00B23E35">
      <w:r w:rsidRPr="0042020B">
        <w:t xml:space="preserve">Parameter and other variations have </w:t>
      </w:r>
      <w:r w:rsidR="002E30A0" w:rsidRPr="0042020B">
        <w:t>decreased</w:t>
      </w:r>
      <w:r w:rsidRPr="0042020B">
        <w:t xml:space="preserve"> total cash payments since the </w:t>
      </w:r>
      <w:r w:rsidR="000F5D7C" w:rsidRPr="0042020B">
        <w:t>2017</w:t>
      </w:r>
      <w:r w:rsidR="000F5D7C" w:rsidRPr="0042020B">
        <w:noBreakHyphen/>
        <w:t>18 Budget</w:t>
      </w:r>
      <w:r w:rsidRPr="0042020B">
        <w:t xml:space="preserve"> by $</w:t>
      </w:r>
      <w:r w:rsidR="002E30A0" w:rsidRPr="0042020B">
        <w:t>3.4</w:t>
      </w:r>
      <w:r w:rsidR="00AB7DEB" w:rsidRPr="0042020B">
        <w:t> billion</w:t>
      </w:r>
      <w:r w:rsidRPr="0042020B">
        <w:t xml:space="preserve"> in 2017</w:t>
      </w:r>
      <w:r w:rsidR="00FB4A10" w:rsidRPr="0042020B">
        <w:noBreakHyphen/>
      </w:r>
      <w:r w:rsidRPr="0042020B">
        <w:t>18 and $</w:t>
      </w:r>
      <w:r w:rsidR="002E30A0" w:rsidRPr="0042020B">
        <w:t>8.8</w:t>
      </w:r>
      <w:r w:rsidR="00AB7DEB" w:rsidRPr="0042020B">
        <w:t> billion</w:t>
      </w:r>
      <w:r w:rsidRPr="0042020B">
        <w:t xml:space="preserve"> over the four years to 2020</w:t>
      </w:r>
      <w:r w:rsidR="00FB4A10" w:rsidRPr="0042020B">
        <w:noBreakHyphen/>
      </w:r>
      <w:r w:rsidRPr="0042020B">
        <w:t>21.</w:t>
      </w:r>
    </w:p>
    <w:p w:rsidR="00094EBD" w:rsidRPr="0042020B" w:rsidRDefault="00094EBD" w:rsidP="00094EBD">
      <w:r w:rsidRPr="0042020B">
        <w:t xml:space="preserve">Major decreases in cash payments as a result of parameter and other variations since the </w:t>
      </w:r>
      <w:r w:rsidR="000F5D7C" w:rsidRPr="0042020B">
        <w:t>2017</w:t>
      </w:r>
      <w:r w:rsidR="000F5D7C" w:rsidRPr="0042020B">
        <w:noBreakHyphen/>
        <w:t>18 Budget</w:t>
      </w:r>
      <w:r w:rsidRPr="0042020B">
        <w:t xml:space="preserve"> include:</w:t>
      </w:r>
    </w:p>
    <w:p w:rsidR="00094EBD" w:rsidRPr="0042020B" w:rsidRDefault="00094EBD" w:rsidP="00094EBD">
      <w:pPr>
        <w:pStyle w:val="Bullet"/>
      </w:pPr>
      <w:r w:rsidRPr="0042020B">
        <w:t>payments related to the Income Support for People with Disability program, which are expected to decrease by $439 million in 2017</w:t>
      </w:r>
      <w:r w:rsidR="00FB4A10" w:rsidRPr="0042020B">
        <w:noBreakHyphen/>
      </w:r>
      <w:r w:rsidRPr="0042020B">
        <w:t>18 ($1.5 billion over the four years to 2020</w:t>
      </w:r>
      <w:r w:rsidR="00FB4A10" w:rsidRPr="0042020B">
        <w:noBreakHyphen/>
        <w:t>21), largely reflecting lower</w:t>
      </w:r>
      <w:r w:rsidR="00FB4A10" w:rsidRPr="0042020B">
        <w:noBreakHyphen/>
        <w:t>than</w:t>
      </w:r>
      <w:r w:rsidR="00FB4A10" w:rsidRPr="0042020B">
        <w:noBreakHyphen/>
      </w:r>
      <w:r w:rsidRPr="0042020B">
        <w:t>expected recipient numbers;</w:t>
      </w:r>
    </w:p>
    <w:p w:rsidR="00094EBD" w:rsidRPr="0042020B" w:rsidRDefault="00094EBD" w:rsidP="00094EBD">
      <w:pPr>
        <w:pStyle w:val="Bullet"/>
      </w:pPr>
      <w:r w:rsidRPr="0042020B">
        <w:t>payments related to the Student Payments program, which are expected to decrease by $252 million in 2017</w:t>
      </w:r>
      <w:r w:rsidR="00FB4A10" w:rsidRPr="0042020B">
        <w:noBreakHyphen/>
      </w:r>
      <w:r w:rsidRPr="0042020B">
        <w:t>18 ($1.2</w:t>
      </w:r>
      <w:r w:rsidR="00671260" w:rsidRPr="0042020B">
        <w:t> </w:t>
      </w:r>
      <w:r w:rsidRPr="0042020B">
        <w:t>billion over the four years to 2020</w:t>
      </w:r>
      <w:r w:rsidR="00FB4A10" w:rsidRPr="0042020B">
        <w:noBreakHyphen/>
      </w:r>
      <w:r w:rsidRPr="0042020B">
        <w:t xml:space="preserve">21), largely reflecting </w:t>
      </w:r>
      <w:r w:rsidR="00FB4A10" w:rsidRPr="0042020B">
        <w:t>lower</w:t>
      </w:r>
      <w:r w:rsidR="00FB4A10" w:rsidRPr="0042020B">
        <w:noBreakHyphen/>
        <w:t>than</w:t>
      </w:r>
      <w:r w:rsidR="00FB4A10" w:rsidRPr="0042020B">
        <w:noBreakHyphen/>
      </w:r>
      <w:r w:rsidRPr="0042020B">
        <w:t>expected recipient numbers and higher recipient earnings reducing average payment rates, resulting from more students moving into work;</w:t>
      </w:r>
    </w:p>
    <w:p w:rsidR="00094EBD" w:rsidRPr="0042020B" w:rsidRDefault="00094EBD" w:rsidP="00094EBD">
      <w:pPr>
        <w:pStyle w:val="Bullet"/>
        <w:keepLines/>
        <w:ind w:left="284" w:hanging="284"/>
      </w:pPr>
      <w:r w:rsidRPr="0042020B">
        <w:t>payments related to the Parents Income Support program, which are expected to decrease by $175 million in 2017</w:t>
      </w:r>
      <w:r w:rsidR="00FB4A10" w:rsidRPr="0042020B">
        <w:noBreakHyphen/>
      </w:r>
      <w:r w:rsidRPr="0042020B">
        <w:t>18 ($1.1 billion over the four years to 2020</w:t>
      </w:r>
      <w:r w:rsidR="00FB4A10" w:rsidRPr="0042020B">
        <w:noBreakHyphen/>
      </w:r>
      <w:r w:rsidRPr="0042020B">
        <w:t>21), largely reflecting lower</w:t>
      </w:r>
      <w:r w:rsidR="00FB4A10" w:rsidRPr="0042020B">
        <w:noBreakHyphen/>
      </w:r>
      <w:r w:rsidRPr="0042020B">
        <w:t>than</w:t>
      </w:r>
      <w:r w:rsidR="00FB4A10" w:rsidRPr="0042020B">
        <w:noBreakHyphen/>
      </w:r>
      <w:r w:rsidRPr="0042020B">
        <w:t>expected recipient numbers and lower than forecast average payment rates, resulting in part from Government policies aimed at ensuring fewer Australians move onto welfare and more move from welfare to work;</w:t>
      </w:r>
    </w:p>
    <w:p w:rsidR="00094EBD" w:rsidRPr="0042020B" w:rsidRDefault="00094EBD" w:rsidP="00094EBD">
      <w:pPr>
        <w:pStyle w:val="Bullet"/>
      </w:pPr>
      <w:r w:rsidRPr="0042020B">
        <w:t>payments related to the Income Support for Seniors program, which are expected to decrease by $361 million in 2017</w:t>
      </w:r>
      <w:r w:rsidR="00FB4A10" w:rsidRPr="0042020B">
        <w:noBreakHyphen/>
      </w:r>
      <w:r w:rsidRPr="0042020B">
        <w:t>18 ($755 million over the four years to 2020</w:t>
      </w:r>
      <w:r w:rsidR="00FB4A10" w:rsidRPr="0042020B">
        <w:noBreakHyphen/>
      </w:r>
      <w:r w:rsidRPr="0042020B">
        <w:t>21), largely reflecting slower</w:t>
      </w:r>
      <w:r w:rsidR="00FB4A10" w:rsidRPr="0042020B">
        <w:noBreakHyphen/>
        <w:t>than</w:t>
      </w:r>
      <w:r w:rsidR="00FB4A10" w:rsidRPr="0042020B">
        <w:noBreakHyphen/>
      </w:r>
      <w:r w:rsidRPr="0042020B">
        <w:t>expected growth in the number of Age Pension recipients. This has been partially offset by higher</w:t>
      </w:r>
      <w:r w:rsidR="00FB4A10" w:rsidRPr="0042020B">
        <w:noBreakHyphen/>
      </w:r>
      <w:r w:rsidRPr="0042020B">
        <w:t>than</w:t>
      </w:r>
      <w:r w:rsidR="00FB4A10" w:rsidRPr="0042020B">
        <w:noBreakHyphen/>
      </w:r>
      <w:r w:rsidRPr="0042020B">
        <w:t>expected average Age</w:t>
      </w:r>
      <w:r w:rsidR="00FB4A10" w:rsidRPr="0042020B">
        <w:t> </w:t>
      </w:r>
      <w:r w:rsidRPr="0042020B">
        <w:t>Pension payment rates; and</w:t>
      </w:r>
    </w:p>
    <w:p w:rsidR="00094EBD" w:rsidRPr="0042020B" w:rsidRDefault="00497398" w:rsidP="00094EBD">
      <w:pPr>
        <w:pStyle w:val="Bullet"/>
      </w:pPr>
      <w:r w:rsidRPr="0042020B">
        <w:br w:type="page"/>
      </w:r>
      <w:r w:rsidR="00094EBD" w:rsidRPr="0042020B">
        <w:t>payments related to the Research and Development Tax Incentive program, which are expected to decrease by $128 million in 2017</w:t>
      </w:r>
      <w:r w:rsidR="00FB4A10" w:rsidRPr="0042020B">
        <w:noBreakHyphen/>
      </w:r>
      <w:r w:rsidR="00094EBD" w:rsidRPr="0042020B">
        <w:t>18 ($696 million over the four years to 2020</w:t>
      </w:r>
      <w:r w:rsidR="00FB4A10" w:rsidRPr="0042020B">
        <w:noBreakHyphen/>
      </w:r>
      <w:r w:rsidR="00094EBD" w:rsidRPr="0042020B">
        <w:t>21), primarily reflecting reduced eligible incentive amounts and lower than forecast claims.</w:t>
      </w:r>
    </w:p>
    <w:p w:rsidR="00094EBD" w:rsidRPr="0042020B" w:rsidRDefault="00094EBD" w:rsidP="00094EBD">
      <w:pPr>
        <w:pStyle w:val="Bullet"/>
        <w:numPr>
          <w:ilvl w:val="0"/>
          <w:numId w:val="0"/>
        </w:numPr>
      </w:pPr>
      <w:r w:rsidRPr="0042020B">
        <w:t xml:space="preserve">Major increases in cash payments as a result of parameter and other variations since the </w:t>
      </w:r>
      <w:r w:rsidR="000F5D7C" w:rsidRPr="0042020B">
        <w:t>2017</w:t>
      </w:r>
      <w:r w:rsidR="000F5D7C" w:rsidRPr="0042020B">
        <w:noBreakHyphen/>
        <w:t>18 Budget</w:t>
      </w:r>
      <w:r w:rsidRPr="0042020B">
        <w:t xml:space="preserve"> include:</w:t>
      </w:r>
    </w:p>
    <w:p w:rsidR="00094EBD" w:rsidRPr="0042020B" w:rsidRDefault="00094EBD" w:rsidP="00094EBD">
      <w:pPr>
        <w:pStyle w:val="Bullet"/>
      </w:pPr>
      <w:r w:rsidRPr="0042020B">
        <w:t>payments relating to the Fuel Tax Credits Scheme, which are expected to increase by $290 million in 2017</w:t>
      </w:r>
      <w:r w:rsidR="00FB4A10" w:rsidRPr="0042020B">
        <w:noBreakHyphen/>
      </w:r>
      <w:r w:rsidRPr="0042020B">
        <w:t>18 ($1.1 billion over the four years to 2020</w:t>
      </w:r>
      <w:r w:rsidR="00FB4A10" w:rsidRPr="0042020B">
        <w:noBreakHyphen/>
      </w:r>
      <w:r w:rsidRPr="0042020B">
        <w:t xml:space="preserve">21), largely reflecting </w:t>
      </w:r>
      <w:r w:rsidR="00FB4A10" w:rsidRPr="0042020B">
        <w:t>higher</w:t>
      </w:r>
      <w:r w:rsidR="00FB4A10" w:rsidRPr="0042020B">
        <w:noBreakHyphen/>
      </w:r>
      <w:r w:rsidRPr="0042020B">
        <w:t>than</w:t>
      </w:r>
      <w:r w:rsidR="00FB4A10" w:rsidRPr="0042020B">
        <w:noBreakHyphen/>
      </w:r>
      <w:r w:rsidRPr="0042020B">
        <w:t>expected usage of fuels that are eligible for Fuel Tax Credits;</w:t>
      </w:r>
    </w:p>
    <w:p w:rsidR="00094EBD" w:rsidRPr="0042020B" w:rsidRDefault="00094EBD" w:rsidP="00094EBD">
      <w:pPr>
        <w:pStyle w:val="Bullet"/>
      </w:pPr>
      <w:r w:rsidRPr="0042020B">
        <w:t>payments to the States and Territories under the Natural Disaster Relief and Recovery Arrangement program, which are expected to increase by $88 million in 2017</w:t>
      </w:r>
      <w:r w:rsidR="00FB4A10" w:rsidRPr="0042020B">
        <w:noBreakHyphen/>
      </w:r>
      <w:r w:rsidRPr="0042020B">
        <w:t>18 ($812 million over the three years to 2019</w:t>
      </w:r>
      <w:r w:rsidR="00FB4A10" w:rsidRPr="0042020B">
        <w:noBreakHyphen/>
      </w:r>
      <w:r w:rsidRPr="0042020B">
        <w:t xml:space="preserve">20), largely reflecting the impacts of Tropical Cyclone Debbie which were not available for inclusion at the time of the </w:t>
      </w:r>
      <w:r w:rsidR="000F5D7C" w:rsidRPr="0042020B">
        <w:t>2017</w:t>
      </w:r>
      <w:r w:rsidR="000F5D7C" w:rsidRPr="0042020B">
        <w:noBreakHyphen/>
        <w:t>18 Budget</w:t>
      </w:r>
      <w:r w:rsidRPr="0042020B">
        <w:t>;</w:t>
      </w:r>
    </w:p>
    <w:p w:rsidR="00094EBD" w:rsidRPr="0042020B" w:rsidRDefault="00094EBD" w:rsidP="00094EBD">
      <w:pPr>
        <w:pStyle w:val="Bullet"/>
      </w:pPr>
      <w:r w:rsidRPr="0042020B">
        <w:t>payments relating to the Medical Benefits program, which are expected to increase by $78 million in 2017</w:t>
      </w:r>
      <w:r w:rsidR="00FB4A10" w:rsidRPr="0042020B">
        <w:noBreakHyphen/>
      </w:r>
      <w:r w:rsidRPr="0042020B">
        <w:t>18 ($405 million over the four years to 2020</w:t>
      </w:r>
      <w:r w:rsidR="00FB4A10" w:rsidRPr="0042020B">
        <w:noBreakHyphen/>
      </w:r>
      <w:r w:rsidRPr="0042020B">
        <w:t>21), reflecting ongoing growth in the access to, and use of</w:t>
      </w:r>
      <w:r w:rsidR="00807458" w:rsidRPr="0042020B">
        <w:t>,</w:t>
      </w:r>
      <w:r w:rsidRPr="0042020B">
        <w:t xml:space="preserve"> medical services; </w:t>
      </w:r>
    </w:p>
    <w:p w:rsidR="00094EBD" w:rsidRPr="0042020B" w:rsidRDefault="00094EBD" w:rsidP="00094EBD">
      <w:pPr>
        <w:pStyle w:val="Bullet"/>
      </w:pPr>
      <w:r w:rsidRPr="0042020B">
        <w:t>payments related to the Military Rehabilitation Compensation Acts – Income Support and Compensation program, which are expected to increase by $140</w:t>
      </w:r>
      <w:r w:rsidR="00216546" w:rsidRPr="0042020B">
        <w:t> </w:t>
      </w:r>
      <w:r w:rsidRPr="0042020B">
        <w:t>million in 2017</w:t>
      </w:r>
      <w:r w:rsidR="00FB4A10" w:rsidRPr="0042020B">
        <w:noBreakHyphen/>
      </w:r>
      <w:r w:rsidRPr="0042020B">
        <w:t>18 ($251 million over the four years to 2020</w:t>
      </w:r>
      <w:r w:rsidR="00FB4A10" w:rsidRPr="0042020B">
        <w:noBreakHyphen/>
      </w:r>
      <w:r w:rsidRPr="0042020B">
        <w:t>21), largely reflecting an increase in claims processing capabilities; and</w:t>
      </w:r>
    </w:p>
    <w:p w:rsidR="00B23E35" w:rsidRPr="0042020B" w:rsidRDefault="00094EBD" w:rsidP="00094EBD">
      <w:pPr>
        <w:pStyle w:val="Bullet"/>
      </w:pPr>
      <w:r w:rsidRPr="0042020B">
        <w:t>payments related to the Australian Screen Production Incentive program, which are expected to increase by $115 million in 2017</w:t>
      </w:r>
      <w:r w:rsidR="00FB4A10" w:rsidRPr="0042020B">
        <w:noBreakHyphen/>
      </w:r>
      <w:r w:rsidRPr="0042020B">
        <w:t>18 ($167 million over four years to 2020</w:t>
      </w:r>
      <w:r w:rsidR="00FB4A10" w:rsidRPr="0042020B">
        <w:noBreakHyphen/>
      </w:r>
      <w:r w:rsidRPr="0042020B">
        <w:t>21), largely reflecting tax offsets for qualifying film expenditure in the 2016</w:t>
      </w:r>
      <w:r w:rsidR="00FB4A10" w:rsidRPr="0042020B">
        <w:noBreakHyphen/>
      </w:r>
      <w:r w:rsidRPr="0042020B">
        <w:t>17 financial year to be paid in 2017</w:t>
      </w:r>
      <w:r w:rsidR="00FB4A10" w:rsidRPr="0042020B">
        <w:noBreakHyphen/>
      </w:r>
      <w:r w:rsidRPr="0042020B">
        <w:t>18.</w:t>
      </w:r>
    </w:p>
    <w:p w:rsidR="00B23E35" w:rsidRPr="0042020B" w:rsidRDefault="00B23E35" w:rsidP="00B23E35">
      <w:r w:rsidRPr="0042020B">
        <w:t xml:space="preserve">Consistent with previous budgets, the underlying cash balance has been improved by the regular draw down of the conservative bias allowance. Details of this draw down are provided at Attachment </w:t>
      </w:r>
      <w:r w:rsidR="003C1CB1" w:rsidRPr="0042020B">
        <w:t>C to this part</w:t>
      </w:r>
      <w:r w:rsidRPr="0042020B">
        <w:t>.</w:t>
      </w:r>
    </w:p>
    <w:p w:rsidR="000411DC" w:rsidRPr="0042020B" w:rsidRDefault="00B23E35" w:rsidP="00B23E35">
      <w:r w:rsidRPr="0042020B">
        <w:t xml:space="preserve">Analysis of the sensitivity of the payments estimates to changes in the economic outlook is provided in Attachment </w:t>
      </w:r>
      <w:r w:rsidR="003C1CB1" w:rsidRPr="0042020B">
        <w:t>A</w:t>
      </w:r>
      <w:r w:rsidRPr="0042020B">
        <w:t xml:space="preserve"> to this part.</w:t>
      </w:r>
      <w:r w:rsidR="00926393" w:rsidRPr="0042020B">
        <w:fldChar w:fldCharType="begin"/>
      </w:r>
      <w:r w:rsidR="00926393" w:rsidRPr="0042020B">
        <w:instrText xml:space="preserve"> :End:</w:instrText>
      </w:r>
      <w:r w:rsidR="0023409E" w:rsidRPr="0042020B">
        <w:instrText>BAB_DD1</w:instrText>
      </w:r>
      <w:r w:rsidR="00926393" w:rsidRPr="0042020B">
        <w:instrText xml:space="preserve"> </w:instrText>
      </w:r>
      <w:r w:rsidR="00926393" w:rsidRPr="0042020B">
        <w:fldChar w:fldCharType="end"/>
      </w:r>
    </w:p>
    <w:bookmarkStart w:id="37" w:name="_Toc434412592"/>
    <w:bookmarkStart w:id="38" w:name="_Toc434412650"/>
    <w:bookmarkStart w:id="39" w:name="_Toc436316566"/>
    <w:p w:rsidR="000411DC" w:rsidRPr="0042020B" w:rsidRDefault="00926393" w:rsidP="000411DC">
      <w:pPr>
        <w:pStyle w:val="Heading3"/>
        <w:spacing w:before="100" w:after="100"/>
      </w:pPr>
      <w:r w:rsidRPr="0042020B">
        <w:fldChar w:fldCharType="begin"/>
      </w:r>
      <w:r w:rsidRPr="0042020B">
        <w:instrText xml:space="preserve"> :Start:BPD_JR1 </w:instrText>
      </w:r>
      <w:r w:rsidRPr="0042020B">
        <w:fldChar w:fldCharType="end"/>
      </w:r>
      <w:r w:rsidR="003762DC" w:rsidRPr="0042020B">
        <w:t>Net operating balance</w:t>
      </w:r>
      <w:r w:rsidR="000411DC" w:rsidRPr="0042020B">
        <w:t xml:space="preserve"> estimates</w:t>
      </w:r>
      <w:bookmarkEnd w:id="37"/>
      <w:bookmarkEnd w:id="38"/>
      <w:bookmarkEnd w:id="39"/>
    </w:p>
    <w:p w:rsidR="000411DC" w:rsidRPr="0042020B" w:rsidRDefault="000411DC" w:rsidP="000411DC">
      <w:pPr>
        <w:spacing w:after="230"/>
      </w:pPr>
      <w:r w:rsidRPr="0042020B">
        <w:t>Table 3.</w:t>
      </w:r>
      <w:r w:rsidR="003C1CB1" w:rsidRPr="0042020B">
        <w:t>1</w:t>
      </w:r>
      <w:r w:rsidR="00497398" w:rsidRPr="0042020B">
        <w:t>1</w:t>
      </w:r>
      <w:r w:rsidRPr="0042020B">
        <w:t xml:space="preserve"> provides a reconciliation of </w:t>
      </w:r>
      <w:r w:rsidR="00DB3FEE" w:rsidRPr="0042020B">
        <w:t>net operating</w:t>
      </w:r>
      <w:r w:rsidRPr="0042020B">
        <w:t xml:space="preserve"> balance estimates, including the impact of policy decisions and parameter and other variations on revenue</w:t>
      </w:r>
      <w:r w:rsidR="00DB3FEE" w:rsidRPr="0042020B">
        <w:t xml:space="preserve"> and</w:t>
      </w:r>
      <w:r w:rsidRPr="0042020B">
        <w:t xml:space="preserve"> expense</w:t>
      </w:r>
      <w:r w:rsidR="00DB3FEE" w:rsidRPr="0042020B">
        <w:t>s</w:t>
      </w:r>
      <w:r w:rsidRPr="0042020B">
        <w:t xml:space="preserve"> </w:t>
      </w:r>
      <w:r w:rsidR="00DB3FEE" w:rsidRPr="0042020B">
        <w:t xml:space="preserve">since the </w:t>
      </w:r>
      <w:r w:rsidR="000F5D7C" w:rsidRPr="0042020B">
        <w:t>2017</w:t>
      </w:r>
      <w:r w:rsidR="000F5D7C" w:rsidRPr="0042020B">
        <w:noBreakHyphen/>
        <w:t>18 Budget</w:t>
      </w:r>
      <w:r w:rsidRPr="0042020B">
        <w:t>.</w:t>
      </w:r>
      <w:r w:rsidR="00926393" w:rsidRPr="0042020B">
        <w:fldChar w:fldCharType="begin"/>
      </w:r>
      <w:r w:rsidR="00926393" w:rsidRPr="0042020B">
        <w:instrText xml:space="preserve"> :End:BPD_JR1 </w:instrText>
      </w:r>
      <w:r w:rsidR="00926393" w:rsidRPr="0042020B">
        <w:fldChar w:fldCharType="end"/>
      </w:r>
    </w:p>
    <w:p w:rsidR="000411DC" w:rsidRPr="0042020B" w:rsidRDefault="00894AFB" w:rsidP="00B871FA">
      <w:pPr>
        <w:pStyle w:val="TableHeading"/>
      </w:pPr>
      <w:r w:rsidRPr="0042020B">
        <w:fldChar w:fldCharType="begin"/>
      </w:r>
      <w:r w:rsidRPr="0042020B">
        <w:instrText xml:space="preserve"> :Start:FARM_PG1 </w:instrText>
      </w:r>
      <w:r w:rsidRPr="0042020B">
        <w:fldChar w:fldCharType="end"/>
      </w:r>
      <w:r w:rsidR="000411DC" w:rsidRPr="0042020B">
        <w:t>Table 3.</w:t>
      </w:r>
      <w:r w:rsidR="00D316A5" w:rsidRPr="0042020B">
        <w:t>1</w:t>
      </w:r>
      <w:r w:rsidR="00497398" w:rsidRPr="0042020B">
        <w:t>1</w:t>
      </w:r>
      <w:r w:rsidR="000411DC" w:rsidRPr="0042020B">
        <w:t xml:space="preserve">: Reconciliation of general government sector </w:t>
      </w:r>
      <w:r w:rsidR="00DB3FEE" w:rsidRPr="0042020B">
        <w:t>net operating</w:t>
      </w:r>
      <w:r w:rsidR="000411DC" w:rsidRPr="0042020B">
        <w:t xml:space="preserve"> balance estimates</w:t>
      </w:r>
    </w:p>
    <w:p w:rsidR="000411DC" w:rsidRPr="0042020B" w:rsidRDefault="009758BF" w:rsidP="005618FD">
      <w:pPr>
        <w:pStyle w:val="TableGraphic"/>
      </w:pPr>
      <w:r>
        <w:object w:dxaOrig="7727" w:dyaOrig="5185">
          <v:shape id="_x0000_i1040" type="#_x0000_t75" style="width:386.3pt;height:259.2pt" o:ole="">
            <v:imagedata r:id="rId39" o:title=""/>
          </v:shape>
          <o:OLEObject Type="Link" ProgID="Excel.SheetMacroEnabled.12" ShapeID="_x0000_i1040" DrawAspect="Content" r:id="rId40" UpdateMode="Always">
            <o:LinkType>EnhancedMetaFile</o:LinkType>
            <o:LockedField/>
          </o:OLEObject>
        </w:object>
      </w:r>
    </w:p>
    <w:p w:rsidR="000411DC" w:rsidRPr="0042020B" w:rsidRDefault="000411DC" w:rsidP="00337498">
      <w:pPr>
        <w:pStyle w:val="ChartandTableFootnoteAlpha"/>
        <w:numPr>
          <w:ilvl w:val="0"/>
          <w:numId w:val="15"/>
        </w:numPr>
        <w:ind w:left="284" w:hanging="284"/>
        <w:rPr>
          <w:color w:val="auto"/>
        </w:rPr>
      </w:pPr>
      <w:r w:rsidRPr="0042020B">
        <w:rPr>
          <w:color w:val="auto"/>
        </w:rPr>
        <w:t>Excludes secondary impacts on public debt interest of policy decisions and offsets from the Contingency Reserve for decisions taken.</w:t>
      </w:r>
    </w:p>
    <w:p w:rsidR="001D4D07" w:rsidRPr="0042020B" w:rsidRDefault="000411DC" w:rsidP="00337498">
      <w:pPr>
        <w:pStyle w:val="ChartandTableFootnoteAlpha"/>
        <w:numPr>
          <w:ilvl w:val="0"/>
          <w:numId w:val="16"/>
        </w:numPr>
        <w:ind w:left="284" w:hanging="284"/>
        <w:rPr>
          <w:color w:val="auto"/>
        </w:rPr>
      </w:pPr>
      <w:r w:rsidRPr="0042020B">
        <w:rPr>
          <w:color w:val="auto"/>
        </w:rPr>
        <w:t xml:space="preserve">A positive number for revenue </w:t>
      </w:r>
      <w:r w:rsidR="00C17B33" w:rsidRPr="0042020B">
        <w:rPr>
          <w:color w:val="auto"/>
        </w:rPr>
        <w:t>improves the net operating</w:t>
      </w:r>
      <w:r w:rsidRPr="0042020B">
        <w:rPr>
          <w:color w:val="auto"/>
        </w:rPr>
        <w:t xml:space="preserve"> balance, while a positive number for expenses </w:t>
      </w:r>
      <w:r w:rsidR="00C17B33" w:rsidRPr="0042020B">
        <w:rPr>
          <w:color w:val="auto"/>
        </w:rPr>
        <w:t xml:space="preserve">worsens </w:t>
      </w:r>
      <w:r w:rsidRPr="0042020B">
        <w:rPr>
          <w:color w:val="auto"/>
        </w:rPr>
        <w:t xml:space="preserve">the </w:t>
      </w:r>
      <w:r w:rsidR="00C17B33" w:rsidRPr="0042020B">
        <w:rPr>
          <w:color w:val="auto"/>
        </w:rPr>
        <w:t>net operating</w:t>
      </w:r>
      <w:r w:rsidRPr="0042020B">
        <w:rPr>
          <w:color w:val="auto"/>
        </w:rPr>
        <w:t xml:space="preserve"> balance.</w:t>
      </w:r>
    </w:p>
    <w:p w:rsidR="000411DC" w:rsidRPr="0042020B" w:rsidRDefault="001D4D07" w:rsidP="001D4D07">
      <w:pPr>
        <w:pStyle w:val="ChartandTableFootnoteAlpha"/>
        <w:numPr>
          <w:ilvl w:val="0"/>
          <w:numId w:val="16"/>
        </w:numPr>
        <w:ind w:left="284" w:hanging="284"/>
        <w:rPr>
          <w:color w:val="auto"/>
        </w:rPr>
      </w:pPr>
      <w:r w:rsidRPr="0042020B">
        <w:rPr>
          <w:color w:val="auto"/>
        </w:rPr>
        <w:t xml:space="preserve">A positive number for net capital investment worsens the fiscal balance. </w:t>
      </w:r>
      <w:r w:rsidR="00894AFB" w:rsidRPr="0042020B">
        <w:rPr>
          <w:color w:val="auto"/>
        </w:rPr>
        <w:fldChar w:fldCharType="begin"/>
      </w:r>
      <w:r w:rsidR="00894AFB" w:rsidRPr="0042020B">
        <w:rPr>
          <w:color w:val="auto"/>
        </w:rPr>
        <w:instrText xml:space="preserve"> :End:FARM_PG1 </w:instrText>
      </w:r>
      <w:r w:rsidR="00894AFB" w:rsidRPr="0042020B">
        <w:rPr>
          <w:color w:val="auto"/>
        </w:rPr>
        <w:fldChar w:fldCharType="end"/>
      </w:r>
    </w:p>
    <w:p w:rsidR="00C17B33" w:rsidRPr="0042020B" w:rsidRDefault="00C17B33" w:rsidP="00C17B33">
      <w:pPr>
        <w:pStyle w:val="SingleParagraph"/>
        <w:rPr>
          <w:lang w:eastAsia="en-AU"/>
        </w:rPr>
      </w:pPr>
    </w:p>
    <w:bookmarkStart w:id="40" w:name="_Toc434412593"/>
    <w:bookmarkStart w:id="41" w:name="_Toc434412651"/>
    <w:bookmarkStart w:id="42" w:name="_Toc436316568"/>
    <w:p w:rsidR="00C17B33" w:rsidRPr="0042020B" w:rsidRDefault="00926393" w:rsidP="001F2980">
      <w:r w:rsidRPr="0042020B">
        <w:fldChar w:fldCharType="begin"/>
      </w:r>
      <w:r w:rsidRPr="0042020B">
        <w:instrText xml:space="preserve"> :Start:BPD_JR1 </w:instrText>
      </w:r>
      <w:r w:rsidRPr="0042020B">
        <w:fldChar w:fldCharType="end"/>
      </w:r>
      <w:r w:rsidR="00C17B33" w:rsidRPr="0042020B">
        <w:t xml:space="preserve">Compared with the </w:t>
      </w:r>
      <w:r w:rsidR="000F5D7C" w:rsidRPr="0042020B">
        <w:t>2017</w:t>
      </w:r>
      <w:r w:rsidR="000F5D7C" w:rsidRPr="0042020B">
        <w:noBreakHyphen/>
        <w:t>18 Budget</w:t>
      </w:r>
      <w:r w:rsidR="00C17B33" w:rsidRPr="0042020B">
        <w:t xml:space="preserve">, the net operating balance is expected to </w:t>
      </w:r>
      <w:r w:rsidR="002E30A0" w:rsidRPr="0042020B">
        <w:t>improve</w:t>
      </w:r>
      <w:r w:rsidR="00C17B33" w:rsidRPr="0042020B">
        <w:t xml:space="preserve"> by $</w:t>
      </w:r>
      <w:r w:rsidR="002E30A0" w:rsidRPr="0042020B">
        <w:t>1.6</w:t>
      </w:r>
      <w:r w:rsidR="00AB7DEB" w:rsidRPr="0042020B">
        <w:t> billion</w:t>
      </w:r>
      <w:r w:rsidR="00C17B33" w:rsidRPr="0042020B">
        <w:t xml:space="preserve"> in 2017</w:t>
      </w:r>
      <w:r w:rsidR="00FB4A10" w:rsidRPr="0042020B">
        <w:noBreakHyphen/>
      </w:r>
      <w:r w:rsidR="00C17B33" w:rsidRPr="0042020B">
        <w:t>18</w:t>
      </w:r>
      <w:r w:rsidR="00497398" w:rsidRPr="0042020B">
        <w:t xml:space="preserve"> and $5.0 billion over the forward estimates</w:t>
      </w:r>
      <w:r w:rsidR="00C17B33" w:rsidRPr="0042020B">
        <w:t>.</w:t>
      </w:r>
      <w:r w:rsidRPr="0042020B">
        <w:fldChar w:fldCharType="begin"/>
      </w:r>
      <w:r w:rsidRPr="0042020B">
        <w:instrText xml:space="preserve"> :End:BPD_JR1 </w:instrText>
      </w:r>
      <w:r w:rsidRPr="0042020B">
        <w:fldChar w:fldCharType="end"/>
      </w:r>
    </w:p>
    <w:p w:rsidR="000411DC" w:rsidRPr="0042020B" w:rsidRDefault="00926393" w:rsidP="006C143C">
      <w:pPr>
        <w:pStyle w:val="Heading3"/>
      </w:pPr>
      <w:r w:rsidRPr="0042020B">
        <w:fldChar w:fldCharType="begin"/>
      </w:r>
      <w:r w:rsidRPr="0042020B">
        <w:instrText xml:space="preserve"> :Start:TAD_MB1 </w:instrText>
      </w:r>
      <w:r w:rsidRPr="0042020B">
        <w:fldChar w:fldCharType="end"/>
      </w:r>
      <w:r w:rsidR="000411DC" w:rsidRPr="0042020B">
        <w:t>Revenue estimates</w:t>
      </w:r>
      <w:bookmarkEnd w:id="40"/>
      <w:bookmarkEnd w:id="41"/>
      <w:bookmarkEnd w:id="42"/>
    </w:p>
    <w:p w:rsidR="000411DC" w:rsidRPr="0042020B" w:rsidRDefault="000411DC" w:rsidP="000411DC">
      <w:r w:rsidRPr="0042020B">
        <w:t xml:space="preserve">Total revenue has been revised </w:t>
      </w:r>
      <w:r w:rsidR="002E30A0" w:rsidRPr="0042020B">
        <w:t>up</w:t>
      </w:r>
      <w:r w:rsidRPr="0042020B">
        <w:t xml:space="preserve"> by $</w:t>
      </w:r>
      <w:r w:rsidR="002E30A0" w:rsidRPr="0042020B">
        <w:t>4.3</w:t>
      </w:r>
      <w:r w:rsidR="00AB7DEB" w:rsidRPr="0042020B">
        <w:t> billion</w:t>
      </w:r>
      <w:r w:rsidRPr="0042020B">
        <w:t xml:space="preserve"> in 201</w:t>
      </w:r>
      <w:r w:rsidR="006D71BC" w:rsidRPr="0042020B">
        <w:t>7</w:t>
      </w:r>
      <w:r w:rsidR="00FB4A10" w:rsidRPr="0042020B">
        <w:noBreakHyphen/>
      </w:r>
      <w:r w:rsidRPr="0042020B">
        <w:t>1</w:t>
      </w:r>
      <w:r w:rsidR="006D71BC" w:rsidRPr="0042020B">
        <w:t>8</w:t>
      </w:r>
      <w:r w:rsidRPr="0042020B">
        <w:t xml:space="preserve"> since the </w:t>
      </w:r>
      <w:r w:rsidR="000F5D7C" w:rsidRPr="0042020B">
        <w:t>2017</w:t>
      </w:r>
      <w:r w:rsidR="000F5D7C" w:rsidRPr="0042020B">
        <w:noBreakHyphen/>
        <w:t>18 Budget</w:t>
      </w:r>
      <w:r w:rsidRPr="0042020B">
        <w:t>.</w:t>
      </w:r>
    </w:p>
    <w:p w:rsidR="000411DC" w:rsidRPr="0042020B" w:rsidRDefault="000411DC" w:rsidP="000411DC">
      <w:r w:rsidRPr="0042020B">
        <w:t>While changes in tax revenue (measured when the obligation to pay tax is incurred) are generally driven by the same factors as tax receipts (measured when the tax is collected), there are differences as not all revenue raised in a given year is actually paid in that year. These differenc</w:t>
      </w:r>
      <w:r w:rsidR="000A1CBA" w:rsidRPr="0042020B">
        <w:t>es exist for most revenue heads</w:t>
      </w:r>
      <w:r w:rsidRPr="0042020B">
        <w:t xml:space="preserve"> and vary across years.</w:t>
      </w:r>
    </w:p>
    <w:p w:rsidR="000411DC" w:rsidRPr="0042020B" w:rsidRDefault="000411DC" w:rsidP="000411DC">
      <w:r w:rsidRPr="0042020B">
        <w:t>Detailed Australian Government general government sector revenue estimates for 201</w:t>
      </w:r>
      <w:r w:rsidR="006D71BC" w:rsidRPr="0042020B">
        <w:t>7</w:t>
      </w:r>
      <w:r w:rsidR="00FB4A10" w:rsidRPr="0042020B">
        <w:noBreakHyphen/>
      </w:r>
      <w:r w:rsidRPr="0042020B">
        <w:t>1</w:t>
      </w:r>
      <w:r w:rsidR="006D71BC" w:rsidRPr="0042020B">
        <w:t>8</w:t>
      </w:r>
      <w:r w:rsidRPr="0042020B">
        <w:t xml:space="preserve"> and 201</w:t>
      </w:r>
      <w:r w:rsidR="006D71BC" w:rsidRPr="0042020B">
        <w:t>8</w:t>
      </w:r>
      <w:r w:rsidR="00FB4A10" w:rsidRPr="0042020B">
        <w:noBreakHyphen/>
      </w:r>
      <w:r w:rsidRPr="0042020B">
        <w:t>1</w:t>
      </w:r>
      <w:r w:rsidR="006D71BC" w:rsidRPr="0042020B">
        <w:t>9</w:t>
      </w:r>
      <w:r w:rsidRPr="0042020B">
        <w:t xml:space="preserve">, compared with estimates from the </w:t>
      </w:r>
      <w:r w:rsidR="000F5D7C" w:rsidRPr="0042020B">
        <w:t>2017</w:t>
      </w:r>
      <w:r w:rsidR="000F5D7C" w:rsidRPr="0042020B">
        <w:noBreakHyphen/>
        <w:t>18 Budget</w:t>
      </w:r>
      <w:r w:rsidRPr="0042020B">
        <w:t>, are provided in Tables</w:t>
      </w:r>
      <w:r w:rsidR="003602A0" w:rsidRPr="0042020B">
        <w:t> </w:t>
      </w:r>
      <w:r w:rsidRPr="0042020B">
        <w:t>3.</w:t>
      </w:r>
      <w:r w:rsidR="003C1CB1" w:rsidRPr="0042020B">
        <w:t>1</w:t>
      </w:r>
      <w:r w:rsidR="00497398" w:rsidRPr="0042020B">
        <w:t>2</w:t>
      </w:r>
      <w:r w:rsidRPr="0042020B">
        <w:t xml:space="preserve"> and 3.</w:t>
      </w:r>
      <w:r w:rsidR="003C1CB1" w:rsidRPr="0042020B">
        <w:t>1</w:t>
      </w:r>
      <w:r w:rsidR="00497398" w:rsidRPr="0042020B">
        <w:t>3</w:t>
      </w:r>
      <w:r w:rsidRPr="0042020B">
        <w:t xml:space="preserve"> respectively.</w:t>
      </w:r>
      <w:r w:rsidR="0033509F" w:rsidRPr="0042020B">
        <w:t xml:space="preserve"> Table</w:t>
      </w:r>
      <w:r w:rsidR="003602A0" w:rsidRPr="0042020B">
        <w:t> </w:t>
      </w:r>
      <w:r w:rsidR="0033509F" w:rsidRPr="0042020B">
        <w:t>3.1</w:t>
      </w:r>
      <w:r w:rsidR="00497398" w:rsidRPr="0042020B">
        <w:t>4</w:t>
      </w:r>
      <w:r w:rsidR="0033509F" w:rsidRPr="0042020B">
        <w:t xml:space="preserve"> </w:t>
      </w:r>
      <w:r w:rsidR="003B08C8" w:rsidRPr="0042020B">
        <w:t>shows the Australian Government general government revenue from 2016</w:t>
      </w:r>
      <w:r w:rsidR="003B08C8" w:rsidRPr="0042020B">
        <w:noBreakHyphen/>
        <w:t>17 to 2020</w:t>
      </w:r>
      <w:r w:rsidR="003B08C8" w:rsidRPr="0042020B">
        <w:noBreakHyphen/>
        <w:t>21 by heads of revenue</w:t>
      </w:r>
      <w:r w:rsidR="0033509F" w:rsidRPr="0042020B">
        <w:t>.</w:t>
      </w:r>
      <w:r w:rsidR="0098765A" w:rsidRPr="0042020B">
        <w:fldChar w:fldCharType="begin"/>
      </w:r>
      <w:r w:rsidR="0098765A" w:rsidRPr="0042020B">
        <w:instrText xml:space="preserve"> :End:TAD_MB1 </w:instrText>
      </w:r>
      <w:r w:rsidR="0098765A" w:rsidRPr="0042020B">
        <w:fldChar w:fldCharType="end"/>
      </w:r>
    </w:p>
    <w:p w:rsidR="000411DC" w:rsidRPr="0042020B" w:rsidRDefault="0098765A" w:rsidP="003602A0">
      <w:pPr>
        <w:pStyle w:val="TableHeading"/>
      </w:pPr>
      <w:r w:rsidRPr="0042020B">
        <w:fldChar w:fldCharType="begin"/>
      </w:r>
      <w:r w:rsidRPr="0042020B">
        <w:instrText xml:space="preserve"> :Start:FARM_PG1 </w:instrText>
      </w:r>
      <w:r w:rsidRPr="0042020B">
        <w:fldChar w:fldCharType="end"/>
      </w:r>
      <w:r w:rsidR="000411DC" w:rsidRPr="0042020B">
        <w:t>Table 3.</w:t>
      </w:r>
      <w:r w:rsidR="00D316A5" w:rsidRPr="0042020B">
        <w:t>1</w:t>
      </w:r>
      <w:r w:rsidR="00497398" w:rsidRPr="0042020B">
        <w:t>2</w:t>
      </w:r>
      <w:r w:rsidR="000411DC" w:rsidRPr="0042020B">
        <w:t>: Reconciliation of 201</w:t>
      </w:r>
      <w:r w:rsidR="006D71BC" w:rsidRPr="0042020B">
        <w:t>7</w:t>
      </w:r>
      <w:r w:rsidR="00FB4A10" w:rsidRPr="0042020B">
        <w:noBreakHyphen/>
      </w:r>
      <w:r w:rsidR="000411DC" w:rsidRPr="0042020B">
        <w:t>1</w:t>
      </w:r>
      <w:r w:rsidR="006D71BC" w:rsidRPr="0042020B">
        <w:t>8</w:t>
      </w:r>
      <w:r w:rsidR="000411DC" w:rsidRPr="0042020B">
        <w:t xml:space="preserve"> general government sector (accrual) revenue</w:t>
      </w:r>
    </w:p>
    <w:p w:rsidR="004036C9" w:rsidRPr="0042020B" w:rsidRDefault="00E20E49" w:rsidP="00AD110C">
      <w:pPr>
        <w:pStyle w:val="TableGraphic"/>
      </w:pPr>
      <w:r w:rsidRPr="0042020B">
        <w:object w:dxaOrig="7727" w:dyaOrig="10042">
          <v:shape id="_x0000_i1041" type="#_x0000_t75" style="width:386.3pt;height:502.1pt" o:ole="">
            <v:imagedata r:id="rId41" o:title=""/>
          </v:shape>
          <o:OLEObject Type="Link" ProgID="Excel.SheetMacroEnabled.12" ShapeID="_x0000_i1041" DrawAspect="Content" r:id="rId42" UpdateMode="Always">
            <o:LinkType>EnhancedMetaFile</o:LinkType>
            <o:LockedField/>
          </o:OLEObject>
        </w:object>
      </w:r>
    </w:p>
    <w:p w:rsidR="000411DC" w:rsidRPr="0042020B" w:rsidRDefault="0006474A" w:rsidP="0006474A">
      <w:pPr>
        <w:pStyle w:val="FooterChar"/>
        <w:numPr>
          <w:ilvl w:val="0"/>
          <w:numId w:val="25"/>
        </w:numPr>
        <w:spacing w:after="0" w:line="240" w:lineRule="auto"/>
        <w:rPr>
          <w:rFonts w:ascii="Arial" w:hAnsi="Arial"/>
          <w:sz w:val="16"/>
          <w:szCs w:val="20"/>
          <w:lang w:eastAsia="en-AU"/>
        </w:rPr>
      </w:pPr>
      <w:r w:rsidRPr="0042020B">
        <w:rPr>
          <w:rFonts w:ascii="Arial" w:hAnsi="Arial"/>
          <w:sz w:val="16"/>
          <w:szCs w:val="20"/>
          <w:lang w:eastAsia="en-AU"/>
        </w:rPr>
        <w:t>‘Other alcoholic beverages’ are those not exceeding 10</w:t>
      </w:r>
      <w:r w:rsidR="00AE7AF3" w:rsidRPr="0042020B">
        <w:rPr>
          <w:rFonts w:ascii="Arial" w:hAnsi="Arial"/>
          <w:sz w:val="16"/>
          <w:szCs w:val="20"/>
          <w:lang w:eastAsia="en-AU"/>
        </w:rPr>
        <w:t> per cent</w:t>
      </w:r>
      <w:r w:rsidRPr="0042020B">
        <w:rPr>
          <w:rFonts w:ascii="Arial" w:hAnsi="Arial"/>
          <w:sz w:val="16"/>
          <w:szCs w:val="20"/>
          <w:lang w:eastAsia="en-AU"/>
        </w:rPr>
        <w:t xml:space="preserve"> by volume of alcohol (excluding beer, brandy and wine).</w:t>
      </w:r>
    </w:p>
    <w:p w:rsidR="000411DC" w:rsidRPr="0042020B" w:rsidRDefault="0006474A" w:rsidP="0006474A">
      <w:pPr>
        <w:pStyle w:val="ChartandTableFootnoteAlpha"/>
        <w:numPr>
          <w:ilvl w:val="0"/>
          <w:numId w:val="16"/>
        </w:numPr>
      </w:pPr>
      <w:r w:rsidRPr="0042020B">
        <w:t>In the 2016</w:t>
      </w:r>
      <w:r w:rsidR="00FB4A10" w:rsidRPr="0042020B">
        <w:noBreakHyphen/>
      </w:r>
      <w:r w:rsidRPr="0042020B">
        <w:t>17 FBO, the majority of corporations law fees were reclassified from non</w:t>
      </w:r>
      <w:r w:rsidR="00FB4A10" w:rsidRPr="0042020B">
        <w:noBreakHyphen/>
      </w:r>
      <w:r w:rsidRPr="0042020B">
        <w:t>taxation revenue to taxation revenue and financial institutions supervisory levies were reclassified from taxation revenue to non</w:t>
      </w:r>
      <w:r w:rsidR="00FB4A10" w:rsidRPr="0042020B">
        <w:noBreakHyphen/>
      </w:r>
      <w:r w:rsidRPr="0042020B">
        <w:t>taxation revenue.</w:t>
      </w:r>
    </w:p>
    <w:p w:rsidR="000411DC" w:rsidRPr="0042020B" w:rsidRDefault="000411DC" w:rsidP="00337498">
      <w:pPr>
        <w:pStyle w:val="ChartandTableFootnoteAlpha"/>
        <w:numPr>
          <w:ilvl w:val="0"/>
          <w:numId w:val="16"/>
        </w:numPr>
        <w:rPr>
          <w:color w:val="auto"/>
        </w:rPr>
      </w:pPr>
      <w:r w:rsidRPr="0042020B">
        <w:rPr>
          <w:color w:val="auto"/>
        </w:rPr>
        <w:t>‘Capital gains tax’ is part of gross other individuals, company tax and superannuation fund taxes.</w:t>
      </w:r>
    </w:p>
    <w:p w:rsidR="000411DC" w:rsidRPr="0042020B" w:rsidRDefault="000411DC" w:rsidP="00FE4EAE">
      <w:pPr>
        <w:pStyle w:val="SingleParagraph"/>
      </w:pPr>
    </w:p>
    <w:p w:rsidR="006D6DEE" w:rsidRPr="0042020B" w:rsidRDefault="005040FC" w:rsidP="00C4489A">
      <w:pPr>
        <w:pStyle w:val="TableHeading"/>
        <w:spacing w:before="0"/>
      </w:pPr>
      <w:r w:rsidRPr="0042020B">
        <w:br w:type="page"/>
      </w:r>
      <w:r w:rsidR="000411DC" w:rsidRPr="0042020B">
        <w:t>Table 3.</w:t>
      </w:r>
      <w:r w:rsidR="00D316A5" w:rsidRPr="0042020B">
        <w:t>1</w:t>
      </w:r>
      <w:r w:rsidR="00497398" w:rsidRPr="0042020B">
        <w:t>3</w:t>
      </w:r>
      <w:r w:rsidR="000411DC" w:rsidRPr="0042020B">
        <w:t>: Reconciliation of 201</w:t>
      </w:r>
      <w:r w:rsidR="006D71BC" w:rsidRPr="0042020B">
        <w:t>8</w:t>
      </w:r>
      <w:r w:rsidR="00FB4A10" w:rsidRPr="0042020B">
        <w:noBreakHyphen/>
      </w:r>
      <w:r w:rsidR="000411DC" w:rsidRPr="0042020B">
        <w:t>1</w:t>
      </w:r>
      <w:r w:rsidR="006D71BC" w:rsidRPr="0042020B">
        <w:t>9</w:t>
      </w:r>
      <w:r w:rsidR="000411DC" w:rsidRPr="0042020B">
        <w:t xml:space="preserve"> general gove</w:t>
      </w:r>
      <w:r w:rsidRPr="0042020B">
        <w:t>rnment sector (accrual) revenue</w:t>
      </w:r>
    </w:p>
    <w:p w:rsidR="006D6DEE" w:rsidRPr="0042020B" w:rsidRDefault="005E4FF4" w:rsidP="005040FC">
      <w:pPr>
        <w:pStyle w:val="TableGraphic"/>
      </w:pPr>
      <w:r w:rsidRPr="0042020B">
        <w:object w:dxaOrig="7727" w:dyaOrig="10042">
          <v:shape id="_x0000_i1042" type="#_x0000_t75" style="width:386.3pt;height:502.1pt" o:ole="">
            <v:imagedata r:id="rId43" o:title=""/>
          </v:shape>
          <o:OLEObject Type="Link" ProgID="Excel.SheetMacroEnabled.12" ShapeID="_x0000_i1042" DrawAspect="Content" r:id="rId44" UpdateMode="Always">
            <o:LinkType>EnhancedMetaFile</o:LinkType>
            <o:LockedField/>
          </o:OLEObject>
        </w:object>
      </w:r>
    </w:p>
    <w:p w:rsidR="000411DC" w:rsidRPr="0042020B" w:rsidRDefault="000411DC" w:rsidP="00337498">
      <w:pPr>
        <w:pStyle w:val="ChartandTableFootnoteAlpha"/>
        <w:numPr>
          <w:ilvl w:val="0"/>
          <w:numId w:val="23"/>
        </w:numPr>
        <w:rPr>
          <w:color w:val="auto"/>
        </w:rPr>
      </w:pPr>
      <w:r w:rsidRPr="0042020B">
        <w:rPr>
          <w:color w:val="auto"/>
        </w:rPr>
        <w:t>‘Other alcoholic beverages’ are those not exceeding 10</w:t>
      </w:r>
      <w:r w:rsidR="00AE7AF3" w:rsidRPr="0042020B">
        <w:rPr>
          <w:color w:val="auto"/>
        </w:rPr>
        <w:t> per cent</w:t>
      </w:r>
      <w:r w:rsidRPr="0042020B">
        <w:rPr>
          <w:color w:val="auto"/>
        </w:rPr>
        <w:t xml:space="preserve"> by volume of alcohol (excluding beer, brandy and wine).</w:t>
      </w:r>
    </w:p>
    <w:p w:rsidR="00212EA4" w:rsidRPr="0042020B" w:rsidRDefault="00212EA4" w:rsidP="00337498">
      <w:pPr>
        <w:pStyle w:val="ChartandTableFootnoteAlpha"/>
        <w:numPr>
          <w:ilvl w:val="0"/>
          <w:numId w:val="23"/>
        </w:numPr>
        <w:rPr>
          <w:color w:val="auto"/>
        </w:rPr>
      </w:pPr>
      <w:r w:rsidRPr="0042020B">
        <w:t>In the 2016</w:t>
      </w:r>
      <w:r w:rsidR="00FB4A10" w:rsidRPr="0042020B">
        <w:noBreakHyphen/>
      </w:r>
      <w:r w:rsidRPr="0042020B">
        <w:t>17 FBO, the majority of corporations law fees were reclassified from non</w:t>
      </w:r>
      <w:r w:rsidR="00FB4A10" w:rsidRPr="0042020B">
        <w:noBreakHyphen/>
      </w:r>
      <w:r w:rsidRPr="0042020B">
        <w:t>taxation revenue to taxation revenue and financial institutions supervisory levies were reclassified from taxation revenue to non</w:t>
      </w:r>
      <w:r w:rsidR="00FB4A10" w:rsidRPr="0042020B">
        <w:noBreakHyphen/>
      </w:r>
      <w:r w:rsidRPr="0042020B">
        <w:t>taxation revenue.</w:t>
      </w:r>
    </w:p>
    <w:p w:rsidR="000411DC" w:rsidRPr="0042020B" w:rsidRDefault="000411DC" w:rsidP="00337498">
      <w:pPr>
        <w:pStyle w:val="ChartandTableFootnoteAlpha"/>
        <w:numPr>
          <w:ilvl w:val="0"/>
          <w:numId w:val="23"/>
        </w:numPr>
        <w:rPr>
          <w:color w:val="auto"/>
        </w:rPr>
      </w:pPr>
      <w:r w:rsidRPr="0042020B">
        <w:rPr>
          <w:color w:val="auto"/>
        </w:rPr>
        <w:t xml:space="preserve">‘Capital gains tax’ is part of gross other individuals, company tax and superannuation fund taxes. </w:t>
      </w:r>
    </w:p>
    <w:p w:rsidR="006F1AC1" w:rsidRPr="0042020B" w:rsidRDefault="006F1AC1" w:rsidP="00B871FA">
      <w:pPr>
        <w:pStyle w:val="TableHeading"/>
      </w:pPr>
      <w:r w:rsidRPr="0042020B">
        <w:t>Table 3.1</w:t>
      </w:r>
      <w:r w:rsidR="00497398" w:rsidRPr="0042020B">
        <w:t>4</w:t>
      </w:r>
      <w:r w:rsidRPr="0042020B">
        <w:t>: Australian Government general government sector (accrual) revenue</w:t>
      </w:r>
    </w:p>
    <w:p w:rsidR="006F1AC1" w:rsidRPr="0042020B" w:rsidRDefault="00E20E49" w:rsidP="006F1AC1">
      <w:pPr>
        <w:pStyle w:val="TableGraphic"/>
      </w:pPr>
      <w:r w:rsidRPr="0042020B">
        <w:object w:dxaOrig="7732" w:dyaOrig="9393">
          <v:shape id="_x0000_i1043" type="#_x0000_t75" style="width:386.3pt;height:469.55pt" o:ole="">
            <v:imagedata r:id="rId45" o:title=""/>
          </v:shape>
          <o:OLEObject Type="Link" ProgID="Excel.SheetMacroEnabled.12" ShapeID="_x0000_i1043" DrawAspect="Content" r:id="rId46" UpdateMode="Always">
            <o:LinkType>EnhancedMetaFile</o:LinkType>
            <o:LockedField/>
          </o:OLEObject>
        </w:object>
      </w:r>
    </w:p>
    <w:p w:rsidR="006F1AC1" w:rsidRPr="0042020B" w:rsidRDefault="006F1AC1" w:rsidP="006F1AC1">
      <w:pPr>
        <w:pStyle w:val="ChartandTableFootnoteAlpha"/>
        <w:numPr>
          <w:ilvl w:val="0"/>
          <w:numId w:val="24"/>
        </w:numPr>
        <w:rPr>
          <w:color w:val="auto"/>
        </w:rPr>
      </w:pPr>
      <w:r w:rsidRPr="0042020B">
        <w:rPr>
          <w:color w:val="auto"/>
        </w:rPr>
        <w:t>This item includes a small amount of MRRT revenue relating to a pre</w:t>
      </w:r>
      <w:r w:rsidR="00FB4A10" w:rsidRPr="0042020B">
        <w:rPr>
          <w:color w:val="auto"/>
        </w:rPr>
        <w:noBreakHyphen/>
      </w:r>
      <w:r w:rsidRPr="0042020B">
        <w:rPr>
          <w:color w:val="auto"/>
        </w:rPr>
        <w:t>2013</w:t>
      </w:r>
      <w:r w:rsidR="00FB4A10" w:rsidRPr="0042020B">
        <w:rPr>
          <w:color w:val="auto"/>
        </w:rPr>
        <w:noBreakHyphen/>
      </w:r>
      <w:r w:rsidRPr="0042020B">
        <w:rPr>
          <w:color w:val="auto"/>
        </w:rPr>
        <w:t>14 income year which cannot be separately disclosed owing to taxpayer confidentiality.</w:t>
      </w:r>
    </w:p>
    <w:p w:rsidR="006F1AC1" w:rsidRPr="0042020B" w:rsidRDefault="006F1AC1" w:rsidP="006F1AC1">
      <w:pPr>
        <w:pStyle w:val="ChartandTableFootnoteAlpha"/>
        <w:numPr>
          <w:ilvl w:val="0"/>
          <w:numId w:val="16"/>
        </w:numPr>
        <w:rPr>
          <w:color w:val="auto"/>
        </w:rPr>
      </w:pPr>
      <w:r w:rsidRPr="0042020B">
        <w:rPr>
          <w:color w:val="auto"/>
        </w:rPr>
        <w:t>‘Other alcoholic beverages’ are those not exceeding 10 per cent by volume of alcohol (excluding beer, brandy and wine).</w:t>
      </w:r>
    </w:p>
    <w:p w:rsidR="006F1AC1" w:rsidRPr="0042020B" w:rsidRDefault="006F1AC1" w:rsidP="006F1AC1">
      <w:pPr>
        <w:pStyle w:val="ChartandTableFootnoteAlpha"/>
        <w:numPr>
          <w:ilvl w:val="0"/>
          <w:numId w:val="16"/>
        </w:numPr>
      </w:pPr>
      <w:r w:rsidRPr="0042020B">
        <w:t xml:space="preserve">In the </w:t>
      </w:r>
      <w:r w:rsidRPr="0042020B">
        <w:rPr>
          <w:color w:val="auto"/>
        </w:rPr>
        <w:t>2016</w:t>
      </w:r>
      <w:r w:rsidR="00FB4A10" w:rsidRPr="0042020B">
        <w:noBreakHyphen/>
      </w:r>
      <w:r w:rsidRPr="0042020B">
        <w:t>17 FBO, the majority of corporations law fees were reclassified from non</w:t>
      </w:r>
      <w:r w:rsidR="00FB4A10" w:rsidRPr="0042020B">
        <w:noBreakHyphen/>
      </w:r>
      <w:r w:rsidRPr="0042020B">
        <w:t>taxation revenue to taxation revenue and financial institutions supervisory levies were reclassified from taxation revenue to non</w:t>
      </w:r>
      <w:r w:rsidR="00FB4A10" w:rsidRPr="0042020B">
        <w:noBreakHyphen/>
      </w:r>
      <w:r w:rsidRPr="0042020B">
        <w:t>taxation revenue.</w:t>
      </w:r>
    </w:p>
    <w:p w:rsidR="0033509F" w:rsidRPr="0042020B" w:rsidRDefault="006F1AC1" w:rsidP="006F1AC1">
      <w:pPr>
        <w:pStyle w:val="ChartandTableFootnoteAlpha"/>
        <w:numPr>
          <w:ilvl w:val="0"/>
          <w:numId w:val="16"/>
        </w:numPr>
      </w:pPr>
      <w:r w:rsidRPr="0042020B">
        <w:rPr>
          <w:color w:val="auto"/>
        </w:rPr>
        <w:t>‘Capital gains tax’ is part of gross other individuals, company tax and superannuation fund taxes. The 2016</w:t>
      </w:r>
      <w:r w:rsidR="00FB4A10" w:rsidRPr="0042020B">
        <w:rPr>
          <w:color w:val="auto"/>
        </w:rPr>
        <w:noBreakHyphen/>
      </w:r>
      <w:r w:rsidRPr="0042020B">
        <w:rPr>
          <w:color w:val="auto"/>
        </w:rPr>
        <w:t>17 reported figure is an estimate.</w:t>
      </w:r>
      <w:r w:rsidR="00807458" w:rsidRPr="0042020B">
        <w:rPr>
          <w:color w:val="auto"/>
        </w:rPr>
        <w:t xml:space="preserve"> </w:t>
      </w:r>
      <w:r w:rsidR="00807458" w:rsidRPr="0042020B">
        <w:rPr>
          <w:color w:val="auto"/>
        </w:rPr>
        <w:fldChar w:fldCharType="begin"/>
      </w:r>
      <w:r w:rsidR="00807458" w:rsidRPr="0042020B">
        <w:rPr>
          <w:color w:val="auto"/>
        </w:rPr>
        <w:instrText xml:space="preserve"> :End:FARM_PG1 </w:instrText>
      </w:r>
      <w:r w:rsidR="00807458" w:rsidRPr="0042020B">
        <w:rPr>
          <w:color w:val="auto"/>
        </w:rPr>
        <w:fldChar w:fldCharType="end"/>
      </w:r>
    </w:p>
    <w:p w:rsidR="000411DC" w:rsidRPr="0042020B" w:rsidRDefault="006F1AC1" w:rsidP="0033509F">
      <w:pPr>
        <w:pStyle w:val="Heading3"/>
      </w:pPr>
      <w:r w:rsidRPr="0042020B">
        <w:br w:type="page"/>
      </w:r>
      <w:bookmarkStart w:id="43" w:name="_Toc434412594"/>
      <w:bookmarkStart w:id="44" w:name="_Toc434412652"/>
      <w:bookmarkStart w:id="45" w:name="_Toc436316569"/>
      <w:r w:rsidR="00327FDB" w:rsidRPr="0042020B">
        <w:fldChar w:fldCharType="begin"/>
      </w:r>
      <w:r w:rsidR="00327FDB" w:rsidRPr="0042020B">
        <w:instrText xml:space="preserve"> :Start:BAB_DD1 </w:instrText>
      </w:r>
      <w:r w:rsidR="00327FDB" w:rsidRPr="0042020B">
        <w:fldChar w:fldCharType="end"/>
      </w:r>
      <w:r w:rsidR="000411DC" w:rsidRPr="0042020B">
        <w:t>Expense estimates</w:t>
      </w:r>
      <w:bookmarkEnd w:id="43"/>
      <w:bookmarkEnd w:id="44"/>
      <w:bookmarkEnd w:id="45"/>
    </w:p>
    <w:p w:rsidR="000411DC" w:rsidRPr="0042020B" w:rsidRDefault="000411DC" w:rsidP="000411DC">
      <w:pPr>
        <w:rPr>
          <w:szCs w:val="20"/>
          <w:lang w:eastAsia="en-AU"/>
        </w:rPr>
      </w:pPr>
      <w:r w:rsidRPr="0042020B">
        <w:rPr>
          <w:szCs w:val="20"/>
          <w:lang w:eastAsia="en-AU"/>
        </w:rPr>
        <w:t>Movements in accrual expenses over the forward estimates are broadly similar to the movements in cash payments. The key exceptions include:</w:t>
      </w:r>
    </w:p>
    <w:p w:rsidR="000536B5" w:rsidRPr="0042020B" w:rsidRDefault="000536B5" w:rsidP="00337498">
      <w:pPr>
        <w:pStyle w:val="Bullet"/>
        <w:numPr>
          <w:ilvl w:val="0"/>
          <w:numId w:val="26"/>
        </w:numPr>
        <w:rPr>
          <w:rFonts w:ascii="Calibri" w:hAnsi="Calibri"/>
        </w:rPr>
      </w:pPr>
      <w:r w:rsidRPr="0042020B">
        <w:t>superannuation benefits, where there is a timing difference with the expense accruing during employment and cash payments occurring during retirement;</w:t>
      </w:r>
      <w:r w:rsidR="00105B48" w:rsidRPr="0042020B">
        <w:t xml:space="preserve"> and</w:t>
      </w:r>
    </w:p>
    <w:p w:rsidR="000536B5" w:rsidRPr="0042020B" w:rsidRDefault="000536B5" w:rsidP="00337498">
      <w:pPr>
        <w:pStyle w:val="Bullet"/>
        <w:numPr>
          <w:ilvl w:val="0"/>
          <w:numId w:val="26"/>
        </w:numPr>
      </w:pPr>
      <w:r w:rsidRPr="0042020B">
        <w:t>purchases of non</w:t>
      </w:r>
      <w:r w:rsidR="00FB4A10" w:rsidRPr="0042020B">
        <w:noBreakHyphen/>
      </w:r>
      <w:r w:rsidRPr="0042020B">
        <w:t>financial assets, which are included in cash payments but not in accrual expenses. The expense estimates include depreciation of non</w:t>
      </w:r>
      <w:r w:rsidR="00FB4A10" w:rsidRPr="0042020B">
        <w:noBreakHyphen/>
      </w:r>
      <w:r w:rsidRPr="0042020B">
        <w:t xml:space="preserve">financial assets rather than recognising the impact at the time of purchase. </w:t>
      </w:r>
    </w:p>
    <w:p w:rsidR="000411DC" w:rsidRPr="0042020B" w:rsidRDefault="000411DC" w:rsidP="000411DC">
      <w:r w:rsidRPr="0042020B">
        <w:t xml:space="preserve">Estimates of Australian Government general government sector expenses by function can be found in Attachment </w:t>
      </w:r>
      <w:r w:rsidR="0098765A" w:rsidRPr="0042020B">
        <w:t>C to this part</w:t>
      </w:r>
      <w:r w:rsidRPr="0042020B">
        <w:t>.</w:t>
      </w:r>
    </w:p>
    <w:p w:rsidR="000411DC" w:rsidRPr="0042020B" w:rsidRDefault="000411DC" w:rsidP="000411DC">
      <w:r w:rsidRPr="0042020B">
        <w:t>Table 3.</w:t>
      </w:r>
      <w:r w:rsidR="003C1CB1" w:rsidRPr="0042020B">
        <w:t>1</w:t>
      </w:r>
      <w:r w:rsidR="00497398" w:rsidRPr="0042020B">
        <w:t>5</w:t>
      </w:r>
      <w:r w:rsidRPr="0042020B">
        <w:t xml:space="preserve"> provides a reconciliation of expense estimates.</w:t>
      </w:r>
      <w:r w:rsidR="00327FDB" w:rsidRPr="0042020B">
        <w:fldChar w:fldCharType="begin"/>
      </w:r>
      <w:r w:rsidR="00327FDB" w:rsidRPr="0042020B">
        <w:instrText xml:space="preserve"> :End:BAB_DD1 </w:instrText>
      </w:r>
      <w:r w:rsidR="00327FDB" w:rsidRPr="0042020B">
        <w:fldChar w:fldCharType="end"/>
      </w:r>
    </w:p>
    <w:p w:rsidR="000411DC" w:rsidRPr="0042020B" w:rsidRDefault="00894AFB" w:rsidP="00B871FA">
      <w:pPr>
        <w:pStyle w:val="TableHeading"/>
      </w:pPr>
      <w:r w:rsidRPr="0042020B">
        <w:fldChar w:fldCharType="begin"/>
      </w:r>
      <w:r w:rsidRPr="0042020B">
        <w:instrText xml:space="preserve"> :Start:FARM_PG1 </w:instrText>
      </w:r>
      <w:r w:rsidRPr="0042020B">
        <w:fldChar w:fldCharType="end"/>
      </w:r>
      <w:r w:rsidR="000411DC" w:rsidRPr="0042020B">
        <w:t>Table 3.</w:t>
      </w:r>
      <w:r w:rsidR="00D64F1A" w:rsidRPr="0042020B">
        <w:t>1</w:t>
      </w:r>
      <w:r w:rsidR="00497398" w:rsidRPr="0042020B">
        <w:t>5</w:t>
      </w:r>
      <w:r w:rsidR="000411DC" w:rsidRPr="0042020B">
        <w:t xml:space="preserve"> Reconciliation of general government sector expense estimates</w:t>
      </w:r>
    </w:p>
    <w:p w:rsidR="000411DC" w:rsidRPr="0042020B" w:rsidRDefault="00671260" w:rsidP="005618FD">
      <w:pPr>
        <w:pStyle w:val="TableGraphic"/>
      </w:pPr>
      <w:r w:rsidRPr="0042020B">
        <w:object w:dxaOrig="7710" w:dyaOrig="3757">
          <v:shape id="_x0000_i1044" type="#_x0000_t75" style="width:385.65pt;height:187.85pt" o:ole="">
            <v:imagedata r:id="rId47" o:title=""/>
          </v:shape>
          <o:OLEObject Type="Link" ProgID="Excel.SheetMacroEnabled.12" ShapeID="_x0000_i1044" DrawAspect="Content" r:id="rId48" UpdateMode="Always">
            <o:LinkType>EnhancedMetaFile</o:LinkType>
            <o:LockedField/>
          </o:OLEObject>
        </w:object>
      </w:r>
    </w:p>
    <w:p w:rsidR="000411DC" w:rsidRPr="0042020B" w:rsidRDefault="000411DC" w:rsidP="00337498">
      <w:pPr>
        <w:pStyle w:val="ChartandTableFootnoteAlpha"/>
        <w:keepNext/>
        <w:numPr>
          <w:ilvl w:val="0"/>
          <w:numId w:val="13"/>
        </w:numPr>
        <w:rPr>
          <w:color w:val="auto"/>
        </w:rPr>
      </w:pPr>
      <w:r w:rsidRPr="0042020B">
        <w:rPr>
          <w:color w:val="auto"/>
        </w:rPr>
        <w:t>Excludes secondary impacts on public debt interest of policy decisions and offsets from the Contingency Reserve for decisions taken.</w:t>
      </w:r>
      <w:r w:rsidR="00894AFB" w:rsidRPr="0042020B">
        <w:rPr>
          <w:color w:val="auto"/>
        </w:rPr>
        <w:fldChar w:fldCharType="begin"/>
      </w:r>
      <w:r w:rsidR="00894AFB" w:rsidRPr="0042020B">
        <w:rPr>
          <w:color w:val="auto"/>
        </w:rPr>
        <w:instrText xml:space="preserve"> :End:FARM_PG1 </w:instrText>
      </w:r>
      <w:r w:rsidR="00894AFB" w:rsidRPr="0042020B">
        <w:rPr>
          <w:color w:val="auto"/>
        </w:rPr>
        <w:fldChar w:fldCharType="end"/>
      </w:r>
    </w:p>
    <w:p w:rsidR="000411DC" w:rsidRPr="0042020B" w:rsidRDefault="000411DC" w:rsidP="000411DC">
      <w:pPr>
        <w:pStyle w:val="SingleParagraph"/>
      </w:pPr>
    </w:p>
    <w:p w:rsidR="000536B5" w:rsidRPr="0042020B" w:rsidRDefault="0033509F" w:rsidP="006C143C">
      <w:pPr>
        <w:pStyle w:val="Heading3"/>
      </w:pPr>
      <w:r w:rsidRPr="0042020B">
        <w:br w:type="page"/>
      </w:r>
      <w:r w:rsidR="00926393" w:rsidRPr="0042020B">
        <w:fldChar w:fldCharType="begin"/>
      </w:r>
      <w:r w:rsidR="00926393" w:rsidRPr="0042020B">
        <w:instrText xml:space="preserve"> :Start:BPD_JR1 </w:instrText>
      </w:r>
      <w:r w:rsidR="00926393" w:rsidRPr="0042020B">
        <w:fldChar w:fldCharType="end"/>
      </w:r>
      <w:r w:rsidR="000536B5" w:rsidRPr="0042020B">
        <w:t>Net capital investment estimates</w:t>
      </w:r>
    </w:p>
    <w:p w:rsidR="000411DC" w:rsidRPr="0042020B" w:rsidRDefault="000411DC" w:rsidP="000411DC">
      <w:r w:rsidRPr="0042020B">
        <w:t>Table 3.</w:t>
      </w:r>
      <w:r w:rsidR="003C1CB1" w:rsidRPr="0042020B">
        <w:t>1</w:t>
      </w:r>
      <w:r w:rsidR="00497398" w:rsidRPr="0042020B">
        <w:t>6</w:t>
      </w:r>
      <w:r w:rsidR="00D64F1A" w:rsidRPr="0042020B">
        <w:t xml:space="preserve"> </w:t>
      </w:r>
      <w:r w:rsidRPr="0042020B">
        <w:t>provides a reconciliation of the net capital investment estimates.</w:t>
      </w:r>
      <w:r w:rsidR="00926393" w:rsidRPr="0042020B">
        <w:fldChar w:fldCharType="begin"/>
      </w:r>
      <w:r w:rsidR="00926393" w:rsidRPr="0042020B">
        <w:instrText xml:space="preserve"> :End:BPD_JR1 </w:instrText>
      </w:r>
      <w:r w:rsidR="00926393" w:rsidRPr="0042020B">
        <w:fldChar w:fldCharType="end"/>
      </w:r>
    </w:p>
    <w:p w:rsidR="000411DC" w:rsidRPr="0042020B" w:rsidRDefault="00894AFB" w:rsidP="00B871FA">
      <w:pPr>
        <w:pStyle w:val="TableHeading"/>
      </w:pPr>
      <w:r w:rsidRPr="0042020B">
        <w:fldChar w:fldCharType="begin"/>
      </w:r>
      <w:r w:rsidRPr="0042020B">
        <w:instrText xml:space="preserve"> :Start:FARM_PG1 </w:instrText>
      </w:r>
      <w:r w:rsidRPr="0042020B">
        <w:fldChar w:fldCharType="end"/>
      </w:r>
      <w:r w:rsidR="000411DC" w:rsidRPr="0042020B">
        <w:t>Table 3.</w:t>
      </w:r>
      <w:r w:rsidR="00D316A5" w:rsidRPr="0042020B">
        <w:t>1</w:t>
      </w:r>
      <w:r w:rsidR="00497398" w:rsidRPr="0042020B">
        <w:t>6</w:t>
      </w:r>
      <w:r w:rsidR="000411DC" w:rsidRPr="0042020B">
        <w:t>: Reconciliation of general government sector net capital investment estimates</w:t>
      </w:r>
    </w:p>
    <w:p w:rsidR="000411DC" w:rsidRPr="0042020B" w:rsidRDefault="00671260" w:rsidP="005618FD">
      <w:pPr>
        <w:pStyle w:val="TableGraphic"/>
      </w:pPr>
      <w:r w:rsidRPr="0042020B">
        <w:object w:dxaOrig="7710" w:dyaOrig="2375">
          <v:shape id="_x0000_i1045" type="#_x0000_t75" style="width:385.65pt;height:118.95pt" o:ole="">
            <v:imagedata r:id="rId49" o:title=""/>
          </v:shape>
          <o:OLEObject Type="Link" ProgID="Excel.SheetMacroEnabled.12" ShapeID="_x0000_i1045" DrawAspect="Content" r:id="rId50" UpdateMode="Always">
            <o:LinkType>EnhancedMetaFile</o:LinkType>
            <o:LockedField/>
          </o:OLEObject>
        </w:object>
      </w:r>
    </w:p>
    <w:p w:rsidR="000411DC" w:rsidRPr="0042020B" w:rsidRDefault="000411DC" w:rsidP="00337498">
      <w:pPr>
        <w:pStyle w:val="ChartandTableFootnoteAlpha"/>
        <w:keepNext/>
        <w:numPr>
          <w:ilvl w:val="0"/>
          <w:numId w:val="12"/>
        </w:numPr>
        <w:rPr>
          <w:color w:val="auto"/>
        </w:rPr>
      </w:pPr>
      <w:r w:rsidRPr="0042020B">
        <w:rPr>
          <w:color w:val="auto"/>
        </w:rPr>
        <w:t xml:space="preserve">Excludes secondary impacts on public debt interest of policy decisions and offsets from the Contingency Reserve for decisions taken. </w:t>
      </w:r>
      <w:r w:rsidR="00894AFB" w:rsidRPr="0042020B">
        <w:rPr>
          <w:color w:val="auto"/>
        </w:rPr>
        <w:fldChar w:fldCharType="begin"/>
      </w:r>
      <w:r w:rsidR="00894AFB" w:rsidRPr="0042020B">
        <w:rPr>
          <w:color w:val="auto"/>
        </w:rPr>
        <w:instrText xml:space="preserve"> :End:FARM_PG1 </w:instrText>
      </w:r>
      <w:r w:rsidR="00894AFB" w:rsidRPr="0042020B">
        <w:rPr>
          <w:color w:val="auto"/>
        </w:rPr>
        <w:fldChar w:fldCharType="end"/>
      </w:r>
    </w:p>
    <w:p w:rsidR="000411DC" w:rsidRPr="0042020B" w:rsidRDefault="000411DC" w:rsidP="00FE4EAE">
      <w:pPr>
        <w:pStyle w:val="SingleParagraph"/>
      </w:pPr>
    </w:p>
    <w:bookmarkStart w:id="46" w:name="_Toc434412595"/>
    <w:bookmarkStart w:id="47" w:name="_Toc434412653"/>
    <w:bookmarkStart w:id="48" w:name="_Toc436316570"/>
    <w:p w:rsidR="000411DC" w:rsidRPr="0042020B" w:rsidRDefault="00A93432" w:rsidP="000411DC">
      <w:pPr>
        <w:pStyle w:val="Heading3"/>
      </w:pPr>
      <w:r w:rsidRPr="0042020B">
        <w:fldChar w:fldCharType="begin"/>
      </w:r>
      <w:r w:rsidRPr="0042020B">
        <w:instrText xml:space="preserve"> :Start:BPD_JR5 </w:instrText>
      </w:r>
      <w:r w:rsidRPr="0042020B">
        <w:fldChar w:fldCharType="end"/>
      </w:r>
      <w:r w:rsidR="000411DC" w:rsidRPr="0042020B">
        <w:t>Headline cash balance</w:t>
      </w:r>
      <w:bookmarkEnd w:id="46"/>
      <w:bookmarkEnd w:id="47"/>
      <w:bookmarkEnd w:id="48"/>
    </w:p>
    <w:p w:rsidR="000411DC" w:rsidRPr="0042020B" w:rsidRDefault="000411DC" w:rsidP="000411DC">
      <w:r w:rsidRPr="0042020B">
        <w:t>The headline cash balance consists of the underlying cash balance, net cash flows from investments in financial assets for policy purposes (for example, the equity funding of NBN Co) and net Future Fund earnings.</w:t>
      </w:r>
      <w:r w:rsidR="000536B5" w:rsidRPr="0042020B">
        <w:t xml:space="preserve"> </w:t>
      </w:r>
      <w:r w:rsidRPr="0042020B">
        <w:t>Table</w:t>
      </w:r>
      <w:r w:rsidR="003602A0" w:rsidRPr="0042020B">
        <w:t> </w:t>
      </w:r>
      <w:r w:rsidRPr="0042020B">
        <w:t>3.</w:t>
      </w:r>
      <w:r w:rsidR="003C1CB1" w:rsidRPr="0042020B">
        <w:t>1</w:t>
      </w:r>
      <w:r w:rsidR="00497398" w:rsidRPr="0042020B">
        <w:t>7</w:t>
      </w:r>
      <w:r w:rsidRPr="0042020B">
        <w:t xml:space="preserve"> provides further detail between the underlying and headline cash balance estimates of the Australian Government general government sector.</w:t>
      </w:r>
    </w:p>
    <w:p w:rsidR="000536B5" w:rsidRPr="0042020B" w:rsidRDefault="000536B5" w:rsidP="000536B5">
      <w:pPr>
        <w:rPr>
          <w:lang w:eastAsia="en-AU"/>
        </w:rPr>
      </w:pPr>
      <w:r w:rsidRPr="0042020B">
        <w:rPr>
          <w:lang w:eastAsia="en-AU"/>
        </w:rPr>
        <w:t>The headline cash balance for 2017</w:t>
      </w:r>
      <w:r w:rsidR="00FB4A10" w:rsidRPr="0042020B">
        <w:rPr>
          <w:lang w:eastAsia="en-AU"/>
        </w:rPr>
        <w:noBreakHyphen/>
      </w:r>
      <w:r w:rsidRPr="0042020B">
        <w:rPr>
          <w:lang w:eastAsia="en-AU"/>
        </w:rPr>
        <w:t xml:space="preserve">18 is estimated to be a deficit of </w:t>
      </w:r>
      <w:r w:rsidR="00A93432" w:rsidRPr="0042020B">
        <w:rPr>
          <w:lang w:eastAsia="en-AU"/>
        </w:rPr>
        <w:t>$</w:t>
      </w:r>
      <w:r w:rsidR="002E30A0" w:rsidRPr="0042020B">
        <w:rPr>
          <w:lang w:eastAsia="en-AU"/>
        </w:rPr>
        <w:t>39.6</w:t>
      </w:r>
      <w:r w:rsidR="00AB7DEB" w:rsidRPr="0042020B">
        <w:rPr>
          <w:lang w:eastAsia="en-AU"/>
        </w:rPr>
        <w:t> billion</w:t>
      </w:r>
      <w:r w:rsidR="00FD140B" w:rsidRPr="0042020B">
        <w:rPr>
          <w:lang w:eastAsia="en-AU"/>
        </w:rPr>
        <w:t>, compared with a deficit of $48</w:t>
      </w:r>
      <w:r w:rsidRPr="0042020B">
        <w:rPr>
          <w:lang w:eastAsia="en-AU"/>
        </w:rPr>
        <w:t>.</w:t>
      </w:r>
      <w:r w:rsidR="00FD140B" w:rsidRPr="0042020B">
        <w:rPr>
          <w:lang w:eastAsia="en-AU"/>
        </w:rPr>
        <w:t>4</w:t>
      </w:r>
      <w:r w:rsidR="00AB7DEB" w:rsidRPr="0042020B">
        <w:rPr>
          <w:lang w:eastAsia="en-AU"/>
        </w:rPr>
        <w:t> billion</w:t>
      </w:r>
      <w:r w:rsidRPr="0042020B">
        <w:rPr>
          <w:lang w:eastAsia="en-AU"/>
        </w:rPr>
        <w:t xml:space="preserve"> at the </w:t>
      </w:r>
      <w:r w:rsidR="000F5D7C" w:rsidRPr="0042020B">
        <w:rPr>
          <w:lang w:eastAsia="en-AU"/>
        </w:rPr>
        <w:t>2017</w:t>
      </w:r>
      <w:r w:rsidR="000F5D7C" w:rsidRPr="0042020B">
        <w:rPr>
          <w:lang w:eastAsia="en-AU"/>
        </w:rPr>
        <w:noBreakHyphen/>
        <w:t>18 Budget</w:t>
      </w:r>
      <w:r w:rsidRPr="0042020B">
        <w:rPr>
          <w:lang w:eastAsia="en-AU"/>
        </w:rPr>
        <w:t xml:space="preserve">. </w:t>
      </w:r>
      <w:r w:rsidR="00B9755B" w:rsidRPr="0042020B">
        <w:rPr>
          <w:lang w:eastAsia="en-AU"/>
        </w:rPr>
        <w:t>The headline cash balance is projected to improve to a surplus of $</w:t>
      </w:r>
      <w:r w:rsidR="002E30A0" w:rsidRPr="0042020B">
        <w:rPr>
          <w:lang w:eastAsia="en-AU"/>
        </w:rPr>
        <w:t>17.4</w:t>
      </w:r>
      <w:r w:rsidR="00B9755B" w:rsidRPr="0042020B">
        <w:rPr>
          <w:lang w:eastAsia="en-AU"/>
        </w:rPr>
        <w:t> billion in 2020</w:t>
      </w:r>
      <w:r w:rsidR="00FB4A10" w:rsidRPr="0042020B">
        <w:rPr>
          <w:lang w:eastAsia="en-AU"/>
        </w:rPr>
        <w:noBreakHyphen/>
      </w:r>
      <w:r w:rsidR="00B9755B" w:rsidRPr="0042020B">
        <w:rPr>
          <w:lang w:eastAsia="en-AU"/>
        </w:rPr>
        <w:t xml:space="preserve">21, compared with $11.7 billion at the </w:t>
      </w:r>
      <w:r w:rsidR="000F5D7C" w:rsidRPr="0042020B">
        <w:rPr>
          <w:lang w:eastAsia="en-AU"/>
        </w:rPr>
        <w:t>2017</w:t>
      </w:r>
      <w:r w:rsidR="000F5D7C" w:rsidRPr="0042020B">
        <w:rPr>
          <w:lang w:eastAsia="en-AU"/>
        </w:rPr>
        <w:noBreakHyphen/>
        <w:t>18 Budget</w:t>
      </w:r>
      <w:r w:rsidR="00B9755B" w:rsidRPr="0042020B">
        <w:rPr>
          <w:lang w:eastAsia="en-AU"/>
        </w:rPr>
        <w:t xml:space="preserve">. </w:t>
      </w:r>
      <w:r w:rsidR="00A93432" w:rsidRPr="0042020B">
        <w:rPr>
          <w:lang w:eastAsia="en-AU"/>
        </w:rPr>
        <w:t xml:space="preserve">The improvement in the headline cash balance since </w:t>
      </w:r>
      <w:r w:rsidR="009256F5" w:rsidRPr="0042020B">
        <w:rPr>
          <w:lang w:eastAsia="en-AU"/>
        </w:rPr>
        <w:t xml:space="preserve">the </w:t>
      </w:r>
      <w:r w:rsidR="000F5D7C" w:rsidRPr="0042020B">
        <w:rPr>
          <w:lang w:eastAsia="en-AU"/>
        </w:rPr>
        <w:t>2017</w:t>
      </w:r>
      <w:r w:rsidR="000F5D7C" w:rsidRPr="0042020B">
        <w:rPr>
          <w:lang w:eastAsia="en-AU"/>
        </w:rPr>
        <w:noBreakHyphen/>
        <w:t>18 Budget</w:t>
      </w:r>
      <w:r w:rsidR="00A93432" w:rsidRPr="0042020B">
        <w:rPr>
          <w:lang w:eastAsia="en-AU"/>
        </w:rPr>
        <w:t xml:space="preserve"> has been primarily driven by </w:t>
      </w:r>
      <w:r w:rsidR="009A759A" w:rsidRPr="0042020B">
        <w:t>the improvement in the underlying cash balance and a lower estimate of the number of students accessing income contingent loans.</w:t>
      </w:r>
      <w:r w:rsidR="00A93432" w:rsidRPr="0042020B">
        <w:rPr>
          <w:lang w:eastAsia="en-AU"/>
        </w:rPr>
        <w:fldChar w:fldCharType="begin"/>
      </w:r>
      <w:r w:rsidR="00A93432" w:rsidRPr="0042020B">
        <w:rPr>
          <w:lang w:eastAsia="en-AU"/>
        </w:rPr>
        <w:instrText xml:space="preserve"> :End:BPD_JR5 </w:instrText>
      </w:r>
      <w:r w:rsidR="00A93432" w:rsidRPr="0042020B">
        <w:rPr>
          <w:lang w:eastAsia="en-AU"/>
        </w:rPr>
        <w:fldChar w:fldCharType="end"/>
      </w:r>
    </w:p>
    <w:p w:rsidR="000411DC" w:rsidRPr="0042020B" w:rsidRDefault="00894AFB" w:rsidP="00B871FA">
      <w:pPr>
        <w:pStyle w:val="TableHeading"/>
      </w:pPr>
      <w:r w:rsidRPr="0042020B">
        <w:fldChar w:fldCharType="begin"/>
      </w:r>
      <w:r w:rsidRPr="0042020B">
        <w:instrText xml:space="preserve"> :Start:FARM_PG1 </w:instrText>
      </w:r>
      <w:r w:rsidRPr="0042020B">
        <w:fldChar w:fldCharType="end"/>
      </w:r>
      <w:r w:rsidR="000411DC" w:rsidRPr="0042020B">
        <w:t>Table 3.</w:t>
      </w:r>
      <w:r w:rsidR="00D316A5" w:rsidRPr="0042020B">
        <w:t>1</w:t>
      </w:r>
      <w:r w:rsidR="00497398" w:rsidRPr="0042020B">
        <w:t>7</w:t>
      </w:r>
      <w:r w:rsidR="000411DC" w:rsidRPr="0042020B">
        <w:t>: Reconciliation of general government sector underlying and headline cash balance estimates</w:t>
      </w:r>
    </w:p>
    <w:p w:rsidR="000411DC" w:rsidRPr="0042020B" w:rsidRDefault="00E20E49" w:rsidP="00F353B8">
      <w:pPr>
        <w:pStyle w:val="TableGraphic"/>
      </w:pPr>
      <w:r w:rsidRPr="0042020B">
        <w:object w:dxaOrig="7722" w:dyaOrig="4995">
          <v:shape id="_x0000_i1046" type="#_x0000_t75" style="width:386.3pt;height:249.8pt" o:ole="">
            <v:imagedata r:id="rId51" o:title=""/>
          </v:shape>
          <o:OLEObject Type="Link" ProgID="Excel.SheetMacroEnabled.12" ShapeID="_x0000_i1046" DrawAspect="Content" r:id="rId52" UpdateMode="Always">
            <o:LinkType>EnhancedMetaFile</o:LinkType>
            <o:LockedField/>
          </o:OLEObject>
        </w:object>
      </w:r>
    </w:p>
    <w:p w:rsidR="000411DC" w:rsidRPr="0042020B" w:rsidRDefault="000411DC" w:rsidP="00337498">
      <w:pPr>
        <w:pStyle w:val="ChartandTableFootnoteAlpha"/>
        <w:keepNext/>
        <w:numPr>
          <w:ilvl w:val="0"/>
          <w:numId w:val="11"/>
        </w:numPr>
        <w:rPr>
          <w:color w:val="auto"/>
        </w:rPr>
      </w:pPr>
      <w:r w:rsidRPr="0042020B">
        <w:rPr>
          <w:color w:val="auto"/>
        </w:rPr>
        <w:t>Excludes expected net Future Fund earnings</w:t>
      </w:r>
      <w:r w:rsidR="00104BB0" w:rsidRPr="0042020B">
        <w:rPr>
          <w:color w:val="auto"/>
        </w:rPr>
        <w:t xml:space="preserve"> before 2020</w:t>
      </w:r>
      <w:r w:rsidR="00FB4A10" w:rsidRPr="0042020B">
        <w:rPr>
          <w:color w:val="auto"/>
        </w:rPr>
        <w:noBreakHyphen/>
      </w:r>
      <w:r w:rsidR="00104BB0" w:rsidRPr="0042020B">
        <w:rPr>
          <w:color w:val="auto"/>
        </w:rPr>
        <w:t>21</w:t>
      </w:r>
      <w:r w:rsidRPr="0042020B">
        <w:rPr>
          <w:color w:val="auto"/>
        </w:rPr>
        <w:t>.</w:t>
      </w:r>
    </w:p>
    <w:p w:rsidR="00EA5C36" w:rsidRPr="0042020B" w:rsidRDefault="00EA5C36" w:rsidP="00EA5C36">
      <w:pPr>
        <w:pStyle w:val="ChartandTableFootnoteAlpha"/>
        <w:keepNext/>
        <w:numPr>
          <w:ilvl w:val="0"/>
          <w:numId w:val="11"/>
        </w:numPr>
      </w:pPr>
      <w:r w:rsidRPr="0042020B">
        <w:rPr>
          <w:color w:val="auto"/>
        </w:rPr>
        <w:t>Net</w:t>
      </w:r>
      <w:r w:rsidRPr="0042020B">
        <w:t xml:space="preserve"> other includes proposed equity payments for infrastructure projects. The amounts have not been itemised for commercial</w:t>
      </w:r>
      <w:r w:rsidR="00FB4A10" w:rsidRPr="0042020B">
        <w:noBreakHyphen/>
      </w:r>
      <w:r w:rsidRPr="0042020B">
        <w:t>in</w:t>
      </w:r>
      <w:r w:rsidR="00FB4A10" w:rsidRPr="0042020B">
        <w:noBreakHyphen/>
      </w:r>
      <w:r w:rsidRPr="0042020B">
        <w:t>confidence reasons.</w:t>
      </w:r>
    </w:p>
    <w:p w:rsidR="0054582F" w:rsidRPr="0042020B" w:rsidRDefault="0054582F" w:rsidP="00337498">
      <w:pPr>
        <w:pStyle w:val="ChartandTableFootnoteAlpha"/>
        <w:keepNext/>
        <w:numPr>
          <w:ilvl w:val="0"/>
          <w:numId w:val="11"/>
        </w:numPr>
        <w:rPr>
          <w:color w:val="auto"/>
        </w:rPr>
      </w:pPr>
      <w:r w:rsidRPr="0042020B">
        <w:rPr>
          <w:color w:val="auto"/>
        </w:rPr>
        <w:t>Under the</w:t>
      </w:r>
      <w:r w:rsidRPr="0042020B">
        <w:rPr>
          <w:i/>
          <w:color w:val="auto"/>
        </w:rPr>
        <w:t xml:space="preserve"> Future Fund Act 2006</w:t>
      </w:r>
      <w:r w:rsidRPr="0042020B">
        <w:rPr>
          <w:color w:val="auto"/>
        </w:rPr>
        <w:t>, net Future Fund earnings will be available to meet the Government superannuation liability in 2020</w:t>
      </w:r>
      <w:r w:rsidR="00FB4A10" w:rsidRPr="0042020B">
        <w:rPr>
          <w:color w:val="auto"/>
        </w:rPr>
        <w:noBreakHyphen/>
      </w:r>
      <w:r w:rsidRPr="0042020B">
        <w:rPr>
          <w:color w:val="auto"/>
        </w:rPr>
        <w:t xml:space="preserve">21. From this time, the underlying cash balance includes expected net Future Fund earnings. </w:t>
      </w:r>
      <w:r w:rsidR="00894AFB" w:rsidRPr="0042020B">
        <w:rPr>
          <w:color w:val="auto"/>
        </w:rPr>
        <w:fldChar w:fldCharType="begin"/>
      </w:r>
      <w:r w:rsidR="00894AFB" w:rsidRPr="0042020B">
        <w:rPr>
          <w:color w:val="auto"/>
        </w:rPr>
        <w:instrText xml:space="preserve"> :End:FARM_PG1 </w:instrText>
      </w:r>
      <w:r w:rsidR="00894AFB" w:rsidRPr="0042020B">
        <w:rPr>
          <w:color w:val="auto"/>
        </w:rPr>
        <w:fldChar w:fldCharType="end"/>
      </w:r>
    </w:p>
    <w:p w:rsidR="0054582F" w:rsidRPr="0042020B" w:rsidRDefault="0054582F" w:rsidP="00F95755">
      <w:pPr>
        <w:pStyle w:val="SingleParagraph"/>
        <w:rPr>
          <w:lang w:eastAsia="en-AU"/>
        </w:rPr>
      </w:pPr>
    </w:p>
    <w:p w:rsidR="00F95755" w:rsidRPr="0042020B" w:rsidRDefault="00807458" w:rsidP="00E73DE4">
      <w:pPr>
        <w:pStyle w:val="Heading3"/>
        <w:spacing w:before="0"/>
      </w:pPr>
      <w:r w:rsidRPr="0042020B">
        <w:br w:type="page"/>
      </w:r>
      <w:r w:rsidR="00926393" w:rsidRPr="0042020B">
        <w:fldChar w:fldCharType="begin"/>
      </w:r>
      <w:r w:rsidR="00926393" w:rsidRPr="0042020B">
        <w:instrText xml:space="preserve"> :Start:BPD_JR2 </w:instrText>
      </w:r>
      <w:r w:rsidR="00926393" w:rsidRPr="0042020B">
        <w:fldChar w:fldCharType="end"/>
      </w:r>
      <w:r w:rsidR="00F95755" w:rsidRPr="0042020B">
        <w:t>Recurrent and capital spending</w:t>
      </w:r>
    </w:p>
    <w:p w:rsidR="00F95755" w:rsidRPr="0042020B" w:rsidRDefault="00F95755" w:rsidP="00F95755">
      <w:r w:rsidRPr="0042020B">
        <w:t>Table 3.</w:t>
      </w:r>
      <w:r w:rsidR="00C71592" w:rsidRPr="0042020B">
        <w:t>1</w:t>
      </w:r>
      <w:r w:rsidR="00497398" w:rsidRPr="0042020B">
        <w:t>8</w:t>
      </w:r>
      <w:r w:rsidRPr="0042020B">
        <w:t xml:space="preserve"> outlines estimates of recurrent and capital spending as a proportion of total spending from 2017</w:t>
      </w:r>
      <w:r w:rsidR="00FB4A10" w:rsidRPr="0042020B">
        <w:noBreakHyphen/>
      </w:r>
      <w:r w:rsidRPr="0042020B">
        <w:t>18 to 2020</w:t>
      </w:r>
      <w:r w:rsidR="00FB4A10" w:rsidRPr="0042020B">
        <w:noBreakHyphen/>
      </w:r>
      <w:r w:rsidRPr="0042020B">
        <w:t>21.</w:t>
      </w:r>
    </w:p>
    <w:p w:rsidR="00F95755" w:rsidRPr="0042020B" w:rsidRDefault="00F95755" w:rsidP="00B871FA">
      <w:pPr>
        <w:pStyle w:val="TableHeading"/>
      </w:pPr>
      <w:r w:rsidRPr="0042020B">
        <w:t>Table 3.</w:t>
      </w:r>
      <w:r w:rsidR="00C71592" w:rsidRPr="0042020B">
        <w:t>1</w:t>
      </w:r>
      <w:r w:rsidR="00497398" w:rsidRPr="0042020B">
        <w:t>8</w:t>
      </w:r>
      <w:r w:rsidRPr="0042020B">
        <w:t>: Recurrent and capital spending as a proportion of total spending</w:t>
      </w:r>
    </w:p>
    <w:p w:rsidR="009B53BB" w:rsidRPr="0042020B" w:rsidRDefault="00E73DE4" w:rsidP="009B53BB">
      <w:pPr>
        <w:pStyle w:val="TableGraphic"/>
      </w:pPr>
      <w:r w:rsidRPr="0042020B">
        <w:object w:dxaOrig="7693" w:dyaOrig="3447">
          <v:shape id="_x0000_i1047" type="#_x0000_t75" style="width:384.4pt;height:172.15pt" o:ole="">
            <v:imagedata r:id="rId53" o:title=""/>
          </v:shape>
          <o:OLEObject Type="Link" ProgID="Excel.SheetMacroEnabled.12" ShapeID="_x0000_i1047" DrawAspect="Content" r:id="rId54" UpdateMode="Always">
            <o:LinkType>EnhancedMetaFile</o:LinkType>
            <o:LockedField/>
          </o:OLEObject>
        </w:object>
      </w:r>
    </w:p>
    <w:p w:rsidR="008A3005" w:rsidRPr="0042020B" w:rsidRDefault="008A3005" w:rsidP="001A767B">
      <w:pPr>
        <w:pStyle w:val="ChartandTableFootnoteAlpha"/>
        <w:numPr>
          <w:ilvl w:val="0"/>
          <w:numId w:val="31"/>
        </w:numPr>
      </w:pPr>
      <w:r w:rsidRPr="0042020B">
        <w:t>Non</w:t>
      </w:r>
      <w:r w:rsidR="00FB4A10" w:rsidRPr="0042020B">
        <w:noBreakHyphen/>
      </w:r>
      <w:r w:rsidRPr="0042020B">
        <w:t>financial asset purchases and net acquisition of assets under finance leases.</w:t>
      </w:r>
    </w:p>
    <w:p w:rsidR="00F95755" w:rsidRPr="0042020B" w:rsidRDefault="00F95755" w:rsidP="001A767B">
      <w:pPr>
        <w:pStyle w:val="ChartandTableFootnote"/>
      </w:pPr>
      <w:r w:rsidRPr="0042020B">
        <w:t>Note: Recurrent payments include pension and income support payments, payments to government employees, payments for goods and services, grants and subsidies not made for capital purposes and specific purpose payments to States for recurrent purposes. Capital payments include the purchase of land and buildings, software and other facilities, grants and subsidies made for capital purposes and specific purpose payments to States for capital purposes.</w:t>
      </w:r>
    </w:p>
    <w:p w:rsidR="00F95755" w:rsidRPr="0042020B" w:rsidRDefault="00F95755" w:rsidP="001A767B">
      <w:pPr>
        <w:pStyle w:val="ChartandTableFootnote"/>
      </w:pPr>
      <w:r w:rsidRPr="0042020B">
        <w:t>Note: Investments in financial assets for policy purp</w:t>
      </w:r>
      <w:r w:rsidR="004E7DD1" w:rsidRPr="0042020B">
        <w:t xml:space="preserve">oses are shown on a gross basis, </w:t>
      </w:r>
      <w:r w:rsidRPr="0042020B">
        <w:t xml:space="preserve">where available </w:t>
      </w:r>
      <w:r w:rsidR="004E7DD1" w:rsidRPr="0042020B">
        <w:t>(</w:t>
      </w:r>
      <w:r w:rsidRPr="0042020B">
        <w:t>otherwise data is only available on a net basis</w:t>
      </w:r>
      <w:r w:rsidR="00940489" w:rsidRPr="0042020B">
        <w:t>)</w:t>
      </w:r>
      <w:r w:rsidRPr="0042020B">
        <w:t xml:space="preserve">. </w:t>
      </w:r>
    </w:p>
    <w:p w:rsidR="006D6DEE" w:rsidRPr="0042020B" w:rsidRDefault="006D6DEE" w:rsidP="006D6DEE">
      <w:pPr>
        <w:pStyle w:val="SingleParagraph"/>
      </w:pPr>
    </w:p>
    <w:p w:rsidR="00F95755" w:rsidRPr="0042020B" w:rsidRDefault="00F95755" w:rsidP="00D316A5">
      <w:pPr>
        <w:pStyle w:val="Heading4"/>
      </w:pPr>
      <w:r w:rsidRPr="0042020B">
        <w:t>Impact of capital and recurrent spending on debt</w:t>
      </w:r>
    </w:p>
    <w:p w:rsidR="00F95755" w:rsidRPr="0042020B" w:rsidRDefault="003C1CB1" w:rsidP="00F95755">
      <w:r w:rsidRPr="0042020B">
        <w:t>Chart 3.</w:t>
      </w:r>
      <w:r w:rsidR="007A690E" w:rsidRPr="0042020B">
        <w:t>4</w:t>
      </w:r>
      <w:r w:rsidR="00F95755" w:rsidRPr="0042020B">
        <w:t xml:space="preserve"> sets out estimates of the </w:t>
      </w:r>
      <w:r w:rsidR="00B871FA" w:rsidRPr="0042020B">
        <w:t>G</w:t>
      </w:r>
      <w:r w:rsidR="00F95755" w:rsidRPr="0042020B">
        <w:t xml:space="preserve">overnment’s annual borrowing for capital and recurrent cash spending. It does this by analysing the net cash flows from recurrent activities and the cash flows for investment. Together they indicate the </w:t>
      </w:r>
      <w:r w:rsidR="00B871FA" w:rsidRPr="0042020B">
        <w:t>G</w:t>
      </w:r>
      <w:r w:rsidR="00F95755" w:rsidRPr="0042020B">
        <w:t xml:space="preserve">overnment’s requirement for new borrowing in each year to fund the total of capital and recurrent spending. </w:t>
      </w:r>
    </w:p>
    <w:p w:rsidR="00F95755" w:rsidRPr="0042020B" w:rsidRDefault="00F95755" w:rsidP="00B94F9D">
      <w:pPr>
        <w:pStyle w:val="ChartHeading"/>
      </w:pPr>
      <w:r w:rsidRPr="0042020B">
        <w:t>Chart 3.</w:t>
      </w:r>
      <w:r w:rsidR="007A690E" w:rsidRPr="0042020B">
        <w:t>4</w:t>
      </w:r>
      <w:r w:rsidRPr="0042020B">
        <w:t>: Contributions of recurrent and capital spending to government borrowing needs</w:t>
      </w:r>
    </w:p>
    <w:p w:rsidR="00F95755" w:rsidRPr="0042020B" w:rsidRDefault="00B00BAE" w:rsidP="0028527A">
      <w:pPr>
        <w:pStyle w:val="ChartGraphic"/>
      </w:pPr>
      <w:r w:rsidRPr="0042020B">
        <w:object w:dxaOrig="7351" w:dyaOrig="4335">
          <v:shape id="_x0000_i1048" type="#_x0000_t75" alt="This chart effectively illustrates that from 2017-18 and over the remainder of the forward estimates, the Commonwealth is not expected to need to borrow for recurrent spending. This is a year earlier than was expected at the time of the 2017-18 Budget. In 2017-18 net cash flows from recurrent activities are broadly in balance and from 2018-19 they effectively make a contribution to funding capital spending." style="width:367.5pt;height:216.65pt" o:ole="">
            <v:imagedata r:id="rId55" o:title=""/>
          </v:shape>
          <o:OLEObject Type="Link" ProgID="Excel.SheetMacroEnabled.12" ShapeID="_x0000_i1048" DrawAspect="Content" r:id="rId56" UpdateMode="Always">
            <o:LinkType>EnhancedMetaFile</o:LinkType>
            <o:LockedField/>
          </o:OLEObject>
        </w:object>
      </w:r>
    </w:p>
    <w:p w:rsidR="00F95755" w:rsidRPr="0042020B" w:rsidRDefault="00F95755" w:rsidP="00F95755">
      <w:pPr>
        <w:pStyle w:val="ChartandTableFootnote"/>
        <w:rPr>
          <w:color w:val="auto"/>
        </w:rPr>
      </w:pPr>
      <w:r w:rsidRPr="0042020B">
        <w:rPr>
          <w:color w:val="auto"/>
        </w:rPr>
        <w:t>Note: Net cash flow from investments includes spending to acquire physical assets, spending to acquire financial assets and capital grants to the States and other entities.</w:t>
      </w:r>
    </w:p>
    <w:p w:rsidR="00F95755" w:rsidRPr="0042020B" w:rsidRDefault="00F95755" w:rsidP="00F95755">
      <w:pPr>
        <w:pStyle w:val="ChartandTableFootnote"/>
        <w:rPr>
          <w:color w:val="auto"/>
        </w:rPr>
      </w:pPr>
      <w:r w:rsidRPr="0042020B">
        <w:rPr>
          <w:color w:val="auto"/>
        </w:rPr>
        <w:t>Note: The borrowing requirement reflects the amounts to be financed to cover net cash flows from recurrent activities and net cash flows from investments but does not include the funding required for liquidity purposes or refinancing.</w:t>
      </w:r>
    </w:p>
    <w:p w:rsidR="00F95755" w:rsidRPr="0042020B" w:rsidRDefault="00F95755" w:rsidP="00F95755">
      <w:pPr>
        <w:pStyle w:val="SingleParagraph"/>
        <w:rPr>
          <w:lang w:eastAsia="en-AU"/>
        </w:rPr>
      </w:pPr>
    </w:p>
    <w:p w:rsidR="00544BF0" w:rsidRPr="0042020B" w:rsidRDefault="00105975" w:rsidP="0054582F">
      <w:pPr>
        <w:rPr>
          <w:lang w:eastAsia="en-AU"/>
        </w:rPr>
      </w:pPr>
      <w:r w:rsidRPr="0042020B">
        <w:rPr>
          <w:lang w:eastAsia="en-AU"/>
        </w:rPr>
        <w:t>This analysis effectively illustrates that from 2017</w:t>
      </w:r>
      <w:r w:rsidRPr="0042020B">
        <w:rPr>
          <w:lang w:eastAsia="en-AU"/>
        </w:rPr>
        <w:noBreakHyphen/>
        <w:t xml:space="preserve">18 and over the remainder of the forward estimates, the </w:t>
      </w:r>
      <w:r w:rsidR="00F5233D">
        <w:rPr>
          <w:lang w:eastAsia="en-AU"/>
        </w:rPr>
        <w:t>Government</w:t>
      </w:r>
      <w:r w:rsidRPr="0042020B">
        <w:rPr>
          <w:lang w:eastAsia="en-AU"/>
        </w:rPr>
        <w:t xml:space="preserve"> is not expected to need to borrow for recurrent spending. This is a year earlier than was expected at the time of the </w:t>
      </w:r>
      <w:r w:rsidR="000F5D7C" w:rsidRPr="0042020B">
        <w:rPr>
          <w:lang w:eastAsia="en-AU"/>
        </w:rPr>
        <w:t>2017</w:t>
      </w:r>
      <w:r w:rsidR="000F5D7C" w:rsidRPr="0042020B">
        <w:rPr>
          <w:lang w:eastAsia="en-AU"/>
        </w:rPr>
        <w:noBreakHyphen/>
        <w:t>18 Budget</w:t>
      </w:r>
      <w:r w:rsidRPr="0042020B">
        <w:rPr>
          <w:lang w:eastAsia="en-AU"/>
        </w:rPr>
        <w:t>. In 2017</w:t>
      </w:r>
      <w:r w:rsidRPr="0042020B">
        <w:rPr>
          <w:lang w:eastAsia="en-AU"/>
        </w:rPr>
        <w:noBreakHyphen/>
        <w:t>18</w:t>
      </w:r>
      <w:r w:rsidR="006A79D5">
        <w:rPr>
          <w:lang w:eastAsia="en-AU"/>
        </w:rPr>
        <w:t>,</w:t>
      </w:r>
      <w:r w:rsidRPr="0042020B">
        <w:rPr>
          <w:lang w:eastAsia="en-AU"/>
        </w:rPr>
        <w:t xml:space="preserve"> net cash flows from recurrent activities are broadly in balance and from 2018</w:t>
      </w:r>
      <w:r w:rsidRPr="0042020B">
        <w:rPr>
          <w:lang w:eastAsia="en-AU"/>
        </w:rPr>
        <w:noBreakHyphen/>
        <w:t>19 they effectively make a contribution to funding capital spending. This reflects the Government’s policy to stabilise net debt while still maintaining a strong capital investment program.</w:t>
      </w:r>
      <w:r w:rsidR="007527F9" w:rsidRPr="0042020B">
        <w:fldChar w:fldCharType="begin"/>
      </w:r>
      <w:r w:rsidR="007527F9" w:rsidRPr="0042020B">
        <w:instrText xml:space="preserve"> :End:BPD_JR2 </w:instrText>
      </w:r>
      <w:r w:rsidR="007527F9" w:rsidRPr="0042020B">
        <w:fldChar w:fldCharType="end"/>
      </w:r>
    </w:p>
    <w:p w:rsidR="00544BF0" w:rsidRPr="0042020B" w:rsidRDefault="00544BF0" w:rsidP="00033E1C">
      <w:pPr>
        <w:pStyle w:val="Heading3"/>
      </w:pPr>
      <w:r w:rsidRPr="0042020B">
        <w:fldChar w:fldCharType="begin"/>
      </w:r>
      <w:r w:rsidRPr="0042020B">
        <w:instrText xml:space="preserve"> :Start:MMPD_JH1 </w:instrText>
      </w:r>
      <w:r w:rsidRPr="0042020B">
        <w:fldChar w:fldCharType="end"/>
      </w:r>
      <w:r w:rsidRPr="0042020B">
        <w:t>Structural budget balance</w:t>
      </w:r>
    </w:p>
    <w:p w:rsidR="00523FDE" w:rsidRPr="0042020B" w:rsidRDefault="00523FDE" w:rsidP="00523FDE">
      <w:r w:rsidRPr="0042020B">
        <w:t>Restoring the structural integrity of the budget is crucial for achieving surpluses on average over the economic cycle and paying down government debt, consistent with the medium</w:t>
      </w:r>
      <w:r w:rsidR="00FB4A10" w:rsidRPr="0042020B">
        <w:noBreakHyphen/>
      </w:r>
      <w:r w:rsidRPr="0042020B">
        <w:t>term fiscal strategy.</w:t>
      </w:r>
    </w:p>
    <w:p w:rsidR="00523FDE" w:rsidRPr="0042020B" w:rsidRDefault="00523FDE" w:rsidP="00523FDE">
      <w:r w:rsidRPr="0042020B">
        <w:t>The structural budget balance estimates seek to remove factors that have a temporary impact on revenues and expenditures, such as fluctuations in commodity prices and the extent to which economic output deviates from its potential level. Considered in conjunction with other measures, estimates of the structural budget balance can provide insight into the sustainability of current fiscal settings.</w:t>
      </w:r>
    </w:p>
    <w:p w:rsidR="00523FDE" w:rsidRPr="0042020B" w:rsidRDefault="00216546" w:rsidP="00523FDE">
      <w:r w:rsidRPr="0042020B">
        <w:br w:type="page"/>
      </w:r>
      <w:r w:rsidR="00523FDE" w:rsidRPr="0042020B">
        <w:t xml:space="preserve">Consistent with the </w:t>
      </w:r>
      <w:r w:rsidR="000F5D7C" w:rsidRPr="0042020B">
        <w:t>2017</w:t>
      </w:r>
      <w:r w:rsidR="000F5D7C" w:rsidRPr="0042020B">
        <w:noBreakHyphen/>
        <w:t>18 Budget</w:t>
      </w:r>
      <w:r w:rsidR="00523FDE" w:rsidRPr="0042020B">
        <w:t>, the overall level of the structural budget balance improves from a deficit of around 2.1 per cent of GDP in 2017</w:t>
      </w:r>
      <w:r w:rsidR="00FB4A10" w:rsidRPr="0042020B">
        <w:noBreakHyphen/>
      </w:r>
      <w:r w:rsidR="00523FDE" w:rsidRPr="0042020B">
        <w:t>18, to a series of small surpluses from 2020</w:t>
      </w:r>
      <w:r w:rsidR="00FB4A10" w:rsidRPr="0042020B">
        <w:noBreakHyphen/>
      </w:r>
      <w:r w:rsidR="00523FDE" w:rsidRPr="0042020B">
        <w:t>21 onwards.</w:t>
      </w:r>
      <w:r w:rsidR="006A6D13" w:rsidRPr="0042020B">
        <w:t xml:space="preserve"> On average, over the whole period, estimates of the structural budget balance are stable.</w:t>
      </w:r>
    </w:p>
    <w:p w:rsidR="00544BF0" w:rsidRPr="0042020B" w:rsidRDefault="00523FDE" w:rsidP="00523FDE">
      <w:r w:rsidRPr="0042020B">
        <w:t>Cyclical factors are projected to dissipate by the end of 2023</w:t>
      </w:r>
      <w:r w:rsidR="00FB4A10" w:rsidRPr="0042020B">
        <w:noBreakHyphen/>
      </w:r>
      <w:r w:rsidR="00A3476F" w:rsidRPr="0042020B">
        <w:t>2</w:t>
      </w:r>
      <w:r w:rsidRPr="0042020B">
        <w:t>4. From then the structural budget balance converges to the underlying cash balance</w:t>
      </w:r>
      <w:r w:rsidR="00E92496" w:rsidRPr="0042020B">
        <w:t xml:space="preserve"> (see Chart </w:t>
      </w:r>
      <w:r w:rsidR="003B227B" w:rsidRPr="0042020B">
        <w:t>3.</w:t>
      </w:r>
      <w:r w:rsidR="007A690E" w:rsidRPr="0042020B">
        <w:t>5</w:t>
      </w:r>
      <w:r w:rsidR="00E92496" w:rsidRPr="0042020B">
        <w:t>).</w:t>
      </w:r>
    </w:p>
    <w:p w:rsidR="00544BF0" w:rsidRPr="0042020B" w:rsidRDefault="00544BF0" w:rsidP="00544BF0">
      <w:pPr>
        <w:pStyle w:val="ChartHeading"/>
      </w:pPr>
      <w:r w:rsidRPr="0042020B">
        <w:t>Chart 3.</w:t>
      </w:r>
      <w:r w:rsidR="007A690E" w:rsidRPr="0042020B">
        <w:t>5</w:t>
      </w:r>
      <w:r w:rsidRPr="0042020B">
        <w:t>: Structural budget balance estimates</w:t>
      </w:r>
    </w:p>
    <w:p w:rsidR="00544BF0" w:rsidRPr="0042020B" w:rsidRDefault="00B00BAE" w:rsidP="00B00BAE">
      <w:pPr>
        <w:pStyle w:val="ChartGraphic"/>
      </w:pPr>
      <w:r>
        <w:object w:dxaOrig="7351" w:dyaOrig="4516">
          <v:shape id="_x0000_i1049" type="#_x0000_t75" alt="The overall level of the structural budget balance improves from a deficit of around 2.1 per cent of GDP in 2017-18, to a series of small surpluses from 2020-21 onwards." style="width:367.5pt;height:226pt" o:ole="">
            <v:imagedata r:id="rId57" o:title=""/>
          </v:shape>
          <o:OLEObject Type="Link" ProgID="Excel.Sheet.12" ShapeID="_x0000_i1049" DrawAspect="Content" r:id="rId58" UpdateMode="Always">
            <o:LinkType>EnhancedMetaFile</o:LinkType>
            <o:LockedField/>
          </o:OLEObject>
        </w:object>
      </w:r>
    </w:p>
    <w:p w:rsidR="00544BF0" w:rsidRPr="0042020B" w:rsidRDefault="00544BF0" w:rsidP="00544BF0">
      <w:pPr>
        <w:pStyle w:val="ChartandTableFootnote"/>
        <w:rPr>
          <w:color w:val="auto"/>
        </w:rPr>
      </w:pPr>
      <w:r w:rsidRPr="0042020B">
        <w:rPr>
          <w:color w:val="auto"/>
        </w:rPr>
        <w:t>Note: The methodology for producing structural budget balance estimates was detailed in Treasury Working Paper 2013</w:t>
      </w:r>
      <w:r w:rsidR="00FB4A10" w:rsidRPr="0042020B">
        <w:rPr>
          <w:color w:val="auto"/>
        </w:rPr>
        <w:noBreakHyphen/>
      </w:r>
      <w:r w:rsidRPr="0042020B">
        <w:rPr>
          <w:color w:val="auto"/>
        </w:rPr>
        <w:t>01 and incorporates the medium</w:t>
      </w:r>
      <w:r w:rsidR="00FB4A10" w:rsidRPr="0042020B">
        <w:rPr>
          <w:color w:val="auto"/>
        </w:rPr>
        <w:noBreakHyphen/>
      </w:r>
      <w:r w:rsidRPr="0042020B">
        <w:rPr>
          <w:color w:val="auto"/>
        </w:rPr>
        <w:t>term projection methodology detailed in Treasury Working Paper 2014</w:t>
      </w:r>
      <w:r w:rsidR="00FB4A10" w:rsidRPr="0042020B">
        <w:rPr>
          <w:color w:val="auto"/>
        </w:rPr>
        <w:noBreakHyphen/>
      </w:r>
      <w:r w:rsidR="00AD5206" w:rsidRPr="0042020B">
        <w:rPr>
          <w:color w:val="auto"/>
        </w:rPr>
        <w:t>02.</w:t>
      </w:r>
      <w:r w:rsidRPr="0042020B">
        <w:rPr>
          <w:color w:val="auto"/>
        </w:rPr>
        <w:fldChar w:fldCharType="begin"/>
      </w:r>
      <w:r w:rsidRPr="0042020B">
        <w:rPr>
          <w:color w:val="auto"/>
        </w:rPr>
        <w:instrText xml:space="preserve"> :End:MMPD_JH1 </w:instrText>
      </w:r>
      <w:r w:rsidRPr="0042020B">
        <w:rPr>
          <w:color w:val="auto"/>
        </w:rPr>
        <w:fldChar w:fldCharType="end"/>
      </w:r>
    </w:p>
    <w:sectPr w:rsidR="00544BF0" w:rsidRPr="0042020B" w:rsidSect="001A767B">
      <w:headerReference w:type="even" r:id="rId59"/>
      <w:headerReference w:type="default" r:id="rId60"/>
      <w:footerReference w:type="even" r:id="rId61"/>
      <w:footerReference w:type="default" r:id="rId62"/>
      <w:headerReference w:type="first" r:id="rId63"/>
      <w:footerReference w:type="first" r:id="rId64"/>
      <w:pgSz w:w="11906" w:h="16838" w:code="9"/>
      <w:pgMar w:top="2466" w:right="2098" w:bottom="2466" w:left="2098" w:header="1899" w:footer="1899" w:gutter="0"/>
      <w:pgNumType w:start="2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09CB" w:rsidRDefault="005909CB" w:rsidP="00E40261">
      <w:pPr>
        <w:spacing w:after="0" w:line="240" w:lineRule="auto"/>
      </w:pPr>
      <w:r>
        <w:separator/>
      </w:r>
    </w:p>
  </w:endnote>
  <w:endnote w:type="continuationSeparator" w:id="0">
    <w:p w:rsidR="005909CB" w:rsidRDefault="005909CB" w:rsidP="00E40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39C" w:rsidRDefault="002F039C">
    <w:pPr>
      <w:pStyle w:val="Footer"/>
    </w:pPr>
    <w:r>
      <w:fldChar w:fldCharType="begin"/>
    </w:r>
    <w:r>
      <w:instrText xml:space="preserve"> PAGE  \* MERGEFORMAT </w:instrText>
    </w:r>
    <w:r>
      <w:fldChar w:fldCharType="separate"/>
    </w:r>
    <w:r w:rsidR="001F65CC">
      <w:rPr>
        <w:noProof/>
      </w:rPr>
      <w:t>28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39C" w:rsidRDefault="002F039C">
    <w:pPr>
      <w:pStyle w:val="Footer"/>
    </w:pPr>
    <w:r>
      <w:fldChar w:fldCharType="begin"/>
    </w:r>
    <w:r>
      <w:instrText xml:space="preserve"> PAGE  \* MERGEFORMAT </w:instrText>
    </w:r>
    <w:r>
      <w:fldChar w:fldCharType="separate"/>
    </w:r>
    <w:r w:rsidR="001F65CC">
      <w:rPr>
        <w:noProof/>
      </w:rPr>
      <w:t>27</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39C" w:rsidRDefault="002F039C">
    <w:pPr>
      <w:pStyle w:val="Footer"/>
    </w:pPr>
    <w:r>
      <w:fldChar w:fldCharType="begin"/>
    </w:r>
    <w:r>
      <w:instrText xml:space="preserve"> PAGE  \* Arabic  \* MERGEFORMAT </w:instrText>
    </w:r>
    <w:r>
      <w:fldChar w:fldCharType="separate"/>
    </w:r>
    <w:r w:rsidR="001F65CC">
      <w:rPr>
        <w:noProof/>
      </w:rPr>
      <w:t>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09CB" w:rsidRDefault="005909CB" w:rsidP="00E40261">
      <w:pPr>
        <w:spacing w:after="0" w:line="240" w:lineRule="auto"/>
      </w:pPr>
      <w:r>
        <w:separator/>
      </w:r>
    </w:p>
  </w:footnote>
  <w:footnote w:type="continuationSeparator" w:id="0">
    <w:p w:rsidR="005909CB" w:rsidRDefault="005909CB" w:rsidP="00E402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39C" w:rsidRDefault="002F039C" w:rsidP="004036C9">
    <w:pPr>
      <w:pStyle w:val="Header"/>
    </w:pPr>
    <w:fldSimple w:instr=" TITLE   \* MERGEFORMAT ">
      <w:r w:rsidR="00B24B03">
        <w:t>Part 3: Fiscal strategy and outlook</w:t>
      </w:r>
    </w:fldSimple>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39C" w:rsidRPr="00E40261" w:rsidRDefault="002F039C" w:rsidP="00695CA6">
    <w:pPr>
      <w:pStyle w:val="Header"/>
      <w:jc w:val="right"/>
    </w:pPr>
    <w:fldSimple w:instr=" TITLE   \* MERGEFORMAT ">
      <w:r w:rsidR="00B24B03">
        <w:t>Part 3: Fiscal strategy and outlook</w:t>
      </w:r>
    </w:fldSimple>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39C" w:rsidRDefault="002F03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A1D623CE"/>
    <w:lvl w:ilvl="0">
      <w:start w:val="1"/>
      <w:numFmt w:val="bullet"/>
      <w:pStyle w:val="ListBullet4"/>
      <w:lvlText w:val=""/>
      <w:lvlJc w:val="left"/>
      <w:pPr>
        <w:tabs>
          <w:tab w:val="num" w:pos="1209"/>
        </w:tabs>
        <w:ind w:left="1209" w:hanging="360"/>
      </w:pPr>
      <w:rPr>
        <w:rFonts w:ascii="Book Antiqua" w:hAnsi="Book Antiqua" w:hint="default"/>
      </w:rPr>
    </w:lvl>
  </w:abstractNum>
  <w:abstractNum w:abstractNumId="1">
    <w:nsid w:val="025B153E"/>
    <w:multiLevelType w:val="hybridMultilevel"/>
    <w:tmpl w:val="47D65192"/>
    <w:lvl w:ilvl="0" w:tplc="A1A60150">
      <w:start w:val="1"/>
      <w:numFmt w:val="bullet"/>
      <w:pStyle w:val="BoxDash"/>
      <w:lvlText w:val=""/>
      <w:lvlJc w:val="left"/>
      <w:pPr>
        <w:ind w:left="720" w:hanging="360"/>
      </w:pPr>
      <w:rPr>
        <w:rFonts w:ascii="Symbol" w:hAnsi="Symbol" w:hint="default"/>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3">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4">
    <w:nsid w:val="19C960FD"/>
    <w:multiLevelType w:val="multilevel"/>
    <w:tmpl w:val="F9EA08CE"/>
    <w:name w:val="OneLevelNumberedParagraphList"/>
    <w:lvl w:ilvl="0">
      <w:start w:val="1"/>
      <w:numFmt w:val="decimal"/>
      <w:lvlRestart w:val="0"/>
      <w:pStyle w:val="OneLevelNumberedParagraph"/>
      <w:lvlText w:val="%1"/>
      <w:lvlJc w:val="left"/>
      <w:pPr>
        <w:tabs>
          <w:tab w:val="num" w:pos="567"/>
        </w:tabs>
        <w:ind w:left="567" w:hanging="567"/>
      </w:pPr>
      <w:rPr>
        <w:rFonts w:ascii="Times New Roman" w:hAnsi="Times New Roman" w:cs="Times New Roman"/>
        <w:b w:val="0"/>
        <w:i w:val="0"/>
        <w:color w:val="000000"/>
      </w:rPr>
    </w:lvl>
    <w:lvl w:ilvl="1">
      <w:start w:val="1"/>
      <w:numFmt w:val="decimal"/>
      <w:lvlText w:val="%2"/>
      <w:lvlJc w:val="left"/>
      <w:pPr>
        <w:tabs>
          <w:tab w:val="num" w:pos="1134"/>
        </w:tabs>
        <w:ind w:left="1134" w:hanging="567"/>
      </w:pPr>
      <w:rPr>
        <w:rFonts w:ascii="Times New Roman" w:hAnsi="Times New Roman" w:cs="Times New Roman"/>
        <w:b w:val="0"/>
        <w:i w:val="0"/>
        <w:color w:val="000000"/>
      </w:rPr>
    </w:lvl>
    <w:lvl w:ilvl="2">
      <w:start w:val="1"/>
      <w:numFmt w:val="decimal"/>
      <w:lvlText w:val="%3"/>
      <w:lvlJc w:val="left"/>
      <w:pPr>
        <w:tabs>
          <w:tab w:val="num" w:pos="1701"/>
        </w:tabs>
        <w:ind w:left="1701" w:hanging="567"/>
      </w:pPr>
      <w:rPr>
        <w:rFonts w:ascii="Times New Roman" w:hAnsi="Times New Roman" w:cs="Times New Roman"/>
        <w:b w:val="0"/>
        <w:i w:val="0"/>
        <w:color w:val="000000"/>
      </w:rPr>
    </w:lvl>
    <w:lvl w:ilvl="3">
      <w:start w:val="1"/>
      <w:numFmt w:val="decimal"/>
      <w:lvlText w:val="%4"/>
      <w:lvlJc w:val="left"/>
      <w:pPr>
        <w:tabs>
          <w:tab w:val="num" w:pos="2268"/>
        </w:tabs>
        <w:ind w:left="2268" w:hanging="567"/>
      </w:pPr>
      <w:rPr>
        <w:rFonts w:ascii="Times New Roman" w:hAnsi="Times New Roman" w:cs="Times New Roman"/>
        <w:b w:val="0"/>
        <w:i w:val="0"/>
        <w:color w:val="000000"/>
      </w:rPr>
    </w:lvl>
    <w:lvl w:ilvl="4">
      <w:start w:val="1"/>
      <w:numFmt w:val="decimal"/>
      <w:lvlText w:val="%5"/>
      <w:lvlJc w:val="left"/>
      <w:pPr>
        <w:tabs>
          <w:tab w:val="num" w:pos="2835"/>
        </w:tabs>
        <w:ind w:left="2835" w:hanging="567"/>
      </w:pPr>
      <w:rPr>
        <w:rFonts w:ascii="Times New Roman" w:hAnsi="Times New Roman" w:cs="Times New Roman"/>
        <w:b w:val="0"/>
        <w:i w:val="0"/>
        <w:color w:val="000000"/>
      </w:rPr>
    </w:lvl>
    <w:lvl w:ilvl="5">
      <w:start w:val="1"/>
      <w:numFmt w:val="decimal"/>
      <w:lvlText w:val="%6"/>
      <w:lvlJc w:val="left"/>
      <w:pPr>
        <w:tabs>
          <w:tab w:val="num" w:pos="3402"/>
        </w:tabs>
        <w:ind w:left="3402" w:hanging="567"/>
      </w:pPr>
      <w:rPr>
        <w:rFonts w:ascii="Times New Roman" w:hAnsi="Times New Roman" w:cs="Times New Roman"/>
        <w:b w:val="0"/>
        <w:i w:val="0"/>
        <w:color w:val="000000"/>
      </w:rPr>
    </w:lvl>
    <w:lvl w:ilvl="6">
      <w:start w:val="1"/>
      <w:numFmt w:val="decimal"/>
      <w:lvlText w:val="%7"/>
      <w:lvlJc w:val="left"/>
      <w:pPr>
        <w:tabs>
          <w:tab w:val="num" w:pos="3969"/>
        </w:tabs>
        <w:ind w:left="3969" w:hanging="567"/>
      </w:pPr>
      <w:rPr>
        <w:rFonts w:ascii="Times New Roman" w:hAnsi="Times New Roman" w:cs="Times New Roman"/>
        <w:b w:val="0"/>
        <w:i w:val="0"/>
        <w:color w:val="000000"/>
      </w:rPr>
    </w:lvl>
    <w:lvl w:ilvl="7">
      <w:start w:val="1"/>
      <w:numFmt w:val="decimal"/>
      <w:lvlText w:val="%8"/>
      <w:lvlJc w:val="left"/>
      <w:pPr>
        <w:tabs>
          <w:tab w:val="num" w:pos="4536"/>
        </w:tabs>
        <w:ind w:left="4536" w:hanging="567"/>
      </w:pPr>
      <w:rPr>
        <w:rFonts w:ascii="Times New Roman" w:hAnsi="Times New Roman" w:cs="Times New Roman"/>
        <w:b w:val="0"/>
        <w:i w:val="0"/>
        <w:color w:val="000000"/>
      </w:rPr>
    </w:lvl>
    <w:lvl w:ilvl="8">
      <w:start w:val="1"/>
      <w:numFmt w:val="decimal"/>
      <w:lvlText w:val="%9"/>
      <w:lvlJc w:val="left"/>
      <w:pPr>
        <w:tabs>
          <w:tab w:val="num" w:pos="5103"/>
        </w:tabs>
        <w:ind w:left="5103" w:hanging="567"/>
      </w:pPr>
      <w:rPr>
        <w:rFonts w:ascii="Times New Roman" w:hAnsi="Times New Roman" w:cs="Times New Roman"/>
        <w:b w:val="0"/>
        <w:i w:val="0"/>
        <w:color w:val="000000"/>
      </w:rPr>
    </w:lvl>
  </w:abstractNum>
  <w:abstractNum w:abstractNumId="5">
    <w:nsid w:val="244237C5"/>
    <w:multiLevelType w:val="multilevel"/>
    <w:tmpl w:val="F0BE3518"/>
    <w:lvl w:ilvl="0">
      <w:start w:val="1"/>
      <w:numFmt w:val="decimal"/>
      <w:lvlRestart w:val="0"/>
      <w:pStyle w:val="OutlineNumbered1"/>
      <w:lvlText w:val="%1."/>
      <w:lvlJc w:val="left"/>
      <w:pPr>
        <w:tabs>
          <w:tab w:val="num" w:pos="567"/>
        </w:tabs>
        <w:ind w:left="567" w:hanging="567"/>
      </w:pPr>
      <w:rPr>
        <w:b w:val="0"/>
        <w:i w:val="0"/>
      </w:rPr>
    </w:lvl>
    <w:lvl w:ilvl="1">
      <w:start w:val="1"/>
      <w:numFmt w:val="decimal"/>
      <w:pStyle w:val="OutlineNumbered2"/>
      <w:lvlText w:val="%1.%2."/>
      <w:lvlJc w:val="left"/>
      <w:pPr>
        <w:tabs>
          <w:tab w:val="num" w:pos="1134"/>
        </w:tabs>
        <w:ind w:left="1134" w:hanging="567"/>
      </w:pPr>
      <w:rPr>
        <w:b w:val="0"/>
        <w:i w:val="0"/>
      </w:rPr>
    </w:lvl>
    <w:lvl w:ilvl="2">
      <w:start w:val="1"/>
      <w:numFmt w:val="decimal"/>
      <w:pStyle w:val="OutlineNumbered3"/>
      <w:lvlText w:val="%1.%2.%3."/>
      <w:lvlJc w:val="left"/>
      <w:pPr>
        <w:tabs>
          <w:tab w:val="num" w:pos="1701"/>
        </w:tabs>
        <w:ind w:left="1701" w:hanging="567"/>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6">
    <w:nsid w:val="27440C8B"/>
    <w:multiLevelType w:val="multilevel"/>
    <w:tmpl w:val="AF04C206"/>
    <w:lvl w:ilvl="0">
      <w:start w:val="1"/>
      <w:numFmt w:val="bullet"/>
      <w:lvlRestart w:val="0"/>
      <w:pStyle w:val="HeaderChar"/>
      <w:lvlText w:val="•"/>
      <w:lvlJc w:val="left"/>
      <w:pPr>
        <w:tabs>
          <w:tab w:val="num" w:pos="283"/>
        </w:tabs>
        <w:ind w:left="283" w:hanging="283"/>
      </w:pPr>
      <w:rPr>
        <w:rFonts w:ascii="Book Antiqua" w:hAnsi="Book Antiqua" w:hint="default"/>
        <w:b w:val="0"/>
        <w:i w:val="0"/>
        <w:position w:val="0"/>
        <w:sz w:val="18"/>
        <w:szCs w:val="18"/>
      </w:rPr>
    </w:lvl>
    <w:lvl w:ilvl="1">
      <w:start w:val="1"/>
      <w:numFmt w:val="bullet"/>
      <w:pStyle w:val="DLMSecurityFooter"/>
      <w:lvlText w:val="–"/>
      <w:lvlJc w:val="left"/>
      <w:pPr>
        <w:tabs>
          <w:tab w:val="num" w:pos="567"/>
        </w:tabs>
        <w:ind w:left="567" w:hanging="284"/>
      </w:pPr>
      <w:rPr>
        <w:rFonts w:ascii="Book Antiqua" w:hAnsi="Book Antiqua" w:cs="Times New Roman" w:hint="default"/>
        <w:b w:val="0"/>
        <w:i w:val="0"/>
        <w:position w:val="0"/>
        <w:sz w:val="18"/>
        <w:szCs w:val="18"/>
      </w:rPr>
    </w:lvl>
    <w:lvl w:ilvl="2">
      <w:start w:val="1"/>
      <w:numFmt w:val="bullet"/>
      <w:pStyle w:val="DLMSecurityFooterChar"/>
      <w:lvlText w:val=":"/>
      <w:lvlJc w:val="left"/>
      <w:pPr>
        <w:tabs>
          <w:tab w:val="num" w:pos="850"/>
        </w:tabs>
        <w:ind w:left="850" w:hanging="283"/>
      </w:pPr>
      <w:rPr>
        <w:rFonts w:ascii="Book Antiqua" w:hAnsi="Book Antiqua" w:cs="Times New Roman" w:hint="default"/>
        <w:b w:val="0"/>
        <w:i w:val="0"/>
        <w:position w:val="0"/>
        <w:sz w:val="18"/>
        <w:szCs w:val="18"/>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7">
    <w:nsid w:val="2D665DFA"/>
    <w:multiLevelType w:val="singleLevel"/>
    <w:tmpl w:val="7E8429CA"/>
    <w:name w:val="OneLevelAlphaParagraphList"/>
    <w:lvl w:ilvl="0">
      <w:start w:val="1"/>
      <w:numFmt w:val="lowerLetter"/>
      <w:lvlRestart w:val="0"/>
      <w:pStyle w:val="HeaderOdd"/>
      <w:lvlText w:val="(%1)"/>
      <w:lvlJc w:val="left"/>
      <w:pPr>
        <w:tabs>
          <w:tab w:val="num" w:pos="567"/>
        </w:tabs>
        <w:ind w:left="567" w:hanging="567"/>
      </w:pPr>
      <w:rPr>
        <w:rFonts w:ascii="Book Antiqua" w:hAnsi="Book Antiqua"/>
        <w:b w:val="0"/>
        <w:i w:val="0"/>
        <w:sz w:val="20"/>
      </w:rPr>
    </w:lvl>
  </w:abstractNum>
  <w:abstractNum w:abstractNumId="8">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9">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0">
    <w:nsid w:val="58101827"/>
    <w:multiLevelType w:val="multilevel"/>
    <w:tmpl w:val="5CEE68CA"/>
    <w:lvl w:ilvl="0">
      <w:start w:val="1"/>
      <w:numFmt w:val="bullet"/>
      <w:lvlRestart w:val="0"/>
      <w:pStyle w:val="Heading2Char"/>
      <w:lvlText w:val="•"/>
      <w:lvlJc w:val="left"/>
      <w:pPr>
        <w:tabs>
          <w:tab w:val="num" w:pos="283"/>
        </w:tabs>
        <w:ind w:left="283" w:hanging="283"/>
      </w:pPr>
      <w:rPr>
        <w:rFonts w:ascii="Book Antiqua" w:hAnsi="Book Antiqua" w:hint="default"/>
        <w:b w:val="0"/>
        <w:i w:val="0"/>
        <w:position w:val="0"/>
        <w:sz w:val="18"/>
      </w:rPr>
    </w:lvl>
    <w:lvl w:ilvl="1">
      <w:start w:val="1"/>
      <w:numFmt w:val="bullet"/>
      <w:pStyle w:val="Heading3Char"/>
      <w:lvlText w:val="–"/>
      <w:lvlJc w:val="left"/>
      <w:pPr>
        <w:tabs>
          <w:tab w:val="num" w:pos="567"/>
        </w:tabs>
        <w:ind w:left="567" w:hanging="284"/>
      </w:pPr>
      <w:rPr>
        <w:rFonts w:ascii="Book Antiqua" w:hAnsi="Book Antiqua" w:hint="default"/>
        <w:b w:val="0"/>
        <w:i w:val="0"/>
        <w:position w:val="0"/>
        <w:sz w:val="18"/>
      </w:rPr>
    </w:lvl>
    <w:lvl w:ilvl="2">
      <w:start w:val="1"/>
      <w:numFmt w:val="bullet"/>
      <w:pStyle w:val="Heading3noTOC"/>
      <w:lvlText w:val=":"/>
      <w:lvlJc w:val="left"/>
      <w:pPr>
        <w:tabs>
          <w:tab w:val="num" w:pos="850"/>
        </w:tabs>
        <w:ind w:left="850" w:hanging="283"/>
      </w:pPr>
      <w:rPr>
        <w:rFonts w:ascii="Book Antiqua" w:hAnsi="Book Antiqua" w:hint="default"/>
        <w:b w:val="0"/>
        <w:i w:val="0"/>
        <w:position w:val="0"/>
        <w:sz w:val="18"/>
        <w:szCs w:val="18"/>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11">
    <w:nsid w:val="66022277"/>
    <w:multiLevelType w:val="singleLevel"/>
    <w:tmpl w:val="AF8AB1D2"/>
    <w:lvl w:ilvl="0">
      <w:start w:val="1"/>
      <w:numFmt w:val="lowerLetter"/>
      <w:lvlRestart w:val="0"/>
      <w:pStyle w:val="FooterChar"/>
      <w:lvlText w:val="(%1)"/>
      <w:lvlJc w:val="left"/>
      <w:pPr>
        <w:tabs>
          <w:tab w:val="num" w:pos="283"/>
        </w:tabs>
        <w:ind w:left="283" w:hanging="283"/>
      </w:pPr>
      <w:rPr>
        <w:rFonts w:ascii="Arial" w:hAnsi="Arial" w:cs="Arial" w:hint="default"/>
        <w:b w:val="0"/>
        <w:i w:val="0"/>
        <w:sz w:val="16"/>
      </w:rPr>
    </w:lvl>
  </w:abstractNum>
  <w:abstractNum w:abstractNumId="12">
    <w:nsid w:val="6FD20A93"/>
    <w:multiLevelType w:val="singleLevel"/>
    <w:tmpl w:val="3B6E6640"/>
    <w:name w:val="AlphaChartTableFootnoteSmallList"/>
    <w:lvl w:ilvl="0">
      <w:start w:val="1"/>
      <w:numFmt w:val="lowerLetter"/>
      <w:lvlRestart w:val="0"/>
      <w:pStyle w:val="ChartandTableFootnoteAlphaSmall"/>
      <w:lvlText w:val="(%1)"/>
      <w:lvlJc w:val="left"/>
      <w:pPr>
        <w:tabs>
          <w:tab w:val="num" w:pos="283"/>
        </w:tabs>
        <w:ind w:left="283" w:hanging="283"/>
      </w:pPr>
      <w:rPr>
        <w:rFonts w:ascii="Arial" w:hAnsi="Arial" w:cs="Arial"/>
        <w:b w:val="0"/>
        <w:i w:val="0"/>
        <w:sz w:val="15"/>
      </w:rPr>
    </w:lvl>
  </w:abstractNum>
  <w:num w:numId="1">
    <w:abstractNumId w:val="9"/>
  </w:num>
  <w:num w:numId="2">
    <w:abstractNumId w:val="3"/>
  </w:num>
  <w:num w:numId="3">
    <w:abstractNumId w:val="8"/>
  </w:num>
  <w:num w:numId="4">
    <w:abstractNumId w:val="2"/>
  </w:num>
  <w:num w:numId="5">
    <w:abstractNumId w:val="0"/>
  </w:num>
  <w:num w:numId="6">
    <w:abstractNumId w:val="12"/>
  </w:num>
  <w:num w:numId="7">
    <w:abstractNumId w:val="4"/>
  </w:num>
  <w:num w:numId="8">
    <w:abstractNumId w:val="5"/>
  </w:num>
  <w:num w:numId="9">
    <w:abstractNumId w:val="10"/>
  </w:num>
  <w:num w:numId="10">
    <w:abstractNumId w:val="6"/>
  </w:num>
  <w:num w:numId="11">
    <w:abstractNumId w:val="11"/>
    <w:lvlOverride w:ilvl="0">
      <w:startOverride w:val="1"/>
    </w:lvlOverride>
  </w:num>
  <w:num w:numId="12">
    <w:abstractNumId w:val="11"/>
    <w:lvlOverride w:ilvl="0">
      <w:startOverride w:val="1"/>
    </w:lvlOverride>
  </w:num>
  <w:num w:numId="13">
    <w:abstractNumId w:val="11"/>
    <w:lvlOverride w:ilvl="0">
      <w:startOverride w:val="1"/>
    </w:lvlOverride>
  </w:num>
  <w:num w:numId="14">
    <w:abstractNumId w:val="11"/>
    <w:lvlOverride w:ilvl="0">
      <w:startOverride w:val="1"/>
    </w:lvlOverride>
  </w:num>
  <w:num w:numId="15">
    <w:abstractNumId w:val="11"/>
    <w:lvlOverride w:ilvl="0">
      <w:startOverride w:val="1"/>
    </w:lvlOverride>
  </w:num>
  <w:num w:numId="16">
    <w:abstractNumId w:val="11"/>
  </w:num>
  <w:num w:numId="17">
    <w:abstractNumId w:val="11"/>
    <w:lvlOverride w:ilvl="0">
      <w:startOverride w:val="1"/>
    </w:lvlOverride>
  </w:num>
  <w:num w:numId="18">
    <w:abstractNumId w:val="11"/>
    <w:lvlOverride w:ilvl="0">
      <w:startOverride w:val="1"/>
    </w:lvlOverride>
  </w:num>
  <w:num w:numId="19">
    <w:abstractNumId w:val="11"/>
    <w:lvlOverride w:ilvl="0">
      <w:startOverride w:val="1"/>
    </w:lvlOverride>
  </w:num>
  <w:num w:numId="20">
    <w:abstractNumId w:val="11"/>
  </w:num>
  <w:num w:numId="21">
    <w:abstractNumId w:val="11"/>
    <w:lvlOverride w:ilvl="0">
      <w:startOverride w:val="1"/>
    </w:lvlOverride>
  </w:num>
  <w:num w:numId="22">
    <w:abstractNumId w:val="11"/>
    <w:lvlOverride w:ilvl="0">
      <w:startOverride w:val="1"/>
    </w:lvlOverride>
  </w:num>
  <w:num w:numId="23">
    <w:abstractNumId w:val="11"/>
    <w:lvlOverride w:ilvl="0">
      <w:startOverride w:val="1"/>
    </w:lvlOverride>
  </w:num>
  <w:num w:numId="24">
    <w:abstractNumId w:val="11"/>
    <w:lvlOverride w:ilvl="0">
      <w:startOverride w:val="1"/>
    </w:lvlOverride>
  </w:num>
  <w:num w:numId="25">
    <w:abstractNumId w:val="11"/>
    <w:lvlOverride w:ilvl="0">
      <w:startOverride w:val="1"/>
    </w:lvlOverride>
  </w:num>
  <w:num w:numId="26">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num>
  <w:num w:numId="28">
    <w:abstractNumId w:val="8"/>
    <w:lvlOverride w:ilvl="0">
      <w:startOverride w:val="16"/>
    </w:lvlOverride>
  </w:num>
  <w:num w:numId="29">
    <w:abstractNumId w:val="8"/>
    <w:lvlOverride w:ilvl="0">
      <w:startOverride w:val="5"/>
    </w:lvlOverride>
  </w:num>
  <w:num w:numId="30">
    <w:abstractNumId w:val="11"/>
    <w:lvlOverride w:ilvl="0">
      <w:startOverride w:val="1"/>
    </w:lvlOverride>
  </w:num>
  <w:num w:numId="31">
    <w:abstractNumId w:val="8"/>
    <w:lvlOverride w:ilvl="0">
      <w:startOverride w:val="1"/>
    </w:lvlOverride>
  </w:num>
  <w:num w:numId="32">
    <w:abstractNumId w:val="2"/>
  </w:num>
  <w:num w:numId="33">
    <w:abstractNumId w:val="2"/>
  </w:num>
  <w:num w:numId="34">
    <w:abstractNumId w:val="1"/>
  </w:num>
  <w:num w:numId="35">
    <w:abstractNumId w:val="8"/>
  </w:num>
  <w:num w:numId="36">
    <w:abstractNumId w:val="8"/>
  </w:num>
  <w:num w:numId="37">
    <w:abstractNumId w:val="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defaultTabStop w:val="720"/>
  <w:evenAndOddHeaders/>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ecurityClassificationInHeader" w:val="False"/>
  </w:docVars>
  <w:rsids>
    <w:rsidRoot w:val="000411DC"/>
    <w:rsid w:val="00001A95"/>
    <w:rsid w:val="00010F1D"/>
    <w:rsid w:val="00013274"/>
    <w:rsid w:val="00013D66"/>
    <w:rsid w:val="00013EA8"/>
    <w:rsid w:val="000142B0"/>
    <w:rsid w:val="00016E03"/>
    <w:rsid w:val="00017E6A"/>
    <w:rsid w:val="00017E83"/>
    <w:rsid w:val="00033E1C"/>
    <w:rsid w:val="0003507C"/>
    <w:rsid w:val="000355A6"/>
    <w:rsid w:val="000356AF"/>
    <w:rsid w:val="00035D8D"/>
    <w:rsid w:val="000411DC"/>
    <w:rsid w:val="00041EEA"/>
    <w:rsid w:val="00041F9F"/>
    <w:rsid w:val="000461D9"/>
    <w:rsid w:val="000462C7"/>
    <w:rsid w:val="0004730C"/>
    <w:rsid w:val="000505B7"/>
    <w:rsid w:val="0005099A"/>
    <w:rsid w:val="00050BF4"/>
    <w:rsid w:val="000519D0"/>
    <w:rsid w:val="0005311B"/>
    <w:rsid w:val="000536B5"/>
    <w:rsid w:val="00054A4F"/>
    <w:rsid w:val="000616DE"/>
    <w:rsid w:val="00062330"/>
    <w:rsid w:val="00062FC7"/>
    <w:rsid w:val="00063182"/>
    <w:rsid w:val="00063435"/>
    <w:rsid w:val="0006474A"/>
    <w:rsid w:val="00067DC7"/>
    <w:rsid w:val="00072D84"/>
    <w:rsid w:val="00081BFD"/>
    <w:rsid w:val="000829A1"/>
    <w:rsid w:val="000851AC"/>
    <w:rsid w:val="00085FD4"/>
    <w:rsid w:val="00090EF3"/>
    <w:rsid w:val="00091BDF"/>
    <w:rsid w:val="00094EBD"/>
    <w:rsid w:val="000A1CBA"/>
    <w:rsid w:val="000A5C8A"/>
    <w:rsid w:val="000B25FA"/>
    <w:rsid w:val="000B39A5"/>
    <w:rsid w:val="000C146A"/>
    <w:rsid w:val="000C247B"/>
    <w:rsid w:val="000C34C0"/>
    <w:rsid w:val="000C5523"/>
    <w:rsid w:val="000C5AC7"/>
    <w:rsid w:val="000D0EEF"/>
    <w:rsid w:val="000D1FF3"/>
    <w:rsid w:val="000D2827"/>
    <w:rsid w:val="000D4028"/>
    <w:rsid w:val="000D41BF"/>
    <w:rsid w:val="000E105B"/>
    <w:rsid w:val="000E1C10"/>
    <w:rsid w:val="000E2DCD"/>
    <w:rsid w:val="000E5416"/>
    <w:rsid w:val="000F2F42"/>
    <w:rsid w:val="000F305D"/>
    <w:rsid w:val="000F452B"/>
    <w:rsid w:val="000F4934"/>
    <w:rsid w:val="000F5D7C"/>
    <w:rsid w:val="0010438F"/>
    <w:rsid w:val="00104A80"/>
    <w:rsid w:val="00104BB0"/>
    <w:rsid w:val="00105975"/>
    <w:rsid w:val="00105B48"/>
    <w:rsid w:val="00105F26"/>
    <w:rsid w:val="00112EC7"/>
    <w:rsid w:val="00114033"/>
    <w:rsid w:val="00114324"/>
    <w:rsid w:val="00114517"/>
    <w:rsid w:val="00116FA5"/>
    <w:rsid w:val="0012028C"/>
    <w:rsid w:val="0013421B"/>
    <w:rsid w:val="001364D1"/>
    <w:rsid w:val="00142B8C"/>
    <w:rsid w:val="001432BA"/>
    <w:rsid w:val="00144271"/>
    <w:rsid w:val="0014475A"/>
    <w:rsid w:val="001460F2"/>
    <w:rsid w:val="00153299"/>
    <w:rsid w:val="00160F94"/>
    <w:rsid w:val="0016118E"/>
    <w:rsid w:val="00163DFE"/>
    <w:rsid w:val="0016642A"/>
    <w:rsid w:val="00166FE7"/>
    <w:rsid w:val="00172CFE"/>
    <w:rsid w:val="00181FBC"/>
    <w:rsid w:val="001823AE"/>
    <w:rsid w:val="001839BB"/>
    <w:rsid w:val="00184015"/>
    <w:rsid w:val="00186AE0"/>
    <w:rsid w:val="0019115B"/>
    <w:rsid w:val="001915E5"/>
    <w:rsid w:val="001970E6"/>
    <w:rsid w:val="001974DD"/>
    <w:rsid w:val="001A03A9"/>
    <w:rsid w:val="001A0545"/>
    <w:rsid w:val="001A1BCD"/>
    <w:rsid w:val="001A2246"/>
    <w:rsid w:val="001A5C69"/>
    <w:rsid w:val="001A6447"/>
    <w:rsid w:val="001A7664"/>
    <w:rsid w:val="001A767B"/>
    <w:rsid w:val="001B1D54"/>
    <w:rsid w:val="001B1FDC"/>
    <w:rsid w:val="001B3062"/>
    <w:rsid w:val="001B4556"/>
    <w:rsid w:val="001C18A3"/>
    <w:rsid w:val="001C29BA"/>
    <w:rsid w:val="001C6124"/>
    <w:rsid w:val="001D30C2"/>
    <w:rsid w:val="001D4D07"/>
    <w:rsid w:val="001D5817"/>
    <w:rsid w:val="001E0CB6"/>
    <w:rsid w:val="001F083E"/>
    <w:rsid w:val="001F108C"/>
    <w:rsid w:val="001F2980"/>
    <w:rsid w:val="001F4707"/>
    <w:rsid w:val="001F5424"/>
    <w:rsid w:val="001F6330"/>
    <w:rsid w:val="001F65CC"/>
    <w:rsid w:val="001F6E7D"/>
    <w:rsid w:val="001F7368"/>
    <w:rsid w:val="00204660"/>
    <w:rsid w:val="00204BD2"/>
    <w:rsid w:val="00204D8C"/>
    <w:rsid w:val="00204ECD"/>
    <w:rsid w:val="002104FA"/>
    <w:rsid w:val="00211122"/>
    <w:rsid w:val="0021172B"/>
    <w:rsid w:val="00212945"/>
    <w:rsid w:val="00212EA4"/>
    <w:rsid w:val="002131D6"/>
    <w:rsid w:val="00216546"/>
    <w:rsid w:val="00216C1F"/>
    <w:rsid w:val="0021759A"/>
    <w:rsid w:val="002201DA"/>
    <w:rsid w:val="00220913"/>
    <w:rsid w:val="0022789B"/>
    <w:rsid w:val="0023088F"/>
    <w:rsid w:val="00233A92"/>
    <w:rsid w:val="0023409E"/>
    <w:rsid w:val="00235B99"/>
    <w:rsid w:val="00236D24"/>
    <w:rsid w:val="00237F04"/>
    <w:rsid w:val="002401C2"/>
    <w:rsid w:val="002405AE"/>
    <w:rsid w:val="00244193"/>
    <w:rsid w:val="002454AC"/>
    <w:rsid w:val="00245BFC"/>
    <w:rsid w:val="002471AF"/>
    <w:rsid w:val="00247E1F"/>
    <w:rsid w:val="00250F83"/>
    <w:rsid w:val="00255B26"/>
    <w:rsid w:val="00257B96"/>
    <w:rsid w:val="002609B6"/>
    <w:rsid w:val="00267200"/>
    <w:rsid w:val="002674F1"/>
    <w:rsid w:val="0026755E"/>
    <w:rsid w:val="002750A6"/>
    <w:rsid w:val="00275FA9"/>
    <w:rsid w:val="00280DDD"/>
    <w:rsid w:val="00281716"/>
    <w:rsid w:val="0028172B"/>
    <w:rsid w:val="0028527A"/>
    <w:rsid w:val="00286C58"/>
    <w:rsid w:val="00286E85"/>
    <w:rsid w:val="00287BA4"/>
    <w:rsid w:val="00287E1B"/>
    <w:rsid w:val="0029581D"/>
    <w:rsid w:val="002A105D"/>
    <w:rsid w:val="002A1B1D"/>
    <w:rsid w:val="002A39E2"/>
    <w:rsid w:val="002B04A4"/>
    <w:rsid w:val="002B29D9"/>
    <w:rsid w:val="002B29EE"/>
    <w:rsid w:val="002B3408"/>
    <w:rsid w:val="002B6106"/>
    <w:rsid w:val="002C23A0"/>
    <w:rsid w:val="002C7081"/>
    <w:rsid w:val="002D2653"/>
    <w:rsid w:val="002D2C77"/>
    <w:rsid w:val="002D74CB"/>
    <w:rsid w:val="002D76AD"/>
    <w:rsid w:val="002E00BF"/>
    <w:rsid w:val="002E127F"/>
    <w:rsid w:val="002E30A0"/>
    <w:rsid w:val="002E638A"/>
    <w:rsid w:val="002E7568"/>
    <w:rsid w:val="002F039C"/>
    <w:rsid w:val="002F4215"/>
    <w:rsid w:val="002F4A51"/>
    <w:rsid w:val="002F52C1"/>
    <w:rsid w:val="002F62BE"/>
    <w:rsid w:val="00302955"/>
    <w:rsid w:val="00304B9A"/>
    <w:rsid w:val="003056D5"/>
    <w:rsid w:val="003077CB"/>
    <w:rsid w:val="00314F7E"/>
    <w:rsid w:val="0031787C"/>
    <w:rsid w:val="0032350B"/>
    <w:rsid w:val="00323650"/>
    <w:rsid w:val="003247E3"/>
    <w:rsid w:val="00326904"/>
    <w:rsid w:val="00327FDB"/>
    <w:rsid w:val="00330496"/>
    <w:rsid w:val="0033509F"/>
    <w:rsid w:val="003367BA"/>
    <w:rsid w:val="00337498"/>
    <w:rsid w:val="00337CF0"/>
    <w:rsid w:val="00341779"/>
    <w:rsid w:val="003421CD"/>
    <w:rsid w:val="003451F5"/>
    <w:rsid w:val="003465DC"/>
    <w:rsid w:val="003506C0"/>
    <w:rsid w:val="00353D3F"/>
    <w:rsid w:val="00354100"/>
    <w:rsid w:val="0035479D"/>
    <w:rsid w:val="0035553D"/>
    <w:rsid w:val="003602A0"/>
    <w:rsid w:val="00362205"/>
    <w:rsid w:val="00366FEE"/>
    <w:rsid w:val="00370BE5"/>
    <w:rsid w:val="00371D6D"/>
    <w:rsid w:val="003762DC"/>
    <w:rsid w:val="003811F9"/>
    <w:rsid w:val="00382E3D"/>
    <w:rsid w:val="00387549"/>
    <w:rsid w:val="00390981"/>
    <w:rsid w:val="00390D8A"/>
    <w:rsid w:val="003947D9"/>
    <w:rsid w:val="00395A69"/>
    <w:rsid w:val="003A176B"/>
    <w:rsid w:val="003A1986"/>
    <w:rsid w:val="003A3AC2"/>
    <w:rsid w:val="003A5867"/>
    <w:rsid w:val="003B0631"/>
    <w:rsid w:val="003B08C8"/>
    <w:rsid w:val="003B0FBC"/>
    <w:rsid w:val="003B227B"/>
    <w:rsid w:val="003B3319"/>
    <w:rsid w:val="003B73AC"/>
    <w:rsid w:val="003C1CB1"/>
    <w:rsid w:val="003C2B51"/>
    <w:rsid w:val="003C30BB"/>
    <w:rsid w:val="003C3F8A"/>
    <w:rsid w:val="003D0779"/>
    <w:rsid w:val="003D4659"/>
    <w:rsid w:val="003D7188"/>
    <w:rsid w:val="003E6605"/>
    <w:rsid w:val="003E6B6B"/>
    <w:rsid w:val="003F3CCC"/>
    <w:rsid w:val="003F7321"/>
    <w:rsid w:val="00400EE9"/>
    <w:rsid w:val="0040320A"/>
    <w:rsid w:val="004036C9"/>
    <w:rsid w:val="0040658E"/>
    <w:rsid w:val="00407431"/>
    <w:rsid w:val="00413DCF"/>
    <w:rsid w:val="0042020B"/>
    <w:rsid w:val="00425476"/>
    <w:rsid w:val="0043478A"/>
    <w:rsid w:val="00437936"/>
    <w:rsid w:val="00442A0A"/>
    <w:rsid w:val="004430B4"/>
    <w:rsid w:val="004443E8"/>
    <w:rsid w:val="00446FCE"/>
    <w:rsid w:val="0044769F"/>
    <w:rsid w:val="00451BC9"/>
    <w:rsid w:val="0045237D"/>
    <w:rsid w:val="00456A56"/>
    <w:rsid w:val="0045763D"/>
    <w:rsid w:val="00467789"/>
    <w:rsid w:val="00470B24"/>
    <w:rsid w:val="00472325"/>
    <w:rsid w:val="004746AC"/>
    <w:rsid w:val="00482B33"/>
    <w:rsid w:val="004845CC"/>
    <w:rsid w:val="0048563A"/>
    <w:rsid w:val="00495F00"/>
    <w:rsid w:val="00495F5F"/>
    <w:rsid w:val="00497398"/>
    <w:rsid w:val="004A24A9"/>
    <w:rsid w:val="004A2E16"/>
    <w:rsid w:val="004A4696"/>
    <w:rsid w:val="004B1519"/>
    <w:rsid w:val="004C1BFE"/>
    <w:rsid w:val="004C2232"/>
    <w:rsid w:val="004C4958"/>
    <w:rsid w:val="004C5AFF"/>
    <w:rsid w:val="004C5BB0"/>
    <w:rsid w:val="004C6B59"/>
    <w:rsid w:val="004D3C8E"/>
    <w:rsid w:val="004D47F5"/>
    <w:rsid w:val="004E210C"/>
    <w:rsid w:val="004E6929"/>
    <w:rsid w:val="004E7DD1"/>
    <w:rsid w:val="004F200E"/>
    <w:rsid w:val="004F2432"/>
    <w:rsid w:val="004F3FD9"/>
    <w:rsid w:val="004F60DD"/>
    <w:rsid w:val="004F709D"/>
    <w:rsid w:val="00501D0A"/>
    <w:rsid w:val="005020B6"/>
    <w:rsid w:val="005040FC"/>
    <w:rsid w:val="0050762C"/>
    <w:rsid w:val="00510688"/>
    <w:rsid w:val="0051157E"/>
    <w:rsid w:val="00511B94"/>
    <w:rsid w:val="00514584"/>
    <w:rsid w:val="0051518E"/>
    <w:rsid w:val="00515994"/>
    <w:rsid w:val="00517DF2"/>
    <w:rsid w:val="00520140"/>
    <w:rsid w:val="00523FDE"/>
    <w:rsid w:val="00524EFF"/>
    <w:rsid w:val="005325D0"/>
    <w:rsid w:val="0053458C"/>
    <w:rsid w:val="005372C6"/>
    <w:rsid w:val="00543C0E"/>
    <w:rsid w:val="00544BF0"/>
    <w:rsid w:val="0054582F"/>
    <w:rsid w:val="00546083"/>
    <w:rsid w:val="005525CD"/>
    <w:rsid w:val="005530F0"/>
    <w:rsid w:val="00555CD6"/>
    <w:rsid w:val="005618FD"/>
    <w:rsid w:val="00562C07"/>
    <w:rsid w:val="00565A92"/>
    <w:rsid w:val="00565F53"/>
    <w:rsid w:val="00580ACC"/>
    <w:rsid w:val="005815FC"/>
    <w:rsid w:val="0058185A"/>
    <w:rsid w:val="005828D1"/>
    <w:rsid w:val="00590756"/>
    <w:rsid w:val="005909CB"/>
    <w:rsid w:val="00591904"/>
    <w:rsid w:val="005960DB"/>
    <w:rsid w:val="00596A87"/>
    <w:rsid w:val="005A1B60"/>
    <w:rsid w:val="005A2C1B"/>
    <w:rsid w:val="005A4276"/>
    <w:rsid w:val="005A43A4"/>
    <w:rsid w:val="005A7035"/>
    <w:rsid w:val="005A7537"/>
    <w:rsid w:val="005B3010"/>
    <w:rsid w:val="005B358A"/>
    <w:rsid w:val="005B38ED"/>
    <w:rsid w:val="005B4458"/>
    <w:rsid w:val="005B543F"/>
    <w:rsid w:val="005C02A3"/>
    <w:rsid w:val="005C4155"/>
    <w:rsid w:val="005C41F0"/>
    <w:rsid w:val="005C4A94"/>
    <w:rsid w:val="005C4E9F"/>
    <w:rsid w:val="005C7CA0"/>
    <w:rsid w:val="005D23CB"/>
    <w:rsid w:val="005D3785"/>
    <w:rsid w:val="005D756A"/>
    <w:rsid w:val="005E4FF4"/>
    <w:rsid w:val="005E7021"/>
    <w:rsid w:val="005F5595"/>
    <w:rsid w:val="0060305C"/>
    <w:rsid w:val="00613B7F"/>
    <w:rsid w:val="00617A41"/>
    <w:rsid w:val="006229B2"/>
    <w:rsid w:val="00622CDB"/>
    <w:rsid w:val="00624448"/>
    <w:rsid w:val="00625B8E"/>
    <w:rsid w:val="00633B8A"/>
    <w:rsid w:val="00633C4E"/>
    <w:rsid w:val="0063778E"/>
    <w:rsid w:val="006410D3"/>
    <w:rsid w:val="0064221F"/>
    <w:rsid w:val="0064570B"/>
    <w:rsid w:val="00646DA4"/>
    <w:rsid w:val="006502DD"/>
    <w:rsid w:val="00650958"/>
    <w:rsid w:val="00653616"/>
    <w:rsid w:val="00655B9D"/>
    <w:rsid w:val="0066306D"/>
    <w:rsid w:val="00663739"/>
    <w:rsid w:val="00664F1B"/>
    <w:rsid w:val="00671260"/>
    <w:rsid w:val="006717AB"/>
    <w:rsid w:val="00675BCF"/>
    <w:rsid w:val="00677EBB"/>
    <w:rsid w:val="00681FD4"/>
    <w:rsid w:val="00682362"/>
    <w:rsid w:val="00682D05"/>
    <w:rsid w:val="00685E8F"/>
    <w:rsid w:val="006908E6"/>
    <w:rsid w:val="00693EB4"/>
    <w:rsid w:val="006959F2"/>
    <w:rsid w:val="00695CA6"/>
    <w:rsid w:val="006A039F"/>
    <w:rsid w:val="006A0544"/>
    <w:rsid w:val="006A1818"/>
    <w:rsid w:val="006A3009"/>
    <w:rsid w:val="006A3C8D"/>
    <w:rsid w:val="006A4CAD"/>
    <w:rsid w:val="006A6D13"/>
    <w:rsid w:val="006A78B4"/>
    <w:rsid w:val="006A79D5"/>
    <w:rsid w:val="006A7FC7"/>
    <w:rsid w:val="006B3262"/>
    <w:rsid w:val="006B436A"/>
    <w:rsid w:val="006B7AE7"/>
    <w:rsid w:val="006C143C"/>
    <w:rsid w:val="006C3E49"/>
    <w:rsid w:val="006C469F"/>
    <w:rsid w:val="006D3ACF"/>
    <w:rsid w:val="006D5F31"/>
    <w:rsid w:val="006D6DEE"/>
    <w:rsid w:val="006D71BC"/>
    <w:rsid w:val="006D7305"/>
    <w:rsid w:val="006E07A1"/>
    <w:rsid w:val="006E3409"/>
    <w:rsid w:val="006E3C8B"/>
    <w:rsid w:val="006E4AC4"/>
    <w:rsid w:val="006F091C"/>
    <w:rsid w:val="006F1273"/>
    <w:rsid w:val="006F1AC1"/>
    <w:rsid w:val="006F4EB2"/>
    <w:rsid w:val="006F6B04"/>
    <w:rsid w:val="0070032F"/>
    <w:rsid w:val="00701805"/>
    <w:rsid w:val="00703B1E"/>
    <w:rsid w:val="00705051"/>
    <w:rsid w:val="00706AD5"/>
    <w:rsid w:val="00707B1E"/>
    <w:rsid w:val="00711C83"/>
    <w:rsid w:val="0071248C"/>
    <w:rsid w:val="00720725"/>
    <w:rsid w:val="00721F39"/>
    <w:rsid w:val="0072449F"/>
    <w:rsid w:val="00725180"/>
    <w:rsid w:val="00725D40"/>
    <w:rsid w:val="00725DF4"/>
    <w:rsid w:val="00727A34"/>
    <w:rsid w:val="00727E35"/>
    <w:rsid w:val="007330D7"/>
    <w:rsid w:val="0074103E"/>
    <w:rsid w:val="00745E0E"/>
    <w:rsid w:val="007501F7"/>
    <w:rsid w:val="007527F9"/>
    <w:rsid w:val="007535E3"/>
    <w:rsid w:val="00760189"/>
    <w:rsid w:val="00762254"/>
    <w:rsid w:val="00765B95"/>
    <w:rsid w:val="00774E0C"/>
    <w:rsid w:val="00780360"/>
    <w:rsid w:val="00787CD4"/>
    <w:rsid w:val="007900D3"/>
    <w:rsid w:val="00790624"/>
    <w:rsid w:val="00794EA6"/>
    <w:rsid w:val="007954C9"/>
    <w:rsid w:val="007A1417"/>
    <w:rsid w:val="007A151D"/>
    <w:rsid w:val="007A371C"/>
    <w:rsid w:val="007A5694"/>
    <w:rsid w:val="007A690E"/>
    <w:rsid w:val="007B0234"/>
    <w:rsid w:val="007B4595"/>
    <w:rsid w:val="007B7EAE"/>
    <w:rsid w:val="007C11E2"/>
    <w:rsid w:val="007C54C6"/>
    <w:rsid w:val="007D086E"/>
    <w:rsid w:val="007D23E9"/>
    <w:rsid w:val="007D4DA3"/>
    <w:rsid w:val="007D7B08"/>
    <w:rsid w:val="007D7F2A"/>
    <w:rsid w:val="007E28FB"/>
    <w:rsid w:val="007E34FC"/>
    <w:rsid w:val="007F3CDB"/>
    <w:rsid w:val="007F5BD1"/>
    <w:rsid w:val="00806124"/>
    <w:rsid w:val="00807458"/>
    <w:rsid w:val="008107BC"/>
    <w:rsid w:val="00810EA0"/>
    <w:rsid w:val="00812C7D"/>
    <w:rsid w:val="00813446"/>
    <w:rsid w:val="00813709"/>
    <w:rsid w:val="008147E2"/>
    <w:rsid w:val="00816CFE"/>
    <w:rsid w:val="00817565"/>
    <w:rsid w:val="0082210A"/>
    <w:rsid w:val="00824E07"/>
    <w:rsid w:val="00824E85"/>
    <w:rsid w:val="0082565F"/>
    <w:rsid w:val="00826AC6"/>
    <w:rsid w:val="00827891"/>
    <w:rsid w:val="0083186A"/>
    <w:rsid w:val="0083626B"/>
    <w:rsid w:val="008377C0"/>
    <w:rsid w:val="0084085F"/>
    <w:rsid w:val="00841F7B"/>
    <w:rsid w:val="00843A08"/>
    <w:rsid w:val="00843CD3"/>
    <w:rsid w:val="0084561E"/>
    <w:rsid w:val="00850AA7"/>
    <w:rsid w:val="00855C79"/>
    <w:rsid w:val="008562BE"/>
    <w:rsid w:val="0086282D"/>
    <w:rsid w:val="008634B9"/>
    <w:rsid w:val="008635D9"/>
    <w:rsid w:val="00864747"/>
    <w:rsid w:val="00870F11"/>
    <w:rsid w:val="00873C46"/>
    <w:rsid w:val="00874E61"/>
    <w:rsid w:val="00875FF6"/>
    <w:rsid w:val="0088446E"/>
    <w:rsid w:val="00885620"/>
    <w:rsid w:val="00886418"/>
    <w:rsid w:val="0088667B"/>
    <w:rsid w:val="008919B4"/>
    <w:rsid w:val="00892E48"/>
    <w:rsid w:val="008931D2"/>
    <w:rsid w:val="00894AFB"/>
    <w:rsid w:val="008A1A6D"/>
    <w:rsid w:val="008A25C6"/>
    <w:rsid w:val="008A3005"/>
    <w:rsid w:val="008A50F9"/>
    <w:rsid w:val="008B4987"/>
    <w:rsid w:val="008B5FB1"/>
    <w:rsid w:val="008B6882"/>
    <w:rsid w:val="008B7C93"/>
    <w:rsid w:val="008D3273"/>
    <w:rsid w:val="008D4141"/>
    <w:rsid w:val="008D71E5"/>
    <w:rsid w:val="008E366D"/>
    <w:rsid w:val="008E7225"/>
    <w:rsid w:val="00901607"/>
    <w:rsid w:val="009057AE"/>
    <w:rsid w:val="00906C45"/>
    <w:rsid w:val="00911173"/>
    <w:rsid w:val="00912A5D"/>
    <w:rsid w:val="00912C18"/>
    <w:rsid w:val="00912DBC"/>
    <w:rsid w:val="00913088"/>
    <w:rsid w:val="00917BBD"/>
    <w:rsid w:val="00920B2D"/>
    <w:rsid w:val="00922E19"/>
    <w:rsid w:val="00922EB2"/>
    <w:rsid w:val="009256F5"/>
    <w:rsid w:val="009262AA"/>
    <w:rsid w:val="00926393"/>
    <w:rsid w:val="009332FF"/>
    <w:rsid w:val="009335F9"/>
    <w:rsid w:val="0093363A"/>
    <w:rsid w:val="00933D1A"/>
    <w:rsid w:val="00935008"/>
    <w:rsid w:val="00940489"/>
    <w:rsid w:val="00941721"/>
    <w:rsid w:val="00943C8B"/>
    <w:rsid w:val="00944587"/>
    <w:rsid w:val="00946AE3"/>
    <w:rsid w:val="00950716"/>
    <w:rsid w:val="00952BC7"/>
    <w:rsid w:val="0095775D"/>
    <w:rsid w:val="00961588"/>
    <w:rsid w:val="009642A2"/>
    <w:rsid w:val="009758BF"/>
    <w:rsid w:val="009804F5"/>
    <w:rsid w:val="0098218D"/>
    <w:rsid w:val="0098450F"/>
    <w:rsid w:val="009872B8"/>
    <w:rsid w:val="0098765A"/>
    <w:rsid w:val="00992703"/>
    <w:rsid w:val="009951FC"/>
    <w:rsid w:val="00995C5B"/>
    <w:rsid w:val="00995FF3"/>
    <w:rsid w:val="009A608E"/>
    <w:rsid w:val="009A759A"/>
    <w:rsid w:val="009A796B"/>
    <w:rsid w:val="009B160A"/>
    <w:rsid w:val="009B2132"/>
    <w:rsid w:val="009B4FAD"/>
    <w:rsid w:val="009B53BB"/>
    <w:rsid w:val="009C246F"/>
    <w:rsid w:val="009C3C4C"/>
    <w:rsid w:val="009C4905"/>
    <w:rsid w:val="009C4BC1"/>
    <w:rsid w:val="009C584D"/>
    <w:rsid w:val="009C64D3"/>
    <w:rsid w:val="009D1C46"/>
    <w:rsid w:val="009D2FEC"/>
    <w:rsid w:val="009D7662"/>
    <w:rsid w:val="009E0685"/>
    <w:rsid w:val="009E3B6E"/>
    <w:rsid w:val="009E51AC"/>
    <w:rsid w:val="009E5C0A"/>
    <w:rsid w:val="009E766A"/>
    <w:rsid w:val="009E7E50"/>
    <w:rsid w:val="009F7811"/>
    <w:rsid w:val="00A02166"/>
    <w:rsid w:val="00A03F64"/>
    <w:rsid w:val="00A100F3"/>
    <w:rsid w:val="00A103B5"/>
    <w:rsid w:val="00A10406"/>
    <w:rsid w:val="00A10E94"/>
    <w:rsid w:val="00A126E7"/>
    <w:rsid w:val="00A14761"/>
    <w:rsid w:val="00A15B52"/>
    <w:rsid w:val="00A15DBA"/>
    <w:rsid w:val="00A254A3"/>
    <w:rsid w:val="00A3016B"/>
    <w:rsid w:val="00A3117F"/>
    <w:rsid w:val="00A344B2"/>
    <w:rsid w:val="00A3476F"/>
    <w:rsid w:val="00A36880"/>
    <w:rsid w:val="00A4311B"/>
    <w:rsid w:val="00A448F7"/>
    <w:rsid w:val="00A44FB1"/>
    <w:rsid w:val="00A45056"/>
    <w:rsid w:val="00A50D5A"/>
    <w:rsid w:val="00A52C55"/>
    <w:rsid w:val="00A60A4A"/>
    <w:rsid w:val="00A61D62"/>
    <w:rsid w:val="00A769D4"/>
    <w:rsid w:val="00A85511"/>
    <w:rsid w:val="00A90AEC"/>
    <w:rsid w:val="00A90C1B"/>
    <w:rsid w:val="00A91A07"/>
    <w:rsid w:val="00A93432"/>
    <w:rsid w:val="00A94614"/>
    <w:rsid w:val="00A9552E"/>
    <w:rsid w:val="00A976CC"/>
    <w:rsid w:val="00AA1B60"/>
    <w:rsid w:val="00AA2285"/>
    <w:rsid w:val="00AA3D6F"/>
    <w:rsid w:val="00AB273A"/>
    <w:rsid w:val="00AB4057"/>
    <w:rsid w:val="00AB7DEB"/>
    <w:rsid w:val="00AC4AED"/>
    <w:rsid w:val="00AD110C"/>
    <w:rsid w:val="00AD3C8E"/>
    <w:rsid w:val="00AD5206"/>
    <w:rsid w:val="00AD77F4"/>
    <w:rsid w:val="00AE14EE"/>
    <w:rsid w:val="00AE4DE8"/>
    <w:rsid w:val="00AE523A"/>
    <w:rsid w:val="00AE6B5B"/>
    <w:rsid w:val="00AE7AF3"/>
    <w:rsid w:val="00AF1045"/>
    <w:rsid w:val="00B00BAE"/>
    <w:rsid w:val="00B05B72"/>
    <w:rsid w:val="00B05F72"/>
    <w:rsid w:val="00B10DE9"/>
    <w:rsid w:val="00B2096D"/>
    <w:rsid w:val="00B23E35"/>
    <w:rsid w:val="00B24B03"/>
    <w:rsid w:val="00B25C9C"/>
    <w:rsid w:val="00B32B66"/>
    <w:rsid w:val="00B33CE9"/>
    <w:rsid w:val="00B348A8"/>
    <w:rsid w:val="00B41344"/>
    <w:rsid w:val="00B5223F"/>
    <w:rsid w:val="00B535DA"/>
    <w:rsid w:val="00B5420A"/>
    <w:rsid w:val="00B5522A"/>
    <w:rsid w:val="00B64493"/>
    <w:rsid w:val="00B65929"/>
    <w:rsid w:val="00B676D7"/>
    <w:rsid w:val="00B7322D"/>
    <w:rsid w:val="00B81D1C"/>
    <w:rsid w:val="00B837FE"/>
    <w:rsid w:val="00B871FA"/>
    <w:rsid w:val="00B91506"/>
    <w:rsid w:val="00B91AED"/>
    <w:rsid w:val="00B935C4"/>
    <w:rsid w:val="00B94F9D"/>
    <w:rsid w:val="00B95996"/>
    <w:rsid w:val="00B9755B"/>
    <w:rsid w:val="00BA0E8C"/>
    <w:rsid w:val="00BB207D"/>
    <w:rsid w:val="00BB3454"/>
    <w:rsid w:val="00BB700D"/>
    <w:rsid w:val="00BB71E8"/>
    <w:rsid w:val="00BB768F"/>
    <w:rsid w:val="00BC06BE"/>
    <w:rsid w:val="00BC1076"/>
    <w:rsid w:val="00BC1EDD"/>
    <w:rsid w:val="00BC3116"/>
    <w:rsid w:val="00BC6B41"/>
    <w:rsid w:val="00BC7249"/>
    <w:rsid w:val="00BC76BC"/>
    <w:rsid w:val="00BE34E7"/>
    <w:rsid w:val="00BE3500"/>
    <w:rsid w:val="00BE57DD"/>
    <w:rsid w:val="00BE5A65"/>
    <w:rsid w:val="00BF45E2"/>
    <w:rsid w:val="00BF7BF4"/>
    <w:rsid w:val="00C010EB"/>
    <w:rsid w:val="00C107AF"/>
    <w:rsid w:val="00C116B5"/>
    <w:rsid w:val="00C119A8"/>
    <w:rsid w:val="00C12E49"/>
    <w:rsid w:val="00C13042"/>
    <w:rsid w:val="00C17B33"/>
    <w:rsid w:val="00C17B52"/>
    <w:rsid w:val="00C30904"/>
    <w:rsid w:val="00C34AEB"/>
    <w:rsid w:val="00C40BE8"/>
    <w:rsid w:val="00C40E05"/>
    <w:rsid w:val="00C4293F"/>
    <w:rsid w:val="00C4489A"/>
    <w:rsid w:val="00C4747E"/>
    <w:rsid w:val="00C510FE"/>
    <w:rsid w:val="00C53DDF"/>
    <w:rsid w:val="00C60C1C"/>
    <w:rsid w:val="00C635E6"/>
    <w:rsid w:val="00C64CC1"/>
    <w:rsid w:val="00C6659D"/>
    <w:rsid w:val="00C66B88"/>
    <w:rsid w:val="00C71592"/>
    <w:rsid w:val="00C722B9"/>
    <w:rsid w:val="00C73823"/>
    <w:rsid w:val="00C7546A"/>
    <w:rsid w:val="00C76F3F"/>
    <w:rsid w:val="00C80026"/>
    <w:rsid w:val="00C86B30"/>
    <w:rsid w:val="00C908D9"/>
    <w:rsid w:val="00C90F25"/>
    <w:rsid w:val="00C950D6"/>
    <w:rsid w:val="00CA28AE"/>
    <w:rsid w:val="00CB14A0"/>
    <w:rsid w:val="00CB172F"/>
    <w:rsid w:val="00CB2F24"/>
    <w:rsid w:val="00CB2F59"/>
    <w:rsid w:val="00CB7D08"/>
    <w:rsid w:val="00CC099A"/>
    <w:rsid w:val="00CD00BD"/>
    <w:rsid w:val="00CD23A1"/>
    <w:rsid w:val="00CD400B"/>
    <w:rsid w:val="00CE270E"/>
    <w:rsid w:val="00CE4140"/>
    <w:rsid w:val="00CF0EBC"/>
    <w:rsid w:val="00CF1278"/>
    <w:rsid w:val="00CF1F1B"/>
    <w:rsid w:val="00D02E9F"/>
    <w:rsid w:val="00D039A6"/>
    <w:rsid w:val="00D13E32"/>
    <w:rsid w:val="00D15362"/>
    <w:rsid w:val="00D1685E"/>
    <w:rsid w:val="00D17E72"/>
    <w:rsid w:val="00D20C95"/>
    <w:rsid w:val="00D21520"/>
    <w:rsid w:val="00D220F0"/>
    <w:rsid w:val="00D22BD1"/>
    <w:rsid w:val="00D23B01"/>
    <w:rsid w:val="00D23C24"/>
    <w:rsid w:val="00D31348"/>
    <w:rsid w:val="00D316A5"/>
    <w:rsid w:val="00D33960"/>
    <w:rsid w:val="00D41968"/>
    <w:rsid w:val="00D424AA"/>
    <w:rsid w:val="00D43BCE"/>
    <w:rsid w:val="00D46549"/>
    <w:rsid w:val="00D46CD2"/>
    <w:rsid w:val="00D51AEC"/>
    <w:rsid w:val="00D554C5"/>
    <w:rsid w:val="00D647A1"/>
    <w:rsid w:val="00D64F1A"/>
    <w:rsid w:val="00D65F01"/>
    <w:rsid w:val="00D72A0B"/>
    <w:rsid w:val="00D75E8A"/>
    <w:rsid w:val="00D76B5B"/>
    <w:rsid w:val="00D80985"/>
    <w:rsid w:val="00D826B3"/>
    <w:rsid w:val="00D82B0F"/>
    <w:rsid w:val="00DA42A3"/>
    <w:rsid w:val="00DA58C6"/>
    <w:rsid w:val="00DB30DC"/>
    <w:rsid w:val="00DB3FEE"/>
    <w:rsid w:val="00DB4498"/>
    <w:rsid w:val="00DB738E"/>
    <w:rsid w:val="00DB765B"/>
    <w:rsid w:val="00DC3405"/>
    <w:rsid w:val="00DC5C39"/>
    <w:rsid w:val="00DC630E"/>
    <w:rsid w:val="00DD0C6C"/>
    <w:rsid w:val="00DD266E"/>
    <w:rsid w:val="00DD4771"/>
    <w:rsid w:val="00DD7051"/>
    <w:rsid w:val="00DE4A6B"/>
    <w:rsid w:val="00DE5456"/>
    <w:rsid w:val="00DE5B66"/>
    <w:rsid w:val="00DF0F3D"/>
    <w:rsid w:val="00DF0F40"/>
    <w:rsid w:val="00E046E5"/>
    <w:rsid w:val="00E10049"/>
    <w:rsid w:val="00E12BC7"/>
    <w:rsid w:val="00E15A28"/>
    <w:rsid w:val="00E20E49"/>
    <w:rsid w:val="00E22890"/>
    <w:rsid w:val="00E229C4"/>
    <w:rsid w:val="00E31387"/>
    <w:rsid w:val="00E32F94"/>
    <w:rsid w:val="00E33F6E"/>
    <w:rsid w:val="00E40261"/>
    <w:rsid w:val="00E40EA5"/>
    <w:rsid w:val="00E517A1"/>
    <w:rsid w:val="00E63D53"/>
    <w:rsid w:val="00E64C0C"/>
    <w:rsid w:val="00E6531B"/>
    <w:rsid w:val="00E66821"/>
    <w:rsid w:val="00E71B93"/>
    <w:rsid w:val="00E71EDA"/>
    <w:rsid w:val="00E73DE4"/>
    <w:rsid w:val="00E7495D"/>
    <w:rsid w:val="00E75297"/>
    <w:rsid w:val="00E7554A"/>
    <w:rsid w:val="00E80210"/>
    <w:rsid w:val="00E81181"/>
    <w:rsid w:val="00E829A7"/>
    <w:rsid w:val="00E845EA"/>
    <w:rsid w:val="00E86BF6"/>
    <w:rsid w:val="00E874FB"/>
    <w:rsid w:val="00E92496"/>
    <w:rsid w:val="00E94060"/>
    <w:rsid w:val="00E96F4E"/>
    <w:rsid w:val="00E97D7A"/>
    <w:rsid w:val="00EA35B1"/>
    <w:rsid w:val="00EA5C36"/>
    <w:rsid w:val="00EB3272"/>
    <w:rsid w:val="00EB4F71"/>
    <w:rsid w:val="00EB7409"/>
    <w:rsid w:val="00EC41D5"/>
    <w:rsid w:val="00EC42A6"/>
    <w:rsid w:val="00EC5C12"/>
    <w:rsid w:val="00EC7031"/>
    <w:rsid w:val="00ED0D94"/>
    <w:rsid w:val="00ED3191"/>
    <w:rsid w:val="00ED32BE"/>
    <w:rsid w:val="00ED3B17"/>
    <w:rsid w:val="00ED5A0A"/>
    <w:rsid w:val="00ED6421"/>
    <w:rsid w:val="00ED7E79"/>
    <w:rsid w:val="00EE0F06"/>
    <w:rsid w:val="00EE14F1"/>
    <w:rsid w:val="00EE1E0E"/>
    <w:rsid w:val="00EE408E"/>
    <w:rsid w:val="00EE4EB6"/>
    <w:rsid w:val="00EE5084"/>
    <w:rsid w:val="00EE6E3F"/>
    <w:rsid w:val="00EE7BCE"/>
    <w:rsid w:val="00EF0B6E"/>
    <w:rsid w:val="00EF3688"/>
    <w:rsid w:val="00EF414E"/>
    <w:rsid w:val="00EF4C8A"/>
    <w:rsid w:val="00EF5902"/>
    <w:rsid w:val="00F03F77"/>
    <w:rsid w:val="00F14158"/>
    <w:rsid w:val="00F16CBC"/>
    <w:rsid w:val="00F20E2B"/>
    <w:rsid w:val="00F23AB7"/>
    <w:rsid w:val="00F24E99"/>
    <w:rsid w:val="00F278C0"/>
    <w:rsid w:val="00F30074"/>
    <w:rsid w:val="00F308D0"/>
    <w:rsid w:val="00F350C5"/>
    <w:rsid w:val="00F353B8"/>
    <w:rsid w:val="00F40661"/>
    <w:rsid w:val="00F51B3D"/>
    <w:rsid w:val="00F5233D"/>
    <w:rsid w:val="00F5464F"/>
    <w:rsid w:val="00F66702"/>
    <w:rsid w:val="00F66DE5"/>
    <w:rsid w:val="00F67DED"/>
    <w:rsid w:val="00F700A8"/>
    <w:rsid w:val="00F74286"/>
    <w:rsid w:val="00F755FB"/>
    <w:rsid w:val="00F760E6"/>
    <w:rsid w:val="00F847CA"/>
    <w:rsid w:val="00F84F40"/>
    <w:rsid w:val="00F852ED"/>
    <w:rsid w:val="00F85526"/>
    <w:rsid w:val="00F94853"/>
    <w:rsid w:val="00F95249"/>
    <w:rsid w:val="00F95755"/>
    <w:rsid w:val="00FA00A5"/>
    <w:rsid w:val="00FA00D1"/>
    <w:rsid w:val="00FA0578"/>
    <w:rsid w:val="00FA0ADD"/>
    <w:rsid w:val="00FA2AD1"/>
    <w:rsid w:val="00FA372F"/>
    <w:rsid w:val="00FA46E0"/>
    <w:rsid w:val="00FA4806"/>
    <w:rsid w:val="00FA4B91"/>
    <w:rsid w:val="00FA7EC1"/>
    <w:rsid w:val="00FB4A10"/>
    <w:rsid w:val="00FB5A98"/>
    <w:rsid w:val="00FC1ECC"/>
    <w:rsid w:val="00FC3219"/>
    <w:rsid w:val="00FC35A6"/>
    <w:rsid w:val="00FC4974"/>
    <w:rsid w:val="00FC7371"/>
    <w:rsid w:val="00FD140B"/>
    <w:rsid w:val="00FD2664"/>
    <w:rsid w:val="00FD53EC"/>
    <w:rsid w:val="00FD6BBB"/>
    <w:rsid w:val="00FE0320"/>
    <w:rsid w:val="00FE47A3"/>
    <w:rsid w:val="00FE4EAE"/>
    <w:rsid w:val="00FF6417"/>
    <w:rsid w:val="00FF67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0"/>
    <w:lsdException w:name="toc 7" w:uiPriority="0"/>
    <w:lsdException w:name="toc 8" w:uiPriority="0"/>
    <w:lsdException w:name="toc 9" w:uiPriority="0"/>
    <w:lsdException w:name="Normal Indent" w:uiPriority="0"/>
    <w:lsdException w:name="footnote text" w:uiPriority="0"/>
    <w:lsdException w:name="header" w:uiPriority="0"/>
    <w:lsdException w:name="footer" w:uiPriority="0"/>
    <w:lsdException w:name="index heading" w:uiPriority="0"/>
    <w:lsdException w:name="caption" w:uiPriority="0" w:qFormat="1"/>
    <w:lsdException w:name="table of figures" w:uiPriority="0"/>
    <w:lsdException w:name="footnote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Bullet 4"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1DC"/>
    <w:pPr>
      <w:spacing w:after="240" w:line="260" w:lineRule="exact"/>
      <w:jc w:val="both"/>
    </w:pPr>
    <w:rPr>
      <w:rFonts w:ascii="Book Antiqua" w:eastAsia="Times New Roman" w:hAnsi="Book Antiqua"/>
      <w:szCs w:val="24"/>
      <w:lang w:eastAsia="en-US"/>
    </w:rPr>
  </w:style>
  <w:style w:type="paragraph" w:styleId="Heading1">
    <w:name w:val="heading 1"/>
    <w:basedOn w:val="HeadingBase"/>
    <w:next w:val="Normal"/>
    <w:link w:val="Heading1Char"/>
    <w:qFormat/>
    <w:rsid w:val="00BB207D"/>
    <w:pPr>
      <w:spacing w:after="240"/>
      <w:jc w:val="center"/>
      <w:outlineLvl w:val="0"/>
    </w:pPr>
    <w:rPr>
      <w:b/>
      <w:smallCaps/>
      <w:kern w:val="34"/>
      <w:sz w:val="34"/>
    </w:rPr>
  </w:style>
  <w:style w:type="paragraph" w:styleId="Heading2">
    <w:name w:val="heading 2"/>
    <w:basedOn w:val="HeadingBase"/>
    <w:next w:val="Normal"/>
    <w:link w:val="Heading2Char"/>
    <w:qFormat/>
    <w:rsid w:val="00BB207D"/>
    <w:pPr>
      <w:spacing w:before="240" w:after="240"/>
      <w:outlineLvl w:val="1"/>
    </w:pPr>
    <w:rPr>
      <w:rFonts w:ascii="Arial Bold" w:hAnsi="Arial Bold"/>
      <w:b/>
      <w:smallCaps/>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BB207D"/>
    <w:pPr>
      <w:spacing w:after="120"/>
      <w:outlineLvl w:val="4"/>
    </w:pPr>
    <w:rPr>
      <w:b/>
      <w:bCs/>
      <w:iCs/>
      <w:sz w:val="20"/>
      <w:szCs w:val="26"/>
    </w:rPr>
  </w:style>
  <w:style w:type="paragraph" w:styleId="Heading6">
    <w:name w:val="heading 6"/>
    <w:basedOn w:val="HeadingBase"/>
    <w:next w:val="Normal"/>
    <w:link w:val="Heading6Char"/>
    <w:qFormat/>
    <w:rsid w:val="00BB207D"/>
    <w:pPr>
      <w:spacing w:after="120"/>
      <w:outlineLvl w:val="5"/>
    </w:pPr>
    <w:rPr>
      <w:bCs/>
      <w:sz w:val="20"/>
      <w:szCs w:val="22"/>
    </w:rPr>
  </w:style>
  <w:style w:type="paragraph" w:styleId="Heading7">
    <w:name w:val="heading 7"/>
    <w:basedOn w:val="HeadingBase"/>
    <w:next w:val="Normal"/>
    <w:link w:val="Heading7Char"/>
    <w:qFormat/>
    <w:rsid w:val="00BB207D"/>
    <w:pPr>
      <w:spacing w:before="120"/>
      <w:outlineLvl w:val="6"/>
    </w:pPr>
    <w:rPr>
      <w:sz w:val="20"/>
      <w:szCs w:val="24"/>
    </w:rPr>
  </w:style>
  <w:style w:type="paragraph" w:styleId="Heading8">
    <w:name w:val="heading 8"/>
    <w:basedOn w:val="HeadingBase"/>
    <w:next w:val="Normal"/>
    <w:link w:val="Heading8Char"/>
    <w:rsid w:val="00BB207D"/>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semiHidden/>
    <w:unhideWhenUsed/>
    <w:qFormat/>
    <w:rsid w:val="00B23E35"/>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line="259" w:lineRule="auto"/>
      <w:jc w:val="center"/>
    </w:pPr>
    <w:rPr>
      <w:rFonts w:cs="Calibri"/>
      <w:b/>
      <w:caps/>
      <w:sz w:val="24"/>
      <w:szCs w:val="22"/>
      <w:lang w:eastAsia="en-US"/>
    </w:rPr>
  </w:style>
  <w:style w:type="character" w:customStyle="1" w:styleId="SecurityClassificationHeaderChar">
    <w:name w:val="Security Classification Header 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line="259" w:lineRule="auto"/>
      <w:jc w:val="center"/>
    </w:pPr>
    <w:rPr>
      <w:rFonts w:cs="Calibri"/>
      <w:b/>
      <w:caps/>
      <w:sz w:val="24"/>
      <w:szCs w:val="22"/>
      <w:lang w:eastAsia="en-US"/>
    </w:rPr>
  </w:style>
  <w:style w:type="character" w:customStyle="1" w:styleId="SecurityClassificationFooterChar">
    <w:name w:val="Security Classification Footer 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line="259" w:lineRule="auto"/>
      <w:jc w:val="center"/>
    </w:pPr>
    <w:rPr>
      <w:rFonts w:cs="Calibri"/>
      <w:b/>
      <w:caps/>
      <w:sz w:val="24"/>
      <w:szCs w:val="22"/>
      <w:lang w:eastAsia="en-US"/>
    </w:rPr>
  </w:style>
  <w:style w:type="character" w:customStyle="1" w:styleId="DLMSecurityHeaderChar">
    <w:name w:val="DLM Security Header 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line="259" w:lineRule="auto"/>
      <w:jc w:val="center"/>
    </w:pPr>
    <w:rPr>
      <w:rFonts w:cs="Calibri"/>
      <w:b/>
      <w:caps/>
      <w:sz w:val="24"/>
      <w:szCs w:val="22"/>
      <w:lang w:eastAsia="en-US"/>
    </w:rPr>
  </w:style>
  <w:style w:type="character" w:customStyle="1" w:styleId="DLMSecurityFooterChar">
    <w:name w:val="DLM Security Footer 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BB207D"/>
    <w:pPr>
      <w:jc w:val="center"/>
    </w:pPr>
    <w:rPr>
      <w:b/>
      <w:smallCaps/>
    </w:rPr>
  </w:style>
  <w:style w:type="paragraph" w:customStyle="1" w:styleId="FileProperties">
    <w:name w:val="File Properties"/>
    <w:basedOn w:val="Normal"/>
    <w:rsid w:val="00BB207D"/>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BB207D"/>
    <w:pPr>
      <w:keepNext/>
    </w:pPr>
    <w:rPr>
      <w:rFonts w:ascii="Arial" w:eastAsia="Times New Roman" w:hAnsi="Arial"/>
      <w:sz w:val="24"/>
    </w:rPr>
  </w:style>
  <w:style w:type="paragraph" w:customStyle="1" w:styleId="AppendixHeading">
    <w:name w:val="Appendix Heading"/>
    <w:basedOn w:val="HeadingBase"/>
    <w:rsid w:val="00BB207D"/>
    <w:pPr>
      <w:spacing w:after="240"/>
      <w:jc w:val="center"/>
      <w:outlineLvl w:val="3"/>
    </w:pPr>
    <w:rPr>
      <w:b/>
      <w:smallCaps/>
      <w:sz w:val="30"/>
    </w:rPr>
  </w:style>
  <w:style w:type="paragraph" w:styleId="BalloonText">
    <w:name w:val="Balloon Text"/>
    <w:basedOn w:val="Normal"/>
    <w:link w:val="BalloonTextChar"/>
    <w:rsid w:val="00BB207D"/>
    <w:rPr>
      <w:rFonts w:ascii="Tahoma" w:hAnsi="Tahoma" w:cs="Tahoma"/>
      <w:sz w:val="16"/>
      <w:szCs w:val="16"/>
    </w:rPr>
  </w:style>
  <w:style w:type="character" w:customStyle="1" w:styleId="BalloonTextChar">
    <w:name w:val="Balloon Text Char"/>
    <w:link w:val="BalloonText"/>
    <w:rsid w:val="00BB207D"/>
    <w:rPr>
      <w:rFonts w:ascii="Tahoma" w:eastAsia="Times New Roman" w:hAnsi="Tahoma" w:cs="Tahoma"/>
      <w:sz w:val="16"/>
      <w:szCs w:val="16"/>
      <w:lang w:eastAsia="en-AU"/>
    </w:rPr>
  </w:style>
  <w:style w:type="paragraph" w:customStyle="1" w:styleId="BlockedQuotation">
    <w:name w:val="Blocked Quotation"/>
    <w:basedOn w:val="Normal"/>
    <w:rsid w:val="00BB207D"/>
    <w:pPr>
      <w:ind w:left="567"/>
    </w:p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BB207D"/>
    <w:pPr>
      <w:spacing w:before="120" w:after="120"/>
    </w:pPr>
    <w:rPr>
      <w:b/>
      <w:sz w:val="20"/>
    </w:rPr>
  </w:style>
  <w:style w:type="character" w:customStyle="1" w:styleId="Heading6Char">
    <w:name w:val="Heading 6 Char"/>
    <w:link w:val="Heading6"/>
    <w:rsid w:val="00BB207D"/>
    <w:rPr>
      <w:rFonts w:ascii="Arial" w:eastAsia="Times New Roman" w:hAnsi="Arial" w:cs="Times New Roman"/>
      <w:bCs/>
      <w:sz w:val="20"/>
      <w:lang w:eastAsia="en-AU"/>
    </w:rPr>
  </w:style>
  <w:style w:type="paragraph" w:customStyle="1" w:styleId="BoxSubHeading">
    <w:name w:val="Box Sub Heading"/>
    <w:basedOn w:val="Heading6"/>
    <w:rsid w:val="00BB207D"/>
    <w:pPr>
      <w:spacing w:before="120" w:after="40"/>
    </w:pPr>
  </w:style>
  <w:style w:type="paragraph" w:customStyle="1" w:styleId="Bullet">
    <w:name w:val="Bullet"/>
    <w:aliases w:val="b"/>
    <w:basedOn w:val="Normal"/>
    <w:link w:val="BulletChar"/>
    <w:qFormat/>
    <w:rsid w:val="00BB207D"/>
    <w:pPr>
      <w:numPr>
        <w:numId w:val="4"/>
      </w:numPr>
    </w:pPr>
  </w:style>
  <w:style w:type="paragraph" w:styleId="Caption">
    <w:name w:val="caption"/>
    <w:basedOn w:val="Normal"/>
    <w:next w:val="Normal"/>
    <w:qFormat/>
    <w:rsid w:val="00BB207D"/>
    <w:rPr>
      <w:b/>
      <w:bCs/>
    </w:rPr>
  </w:style>
  <w:style w:type="paragraph" w:customStyle="1" w:styleId="ChartandTableFootnote">
    <w:name w:val="Chart and Table Footnote"/>
    <w:basedOn w:val="HeadingBase"/>
    <w:next w:val="Normal"/>
    <w:rsid w:val="00BB207D"/>
    <w:pPr>
      <w:keepNext w:val="0"/>
      <w:tabs>
        <w:tab w:val="left" w:pos="284"/>
      </w:tabs>
      <w:jc w:val="both"/>
    </w:pPr>
    <w:rPr>
      <w:color w:val="000000"/>
      <w:sz w:val="16"/>
    </w:rPr>
  </w:style>
  <w:style w:type="paragraph" w:customStyle="1" w:styleId="ChartandTableFootnoteAlpha">
    <w:name w:val="Chart and Table Footnote Alpha"/>
    <w:basedOn w:val="HeadingBase"/>
    <w:next w:val="Normal"/>
    <w:link w:val="ChartandTableFootnoteAlphaChar"/>
    <w:rsid w:val="004036C9"/>
    <w:pPr>
      <w:keepNext w:val="0"/>
      <w:numPr>
        <w:numId w:val="3"/>
      </w:numPr>
      <w:jc w:val="both"/>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BB207D"/>
    <w:pPr>
      <w:jc w:val="center"/>
    </w:pPr>
    <w:rPr>
      <w:sz w:val="20"/>
    </w:rPr>
  </w:style>
  <w:style w:type="paragraph" w:customStyle="1" w:styleId="ChartHeading">
    <w:name w:val="Chart Heading"/>
    <w:basedOn w:val="HeadingBase"/>
    <w:next w:val="ChartGraphic"/>
    <w:qFormat/>
    <w:rsid w:val="0050762C"/>
    <w:pPr>
      <w:spacing w:before="120"/>
      <w:jc w:val="center"/>
    </w:pPr>
    <w:rPr>
      <w:b/>
      <w:sz w:val="20"/>
    </w:rPr>
  </w:style>
  <w:style w:type="paragraph" w:customStyle="1" w:styleId="ChartMainHeading">
    <w:name w:val="Chart Main Heading"/>
    <w:basedOn w:val="Normal"/>
    <w:next w:val="ChartGraphic"/>
    <w:rsid w:val="00BB207D"/>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BB207D"/>
    <w:pPr>
      <w:spacing w:before="60"/>
      <w:jc w:val="center"/>
    </w:pPr>
    <w:rPr>
      <w:sz w:val="20"/>
    </w:rPr>
  </w:style>
  <w:style w:type="character" w:styleId="CommentReference">
    <w:name w:val="annotation reference"/>
    <w:uiPriority w:val="99"/>
    <w:rsid w:val="00BB207D"/>
    <w:rPr>
      <w:sz w:val="16"/>
      <w:szCs w:val="16"/>
    </w:rPr>
  </w:style>
  <w:style w:type="paragraph" w:styleId="CommentText">
    <w:name w:val="annotation text"/>
    <w:basedOn w:val="Normal"/>
    <w:link w:val="CommentTextChar"/>
    <w:uiPriority w:val="99"/>
    <w:rsid w:val="00BB207D"/>
  </w:style>
  <w:style w:type="character" w:customStyle="1" w:styleId="CommentTextChar">
    <w:name w:val="Comment Text Char"/>
    <w:link w:val="CommentText"/>
    <w:uiPriority w:val="99"/>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rsid w:val="00BB207D"/>
    <w:rPr>
      <w:b/>
      <w:bCs/>
    </w:rPr>
  </w:style>
  <w:style w:type="character" w:customStyle="1" w:styleId="CommentSubjectChar">
    <w:name w:val="Comment Subject Char"/>
    <w:link w:val="CommentSubject"/>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BB207D"/>
    <w:pPr>
      <w:spacing w:after="720"/>
      <w:jc w:val="center"/>
    </w:pPr>
    <w:rPr>
      <w:b/>
      <w:smallCaps/>
      <w:sz w:val="34"/>
    </w:rPr>
  </w:style>
  <w:style w:type="paragraph" w:customStyle="1" w:styleId="ContentsnoToC">
    <w:name w:val="Contents no ToC"/>
    <w:basedOn w:val="ContentsHeading"/>
    <w:rsid w:val="00BB207D"/>
  </w:style>
  <w:style w:type="paragraph" w:customStyle="1" w:styleId="Dash">
    <w:name w:val="Dash"/>
    <w:basedOn w:val="Normal"/>
    <w:link w:val="DashChar"/>
    <w:qFormat/>
    <w:rsid w:val="00BB207D"/>
    <w:pPr>
      <w:numPr>
        <w:ilvl w:val="1"/>
        <w:numId w:val="4"/>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4"/>
      </w:numPr>
      <w:tabs>
        <w:tab w:val="clear" w:pos="850"/>
        <w:tab w:val="num" w:pos="360"/>
        <w:tab w:val="left" w:pos="851"/>
      </w:tabs>
    </w:pPr>
  </w:style>
  <w:style w:type="character" w:styleId="EndnoteReference">
    <w:name w:val="endnote reference"/>
    <w:unhideWhenUsed/>
    <w:rsid w:val="00BB207D"/>
    <w:rPr>
      <w:vertAlign w:val="superscript"/>
    </w:rPr>
  </w:style>
  <w:style w:type="paragraph" w:styleId="EndnoteText">
    <w:name w:val="endnote text"/>
    <w:basedOn w:val="Normal"/>
    <w:link w:val="EndnoteTextChar"/>
    <w:unhideWhenUsed/>
    <w:rsid w:val="00BB207D"/>
  </w:style>
  <w:style w:type="character" w:customStyle="1" w:styleId="EndnoteTextChar">
    <w:name w:val="Endnote Text Char"/>
    <w:link w:val="EndnoteText"/>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BB207D"/>
    <w:pPr>
      <w:jc w:val="center"/>
    </w:pPr>
    <w:rPr>
      <w:rFonts w:ascii="Arial" w:eastAsia="Times New Roman" w:hAnsi="Arial"/>
    </w:rPr>
  </w:style>
  <w:style w:type="paragraph" w:customStyle="1" w:styleId="FooterEven">
    <w:name w:val="Footer Even"/>
    <w:basedOn w:val="Footer"/>
    <w:rsid w:val="00BB207D"/>
    <w:pPr>
      <w:jc w:val="left"/>
    </w:pPr>
    <w:rPr>
      <w:sz w:val="18"/>
    </w:rPr>
  </w:style>
  <w:style w:type="paragraph" w:customStyle="1" w:styleId="FooterOdd">
    <w:name w:val="Footer Odd"/>
    <w:basedOn w:val="Footer"/>
    <w:rsid w:val="00BB207D"/>
    <w:pPr>
      <w:jc w:val="right"/>
    </w:pPr>
    <w:rPr>
      <w:sz w:val="18"/>
    </w:rPr>
  </w:style>
  <w:style w:type="character" w:styleId="FootnoteReference">
    <w:name w:val="footnote reference"/>
    <w:rsid w:val="00BB207D"/>
    <w:rPr>
      <w:vertAlign w:val="superscript"/>
    </w:rPr>
  </w:style>
  <w:style w:type="paragraph" w:styleId="FootnoteText">
    <w:name w:val="footnote text"/>
    <w:basedOn w:val="Normal"/>
    <w:link w:val="FootnoteTextChar"/>
    <w:rsid w:val="00BB207D"/>
    <w:pPr>
      <w:tabs>
        <w:tab w:val="left" w:pos="284"/>
      </w:tabs>
      <w:spacing w:after="0" w:line="240" w:lineRule="auto"/>
      <w:ind w:left="284" w:hanging="284"/>
    </w:pPr>
    <w:rPr>
      <w:sz w:val="18"/>
    </w:rPr>
  </w:style>
  <w:style w:type="character" w:customStyle="1" w:styleId="FootnoteTextChar">
    <w:name w:val="Footnote Text Char"/>
    <w:link w:val="FootnoteText"/>
    <w:rsid w:val="00BB207D"/>
    <w:rPr>
      <w:rFonts w:ascii="Book Antiqua" w:eastAsia="Times New Roman" w:hAnsi="Book Antiqua" w:cs="Times New Roman"/>
      <w:sz w:val="18"/>
      <w:szCs w:val="20"/>
      <w:lang w:eastAsia="en-AU"/>
    </w:rPr>
  </w:style>
  <w:style w:type="character" w:customStyle="1" w:styleId="FramedHeader">
    <w:name w:val="Framed Header"/>
    <w:rsid w:val="00BB207D"/>
    <w:rPr>
      <w:rFonts w:ascii="Book Antiqua" w:hAnsi="Book Antiqua"/>
      <w:i/>
      <w:dstrike w:val="0"/>
      <w:color w:val="auto"/>
      <w:sz w:val="20"/>
      <w:vertAlign w:val="baseline"/>
    </w:rPr>
  </w:style>
  <w:style w:type="paragraph" w:customStyle="1" w:styleId="HeaderBase">
    <w:name w:val="Header Base"/>
    <w:link w:val="HeaderBaseChar"/>
    <w:rsid w:val="00DA42A3"/>
    <w:rPr>
      <w:rFonts w:ascii="Book Antiqua" w:eastAsia="Times New Roman" w:hAnsi="Book Antiqua"/>
      <w:i/>
    </w:rPr>
  </w:style>
  <w:style w:type="paragraph" w:customStyle="1" w:styleId="HeaderEven">
    <w:name w:val="Header Even"/>
    <w:basedOn w:val="HeaderBase"/>
    <w:rsid w:val="00BB207D"/>
  </w:style>
  <w:style w:type="paragraph" w:customStyle="1" w:styleId="HeaderOdd">
    <w:name w:val="Header Odd"/>
    <w:basedOn w:val="HeaderBase"/>
    <w:rsid w:val="00BB207D"/>
    <w:pPr>
      <w:jc w:val="right"/>
    </w:pPr>
  </w:style>
  <w:style w:type="character" w:customStyle="1" w:styleId="Heading1Char">
    <w:name w:val="Heading 1 Char"/>
    <w:link w:val="Heading1"/>
    <w:rsid w:val="00BB207D"/>
    <w:rPr>
      <w:rFonts w:ascii="Arial" w:eastAsia="Times New Roman" w:hAnsi="Arial" w:cs="Times New Roman"/>
      <w:b/>
      <w:smallCaps/>
      <w:kern w:val="34"/>
      <w:sz w:val="34"/>
      <w:szCs w:val="20"/>
      <w:lang w:eastAsia="en-AU"/>
    </w:rPr>
  </w:style>
  <w:style w:type="character" w:customStyle="1" w:styleId="Heading2Char">
    <w:name w:val="Heading 2 Char"/>
    <w:link w:val="Heading2"/>
    <w:rsid w:val="00BB207D"/>
    <w:rPr>
      <w:rFonts w:ascii="Arial Bold" w:eastAsia="Times New Roman" w:hAnsi="Arial Bold" w:cs="Times New Roman"/>
      <w:b/>
      <w:smallCaps/>
      <w:sz w:val="26"/>
      <w:szCs w:val="20"/>
      <w:lang w:eastAsia="en-AU"/>
    </w:rPr>
  </w:style>
  <w:style w:type="character" w:customStyle="1" w:styleId="Heading3Char">
    <w:name w:val="Heading 3 Char"/>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rsid w:val="00BB207D"/>
    <w:pPr>
      <w:outlineLvl w:val="9"/>
    </w:pPr>
  </w:style>
  <w:style w:type="character" w:customStyle="1" w:styleId="Heading4Char">
    <w:name w:val="Heading 4 Char"/>
    <w:link w:val="Heading4"/>
    <w:rsid w:val="00BB207D"/>
    <w:rPr>
      <w:rFonts w:ascii="Arial Bold" w:eastAsia="Times New Roman" w:hAnsi="Arial Bold" w:cs="Times New Roman"/>
      <w:b/>
      <w:sz w:val="20"/>
      <w:szCs w:val="20"/>
      <w:lang w:eastAsia="en-AU"/>
    </w:rPr>
  </w:style>
  <w:style w:type="character" w:customStyle="1" w:styleId="Heading5Char">
    <w:name w:val="Heading 5 Char"/>
    <w:link w:val="Heading5"/>
    <w:rsid w:val="00BB207D"/>
    <w:rPr>
      <w:rFonts w:ascii="Arial" w:eastAsia="Times New Roman" w:hAnsi="Arial" w:cs="Times New Roman"/>
      <w:b/>
      <w:bCs/>
      <w:iCs/>
      <w:sz w:val="20"/>
      <w:szCs w:val="26"/>
      <w:lang w:eastAsia="en-AU"/>
    </w:rPr>
  </w:style>
  <w:style w:type="character" w:customStyle="1" w:styleId="Heading7Char">
    <w:name w:val="Heading 7 Char"/>
    <w:link w:val="Heading7"/>
    <w:rsid w:val="00BB207D"/>
    <w:rPr>
      <w:rFonts w:ascii="Arial" w:eastAsia="Times New Roman" w:hAnsi="Arial" w:cs="Times New Roman"/>
      <w:sz w:val="20"/>
      <w:szCs w:val="24"/>
      <w:lang w:eastAsia="en-AU"/>
    </w:rPr>
  </w:style>
  <w:style w:type="character" w:customStyle="1" w:styleId="Heading8Char">
    <w:name w:val="Heading 8 Char"/>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rsid w:val="00BB207D"/>
    <w:rPr>
      <w:rFonts w:ascii="Times New Roman" w:hAnsi="Times New Roman"/>
      <w:vanish/>
      <w:sz w:val="16"/>
    </w:rPr>
  </w:style>
  <w:style w:type="character" w:styleId="Hyperlink">
    <w:name w:val="Hyperlink"/>
    <w:uiPriority w:val="99"/>
    <w:unhideWhenUsed/>
    <w:rsid w:val="00BB207D"/>
    <w:rPr>
      <w:color w:val="0000FF"/>
      <w:u w:val="single"/>
    </w:rPr>
  </w:style>
  <w:style w:type="paragraph" w:styleId="Index1">
    <w:name w:val="index 1"/>
    <w:basedOn w:val="Normal"/>
    <w:next w:val="Normal"/>
    <w:rsid w:val="00BB207D"/>
    <w:pPr>
      <w:ind w:left="200" w:hanging="200"/>
    </w:pPr>
  </w:style>
  <w:style w:type="paragraph" w:styleId="Index2">
    <w:name w:val="index 2"/>
    <w:basedOn w:val="Normal"/>
    <w:next w:val="Normal"/>
    <w:rsid w:val="00BB207D"/>
    <w:pPr>
      <w:ind w:left="400" w:hanging="200"/>
    </w:pPr>
  </w:style>
  <w:style w:type="paragraph" w:styleId="Index3">
    <w:name w:val="index 3"/>
    <w:basedOn w:val="Normal"/>
    <w:next w:val="Normal"/>
    <w:rsid w:val="00BB207D"/>
    <w:pPr>
      <w:ind w:left="600" w:hanging="200"/>
    </w:p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IndexHeading">
    <w:name w:val="index heading"/>
    <w:basedOn w:val="Normal"/>
    <w:next w:val="Index1"/>
    <w:rsid w:val="00BB207D"/>
    <w:rPr>
      <w:rFonts w:ascii="Arial Bold" w:hAnsi="Arial Bold" w:cs="Arial"/>
      <w:b/>
      <w:bCs/>
      <w:color w:val="002B54"/>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rPr>
  </w:style>
  <w:style w:type="character" w:customStyle="1" w:styleId="MacroTextChar">
    <w:name w:val="Macro Text Char"/>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BB207D"/>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rsid w:val="00BB207D"/>
    <w:rPr>
      <w:rFonts w:ascii="Arial" w:hAnsi="Arial" w:cs="Arial"/>
    </w:rPr>
  </w:style>
  <w:style w:type="paragraph" w:customStyle="1" w:styleId="SingleParagraph">
    <w:name w:val="Single Paragraph"/>
    <w:basedOn w:val="Normal"/>
    <w:rsid w:val="00BB207D"/>
    <w:pPr>
      <w:spacing w:after="0"/>
    </w:pPr>
  </w:style>
  <w:style w:type="paragraph" w:customStyle="1" w:styleId="Source">
    <w:name w:val="Source"/>
    <w:basedOn w:val="Normal"/>
    <w:rsid w:val="00BB207D"/>
    <w:pPr>
      <w:tabs>
        <w:tab w:val="left" w:pos="284"/>
      </w:tabs>
      <w:spacing w:line="240" w:lineRule="auto"/>
    </w:pPr>
    <w:rPr>
      <w:rFonts w:ascii="Arial" w:hAnsi="Arial"/>
      <w:sz w:val="16"/>
    </w:rPr>
  </w:style>
  <w:style w:type="paragraph" w:customStyle="1" w:styleId="SourceBox">
    <w:name w:val="Source Box"/>
    <w:basedOn w:val="Source"/>
    <w:rsid w:val="00BB207D"/>
    <w:pPr>
      <w:spacing w:after="120"/>
    </w:pPr>
  </w:style>
  <w:style w:type="paragraph" w:customStyle="1" w:styleId="TableColumnHeadingBase">
    <w:name w:val="Table Column Heading Base"/>
    <w:basedOn w:val="Normal"/>
    <w:rsid w:val="00BB207D"/>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rsid w:val="00BB207D"/>
    <w:pPr>
      <w:jc w:val="right"/>
    </w:pPr>
  </w:style>
  <w:style w:type="paragraph" w:customStyle="1" w:styleId="TableColumnHeadingS118pt">
    <w:name w:val="Table Column Heading S11 8 pt"/>
    <w:basedOn w:val="TableColumnHeadingBase"/>
    <w:rsid w:val="00BB207D"/>
    <w:pPr>
      <w:spacing w:after="0"/>
    </w:pPr>
    <w:rPr>
      <w:rFonts w:ascii="Arial" w:hAnsi="Arial"/>
    </w:rPr>
  </w:style>
  <w:style w:type="paragraph" w:customStyle="1" w:styleId="TableColumnHeadingS119pt">
    <w:name w:val="Table Column Heading S11 9 pt"/>
    <w:basedOn w:val="TableColumnHeadingBase"/>
    <w:rsid w:val="00BB207D"/>
    <w:pPr>
      <w:spacing w:before="60" w:after="60"/>
    </w:pPr>
    <w:rPr>
      <w:rFonts w:ascii="Arial" w:hAnsi="Arial"/>
      <w:sz w:val="18"/>
    </w:r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BB207D"/>
    <w:pPr>
      <w:spacing w:after="240" w:line="260" w:lineRule="exact"/>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BB207D"/>
    <w:pPr>
      <w:spacing w:before="120" w:after="20"/>
    </w:pPr>
    <w:rPr>
      <w:b/>
      <w:sz w:val="20"/>
    </w:rPr>
  </w:style>
  <w:style w:type="paragraph" w:customStyle="1" w:styleId="TableHeadingcontinued">
    <w:name w:val="Table Heading continued"/>
    <w:basedOn w:val="HeadingBase"/>
    <w:next w:val="TableGraphic"/>
    <w:rsid w:val="00BB207D"/>
    <w:pPr>
      <w:spacing w:before="120" w:after="20"/>
    </w:pPr>
    <w:rPr>
      <w:rFonts w:ascii="Arial Bold" w:hAnsi="Arial Bold"/>
      <w:b/>
      <w:sz w:val="20"/>
    </w:rPr>
  </w:style>
  <w:style w:type="paragraph" w:styleId="TableofAuthorities">
    <w:name w:val="table of authorities"/>
    <w:basedOn w:val="Normal"/>
    <w:next w:val="Normal"/>
    <w:rsid w:val="00BB207D"/>
    <w:pPr>
      <w:ind w:left="200" w:hanging="200"/>
    </w:p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jc w:val="left"/>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rPr>
  </w:style>
  <w:style w:type="paragraph" w:styleId="TOC1">
    <w:name w:val="toc 1"/>
    <w:basedOn w:val="HeaderBase"/>
    <w:next w:val="Normal"/>
    <w:uiPriority w:val="39"/>
    <w:rsid w:val="00BB207D"/>
    <w:pPr>
      <w:tabs>
        <w:tab w:val="left" w:pos="1486"/>
        <w:tab w:val="right" w:leader="dot" w:pos="7700"/>
      </w:tabs>
      <w:spacing w:before="240"/>
      <w:ind w:right="851"/>
    </w:pPr>
    <w:rPr>
      <w:rFonts w:ascii="Arial Bold" w:hAnsi="Arial Bold"/>
      <w:b/>
      <w:i w:val="0"/>
      <w:sz w:val="22"/>
    </w:rPr>
  </w:style>
  <w:style w:type="paragraph" w:styleId="TOC2">
    <w:name w:val="toc 2"/>
    <w:basedOn w:val="HeadingBase"/>
    <w:next w:val="Normal"/>
    <w:uiPriority w:val="39"/>
    <w:rsid w:val="00BB207D"/>
    <w:pPr>
      <w:tabs>
        <w:tab w:val="left" w:pos="992"/>
        <w:tab w:val="right" w:leader="dot" w:pos="7700"/>
      </w:tabs>
      <w:spacing w:before="40"/>
      <w:ind w:left="851" w:right="851" w:hanging="851"/>
    </w:pPr>
    <w:rPr>
      <w:sz w:val="20"/>
    </w:rPr>
  </w:style>
  <w:style w:type="paragraph" w:styleId="TOC3">
    <w:name w:val="toc 3"/>
    <w:basedOn w:val="HeadingBase"/>
    <w:next w:val="Normal"/>
    <w:uiPriority w:val="39"/>
    <w:unhideWhenUsed/>
    <w:rsid w:val="00BB207D"/>
    <w:pPr>
      <w:tabs>
        <w:tab w:val="right" w:leader="dot" w:pos="7700"/>
      </w:tabs>
      <w:spacing w:before="40"/>
      <w:ind w:right="851"/>
    </w:pPr>
    <w:rPr>
      <w:sz w:val="20"/>
    </w:rPr>
  </w:style>
  <w:style w:type="paragraph" w:styleId="TOC4">
    <w:name w:val="toc 4"/>
    <w:basedOn w:val="HeadingBase"/>
    <w:next w:val="Normal"/>
    <w:uiPriority w:val="39"/>
    <w:unhideWhenUsed/>
    <w:rsid w:val="00BB207D"/>
    <w:pPr>
      <w:tabs>
        <w:tab w:val="right" w:leader="dot" w:pos="7700"/>
      </w:tabs>
      <w:spacing w:before="40"/>
      <w:ind w:right="851"/>
    </w:pPr>
    <w:rPr>
      <w:sz w:val="20"/>
    </w:rPr>
  </w:style>
  <w:style w:type="paragraph" w:styleId="TOC5">
    <w:name w:val="toc 5"/>
    <w:basedOn w:val="Normal"/>
    <w:next w:val="Normal"/>
    <w:autoRedefine/>
    <w:uiPriority w:val="39"/>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semiHidden/>
    <w:rsid w:val="00BB207D"/>
    <w:pPr>
      <w:tabs>
        <w:tab w:val="left" w:pos="851"/>
      </w:tabs>
      <w:ind w:left="851" w:hanging="851"/>
    </w:pPr>
    <w:rPr>
      <w:color w:val="000000"/>
    </w:rPr>
  </w:style>
  <w:style w:type="paragraph" w:styleId="TOC7">
    <w:name w:val="toc 7"/>
    <w:basedOn w:val="Normal"/>
    <w:next w:val="Normal"/>
    <w:autoRedefine/>
    <w:semiHidden/>
    <w:rsid w:val="00BB207D"/>
    <w:pPr>
      <w:ind w:left="1200"/>
    </w:pPr>
  </w:style>
  <w:style w:type="paragraph" w:styleId="TOC8">
    <w:name w:val="toc 8"/>
    <w:basedOn w:val="Normal"/>
    <w:next w:val="Normal"/>
    <w:autoRedefine/>
    <w:semiHidden/>
    <w:rsid w:val="00BB207D"/>
    <w:pPr>
      <w:ind w:left="1400"/>
    </w:pPr>
  </w:style>
  <w:style w:type="paragraph" w:styleId="TOC9">
    <w:name w:val="toc 9"/>
    <w:basedOn w:val="Normal"/>
    <w:next w:val="Normal"/>
    <w:autoRedefine/>
    <w:rsid w:val="00BB207D"/>
    <w:pPr>
      <w:ind w:left="1600"/>
    </w:pPr>
  </w:style>
  <w:style w:type="paragraph" w:customStyle="1" w:styleId="TPHeading1">
    <w:name w:val="TP Heading 1"/>
    <w:basedOn w:val="HeadingBase"/>
    <w:semiHidden/>
    <w:rsid w:val="00BB207D"/>
    <w:pPr>
      <w:spacing w:before="60" w:after="60"/>
      <w:ind w:left="1134"/>
    </w:pPr>
    <w:rPr>
      <w:rFonts w:ascii="Arial Bold" w:hAnsi="Arial Bold"/>
      <w:b/>
      <w:caps/>
      <w:spacing w:val="-10"/>
      <w:sz w:val="28"/>
    </w:rPr>
  </w:style>
  <w:style w:type="paragraph" w:customStyle="1" w:styleId="TPHeading2">
    <w:name w:val="TP Heading 2"/>
    <w:basedOn w:val="HeadingBase"/>
    <w:semiHidden/>
    <w:rsid w:val="00BB207D"/>
    <w:pPr>
      <w:ind w:left="1134"/>
    </w:pPr>
    <w:rPr>
      <w:caps/>
      <w:spacing w:val="-10"/>
      <w:sz w:val="28"/>
    </w:rPr>
  </w:style>
  <w:style w:type="paragraph" w:customStyle="1" w:styleId="TPHeading3">
    <w:name w:val="TP Heading 3"/>
    <w:basedOn w:val="HeadingBase"/>
    <w:semiHidden/>
    <w:rsid w:val="00BB207D"/>
    <w:pPr>
      <w:ind w:left="1134"/>
    </w:pPr>
    <w:rPr>
      <w:caps/>
      <w:spacing w:val="-10"/>
    </w:rPr>
  </w:style>
  <w:style w:type="paragraph" w:customStyle="1" w:styleId="TPHeading3bold">
    <w:name w:val="TP Heading 3 bold"/>
    <w:basedOn w:val="TPHeading3"/>
    <w:semiHidden/>
    <w:rsid w:val="00BB207D"/>
    <w:rPr>
      <w:rFonts w:cs="Arial"/>
      <w:b/>
      <w:sz w:val="22"/>
      <w:szCs w:val="22"/>
    </w:rPr>
  </w:style>
  <w:style w:type="paragraph" w:customStyle="1" w:styleId="TPHEADING3boldspace">
    <w:name w:val="TP HEADING 3 bold space"/>
    <w:basedOn w:val="TPHeading3bold"/>
    <w:semiHidden/>
    <w:rsid w:val="00BB207D"/>
    <w:pPr>
      <w:spacing w:after="120"/>
    </w:pPr>
  </w:style>
  <w:style w:type="paragraph" w:customStyle="1" w:styleId="TPHEADING3space">
    <w:name w:val="TP HEADING 3 space"/>
    <w:basedOn w:val="TPHeading3"/>
    <w:semiHidden/>
    <w:rsid w:val="00BB207D"/>
    <w:pPr>
      <w:spacing w:before="120" w:after="120"/>
    </w:pPr>
    <w:rPr>
      <w:rFonts w:cs="Arial"/>
      <w:sz w:val="22"/>
      <w:szCs w:val="22"/>
    </w:rPr>
  </w:style>
  <w:style w:type="paragraph" w:customStyle="1" w:styleId="TPHeading4">
    <w:name w:val="TP Heading 4"/>
    <w:basedOn w:val="TPHeading3"/>
    <w:semiHidden/>
    <w:rsid w:val="00BB207D"/>
    <w:rPr>
      <w:sz w:val="20"/>
    </w:rPr>
  </w:style>
  <w:style w:type="paragraph" w:customStyle="1" w:styleId="TPHEADING4space">
    <w:name w:val="TP HEADING 4 space"/>
    <w:basedOn w:val="TPHEADING3space"/>
    <w:semiHidden/>
    <w:rsid w:val="00BB207D"/>
  </w:style>
  <w:style w:type="paragraph" w:customStyle="1" w:styleId="ContentsSecondHeading">
    <w:name w:val="Contents Second Heading"/>
    <w:basedOn w:val="HeadingBase"/>
    <w:next w:val="Normal"/>
    <w:rsid w:val="000411DC"/>
    <w:pPr>
      <w:keepNext w:val="0"/>
      <w:spacing w:after="360"/>
      <w:jc w:val="center"/>
    </w:pPr>
    <w:rPr>
      <w:rFonts w:cs="Arial"/>
      <w:color w:val="000000"/>
      <w:sz w:val="30"/>
      <w:szCs w:val="24"/>
      <w:lang w:eastAsia="en-US"/>
    </w:rPr>
  </w:style>
  <w:style w:type="paragraph" w:styleId="ListBullet4">
    <w:name w:val="List Bullet 4"/>
    <w:basedOn w:val="Normal"/>
    <w:autoRedefine/>
    <w:rsid w:val="000411DC"/>
    <w:pPr>
      <w:numPr>
        <w:numId w:val="5"/>
      </w:numPr>
    </w:pPr>
  </w:style>
  <w:style w:type="paragraph" w:customStyle="1" w:styleId="ChartandTableFootnoteAlphaSmall">
    <w:name w:val="Chart and Table Footnote Alpha Small"/>
    <w:basedOn w:val="ChartandTableFootnoteAlpha"/>
    <w:rsid w:val="000411DC"/>
    <w:pPr>
      <w:numPr>
        <w:numId w:val="6"/>
      </w:numPr>
    </w:pPr>
    <w:rPr>
      <w:rFonts w:cs="Arial"/>
      <w:sz w:val="15"/>
      <w:szCs w:val="24"/>
      <w:lang w:eastAsia="en-US"/>
    </w:rPr>
  </w:style>
  <w:style w:type="paragraph" w:customStyle="1" w:styleId="Exactly">
    <w:name w:val="Exactly"/>
    <w:basedOn w:val="Normal"/>
    <w:next w:val="Normal"/>
    <w:rsid w:val="000411DC"/>
    <w:pPr>
      <w:spacing w:line="240" w:lineRule="auto"/>
    </w:pPr>
  </w:style>
  <w:style w:type="paragraph" w:customStyle="1" w:styleId="SingleParagraph0">
    <w:name w:val="SingleParagraph"/>
    <w:basedOn w:val="Normal"/>
    <w:next w:val="Normal"/>
    <w:rsid w:val="000411DC"/>
    <w:pPr>
      <w:spacing w:after="0" w:line="240" w:lineRule="auto"/>
    </w:pPr>
    <w:rPr>
      <w:color w:val="000000"/>
    </w:rPr>
  </w:style>
  <w:style w:type="paragraph" w:customStyle="1" w:styleId="MeasureTableTextLeftAligned">
    <w:name w:val="Measure Table Text Left Aligned"/>
    <w:basedOn w:val="Normal"/>
    <w:rsid w:val="000411DC"/>
    <w:pPr>
      <w:spacing w:before="60" w:after="60" w:line="240" w:lineRule="auto"/>
      <w:jc w:val="left"/>
    </w:pPr>
    <w:rPr>
      <w:rFonts w:ascii="Arial" w:hAnsi="Arial"/>
      <w:color w:val="000000"/>
      <w:sz w:val="16"/>
    </w:rPr>
  </w:style>
  <w:style w:type="paragraph" w:customStyle="1" w:styleId="MeasureTableTextRightAligned">
    <w:name w:val="Measure Table Text Right Aligned"/>
    <w:basedOn w:val="Normal"/>
    <w:rsid w:val="000411DC"/>
    <w:pPr>
      <w:spacing w:before="60" w:after="60" w:line="240" w:lineRule="auto"/>
      <w:jc w:val="right"/>
    </w:pPr>
    <w:rPr>
      <w:rFonts w:ascii="Arial" w:hAnsi="Arial"/>
      <w:sz w:val="16"/>
    </w:rPr>
  </w:style>
  <w:style w:type="paragraph" w:customStyle="1" w:styleId="Attachmentheading">
    <w:name w:val="Attachment heading"/>
    <w:basedOn w:val="Normal"/>
    <w:next w:val="Normal"/>
    <w:rsid w:val="000411DC"/>
    <w:pPr>
      <w:spacing w:line="240" w:lineRule="auto"/>
      <w:jc w:val="right"/>
    </w:pPr>
    <w:rPr>
      <w:rFonts w:ascii="Arial Bold" w:hAnsi="Arial Bold"/>
      <w:b/>
      <w:sz w:val="22"/>
    </w:rPr>
  </w:style>
  <w:style w:type="paragraph" w:customStyle="1" w:styleId="st11summarytableheading1">
    <w:name w:val="st 11 summary table heading 1"/>
    <w:basedOn w:val="Heading5"/>
    <w:rsid w:val="000411DC"/>
    <w:pPr>
      <w:spacing w:before="60" w:after="60"/>
    </w:pPr>
    <w:rPr>
      <w:rFonts w:ascii="Arial Bold" w:hAnsi="Arial Bold" w:cs="Arial"/>
      <w:b w:val="0"/>
      <w:bCs w:val="0"/>
      <w:iCs w:val="0"/>
      <w:color w:val="000000"/>
      <w:sz w:val="18"/>
      <w:szCs w:val="18"/>
      <w:lang w:eastAsia="en-US"/>
    </w:rPr>
  </w:style>
  <w:style w:type="paragraph" w:customStyle="1" w:styleId="St11summarytableheading2">
    <w:name w:val="St 11 summary table heading 2"/>
    <w:basedOn w:val="Heading7"/>
    <w:rsid w:val="000411DC"/>
    <w:pPr>
      <w:keepNext w:val="0"/>
      <w:spacing w:before="40"/>
    </w:pPr>
    <w:rPr>
      <w:rFonts w:ascii="Arial Bold" w:hAnsi="Arial Bold" w:cs="Arial"/>
      <w:b/>
      <w:color w:val="000000"/>
      <w:sz w:val="16"/>
      <w:szCs w:val="16"/>
      <w:lang w:eastAsia="en-US"/>
    </w:rPr>
  </w:style>
  <w:style w:type="paragraph" w:customStyle="1" w:styleId="MeasureTableHeading">
    <w:name w:val="Measure Table Heading"/>
    <w:basedOn w:val="Normal"/>
    <w:rsid w:val="000411DC"/>
    <w:pPr>
      <w:keepNext/>
      <w:spacing w:after="0" w:line="240" w:lineRule="auto"/>
      <w:jc w:val="left"/>
    </w:pPr>
    <w:rPr>
      <w:rFonts w:ascii="Arial" w:hAnsi="Arial"/>
      <w:sz w:val="16"/>
      <w:szCs w:val="3276"/>
      <w:lang w:eastAsia="en-AU"/>
    </w:rPr>
  </w:style>
  <w:style w:type="paragraph" w:customStyle="1" w:styleId="BoxDash">
    <w:name w:val="Box Dash"/>
    <w:basedOn w:val="Normal"/>
    <w:rsid w:val="004D3C8E"/>
    <w:pPr>
      <w:numPr>
        <w:numId w:val="34"/>
      </w:numPr>
      <w:tabs>
        <w:tab w:val="left" w:pos="567"/>
      </w:tabs>
      <w:spacing w:before="120" w:after="120"/>
      <w:ind w:left="568" w:hanging="284"/>
    </w:pPr>
    <w:rPr>
      <w:color w:val="000000"/>
      <w:szCs w:val="20"/>
      <w:lang w:eastAsia="en-AU"/>
    </w:rPr>
  </w:style>
  <w:style w:type="paragraph" w:customStyle="1" w:styleId="BoxDoubleDot">
    <w:name w:val="Box Double Dot"/>
    <w:basedOn w:val="BoxTextBase"/>
    <w:rsid w:val="000411DC"/>
    <w:pPr>
      <w:tabs>
        <w:tab w:val="num" w:pos="283"/>
      </w:tabs>
      <w:spacing w:before="120" w:after="120"/>
      <w:ind w:left="283" w:hanging="283"/>
    </w:pPr>
  </w:style>
  <w:style w:type="paragraph" w:customStyle="1" w:styleId="BoxTextBase">
    <w:name w:val="Box Text Base"/>
    <w:basedOn w:val="Normal"/>
    <w:rsid w:val="000411DC"/>
    <w:pPr>
      <w:spacing w:line="240" w:lineRule="auto"/>
    </w:pPr>
    <w:rPr>
      <w:color w:val="000000"/>
      <w:szCs w:val="20"/>
      <w:lang w:eastAsia="en-AU"/>
    </w:rPr>
  </w:style>
  <w:style w:type="paragraph" w:customStyle="1" w:styleId="AppendixBBoxHeading">
    <w:name w:val="Appendix_B_Box_Heading"/>
    <w:basedOn w:val="Heading5"/>
    <w:rsid w:val="000411DC"/>
    <w:pPr>
      <w:spacing w:before="120" w:after="80"/>
    </w:pPr>
    <w:rPr>
      <w:rFonts w:cs="Arial"/>
      <w:b w:val="0"/>
      <w:bCs w:val="0"/>
      <w:iCs w:val="0"/>
      <w:color w:val="000000"/>
      <w:szCs w:val="24"/>
      <w:lang w:eastAsia="en-US"/>
    </w:rPr>
  </w:style>
  <w:style w:type="paragraph" w:customStyle="1" w:styleId="OneLevelNumberedParagraph">
    <w:name w:val="One Level Numbered Paragraph"/>
    <w:basedOn w:val="Normal"/>
    <w:rsid w:val="000411DC"/>
    <w:pPr>
      <w:numPr>
        <w:numId w:val="7"/>
      </w:numPr>
      <w:tabs>
        <w:tab w:val="clear" w:pos="567"/>
        <w:tab w:val="num" w:pos="360"/>
      </w:tabs>
      <w:ind w:left="0" w:firstLine="0"/>
    </w:pPr>
    <w:rPr>
      <w:color w:val="000000"/>
      <w:szCs w:val="20"/>
      <w:lang w:eastAsia="en-AU"/>
    </w:rPr>
  </w:style>
  <w:style w:type="paragraph" w:customStyle="1" w:styleId="OutlineNumbered1">
    <w:name w:val="Outline Numbered 1"/>
    <w:basedOn w:val="Normal"/>
    <w:rsid w:val="000411DC"/>
    <w:pPr>
      <w:numPr>
        <w:numId w:val="8"/>
      </w:numPr>
      <w:tabs>
        <w:tab w:val="clear" w:pos="567"/>
        <w:tab w:val="num" w:pos="360"/>
      </w:tabs>
      <w:ind w:left="0" w:firstLine="0"/>
    </w:pPr>
    <w:rPr>
      <w:color w:val="000000"/>
      <w:szCs w:val="20"/>
      <w:lang w:eastAsia="en-AU"/>
    </w:rPr>
  </w:style>
  <w:style w:type="paragraph" w:customStyle="1" w:styleId="OutlineNumbered2">
    <w:name w:val="Outline Numbered 2"/>
    <w:basedOn w:val="Normal"/>
    <w:rsid w:val="000411DC"/>
    <w:pPr>
      <w:numPr>
        <w:ilvl w:val="1"/>
        <w:numId w:val="8"/>
      </w:numPr>
      <w:tabs>
        <w:tab w:val="clear" w:pos="1134"/>
        <w:tab w:val="num" w:pos="360"/>
      </w:tabs>
      <w:ind w:left="0" w:firstLine="0"/>
    </w:pPr>
    <w:rPr>
      <w:color w:val="000000"/>
      <w:szCs w:val="20"/>
      <w:lang w:eastAsia="en-AU"/>
    </w:rPr>
  </w:style>
  <w:style w:type="paragraph" w:customStyle="1" w:styleId="OutlineNumbered3">
    <w:name w:val="Outline Numbered 3"/>
    <w:basedOn w:val="Normal"/>
    <w:rsid w:val="000411DC"/>
    <w:pPr>
      <w:numPr>
        <w:ilvl w:val="2"/>
        <w:numId w:val="8"/>
      </w:numPr>
      <w:tabs>
        <w:tab w:val="clear" w:pos="1701"/>
        <w:tab w:val="num" w:pos="360"/>
      </w:tabs>
      <w:ind w:left="0" w:firstLine="0"/>
    </w:pPr>
    <w:rPr>
      <w:color w:val="000000"/>
      <w:szCs w:val="20"/>
      <w:lang w:eastAsia="en-AU"/>
    </w:rPr>
  </w:style>
  <w:style w:type="paragraph" w:styleId="Title">
    <w:name w:val="Title"/>
    <w:basedOn w:val="Normal"/>
    <w:link w:val="TitleChar"/>
    <w:qFormat/>
    <w:rsid w:val="000411DC"/>
    <w:pPr>
      <w:spacing w:after="0" w:line="240" w:lineRule="auto"/>
      <w:jc w:val="center"/>
      <w:outlineLvl w:val="0"/>
    </w:pPr>
    <w:rPr>
      <w:b/>
      <w:kern w:val="28"/>
      <w:sz w:val="52"/>
    </w:rPr>
  </w:style>
  <w:style w:type="character" w:customStyle="1" w:styleId="TitleChar">
    <w:name w:val="Title Char"/>
    <w:link w:val="Title"/>
    <w:rsid w:val="000411DC"/>
    <w:rPr>
      <w:rFonts w:ascii="Book Antiqua" w:eastAsia="Times New Roman" w:hAnsi="Book Antiqua" w:cs="Times New Roman"/>
      <w:b/>
      <w:kern w:val="28"/>
      <w:sz w:val="52"/>
      <w:szCs w:val="24"/>
    </w:rPr>
  </w:style>
  <w:style w:type="paragraph" w:customStyle="1" w:styleId="Title2ndLevel">
    <w:name w:val="Title 2nd Level"/>
    <w:basedOn w:val="Normal"/>
    <w:rsid w:val="000411DC"/>
    <w:pPr>
      <w:spacing w:after="0" w:line="240" w:lineRule="auto"/>
      <w:jc w:val="center"/>
    </w:pPr>
    <w:rPr>
      <w:sz w:val="24"/>
    </w:rPr>
  </w:style>
  <w:style w:type="paragraph" w:customStyle="1" w:styleId="AppendixBBoxSubHeading">
    <w:name w:val="Appendix_B_Box_SubHeading"/>
    <w:basedOn w:val="Heading6"/>
    <w:rsid w:val="000411DC"/>
    <w:pPr>
      <w:spacing w:before="80" w:after="80"/>
    </w:pPr>
    <w:rPr>
      <w:rFonts w:cs="Arial"/>
      <w:bCs w:val="0"/>
      <w:color w:val="000000"/>
      <w:szCs w:val="24"/>
      <w:lang w:eastAsia="en-US"/>
    </w:rPr>
  </w:style>
  <w:style w:type="paragraph" w:customStyle="1" w:styleId="Heading2noTOC">
    <w:name w:val="Heading 2 no TOC"/>
    <w:basedOn w:val="Heading2"/>
    <w:qFormat/>
    <w:rsid w:val="000411DC"/>
    <w:rPr>
      <w:rFonts w:cs="Arial"/>
      <w:bCs/>
      <w:iCs/>
      <w:color w:val="000000"/>
      <w:szCs w:val="28"/>
      <w:lang w:eastAsia="en-US"/>
    </w:rPr>
  </w:style>
  <w:style w:type="paragraph" w:customStyle="1" w:styleId="fbo">
    <w:name w:val="fbo"/>
    <w:rsid w:val="000411DC"/>
    <w:pPr>
      <w:spacing w:after="240" w:line="260" w:lineRule="exact"/>
      <w:jc w:val="both"/>
    </w:pPr>
    <w:rPr>
      <w:rFonts w:ascii="Book Antiqua" w:eastAsia="Times New Roman" w:hAnsi="Book Antiqua"/>
      <w:szCs w:val="24"/>
      <w:lang w:eastAsia="en-US"/>
    </w:rPr>
  </w:style>
  <w:style w:type="character" w:customStyle="1" w:styleId="BulletChar">
    <w:name w:val="Bullet Char"/>
    <w:aliases w:val="b Char"/>
    <w:link w:val="Bullet"/>
    <w:rsid w:val="000411DC"/>
    <w:rPr>
      <w:rFonts w:ascii="Book Antiqua" w:eastAsia="Times New Roman" w:hAnsi="Book Antiqua"/>
      <w:szCs w:val="24"/>
      <w:lang w:eastAsia="en-US"/>
    </w:rPr>
  </w:style>
  <w:style w:type="character" w:customStyle="1" w:styleId="ChartandTableFootnoteAlphaChar">
    <w:name w:val="Chart and Table Footnote Alpha Char"/>
    <w:link w:val="ChartandTableFootnoteAlpha"/>
    <w:rsid w:val="004036C9"/>
    <w:rPr>
      <w:rFonts w:ascii="Arial" w:eastAsia="Times New Roman" w:hAnsi="Arial"/>
      <w:color w:val="000000"/>
      <w:sz w:val="16"/>
    </w:rPr>
  </w:style>
  <w:style w:type="paragraph" w:styleId="NoSpacing">
    <w:name w:val="No Spacing"/>
    <w:uiPriority w:val="1"/>
    <w:qFormat/>
    <w:rsid w:val="000411DC"/>
    <w:pPr>
      <w:jc w:val="both"/>
    </w:pPr>
    <w:rPr>
      <w:rFonts w:ascii="Book Antiqua" w:eastAsia="Times New Roman" w:hAnsi="Book Antiqua"/>
      <w:szCs w:val="24"/>
      <w:lang w:eastAsia="en-US"/>
    </w:rPr>
  </w:style>
  <w:style w:type="paragraph" w:customStyle="1" w:styleId="CABNETParagraph">
    <w:name w:val="CABNET Paragraph"/>
    <w:basedOn w:val="Normal"/>
    <w:link w:val="CABNETParagraphChar"/>
    <w:qFormat/>
    <w:rsid w:val="000411DC"/>
    <w:pPr>
      <w:spacing w:before="120" w:after="120" w:line="240" w:lineRule="auto"/>
      <w:jc w:val="left"/>
    </w:pPr>
    <w:rPr>
      <w:rFonts w:ascii="Verdana" w:eastAsia="Calibri" w:hAnsi="Verdana"/>
      <w:sz w:val="22"/>
      <w:szCs w:val="22"/>
    </w:rPr>
  </w:style>
  <w:style w:type="character" w:customStyle="1" w:styleId="CABNETParagraphChar">
    <w:name w:val="CABNET Paragraph Char"/>
    <w:link w:val="CABNETParagraph"/>
    <w:rsid w:val="000411DC"/>
    <w:rPr>
      <w:rFonts w:ascii="Verdana" w:eastAsia="Calibri" w:hAnsi="Verdana" w:cs="Times New Roman"/>
    </w:rPr>
  </w:style>
  <w:style w:type="character" w:customStyle="1" w:styleId="hps-normal1">
    <w:name w:val="hps-normal1"/>
    <w:rsid w:val="000411DC"/>
  </w:style>
  <w:style w:type="paragraph" w:styleId="Revision">
    <w:name w:val="Revision"/>
    <w:hidden/>
    <w:uiPriority w:val="99"/>
    <w:semiHidden/>
    <w:rsid w:val="000411DC"/>
    <w:rPr>
      <w:rFonts w:ascii="Book Antiqua" w:eastAsia="Times New Roman" w:hAnsi="Book Antiqua"/>
      <w:szCs w:val="24"/>
      <w:lang w:eastAsia="en-US"/>
    </w:rPr>
  </w:style>
  <w:style w:type="paragraph" w:styleId="ListParagraph">
    <w:name w:val="List Paragraph"/>
    <w:basedOn w:val="Normal"/>
    <w:uiPriority w:val="34"/>
    <w:qFormat/>
    <w:rsid w:val="000411DC"/>
    <w:pPr>
      <w:spacing w:after="0" w:line="240" w:lineRule="auto"/>
      <w:ind w:left="720"/>
      <w:jc w:val="left"/>
    </w:pPr>
    <w:rPr>
      <w:rFonts w:ascii="Calibri" w:eastAsia="Calibri" w:hAnsi="Calibri"/>
      <w:sz w:val="22"/>
      <w:szCs w:val="22"/>
    </w:rPr>
  </w:style>
  <w:style w:type="paragraph" w:styleId="NormalWeb">
    <w:name w:val="Normal (Web)"/>
    <w:basedOn w:val="Normal"/>
    <w:rsid w:val="000411DC"/>
    <w:rPr>
      <w:rFonts w:ascii="Times New Roman" w:hAnsi="Times New Roman"/>
      <w:sz w:val="24"/>
    </w:rPr>
  </w:style>
  <w:style w:type="character" w:customStyle="1" w:styleId="DashChar">
    <w:name w:val="Dash Char"/>
    <w:link w:val="Dash"/>
    <w:locked/>
    <w:rsid w:val="000411DC"/>
    <w:rPr>
      <w:rFonts w:ascii="Book Antiqua" w:eastAsia="Times New Roman" w:hAnsi="Book Antiqua"/>
      <w:szCs w:val="24"/>
      <w:lang w:eastAsia="en-US"/>
    </w:rPr>
  </w:style>
  <w:style w:type="paragraph" w:customStyle="1" w:styleId="BoxHeading2">
    <w:name w:val="Box Heading 2"/>
    <w:basedOn w:val="BoxHeading"/>
    <w:rsid w:val="000411DC"/>
    <w:pPr>
      <w:spacing w:after="0"/>
    </w:pPr>
  </w:style>
  <w:style w:type="paragraph" w:styleId="TOCHeading">
    <w:name w:val="TOC Heading"/>
    <w:basedOn w:val="Heading1"/>
    <w:next w:val="Normal"/>
    <w:uiPriority w:val="39"/>
    <w:semiHidden/>
    <w:unhideWhenUsed/>
    <w:qFormat/>
    <w:rsid w:val="000411DC"/>
    <w:pPr>
      <w:keepLines/>
      <w:spacing w:before="480" w:after="0" w:line="276" w:lineRule="auto"/>
      <w:jc w:val="left"/>
      <w:outlineLvl w:val="9"/>
    </w:pPr>
    <w:rPr>
      <w:rFonts w:ascii="Cambria" w:eastAsia="MS Gothic" w:hAnsi="Cambria"/>
      <w:bCs/>
      <w:smallCaps w:val="0"/>
      <w:color w:val="365F91"/>
      <w:kern w:val="0"/>
      <w:sz w:val="28"/>
      <w:szCs w:val="28"/>
      <w:lang w:val="en-US" w:eastAsia="ja-JP"/>
    </w:rPr>
  </w:style>
  <w:style w:type="character" w:customStyle="1" w:styleId="HeaderBaseChar">
    <w:name w:val="Header Base Char"/>
    <w:link w:val="HeaderBase"/>
    <w:rsid w:val="000411DC"/>
    <w:rPr>
      <w:rFonts w:ascii="Book Antiqua" w:eastAsia="Times New Roman" w:hAnsi="Book Antiqua" w:cs="Times New Roman"/>
      <w:i/>
      <w:sz w:val="20"/>
      <w:szCs w:val="20"/>
      <w:lang w:eastAsia="en-AU"/>
    </w:rPr>
  </w:style>
  <w:style w:type="character" w:styleId="Emphasis">
    <w:name w:val="Emphasis"/>
    <w:uiPriority w:val="20"/>
    <w:qFormat/>
    <w:rsid w:val="000411DC"/>
    <w:rPr>
      <w:i/>
      <w:iCs/>
    </w:rPr>
  </w:style>
  <w:style w:type="paragraph" w:customStyle="1" w:styleId="Default">
    <w:name w:val="Default"/>
    <w:rsid w:val="000411DC"/>
    <w:pPr>
      <w:autoSpaceDE w:val="0"/>
      <w:autoSpaceDN w:val="0"/>
      <w:adjustRightInd w:val="0"/>
    </w:pPr>
    <w:rPr>
      <w:rFonts w:ascii="Book Antiqua" w:eastAsia="Times New Roman" w:hAnsi="Book Antiqua" w:cs="Book Antiqua"/>
      <w:color w:val="000000"/>
      <w:sz w:val="24"/>
      <w:szCs w:val="24"/>
    </w:rPr>
  </w:style>
  <w:style w:type="character" w:customStyle="1" w:styleId="Heading9Char">
    <w:name w:val="Heading 9 Char"/>
    <w:link w:val="Heading9"/>
    <w:uiPriority w:val="9"/>
    <w:semiHidden/>
    <w:rsid w:val="00B23E35"/>
    <w:rPr>
      <w:rFonts w:ascii="Cambria" w:eastAsia="Times New Roman" w:hAnsi="Cambria" w:cs="Times New Roman"/>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0"/>
    <w:lsdException w:name="toc 7" w:uiPriority="0"/>
    <w:lsdException w:name="toc 8" w:uiPriority="0"/>
    <w:lsdException w:name="toc 9" w:uiPriority="0"/>
    <w:lsdException w:name="Normal Indent" w:uiPriority="0"/>
    <w:lsdException w:name="footnote text" w:uiPriority="0"/>
    <w:lsdException w:name="header" w:uiPriority="0"/>
    <w:lsdException w:name="footer" w:uiPriority="0"/>
    <w:lsdException w:name="index heading" w:uiPriority="0"/>
    <w:lsdException w:name="caption" w:uiPriority="0" w:qFormat="1"/>
    <w:lsdException w:name="table of figures" w:uiPriority="0"/>
    <w:lsdException w:name="footnote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Bullet 4"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1DC"/>
    <w:pPr>
      <w:spacing w:after="240" w:line="260" w:lineRule="exact"/>
      <w:jc w:val="both"/>
    </w:pPr>
    <w:rPr>
      <w:rFonts w:ascii="Book Antiqua" w:eastAsia="Times New Roman" w:hAnsi="Book Antiqua"/>
      <w:szCs w:val="24"/>
      <w:lang w:eastAsia="en-US"/>
    </w:rPr>
  </w:style>
  <w:style w:type="paragraph" w:styleId="Heading1">
    <w:name w:val="heading 1"/>
    <w:basedOn w:val="HeadingBase"/>
    <w:next w:val="Normal"/>
    <w:link w:val="Heading1Char"/>
    <w:qFormat/>
    <w:rsid w:val="00BB207D"/>
    <w:pPr>
      <w:spacing w:after="240"/>
      <w:jc w:val="center"/>
      <w:outlineLvl w:val="0"/>
    </w:pPr>
    <w:rPr>
      <w:b/>
      <w:smallCaps/>
      <w:kern w:val="34"/>
      <w:sz w:val="34"/>
    </w:rPr>
  </w:style>
  <w:style w:type="paragraph" w:styleId="Heading2">
    <w:name w:val="heading 2"/>
    <w:basedOn w:val="HeadingBase"/>
    <w:next w:val="Normal"/>
    <w:link w:val="Heading2Char"/>
    <w:qFormat/>
    <w:rsid w:val="00BB207D"/>
    <w:pPr>
      <w:spacing w:before="240" w:after="240"/>
      <w:outlineLvl w:val="1"/>
    </w:pPr>
    <w:rPr>
      <w:rFonts w:ascii="Arial Bold" w:hAnsi="Arial Bold"/>
      <w:b/>
      <w:smallCaps/>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BB207D"/>
    <w:pPr>
      <w:spacing w:after="120"/>
      <w:outlineLvl w:val="4"/>
    </w:pPr>
    <w:rPr>
      <w:b/>
      <w:bCs/>
      <w:iCs/>
      <w:sz w:val="20"/>
      <w:szCs w:val="26"/>
    </w:rPr>
  </w:style>
  <w:style w:type="paragraph" w:styleId="Heading6">
    <w:name w:val="heading 6"/>
    <w:basedOn w:val="HeadingBase"/>
    <w:next w:val="Normal"/>
    <w:link w:val="Heading6Char"/>
    <w:qFormat/>
    <w:rsid w:val="00BB207D"/>
    <w:pPr>
      <w:spacing w:after="120"/>
      <w:outlineLvl w:val="5"/>
    </w:pPr>
    <w:rPr>
      <w:bCs/>
      <w:sz w:val="20"/>
      <w:szCs w:val="22"/>
    </w:rPr>
  </w:style>
  <w:style w:type="paragraph" w:styleId="Heading7">
    <w:name w:val="heading 7"/>
    <w:basedOn w:val="HeadingBase"/>
    <w:next w:val="Normal"/>
    <w:link w:val="Heading7Char"/>
    <w:qFormat/>
    <w:rsid w:val="00BB207D"/>
    <w:pPr>
      <w:spacing w:before="120"/>
      <w:outlineLvl w:val="6"/>
    </w:pPr>
    <w:rPr>
      <w:sz w:val="20"/>
      <w:szCs w:val="24"/>
    </w:rPr>
  </w:style>
  <w:style w:type="paragraph" w:styleId="Heading8">
    <w:name w:val="heading 8"/>
    <w:basedOn w:val="HeadingBase"/>
    <w:next w:val="Normal"/>
    <w:link w:val="Heading8Char"/>
    <w:rsid w:val="00BB207D"/>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semiHidden/>
    <w:unhideWhenUsed/>
    <w:qFormat/>
    <w:rsid w:val="00B23E35"/>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line="259" w:lineRule="auto"/>
      <w:jc w:val="center"/>
    </w:pPr>
    <w:rPr>
      <w:rFonts w:cs="Calibri"/>
      <w:b/>
      <w:caps/>
      <w:sz w:val="24"/>
      <w:szCs w:val="22"/>
      <w:lang w:eastAsia="en-US"/>
    </w:rPr>
  </w:style>
  <w:style w:type="character" w:customStyle="1" w:styleId="SecurityClassificationHeaderChar">
    <w:name w:val="Security Classification Header 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line="259" w:lineRule="auto"/>
      <w:jc w:val="center"/>
    </w:pPr>
    <w:rPr>
      <w:rFonts w:cs="Calibri"/>
      <w:b/>
      <w:caps/>
      <w:sz w:val="24"/>
      <w:szCs w:val="22"/>
      <w:lang w:eastAsia="en-US"/>
    </w:rPr>
  </w:style>
  <w:style w:type="character" w:customStyle="1" w:styleId="SecurityClassificationFooterChar">
    <w:name w:val="Security Classification Footer 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line="259" w:lineRule="auto"/>
      <w:jc w:val="center"/>
    </w:pPr>
    <w:rPr>
      <w:rFonts w:cs="Calibri"/>
      <w:b/>
      <w:caps/>
      <w:sz w:val="24"/>
      <w:szCs w:val="22"/>
      <w:lang w:eastAsia="en-US"/>
    </w:rPr>
  </w:style>
  <w:style w:type="character" w:customStyle="1" w:styleId="DLMSecurityHeaderChar">
    <w:name w:val="DLM Security Header 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line="259" w:lineRule="auto"/>
      <w:jc w:val="center"/>
    </w:pPr>
    <w:rPr>
      <w:rFonts w:cs="Calibri"/>
      <w:b/>
      <w:caps/>
      <w:sz w:val="24"/>
      <w:szCs w:val="22"/>
      <w:lang w:eastAsia="en-US"/>
    </w:rPr>
  </w:style>
  <w:style w:type="character" w:customStyle="1" w:styleId="DLMSecurityFooterChar">
    <w:name w:val="DLM Security Footer 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BB207D"/>
    <w:pPr>
      <w:jc w:val="center"/>
    </w:pPr>
    <w:rPr>
      <w:b/>
      <w:smallCaps/>
    </w:rPr>
  </w:style>
  <w:style w:type="paragraph" w:customStyle="1" w:styleId="FileProperties">
    <w:name w:val="File Properties"/>
    <w:basedOn w:val="Normal"/>
    <w:rsid w:val="00BB207D"/>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BB207D"/>
    <w:pPr>
      <w:keepNext/>
    </w:pPr>
    <w:rPr>
      <w:rFonts w:ascii="Arial" w:eastAsia="Times New Roman" w:hAnsi="Arial"/>
      <w:sz w:val="24"/>
    </w:rPr>
  </w:style>
  <w:style w:type="paragraph" w:customStyle="1" w:styleId="AppendixHeading">
    <w:name w:val="Appendix Heading"/>
    <w:basedOn w:val="HeadingBase"/>
    <w:rsid w:val="00BB207D"/>
    <w:pPr>
      <w:spacing w:after="240"/>
      <w:jc w:val="center"/>
      <w:outlineLvl w:val="3"/>
    </w:pPr>
    <w:rPr>
      <w:b/>
      <w:smallCaps/>
      <w:sz w:val="30"/>
    </w:rPr>
  </w:style>
  <w:style w:type="paragraph" w:styleId="BalloonText">
    <w:name w:val="Balloon Text"/>
    <w:basedOn w:val="Normal"/>
    <w:link w:val="BalloonTextChar"/>
    <w:rsid w:val="00BB207D"/>
    <w:rPr>
      <w:rFonts w:ascii="Tahoma" w:hAnsi="Tahoma" w:cs="Tahoma"/>
      <w:sz w:val="16"/>
      <w:szCs w:val="16"/>
    </w:rPr>
  </w:style>
  <w:style w:type="character" w:customStyle="1" w:styleId="BalloonTextChar">
    <w:name w:val="Balloon Text Char"/>
    <w:link w:val="BalloonText"/>
    <w:rsid w:val="00BB207D"/>
    <w:rPr>
      <w:rFonts w:ascii="Tahoma" w:eastAsia="Times New Roman" w:hAnsi="Tahoma" w:cs="Tahoma"/>
      <w:sz w:val="16"/>
      <w:szCs w:val="16"/>
      <w:lang w:eastAsia="en-AU"/>
    </w:rPr>
  </w:style>
  <w:style w:type="paragraph" w:customStyle="1" w:styleId="BlockedQuotation">
    <w:name w:val="Blocked Quotation"/>
    <w:basedOn w:val="Normal"/>
    <w:rsid w:val="00BB207D"/>
    <w:pPr>
      <w:ind w:left="567"/>
    </w:p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BB207D"/>
    <w:pPr>
      <w:spacing w:before="120" w:after="120"/>
    </w:pPr>
    <w:rPr>
      <w:b/>
      <w:sz w:val="20"/>
    </w:rPr>
  </w:style>
  <w:style w:type="character" w:customStyle="1" w:styleId="Heading6Char">
    <w:name w:val="Heading 6 Char"/>
    <w:link w:val="Heading6"/>
    <w:rsid w:val="00BB207D"/>
    <w:rPr>
      <w:rFonts w:ascii="Arial" w:eastAsia="Times New Roman" w:hAnsi="Arial" w:cs="Times New Roman"/>
      <w:bCs/>
      <w:sz w:val="20"/>
      <w:lang w:eastAsia="en-AU"/>
    </w:rPr>
  </w:style>
  <w:style w:type="paragraph" w:customStyle="1" w:styleId="BoxSubHeading">
    <w:name w:val="Box Sub Heading"/>
    <w:basedOn w:val="Heading6"/>
    <w:rsid w:val="00BB207D"/>
    <w:pPr>
      <w:spacing w:before="120" w:after="40"/>
    </w:pPr>
  </w:style>
  <w:style w:type="paragraph" w:customStyle="1" w:styleId="Bullet">
    <w:name w:val="Bullet"/>
    <w:aliases w:val="b"/>
    <w:basedOn w:val="Normal"/>
    <w:link w:val="BulletChar"/>
    <w:qFormat/>
    <w:rsid w:val="00BB207D"/>
    <w:pPr>
      <w:numPr>
        <w:numId w:val="4"/>
      </w:numPr>
    </w:pPr>
  </w:style>
  <w:style w:type="paragraph" w:styleId="Caption">
    <w:name w:val="caption"/>
    <w:basedOn w:val="Normal"/>
    <w:next w:val="Normal"/>
    <w:qFormat/>
    <w:rsid w:val="00BB207D"/>
    <w:rPr>
      <w:b/>
      <w:bCs/>
    </w:rPr>
  </w:style>
  <w:style w:type="paragraph" w:customStyle="1" w:styleId="ChartandTableFootnote">
    <w:name w:val="Chart and Table Footnote"/>
    <w:basedOn w:val="HeadingBase"/>
    <w:next w:val="Normal"/>
    <w:rsid w:val="00BB207D"/>
    <w:pPr>
      <w:keepNext w:val="0"/>
      <w:tabs>
        <w:tab w:val="left" w:pos="284"/>
      </w:tabs>
      <w:jc w:val="both"/>
    </w:pPr>
    <w:rPr>
      <w:color w:val="000000"/>
      <w:sz w:val="16"/>
    </w:rPr>
  </w:style>
  <w:style w:type="paragraph" w:customStyle="1" w:styleId="ChartandTableFootnoteAlpha">
    <w:name w:val="Chart and Table Footnote Alpha"/>
    <w:basedOn w:val="HeadingBase"/>
    <w:next w:val="Normal"/>
    <w:link w:val="ChartandTableFootnoteAlphaChar"/>
    <w:rsid w:val="004036C9"/>
    <w:pPr>
      <w:keepNext w:val="0"/>
      <w:numPr>
        <w:numId w:val="3"/>
      </w:numPr>
      <w:jc w:val="both"/>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BB207D"/>
    <w:pPr>
      <w:jc w:val="center"/>
    </w:pPr>
    <w:rPr>
      <w:sz w:val="20"/>
    </w:rPr>
  </w:style>
  <w:style w:type="paragraph" w:customStyle="1" w:styleId="ChartHeading">
    <w:name w:val="Chart Heading"/>
    <w:basedOn w:val="HeadingBase"/>
    <w:next w:val="ChartGraphic"/>
    <w:qFormat/>
    <w:rsid w:val="0050762C"/>
    <w:pPr>
      <w:spacing w:before="120"/>
      <w:jc w:val="center"/>
    </w:pPr>
    <w:rPr>
      <w:b/>
      <w:sz w:val="20"/>
    </w:rPr>
  </w:style>
  <w:style w:type="paragraph" w:customStyle="1" w:styleId="ChartMainHeading">
    <w:name w:val="Chart Main Heading"/>
    <w:basedOn w:val="Normal"/>
    <w:next w:val="ChartGraphic"/>
    <w:rsid w:val="00BB207D"/>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BB207D"/>
    <w:pPr>
      <w:spacing w:before="60"/>
      <w:jc w:val="center"/>
    </w:pPr>
    <w:rPr>
      <w:sz w:val="20"/>
    </w:rPr>
  </w:style>
  <w:style w:type="character" w:styleId="CommentReference">
    <w:name w:val="annotation reference"/>
    <w:uiPriority w:val="99"/>
    <w:rsid w:val="00BB207D"/>
    <w:rPr>
      <w:sz w:val="16"/>
      <w:szCs w:val="16"/>
    </w:rPr>
  </w:style>
  <w:style w:type="paragraph" w:styleId="CommentText">
    <w:name w:val="annotation text"/>
    <w:basedOn w:val="Normal"/>
    <w:link w:val="CommentTextChar"/>
    <w:uiPriority w:val="99"/>
    <w:rsid w:val="00BB207D"/>
  </w:style>
  <w:style w:type="character" w:customStyle="1" w:styleId="CommentTextChar">
    <w:name w:val="Comment Text Char"/>
    <w:link w:val="CommentText"/>
    <w:uiPriority w:val="99"/>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rsid w:val="00BB207D"/>
    <w:rPr>
      <w:b/>
      <w:bCs/>
    </w:rPr>
  </w:style>
  <w:style w:type="character" w:customStyle="1" w:styleId="CommentSubjectChar">
    <w:name w:val="Comment Subject Char"/>
    <w:link w:val="CommentSubject"/>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BB207D"/>
    <w:pPr>
      <w:spacing w:after="720"/>
      <w:jc w:val="center"/>
    </w:pPr>
    <w:rPr>
      <w:b/>
      <w:smallCaps/>
      <w:sz w:val="34"/>
    </w:rPr>
  </w:style>
  <w:style w:type="paragraph" w:customStyle="1" w:styleId="ContentsnoToC">
    <w:name w:val="Contents no ToC"/>
    <w:basedOn w:val="ContentsHeading"/>
    <w:rsid w:val="00BB207D"/>
  </w:style>
  <w:style w:type="paragraph" w:customStyle="1" w:styleId="Dash">
    <w:name w:val="Dash"/>
    <w:basedOn w:val="Normal"/>
    <w:link w:val="DashChar"/>
    <w:qFormat/>
    <w:rsid w:val="00BB207D"/>
    <w:pPr>
      <w:numPr>
        <w:ilvl w:val="1"/>
        <w:numId w:val="4"/>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4"/>
      </w:numPr>
      <w:tabs>
        <w:tab w:val="clear" w:pos="850"/>
        <w:tab w:val="num" w:pos="360"/>
        <w:tab w:val="left" w:pos="851"/>
      </w:tabs>
    </w:pPr>
  </w:style>
  <w:style w:type="character" w:styleId="EndnoteReference">
    <w:name w:val="endnote reference"/>
    <w:unhideWhenUsed/>
    <w:rsid w:val="00BB207D"/>
    <w:rPr>
      <w:vertAlign w:val="superscript"/>
    </w:rPr>
  </w:style>
  <w:style w:type="paragraph" w:styleId="EndnoteText">
    <w:name w:val="endnote text"/>
    <w:basedOn w:val="Normal"/>
    <w:link w:val="EndnoteTextChar"/>
    <w:unhideWhenUsed/>
    <w:rsid w:val="00BB207D"/>
  </w:style>
  <w:style w:type="character" w:customStyle="1" w:styleId="EndnoteTextChar">
    <w:name w:val="Endnote Text Char"/>
    <w:link w:val="EndnoteText"/>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BB207D"/>
    <w:pPr>
      <w:jc w:val="center"/>
    </w:pPr>
    <w:rPr>
      <w:rFonts w:ascii="Arial" w:eastAsia="Times New Roman" w:hAnsi="Arial"/>
    </w:rPr>
  </w:style>
  <w:style w:type="paragraph" w:customStyle="1" w:styleId="FooterEven">
    <w:name w:val="Footer Even"/>
    <w:basedOn w:val="Footer"/>
    <w:rsid w:val="00BB207D"/>
    <w:pPr>
      <w:jc w:val="left"/>
    </w:pPr>
    <w:rPr>
      <w:sz w:val="18"/>
    </w:rPr>
  </w:style>
  <w:style w:type="paragraph" w:customStyle="1" w:styleId="FooterOdd">
    <w:name w:val="Footer Odd"/>
    <w:basedOn w:val="Footer"/>
    <w:rsid w:val="00BB207D"/>
    <w:pPr>
      <w:jc w:val="right"/>
    </w:pPr>
    <w:rPr>
      <w:sz w:val="18"/>
    </w:rPr>
  </w:style>
  <w:style w:type="character" w:styleId="FootnoteReference">
    <w:name w:val="footnote reference"/>
    <w:rsid w:val="00BB207D"/>
    <w:rPr>
      <w:vertAlign w:val="superscript"/>
    </w:rPr>
  </w:style>
  <w:style w:type="paragraph" w:styleId="FootnoteText">
    <w:name w:val="footnote text"/>
    <w:basedOn w:val="Normal"/>
    <w:link w:val="FootnoteTextChar"/>
    <w:rsid w:val="00BB207D"/>
    <w:pPr>
      <w:tabs>
        <w:tab w:val="left" w:pos="284"/>
      </w:tabs>
      <w:spacing w:after="0" w:line="240" w:lineRule="auto"/>
      <w:ind w:left="284" w:hanging="284"/>
    </w:pPr>
    <w:rPr>
      <w:sz w:val="18"/>
    </w:rPr>
  </w:style>
  <w:style w:type="character" w:customStyle="1" w:styleId="FootnoteTextChar">
    <w:name w:val="Footnote Text Char"/>
    <w:link w:val="FootnoteText"/>
    <w:rsid w:val="00BB207D"/>
    <w:rPr>
      <w:rFonts w:ascii="Book Antiqua" w:eastAsia="Times New Roman" w:hAnsi="Book Antiqua" w:cs="Times New Roman"/>
      <w:sz w:val="18"/>
      <w:szCs w:val="20"/>
      <w:lang w:eastAsia="en-AU"/>
    </w:rPr>
  </w:style>
  <w:style w:type="character" w:customStyle="1" w:styleId="FramedHeader">
    <w:name w:val="Framed Header"/>
    <w:rsid w:val="00BB207D"/>
    <w:rPr>
      <w:rFonts w:ascii="Book Antiqua" w:hAnsi="Book Antiqua"/>
      <w:i/>
      <w:dstrike w:val="0"/>
      <w:color w:val="auto"/>
      <w:sz w:val="20"/>
      <w:vertAlign w:val="baseline"/>
    </w:rPr>
  </w:style>
  <w:style w:type="paragraph" w:customStyle="1" w:styleId="HeaderBase">
    <w:name w:val="Header Base"/>
    <w:link w:val="HeaderBaseChar"/>
    <w:rsid w:val="00DA42A3"/>
    <w:rPr>
      <w:rFonts w:ascii="Book Antiqua" w:eastAsia="Times New Roman" w:hAnsi="Book Antiqua"/>
      <w:i/>
    </w:rPr>
  </w:style>
  <w:style w:type="paragraph" w:customStyle="1" w:styleId="HeaderEven">
    <w:name w:val="Header Even"/>
    <w:basedOn w:val="HeaderBase"/>
    <w:rsid w:val="00BB207D"/>
  </w:style>
  <w:style w:type="paragraph" w:customStyle="1" w:styleId="HeaderOdd">
    <w:name w:val="Header Odd"/>
    <w:basedOn w:val="HeaderBase"/>
    <w:rsid w:val="00BB207D"/>
    <w:pPr>
      <w:jc w:val="right"/>
    </w:pPr>
  </w:style>
  <w:style w:type="character" w:customStyle="1" w:styleId="Heading1Char">
    <w:name w:val="Heading 1 Char"/>
    <w:link w:val="Heading1"/>
    <w:rsid w:val="00BB207D"/>
    <w:rPr>
      <w:rFonts w:ascii="Arial" w:eastAsia="Times New Roman" w:hAnsi="Arial" w:cs="Times New Roman"/>
      <w:b/>
      <w:smallCaps/>
      <w:kern w:val="34"/>
      <w:sz w:val="34"/>
      <w:szCs w:val="20"/>
      <w:lang w:eastAsia="en-AU"/>
    </w:rPr>
  </w:style>
  <w:style w:type="character" w:customStyle="1" w:styleId="Heading2Char">
    <w:name w:val="Heading 2 Char"/>
    <w:link w:val="Heading2"/>
    <w:rsid w:val="00BB207D"/>
    <w:rPr>
      <w:rFonts w:ascii="Arial Bold" w:eastAsia="Times New Roman" w:hAnsi="Arial Bold" w:cs="Times New Roman"/>
      <w:b/>
      <w:smallCaps/>
      <w:sz w:val="26"/>
      <w:szCs w:val="20"/>
      <w:lang w:eastAsia="en-AU"/>
    </w:rPr>
  </w:style>
  <w:style w:type="character" w:customStyle="1" w:styleId="Heading3Char">
    <w:name w:val="Heading 3 Char"/>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rsid w:val="00BB207D"/>
    <w:pPr>
      <w:outlineLvl w:val="9"/>
    </w:pPr>
  </w:style>
  <w:style w:type="character" w:customStyle="1" w:styleId="Heading4Char">
    <w:name w:val="Heading 4 Char"/>
    <w:link w:val="Heading4"/>
    <w:rsid w:val="00BB207D"/>
    <w:rPr>
      <w:rFonts w:ascii="Arial Bold" w:eastAsia="Times New Roman" w:hAnsi="Arial Bold" w:cs="Times New Roman"/>
      <w:b/>
      <w:sz w:val="20"/>
      <w:szCs w:val="20"/>
      <w:lang w:eastAsia="en-AU"/>
    </w:rPr>
  </w:style>
  <w:style w:type="character" w:customStyle="1" w:styleId="Heading5Char">
    <w:name w:val="Heading 5 Char"/>
    <w:link w:val="Heading5"/>
    <w:rsid w:val="00BB207D"/>
    <w:rPr>
      <w:rFonts w:ascii="Arial" w:eastAsia="Times New Roman" w:hAnsi="Arial" w:cs="Times New Roman"/>
      <w:b/>
      <w:bCs/>
      <w:iCs/>
      <w:sz w:val="20"/>
      <w:szCs w:val="26"/>
      <w:lang w:eastAsia="en-AU"/>
    </w:rPr>
  </w:style>
  <w:style w:type="character" w:customStyle="1" w:styleId="Heading7Char">
    <w:name w:val="Heading 7 Char"/>
    <w:link w:val="Heading7"/>
    <w:rsid w:val="00BB207D"/>
    <w:rPr>
      <w:rFonts w:ascii="Arial" w:eastAsia="Times New Roman" w:hAnsi="Arial" w:cs="Times New Roman"/>
      <w:sz w:val="20"/>
      <w:szCs w:val="24"/>
      <w:lang w:eastAsia="en-AU"/>
    </w:rPr>
  </w:style>
  <w:style w:type="character" w:customStyle="1" w:styleId="Heading8Char">
    <w:name w:val="Heading 8 Char"/>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rsid w:val="00BB207D"/>
    <w:rPr>
      <w:rFonts w:ascii="Times New Roman" w:hAnsi="Times New Roman"/>
      <w:vanish/>
      <w:sz w:val="16"/>
    </w:rPr>
  </w:style>
  <w:style w:type="character" w:styleId="Hyperlink">
    <w:name w:val="Hyperlink"/>
    <w:uiPriority w:val="99"/>
    <w:unhideWhenUsed/>
    <w:rsid w:val="00BB207D"/>
    <w:rPr>
      <w:color w:val="0000FF"/>
      <w:u w:val="single"/>
    </w:rPr>
  </w:style>
  <w:style w:type="paragraph" w:styleId="Index1">
    <w:name w:val="index 1"/>
    <w:basedOn w:val="Normal"/>
    <w:next w:val="Normal"/>
    <w:rsid w:val="00BB207D"/>
    <w:pPr>
      <w:ind w:left="200" w:hanging="200"/>
    </w:pPr>
  </w:style>
  <w:style w:type="paragraph" w:styleId="Index2">
    <w:name w:val="index 2"/>
    <w:basedOn w:val="Normal"/>
    <w:next w:val="Normal"/>
    <w:rsid w:val="00BB207D"/>
    <w:pPr>
      <w:ind w:left="400" w:hanging="200"/>
    </w:pPr>
  </w:style>
  <w:style w:type="paragraph" w:styleId="Index3">
    <w:name w:val="index 3"/>
    <w:basedOn w:val="Normal"/>
    <w:next w:val="Normal"/>
    <w:rsid w:val="00BB207D"/>
    <w:pPr>
      <w:ind w:left="600" w:hanging="200"/>
    </w:p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IndexHeading">
    <w:name w:val="index heading"/>
    <w:basedOn w:val="Normal"/>
    <w:next w:val="Index1"/>
    <w:rsid w:val="00BB207D"/>
    <w:rPr>
      <w:rFonts w:ascii="Arial Bold" w:hAnsi="Arial Bold" w:cs="Arial"/>
      <w:b/>
      <w:bCs/>
      <w:color w:val="002B54"/>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rPr>
  </w:style>
  <w:style w:type="character" w:customStyle="1" w:styleId="MacroTextChar">
    <w:name w:val="Macro Text Char"/>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BB207D"/>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rsid w:val="00BB207D"/>
    <w:rPr>
      <w:rFonts w:ascii="Arial" w:hAnsi="Arial" w:cs="Arial"/>
    </w:rPr>
  </w:style>
  <w:style w:type="paragraph" w:customStyle="1" w:styleId="SingleParagraph">
    <w:name w:val="Single Paragraph"/>
    <w:basedOn w:val="Normal"/>
    <w:rsid w:val="00BB207D"/>
    <w:pPr>
      <w:spacing w:after="0"/>
    </w:pPr>
  </w:style>
  <w:style w:type="paragraph" w:customStyle="1" w:styleId="Source">
    <w:name w:val="Source"/>
    <w:basedOn w:val="Normal"/>
    <w:rsid w:val="00BB207D"/>
    <w:pPr>
      <w:tabs>
        <w:tab w:val="left" w:pos="284"/>
      </w:tabs>
      <w:spacing w:line="240" w:lineRule="auto"/>
    </w:pPr>
    <w:rPr>
      <w:rFonts w:ascii="Arial" w:hAnsi="Arial"/>
      <w:sz w:val="16"/>
    </w:rPr>
  </w:style>
  <w:style w:type="paragraph" w:customStyle="1" w:styleId="SourceBox">
    <w:name w:val="Source Box"/>
    <w:basedOn w:val="Source"/>
    <w:rsid w:val="00BB207D"/>
    <w:pPr>
      <w:spacing w:after="120"/>
    </w:pPr>
  </w:style>
  <w:style w:type="paragraph" w:customStyle="1" w:styleId="TableColumnHeadingBase">
    <w:name w:val="Table Column Heading Base"/>
    <w:basedOn w:val="Normal"/>
    <w:rsid w:val="00BB207D"/>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rsid w:val="00BB207D"/>
    <w:pPr>
      <w:jc w:val="right"/>
    </w:pPr>
  </w:style>
  <w:style w:type="paragraph" w:customStyle="1" w:styleId="TableColumnHeadingS118pt">
    <w:name w:val="Table Column Heading S11 8 pt"/>
    <w:basedOn w:val="TableColumnHeadingBase"/>
    <w:rsid w:val="00BB207D"/>
    <w:pPr>
      <w:spacing w:after="0"/>
    </w:pPr>
    <w:rPr>
      <w:rFonts w:ascii="Arial" w:hAnsi="Arial"/>
    </w:rPr>
  </w:style>
  <w:style w:type="paragraph" w:customStyle="1" w:styleId="TableColumnHeadingS119pt">
    <w:name w:val="Table Column Heading S11 9 pt"/>
    <w:basedOn w:val="TableColumnHeadingBase"/>
    <w:rsid w:val="00BB207D"/>
    <w:pPr>
      <w:spacing w:before="60" w:after="60"/>
    </w:pPr>
    <w:rPr>
      <w:rFonts w:ascii="Arial" w:hAnsi="Arial"/>
      <w:sz w:val="18"/>
    </w:r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BB207D"/>
    <w:pPr>
      <w:spacing w:after="240" w:line="260" w:lineRule="exact"/>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BB207D"/>
    <w:pPr>
      <w:spacing w:before="120" w:after="20"/>
    </w:pPr>
    <w:rPr>
      <w:b/>
      <w:sz w:val="20"/>
    </w:rPr>
  </w:style>
  <w:style w:type="paragraph" w:customStyle="1" w:styleId="TableHeadingcontinued">
    <w:name w:val="Table Heading continued"/>
    <w:basedOn w:val="HeadingBase"/>
    <w:next w:val="TableGraphic"/>
    <w:rsid w:val="00BB207D"/>
    <w:pPr>
      <w:spacing w:before="120" w:after="20"/>
    </w:pPr>
    <w:rPr>
      <w:rFonts w:ascii="Arial Bold" w:hAnsi="Arial Bold"/>
      <w:b/>
      <w:sz w:val="20"/>
    </w:rPr>
  </w:style>
  <w:style w:type="paragraph" w:styleId="TableofAuthorities">
    <w:name w:val="table of authorities"/>
    <w:basedOn w:val="Normal"/>
    <w:next w:val="Normal"/>
    <w:rsid w:val="00BB207D"/>
    <w:pPr>
      <w:ind w:left="200" w:hanging="200"/>
    </w:p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jc w:val="left"/>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rPr>
  </w:style>
  <w:style w:type="paragraph" w:styleId="TOC1">
    <w:name w:val="toc 1"/>
    <w:basedOn w:val="HeaderBase"/>
    <w:next w:val="Normal"/>
    <w:uiPriority w:val="39"/>
    <w:rsid w:val="00BB207D"/>
    <w:pPr>
      <w:tabs>
        <w:tab w:val="left" w:pos="1486"/>
        <w:tab w:val="right" w:leader="dot" w:pos="7700"/>
      </w:tabs>
      <w:spacing w:before="240"/>
      <w:ind w:right="851"/>
    </w:pPr>
    <w:rPr>
      <w:rFonts w:ascii="Arial Bold" w:hAnsi="Arial Bold"/>
      <w:b/>
      <w:i w:val="0"/>
      <w:sz w:val="22"/>
    </w:rPr>
  </w:style>
  <w:style w:type="paragraph" w:styleId="TOC2">
    <w:name w:val="toc 2"/>
    <w:basedOn w:val="HeadingBase"/>
    <w:next w:val="Normal"/>
    <w:uiPriority w:val="39"/>
    <w:rsid w:val="00BB207D"/>
    <w:pPr>
      <w:tabs>
        <w:tab w:val="left" w:pos="992"/>
        <w:tab w:val="right" w:leader="dot" w:pos="7700"/>
      </w:tabs>
      <w:spacing w:before="40"/>
      <w:ind w:left="851" w:right="851" w:hanging="851"/>
    </w:pPr>
    <w:rPr>
      <w:sz w:val="20"/>
    </w:rPr>
  </w:style>
  <w:style w:type="paragraph" w:styleId="TOC3">
    <w:name w:val="toc 3"/>
    <w:basedOn w:val="HeadingBase"/>
    <w:next w:val="Normal"/>
    <w:uiPriority w:val="39"/>
    <w:unhideWhenUsed/>
    <w:rsid w:val="00BB207D"/>
    <w:pPr>
      <w:tabs>
        <w:tab w:val="right" w:leader="dot" w:pos="7700"/>
      </w:tabs>
      <w:spacing w:before="40"/>
      <w:ind w:right="851"/>
    </w:pPr>
    <w:rPr>
      <w:sz w:val="20"/>
    </w:rPr>
  </w:style>
  <w:style w:type="paragraph" w:styleId="TOC4">
    <w:name w:val="toc 4"/>
    <w:basedOn w:val="HeadingBase"/>
    <w:next w:val="Normal"/>
    <w:uiPriority w:val="39"/>
    <w:unhideWhenUsed/>
    <w:rsid w:val="00BB207D"/>
    <w:pPr>
      <w:tabs>
        <w:tab w:val="right" w:leader="dot" w:pos="7700"/>
      </w:tabs>
      <w:spacing w:before="40"/>
      <w:ind w:right="851"/>
    </w:pPr>
    <w:rPr>
      <w:sz w:val="20"/>
    </w:rPr>
  </w:style>
  <w:style w:type="paragraph" w:styleId="TOC5">
    <w:name w:val="toc 5"/>
    <w:basedOn w:val="Normal"/>
    <w:next w:val="Normal"/>
    <w:autoRedefine/>
    <w:uiPriority w:val="39"/>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semiHidden/>
    <w:rsid w:val="00BB207D"/>
    <w:pPr>
      <w:tabs>
        <w:tab w:val="left" w:pos="851"/>
      </w:tabs>
      <w:ind w:left="851" w:hanging="851"/>
    </w:pPr>
    <w:rPr>
      <w:color w:val="000000"/>
    </w:rPr>
  </w:style>
  <w:style w:type="paragraph" w:styleId="TOC7">
    <w:name w:val="toc 7"/>
    <w:basedOn w:val="Normal"/>
    <w:next w:val="Normal"/>
    <w:autoRedefine/>
    <w:semiHidden/>
    <w:rsid w:val="00BB207D"/>
    <w:pPr>
      <w:ind w:left="1200"/>
    </w:pPr>
  </w:style>
  <w:style w:type="paragraph" w:styleId="TOC8">
    <w:name w:val="toc 8"/>
    <w:basedOn w:val="Normal"/>
    <w:next w:val="Normal"/>
    <w:autoRedefine/>
    <w:semiHidden/>
    <w:rsid w:val="00BB207D"/>
    <w:pPr>
      <w:ind w:left="1400"/>
    </w:pPr>
  </w:style>
  <w:style w:type="paragraph" w:styleId="TOC9">
    <w:name w:val="toc 9"/>
    <w:basedOn w:val="Normal"/>
    <w:next w:val="Normal"/>
    <w:autoRedefine/>
    <w:rsid w:val="00BB207D"/>
    <w:pPr>
      <w:ind w:left="1600"/>
    </w:pPr>
  </w:style>
  <w:style w:type="paragraph" w:customStyle="1" w:styleId="TPHeading1">
    <w:name w:val="TP Heading 1"/>
    <w:basedOn w:val="HeadingBase"/>
    <w:semiHidden/>
    <w:rsid w:val="00BB207D"/>
    <w:pPr>
      <w:spacing w:before="60" w:after="60"/>
      <w:ind w:left="1134"/>
    </w:pPr>
    <w:rPr>
      <w:rFonts w:ascii="Arial Bold" w:hAnsi="Arial Bold"/>
      <w:b/>
      <w:caps/>
      <w:spacing w:val="-10"/>
      <w:sz w:val="28"/>
    </w:rPr>
  </w:style>
  <w:style w:type="paragraph" w:customStyle="1" w:styleId="TPHeading2">
    <w:name w:val="TP Heading 2"/>
    <w:basedOn w:val="HeadingBase"/>
    <w:semiHidden/>
    <w:rsid w:val="00BB207D"/>
    <w:pPr>
      <w:ind w:left="1134"/>
    </w:pPr>
    <w:rPr>
      <w:caps/>
      <w:spacing w:val="-10"/>
      <w:sz w:val="28"/>
    </w:rPr>
  </w:style>
  <w:style w:type="paragraph" w:customStyle="1" w:styleId="TPHeading3">
    <w:name w:val="TP Heading 3"/>
    <w:basedOn w:val="HeadingBase"/>
    <w:semiHidden/>
    <w:rsid w:val="00BB207D"/>
    <w:pPr>
      <w:ind w:left="1134"/>
    </w:pPr>
    <w:rPr>
      <w:caps/>
      <w:spacing w:val="-10"/>
    </w:rPr>
  </w:style>
  <w:style w:type="paragraph" w:customStyle="1" w:styleId="TPHeading3bold">
    <w:name w:val="TP Heading 3 bold"/>
    <w:basedOn w:val="TPHeading3"/>
    <w:semiHidden/>
    <w:rsid w:val="00BB207D"/>
    <w:rPr>
      <w:rFonts w:cs="Arial"/>
      <w:b/>
      <w:sz w:val="22"/>
      <w:szCs w:val="22"/>
    </w:rPr>
  </w:style>
  <w:style w:type="paragraph" w:customStyle="1" w:styleId="TPHEADING3boldspace">
    <w:name w:val="TP HEADING 3 bold space"/>
    <w:basedOn w:val="TPHeading3bold"/>
    <w:semiHidden/>
    <w:rsid w:val="00BB207D"/>
    <w:pPr>
      <w:spacing w:after="120"/>
    </w:pPr>
  </w:style>
  <w:style w:type="paragraph" w:customStyle="1" w:styleId="TPHEADING3space">
    <w:name w:val="TP HEADING 3 space"/>
    <w:basedOn w:val="TPHeading3"/>
    <w:semiHidden/>
    <w:rsid w:val="00BB207D"/>
    <w:pPr>
      <w:spacing w:before="120" w:after="120"/>
    </w:pPr>
    <w:rPr>
      <w:rFonts w:cs="Arial"/>
      <w:sz w:val="22"/>
      <w:szCs w:val="22"/>
    </w:rPr>
  </w:style>
  <w:style w:type="paragraph" w:customStyle="1" w:styleId="TPHeading4">
    <w:name w:val="TP Heading 4"/>
    <w:basedOn w:val="TPHeading3"/>
    <w:semiHidden/>
    <w:rsid w:val="00BB207D"/>
    <w:rPr>
      <w:sz w:val="20"/>
    </w:rPr>
  </w:style>
  <w:style w:type="paragraph" w:customStyle="1" w:styleId="TPHEADING4space">
    <w:name w:val="TP HEADING 4 space"/>
    <w:basedOn w:val="TPHEADING3space"/>
    <w:semiHidden/>
    <w:rsid w:val="00BB207D"/>
  </w:style>
  <w:style w:type="paragraph" w:customStyle="1" w:styleId="ContentsSecondHeading">
    <w:name w:val="Contents Second Heading"/>
    <w:basedOn w:val="HeadingBase"/>
    <w:next w:val="Normal"/>
    <w:rsid w:val="000411DC"/>
    <w:pPr>
      <w:keepNext w:val="0"/>
      <w:spacing w:after="360"/>
      <w:jc w:val="center"/>
    </w:pPr>
    <w:rPr>
      <w:rFonts w:cs="Arial"/>
      <w:color w:val="000000"/>
      <w:sz w:val="30"/>
      <w:szCs w:val="24"/>
      <w:lang w:eastAsia="en-US"/>
    </w:rPr>
  </w:style>
  <w:style w:type="paragraph" w:styleId="ListBullet4">
    <w:name w:val="List Bullet 4"/>
    <w:basedOn w:val="Normal"/>
    <w:autoRedefine/>
    <w:rsid w:val="000411DC"/>
    <w:pPr>
      <w:numPr>
        <w:numId w:val="5"/>
      </w:numPr>
    </w:pPr>
  </w:style>
  <w:style w:type="paragraph" w:customStyle="1" w:styleId="ChartandTableFootnoteAlphaSmall">
    <w:name w:val="Chart and Table Footnote Alpha Small"/>
    <w:basedOn w:val="ChartandTableFootnoteAlpha"/>
    <w:rsid w:val="000411DC"/>
    <w:pPr>
      <w:numPr>
        <w:numId w:val="6"/>
      </w:numPr>
    </w:pPr>
    <w:rPr>
      <w:rFonts w:cs="Arial"/>
      <w:sz w:val="15"/>
      <w:szCs w:val="24"/>
      <w:lang w:eastAsia="en-US"/>
    </w:rPr>
  </w:style>
  <w:style w:type="paragraph" w:customStyle="1" w:styleId="Exactly">
    <w:name w:val="Exactly"/>
    <w:basedOn w:val="Normal"/>
    <w:next w:val="Normal"/>
    <w:rsid w:val="000411DC"/>
    <w:pPr>
      <w:spacing w:line="240" w:lineRule="auto"/>
    </w:pPr>
  </w:style>
  <w:style w:type="paragraph" w:customStyle="1" w:styleId="SingleParagraph0">
    <w:name w:val="SingleParagraph"/>
    <w:basedOn w:val="Normal"/>
    <w:next w:val="Normal"/>
    <w:rsid w:val="000411DC"/>
    <w:pPr>
      <w:spacing w:after="0" w:line="240" w:lineRule="auto"/>
    </w:pPr>
    <w:rPr>
      <w:color w:val="000000"/>
    </w:rPr>
  </w:style>
  <w:style w:type="paragraph" w:customStyle="1" w:styleId="MeasureTableTextLeftAligned">
    <w:name w:val="Measure Table Text Left Aligned"/>
    <w:basedOn w:val="Normal"/>
    <w:rsid w:val="000411DC"/>
    <w:pPr>
      <w:spacing w:before="60" w:after="60" w:line="240" w:lineRule="auto"/>
      <w:jc w:val="left"/>
    </w:pPr>
    <w:rPr>
      <w:rFonts w:ascii="Arial" w:hAnsi="Arial"/>
      <w:color w:val="000000"/>
      <w:sz w:val="16"/>
    </w:rPr>
  </w:style>
  <w:style w:type="paragraph" w:customStyle="1" w:styleId="MeasureTableTextRightAligned">
    <w:name w:val="Measure Table Text Right Aligned"/>
    <w:basedOn w:val="Normal"/>
    <w:rsid w:val="000411DC"/>
    <w:pPr>
      <w:spacing w:before="60" w:after="60" w:line="240" w:lineRule="auto"/>
      <w:jc w:val="right"/>
    </w:pPr>
    <w:rPr>
      <w:rFonts w:ascii="Arial" w:hAnsi="Arial"/>
      <w:sz w:val="16"/>
    </w:rPr>
  </w:style>
  <w:style w:type="paragraph" w:customStyle="1" w:styleId="Attachmentheading">
    <w:name w:val="Attachment heading"/>
    <w:basedOn w:val="Normal"/>
    <w:next w:val="Normal"/>
    <w:rsid w:val="000411DC"/>
    <w:pPr>
      <w:spacing w:line="240" w:lineRule="auto"/>
      <w:jc w:val="right"/>
    </w:pPr>
    <w:rPr>
      <w:rFonts w:ascii="Arial Bold" w:hAnsi="Arial Bold"/>
      <w:b/>
      <w:sz w:val="22"/>
    </w:rPr>
  </w:style>
  <w:style w:type="paragraph" w:customStyle="1" w:styleId="st11summarytableheading1">
    <w:name w:val="st 11 summary table heading 1"/>
    <w:basedOn w:val="Heading5"/>
    <w:rsid w:val="000411DC"/>
    <w:pPr>
      <w:spacing w:before="60" w:after="60"/>
    </w:pPr>
    <w:rPr>
      <w:rFonts w:ascii="Arial Bold" w:hAnsi="Arial Bold" w:cs="Arial"/>
      <w:b w:val="0"/>
      <w:bCs w:val="0"/>
      <w:iCs w:val="0"/>
      <w:color w:val="000000"/>
      <w:sz w:val="18"/>
      <w:szCs w:val="18"/>
      <w:lang w:eastAsia="en-US"/>
    </w:rPr>
  </w:style>
  <w:style w:type="paragraph" w:customStyle="1" w:styleId="St11summarytableheading2">
    <w:name w:val="St 11 summary table heading 2"/>
    <w:basedOn w:val="Heading7"/>
    <w:rsid w:val="000411DC"/>
    <w:pPr>
      <w:keepNext w:val="0"/>
      <w:spacing w:before="40"/>
    </w:pPr>
    <w:rPr>
      <w:rFonts w:ascii="Arial Bold" w:hAnsi="Arial Bold" w:cs="Arial"/>
      <w:b/>
      <w:color w:val="000000"/>
      <w:sz w:val="16"/>
      <w:szCs w:val="16"/>
      <w:lang w:eastAsia="en-US"/>
    </w:rPr>
  </w:style>
  <w:style w:type="paragraph" w:customStyle="1" w:styleId="MeasureTableHeading">
    <w:name w:val="Measure Table Heading"/>
    <w:basedOn w:val="Normal"/>
    <w:rsid w:val="000411DC"/>
    <w:pPr>
      <w:keepNext/>
      <w:spacing w:after="0" w:line="240" w:lineRule="auto"/>
      <w:jc w:val="left"/>
    </w:pPr>
    <w:rPr>
      <w:rFonts w:ascii="Arial" w:hAnsi="Arial"/>
      <w:sz w:val="16"/>
      <w:szCs w:val="3276"/>
      <w:lang w:eastAsia="en-AU"/>
    </w:rPr>
  </w:style>
  <w:style w:type="paragraph" w:customStyle="1" w:styleId="BoxDash">
    <w:name w:val="Box Dash"/>
    <w:basedOn w:val="Normal"/>
    <w:rsid w:val="004D3C8E"/>
    <w:pPr>
      <w:numPr>
        <w:numId w:val="34"/>
      </w:numPr>
      <w:tabs>
        <w:tab w:val="left" w:pos="567"/>
      </w:tabs>
      <w:spacing w:before="120" w:after="120"/>
      <w:ind w:left="568" w:hanging="284"/>
    </w:pPr>
    <w:rPr>
      <w:color w:val="000000"/>
      <w:szCs w:val="20"/>
      <w:lang w:eastAsia="en-AU"/>
    </w:rPr>
  </w:style>
  <w:style w:type="paragraph" w:customStyle="1" w:styleId="BoxDoubleDot">
    <w:name w:val="Box Double Dot"/>
    <w:basedOn w:val="BoxTextBase"/>
    <w:rsid w:val="000411DC"/>
    <w:pPr>
      <w:tabs>
        <w:tab w:val="num" w:pos="283"/>
      </w:tabs>
      <w:spacing w:before="120" w:after="120"/>
      <w:ind w:left="283" w:hanging="283"/>
    </w:pPr>
  </w:style>
  <w:style w:type="paragraph" w:customStyle="1" w:styleId="BoxTextBase">
    <w:name w:val="Box Text Base"/>
    <w:basedOn w:val="Normal"/>
    <w:rsid w:val="000411DC"/>
    <w:pPr>
      <w:spacing w:line="240" w:lineRule="auto"/>
    </w:pPr>
    <w:rPr>
      <w:color w:val="000000"/>
      <w:szCs w:val="20"/>
      <w:lang w:eastAsia="en-AU"/>
    </w:rPr>
  </w:style>
  <w:style w:type="paragraph" w:customStyle="1" w:styleId="AppendixBBoxHeading">
    <w:name w:val="Appendix_B_Box_Heading"/>
    <w:basedOn w:val="Heading5"/>
    <w:rsid w:val="000411DC"/>
    <w:pPr>
      <w:spacing w:before="120" w:after="80"/>
    </w:pPr>
    <w:rPr>
      <w:rFonts w:cs="Arial"/>
      <w:b w:val="0"/>
      <w:bCs w:val="0"/>
      <w:iCs w:val="0"/>
      <w:color w:val="000000"/>
      <w:szCs w:val="24"/>
      <w:lang w:eastAsia="en-US"/>
    </w:rPr>
  </w:style>
  <w:style w:type="paragraph" w:customStyle="1" w:styleId="OneLevelNumberedParagraph">
    <w:name w:val="One Level Numbered Paragraph"/>
    <w:basedOn w:val="Normal"/>
    <w:rsid w:val="000411DC"/>
    <w:pPr>
      <w:numPr>
        <w:numId w:val="7"/>
      </w:numPr>
      <w:tabs>
        <w:tab w:val="clear" w:pos="567"/>
        <w:tab w:val="num" w:pos="360"/>
      </w:tabs>
      <w:ind w:left="0" w:firstLine="0"/>
    </w:pPr>
    <w:rPr>
      <w:color w:val="000000"/>
      <w:szCs w:val="20"/>
      <w:lang w:eastAsia="en-AU"/>
    </w:rPr>
  </w:style>
  <w:style w:type="paragraph" w:customStyle="1" w:styleId="OutlineNumbered1">
    <w:name w:val="Outline Numbered 1"/>
    <w:basedOn w:val="Normal"/>
    <w:rsid w:val="000411DC"/>
    <w:pPr>
      <w:numPr>
        <w:numId w:val="8"/>
      </w:numPr>
      <w:tabs>
        <w:tab w:val="clear" w:pos="567"/>
        <w:tab w:val="num" w:pos="360"/>
      </w:tabs>
      <w:ind w:left="0" w:firstLine="0"/>
    </w:pPr>
    <w:rPr>
      <w:color w:val="000000"/>
      <w:szCs w:val="20"/>
      <w:lang w:eastAsia="en-AU"/>
    </w:rPr>
  </w:style>
  <w:style w:type="paragraph" w:customStyle="1" w:styleId="OutlineNumbered2">
    <w:name w:val="Outline Numbered 2"/>
    <w:basedOn w:val="Normal"/>
    <w:rsid w:val="000411DC"/>
    <w:pPr>
      <w:numPr>
        <w:ilvl w:val="1"/>
        <w:numId w:val="8"/>
      </w:numPr>
      <w:tabs>
        <w:tab w:val="clear" w:pos="1134"/>
        <w:tab w:val="num" w:pos="360"/>
      </w:tabs>
      <w:ind w:left="0" w:firstLine="0"/>
    </w:pPr>
    <w:rPr>
      <w:color w:val="000000"/>
      <w:szCs w:val="20"/>
      <w:lang w:eastAsia="en-AU"/>
    </w:rPr>
  </w:style>
  <w:style w:type="paragraph" w:customStyle="1" w:styleId="OutlineNumbered3">
    <w:name w:val="Outline Numbered 3"/>
    <w:basedOn w:val="Normal"/>
    <w:rsid w:val="000411DC"/>
    <w:pPr>
      <w:numPr>
        <w:ilvl w:val="2"/>
        <w:numId w:val="8"/>
      </w:numPr>
      <w:tabs>
        <w:tab w:val="clear" w:pos="1701"/>
        <w:tab w:val="num" w:pos="360"/>
      </w:tabs>
      <w:ind w:left="0" w:firstLine="0"/>
    </w:pPr>
    <w:rPr>
      <w:color w:val="000000"/>
      <w:szCs w:val="20"/>
      <w:lang w:eastAsia="en-AU"/>
    </w:rPr>
  </w:style>
  <w:style w:type="paragraph" w:styleId="Title">
    <w:name w:val="Title"/>
    <w:basedOn w:val="Normal"/>
    <w:link w:val="TitleChar"/>
    <w:qFormat/>
    <w:rsid w:val="000411DC"/>
    <w:pPr>
      <w:spacing w:after="0" w:line="240" w:lineRule="auto"/>
      <w:jc w:val="center"/>
      <w:outlineLvl w:val="0"/>
    </w:pPr>
    <w:rPr>
      <w:b/>
      <w:kern w:val="28"/>
      <w:sz w:val="52"/>
    </w:rPr>
  </w:style>
  <w:style w:type="character" w:customStyle="1" w:styleId="TitleChar">
    <w:name w:val="Title Char"/>
    <w:link w:val="Title"/>
    <w:rsid w:val="000411DC"/>
    <w:rPr>
      <w:rFonts w:ascii="Book Antiqua" w:eastAsia="Times New Roman" w:hAnsi="Book Antiqua" w:cs="Times New Roman"/>
      <w:b/>
      <w:kern w:val="28"/>
      <w:sz w:val="52"/>
      <w:szCs w:val="24"/>
    </w:rPr>
  </w:style>
  <w:style w:type="paragraph" w:customStyle="1" w:styleId="Title2ndLevel">
    <w:name w:val="Title 2nd Level"/>
    <w:basedOn w:val="Normal"/>
    <w:rsid w:val="000411DC"/>
    <w:pPr>
      <w:spacing w:after="0" w:line="240" w:lineRule="auto"/>
      <w:jc w:val="center"/>
    </w:pPr>
    <w:rPr>
      <w:sz w:val="24"/>
    </w:rPr>
  </w:style>
  <w:style w:type="paragraph" w:customStyle="1" w:styleId="AppendixBBoxSubHeading">
    <w:name w:val="Appendix_B_Box_SubHeading"/>
    <w:basedOn w:val="Heading6"/>
    <w:rsid w:val="000411DC"/>
    <w:pPr>
      <w:spacing w:before="80" w:after="80"/>
    </w:pPr>
    <w:rPr>
      <w:rFonts w:cs="Arial"/>
      <w:bCs w:val="0"/>
      <w:color w:val="000000"/>
      <w:szCs w:val="24"/>
      <w:lang w:eastAsia="en-US"/>
    </w:rPr>
  </w:style>
  <w:style w:type="paragraph" w:customStyle="1" w:styleId="Heading2noTOC">
    <w:name w:val="Heading 2 no TOC"/>
    <w:basedOn w:val="Heading2"/>
    <w:qFormat/>
    <w:rsid w:val="000411DC"/>
    <w:rPr>
      <w:rFonts w:cs="Arial"/>
      <w:bCs/>
      <w:iCs/>
      <w:color w:val="000000"/>
      <w:szCs w:val="28"/>
      <w:lang w:eastAsia="en-US"/>
    </w:rPr>
  </w:style>
  <w:style w:type="paragraph" w:customStyle="1" w:styleId="fbo">
    <w:name w:val="fbo"/>
    <w:rsid w:val="000411DC"/>
    <w:pPr>
      <w:spacing w:after="240" w:line="260" w:lineRule="exact"/>
      <w:jc w:val="both"/>
    </w:pPr>
    <w:rPr>
      <w:rFonts w:ascii="Book Antiqua" w:eastAsia="Times New Roman" w:hAnsi="Book Antiqua"/>
      <w:szCs w:val="24"/>
      <w:lang w:eastAsia="en-US"/>
    </w:rPr>
  </w:style>
  <w:style w:type="character" w:customStyle="1" w:styleId="BulletChar">
    <w:name w:val="Bullet Char"/>
    <w:aliases w:val="b Char"/>
    <w:link w:val="Bullet"/>
    <w:rsid w:val="000411DC"/>
    <w:rPr>
      <w:rFonts w:ascii="Book Antiqua" w:eastAsia="Times New Roman" w:hAnsi="Book Antiqua"/>
      <w:szCs w:val="24"/>
      <w:lang w:eastAsia="en-US"/>
    </w:rPr>
  </w:style>
  <w:style w:type="character" w:customStyle="1" w:styleId="ChartandTableFootnoteAlphaChar">
    <w:name w:val="Chart and Table Footnote Alpha Char"/>
    <w:link w:val="ChartandTableFootnoteAlpha"/>
    <w:rsid w:val="004036C9"/>
    <w:rPr>
      <w:rFonts w:ascii="Arial" w:eastAsia="Times New Roman" w:hAnsi="Arial"/>
      <w:color w:val="000000"/>
      <w:sz w:val="16"/>
    </w:rPr>
  </w:style>
  <w:style w:type="paragraph" w:styleId="NoSpacing">
    <w:name w:val="No Spacing"/>
    <w:uiPriority w:val="1"/>
    <w:qFormat/>
    <w:rsid w:val="000411DC"/>
    <w:pPr>
      <w:jc w:val="both"/>
    </w:pPr>
    <w:rPr>
      <w:rFonts w:ascii="Book Antiqua" w:eastAsia="Times New Roman" w:hAnsi="Book Antiqua"/>
      <w:szCs w:val="24"/>
      <w:lang w:eastAsia="en-US"/>
    </w:rPr>
  </w:style>
  <w:style w:type="paragraph" w:customStyle="1" w:styleId="CABNETParagraph">
    <w:name w:val="CABNET Paragraph"/>
    <w:basedOn w:val="Normal"/>
    <w:link w:val="CABNETParagraphChar"/>
    <w:qFormat/>
    <w:rsid w:val="000411DC"/>
    <w:pPr>
      <w:spacing w:before="120" w:after="120" w:line="240" w:lineRule="auto"/>
      <w:jc w:val="left"/>
    </w:pPr>
    <w:rPr>
      <w:rFonts w:ascii="Verdana" w:eastAsia="Calibri" w:hAnsi="Verdana"/>
      <w:sz w:val="22"/>
      <w:szCs w:val="22"/>
    </w:rPr>
  </w:style>
  <w:style w:type="character" w:customStyle="1" w:styleId="CABNETParagraphChar">
    <w:name w:val="CABNET Paragraph Char"/>
    <w:link w:val="CABNETParagraph"/>
    <w:rsid w:val="000411DC"/>
    <w:rPr>
      <w:rFonts w:ascii="Verdana" w:eastAsia="Calibri" w:hAnsi="Verdana" w:cs="Times New Roman"/>
    </w:rPr>
  </w:style>
  <w:style w:type="character" w:customStyle="1" w:styleId="hps-normal1">
    <w:name w:val="hps-normal1"/>
    <w:rsid w:val="000411DC"/>
  </w:style>
  <w:style w:type="paragraph" w:styleId="Revision">
    <w:name w:val="Revision"/>
    <w:hidden/>
    <w:uiPriority w:val="99"/>
    <w:semiHidden/>
    <w:rsid w:val="000411DC"/>
    <w:rPr>
      <w:rFonts w:ascii="Book Antiqua" w:eastAsia="Times New Roman" w:hAnsi="Book Antiqua"/>
      <w:szCs w:val="24"/>
      <w:lang w:eastAsia="en-US"/>
    </w:rPr>
  </w:style>
  <w:style w:type="paragraph" w:styleId="ListParagraph">
    <w:name w:val="List Paragraph"/>
    <w:basedOn w:val="Normal"/>
    <w:uiPriority w:val="34"/>
    <w:qFormat/>
    <w:rsid w:val="000411DC"/>
    <w:pPr>
      <w:spacing w:after="0" w:line="240" w:lineRule="auto"/>
      <w:ind w:left="720"/>
      <w:jc w:val="left"/>
    </w:pPr>
    <w:rPr>
      <w:rFonts w:ascii="Calibri" w:eastAsia="Calibri" w:hAnsi="Calibri"/>
      <w:sz w:val="22"/>
      <w:szCs w:val="22"/>
    </w:rPr>
  </w:style>
  <w:style w:type="paragraph" w:styleId="NormalWeb">
    <w:name w:val="Normal (Web)"/>
    <w:basedOn w:val="Normal"/>
    <w:rsid w:val="000411DC"/>
    <w:rPr>
      <w:rFonts w:ascii="Times New Roman" w:hAnsi="Times New Roman"/>
      <w:sz w:val="24"/>
    </w:rPr>
  </w:style>
  <w:style w:type="character" w:customStyle="1" w:styleId="DashChar">
    <w:name w:val="Dash Char"/>
    <w:link w:val="Dash"/>
    <w:locked/>
    <w:rsid w:val="000411DC"/>
    <w:rPr>
      <w:rFonts w:ascii="Book Antiqua" w:eastAsia="Times New Roman" w:hAnsi="Book Antiqua"/>
      <w:szCs w:val="24"/>
      <w:lang w:eastAsia="en-US"/>
    </w:rPr>
  </w:style>
  <w:style w:type="paragraph" w:customStyle="1" w:styleId="BoxHeading2">
    <w:name w:val="Box Heading 2"/>
    <w:basedOn w:val="BoxHeading"/>
    <w:rsid w:val="000411DC"/>
    <w:pPr>
      <w:spacing w:after="0"/>
    </w:pPr>
  </w:style>
  <w:style w:type="paragraph" w:styleId="TOCHeading">
    <w:name w:val="TOC Heading"/>
    <w:basedOn w:val="Heading1"/>
    <w:next w:val="Normal"/>
    <w:uiPriority w:val="39"/>
    <w:semiHidden/>
    <w:unhideWhenUsed/>
    <w:qFormat/>
    <w:rsid w:val="000411DC"/>
    <w:pPr>
      <w:keepLines/>
      <w:spacing w:before="480" w:after="0" w:line="276" w:lineRule="auto"/>
      <w:jc w:val="left"/>
      <w:outlineLvl w:val="9"/>
    </w:pPr>
    <w:rPr>
      <w:rFonts w:ascii="Cambria" w:eastAsia="MS Gothic" w:hAnsi="Cambria"/>
      <w:bCs/>
      <w:smallCaps w:val="0"/>
      <w:color w:val="365F91"/>
      <w:kern w:val="0"/>
      <w:sz w:val="28"/>
      <w:szCs w:val="28"/>
      <w:lang w:val="en-US" w:eastAsia="ja-JP"/>
    </w:rPr>
  </w:style>
  <w:style w:type="character" w:customStyle="1" w:styleId="HeaderBaseChar">
    <w:name w:val="Header Base Char"/>
    <w:link w:val="HeaderBase"/>
    <w:rsid w:val="000411DC"/>
    <w:rPr>
      <w:rFonts w:ascii="Book Antiqua" w:eastAsia="Times New Roman" w:hAnsi="Book Antiqua" w:cs="Times New Roman"/>
      <w:i/>
      <w:sz w:val="20"/>
      <w:szCs w:val="20"/>
      <w:lang w:eastAsia="en-AU"/>
    </w:rPr>
  </w:style>
  <w:style w:type="character" w:styleId="Emphasis">
    <w:name w:val="Emphasis"/>
    <w:uiPriority w:val="20"/>
    <w:qFormat/>
    <w:rsid w:val="000411DC"/>
    <w:rPr>
      <w:i/>
      <w:iCs/>
    </w:rPr>
  </w:style>
  <w:style w:type="paragraph" w:customStyle="1" w:styleId="Default">
    <w:name w:val="Default"/>
    <w:rsid w:val="000411DC"/>
    <w:pPr>
      <w:autoSpaceDE w:val="0"/>
      <w:autoSpaceDN w:val="0"/>
      <w:adjustRightInd w:val="0"/>
    </w:pPr>
    <w:rPr>
      <w:rFonts w:ascii="Book Antiqua" w:eastAsia="Times New Roman" w:hAnsi="Book Antiqua" w:cs="Book Antiqua"/>
      <w:color w:val="000000"/>
      <w:sz w:val="24"/>
      <w:szCs w:val="24"/>
    </w:rPr>
  </w:style>
  <w:style w:type="character" w:customStyle="1" w:styleId="Heading9Char">
    <w:name w:val="Heading 9 Char"/>
    <w:link w:val="Heading9"/>
    <w:uiPriority w:val="9"/>
    <w:semiHidden/>
    <w:rsid w:val="00B23E35"/>
    <w:rPr>
      <w:rFonts w:ascii="Cambria" w:eastAsia="Times New Roman" w:hAnsi="Cambria"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0567685">
      <w:bodyDiv w:val="1"/>
      <w:marLeft w:val="0"/>
      <w:marRight w:val="0"/>
      <w:marTop w:val="0"/>
      <w:marBottom w:val="0"/>
      <w:divBdr>
        <w:top w:val="none" w:sz="0" w:space="0" w:color="auto"/>
        <w:left w:val="none" w:sz="0" w:space="0" w:color="auto"/>
        <w:bottom w:val="none" w:sz="0" w:space="0" w:color="auto"/>
        <w:right w:val="none" w:sz="0" w:space="0" w:color="auto"/>
      </w:divBdr>
    </w:div>
    <w:div w:id="1624506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oleObject" Target="file:///\\romulus\csg_h$\MCD\Publishing\Internet%20&amp;%20Intranet%20Services%20Team\To_Do_For_Conversion\Tables%20-%20Fiscal\Part%203\MYEFO%202017-18%20tables%20-%20formatted.xlsm!S3.T4!R8C11:R47C25" TargetMode="External"/><Relationship Id="rId26" Type="http://schemas.openxmlformats.org/officeDocument/2006/relationships/oleObject" Target="file:///\\romulus\csg_h$\MCD\Publishing\Internet%20&amp;%20Intranet%20Services%20Team\To_Do_For_Conversion\Tables%20-%20Fiscal\Part%203\MYEFO%202017-18%20tables%20-%20formatted.xlsm!S3.T5!R39C11:R72C23" TargetMode="External"/><Relationship Id="rId39" Type="http://schemas.openxmlformats.org/officeDocument/2006/relationships/image" Target="media/image16.emf"/><Relationship Id="rId21" Type="http://schemas.openxmlformats.org/officeDocument/2006/relationships/image" Target="media/image7.emf"/><Relationship Id="rId34" Type="http://schemas.openxmlformats.org/officeDocument/2006/relationships/oleObject" Target="file:///\\romulus\csg_h$\MCD\Publishing\Internet%20&amp;%20Intranet%20Services%20Team\To_Do_For_Conversion\Tables%20-%20Revenue\RAU\RAU%20access%20only%20-%20linked%20tables%20(not%20for%20publishing%20access)\8.%20BP3%20Reconciliation%20of%202018-19%20general%20government%20(cash)%20receipts.xlsx!TABLE%20!R2C1:R52C6" TargetMode="External"/><Relationship Id="rId42" Type="http://schemas.openxmlformats.org/officeDocument/2006/relationships/oleObject" Target="file:///\\romulus\csg_h$\MCD\Publishing\Internet%20&amp;%20Intranet%20Services%20Team\To_Do_For_Conversion\Tables%20-%20Fiscal\Part%203\MYEFO%202017-18%20tables%20-%20formatted.xlsm!S5.T11!R5C11:R87C16" TargetMode="External"/><Relationship Id="rId47" Type="http://schemas.openxmlformats.org/officeDocument/2006/relationships/image" Target="media/image20.emf"/><Relationship Id="rId50" Type="http://schemas.openxmlformats.org/officeDocument/2006/relationships/oleObject" Target="file:///\\romulus\csg_h$\MCD\Publishing\Internet%20&amp;%20Intranet%20Services%20Team\To_Do_For_Conversion\Tables%20-%20Fiscal\Part%203\MYEFO%202017-18%20tables%20-%20formatted.xlsm!S6.T19%20NCI!R6C11:R42C19" TargetMode="External"/><Relationship Id="rId55" Type="http://schemas.openxmlformats.org/officeDocument/2006/relationships/image" Target="media/image24.emf"/><Relationship Id="rId63" Type="http://schemas.openxmlformats.org/officeDocument/2006/relationships/header" Target="header3.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oleObject" Target="file:///\\romulus\csg_h$\MCD\Publishing\Internet%20&amp;%20Intranet%20Services%20Team\To_Do_For_Conversion\Charts%20-%20Fiscal\Medium-term\Chart%203.1%20-%20Underlying%20Cash%20Balance%20projected%20to%202027-28.xlsx!Chart!%5bChart%203.1%20-%20Underlying%20Cash%20Balance%20projected%20to%202027-28.xlsx%5dChart%20Chart%201" TargetMode="External"/><Relationship Id="rId20" Type="http://schemas.openxmlformats.org/officeDocument/2006/relationships/oleObject" Target="file:///\\romulus\csg_h$\MCD\Publishing\Internet%20&amp;%20Intranet%20Services%20Team\To_Do_For_Conversion\Charts%20-%20Fiscal\Medium-term\Chart%203.2%20-%20Net%20Debt%20projected%20to%202027-28.xlsx!Chart!%5bChart%203.2%20-%20Net%20Debt%20projected%20to%202027-28.xlsx%5dChart%20Chart%201" TargetMode="External"/><Relationship Id="rId29" Type="http://schemas.openxmlformats.org/officeDocument/2006/relationships/image" Target="media/image11.emf"/><Relationship Id="rId41" Type="http://schemas.openxmlformats.org/officeDocument/2006/relationships/image" Target="media/image17.emf"/><Relationship Id="rId54" Type="http://schemas.openxmlformats.org/officeDocument/2006/relationships/oleObject" Target="file:///\\romulus\csg_h$\MCD\Publishing\Internet%20&amp;%20Intranet%20Services%20Team\To_Do_For_Conversion\MYEFO\Capital%20Recurrent\New%20Capital%20Recurrent%20Tables.xlsm!Output%20-%20Table%203!R38C17:R54C22"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oleObject" Target="file:///\\romulus\csg_h$\MCD\Publishing\Internet%20&amp;%20Intranet%20Services%20Team\To_Do_For_Conversion\Tables%20-%20Fiscal\Part%203\MYEFO%202017-18%20tables%20-%20formatted.xlsm!S3.T5!R4C11:R38C23" TargetMode="External"/><Relationship Id="rId32" Type="http://schemas.openxmlformats.org/officeDocument/2006/relationships/oleObject" Target="file:///\\romulus\csg_h$\MCD\Publishing\Internet%20&amp;%20Intranet%20Services%20Team\To_Do_For_Conversion\Tables%20-%20Revenue\RAU\RAU%20access%20only%20-%20linked%20tables%20(not%20for%20publishing%20access)\7.%20BP3%20Reconciliation%20of%202017-18%20general%20government%20(cash)%20receipts%20-%20Updated.xlsx!TABLE!R2C1:R52C6" TargetMode="External"/><Relationship Id="rId37" Type="http://schemas.openxmlformats.org/officeDocument/2006/relationships/image" Target="media/image15.emf"/><Relationship Id="rId40" Type="http://schemas.openxmlformats.org/officeDocument/2006/relationships/oleObject" Target="file:///\\romulus\csg_h$\MCD\Publishing\Internet%20&amp;%20Intranet%20Services%20Team\To_Do_For_Conversion\MYEFO\Tables%20-%20Fiscal\Part%203\MYEFO%202017-18%20tables%20-%20formatted.xlsm!S3.T8%20NOB!R6C11:R74C19" TargetMode="External"/><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oleObject" Target="file:///\\romulus\csg_h$\MCD\Publishing\Internet%20&amp;%20Intranet%20Services%20Team\To_Do_For_Conversion\MYEFO\Charts%20-%20Fiscal\Structural%20Budget%20Balance\Structural%20Budget%20Balance%20Chart.xlsx!Chart!%5bStructural%20Budget%20Balance%20Chart.xlsx%5dChart%20Chart%201" TargetMode="External"/><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oleObject" Target="file:///\\romulus\csg_h$\MCD\Publishing\Internet%20&amp;%20Intranet%20Services%20Team\To_Do_For_Conversion\MYEFO\Tables%20-%20Fiscal\Part%203\MYEFO%202017-18%20tables%20-%20formatted.xlsm!S3.T6%20UCB!R6C11:R72C19" TargetMode="External"/><Relationship Id="rId36" Type="http://schemas.openxmlformats.org/officeDocument/2006/relationships/oleObject" Target="file:///\\romulus\csg_h$\MCD\Publishing\Internet%20&amp;%20Intranet%20Services%20Team\To_Do_For_Conversion\Tables%20-%20Revenue\RAU\RAU%20access%20only%20-%20linked%20tables%20(not%20for%20publishing%20access)\9.%20BP3%20Australian%20Government%20general%20government%20(cash)%20receipts.xlsx!TABLE!R2C1:R58C8" TargetMode="External"/><Relationship Id="rId49" Type="http://schemas.openxmlformats.org/officeDocument/2006/relationships/image" Target="media/image21.emf"/><Relationship Id="rId57" Type="http://schemas.openxmlformats.org/officeDocument/2006/relationships/image" Target="media/image25.emf"/><Relationship Id="rId61" Type="http://schemas.openxmlformats.org/officeDocument/2006/relationships/footer" Target="footer1.xml"/><Relationship Id="rId10" Type="http://schemas.openxmlformats.org/officeDocument/2006/relationships/oleObject" Target="file:///\\romulus\csg_h$\MCD\Publishing\Internet%20&amp;%20Intranet%20Services%20Team\To_Do_For_Conversion\Tables%20-%20Fiscal\Part%203\MYEFO%202017-18%20tables%20-%20formatted.xlsm!S1.T1!R4C23:R23C28" TargetMode="External"/><Relationship Id="rId19" Type="http://schemas.openxmlformats.org/officeDocument/2006/relationships/image" Target="media/image6.emf"/><Relationship Id="rId31" Type="http://schemas.openxmlformats.org/officeDocument/2006/relationships/image" Target="media/image12.emf"/><Relationship Id="rId44" Type="http://schemas.openxmlformats.org/officeDocument/2006/relationships/oleObject" Target="file:///\\romulus\csg_h$\MCD\Publishing\Internet%20&amp;%20Intranet%20Services%20Team\To_Do_For_Conversion\Tables%20-%20Fiscal\Part%203\MYEFO%202017-18%20tables%20-%20formatted.xlsm!S5.T12!R5C11:R87C16" TargetMode="External"/><Relationship Id="rId52" Type="http://schemas.openxmlformats.org/officeDocument/2006/relationships/oleObject" Target="file:///\\romulus\csg_h$\MCD\Publishing\Internet%20&amp;%20Intranet%20Services%20Team\To_Do_For_Conversion\Tables%20-%20Fiscal\Part%203\MYEFO%202017-18%20tables%20-%20formatted.xlsm!S3.T9!R4C11:R28C19" TargetMode="External"/><Relationship Id="rId60" Type="http://schemas.openxmlformats.org/officeDocument/2006/relationships/header" Target="header2.xml"/><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oleObject" Target="file:///\\romulus\csg_h$\MCD\Publishing\Internet%20&amp;%20Intranet%20Services%20Team\To_Do_For_Conversion\MYEFO\Tables%20-%20Fiscal\Part%203\MYEFO%202017-18%20tables%20-%20formatted.xlsm!S3.T3!R44C11:R82C26" TargetMode="External"/><Relationship Id="rId22" Type="http://schemas.openxmlformats.org/officeDocument/2006/relationships/oleObject" Target="file:///\\romulus\csg_h$\MCD\Publishing\Internet%20&amp;%20Intranet%20Services%20Team\To_Do_For_Conversion\Charts%20-%20Fiscal\Medium-term\Chart%203.3%20-%20Face%20value%20of%20CGS%20projected%20to%202027-28.xlsx!Chart!%5bChart%203.3%20-%20Face%20value%20of%20CGS%20projected%20to%202027-28.xlsx%5dChart%20Chart%204" TargetMode="External"/><Relationship Id="rId27" Type="http://schemas.openxmlformats.org/officeDocument/2006/relationships/image" Target="media/image10.emf"/><Relationship Id="rId30" Type="http://schemas.openxmlformats.org/officeDocument/2006/relationships/oleObject" Target="file:///\\romulus\csg_h$\MCD\Publishing\Internet%20&amp;%20Intranet%20Services%20Team\To_Do_For_Conversion\Tables%20-%20Fiscal\Part%203\Senate%20Negs%20Tables.xlsx!Detailed%20Table!R6C11:R54C19" TargetMode="External"/><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oleObject" Target="file:///\\romulus\csg_h$\MCD\Publishing\Internet%20&amp;%20Intranet%20Services%20Team\To_Do_For_Conversion\Tables%20-%20Fiscal\Part%203\MYEFO%202017-18%20tables%20-%20formatted.xlsm!S6.T2%20Expense!R6C11:R70C18" TargetMode="External"/><Relationship Id="rId56" Type="http://schemas.openxmlformats.org/officeDocument/2006/relationships/oleObject" Target="file:///\\romulus\csg_h$\MCD\Publishing\Internet%20&amp;%20Intranet%20Services%20Team\To_Do_For_Conversion\MYEFO\Capital%20Recurrent\New%20Capital%20Recurrent%20Tables.xlsm!Output%20-%20Chart%201!%5bNew%20Capital%20Recurrent%20Tables.xlsm%5dOutput%20-%20Chart%201%20Chart%201-1" TargetMode="External"/><Relationship Id="rId64"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image" Target="media/image22.emf"/><Relationship Id="rId3" Type="http://schemas.openxmlformats.org/officeDocument/2006/relationships/styles" Target="styles.xml"/><Relationship Id="rId12" Type="http://schemas.openxmlformats.org/officeDocument/2006/relationships/oleObject" Target="file:///\\romulus\csg_h$\MCD\Publishing\Internet%20&amp;%20Intranet%20Services%20Team\To_Do_For_Conversion\Tables%20-%20Fiscal\Part%203\MYEFO%202017-18%20tables%20-%20formatted.xlsm!S3.T3!R5C11:R43C26" TargetMode="External"/><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oleObject" Target="file:///\\romulus\csg_h$\MCD\Publishing\Internet%20&amp;%20Intranet%20Services%20Team\To_Do_For_Conversion\Tables%20-%20Revenue\RAU\RAU%20access%20only%20-%20linked%20tables%20(not%20for%20publishing%20access)\10.%20BP3%20Key%20revenue%20parameters.xlsx!TABLE!R24C1:R43C8" TargetMode="External"/><Relationship Id="rId46" Type="http://schemas.openxmlformats.org/officeDocument/2006/relationships/oleObject" Target="file:///\\romulus\csg_h$\MCD\Publishing\Internet%20&amp;%20Intranet%20Services%20Team\To_Do_For_Conversion\Tables%20-%20Fiscal\Part%203\MYEFO%202017-18%20tables%20-%20formatted.xlsm!St5%20TA2!R6C11:R87C19" TargetMode="External"/><Relationship Id="rId5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Budget%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4DEBBF-1F76-4B95-9272-F71B4AD28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0</TotalTime>
  <Pages>7</Pages>
  <Words>7254</Words>
  <Characters>41353</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Mid-Year Economic and Fiscal Outlook 2017-18</vt:lpstr>
    </vt:vector>
  </TitlesOfParts>
  <Company>Australian Government - The Treasury</Company>
  <LinksUpToDate>false</LinksUpToDate>
  <CharactersWithSpaces>48510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Mid-Year Economic and Fiscal Outlook 2017-18</dc:title>
  <dc:subject>Part 3: Fiscal Strategy and Outlook</dc:subject>
  <dc:creator>The Treasury</dc:creator>
  <cp:lastModifiedBy>Thomas, Deborah</cp:lastModifiedBy>
  <cp:revision>2</cp:revision>
  <cp:lastPrinted>2017-12-14T05:29:00Z</cp:lastPrinted>
  <dcterms:created xsi:type="dcterms:W3CDTF">2017-12-17T21:36:00Z</dcterms:created>
  <dcterms:modified xsi:type="dcterms:W3CDTF">2017-12-17T21:36:00Z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urityClassification">
    <vt:lpwstr>Protected</vt:lpwstr>
  </property>
  <property fmtid="{D5CDD505-2E9C-101B-9397-08002B2CF9AE}" pid="3" name="DLMSecurityClassification">
    <vt:lpwstr>Sensitive:  Cabinet</vt:lpwstr>
  </property>
  <property fmtid="{D5CDD505-2E9C-101B-9397-08002B2CF9AE}" pid="4" name="metadataUpdateName">
    <vt:lpwstr>Mid-Year Economic and Fiscal Outlook</vt:lpwstr>
  </property>
  <property fmtid="{D5CDD505-2E9C-101B-9397-08002B2CF9AE}" pid="5" name="metadataStatementName">
    <vt:lpwstr>Part 3</vt:lpwstr>
  </property>
  <property fmtid="{D5CDD505-2E9C-101B-9397-08002B2CF9AE}" pid="6" name="metadataCoordinator">
    <vt:lpwstr>Linden Mackay (x3874)</vt:lpwstr>
  </property>
  <property fmtid="{D5CDD505-2E9C-101B-9397-08002B2CF9AE}" pid="7" name="GlobalLastAccountabilityID">
    <vt:lpwstr>SPD_VW1</vt:lpwstr>
  </property>
</Properties>
</file>