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78BA" w:rsidRPr="00603968" w:rsidRDefault="00231D44" w:rsidP="00603968">
      <w:pPr>
        <w:pStyle w:val="Heading1"/>
      </w:pPr>
      <w:r w:rsidRPr="00603968">
        <w:fldChar w:fldCharType="begin"/>
      </w:r>
      <w:r w:rsidRPr="00603968">
        <w:instrText xml:space="preserve"> :Start Index: </w:instrText>
      </w:r>
      <w:r w:rsidRPr="00603968">
        <w:fldChar w:fldCharType="end"/>
      </w:r>
      <w:r w:rsidR="00C270EF" w:rsidRPr="00603968">
        <w:fldChar w:fldCharType="begin"/>
      </w:r>
      <w:r w:rsidR="00C270EF" w:rsidRPr="00603968">
        <w:instrText xml:space="preserve"> :Accountability:|TAD_MB3|Treasury|TAD|Matt Brine|Amanda Hosking|Scott Richards|x2037 </w:instrText>
      </w:r>
      <w:r w:rsidR="00C270EF" w:rsidRPr="00603968">
        <w:fldChar w:fldCharType="end"/>
      </w:r>
      <w:r w:rsidR="00B54689" w:rsidRPr="00603968">
        <w:fldChar w:fldCharType="begin"/>
      </w:r>
      <w:r w:rsidR="00B54689" w:rsidRPr="00603968">
        <w:instrText xml:space="preserve"> :Accountability:|TAD_MB2|Treasury|TAD|Matt Brine|Richard Maher|Shuchita Pota|x2327 </w:instrText>
      </w:r>
      <w:r w:rsidR="00B54689" w:rsidRPr="00603968">
        <w:fldChar w:fldCharType="end"/>
      </w:r>
      <w:r w:rsidR="007C600F" w:rsidRPr="00603968">
        <w:fldChar w:fldCharType="begin"/>
      </w:r>
      <w:r w:rsidR="007C600F" w:rsidRPr="00603968">
        <w:instrText xml:space="preserve"> :Accountability:|CSRD_KP2|Treasury|CSRD|Kate Phipps|Lisa O'Reilly|Chiara Edwards|3272 </w:instrText>
      </w:r>
      <w:r w:rsidR="007C600F" w:rsidRPr="00603968">
        <w:fldChar w:fldCharType="end"/>
      </w:r>
      <w:r w:rsidR="00391628" w:rsidRPr="00603968">
        <w:fldChar w:fldCharType="begin"/>
      </w:r>
      <w:r w:rsidR="00391628" w:rsidRPr="00603968">
        <w:instrText xml:space="preserve"> :Accountability:|IITD_MP1|Treasury|IITD|Marisa Purvis-Smith|David Pullen|Prashant Ramkumar|x3592 </w:instrText>
      </w:r>
      <w:r w:rsidR="00391628" w:rsidRPr="00603968">
        <w:fldChar w:fldCharType="end"/>
      </w:r>
      <w:r w:rsidR="007B0FE8" w:rsidRPr="00603968">
        <w:fldChar w:fldCharType="begin"/>
      </w:r>
      <w:r w:rsidR="007B0FE8" w:rsidRPr="00603968">
        <w:instrText xml:space="preserve"> :Accountability:|CSRD_KP1|Treasury|CSRD|K Phipps|M Gardner|M Maesepp|2754 </w:instrText>
      </w:r>
      <w:r w:rsidR="007B0FE8" w:rsidRPr="00603968">
        <w:fldChar w:fldCharType="end"/>
      </w:r>
      <w:r w:rsidR="00C11CD7" w:rsidRPr="00603968">
        <w:fldChar w:fldCharType="begin"/>
      </w:r>
      <w:r w:rsidR="00C11CD7" w:rsidRPr="00603968">
        <w:instrText xml:space="preserve"> :Accountability:|TAD_MB1|Treasury|TAD|Matt Brine|Lan Lu|Gabriel Dickinson|x3568 </w:instrText>
      </w:r>
      <w:r w:rsidR="00C11CD7" w:rsidRPr="00603968">
        <w:fldChar w:fldCharType="end"/>
      </w:r>
      <w:r w:rsidRPr="00603968">
        <w:fldChar w:fldCharType="begin"/>
      </w:r>
      <w:r w:rsidRPr="00603968">
        <w:instrText xml:space="preserve"> :End Index: </w:instrText>
      </w:r>
      <w:r w:rsidRPr="00603968">
        <w:fldChar w:fldCharType="end"/>
      </w:r>
      <w:r w:rsidR="004278BA" w:rsidRPr="00603968">
        <w:t>Attachment D</w:t>
      </w:r>
    </w:p>
    <w:bookmarkStart w:id="0" w:name="_Toc153923446"/>
    <w:bookmarkStart w:id="1" w:name="_Toc467595675"/>
    <w:p w:rsidR="004278BA" w:rsidRPr="00D14AAF" w:rsidRDefault="007C600F" w:rsidP="004278BA">
      <w:pPr>
        <w:pStyle w:val="Heading2noTOC"/>
      </w:pPr>
      <w:r w:rsidRPr="00D14AAF">
        <w:rPr>
          <w:color w:val="0000FF"/>
        </w:rPr>
        <w:fldChar w:fldCharType="begin"/>
      </w:r>
      <w:r w:rsidRPr="00D14AAF">
        <w:rPr>
          <w:color w:val="0000FF"/>
        </w:rPr>
        <w:instrText xml:space="preserve"> :Start:CSRD_KP2 </w:instrText>
      </w:r>
      <w:r w:rsidRPr="00D14AAF">
        <w:rPr>
          <w:color w:val="0000FF"/>
        </w:rPr>
        <w:fldChar w:fldCharType="end"/>
      </w:r>
      <w:r w:rsidR="004278BA" w:rsidRPr="00D14AAF">
        <w:t>Australia’s Federal Relations</w:t>
      </w:r>
      <w:bookmarkStart w:id="2" w:name="_GoBack"/>
      <w:bookmarkEnd w:id="0"/>
      <w:bookmarkEnd w:id="1"/>
      <w:bookmarkEnd w:id="2"/>
    </w:p>
    <w:p w:rsidR="004278BA" w:rsidRPr="00D14AAF" w:rsidRDefault="004278BA" w:rsidP="004278BA">
      <w:r w:rsidRPr="00D14AAF">
        <w:t>This attachment provides information on payments for specific purposes and general revenue assistance provided to the States and Territories (the States).</w:t>
      </w:r>
    </w:p>
    <w:p w:rsidR="004278BA" w:rsidRPr="00D14AAF" w:rsidRDefault="004278BA" w:rsidP="004278BA">
      <w:r w:rsidRPr="00D14AAF">
        <w:t xml:space="preserve">The current framework for federal financial relations under the </w:t>
      </w:r>
      <w:r w:rsidRPr="00D14AAF">
        <w:rPr>
          <w:i/>
        </w:rPr>
        <w:t>Intergovernmental Agreement on Federal Financial Relations</w:t>
      </w:r>
      <w:r w:rsidRPr="00D14AAF">
        <w:t xml:space="preserve"> (the Intergovernmental Agreement) was introduced on 1 January 2009.</w:t>
      </w:r>
    </w:p>
    <w:p w:rsidR="004278BA" w:rsidRPr="00D14AAF" w:rsidRDefault="004278BA" w:rsidP="004278BA">
      <w:r w:rsidRPr="00D14AAF">
        <w:t>More detailed information on the Intergovernmental Agreement and Australia’s federal financial relations is provided in Budget Paper No. 3,</w:t>
      </w:r>
      <w:r w:rsidRPr="00D14AAF">
        <w:rPr>
          <w:i/>
        </w:rPr>
        <w:t xml:space="preserve"> Federal Financial Relations 201</w:t>
      </w:r>
      <w:r w:rsidR="00713289" w:rsidRPr="00D14AAF">
        <w:rPr>
          <w:i/>
        </w:rPr>
        <w:t>7</w:t>
      </w:r>
      <w:r w:rsidRPr="00D14AAF">
        <w:rPr>
          <w:i/>
        </w:rPr>
        <w:noBreakHyphen/>
        <w:t>1</w:t>
      </w:r>
      <w:r w:rsidR="00713289" w:rsidRPr="00D14AAF">
        <w:rPr>
          <w:i/>
        </w:rPr>
        <w:t>8</w:t>
      </w:r>
      <w:r w:rsidRPr="00D14AAF">
        <w:rPr>
          <w:i/>
        </w:rPr>
        <w:t xml:space="preserve">, </w:t>
      </w:r>
      <w:r w:rsidRPr="00D14AAF">
        <w:t xml:space="preserve">and at </w:t>
      </w:r>
      <w:hyperlink r:id="rId9" w:history="1">
        <w:r w:rsidRPr="00D14AAF">
          <w:t>www.federalfinancialrelations.gov.au</w:t>
        </w:r>
      </w:hyperlink>
      <w:r w:rsidRPr="00D14AAF">
        <w:t>.</w:t>
      </w:r>
      <w:r w:rsidR="007C600F" w:rsidRPr="00D14AAF">
        <w:rPr>
          <w:color w:val="FF0000"/>
        </w:rPr>
        <w:fldChar w:fldCharType="begin"/>
      </w:r>
      <w:r w:rsidR="007C600F" w:rsidRPr="00D14AAF">
        <w:rPr>
          <w:color w:val="FF0000"/>
        </w:rPr>
        <w:instrText xml:space="preserve"> :End:CSRD_KP2 </w:instrText>
      </w:r>
      <w:r w:rsidR="007C600F" w:rsidRPr="00D14AAF">
        <w:rPr>
          <w:color w:val="FF0000"/>
        </w:rPr>
        <w:fldChar w:fldCharType="end"/>
      </w:r>
    </w:p>
    <w:bookmarkStart w:id="3" w:name="_Toc467595676"/>
    <w:p w:rsidR="004278BA" w:rsidRPr="00D14AAF" w:rsidRDefault="007C600F" w:rsidP="004278BA">
      <w:pPr>
        <w:pStyle w:val="Heading3"/>
      </w:pPr>
      <w:r w:rsidRPr="00D14AAF">
        <w:rPr>
          <w:color w:val="0000FF"/>
        </w:rPr>
        <w:fldChar w:fldCharType="begin"/>
      </w:r>
      <w:r w:rsidRPr="00D14AAF">
        <w:rPr>
          <w:color w:val="0000FF"/>
        </w:rPr>
        <w:instrText xml:space="preserve"> :Start:CSRD_KP2 </w:instrText>
      </w:r>
      <w:r w:rsidRPr="00D14AAF">
        <w:rPr>
          <w:color w:val="0000FF"/>
        </w:rPr>
        <w:fldChar w:fldCharType="end"/>
      </w:r>
      <w:r w:rsidR="004278BA" w:rsidRPr="00D14AAF">
        <w:t>Overview of payments to the States</w:t>
      </w:r>
      <w:bookmarkEnd w:id="3"/>
    </w:p>
    <w:p w:rsidR="004278BA" w:rsidRPr="00D14AAF" w:rsidRDefault="004278BA" w:rsidP="004278BA">
      <w:r w:rsidRPr="00D14AAF">
        <w:t>Payments to the States in 201</w:t>
      </w:r>
      <w:r w:rsidR="00247728" w:rsidRPr="00D14AAF">
        <w:t>7-18</w:t>
      </w:r>
      <w:r w:rsidRPr="00D14AAF">
        <w:t xml:space="preserve"> are estimated to be $</w:t>
      </w:r>
      <w:r w:rsidR="00247728" w:rsidRPr="00D14AAF">
        <w:t>11</w:t>
      </w:r>
      <w:r w:rsidR="003B6659" w:rsidRPr="00D14AAF">
        <w:t>8</w:t>
      </w:r>
      <w:r w:rsidR="00247728" w:rsidRPr="00D14AAF">
        <w:t>.</w:t>
      </w:r>
      <w:r w:rsidR="003B6659" w:rsidRPr="00D14AAF">
        <w:t>7</w:t>
      </w:r>
      <w:r w:rsidRPr="00D14AAF">
        <w:t> billion, or 25.</w:t>
      </w:r>
      <w:r w:rsidR="00C74E87" w:rsidRPr="00D14AAF">
        <w:t>4</w:t>
      </w:r>
      <w:r w:rsidRPr="00D14AAF">
        <w:t> per cent of total Commonwealth expenditure for the year. This amount comprises payments for specific purposes of $5</w:t>
      </w:r>
      <w:r w:rsidR="002032E3" w:rsidRPr="00D14AAF">
        <w:t>5.</w:t>
      </w:r>
      <w:r w:rsidR="003B6659" w:rsidRPr="00D14AAF">
        <w:t>6</w:t>
      </w:r>
      <w:r w:rsidRPr="00D14AAF">
        <w:t> billion and general revenue assistance of $6</w:t>
      </w:r>
      <w:r w:rsidR="003C52E7" w:rsidRPr="00D14AAF">
        <w:t>3.1</w:t>
      </w:r>
      <w:r w:rsidRPr="00D14AAF">
        <w:t> billion.</w:t>
      </w:r>
    </w:p>
    <w:p w:rsidR="00136CAB" w:rsidRPr="00D14AAF" w:rsidRDefault="004278BA" w:rsidP="004278BA">
      <w:r w:rsidRPr="00D14AAF">
        <w:t>Table 3.2</w:t>
      </w:r>
      <w:r w:rsidR="00030AF0" w:rsidRPr="00D14AAF">
        <w:t>5</w:t>
      </w:r>
      <w:r w:rsidRPr="00D14AAF">
        <w:t xml:space="preserve"> shows payments for specific purposes and general re</w:t>
      </w:r>
      <w:r w:rsidR="00136CAB" w:rsidRPr="00D14AAF">
        <w:t>venue assistance to the States.</w:t>
      </w:r>
    </w:p>
    <w:p w:rsidR="00136CAB" w:rsidRPr="00D14AAF" w:rsidRDefault="007C600F" w:rsidP="00373CB9">
      <w:pPr>
        <w:pStyle w:val="TableHeading"/>
      </w:pPr>
      <w:r w:rsidRPr="00D14AAF">
        <w:rPr>
          <w:color w:val="FF0000"/>
          <w:lang w:val="en-US"/>
        </w:rPr>
        <w:fldChar w:fldCharType="begin"/>
      </w:r>
      <w:r w:rsidRPr="00D14AAF">
        <w:rPr>
          <w:color w:val="FF0000"/>
          <w:lang w:val="en-US"/>
        </w:rPr>
        <w:instrText xml:space="preserve"> :End:CSRD_KP2 </w:instrText>
      </w:r>
      <w:r w:rsidRPr="00D14AAF">
        <w:rPr>
          <w:color w:val="FF0000"/>
          <w:lang w:val="en-US"/>
        </w:rPr>
        <w:fldChar w:fldCharType="end"/>
      </w:r>
      <w:r w:rsidRPr="00D14AAF">
        <w:rPr>
          <w:color w:val="0000FF"/>
          <w:lang w:val="en-US"/>
        </w:rPr>
        <w:fldChar w:fldCharType="begin"/>
      </w:r>
      <w:r w:rsidRPr="00D14AAF">
        <w:rPr>
          <w:color w:val="0000FF"/>
          <w:lang w:val="en-US"/>
        </w:rPr>
        <w:instrText xml:space="preserve"> :Start:CSRD_KP2 </w:instrText>
      </w:r>
      <w:r w:rsidRPr="00D14AAF">
        <w:rPr>
          <w:color w:val="0000FF"/>
          <w:lang w:val="en-US"/>
        </w:rPr>
        <w:fldChar w:fldCharType="end"/>
      </w:r>
      <w:r w:rsidR="00136CAB" w:rsidRPr="00D14AAF">
        <w:rPr>
          <w:lang w:val="en-US"/>
        </w:rPr>
        <w:t>Table 3.</w:t>
      </w:r>
      <w:r w:rsidR="00095159" w:rsidRPr="00D14AAF">
        <w:rPr>
          <w:lang w:val="en-US"/>
        </w:rPr>
        <w:t>2</w:t>
      </w:r>
      <w:r w:rsidR="00030AF0" w:rsidRPr="00D14AAF">
        <w:rPr>
          <w:lang w:val="en-US"/>
        </w:rPr>
        <w:t>5</w:t>
      </w:r>
      <w:r w:rsidR="00136CAB" w:rsidRPr="00D14AAF">
        <w:rPr>
          <w:lang w:val="en-US"/>
        </w:rPr>
        <w:t xml:space="preserve">: Commonwealth payments to the </w:t>
      </w:r>
      <w:r w:rsidRPr="00D14AAF">
        <w:rPr>
          <w:color w:val="FF0000"/>
          <w:lang w:val="en-US"/>
        </w:rPr>
        <w:fldChar w:fldCharType="begin"/>
      </w:r>
      <w:r w:rsidRPr="00D14AAF">
        <w:rPr>
          <w:color w:val="FF0000"/>
          <w:lang w:val="en-US"/>
        </w:rPr>
        <w:instrText xml:space="preserve"> :End:CSRD_KP2 </w:instrText>
      </w:r>
      <w:r w:rsidRPr="00D14AAF">
        <w:rPr>
          <w:color w:val="FF0000"/>
          <w:lang w:val="en-US"/>
        </w:rPr>
        <w:fldChar w:fldCharType="end"/>
      </w:r>
      <w:r w:rsidR="00136CAB" w:rsidRPr="00D14AAF">
        <w:rPr>
          <w:color w:val="0000FF"/>
          <w:lang w:val="en-US"/>
        </w:rPr>
        <w:fldChar w:fldCharType="begin"/>
      </w:r>
      <w:r w:rsidR="00136CAB" w:rsidRPr="00D14AAF">
        <w:rPr>
          <w:color w:val="0000FF"/>
          <w:lang w:val="en-US"/>
        </w:rPr>
        <w:instrText xml:space="preserve"> :Start:CSRD_KP1 </w:instrText>
      </w:r>
      <w:r w:rsidR="00136CAB" w:rsidRPr="00D14AAF">
        <w:rPr>
          <w:color w:val="0000FF"/>
          <w:lang w:val="en-US"/>
        </w:rPr>
        <w:fldChar w:fldCharType="end"/>
      </w:r>
      <w:r w:rsidR="00136CAB" w:rsidRPr="00D14AAF">
        <w:rPr>
          <w:lang w:val="en-US"/>
        </w:rPr>
        <w:t>States,</w:t>
      </w:r>
      <w:r w:rsidR="00136CAB" w:rsidRPr="00D14AAF">
        <w:rPr>
          <w:color w:val="FF0000"/>
          <w:lang w:val="en-US"/>
        </w:rPr>
        <w:fldChar w:fldCharType="begin"/>
      </w:r>
      <w:r w:rsidR="00136CAB" w:rsidRPr="00D14AAF">
        <w:rPr>
          <w:color w:val="FF0000"/>
          <w:lang w:val="en-US"/>
        </w:rPr>
        <w:instrText xml:space="preserve"> :End:CSRD_KP1 </w:instrText>
      </w:r>
      <w:r w:rsidR="00136CAB" w:rsidRPr="00D14AAF">
        <w:rPr>
          <w:color w:val="FF0000"/>
          <w:lang w:val="en-US"/>
        </w:rPr>
        <w:fldChar w:fldCharType="end"/>
      </w:r>
      <w:r w:rsidR="00136CAB" w:rsidRPr="00D14AAF">
        <w:rPr>
          <w:lang w:val="en-US"/>
        </w:rPr>
        <w:t xml:space="preserve"> </w:t>
      </w:r>
      <w:r w:rsidR="00136CAB" w:rsidRPr="00D14AAF">
        <w:rPr>
          <w:color w:val="0000FF"/>
          <w:lang w:val="en-US"/>
        </w:rPr>
        <w:fldChar w:fldCharType="begin"/>
      </w:r>
      <w:r w:rsidR="00136CAB" w:rsidRPr="00D14AAF">
        <w:rPr>
          <w:color w:val="0000FF"/>
          <w:lang w:val="en-US"/>
        </w:rPr>
        <w:instrText xml:space="preserve"> :Start:TAD_MB1 </w:instrText>
      </w:r>
      <w:r w:rsidR="00136CAB" w:rsidRPr="00D14AAF">
        <w:rPr>
          <w:color w:val="0000FF"/>
          <w:lang w:val="en-US"/>
        </w:rPr>
        <w:fldChar w:fldCharType="end"/>
      </w:r>
      <w:r w:rsidR="00136CAB" w:rsidRPr="00D14AAF">
        <w:t>2017</w:t>
      </w:r>
      <w:r w:rsidR="00136CAB" w:rsidRPr="00D14AAF">
        <w:noBreakHyphen/>
        <w:t>18 to 2020</w:t>
      </w:r>
      <w:r w:rsidR="00136CAB" w:rsidRPr="00D14AAF">
        <w:noBreakHyphen/>
        <w:t>21</w:t>
      </w:r>
      <w:r w:rsidR="00B54689" w:rsidRPr="00D14AAF">
        <w:rPr>
          <w:color w:val="FF0000"/>
        </w:rPr>
        <w:fldChar w:fldCharType="begin"/>
      </w:r>
      <w:r w:rsidR="00B54689" w:rsidRPr="00D14AAF">
        <w:rPr>
          <w:color w:val="FF0000"/>
        </w:rPr>
        <w:instrText xml:space="preserve"> :End:TAD_MB1 </w:instrText>
      </w:r>
      <w:r w:rsidR="00B54689" w:rsidRPr="00D14AAF">
        <w:rPr>
          <w:color w:val="FF0000"/>
        </w:rPr>
        <w:fldChar w:fldCharType="end"/>
      </w:r>
    </w:p>
    <w:p w:rsidR="00136CAB" w:rsidRPr="00D14AAF" w:rsidRDefault="00DA45C4" w:rsidP="00136CAB">
      <w:pPr>
        <w:pStyle w:val="TableGraphic"/>
      </w:pPr>
      <w:r w:rsidRPr="00D14AAF">
        <w:object w:dxaOrig="7782" w:dyaOrig="492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8.8pt;height:246.05pt" o:ole="">
            <v:imagedata r:id="rId10" o:title=""/>
          </v:shape>
          <o:OLEObject Type="Link" ProgID="Excel.Sheet.8" ShapeID="_x0000_i1025" DrawAspect="Content" r:id="rId11" UpdateMode="Always">
            <o:LinkType>EnhancedMetaFile</o:LinkType>
            <o:LockedField>false</o:LockedField>
          </o:OLEObject>
        </w:object>
      </w:r>
    </w:p>
    <w:p w:rsidR="004278BA" w:rsidRPr="00D14AAF" w:rsidRDefault="004278BA" w:rsidP="00453098">
      <w:pPr>
        <w:pStyle w:val="TableHeadingcontinued"/>
        <w:rPr>
          <w:spacing w:val="-2"/>
          <w:lang w:val="en-US"/>
        </w:rPr>
      </w:pPr>
      <w:r w:rsidRPr="00D14AAF">
        <w:rPr>
          <w:spacing w:val="-2"/>
          <w:lang w:val="en-US"/>
        </w:rPr>
        <w:lastRenderedPageBreak/>
        <w:t>Table 3.</w:t>
      </w:r>
      <w:r w:rsidR="00095159" w:rsidRPr="00D14AAF">
        <w:rPr>
          <w:spacing w:val="-2"/>
          <w:lang w:val="en-US"/>
        </w:rPr>
        <w:t>2</w:t>
      </w:r>
      <w:r w:rsidR="00030AF0" w:rsidRPr="00D14AAF">
        <w:rPr>
          <w:spacing w:val="-2"/>
          <w:lang w:val="en-US"/>
        </w:rPr>
        <w:t>5</w:t>
      </w:r>
      <w:r w:rsidRPr="00D14AAF">
        <w:rPr>
          <w:spacing w:val="-2"/>
          <w:lang w:val="en-US"/>
        </w:rPr>
        <w:t xml:space="preserve">: Commonwealth payments to the </w:t>
      </w:r>
      <w:r w:rsidR="007B0FE8" w:rsidRPr="00D14AAF">
        <w:rPr>
          <w:color w:val="0000FF"/>
          <w:spacing w:val="-2"/>
          <w:lang w:val="en-US"/>
        </w:rPr>
        <w:fldChar w:fldCharType="begin"/>
      </w:r>
      <w:r w:rsidR="007B0FE8" w:rsidRPr="00D14AAF">
        <w:rPr>
          <w:color w:val="0000FF"/>
          <w:spacing w:val="-2"/>
          <w:lang w:val="en-US"/>
        </w:rPr>
        <w:instrText xml:space="preserve"> :Start:CSRD_KP1 </w:instrText>
      </w:r>
      <w:r w:rsidR="007B0FE8" w:rsidRPr="00D14AAF">
        <w:rPr>
          <w:color w:val="0000FF"/>
          <w:spacing w:val="-2"/>
          <w:lang w:val="en-US"/>
        </w:rPr>
        <w:fldChar w:fldCharType="end"/>
      </w:r>
      <w:r w:rsidRPr="00D14AAF">
        <w:rPr>
          <w:spacing w:val="-2"/>
          <w:lang w:val="en-US"/>
        </w:rPr>
        <w:t>States,</w:t>
      </w:r>
      <w:r w:rsidR="007B0FE8" w:rsidRPr="00D14AAF">
        <w:rPr>
          <w:color w:val="FF0000"/>
          <w:spacing w:val="-2"/>
          <w:lang w:val="en-US"/>
        </w:rPr>
        <w:fldChar w:fldCharType="begin"/>
      </w:r>
      <w:r w:rsidR="007B0FE8" w:rsidRPr="00D14AAF">
        <w:rPr>
          <w:color w:val="FF0000"/>
          <w:spacing w:val="-2"/>
          <w:lang w:val="en-US"/>
        </w:rPr>
        <w:instrText xml:space="preserve"> :End:CSRD_KP1 </w:instrText>
      </w:r>
      <w:r w:rsidR="007B0FE8" w:rsidRPr="00D14AAF">
        <w:rPr>
          <w:color w:val="FF0000"/>
          <w:spacing w:val="-2"/>
          <w:lang w:val="en-US"/>
        </w:rPr>
        <w:fldChar w:fldCharType="end"/>
      </w:r>
      <w:r w:rsidRPr="00D14AAF">
        <w:rPr>
          <w:spacing w:val="-2"/>
          <w:lang w:val="en-US"/>
        </w:rPr>
        <w:t xml:space="preserve"> </w:t>
      </w:r>
      <w:r w:rsidR="00C65AC5" w:rsidRPr="00D14AAF">
        <w:rPr>
          <w:color w:val="0000FF"/>
          <w:spacing w:val="-2"/>
          <w:lang w:val="en-US"/>
        </w:rPr>
        <w:fldChar w:fldCharType="begin"/>
      </w:r>
      <w:r w:rsidR="00C65AC5" w:rsidRPr="00D14AAF">
        <w:rPr>
          <w:color w:val="0000FF"/>
          <w:spacing w:val="-2"/>
          <w:lang w:val="en-US"/>
        </w:rPr>
        <w:instrText xml:space="preserve"> :Start:TAD_MB1 </w:instrText>
      </w:r>
      <w:r w:rsidR="00C65AC5" w:rsidRPr="00D14AAF">
        <w:rPr>
          <w:color w:val="0000FF"/>
          <w:spacing w:val="-2"/>
          <w:lang w:val="en-US"/>
        </w:rPr>
        <w:fldChar w:fldCharType="end"/>
      </w:r>
      <w:r w:rsidRPr="00D14AAF">
        <w:rPr>
          <w:spacing w:val="-2"/>
        </w:rPr>
        <w:t>201</w:t>
      </w:r>
      <w:r w:rsidR="00F85302" w:rsidRPr="00D14AAF">
        <w:rPr>
          <w:spacing w:val="-2"/>
        </w:rPr>
        <w:t>7</w:t>
      </w:r>
      <w:r w:rsidRPr="00D14AAF">
        <w:rPr>
          <w:spacing w:val="-2"/>
        </w:rPr>
        <w:noBreakHyphen/>
        <w:t>1</w:t>
      </w:r>
      <w:r w:rsidR="00F85302" w:rsidRPr="00D14AAF">
        <w:rPr>
          <w:spacing w:val="-2"/>
        </w:rPr>
        <w:t>8</w:t>
      </w:r>
      <w:r w:rsidRPr="00D14AAF">
        <w:rPr>
          <w:spacing w:val="-2"/>
        </w:rPr>
        <w:t xml:space="preserve"> to 20</w:t>
      </w:r>
      <w:r w:rsidR="00F85302" w:rsidRPr="00D14AAF">
        <w:rPr>
          <w:spacing w:val="-2"/>
        </w:rPr>
        <w:t>20</w:t>
      </w:r>
      <w:r w:rsidRPr="00D14AAF">
        <w:rPr>
          <w:spacing w:val="-2"/>
        </w:rPr>
        <w:noBreakHyphen/>
        <w:t>2</w:t>
      </w:r>
      <w:r w:rsidR="00F85302" w:rsidRPr="00D14AAF">
        <w:rPr>
          <w:spacing w:val="-2"/>
        </w:rPr>
        <w:t>1</w:t>
      </w:r>
      <w:r w:rsidR="00136CAB" w:rsidRPr="00D14AAF">
        <w:rPr>
          <w:spacing w:val="-2"/>
        </w:rPr>
        <w:t xml:space="preserve"> (continued)</w:t>
      </w:r>
      <w:r w:rsidR="00C65AC5" w:rsidRPr="00D14AAF">
        <w:rPr>
          <w:color w:val="FF0000"/>
          <w:spacing w:val="-2"/>
        </w:rPr>
        <w:fldChar w:fldCharType="begin"/>
      </w:r>
      <w:r w:rsidR="00C65AC5" w:rsidRPr="00D14AAF">
        <w:rPr>
          <w:color w:val="FF0000"/>
          <w:spacing w:val="-2"/>
        </w:rPr>
        <w:instrText xml:space="preserve"> :End:TAD_MB1 </w:instrText>
      </w:r>
      <w:r w:rsidR="00C65AC5" w:rsidRPr="00D14AAF">
        <w:rPr>
          <w:color w:val="FF0000"/>
          <w:spacing w:val="-2"/>
        </w:rPr>
        <w:fldChar w:fldCharType="end"/>
      </w:r>
    </w:p>
    <w:p w:rsidR="004278BA" w:rsidRPr="00D14AAF" w:rsidRDefault="00DA45C4" w:rsidP="00136CAB">
      <w:pPr>
        <w:pStyle w:val="TableGraphic"/>
        <w:rPr>
          <w:lang w:val="en-US"/>
        </w:rPr>
      </w:pPr>
      <w:r w:rsidRPr="00D14AAF">
        <w:rPr>
          <w:lang w:val="en-US"/>
        </w:rPr>
        <w:object w:dxaOrig="7782" w:dyaOrig="1858">
          <v:shape id="_x0000_i1026" type="#_x0000_t75" style="width:388.8pt;height:92.65pt" o:ole="">
            <v:imagedata r:id="rId12" o:title=""/>
          </v:shape>
          <o:OLEObject Type="Link" ProgID="Excel.Sheet.8" ShapeID="_x0000_i1026" DrawAspect="Content" r:id="rId13" UpdateMode="Always">
            <o:LinkType>EnhancedMetaFile</o:LinkType>
            <o:LockedField>false</o:LockedField>
          </o:OLEObject>
        </w:object>
      </w:r>
    </w:p>
    <w:p w:rsidR="00F85302" w:rsidRPr="00D14AAF" w:rsidRDefault="005D6A74" w:rsidP="00F85302">
      <w:pPr>
        <w:pStyle w:val="ChartandTableFootnoteAlpha"/>
        <w:keepNext/>
        <w:numPr>
          <w:ilvl w:val="0"/>
          <w:numId w:val="10"/>
        </w:numPr>
      </w:pPr>
      <w:r w:rsidRPr="00D14AAF">
        <w:rPr>
          <w:color w:val="0000FF"/>
        </w:rPr>
        <w:fldChar w:fldCharType="begin"/>
      </w:r>
      <w:r w:rsidRPr="00D14AAF">
        <w:rPr>
          <w:color w:val="0000FF"/>
        </w:rPr>
        <w:instrText xml:space="preserve"> :Start:CSRD_KP2 </w:instrText>
      </w:r>
      <w:r w:rsidRPr="00D14AAF">
        <w:rPr>
          <w:color w:val="0000FF"/>
        </w:rPr>
        <w:fldChar w:fldCharType="end"/>
      </w:r>
      <w:r w:rsidR="00F85302" w:rsidRPr="00D14AAF">
        <w:t>State allocations for some programs have yet to be determined. These payments are not included in State totals, and consequently, total payments may not equal the sum of State totals</w:t>
      </w:r>
      <w:r w:rsidRPr="00D14AAF">
        <w:rPr>
          <w:color w:val="FF0000"/>
        </w:rPr>
        <w:fldChar w:fldCharType="begin"/>
      </w:r>
      <w:r w:rsidRPr="00D14AAF">
        <w:rPr>
          <w:color w:val="FF0000"/>
        </w:rPr>
        <w:instrText xml:space="preserve"> :End:CSRD_KP2 </w:instrText>
      </w:r>
      <w:r w:rsidRPr="00D14AAF">
        <w:rPr>
          <w:color w:val="FF0000"/>
        </w:rPr>
        <w:fldChar w:fldCharType="end"/>
      </w:r>
      <w:r w:rsidR="004278BA" w:rsidRPr="00D14AAF">
        <w:t>.</w:t>
      </w:r>
    </w:p>
    <w:p w:rsidR="00F85302" w:rsidRPr="00D14AAF" w:rsidRDefault="00C300E7" w:rsidP="00F85302">
      <w:pPr>
        <w:pStyle w:val="ChartandTableFootnoteAlpha"/>
        <w:keepNext/>
        <w:numPr>
          <w:ilvl w:val="0"/>
          <w:numId w:val="10"/>
        </w:numPr>
      </w:pPr>
      <w:r w:rsidRPr="00D14AAF">
        <w:rPr>
          <w:color w:val="0000FF"/>
        </w:rPr>
        <w:fldChar w:fldCharType="begin"/>
      </w:r>
      <w:r w:rsidRPr="00D14AAF">
        <w:rPr>
          <w:color w:val="0000FF"/>
        </w:rPr>
        <w:instrText xml:space="preserve"> :Start:CSRD_KP1 </w:instrText>
      </w:r>
      <w:r w:rsidRPr="00D14AAF">
        <w:rPr>
          <w:color w:val="0000FF"/>
        </w:rPr>
        <w:fldChar w:fldCharType="end"/>
      </w:r>
      <w:r w:rsidR="00F85302" w:rsidRPr="00D14AAF">
        <w:t>State allocations are dependent upon the GST sharing relativities for that financial year. These relativities are not forecast beyond the Budget year.</w:t>
      </w:r>
    </w:p>
    <w:p w:rsidR="00F85302" w:rsidRPr="00D14AAF" w:rsidRDefault="00C300E7" w:rsidP="00F85302">
      <w:pPr>
        <w:pStyle w:val="ChartandTableFootnoteAlpha"/>
        <w:keepNext/>
        <w:numPr>
          <w:ilvl w:val="0"/>
          <w:numId w:val="10"/>
        </w:numPr>
      </w:pPr>
      <w:r w:rsidRPr="00D14AAF">
        <w:rPr>
          <w:color w:val="FF0000"/>
        </w:rPr>
        <w:fldChar w:fldCharType="begin"/>
      </w:r>
      <w:r w:rsidRPr="00D14AAF">
        <w:rPr>
          <w:color w:val="FF0000"/>
        </w:rPr>
        <w:instrText xml:space="preserve"> :End:CSRD_KP1 </w:instrText>
      </w:r>
      <w:r w:rsidRPr="00D14AAF">
        <w:rPr>
          <w:color w:val="FF0000"/>
        </w:rPr>
        <w:fldChar w:fldCharType="end"/>
      </w:r>
      <w:r w:rsidR="00F85302" w:rsidRPr="00D14AAF">
        <w:t>S</w:t>
      </w:r>
      <w:r w:rsidR="005D6A74" w:rsidRPr="00D14AAF">
        <w:rPr>
          <w:color w:val="0000FF"/>
        </w:rPr>
        <w:fldChar w:fldCharType="begin"/>
      </w:r>
      <w:r w:rsidR="005D6A74" w:rsidRPr="00D14AAF">
        <w:rPr>
          <w:color w:val="0000FF"/>
        </w:rPr>
        <w:instrText xml:space="preserve"> :Start:CSRD_KP2 </w:instrText>
      </w:r>
      <w:r w:rsidR="005D6A74" w:rsidRPr="00D14AAF">
        <w:rPr>
          <w:color w:val="0000FF"/>
        </w:rPr>
        <w:fldChar w:fldCharType="end"/>
      </w:r>
      <w:r w:rsidR="00F85302" w:rsidRPr="00D14AAF">
        <w:t>tate allocations for royalties are not published due to commercial sensitivities. These payments are not included in State totals, and consequently, total payments may not</w:t>
      </w:r>
      <w:r w:rsidR="00136CAB" w:rsidRPr="00D14AAF">
        <w:t xml:space="preserve"> equal the sum of State totals.</w:t>
      </w:r>
    </w:p>
    <w:p w:rsidR="004278BA" w:rsidRPr="00D14AAF" w:rsidRDefault="00B75C0C" w:rsidP="004278BA">
      <w:pPr>
        <w:pStyle w:val="ChartandTableFootnoteAlpha"/>
        <w:keepNext/>
        <w:numPr>
          <w:ilvl w:val="0"/>
          <w:numId w:val="10"/>
        </w:numPr>
      </w:pPr>
      <w:r w:rsidRPr="00D14AAF">
        <w:t>State allocations r</w:t>
      </w:r>
      <w:r w:rsidR="00F85302" w:rsidRPr="00D14AAF">
        <w:t>eflect payments for specific purposes and other general revenue assistance onl</w:t>
      </w:r>
      <w:r w:rsidR="005D6A74" w:rsidRPr="00D14AAF">
        <w:rPr>
          <w:color w:val="FF0000"/>
        </w:rPr>
        <w:fldChar w:fldCharType="begin"/>
      </w:r>
      <w:r w:rsidR="005D6A74" w:rsidRPr="00D14AAF">
        <w:rPr>
          <w:color w:val="FF0000"/>
        </w:rPr>
        <w:instrText xml:space="preserve"> :End:CSRD_KP2 </w:instrText>
      </w:r>
      <w:r w:rsidR="005D6A74" w:rsidRPr="00D14AAF">
        <w:rPr>
          <w:color w:val="FF0000"/>
        </w:rPr>
        <w:fldChar w:fldCharType="end"/>
      </w:r>
      <w:r w:rsidR="00F85302" w:rsidRPr="00D14AAF">
        <w:t>y.</w:t>
      </w:r>
      <w:bookmarkStart w:id="4" w:name="_Toc467595677"/>
    </w:p>
    <w:p w:rsidR="004278BA" w:rsidRPr="00D14AAF" w:rsidRDefault="007C600F" w:rsidP="00BB305D">
      <w:pPr>
        <w:pStyle w:val="Heading3"/>
        <w:spacing w:before="240"/>
      </w:pPr>
      <w:r w:rsidRPr="00D14AAF">
        <w:rPr>
          <w:color w:val="0000FF"/>
        </w:rPr>
        <w:fldChar w:fldCharType="begin"/>
      </w:r>
      <w:r w:rsidRPr="00D14AAF">
        <w:rPr>
          <w:color w:val="0000FF"/>
        </w:rPr>
        <w:instrText xml:space="preserve"> :Start:CSRD_KP2 </w:instrText>
      </w:r>
      <w:r w:rsidRPr="00D14AAF">
        <w:rPr>
          <w:color w:val="0000FF"/>
        </w:rPr>
        <w:fldChar w:fldCharType="end"/>
      </w:r>
      <w:r w:rsidR="004278BA" w:rsidRPr="00D14AAF">
        <w:t>Payments for specific purposes</w:t>
      </w:r>
      <w:bookmarkEnd w:id="4"/>
    </w:p>
    <w:p w:rsidR="004278BA" w:rsidRPr="00D14AAF" w:rsidRDefault="004278BA" w:rsidP="00453098">
      <w:r w:rsidRPr="00D14AAF">
        <w:t>The Commonwealth provides payments to the States for specific purposes in areas administered by the States. Payments to the States for specific purposes are estimated to total $</w:t>
      </w:r>
      <w:r w:rsidR="00AF4432" w:rsidRPr="00D14AAF">
        <w:t>55.</w:t>
      </w:r>
      <w:r w:rsidR="003B6659" w:rsidRPr="00D14AAF">
        <w:t>6</w:t>
      </w:r>
      <w:r w:rsidRPr="00D14AAF">
        <w:t> billion in 201</w:t>
      </w:r>
      <w:r w:rsidR="00AF4432" w:rsidRPr="00D14AAF">
        <w:t>7</w:t>
      </w:r>
      <w:r w:rsidRPr="00D14AAF">
        <w:noBreakHyphen/>
        <w:t>1</w:t>
      </w:r>
      <w:r w:rsidR="00AF4432" w:rsidRPr="00D14AAF">
        <w:t>8</w:t>
      </w:r>
      <w:r w:rsidRPr="00D14AAF">
        <w:t xml:space="preserve">, which is </w:t>
      </w:r>
      <w:r w:rsidR="003B6659" w:rsidRPr="00D14AAF">
        <w:t>11</w:t>
      </w:r>
      <w:r w:rsidRPr="00D14AAF">
        <w:t>.</w:t>
      </w:r>
      <w:r w:rsidR="003B6659" w:rsidRPr="00D14AAF">
        <w:t>9</w:t>
      </w:r>
      <w:r w:rsidRPr="00D14AAF">
        <w:t> per cent of total Commonwealth expenditure for the year and an increase of $</w:t>
      </w:r>
      <w:r w:rsidR="00755494" w:rsidRPr="00D14AAF">
        <w:t>472 m</w:t>
      </w:r>
      <w:r w:rsidRPr="00D14AAF">
        <w:t xml:space="preserve">illion (or </w:t>
      </w:r>
      <w:r w:rsidR="003B6659" w:rsidRPr="00D14AAF">
        <w:t>0</w:t>
      </w:r>
      <w:r w:rsidR="00AF4432" w:rsidRPr="00D14AAF">
        <w:t>.</w:t>
      </w:r>
      <w:r w:rsidR="002606A8" w:rsidRPr="00D14AAF">
        <w:t>9</w:t>
      </w:r>
      <w:r w:rsidRPr="00D14AAF">
        <w:t> per cent) on the $</w:t>
      </w:r>
      <w:r w:rsidR="00AF4432" w:rsidRPr="00D14AAF">
        <w:t>55.1</w:t>
      </w:r>
      <w:r w:rsidRPr="00D14AAF">
        <w:t> billion the States received in 201</w:t>
      </w:r>
      <w:r w:rsidR="00AF4432" w:rsidRPr="00D14AAF">
        <w:t>6</w:t>
      </w:r>
      <w:r w:rsidRPr="00D14AAF">
        <w:noBreakHyphen/>
        <w:t>1</w:t>
      </w:r>
      <w:r w:rsidR="00AF4432" w:rsidRPr="00D14AAF">
        <w:t>7</w:t>
      </w:r>
      <w:r w:rsidR="00136CAB" w:rsidRPr="00D14AAF">
        <w:t>.</w:t>
      </w:r>
    </w:p>
    <w:p w:rsidR="004278BA" w:rsidRPr="00D14AAF" w:rsidRDefault="004278BA" w:rsidP="00453098">
      <w:r w:rsidRPr="00D14AAF">
        <w:t>The Commonwealth provides the following types of specific purpose payments (SPPs) to the States:</w:t>
      </w:r>
    </w:p>
    <w:p w:rsidR="004278BA" w:rsidRPr="00D14AAF" w:rsidRDefault="004278BA" w:rsidP="00453098">
      <w:pPr>
        <w:pStyle w:val="Bullet"/>
      </w:pPr>
      <w:r w:rsidRPr="00D14AAF">
        <w:t>National Specific Purpose Payments (National SPPs) in respect of key service delivery sectors — disability services, skills and workforce development, and affordable housing;</w:t>
      </w:r>
    </w:p>
    <w:p w:rsidR="004278BA" w:rsidRPr="00D14AAF" w:rsidRDefault="004278BA" w:rsidP="00453098">
      <w:pPr>
        <w:pStyle w:val="Bullet"/>
      </w:pPr>
      <w:r w:rsidRPr="00D14AAF">
        <w:t xml:space="preserve">National Health Reform (NHR) funding, largely for public hospital services; </w:t>
      </w:r>
    </w:p>
    <w:p w:rsidR="004B075B" w:rsidRPr="00D14AAF" w:rsidRDefault="004B075B" w:rsidP="00453098">
      <w:pPr>
        <w:pStyle w:val="Bullet"/>
      </w:pPr>
      <w:r w:rsidRPr="00D14AAF">
        <w:t>National Housing and Homelessness funding</w:t>
      </w:r>
      <w:r w:rsidR="003902F3" w:rsidRPr="00D14AAF">
        <w:t xml:space="preserve"> from 2018-19</w:t>
      </w:r>
      <w:r w:rsidRPr="00D14AAF">
        <w:t>;</w:t>
      </w:r>
    </w:p>
    <w:p w:rsidR="004278BA" w:rsidRPr="00D14AAF" w:rsidRDefault="006E7E7E" w:rsidP="00453098">
      <w:pPr>
        <w:pStyle w:val="Bullet"/>
      </w:pPr>
      <w:r w:rsidRPr="00D14AAF">
        <w:t>Quality Schools</w:t>
      </w:r>
      <w:r w:rsidR="004278BA" w:rsidRPr="00D14AAF">
        <w:t xml:space="preserve"> funding for government and non-government schools; and</w:t>
      </w:r>
    </w:p>
    <w:p w:rsidR="004278BA" w:rsidRPr="00D14AAF" w:rsidRDefault="004278BA" w:rsidP="00453098">
      <w:pPr>
        <w:pStyle w:val="Bullet"/>
      </w:pPr>
      <w:r w:rsidRPr="00D14AAF">
        <w:t>National Partnership payments in a wide range of areas.</w:t>
      </w:r>
    </w:p>
    <w:p w:rsidR="004278BA" w:rsidRPr="00D14AAF" w:rsidRDefault="004278BA" w:rsidP="00453098">
      <w:r w:rsidRPr="00D14AAF">
        <w:t>Table 3.2</w:t>
      </w:r>
      <w:r w:rsidR="00030AF0" w:rsidRPr="00D14AAF">
        <w:t>6</w:t>
      </w:r>
      <w:r w:rsidRPr="00D14AAF">
        <w:t xml:space="preserve"> shows total payments for specific purposes by each type of SPP.</w:t>
      </w:r>
    </w:p>
    <w:p w:rsidR="004278BA" w:rsidRPr="00D14AAF" w:rsidRDefault="007C600F" w:rsidP="00373CB9">
      <w:pPr>
        <w:pStyle w:val="TableHeading"/>
        <w:rPr>
          <w:lang w:val="en-US"/>
        </w:rPr>
      </w:pPr>
      <w:r w:rsidRPr="00D14AAF">
        <w:rPr>
          <w:color w:val="FF0000"/>
        </w:rPr>
        <w:lastRenderedPageBreak/>
        <w:fldChar w:fldCharType="begin"/>
      </w:r>
      <w:r w:rsidRPr="00D14AAF">
        <w:rPr>
          <w:color w:val="FF0000"/>
        </w:rPr>
        <w:instrText xml:space="preserve"> :End:CSRD_KP2 </w:instrText>
      </w:r>
      <w:r w:rsidRPr="00D14AAF">
        <w:rPr>
          <w:color w:val="FF0000"/>
        </w:rPr>
        <w:fldChar w:fldCharType="end"/>
      </w:r>
      <w:r w:rsidRPr="00D14AAF">
        <w:rPr>
          <w:color w:val="0000FF"/>
        </w:rPr>
        <w:fldChar w:fldCharType="begin"/>
      </w:r>
      <w:r w:rsidRPr="00D14AAF">
        <w:rPr>
          <w:color w:val="0000FF"/>
        </w:rPr>
        <w:instrText xml:space="preserve"> :Start:CSRD_KP2 </w:instrText>
      </w:r>
      <w:r w:rsidRPr="00D14AAF">
        <w:rPr>
          <w:color w:val="0000FF"/>
        </w:rPr>
        <w:fldChar w:fldCharType="end"/>
      </w:r>
      <w:r w:rsidR="004278BA" w:rsidRPr="00D14AAF">
        <w:t>Table 3.</w:t>
      </w:r>
      <w:r w:rsidR="00095159" w:rsidRPr="00D14AAF">
        <w:t>2</w:t>
      </w:r>
      <w:r w:rsidR="00030AF0" w:rsidRPr="00D14AAF">
        <w:t>6</w:t>
      </w:r>
      <w:r w:rsidR="004278BA" w:rsidRPr="00D14AAF">
        <w:t xml:space="preserve">: Total payments for specific purposes by category, </w:t>
      </w:r>
      <w:r w:rsidR="00C46ABB" w:rsidRPr="00D14AAF">
        <w:t>2017</w:t>
      </w:r>
      <w:r w:rsidR="00C46ABB" w:rsidRPr="00D14AAF">
        <w:noBreakHyphen/>
        <w:t>18 to 2020-21</w:t>
      </w:r>
    </w:p>
    <w:p w:rsidR="003C03C8" w:rsidRPr="00D14AAF" w:rsidRDefault="007C600F" w:rsidP="003F7D9C">
      <w:pPr>
        <w:pStyle w:val="TableGraphic"/>
        <w:rPr>
          <w:lang w:val="en-US" w:eastAsia="en-AU"/>
        </w:rPr>
      </w:pPr>
      <w:r w:rsidRPr="00D14AAF">
        <w:rPr>
          <w:color w:val="FF0000"/>
          <w:lang w:val="en-US" w:eastAsia="en-AU"/>
        </w:rPr>
        <w:fldChar w:fldCharType="begin"/>
      </w:r>
      <w:r w:rsidRPr="00D14AAF">
        <w:rPr>
          <w:color w:val="FF0000"/>
          <w:lang w:val="en-US" w:eastAsia="en-AU"/>
        </w:rPr>
        <w:instrText xml:space="preserve"> :End:CSRD_KP2 </w:instrText>
      </w:r>
      <w:r w:rsidRPr="00D14AAF">
        <w:rPr>
          <w:color w:val="FF0000"/>
          <w:lang w:val="en-US" w:eastAsia="en-AU"/>
        </w:rPr>
        <w:fldChar w:fldCharType="end"/>
      </w:r>
      <w:r w:rsidR="00DA45C4" w:rsidRPr="00D14AAF">
        <w:rPr>
          <w:lang w:val="en-US" w:eastAsia="en-AU"/>
        </w:rPr>
        <w:object w:dxaOrig="7770" w:dyaOrig="9213">
          <v:shape id="_x0000_i1027" type="#_x0000_t75" style="width:388.8pt;height:460.8pt" o:ole="">
            <v:imagedata r:id="rId14" o:title=""/>
          </v:shape>
          <o:OLEObject Type="Link" ProgID="Excel.Sheet.8" ShapeID="_x0000_i1027" DrawAspect="Content" r:id="rId15" UpdateMode="Always">
            <o:LinkType>EnhancedMetaFile</o:LinkType>
            <o:LockedField>false</o:LockedField>
          </o:OLEObject>
        </w:object>
      </w:r>
    </w:p>
    <w:p w:rsidR="004278BA" w:rsidRPr="00D14AAF" w:rsidRDefault="004278BA" w:rsidP="004278BA">
      <w:pPr>
        <w:pStyle w:val="ChartandTableFootnoteAlpha"/>
        <w:keepNext/>
        <w:numPr>
          <w:ilvl w:val="0"/>
          <w:numId w:val="11"/>
        </w:numPr>
      </w:pPr>
      <w:r w:rsidRPr="00D14AAF">
        <w:t>As State allocations for some programs have yet to be determined, relevant payments are not included in State totals. Consequently, total payments may not equal the sum of State totals.</w:t>
      </w:r>
    </w:p>
    <w:p w:rsidR="004278BA" w:rsidRPr="00D14AAF" w:rsidRDefault="004278BA" w:rsidP="004278BA">
      <w:pPr>
        <w:pStyle w:val="ChartandTableFootnoteAlpha"/>
        <w:keepNext/>
        <w:numPr>
          <w:ilvl w:val="0"/>
          <w:numId w:val="10"/>
        </w:numPr>
      </w:pPr>
      <w:r w:rsidRPr="00D14AAF">
        <w:t>Includes financial assistance grants for local government.</w:t>
      </w:r>
    </w:p>
    <w:p w:rsidR="004278BA" w:rsidRPr="00D14AAF" w:rsidRDefault="004278BA" w:rsidP="00096E56">
      <w:pPr>
        <w:pStyle w:val="ChartandTableFootnoteAlpha"/>
        <w:numPr>
          <w:ilvl w:val="0"/>
          <w:numId w:val="10"/>
        </w:numPr>
      </w:pPr>
      <w:r w:rsidRPr="00D14AAF">
        <w:t>State allocations from the 2018 school year onwards are indicative only and final allocations are subject to formal negotiations between the Commonwealth, the States and the non-government schools sector.</w:t>
      </w:r>
    </w:p>
    <w:p w:rsidR="004278BA" w:rsidRPr="00D14AAF" w:rsidRDefault="005B5DB8" w:rsidP="00453098">
      <w:r w:rsidRPr="00D14AAF">
        <w:br w:type="page"/>
      </w:r>
      <w:r w:rsidR="007C600F" w:rsidRPr="00D14AAF">
        <w:rPr>
          <w:color w:val="0000FF"/>
        </w:rPr>
        <w:lastRenderedPageBreak/>
        <w:fldChar w:fldCharType="begin"/>
      </w:r>
      <w:r w:rsidR="007C600F" w:rsidRPr="00D14AAF">
        <w:rPr>
          <w:color w:val="0000FF"/>
        </w:rPr>
        <w:instrText xml:space="preserve"> :Start:CSRD_KP2 </w:instrText>
      </w:r>
      <w:r w:rsidR="007C600F" w:rsidRPr="00D14AAF">
        <w:rPr>
          <w:color w:val="0000FF"/>
        </w:rPr>
        <w:fldChar w:fldCharType="end"/>
      </w:r>
      <w:r w:rsidR="004278BA" w:rsidRPr="00D14AAF">
        <w:t>Payments for specific purposes cover most areas of State and local government activity including health, education, skills and workforce development, community services, affordable housing, infrastructure and the environment. Table 3.2</w:t>
      </w:r>
      <w:r w:rsidR="00030AF0" w:rsidRPr="00D14AAF">
        <w:t>7</w:t>
      </w:r>
      <w:r w:rsidR="004278BA" w:rsidRPr="00D14AAF">
        <w:t xml:space="preserve"> shows total payments for specific purposes by sector.</w:t>
      </w:r>
    </w:p>
    <w:p w:rsidR="004278BA" w:rsidRPr="00D14AAF" w:rsidRDefault="004278BA" w:rsidP="00373CB9">
      <w:pPr>
        <w:pStyle w:val="TableHeading"/>
      </w:pPr>
      <w:r w:rsidRPr="00D14AAF">
        <w:t>Table 3.</w:t>
      </w:r>
      <w:r w:rsidR="00095159" w:rsidRPr="00D14AAF">
        <w:t>2</w:t>
      </w:r>
      <w:r w:rsidR="00030AF0" w:rsidRPr="00D14AAF">
        <w:t>7</w:t>
      </w:r>
      <w:r w:rsidRPr="00D14AAF">
        <w:t>: Payments for s</w:t>
      </w:r>
      <w:r w:rsidR="005B5D29" w:rsidRPr="00D14AAF">
        <w:t>pecific purposes by sector, 2017</w:t>
      </w:r>
      <w:r w:rsidR="005B5D29" w:rsidRPr="00D14AAF">
        <w:noBreakHyphen/>
        <w:t>18 to 20</w:t>
      </w:r>
      <w:r w:rsidRPr="00D14AAF">
        <w:t>20</w:t>
      </w:r>
      <w:r w:rsidR="005B5D29" w:rsidRPr="00D14AAF">
        <w:t>-21</w:t>
      </w:r>
    </w:p>
    <w:p w:rsidR="004278BA" w:rsidRPr="00D14AAF" w:rsidRDefault="00DA45C4" w:rsidP="003F7D9C">
      <w:pPr>
        <w:pStyle w:val="TableGraphic"/>
        <w:rPr>
          <w:lang w:val="en-US"/>
        </w:rPr>
      </w:pPr>
      <w:r w:rsidRPr="00D14AAF">
        <w:rPr>
          <w:lang w:val="en-US"/>
        </w:rPr>
        <w:object w:dxaOrig="7770" w:dyaOrig="9213">
          <v:shape id="_x0000_i1028" type="#_x0000_t75" style="width:388.8pt;height:460.8pt" o:ole="">
            <v:imagedata r:id="rId16" o:title=""/>
          </v:shape>
          <o:OLEObject Type="Link" ProgID="Excel.Sheet.8" ShapeID="_x0000_i1028" DrawAspect="Content" r:id="rId17" UpdateMode="Always">
            <o:LinkType>EnhancedMetaFile</o:LinkType>
            <o:LockedField>false</o:LockedField>
          </o:OLEObject>
        </w:object>
      </w:r>
    </w:p>
    <w:p w:rsidR="004278BA" w:rsidRPr="00D14AAF" w:rsidRDefault="004278BA" w:rsidP="004278BA">
      <w:pPr>
        <w:pStyle w:val="ChartandTableFootnoteAlpha"/>
        <w:keepNext/>
        <w:numPr>
          <w:ilvl w:val="0"/>
          <w:numId w:val="12"/>
        </w:numPr>
      </w:pPr>
      <w:r w:rsidRPr="00D14AAF">
        <w:t>As State allocations for some programs have yet to be determined, relevant payments are not included in State totals. Consequently, total payments may not equal the sum of State totals.</w:t>
      </w:r>
    </w:p>
    <w:p w:rsidR="00096E56" w:rsidRPr="00D14AAF" w:rsidRDefault="004278BA" w:rsidP="004278BA">
      <w:pPr>
        <w:pStyle w:val="ChartandTableFootnoteAlpha"/>
        <w:keepNext/>
        <w:numPr>
          <w:ilvl w:val="0"/>
          <w:numId w:val="10"/>
        </w:numPr>
      </w:pPr>
      <w:r w:rsidRPr="00D14AAF">
        <w:t>Includes financial assistance grants for local government.</w:t>
      </w:r>
    </w:p>
    <w:p w:rsidR="004278BA" w:rsidRPr="00D14AAF" w:rsidRDefault="005A311B" w:rsidP="00453098">
      <w:r w:rsidRPr="00D14AAF">
        <w:br w:type="page"/>
      </w:r>
      <w:r w:rsidR="004278BA" w:rsidRPr="00D14AAF">
        <w:lastRenderedPageBreak/>
        <w:t>Table 3.2</w:t>
      </w:r>
      <w:r w:rsidR="00030AF0" w:rsidRPr="00D14AAF">
        <w:t>8</w:t>
      </w:r>
      <w:r w:rsidR="004278BA" w:rsidRPr="00D14AAF">
        <w:t xml:space="preserve"> shows total payments for specific purposes by sector and category (National SPPs, NHR funding, </w:t>
      </w:r>
      <w:r w:rsidR="00FB5A4E" w:rsidRPr="00D14AAF">
        <w:t>Quality Schools</w:t>
      </w:r>
      <w:r w:rsidR="004278BA" w:rsidRPr="00D14AAF">
        <w:t xml:space="preserve"> funding</w:t>
      </w:r>
      <w:r w:rsidR="00524D50" w:rsidRPr="00D14AAF">
        <w:t>, National Housing and Homelessness</w:t>
      </w:r>
      <w:r w:rsidR="004278BA" w:rsidRPr="00D14AAF">
        <w:t xml:space="preserve"> and National Partnership payments).</w:t>
      </w:r>
    </w:p>
    <w:p w:rsidR="004278BA" w:rsidRPr="00D14AAF" w:rsidRDefault="004278BA" w:rsidP="00373CB9">
      <w:pPr>
        <w:pStyle w:val="TableHeading"/>
      </w:pPr>
      <w:r w:rsidRPr="00D14AAF">
        <w:t>Table 3.</w:t>
      </w:r>
      <w:r w:rsidR="00095159" w:rsidRPr="00D14AAF">
        <w:t>2</w:t>
      </w:r>
      <w:r w:rsidR="00030AF0" w:rsidRPr="00D14AAF">
        <w:t>8</w:t>
      </w:r>
      <w:r w:rsidRPr="00D14AAF">
        <w:t xml:space="preserve">: Payments for specific purposes by sector and category, </w:t>
      </w:r>
      <w:r w:rsidR="003C03C8" w:rsidRPr="00D14AAF">
        <w:t>2017-18</w:t>
      </w:r>
      <w:r w:rsidRPr="00D14AAF">
        <w:t xml:space="preserve"> to </w:t>
      </w:r>
      <w:r w:rsidR="003C03C8" w:rsidRPr="00D14AAF">
        <w:t>2020-21</w:t>
      </w:r>
    </w:p>
    <w:p w:rsidR="004278BA" w:rsidRPr="00D14AAF" w:rsidRDefault="00DA45C4" w:rsidP="00EC4D62">
      <w:pPr>
        <w:pStyle w:val="TableGraphic"/>
        <w:rPr>
          <w:lang w:val="en-US"/>
        </w:rPr>
      </w:pPr>
      <w:r w:rsidRPr="00D14AAF">
        <w:rPr>
          <w:lang w:val="en-US"/>
        </w:rPr>
        <w:object w:dxaOrig="7717" w:dyaOrig="5535">
          <v:shape id="_x0000_i1029" type="#_x0000_t75" style="width:385.65pt;height:276.75pt" o:ole="">
            <v:imagedata r:id="rId18" o:title=""/>
          </v:shape>
          <o:OLEObject Type="Link" ProgID="Excel.Sheet.8" ShapeID="_x0000_i1029" DrawAspect="Content" r:id="rId19" UpdateMode="Always">
            <o:LinkType>EnhancedMetaFile</o:LinkType>
            <o:LockedField>false</o:LockedField>
          </o:OLEObject>
        </w:object>
      </w:r>
    </w:p>
    <w:p w:rsidR="004278BA" w:rsidRPr="00D14AAF" w:rsidRDefault="004278BA" w:rsidP="004278BA">
      <w:pPr>
        <w:pStyle w:val="ChartandTableFootnoteAlpha"/>
        <w:keepNext/>
        <w:numPr>
          <w:ilvl w:val="0"/>
          <w:numId w:val="13"/>
        </w:numPr>
      </w:pPr>
      <w:r w:rsidRPr="00D14AAF">
        <w:t>Includes financial assistan</w:t>
      </w:r>
      <w:r w:rsidR="00BB305D" w:rsidRPr="00D14AAF">
        <w:t>ce grants for local government.</w:t>
      </w:r>
    </w:p>
    <w:p w:rsidR="004278BA" w:rsidRPr="00D14AAF" w:rsidRDefault="004278BA" w:rsidP="00BB305D">
      <w:pPr>
        <w:spacing w:before="240"/>
      </w:pPr>
      <w:r w:rsidRPr="00D14AAF">
        <w:t>Detailed tables of payments for specific p</w:t>
      </w:r>
      <w:r w:rsidR="007A210E" w:rsidRPr="00D14AAF">
        <w:t>urposes are provided in Annex A </w:t>
      </w:r>
      <w:r w:rsidRPr="00D14AAF">
        <w:t>(available</w:t>
      </w:r>
      <w:r w:rsidR="005A311B" w:rsidRPr="00D14AAF">
        <w:t> </w:t>
      </w:r>
      <w:r w:rsidRPr="00D14AAF">
        <w:t>online).</w:t>
      </w:r>
    </w:p>
    <w:p w:rsidR="004278BA" w:rsidRPr="00D14AAF" w:rsidRDefault="004278BA" w:rsidP="00453098">
      <w:r w:rsidRPr="00D14AAF">
        <w:t>The Commonwealth provides funding under the Natural Disaster Relief and Recovery Arrangements (NDRRA) to assist the States following natural disasters. For accounting purposes, the Commonwealth recognises a liability equal to the present value of future payments expected to be made to the States under the NDRRA. This is regardless of whether or not a State has completed eligible reconstruction work or submitted an eligible claim under the NDRRA. Estimated NDRRA cash payments are shown in Table 3.</w:t>
      </w:r>
      <w:r w:rsidR="00030AF0" w:rsidRPr="00D14AAF">
        <w:t>29</w:t>
      </w:r>
      <w:r w:rsidRPr="00D14AAF">
        <w:t xml:space="preserve"> below. Accrual estimates are pr</w:t>
      </w:r>
      <w:r w:rsidR="007A210E" w:rsidRPr="00D14AAF">
        <w:t>esented in Table A.8 in Annex A </w:t>
      </w:r>
      <w:r w:rsidRPr="00D14AAF">
        <w:t>(available</w:t>
      </w:r>
      <w:r w:rsidR="005A311B" w:rsidRPr="00D14AAF">
        <w:t> </w:t>
      </w:r>
      <w:r w:rsidRPr="00D14AAF">
        <w:t>online).</w:t>
      </w:r>
    </w:p>
    <w:p w:rsidR="004278BA" w:rsidRPr="00D14AAF" w:rsidRDefault="004278BA" w:rsidP="00373CB9">
      <w:pPr>
        <w:pStyle w:val="TableHeading"/>
      </w:pPr>
      <w:r w:rsidRPr="00D14AAF">
        <w:t>Table 3.</w:t>
      </w:r>
      <w:r w:rsidR="00030AF0" w:rsidRPr="00D14AAF">
        <w:t>29</w:t>
      </w:r>
      <w:r w:rsidRPr="00D14AAF">
        <w:t>: Estimated NDRRA cash payments, 201</w:t>
      </w:r>
      <w:r w:rsidR="006930CE" w:rsidRPr="00D14AAF">
        <w:t>7</w:t>
      </w:r>
      <w:r w:rsidRPr="00D14AAF">
        <w:noBreakHyphen/>
        <w:t>1</w:t>
      </w:r>
      <w:r w:rsidR="006930CE" w:rsidRPr="00D14AAF">
        <w:t>8</w:t>
      </w:r>
      <w:r w:rsidRPr="00D14AAF">
        <w:t xml:space="preserve"> to 20</w:t>
      </w:r>
      <w:r w:rsidR="006930CE" w:rsidRPr="00D14AAF">
        <w:t>20</w:t>
      </w:r>
      <w:r w:rsidRPr="00D14AAF">
        <w:noBreakHyphen/>
        <w:t>2</w:t>
      </w:r>
      <w:r w:rsidR="006930CE" w:rsidRPr="00D14AAF">
        <w:t>1</w:t>
      </w:r>
    </w:p>
    <w:p w:rsidR="004278BA" w:rsidRPr="00D14AAF" w:rsidRDefault="00DA45C4" w:rsidP="000151D1">
      <w:pPr>
        <w:pStyle w:val="TableGraphic"/>
        <w:rPr>
          <w:lang w:val="en-US"/>
        </w:rPr>
      </w:pPr>
      <w:r w:rsidRPr="00D14AAF">
        <w:rPr>
          <w:lang w:val="en-US"/>
        </w:rPr>
        <w:object w:dxaOrig="7705" w:dyaOrig="1102">
          <v:shape id="_x0000_i1030" type="#_x0000_t75" style="width:385.05pt;height:55.1pt" o:ole="">
            <v:imagedata r:id="rId20" o:title=""/>
          </v:shape>
          <o:OLEObject Type="Link" ProgID="Excel.Sheet.8" ShapeID="_x0000_i1030" DrawAspect="Content" r:id="rId21" UpdateMode="Always">
            <o:LinkType>EnhancedMetaFile</o:LinkType>
            <o:LockedField>false</o:LockedField>
          </o:OLEObject>
        </w:object>
      </w:r>
    </w:p>
    <w:p w:rsidR="004278BA" w:rsidRPr="00D14AAF" w:rsidRDefault="004278BA" w:rsidP="004278BA">
      <w:pPr>
        <w:pStyle w:val="Heading3"/>
      </w:pPr>
      <w:bookmarkStart w:id="5" w:name="_Toc467595678"/>
      <w:r w:rsidRPr="00D14AAF">
        <w:lastRenderedPageBreak/>
        <w:t>General revenue assistance</w:t>
      </w:r>
      <w:bookmarkEnd w:id="5"/>
    </w:p>
    <w:p w:rsidR="004278BA" w:rsidRPr="00D14AAF" w:rsidRDefault="004278BA" w:rsidP="00453098">
      <w:r w:rsidRPr="00D14AAF">
        <w:t>General revenue assistance is provided to the States without conditions, and can be spent by the States according to their own budget priorities.</w:t>
      </w:r>
    </w:p>
    <w:p w:rsidR="004278BA" w:rsidRPr="00D14AAF" w:rsidRDefault="007C600F" w:rsidP="00453098">
      <w:r w:rsidRPr="00D14AAF">
        <w:rPr>
          <w:color w:val="FF0000"/>
        </w:rPr>
        <w:fldChar w:fldCharType="begin"/>
      </w:r>
      <w:r w:rsidRPr="00D14AAF">
        <w:rPr>
          <w:color w:val="FF0000"/>
        </w:rPr>
        <w:instrText xml:space="preserve"> :End:CSRD_KP2 </w:instrText>
      </w:r>
      <w:r w:rsidRPr="00D14AAF">
        <w:rPr>
          <w:color w:val="FF0000"/>
        </w:rPr>
        <w:fldChar w:fldCharType="end"/>
      </w:r>
      <w:r w:rsidR="002D4279" w:rsidRPr="00D14AAF">
        <w:rPr>
          <w:color w:val="0000FF"/>
        </w:rPr>
        <w:fldChar w:fldCharType="begin"/>
      </w:r>
      <w:r w:rsidR="002D4279" w:rsidRPr="00D14AAF">
        <w:rPr>
          <w:color w:val="0000FF"/>
        </w:rPr>
        <w:instrText xml:space="preserve"> :Start:CSRD_KP2 </w:instrText>
      </w:r>
      <w:r w:rsidR="002D4279" w:rsidRPr="00D14AAF">
        <w:rPr>
          <w:color w:val="0000FF"/>
        </w:rPr>
        <w:fldChar w:fldCharType="end"/>
      </w:r>
      <w:r w:rsidR="004278BA" w:rsidRPr="00D14AAF">
        <w:t>In 201</w:t>
      </w:r>
      <w:r w:rsidR="006522AE" w:rsidRPr="00D14AAF">
        <w:t>7</w:t>
      </w:r>
      <w:r w:rsidR="004278BA" w:rsidRPr="00D14AAF">
        <w:noBreakHyphen/>
        <w:t>1</w:t>
      </w:r>
      <w:r w:rsidR="006522AE" w:rsidRPr="00D14AAF">
        <w:t>8</w:t>
      </w:r>
      <w:r w:rsidR="004278BA" w:rsidRPr="00D14AAF">
        <w:t>, the States are expected to receive $</w:t>
      </w:r>
      <w:r w:rsidR="00683E3C" w:rsidRPr="00D14AAF">
        <w:t>63.1</w:t>
      </w:r>
      <w:r w:rsidR="004278BA" w:rsidRPr="00D14AAF">
        <w:t xml:space="preserve"> billion in general revenue assistance from the Commonwealth, </w:t>
      </w:r>
      <w:r w:rsidR="002D4279" w:rsidRPr="00D14AAF">
        <w:rPr>
          <w:color w:val="FF0000"/>
        </w:rPr>
        <w:fldChar w:fldCharType="begin"/>
      </w:r>
      <w:r w:rsidR="002D4279" w:rsidRPr="00D14AAF">
        <w:rPr>
          <w:color w:val="FF0000"/>
        </w:rPr>
        <w:instrText xml:space="preserve"> :End:CSRD_KP2 </w:instrText>
      </w:r>
      <w:r w:rsidR="002D4279" w:rsidRPr="00D14AAF">
        <w:rPr>
          <w:color w:val="FF0000"/>
        </w:rPr>
        <w:fldChar w:fldCharType="end"/>
      </w:r>
      <w:r w:rsidR="003A4860" w:rsidRPr="00D14AAF">
        <w:rPr>
          <w:color w:val="0000FF"/>
        </w:rPr>
        <w:fldChar w:fldCharType="begin"/>
      </w:r>
      <w:r w:rsidR="003A4860" w:rsidRPr="00D14AAF">
        <w:rPr>
          <w:color w:val="0000FF"/>
        </w:rPr>
        <w:instrText xml:space="preserve"> :Start:TAD_MB1 </w:instrText>
      </w:r>
      <w:r w:rsidR="003A4860" w:rsidRPr="00D14AAF">
        <w:rPr>
          <w:color w:val="0000FF"/>
        </w:rPr>
        <w:fldChar w:fldCharType="end"/>
      </w:r>
      <w:r w:rsidR="004278BA" w:rsidRPr="00D14AAF">
        <w:t>comprising $</w:t>
      </w:r>
      <w:r w:rsidR="00137578" w:rsidRPr="00D14AAF">
        <w:t>62.4</w:t>
      </w:r>
      <w:r w:rsidR="004278BA" w:rsidRPr="00D14AAF">
        <w:t xml:space="preserve"> billion in GST entitlements </w:t>
      </w:r>
      <w:r w:rsidR="00C11CD7" w:rsidRPr="00D14AAF">
        <w:rPr>
          <w:color w:val="FF0000"/>
        </w:rPr>
        <w:fldChar w:fldCharType="begin"/>
      </w:r>
      <w:r w:rsidR="00C11CD7" w:rsidRPr="00D14AAF">
        <w:rPr>
          <w:color w:val="FF0000"/>
        </w:rPr>
        <w:instrText xml:space="preserve"> :End:TAD_MB1 </w:instrText>
      </w:r>
      <w:r w:rsidR="00C11CD7" w:rsidRPr="00D14AAF">
        <w:rPr>
          <w:color w:val="FF0000"/>
        </w:rPr>
        <w:fldChar w:fldCharType="end"/>
      </w:r>
      <w:r w:rsidR="002D4279" w:rsidRPr="00D14AAF">
        <w:rPr>
          <w:color w:val="0000FF"/>
        </w:rPr>
        <w:fldChar w:fldCharType="begin"/>
      </w:r>
      <w:r w:rsidR="002D4279" w:rsidRPr="00D14AAF">
        <w:rPr>
          <w:color w:val="0000FF"/>
        </w:rPr>
        <w:instrText xml:space="preserve"> :Start:CSRD_KP2 </w:instrText>
      </w:r>
      <w:r w:rsidR="002D4279" w:rsidRPr="00D14AAF">
        <w:rPr>
          <w:color w:val="0000FF"/>
        </w:rPr>
        <w:fldChar w:fldCharType="end"/>
      </w:r>
      <w:r w:rsidR="004278BA" w:rsidRPr="00D14AAF">
        <w:t>and $</w:t>
      </w:r>
      <w:r w:rsidR="00683E3C" w:rsidRPr="00D14AAF">
        <w:t>7</w:t>
      </w:r>
      <w:r w:rsidR="006C3AC9" w:rsidRPr="00D14AAF">
        <w:t>42</w:t>
      </w:r>
      <w:r w:rsidR="004278BA" w:rsidRPr="00D14AAF">
        <w:t xml:space="preserve"> million in other general revenue assistance. This is a </w:t>
      </w:r>
      <w:r w:rsidR="0031780C" w:rsidRPr="00D14AAF">
        <w:t>4.3</w:t>
      </w:r>
      <w:r w:rsidR="004278BA" w:rsidRPr="00D14AAF">
        <w:t> per cent increase</w:t>
      </w:r>
      <w:r w:rsidR="00683E3C" w:rsidRPr="00D14AAF">
        <w:t xml:space="preserve"> </w:t>
      </w:r>
      <w:r w:rsidR="004278BA" w:rsidRPr="00D14AAF">
        <w:t>in general revenue assistance on the $</w:t>
      </w:r>
      <w:r w:rsidR="006522AE" w:rsidRPr="00D14AAF">
        <w:t>60.6</w:t>
      </w:r>
      <w:r w:rsidR="004278BA" w:rsidRPr="00D14AAF">
        <w:t xml:space="preserve"> billion the States received in 201</w:t>
      </w:r>
      <w:r w:rsidR="006522AE" w:rsidRPr="00D14AAF">
        <w:t>6</w:t>
      </w:r>
      <w:r w:rsidR="004278BA" w:rsidRPr="00D14AAF">
        <w:noBreakHyphen/>
        <w:t>1</w:t>
      </w:r>
      <w:r w:rsidR="006522AE" w:rsidRPr="00D14AAF">
        <w:t>7</w:t>
      </w:r>
      <w:r w:rsidR="004278BA" w:rsidRPr="00D14AAF">
        <w:t xml:space="preserve">. General revenue assistance to the States is estimated to represent </w:t>
      </w:r>
      <w:r w:rsidR="00C74E87" w:rsidRPr="00D14AAF">
        <w:t>13.5</w:t>
      </w:r>
      <w:r w:rsidR="004278BA" w:rsidRPr="00D14AAF">
        <w:t> per cent of total Commonwealth expenditure in 201</w:t>
      </w:r>
      <w:r w:rsidR="006522AE" w:rsidRPr="00D14AAF">
        <w:t>7</w:t>
      </w:r>
      <w:r w:rsidR="004278BA" w:rsidRPr="00D14AAF">
        <w:noBreakHyphen/>
        <w:t>1</w:t>
      </w:r>
      <w:r w:rsidR="006522AE" w:rsidRPr="00D14AAF">
        <w:t>8</w:t>
      </w:r>
      <w:r w:rsidR="004278BA" w:rsidRPr="00D14AAF">
        <w:t>.</w:t>
      </w:r>
    </w:p>
    <w:p w:rsidR="004278BA" w:rsidRPr="00D14AAF" w:rsidRDefault="004278BA" w:rsidP="00453098">
      <w:r w:rsidRPr="00D14AAF">
        <w:t>Table 3.</w:t>
      </w:r>
      <w:r w:rsidR="00CE3F15" w:rsidRPr="00D14AAF">
        <w:t>3</w:t>
      </w:r>
      <w:r w:rsidR="00030AF0" w:rsidRPr="00D14AAF">
        <w:t>0</w:t>
      </w:r>
      <w:r w:rsidRPr="00D14AAF">
        <w:t xml:space="preserve"> summarises GST and other general revenue assistance paym</w:t>
      </w:r>
      <w:r w:rsidRPr="00D14AAF">
        <w:rPr>
          <w:rFonts w:cs="Book Antiqua"/>
        </w:rPr>
        <w:t xml:space="preserve">ents to the States. </w:t>
      </w:r>
      <w:r w:rsidRPr="00D14AAF">
        <w:t>Detailed tables of GST and other general revenue assistance</w:t>
      </w:r>
      <w:r w:rsidR="001C2694" w:rsidRPr="00D14AAF">
        <w:t xml:space="preserve"> </w:t>
      </w:r>
      <w:r w:rsidRPr="00D14AAF">
        <w:t>are provided in Annex A (available online).</w:t>
      </w:r>
    </w:p>
    <w:p w:rsidR="004278BA" w:rsidRPr="00D14AAF" w:rsidRDefault="002D4279" w:rsidP="00373CB9">
      <w:pPr>
        <w:pStyle w:val="TableHeading"/>
      </w:pPr>
      <w:r w:rsidRPr="00D14AAF">
        <w:rPr>
          <w:color w:val="FF0000"/>
        </w:rPr>
        <w:fldChar w:fldCharType="begin"/>
      </w:r>
      <w:r w:rsidRPr="00D14AAF">
        <w:rPr>
          <w:color w:val="FF0000"/>
        </w:rPr>
        <w:instrText xml:space="preserve"> :End:CSRD_KP2 </w:instrText>
      </w:r>
      <w:r w:rsidRPr="00D14AAF">
        <w:rPr>
          <w:color w:val="FF0000"/>
        </w:rPr>
        <w:fldChar w:fldCharType="end"/>
      </w:r>
      <w:r w:rsidRPr="00D14AAF">
        <w:rPr>
          <w:color w:val="0000FF"/>
        </w:rPr>
        <w:fldChar w:fldCharType="begin"/>
      </w:r>
      <w:r w:rsidRPr="00D14AAF">
        <w:rPr>
          <w:color w:val="0000FF"/>
        </w:rPr>
        <w:instrText xml:space="preserve"> :Start:CSRD_KP2 </w:instrText>
      </w:r>
      <w:r w:rsidRPr="00D14AAF">
        <w:rPr>
          <w:color w:val="0000FF"/>
        </w:rPr>
        <w:fldChar w:fldCharType="end"/>
      </w:r>
      <w:r w:rsidR="004278BA" w:rsidRPr="00D14AAF">
        <w:t>Table 3.</w:t>
      </w:r>
      <w:r w:rsidR="00095159" w:rsidRPr="00D14AAF">
        <w:t>3</w:t>
      </w:r>
      <w:r w:rsidR="00030AF0" w:rsidRPr="00D14AAF">
        <w:t>0</w:t>
      </w:r>
      <w:r w:rsidR="004278BA" w:rsidRPr="00D14AAF">
        <w:t>: General revenue assistance</w:t>
      </w:r>
      <w:r w:rsidRPr="00D14AAF">
        <w:rPr>
          <w:color w:val="FF0000"/>
        </w:rPr>
        <w:fldChar w:fldCharType="begin"/>
      </w:r>
      <w:r w:rsidRPr="00D14AAF">
        <w:rPr>
          <w:color w:val="FF0000"/>
        </w:rPr>
        <w:instrText xml:space="preserve"> :End:CSRD_KP2 </w:instrText>
      </w:r>
      <w:r w:rsidRPr="00D14AAF">
        <w:rPr>
          <w:color w:val="FF0000"/>
        </w:rPr>
        <w:fldChar w:fldCharType="end"/>
      </w:r>
      <w:r w:rsidR="004278BA" w:rsidRPr="00D14AAF">
        <w:t xml:space="preserve">, </w:t>
      </w:r>
      <w:r w:rsidR="00040857" w:rsidRPr="00D14AAF">
        <w:rPr>
          <w:color w:val="0000FF"/>
        </w:rPr>
        <w:fldChar w:fldCharType="begin"/>
      </w:r>
      <w:r w:rsidR="00040857" w:rsidRPr="00D14AAF">
        <w:rPr>
          <w:color w:val="0000FF"/>
        </w:rPr>
        <w:instrText xml:space="preserve"> :Start:TAD_MB1 </w:instrText>
      </w:r>
      <w:r w:rsidR="00040857" w:rsidRPr="00D14AAF">
        <w:rPr>
          <w:color w:val="0000FF"/>
        </w:rPr>
        <w:fldChar w:fldCharType="end"/>
      </w:r>
      <w:r w:rsidR="004278BA" w:rsidRPr="00D14AAF">
        <w:t>201</w:t>
      </w:r>
      <w:r w:rsidR="005C2E35" w:rsidRPr="00D14AAF">
        <w:t>7</w:t>
      </w:r>
      <w:r w:rsidR="004278BA" w:rsidRPr="00D14AAF">
        <w:noBreakHyphen/>
        <w:t>1</w:t>
      </w:r>
      <w:r w:rsidR="005C2E35" w:rsidRPr="00D14AAF">
        <w:t>8</w:t>
      </w:r>
      <w:r w:rsidR="004278BA" w:rsidRPr="00D14AAF">
        <w:t xml:space="preserve"> to 20</w:t>
      </w:r>
      <w:r w:rsidR="005C2E35" w:rsidRPr="00D14AAF">
        <w:t>20</w:t>
      </w:r>
      <w:r w:rsidR="004278BA" w:rsidRPr="00D14AAF">
        <w:noBreakHyphen/>
        <w:t>2</w:t>
      </w:r>
      <w:r w:rsidR="005C2E35" w:rsidRPr="00D14AAF">
        <w:t>1</w:t>
      </w:r>
      <w:r w:rsidR="00040857" w:rsidRPr="00D14AAF">
        <w:rPr>
          <w:color w:val="FF0000"/>
        </w:rPr>
        <w:fldChar w:fldCharType="begin"/>
      </w:r>
      <w:r w:rsidR="00040857" w:rsidRPr="00D14AAF">
        <w:rPr>
          <w:color w:val="FF0000"/>
        </w:rPr>
        <w:instrText xml:space="preserve"> :End:TAD_MB1 </w:instrText>
      </w:r>
      <w:r w:rsidR="00040857" w:rsidRPr="00D14AAF">
        <w:rPr>
          <w:color w:val="FF0000"/>
        </w:rPr>
        <w:fldChar w:fldCharType="end"/>
      </w:r>
    </w:p>
    <w:p w:rsidR="004278BA" w:rsidRPr="00D14AAF" w:rsidRDefault="00DA45C4" w:rsidP="00032287">
      <w:pPr>
        <w:pStyle w:val="TableGraphic"/>
        <w:rPr>
          <w:lang w:val="en-US"/>
        </w:rPr>
      </w:pPr>
      <w:r w:rsidRPr="00D14AAF">
        <w:object w:dxaOrig="7715" w:dyaOrig="1988">
          <v:shape id="_x0000_i1031" type="#_x0000_t75" style="width:385.65pt;height:99.55pt" o:ole="">
            <v:imagedata r:id="rId22" o:title=""/>
          </v:shape>
          <o:OLEObject Type="Link" ProgID="Excel.Sheet.8" ShapeID="_x0000_i1031" DrawAspect="Content" r:id="rId23" UpdateMode="Always">
            <o:LinkType>EnhancedMetaFile</o:LinkType>
            <o:LockedField>false</o:LockedField>
          </o:OLEObject>
        </w:object>
      </w:r>
    </w:p>
    <w:p w:rsidR="004278BA" w:rsidRPr="00D14AAF" w:rsidRDefault="004278BA" w:rsidP="005A311B">
      <w:pPr>
        <w:pStyle w:val="SingleParagraph"/>
      </w:pPr>
    </w:p>
    <w:p w:rsidR="004278BA" w:rsidRPr="00D14AAF" w:rsidRDefault="00852E3B" w:rsidP="004278BA">
      <w:pPr>
        <w:pStyle w:val="Heading4"/>
      </w:pPr>
      <w:r w:rsidRPr="00D14AAF">
        <w:rPr>
          <w:color w:val="0000FF"/>
        </w:rPr>
        <w:fldChar w:fldCharType="begin"/>
      </w:r>
      <w:r w:rsidRPr="00D14AAF">
        <w:rPr>
          <w:color w:val="0000FF"/>
        </w:rPr>
        <w:instrText xml:space="preserve"> :Start:TAD_MB1 </w:instrText>
      </w:r>
      <w:r w:rsidRPr="00D14AAF">
        <w:rPr>
          <w:color w:val="0000FF"/>
        </w:rPr>
        <w:fldChar w:fldCharType="end"/>
      </w:r>
      <w:r w:rsidR="004278BA" w:rsidRPr="00D14AAF">
        <w:t>GST payments</w:t>
      </w:r>
    </w:p>
    <w:p w:rsidR="004278BA" w:rsidRPr="00D14AAF" w:rsidRDefault="004278BA" w:rsidP="00453098">
      <w:r w:rsidRPr="00D14AAF">
        <w:t>Under the Intergovernmental Agreement, the States are entitled to receive payments from the Commonwealth equivalent to the revenue raised from the GST in any given financial year, after some minor adjustments, as discussed below.</w:t>
      </w:r>
      <w:r w:rsidR="003A4860" w:rsidRPr="00D14AAF">
        <w:rPr>
          <w:color w:val="FF0000"/>
        </w:rPr>
        <w:fldChar w:fldCharType="begin"/>
      </w:r>
      <w:r w:rsidR="003A4860" w:rsidRPr="00D14AAF">
        <w:rPr>
          <w:color w:val="FF0000"/>
        </w:rPr>
        <w:instrText xml:space="preserve"> :End:TAD_MB1 </w:instrText>
      </w:r>
      <w:r w:rsidR="003A4860" w:rsidRPr="00D14AAF">
        <w:rPr>
          <w:color w:val="FF0000"/>
        </w:rPr>
        <w:fldChar w:fldCharType="end"/>
      </w:r>
    </w:p>
    <w:p w:rsidR="004278BA" w:rsidRPr="00D14AAF" w:rsidRDefault="00195F3B" w:rsidP="00453098">
      <w:r w:rsidRPr="00D14AAF">
        <w:rPr>
          <w:color w:val="0000FF"/>
        </w:rPr>
        <w:fldChar w:fldCharType="begin"/>
      </w:r>
      <w:r w:rsidRPr="00D14AAF">
        <w:rPr>
          <w:color w:val="0000FF"/>
        </w:rPr>
        <w:instrText xml:space="preserve"> :Start:CSRD_KP1 </w:instrText>
      </w:r>
      <w:r w:rsidRPr="00D14AAF">
        <w:rPr>
          <w:color w:val="0000FF"/>
        </w:rPr>
        <w:fldChar w:fldCharType="end"/>
      </w:r>
      <w:r w:rsidR="004278BA" w:rsidRPr="00D14AAF">
        <w:t>The Commonwealth makes monthly payments (advances) to the States throughout the year based on GST estimates for that year. Estimates of the GST are used, as the actual amount of GST revenue for the financial year is unknown until after the end of the financial year. Once the amount of GST revenue is known, the Treasurer makes a determination of the GST entitlement for that year. A balancing adjustment payment is then made to each State to ensure the States receive the GST to which they are entitled. These balancing adjustments (referred to as the 'prior year balancing adjustment') are made in the following financial year.</w:t>
      </w:r>
      <w:r w:rsidRPr="00D14AAF">
        <w:rPr>
          <w:color w:val="FF0000"/>
        </w:rPr>
        <w:fldChar w:fldCharType="begin"/>
      </w:r>
      <w:r w:rsidRPr="00D14AAF">
        <w:rPr>
          <w:color w:val="FF0000"/>
        </w:rPr>
        <w:instrText xml:space="preserve"> :End:CSRD_KP1 </w:instrText>
      </w:r>
      <w:r w:rsidRPr="00D14AAF">
        <w:rPr>
          <w:color w:val="FF0000"/>
        </w:rPr>
        <w:fldChar w:fldCharType="end"/>
      </w:r>
    </w:p>
    <w:p w:rsidR="004278BA" w:rsidRPr="00D14AAF" w:rsidRDefault="00D70753" w:rsidP="00453098">
      <w:r w:rsidRPr="00D14AAF">
        <w:rPr>
          <w:color w:val="0000FF"/>
        </w:rPr>
        <w:fldChar w:fldCharType="begin"/>
      </w:r>
      <w:r w:rsidRPr="00D14AAF">
        <w:rPr>
          <w:color w:val="0000FF"/>
        </w:rPr>
        <w:instrText xml:space="preserve"> :Start:</w:instrText>
      </w:r>
      <w:r w:rsidR="00391628" w:rsidRPr="00D14AAF">
        <w:rPr>
          <w:color w:val="0000FF"/>
        </w:rPr>
        <w:instrText>IITD_MP1</w:instrText>
      </w:r>
      <w:r w:rsidRPr="00D14AAF">
        <w:rPr>
          <w:color w:val="0000FF"/>
        </w:rPr>
        <w:instrText xml:space="preserve"> </w:instrText>
      </w:r>
      <w:r w:rsidRPr="00D14AAF">
        <w:rPr>
          <w:color w:val="0000FF"/>
        </w:rPr>
        <w:fldChar w:fldCharType="end"/>
      </w:r>
      <w:r w:rsidR="004278BA" w:rsidRPr="00D14AAF">
        <w:t>States compensate the Commonwealth for the agreed costs incurred by the Australian Taxation Office (ATO) in administering the GST.</w:t>
      </w:r>
      <w:r w:rsidRPr="00D14AAF">
        <w:rPr>
          <w:color w:val="FF0000"/>
        </w:rPr>
        <w:fldChar w:fldCharType="begin"/>
      </w:r>
      <w:r w:rsidRPr="00D14AAF">
        <w:rPr>
          <w:color w:val="FF0000"/>
        </w:rPr>
        <w:instrText xml:space="preserve"> :End:</w:instrText>
      </w:r>
      <w:r w:rsidR="00391628" w:rsidRPr="00D14AAF">
        <w:rPr>
          <w:color w:val="FF0000"/>
        </w:rPr>
        <w:instrText>IITD_MP1</w:instrText>
      </w:r>
      <w:r w:rsidRPr="00D14AAF">
        <w:rPr>
          <w:color w:val="FF0000"/>
        </w:rPr>
        <w:instrText xml:space="preserve"> </w:instrText>
      </w:r>
      <w:r w:rsidRPr="00D14AAF">
        <w:rPr>
          <w:color w:val="FF0000"/>
        </w:rPr>
        <w:fldChar w:fldCharType="end"/>
      </w:r>
      <w:r w:rsidR="004278BA" w:rsidRPr="00D14AAF">
        <w:t xml:space="preserve"> </w:t>
      </w:r>
      <w:r w:rsidR="00195F3B" w:rsidRPr="00D14AAF">
        <w:rPr>
          <w:color w:val="0000FF"/>
        </w:rPr>
        <w:fldChar w:fldCharType="begin"/>
      </w:r>
      <w:r w:rsidR="00195F3B" w:rsidRPr="00D14AAF">
        <w:rPr>
          <w:color w:val="0000FF"/>
        </w:rPr>
        <w:instrText xml:space="preserve"> :Start:CSRD_KP1 </w:instrText>
      </w:r>
      <w:r w:rsidR="00195F3B" w:rsidRPr="00D14AAF">
        <w:rPr>
          <w:color w:val="0000FF"/>
        </w:rPr>
        <w:fldChar w:fldCharType="end"/>
      </w:r>
      <w:r w:rsidR="004278BA" w:rsidRPr="00D14AAF">
        <w:t>In practice, this is achieved by the Commonwealth reducing the monthly GST payments to the States by the GST administration costs.</w:t>
      </w:r>
      <w:r w:rsidR="00195F3B" w:rsidRPr="00D14AAF">
        <w:rPr>
          <w:color w:val="FF0000"/>
        </w:rPr>
        <w:fldChar w:fldCharType="begin"/>
      </w:r>
      <w:r w:rsidR="00195F3B" w:rsidRPr="00D14AAF">
        <w:rPr>
          <w:color w:val="FF0000"/>
        </w:rPr>
        <w:instrText xml:space="preserve"> :End:CSRD_KP1 </w:instrText>
      </w:r>
      <w:r w:rsidR="00195F3B" w:rsidRPr="00D14AAF">
        <w:rPr>
          <w:color w:val="FF0000"/>
        </w:rPr>
        <w:fldChar w:fldCharType="end"/>
      </w:r>
    </w:p>
    <w:p w:rsidR="004278BA" w:rsidRPr="00D14AAF" w:rsidRDefault="00852E3B" w:rsidP="004278BA">
      <w:pPr>
        <w:pStyle w:val="Heading5"/>
      </w:pPr>
      <w:r w:rsidRPr="00D14AAF">
        <w:rPr>
          <w:color w:val="0000FF"/>
        </w:rPr>
        <w:lastRenderedPageBreak/>
        <w:fldChar w:fldCharType="begin"/>
      </w:r>
      <w:r w:rsidRPr="00D14AAF">
        <w:rPr>
          <w:color w:val="0000FF"/>
        </w:rPr>
        <w:instrText xml:space="preserve"> :Start:TAD_MB1 </w:instrText>
      </w:r>
      <w:r w:rsidRPr="00D14AAF">
        <w:rPr>
          <w:color w:val="0000FF"/>
        </w:rPr>
        <w:fldChar w:fldCharType="end"/>
      </w:r>
      <w:r w:rsidR="004278BA" w:rsidRPr="00D14AAF">
        <w:t>Calculating the GST payments</w:t>
      </w:r>
    </w:p>
    <w:p w:rsidR="004278BA" w:rsidRPr="00D14AAF" w:rsidRDefault="004278BA" w:rsidP="00453098">
      <w:r w:rsidRPr="00D14AAF">
        <w:t>Some additional adjustments are made to GST revenue in order to calculate the amount of GST paid t</w:t>
      </w:r>
      <w:r w:rsidR="00BB305D" w:rsidRPr="00D14AAF">
        <w:t>o the States in any given year.</w:t>
      </w:r>
    </w:p>
    <w:p w:rsidR="004278BA" w:rsidRPr="00D14AAF" w:rsidRDefault="004278BA" w:rsidP="004278BA">
      <w:pPr>
        <w:pStyle w:val="Bullet"/>
        <w:numPr>
          <w:ilvl w:val="0"/>
          <w:numId w:val="9"/>
        </w:numPr>
        <w:ind w:left="284" w:hanging="284"/>
      </w:pPr>
      <w:r w:rsidRPr="00D14AAF">
        <w:t>Some GST revenue accrued during a financial year is not remitted to the ATO by 30 June of that year because it is not due to be paid until Business Activity Statements (BAS) are lodge</w:t>
      </w:r>
      <w:r w:rsidR="00BB305D" w:rsidRPr="00D14AAF">
        <w:t>d the following financial year.</w:t>
      </w:r>
    </w:p>
    <w:p w:rsidR="004278BA" w:rsidRPr="00D14AAF" w:rsidRDefault="004278BA" w:rsidP="004278BA">
      <w:pPr>
        <w:pStyle w:val="Bullet"/>
        <w:numPr>
          <w:ilvl w:val="0"/>
          <w:numId w:val="9"/>
        </w:numPr>
        <w:ind w:left="284" w:hanging="284"/>
      </w:pPr>
      <w:r w:rsidRPr="00D14AAF">
        <w:t xml:space="preserve">Penalties owed to the ATO, other than general interest charge (GIC) penalties, are not included in the GST to be paid to the States, as defined in the </w:t>
      </w:r>
      <w:r w:rsidRPr="00D14AAF">
        <w:rPr>
          <w:i/>
        </w:rPr>
        <w:t>Federal Financial Relations Act 2009</w:t>
      </w:r>
      <w:r w:rsidR="00BB305D" w:rsidRPr="00D14AAF">
        <w:t>.</w:t>
      </w:r>
    </w:p>
    <w:p w:rsidR="004278BA" w:rsidRPr="00D14AAF" w:rsidRDefault="004278BA" w:rsidP="004278BA">
      <w:pPr>
        <w:pStyle w:val="Bullet"/>
        <w:numPr>
          <w:ilvl w:val="0"/>
          <w:numId w:val="9"/>
        </w:numPr>
        <w:ind w:left="284" w:hanging="284"/>
      </w:pPr>
      <w:r w:rsidRPr="00D14AAF">
        <w:t>Some GST collected by Commonwealth agencies is not remitted to the ATO by 30 June in each financial year, because it is not due to be paid until the next BAS is lodged.</w:t>
      </w:r>
      <w:r w:rsidR="00D70753" w:rsidRPr="00D14AAF">
        <w:rPr>
          <w:color w:val="FF0000"/>
        </w:rPr>
        <w:fldChar w:fldCharType="begin"/>
      </w:r>
      <w:r w:rsidR="00D70753" w:rsidRPr="00D14AAF">
        <w:rPr>
          <w:color w:val="FF0000"/>
        </w:rPr>
        <w:instrText xml:space="preserve"> :End:TAD_MB1 </w:instrText>
      </w:r>
      <w:r w:rsidR="00D70753" w:rsidRPr="00D14AAF">
        <w:rPr>
          <w:color w:val="FF0000"/>
        </w:rPr>
        <w:fldChar w:fldCharType="end"/>
      </w:r>
    </w:p>
    <w:p w:rsidR="004278BA" w:rsidRPr="00D14AAF" w:rsidRDefault="00195F3B" w:rsidP="004278BA">
      <w:pPr>
        <w:spacing w:line="240" w:lineRule="exact"/>
      </w:pPr>
      <w:r w:rsidRPr="00D14AAF">
        <w:rPr>
          <w:color w:val="0000FF"/>
        </w:rPr>
        <w:fldChar w:fldCharType="begin"/>
      </w:r>
      <w:r w:rsidRPr="00D14AAF">
        <w:rPr>
          <w:color w:val="0000FF"/>
        </w:rPr>
        <w:instrText xml:space="preserve"> :Start:CSRD_KP1 </w:instrText>
      </w:r>
      <w:r w:rsidRPr="00D14AAF">
        <w:rPr>
          <w:color w:val="0000FF"/>
        </w:rPr>
        <w:fldChar w:fldCharType="end"/>
      </w:r>
      <w:r w:rsidR="004278BA" w:rsidRPr="00D14AAF">
        <w:t>In 201</w:t>
      </w:r>
      <w:r w:rsidR="005C2E35" w:rsidRPr="00D14AAF">
        <w:t>6</w:t>
      </w:r>
      <w:r w:rsidR="004278BA" w:rsidRPr="00D14AAF">
        <w:noBreakHyphen/>
        <w:t>1</w:t>
      </w:r>
      <w:r w:rsidR="005C2E35" w:rsidRPr="00D14AAF">
        <w:t>7</w:t>
      </w:r>
      <w:r w:rsidR="004278BA" w:rsidRPr="00D14AAF">
        <w:t>, the States</w:t>
      </w:r>
      <w:r w:rsidR="004278BA" w:rsidRPr="00D14AAF">
        <w:rPr>
          <w:rFonts w:cs="Book Antiqua"/>
        </w:rPr>
        <w:t>’</w:t>
      </w:r>
      <w:r w:rsidR="004278BA" w:rsidRPr="00D14AAF">
        <w:t xml:space="preserve"> GST entitlement was $</w:t>
      </w:r>
      <w:r w:rsidR="005C2E35" w:rsidRPr="00D14AAF">
        <w:t>605.5</w:t>
      </w:r>
      <w:r w:rsidR="004278BA" w:rsidRPr="00D14AAF">
        <w:t xml:space="preserve"> million </w:t>
      </w:r>
      <w:r w:rsidR="005C2E35" w:rsidRPr="00D14AAF">
        <w:t xml:space="preserve">higher </w:t>
      </w:r>
      <w:r w:rsidR="004278BA" w:rsidRPr="00D14AAF">
        <w:t>than the advances paid during that year. A balancing adjustment was made to States’ GST payments in 201</w:t>
      </w:r>
      <w:r w:rsidR="005C2E35" w:rsidRPr="00D14AAF">
        <w:t>7</w:t>
      </w:r>
      <w:r w:rsidR="004278BA" w:rsidRPr="00D14AAF">
        <w:noBreakHyphen/>
        <w:t>1</w:t>
      </w:r>
      <w:r w:rsidR="005C2E35" w:rsidRPr="00D14AAF">
        <w:t>8</w:t>
      </w:r>
      <w:r w:rsidR="004278BA" w:rsidRPr="00D14AAF">
        <w:t xml:space="preserve"> to account for this.</w:t>
      </w:r>
      <w:r w:rsidRPr="00D14AAF">
        <w:rPr>
          <w:color w:val="FF0000"/>
        </w:rPr>
        <w:fldChar w:fldCharType="begin"/>
      </w:r>
      <w:r w:rsidRPr="00D14AAF">
        <w:rPr>
          <w:color w:val="FF0000"/>
        </w:rPr>
        <w:instrText xml:space="preserve"> :End:CSRD_KP1 </w:instrText>
      </w:r>
      <w:r w:rsidRPr="00D14AAF">
        <w:rPr>
          <w:color w:val="FF0000"/>
        </w:rPr>
        <w:fldChar w:fldCharType="end"/>
      </w:r>
    </w:p>
    <w:p w:rsidR="004278BA" w:rsidRPr="00D14AAF" w:rsidRDefault="00BD749D" w:rsidP="004278BA">
      <w:pPr>
        <w:spacing w:line="240" w:lineRule="exact"/>
      </w:pPr>
      <w:r w:rsidRPr="00D14AAF">
        <w:rPr>
          <w:color w:val="0000FF"/>
        </w:rPr>
        <w:fldChar w:fldCharType="begin"/>
      </w:r>
      <w:r w:rsidRPr="00D14AAF">
        <w:rPr>
          <w:color w:val="0000FF"/>
        </w:rPr>
        <w:instrText xml:space="preserve"> :Start:TAD_MB1 </w:instrText>
      </w:r>
      <w:r w:rsidRPr="00D14AAF">
        <w:rPr>
          <w:color w:val="0000FF"/>
        </w:rPr>
        <w:fldChar w:fldCharType="end"/>
      </w:r>
      <w:r w:rsidR="004278BA" w:rsidRPr="00D14AAF">
        <w:t>A reconciliation of GST revenue and the States’ GST enti</w:t>
      </w:r>
      <w:r w:rsidR="00CE3F15" w:rsidRPr="00D14AAF">
        <w:t>tlement is provided in Table 3.3</w:t>
      </w:r>
      <w:r w:rsidR="00030AF0" w:rsidRPr="00D14AAF">
        <w:t>1</w:t>
      </w:r>
      <w:r w:rsidR="004278BA" w:rsidRPr="00D14AAF">
        <w:t>.</w:t>
      </w:r>
    </w:p>
    <w:p w:rsidR="004278BA" w:rsidRPr="00D14AAF" w:rsidRDefault="004278BA" w:rsidP="00373CB9">
      <w:pPr>
        <w:pStyle w:val="TableHeading"/>
      </w:pPr>
      <w:r w:rsidRPr="00D14AAF">
        <w:t>Table 3.</w:t>
      </w:r>
      <w:r w:rsidR="00095159" w:rsidRPr="00D14AAF">
        <w:t>3</w:t>
      </w:r>
      <w:r w:rsidR="00030AF0" w:rsidRPr="00D14AAF">
        <w:t>1</w:t>
      </w:r>
      <w:r w:rsidRPr="00D14AAF">
        <w:t>: Reconciling GST revenue and the States’ GST entitlement</w:t>
      </w:r>
      <w:r w:rsidR="00BD749D" w:rsidRPr="00D14AAF">
        <w:rPr>
          <w:color w:val="FF0000"/>
        </w:rPr>
        <w:fldChar w:fldCharType="begin"/>
      </w:r>
      <w:r w:rsidR="00BD749D" w:rsidRPr="00D14AAF">
        <w:rPr>
          <w:color w:val="FF0000"/>
        </w:rPr>
        <w:instrText xml:space="preserve"> :End:TAD_MB1 </w:instrText>
      </w:r>
      <w:r w:rsidR="00BD749D" w:rsidRPr="00D14AAF">
        <w:rPr>
          <w:color w:val="FF0000"/>
        </w:rPr>
        <w:fldChar w:fldCharType="end"/>
      </w:r>
    </w:p>
    <w:p w:rsidR="004278BA" w:rsidRPr="00E06E2A" w:rsidRDefault="00DB1C86" w:rsidP="00DB1C86">
      <w:pPr>
        <w:pStyle w:val="TableGraphic"/>
      </w:pPr>
      <w:r>
        <w:object w:dxaOrig="7734" w:dyaOrig="1769">
          <v:shape id="_x0000_i1032" type="#_x0000_t75" style="width:386.9pt;height:88.3pt" o:ole="">
            <v:imagedata r:id="rId24" o:title=""/>
          </v:shape>
          <o:OLEObject Type="Link" ProgID="Excel.Sheet.8" ShapeID="_x0000_i1032" DrawAspect="Content" r:id="rId25" UpdateMode="Always">
            <o:LinkType>EnhancedMetaFile</o:LinkType>
            <o:LockedField/>
          </o:OLEObject>
        </w:object>
      </w:r>
    </w:p>
    <w:p w:rsidR="004278BA" w:rsidRPr="00D14AAF" w:rsidRDefault="00BD749D" w:rsidP="00E06E2A">
      <w:pPr>
        <w:spacing w:before="240"/>
      </w:pPr>
      <w:r w:rsidRPr="00D14AAF">
        <w:rPr>
          <w:color w:val="0000FF"/>
        </w:rPr>
        <w:fldChar w:fldCharType="begin"/>
      </w:r>
      <w:r w:rsidRPr="00D14AAF">
        <w:rPr>
          <w:color w:val="0000FF"/>
        </w:rPr>
        <w:instrText xml:space="preserve"> :Start:TAD_MB1 </w:instrText>
      </w:r>
      <w:r w:rsidRPr="00D14AAF">
        <w:rPr>
          <w:color w:val="0000FF"/>
        </w:rPr>
        <w:fldChar w:fldCharType="end"/>
      </w:r>
      <w:r w:rsidR="004278BA" w:rsidRPr="00D14AAF">
        <w:t>Table 3.</w:t>
      </w:r>
      <w:r w:rsidR="00CE3F15" w:rsidRPr="00D14AAF">
        <w:t>3</w:t>
      </w:r>
      <w:r w:rsidR="00030AF0" w:rsidRPr="00D14AAF">
        <w:t>2</w:t>
      </w:r>
      <w:r w:rsidR="004278BA" w:rsidRPr="00D14AAF">
        <w:t xml:space="preserve"> provides a reconciliation of estimates of the States’ GST entitlement since the</w:t>
      </w:r>
      <w:r w:rsidR="003F3E7F" w:rsidRPr="00D14AAF">
        <w:t xml:space="preserve"> </w:t>
      </w:r>
      <w:r w:rsidR="005C2E35" w:rsidRPr="00D14AAF">
        <w:t>2017-18 Budget</w:t>
      </w:r>
      <w:r w:rsidR="004278BA" w:rsidRPr="00D14AAF">
        <w:t xml:space="preserve">. The reconciliation accounts for policy decisions and </w:t>
      </w:r>
      <w:r w:rsidR="00E06E2A">
        <w:t>parameter and other variations.</w:t>
      </w:r>
    </w:p>
    <w:p w:rsidR="004278BA" w:rsidRPr="00D14AAF" w:rsidRDefault="00B946A4" w:rsidP="00373CB9">
      <w:pPr>
        <w:pStyle w:val="TableHeading"/>
      </w:pPr>
      <w:r w:rsidRPr="00D14AAF">
        <w:t>Table 3.</w:t>
      </w:r>
      <w:r w:rsidR="00095159" w:rsidRPr="00D14AAF">
        <w:t>3</w:t>
      </w:r>
      <w:r w:rsidR="00030AF0" w:rsidRPr="00D14AAF">
        <w:t>2</w:t>
      </w:r>
      <w:r w:rsidR="004278BA" w:rsidRPr="00D14AAF">
        <w:t xml:space="preserve">: Reconciliation of the GST entitlement estimates since the </w:t>
      </w:r>
      <w:r w:rsidR="007A210E" w:rsidRPr="00D14AAF">
        <w:t>2017</w:t>
      </w:r>
      <w:r w:rsidR="007A210E" w:rsidRPr="00D14AAF">
        <w:noBreakHyphen/>
        <w:t>18 </w:t>
      </w:r>
      <w:r w:rsidR="005C2E35" w:rsidRPr="00D14AAF">
        <w:t>Budget</w:t>
      </w:r>
      <w:r w:rsidR="00BD749D" w:rsidRPr="00D14AAF">
        <w:rPr>
          <w:color w:val="FF0000"/>
        </w:rPr>
        <w:fldChar w:fldCharType="begin"/>
      </w:r>
      <w:r w:rsidR="00BD749D" w:rsidRPr="00D14AAF">
        <w:rPr>
          <w:color w:val="FF0000"/>
        </w:rPr>
        <w:instrText xml:space="preserve"> :End:TAD_MB1 </w:instrText>
      </w:r>
      <w:r w:rsidR="00BD749D" w:rsidRPr="00D14AAF">
        <w:rPr>
          <w:color w:val="FF0000"/>
        </w:rPr>
        <w:fldChar w:fldCharType="end"/>
      </w:r>
    </w:p>
    <w:p w:rsidR="004278BA" w:rsidRPr="00D14AAF" w:rsidRDefault="00DA45C4" w:rsidP="003C4393">
      <w:pPr>
        <w:pStyle w:val="TableGraphic"/>
        <w:rPr>
          <w:lang w:val="en-US"/>
        </w:rPr>
      </w:pPr>
      <w:r w:rsidRPr="00D14AAF">
        <w:rPr>
          <w:lang w:val="en-US"/>
        </w:rPr>
        <w:object w:dxaOrig="7698" w:dyaOrig="1769">
          <v:shape id="_x0000_i1033" type="#_x0000_t75" style="width:385.05pt;height:88.3pt" o:ole="">
            <v:imagedata r:id="rId26" o:title=""/>
          </v:shape>
          <o:OLEObject Type="Link" ProgID="Excel.Sheet.8" ShapeID="_x0000_i1033" DrawAspect="Content" r:id="rId27" UpdateMode="Always">
            <o:LinkType>EnhancedMetaFile</o:LinkType>
            <o:LockedField>false</o:LockedField>
          </o:OLEObject>
        </w:object>
      </w:r>
    </w:p>
    <w:p w:rsidR="004278BA" w:rsidRPr="00D14AAF" w:rsidRDefault="004278BA" w:rsidP="004278BA">
      <w:pPr>
        <w:pStyle w:val="SingleParagraph"/>
      </w:pPr>
    </w:p>
    <w:p w:rsidR="004278BA" w:rsidRPr="00D14AAF" w:rsidRDefault="00C270EF" w:rsidP="00453098">
      <w:r w:rsidRPr="00D14AAF">
        <w:rPr>
          <w:color w:val="0000FF"/>
        </w:rPr>
        <w:lastRenderedPageBreak/>
        <w:fldChar w:fldCharType="begin"/>
      </w:r>
      <w:r w:rsidRPr="00D14AAF">
        <w:rPr>
          <w:color w:val="0000FF"/>
        </w:rPr>
        <w:instrText xml:space="preserve"> :Start:TAD_MB3 </w:instrText>
      </w:r>
      <w:r w:rsidRPr="00D14AAF">
        <w:rPr>
          <w:color w:val="0000FF"/>
        </w:rPr>
        <w:fldChar w:fldCharType="end"/>
      </w:r>
      <w:r w:rsidR="004278BA" w:rsidRPr="00D14AAF">
        <w:t xml:space="preserve">Specific policy decisions taken since the </w:t>
      </w:r>
      <w:r w:rsidR="005C2E35" w:rsidRPr="00D14AAF">
        <w:t>2017-18 Budget</w:t>
      </w:r>
      <w:r w:rsidR="005C2E35" w:rsidRPr="00D14AAF" w:rsidDel="005C2E35">
        <w:t xml:space="preserve"> </w:t>
      </w:r>
      <w:r w:rsidR="004278BA" w:rsidRPr="00D14AAF">
        <w:t>that affect the GST entitlement are shown in Table 3.</w:t>
      </w:r>
      <w:r w:rsidR="00CE3F15" w:rsidRPr="00D14AAF">
        <w:t>3</w:t>
      </w:r>
      <w:r w:rsidR="00030AF0" w:rsidRPr="00D14AAF">
        <w:t>3</w:t>
      </w:r>
      <w:r w:rsidR="004278BA" w:rsidRPr="00D14AAF">
        <w:t xml:space="preserve">. </w:t>
      </w:r>
      <w:r w:rsidR="00FB7DEE" w:rsidRPr="00D14AAF">
        <w:t>These decisions decrease the amount of the GST entitlement by $150.0 million over four years</w:t>
      </w:r>
      <w:r w:rsidR="004278BA" w:rsidRPr="00D14AAF">
        <w:t>.</w:t>
      </w:r>
    </w:p>
    <w:p w:rsidR="004278BA" w:rsidRPr="00D14AAF" w:rsidRDefault="004278BA" w:rsidP="00453098">
      <w:r w:rsidRPr="00D14AAF">
        <w:t xml:space="preserve">Detailed information on policy decisions since the </w:t>
      </w:r>
      <w:r w:rsidR="005C2E35" w:rsidRPr="00D14AAF">
        <w:t>2017-18 Budget</w:t>
      </w:r>
      <w:r w:rsidR="005C2E35" w:rsidRPr="00D14AAF" w:rsidDel="005C2E35">
        <w:t xml:space="preserve"> </w:t>
      </w:r>
      <w:r w:rsidRPr="00D14AAF">
        <w:t>is included in Appendix A.</w:t>
      </w:r>
    </w:p>
    <w:p w:rsidR="004278BA" w:rsidRPr="00D14AAF" w:rsidRDefault="004278BA" w:rsidP="00373CB9">
      <w:pPr>
        <w:pStyle w:val="TableHeading"/>
      </w:pPr>
      <w:r w:rsidRPr="00D14AAF">
        <w:t>Table 3.</w:t>
      </w:r>
      <w:r w:rsidR="00095159" w:rsidRPr="00D14AAF">
        <w:t>3</w:t>
      </w:r>
      <w:r w:rsidR="00030AF0" w:rsidRPr="00D14AAF">
        <w:t>3</w:t>
      </w:r>
      <w:r w:rsidRPr="00D14AAF">
        <w:t xml:space="preserve">: Policy decisions </w:t>
      </w:r>
      <w:r w:rsidR="00C270EF" w:rsidRPr="00D14AAF">
        <w:rPr>
          <w:color w:val="FF0000"/>
        </w:rPr>
        <w:fldChar w:fldCharType="begin"/>
      </w:r>
      <w:r w:rsidR="00C270EF" w:rsidRPr="00D14AAF">
        <w:rPr>
          <w:color w:val="FF0000"/>
        </w:rPr>
        <w:instrText xml:space="preserve"> :End:TAD_MB3 </w:instrText>
      </w:r>
      <w:r w:rsidR="00C270EF" w:rsidRPr="00D14AAF">
        <w:rPr>
          <w:color w:val="FF0000"/>
        </w:rPr>
        <w:fldChar w:fldCharType="end"/>
      </w:r>
      <w:r w:rsidR="00C270EF" w:rsidRPr="00D14AAF">
        <w:rPr>
          <w:color w:val="0000FF"/>
        </w:rPr>
        <w:fldChar w:fldCharType="begin"/>
      </w:r>
      <w:r w:rsidR="00C270EF" w:rsidRPr="00D14AAF">
        <w:rPr>
          <w:color w:val="0000FF"/>
        </w:rPr>
        <w:instrText xml:space="preserve"> :Start:TAD_MB2 </w:instrText>
      </w:r>
      <w:r w:rsidR="00C270EF" w:rsidRPr="00D14AAF">
        <w:rPr>
          <w:color w:val="0000FF"/>
        </w:rPr>
        <w:fldChar w:fldCharType="end"/>
      </w:r>
      <w:r w:rsidRPr="00D14AAF">
        <w:t xml:space="preserve">since the </w:t>
      </w:r>
      <w:r w:rsidR="005C2E35" w:rsidRPr="00D14AAF">
        <w:t>2017-18 Budget</w:t>
      </w:r>
      <w:r w:rsidR="005C2E35" w:rsidRPr="00D14AAF" w:rsidDel="005C2E35">
        <w:t xml:space="preserve"> </w:t>
      </w:r>
      <w:r w:rsidRPr="00D14AAF">
        <w:t>that affect the GST entitlement</w:t>
      </w:r>
    </w:p>
    <w:p w:rsidR="004278BA" w:rsidRPr="00D14AAF" w:rsidRDefault="00C270EF" w:rsidP="00FB7DEE">
      <w:pPr>
        <w:pStyle w:val="TableGraphic"/>
      </w:pPr>
      <w:r w:rsidRPr="00D14AAF">
        <w:rPr>
          <w:color w:val="FF0000"/>
        </w:rPr>
        <w:fldChar w:fldCharType="begin"/>
      </w:r>
      <w:r w:rsidRPr="00D14AAF">
        <w:rPr>
          <w:color w:val="FF0000"/>
        </w:rPr>
        <w:instrText xml:space="preserve"> :End:TAD_MB2 </w:instrText>
      </w:r>
      <w:r w:rsidRPr="00D14AAF">
        <w:rPr>
          <w:color w:val="FF0000"/>
        </w:rPr>
        <w:fldChar w:fldCharType="end"/>
      </w:r>
      <w:r w:rsidR="00374083" w:rsidRPr="00D14AAF">
        <w:object w:dxaOrig="7815" w:dyaOrig="2426">
          <v:shape id="_x0000_i1034" type="#_x0000_t75" style="width:383.15pt;height:119.6pt" o:ole="">
            <v:imagedata r:id="rId28" o:title=""/>
          </v:shape>
          <o:OLEObject Type="Link" ProgID="Excel.Sheet.8" ShapeID="_x0000_i1034" DrawAspect="Content" r:id="rId29" UpdateMode="Always">
            <o:LinkType>EnhancedMetaFile</o:LinkType>
            <o:LockedField>false</o:LockedField>
          </o:OLEObject>
        </w:object>
      </w:r>
    </w:p>
    <w:p w:rsidR="00BD749D" w:rsidRPr="00D14AAF" w:rsidRDefault="00BD749D" w:rsidP="005A311B">
      <w:pPr>
        <w:pStyle w:val="SingleParagraph"/>
      </w:pPr>
    </w:p>
    <w:p w:rsidR="004278BA" w:rsidRPr="00D14AAF" w:rsidRDefault="00195F3B" w:rsidP="004278BA">
      <w:pPr>
        <w:pStyle w:val="Heading5"/>
      </w:pPr>
      <w:r w:rsidRPr="00D14AAF">
        <w:rPr>
          <w:color w:val="0000FF"/>
        </w:rPr>
        <w:fldChar w:fldCharType="begin"/>
      </w:r>
      <w:r w:rsidRPr="00D14AAF">
        <w:rPr>
          <w:color w:val="0000FF"/>
        </w:rPr>
        <w:instrText xml:space="preserve"> :Start:CSRD_KP1 </w:instrText>
      </w:r>
      <w:r w:rsidRPr="00D14AAF">
        <w:rPr>
          <w:color w:val="0000FF"/>
        </w:rPr>
        <w:fldChar w:fldCharType="end"/>
      </w:r>
      <w:r w:rsidR="004278BA" w:rsidRPr="00D14AAF">
        <w:t>Distribut</w:t>
      </w:r>
      <w:r w:rsidR="00BB305D" w:rsidRPr="00D14AAF">
        <w:t>ion of the GST among the States</w:t>
      </w:r>
    </w:p>
    <w:p w:rsidR="004278BA" w:rsidRPr="00D14AAF" w:rsidRDefault="004278BA" w:rsidP="004278BA">
      <w:r w:rsidRPr="00D14AAF">
        <w:t xml:space="preserve">The Commonwealth distributes the GST among the States </w:t>
      </w:r>
      <w:r w:rsidR="005C2E35" w:rsidRPr="00D14AAF">
        <w:t>based on</w:t>
      </w:r>
      <w:r w:rsidRPr="00D14AAF">
        <w:t xml:space="preserve"> the GST revenue sharing relativities recommended by the Commonwealth Grants Commission. </w:t>
      </w:r>
    </w:p>
    <w:p w:rsidR="004278BA" w:rsidRPr="00D14AAF" w:rsidRDefault="004278BA" w:rsidP="004278BA">
      <w:r w:rsidRPr="00D14AAF">
        <w:t>Table 3.3</w:t>
      </w:r>
      <w:r w:rsidR="00030AF0" w:rsidRPr="00D14AAF">
        <w:t>4</w:t>
      </w:r>
      <w:r w:rsidRPr="00D14AAF">
        <w:t xml:space="preserve"> shows the detailed calculation for the distribution of the States’ estimated GST entitlement in 201</w:t>
      </w:r>
      <w:r w:rsidR="005C2E35" w:rsidRPr="00D14AAF">
        <w:t>7</w:t>
      </w:r>
      <w:r w:rsidRPr="00D14AAF">
        <w:rPr>
          <w:rFonts w:ascii="MS Mincho" w:eastAsia="MS Mincho" w:hAnsi="MS Mincho" w:cs="MS Mincho"/>
        </w:rPr>
        <w:noBreakHyphen/>
      </w:r>
      <w:r w:rsidRPr="00D14AAF">
        <w:t>1</w:t>
      </w:r>
      <w:r w:rsidR="005C2E35" w:rsidRPr="00D14AAF">
        <w:t>8</w:t>
      </w:r>
      <w:r w:rsidRPr="00D14AAF">
        <w:t>.</w:t>
      </w:r>
      <w:r w:rsidR="005C2E35" w:rsidRPr="00D14AAF">
        <w:t xml:space="preserve"> This method of calculation is prescribed in legislation in the </w:t>
      </w:r>
      <w:r w:rsidR="000C707C" w:rsidRPr="00D14AAF">
        <w:rPr>
          <w:i/>
        </w:rPr>
        <w:t>Federal Financial Relations Act 2009</w:t>
      </w:r>
      <w:r w:rsidR="000C707C" w:rsidRPr="00D14AAF">
        <w:t>.</w:t>
      </w:r>
    </w:p>
    <w:p w:rsidR="004278BA" w:rsidRPr="00D14AAF" w:rsidRDefault="004278BA" w:rsidP="00373CB9">
      <w:pPr>
        <w:pStyle w:val="TableHeading"/>
        <w:rPr>
          <w:rFonts w:ascii="Helvetica" w:hAnsi="Helvetica"/>
          <w:vertAlign w:val="superscript"/>
        </w:rPr>
      </w:pPr>
      <w:r w:rsidRPr="00D14AAF">
        <w:t>Table 3.</w:t>
      </w:r>
      <w:r w:rsidR="00095159" w:rsidRPr="00D14AAF">
        <w:t>3</w:t>
      </w:r>
      <w:r w:rsidR="00030AF0" w:rsidRPr="00D14AAF">
        <w:t>4</w:t>
      </w:r>
      <w:r w:rsidRPr="00D14AAF">
        <w:t xml:space="preserve">: Distribution of the </w:t>
      </w:r>
      <w:r w:rsidR="00195F3B" w:rsidRPr="00D14AAF">
        <w:rPr>
          <w:color w:val="FF0000"/>
        </w:rPr>
        <w:fldChar w:fldCharType="begin"/>
      </w:r>
      <w:r w:rsidR="00195F3B" w:rsidRPr="00D14AAF">
        <w:rPr>
          <w:color w:val="FF0000"/>
        </w:rPr>
        <w:instrText xml:space="preserve"> :End:CSRD_KP1 </w:instrText>
      </w:r>
      <w:r w:rsidR="00195F3B" w:rsidRPr="00D14AAF">
        <w:rPr>
          <w:color w:val="FF0000"/>
        </w:rPr>
        <w:fldChar w:fldCharType="end"/>
      </w:r>
      <w:r w:rsidR="00C65AC5" w:rsidRPr="00D14AAF">
        <w:rPr>
          <w:color w:val="0000FF"/>
        </w:rPr>
        <w:fldChar w:fldCharType="begin"/>
      </w:r>
      <w:r w:rsidR="00C65AC5" w:rsidRPr="00D14AAF">
        <w:rPr>
          <w:color w:val="0000FF"/>
        </w:rPr>
        <w:instrText xml:space="preserve"> :Start:TAD_MB1 </w:instrText>
      </w:r>
      <w:r w:rsidR="00C65AC5" w:rsidRPr="00D14AAF">
        <w:rPr>
          <w:color w:val="0000FF"/>
        </w:rPr>
        <w:fldChar w:fldCharType="end"/>
      </w:r>
      <w:r w:rsidRPr="00D14AAF">
        <w:t>GST entitlement, 201</w:t>
      </w:r>
      <w:r w:rsidR="000C707C" w:rsidRPr="00D14AAF">
        <w:t>7</w:t>
      </w:r>
      <w:r w:rsidRPr="00D14AAF">
        <w:noBreakHyphen/>
        <w:t>1</w:t>
      </w:r>
      <w:r w:rsidR="000C707C" w:rsidRPr="00D14AAF">
        <w:t>8</w:t>
      </w:r>
      <w:r w:rsidRPr="00D14AAF">
        <w:rPr>
          <w:bCs/>
          <w:vertAlign w:val="superscript"/>
        </w:rPr>
        <w:t>(a)</w:t>
      </w:r>
    </w:p>
    <w:p w:rsidR="004278BA" w:rsidRPr="00D14AAF" w:rsidRDefault="00C65AC5" w:rsidP="003C4393">
      <w:pPr>
        <w:pStyle w:val="TableGraphic"/>
      </w:pPr>
      <w:r w:rsidRPr="00D14AAF">
        <w:rPr>
          <w:color w:val="FF0000"/>
        </w:rPr>
        <w:fldChar w:fldCharType="begin"/>
      </w:r>
      <w:r w:rsidRPr="00D14AAF">
        <w:rPr>
          <w:color w:val="FF0000"/>
        </w:rPr>
        <w:instrText xml:space="preserve"> :End:TAD_MB1 </w:instrText>
      </w:r>
      <w:r w:rsidRPr="00D14AAF">
        <w:rPr>
          <w:color w:val="FF0000"/>
        </w:rPr>
        <w:fldChar w:fldCharType="end"/>
      </w:r>
      <w:r w:rsidR="001F2E11" w:rsidRPr="00D14AAF">
        <w:object w:dxaOrig="7767" w:dyaOrig="3082">
          <v:shape id="_x0000_i1035" type="#_x0000_t75" style="width:388.15pt;height:154pt" o:ole="">
            <v:imagedata r:id="rId30" o:title=""/>
          </v:shape>
          <o:OLEObject Type="Link" ProgID="Excel.Sheet.8" ShapeID="_x0000_i1035" DrawAspect="Content" r:id="rId31" UpdateMode="Always">
            <o:LinkType>EnhancedMetaFile</o:LinkType>
            <o:LockedField>false</o:LockedField>
          </o:OLEObject>
        </w:object>
      </w:r>
    </w:p>
    <w:p w:rsidR="004278BA" w:rsidRPr="00D14AAF" w:rsidRDefault="00195F3B" w:rsidP="005A311B">
      <w:pPr>
        <w:pStyle w:val="ChartandTableFootnoteAlpha"/>
        <w:numPr>
          <w:ilvl w:val="0"/>
          <w:numId w:val="15"/>
        </w:numPr>
      </w:pPr>
      <w:r w:rsidRPr="00D14AAF">
        <w:rPr>
          <w:color w:val="0000FF"/>
        </w:rPr>
        <w:fldChar w:fldCharType="begin"/>
      </w:r>
      <w:r w:rsidRPr="00D14AAF">
        <w:rPr>
          <w:color w:val="0000FF"/>
        </w:rPr>
        <w:instrText xml:space="preserve"> :Start:CSRD_KP1 </w:instrText>
      </w:r>
      <w:r w:rsidRPr="00D14AAF">
        <w:rPr>
          <w:color w:val="0000FF"/>
        </w:rPr>
        <w:fldChar w:fldCharType="end"/>
      </w:r>
      <w:r w:rsidR="004278BA" w:rsidRPr="00D14AAF">
        <w:t>Amounts shown are estimates of each State's GST entitlement</w:t>
      </w:r>
      <w:r w:rsidR="00236165" w:rsidRPr="00D14AAF">
        <w:t>,</w:t>
      </w:r>
      <w:r w:rsidR="004278BA" w:rsidRPr="00D14AAF">
        <w:t xml:space="preserve"> based on the estimated total GST pool</w:t>
      </w:r>
      <w:r w:rsidR="00236165" w:rsidRPr="00D14AAF">
        <w:t xml:space="preserve"> and population splits</w:t>
      </w:r>
      <w:r w:rsidR="004278BA" w:rsidRPr="00D14AAF">
        <w:t>. These amounts do not take into account the 201</w:t>
      </w:r>
      <w:r w:rsidR="003C4393" w:rsidRPr="00D14AAF">
        <w:t>6</w:t>
      </w:r>
      <w:r w:rsidR="004278BA" w:rsidRPr="00D14AAF">
        <w:rPr>
          <w:rFonts w:ascii="MS Gothic" w:eastAsia="MS Gothic" w:hAnsi="MS Gothic" w:cs="MS Gothic"/>
        </w:rPr>
        <w:noBreakHyphen/>
      </w:r>
      <w:r w:rsidR="004278BA" w:rsidRPr="00D14AAF">
        <w:t>1</w:t>
      </w:r>
      <w:r w:rsidR="003C4393" w:rsidRPr="00D14AAF">
        <w:t>7</w:t>
      </w:r>
      <w:r w:rsidR="004278BA" w:rsidRPr="00D14AAF">
        <w:t xml:space="preserve"> balancing adjustment of $</w:t>
      </w:r>
      <w:r w:rsidR="003C4393" w:rsidRPr="00D14AAF">
        <w:t>605.5</w:t>
      </w:r>
      <w:r w:rsidR="004278BA" w:rsidRPr="00D14AAF">
        <w:t xml:space="preserve"> million</w:t>
      </w:r>
      <w:r w:rsidR="00236165" w:rsidRPr="00D14AAF">
        <w:t>, which</w:t>
      </w:r>
      <w:r w:rsidR="004278BA" w:rsidRPr="00D14AAF">
        <w:t xml:space="preserve"> was made to States’ GST payments in 201</w:t>
      </w:r>
      <w:r w:rsidR="003C4393" w:rsidRPr="00D14AAF">
        <w:t>7</w:t>
      </w:r>
      <w:r w:rsidR="004278BA" w:rsidRPr="00D14AAF">
        <w:rPr>
          <w:rFonts w:ascii="MS Gothic" w:eastAsia="MS Gothic" w:hAnsi="MS Gothic" w:cs="MS Gothic"/>
        </w:rPr>
        <w:noBreakHyphen/>
      </w:r>
      <w:r w:rsidR="004278BA" w:rsidRPr="00D14AAF">
        <w:t>1</w:t>
      </w:r>
      <w:r w:rsidR="003C4393" w:rsidRPr="00D14AAF">
        <w:t>8</w:t>
      </w:r>
      <w:r w:rsidR="004278BA" w:rsidRPr="00D14AAF">
        <w:t>.</w:t>
      </w:r>
    </w:p>
    <w:p w:rsidR="004278BA" w:rsidRPr="00D14AAF" w:rsidRDefault="004278BA" w:rsidP="00BB305D">
      <w:pPr>
        <w:spacing w:before="240"/>
      </w:pPr>
      <w:r w:rsidRPr="00D14AAF">
        <w:t>The calculation of the GST entitlement for 201</w:t>
      </w:r>
      <w:r w:rsidR="000C707C" w:rsidRPr="00D14AAF">
        <w:t>6</w:t>
      </w:r>
      <w:r w:rsidRPr="00D14AAF">
        <w:t>-1</w:t>
      </w:r>
      <w:r w:rsidR="000C707C" w:rsidRPr="00D14AAF">
        <w:t>7</w:t>
      </w:r>
      <w:r w:rsidRPr="00D14AAF">
        <w:t xml:space="preserve"> is shown in Table 3.3</w:t>
      </w:r>
      <w:r w:rsidR="00030AF0" w:rsidRPr="00D14AAF">
        <w:t>5</w:t>
      </w:r>
      <w:r w:rsidRPr="00D14AAF">
        <w:t xml:space="preserve">. The Treasurer made a Determination giving effect to this entitlement on </w:t>
      </w:r>
      <w:r w:rsidR="000C707C" w:rsidRPr="00D14AAF">
        <w:t>3</w:t>
      </w:r>
      <w:r w:rsidR="006B2484" w:rsidRPr="00D14AAF">
        <w:t>1</w:t>
      </w:r>
      <w:r w:rsidR="000C707C" w:rsidRPr="00D14AAF">
        <w:t xml:space="preserve"> October 2017</w:t>
      </w:r>
      <w:r w:rsidRPr="00D14AAF">
        <w:t xml:space="preserve">. </w:t>
      </w:r>
      <w:r w:rsidRPr="00D14AAF">
        <w:lastRenderedPageBreak/>
        <w:t>The table also includes the distribution of the balancing adjustment</w:t>
      </w:r>
      <w:r w:rsidR="000C707C" w:rsidRPr="00D14AAF">
        <w:t>,</w:t>
      </w:r>
      <w:r w:rsidRPr="00D14AAF">
        <w:t xml:space="preserve"> taking account of differences between advances of GST paid to each State and each State’s final entitlement for 201</w:t>
      </w:r>
      <w:r w:rsidR="000C707C" w:rsidRPr="00D14AAF">
        <w:t>6</w:t>
      </w:r>
      <w:r w:rsidRPr="00D14AAF">
        <w:t>-1</w:t>
      </w:r>
      <w:r w:rsidR="000C707C" w:rsidRPr="00D14AAF">
        <w:t>7</w:t>
      </w:r>
      <w:r w:rsidR="001F2E11" w:rsidRPr="00D14AAF">
        <w:t>.</w:t>
      </w:r>
    </w:p>
    <w:p w:rsidR="004278BA" w:rsidRPr="00D14AAF" w:rsidRDefault="004278BA" w:rsidP="00373CB9">
      <w:pPr>
        <w:pStyle w:val="TableHeading"/>
      </w:pPr>
      <w:r w:rsidRPr="00D14AAF">
        <w:t>Table 3.</w:t>
      </w:r>
      <w:r w:rsidR="00095159" w:rsidRPr="00D14AAF">
        <w:t>3</w:t>
      </w:r>
      <w:r w:rsidR="00030AF0" w:rsidRPr="00D14AAF">
        <w:t>5</w:t>
      </w:r>
      <w:r w:rsidRPr="00D14AAF">
        <w:t>: Calculation of the GST entitlement and balancing adjustment,</w:t>
      </w:r>
      <w:r w:rsidR="00195F3B" w:rsidRPr="00D14AAF">
        <w:rPr>
          <w:color w:val="FF0000"/>
        </w:rPr>
        <w:fldChar w:fldCharType="begin"/>
      </w:r>
      <w:r w:rsidR="00195F3B" w:rsidRPr="00D14AAF">
        <w:rPr>
          <w:color w:val="FF0000"/>
        </w:rPr>
        <w:instrText xml:space="preserve"> :End:CSRD_KP1 </w:instrText>
      </w:r>
      <w:r w:rsidR="00195F3B" w:rsidRPr="00D14AAF">
        <w:rPr>
          <w:color w:val="FF0000"/>
        </w:rPr>
        <w:fldChar w:fldCharType="end"/>
      </w:r>
      <w:r w:rsidRPr="00D14AAF">
        <w:t xml:space="preserve"> </w:t>
      </w:r>
      <w:r w:rsidR="00BD749D" w:rsidRPr="00D14AAF">
        <w:rPr>
          <w:color w:val="0000FF"/>
        </w:rPr>
        <w:fldChar w:fldCharType="begin"/>
      </w:r>
      <w:r w:rsidR="00BD749D" w:rsidRPr="00D14AAF">
        <w:rPr>
          <w:color w:val="0000FF"/>
        </w:rPr>
        <w:instrText xml:space="preserve"> :Start:TAD_MB1 </w:instrText>
      </w:r>
      <w:r w:rsidR="00BD749D" w:rsidRPr="00D14AAF">
        <w:rPr>
          <w:color w:val="0000FF"/>
        </w:rPr>
        <w:fldChar w:fldCharType="end"/>
      </w:r>
      <w:r w:rsidRPr="00D14AAF">
        <w:t>201</w:t>
      </w:r>
      <w:r w:rsidR="000C707C" w:rsidRPr="00D14AAF">
        <w:t>6</w:t>
      </w:r>
      <w:r w:rsidRPr="00D14AAF">
        <w:noBreakHyphen/>
        <w:t>1</w:t>
      </w:r>
      <w:r w:rsidR="000C707C" w:rsidRPr="00D14AAF">
        <w:t>7</w:t>
      </w:r>
      <w:r w:rsidRPr="00D14AAF">
        <w:rPr>
          <w:vertAlign w:val="superscript"/>
        </w:rPr>
        <w:t>(a)</w:t>
      </w:r>
      <w:r w:rsidR="00BD749D" w:rsidRPr="00D14AAF">
        <w:rPr>
          <w:color w:val="FF0000"/>
        </w:rPr>
        <w:fldChar w:fldCharType="begin"/>
      </w:r>
      <w:r w:rsidR="00BD749D" w:rsidRPr="00D14AAF">
        <w:rPr>
          <w:color w:val="FF0000"/>
        </w:rPr>
        <w:instrText xml:space="preserve"> :End:TAD_MB1 </w:instrText>
      </w:r>
      <w:r w:rsidR="00BD749D" w:rsidRPr="00D14AAF">
        <w:rPr>
          <w:color w:val="FF0000"/>
        </w:rPr>
        <w:fldChar w:fldCharType="end"/>
      </w:r>
    </w:p>
    <w:p w:rsidR="004278BA" w:rsidRPr="00D14AAF" w:rsidRDefault="001F2E11" w:rsidP="003C4393">
      <w:pPr>
        <w:pStyle w:val="TableGraphic"/>
      </w:pPr>
      <w:r w:rsidRPr="00D14AAF">
        <w:object w:dxaOrig="7765" w:dyaOrig="3082">
          <v:shape id="_x0000_i1036" type="#_x0000_t75" style="width:388.15pt;height:154pt" o:ole="">
            <v:imagedata r:id="rId32" o:title=""/>
          </v:shape>
          <o:OLEObject Type="Link" ProgID="Excel.Sheet.8" ShapeID="_x0000_i1036" DrawAspect="Content" r:id="rId33" UpdateMode="Always">
            <o:LinkType>EnhancedMetaFile</o:LinkType>
            <o:LockedField>false</o:LockedField>
          </o:OLEObject>
        </w:object>
      </w:r>
    </w:p>
    <w:p w:rsidR="004278BA" w:rsidRPr="00D14AAF" w:rsidRDefault="00195F3B" w:rsidP="005A311B">
      <w:pPr>
        <w:pStyle w:val="ChartandTableFootnoteAlpha"/>
        <w:numPr>
          <w:ilvl w:val="0"/>
          <w:numId w:val="17"/>
        </w:numPr>
      </w:pPr>
      <w:r w:rsidRPr="00D14AAF">
        <w:rPr>
          <w:color w:val="0000FF"/>
        </w:rPr>
        <w:fldChar w:fldCharType="begin"/>
      </w:r>
      <w:r w:rsidRPr="00D14AAF">
        <w:rPr>
          <w:color w:val="0000FF"/>
        </w:rPr>
        <w:instrText xml:space="preserve"> :Start:CSRD_KP1 </w:instrText>
      </w:r>
      <w:r w:rsidRPr="00D14AAF">
        <w:rPr>
          <w:color w:val="0000FF"/>
        </w:rPr>
        <w:fldChar w:fldCharType="end"/>
      </w:r>
      <w:r w:rsidR="004278BA" w:rsidRPr="00D14AAF">
        <w:t>These amounts do not take into account the 201</w:t>
      </w:r>
      <w:r w:rsidR="003C4393" w:rsidRPr="00D14AAF">
        <w:t>5</w:t>
      </w:r>
      <w:r w:rsidR="004278BA" w:rsidRPr="00D14AAF">
        <w:rPr>
          <w:rFonts w:ascii="MS Gothic" w:eastAsia="MS Gothic" w:hAnsi="MS Gothic" w:cs="MS Gothic"/>
        </w:rPr>
        <w:noBreakHyphen/>
      </w:r>
      <w:r w:rsidR="004278BA" w:rsidRPr="00D14AAF">
        <w:t>1</w:t>
      </w:r>
      <w:r w:rsidR="003C4393" w:rsidRPr="00D14AAF">
        <w:t>6</w:t>
      </w:r>
      <w:r w:rsidR="004278BA" w:rsidRPr="00D14AAF">
        <w:t xml:space="preserve"> balancing adjustment of </w:t>
      </w:r>
      <w:r w:rsidR="003C4393" w:rsidRPr="00D14AAF">
        <w:t>-</w:t>
      </w:r>
      <w:r w:rsidR="004278BA" w:rsidRPr="00D14AAF">
        <w:t>$</w:t>
      </w:r>
      <w:r w:rsidR="003C4393" w:rsidRPr="00D14AAF">
        <w:t>98.4</w:t>
      </w:r>
      <w:r w:rsidR="004278BA" w:rsidRPr="00D14AAF">
        <w:t xml:space="preserve"> million which was </w:t>
      </w:r>
      <w:r w:rsidR="006579CE" w:rsidRPr="00D14AAF">
        <w:t xml:space="preserve">made </w:t>
      </w:r>
      <w:r w:rsidR="004278BA" w:rsidRPr="00D14AAF">
        <w:t>in 201</w:t>
      </w:r>
      <w:r w:rsidR="003C4393" w:rsidRPr="00D14AAF">
        <w:t>6</w:t>
      </w:r>
      <w:r w:rsidR="004278BA" w:rsidRPr="00D14AAF">
        <w:rPr>
          <w:rFonts w:ascii="MS Gothic" w:eastAsia="MS Gothic" w:hAnsi="MS Gothic" w:cs="MS Gothic"/>
        </w:rPr>
        <w:noBreakHyphen/>
      </w:r>
      <w:r w:rsidR="004278BA" w:rsidRPr="00D14AAF">
        <w:t>1</w:t>
      </w:r>
      <w:r w:rsidR="003C4393" w:rsidRPr="00D14AAF">
        <w:t>7</w:t>
      </w:r>
      <w:r w:rsidR="004278BA" w:rsidRPr="00D14AAF">
        <w:t>.</w:t>
      </w:r>
      <w:r w:rsidRPr="00D14AAF">
        <w:rPr>
          <w:color w:val="FF0000"/>
        </w:rPr>
        <w:fldChar w:fldCharType="begin"/>
      </w:r>
      <w:r w:rsidRPr="00D14AAF">
        <w:rPr>
          <w:color w:val="FF0000"/>
        </w:rPr>
        <w:instrText xml:space="preserve"> :End:CSRD_KP1 </w:instrText>
      </w:r>
      <w:r w:rsidRPr="00D14AAF">
        <w:rPr>
          <w:color w:val="FF0000"/>
        </w:rPr>
        <w:fldChar w:fldCharType="end"/>
      </w:r>
    </w:p>
    <w:p w:rsidR="004278BA" w:rsidRPr="00D14AAF" w:rsidRDefault="00C11CD7" w:rsidP="00BB305D">
      <w:pPr>
        <w:pStyle w:val="Heading5"/>
        <w:spacing w:before="240"/>
      </w:pPr>
      <w:r w:rsidRPr="00D14AAF">
        <w:rPr>
          <w:color w:val="0000FF"/>
        </w:rPr>
        <w:fldChar w:fldCharType="begin"/>
      </w:r>
      <w:r w:rsidRPr="00D14AAF">
        <w:rPr>
          <w:color w:val="0000FF"/>
        </w:rPr>
        <w:instrText xml:space="preserve"> :Start:</w:instrText>
      </w:r>
      <w:r w:rsidR="00391628" w:rsidRPr="00D14AAF">
        <w:rPr>
          <w:color w:val="0000FF"/>
        </w:rPr>
        <w:instrText>IITD_MP1</w:instrText>
      </w:r>
      <w:r w:rsidRPr="00D14AAF">
        <w:rPr>
          <w:color w:val="0000FF"/>
        </w:rPr>
        <w:instrText xml:space="preserve"> </w:instrText>
      </w:r>
      <w:r w:rsidRPr="00D14AAF">
        <w:rPr>
          <w:color w:val="0000FF"/>
        </w:rPr>
        <w:fldChar w:fldCharType="end"/>
      </w:r>
      <w:r w:rsidR="004278BA" w:rsidRPr="00D14AAF">
        <w:t>GST administration</w:t>
      </w:r>
    </w:p>
    <w:p w:rsidR="004278BA" w:rsidRPr="00D14AAF" w:rsidRDefault="004278BA" w:rsidP="004278BA">
      <w:r w:rsidRPr="00D14AAF">
        <w:t xml:space="preserve">States compensate the Commonwealth for the costs incurred by the ATO in administering the GST, including costs incurred by the Department of </w:t>
      </w:r>
      <w:r w:rsidR="00264867" w:rsidRPr="00D14AAF">
        <w:t>Home Affairs (form</w:t>
      </w:r>
      <w:r w:rsidR="00C359A5" w:rsidRPr="00D14AAF">
        <w:t>erly</w:t>
      </w:r>
      <w:r w:rsidR="00264867" w:rsidRPr="00D14AAF">
        <w:t xml:space="preserve"> the Department of </w:t>
      </w:r>
      <w:r w:rsidRPr="00D14AAF">
        <w:t>Immigration and Border Protection</w:t>
      </w:r>
      <w:r w:rsidR="00264867" w:rsidRPr="00D14AAF">
        <w:t>)</w:t>
      </w:r>
      <w:r w:rsidRPr="00D14AAF">
        <w:t>. The GST administration budget for the ATO is estimated to be $</w:t>
      </w:r>
      <w:r w:rsidR="0027041F" w:rsidRPr="00D14AAF">
        <w:t>631.1</w:t>
      </w:r>
      <w:r w:rsidRPr="00D14AAF">
        <w:t xml:space="preserve"> million for 201</w:t>
      </w:r>
      <w:r w:rsidR="000C707C" w:rsidRPr="00D14AAF">
        <w:t>7</w:t>
      </w:r>
      <w:r w:rsidRPr="00D14AAF">
        <w:rPr>
          <w:rFonts w:ascii="MS Mincho" w:eastAsia="MS Mincho" w:hAnsi="MS Mincho" w:cs="MS Mincho"/>
        </w:rPr>
        <w:noBreakHyphen/>
      </w:r>
      <w:r w:rsidRPr="00D14AAF">
        <w:t>1</w:t>
      </w:r>
      <w:r w:rsidR="000C707C" w:rsidRPr="00D14AAF">
        <w:t>8</w:t>
      </w:r>
      <w:r w:rsidRPr="00D14AAF">
        <w:t>, as shown in Table 3.3</w:t>
      </w:r>
      <w:r w:rsidR="00030AF0" w:rsidRPr="00D14AAF">
        <w:t>6</w:t>
      </w:r>
      <w:r w:rsidRPr="00D14AAF">
        <w:t>.</w:t>
      </w:r>
    </w:p>
    <w:p w:rsidR="005A311B" w:rsidRPr="00D14AAF" w:rsidRDefault="004278BA" w:rsidP="00373CB9">
      <w:pPr>
        <w:pStyle w:val="TableHeading"/>
      </w:pPr>
      <w:r w:rsidRPr="00D14AAF">
        <w:t>Table 3</w:t>
      </w:r>
      <w:r w:rsidR="00B946A4" w:rsidRPr="00D14AAF">
        <w:t>.</w:t>
      </w:r>
      <w:r w:rsidR="00095159" w:rsidRPr="00D14AAF">
        <w:t>3</w:t>
      </w:r>
      <w:r w:rsidR="00030AF0" w:rsidRPr="00D14AAF">
        <w:t>6</w:t>
      </w:r>
      <w:r w:rsidRPr="00D14AAF">
        <w:t>: GST administration budget</w:t>
      </w:r>
    </w:p>
    <w:p w:rsidR="004278BA" w:rsidRPr="00D14AAF" w:rsidRDefault="001F2E11" w:rsidP="005A311B">
      <w:pPr>
        <w:pStyle w:val="TableGraphic"/>
      </w:pPr>
      <w:r w:rsidRPr="00D14AAF">
        <w:object w:dxaOrig="7949" w:dyaOrig="2017">
          <v:shape id="_x0000_i1037" type="#_x0000_t75" style="width:385.05pt;height:98.3pt" o:ole="">
            <v:imagedata r:id="rId34" o:title=""/>
          </v:shape>
          <o:OLEObject Type="Link" ProgID="Excel.Sheet.8" ShapeID="_x0000_i1037" DrawAspect="Content" r:id="rId35" UpdateMode="Always">
            <o:LinkType>EnhancedMetaFile</o:LinkType>
            <o:LockedField>false</o:LockedField>
            <o:FieldCodes>\* MERGEFORMAT</o:FieldCodes>
          </o:OLEObject>
        </w:object>
      </w:r>
      <w:r w:rsidR="00BD749D" w:rsidRPr="00D14AAF">
        <w:rPr>
          <w:color w:val="FF0000"/>
        </w:rPr>
        <w:fldChar w:fldCharType="begin"/>
      </w:r>
      <w:r w:rsidR="00BD749D" w:rsidRPr="00D14AAF">
        <w:rPr>
          <w:color w:val="FF0000"/>
        </w:rPr>
        <w:instrText xml:space="preserve"> :End:</w:instrText>
      </w:r>
      <w:r w:rsidR="00391628" w:rsidRPr="00D14AAF">
        <w:rPr>
          <w:color w:val="FF0000"/>
        </w:rPr>
        <w:instrText>IITD_MP1</w:instrText>
      </w:r>
      <w:r w:rsidR="00BD749D" w:rsidRPr="00D14AAF">
        <w:rPr>
          <w:color w:val="FF0000"/>
        </w:rPr>
        <w:instrText xml:space="preserve"> </w:instrText>
      </w:r>
      <w:r w:rsidR="00BD749D" w:rsidRPr="00D14AAF">
        <w:rPr>
          <w:color w:val="FF0000"/>
        </w:rPr>
        <w:fldChar w:fldCharType="end"/>
      </w:r>
    </w:p>
    <w:p w:rsidR="0093363A" w:rsidRPr="00D14AAF" w:rsidRDefault="00137E1A" w:rsidP="00DB07E9">
      <w:pPr>
        <w:pStyle w:val="ChartandTableFootnoteAlpha"/>
      </w:pPr>
      <w:r w:rsidRPr="00D14AAF">
        <w:rPr>
          <w:color w:val="0000FF"/>
        </w:rPr>
        <w:fldChar w:fldCharType="begin"/>
      </w:r>
      <w:r w:rsidRPr="00D14AAF">
        <w:rPr>
          <w:color w:val="0000FF"/>
        </w:rPr>
        <w:instrText xml:space="preserve"> :Start:IITD_MP1 </w:instrText>
      </w:r>
      <w:r w:rsidRPr="00D14AAF">
        <w:rPr>
          <w:color w:val="0000FF"/>
        </w:rPr>
        <w:fldChar w:fldCharType="end"/>
      </w:r>
      <w:r w:rsidR="00DB07E9" w:rsidRPr="00D14AAF">
        <w:t>Estimated outcome for 2016</w:t>
      </w:r>
      <w:r w:rsidR="00DB07E9" w:rsidRPr="00D14AAF">
        <w:noBreakHyphen/>
        <w:t>17 pending confirmation by the Australian National Audit Office.</w:t>
      </w:r>
      <w:r w:rsidRPr="00D14AAF">
        <w:rPr>
          <w:color w:val="FF0000"/>
        </w:rPr>
        <w:fldChar w:fldCharType="begin"/>
      </w:r>
      <w:r w:rsidRPr="00D14AAF">
        <w:rPr>
          <w:color w:val="FF0000"/>
        </w:rPr>
        <w:instrText xml:space="preserve"> :End:IITD_MP1 </w:instrText>
      </w:r>
      <w:r w:rsidRPr="00D14AAF">
        <w:rPr>
          <w:color w:val="FF0000"/>
        </w:rPr>
        <w:fldChar w:fldCharType="end"/>
      </w:r>
    </w:p>
    <w:sectPr w:rsidR="0093363A" w:rsidRPr="00D14AAF" w:rsidSect="00F237D2">
      <w:headerReference w:type="even" r:id="rId36"/>
      <w:headerReference w:type="default" r:id="rId37"/>
      <w:footerReference w:type="even" r:id="rId38"/>
      <w:footerReference w:type="default" r:id="rId39"/>
      <w:headerReference w:type="first" r:id="rId40"/>
      <w:footerReference w:type="first" r:id="rId41"/>
      <w:pgSz w:w="11906" w:h="16838" w:code="9"/>
      <w:pgMar w:top="2466" w:right="2098" w:bottom="2466" w:left="2098" w:header="1899" w:footer="1899" w:gutter="0"/>
      <w:pgNumType w:start="75"/>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31DA" w:rsidRDefault="004E31DA" w:rsidP="00E40261">
      <w:pPr>
        <w:spacing w:after="0" w:line="240" w:lineRule="auto"/>
      </w:pPr>
      <w:r>
        <w:separator/>
      </w:r>
    </w:p>
  </w:endnote>
  <w:endnote w:type="continuationSeparator" w:id="0">
    <w:p w:rsidR="004E31DA" w:rsidRDefault="004E31DA" w:rsidP="00E402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Helvetica">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685E" w:rsidRDefault="00D1685E">
    <w:pPr>
      <w:pStyle w:val="Footer"/>
    </w:pPr>
    <w:r>
      <w:fldChar w:fldCharType="begin"/>
    </w:r>
    <w:r>
      <w:instrText xml:space="preserve"> PAGE  \* MERGEFORMAT </w:instrText>
    </w:r>
    <w:r>
      <w:fldChar w:fldCharType="separate"/>
    </w:r>
    <w:r w:rsidR="00703BE9">
      <w:rPr>
        <w:noProof/>
      </w:rPr>
      <w:t>82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685E" w:rsidRDefault="00D1685E">
    <w:pPr>
      <w:pStyle w:val="Footer"/>
    </w:pPr>
    <w:r>
      <w:fldChar w:fldCharType="begin"/>
    </w:r>
    <w:r>
      <w:instrText xml:space="preserve"> PAGE  \* MERGEFORMAT </w:instrText>
    </w:r>
    <w:r>
      <w:fldChar w:fldCharType="separate"/>
    </w:r>
    <w:r w:rsidR="00703BE9">
      <w:rPr>
        <w:noProof/>
      </w:rPr>
      <w:t>75</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685E" w:rsidRDefault="00703BE9">
    <w:pPr>
      <w:pStyle w:val="Footer"/>
    </w:pPr>
    <w:r>
      <w:rPr>
        <w:noProof/>
      </w:rPr>
      <mc:AlternateContent>
        <mc:Choice Requires="wps">
          <w:drawing>
            <wp:anchor distT="0" distB="0" distL="0" distR="0" simplePos="0" relativeHeight="251658240" behindDoc="0" locked="1" layoutInCell="0" allowOverlap="1">
              <wp:simplePos x="0" y="0"/>
              <wp:positionH relativeFrom="page">
                <wp:posOffset>1323975</wp:posOffset>
              </wp:positionH>
              <wp:positionV relativeFrom="page">
                <wp:posOffset>9906000</wp:posOffset>
              </wp:positionV>
              <wp:extent cx="4910455" cy="695325"/>
              <wp:effectExtent l="0" t="0" r="4445" b="9525"/>
              <wp:wrapSquare wrapText="bothSides"/>
              <wp:docPr id="3" name="Text Box 44" descr="Portrait Classification 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0455" cy="695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685E" w:rsidRDefault="00886CD0">
                          <w:pPr>
                            <w:pStyle w:val="FileProperties"/>
                            <w:tabs>
                              <w:tab w:val="right" w:pos="7711"/>
                            </w:tabs>
                          </w:pPr>
                          <w:fldSimple w:instr=" FILENAME  \* MERGEFORMAT ">
                            <w:r w:rsidR="002B24FA">
                              <w:rPr>
                                <w:noProof/>
                              </w:rPr>
                              <w:t>07 Attachment D.doc</w:t>
                            </w:r>
                          </w:fldSimple>
                          <w:r w:rsidR="00D1685E">
                            <w:tab/>
                            <w:t xml:space="preserve">Printed:  </w:t>
                          </w:r>
                          <w:r w:rsidR="00D1685E">
                            <w:fldChar w:fldCharType="begin"/>
                          </w:r>
                          <w:r w:rsidR="00D1685E">
                            <w:instrText xml:space="preserve"> PRINTDATE \@ "d/MM/yy HH:mm:ss" \* MERGEFORMAT </w:instrText>
                          </w:r>
                          <w:r w:rsidR="00D1685E">
                            <w:fldChar w:fldCharType="separate"/>
                          </w:r>
                          <w:r w:rsidR="002B24FA">
                            <w:rPr>
                              <w:noProof/>
                            </w:rPr>
                            <w:t>14/12/17 17:40:00</w:t>
                          </w:r>
                          <w:r w:rsidR="00D1685E">
                            <w:rPr>
                              <w:noProof/>
                            </w:rPr>
                            <w:fldChar w:fldCharType="end"/>
                          </w:r>
                        </w:p>
                        <w:p w:rsidR="00D1685E" w:rsidRDefault="00D1685E">
                          <w:pPr>
                            <w:pStyle w:val="Classification"/>
                          </w:pPr>
                          <w:r>
                            <w:t xml:space="preserve">Protected: </w:t>
                          </w:r>
                          <w:r>
                            <w:br/>
                            <w:t>Sensitive: Cabinet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4" o:spid="_x0000_s1027" type="#_x0000_t202" alt="Portrait Classification Footer" style="position:absolute;left:0;text-align:left;margin-left:104.25pt;margin-top:780pt;width:386.65pt;height:54.7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" o:allowincell="f" filled="f" stroked="f">
              <v:textbox inset="0,0,0,0">
                <w:txbxContent>
                  <w:p w:rsidR="00D1685E" w:rsidRDefault="00886CD0">
                    <w:pPr>
                      <w:pStyle w:val="FileProperties"/>
                      <w:tabs>
                        <w:tab w:val="right" w:pos="7711"/>
                      </w:tabs>
                    </w:pPr>
                    <w:fldSimple w:instr=" FILENAME  \* MERGEFORMAT ">
                      <w:r w:rsidR="002B24FA">
                        <w:rPr>
                          <w:noProof/>
                        </w:rPr>
                        <w:t>07 Attachment D.doc</w:t>
                      </w:r>
                    </w:fldSimple>
                    <w:r w:rsidR="00D1685E">
                      <w:tab/>
                      <w:t xml:space="preserve">Printed:  </w:t>
                    </w:r>
                    <w:r w:rsidR="00D1685E">
                      <w:fldChar w:fldCharType="begin"/>
                    </w:r>
                    <w:r w:rsidR="00D1685E">
                      <w:instrText xml:space="preserve"> PRINTDATE \@ "d/MM/yy HH:mm:ss" \* MERGEFORMAT </w:instrText>
                    </w:r>
                    <w:r w:rsidR="00D1685E">
                      <w:fldChar w:fldCharType="separate"/>
                    </w:r>
                    <w:r w:rsidR="002B24FA">
                      <w:rPr>
                        <w:noProof/>
                      </w:rPr>
                      <w:t>14/12/17 17:40:00</w:t>
                    </w:r>
                    <w:r w:rsidR="00D1685E">
                      <w:rPr>
                        <w:noProof/>
                      </w:rPr>
                      <w:fldChar w:fldCharType="end"/>
                    </w:r>
                  </w:p>
                  <w:p w:rsidR="00D1685E" w:rsidRDefault="00D1685E">
                    <w:pPr>
                      <w:pStyle w:val="Classification"/>
                    </w:pPr>
                    <w:r>
                      <w:t xml:space="preserve">Protected: </w:t>
                    </w:r>
                    <w:r>
                      <w:br/>
                      <w:t>Sensitive: Cabinet</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31DA" w:rsidRDefault="004E31DA" w:rsidP="00E40261">
      <w:pPr>
        <w:spacing w:after="0" w:line="240" w:lineRule="auto"/>
      </w:pPr>
      <w:r>
        <w:separator/>
      </w:r>
    </w:p>
  </w:footnote>
  <w:footnote w:type="continuationSeparator" w:id="0">
    <w:p w:rsidR="004E31DA" w:rsidRDefault="004E31DA" w:rsidP="00E4026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685E" w:rsidRDefault="00304EB9" w:rsidP="00304EB9">
    <w:pPr>
      <w:pStyle w:val="Header"/>
    </w:pPr>
    <w:fldSimple w:instr=" TITLE   \* MERGEFORMAT ">
      <w:r w:rsidR="002B24FA">
        <w:t>Part 3: Fiscal strategy and outlook</w:t>
      </w:r>
    </w:fldSimple>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4EB9" w:rsidRDefault="00304EB9" w:rsidP="00304EB9">
    <w:pPr>
      <w:pStyle w:val="HeaderOdd"/>
    </w:pPr>
    <w:fldSimple w:instr=" TITLE   \* MERGEFORMAT ">
      <w:r w:rsidR="002B24FA">
        <w:t>Part 3: Fiscal strategy and outlook</w:t>
      </w:r>
    </w:fldSimple>
  </w:p>
  <w:p w:rsidR="00D1685E" w:rsidRPr="00E40261" w:rsidRDefault="00D1685E" w:rsidP="00FC7371">
    <w:pPr>
      <w:pStyle w:val="HeaderOd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685E" w:rsidRDefault="00703BE9">
    <w:pPr>
      <w:pStyle w:val="Header"/>
    </w:pPr>
    <w:r>
      <w:rPr>
        <w:noProof/>
      </w:rPr>
      <mc:AlternateContent>
        <mc:Choice Requires="wps">
          <w:drawing>
            <wp:anchor distT="0" distB="0" distL="0" distR="0" simplePos="0" relativeHeight="251657216" behindDoc="0" locked="1" layoutInCell="0" allowOverlap="1">
              <wp:simplePos x="0" y="0"/>
              <wp:positionH relativeFrom="page">
                <wp:posOffset>1321435</wp:posOffset>
              </wp:positionH>
              <wp:positionV relativeFrom="page">
                <wp:posOffset>360045</wp:posOffset>
              </wp:positionV>
              <wp:extent cx="4910455" cy="615315"/>
              <wp:effectExtent l="0" t="0" r="4445" b="13335"/>
              <wp:wrapSquare wrapText="bothSides"/>
              <wp:docPr id="1" name="Text Box 45" descr="Portrait Classification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0455" cy="615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685E" w:rsidRDefault="00D1685E">
                          <w:pPr>
                            <w:pStyle w:val="Classification"/>
                          </w:pPr>
                          <w:r>
                            <w:t xml:space="preserve">Protected: </w:t>
                          </w:r>
                          <w:r>
                            <w:br/>
                            <w:t>Sensitive: Cabinet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5" o:spid="_x0000_s1026" type="#_x0000_t202" alt="Portrait Classification Header" style="position:absolute;margin-left:104.05pt;margin-top:28.35pt;width:386.65pt;height:48.4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" o:allowincell="f" filled="f" stroked="f">
              <v:textbox inset="0,0,0,0">
                <w:txbxContent>
                  <w:p w:rsidR="00D1685E" w:rsidRDefault="00D1685E">
                    <w:pPr>
                      <w:pStyle w:val="Classification"/>
                    </w:pPr>
                    <w:r>
                      <w:t xml:space="preserve">Protected: </w:t>
                    </w:r>
                    <w:r>
                      <w:br/>
                      <w:t>Sensitive: Cabinet</w:t>
                    </w:r>
                  </w:p>
                </w:txbxContent>
              </v:textbox>
              <w10:wrap type="square" anchorx="page" anchory="page"/>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C42909"/>
    <w:multiLevelType w:val="multilevel"/>
    <w:tmpl w:val="753AC1FE"/>
    <w:lvl w:ilvl="0">
      <w:start w:val="1"/>
      <w:numFmt w:val="bullet"/>
      <w:lvlRestart w:val="0"/>
      <w:pStyle w:val="Bullet"/>
      <w:lvlText w:val="•"/>
      <w:lvlJc w:val="left"/>
      <w:pPr>
        <w:tabs>
          <w:tab w:val="num" w:pos="283"/>
        </w:tabs>
        <w:ind w:left="283" w:hanging="283"/>
      </w:pPr>
      <w:rPr>
        <w:rFonts w:ascii="Times New Roman" w:hAnsi="Times New Roman" w:cs="Times New Roman"/>
        <w:b w:val="0"/>
        <w:i w:val="0"/>
      </w:rPr>
    </w:lvl>
    <w:lvl w:ilvl="1">
      <w:start w:val="1"/>
      <w:numFmt w:val="bullet"/>
      <w:pStyle w:val="Dash"/>
      <w:lvlText w:val="–"/>
      <w:lvlJc w:val="left"/>
      <w:pPr>
        <w:tabs>
          <w:tab w:val="num" w:pos="567"/>
        </w:tabs>
        <w:ind w:left="567" w:hanging="284"/>
      </w:pPr>
      <w:rPr>
        <w:rFonts w:ascii="Times New Roman" w:hAnsi="Times New Roman" w:cs="Times New Roman"/>
        <w:b w:val="0"/>
        <w:i w:val="0"/>
      </w:rPr>
    </w:lvl>
    <w:lvl w:ilvl="2">
      <w:start w:val="1"/>
      <w:numFmt w:val="bullet"/>
      <w:pStyle w:val="DoubleDo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1">
    <w:nsid w:val="10757CBC"/>
    <w:multiLevelType w:val="singleLevel"/>
    <w:tmpl w:val="103C53FC"/>
    <w:name w:val="Box Bullet List"/>
    <w:lvl w:ilvl="0">
      <w:start w:val="1"/>
      <w:numFmt w:val="bullet"/>
      <w:lvlRestart w:val="0"/>
      <w:pStyle w:val="BoxBullet"/>
      <w:lvlText w:val="•"/>
      <w:lvlJc w:val="left"/>
      <w:pPr>
        <w:tabs>
          <w:tab w:val="num" w:pos="283"/>
        </w:tabs>
        <w:ind w:left="283" w:hanging="283"/>
      </w:pPr>
      <w:rPr>
        <w:rFonts w:ascii="Times New Roman" w:hAnsi="Times New Roman" w:cs="Times New Roman"/>
        <w:b w:val="0"/>
        <w:i w:val="0"/>
      </w:rPr>
    </w:lvl>
  </w:abstractNum>
  <w:abstractNum w:abstractNumId="2">
    <w:nsid w:val="27440C8B"/>
    <w:multiLevelType w:val="multilevel"/>
    <w:tmpl w:val="AF04C206"/>
    <w:lvl w:ilvl="0">
      <w:start w:val="1"/>
      <w:numFmt w:val="bullet"/>
      <w:lvlRestart w:val="0"/>
      <w:pStyle w:val="HeaderChar"/>
      <w:lvlText w:val="•"/>
      <w:lvlJc w:val="left"/>
      <w:pPr>
        <w:tabs>
          <w:tab w:val="num" w:pos="283"/>
        </w:tabs>
        <w:ind w:left="283" w:hanging="283"/>
      </w:pPr>
      <w:rPr>
        <w:rFonts w:ascii="Book Antiqua" w:hAnsi="Book Antiqua" w:hint="default"/>
        <w:b w:val="0"/>
        <w:i w:val="0"/>
        <w:position w:val="0"/>
        <w:sz w:val="18"/>
        <w:szCs w:val="18"/>
      </w:rPr>
    </w:lvl>
    <w:lvl w:ilvl="1">
      <w:start w:val="1"/>
      <w:numFmt w:val="bullet"/>
      <w:pStyle w:val="DLMSecurityFooter"/>
      <w:lvlText w:val="–"/>
      <w:lvlJc w:val="left"/>
      <w:pPr>
        <w:tabs>
          <w:tab w:val="num" w:pos="567"/>
        </w:tabs>
        <w:ind w:left="567" w:hanging="284"/>
      </w:pPr>
      <w:rPr>
        <w:rFonts w:ascii="Book Antiqua" w:hAnsi="Book Antiqua" w:cs="Times New Roman" w:hint="default"/>
        <w:b w:val="0"/>
        <w:i w:val="0"/>
        <w:position w:val="0"/>
        <w:sz w:val="18"/>
        <w:szCs w:val="18"/>
      </w:rPr>
    </w:lvl>
    <w:lvl w:ilvl="2">
      <w:start w:val="1"/>
      <w:numFmt w:val="bullet"/>
      <w:pStyle w:val="DLMSecurityFooterChar"/>
      <w:lvlText w:val=":"/>
      <w:lvlJc w:val="left"/>
      <w:pPr>
        <w:tabs>
          <w:tab w:val="num" w:pos="850"/>
        </w:tabs>
        <w:ind w:left="850" w:hanging="283"/>
      </w:pPr>
      <w:rPr>
        <w:rFonts w:ascii="Book Antiqua" w:hAnsi="Book Antiqua" w:cs="Times New Roman" w:hint="default"/>
        <w:b w:val="0"/>
        <w:i w:val="0"/>
        <w:position w:val="0"/>
        <w:sz w:val="18"/>
        <w:szCs w:val="18"/>
      </w:rPr>
    </w:lvl>
    <w:lvl w:ilvl="3">
      <w:start w:val="1"/>
      <w:numFmt w:val="decimal"/>
      <w:lvlText w:val="(%4)"/>
      <w:lvlJc w:val="left"/>
      <w:pPr>
        <w:tabs>
          <w:tab w:val="num" w:pos="1440"/>
        </w:tabs>
        <w:ind w:left="1440" w:hanging="360"/>
      </w:pPr>
      <w:rPr>
        <w:rFonts w:hint="default"/>
        <w:b w:val="0"/>
        <w:i w:val="0"/>
      </w:rPr>
    </w:lvl>
    <w:lvl w:ilvl="4">
      <w:start w:val="1"/>
      <w:numFmt w:val="lowerLetter"/>
      <w:lvlText w:val="(%5)"/>
      <w:lvlJc w:val="left"/>
      <w:pPr>
        <w:tabs>
          <w:tab w:val="num" w:pos="1800"/>
        </w:tabs>
        <w:ind w:left="1800" w:hanging="360"/>
      </w:pPr>
      <w:rPr>
        <w:rFonts w:hint="default"/>
        <w:b w:val="0"/>
        <w:i w:val="0"/>
      </w:rPr>
    </w:lvl>
    <w:lvl w:ilvl="5">
      <w:start w:val="1"/>
      <w:numFmt w:val="lowerRoman"/>
      <w:lvlText w:val="(%6)"/>
      <w:lvlJc w:val="left"/>
      <w:pPr>
        <w:tabs>
          <w:tab w:val="num" w:pos="2160"/>
        </w:tabs>
        <w:ind w:left="2160" w:hanging="360"/>
      </w:pPr>
      <w:rPr>
        <w:rFonts w:hint="default"/>
        <w:b w:val="0"/>
        <w:i w:val="0"/>
      </w:rPr>
    </w:lvl>
    <w:lvl w:ilvl="6">
      <w:start w:val="1"/>
      <w:numFmt w:val="decimal"/>
      <w:lvlText w:val="%7."/>
      <w:lvlJc w:val="left"/>
      <w:pPr>
        <w:tabs>
          <w:tab w:val="num" w:pos="2520"/>
        </w:tabs>
        <w:ind w:left="2520" w:hanging="360"/>
      </w:pPr>
      <w:rPr>
        <w:rFonts w:hint="default"/>
        <w:b w:val="0"/>
        <w:i w:val="0"/>
      </w:rPr>
    </w:lvl>
    <w:lvl w:ilvl="7">
      <w:start w:val="1"/>
      <w:numFmt w:val="lowerLetter"/>
      <w:lvlText w:val="%8."/>
      <w:lvlJc w:val="left"/>
      <w:pPr>
        <w:tabs>
          <w:tab w:val="num" w:pos="2880"/>
        </w:tabs>
        <w:ind w:left="2880" w:hanging="360"/>
      </w:pPr>
      <w:rPr>
        <w:rFonts w:hint="default"/>
        <w:b w:val="0"/>
        <w:i w:val="0"/>
      </w:rPr>
    </w:lvl>
    <w:lvl w:ilvl="8">
      <w:start w:val="1"/>
      <w:numFmt w:val="lowerRoman"/>
      <w:lvlText w:val="%9."/>
      <w:lvlJc w:val="left"/>
      <w:pPr>
        <w:tabs>
          <w:tab w:val="num" w:pos="3240"/>
        </w:tabs>
        <w:ind w:left="3240" w:hanging="360"/>
      </w:pPr>
      <w:rPr>
        <w:rFonts w:hint="default"/>
        <w:b w:val="0"/>
        <w:i w:val="0"/>
      </w:rPr>
    </w:lvl>
  </w:abstractNum>
  <w:abstractNum w:abstractNumId="3">
    <w:nsid w:val="3B2E19AC"/>
    <w:multiLevelType w:val="singleLevel"/>
    <w:tmpl w:val="07664886"/>
    <w:lvl w:ilvl="0">
      <w:start w:val="1"/>
      <w:numFmt w:val="lowerLetter"/>
      <w:lvlRestart w:val="0"/>
      <w:pStyle w:val="ChartandTableFootnoteAlpha"/>
      <w:lvlText w:val="(%1)"/>
      <w:lvlJc w:val="left"/>
      <w:pPr>
        <w:tabs>
          <w:tab w:val="num" w:pos="284"/>
        </w:tabs>
        <w:ind w:left="284" w:hanging="284"/>
      </w:pPr>
      <w:rPr>
        <w:rFonts w:ascii="Arial" w:hAnsi="Arial" w:cs="Arial"/>
        <w:b w:val="0"/>
        <w:i w:val="0"/>
        <w:color w:val="000000"/>
        <w:sz w:val="16"/>
      </w:rPr>
    </w:lvl>
  </w:abstractNum>
  <w:abstractNum w:abstractNumId="4">
    <w:nsid w:val="43FB49B7"/>
    <w:multiLevelType w:val="singleLevel"/>
    <w:tmpl w:val="9EDE5682"/>
    <w:name w:val="Alpha Paragraph"/>
    <w:lvl w:ilvl="0">
      <w:start w:val="1"/>
      <w:numFmt w:val="lowerLetter"/>
      <w:lvlRestart w:val="0"/>
      <w:pStyle w:val="AlphaParagraph"/>
      <w:lvlText w:val="(%1)"/>
      <w:lvlJc w:val="left"/>
      <w:pPr>
        <w:tabs>
          <w:tab w:val="num" w:pos="567"/>
        </w:tabs>
        <w:ind w:left="567" w:hanging="567"/>
      </w:pPr>
      <w:rPr>
        <w:b w:val="0"/>
        <w:i w:val="0"/>
        <w:color w:val="000000"/>
      </w:rPr>
    </w:lvl>
  </w:abstractNum>
  <w:abstractNum w:abstractNumId="5">
    <w:nsid w:val="66022277"/>
    <w:multiLevelType w:val="singleLevel"/>
    <w:tmpl w:val="EF02D596"/>
    <w:lvl w:ilvl="0">
      <w:start w:val="1"/>
      <w:numFmt w:val="lowerLetter"/>
      <w:lvlRestart w:val="0"/>
      <w:pStyle w:val="FooterChar"/>
      <w:lvlText w:val="(%1)"/>
      <w:lvlJc w:val="left"/>
      <w:pPr>
        <w:tabs>
          <w:tab w:val="num" w:pos="283"/>
        </w:tabs>
        <w:ind w:left="283" w:hanging="283"/>
      </w:pPr>
      <w:rPr>
        <w:rFonts w:ascii="Arial" w:hAnsi="Arial" w:cs="Arial"/>
        <w:b w:val="0"/>
        <w:i w:val="0"/>
        <w:sz w:val="16"/>
      </w:rPr>
    </w:lvl>
  </w:abstractNum>
  <w:abstractNum w:abstractNumId="6">
    <w:nsid w:val="68EA3959"/>
    <w:multiLevelType w:val="multilevel"/>
    <w:tmpl w:val="BA54A7CC"/>
    <w:lvl w:ilvl="0">
      <w:start w:val="1"/>
      <w:numFmt w:val="lowerLetter"/>
      <w:lvlRestart w:val="0"/>
      <w:lvlText w:val="(%1)"/>
      <w:lvlJc w:val="left"/>
      <w:pPr>
        <w:tabs>
          <w:tab w:val="num" w:pos="284"/>
        </w:tabs>
        <w:ind w:left="284" w:hanging="284"/>
      </w:pPr>
      <w:rPr>
        <w:rFonts w:cs="Times New Roman"/>
        <w:b w:val="0"/>
        <w:bCs w:val="0"/>
        <w:i w:val="0"/>
        <w:iCs w:val="0"/>
        <w:caps w:val="0"/>
        <w:smallCaps w:val="0"/>
        <w:strike w:val="0"/>
        <w:dstrike w:val="0"/>
        <w:noProof w:val="0"/>
        <w:vanish w:val="0"/>
        <w:spacing w:val="0"/>
        <w:kern w:val="0"/>
        <w:position w:val="0"/>
        <w:u w:val="none"/>
        <w:vertAlign w:val="baseline"/>
        <w:em w:val="none"/>
      </w:rPr>
    </w:lvl>
    <w:lvl w:ilvl="1">
      <w:start w:val="1"/>
      <w:numFmt w:val="decimal"/>
      <w:lvlText w:val="%2"/>
      <w:lvlJc w:val="left"/>
      <w:pPr>
        <w:tabs>
          <w:tab w:val="num" w:pos="1134"/>
        </w:tabs>
        <w:ind w:left="1134" w:hanging="567"/>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num w:numId="1">
    <w:abstractNumId w:val="4"/>
  </w:num>
  <w:num w:numId="2">
    <w:abstractNumId w:val="1"/>
  </w:num>
  <w:num w:numId="3">
    <w:abstractNumId w:val="0"/>
  </w:num>
  <w:num w:numId="4">
    <w:abstractNumId w:val="3"/>
  </w:num>
  <w:num w:numId="5">
    <w:abstractNumId w:val="6"/>
  </w:num>
  <w:num w:numId="6">
    <w:abstractNumId w:val="0"/>
  </w:num>
  <w:num w:numId="7">
    <w:abstractNumId w:val="0"/>
  </w:num>
  <w:num w:numId="8">
    <w:abstractNumId w:val="5"/>
  </w:num>
  <w:num w:numId="9">
    <w:abstractNumId w:val="2"/>
  </w:num>
  <w:num w:numId="10">
    <w:abstractNumId w:val="5"/>
    <w:lvlOverride w:ilvl="0">
      <w:startOverride w:val="1"/>
    </w:lvlOverride>
  </w:num>
  <w:num w:numId="11">
    <w:abstractNumId w:val="5"/>
    <w:lvlOverride w:ilvl="0">
      <w:startOverride w:val="1"/>
    </w:lvlOverride>
  </w:num>
  <w:num w:numId="12">
    <w:abstractNumId w:val="5"/>
    <w:lvlOverride w:ilvl="0">
      <w:startOverride w:val="1"/>
    </w:lvlOverride>
  </w:num>
  <w:num w:numId="13">
    <w:abstractNumId w:val="5"/>
    <w:lvlOverride w:ilvl="0">
      <w:startOverride w:val="1"/>
    </w:lvlOverride>
  </w:num>
  <w:num w:numId="14">
    <w:abstractNumId w:val="5"/>
    <w:lvlOverride w:ilvl="0">
      <w:startOverride w:val="1"/>
    </w:lvlOverride>
  </w:num>
  <w:num w:numId="15">
    <w:abstractNumId w:val="5"/>
    <w:lvlOverride w:ilvl="0">
      <w:startOverride w:val="1"/>
    </w:lvlOverride>
  </w:num>
  <w:num w:numId="16">
    <w:abstractNumId w:val="5"/>
    <w:lvlOverride w:ilvl="0">
      <w:startOverride w:val="1"/>
    </w:lvlOverride>
  </w:num>
  <w:num w:numId="17">
    <w:abstractNumId w:val="5"/>
    <w:lvlOverride w:ilvl="0">
      <w:startOverride w:val="1"/>
    </w:lvlOverride>
  </w:num>
  <w:num w:numId="18">
    <w:abstractNumId w:val="5"/>
    <w:lvlOverride w:ilvl="0">
      <w:startOverride w:val="1"/>
    </w:lvlOverride>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ttachedTemplate r:id="rId1"/>
  <w:defaultTabStop w:val="720"/>
  <w:evenAndOddHeaders/>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ecurityClassificationInHeader" w:val="False"/>
  </w:docVars>
  <w:rsids>
    <w:rsidRoot w:val="004278BA"/>
    <w:rsid w:val="00013EA8"/>
    <w:rsid w:val="000151D1"/>
    <w:rsid w:val="00025CDB"/>
    <w:rsid w:val="00030AF0"/>
    <w:rsid w:val="00032287"/>
    <w:rsid w:val="00035D8D"/>
    <w:rsid w:val="00040857"/>
    <w:rsid w:val="0005183A"/>
    <w:rsid w:val="00065183"/>
    <w:rsid w:val="00073414"/>
    <w:rsid w:val="00095159"/>
    <w:rsid w:val="00096E56"/>
    <w:rsid w:val="000B2AAD"/>
    <w:rsid w:val="000C707C"/>
    <w:rsid w:val="000D06C2"/>
    <w:rsid w:val="000D5816"/>
    <w:rsid w:val="000E105B"/>
    <w:rsid w:val="000E4A02"/>
    <w:rsid w:val="00106A38"/>
    <w:rsid w:val="0011410C"/>
    <w:rsid w:val="001246A3"/>
    <w:rsid w:val="00131DFB"/>
    <w:rsid w:val="00136CAB"/>
    <w:rsid w:val="00137578"/>
    <w:rsid w:val="00137E1A"/>
    <w:rsid w:val="00164041"/>
    <w:rsid w:val="0016472F"/>
    <w:rsid w:val="00172CFE"/>
    <w:rsid w:val="00177252"/>
    <w:rsid w:val="0019115B"/>
    <w:rsid w:val="0019262C"/>
    <w:rsid w:val="00195F3B"/>
    <w:rsid w:val="001970E6"/>
    <w:rsid w:val="001C1014"/>
    <w:rsid w:val="001C2694"/>
    <w:rsid w:val="001C29BA"/>
    <w:rsid w:val="001D65A9"/>
    <w:rsid w:val="001E5FDA"/>
    <w:rsid w:val="001F2E11"/>
    <w:rsid w:val="002032E3"/>
    <w:rsid w:val="002078BF"/>
    <w:rsid w:val="00214988"/>
    <w:rsid w:val="00215A43"/>
    <w:rsid w:val="00231D44"/>
    <w:rsid w:val="00236165"/>
    <w:rsid w:val="00237F04"/>
    <w:rsid w:val="00242D58"/>
    <w:rsid w:val="00247728"/>
    <w:rsid w:val="0025534E"/>
    <w:rsid w:val="002606A8"/>
    <w:rsid w:val="002621FF"/>
    <w:rsid w:val="00264867"/>
    <w:rsid w:val="00266B4E"/>
    <w:rsid w:val="00267200"/>
    <w:rsid w:val="0027041F"/>
    <w:rsid w:val="00280854"/>
    <w:rsid w:val="00281716"/>
    <w:rsid w:val="00294FF1"/>
    <w:rsid w:val="002B24FA"/>
    <w:rsid w:val="002B6106"/>
    <w:rsid w:val="002C32E5"/>
    <w:rsid w:val="002C3B3F"/>
    <w:rsid w:val="002D4279"/>
    <w:rsid w:val="002E1B00"/>
    <w:rsid w:val="002E638A"/>
    <w:rsid w:val="002F6E73"/>
    <w:rsid w:val="00300983"/>
    <w:rsid w:val="00303976"/>
    <w:rsid w:val="00304EB9"/>
    <w:rsid w:val="00307B00"/>
    <w:rsid w:val="003117F7"/>
    <w:rsid w:val="00317785"/>
    <w:rsid w:val="0031780C"/>
    <w:rsid w:val="00335FC2"/>
    <w:rsid w:val="003421CD"/>
    <w:rsid w:val="003431EE"/>
    <w:rsid w:val="003451F5"/>
    <w:rsid w:val="003506C0"/>
    <w:rsid w:val="00351DEF"/>
    <w:rsid w:val="00354303"/>
    <w:rsid w:val="00373CB9"/>
    <w:rsid w:val="00374083"/>
    <w:rsid w:val="00380AAF"/>
    <w:rsid w:val="00382E3D"/>
    <w:rsid w:val="003902F3"/>
    <w:rsid w:val="00391628"/>
    <w:rsid w:val="003A3AC2"/>
    <w:rsid w:val="003A4860"/>
    <w:rsid w:val="003B6659"/>
    <w:rsid w:val="003C03C8"/>
    <w:rsid w:val="003C4393"/>
    <w:rsid w:val="003C52E7"/>
    <w:rsid w:val="003D0D35"/>
    <w:rsid w:val="003D5BC0"/>
    <w:rsid w:val="003E563F"/>
    <w:rsid w:val="003F352F"/>
    <w:rsid w:val="003F3885"/>
    <w:rsid w:val="003F3E7F"/>
    <w:rsid w:val="003F7D9C"/>
    <w:rsid w:val="004278BA"/>
    <w:rsid w:val="00435ED9"/>
    <w:rsid w:val="00447655"/>
    <w:rsid w:val="00451898"/>
    <w:rsid w:val="00453098"/>
    <w:rsid w:val="0045566D"/>
    <w:rsid w:val="0048142D"/>
    <w:rsid w:val="0048563A"/>
    <w:rsid w:val="00492517"/>
    <w:rsid w:val="00497B53"/>
    <w:rsid w:val="004B075B"/>
    <w:rsid w:val="004C4555"/>
    <w:rsid w:val="004C6C6B"/>
    <w:rsid w:val="004E1F8F"/>
    <w:rsid w:val="004E31DA"/>
    <w:rsid w:val="004E3417"/>
    <w:rsid w:val="004F3FD9"/>
    <w:rsid w:val="004F60DD"/>
    <w:rsid w:val="005056A8"/>
    <w:rsid w:val="00507CEE"/>
    <w:rsid w:val="00524D50"/>
    <w:rsid w:val="00530973"/>
    <w:rsid w:val="00550D3B"/>
    <w:rsid w:val="00553BC1"/>
    <w:rsid w:val="0057226F"/>
    <w:rsid w:val="0057673A"/>
    <w:rsid w:val="00594B05"/>
    <w:rsid w:val="005A2DA9"/>
    <w:rsid w:val="005A311B"/>
    <w:rsid w:val="005A43A4"/>
    <w:rsid w:val="005A601D"/>
    <w:rsid w:val="005B3010"/>
    <w:rsid w:val="005B5C81"/>
    <w:rsid w:val="005B5D29"/>
    <w:rsid w:val="005B5DB8"/>
    <w:rsid w:val="005B7A31"/>
    <w:rsid w:val="005C2E35"/>
    <w:rsid w:val="005D23CB"/>
    <w:rsid w:val="005D3402"/>
    <w:rsid w:val="005D6A74"/>
    <w:rsid w:val="005F2746"/>
    <w:rsid w:val="0060305C"/>
    <w:rsid w:val="00603968"/>
    <w:rsid w:val="006076B9"/>
    <w:rsid w:val="00622CDB"/>
    <w:rsid w:val="00625243"/>
    <w:rsid w:val="00646C8A"/>
    <w:rsid w:val="006522AE"/>
    <w:rsid w:val="00653F2E"/>
    <w:rsid w:val="00655D17"/>
    <w:rsid w:val="00655D44"/>
    <w:rsid w:val="006579CE"/>
    <w:rsid w:val="00664F1B"/>
    <w:rsid w:val="00677EBB"/>
    <w:rsid w:val="00682D05"/>
    <w:rsid w:val="00683E3C"/>
    <w:rsid w:val="006900F0"/>
    <w:rsid w:val="006930CE"/>
    <w:rsid w:val="006A49E9"/>
    <w:rsid w:val="006B2484"/>
    <w:rsid w:val="006B60F7"/>
    <w:rsid w:val="006C3AC9"/>
    <w:rsid w:val="006E7E7E"/>
    <w:rsid w:val="006F109F"/>
    <w:rsid w:val="00703BE9"/>
    <w:rsid w:val="00710F46"/>
    <w:rsid w:val="00713289"/>
    <w:rsid w:val="00716CC1"/>
    <w:rsid w:val="00723855"/>
    <w:rsid w:val="0072449F"/>
    <w:rsid w:val="00740F32"/>
    <w:rsid w:val="007501BA"/>
    <w:rsid w:val="00755494"/>
    <w:rsid w:val="00763DED"/>
    <w:rsid w:val="0077360F"/>
    <w:rsid w:val="00795806"/>
    <w:rsid w:val="007A210E"/>
    <w:rsid w:val="007A6583"/>
    <w:rsid w:val="007B0FE8"/>
    <w:rsid w:val="007B7261"/>
    <w:rsid w:val="007C600F"/>
    <w:rsid w:val="007D6714"/>
    <w:rsid w:val="007E7317"/>
    <w:rsid w:val="007F38C0"/>
    <w:rsid w:val="00824E07"/>
    <w:rsid w:val="008265EF"/>
    <w:rsid w:val="00852E3B"/>
    <w:rsid w:val="008535AA"/>
    <w:rsid w:val="00856104"/>
    <w:rsid w:val="00865607"/>
    <w:rsid w:val="00866C6F"/>
    <w:rsid w:val="00885620"/>
    <w:rsid w:val="00886CD0"/>
    <w:rsid w:val="008D71E5"/>
    <w:rsid w:val="008E42D6"/>
    <w:rsid w:val="008E7225"/>
    <w:rsid w:val="008F71AC"/>
    <w:rsid w:val="009034F6"/>
    <w:rsid w:val="00926364"/>
    <w:rsid w:val="0093363A"/>
    <w:rsid w:val="00935843"/>
    <w:rsid w:val="00942965"/>
    <w:rsid w:val="00943C8B"/>
    <w:rsid w:val="00964F33"/>
    <w:rsid w:val="0097166B"/>
    <w:rsid w:val="00975061"/>
    <w:rsid w:val="009804F5"/>
    <w:rsid w:val="009834BC"/>
    <w:rsid w:val="00984C06"/>
    <w:rsid w:val="009B65ED"/>
    <w:rsid w:val="009C4905"/>
    <w:rsid w:val="009D7662"/>
    <w:rsid w:val="009E766A"/>
    <w:rsid w:val="00A12BA3"/>
    <w:rsid w:val="00A145A5"/>
    <w:rsid w:val="00A30C55"/>
    <w:rsid w:val="00A36880"/>
    <w:rsid w:val="00A529A1"/>
    <w:rsid w:val="00A70E6C"/>
    <w:rsid w:val="00A75995"/>
    <w:rsid w:val="00A804E5"/>
    <w:rsid w:val="00A90026"/>
    <w:rsid w:val="00A9032A"/>
    <w:rsid w:val="00AA4AD7"/>
    <w:rsid w:val="00AB101D"/>
    <w:rsid w:val="00AB4241"/>
    <w:rsid w:val="00AB5F92"/>
    <w:rsid w:val="00AC1871"/>
    <w:rsid w:val="00AC6467"/>
    <w:rsid w:val="00AD597D"/>
    <w:rsid w:val="00AF06B7"/>
    <w:rsid w:val="00AF2F3F"/>
    <w:rsid w:val="00AF4432"/>
    <w:rsid w:val="00AF50C8"/>
    <w:rsid w:val="00AF5EAE"/>
    <w:rsid w:val="00B10F44"/>
    <w:rsid w:val="00B14CC5"/>
    <w:rsid w:val="00B229BC"/>
    <w:rsid w:val="00B34EDB"/>
    <w:rsid w:val="00B54689"/>
    <w:rsid w:val="00B66EF6"/>
    <w:rsid w:val="00B75C0C"/>
    <w:rsid w:val="00B87FB0"/>
    <w:rsid w:val="00B91215"/>
    <w:rsid w:val="00B91AED"/>
    <w:rsid w:val="00B92C04"/>
    <w:rsid w:val="00B946A4"/>
    <w:rsid w:val="00B95EA5"/>
    <w:rsid w:val="00BA4B20"/>
    <w:rsid w:val="00BB0B55"/>
    <w:rsid w:val="00BB207D"/>
    <w:rsid w:val="00BB305D"/>
    <w:rsid w:val="00BD5B50"/>
    <w:rsid w:val="00BD7493"/>
    <w:rsid w:val="00BD749D"/>
    <w:rsid w:val="00BF45F0"/>
    <w:rsid w:val="00C11CD7"/>
    <w:rsid w:val="00C270EF"/>
    <w:rsid w:val="00C300E7"/>
    <w:rsid w:val="00C359A5"/>
    <w:rsid w:val="00C42916"/>
    <w:rsid w:val="00C4293F"/>
    <w:rsid w:val="00C46ABB"/>
    <w:rsid w:val="00C54C5D"/>
    <w:rsid w:val="00C64CC1"/>
    <w:rsid w:val="00C65AC5"/>
    <w:rsid w:val="00C71243"/>
    <w:rsid w:val="00C73620"/>
    <w:rsid w:val="00C74E87"/>
    <w:rsid w:val="00C94500"/>
    <w:rsid w:val="00CA03C2"/>
    <w:rsid w:val="00CA365C"/>
    <w:rsid w:val="00CB2129"/>
    <w:rsid w:val="00CC3989"/>
    <w:rsid w:val="00CC66D1"/>
    <w:rsid w:val="00CE12F0"/>
    <w:rsid w:val="00CE3F15"/>
    <w:rsid w:val="00CE740F"/>
    <w:rsid w:val="00D14AAF"/>
    <w:rsid w:val="00D1685E"/>
    <w:rsid w:val="00D308DA"/>
    <w:rsid w:val="00D54662"/>
    <w:rsid w:val="00D70753"/>
    <w:rsid w:val="00D762D6"/>
    <w:rsid w:val="00D82B0F"/>
    <w:rsid w:val="00DA42A3"/>
    <w:rsid w:val="00DA45C4"/>
    <w:rsid w:val="00DA58C6"/>
    <w:rsid w:val="00DB07E9"/>
    <w:rsid w:val="00DB1C86"/>
    <w:rsid w:val="00DD19EA"/>
    <w:rsid w:val="00E02226"/>
    <w:rsid w:val="00E06E2A"/>
    <w:rsid w:val="00E1369B"/>
    <w:rsid w:val="00E14F7B"/>
    <w:rsid w:val="00E40261"/>
    <w:rsid w:val="00E64023"/>
    <w:rsid w:val="00E65075"/>
    <w:rsid w:val="00E66821"/>
    <w:rsid w:val="00E80210"/>
    <w:rsid w:val="00EC4D62"/>
    <w:rsid w:val="00EE1FEF"/>
    <w:rsid w:val="00EF4C8A"/>
    <w:rsid w:val="00F01E1E"/>
    <w:rsid w:val="00F237D2"/>
    <w:rsid w:val="00F25ABC"/>
    <w:rsid w:val="00F450F3"/>
    <w:rsid w:val="00F63BE9"/>
    <w:rsid w:val="00F73D53"/>
    <w:rsid w:val="00F84F40"/>
    <w:rsid w:val="00F85302"/>
    <w:rsid w:val="00F900A6"/>
    <w:rsid w:val="00F928B5"/>
    <w:rsid w:val="00F93941"/>
    <w:rsid w:val="00F962E7"/>
    <w:rsid w:val="00FA2BD3"/>
    <w:rsid w:val="00FB269F"/>
    <w:rsid w:val="00FB5A4E"/>
    <w:rsid w:val="00FB7DEE"/>
    <w:rsid w:val="00FC19AE"/>
    <w:rsid w:val="00FC7371"/>
    <w:rsid w:val="00FE6E55"/>
    <w:rsid w:val="00FF12B5"/>
    <w:rsid w:val="00FF1ACF"/>
    <w:rsid w:val="00FF6F8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2"/>
    <w:lsdException w:name="toc 2" w:uiPriority="2"/>
    <w:lsdException w:name="toc 3" w:uiPriority="2"/>
    <w:lsdException w:name="toc 4" w:uiPriority="2"/>
    <w:lsdException w:name="toc 5" w:uiPriority="2"/>
    <w:lsdException w:name="toc 6" w:uiPriority="2"/>
    <w:lsdException w:name="toc 7" w:uiPriority="2"/>
    <w:lsdException w:name="toc 8" w:uiPriority="2"/>
    <w:lsdException w:name="toc 9" w:uiPriority="2"/>
    <w:lsdException w:name="Normal Indent" w:uiPriority="0"/>
    <w:lsdException w:name="footnote text" w:uiPriority="0"/>
    <w:lsdException w:name="annotation text" w:uiPriority="0"/>
    <w:lsdException w:name="header" w:uiPriority="0"/>
    <w:lsdException w:name="footer" w:uiPriority="0"/>
    <w:lsdException w:name="index heading" w:uiPriority="0"/>
    <w:lsdException w:name="caption" w:uiPriority="0" w:qFormat="1"/>
    <w:lsdException w:name="table of figures" w:uiPriority="0"/>
    <w:lsdException w:name="footnote reference" w:uiPriority="0"/>
    <w:lsdException w:name="annotation reference" w:uiPriority="0"/>
    <w:lsdException w:name="page number" w:uiPriority="0"/>
    <w:lsdException w:name="endnote reference" w:uiPriority="0"/>
    <w:lsdException w:name="endnote text" w:uiPriority="0"/>
    <w:lsdException w:name="table of authorities" w:uiPriority="0"/>
    <w:lsdException w:name="macro" w:uiPriority="0"/>
    <w:lsdException w:name="toa heading"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78BA"/>
    <w:pPr>
      <w:spacing w:after="240" w:line="260" w:lineRule="exact"/>
      <w:jc w:val="both"/>
    </w:pPr>
    <w:rPr>
      <w:rFonts w:ascii="Book Antiqua" w:eastAsia="Times New Roman" w:hAnsi="Book Antiqua"/>
      <w:szCs w:val="24"/>
      <w:lang w:eastAsia="en-US"/>
    </w:rPr>
  </w:style>
  <w:style w:type="paragraph" w:styleId="Heading1">
    <w:name w:val="heading 1"/>
    <w:basedOn w:val="Attachmentheading"/>
    <w:next w:val="Normal"/>
    <w:link w:val="Heading1Char"/>
    <w:qFormat/>
    <w:rsid w:val="00603968"/>
    <w:pPr>
      <w:outlineLvl w:val="0"/>
    </w:pPr>
  </w:style>
  <w:style w:type="paragraph" w:styleId="Heading2">
    <w:name w:val="heading 2"/>
    <w:basedOn w:val="HeadingBase"/>
    <w:next w:val="Normal"/>
    <w:link w:val="Heading2Char"/>
    <w:qFormat/>
    <w:rsid w:val="00BB207D"/>
    <w:pPr>
      <w:spacing w:before="240" w:after="240"/>
      <w:outlineLvl w:val="1"/>
    </w:pPr>
    <w:rPr>
      <w:rFonts w:ascii="Arial Bold" w:hAnsi="Arial Bold"/>
      <w:b/>
      <w:smallCaps/>
      <w:sz w:val="26"/>
    </w:rPr>
  </w:style>
  <w:style w:type="paragraph" w:styleId="Heading3">
    <w:name w:val="heading 3"/>
    <w:basedOn w:val="HeadingBase"/>
    <w:next w:val="Normal"/>
    <w:link w:val="Heading3Char"/>
    <w:qFormat/>
    <w:rsid w:val="00BB207D"/>
    <w:pPr>
      <w:spacing w:before="120" w:after="120"/>
      <w:outlineLvl w:val="2"/>
    </w:pPr>
    <w:rPr>
      <w:rFonts w:ascii="Arial Bold" w:hAnsi="Arial Bold"/>
      <w:b/>
      <w:sz w:val="22"/>
    </w:rPr>
  </w:style>
  <w:style w:type="paragraph" w:styleId="Heading4">
    <w:name w:val="heading 4"/>
    <w:basedOn w:val="HeadingBase"/>
    <w:next w:val="Normal"/>
    <w:link w:val="Heading4Char"/>
    <w:qFormat/>
    <w:rsid w:val="00BB207D"/>
    <w:pPr>
      <w:spacing w:after="120"/>
      <w:outlineLvl w:val="3"/>
    </w:pPr>
    <w:rPr>
      <w:rFonts w:ascii="Arial Bold" w:hAnsi="Arial Bold"/>
      <w:b/>
      <w:sz w:val="20"/>
    </w:rPr>
  </w:style>
  <w:style w:type="paragraph" w:styleId="Heading5">
    <w:name w:val="heading 5"/>
    <w:basedOn w:val="HeadingBase"/>
    <w:next w:val="Normal"/>
    <w:link w:val="Heading5Char"/>
    <w:qFormat/>
    <w:rsid w:val="00BB207D"/>
    <w:pPr>
      <w:spacing w:after="120"/>
      <w:outlineLvl w:val="4"/>
    </w:pPr>
    <w:rPr>
      <w:b/>
      <w:bCs/>
      <w:iCs/>
      <w:sz w:val="20"/>
      <w:szCs w:val="26"/>
    </w:rPr>
  </w:style>
  <w:style w:type="paragraph" w:styleId="Heading6">
    <w:name w:val="heading 6"/>
    <w:basedOn w:val="HeadingBase"/>
    <w:next w:val="Normal"/>
    <w:link w:val="Heading6Char"/>
    <w:rsid w:val="00BB207D"/>
    <w:pPr>
      <w:spacing w:after="120"/>
      <w:outlineLvl w:val="5"/>
    </w:pPr>
    <w:rPr>
      <w:bCs/>
      <w:sz w:val="20"/>
      <w:szCs w:val="22"/>
    </w:rPr>
  </w:style>
  <w:style w:type="paragraph" w:styleId="Heading7">
    <w:name w:val="heading 7"/>
    <w:basedOn w:val="HeadingBase"/>
    <w:next w:val="Normal"/>
    <w:link w:val="Heading7Char"/>
    <w:rsid w:val="00BB207D"/>
    <w:pPr>
      <w:spacing w:before="120"/>
      <w:outlineLvl w:val="6"/>
    </w:pPr>
    <w:rPr>
      <w:sz w:val="20"/>
      <w:szCs w:val="24"/>
    </w:rPr>
  </w:style>
  <w:style w:type="paragraph" w:styleId="Heading8">
    <w:name w:val="heading 8"/>
    <w:basedOn w:val="HeadingBase"/>
    <w:next w:val="Normal"/>
    <w:link w:val="Heading8Char"/>
    <w:rsid w:val="00BB207D"/>
    <w:pPr>
      <w:spacing w:before="240" w:after="60"/>
      <w:outlineLvl w:val="7"/>
    </w:pPr>
    <w:rPr>
      <w:rFonts w:ascii="Times New Roman" w:hAnsi="Times New Roman"/>
      <w:i/>
      <w:iCs/>
      <w:sz w:val="1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HeaderBase"/>
    <w:link w:val="HeaderChar"/>
    <w:rsid w:val="00BB207D"/>
    <w:pPr>
      <w:tabs>
        <w:tab w:val="center" w:pos="4153"/>
        <w:tab w:val="right" w:pos="8306"/>
      </w:tabs>
    </w:pPr>
  </w:style>
  <w:style w:type="character" w:customStyle="1" w:styleId="HeaderChar">
    <w:name w:val="Header Char"/>
    <w:link w:val="Header"/>
    <w:rsid w:val="00BB207D"/>
    <w:rPr>
      <w:rFonts w:ascii="Book Antiqua" w:eastAsia="Times New Roman" w:hAnsi="Book Antiqua" w:cs="Times New Roman"/>
      <w:i/>
      <w:sz w:val="20"/>
      <w:szCs w:val="20"/>
      <w:lang w:eastAsia="en-AU"/>
    </w:rPr>
  </w:style>
  <w:style w:type="paragraph" w:styleId="Footer">
    <w:name w:val="footer"/>
    <w:basedOn w:val="FooterBase"/>
    <w:link w:val="FooterChar"/>
    <w:rsid w:val="00BB207D"/>
    <w:pPr>
      <w:tabs>
        <w:tab w:val="center" w:pos="4153"/>
        <w:tab w:val="right" w:pos="8306"/>
      </w:tabs>
    </w:pPr>
  </w:style>
  <w:style w:type="character" w:customStyle="1" w:styleId="FooterChar">
    <w:name w:val="Footer Char"/>
    <w:link w:val="Footer"/>
    <w:rsid w:val="00BB207D"/>
    <w:rPr>
      <w:rFonts w:ascii="Arial" w:eastAsia="Times New Roman" w:hAnsi="Arial" w:cs="Times New Roman"/>
      <w:sz w:val="20"/>
      <w:szCs w:val="20"/>
      <w:lang w:eastAsia="en-AU"/>
    </w:rPr>
  </w:style>
  <w:style w:type="paragraph" w:customStyle="1" w:styleId="SecurityClassificationHeader">
    <w:name w:val="Security Classification Header"/>
    <w:link w:val="SecurityClassificationHeaderChar"/>
    <w:rsid w:val="00E40261"/>
    <w:pPr>
      <w:spacing w:before="240" w:after="60" w:line="259" w:lineRule="auto"/>
      <w:jc w:val="center"/>
    </w:pPr>
    <w:rPr>
      <w:rFonts w:cs="Calibri"/>
      <w:b/>
      <w:caps/>
      <w:sz w:val="24"/>
      <w:szCs w:val="22"/>
      <w:lang w:eastAsia="en-US"/>
    </w:rPr>
  </w:style>
  <w:style w:type="character" w:customStyle="1" w:styleId="SecurityClassificationHeaderChar">
    <w:name w:val="Security Classification Header Char"/>
    <w:link w:val="SecurityClassificationHeader"/>
    <w:rsid w:val="00E40261"/>
    <w:rPr>
      <w:rFonts w:ascii="Calibri" w:eastAsia="Times New Roman" w:hAnsi="Calibri" w:cs="Calibri"/>
      <w:b/>
      <w:i/>
      <w:caps/>
      <w:sz w:val="24"/>
      <w:szCs w:val="20"/>
      <w:lang w:eastAsia="en-AU"/>
    </w:rPr>
  </w:style>
  <w:style w:type="paragraph" w:customStyle="1" w:styleId="SecurityClassificationFooter">
    <w:name w:val="Security Classification Footer"/>
    <w:link w:val="SecurityClassificationFooterChar"/>
    <w:rsid w:val="00E40261"/>
    <w:pPr>
      <w:spacing w:before="60" w:after="240" w:line="259" w:lineRule="auto"/>
      <w:jc w:val="center"/>
    </w:pPr>
    <w:rPr>
      <w:rFonts w:cs="Calibri"/>
      <w:b/>
      <w:caps/>
      <w:sz w:val="24"/>
      <w:szCs w:val="22"/>
      <w:lang w:eastAsia="en-US"/>
    </w:rPr>
  </w:style>
  <w:style w:type="character" w:customStyle="1" w:styleId="SecurityClassificationFooterChar">
    <w:name w:val="Security Classification Footer Char"/>
    <w:link w:val="SecurityClassificationFooter"/>
    <w:rsid w:val="00E40261"/>
    <w:rPr>
      <w:rFonts w:ascii="Calibri" w:eastAsia="Times New Roman" w:hAnsi="Calibri" w:cs="Calibri"/>
      <w:b/>
      <w:i/>
      <w:caps/>
      <w:sz w:val="24"/>
      <w:szCs w:val="20"/>
      <w:lang w:eastAsia="en-AU"/>
    </w:rPr>
  </w:style>
  <w:style w:type="paragraph" w:customStyle="1" w:styleId="DLMSecurityHeader">
    <w:name w:val="DLM Security Header"/>
    <w:link w:val="DLMSecurityHeaderChar"/>
    <w:rsid w:val="00E40261"/>
    <w:pPr>
      <w:spacing w:before="60" w:after="240" w:line="259" w:lineRule="auto"/>
      <w:jc w:val="center"/>
    </w:pPr>
    <w:rPr>
      <w:rFonts w:cs="Calibri"/>
      <w:b/>
      <w:caps/>
      <w:sz w:val="24"/>
      <w:szCs w:val="22"/>
      <w:lang w:eastAsia="en-US"/>
    </w:rPr>
  </w:style>
  <w:style w:type="character" w:customStyle="1" w:styleId="DLMSecurityHeaderChar">
    <w:name w:val="DLM Security Header Char"/>
    <w:link w:val="DLMSecurityHeader"/>
    <w:rsid w:val="00E40261"/>
    <w:rPr>
      <w:rFonts w:ascii="Calibri" w:eastAsia="Times New Roman" w:hAnsi="Calibri" w:cs="Calibri"/>
      <w:b/>
      <w:i/>
      <w:caps/>
      <w:sz w:val="24"/>
      <w:szCs w:val="20"/>
      <w:lang w:eastAsia="en-AU"/>
    </w:rPr>
  </w:style>
  <w:style w:type="paragraph" w:customStyle="1" w:styleId="DLMSecurityFooter">
    <w:name w:val="DLM Security Footer"/>
    <w:link w:val="DLMSecurityFooterChar"/>
    <w:rsid w:val="00E40261"/>
    <w:pPr>
      <w:spacing w:before="240" w:after="60" w:line="259" w:lineRule="auto"/>
      <w:jc w:val="center"/>
    </w:pPr>
    <w:rPr>
      <w:rFonts w:cs="Calibri"/>
      <w:b/>
      <w:caps/>
      <w:sz w:val="24"/>
      <w:szCs w:val="22"/>
      <w:lang w:eastAsia="en-US"/>
    </w:rPr>
  </w:style>
  <w:style w:type="character" w:customStyle="1" w:styleId="DLMSecurityFooterChar">
    <w:name w:val="DLM Security Footer Char"/>
    <w:link w:val="DLMSecurityFooter"/>
    <w:rsid w:val="00E40261"/>
    <w:rPr>
      <w:rFonts w:ascii="Calibri" w:eastAsia="Times New Roman" w:hAnsi="Calibri" w:cs="Calibri"/>
      <w:b/>
      <w:i/>
      <w:caps/>
      <w:sz w:val="24"/>
      <w:szCs w:val="20"/>
      <w:lang w:eastAsia="en-AU"/>
    </w:rPr>
  </w:style>
  <w:style w:type="paragraph" w:customStyle="1" w:styleId="Classification">
    <w:name w:val="Classification"/>
    <w:basedOn w:val="HeadingBase"/>
    <w:rsid w:val="00BB207D"/>
    <w:pPr>
      <w:jc w:val="center"/>
    </w:pPr>
    <w:rPr>
      <w:b/>
      <w:smallCaps/>
    </w:rPr>
  </w:style>
  <w:style w:type="paragraph" w:customStyle="1" w:styleId="FileProperties">
    <w:name w:val="File Properties"/>
    <w:basedOn w:val="Normal"/>
    <w:rsid w:val="00BB207D"/>
    <w:rPr>
      <w:i/>
    </w:rPr>
  </w:style>
  <w:style w:type="paragraph" w:customStyle="1" w:styleId="AlphaParagraph">
    <w:name w:val="Alpha Paragraph"/>
    <w:basedOn w:val="Normal"/>
    <w:rsid w:val="00BB207D"/>
    <w:pPr>
      <w:numPr>
        <w:numId w:val="1"/>
      </w:numPr>
      <w:tabs>
        <w:tab w:val="clear" w:pos="567"/>
        <w:tab w:val="num" w:pos="360"/>
      </w:tabs>
      <w:ind w:left="0" w:firstLine="0"/>
    </w:pPr>
  </w:style>
  <w:style w:type="paragraph" w:customStyle="1" w:styleId="HeadingBase">
    <w:name w:val="Heading Base"/>
    <w:rsid w:val="00BB207D"/>
    <w:pPr>
      <w:keepNext/>
    </w:pPr>
    <w:rPr>
      <w:rFonts w:ascii="Arial" w:eastAsia="Times New Roman" w:hAnsi="Arial"/>
      <w:sz w:val="24"/>
    </w:rPr>
  </w:style>
  <w:style w:type="paragraph" w:customStyle="1" w:styleId="AppendixHeading">
    <w:name w:val="Appendix Heading"/>
    <w:basedOn w:val="HeadingBase"/>
    <w:rsid w:val="00BB207D"/>
    <w:pPr>
      <w:spacing w:after="240"/>
      <w:jc w:val="center"/>
      <w:outlineLvl w:val="3"/>
    </w:pPr>
    <w:rPr>
      <w:b/>
      <w:smallCaps/>
      <w:sz w:val="30"/>
    </w:rPr>
  </w:style>
  <w:style w:type="paragraph" w:styleId="BalloonText">
    <w:name w:val="Balloon Text"/>
    <w:basedOn w:val="Normal"/>
    <w:link w:val="BalloonTextChar"/>
    <w:rsid w:val="00BB207D"/>
    <w:rPr>
      <w:rFonts w:ascii="Tahoma" w:hAnsi="Tahoma" w:cs="Tahoma"/>
      <w:sz w:val="16"/>
      <w:szCs w:val="16"/>
    </w:rPr>
  </w:style>
  <w:style w:type="character" w:customStyle="1" w:styleId="BalloonTextChar">
    <w:name w:val="Balloon Text Char"/>
    <w:link w:val="BalloonText"/>
    <w:rsid w:val="00BB207D"/>
    <w:rPr>
      <w:rFonts w:ascii="Tahoma" w:eastAsia="Times New Roman" w:hAnsi="Tahoma" w:cs="Tahoma"/>
      <w:sz w:val="16"/>
      <w:szCs w:val="16"/>
      <w:lang w:eastAsia="en-AU"/>
    </w:rPr>
  </w:style>
  <w:style w:type="paragraph" w:customStyle="1" w:styleId="BlockedQuotation">
    <w:name w:val="Blocked Quotation"/>
    <w:basedOn w:val="Normal"/>
    <w:rsid w:val="00BB207D"/>
    <w:pPr>
      <w:ind w:left="567"/>
    </w:pPr>
  </w:style>
  <w:style w:type="paragraph" w:customStyle="1" w:styleId="BoxText">
    <w:name w:val="Box Text"/>
    <w:basedOn w:val="Normal"/>
    <w:qFormat/>
    <w:rsid w:val="00BB207D"/>
    <w:pPr>
      <w:spacing w:before="120" w:after="120" w:line="240" w:lineRule="auto"/>
    </w:pPr>
  </w:style>
  <w:style w:type="paragraph" w:customStyle="1" w:styleId="BoxBullet">
    <w:name w:val="Box Bullet"/>
    <w:basedOn w:val="BoxText"/>
    <w:rsid w:val="00BB207D"/>
    <w:pPr>
      <w:numPr>
        <w:numId w:val="2"/>
      </w:numPr>
    </w:pPr>
  </w:style>
  <w:style w:type="paragraph" w:customStyle="1" w:styleId="BoxHeading">
    <w:name w:val="Box Heading"/>
    <w:basedOn w:val="HeadingBase"/>
    <w:next w:val="BoxText"/>
    <w:rsid w:val="00BB207D"/>
    <w:pPr>
      <w:spacing w:before="120" w:after="120"/>
    </w:pPr>
    <w:rPr>
      <w:b/>
      <w:sz w:val="20"/>
    </w:rPr>
  </w:style>
  <w:style w:type="character" w:customStyle="1" w:styleId="Heading6Char">
    <w:name w:val="Heading 6 Char"/>
    <w:link w:val="Heading6"/>
    <w:rsid w:val="00BB207D"/>
    <w:rPr>
      <w:rFonts w:ascii="Arial" w:eastAsia="Times New Roman" w:hAnsi="Arial" w:cs="Times New Roman"/>
      <w:bCs/>
      <w:sz w:val="20"/>
      <w:lang w:eastAsia="en-AU"/>
    </w:rPr>
  </w:style>
  <w:style w:type="paragraph" w:customStyle="1" w:styleId="BoxSubHeading">
    <w:name w:val="Box Sub Heading"/>
    <w:basedOn w:val="Heading6"/>
    <w:rsid w:val="00BB207D"/>
    <w:pPr>
      <w:spacing w:before="120" w:after="40"/>
    </w:pPr>
  </w:style>
  <w:style w:type="paragraph" w:customStyle="1" w:styleId="Bullet">
    <w:name w:val="Bullet"/>
    <w:basedOn w:val="Normal"/>
    <w:link w:val="BulletChar"/>
    <w:qFormat/>
    <w:rsid w:val="00BB207D"/>
    <w:pPr>
      <w:numPr>
        <w:numId w:val="7"/>
      </w:numPr>
    </w:pPr>
  </w:style>
  <w:style w:type="paragraph" w:styleId="Caption">
    <w:name w:val="caption"/>
    <w:basedOn w:val="Normal"/>
    <w:next w:val="Normal"/>
    <w:rsid w:val="00BB207D"/>
    <w:rPr>
      <w:b/>
      <w:bCs/>
    </w:rPr>
  </w:style>
  <w:style w:type="paragraph" w:customStyle="1" w:styleId="ChartandTableFootnote">
    <w:name w:val="Chart and Table Footnote"/>
    <w:basedOn w:val="HeadingBase"/>
    <w:next w:val="Normal"/>
    <w:rsid w:val="00BB207D"/>
    <w:pPr>
      <w:keepNext w:val="0"/>
      <w:tabs>
        <w:tab w:val="left" w:pos="284"/>
      </w:tabs>
      <w:jc w:val="both"/>
    </w:pPr>
    <w:rPr>
      <w:color w:val="000000"/>
      <w:sz w:val="16"/>
    </w:rPr>
  </w:style>
  <w:style w:type="paragraph" w:customStyle="1" w:styleId="ChartandTableFootnoteAlpha">
    <w:name w:val="Chart and Table Footnote Alpha"/>
    <w:basedOn w:val="HeadingBase"/>
    <w:next w:val="Normal"/>
    <w:link w:val="ChartandTableFootnoteAlphaChar"/>
    <w:rsid w:val="00BB207D"/>
    <w:pPr>
      <w:keepNext w:val="0"/>
      <w:numPr>
        <w:numId w:val="4"/>
      </w:numPr>
      <w:jc w:val="both"/>
    </w:pPr>
    <w:rPr>
      <w:color w:val="000000"/>
      <w:sz w:val="16"/>
    </w:rPr>
  </w:style>
  <w:style w:type="paragraph" w:customStyle="1" w:styleId="ChartandTableFootnoteSmall">
    <w:name w:val="Chart and Table Footnote Small"/>
    <w:basedOn w:val="HeadingBase"/>
    <w:next w:val="Normal"/>
    <w:rsid w:val="00BB207D"/>
    <w:pPr>
      <w:keepNext w:val="0"/>
      <w:tabs>
        <w:tab w:val="left" w:pos="284"/>
      </w:tabs>
      <w:jc w:val="both"/>
    </w:pPr>
    <w:rPr>
      <w:color w:val="000000"/>
      <w:sz w:val="15"/>
    </w:rPr>
  </w:style>
  <w:style w:type="paragraph" w:customStyle="1" w:styleId="ChartGraphic">
    <w:name w:val="Chart Graphic"/>
    <w:basedOn w:val="HeadingBase"/>
    <w:rsid w:val="00BB207D"/>
    <w:pPr>
      <w:jc w:val="center"/>
    </w:pPr>
    <w:rPr>
      <w:sz w:val="20"/>
    </w:rPr>
  </w:style>
  <w:style w:type="paragraph" w:customStyle="1" w:styleId="ChartHeading">
    <w:name w:val="Chart Heading"/>
    <w:basedOn w:val="HeadingBase"/>
    <w:next w:val="ChartGraphic"/>
    <w:qFormat/>
    <w:rsid w:val="00BB207D"/>
    <w:pPr>
      <w:spacing w:before="120" w:after="20"/>
      <w:jc w:val="center"/>
    </w:pPr>
    <w:rPr>
      <w:b/>
      <w:sz w:val="20"/>
    </w:rPr>
  </w:style>
  <w:style w:type="paragraph" w:customStyle="1" w:styleId="ChartMainHeading">
    <w:name w:val="Chart Main Heading"/>
    <w:basedOn w:val="Normal"/>
    <w:next w:val="ChartGraphic"/>
    <w:rsid w:val="00BB207D"/>
    <w:pPr>
      <w:keepNext/>
      <w:spacing w:before="120" w:after="20" w:line="240" w:lineRule="auto"/>
      <w:jc w:val="center"/>
    </w:pPr>
    <w:rPr>
      <w:rFonts w:ascii="Arial Bold" w:hAnsi="Arial Bold"/>
      <w:b/>
    </w:rPr>
  </w:style>
  <w:style w:type="paragraph" w:customStyle="1" w:styleId="ChartSecondHeading">
    <w:name w:val="Chart Second Heading"/>
    <w:basedOn w:val="HeadingBase"/>
    <w:next w:val="ChartGraphic"/>
    <w:rsid w:val="00BB207D"/>
    <w:pPr>
      <w:spacing w:before="60"/>
      <w:jc w:val="center"/>
    </w:pPr>
    <w:rPr>
      <w:sz w:val="20"/>
    </w:rPr>
  </w:style>
  <w:style w:type="character" w:styleId="CommentReference">
    <w:name w:val="annotation reference"/>
    <w:semiHidden/>
    <w:rsid w:val="00BB207D"/>
    <w:rPr>
      <w:sz w:val="16"/>
      <w:szCs w:val="16"/>
    </w:rPr>
  </w:style>
  <w:style w:type="paragraph" w:styleId="CommentText">
    <w:name w:val="annotation text"/>
    <w:basedOn w:val="Normal"/>
    <w:link w:val="CommentTextChar"/>
    <w:semiHidden/>
    <w:rsid w:val="00BB207D"/>
  </w:style>
  <w:style w:type="character" w:customStyle="1" w:styleId="CommentTextChar">
    <w:name w:val="Comment Text Char"/>
    <w:link w:val="CommentText"/>
    <w:semiHidden/>
    <w:rsid w:val="00BB207D"/>
    <w:rPr>
      <w:rFonts w:ascii="Book Antiqua" w:eastAsia="Times New Roman" w:hAnsi="Book Antiqua" w:cs="Times New Roman"/>
      <w:sz w:val="20"/>
      <w:szCs w:val="20"/>
      <w:lang w:eastAsia="en-AU"/>
    </w:rPr>
  </w:style>
  <w:style w:type="paragraph" w:styleId="CommentSubject">
    <w:name w:val="annotation subject"/>
    <w:basedOn w:val="CommentText"/>
    <w:next w:val="CommentText"/>
    <w:link w:val="CommentSubjectChar"/>
    <w:semiHidden/>
    <w:rsid w:val="00BB207D"/>
    <w:rPr>
      <w:b/>
      <w:bCs/>
    </w:rPr>
  </w:style>
  <w:style w:type="character" w:customStyle="1" w:styleId="CommentSubjectChar">
    <w:name w:val="Comment Subject Char"/>
    <w:link w:val="CommentSubject"/>
    <w:semiHidden/>
    <w:rsid w:val="00BB207D"/>
    <w:rPr>
      <w:rFonts w:ascii="Book Antiqua" w:eastAsia="Times New Roman" w:hAnsi="Book Antiqua" w:cs="Times New Roman"/>
      <w:b/>
      <w:bCs/>
      <w:sz w:val="20"/>
      <w:szCs w:val="20"/>
      <w:lang w:eastAsia="en-AU"/>
    </w:rPr>
  </w:style>
  <w:style w:type="paragraph" w:customStyle="1" w:styleId="ContentsHeading">
    <w:name w:val="Contents Heading"/>
    <w:basedOn w:val="HeadingBase"/>
    <w:next w:val="Normal"/>
    <w:rsid w:val="00BB207D"/>
    <w:pPr>
      <w:spacing w:after="720"/>
      <w:jc w:val="center"/>
    </w:pPr>
    <w:rPr>
      <w:b/>
      <w:smallCaps/>
      <w:sz w:val="34"/>
    </w:rPr>
  </w:style>
  <w:style w:type="paragraph" w:customStyle="1" w:styleId="ContentsnoToC">
    <w:name w:val="Contents no ToC"/>
    <w:basedOn w:val="ContentsHeading"/>
    <w:rsid w:val="00BB207D"/>
  </w:style>
  <w:style w:type="paragraph" w:customStyle="1" w:styleId="Dash">
    <w:name w:val="Dash"/>
    <w:basedOn w:val="Normal"/>
    <w:qFormat/>
    <w:rsid w:val="00BB207D"/>
    <w:pPr>
      <w:numPr>
        <w:ilvl w:val="1"/>
        <w:numId w:val="7"/>
      </w:numPr>
      <w:tabs>
        <w:tab w:val="left" w:pos="567"/>
      </w:tabs>
    </w:pPr>
  </w:style>
  <w:style w:type="paragraph" w:styleId="DocumentMap">
    <w:name w:val="Document Map"/>
    <w:basedOn w:val="Normal"/>
    <w:link w:val="DocumentMapChar"/>
    <w:semiHidden/>
    <w:rsid w:val="00BB207D"/>
    <w:pPr>
      <w:shd w:val="clear" w:color="auto" w:fill="000080"/>
    </w:pPr>
    <w:rPr>
      <w:rFonts w:ascii="Tahoma" w:hAnsi="Tahoma" w:cs="Tahoma"/>
    </w:rPr>
  </w:style>
  <w:style w:type="character" w:customStyle="1" w:styleId="DocumentMapChar">
    <w:name w:val="Document Map Char"/>
    <w:link w:val="DocumentMap"/>
    <w:semiHidden/>
    <w:rsid w:val="00BB207D"/>
    <w:rPr>
      <w:rFonts w:ascii="Tahoma" w:eastAsia="Times New Roman" w:hAnsi="Tahoma" w:cs="Tahoma"/>
      <w:sz w:val="20"/>
      <w:szCs w:val="20"/>
      <w:shd w:val="clear" w:color="auto" w:fill="000080"/>
      <w:lang w:eastAsia="en-AU"/>
    </w:rPr>
  </w:style>
  <w:style w:type="paragraph" w:customStyle="1" w:styleId="DoubleDot">
    <w:name w:val="Double Dot"/>
    <w:basedOn w:val="Normal"/>
    <w:rsid w:val="00BB207D"/>
    <w:pPr>
      <w:numPr>
        <w:ilvl w:val="2"/>
        <w:numId w:val="7"/>
      </w:numPr>
      <w:tabs>
        <w:tab w:val="clear" w:pos="850"/>
        <w:tab w:val="num" w:pos="360"/>
        <w:tab w:val="left" w:pos="851"/>
      </w:tabs>
    </w:pPr>
  </w:style>
  <w:style w:type="character" w:styleId="EndnoteReference">
    <w:name w:val="endnote reference"/>
    <w:unhideWhenUsed/>
    <w:rsid w:val="00BB207D"/>
    <w:rPr>
      <w:vertAlign w:val="superscript"/>
    </w:rPr>
  </w:style>
  <w:style w:type="paragraph" w:styleId="EndnoteText">
    <w:name w:val="endnote text"/>
    <w:basedOn w:val="Normal"/>
    <w:link w:val="EndnoteTextChar"/>
    <w:unhideWhenUsed/>
    <w:rsid w:val="00BB207D"/>
  </w:style>
  <w:style w:type="character" w:customStyle="1" w:styleId="EndnoteTextChar">
    <w:name w:val="Endnote Text Char"/>
    <w:link w:val="EndnoteText"/>
    <w:rsid w:val="00BB207D"/>
    <w:rPr>
      <w:rFonts w:ascii="Book Antiqua" w:eastAsia="Times New Roman" w:hAnsi="Book Antiqua" w:cs="Times New Roman"/>
      <w:sz w:val="20"/>
      <w:szCs w:val="20"/>
      <w:lang w:eastAsia="en-AU"/>
    </w:rPr>
  </w:style>
  <w:style w:type="paragraph" w:customStyle="1" w:styleId="FigureHeading">
    <w:name w:val="Figure Heading"/>
    <w:basedOn w:val="HeadingBase"/>
    <w:next w:val="ChartGraphic"/>
    <w:rsid w:val="00BB207D"/>
    <w:pPr>
      <w:spacing w:before="120" w:after="20"/>
    </w:pPr>
    <w:rPr>
      <w:b/>
      <w:sz w:val="20"/>
    </w:rPr>
  </w:style>
  <w:style w:type="paragraph" w:customStyle="1" w:styleId="FooterBase">
    <w:name w:val="Footer Base"/>
    <w:rsid w:val="00BB207D"/>
    <w:pPr>
      <w:jc w:val="center"/>
    </w:pPr>
    <w:rPr>
      <w:rFonts w:ascii="Arial" w:eastAsia="Times New Roman" w:hAnsi="Arial"/>
    </w:rPr>
  </w:style>
  <w:style w:type="paragraph" w:customStyle="1" w:styleId="FooterEven">
    <w:name w:val="Footer Even"/>
    <w:basedOn w:val="Footer"/>
    <w:rsid w:val="00BB207D"/>
    <w:pPr>
      <w:jc w:val="left"/>
    </w:pPr>
    <w:rPr>
      <w:sz w:val="18"/>
    </w:rPr>
  </w:style>
  <w:style w:type="paragraph" w:customStyle="1" w:styleId="FooterOdd">
    <w:name w:val="Footer Odd"/>
    <w:basedOn w:val="Footer"/>
    <w:rsid w:val="00BB207D"/>
    <w:pPr>
      <w:jc w:val="right"/>
    </w:pPr>
    <w:rPr>
      <w:sz w:val="18"/>
    </w:rPr>
  </w:style>
  <w:style w:type="character" w:styleId="FootnoteReference">
    <w:name w:val="footnote reference"/>
    <w:rsid w:val="00BB207D"/>
    <w:rPr>
      <w:vertAlign w:val="superscript"/>
    </w:rPr>
  </w:style>
  <w:style w:type="paragraph" w:styleId="FootnoteText">
    <w:name w:val="footnote text"/>
    <w:basedOn w:val="Normal"/>
    <w:link w:val="FootnoteTextChar"/>
    <w:rsid w:val="00BB207D"/>
    <w:pPr>
      <w:tabs>
        <w:tab w:val="left" w:pos="284"/>
      </w:tabs>
      <w:spacing w:after="0" w:line="240" w:lineRule="auto"/>
      <w:ind w:left="284" w:hanging="284"/>
    </w:pPr>
    <w:rPr>
      <w:sz w:val="18"/>
    </w:rPr>
  </w:style>
  <w:style w:type="character" w:customStyle="1" w:styleId="FootnoteTextChar">
    <w:name w:val="Footnote Text Char"/>
    <w:link w:val="FootnoteText"/>
    <w:rsid w:val="00BB207D"/>
    <w:rPr>
      <w:rFonts w:ascii="Book Antiqua" w:eastAsia="Times New Roman" w:hAnsi="Book Antiqua" w:cs="Times New Roman"/>
      <w:sz w:val="18"/>
      <w:szCs w:val="20"/>
      <w:lang w:eastAsia="en-AU"/>
    </w:rPr>
  </w:style>
  <w:style w:type="character" w:customStyle="1" w:styleId="FramedHeader">
    <w:name w:val="Framed Header"/>
    <w:rsid w:val="00BB207D"/>
    <w:rPr>
      <w:rFonts w:ascii="Book Antiqua" w:hAnsi="Book Antiqua"/>
      <w:i/>
      <w:dstrike w:val="0"/>
      <w:color w:val="auto"/>
      <w:sz w:val="20"/>
      <w:vertAlign w:val="baseline"/>
    </w:rPr>
  </w:style>
  <w:style w:type="paragraph" w:customStyle="1" w:styleId="HeaderBase">
    <w:name w:val="Header Base"/>
    <w:rsid w:val="00DA42A3"/>
    <w:rPr>
      <w:rFonts w:ascii="Book Antiqua" w:eastAsia="Times New Roman" w:hAnsi="Book Antiqua"/>
      <w:i/>
    </w:rPr>
  </w:style>
  <w:style w:type="paragraph" w:customStyle="1" w:styleId="HeaderEven">
    <w:name w:val="Header Even"/>
    <w:basedOn w:val="HeaderBase"/>
    <w:rsid w:val="00BB207D"/>
  </w:style>
  <w:style w:type="paragraph" w:customStyle="1" w:styleId="HeaderOdd">
    <w:name w:val="Header Odd"/>
    <w:basedOn w:val="HeaderBase"/>
    <w:rsid w:val="00BB207D"/>
    <w:pPr>
      <w:jc w:val="right"/>
    </w:pPr>
  </w:style>
  <w:style w:type="character" w:customStyle="1" w:styleId="Heading1Char">
    <w:name w:val="Heading 1 Char"/>
    <w:link w:val="Heading1"/>
    <w:rsid w:val="00603968"/>
    <w:rPr>
      <w:rFonts w:ascii="Arial Bold" w:eastAsia="Times New Roman" w:hAnsi="Arial Bold"/>
      <w:b/>
      <w:sz w:val="22"/>
      <w:szCs w:val="24"/>
      <w:lang w:eastAsia="en-US"/>
    </w:rPr>
  </w:style>
  <w:style w:type="character" w:customStyle="1" w:styleId="Heading2Char">
    <w:name w:val="Heading 2 Char"/>
    <w:link w:val="Heading2"/>
    <w:rsid w:val="00BB207D"/>
    <w:rPr>
      <w:rFonts w:ascii="Arial Bold" w:eastAsia="Times New Roman" w:hAnsi="Arial Bold" w:cs="Times New Roman"/>
      <w:b/>
      <w:smallCaps/>
      <w:sz w:val="26"/>
      <w:szCs w:val="20"/>
      <w:lang w:eastAsia="en-AU"/>
    </w:rPr>
  </w:style>
  <w:style w:type="character" w:customStyle="1" w:styleId="Heading3Char">
    <w:name w:val="Heading 3 Char"/>
    <w:link w:val="Heading3"/>
    <w:rsid w:val="00BB207D"/>
    <w:rPr>
      <w:rFonts w:ascii="Arial Bold" w:eastAsia="Times New Roman" w:hAnsi="Arial Bold" w:cs="Times New Roman"/>
      <w:b/>
      <w:szCs w:val="20"/>
      <w:lang w:eastAsia="en-AU"/>
    </w:rPr>
  </w:style>
  <w:style w:type="paragraph" w:customStyle="1" w:styleId="Heading3noTOC">
    <w:name w:val="Heading 3 no TOC"/>
    <w:basedOn w:val="Heading3"/>
    <w:rsid w:val="00BB207D"/>
    <w:pPr>
      <w:outlineLvl w:val="9"/>
    </w:pPr>
  </w:style>
  <w:style w:type="character" w:customStyle="1" w:styleId="Heading4Char">
    <w:name w:val="Heading 4 Char"/>
    <w:link w:val="Heading4"/>
    <w:rsid w:val="00BB207D"/>
    <w:rPr>
      <w:rFonts w:ascii="Arial Bold" w:eastAsia="Times New Roman" w:hAnsi="Arial Bold" w:cs="Times New Roman"/>
      <w:b/>
      <w:sz w:val="20"/>
      <w:szCs w:val="20"/>
      <w:lang w:eastAsia="en-AU"/>
    </w:rPr>
  </w:style>
  <w:style w:type="character" w:customStyle="1" w:styleId="Heading5Char">
    <w:name w:val="Heading 5 Char"/>
    <w:link w:val="Heading5"/>
    <w:rsid w:val="00BB207D"/>
    <w:rPr>
      <w:rFonts w:ascii="Arial" w:eastAsia="Times New Roman" w:hAnsi="Arial" w:cs="Times New Roman"/>
      <w:b/>
      <w:bCs/>
      <w:iCs/>
      <w:sz w:val="20"/>
      <w:szCs w:val="26"/>
      <w:lang w:eastAsia="en-AU"/>
    </w:rPr>
  </w:style>
  <w:style w:type="character" w:customStyle="1" w:styleId="Heading7Char">
    <w:name w:val="Heading 7 Char"/>
    <w:link w:val="Heading7"/>
    <w:rsid w:val="00BB207D"/>
    <w:rPr>
      <w:rFonts w:ascii="Arial" w:eastAsia="Times New Roman" w:hAnsi="Arial" w:cs="Times New Roman"/>
      <w:sz w:val="20"/>
      <w:szCs w:val="24"/>
      <w:lang w:eastAsia="en-AU"/>
    </w:rPr>
  </w:style>
  <w:style w:type="character" w:customStyle="1" w:styleId="Heading8Char">
    <w:name w:val="Heading 8 Char"/>
    <w:link w:val="Heading8"/>
    <w:rsid w:val="00BB207D"/>
    <w:rPr>
      <w:rFonts w:ascii="Times New Roman" w:eastAsia="Times New Roman" w:hAnsi="Times New Roman" w:cs="Times New Roman"/>
      <w:i/>
      <w:iCs/>
      <w:sz w:val="16"/>
      <w:szCs w:val="24"/>
      <w:lang w:eastAsia="en-AU"/>
    </w:rPr>
  </w:style>
  <w:style w:type="character" w:customStyle="1" w:styleId="HiddenSequenceCode">
    <w:name w:val="Hidden Sequence Code"/>
    <w:rsid w:val="00BB207D"/>
    <w:rPr>
      <w:rFonts w:ascii="Times New Roman" w:hAnsi="Times New Roman"/>
      <w:vanish/>
      <w:sz w:val="16"/>
    </w:rPr>
  </w:style>
  <w:style w:type="character" w:styleId="Hyperlink">
    <w:name w:val="Hyperlink"/>
    <w:uiPriority w:val="99"/>
    <w:unhideWhenUsed/>
    <w:rsid w:val="00BB207D"/>
    <w:rPr>
      <w:color w:val="0000FF"/>
      <w:u w:val="single"/>
    </w:rPr>
  </w:style>
  <w:style w:type="paragraph" w:styleId="Index1">
    <w:name w:val="index 1"/>
    <w:basedOn w:val="Normal"/>
    <w:next w:val="Normal"/>
    <w:rsid w:val="00BB207D"/>
    <w:pPr>
      <w:ind w:left="200" w:hanging="200"/>
    </w:pPr>
  </w:style>
  <w:style w:type="paragraph" w:styleId="Index2">
    <w:name w:val="index 2"/>
    <w:basedOn w:val="Normal"/>
    <w:next w:val="Normal"/>
    <w:rsid w:val="00BB207D"/>
    <w:pPr>
      <w:ind w:left="400" w:hanging="200"/>
    </w:pPr>
  </w:style>
  <w:style w:type="paragraph" w:styleId="Index3">
    <w:name w:val="index 3"/>
    <w:basedOn w:val="Normal"/>
    <w:next w:val="Normal"/>
    <w:rsid w:val="00BB207D"/>
    <w:pPr>
      <w:ind w:left="600" w:hanging="200"/>
    </w:pPr>
  </w:style>
  <w:style w:type="paragraph" w:styleId="Index4">
    <w:name w:val="index 4"/>
    <w:basedOn w:val="Normal"/>
    <w:next w:val="Normal"/>
    <w:autoRedefine/>
    <w:semiHidden/>
    <w:rsid w:val="00BB207D"/>
    <w:pPr>
      <w:ind w:left="800" w:hanging="200"/>
    </w:pPr>
  </w:style>
  <w:style w:type="paragraph" w:styleId="Index5">
    <w:name w:val="index 5"/>
    <w:basedOn w:val="Normal"/>
    <w:next w:val="Normal"/>
    <w:autoRedefine/>
    <w:semiHidden/>
    <w:rsid w:val="00BB207D"/>
    <w:pPr>
      <w:ind w:left="1000" w:hanging="200"/>
    </w:pPr>
  </w:style>
  <w:style w:type="paragraph" w:styleId="Index6">
    <w:name w:val="index 6"/>
    <w:basedOn w:val="Normal"/>
    <w:next w:val="Normal"/>
    <w:autoRedefine/>
    <w:semiHidden/>
    <w:rsid w:val="00BB207D"/>
    <w:pPr>
      <w:ind w:left="1200" w:hanging="200"/>
    </w:pPr>
  </w:style>
  <w:style w:type="paragraph" w:styleId="Index7">
    <w:name w:val="index 7"/>
    <w:basedOn w:val="Normal"/>
    <w:next w:val="Normal"/>
    <w:autoRedefine/>
    <w:semiHidden/>
    <w:rsid w:val="00BB207D"/>
    <w:pPr>
      <w:ind w:left="1400" w:hanging="200"/>
    </w:pPr>
  </w:style>
  <w:style w:type="paragraph" w:styleId="Index8">
    <w:name w:val="index 8"/>
    <w:basedOn w:val="Normal"/>
    <w:next w:val="Normal"/>
    <w:autoRedefine/>
    <w:semiHidden/>
    <w:rsid w:val="00BB207D"/>
    <w:pPr>
      <w:ind w:left="1600" w:hanging="200"/>
    </w:pPr>
  </w:style>
  <w:style w:type="paragraph" w:styleId="Index9">
    <w:name w:val="index 9"/>
    <w:basedOn w:val="Normal"/>
    <w:next w:val="Normal"/>
    <w:autoRedefine/>
    <w:semiHidden/>
    <w:rsid w:val="00BB207D"/>
    <w:pPr>
      <w:ind w:left="1800" w:hanging="200"/>
    </w:pPr>
  </w:style>
  <w:style w:type="paragraph" w:styleId="IndexHeading">
    <w:name w:val="index heading"/>
    <w:basedOn w:val="Normal"/>
    <w:next w:val="Index1"/>
    <w:rsid w:val="00BB207D"/>
    <w:rPr>
      <w:rFonts w:ascii="Arial Bold" w:hAnsi="Arial Bold" w:cs="Arial"/>
      <w:b/>
      <w:bCs/>
      <w:color w:val="002B54"/>
    </w:rPr>
  </w:style>
  <w:style w:type="paragraph" w:styleId="MacroText">
    <w:name w:val="macro"/>
    <w:link w:val="MacroTextChar"/>
    <w:unhideWhenUsed/>
    <w:rsid w:val="00BB207D"/>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eastAsia="Times New Roman" w:hAnsi="Courier New" w:cs="Courier New"/>
    </w:rPr>
  </w:style>
  <w:style w:type="character" w:customStyle="1" w:styleId="MacroTextChar">
    <w:name w:val="Macro Text Char"/>
    <w:link w:val="MacroText"/>
    <w:rsid w:val="00BB207D"/>
    <w:rPr>
      <w:rFonts w:ascii="Courier New" w:eastAsia="Times New Roman" w:hAnsi="Courier New" w:cs="Courier New"/>
      <w:sz w:val="20"/>
      <w:szCs w:val="20"/>
      <w:lang w:eastAsia="en-AU"/>
    </w:rPr>
  </w:style>
  <w:style w:type="paragraph" w:styleId="NormalIndent">
    <w:name w:val="Normal Indent"/>
    <w:basedOn w:val="Normal"/>
    <w:rsid w:val="00BB207D"/>
    <w:pPr>
      <w:ind w:left="567"/>
    </w:pPr>
  </w:style>
  <w:style w:type="paragraph" w:customStyle="1" w:styleId="NoteTableHeading">
    <w:name w:val="Note Table Heading"/>
    <w:basedOn w:val="HeadingBase"/>
    <w:next w:val="Normal"/>
    <w:rsid w:val="00BB207D"/>
    <w:pPr>
      <w:spacing w:before="240"/>
    </w:pPr>
    <w:rPr>
      <w:b/>
      <w:sz w:val="20"/>
    </w:rPr>
  </w:style>
  <w:style w:type="paragraph" w:customStyle="1" w:styleId="OverviewParagraph">
    <w:name w:val="Overview Paragraph"/>
    <w:basedOn w:val="Normal"/>
    <w:rsid w:val="00BB207D"/>
    <w:pPr>
      <w:spacing w:before="120" w:after="120" w:line="240" w:lineRule="auto"/>
    </w:pPr>
  </w:style>
  <w:style w:type="character" w:styleId="PageNumber">
    <w:name w:val="page number"/>
    <w:rsid w:val="00BB207D"/>
    <w:rPr>
      <w:rFonts w:ascii="Arial" w:hAnsi="Arial" w:cs="Arial"/>
    </w:rPr>
  </w:style>
  <w:style w:type="paragraph" w:customStyle="1" w:styleId="SingleParagraph">
    <w:name w:val="Single Paragraph"/>
    <w:basedOn w:val="Normal"/>
    <w:rsid w:val="00BB207D"/>
    <w:pPr>
      <w:spacing w:after="0"/>
    </w:pPr>
  </w:style>
  <w:style w:type="paragraph" w:customStyle="1" w:styleId="Source">
    <w:name w:val="Source"/>
    <w:basedOn w:val="Normal"/>
    <w:rsid w:val="00BB207D"/>
    <w:pPr>
      <w:tabs>
        <w:tab w:val="left" w:pos="284"/>
      </w:tabs>
      <w:spacing w:line="240" w:lineRule="auto"/>
    </w:pPr>
    <w:rPr>
      <w:rFonts w:ascii="Arial" w:hAnsi="Arial"/>
      <w:sz w:val="16"/>
    </w:rPr>
  </w:style>
  <w:style w:type="paragraph" w:customStyle="1" w:styleId="SourceBox">
    <w:name w:val="Source Box"/>
    <w:basedOn w:val="Source"/>
    <w:rsid w:val="00BB207D"/>
    <w:pPr>
      <w:spacing w:after="120"/>
    </w:pPr>
  </w:style>
  <w:style w:type="paragraph" w:customStyle="1" w:styleId="TableColumnHeadingBase">
    <w:name w:val="Table Column Heading Base"/>
    <w:basedOn w:val="Normal"/>
    <w:rsid w:val="00BB207D"/>
    <w:pPr>
      <w:spacing w:before="40" w:after="40" w:line="240" w:lineRule="auto"/>
      <w:jc w:val="left"/>
    </w:pPr>
    <w:rPr>
      <w:rFonts w:ascii="Arial Bold" w:hAnsi="Arial Bold"/>
      <w:b/>
      <w:sz w:val="16"/>
    </w:rPr>
  </w:style>
  <w:style w:type="paragraph" w:customStyle="1" w:styleId="TableColumnHeadingCentred">
    <w:name w:val="Table Column Heading Centred"/>
    <w:basedOn w:val="TableColumnHeadingBase"/>
    <w:next w:val="Normal"/>
    <w:rsid w:val="00BB207D"/>
    <w:pPr>
      <w:jc w:val="center"/>
    </w:pPr>
  </w:style>
  <w:style w:type="paragraph" w:customStyle="1" w:styleId="TableColumnHeadingLeft">
    <w:name w:val="Table Column Heading Left"/>
    <w:basedOn w:val="TableColumnHeadingBase"/>
    <w:next w:val="Normal"/>
    <w:rsid w:val="00BB207D"/>
  </w:style>
  <w:style w:type="paragraph" w:customStyle="1" w:styleId="TableColumnHeadingRight">
    <w:name w:val="Table Column Heading Right"/>
    <w:basedOn w:val="TableColumnHeadingBase"/>
    <w:next w:val="Normal"/>
    <w:rsid w:val="00BB207D"/>
    <w:pPr>
      <w:jc w:val="right"/>
    </w:pPr>
  </w:style>
  <w:style w:type="paragraph" w:customStyle="1" w:styleId="TableColumnHeadingS118pt">
    <w:name w:val="Table Column Heading S11 8 pt"/>
    <w:basedOn w:val="TableColumnHeadingBase"/>
    <w:rsid w:val="00BB207D"/>
    <w:pPr>
      <w:spacing w:after="0"/>
    </w:pPr>
    <w:rPr>
      <w:rFonts w:ascii="Arial" w:hAnsi="Arial"/>
    </w:rPr>
  </w:style>
  <w:style w:type="paragraph" w:customStyle="1" w:styleId="TableColumnHeadingS119pt">
    <w:name w:val="Table Column Heading S11 9 pt"/>
    <w:basedOn w:val="TableColumnHeadingBase"/>
    <w:rsid w:val="00BB207D"/>
    <w:pPr>
      <w:spacing w:before="60" w:after="60"/>
    </w:pPr>
    <w:rPr>
      <w:rFonts w:ascii="Arial" w:hAnsi="Arial"/>
      <w:sz w:val="18"/>
    </w:rPr>
  </w:style>
  <w:style w:type="paragraph" w:customStyle="1" w:styleId="TableGraphic">
    <w:name w:val="Table Graphic"/>
    <w:basedOn w:val="Normal"/>
    <w:next w:val="Normal"/>
    <w:rsid w:val="00BB207D"/>
    <w:pPr>
      <w:spacing w:after="0" w:line="240" w:lineRule="auto"/>
      <w:ind w:right="-113"/>
    </w:pPr>
  </w:style>
  <w:style w:type="table" w:styleId="TableGrid">
    <w:name w:val="Table Grid"/>
    <w:basedOn w:val="TableNormal"/>
    <w:rsid w:val="00BB207D"/>
    <w:pPr>
      <w:spacing w:after="240" w:line="260" w:lineRule="exact"/>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HeadingBase"/>
    <w:next w:val="TableGraphic"/>
    <w:link w:val="TableHeadingChar"/>
    <w:qFormat/>
    <w:rsid w:val="00373CB9"/>
    <w:pPr>
      <w:spacing w:before="120" w:after="10"/>
    </w:pPr>
    <w:rPr>
      <w:b/>
      <w:sz w:val="20"/>
    </w:rPr>
  </w:style>
  <w:style w:type="paragraph" w:customStyle="1" w:styleId="TableHeadingcontinued">
    <w:name w:val="Table Heading continued"/>
    <w:basedOn w:val="HeadingBase"/>
    <w:next w:val="TableGraphic"/>
    <w:rsid w:val="00373CB9"/>
    <w:pPr>
      <w:spacing w:before="120" w:after="10"/>
    </w:pPr>
    <w:rPr>
      <w:rFonts w:ascii="Arial Bold" w:hAnsi="Arial Bold"/>
      <w:b/>
      <w:sz w:val="20"/>
    </w:rPr>
  </w:style>
  <w:style w:type="paragraph" w:styleId="TableofAuthorities">
    <w:name w:val="table of authorities"/>
    <w:basedOn w:val="Normal"/>
    <w:next w:val="Normal"/>
    <w:rsid w:val="00BB207D"/>
    <w:pPr>
      <w:ind w:left="200" w:hanging="200"/>
    </w:pPr>
  </w:style>
  <w:style w:type="paragraph" w:styleId="TableofFigures">
    <w:name w:val="table of figures"/>
    <w:basedOn w:val="Normal"/>
    <w:next w:val="Normal"/>
    <w:rsid w:val="00BB207D"/>
  </w:style>
  <w:style w:type="paragraph" w:customStyle="1" w:styleId="TableTextBase">
    <w:name w:val="Table Text Base"/>
    <w:basedOn w:val="Normal"/>
    <w:rsid w:val="00BB207D"/>
    <w:pPr>
      <w:spacing w:before="20" w:after="20" w:line="240" w:lineRule="auto"/>
      <w:jc w:val="left"/>
    </w:pPr>
    <w:rPr>
      <w:rFonts w:ascii="Arial" w:hAnsi="Arial"/>
      <w:sz w:val="16"/>
    </w:rPr>
  </w:style>
  <w:style w:type="paragraph" w:customStyle="1" w:styleId="TableTextCentred">
    <w:name w:val="Table Text Centred"/>
    <w:basedOn w:val="TableTextBase"/>
    <w:rsid w:val="00BB207D"/>
    <w:pPr>
      <w:jc w:val="center"/>
    </w:pPr>
  </w:style>
  <w:style w:type="paragraph" w:customStyle="1" w:styleId="TableTextIndented">
    <w:name w:val="Table Text Indented"/>
    <w:basedOn w:val="TableTextBase"/>
    <w:rsid w:val="00BB207D"/>
    <w:pPr>
      <w:ind w:left="284"/>
    </w:pPr>
  </w:style>
  <w:style w:type="paragraph" w:customStyle="1" w:styleId="TableTextLeft">
    <w:name w:val="Table Text Left"/>
    <w:basedOn w:val="TableTextBase"/>
    <w:rsid w:val="00BB207D"/>
  </w:style>
  <w:style w:type="paragraph" w:customStyle="1" w:styleId="TableTextRight">
    <w:name w:val="Table Text Right"/>
    <w:basedOn w:val="TableTextBase"/>
    <w:rsid w:val="00BB207D"/>
    <w:pPr>
      <w:jc w:val="right"/>
    </w:pPr>
  </w:style>
  <w:style w:type="paragraph" w:styleId="TOAHeading">
    <w:name w:val="toa heading"/>
    <w:basedOn w:val="Normal"/>
    <w:next w:val="Normal"/>
    <w:rsid w:val="00BB207D"/>
    <w:pPr>
      <w:spacing w:before="120"/>
    </w:pPr>
    <w:rPr>
      <w:rFonts w:ascii="Arial" w:hAnsi="Arial" w:cs="Arial"/>
      <w:b/>
      <w:bCs/>
      <w:sz w:val="24"/>
    </w:rPr>
  </w:style>
  <w:style w:type="paragraph" w:styleId="TOC1">
    <w:name w:val="toc 1"/>
    <w:basedOn w:val="HeaderBase"/>
    <w:next w:val="Normal"/>
    <w:uiPriority w:val="2"/>
    <w:rsid w:val="00BB207D"/>
    <w:pPr>
      <w:tabs>
        <w:tab w:val="left" w:pos="1486"/>
        <w:tab w:val="right" w:leader="dot" w:pos="7700"/>
      </w:tabs>
      <w:spacing w:before="240"/>
      <w:ind w:right="851"/>
    </w:pPr>
    <w:rPr>
      <w:rFonts w:ascii="Arial Bold" w:hAnsi="Arial Bold"/>
      <w:b/>
      <w:i w:val="0"/>
      <w:sz w:val="22"/>
    </w:rPr>
  </w:style>
  <w:style w:type="paragraph" w:styleId="TOC2">
    <w:name w:val="toc 2"/>
    <w:basedOn w:val="HeadingBase"/>
    <w:next w:val="Normal"/>
    <w:uiPriority w:val="2"/>
    <w:rsid w:val="00BB207D"/>
    <w:pPr>
      <w:tabs>
        <w:tab w:val="left" w:pos="992"/>
        <w:tab w:val="right" w:leader="dot" w:pos="7700"/>
      </w:tabs>
      <w:spacing w:before="40"/>
      <w:ind w:left="851" w:right="851" w:hanging="851"/>
    </w:pPr>
    <w:rPr>
      <w:sz w:val="20"/>
    </w:rPr>
  </w:style>
  <w:style w:type="paragraph" w:styleId="TOC3">
    <w:name w:val="toc 3"/>
    <w:basedOn w:val="HeadingBase"/>
    <w:next w:val="Normal"/>
    <w:uiPriority w:val="2"/>
    <w:unhideWhenUsed/>
    <w:rsid w:val="00BB207D"/>
    <w:pPr>
      <w:tabs>
        <w:tab w:val="right" w:leader="dot" w:pos="7700"/>
      </w:tabs>
      <w:spacing w:before="40"/>
      <w:ind w:right="851"/>
    </w:pPr>
    <w:rPr>
      <w:sz w:val="20"/>
    </w:rPr>
  </w:style>
  <w:style w:type="paragraph" w:styleId="TOC4">
    <w:name w:val="toc 4"/>
    <w:basedOn w:val="HeadingBase"/>
    <w:next w:val="Normal"/>
    <w:uiPriority w:val="2"/>
    <w:unhideWhenUsed/>
    <w:rsid w:val="00BB207D"/>
    <w:pPr>
      <w:tabs>
        <w:tab w:val="right" w:leader="dot" w:pos="7700"/>
      </w:tabs>
      <w:spacing w:before="40"/>
      <w:ind w:right="851"/>
    </w:pPr>
    <w:rPr>
      <w:sz w:val="20"/>
    </w:rPr>
  </w:style>
  <w:style w:type="paragraph" w:styleId="TOC5">
    <w:name w:val="toc 5"/>
    <w:basedOn w:val="Normal"/>
    <w:next w:val="Normal"/>
    <w:autoRedefine/>
    <w:uiPriority w:val="2"/>
    <w:semiHidden/>
    <w:rsid w:val="00BB207D"/>
    <w:pPr>
      <w:tabs>
        <w:tab w:val="left" w:pos="851"/>
        <w:tab w:val="right" w:leader="dot" w:pos="7700"/>
      </w:tabs>
      <w:ind w:left="896" w:hanging="896"/>
    </w:pPr>
    <w:rPr>
      <w:rFonts w:ascii="Arial" w:hAnsi="Arial"/>
      <w:noProof/>
      <w:color w:val="002B54"/>
    </w:rPr>
  </w:style>
  <w:style w:type="paragraph" w:styleId="TOC6">
    <w:name w:val="toc 6"/>
    <w:basedOn w:val="TOC4"/>
    <w:next w:val="Normal"/>
    <w:uiPriority w:val="2"/>
    <w:semiHidden/>
    <w:rsid w:val="00BB207D"/>
    <w:pPr>
      <w:tabs>
        <w:tab w:val="left" w:pos="851"/>
      </w:tabs>
      <w:ind w:left="851" w:hanging="851"/>
    </w:pPr>
    <w:rPr>
      <w:color w:val="000000"/>
    </w:rPr>
  </w:style>
  <w:style w:type="paragraph" w:styleId="TOC7">
    <w:name w:val="toc 7"/>
    <w:basedOn w:val="Normal"/>
    <w:next w:val="Normal"/>
    <w:autoRedefine/>
    <w:uiPriority w:val="2"/>
    <w:semiHidden/>
    <w:rsid w:val="00BB207D"/>
    <w:pPr>
      <w:ind w:left="1200"/>
    </w:pPr>
  </w:style>
  <w:style w:type="paragraph" w:styleId="TOC8">
    <w:name w:val="toc 8"/>
    <w:basedOn w:val="Normal"/>
    <w:next w:val="Normal"/>
    <w:autoRedefine/>
    <w:uiPriority w:val="2"/>
    <w:semiHidden/>
    <w:rsid w:val="00BB207D"/>
    <w:pPr>
      <w:ind w:left="1400"/>
    </w:pPr>
  </w:style>
  <w:style w:type="paragraph" w:styleId="TOC9">
    <w:name w:val="toc 9"/>
    <w:basedOn w:val="Normal"/>
    <w:next w:val="Normal"/>
    <w:autoRedefine/>
    <w:uiPriority w:val="2"/>
    <w:semiHidden/>
    <w:rsid w:val="00BB207D"/>
    <w:pPr>
      <w:ind w:left="1600"/>
    </w:pPr>
  </w:style>
  <w:style w:type="paragraph" w:customStyle="1" w:styleId="TPHeading1">
    <w:name w:val="TP Heading 1"/>
    <w:basedOn w:val="HeadingBase"/>
    <w:semiHidden/>
    <w:rsid w:val="00BB207D"/>
    <w:pPr>
      <w:spacing w:before="60" w:after="60"/>
      <w:ind w:left="1134"/>
    </w:pPr>
    <w:rPr>
      <w:rFonts w:ascii="Arial Bold" w:hAnsi="Arial Bold"/>
      <w:b/>
      <w:caps/>
      <w:spacing w:val="-10"/>
      <w:sz w:val="28"/>
    </w:rPr>
  </w:style>
  <w:style w:type="paragraph" w:customStyle="1" w:styleId="TPHeading2">
    <w:name w:val="TP Heading 2"/>
    <w:basedOn w:val="HeadingBase"/>
    <w:semiHidden/>
    <w:rsid w:val="00BB207D"/>
    <w:pPr>
      <w:ind w:left="1134"/>
    </w:pPr>
    <w:rPr>
      <w:caps/>
      <w:spacing w:val="-10"/>
      <w:sz w:val="28"/>
    </w:rPr>
  </w:style>
  <w:style w:type="paragraph" w:customStyle="1" w:styleId="TPHeading3">
    <w:name w:val="TP Heading 3"/>
    <w:basedOn w:val="HeadingBase"/>
    <w:semiHidden/>
    <w:rsid w:val="00BB207D"/>
    <w:pPr>
      <w:ind w:left="1134"/>
    </w:pPr>
    <w:rPr>
      <w:caps/>
      <w:spacing w:val="-10"/>
    </w:rPr>
  </w:style>
  <w:style w:type="paragraph" w:customStyle="1" w:styleId="TPHeading3bold">
    <w:name w:val="TP Heading 3 bold"/>
    <w:basedOn w:val="TPHeading3"/>
    <w:semiHidden/>
    <w:rsid w:val="00BB207D"/>
    <w:rPr>
      <w:rFonts w:cs="Arial"/>
      <w:b/>
      <w:sz w:val="22"/>
      <w:szCs w:val="22"/>
    </w:rPr>
  </w:style>
  <w:style w:type="paragraph" w:customStyle="1" w:styleId="TPHEADING3boldspace">
    <w:name w:val="TP HEADING 3 bold space"/>
    <w:basedOn w:val="TPHeading3bold"/>
    <w:semiHidden/>
    <w:rsid w:val="00BB207D"/>
    <w:pPr>
      <w:spacing w:after="120"/>
    </w:pPr>
  </w:style>
  <w:style w:type="paragraph" w:customStyle="1" w:styleId="TPHEADING3space">
    <w:name w:val="TP HEADING 3 space"/>
    <w:basedOn w:val="TPHeading3"/>
    <w:semiHidden/>
    <w:rsid w:val="00BB207D"/>
    <w:pPr>
      <w:spacing w:before="120" w:after="120"/>
    </w:pPr>
    <w:rPr>
      <w:rFonts w:cs="Arial"/>
      <w:sz w:val="22"/>
      <w:szCs w:val="22"/>
    </w:rPr>
  </w:style>
  <w:style w:type="paragraph" w:customStyle="1" w:styleId="TPHeading4">
    <w:name w:val="TP Heading 4"/>
    <w:basedOn w:val="TPHeading3"/>
    <w:semiHidden/>
    <w:rsid w:val="00BB207D"/>
    <w:rPr>
      <w:sz w:val="20"/>
    </w:rPr>
  </w:style>
  <w:style w:type="paragraph" w:customStyle="1" w:styleId="TPHEADING4space">
    <w:name w:val="TP HEADING 4 space"/>
    <w:basedOn w:val="TPHEADING3space"/>
    <w:semiHidden/>
    <w:rsid w:val="00BB207D"/>
  </w:style>
  <w:style w:type="paragraph" w:customStyle="1" w:styleId="Attachmentheading">
    <w:name w:val="Attachment heading"/>
    <w:basedOn w:val="Normal"/>
    <w:next w:val="Normal"/>
    <w:rsid w:val="004278BA"/>
    <w:pPr>
      <w:spacing w:line="240" w:lineRule="auto"/>
      <w:jc w:val="right"/>
    </w:pPr>
    <w:rPr>
      <w:rFonts w:ascii="Arial Bold" w:hAnsi="Arial Bold"/>
      <w:b/>
      <w:sz w:val="22"/>
    </w:rPr>
  </w:style>
  <w:style w:type="paragraph" w:customStyle="1" w:styleId="Heading2noTOC">
    <w:name w:val="Heading 2 no TOC"/>
    <w:basedOn w:val="Heading2"/>
    <w:qFormat/>
    <w:rsid w:val="004278BA"/>
    <w:rPr>
      <w:rFonts w:cs="Arial"/>
      <w:bCs/>
      <w:iCs/>
      <w:color w:val="000000"/>
      <w:szCs w:val="28"/>
      <w:lang w:eastAsia="en-US"/>
    </w:rPr>
  </w:style>
  <w:style w:type="character" w:customStyle="1" w:styleId="TableHeadingChar">
    <w:name w:val="Table Heading Char"/>
    <w:link w:val="TableHeading"/>
    <w:rsid w:val="00373CB9"/>
    <w:rPr>
      <w:rFonts w:ascii="Arial" w:eastAsia="Times New Roman" w:hAnsi="Arial"/>
      <w:b/>
    </w:rPr>
  </w:style>
  <w:style w:type="character" w:customStyle="1" w:styleId="ChartandTableFootnoteAlphaChar">
    <w:name w:val="Chart and Table Footnote Alpha Char"/>
    <w:link w:val="ChartandTableFootnoteAlpha"/>
    <w:rsid w:val="004278BA"/>
    <w:rPr>
      <w:rFonts w:ascii="Arial" w:eastAsia="Times New Roman" w:hAnsi="Arial"/>
      <w:color w:val="000000"/>
      <w:sz w:val="16"/>
    </w:rPr>
  </w:style>
  <w:style w:type="character" w:customStyle="1" w:styleId="BulletChar">
    <w:name w:val="Bullet Char"/>
    <w:link w:val="Bullet"/>
    <w:rsid w:val="004278BA"/>
    <w:rPr>
      <w:rFonts w:ascii="Book Antiqua" w:eastAsia="Times New Roman" w:hAnsi="Book Antiqua" w:cs="Times New Roman"/>
      <w:sz w:val="20"/>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2"/>
    <w:lsdException w:name="toc 2" w:uiPriority="2"/>
    <w:lsdException w:name="toc 3" w:uiPriority="2"/>
    <w:lsdException w:name="toc 4" w:uiPriority="2"/>
    <w:lsdException w:name="toc 5" w:uiPriority="2"/>
    <w:lsdException w:name="toc 6" w:uiPriority="2"/>
    <w:lsdException w:name="toc 7" w:uiPriority="2"/>
    <w:lsdException w:name="toc 8" w:uiPriority="2"/>
    <w:lsdException w:name="toc 9" w:uiPriority="2"/>
    <w:lsdException w:name="Normal Indent" w:uiPriority="0"/>
    <w:lsdException w:name="footnote text" w:uiPriority="0"/>
    <w:lsdException w:name="annotation text" w:uiPriority="0"/>
    <w:lsdException w:name="header" w:uiPriority="0"/>
    <w:lsdException w:name="footer" w:uiPriority="0"/>
    <w:lsdException w:name="index heading" w:uiPriority="0"/>
    <w:lsdException w:name="caption" w:uiPriority="0" w:qFormat="1"/>
    <w:lsdException w:name="table of figures" w:uiPriority="0"/>
    <w:lsdException w:name="footnote reference" w:uiPriority="0"/>
    <w:lsdException w:name="annotation reference" w:uiPriority="0"/>
    <w:lsdException w:name="page number" w:uiPriority="0"/>
    <w:lsdException w:name="endnote reference" w:uiPriority="0"/>
    <w:lsdException w:name="endnote text" w:uiPriority="0"/>
    <w:lsdException w:name="table of authorities" w:uiPriority="0"/>
    <w:lsdException w:name="macro" w:uiPriority="0"/>
    <w:lsdException w:name="toa heading"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78BA"/>
    <w:pPr>
      <w:spacing w:after="240" w:line="260" w:lineRule="exact"/>
      <w:jc w:val="both"/>
    </w:pPr>
    <w:rPr>
      <w:rFonts w:ascii="Book Antiqua" w:eastAsia="Times New Roman" w:hAnsi="Book Antiqua"/>
      <w:szCs w:val="24"/>
      <w:lang w:eastAsia="en-US"/>
    </w:rPr>
  </w:style>
  <w:style w:type="paragraph" w:styleId="Heading1">
    <w:name w:val="heading 1"/>
    <w:basedOn w:val="Attachmentheading"/>
    <w:next w:val="Normal"/>
    <w:link w:val="Heading1Char"/>
    <w:qFormat/>
    <w:rsid w:val="00603968"/>
    <w:pPr>
      <w:outlineLvl w:val="0"/>
    </w:pPr>
  </w:style>
  <w:style w:type="paragraph" w:styleId="Heading2">
    <w:name w:val="heading 2"/>
    <w:basedOn w:val="HeadingBase"/>
    <w:next w:val="Normal"/>
    <w:link w:val="Heading2Char"/>
    <w:qFormat/>
    <w:rsid w:val="00BB207D"/>
    <w:pPr>
      <w:spacing w:before="240" w:after="240"/>
      <w:outlineLvl w:val="1"/>
    </w:pPr>
    <w:rPr>
      <w:rFonts w:ascii="Arial Bold" w:hAnsi="Arial Bold"/>
      <w:b/>
      <w:smallCaps/>
      <w:sz w:val="26"/>
    </w:rPr>
  </w:style>
  <w:style w:type="paragraph" w:styleId="Heading3">
    <w:name w:val="heading 3"/>
    <w:basedOn w:val="HeadingBase"/>
    <w:next w:val="Normal"/>
    <w:link w:val="Heading3Char"/>
    <w:qFormat/>
    <w:rsid w:val="00BB207D"/>
    <w:pPr>
      <w:spacing w:before="120" w:after="120"/>
      <w:outlineLvl w:val="2"/>
    </w:pPr>
    <w:rPr>
      <w:rFonts w:ascii="Arial Bold" w:hAnsi="Arial Bold"/>
      <w:b/>
      <w:sz w:val="22"/>
    </w:rPr>
  </w:style>
  <w:style w:type="paragraph" w:styleId="Heading4">
    <w:name w:val="heading 4"/>
    <w:basedOn w:val="HeadingBase"/>
    <w:next w:val="Normal"/>
    <w:link w:val="Heading4Char"/>
    <w:qFormat/>
    <w:rsid w:val="00BB207D"/>
    <w:pPr>
      <w:spacing w:after="120"/>
      <w:outlineLvl w:val="3"/>
    </w:pPr>
    <w:rPr>
      <w:rFonts w:ascii="Arial Bold" w:hAnsi="Arial Bold"/>
      <w:b/>
      <w:sz w:val="20"/>
    </w:rPr>
  </w:style>
  <w:style w:type="paragraph" w:styleId="Heading5">
    <w:name w:val="heading 5"/>
    <w:basedOn w:val="HeadingBase"/>
    <w:next w:val="Normal"/>
    <w:link w:val="Heading5Char"/>
    <w:qFormat/>
    <w:rsid w:val="00BB207D"/>
    <w:pPr>
      <w:spacing w:after="120"/>
      <w:outlineLvl w:val="4"/>
    </w:pPr>
    <w:rPr>
      <w:b/>
      <w:bCs/>
      <w:iCs/>
      <w:sz w:val="20"/>
      <w:szCs w:val="26"/>
    </w:rPr>
  </w:style>
  <w:style w:type="paragraph" w:styleId="Heading6">
    <w:name w:val="heading 6"/>
    <w:basedOn w:val="HeadingBase"/>
    <w:next w:val="Normal"/>
    <w:link w:val="Heading6Char"/>
    <w:rsid w:val="00BB207D"/>
    <w:pPr>
      <w:spacing w:after="120"/>
      <w:outlineLvl w:val="5"/>
    </w:pPr>
    <w:rPr>
      <w:bCs/>
      <w:sz w:val="20"/>
      <w:szCs w:val="22"/>
    </w:rPr>
  </w:style>
  <w:style w:type="paragraph" w:styleId="Heading7">
    <w:name w:val="heading 7"/>
    <w:basedOn w:val="HeadingBase"/>
    <w:next w:val="Normal"/>
    <w:link w:val="Heading7Char"/>
    <w:rsid w:val="00BB207D"/>
    <w:pPr>
      <w:spacing w:before="120"/>
      <w:outlineLvl w:val="6"/>
    </w:pPr>
    <w:rPr>
      <w:sz w:val="20"/>
      <w:szCs w:val="24"/>
    </w:rPr>
  </w:style>
  <w:style w:type="paragraph" w:styleId="Heading8">
    <w:name w:val="heading 8"/>
    <w:basedOn w:val="HeadingBase"/>
    <w:next w:val="Normal"/>
    <w:link w:val="Heading8Char"/>
    <w:rsid w:val="00BB207D"/>
    <w:pPr>
      <w:spacing w:before="240" w:after="60"/>
      <w:outlineLvl w:val="7"/>
    </w:pPr>
    <w:rPr>
      <w:rFonts w:ascii="Times New Roman" w:hAnsi="Times New Roman"/>
      <w:i/>
      <w:iCs/>
      <w:sz w:val="1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HeaderBase"/>
    <w:link w:val="HeaderChar"/>
    <w:rsid w:val="00BB207D"/>
    <w:pPr>
      <w:tabs>
        <w:tab w:val="center" w:pos="4153"/>
        <w:tab w:val="right" w:pos="8306"/>
      </w:tabs>
    </w:pPr>
  </w:style>
  <w:style w:type="character" w:customStyle="1" w:styleId="HeaderChar">
    <w:name w:val="Header Char"/>
    <w:link w:val="Header"/>
    <w:rsid w:val="00BB207D"/>
    <w:rPr>
      <w:rFonts w:ascii="Book Antiqua" w:eastAsia="Times New Roman" w:hAnsi="Book Antiqua" w:cs="Times New Roman"/>
      <w:i/>
      <w:sz w:val="20"/>
      <w:szCs w:val="20"/>
      <w:lang w:eastAsia="en-AU"/>
    </w:rPr>
  </w:style>
  <w:style w:type="paragraph" w:styleId="Footer">
    <w:name w:val="footer"/>
    <w:basedOn w:val="FooterBase"/>
    <w:link w:val="FooterChar"/>
    <w:rsid w:val="00BB207D"/>
    <w:pPr>
      <w:tabs>
        <w:tab w:val="center" w:pos="4153"/>
        <w:tab w:val="right" w:pos="8306"/>
      </w:tabs>
    </w:pPr>
  </w:style>
  <w:style w:type="character" w:customStyle="1" w:styleId="FooterChar">
    <w:name w:val="Footer Char"/>
    <w:link w:val="Footer"/>
    <w:rsid w:val="00BB207D"/>
    <w:rPr>
      <w:rFonts w:ascii="Arial" w:eastAsia="Times New Roman" w:hAnsi="Arial" w:cs="Times New Roman"/>
      <w:sz w:val="20"/>
      <w:szCs w:val="20"/>
      <w:lang w:eastAsia="en-AU"/>
    </w:rPr>
  </w:style>
  <w:style w:type="paragraph" w:customStyle="1" w:styleId="SecurityClassificationHeader">
    <w:name w:val="Security Classification Header"/>
    <w:link w:val="SecurityClassificationHeaderChar"/>
    <w:rsid w:val="00E40261"/>
    <w:pPr>
      <w:spacing w:before="240" w:after="60" w:line="259" w:lineRule="auto"/>
      <w:jc w:val="center"/>
    </w:pPr>
    <w:rPr>
      <w:rFonts w:cs="Calibri"/>
      <w:b/>
      <w:caps/>
      <w:sz w:val="24"/>
      <w:szCs w:val="22"/>
      <w:lang w:eastAsia="en-US"/>
    </w:rPr>
  </w:style>
  <w:style w:type="character" w:customStyle="1" w:styleId="SecurityClassificationHeaderChar">
    <w:name w:val="Security Classification Header Char"/>
    <w:link w:val="SecurityClassificationHeader"/>
    <w:rsid w:val="00E40261"/>
    <w:rPr>
      <w:rFonts w:ascii="Calibri" w:eastAsia="Times New Roman" w:hAnsi="Calibri" w:cs="Calibri"/>
      <w:b/>
      <w:i/>
      <w:caps/>
      <w:sz w:val="24"/>
      <w:szCs w:val="20"/>
      <w:lang w:eastAsia="en-AU"/>
    </w:rPr>
  </w:style>
  <w:style w:type="paragraph" w:customStyle="1" w:styleId="SecurityClassificationFooter">
    <w:name w:val="Security Classification Footer"/>
    <w:link w:val="SecurityClassificationFooterChar"/>
    <w:rsid w:val="00E40261"/>
    <w:pPr>
      <w:spacing w:before="60" w:after="240" w:line="259" w:lineRule="auto"/>
      <w:jc w:val="center"/>
    </w:pPr>
    <w:rPr>
      <w:rFonts w:cs="Calibri"/>
      <w:b/>
      <w:caps/>
      <w:sz w:val="24"/>
      <w:szCs w:val="22"/>
      <w:lang w:eastAsia="en-US"/>
    </w:rPr>
  </w:style>
  <w:style w:type="character" w:customStyle="1" w:styleId="SecurityClassificationFooterChar">
    <w:name w:val="Security Classification Footer Char"/>
    <w:link w:val="SecurityClassificationFooter"/>
    <w:rsid w:val="00E40261"/>
    <w:rPr>
      <w:rFonts w:ascii="Calibri" w:eastAsia="Times New Roman" w:hAnsi="Calibri" w:cs="Calibri"/>
      <w:b/>
      <w:i/>
      <w:caps/>
      <w:sz w:val="24"/>
      <w:szCs w:val="20"/>
      <w:lang w:eastAsia="en-AU"/>
    </w:rPr>
  </w:style>
  <w:style w:type="paragraph" w:customStyle="1" w:styleId="DLMSecurityHeader">
    <w:name w:val="DLM Security Header"/>
    <w:link w:val="DLMSecurityHeaderChar"/>
    <w:rsid w:val="00E40261"/>
    <w:pPr>
      <w:spacing w:before="60" w:after="240" w:line="259" w:lineRule="auto"/>
      <w:jc w:val="center"/>
    </w:pPr>
    <w:rPr>
      <w:rFonts w:cs="Calibri"/>
      <w:b/>
      <w:caps/>
      <w:sz w:val="24"/>
      <w:szCs w:val="22"/>
      <w:lang w:eastAsia="en-US"/>
    </w:rPr>
  </w:style>
  <w:style w:type="character" w:customStyle="1" w:styleId="DLMSecurityHeaderChar">
    <w:name w:val="DLM Security Header Char"/>
    <w:link w:val="DLMSecurityHeader"/>
    <w:rsid w:val="00E40261"/>
    <w:rPr>
      <w:rFonts w:ascii="Calibri" w:eastAsia="Times New Roman" w:hAnsi="Calibri" w:cs="Calibri"/>
      <w:b/>
      <w:i/>
      <w:caps/>
      <w:sz w:val="24"/>
      <w:szCs w:val="20"/>
      <w:lang w:eastAsia="en-AU"/>
    </w:rPr>
  </w:style>
  <w:style w:type="paragraph" w:customStyle="1" w:styleId="DLMSecurityFooter">
    <w:name w:val="DLM Security Footer"/>
    <w:link w:val="DLMSecurityFooterChar"/>
    <w:rsid w:val="00E40261"/>
    <w:pPr>
      <w:spacing w:before="240" w:after="60" w:line="259" w:lineRule="auto"/>
      <w:jc w:val="center"/>
    </w:pPr>
    <w:rPr>
      <w:rFonts w:cs="Calibri"/>
      <w:b/>
      <w:caps/>
      <w:sz w:val="24"/>
      <w:szCs w:val="22"/>
      <w:lang w:eastAsia="en-US"/>
    </w:rPr>
  </w:style>
  <w:style w:type="character" w:customStyle="1" w:styleId="DLMSecurityFooterChar">
    <w:name w:val="DLM Security Footer Char"/>
    <w:link w:val="DLMSecurityFooter"/>
    <w:rsid w:val="00E40261"/>
    <w:rPr>
      <w:rFonts w:ascii="Calibri" w:eastAsia="Times New Roman" w:hAnsi="Calibri" w:cs="Calibri"/>
      <w:b/>
      <w:i/>
      <w:caps/>
      <w:sz w:val="24"/>
      <w:szCs w:val="20"/>
      <w:lang w:eastAsia="en-AU"/>
    </w:rPr>
  </w:style>
  <w:style w:type="paragraph" w:customStyle="1" w:styleId="Classification">
    <w:name w:val="Classification"/>
    <w:basedOn w:val="HeadingBase"/>
    <w:rsid w:val="00BB207D"/>
    <w:pPr>
      <w:jc w:val="center"/>
    </w:pPr>
    <w:rPr>
      <w:b/>
      <w:smallCaps/>
    </w:rPr>
  </w:style>
  <w:style w:type="paragraph" w:customStyle="1" w:styleId="FileProperties">
    <w:name w:val="File Properties"/>
    <w:basedOn w:val="Normal"/>
    <w:rsid w:val="00BB207D"/>
    <w:rPr>
      <w:i/>
    </w:rPr>
  </w:style>
  <w:style w:type="paragraph" w:customStyle="1" w:styleId="AlphaParagraph">
    <w:name w:val="Alpha Paragraph"/>
    <w:basedOn w:val="Normal"/>
    <w:rsid w:val="00BB207D"/>
    <w:pPr>
      <w:numPr>
        <w:numId w:val="1"/>
      </w:numPr>
      <w:tabs>
        <w:tab w:val="clear" w:pos="567"/>
        <w:tab w:val="num" w:pos="360"/>
      </w:tabs>
      <w:ind w:left="0" w:firstLine="0"/>
    </w:pPr>
  </w:style>
  <w:style w:type="paragraph" w:customStyle="1" w:styleId="HeadingBase">
    <w:name w:val="Heading Base"/>
    <w:rsid w:val="00BB207D"/>
    <w:pPr>
      <w:keepNext/>
    </w:pPr>
    <w:rPr>
      <w:rFonts w:ascii="Arial" w:eastAsia="Times New Roman" w:hAnsi="Arial"/>
      <w:sz w:val="24"/>
    </w:rPr>
  </w:style>
  <w:style w:type="paragraph" w:customStyle="1" w:styleId="AppendixHeading">
    <w:name w:val="Appendix Heading"/>
    <w:basedOn w:val="HeadingBase"/>
    <w:rsid w:val="00BB207D"/>
    <w:pPr>
      <w:spacing w:after="240"/>
      <w:jc w:val="center"/>
      <w:outlineLvl w:val="3"/>
    </w:pPr>
    <w:rPr>
      <w:b/>
      <w:smallCaps/>
      <w:sz w:val="30"/>
    </w:rPr>
  </w:style>
  <w:style w:type="paragraph" w:styleId="BalloonText">
    <w:name w:val="Balloon Text"/>
    <w:basedOn w:val="Normal"/>
    <w:link w:val="BalloonTextChar"/>
    <w:rsid w:val="00BB207D"/>
    <w:rPr>
      <w:rFonts w:ascii="Tahoma" w:hAnsi="Tahoma" w:cs="Tahoma"/>
      <w:sz w:val="16"/>
      <w:szCs w:val="16"/>
    </w:rPr>
  </w:style>
  <w:style w:type="character" w:customStyle="1" w:styleId="BalloonTextChar">
    <w:name w:val="Balloon Text Char"/>
    <w:link w:val="BalloonText"/>
    <w:rsid w:val="00BB207D"/>
    <w:rPr>
      <w:rFonts w:ascii="Tahoma" w:eastAsia="Times New Roman" w:hAnsi="Tahoma" w:cs="Tahoma"/>
      <w:sz w:val="16"/>
      <w:szCs w:val="16"/>
      <w:lang w:eastAsia="en-AU"/>
    </w:rPr>
  </w:style>
  <w:style w:type="paragraph" w:customStyle="1" w:styleId="BlockedQuotation">
    <w:name w:val="Blocked Quotation"/>
    <w:basedOn w:val="Normal"/>
    <w:rsid w:val="00BB207D"/>
    <w:pPr>
      <w:ind w:left="567"/>
    </w:pPr>
  </w:style>
  <w:style w:type="paragraph" w:customStyle="1" w:styleId="BoxText">
    <w:name w:val="Box Text"/>
    <w:basedOn w:val="Normal"/>
    <w:qFormat/>
    <w:rsid w:val="00BB207D"/>
    <w:pPr>
      <w:spacing w:before="120" w:after="120" w:line="240" w:lineRule="auto"/>
    </w:pPr>
  </w:style>
  <w:style w:type="paragraph" w:customStyle="1" w:styleId="BoxBullet">
    <w:name w:val="Box Bullet"/>
    <w:basedOn w:val="BoxText"/>
    <w:rsid w:val="00BB207D"/>
    <w:pPr>
      <w:numPr>
        <w:numId w:val="2"/>
      </w:numPr>
    </w:pPr>
  </w:style>
  <w:style w:type="paragraph" w:customStyle="1" w:styleId="BoxHeading">
    <w:name w:val="Box Heading"/>
    <w:basedOn w:val="HeadingBase"/>
    <w:next w:val="BoxText"/>
    <w:rsid w:val="00BB207D"/>
    <w:pPr>
      <w:spacing w:before="120" w:after="120"/>
    </w:pPr>
    <w:rPr>
      <w:b/>
      <w:sz w:val="20"/>
    </w:rPr>
  </w:style>
  <w:style w:type="character" w:customStyle="1" w:styleId="Heading6Char">
    <w:name w:val="Heading 6 Char"/>
    <w:link w:val="Heading6"/>
    <w:rsid w:val="00BB207D"/>
    <w:rPr>
      <w:rFonts w:ascii="Arial" w:eastAsia="Times New Roman" w:hAnsi="Arial" w:cs="Times New Roman"/>
      <w:bCs/>
      <w:sz w:val="20"/>
      <w:lang w:eastAsia="en-AU"/>
    </w:rPr>
  </w:style>
  <w:style w:type="paragraph" w:customStyle="1" w:styleId="BoxSubHeading">
    <w:name w:val="Box Sub Heading"/>
    <w:basedOn w:val="Heading6"/>
    <w:rsid w:val="00BB207D"/>
    <w:pPr>
      <w:spacing w:before="120" w:after="40"/>
    </w:pPr>
  </w:style>
  <w:style w:type="paragraph" w:customStyle="1" w:styleId="Bullet">
    <w:name w:val="Bullet"/>
    <w:basedOn w:val="Normal"/>
    <w:link w:val="BulletChar"/>
    <w:qFormat/>
    <w:rsid w:val="00BB207D"/>
    <w:pPr>
      <w:numPr>
        <w:numId w:val="7"/>
      </w:numPr>
    </w:pPr>
  </w:style>
  <w:style w:type="paragraph" w:styleId="Caption">
    <w:name w:val="caption"/>
    <w:basedOn w:val="Normal"/>
    <w:next w:val="Normal"/>
    <w:rsid w:val="00BB207D"/>
    <w:rPr>
      <w:b/>
      <w:bCs/>
    </w:rPr>
  </w:style>
  <w:style w:type="paragraph" w:customStyle="1" w:styleId="ChartandTableFootnote">
    <w:name w:val="Chart and Table Footnote"/>
    <w:basedOn w:val="HeadingBase"/>
    <w:next w:val="Normal"/>
    <w:rsid w:val="00BB207D"/>
    <w:pPr>
      <w:keepNext w:val="0"/>
      <w:tabs>
        <w:tab w:val="left" w:pos="284"/>
      </w:tabs>
      <w:jc w:val="both"/>
    </w:pPr>
    <w:rPr>
      <w:color w:val="000000"/>
      <w:sz w:val="16"/>
    </w:rPr>
  </w:style>
  <w:style w:type="paragraph" w:customStyle="1" w:styleId="ChartandTableFootnoteAlpha">
    <w:name w:val="Chart and Table Footnote Alpha"/>
    <w:basedOn w:val="HeadingBase"/>
    <w:next w:val="Normal"/>
    <w:link w:val="ChartandTableFootnoteAlphaChar"/>
    <w:rsid w:val="00BB207D"/>
    <w:pPr>
      <w:keepNext w:val="0"/>
      <w:numPr>
        <w:numId w:val="4"/>
      </w:numPr>
      <w:jc w:val="both"/>
    </w:pPr>
    <w:rPr>
      <w:color w:val="000000"/>
      <w:sz w:val="16"/>
    </w:rPr>
  </w:style>
  <w:style w:type="paragraph" w:customStyle="1" w:styleId="ChartandTableFootnoteSmall">
    <w:name w:val="Chart and Table Footnote Small"/>
    <w:basedOn w:val="HeadingBase"/>
    <w:next w:val="Normal"/>
    <w:rsid w:val="00BB207D"/>
    <w:pPr>
      <w:keepNext w:val="0"/>
      <w:tabs>
        <w:tab w:val="left" w:pos="284"/>
      </w:tabs>
      <w:jc w:val="both"/>
    </w:pPr>
    <w:rPr>
      <w:color w:val="000000"/>
      <w:sz w:val="15"/>
    </w:rPr>
  </w:style>
  <w:style w:type="paragraph" w:customStyle="1" w:styleId="ChartGraphic">
    <w:name w:val="Chart Graphic"/>
    <w:basedOn w:val="HeadingBase"/>
    <w:rsid w:val="00BB207D"/>
    <w:pPr>
      <w:jc w:val="center"/>
    </w:pPr>
    <w:rPr>
      <w:sz w:val="20"/>
    </w:rPr>
  </w:style>
  <w:style w:type="paragraph" w:customStyle="1" w:styleId="ChartHeading">
    <w:name w:val="Chart Heading"/>
    <w:basedOn w:val="HeadingBase"/>
    <w:next w:val="ChartGraphic"/>
    <w:qFormat/>
    <w:rsid w:val="00BB207D"/>
    <w:pPr>
      <w:spacing w:before="120" w:after="20"/>
      <w:jc w:val="center"/>
    </w:pPr>
    <w:rPr>
      <w:b/>
      <w:sz w:val="20"/>
    </w:rPr>
  </w:style>
  <w:style w:type="paragraph" w:customStyle="1" w:styleId="ChartMainHeading">
    <w:name w:val="Chart Main Heading"/>
    <w:basedOn w:val="Normal"/>
    <w:next w:val="ChartGraphic"/>
    <w:rsid w:val="00BB207D"/>
    <w:pPr>
      <w:keepNext/>
      <w:spacing w:before="120" w:after="20" w:line="240" w:lineRule="auto"/>
      <w:jc w:val="center"/>
    </w:pPr>
    <w:rPr>
      <w:rFonts w:ascii="Arial Bold" w:hAnsi="Arial Bold"/>
      <w:b/>
    </w:rPr>
  </w:style>
  <w:style w:type="paragraph" w:customStyle="1" w:styleId="ChartSecondHeading">
    <w:name w:val="Chart Second Heading"/>
    <w:basedOn w:val="HeadingBase"/>
    <w:next w:val="ChartGraphic"/>
    <w:rsid w:val="00BB207D"/>
    <w:pPr>
      <w:spacing w:before="60"/>
      <w:jc w:val="center"/>
    </w:pPr>
    <w:rPr>
      <w:sz w:val="20"/>
    </w:rPr>
  </w:style>
  <w:style w:type="character" w:styleId="CommentReference">
    <w:name w:val="annotation reference"/>
    <w:semiHidden/>
    <w:rsid w:val="00BB207D"/>
    <w:rPr>
      <w:sz w:val="16"/>
      <w:szCs w:val="16"/>
    </w:rPr>
  </w:style>
  <w:style w:type="paragraph" w:styleId="CommentText">
    <w:name w:val="annotation text"/>
    <w:basedOn w:val="Normal"/>
    <w:link w:val="CommentTextChar"/>
    <w:semiHidden/>
    <w:rsid w:val="00BB207D"/>
  </w:style>
  <w:style w:type="character" w:customStyle="1" w:styleId="CommentTextChar">
    <w:name w:val="Comment Text Char"/>
    <w:link w:val="CommentText"/>
    <w:semiHidden/>
    <w:rsid w:val="00BB207D"/>
    <w:rPr>
      <w:rFonts w:ascii="Book Antiqua" w:eastAsia="Times New Roman" w:hAnsi="Book Antiqua" w:cs="Times New Roman"/>
      <w:sz w:val="20"/>
      <w:szCs w:val="20"/>
      <w:lang w:eastAsia="en-AU"/>
    </w:rPr>
  </w:style>
  <w:style w:type="paragraph" w:styleId="CommentSubject">
    <w:name w:val="annotation subject"/>
    <w:basedOn w:val="CommentText"/>
    <w:next w:val="CommentText"/>
    <w:link w:val="CommentSubjectChar"/>
    <w:semiHidden/>
    <w:rsid w:val="00BB207D"/>
    <w:rPr>
      <w:b/>
      <w:bCs/>
    </w:rPr>
  </w:style>
  <w:style w:type="character" w:customStyle="1" w:styleId="CommentSubjectChar">
    <w:name w:val="Comment Subject Char"/>
    <w:link w:val="CommentSubject"/>
    <w:semiHidden/>
    <w:rsid w:val="00BB207D"/>
    <w:rPr>
      <w:rFonts w:ascii="Book Antiqua" w:eastAsia="Times New Roman" w:hAnsi="Book Antiqua" w:cs="Times New Roman"/>
      <w:b/>
      <w:bCs/>
      <w:sz w:val="20"/>
      <w:szCs w:val="20"/>
      <w:lang w:eastAsia="en-AU"/>
    </w:rPr>
  </w:style>
  <w:style w:type="paragraph" w:customStyle="1" w:styleId="ContentsHeading">
    <w:name w:val="Contents Heading"/>
    <w:basedOn w:val="HeadingBase"/>
    <w:next w:val="Normal"/>
    <w:rsid w:val="00BB207D"/>
    <w:pPr>
      <w:spacing w:after="720"/>
      <w:jc w:val="center"/>
    </w:pPr>
    <w:rPr>
      <w:b/>
      <w:smallCaps/>
      <w:sz w:val="34"/>
    </w:rPr>
  </w:style>
  <w:style w:type="paragraph" w:customStyle="1" w:styleId="ContentsnoToC">
    <w:name w:val="Contents no ToC"/>
    <w:basedOn w:val="ContentsHeading"/>
    <w:rsid w:val="00BB207D"/>
  </w:style>
  <w:style w:type="paragraph" w:customStyle="1" w:styleId="Dash">
    <w:name w:val="Dash"/>
    <w:basedOn w:val="Normal"/>
    <w:qFormat/>
    <w:rsid w:val="00BB207D"/>
    <w:pPr>
      <w:numPr>
        <w:ilvl w:val="1"/>
        <w:numId w:val="7"/>
      </w:numPr>
      <w:tabs>
        <w:tab w:val="left" w:pos="567"/>
      </w:tabs>
    </w:pPr>
  </w:style>
  <w:style w:type="paragraph" w:styleId="DocumentMap">
    <w:name w:val="Document Map"/>
    <w:basedOn w:val="Normal"/>
    <w:link w:val="DocumentMapChar"/>
    <w:semiHidden/>
    <w:rsid w:val="00BB207D"/>
    <w:pPr>
      <w:shd w:val="clear" w:color="auto" w:fill="000080"/>
    </w:pPr>
    <w:rPr>
      <w:rFonts w:ascii="Tahoma" w:hAnsi="Tahoma" w:cs="Tahoma"/>
    </w:rPr>
  </w:style>
  <w:style w:type="character" w:customStyle="1" w:styleId="DocumentMapChar">
    <w:name w:val="Document Map Char"/>
    <w:link w:val="DocumentMap"/>
    <w:semiHidden/>
    <w:rsid w:val="00BB207D"/>
    <w:rPr>
      <w:rFonts w:ascii="Tahoma" w:eastAsia="Times New Roman" w:hAnsi="Tahoma" w:cs="Tahoma"/>
      <w:sz w:val="20"/>
      <w:szCs w:val="20"/>
      <w:shd w:val="clear" w:color="auto" w:fill="000080"/>
      <w:lang w:eastAsia="en-AU"/>
    </w:rPr>
  </w:style>
  <w:style w:type="paragraph" w:customStyle="1" w:styleId="DoubleDot">
    <w:name w:val="Double Dot"/>
    <w:basedOn w:val="Normal"/>
    <w:rsid w:val="00BB207D"/>
    <w:pPr>
      <w:numPr>
        <w:ilvl w:val="2"/>
        <w:numId w:val="7"/>
      </w:numPr>
      <w:tabs>
        <w:tab w:val="clear" w:pos="850"/>
        <w:tab w:val="num" w:pos="360"/>
        <w:tab w:val="left" w:pos="851"/>
      </w:tabs>
    </w:pPr>
  </w:style>
  <w:style w:type="character" w:styleId="EndnoteReference">
    <w:name w:val="endnote reference"/>
    <w:unhideWhenUsed/>
    <w:rsid w:val="00BB207D"/>
    <w:rPr>
      <w:vertAlign w:val="superscript"/>
    </w:rPr>
  </w:style>
  <w:style w:type="paragraph" w:styleId="EndnoteText">
    <w:name w:val="endnote text"/>
    <w:basedOn w:val="Normal"/>
    <w:link w:val="EndnoteTextChar"/>
    <w:unhideWhenUsed/>
    <w:rsid w:val="00BB207D"/>
  </w:style>
  <w:style w:type="character" w:customStyle="1" w:styleId="EndnoteTextChar">
    <w:name w:val="Endnote Text Char"/>
    <w:link w:val="EndnoteText"/>
    <w:rsid w:val="00BB207D"/>
    <w:rPr>
      <w:rFonts w:ascii="Book Antiqua" w:eastAsia="Times New Roman" w:hAnsi="Book Antiqua" w:cs="Times New Roman"/>
      <w:sz w:val="20"/>
      <w:szCs w:val="20"/>
      <w:lang w:eastAsia="en-AU"/>
    </w:rPr>
  </w:style>
  <w:style w:type="paragraph" w:customStyle="1" w:styleId="FigureHeading">
    <w:name w:val="Figure Heading"/>
    <w:basedOn w:val="HeadingBase"/>
    <w:next w:val="ChartGraphic"/>
    <w:rsid w:val="00BB207D"/>
    <w:pPr>
      <w:spacing w:before="120" w:after="20"/>
    </w:pPr>
    <w:rPr>
      <w:b/>
      <w:sz w:val="20"/>
    </w:rPr>
  </w:style>
  <w:style w:type="paragraph" w:customStyle="1" w:styleId="FooterBase">
    <w:name w:val="Footer Base"/>
    <w:rsid w:val="00BB207D"/>
    <w:pPr>
      <w:jc w:val="center"/>
    </w:pPr>
    <w:rPr>
      <w:rFonts w:ascii="Arial" w:eastAsia="Times New Roman" w:hAnsi="Arial"/>
    </w:rPr>
  </w:style>
  <w:style w:type="paragraph" w:customStyle="1" w:styleId="FooterEven">
    <w:name w:val="Footer Even"/>
    <w:basedOn w:val="Footer"/>
    <w:rsid w:val="00BB207D"/>
    <w:pPr>
      <w:jc w:val="left"/>
    </w:pPr>
    <w:rPr>
      <w:sz w:val="18"/>
    </w:rPr>
  </w:style>
  <w:style w:type="paragraph" w:customStyle="1" w:styleId="FooterOdd">
    <w:name w:val="Footer Odd"/>
    <w:basedOn w:val="Footer"/>
    <w:rsid w:val="00BB207D"/>
    <w:pPr>
      <w:jc w:val="right"/>
    </w:pPr>
    <w:rPr>
      <w:sz w:val="18"/>
    </w:rPr>
  </w:style>
  <w:style w:type="character" w:styleId="FootnoteReference">
    <w:name w:val="footnote reference"/>
    <w:rsid w:val="00BB207D"/>
    <w:rPr>
      <w:vertAlign w:val="superscript"/>
    </w:rPr>
  </w:style>
  <w:style w:type="paragraph" w:styleId="FootnoteText">
    <w:name w:val="footnote text"/>
    <w:basedOn w:val="Normal"/>
    <w:link w:val="FootnoteTextChar"/>
    <w:rsid w:val="00BB207D"/>
    <w:pPr>
      <w:tabs>
        <w:tab w:val="left" w:pos="284"/>
      </w:tabs>
      <w:spacing w:after="0" w:line="240" w:lineRule="auto"/>
      <w:ind w:left="284" w:hanging="284"/>
    </w:pPr>
    <w:rPr>
      <w:sz w:val="18"/>
    </w:rPr>
  </w:style>
  <w:style w:type="character" w:customStyle="1" w:styleId="FootnoteTextChar">
    <w:name w:val="Footnote Text Char"/>
    <w:link w:val="FootnoteText"/>
    <w:rsid w:val="00BB207D"/>
    <w:rPr>
      <w:rFonts w:ascii="Book Antiqua" w:eastAsia="Times New Roman" w:hAnsi="Book Antiqua" w:cs="Times New Roman"/>
      <w:sz w:val="18"/>
      <w:szCs w:val="20"/>
      <w:lang w:eastAsia="en-AU"/>
    </w:rPr>
  </w:style>
  <w:style w:type="character" w:customStyle="1" w:styleId="FramedHeader">
    <w:name w:val="Framed Header"/>
    <w:rsid w:val="00BB207D"/>
    <w:rPr>
      <w:rFonts w:ascii="Book Antiqua" w:hAnsi="Book Antiqua"/>
      <w:i/>
      <w:dstrike w:val="0"/>
      <w:color w:val="auto"/>
      <w:sz w:val="20"/>
      <w:vertAlign w:val="baseline"/>
    </w:rPr>
  </w:style>
  <w:style w:type="paragraph" w:customStyle="1" w:styleId="HeaderBase">
    <w:name w:val="Header Base"/>
    <w:rsid w:val="00DA42A3"/>
    <w:rPr>
      <w:rFonts w:ascii="Book Antiqua" w:eastAsia="Times New Roman" w:hAnsi="Book Antiqua"/>
      <w:i/>
    </w:rPr>
  </w:style>
  <w:style w:type="paragraph" w:customStyle="1" w:styleId="HeaderEven">
    <w:name w:val="Header Even"/>
    <w:basedOn w:val="HeaderBase"/>
    <w:rsid w:val="00BB207D"/>
  </w:style>
  <w:style w:type="paragraph" w:customStyle="1" w:styleId="HeaderOdd">
    <w:name w:val="Header Odd"/>
    <w:basedOn w:val="HeaderBase"/>
    <w:rsid w:val="00BB207D"/>
    <w:pPr>
      <w:jc w:val="right"/>
    </w:pPr>
  </w:style>
  <w:style w:type="character" w:customStyle="1" w:styleId="Heading1Char">
    <w:name w:val="Heading 1 Char"/>
    <w:link w:val="Heading1"/>
    <w:rsid w:val="00603968"/>
    <w:rPr>
      <w:rFonts w:ascii="Arial Bold" w:eastAsia="Times New Roman" w:hAnsi="Arial Bold"/>
      <w:b/>
      <w:sz w:val="22"/>
      <w:szCs w:val="24"/>
      <w:lang w:eastAsia="en-US"/>
    </w:rPr>
  </w:style>
  <w:style w:type="character" w:customStyle="1" w:styleId="Heading2Char">
    <w:name w:val="Heading 2 Char"/>
    <w:link w:val="Heading2"/>
    <w:rsid w:val="00BB207D"/>
    <w:rPr>
      <w:rFonts w:ascii="Arial Bold" w:eastAsia="Times New Roman" w:hAnsi="Arial Bold" w:cs="Times New Roman"/>
      <w:b/>
      <w:smallCaps/>
      <w:sz w:val="26"/>
      <w:szCs w:val="20"/>
      <w:lang w:eastAsia="en-AU"/>
    </w:rPr>
  </w:style>
  <w:style w:type="character" w:customStyle="1" w:styleId="Heading3Char">
    <w:name w:val="Heading 3 Char"/>
    <w:link w:val="Heading3"/>
    <w:rsid w:val="00BB207D"/>
    <w:rPr>
      <w:rFonts w:ascii="Arial Bold" w:eastAsia="Times New Roman" w:hAnsi="Arial Bold" w:cs="Times New Roman"/>
      <w:b/>
      <w:szCs w:val="20"/>
      <w:lang w:eastAsia="en-AU"/>
    </w:rPr>
  </w:style>
  <w:style w:type="paragraph" w:customStyle="1" w:styleId="Heading3noTOC">
    <w:name w:val="Heading 3 no TOC"/>
    <w:basedOn w:val="Heading3"/>
    <w:rsid w:val="00BB207D"/>
    <w:pPr>
      <w:outlineLvl w:val="9"/>
    </w:pPr>
  </w:style>
  <w:style w:type="character" w:customStyle="1" w:styleId="Heading4Char">
    <w:name w:val="Heading 4 Char"/>
    <w:link w:val="Heading4"/>
    <w:rsid w:val="00BB207D"/>
    <w:rPr>
      <w:rFonts w:ascii="Arial Bold" w:eastAsia="Times New Roman" w:hAnsi="Arial Bold" w:cs="Times New Roman"/>
      <w:b/>
      <w:sz w:val="20"/>
      <w:szCs w:val="20"/>
      <w:lang w:eastAsia="en-AU"/>
    </w:rPr>
  </w:style>
  <w:style w:type="character" w:customStyle="1" w:styleId="Heading5Char">
    <w:name w:val="Heading 5 Char"/>
    <w:link w:val="Heading5"/>
    <w:rsid w:val="00BB207D"/>
    <w:rPr>
      <w:rFonts w:ascii="Arial" w:eastAsia="Times New Roman" w:hAnsi="Arial" w:cs="Times New Roman"/>
      <w:b/>
      <w:bCs/>
      <w:iCs/>
      <w:sz w:val="20"/>
      <w:szCs w:val="26"/>
      <w:lang w:eastAsia="en-AU"/>
    </w:rPr>
  </w:style>
  <w:style w:type="character" w:customStyle="1" w:styleId="Heading7Char">
    <w:name w:val="Heading 7 Char"/>
    <w:link w:val="Heading7"/>
    <w:rsid w:val="00BB207D"/>
    <w:rPr>
      <w:rFonts w:ascii="Arial" w:eastAsia="Times New Roman" w:hAnsi="Arial" w:cs="Times New Roman"/>
      <w:sz w:val="20"/>
      <w:szCs w:val="24"/>
      <w:lang w:eastAsia="en-AU"/>
    </w:rPr>
  </w:style>
  <w:style w:type="character" w:customStyle="1" w:styleId="Heading8Char">
    <w:name w:val="Heading 8 Char"/>
    <w:link w:val="Heading8"/>
    <w:rsid w:val="00BB207D"/>
    <w:rPr>
      <w:rFonts w:ascii="Times New Roman" w:eastAsia="Times New Roman" w:hAnsi="Times New Roman" w:cs="Times New Roman"/>
      <w:i/>
      <w:iCs/>
      <w:sz w:val="16"/>
      <w:szCs w:val="24"/>
      <w:lang w:eastAsia="en-AU"/>
    </w:rPr>
  </w:style>
  <w:style w:type="character" w:customStyle="1" w:styleId="HiddenSequenceCode">
    <w:name w:val="Hidden Sequence Code"/>
    <w:rsid w:val="00BB207D"/>
    <w:rPr>
      <w:rFonts w:ascii="Times New Roman" w:hAnsi="Times New Roman"/>
      <w:vanish/>
      <w:sz w:val="16"/>
    </w:rPr>
  </w:style>
  <w:style w:type="character" w:styleId="Hyperlink">
    <w:name w:val="Hyperlink"/>
    <w:uiPriority w:val="99"/>
    <w:unhideWhenUsed/>
    <w:rsid w:val="00BB207D"/>
    <w:rPr>
      <w:color w:val="0000FF"/>
      <w:u w:val="single"/>
    </w:rPr>
  </w:style>
  <w:style w:type="paragraph" w:styleId="Index1">
    <w:name w:val="index 1"/>
    <w:basedOn w:val="Normal"/>
    <w:next w:val="Normal"/>
    <w:rsid w:val="00BB207D"/>
    <w:pPr>
      <w:ind w:left="200" w:hanging="200"/>
    </w:pPr>
  </w:style>
  <w:style w:type="paragraph" w:styleId="Index2">
    <w:name w:val="index 2"/>
    <w:basedOn w:val="Normal"/>
    <w:next w:val="Normal"/>
    <w:rsid w:val="00BB207D"/>
    <w:pPr>
      <w:ind w:left="400" w:hanging="200"/>
    </w:pPr>
  </w:style>
  <w:style w:type="paragraph" w:styleId="Index3">
    <w:name w:val="index 3"/>
    <w:basedOn w:val="Normal"/>
    <w:next w:val="Normal"/>
    <w:rsid w:val="00BB207D"/>
    <w:pPr>
      <w:ind w:left="600" w:hanging="200"/>
    </w:pPr>
  </w:style>
  <w:style w:type="paragraph" w:styleId="Index4">
    <w:name w:val="index 4"/>
    <w:basedOn w:val="Normal"/>
    <w:next w:val="Normal"/>
    <w:autoRedefine/>
    <w:semiHidden/>
    <w:rsid w:val="00BB207D"/>
    <w:pPr>
      <w:ind w:left="800" w:hanging="200"/>
    </w:pPr>
  </w:style>
  <w:style w:type="paragraph" w:styleId="Index5">
    <w:name w:val="index 5"/>
    <w:basedOn w:val="Normal"/>
    <w:next w:val="Normal"/>
    <w:autoRedefine/>
    <w:semiHidden/>
    <w:rsid w:val="00BB207D"/>
    <w:pPr>
      <w:ind w:left="1000" w:hanging="200"/>
    </w:pPr>
  </w:style>
  <w:style w:type="paragraph" w:styleId="Index6">
    <w:name w:val="index 6"/>
    <w:basedOn w:val="Normal"/>
    <w:next w:val="Normal"/>
    <w:autoRedefine/>
    <w:semiHidden/>
    <w:rsid w:val="00BB207D"/>
    <w:pPr>
      <w:ind w:left="1200" w:hanging="200"/>
    </w:pPr>
  </w:style>
  <w:style w:type="paragraph" w:styleId="Index7">
    <w:name w:val="index 7"/>
    <w:basedOn w:val="Normal"/>
    <w:next w:val="Normal"/>
    <w:autoRedefine/>
    <w:semiHidden/>
    <w:rsid w:val="00BB207D"/>
    <w:pPr>
      <w:ind w:left="1400" w:hanging="200"/>
    </w:pPr>
  </w:style>
  <w:style w:type="paragraph" w:styleId="Index8">
    <w:name w:val="index 8"/>
    <w:basedOn w:val="Normal"/>
    <w:next w:val="Normal"/>
    <w:autoRedefine/>
    <w:semiHidden/>
    <w:rsid w:val="00BB207D"/>
    <w:pPr>
      <w:ind w:left="1600" w:hanging="200"/>
    </w:pPr>
  </w:style>
  <w:style w:type="paragraph" w:styleId="Index9">
    <w:name w:val="index 9"/>
    <w:basedOn w:val="Normal"/>
    <w:next w:val="Normal"/>
    <w:autoRedefine/>
    <w:semiHidden/>
    <w:rsid w:val="00BB207D"/>
    <w:pPr>
      <w:ind w:left="1800" w:hanging="200"/>
    </w:pPr>
  </w:style>
  <w:style w:type="paragraph" w:styleId="IndexHeading">
    <w:name w:val="index heading"/>
    <w:basedOn w:val="Normal"/>
    <w:next w:val="Index1"/>
    <w:rsid w:val="00BB207D"/>
    <w:rPr>
      <w:rFonts w:ascii="Arial Bold" w:hAnsi="Arial Bold" w:cs="Arial"/>
      <w:b/>
      <w:bCs/>
      <w:color w:val="002B54"/>
    </w:rPr>
  </w:style>
  <w:style w:type="paragraph" w:styleId="MacroText">
    <w:name w:val="macro"/>
    <w:link w:val="MacroTextChar"/>
    <w:unhideWhenUsed/>
    <w:rsid w:val="00BB207D"/>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eastAsia="Times New Roman" w:hAnsi="Courier New" w:cs="Courier New"/>
    </w:rPr>
  </w:style>
  <w:style w:type="character" w:customStyle="1" w:styleId="MacroTextChar">
    <w:name w:val="Macro Text Char"/>
    <w:link w:val="MacroText"/>
    <w:rsid w:val="00BB207D"/>
    <w:rPr>
      <w:rFonts w:ascii="Courier New" w:eastAsia="Times New Roman" w:hAnsi="Courier New" w:cs="Courier New"/>
      <w:sz w:val="20"/>
      <w:szCs w:val="20"/>
      <w:lang w:eastAsia="en-AU"/>
    </w:rPr>
  </w:style>
  <w:style w:type="paragraph" w:styleId="NormalIndent">
    <w:name w:val="Normal Indent"/>
    <w:basedOn w:val="Normal"/>
    <w:rsid w:val="00BB207D"/>
    <w:pPr>
      <w:ind w:left="567"/>
    </w:pPr>
  </w:style>
  <w:style w:type="paragraph" w:customStyle="1" w:styleId="NoteTableHeading">
    <w:name w:val="Note Table Heading"/>
    <w:basedOn w:val="HeadingBase"/>
    <w:next w:val="Normal"/>
    <w:rsid w:val="00BB207D"/>
    <w:pPr>
      <w:spacing w:before="240"/>
    </w:pPr>
    <w:rPr>
      <w:b/>
      <w:sz w:val="20"/>
    </w:rPr>
  </w:style>
  <w:style w:type="paragraph" w:customStyle="1" w:styleId="OverviewParagraph">
    <w:name w:val="Overview Paragraph"/>
    <w:basedOn w:val="Normal"/>
    <w:rsid w:val="00BB207D"/>
    <w:pPr>
      <w:spacing w:before="120" w:after="120" w:line="240" w:lineRule="auto"/>
    </w:pPr>
  </w:style>
  <w:style w:type="character" w:styleId="PageNumber">
    <w:name w:val="page number"/>
    <w:rsid w:val="00BB207D"/>
    <w:rPr>
      <w:rFonts w:ascii="Arial" w:hAnsi="Arial" w:cs="Arial"/>
    </w:rPr>
  </w:style>
  <w:style w:type="paragraph" w:customStyle="1" w:styleId="SingleParagraph">
    <w:name w:val="Single Paragraph"/>
    <w:basedOn w:val="Normal"/>
    <w:rsid w:val="00BB207D"/>
    <w:pPr>
      <w:spacing w:after="0"/>
    </w:pPr>
  </w:style>
  <w:style w:type="paragraph" w:customStyle="1" w:styleId="Source">
    <w:name w:val="Source"/>
    <w:basedOn w:val="Normal"/>
    <w:rsid w:val="00BB207D"/>
    <w:pPr>
      <w:tabs>
        <w:tab w:val="left" w:pos="284"/>
      </w:tabs>
      <w:spacing w:line="240" w:lineRule="auto"/>
    </w:pPr>
    <w:rPr>
      <w:rFonts w:ascii="Arial" w:hAnsi="Arial"/>
      <w:sz w:val="16"/>
    </w:rPr>
  </w:style>
  <w:style w:type="paragraph" w:customStyle="1" w:styleId="SourceBox">
    <w:name w:val="Source Box"/>
    <w:basedOn w:val="Source"/>
    <w:rsid w:val="00BB207D"/>
    <w:pPr>
      <w:spacing w:after="120"/>
    </w:pPr>
  </w:style>
  <w:style w:type="paragraph" w:customStyle="1" w:styleId="TableColumnHeadingBase">
    <w:name w:val="Table Column Heading Base"/>
    <w:basedOn w:val="Normal"/>
    <w:rsid w:val="00BB207D"/>
    <w:pPr>
      <w:spacing w:before="40" w:after="40" w:line="240" w:lineRule="auto"/>
      <w:jc w:val="left"/>
    </w:pPr>
    <w:rPr>
      <w:rFonts w:ascii="Arial Bold" w:hAnsi="Arial Bold"/>
      <w:b/>
      <w:sz w:val="16"/>
    </w:rPr>
  </w:style>
  <w:style w:type="paragraph" w:customStyle="1" w:styleId="TableColumnHeadingCentred">
    <w:name w:val="Table Column Heading Centred"/>
    <w:basedOn w:val="TableColumnHeadingBase"/>
    <w:next w:val="Normal"/>
    <w:rsid w:val="00BB207D"/>
    <w:pPr>
      <w:jc w:val="center"/>
    </w:pPr>
  </w:style>
  <w:style w:type="paragraph" w:customStyle="1" w:styleId="TableColumnHeadingLeft">
    <w:name w:val="Table Column Heading Left"/>
    <w:basedOn w:val="TableColumnHeadingBase"/>
    <w:next w:val="Normal"/>
    <w:rsid w:val="00BB207D"/>
  </w:style>
  <w:style w:type="paragraph" w:customStyle="1" w:styleId="TableColumnHeadingRight">
    <w:name w:val="Table Column Heading Right"/>
    <w:basedOn w:val="TableColumnHeadingBase"/>
    <w:next w:val="Normal"/>
    <w:rsid w:val="00BB207D"/>
    <w:pPr>
      <w:jc w:val="right"/>
    </w:pPr>
  </w:style>
  <w:style w:type="paragraph" w:customStyle="1" w:styleId="TableColumnHeadingS118pt">
    <w:name w:val="Table Column Heading S11 8 pt"/>
    <w:basedOn w:val="TableColumnHeadingBase"/>
    <w:rsid w:val="00BB207D"/>
    <w:pPr>
      <w:spacing w:after="0"/>
    </w:pPr>
    <w:rPr>
      <w:rFonts w:ascii="Arial" w:hAnsi="Arial"/>
    </w:rPr>
  </w:style>
  <w:style w:type="paragraph" w:customStyle="1" w:styleId="TableColumnHeadingS119pt">
    <w:name w:val="Table Column Heading S11 9 pt"/>
    <w:basedOn w:val="TableColumnHeadingBase"/>
    <w:rsid w:val="00BB207D"/>
    <w:pPr>
      <w:spacing w:before="60" w:after="60"/>
    </w:pPr>
    <w:rPr>
      <w:rFonts w:ascii="Arial" w:hAnsi="Arial"/>
      <w:sz w:val="18"/>
    </w:rPr>
  </w:style>
  <w:style w:type="paragraph" w:customStyle="1" w:styleId="TableGraphic">
    <w:name w:val="Table Graphic"/>
    <w:basedOn w:val="Normal"/>
    <w:next w:val="Normal"/>
    <w:rsid w:val="00BB207D"/>
    <w:pPr>
      <w:spacing w:after="0" w:line="240" w:lineRule="auto"/>
      <w:ind w:right="-113"/>
    </w:pPr>
  </w:style>
  <w:style w:type="table" w:styleId="TableGrid">
    <w:name w:val="Table Grid"/>
    <w:basedOn w:val="TableNormal"/>
    <w:rsid w:val="00BB207D"/>
    <w:pPr>
      <w:spacing w:after="240" w:line="260" w:lineRule="exact"/>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HeadingBase"/>
    <w:next w:val="TableGraphic"/>
    <w:link w:val="TableHeadingChar"/>
    <w:qFormat/>
    <w:rsid w:val="00373CB9"/>
    <w:pPr>
      <w:spacing w:before="120" w:after="10"/>
    </w:pPr>
    <w:rPr>
      <w:b/>
      <w:sz w:val="20"/>
    </w:rPr>
  </w:style>
  <w:style w:type="paragraph" w:customStyle="1" w:styleId="TableHeadingcontinued">
    <w:name w:val="Table Heading continued"/>
    <w:basedOn w:val="HeadingBase"/>
    <w:next w:val="TableGraphic"/>
    <w:rsid w:val="00373CB9"/>
    <w:pPr>
      <w:spacing w:before="120" w:after="10"/>
    </w:pPr>
    <w:rPr>
      <w:rFonts w:ascii="Arial Bold" w:hAnsi="Arial Bold"/>
      <w:b/>
      <w:sz w:val="20"/>
    </w:rPr>
  </w:style>
  <w:style w:type="paragraph" w:styleId="TableofAuthorities">
    <w:name w:val="table of authorities"/>
    <w:basedOn w:val="Normal"/>
    <w:next w:val="Normal"/>
    <w:rsid w:val="00BB207D"/>
    <w:pPr>
      <w:ind w:left="200" w:hanging="200"/>
    </w:pPr>
  </w:style>
  <w:style w:type="paragraph" w:styleId="TableofFigures">
    <w:name w:val="table of figures"/>
    <w:basedOn w:val="Normal"/>
    <w:next w:val="Normal"/>
    <w:rsid w:val="00BB207D"/>
  </w:style>
  <w:style w:type="paragraph" w:customStyle="1" w:styleId="TableTextBase">
    <w:name w:val="Table Text Base"/>
    <w:basedOn w:val="Normal"/>
    <w:rsid w:val="00BB207D"/>
    <w:pPr>
      <w:spacing w:before="20" w:after="20" w:line="240" w:lineRule="auto"/>
      <w:jc w:val="left"/>
    </w:pPr>
    <w:rPr>
      <w:rFonts w:ascii="Arial" w:hAnsi="Arial"/>
      <w:sz w:val="16"/>
    </w:rPr>
  </w:style>
  <w:style w:type="paragraph" w:customStyle="1" w:styleId="TableTextCentred">
    <w:name w:val="Table Text Centred"/>
    <w:basedOn w:val="TableTextBase"/>
    <w:rsid w:val="00BB207D"/>
    <w:pPr>
      <w:jc w:val="center"/>
    </w:pPr>
  </w:style>
  <w:style w:type="paragraph" w:customStyle="1" w:styleId="TableTextIndented">
    <w:name w:val="Table Text Indented"/>
    <w:basedOn w:val="TableTextBase"/>
    <w:rsid w:val="00BB207D"/>
    <w:pPr>
      <w:ind w:left="284"/>
    </w:pPr>
  </w:style>
  <w:style w:type="paragraph" w:customStyle="1" w:styleId="TableTextLeft">
    <w:name w:val="Table Text Left"/>
    <w:basedOn w:val="TableTextBase"/>
    <w:rsid w:val="00BB207D"/>
  </w:style>
  <w:style w:type="paragraph" w:customStyle="1" w:styleId="TableTextRight">
    <w:name w:val="Table Text Right"/>
    <w:basedOn w:val="TableTextBase"/>
    <w:rsid w:val="00BB207D"/>
    <w:pPr>
      <w:jc w:val="right"/>
    </w:pPr>
  </w:style>
  <w:style w:type="paragraph" w:styleId="TOAHeading">
    <w:name w:val="toa heading"/>
    <w:basedOn w:val="Normal"/>
    <w:next w:val="Normal"/>
    <w:rsid w:val="00BB207D"/>
    <w:pPr>
      <w:spacing w:before="120"/>
    </w:pPr>
    <w:rPr>
      <w:rFonts w:ascii="Arial" w:hAnsi="Arial" w:cs="Arial"/>
      <w:b/>
      <w:bCs/>
      <w:sz w:val="24"/>
    </w:rPr>
  </w:style>
  <w:style w:type="paragraph" w:styleId="TOC1">
    <w:name w:val="toc 1"/>
    <w:basedOn w:val="HeaderBase"/>
    <w:next w:val="Normal"/>
    <w:uiPriority w:val="2"/>
    <w:rsid w:val="00BB207D"/>
    <w:pPr>
      <w:tabs>
        <w:tab w:val="left" w:pos="1486"/>
        <w:tab w:val="right" w:leader="dot" w:pos="7700"/>
      </w:tabs>
      <w:spacing w:before="240"/>
      <w:ind w:right="851"/>
    </w:pPr>
    <w:rPr>
      <w:rFonts w:ascii="Arial Bold" w:hAnsi="Arial Bold"/>
      <w:b/>
      <w:i w:val="0"/>
      <w:sz w:val="22"/>
    </w:rPr>
  </w:style>
  <w:style w:type="paragraph" w:styleId="TOC2">
    <w:name w:val="toc 2"/>
    <w:basedOn w:val="HeadingBase"/>
    <w:next w:val="Normal"/>
    <w:uiPriority w:val="2"/>
    <w:rsid w:val="00BB207D"/>
    <w:pPr>
      <w:tabs>
        <w:tab w:val="left" w:pos="992"/>
        <w:tab w:val="right" w:leader="dot" w:pos="7700"/>
      </w:tabs>
      <w:spacing w:before="40"/>
      <w:ind w:left="851" w:right="851" w:hanging="851"/>
    </w:pPr>
    <w:rPr>
      <w:sz w:val="20"/>
    </w:rPr>
  </w:style>
  <w:style w:type="paragraph" w:styleId="TOC3">
    <w:name w:val="toc 3"/>
    <w:basedOn w:val="HeadingBase"/>
    <w:next w:val="Normal"/>
    <w:uiPriority w:val="2"/>
    <w:unhideWhenUsed/>
    <w:rsid w:val="00BB207D"/>
    <w:pPr>
      <w:tabs>
        <w:tab w:val="right" w:leader="dot" w:pos="7700"/>
      </w:tabs>
      <w:spacing w:before="40"/>
      <w:ind w:right="851"/>
    </w:pPr>
    <w:rPr>
      <w:sz w:val="20"/>
    </w:rPr>
  </w:style>
  <w:style w:type="paragraph" w:styleId="TOC4">
    <w:name w:val="toc 4"/>
    <w:basedOn w:val="HeadingBase"/>
    <w:next w:val="Normal"/>
    <w:uiPriority w:val="2"/>
    <w:unhideWhenUsed/>
    <w:rsid w:val="00BB207D"/>
    <w:pPr>
      <w:tabs>
        <w:tab w:val="right" w:leader="dot" w:pos="7700"/>
      </w:tabs>
      <w:spacing w:before="40"/>
      <w:ind w:right="851"/>
    </w:pPr>
    <w:rPr>
      <w:sz w:val="20"/>
    </w:rPr>
  </w:style>
  <w:style w:type="paragraph" w:styleId="TOC5">
    <w:name w:val="toc 5"/>
    <w:basedOn w:val="Normal"/>
    <w:next w:val="Normal"/>
    <w:autoRedefine/>
    <w:uiPriority w:val="2"/>
    <w:semiHidden/>
    <w:rsid w:val="00BB207D"/>
    <w:pPr>
      <w:tabs>
        <w:tab w:val="left" w:pos="851"/>
        <w:tab w:val="right" w:leader="dot" w:pos="7700"/>
      </w:tabs>
      <w:ind w:left="896" w:hanging="896"/>
    </w:pPr>
    <w:rPr>
      <w:rFonts w:ascii="Arial" w:hAnsi="Arial"/>
      <w:noProof/>
      <w:color w:val="002B54"/>
    </w:rPr>
  </w:style>
  <w:style w:type="paragraph" w:styleId="TOC6">
    <w:name w:val="toc 6"/>
    <w:basedOn w:val="TOC4"/>
    <w:next w:val="Normal"/>
    <w:uiPriority w:val="2"/>
    <w:semiHidden/>
    <w:rsid w:val="00BB207D"/>
    <w:pPr>
      <w:tabs>
        <w:tab w:val="left" w:pos="851"/>
      </w:tabs>
      <w:ind w:left="851" w:hanging="851"/>
    </w:pPr>
    <w:rPr>
      <w:color w:val="000000"/>
    </w:rPr>
  </w:style>
  <w:style w:type="paragraph" w:styleId="TOC7">
    <w:name w:val="toc 7"/>
    <w:basedOn w:val="Normal"/>
    <w:next w:val="Normal"/>
    <w:autoRedefine/>
    <w:uiPriority w:val="2"/>
    <w:semiHidden/>
    <w:rsid w:val="00BB207D"/>
    <w:pPr>
      <w:ind w:left="1200"/>
    </w:pPr>
  </w:style>
  <w:style w:type="paragraph" w:styleId="TOC8">
    <w:name w:val="toc 8"/>
    <w:basedOn w:val="Normal"/>
    <w:next w:val="Normal"/>
    <w:autoRedefine/>
    <w:uiPriority w:val="2"/>
    <w:semiHidden/>
    <w:rsid w:val="00BB207D"/>
    <w:pPr>
      <w:ind w:left="1400"/>
    </w:pPr>
  </w:style>
  <w:style w:type="paragraph" w:styleId="TOC9">
    <w:name w:val="toc 9"/>
    <w:basedOn w:val="Normal"/>
    <w:next w:val="Normal"/>
    <w:autoRedefine/>
    <w:uiPriority w:val="2"/>
    <w:semiHidden/>
    <w:rsid w:val="00BB207D"/>
    <w:pPr>
      <w:ind w:left="1600"/>
    </w:pPr>
  </w:style>
  <w:style w:type="paragraph" w:customStyle="1" w:styleId="TPHeading1">
    <w:name w:val="TP Heading 1"/>
    <w:basedOn w:val="HeadingBase"/>
    <w:semiHidden/>
    <w:rsid w:val="00BB207D"/>
    <w:pPr>
      <w:spacing w:before="60" w:after="60"/>
      <w:ind w:left="1134"/>
    </w:pPr>
    <w:rPr>
      <w:rFonts w:ascii="Arial Bold" w:hAnsi="Arial Bold"/>
      <w:b/>
      <w:caps/>
      <w:spacing w:val="-10"/>
      <w:sz w:val="28"/>
    </w:rPr>
  </w:style>
  <w:style w:type="paragraph" w:customStyle="1" w:styleId="TPHeading2">
    <w:name w:val="TP Heading 2"/>
    <w:basedOn w:val="HeadingBase"/>
    <w:semiHidden/>
    <w:rsid w:val="00BB207D"/>
    <w:pPr>
      <w:ind w:left="1134"/>
    </w:pPr>
    <w:rPr>
      <w:caps/>
      <w:spacing w:val="-10"/>
      <w:sz w:val="28"/>
    </w:rPr>
  </w:style>
  <w:style w:type="paragraph" w:customStyle="1" w:styleId="TPHeading3">
    <w:name w:val="TP Heading 3"/>
    <w:basedOn w:val="HeadingBase"/>
    <w:semiHidden/>
    <w:rsid w:val="00BB207D"/>
    <w:pPr>
      <w:ind w:left="1134"/>
    </w:pPr>
    <w:rPr>
      <w:caps/>
      <w:spacing w:val="-10"/>
    </w:rPr>
  </w:style>
  <w:style w:type="paragraph" w:customStyle="1" w:styleId="TPHeading3bold">
    <w:name w:val="TP Heading 3 bold"/>
    <w:basedOn w:val="TPHeading3"/>
    <w:semiHidden/>
    <w:rsid w:val="00BB207D"/>
    <w:rPr>
      <w:rFonts w:cs="Arial"/>
      <w:b/>
      <w:sz w:val="22"/>
      <w:szCs w:val="22"/>
    </w:rPr>
  </w:style>
  <w:style w:type="paragraph" w:customStyle="1" w:styleId="TPHEADING3boldspace">
    <w:name w:val="TP HEADING 3 bold space"/>
    <w:basedOn w:val="TPHeading3bold"/>
    <w:semiHidden/>
    <w:rsid w:val="00BB207D"/>
    <w:pPr>
      <w:spacing w:after="120"/>
    </w:pPr>
  </w:style>
  <w:style w:type="paragraph" w:customStyle="1" w:styleId="TPHEADING3space">
    <w:name w:val="TP HEADING 3 space"/>
    <w:basedOn w:val="TPHeading3"/>
    <w:semiHidden/>
    <w:rsid w:val="00BB207D"/>
    <w:pPr>
      <w:spacing w:before="120" w:after="120"/>
    </w:pPr>
    <w:rPr>
      <w:rFonts w:cs="Arial"/>
      <w:sz w:val="22"/>
      <w:szCs w:val="22"/>
    </w:rPr>
  </w:style>
  <w:style w:type="paragraph" w:customStyle="1" w:styleId="TPHeading4">
    <w:name w:val="TP Heading 4"/>
    <w:basedOn w:val="TPHeading3"/>
    <w:semiHidden/>
    <w:rsid w:val="00BB207D"/>
    <w:rPr>
      <w:sz w:val="20"/>
    </w:rPr>
  </w:style>
  <w:style w:type="paragraph" w:customStyle="1" w:styleId="TPHEADING4space">
    <w:name w:val="TP HEADING 4 space"/>
    <w:basedOn w:val="TPHEADING3space"/>
    <w:semiHidden/>
    <w:rsid w:val="00BB207D"/>
  </w:style>
  <w:style w:type="paragraph" w:customStyle="1" w:styleId="Attachmentheading">
    <w:name w:val="Attachment heading"/>
    <w:basedOn w:val="Normal"/>
    <w:next w:val="Normal"/>
    <w:rsid w:val="004278BA"/>
    <w:pPr>
      <w:spacing w:line="240" w:lineRule="auto"/>
      <w:jc w:val="right"/>
    </w:pPr>
    <w:rPr>
      <w:rFonts w:ascii="Arial Bold" w:hAnsi="Arial Bold"/>
      <w:b/>
      <w:sz w:val="22"/>
    </w:rPr>
  </w:style>
  <w:style w:type="paragraph" w:customStyle="1" w:styleId="Heading2noTOC">
    <w:name w:val="Heading 2 no TOC"/>
    <w:basedOn w:val="Heading2"/>
    <w:qFormat/>
    <w:rsid w:val="004278BA"/>
    <w:rPr>
      <w:rFonts w:cs="Arial"/>
      <w:bCs/>
      <w:iCs/>
      <w:color w:val="000000"/>
      <w:szCs w:val="28"/>
      <w:lang w:eastAsia="en-US"/>
    </w:rPr>
  </w:style>
  <w:style w:type="character" w:customStyle="1" w:styleId="TableHeadingChar">
    <w:name w:val="Table Heading Char"/>
    <w:link w:val="TableHeading"/>
    <w:rsid w:val="00373CB9"/>
    <w:rPr>
      <w:rFonts w:ascii="Arial" w:eastAsia="Times New Roman" w:hAnsi="Arial"/>
      <w:b/>
    </w:rPr>
  </w:style>
  <w:style w:type="character" w:customStyle="1" w:styleId="ChartandTableFootnoteAlphaChar">
    <w:name w:val="Chart and Table Footnote Alpha Char"/>
    <w:link w:val="ChartandTableFootnoteAlpha"/>
    <w:rsid w:val="004278BA"/>
    <w:rPr>
      <w:rFonts w:ascii="Arial" w:eastAsia="Times New Roman" w:hAnsi="Arial"/>
      <w:color w:val="000000"/>
      <w:sz w:val="16"/>
    </w:rPr>
  </w:style>
  <w:style w:type="character" w:customStyle="1" w:styleId="BulletChar">
    <w:name w:val="Bullet Char"/>
    <w:link w:val="Bullet"/>
    <w:rsid w:val="004278BA"/>
    <w:rPr>
      <w:rFonts w:ascii="Book Antiqua" w:eastAsia="Times New Roman" w:hAnsi="Book Antiqua"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oleObject" Target="file:///\\romulus\csg_h$\MCD\Publishing\Internet%20&amp;%20Intranet%20Services%20Team\Tables%20-%20CSRD\Tables%20in%20text\Summary%20tables\Commonwealth%20payments%20to%20the%20States.xls!Table!R32C4:R40C13" TargetMode="External"/><Relationship Id="rId18" Type="http://schemas.openxmlformats.org/officeDocument/2006/relationships/image" Target="media/image5.emf"/><Relationship Id="rId26" Type="http://schemas.openxmlformats.org/officeDocument/2006/relationships/image" Target="media/image9.emf"/><Relationship Id="rId39" Type="http://schemas.openxmlformats.org/officeDocument/2006/relationships/footer" Target="footer2.xml"/><Relationship Id="rId3" Type="http://schemas.openxmlformats.org/officeDocument/2006/relationships/styles" Target="styles.xml"/><Relationship Id="rId21" Type="http://schemas.openxmlformats.org/officeDocument/2006/relationships/oleObject" Target="file:///\\romulus\csg_h$\MCD\Publishing\Internet%20&amp;%20Intranet%20Services%20Team\Tables%20-%20CSRD\MASTER%20tables%20for%20MYEFO\NDRRA%20Cash%20Payments%20MYEFO.xls!NDRRA%20Cash%20Payments!R4C3:R8C12" TargetMode="External"/><Relationship Id="rId34" Type="http://schemas.openxmlformats.org/officeDocument/2006/relationships/image" Target="media/image13.emf"/><Relationship Id="rId42"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2.emf"/><Relationship Id="rId17" Type="http://schemas.openxmlformats.org/officeDocument/2006/relationships/oleObject" Target="file:///\\romulus\csg_h$\MCD\Publishing\Internet%20&amp;%20Intranet%20Services%20Team\Tables%20-%20CSRD\Tables%20in%20text\Summary%20tables\Payments%20for%20specific%20purposes%20by%20sector.xls!Table!R10C4:R54C13" TargetMode="External"/><Relationship Id="rId25" Type="http://schemas.openxmlformats.org/officeDocument/2006/relationships/oleObject" Target="file:///\\romulus\csg_h$\MCD\Publishing\Internet%20&amp;%20Intranet%20Services%20Team\To_Do_For_Conversion\MYEFO\Tables%20-%20CSRD\Tables%20in%20text\Table%20-%20Reconciling%20GST%20revenue%20and%20the%20States&#8217;%20GST%20entitlement.XLS!Table!R4C1:R11C5" TargetMode="External"/><Relationship Id="rId33" Type="http://schemas.openxmlformats.org/officeDocument/2006/relationships/oleObject" Target="file:///\\romulus\csg_h$\MCD\Publishing\Internet%20&amp;%20Intranet%20Services%20Team\Tables%20-%20CSRD\Tables%20in%20text\Table%20-%20Distribution%20of%20the%20GST%20pool%20and%20balancing%20adjustment.XLS!Table!R3C8:R16C15" TargetMode="External"/><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4.emf"/><Relationship Id="rId20" Type="http://schemas.openxmlformats.org/officeDocument/2006/relationships/image" Target="media/image6.emf"/><Relationship Id="rId29" Type="http://schemas.openxmlformats.org/officeDocument/2006/relationships/oleObject" Target="file:///\\romulus\csg_h$\MCD\Publishing\Internet%20&amp;%20Intranet%20Services%20Team\To_Do_For_Conversion\MYEFO\Tables%20-%20CSRD\Tables%20in%20text\Table%20-%20Policy%20decisions%20since%2017-18%20Budget%20that%20affect%20GST%20revenue.xls!Table!R2C1:R12C5" TargetMode="External"/><Relationship Id="rId41"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file:///\\romulus\csg_h$\MCD\Publishing\Internet%20&amp;%20Intranet%20Services%20Team\Tables%20-%20CSRD\Tables%20in%20text\Summary%20tables\Commonwealth%20payments%20to%20the%20States.xls!Table!R8C4:R31C13" TargetMode="External"/><Relationship Id="rId24" Type="http://schemas.openxmlformats.org/officeDocument/2006/relationships/image" Target="media/image8.emf"/><Relationship Id="rId32" Type="http://schemas.openxmlformats.org/officeDocument/2006/relationships/image" Target="media/image12.emf"/><Relationship Id="rId37" Type="http://schemas.openxmlformats.org/officeDocument/2006/relationships/header" Target="header2.xml"/><Relationship Id="rId40"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oleObject" Target="file:///\\romulus\csg_h$\MCD\Publishing\Internet%20&amp;%20Intranet%20Services%20Team\Tables%20-%20CSRD\Tables%20in%20text\Summary%20tables\Total%20payments%20for%20specific%20purposes%20by%20category.xls!Table!R8C4:R52C13" TargetMode="External"/><Relationship Id="rId23" Type="http://schemas.openxmlformats.org/officeDocument/2006/relationships/oleObject" Target="file:///\\romulus\csg_h$\MCD\Publishing\Internet%20&amp;%20Intranet%20Services%20Team\Tables%20-%20CSRD\Tables%20in%20text\Table%20-%20General%20revenue%20assistance.XLS!Table!R17C4:R25C8" TargetMode="External"/><Relationship Id="rId28" Type="http://schemas.openxmlformats.org/officeDocument/2006/relationships/image" Target="media/image10.emf"/><Relationship Id="rId36" Type="http://schemas.openxmlformats.org/officeDocument/2006/relationships/header" Target="header1.xml"/><Relationship Id="rId10" Type="http://schemas.openxmlformats.org/officeDocument/2006/relationships/image" Target="media/image1.emf"/><Relationship Id="rId19" Type="http://schemas.openxmlformats.org/officeDocument/2006/relationships/oleObject" Target="file:///\\romulus\csg_h$\MCD\Publishing\Internet%20&amp;%20Intranet%20Services%20Team\Tables%20-%20CSRD\Tables%20in%20text\Summary%20tables\Payments%20for%20specific%20purposes%20by%20sector%20and%20category.xls!Table!R9C6:R35C10" TargetMode="External"/><Relationship Id="rId31" Type="http://schemas.openxmlformats.org/officeDocument/2006/relationships/oleObject" Target="file:///\\romulus\csg_h$\MCD\Publishing\Internet%20&amp;%20Intranet%20Services%20Team\Tables%20-%20CSRD\Tables%20in%20text\Table%20-%20Distribution%20of%20the%20GST%20pool%20and%20balancing%20adjustment.XLS!Table!R3C1:R16C6" TargetMode="External"/><Relationship Id="rId4" Type="http://schemas.microsoft.com/office/2007/relationships/stylesWithEffects" Target="stylesWithEffects.xml"/><Relationship Id="rId9" Type="http://schemas.openxmlformats.org/officeDocument/2006/relationships/hyperlink" Target="http://www.federalfinancialrelations.gov.au" TargetMode="External"/><Relationship Id="rId14" Type="http://schemas.openxmlformats.org/officeDocument/2006/relationships/image" Target="media/image3.emf"/><Relationship Id="rId22" Type="http://schemas.openxmlformats.org/officeDocument/2006/relationships/image" Target="media/image7.emf"/><Relationship Id="rId27" Type="http://schemas.openxmlformats.org/officeDocument/2006/relationships/oleObject" Target="file:///\\romulus\csg_h$\MCD\Publishing\Internet%20&amp;%20Intranet%20Services%20Team\Tables%20-%20CSRD\Tables%20in%20text\Table%20-%20Reconciliation%20of%20GST%20entitlement%20estimates.xls!Table!R3C1:R10C5" TargetMode="External"/><Relationship Id="rId30" Type="http://schemas.openxmlformats.org/officeDocument/2006/relationships/image" Target="media/image11.emf"/><Relationship Id="rId35" Type="http://schemas.openxmlformats.org/officeDocument/2006/relationships/oleObject" Target="file:///\\romulus\csg_h$\MCD\Publishing\Internet%20&amp;%20Intranet%20Services%20Team\Tables%20-%20CSRD\Tables%20in%20text\Table%20-%20GST%20administration%20budget.xls!Table!R4C1:R12C7" TargetMode="External"/><Relationship Id="rId43"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Treasury\Workgroup%20Templates\Publications\Budget%20Templat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9182FE-7629-4CCC-AE47-A48C93C37B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Budget Template.dotm</Template>
  <TotalTime>1</TotalTime>
  <Pages>9</Pages>
  <Words>2218</Words>
  <Characters>12645</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Mid-Year Economic and Fiscal Outlook 2017-18</vt:lpstr>
    </vt:vector>
  </TitlesOfParts>
  <Company>Australian Government - The Treasury</Company>
  <LinksUpToDate>false</LinksUpToDate>
  <CharactersWithSpaces>14834</CharactersWithSpaces>
  <SharedDoc>false</SharedDoc>
  <HLinks>
    <vt:vector size="6" baseType="variant">
      <vt:variant>
        <vt:i4>1310795</vt:i4>
      </vt:variant>
      <vt:variant>
        <vt:i4>18</vt:i4>
      </vt:variant>
      <vt:variant>
        <vt:i4>0</vt:i4>
      </vt:variant>
      <vt:variant>
        <vt:i4>5</vt:i4>
      </vt:variant>
      <vt:variant>
        <vt:lpwstr>http://www.federalfinancialrelations.gov.au/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Mid-Year Economic and Fiscal Outlook 2017-18</dc:title>
  <dc:subject>Part 7: Attachment D - Australia's Federal Relations</dc:subject>
  <dc:creator>The Treasury</dc:creator>
  <cp:keywords>#-</cp:keywords>
  <cp:lastModifiedBy>Thomas, Deborah</cp:lastModifiedBy>
  <cp:revision>2</cp:revision>
  <cp:lastPrinted>2017-12-14T06:40:00Z</cp:lastPrinted>
  <dcterms:created xsi:type="dcterms:W3CDTF">2017-12-17T21:40:00Z</dcterms:created>
  <dcterms:modified xsi:type="dcterms:W3CDTF">2017-12-17T21:40:00Z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ecurityClassification">
    <vt:lpwstr>Protected</vt:lpwstr>
  </property>
  <property fmtid="{D5CDD505-2E9C-101B-9397-08002B2CF9AE}" pid="3" name="DLMSecurityClassification">
    <vt:lpwstr>Sensitive:  Cabinet</vt:lpwstr>
  </property>
  <property fmtid="{D5CDD505-2E9C-101B-9397-08002B2CF9AE}" pid="4" name="metadataUpdateName">
    <vt:lpwstr>Mid-Year Economic and Fiscal Outlook</vt:lpwstr>
  </property>
  <property fmtid="{D5CDD505-2E9C-101B-9397-08002B2CF9AE}" pid="5" name="metadataStatementName">
    <vt:lpwstr>Part 3, Attachment D</vt:lpwstr>
  </property>
  <property fmtid="{D5CDD505-2E9C-101B-9397-08002B2CF9AE}" pid="6" name="metadataCoordinator">
    <vt:lpwstr>Chiara Edwards (x3272)</vt:lpwstr>
  </property>
  <property fmtid="{D5CDD505-2E9C-101B-9397-08002B2CF9AE}" pid="7" name="GlobalLastAccountabilityID">
    <vt:lpwstr>TAD_MB2</vt:lpwstr>
  </property>
</Properties>
</file>