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609A9" w:rsidRPr="00994F7E" w:rsidRDefault="00117053" w:rsidP="00994F7E">
      <w:pPr>
        <w:pStyle w:val="Heading1"/>
      </w:pPr>
      <w:r w:rsidRPr="00994F7E">
        <w:fldChar w:fldCharType="begin"/>
      </w:r>
      <w:r w:rsidRPr="00994F7E">
        <w:instrText xml:space="preserve"> :Start Index: </w:instrText>
      </w:r>
      <w:r w:rsidRPr="00994F7E">
        <w:fldChar w:fldCharType="end"/>
      </w:r>
      <w:r w:rsidR="001D65F3" w:rsidRPr="00994F7E">
        <w:fldChar w:fldCharType="begin"/>
      </w:r>
      <w:r w:rsidR="001D65F3" w:rsidRPr="00994F7E">
        <w:instrText xml:space="preserve"> :Accountability:|NA_CS1|Finance|na|Chris Schweizer|Ryan Young|Nillarn Sriskantha |62153607 </w:instrText>
      </w:r>
      <w:r w:rsidR="001D65F3" w:rsidRPr="00994F7E">
        <w:fldChar w:fldCharType="end"/>
      </w:r>
      <w:r w:rsidR="00E37BDB" w:rsidRPr="00994F7E">
        <w:fldChar w:fldCharType="begin"/>
      </w:r>
      <w:r w:rsidR="00E37BDB" w:rsidRPr="00994F7E">
        <w:instrText xml:space="preserve"> :Accountability:|na_CS1|Finance|na|Chris Schweizer|Ryan Young|Ryan Young|62153979 </w:instrText>
      </w:r>
      <w:r w:rsidR="00E37BDB" w:rsidRPr="00994F7E">
        <w:fldChar w:fldCharType="end"/>
      </w:r>
      <w:r w:rsidRPr="00994F7E">
        <w:fldChar w:fldCharType="begin"/>
      </w:r>
      <w:r w:rsidRPr="00994F7E">
        <w:instrText xml:space="preserve"> :Accountability:|AOFM_RN1|Treasury|AOFM|Rob Nicholl|Nathan Hansford|Ashley Osborn|1125 </w:instrText>
      </w:r>
      <w:r w:rsidRPr="00994F7E">
        <w:fldChar w:fldCharType="end"/>
      </w:r>
      <w:r w:rsidRPr="00994F7E">
        <w:fldChar w:fldCharType="begin"/>
      </w:r>
      <w:r w:rsidRPr="00994F7E">
        <w:instrText xml:space="preserve"> :Accountability:|BPD_JR2|Treasury|BPD|Jonathan Rollings|Luke Spear|Cassie Leeds-Heath|3906 </w:instrText>
      </w:r>
      <w:r w:rsidRPr="00994F7E">
        <w:fldChar w:fldCharType="end"/>
      </w:r>
      <w:r w:rsidRPr="00994F7E">
        <w:fldChar w:fldCharType="begin"/>
      </w:r>
      <w:r w:rsidRPr="00994F7E">
        <w:instrText xml:space="preserve"> :Accountability:|BPD_JR1|Treasury|BPD|Jonathan Rollings|Jay Hernandez|Nathan Blane|3593 </w:instrText>
      </w:r>
      <w:r w:rsidRPr="00994F7E">
        <w:fldChar w:fldCharType="end"/>
      </w:r>
      <w:r w:rsidRPr="00994F7E">
        <w:fldChar w:fldCharType="begin"/>
      </w:r>
      <w:r w:rsidRPr="00994F7E">
        <w:instrText xml:space="preserve"> :End Index: </w:instrText>
      </w:r>
      <w:r w:rsidRPr="00994F7E">
        <w:fldChar w:fldCharType="end"/>
      </w:r>
      <w:r w:rsidRPr="00994F7E">
        <w:fldChar w:fldCharType="begin"/>
      </w:r>
      <w:r w:rsidRPr="00994F7E">
        <w:instrText xml:space="preserve"> :Start:BPD_JR1 </w:instrText>
      </w:r>
      <w:r w:rsidRPr="00994F7E">
        <w:fldChar w:fldCharType="end"/>
      </w:r>
      <w:r w:rsidR="007609A9" w:rsidRPr="00994F7E">
        <w:t>Attachment E</w:t>
      </w:r>
    </w:p>
    <w:p w:rsidR="007609A9" w:rsidRPr="007B4760" w:rsidRDefault="007609A9" w:rsidP="00847166">
      <w:pPr>
        <w:pStyle w:val="Heading2"/>
      </w:pPr>
      <w:r w:rsidRPr="007B4760">
        <w:t>Debt Statement</w:t>
      </w:r>
    </w:p>
    <w:p w:rsidR="009419BA" w:rsidRPr="007B4760" w:rsidRDefault="007609A9" w:rsidP="00A7084E">
      <w:r w:rsidRPr="007B4760">
        <w:t>T</w:t>
      </w:r>
      <w:r w:rsidR="009419BA" w:rsidRPr="007B4760">
        <w:t xml:space="preserve">his Statement provides information on current and projected </w:t>
      </w:r>
      <w:r w:rsidR="005242B9" w:rsidRPr="007B4760">
        <w:t xml:space="preserve">Government </w:t>
      </w:r>
      <w:r w:rsidR="009419BA" w:rsidRPr="007B4760">
        <w:t>debt on issue, estimated and projected Government net debt, and details of climate spending</w:t>
      </w:r>
      <w:r w:rsidR="00722EA3" w:rsidRPr="007B4760">
        <w:t xml:space="preserve"> and</w:t>
      </w:r>
      <w:r w:rsidR="009419BA" w:rsidRPr="007B4760">
        <w:t xml:space="preserve"> </w:t>
      </w:r>
      <w:r w:rsidR="0009330C" w:rsidRPr="007B4760">
        <w:t>its contribution</w:t>
      </w:r>
      <w:r w:rsidR="009419BA" w:rsidRPr="007B4760">
        <w:t xml:space="preserve"> to debt.</w:t>
      </w:r>
    </w:p>
    <w:p w:rsidR="009419BA" w:rsidRPr="007B4760" w:rsidRDefault="009419BA" w:rsidP="00A7084E">
      <w:r w:rsidRPr="007B4760">
        <w:t>Net debt is expected to be $</w:t>
      </w:r>
      <w:r w:rsidR="003C2A1B" w:rsidRPr="007B4760">
        <w:t>34</w:t>
      </w:r>
      <w:r w:rsidR="005B2F02" w:rsidRPr="007B4760">
        <w:t>3.8</w:t>
      </w:r>
      <w:r w:rsidRPr="007B4760">
        <w:t> billio</w:t>
      </w:r>
      <w:r w:rsidR="00726B6B" w:rsidRPr="007B4760">
        <w:t>n (</w:t>
      </w:r>
      <w:r w:rsidR="00A125AA" w:rsidRPr="007B4760">
        <w:t>18.9</w:t>
      </w:r>
      <w:r w:rsidRPr="007B4760">
        <w:t> per cent of GDP) in 2017</w:t>
      </w:r>
      <w:r w:rsidRPr="007B4760">
        <w:noBreakHyphen/>
        <w:t xml:space="preserve">18. Net debt is projected to peak at </w:t>
      </w:r>
      <w:r w:rsidR="00A125AA" w:rsidRPr="007B4760">
        <w:t>19.</w:t>
      </w:r>
      <w:r w:rsidR="00345FF9" w:rsidRPr="007B4760">
        <w:t>2</w:t>
      </w:r>
      <w:r w:rsidRPr="007B4760">
        <w:t xml:space="preserve"> per cent of GDP in </w:t>
      </w:r>
      <w:r w:rsidR="00A125AA" w:rsidRPr="007B4760">
        <w:t>2018-19</w:t>
      </w:r>
      <w:r w:rsidRPr="007B4760">
        <w:t>, before de</w:t>
      </w:r>
      <w:r w:rsidR="00345FF9" w:rsidRPr="007B4760">
        <w:t xml:space="preserve">clining over the medium term to </w:t>
      </w:r>
      <w:r w:rsidR="00A125AA" w:rsidRPr="007B4760">
        <w:t>7.7</w:t>
      </w:r>
      <w:r w:rsidRPr="007B4760">
        <w:t xml:space="preserve"> per cent of GDP </w:t>
      </w:r>
      <w:r w:rsidR="0009330C" w:rsidRPr="007B4760">
        <w:t>(</w:t>
      </w:r>
      <w:r w:rsidR="001A2233" w:rsidRPr="007B4760">
        <w:t>$228</w:t>
      </w:r>
      <w:r w:rsidRPr="007B4760">
        <w:t xml:space="preserve"> billion</w:t>
      </w:r>
      <w:r w:rsidR="0009330C" w:rsidRPr="007B4760">
        <w:t>)</w:t>
      </w:r>
      <w:r w:rsidRPr="007B4760">
        <w:t xml:space="preserve"> in </w:t>
      </w:r>
      <w:r w:rsidR="00A125AA" w:rsidRPr="007B4760">
        <w:t>2027-28</w:t>
      </w:r>
      <w:r w:rsidR="00847166" w:rsidRPr="007B4760">
        <w:t>.</w:t>
      </w:r>
    </w:p>
    <w:p w:rsidR="007609A9" w:rsidRPr="007B4760" w:rsidRDefault="009419BA" w:rsidP="00A7084E">
      <w:r w:rsidRPr="007B4760">
        <w:t xml:space="preserve">Gross debt, measured as the face value of Commonwealth Government Securities (CGS) on issue subject to the Treasurer’s Direction, is expected to be </w:t>
      </w:r>
      <w:r w:rsidR="00203561" w:rsidRPr="007B4760">
        <w:t>$531</w:t>
      </w:r>
      <w:r w:rsidRPr="007B4760">
        <w:t xml:space="preserve"> billion at the end of </w:t>
      </w:r>
      <w:r w:rsidR="00A125AA" w:rsidRPr="007B4760">
        <w:t>2017-18</w:t>
      </w:r>
      <w:r w:rsidR="0009330C" w:rsidRPr="007B4760">
        <w:t xml:space="preserve"> before increasing</w:t>
      </w:r>
      <w:r w:rsidRPr="007B4760">
        <w:t xml:space="preserve"> to </w:t>
      </w:r>
      <w:r w:rsidR="000C7EF1" w:rsidRPr="007B4760">
        <w:t>$583</w:t>
      </w:r>
      <w:r w:rsidRPr="007B4760">
        <w:t xml:space="preserve"> billion at the end of </w:t>
      </w:r>
      <w:r w:rsidR="004471D4" w:rsidRPr="007B4760">
        <w:t>the forward estimates</w:t>
      </w:r>
      <w:r w:rsidRPr="007B4760">
        <w:t>. By the end of the medium term (2027</w:t>
      </w:r>
      <w:r w:rsidRPr="007B4760">
        <w:noBreakHyphen/>
        <w:t xml:space="preserve">28) the total face value of CGS on issue is projected to rise to </w:t>
      </w:r>
      <w:r w:rsidR="004471D4" w:rsidRPr="007B4760">
        <w:t>$684</w:t>
      </w:r>
      <w:r w:rsidRPr="007B4760">
        <w:t> billion</w:t>
      </w:r>
      <w:r w:rsidR="00847166" w:rsidRPr="007B4760">
        <w:t>.</w:t>
      </w:r>
    </w:p>
    <w:p w:rsidR="007609A9" w:rsidRPr="007B4760" w:rsidRDefault="007609A9" w:rsidP="00847166">
      <w:pPr>
        <w:pStyle w:val="Heading3"/>
      </w:pPr>
      <w:bookmarkStart w:id="1" w:name="_Toc387420548"/>
      <w:bookmarkStart w:id="2" w:name="_Toc387595701"/>
      <w:r w:rsidRPr="007B4760">
        <w:t>Commonwealth Government Securities issuance</w:t>
      </w:r>
      <w:bookmarkEnd w:id="1"/>
      <w:bookmarkEnd w:id="2"/>
    </w:p>
    <w:p w:rsidR="007609A9" w:rsidRPr="007B4760" w:rsidRDefault="007609A9" w:rsidP="00A7084E">
      <w:pPr>
        <w:rPr>
          <w:rFonts w:eastAsia="Calibri"/>
        </w:rPr>
      </w:pPr>
      <w:r w:rsidRPr="007B4760">
        <w:rPr>
          <w:rFonts w:eastAsia="Calibri"/>
        </w:rPr>
        <w:t>The Government finances its activities either through receipts or borrowing. When receipts fall short of payments, the Government borrows by issuing CGS to investors.</w:t>
      </w:r>
    </w:p>
    <w:p w:rsidR="007609A9" w:rsidRPr="007B4760" w:rsidRDefault="007609A9" w:rsidP="00A7084E">
      <w:pPr>
        <w:rPr>
          <w:rFonts w:eastAsia="Calibri"/>
        </w:rPr>
      </w:pPr>
      <w:r w:rsidRPr="007B4760">
        <w:rPr>
          <w:rFonts w:eastAsia="Calibri"/>
        </w:rPr>
        <w:t>The Australian Office of Financial Management (AOFM) is responsible for issuing CGS and the management of the Government’s financing activities. The AOFM currently is</w:t>
      </w:r>
      <w:r w:rsidR="00847166" w:rsidRPr="007B4760">
        <w:rPr>
          <w:rFonts w:eastAsia="Calibri"/>
        </w:rPr>
        <w:t>sues three types of securities:</w:t>
      </w:r>
    </w:p>
    <w:p w:rsidR="007609A9" w:rsidRPr="007B4760" w:rsidRDefault="007609A9" w:rsidP="00A7084E">
      <w:r w:rsidRPr="007B4760">
        <w:rPr>
          <w:rStyle w:val="Strong"/>
          <w:rFonts w:eastAsia="Calibri"/>
        </w:rPr>
        <w:t>Treasury Bonds:</w:t>
      </w:r>
      <w:r w:rsidRPr="007B4760">
        <w:rPr>
          <w:rFonts w:eastAsia="Calibri"/>
          <w:b/>
          <w:bCs/>
        </w:rPr>
        <w:t xml:space="preserve"> </w:t>
      </w:r>
      <w:r w:rsidRPr="007B4760">
        <w:rPr>
          <w:rFonts w:eastAsia="Calibri"/>
        </w:rPr>
        <w:t>medium- to long-term securities with a fixed annual rate of interest payable every six months</w:t>
      </w:r>
      <w:r w:rsidRPr="007B4760">
        <w:t>;</w:t>
      </w:r>
    </w:p>
    <w:p w:rsidR="007609A9" w:rsidRPr="007B4760" w:rsidRDefault="007609A9" w:rsidP="00A7084E">
      <w:pPr>
        <w:rPr>
          <w:rFonts w:eastAsia="Calibri"/>
        </w:rPr>
      </w:pPr>
      <w:r w:rsidRPr="007B4760">
        <w:rPr>
          <w:b/>
        </w:rPr>
        <w:t>Treasury Indexed Bonds (TIBs):</w:t>
      </w:r>
      <w:r w:rsidRPr="007B4760">
        <w:t xml:space="preserve"> </w:t>
      </w:r>
      <w:r w:rsidRPr="007B4760">
        <w:rPr>
          <w:rFonts w:eastAsia="Calibri"/>
        </w:rPr>
        <w:t xml:space="preserve">medium- to long-term securities for which the capital value of the security is adjusted for movements in the consumer price index (CPI). Interest on TIBs is paid quarterly, at a fixed rate, on </w:t>
      </w:r>
      <w:r w:rsidR="00847166" w:rsidRPr="007B4760">
        <w:rPr>
          <w:rFonts w:eastAsia="Calibri"/>
        </w:rPr>
        <w:t>the adjusted capital value; and</w:t>
      </w:r>
    </w:p>
    <w:p w:rsidR="007609A9" w:rsidRPr="007B4760" w:rsidRDefault="007609A9" w:rsidP="007609A9">
      <w:pPr>
        <w:rPr>
          <w:rFonts w:eastAsia="Calibri"/>
        </w:rPr>
      </w:pPr>
      <w:r w:rsidRPr="007B4760">
        <w:rPr>
          <w:rFonts w:eastAsia="Calibri"/>
          <w:b/>
          <w:bCs/>
        </w:rPr>
        <w:t xml:space="preserve">Treasury Notes: </w:t>
      </w:r>
      <w:r w:rsidRPr="007B4760">
        <w:rPr>
          <w:rFonts w:eastAsia="Calibri"/>
        </w:rPr>
        <w:t>short-term securities generally maturing within six months of issuance. The volume of Treasury Notes on issue will vary over the course of the year, depending on the size and profile of</w:t>
      </w:r>
      <w:r w:rsidR="00847166" w:rsidRPr="007B4760">
        <w:rPr>
          <w:rFonts w:eastAsia="Calibri"/>
        </w:rPr>
        <w:t xml:space="preserve"> the within-year funding flows.</w:t>
      </w:r>
    </w:p>
    <w:p w:rsidR="007609A9" w:rsidRPr="007B4760" w:rsidRDefault="0009330C" w:rsidP="00A90CDC">
      <w:r w:rsidRPr="007B4760">
        <w:rPr>
          <w:rFonts w:eastAsia="Calibri"/>
        </w:rPr>
        <w:t xml:space="preserve">All </w:t>
      </w:r>
      <w:r w:rsidR="007609A9" w:rsidRPr="007B4760">
        <w:rPr>
          <w:rFonts w:eastAsia="Calibri"/>
        </w:rPr>
        <w:t xml:space="preserve">CGS issuance is undertaken in Australian dollars. </w:t>
      </w:r>
      <w:r w:rsidR="007609A9" w:rsidRPr="007B4760">
        <w:t>Within these three broad categories of CGS, issuance is undertaken into a limited number of maturities (known as lines). Each of these lines has a fixed maturity date (the date on which the Government repays the principal it has borrowed) and, for Treasury Bonds and Treasury Indexed Bonds, a coupon rate (the annual fixed interest rate paid on the security).</w:t>
      </w:r>
    </w:p>
    <w:p w:rsidR="007609A9" w:rsidRPr="007B4760" w:rsidRDefault="007609A9" w:rsidP="00A90CDC">
      <w:r w:rsidRPr="007B4760">
        <w:rPr>
          <w:rFonts w:eastAsia="Calibri"/>
        </w:rPr>
        <w:t xml:space="preserve">Concentrating CGS issuance into a limited number of lines (rather than issuing securities with a specific time value, such as 10 years) ensures each line is sufficiently </w:t>
      </w:r>
      <w:r w:rsidRPr="007B4760">
        <w:rPr>
          <w:rFonts w:eastAsia="Calibri"/>
        </w:rPr>
        <w:lastRenderedPageBreak/>
        <w:t>large that it can easily be traded in the secondary market. Strong liquidity in the secondary market is attractive to investors, promotes demand for CGS, and assists in lowering borrowing costs</w:t>
      </w:r>
      <w:r w:rsidRPr="007B4760">
        <w:t>.</w:t>
      </w:r>
    </w:p>
    <w:p w:rsidR="007609A9" w:rsidRPr="007B4760" w:rsidRDefault="007609A9" w:rsidP="00A90CDC">
      <w:r w:rsidRPr="007B4760">
        <w:rPr>
          <w:rFonts w:eastAsia="Calibri"/>
        </w:rPr>
        <w:t>The AOFM exercises operational independence in the execution of its duties. Its announced issuance program for each year is therefore determined on the basis of maturing CGS, net new issuance required to fund the Budget, and other operational considerations</w:t>
      </w:r>
      <w:r w:rsidR="00847166" w:rsidRPr="007B4760">
        <w:t>.</w:t>
      </w:r>
    </w:p>
    <w:p w:rsidR="007609A9" w:rsidRPr="007B4760" w:rsidRDefault="007609A9" w:rsidP="00A90CDC">
      <w:r w:rsidRPr="007B4760">
        <w:t>Operational considerations often mean that the annual issuance program may not be equivalent to the financing task for a particular year. For example, the AOFM may choose to smooth issuance across several financial years in order to minimise changes in CGS supply from one financial year to the next. The AOFM may also decide to partially pre</w:t>
      </w:r>
      <w:r w:rsidRPr="007B4760">
        <w:noBreakHyphen/>
        <w:t>fund the f</w:t>
      </w:r>
      <w:r w:rsidR="00847166" w:rsidRPr="007B4760">
        <w:t>ollowing year’s financing task.</w:t>
      </w:r>
    </w:p>
    <w:p w:rsidR="0016257F" w:rsidRPr="007B4760" w:rsidRDefault="0016257F" w:rsidP="00A90CDC">
      <w:r w:rsidRPr="007B4760">
        <w:t xml:space="preserve">The AOFM conducts regular buyback tenders for </w:t>
      </w:r>
      <w:r w:rsidRPr="007B4760">
        <w:rPr>
          <w:color w:val="000000"/>
        </w:rPr>
        <w:t xml:space="preserve">Treasury Bonds shorter than those comprising the primary three year Treasury </w:t>
      </w:r>
      <w:proofErr w:type="gramStart"/>
      <w:r w:rsidRPr="007B4760">
        <w:rPr>
          <w:color w:val="000000"/>
        </w:rPr>
        <w:t>Bond</w:t>
      </w:r>
      <w:proofErr w:type="gramEnd"/>
      <w:r w:rsidRPr="007B4760">
        <w:rPr>
          <w:color w:val="000000"/>
        </w:rPr>
        <w:t xml:space="preserve"> futures contract.</w:t>
      </w:r>
      <w:r w:rsidRPr="007B4760">
        <w:t xml:space="preserve"> The buybacks are funded by issuance of a corresponding face value amount of longer-dated Treasury Bonds. This operation assists the AOFM in its cash management task ahead of bond maturities and contributes to an orderly and efficient Treasury </w:t>
      </w:r>
      <w:proofErr w:type="gramStart"/>
      <w:r w:rsidRPr="007B4760">
        <w:t>Bond</w:t>
      </w:r>
      <w:proofErr w:type="gramEnd"/>
      <w:r w:rsidRPr="007B4760">
        <w:t xml:space="preserve"> market.</w:t>
      </w:r>
    </w:p>
    <w:p w:rsidR="0016257F" w:rsidRPr="007B4760" w:rsidRDefault="0016257F" w:rsidP="00A90CDC">
      <w:r w:rsidRPr="007B4760">
        <w:t>In recent years, the AOFM has taken the opportunity to lengthen the CGS yield curve. This has provided for a lower risk profile of maturing debt and has been achieved during a period when borrowing costs have been low by historical standards. It has also underpinned the development of a 20</w:t>
      </w:r>
      <w:r w:rsidRPr="007B4760">
        <w:noBreakHyphen/>
        <w:t xml:space="preserve">year Treasury </w:t>
      </w:r>
      <w:proofErr w:type="gramStart"/>
      <w:r w:rsidRPr="007B4760">
        <w:t>Bond</w:t>
      </w:r>
      <w:proofErr w:type="gramEnd"/>
      <w:r w:rsidRPr="007B4760">
        <w:t xml:space="preserve"> futures contract by the ASX, which assists investors with the ma</w:t>
      </w:r>
      <w:r w:rsidR="00847166" w:rsidRPr="007B4760">
        <w:t>nagement of interest rate risk.</w:t>
      </w:r>
    </w:p>
    <w:p w:rsidR="007609A9" w:rsidRPr="007B4760" w:rsidRDefault="007609A9" w:rsidP="00A90CDC">
      <w:r w:rsidRPr="007B4760">
        <w:t>The extension of the yield curve is consistent with a strategy of lengthening the average term-to-maturity of the Australian Government’s debt portfolio and diversifying the CGS investor base. This aims to reduce the impact of volatility in interest rates on the Government’s budget over time.</w:t>
      </w:r>
    </w:p>
    <w:bookmarkStart w:id="3" w:name="_Toc387420549"/>
    <w:bookmarkStart w:id="4" w:name="_Toc387595702"/>
    <w:p w:rsidR="007609A9" w:rsidRPr="007B4760" w:rsidRDefault="00117053" w:rsidP="00847166">
      <w:pPr>
        <w:pStyle w:val="Heading3"/>
      </w:pPr>
      <w:r w:rsidRPr="007B4760">
        <w:fldChar w:fldCharType="begin"/>
      </w:r>
      <w:r w:rsidRPr="007B4760">
        <w:instrText xml:space="preserve"> :End:BPD_JR1 </w:instrText>
      </w:r>
      <w:r w:rsidRPr="007B4760">
        <w:fldChar w:fldCharType="end"/>
      </w:r>
      <w:r w:rsidRPr="007B4760">
        <w:fldChar w:fldCharType="begin"/>
      </w:r>
      <w:r w:rsidRPr="007B4760">
        <w:instrText xml:space="preserve"> :Start:BPD_JR1 </w:instrText>
      </w:r>
      <w:r w:rsidRPr="007B4760">
        <w:fldChar w:fldCharType="end"/>
      </w:r>
      <w:r w:rsidR="007609A9" w:rsidRPr="007B4760">
        <w:t xml:space="preserve">Estimates and projections of </w:t>
      </w:r>
      <w:bookmarkEnd w:id="3"/>
      <w:bookmarkEnd w:id="4"/>
      <w:r w:rsidR="007609A9" w:rsidRPr="007B4760">
        <w:t>key debt aggregates</w:t>
      </w:r>
    </w:p>
    <w:p w:rsidR="007609A9" w:rsidRPr="007B4760" w:rsidRDefault="007609A9" w:rsidP="00A90CDC">
      <w:bookmarkStart w:id="5" w:name="_Toc387420550"/>
      <w:bookmarkStart w:id="6" w:name="_Toc387595703"/>
      <w:r w:rsidRPr="007B4760">
        <w:t>The level of current and projected Government debt on issue is commonly expressed in one of two ways: gross or net debt.</w:t>
      </w:r>
    </w:p>
    <w:p w:rsidR="007609A9" w:rsidRPr="007B4760" w:rsidRDefault="007609A9" w:rsidP="00A90CDC">
      <w:r w:rsidRPr="007B4760">
        <w:rPr>
          <w:b/>
        </w:rPr>
        <w:t xml:space="preserve">Gross debt </w:t>
      </w:r>
      <w:r w:rsidRPr="007B4760">
        <w:t>measures the face value of CGS on issue at a point in time. While gross debt is measured in face value terms, estimates and projections of CGS on issue are published in both face value and market</w:t>
      </w:r>
      <w:r w:rsidR="00847166" w:rsidRPr="007B4760">
        <w:t xml:space="preserve"> value terms in this statement.</w:t>
      </w:r>
    </w:p>
    <w:p w:rsidR="007609A9" w:rsidRPr="007B4760" w:rsidRDefault="007609A9" w:rsidP="00A90CDC">
      <w:r w:rsidRPr="007B4760">
        <w:t xml:space="preserve">The </w:t>
      </w:r>
      <w:r w:rsidRPr="007B4760">
        <w:rPr>
          <w:b/>
        </w:rPr>
        <w:t>face value</w:t>
      </w:r>
      <w:r w:rsidRPr="007B4760">
        <w:t xml:space="preserve"> of CGS on issue is the amount that the Government pays back to investors at maturity, independent of fluctuations in market prices.</w:t>
      </w:r>
      <w:r w:rsidRPr="007B4760">
        <w:rPr>
          <w:rStyle w:val="FootnoteReference"/>
        </w:rPr>
        <w:footnoteReference w:id="1"/>
      </w:r>
      <w:r w:rsidRPr="007B4760">
        <w:t xml:space="preserve"> The total face </w:t>
      </w:r>
      <w:r w:rsidRPr="007B4760">
        <w:lastRenderedPageBreak/>
        <w:t>value of CGS on issue changes when new securities are issued, or when securities are repurchased or reach maturity.</w:t>
      </w:r>
    </w:p>
    <w:p w:rsidR="007609A9" w:rsidRPr="007B4760" w:rsidRDefault="007609A9" w:rsidP="00A90CDC">
      <w:r w:rsidRPr="007B4760">
        <w:t xml:space="preserve">The </w:t>
      </w:r>
      <w:r w:rsidRPr="007B4760">
        <w:rPr>
          <w:b/>
        </w:rPr>
        <w:t>market value</w:t>
      </w:r>
      <w:r w:rsidRPr="007B4760">
        <w:t xml:space="preserve"> of CGS represents the value of securities as traded on the secondary market, which changes continuously with movements in market prices. Consistent with external reporting standards the market value of CGS on issue is reporte</w:t>
      </w:r>
      <w:r w:rsidR="009737B1" w:rsidRPr="007B4760">
        <w:t>d on the Australian Government general government s</w:t>
      </w:r>
      <w:r w:rsidRPr="007B4760">
        <w:t>ec</w:t>
      </w:r>
      <w:r w:rsidR="00847166" w:rsidRPr="007B4760">
        <w:t>tor balance sheet.</w:t>
      </w:r>
    </w:p>
    <w:p w:rsidR="007609A9" w:rsidRPr="007B4760" w:rsidRDefault="007609A9" w:rsidP="00A90CDC">
      <w:r w:rsidRPr="007B4760">
        <w:rPr>
          <w:b/>
        </w:rPr>
        <w:t>Net debt</w:t>
      </w:r>
      <w:r w:rsidRPr="007B4760">
        <w:t xml:space="preserve"> is equal to the sum of deposits held, government securities (at market value), loans and other borrowing, minus the sum of cash and deposits, advances paid and investments, loans and placements. As net debt incorporates both selected financial assets and liabilities at their fair value, it provides a broader measure of the financial obligations of th</w:t>
      </w:r>
      <w:r w:rsidR="00847166" w:rsidRPr="007B4760">
        <w:t>e Commonwealth than gross debt.</w:t>
      </w:r>
    </w:p>
    <w:p w:rsidR="007609A9" w:rsidRPr="007B4760" w:rsidRDefault="007609A9" w:rsidP="00A90CDC">
      <w:r w:rsidRPr="007B4760">
        <w:rPr>
          <w:lang w:val="en-US"/>
        </w:rPr>
        <w:t>Not all government assets or liabilities are included in the measurement o</w:t>
      </w:r>
      <w:r w:rsidR="0009330C" w:rsidRPr="007B4760">
        <w:rPr>
          <w:lang w:val="en-US"/>
        </w:rPr>
        <w:t>f net debt. For example,</w:t>
      </w:r>
      <w:r w:rsidRPr="007B4760">
        <w:rPr>
          <w:lang w:val="en-US"/>
        </w:rPr>
        <w:t xml:space="preserve"> the Government’s unfun</w:t>
      </w:r>
      <w:r w:rsidR="0009330C" w:rsidRPr="007B4760">
        <w:rPr>
          <w:lang w:val="en-US"/>
        </w:rPr>
        <w:t>ded superannuation liability and</w:t>
      </w:r>
      <w:r w:rsidRPr="007B4760">
        <w:rPr>
          <w:lang w:val="en-US"/>
        </w:rPr>
        <w:t xml:space="preserve"> the equity holdings of th</w:t>
      </w:r>
      <w:r w:rsidR="0009330C" w:rsidRPr="007B4760">
        <w:rPr>
          <w:lang w:val="en-US"/>
        </w:rPr>
        <w:t xml:space="preserve">e Future Fund are not included </w:t>
      </w:r>
      <w:r w:rsidRPr="007B4760">
        <w:rPr>
          <w:lang w:val="en-US"/>
        </w:rPr>
        <w:t>in net debt.</w:t>
      </w:r>
    </w:p>
    <w:p w:rsidR="007609A9" w:rsidRPr="007B4760" w:rsidRDefault="00117053" w:rsidP="00847166">
      <w:pPr>
        <w:pStyle w:val="Heading3"/>
      </w:pPr>
      <w:r w:rsidRPr="007B4760">
        <w:fldChar w:fldCharType="begin"/>
      </w:r>
      <w:r w:rsidRPr="007B4760">
        <w:instrText xml:space="preserve"> :End:BPD_JR1 </w:instrText>
      </w:r>
      <w:r w:rsidRPr="007B4760">
        <w:fldChar w:fldCharType="end"/>
      </w:r>
      <w:r w:rsidR="00E37BDB" w:rsidRPr="007B4760">
        <w:fldChar w:fldCharType="begin"/>
      </w:r>
      <w:r w:rsidR="00E37BDB" w:rsidRPr="007B4760">
        <w:instrText xml:space="preserve"> :Start:BPD_JR2 </w:instrText>
      </w:r>
      <w:r w:rsidR="00E37BDB" w:rsidRPr="007B4760">
        <w:fldChar w:fldCharType="end"/>
      </w:r>
      <w:r w:rsidR="007609A9" w:rsidRPr="007B4760">
        <w:t>Estimates and projections of net debt</w:t>
      </w:r>
    </w:p>
    <w:p w:rsidR="007E448D" w:rsidRPr="007B4760" w:rsidRDefault="00726B6B" w:rsidP="00A90CDC">
      <w:r w:rsidRPr="007B4760">
        <w:t>T</w:t>
      </w:r>
      <w:r w:rsidR="007E448D" w:rsidRPr="007B4760">
        <w:t>able 3.</w:t>
      </w:r>
      <w:r w:rsidR="00D41DEB" w:rsidRPr="007B4760">
        <w:t>37</w:t>
      </w:r>
      <w:r w:rsidR="007E448D" w:rsidRPr="007B4760">
        <w:t xml:space="preserve"> contains estimates and projections of net debt to the end of the forward estimates period.</w:t>
      </w:r>
    </w:p>
    <w:p w:rsidR="007609A9" w:rsidRPr="007B4760" w:rsidRDefault="007E448D" w:rsidP="00A90CDC">
      <w:r w:rsidRPr="007B4760">
        <w:t>In 2017-18, net debt is expected t</w:t>
      </w:r>
      <w:r w:rsidR="001A2233" w:rsidRPr="007B4760">
        <w:t>o be $34</w:t>
      </w:r>
      <w:r w:rsidR="005B2F02" w:rsidRPr="007B4760">
        <w:t>3.8</w:t>
      </w:r>
      <w:r w:rsidR="0009330C" w:rsidRPr="007B4760">
        <w:t> billion, compared with</w:t>
      </w:r>
      <w:r w:rsidR="001A2233" w:rsidRPr="007B4760">
        <w:t xml:space="preserve"> $35</w:t>
      </w:r>
      <w:r w:rsidR="005B2F02" w:rsidRPr="007B4760">
        <w:t>4.9</w:t>
      </w:r>
      <w:r w:rsidRPr="007B4760">
        <w:t> billion at the 2017</w:t>
      </w:r>
      <w:r w:rsidRPr="007B4760">
        <w:noBreakHyphen/>
        <w:t>18 Budget. Over the forward estimates, net debt is projected to peak as a proportion of GDP at 19.2 per cent in 2018</w:t>
      </w:r>
      <w:r w:rsidRPr="007B4760">
        <w:rPr>
          <w:bCs/>
        </w:rPr>
        <w:noBreakHyphen/>
      </w:r>
      <w:r w:rsidRPr="007B4760">
        <w:t xml:space="preserve">19. The peak in net debt is lower than expected at the 2017-18 Budget, when it was projected to peak at 19.8 per cent of GDP in 2018-19. </w:t>
      </w:r>
      <w:r w:rsidR="00E37BDB" w:rsidRPr="007B4760">
        <w:rPr>
          <w:color w:val="FF0000"/>
        </w:rPr>
        <w:fldChar w:fldCharType="begin"/>
      </w:r>
      <w:r w:rsidR="00E37BDB" w:rsidRPr="007B4760">
        <w:rPr>
          <w:color w:val="FF0000"/>
        </w:rPr>
        <w:instrText xml:space="preserve"> :End:BPD_JR2 </w:instrText>
      </w:r>
      <w:r w:rsidR="00E37BDB" w:rsidRPr="007B4760">
        <w:rPr>
          <w:color w:val="FF0000"/>
        </w:rPr>
        <w:fldChar w:fldCharType="end"/>
      </w:r>
      <w:r w:rsidR="00DF7F27" w:rsidRPr="007B4760">
        <w:rPr>
          <w:color w:val="0000FF"/>
        </w:rPr>
        <w:fldChar w:fldCharType="begin"/>
      </w:r>
      <w:r w:rsidR="00DF7F27" w:rsidRPr="007B4760">
        <w:rPr>
          <w:color w:val="0000FF"/>
        </w:rPr>
        <w:instrText xml:space="preserve"> :Start:BPD_JR1 </w:instrText>
      </w:r>
      <w:r w:rsidR="00DF7F27" w:rsidRPr="007B4760">
        <w:rPr>
          <w:color w:val="0000FF"/>
        </w:rPr>
        <w:fldChar w:fldCharType="end"/>
      </w:r>
      <w:r w:rsidRPr="007B4760">
        <w:t xml:space="preserve">Over the medium term, net debt is projected to decline to </w:t>
      </w:r>
      <w:r w:rsidR="00234566" w:rsidRPr="007B4760">
        <w:t>7.7</w:t>
      </w:r>
      <w:r w:rsidRPr="007B4760">
        <w:t xml:space="preserve"> per cent of GDP ($</w:t>
      </w:r>
      <w:r w:rsidR="001A2233" w:rsidRPr="007B4760">
        <w:t>22</w:t>
      </w:r>
      <w:r w:rsidR="00234566" w:rsidRPr="007B4760">
        <w:t>8</w:t>
      </w:r>
      <w:r w:rsidR="0009330C" w:rsidRPr="007B4760">
        <w:t xml:space="preserve"> billion</w:t>
      </w:r>
      <w:r w:rsidRPr="007B4760">
        <w:t>) in 2027</w:t>
      </w:r>
      <w:r w:rsidRPr="007B4760">
        <w:noBreakHyphen/>
        <w:t>28</w:t>
      </w:r>
      <w:r w:rsidR="007609A9" w:rsidRPr="007B4760">
        <w:t>.</w:t>
      </w:r>
      <w:r w:rsidR="00DF7F27" w:rsidRPr="007B4760">
        <w:rPr>
          <w:color w:val="FF0000"/>
        </w:rPr>
        <w:fldChar w:fldCharType="begin"/>
      </w:r>
      <w:r w:rsidR="00DF7F27" w:rsidRPr="007B4760">
        <w:rPr>
          <w:color w:val="FF0000"/>
        </w:rPr>
        <w:instrText xml:space="preserve"> :End:BPD_JR1 </w:instrText>
      </w:r>
      <w:r w:rsidR="00DF7F27" w:rsidRPr="007B4760">
        <w:rPr>
          <w:color w:val="FF0000"/>
        </w:rPr>
        <w:fldChar w:fldCharType="end"/>
      </w:r>
    </w:p>
    <w:bookmarkEnd w:id="5"/>
    <w:bookmarkEnd w:id="6"/>
    <w:p w:rsidR="007609A9" w:rsidRPr="007B4760" w:rsidRDefault="00E37BDB" w:rsidP="007E448D">
      <w:pPr>
        <w:pStyle w:val="TableHeading"/>
      </w:pPr>
      <w:r w:rsidRPr="007B4760">
        <w:rPr>
          <w:color w:val="0000FF"/>
        </w:rPr>
        <w:fldChar w:fldCharType="begin"/>
      </w:r>
      <w:r w:rsidRPr="007B4760">
        <w:rPr>
          <w:color w:val="0000FF"/>
        </w:rPr>
        <w:instrText xml:space="preserve"> :Start:BPD_JR2 </w:instrText>
      </w:r>
      <w:r w:rsidRPr="007B4760">
        <w:rPr>
          <w:color w:val="0000FF"/>
        </w:rPr>
        <w:fldChar w:fldCharType="end"/>
      </w:r>
      <w:r w:rsidR="009554CD" w:rsidRPr="007B4760">
        <w:t>Table 3.</w:t>
      </w:r>
      <w:r w:rsidR="00F61CC0" w:rsidRPr="007B4760">
        <w:t>3</w:t>
      </w:r>
      <w:r w:rsidR="00186A0F" w:rsidRPr="007B4760">
        <w:t>7</w:t>
      </w:r>
      <w:r w:rsidR="00F61CC0" w:rsidRPr="007B4760">
        <w:t xml:space="preserve">: </w:t>
      </w:r>
      <w:r w:rsidR="007609A9" w:rsidRPr="007B4760">
        <w:t>Liabilities and assets i</w:t>
      </w:r>
      <w:r w:rsidR="00752FF4" w:rsidRPr="007B4760">
        <w:t>ncluded in net debt</w:t>
      </w:r>
    </w:p>
    <w:p w:rsidR="007609A9" w:rsidRPr="007B4760" w:rsidRDefault="00752FF4" w:rsidP="00847166">
      <w:pPr>
        <w:pStyle w:val="TableGraphic"/>
        <w:rPr>
          <w:lang w:eastAsia="en-AU"/>
        </w:rPr>
      </w:pPr>
      <w:r w:rsidRPr="007B4760">
        <w:rPr>
          <w:lang w:eastAsia="en-AU"/>
        </w:rPr>
        <w:object w:dxaOrig="7868" w:dyaOrig="3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15pt;height:184.1pt" o:ole="">
            <v:imagedata r:id="rId9" o:title=""/>
          </v:shape>
          <o:OLEObject Type="Link" ProgID="Excel.Sheet.12" ShapeID="_x0000_i1025" DrawAspect="Content" r:id="rId10" UpdateMode="Always">
            <o:LinkType>EnhancedMetaFile</o:LinkType>
            <o:LockedField/>
            <o:FieldCodes>\* MERGEFORMAT</o:FieldCodes>
          </o:OLEObject>
        </w:object>
      </w:r>
    </w:p>
    <w:p w:rsidR="00F61CC0" w:rsidRPr="007B4760" w:rsidRDefault="00F61CC0" w:rsidP="00F61CC0">
      <w:pPr>
        <w:pStyle w:val="SingleParagraph"/>
      </w:pPr>
    </w:p>
    <w:p w:rsidR="007E448D" w:rsidRPr="007B4760" w:rsidRDefault="007E448D" w:rsidP="00F61CC0">
      <w:pPr>
        <w:pStyle w:val="Heading4"/>
      </w:pPr>
      <w:r w:rsidRPr="007B4760">
        <w:lastRenderedPageBreak/>
        <w:t>Changes in net debt since the 2017-18 Budget</w:t>
      </w:r>
    </w:p>
    <w:p w:rsidR="007E448D" w:rsidRPr="007B4760" w:rsidRDefault="007E448D" w:rsidP="00A90CDC">
      <w:r w:rsidRPr="007B4760">
        <w:t>Table 3.</w:t>
      </w:r>
      <w:r w:rsidR="00D41DEB" w:rsidRPr="007B4760">
        <w:t>38</w:t>
      </w:r>
      <w:r w:rsidRPr="007B4760">
        <w:t xml:space="preserve"> shows the drivers of the change in net debt between the 2017-18 Budget and the 2017-18 MYEFO.</w:t>
      </w:r>
    </w:p>
    <w:p w:rsidR="007E448D" w:rsidRPr="007B4760" w:rsidRDefault="007E448D" w:rsidP="00A90CDC">
      <w:r w:rsidRPr="007B4760">
        <w:t xml:space="preserve">Net debt is estimated to have </w:t>
      </w:r>
      <w:r w:rsidR="00E802C3" w:rsidRPr="007B4760">
        <w:t>decreased in every year of the forward est</w:t>
      </w:r>
      <w:r w:rsidR="001C18C4" w:rsidRPr="007B4760">
        <w:t>imates since the 2017-18 Budget. This improvement is</w:t>
      </w:r>
      <w:r w:rsidR="00E802C3" w:rsidRPr="007B4760">
        <w:t xml:space="preserve"> primarily due to lower levels of CGS on issue</w:t>
      </w:r>
      <w:r w:rsidR="00BF1859" w:rsidRPr="007B4760">
        <w:t xml:space="preserve"> largely due to changes in the financing requirement</w:t>
      </w:r>
      <w:r w:rsidR="00E802C3" w:rsidRPr="007B4760">
        <w:t xml:space="preserve"> reflecting improvements in the underlying and headline cash balances and an increase in investments, loans and placements, partly offset by a decrease in advances paid, predominantly relating to student loans.</w:t>
      </w:r>
    </w:p>
    <w:p w:rsidR="007E448D" w:rsidRPr="007B4760" w:rsidRDefault="009554CD" w:rsidP="007E448D">
      <w:pPr>
        <w:pStyle w:val="TableHeading"/>
        <w:spacing w:before="240"/>
      </w:pPr>
      <w:r w:rsidRPr="007B4760">
        <w:t>Table 3</w:t>
      </w:r>
      <w:r w:rsidR="00F61CC0" w:rsidRPr="007B4760">
        <w:t>.3</w:t>
      </w:r>
      <w:r w:rsidR="00186A0F" w:rsidRPr="007B4760">
        <w:t>8</w:t>
      </w:r>
      <w:r w:rsidRPr="007B4760">
        <w:t xml:space="preserve">: </w:t>
      </w:r>
      <w:r w:rsidR="007E448D" w:rsidRPr="007B4760">
        <w:t>Net Debt — reconciliation from the 2017-18 Budget to the 2017</w:t>
      </w:r>
      <w:r w:rsidR="007E448D" w:rsidRPr="007B4760">
        <w:noBreakHyphen/>
        <w:t>18 MYEFO</w:t>
      </w:r>
    </w:p>
    <w:p w:rsidR="007E448D" w:rsidRPr="007B4760" w:rsidRDefault="00752FF4" w:rsidP="00CD09A8">
      <w:pPr>
        <w:pStyle w:val="TableGraphic"/>
      </w:pPr>
      <w:r w:rsidRPr="007B4760">
        <w:object w:dxaOrig="7902" w:dyaOrig="3048">
          <v:shape id="_x0000_i1026" type="#_x0000_t75" style="width:383.1pt;height:165.05pt" o:ole="">
            <v:imagedata r:id="rId11" o:title=""/>
          </v:shape>
          <o:OLEObject Type="Link" ProgID="Excel.Sheet.12" ShapeID="_x0000_i1026" DrawAspect="Content" r:id="rId12" UpdateMode="Always">
            <o:LinkType>EnhancedMetaFile</o:LinkType>
            <o:LockedField/>
            <o:FieldCodes>\* MERGEFORMAT</o:FieldCodes>
          </o:OLEObject>
        </w:object>
      </w:r>
      <w:r w:rsidR="00E37BDB" w:rsidRPr="007B4760">
        <w:rPr>
          <w:color w:val="FF0000"/>
        </w:rPr>
        <w:fldChar w:fldCharType="begin"/>
      </w:r>
      <w:r w:rsidR="00E37BDB" w:rsidRPr="007B4760">
        <w:rPr>
          <w:color w:val="FF0000"/>
        </w:rPr>
        <w:instrText xml:space="preserve"> :End:BPD_JR2 </w:instrText>
      </w:r>
      <w:r w:rsidR="00E37BDB" w:rsidRPr="007B4760">
        <w:rPr>
          <w:color w:val="FF0000"/>
        </w:rPr>
        <w:fldChar w:fldCharType="end"/>
      </w:r>
    </w:p>
    <w:p w:rsidR="00F61CC0" w:rsidRPr="007B4760" w:rsidRDefault="00F61CC0" w:rsidP="00F61CC0">
      <w:pPr>
        <w:pStyle w:val="SingleParagraph"/>
      </w:pPr>
    </w:p>
    <w:p w:rsidR="007609A9" w:rsidRPr="007B4760" w:rsidRDefault="00E37BDB" w:rsidP="00F61CC0">
      <w:r w:rsidRPr="007B4760">
        <w:rPr>
          <w:color w:val="0000FF"/>
        </w:rPr>
        <w:fldChar w:fldCharType="begin"/>
      </w:r>
      <w:r w:rsidRPr="007B4760">
        <w:rPr>
          <w:color w:val="0000FF"/>
        </w:rPr>
        <w:instrText xml:space="preserve"> :Start:BPD_JR1 </w:instrText>
      </w:r>
      <w:r w:rsidRPr="007B4760">
        <w:rPr>
          <w:color w:val="0000FF"/>
        </w:rPr>
        <w:fldChar w:fldCharType="end"/>
      </w:r>
      <w:r w:rsidR="00726B6B" w:rsidRPr="007B4760">
        <w:t xml:space="preserve">Chart </w:t>
      </w:r>
      <w:r w:rsidR="00045DAF" w:rsidRPr="007B4760">
        <w:t xml:space="preserve">3.13 </w:t>
      </w:r>
      <w:r w:rsidR="007609A9" w:rsidRPr="007B4760">
        <w:t xml:space="preserve">shows that net debt is projected to be </w:t>
      </w:r>
      <w:r w:rsidR="004471D4" w:rsidRPr="007B4760">
        <w:t>7.7</w:t>
      </w:r>
      <w:r w:rsidR="007609A9" w:rsidRPr="007B4760">
        <w:t> per cent of GDP ($</w:t>
      </w:r>
      <w:r w:rsidR="001A2233" w:rsidRPr="007B4760">
        <w:t>228</w:t>
      </w:r>
      <w:r w:rsidR="0016257F" w:rsidRPr="007B4760">
        <w:t xml:space="preserve"> billion</w:t>
      </w:r>
      <w:r w:rsidR="007609A9" w:rsidRPr="007B4760">
        <w:t>) in 202</w:t>
      </w:r>
      <w:r w:rsidR="00726B6B" w:rsidRPr="007B4760">
        <w:t>7</w:t>
      </w:r>
      <w:r w:rsidR="007609A9" w:rsidRPr="007B4760">
        <w:noBreakHyphen/>
        <w:t>2</w:t>
      </w:r>
      <w:r w:rsidR="00726B6B" w:rsidRPr="007B4760">
        <w:t>8</w:t>
      </w:r>
      <w:r w:rsidR="007609A9" w:rsidRPr="007B4760">
        <w:t xml:space="preserve">, </w:t>
      </w:r>
      <w:r w:rsidR="00621DDE" w:rsidRPr="007B4760">
        <w:t>0.9</w:t>
      </w:r>
      <w:r w:rsidR="004471D4" w:rsidRPr="007B4760">
        <w:t xml:space="preserve"> per cent less </w:t>
      </w:r>
      <w:r w:rsidR="007609A9" w:rsidRPr="007B4760">
        <w:t>than projected net debt in 202</w:t>
      </w:r>
      <w:r w:rsidR="004471D4" w:rsidRPr="007B4760">
        <w:t>7</w:t>
      </w:r>
      <w:r w:rsidR="004471D4" w:rsidRPr="007B4760">
        <w:noBreakHyphen/>
        <w:t>28</w:t>
      </w:r>
      <w:r w:rsidR="007609A9" w:rsidRPr="007B4760">
        <w:t xml:space="preserve"> at the 201</w:t>
      </w:r>
      <w:r w:rsidR="00726B6B" w:rsidRPr="007B4760">
        <w:t>7-18</w:t>
      </w:r>
      <w:r w:rsidR="007609A9" w:rsidRPr="007B4760">
        <w:t xml:space="preserve"> </w:t>
      </w:r>
      <w:r w:rsidR="00726B6B" w:rsidRPr="007B4760">
        <w:t>Budget</w:t>
      </w:r>
      <w:r w:rsidR="007609A9" w:rsidRPr="007B4760">
        <w:t>.</w:t>
      </w:r>
    </w:p>
    <w:p w:rsidR="007609A9" w:rsidRPr="007B4760" w:rsidRDefault="00726B6B" w:rsidP="00D47ABA">
      <w:pPr>
        <w:pStyle w:val="ChartHeading"/>
      </w:pPr>
      <w:r w:rsidRPr="007B4760">
        <w:lastRenderedPageBreak/>
        <w:t xml:space="preserve">Chart </w:t>
      </w:r>
      <w:r w:rsidR="000325B5" w:rsidRPr="007B4760">
        <w:t>3</w:t>
      </w:r>
      <w:r w:rsidR="00F61CC0" w:rsidRPr="007B4760">
        <w:t>.13:</w:t>
      </w:r>
      <w:r w:rsidR="007609A9" w:rsidRPr="007B4760">
        <w:t xml:space="preserve"> Net debt projected to 202</w:t>
      </w:r>
      <w:r w:rsidRPr="007B4760">
        <w:t>7</w:t>
      </w:r>
      <w:r w:rsidRPr="007B4760">
        <w:noBreakHyphen/>
        <w:t>28</w:t>
      </w:r>
    </w:p>
    <w:p w:rsidR="001D79A5" w:rsidRPr="007B4760" w:rsidRDefault="00395AB7" w:rsidP="00A24F8B">
      <w:pPr>
        <w:pStyle w:val="ChartGraphic"/>
      </w:pPr>
      <w:r w:rsidRPr="007B4760">
        <w:rPr>
          <w:noProof/>
        </w:rPr>
        <w:object w:dxaOrig="7351" w:dyaOrig="3961">
          <v:shape id="_x0000_i1027" type="#_x0000_t75" alt="This chart compares projections of net nebt at the 2017-18 Budget and 2017-18 MYEFO. At the 2017-18 MYEFO, net debt was projected to improve from a peak of 19.2 per cent of GDP in 2018-19 to 7.7 per cent of GDP in 2027-28.  At the 2017-18 Budget, net debt is projected to improve from a peak of 19.8 per cent of GDP in 2018-19 to 8.5 per cent of GDP in 2027-28." style="width:367.45pt;height:198.35pt" o:ole="">
            <v:imagedata r:id="rId13" o:title=""/>
          </v:shape>
          <o:OLEObject Type="Link" ProgID="Excel.Sheet.12" ShapeID="_x0000_i1027" DrawAspect="Content" r:id="rId14" UpdateMode="Always">
            <o:LinkType>EnhancedMetaFile</o:LinkType>
            <o:LockedField/>
            <o:FieldCodes>\* MERGEFORMAT</o:FieldCodes>
          </o:OLEObject>
        </w:object>
      </w:r>
    </w:p>
    <w:p w:rsidR="00FF1F26" w:rsidRPr="007B4760" w:rsidRDefault="008D43DE" w:rsidP="00110E13">
      <w:pPr>
        <w:pStyle w:val="ChartandTableFootnote"/>
      </w:pPr>
      <w:r w:rsidRPr="007B4760">
        <w:t>Not</w:t>
      </w:r>
      <w:r w:rsidR="007609A9" w:rsidRPr="007B4760">
        <w:t>e: A tax</w:t>
      </w:r>
      <w:r w:rsidR="007609A9" w:rsidRPr="007B4760">
        <w:noBreakHyphen/>
        <w:t>to</w:t>
      </w:r>
      <w:r w:rsidR="007609A9" w:rsidRPr="007B4760">
        <w:noBreakHyphen/>
        <w:t>GDP cap of 23.9 per cent is applied t</w:t>
      </w:r>
      <w:r w:rsidR="00D827A1" w:rsidRPr="007B4760">
        <w:t xml:space="preserve">o MYEFO projections from </w:t>
      </w:r>
      <w:r w:rsidRPr="007B4760">
        <w:t>2022-23</w:t>
      </w:r>
      <w:r w:rsidR="0009330C" w:rsidRPr="007B4760">
        <w:t>.</w:t>
      </w:r>
      <w:r w:rsidRPr="007B4760">
        <w:t xml:space="preserve"> </w:t>
      </w:r>
      <w:r w:rsidR="0009330C" w:rsidRPr="007B4760">
        <w:t>T</w:t>
      </w:r>
      <w:r w:rsidR="00F16181" w:rsidRPr="007B4760">
        <w:t xml:space="preserve">his is </w:t>
      </w:r>
      <w:r w:rsidRPr="007B4760">
        <w:t xml:space="preserve">unchanged from </w:t>
      </w:r>
      <w:r w:rsidR="00722EA3" w:rsidRPr="007B4760">
        <w:t xml:space="preserve">the 2017-18 </w:t>
      </w:r>
      <w:proofErr w:type="gramStart"/>
      <w:r w:rsidRPr="007B4760">
        <w:t>Budget</w:t>
      </w:r>
      <w:proofErr w:type="gramEnd"/>
      <w:r w:rsidR="00722EA3" w:rsidRPr="007B4760">
        <w:t>.</w:t>
      </w:r>
    </w:p>
    <w:p w:rsidR="007609A9" w:rsidRPr="007B4760" w:rsidRDefault="00752FF4" w:rsidP="00752FF4">
      <w:pPr>
        <w:pStyle w:val="ChartandTableFootnote"/>
      </w:pPr>
      <w:r w:rsidRPr="007B4760">
        <w:t>Source: Treasury projections.</w:t>
      </w:r>
      <w:r w:rsidR="00E37BDB" w:rsidRPr="007B4760">
        <w:rPr>
          <w:color w:val="FF0000"/>
        </w:rPr>
        <w:fldChar w:fldCharType="begin"/>
      </w:r>
      <w:r w:rsidR="00E37BDB" w:rsidRPr="007B4760">
        <w:rPr>
          <w:color w:val="FF0000"/>
        </w:rPr>
        <w:instrText xml:space="preserve"> :End:BPD_JR1 </w:instrText>
      </w:r>
      <w:r w:rsidR="00E37BDB" w:rsidRPr="007B4760">
        <w:rPr>
          <w:color w:val="FF0000"/>
        </w:rPr>
        <w:fldChar w:fldCharType="end"/>
      </w:r>
    </w:p>
    <w:p w:rsidR="00F61CC0" w:rsidRPr="007B4760" w:rsidRDefault="00F61CC0" w:rsidP="00F61CC0">
      <w:pPr>
        <w:pStyle w:val="SingleParagraph"/>
      </w:pPr>
    </w:p>
    <w:p w:rsidR="007609A9" w:rsidRPr="007B4760" w:rsidRDefault="000301F0" w:rsidP="00F61CC0">
      <w:pPr>
        <w:pStyle w:val="Heading3"/>
      </w:pPr>
      <w:r w:rsidRPr="007B4760">
        <w:fldChar w:fldCharType="begin"/>
      </w:r>
      <w:r w:rsidRPr="007B4760">
        <w:instrText xml:space="preserve"> :Start:AOFM_RN1 </w:instrText>
      </w:r>
      <w:r w:rsidRPr="007B4760">
        <w:fldChar w:fldCharType="end"/>
      </w:r>
      <w:r w:rsidR="007609A9" w:rsidRPr="007B4760">
        <w:t>Estimates and projections of CGS on issue</w:t>
      </w:r>
    </w:p>
    <w:p w:rsidR="007609A9" w:rsidRPr="007B4760" w:rsidRDefault="00D827A1" w:rsidP="00A90CDC">
      <w:pPr>
        <w:rPr>
          <w:rFonts w:eastAsia="Calibri"/>
        </w:rPr>
      </w:pPr>
      <w:r w:rsidRPr="007B4760">
        <w:rPr>
          <w:rFonts w:eastAsia="Calibri"/>
        </w:rPr>
        <w:t xml:space="preserve">Table </w:t>
      </w:r>
      <w:r w:rsidR="00D41DEB" w:rsidRPr="007B4760">
        <w:rPr>
          <w:rFonts w:eastAsia="Calibri"/>
        </w:rPr>
        <w:t>3.39</w:t>
      </w:r>
      <w:r w:rsidR="007609A9" w:rsidRPr="007B4760">
        <w:rPr>
          <w:rFonts w:eastAsia="Calibri"/>
        </w:rPr>
        <w:t xml:space="preserve"> contains projections of the face value (end-of-year and within-year peak)</w:t>
      </w:r>
      <w:r w:rsidR="007609A9" w:rsidRPr="007B4760">
        <w:rPr>
          <w:rStyle w:val="FootnoteReference"/>
          <w:rFonts w:eastAsia="Calibri" w:cs="Book Antiqua"/>
          <w:color w:val="000000"/>
        </w:rPr>
        <w:footnoteReference w:id="2"/>
      </w:r>
      <w:r w:rsidR="007609A9" w:rsidRPr="007B4760">
        <w:rPr>
          <w:rFonts w:eastAsia="Calibri"/>
          <w:sz w:val="13"/>
          <w:szCs w:val="13"/>
        </w:rPr>
        <w:t xml:space="preserve"> </w:t>
      </w:r>
      <w:r w:rsidR="007609A9" w:rsidRPr="007B4760">
        <w:rPr>
          <w:rFonts w:eastAsia="Calibri"/>
        </w:rPr>
        <w:t>and the market value</w:t>
      </w:r>
      <w:r w:rsidR="00752FF4" w:rsidRPr="007B4760">
        <w:rPr>
          <w:rFonts w:eastAsia="Calibri"/>
        </w:rPr>
        <w:t xml:space="preserve"> (end-of-year) of CGS on issue.</w:t>
      </w:r>
    </w:p>
    <w:p w:rsidR="007609A9" w:rsidRPr="007B4760" w:rsidRDefault="007609A9" w:rsidP="00A90CDC">
      <w:pPr>
        <w:rPr>
          <w:rFonts w:eastAsia="Calibri"/>
        </w:rPr>
      </w:pPr>
      <w:r w:rsidRPr="007B4760">
        <w:rPr>
          <w:rFonts w:eastAsia="Calibri"/>
        </w:rPr>
        <w:t xml:space="preserve">The </w:t>
      </w:r>
      <w:r w:rsidRPr="007B4760">
        <w:rPr>
          <w:rFonts w:eastAsia="Calibri"/>
          <w:i/>
          <w:iCs/>
        </w:rPr>
        <w:t xml:space="preserve">Commonwealth Inscribed Stock Act 1911 </w:t>
      </w:r>
      <w:r w:rsidRPr="007B4760">
        <w:rPr>
          <w:rFonts w:eastAsia="Calibri"/>
        </w:rPr>
        <w:t>(CIS Act) requires the Treasurer to issue a direction to the AOFM stipulating the maximum face value of relevant CGS that may be on issue.</w:t>
      </w:r>
      <w:r w:rsidRPr="007B4760">
        <w:rPr>
          <w:rStyle w:val="FootnoteReference"/>
          <w:rFonts w:eastAsia="Calibri" w:cs="Book Antiqua"/>
          <w:color w:val="000000"/>
        </w:rPr>
        <w:footnoteReference w:id="3"/>
      </w:r>
      <w:r w:rsidRPr="007B4760">
        <w:rPr>
          <w:rFonts w:eastAsia="Calibri"/>
        </w:rPr>
        <w:t xml:space="preserve"> As required by the </w:t>
      </w:r>
      <w:r w:rsidRPr="007B4760">
        <w:rPr>
          <w:rFonts w:eastAsia="Calibri"/>
          <w:i/>
          <w:iCs/>
        </w:rPr>
        <w:t>Charter of Budget Honesty Act 1998</w:t>
      </w:r>
      <w:r w:rsidR="00D827A1" w:rsidRPr="007B4760">
        <w:rPr>
          <w:rFonts w:eastAsia="Calibri"/>
        </w:rPr>
        <w:t xml:space="preserve">, Table </w:t>
      </w:r>
      <w:r w:rsidR="00D41DEB" w:rsidRPr="007B4760">
        <w:rPr>
          <w:rFonts w:eastAsia="Calibri"/>
        </w:rPr>
        <w:t>3.39</w:t>
      </w:r>
      <w:r w:rsidRPr="007B4760">
        <w:rPr>
          <w:rFonts w:eastAsia="Calibri"/>
        </w:rPr>
        <w:t xml:space="preserve"> reports projections of CGS on issue subjec</w:t>
      </w:r>
      <w:r w:rsidR="00752FF4" w:rsidRPr="007B4760">
        <w:rPr>
          <w:rFonts w:eastAsia="Calibri"/>
        </w:rPr>
        <w:t>t to the Treasurer’s Direction.</w:t>
      </w:r>
    </w:p>
    <w:p w:rsidR="007609A9" w:rsidRPr="007B4760" w:rsidRDefault="007609A9" w:rsidP="00A90CDC">
      <w:r w:rsidRPr="007B4760">
        <w:rPr>
          <w:rFonts w:eastAsia="Calibri"/>
        </w:rPr>
        <w:t>When considering these projections, it is important to note that the AOFM publishes an issuance strategy for the budget year only. Projections beyond the budget year are based on a set of technical assumptions and will vary with changes to these assumptions and budget estimates</w:t>
      </w:r>
      <w:r w:rsidRPr="007B4760">
        <w:t>.</w:t>
      </w:r>
    </w:p>
    <w:p w:rsidR="007609A9" w:rsidRPr="007B4760" w:rsidRDefault="009554CD" w:rsidP="007609A9">
      <w:pPr>
        <w:pStyle w:val="TableHeading"/>
      </w:pPr>
      <w:r w:rsidRPr="007B4760">
        <w:lastRenderedPageBreak/>
        <w:t>Table 3</w:t>
      </w:r>
      <w:r w:rsidR="00F61CC0" w:rsidRPr="007B4760">
        <w:t>.</w:t>
      </w:r>
      <w:r w:rsidR="00186A0F" w:rsidRPr="007B4760">
        <w:t>39</w:t>
      </w:r>
      <w:r w:rsidRPr="007B4760">
        <w:t xml:space="preserve">: </w:t>
      </w:r>
      <w:r w:rsidR="007609A9" w:rsidRPr="007B4760">
        <w:t xml:space="preserve">Estimates and projections of CGS on issue subject to the Treasurer’s </w:t>
      </w:r>
      <w:proofErr w:type="gramStart"/>
      <w:r w:rsidR="007609A9" w:rsidRPr="007B4760">
        <w:t>Direction</w:t>
      </w:r>
      <w:r w:rsidR="007609A9" w:rsidRPr="007B4760">
        <w:rPr>
          <w:vertAlign w:val="superscript"/>
        </w:rPr>
        <w:t>(</w:t>
      </w:r>
      <w:proofErr w:type="gramEnd"/>
      <w:r w:rsidR="007609A9" w:rsidRPr="007B4760">
        <w:rPr>
          <w:vertAlign w:val="superscript"/>
        </w:rPr>
        <w:t>a)</w:t>
      </w:r>
    </w:p>
    <w:p w:rsidR="00752FF4" w:rsidRPr="007B4760" w:rsidRDefault="00587BE3" w:rsidP="00587BE3">
      <w:pPr>
        <w:pStyle w:val="TableGraphic"/>
      </w:pPr>
      <w:r w:rsidRPr="007B4760">
        <w:object w:dxaOrig="7719" w:dyaOrig="2207">
          <v:shape id="_x0000_i1028" type="#_x0000_t75" style="width:385.8pt;height:110.05pt" o:ole="">
            <v:imagedata r:id="rId15" o:title=""/>
          </v:shape>
          <o:OLEObject Type="Link" ProgID="Excel.Sheet.12" ShapeID="_x0000_i1028" DrawAspect="Content" r:id="rId16" UpdateMode="Always">
            <o:LinkType>EnhancedMetaFile</o:LinkType>
            <o:LockedField>false</o:LockedField>
          </o:OLEObject>
        </w:object>
      </w:r>
    </w:p>
    <w:p w:rsidR="007609A9" w:rsidRPr="007B4760" w:rsidRDefault="007609A9" w:rsidP="00110E13">
      <w:pPr>
        <w:pStyle w:val="ChartandTableFootnote"/>
      </w:pPr>
      <w:r w:rsidRPr="007B4760">
        <w:t xml:space="preserve">The same stock and securities that were excluded from the previous legislative limit are excluded from the current limit set by the Treasurer’s Direction. These exclusions are outlined in subsection </w:t>
      </w:r>
      <w:proofErr w:type="gramStart"/>
      <w:r w:rsidRPr="007B4760">
        <w:t>51JA(</w:t>
      </w:r>
      <w:proofErr w:type="gramEnd"/>
      <w:r w:rsidRPr="007B4760">
        <w:t>2A) of the CIS Act.</w:t>
      </w:r>
    </w:p>
    <w:p w:rsidR="007609A9" w:rsidRPr="007B4760" w:rsidRDefault="007609A9" w:rsidP="00110E13">
      <w:pPr>
        <w:pStyle w:val="ChartandTableFootnoteAlpha"/>
      </w:pPr>
      <w:r w:rsidRPr="007B4760">
        <w:t>The precise within-year timing of cash receipts and payments is not known. Projected peaks of CGS on issue are therefore subject to considerable uncertainty.</w:t>
      </w:r>
    </w:p>
    <w:p w:rsidR="007609A9" w:rsidRPr="007B4760" w:rsidRDefault="007609A9" w:rsidP="00110E13">
      <w:pPr>
        <w:pStyle w:val="ChartandTableFootnoteAlpha"/>
      </w:pPr>
      <w:r w:rsidRPr="007B4760">
        <w:t xml:space="preserve">The Treasurer’s Direction applies only to the face value of CGS on issue. This table also shows the market value of CGS that </w:t>
      </w:r>
      <w:proofErr w:type="gramStart"/>
      <w:r w:rsidRPr="007B4760">
        <w:t>are</w:t>
      </w:r>
      <w:proofErr w:type="gramEnd"/>
      <w:r w:rsidRPr="007B4760">
        <w:t xml:space="preserve"> subject to the Treasurer’s Direction. These figures will differ from the estimates and projections published in Appendix B: Australian Government Budget Financial Statements Table B2: Australian Govern</w:t>
      </w:r>
      <w:r w:rsidR="009737B1" w:rsidRPr="007B4760">
        <w:t>ment general government s</w:t>
      </w:r>
      <w:r w:rsidRPr="007B4760">
        <w:t>ector balance sheet that refer to total CGS on issue.</w:t>
      </w:r>
    </w:p>
    <w:p w:rsidR="00F61CC0" w:rsidRPr="007B4760" w:rsidRDefault="007609A9" w:rsidP="00F61CC0">
      <w:pPr>
        <w:pStyle w:val="ChartandTableFootnote"/>
      </w:pPr>
      <w:r w:rsidRPr="007B4760">
        <w:t xml:space="preserve">Source: </w:t>
      </w:r>
      <w:r w:rsidR="0016257F" w:rsidRPr="007B4760">
        <w:t>AOFM</w:t>
      </w:r>
      <w:r w:rsidRPr="007B4760">
        <w:t>.</w:t>
      </w:r>
    </w:p>
    <w:p w:rsidR="00843838" w:rsidRPr="007B4760" w:rsidRDefault="00843838" w:rsidP="00843838">
      <w:pPr>
        <w:pStyle w:val="SingleParagraph"/>
        <w:rPr>
          <w:rFonts w:eastAsia="Calibri"/>
        </w:rPr>
      </w:pPr>
    </w:p>
    <w:p w:rsidR="007609A9" w:rsidRPr="007B4760" w:rsidRDefault="007609A9" w:rsidP="00BF1859">
      <w:pPr>
        <w:pStyle w:val="SingleParagraph"/>
      </w:pPr>
      <w:r w:rsidRPr="007B4760">
        <w:rPr>
          <w:rFonts w:eastAsia="Calibri"/>
        </w:rPr>
        <w:t>The total amount of CGS on issue and the amount of CGS on issue subject</w:t>
      </w:r>
      <w:r w:rsidR="003C2A1B" w:rsidRPr="007B4760">
        <w:rPr>
          <w:rFonts w:eastAsia="Calibri"/>
        </w:rPr>
        <w:t xml:space="preserve"> to the Treasurer’s Direction are</w:t>
      </w:r>
      <w:r w:rsidRPr="007B4760">
        <w:rPr>
          <w:rFonts w:eastAsia="Calibri"/>
        </w:rPr>
        <w:t xml:space="preserve"> reported weekly on the AOFM website.</w:t>
      </w:r>
      <w:r w:rsidR="00BF1859" w:rsidRPr="007B4760">
        <w:t xml:space="preserve"> </w:t>
      </w:r>
    </w:p>
    <w:p w:rsidR="00BF1859" w:rsidRPr="007B4760" w:rsidRDefault="00BF1859" w:rsidP="00BF1859">
      <w:pPr>
        <w:pStyle w:val="SingleParagraph"/>
        <w:rPr>
          <w:rFonts w:eastAsia="Calibri"/>
        </w:rPr>
      </w:pPr>
    </w:p>
    <w:p w:rsidR="00DD2BF8" w:rsidRPr="007B4760" w:rsidRDefault="00DD2BF8" w:rsidP="00A90CDC">
      <w:pPr>
        <w:rPr>
          <w:rFonts w:eastAsia="Calibri"/>
        </w:rPr>
      </w:pPr>
      <w:r w:rsidRPr="007B4760">
        <w:rPr>
          <w:rFonts w:eastAsia="Calibri"/>
        </w:rPr>
        <w:t>In 2017-18, the end-of-year face value of CGS on issue subject to the Treasurer’s Direction is expected to be $</w:t>
      </w:r>
      <w:r w:rsidRPr="007B4760">
        <w:t>531</w:t>
      </w:r>
      <w:r w:rsidRPr="007B4760">
        <w:rPr>
          <w:rFonts w:eastAsia="Calibri"/>
        </w:rPr>
        <w:t> billion, compared to $537 billion at the 2017-18 Budget. The end-of-year face value of CGS on issue subject to the Treasurer’s Direction is expected to reach $</w:t>
      </w:r>
      <w:r w:rsidRPr="007B4760">
        <w:t>583</w:t>
      </w:r>
      <w:r w:rsidRPr="007B4760">
        <w:rPr>
          <w:rFonts w:eastAsia="Calibri"/>
        </w:rPr>
        <w:t> billion in 2020-21.</w:t>
      </w:r>
    </w:p>
    <w:p w:rsidR="00DD2BF8" w:rsidRPr="007B4760" w:rsidRDefault="00DD2BF8" w:rsidP="00A90CDC">
      <w:r w:rsidRPr="007B4760">
        <w:rPr>
          <w:rFonts w:eastAsia="Calibri"/>
        </w:rPr>
        <w:t>In 2017-18, the face value of CGS on issue subject to the Treasurer’s Direction is expected to reach a within-year peak of $</w:t>
      </w:r>
      <w:r w:rsidRPr="007B4760">
        <w:t>531</w:t>
      </w:r>
      <w:r w:rsidRPr="007B4760">
        <w:rPr>
          <w:rFonts w:eastAsia="Calibri"/>
        </w:rPr>
        <w:t> billion. In 2020-21, this is projected to rise to a within-year peak of $</w:t>
      </w:r>
      <w:r w:rsidRPr="007B4760">
        <w:t>629</w:t>
      </w:r>
      <w:r w:rsidRPr="007B4760">
        <w:rPr>
          <w:rFonts w:eastAsia="Calibri"/>
        </w:rPr>
        <w:t> billion</w:t>
      </w:r>
      <w:r w:rsidRPr="007B4760">
        <w:t>.</w:t>
      </w:r>
    </w:p>
    <w:p w:rsidR="00CF66D8" w:rsidRPr="007B4760" w:rsidRDefault="005B10F1" w:rsidP="00847166">
      <w:pPr>
        <w:pStyle w:val="Heading4"/>
      </w:pPr>
      <w:r w:rsidRPr="007B4760">
        <w:fldChar w:fldCharType="begin"/>
      </w:r>
      <w:r w:rsidRPr="007B4760">
        <w:instrText xml:space="preserve"> :End:AOFM_RN1 </w:instrText>
      </w:r>
      <w:r w:rsidRPr="007B4760">
        <w:fldChar w:fldCharType="end"/>
      </w:r>
      <w:r w:rsidR="00170AD9" w:rsidRPr="007B4760">
        <w:fldChar w:fldCharType="begin"/>
      </w:r>
      <w:r w:rsidR="00170AD9" w:rsidRPr="007B4760">
        <w:instrText xml:space="preserve"> :Start:BPD_JR2 </w:instrText>
      </w:r>
      <w:r w:rsidR="00170AD9" w:rsidRPr="007B4760">
        <w:fldChar w:fldCharType="end"/>
      </w:r>
      <w:r w:rsidR="00CF66D8" w:rsidRPr="007B4760">
        <w:t>Changes in CGS on issue since the 2017-18 Budget</w:t>
      </w:r>
    </w:p>
    <w:p w:rsidR="00CF66D8" w:rsidRPr="007B4760" w:rsidRDefault="00CF66D8" w:rsidP="00A90CDC">
      <w:r w:rsidRPr="007B4760">
        <w:t>Table 3.</w:t>
      </w:r>
      <w:r w:rsidR="00D41DEB" w:rsidRPr="007B4760">
        <w:t>40</w:t>
      </w:r>
      <w:r w:rsidRPr="007B4760">
        <w:t xml:space="preserve"> shows the</w:t>
      </w:r>
      <w:r w:rsidR="009737B1" w:rsidRPr="007B4760">
        <w:t xml:space="preserve"> change in the projected end-of-</w:t>
      </w:r>
      <w:r w:rsidRPr="007B4760">
        <w:t xml:space="preserve">year face value of CGS on issue subject to the Treasurer’s Direction </w:t>
      </w:r>
      <w:r w:rsidR="009737B1" w:rsidRPr="007B4760">
        <w:t>between the 2017-18 Budget and the 2017</w:t>
      </w:r>
      <w:r w:rsidRPr="007B4760">
        <w:rPr>
          <w:bCs/>
        </w:rPr>
        <w:noBreakHyphen/>
      </w:r>
      <w:r w:rsidR="009737B1" w:rsidRPr="007B4760">
        <w:t>18</w:t>
      </w:r>
      <w:r w:rsidRPr="007B4760">
        <w:t xml:space="preserve"> MYEFO.</w:t>
      </w:r>
    </w:p>
    <w:p w:rsidR="00CF66D8" w:rsidRPr="007B4760" w:rsidRDefault="009554CD" w:rsidP="009F5DC7">
      <w:pPr>
        <w:pStyle w:val="TableHeading"/>
      </w:pPr>
      <w:r w:rsidRPr="007B4760">
        <w:lastRenderedPageBreak/>
        <w:t>Table 3.</w:t>
      </w:r>
      <w:r w:rsidR="00F61CC0" w:rsidRPr="007B4760">
        <w:t>4</w:t>
      </w:r>
      <w:r w:rsidR="00186A0F" w:rsidRPr="007B4760">
        <w:t>0</w:t>
      </w:r>
      <w:r w:rsidRPr="007B4760">
        <w:t xml:space="preserve">: </w:t>
      </w:r>
      <w:r w:rsidR="00CF66D8" w:rsidRPr="007B4760">
        <w:t>Projected CGS on issue subject to the Treasurer’s Direction —reconciliation from the 2017-18 Budget to the 2017-18 MYEFO</w:t>
      </w:r>
    </w:p>
    <w:p w:rsidR="00110E13" w:rsidRPr="007B4760" w:rsidRDefault="00752FF4" w:rsidP="004D6C28">
      <w:pPr>
        <w:pStyle w:val="TableGraphic"/>
        <w:rPr>
          <w:rFonts w:ascii="Arial" w:hAnsi="Arial"/>
          <w:color w:val="000000"/>
          <w:sz w:val="16"/>
          <w:szCs w:val="20"/>
          <w:lang w:eastAsia="en-AU"/>
        </w:rPr>
      </w:pPr>
      <w:r w:rsidRPr="007B4760">
        <w:object w:dxaOrig="7846" w:dyaOrig="3221">
          <v:shape id="_x0000_i1029" type="#_x0000_t75" style="width:384.45pt;height:175.25pt" o:ole="">
            <v:imagedata r:id="rId17" o:title=""/>
          </v:shape>
          <o:OLEObject Type="Link" ProgID="Excel.Sheet.12" ShapeID="_x0000_i1029" DrawAspect="Content" r:id="rId18" UpdateMode="Always">
            <o:LinkType>EnhancedMetaFile</o:LinkType>
            <o:LockedField/>
            <o:FieldCodes>\* MERGEFORMAT</o:FieldCodes>
          </o:OLEObject>
        </w:object>
      </w:r>
    </w:p>
    <w:p w:rsidR="00CF66D8" w:rsidRPr="007B4760" w:rsidRDefault="00CF66D8" w:rsidP="00110E13">
      <w:pPr>
        <w:pStyle w:val="ChartandTableFootnoteAlpha"/>
        <w:numPr>
          <w:ilvl w:val="0"/>
          <w:numId w:val="25"/>
        </w:numPr>
      </w:pPr>
      <w:r w:rsidRPr="007B4760">
        <w:t>Cumulative impact of de</w:t>
      </w:r>
      <w:r w:rsidR="00CE20D4" w:rsidRPr="007B4760">
        <w:t>cisions and variations from 2017-18 to 2020-21</w:t>
      </w:r>
      <w:r w:rsidRPr="007B4760">
        <w:t>. Increases to payments are shown as positive, and increases to receipts are shown as negative.</w:t>
      </w:r>
    </w:p>
    <w:p w:rsidR="00CF66D8" w:rsidRPr="007B4760" w:rsidRDefault="00CF66D8" w:rsidP="00110E13">
      <w:pPr>
        <w:pStyle w:val="ChartandTableFootnoteAlpha"/>
      </w:pPr>
      <w:r w:rsidRPr="007B4760">
        <w:t>Change in net cash flows from investments in policy and liquidity purposes.</w:t>
      </w:r>
    </w:p>
    <w:p w:rsidR="007609A9" w:rsidRPr="007B4760" w:rsidRDefault="00CF66D8" w:rsidP="00F61CC0">
      <w:pPr>
        <w:pStyle w:val="ChartandTableFootnote"/>
      </w:pPr>
      <w:r w:rsidRPr="007B4760">
        <w:t>Note: End of year data.</w:t>
      </w:r>
    </w:p>
    <w:p w:rsidR="00F61CC0" w:rsidRPr="007B4760" w:rsidRDefault="00170AD9" w:rsidP="00843838">
      <w:pPr>
        <w:pStyle w:val="SingleParagraph"/>
      </w:pPr>
      <w:r w:rsidRPr="007B4760">
        <w:fldChar w:fldCharType="begin"/>
      </w:r>
      <w:r w:rsidRPr="007B4760">
        <w:instrText xml:space="preserve"> :End:BPD_JR2 </w:instrText>
      </w:r>
      <w:r w:rsidRPr="007B4760">
        <w:fldChar w:fldCharType="end"/>
      </w:r>
      <w:r w:rsidRPr="007B4760">
        <w:rPr>
          <w:color w:val="0000FF"/>
        </w:rPr>
        <w:fldChar w:fldCharType="begin"/>
      </w:r>
      <w:r w:rsidRPr="007B4760">
        <w:rPr>
          <w:color w:val="0000FF"/>
        </w:rPr>
        <w:instrText xml:space="preserve"> :Start:BPD_JR1 </w:instrText>
      </w:r>
      <w:r w:rsidRPr="007B4760">
        <w:rPr>
          <w:color w:val="0000FF"/>
        </w:rPr>
        <w:fldChar w:fldCharType="end"/>
      </w:r>
    </w:p>
    <w:p w:rsidR="00DD2BF8" w:rsidRPr="007B4760" w:rsidRDefault="007609A9" w:rsidP="00843838">
      <w:pPr>
        <w:spacing w:after="170"/>
      </w:pPr>
      <w:r w:rsidRPr="007B4760">
        <w:t>T</w:t>
      </w:r>
      <w:r w:rsidR="00DD2BF8" w:rsidRPr="007B4760">
        <w:t>he total face value of CGS on issue is projected to rise to around $</w:t>
      </w:r>
      <w:r w:rsidR="00214A48" w:rsidRPr="007B4760">
        <w:t>684</w:t>
      </w:r>
      <w:r w:rsidR="0015510A" w:rsidRPr="007B4760">
        <w:t> billion by 2027</w:t>
      </w:r>
      <w:r w:rsidR="0015510A" w:rsidRPr="007B4760">
        <w:noBreakHyphen/>
      </w:r>
      <w:r w:rsidR="00DD2BF8" w:rsidRPr="007B4760">
        <w:t>28, around $</w:t>
      </w:r>
      <w:r w:rsidR="00214A48" w:rsidRPr="007B4760">
        <w:t>40</w:t>
      </w:r>
      <w:r w:rsidR="00DD2BF8" w:rsidRPr="007B4760">
        <w:t xml:space="preserve"> billion </w:t>
      </w:r>
      <w:r w:rsidR="00214A48" w:rsidRPr="007B4760">
        <w:t>less</w:t>
      </w:r>
      <w:r w:rsidR="00DD2BF8" w:rsidRPr="007B4760">
        <w:t xml:space="preserve"> than the $</w:t>
      </w:r>
      <w:r w:rsidR="00214A48" w:rsidRPr="007B4760">
        <w:t>725</w:t>
      </w:r>
      <w:r w:rsidR="00DD2BF8" w:rsidRPr="007B4760">
        <w:t xml:space="preserve"> billion projected at the 2017-18 </w:t>
      </w:r>
      <w:proofErr w:type="gramStart"/>
      <w:r w:rsidR="00DD2BF8" w:rsidRPr="007B4760">
        <w:t>Budget</w:t>
      </w:r>
      <w:proofErr w:type="gramEnd"/>
      <w:r w:rsidR="00DD2BF8" w:rsidRPr="007B4760">
        <w:t xml:space="preserve"> (</w:t>
      </w:r>
      <w:r w:rsidR="00214A48" w:rsidRPr="007B4760">
        <w:t xml:space="preserve">Chart </w:t>
      </w:r>
      <w:r w:rsidR="00045DAF" w:rsidRPr="007B4760">
        <w:t>3.14</w:t>
      </w:r>
      <w:r w:rsidR="00DD2BF8" w:rsidRPr="007B4760">
        <w:t xml:space="preserve">). </w:t>
      </w:r>
      <w:r w:rsidR="00610550" w:rsidRPr="007B4760">
        <w:rPr>
          <w:rFonts w:cs="Book Antiqua"/>
          <w:color w:val="000000"/>
        </w:rPr>
        <w:t>The change since Budget</w:t>
      </w:r>
      <w:r w:rsidR="00DD2BF8" w:rsidRPr="007B4760">
        <w:rPr>
          <w:rFonts w:cs="Book Antiqua"/>
          <w:color w:val="000000"/>
        </w:rPr>
        <w:t xml:space="preserve"> is driven by the changed profile of </w:t>
      </w:r>
      <w:r w:rsidR="00DD2BF8" w:rsidRPr="007B4760">
        <w:t xml:space="preserve">underlying cash balances (see Chart </w:t>
      </w:r>
      <w:r w:rsidR="00045DAF" w:rsidRPr="007B4760">
        <w:t>3.1</w:t>
      </w:r>
      <w:r w:rsidR="009737B1" w:rsidRPr="007B4760">
        <w:t>), and the associated lower</w:t>
      </w:r>
      <w:r w:rsidR="00DD2BF8" w:rsidRPr="007B4760">
        <w:t xml:space="preserve"> public debt interest expense, accumulating over the medium term.</w:t>
      </w:r>
    </w:p>
    <w:p w:rsidR="007609A9" w:rsidRPr="007B4760" w:rsidRDefault="00DD2BF8" w:rsidP="00843838">
      <w:pPr>
        <w:spacing w:after="160"/>
      </w:pPr>
      <w:r w:rsidRPr="007B4760">
        <w:t xml:space="preserve">Further details on the changes to the underlying cash balance since the 2017-18 Budget can be found in </w:t>
      </w:r>
      <w:r w:rsidRPr="007B4760">
        <w:rPr>
          <w:i/>
        </w:rPr>
        <w:t>Part 3: Fiscal Strategy and Outlook</w:t>
      </w:r>
      <w:r w:rsidR="007609A9" w:rsidRPr="007B4760">
        <w:t>.</w:t>
      </w:r>
    </w:p>
    <w:p w:rsidR="007609A9" w:rsidRPr="007B4760" w:rsidRDefault="00726B6B" w:rsidP="00D47ABA">
      <w:pPr>
        <w:pStyle w:val="ChartHeading"/>
      </w:pPr>
      <w:r w:rsidRPr="007B4760">
        <w:t xml:space="preserve">Chart </w:t>
      </w:r>
      <w:r w:rsidR="000325B5" w:rsidRPr="007B4760">
        <w:t>3.</w:t>
      </w:r>
      <w:r w:rsidR="00045DAF" w:rsidRPr="007B4760">
        <w:t>14</w:t>
      </w:r>
      <w:r w:rsidR="007609A9" w:rsidRPr="007B4760">
        <w:t>: Face value of CGS on issue projected to 202</w:t>
      </w:r>
      <w:r w:rsidRPr="007B4760">
        <w:t>7</w:t>
      </w:r>
      <w:r w:rsidR="007609A9" w:rsidRPr="007B4760">
        <w:noBreakHyphen/>
        <w:t>2</w:t>
      </w:r>
      <w:r w:rsidRPr="007B4760">
        <w:t>8</w:t>
      </w:r>
    </w:p>
    <w:p w:rsidR="001D79A5" w:rsidRPr="007B4760" w:rsidRDefault="00395AB7" w:rsidP="004D6C28">
      <w:pPr>
        <w:pStyle w:val="ChartGraphic"/>
      </w:pPr>
      <w:r w:rsidRPr="007B4760">
        <w:rPr>
          <w:noProof/>
        </w:rPr>
        <w:object w:dxaOrig="7351" w:dyaOrig="3961">
          <v:shape id="_x0000_i1030" type="#_x0000_t75" alt="This chart compares projections of Commonwealth Government Securities (CGS) on issue at the 2017-18 Budget and the 2017-18 MYEFO.  At the 2017-18 Budget, CGS on issue is projected to rise to $725 billion in 2027-28. At the 2017-18 MYEFO, CGS on issue was projected to rise to $684 billion in 2027-28." style="width:367.45pt;height:198.35pt" o:ole="">
            <v:imagedata r:id="rId19" o:title=""/>
          </v:shape>
          <o:OLEObject Type="Link" ProgID="Excel.Sheet.12" ShapeID="_x0000_i1030" DrawAspect="Content" r:id="rId20" UpdateMode="Always">
            <o:LinkType>EnhancedMetaFile</o:LinkType>
            <o:LockedField/>
            <o:FieldCodes>\* MERGEFORMAT</o:FieldCodes>
          </o:OLEObject>
        </w:object>
      </w:r>
    </w:p>
    <w:p w:rsidR="007609A9" w:rsidRPr="007B4760" w:rsidRDefault="00F16181" w:rsidP="007609A9">
      <w:pPr>
        <w:pStyle w:val="ChartandTableFootnote"/>
      </w:pPr>
      <w:r w:rsidRPr="007B4760">
        <w:t>Note: A tax</w:t>
      </w:r>
      <w:r w:rsidRPr="007B4760">
        <w:noBreakHyphen/>
        <w:t>to</w:t>
      </w:r>
      <w:r w:rsidRPr="007B4760">
        <w:noBreakHyphen/>
        <w:t>GDP cap of 23.9 per cent is applied to MYEFO projections from 2022-23</w:t>
      </w:r>
      <w:r w:rsidR="0009330C" w:rsidRPr="007B4760">
        <w:t>. T</w:t>
      </w:r>
      <w:r w:rsidRPr="007B4760">
        <w:t xml:space="preserve">his is unchanged from </w:t>
      </w:r>
      <w:r w:rsidR="00722EA3" w:rsidRPr="007B4760">
        <w:t xml:space="preserve">the 2017-18 </w:t>
      </w:r>
      <w:proofErr w:type="gramStart"/>
      <w:r w:rsidR="00722EA3" w:rsidRPr="007B4760">
        <w:t>Budget</w:t>
      </w:r>
      <w:proofErr w:type="gramEnd"/>
      <w:r w:rsidR="00752FF4" w:rsidRPr="007B4760">
        <w:t>.</w:t>
      </w:r>
    </w:p>
    <w:p w:rsidR="007609A9" w:rsidRPr="007B4760" w:rsidRDefault="007609A9" w:rsidP="007609A9">
      <w:pPr>
        <w:pStyle w:val="ChartandTableFootnote"/>
        <w:rPr>
          <w:rStyle w:val="Strong"/>
          <w:b w:val="0"/>
          <w:bCs w:val="0"/>
        </w:rPr>
      </w:pPr>
      <w:r w:rsidRPr="007B4760">
        <w:t xml:space="preserve">Source: </w:t>
      </w:r>
      <w:r w:rsidR="00610550" w:rsidRPr="007B4760">
        <w:t xml:space="preserve">AOFM </w:t>
      </w:r>
      <w:r w:rsidRPr="007B4760">
        <w:t>and Treasury projections.</w:t>
      </w:r>
    </w:p>
    <w:bookmarkStart w:id="7" w:name="_Toc387595704"/>
    <w:p w:rsidR="007609A9" w:rsidRPr="007B4760" w:rsidRDefault="00F170FC" w:rsidP="00847166">
      <w:pPr>
        <w:pStyle w:val="Heading3"/>
      </w:pPr>
      <w:r w:rsidRPr="007B4760">
        <w:lastRenderedPageBreak/>
        <w:fldChar w:fldCharType="begin"/>
      </w:r>
      <w:r w:rsidRPr="007B4760">
        <w:instrText xml:space="preserve"> :End:BPD_JR1 </w:instrText>
      </w:r>
      <w:r w:rsidRPr="007B4760">
        <w:fldChar w:fldCharType="end"/>
      </w:r>
      <w:r w:rsidRPr="007B4760">
        <w:fldChar w:fldCharType="begin"/>
      </w:r>
      <w:r w:rsidRPr="007B4760">
        <w:instrText xml:space="preserve"> :Start:AOFM_RN1 </w:instrText>
      </w:r>
      <w:r w:rsidRPr="007B4760">
        <w:fldChar w:fldCharType="end"/>
      </w:r>
      <w:r w:rsidR="007609A9" w:rsidRPr="007B4760">
        <w:t>Breakdown of CGS currently on issue</w:t>
      </w:r>
      <w:bookmarkEnd w:id="7"/>
    </w:p>
    <w:p w:rsidR="007609A9" w:rsidRPr="007B4760" w:rsidRDefault="00726B6B" w:rsidP="00A90CDC">
      <w:r w:rsidRPr="007B4760">
        <w:t xml:space="preserve">Table </w:t>
      </w:r>
      <w:r w:rsidR="00045DAF" w:rsidRPr="007B4760">
        <w:t>3.41</w:t>
      </w:r>
      <w:r w:rsidR="007609A9" w:rsidRPr="007B4760">
        <w:t xml:space="preserve"> provides a breakdown of the CGS on issue by type of security as at </w:t>
      </w:r>
      <w:r w:rsidR="002744E7" w:rsidRPr="007B4760">
        <w:t>12</w:t>
      </w:r>
      <w:r w:rsidR="00F61CC0" w:rsidRPr="007B4760">
        <w:t> </w:t>
      </w:r>
      <w:r w:rsidR="00DD2BF8" w:rsidRPr="007B4760">
        <w:t>December 2017</w:t>
      </w:r>
      <w:r w:rsidR="007609A9" w:rsidRPr="007B4760">
        <w:t>.</w:t>
      </w:r>
    </w:p>
    <w:p w:rsidR="007609A9" w:rsidRPr="007B4760" w:rsidRDefault="00726B6B" w:rsidP="007609A9">
      <w:pPr>
        <w:pStyle w:val="TableHeading"/>
      </w:pPr>
      <w:r w:rsidRPr="007B4760">
        <w:t xml:space="preserve">Table </w:t>
      </w:r>
      <w:r w:rsidR="005242B9" w:rsidRPr="007B4760">
        <w:t>3</w:t>
      </w:r>
      <w:r w:rsidR="00186A0F" w:rsidRPr="007B4760">
        <w:t>.41:</w:t>
      </w:r>
      <w:r w:rsidR="007609A9" w:rsidRPr="007B4760">
        <w:t xml:space="preserve"> Breakdown of current </w:t>
      </w:r>
      <w:r w:rsidR="005242B9" w:rsidRPr="007B4760">
        <w:t>CGS</w:t>
      </w:r>
      <w:r w:rsidR="00752FF4" w:rsidRPr="007B4760">
        <w:t xml:space="preserve"> on issue</w:t>
      </w:r>
    </w:p>
    <w:p w:rsidR="00DD2BF8" w:rsidRPr="007B4760" w:rsidRDefault="0030139A" w:rsidP="004D6C28">
      <w:pPr>
        <w:pStyle w:val="TableGraphic"/>
      </w:pPr>
      <w:r w:rsidRPr="007B4760">
        <w:object w:dxaOrig="7684" w:dyaOrig="2219">
          <v:shape id="_x0000_i1031" type="#_x0000_t75" style="width:384.45pt;height:110.7pt" o:ole="">
            <v:imagedata r:id="rId21" o:title=""/>
          </v:shape>
          <o:OLEObject Type="Link" ProgID="Excel.Sheet.12" ShapeID="_x0000_i1031" DrawAspect="Content" r:id="rId22" UpdateMode="Always">
            <o:LinkType>EnhancedMetaFile</o:LinkType>
            <o:LockedField/>
            <o:FieldCodes>\* MERGEFORMAT</o:FieldCodes>
          </o:OLEObject>
        </w:object>
      </w:r>
    </w:p>
    <w:p w:rsidR="00DD2BF8" w:rsidRPr="007B4760" w:rsidRDefault="00DD2BF8" w:rsidP="006C2EB2">
      <w:pPr>
        <w:pStyle w:val="ChartandTableFootnoteAlpha"/>
        <w:numPr>
          <w:ilvl w:val="0"/>
          <w:numId w:val="26"/>
        </w:numPr>
      </w:pPr>
      <w:r w:rsidRPr="007B4760">
        <w:t xml:space="preserve">The Treasurer’s Direction applies only to the face value of CGS on issue. This table also shows the market value of CGS that </w:t>
      </w:r>
      <w:proofErr w:type="gramStart"/>
      <w:r w:rsidRPr="007B4760">
        <w:t>are</w:t>
      </w:r>
      <w:proofErr w:type="gramEnd"/>
      <w:r w:rsidRPr="007B4760">
        <w:t xml:space="preserve"> subjec</w:t>
      </w:r>
      <w:r w:rsidR="00752FF4" w:rsidRPr="007B4760">
        <w:t>t to the Treasurer’s Direction.</w:t>
      </w:r>
    </w:p>
    <w:p w:rsidR="00DD2BF8" w:rsidRPr="007B4760" w:rsidRDefault="00DD2BF8" w:rsidP="006C2EB2">
      <w:pPr>
        <w:pStyle w:val="ChartandTableFootnoteAlpha"/>
      </w:pPr>
      <w:r w:rsidRPr="007B4760">
        <w:t>The same stock and securities that were excluded from the previous legislative limit are excluded from the current limit set by the Treasurer’s Direction. These exclusions, outlined in subsection 51JA(2A) of the CIS Act, are:</w:t>
      </w:r>
      <w:bookmarkStart w:id="8" w:name="P265_13411"/>
      <w:bookmarkEnd w:id="8"/>
    </w:p>
    <w:p w:rsidR="00DD2BF8" w:rsidRPr="007B4760" w:rsidRDefault="00DD2BF8" w:rsidP="00FB7D9F">
      <w:pPr>
        <w:pStyle w:val="ChartandTableFootnoteSmall"/>
        <w:tabs>
          <w:tab w:val="left" w:pos="426"/>
        </w:tabs>
        <w:ind w:left="426" w:hanging="142"/>
        <w:jc w:val="left"/>
        <w:rPr>
          <w:sz w:val="16"/>
          <w:szCs w:val="16"/>
        </w:rPr>
      </w:pPr>
      <w:r w:rsidRPr="007B4760">
        <w:rPr>
          <w:sz w:val="16"/>
          <w:szCs w:val="16"/>
        </w:rPr>
        <w:t>•</w:t>
      </w:r>
      <w:r w:rsidRPr="007B4760">
        <w:rPr>
          <w:sz w:val="16"/>
          <w:szCs w:val="16"/>
        </w:rPr>
        <w:tab/>
      </w:r>
      <w:proofErr w:type="gramStart"/>
      <w:r w:rsidRPr="007B4760">
        <w:rPr>
          <w:sz w:val="16"/>
          <w:szCs w:val="16"/>
        </w:rPr>
        <w:t>stock</w:t>
      </w:r>
      <w:proofErr w:type="gramEnd"/>
      <w:r w:rsidRPr="007B4760">
        <w:rPr>
          <w:sz w:val="16"/>
          <w:szCs w:val="16"/>
        </w:rPr>
        <w:t xml:space="preserve"> and securities issued in relation to money borrowed under the </w:t>
      </w:r>
      <w:r w:rsidRPr="007B4760">
        <w:rPr>
          <w:i/>
          <w:sz w:val="16"/>
          <w:szCs w:val="16"/>
        </w:rPr>
        <w:t>Loan (Temporary Revenue Deficits) Act 1953</w:t>
      </w:r>
      <w:r w:rsidRPr="007B4760">
        <w:rPr>
          <w:sz w:val="16"/>
          <w:szCs w:val="16"/>
        </w:rPr>
        <w:t>;</w:t>
      </w:r>
    </w:p>
    <w:p w:rsidR="00DD2BF8" w:rsidRPr="007B4760" w:rsidRDefault="00DD2BF8" w:rsidP="00FB7D9F">
      <w:pPr>
        <w:pStyle w:val="ChartandTableFootnoteSmall"/>
        <w:tabs>
          <w:tab w:val="left" w:pos="426"/>
        </w:tabs>
        <w:ind w:left="426" w:hanging="142"/>
        <w:jc w:val="left"/>
        <w:rPr>
          <w:sz w:val="16"/>
          <w:szCs w:val="16"/>
        </w:rPr>
      </w:pPr>
      <w:r w:rsidRPr="007B4760">
        <w:rPr>
          <w:sz w:val="16"/>
          <w:szCs w:val="16"/>
        </w:rPr>
        <w:t>•</w:t>
      </w:r>
      <w:r w:rsidRPr="007B4760">
        <w:rPr>
          <w:sz w:val="16"/>
          <w:szCs w:val="16"/>
        </w:rPr>
        <w:tab/>
        <w:t xml:space="preserve">stock and securities loaned by the Treasurer under a securities lending arrangement under section 5BA of the </w:t>
      </w:r>
      <w:r w:rsidRPr="007B4760">
        <w:rPr>
          <w:i/>
          <w:sz w:val="16"/>
          <w:szCs w:val="16"/>
        </w:rPr>
        <w:t>Loans Securities Act 1919</w:t>
      </w:r>
      <w:r w:rsidRPr="007B4760">
        <w:rPr>
          <w:sz w:val="16"/>
          <w:szCs w:val="16"/>
        </w:rPr>
        <w:t>, or held by or on behalf of the Treasurer for the purpose of such an arrangement;</w:t>
      </w:r>
    </w:p>
    <w:p w:rsidR="00DD2BF8" w:rsidRPr="007B4760" w:rsidRDefault="00DD2BF8" w:rsidP="00FB7D9F">
      <w:pPr>
        <w:pStyle w:val="ChartandTableFootnoteSmall"/>
        <w:tabs>
          <w:tab w:val="left" w:pos="426"/>
        </w:tabs>
        <w:ind w:left="426" w:hanging="142"/>
        <w:jc w:val="left"/>
        <w:rPr>
          <w:sz w:val="16"/>
          <w:szCs w:val="16"/>
        </w:rPr>
      </w:pPr>
      <w:r w:rsidRPr="007B4760">
        <w:rPr>
          <w:sz w:val="16"/>
          <w:szCs w:val="16"/>
        </w:rPr>
        <w:t>•</w:t>
      </w:r>
      <w:r w:rsidRPr="007B4760">
        <w:rPr>
          <w:sz w:val="16"/>
          <w:szCs w:val="16"/>
        </w:rPr>
        <w:tab/>
      </w:r>
      <w:proofErr w:type="gramStart"/>
      <w:r w:rsidRPr="007B4760">
        <w:rPr>
          <w:sz w:val="16"/>
          <w:szCs w:val="16"/>
        </w:rPr>
        <w:t>stock</w:t>
      </w:r>
      <w:proofErr w:type="gramEnd"/>
      <w:r w:rsidRPr="007B4760">
        <w:rPr>
          <w:sz w:val="16"/>
          <w:szCs w:val="16"/>
        </w:rPr>
        <w:t xml:space="preserve"> and securities invested under subsection 58 of the </w:t>
      </w:r>
      <w:r w:rsidRPr="007B4760">
        <w:rPr>
          <w:i/>
          <w:sz w:val="16"/>
          <w:szCs w:val="16"/>
        </w:rPr>
        <w:t>Public Governance, Performance and Accountability Act 2013</w:t>
      </w:r>
      <w:r w:rsidRPr="007B4760">
        <w:rPr>
          <w:sz w:val="16"/>
          <w:szCs w:val="16"/>
        </w:rPr>
        <w:t>; and</w:t>
      </w:r>
    </w:p>
    <w:p w:rsidR="00DD2BF8" w:rsidRPr="007B4760" w:rsidRDefault="00DD2BF8" w:rsidP="00FB7D9F">
      <w:pPr>
        <w:pStyle w:val="ChartandTableFootnoteSmall"/>
        <w:tabs>
          <w:tab w:val="left" w:pos="426"/>
        </w:tabs>
        <w:ind w:left="426" w:hanging="142"/>
        <w:jc w:val="left"/>
        <w:rPr>
          <w:sz w:val="16"/>
          <w:szCs w:val="16"/>
        </w:rPr>
      </w:pPr>
      <w:r w:rsidRPr="007B4760">
        <w:rPr>
          <w:sz w:val="16"/>
          <w:szCs w:val="16"/>
        </w:rPr>
        <w:t>•</w:t>
      </w:r>
      <w:r w:rsidRPr="007B4760">
        <w:rPr>
          <w:sz w:val="16"/>
          <w:szCs w:val="16"/>
        </w:rPr>
        <w:tab/>
      </w:r>
      <w:proofErr w:type="gramStart"/>
      <w:r w:rsidRPr="007B4760">
        <w:rPr>
          <w:sz w:val="16"/>
          <w:szCs w:val="16"/>
        </w:rPr>
        <w:t>stock</w:t>
      </w:r>
      <w:proofErr w:type="gramEnd"/>
      <w:r w:rsidRPr="007B4760">
        <w:rPr>
          <w:sz w:val="16"/>
          <w:szCs w:val="16"/>
        </w:rPr>
        <w:t xml:space="preserve"> and securities on issue as at the start of 13 July 2008, other than Treasury Fixed Coupon Bonds.</w:t>
      </w:r>
    </w:p>
    <w:p w:rsidR="00DD2BF8" w:rsidRPr="007B4760" w:rsidRDefault="00610550" w:rsidP="006C2EB2">
      <w:pPr>
        <w:pStyle w:val="Source"/>
      </w:pPr>
      <w:bookmarkStart w:id="9" w:name="tempbookmark"/>
      <w:bookmarkEnd w:id="9"/>
      <w:r w:rsidRPr="007B4760">
        <w:t>Source: AOFM</w:t>
      </w:r>
      <w:r w:rsidR="00DD2BF8" w:rsidRPr="007B4760">
        <w:t>.</w:t>
      </w:r>
    </w:p>
    <w:p w:rsidR="007609A9" w:rsidRPr="007B4760" w:rsidRDefault="007609A9" w:rsidP="00847166">
      <w:pPr>
        <w:pStyle w:val="Heading4"/>
      </w:pPr>
      <w:r w:rsidRPr="007B4760">
        <w:t>Treasury Bonds</w:t>
      </w:r>
    </w:p>
    <w:p w:rsidR="00DD2BF8" w:rsidRPr="007B4760" w:rsidRDefault="00D827A1" w:rsidP="00A90CDC">
      <w:pPr>
        <w:rPr>
          <w:rFonts w:eastAsia="Calibri"/>
        </w:rPr>
      </w:pPr>
      <w:r w:rsidRPr="007B4760">
        <w:t>T</w:t>
      </w:r>
      <w:r w:rsidR="00DD2BF8" w:rsidRPr="007B4760">
        <w:t xml:space="preserve">able </w:t>
      </w:r>
      <w:r w:rsidR="00045DAF" w:rsidRPr="007B4760">
        <w:t>3.42</w:t>
      </w:r>
      <w:r w:rsidR="00DD2BF8" w:rsidRPr="007B4760">
        <w:t xml:space="preserve"> </w:t>
      </w:r>
      <w:r w:rsidR="00DD2BF8" w:rsidRPr="007B4760">
        <w:rPr>
          <w:rFonts w:eastAsia="Calibri"/>
        </w:rPr>
        <w:t xml:space="preserve">lists Treasury Bonds currently on issue, as well as the annual interest rate (the coupon) and the timing of coupon payments. As at </w:t>
      </w:r>
      <w:r w:rsidR="001A2F79" w:rsidRPr="007B4760">
        <w:rPr>
          <w:rFonts w:eastAsia="Calibri"/>
        </w:rPr>
        <w:t>12</w:t>
      </w:r>
      <w:r w:rsidR="00DD2BF8" w:rsidRPr="007B4760">
        <w:rPr>
          <w:rFonts w:eastAsia="Calibri"/>
        </w:rPr>
        <w:t xml:space="preserve"> December 2017, th</w:t>
      </w:r>
      <w:r w:rsidR="001A2F79" w:rsidRPr="007B4760">
        <w:rPr>
          <w:rFonts w:eastAsia="Calibri"/>
        </w:rPr>
        <w:t xml:space="preserve">ere were 24 Treasury </w:t>
      </w:r>
      <w:proofErr w:type="gramStart"/>
      <w:r w:rsidR="001A2F79" w:rsidRPr="007B4760">
        <w:rPr>
          <w:rFonts w:eastAsia="Calibri"/>
        </w:rPr>
        <w:t>Bond</w:t>
      </w:r>
      <w:proofErr w:type="gramEnd"/>
      <w:r w:rsidR="001A2F79" w:rsidRPr="007B4760">
        <w:rPr>
          <w:rFonts w:eastAsia="Calibri"/>
        </w:rPr>
        <w:t xml:space="preserve"> lines</w:t>
      </w:r>
      <w:r w:rsidR="00DD2BF8" w:rsidRPr="007B4760">
        <w:rPr>
          <w:rFonts w:eastAsia="Calibri"/>
        </w:rPr>
        <w:t xml:space="preserve"> on issue, with a weighted average term to maturity of around </w:t>
      </w:r>
      <w:r w:rsidR="006D795D" w:rsidRPr="007B4760">
        <w:rPr>
          <w:rFonts w:eastAsia="Calibri"/>
        </w:rPr>
        <w:t>7.4</w:t>
      </w:r>
      <w:r w:rsidR="00DD2BF8" w:rsidRPr="007B4760">
        <w:rPr>
          <w:rFonts w:eastAsia="Calibri"/>
        </w:rPr>
        <w:t> years and the longest ma</w:t>
      </w:r>
      <w:r w:rsidR="00752FF4" w:rsidRPr="007B4760">
        <w:rPr>
          <w:rFonts w:eastAsia="Calibri"/>
        </w:rPr>
        <w:t>turity extending to March 2047.</w:t>
      </w:r>
    </w:p>
    <w:p w:rsidR="007609A9" w:rsidRPr="007B4760" w:rsidRDefault="00DD2BF8" w:rsidP="00A90CDC">
      <w:r w:rsidRPr="007B4760">
        <w:rPr>
          <w:rFonts w:eastAsia="Calibri"/>
        </w:rPr>
        <w:t>Since late 2010-11, the AOFM has incrementally lengthened the CGS yield curve. This increases the average maturity and duration profile of the AOFM’s debt portfolio, thereby lowering variability in future debt servicing costs and reducing refinancing risk</w:t>
      </w:r>
      <w:r w:rsidR="007609A9" w:rsidRPr="007B4760">
        <w:t>.</w:t>
      </w:r>
    </w:p>
    <w:p w:rsidR="00DD2BF8" w:rsidRPr="007B4760" w:rsidRDefault="009554CD" w:rsidP="00DD2BF8">
      <w:pPr>
        <w:pStyle w:val="TableHeading"/>
      </w:pPr>
      <w:r w:rsidRPr="007B4760">
        <w:lastRenderedPageBreak/>
        <w:t>Table 3.</w:t>
      </w:r>
      <w:r w:rsidR="00186A0F" w:rsidRPr="007B4760">
        <w:t>42</w:t>
      </w:r>
      <w:r w:rsidRPr="007B4760">
        <w:t xml:space="preserve">: </w:t>
      </w:r>
      <w:r w:rsidR="00752FF4" w:rsidRPr="007B4760">
        <w:t>Treasury Bonds on issue</w:t>
      </w:r>
    </w:p>
    <w:p w:rsidR="006C2EB2" w:rsidRPr="007B4760" w:rsidRDefault="00752FF4" w:rsidP="000369C6">
      <w:pPr>
        <w:pStyle w:val="TableGraphic"/>
        <w:rPr>
          <w:rFonts w:ascii="Arial" w:hAnsi="Arial"/>
          <w:color w:val="000000"/>
          <w:sz w:val="16"/>
          <w:szCs w:val="20"/>
          <w:lang w:eastAsia="en-AU"/>
        </w:rPr>
      </w:pPr>
      <w:r w:rsidRPr="007B4760">
        <w:object w:dxaOrig="7701" w:dyaOrig="5824">
          <v:shape id="_x0000_i1032" type="#_x0000_t75" style="width:385.15pt;height:303.6pt" o:ole="">
            <v:imagedata r:id="rId23" o:title=""/>
          </v:shape>
          <o:OLEObject Type="Link" ProgID="Excel.Sheet.12" ShapeID="_x0000_i1032" DrawAspect="Content" r:id="rId24" UpdateMode="Always">
            <o:LinkType>EnhancedMetaFile</o:LinkType>
            <o:LockedField/>
            <o:FieldCodes>\* MERGEFORMAT</o:FieldCodes>
          </o:OLEObject>
        </w:object>
      </w:r>
    </w:p>
    <w:p w:rsidR="00DD2BF8" w:rsidRPr="007B4760" w:rsidRDefault="00DD2BF8" w:rsidP="006C2EB2">
      <w:pPr>
        <w:pStyle w:val="ChartandTableFootnoteAlpha"/>
        <w:numPr>
          <w:ilvl w:val="0"/>
          <w:numId w:val="27"/>
        </w:numPr>
      </w:pPr>
      <w:r w:rsidRPr="007B4760">
        <w:t>Where the timing of an interest payment falls on a non-business day, the payment will occur on the following business day.</w:t>
      </w:r>
    </w:p>
    <w:p w:rsidR="007609A9" w:rsidRPr="007B4760" w:rsidRDefault="00DD2BF8" w:rsidP="00F61CC0">
      <w:pPr>
        <w:pStyle w:val="ChartandTableFootnote"/>
      </w:pPr>
      <w:r w:rsidRPr="007B4760">
        <w:t xml:space="preserve">Source: </w:t>
      </w:r>
      <w:r w:rsidR="00610550" w:rsidRPr="007B4760">
        <w:t>AOFM</w:t>
      </w:r>
      <w:r w:rsidRPr="007B4760">
        <w:t>.</w:t>
      </w:r>
    </w:p>
    <w:p w:rsidR="00F61CC0" w:rsidRPr="007B4760" w:rsidRDefault="00F61CC0" w:rsidP="00587BE3">
      <w:pPr>
        <w:pStyle w:val="SingleParagraph"/>
        <w:spacing w:line="240" w:lineRule="auto"/>
        <w:rPr>
          <w:sz w:val="16"/>
          <w:lang w:eastAsia="en-AU"/>
        </w:rPr>
      </w:pPr>
    </w:p>
    <w:p w:rsidR="007609A9" w:rsidRPr="007B4760" w:rsidRDefault="007609A9" w:rsidP="00847166">
      <w:pPr>
        <w:pStyle w:val="Heading4"/>
      </w:pPr>
      <w:r w:rsidRPr="007B4760">
        <w:t>Treasury Indexed Bonds</w:t>
      </w:r>
    </w:p>
    <w:p w:rsidR="00DD2BF8" w:rsidRPr="007B4760" w:rsidRDefault="00DD2BF8" w:rsidP="006C2EB2">
      <w:pPr>
        <w:spacing w:after="180"/>
      </w:pPr>
      <w:r w:rsidRPr="007B4760">
        <w:t xml:space="preserve">Table </w:t>
      </w:r>
      <w:r w:rsidR="00045DAF" w:rsidRPr="007B4760">
        <w:t>3.43</w:t>
      </w:r>
      <w:r w:rsidRPr="007B4760">
        <w:t xml:space="preserve"> lists Treasury Indexed Bonds currently on issue, as well as the annual interest rate (the coupon) and the timing of coupon payments. As at </w:t>
      </w:r>
      <w:r w:rsidR="001A2F79" w:rsidRPr="007B4760">
        <w:t>12</w:t>
      </w:r>
      <w:r w:rsidRPr="007B4760">
        <w:rPr>
          <w:rFonts w:eastAsia="Calibri"/>
        </w:rPr>
        <w:t xml:space="preserve"> December 2017</w:t>
      </w:r>
      <w:r w:rsidRPr="007B4760">
        <w:t>, there were 8 Treas</w:t>
      </w:r>
      <w:r w:rsidR="001A2F79" w:rsidRPr="007B4760">
        <w:t>ury Indexed Bond lines on issue</w:t>
      </w:r>
      <w:r w:rsidRPr="007B4760">
        <w:t xml:space="preserve">, with a weighted average term to maturity of around </w:t>
      </w:r>
      <w:r w:rsidR="002744E7" w:rsidRPr="007B4760">
        <w:t>9.3</w:t>
      </w:r>
      <w:r w:rsidRPr="007B4760">
        <w:t xml:space="preserve"> years and the longest maturity extending to </w:t>
      </w:r>
      <w:r w:rsidR="001A2F79" w:rsidRPr="007B4760">
        <w:t>August 2040</w:t>
      </w:r>
      <w:r w:rsidRPr="007B4760">
        <w:t>.</w:t>
      </w:r>
    </w:p>
    <w:p w:rsidR="00DD2BF8" w:rsidRPr="007B4760" w:rsidRDefault="00DD2BF8" w:rsidP="00DD2BF8">
      <w:pPr>
        <w:pStyle w:val="TableHeading"/>
      </w:pPr>
      <w:r w:rsidRPr="007B4760">
        <w:t>Table 3.</w:t>
      </w:r>
      <w:r w:rsidR="00186A0F" w:rsidRPr="007B4760">
        <w:t>43</w:t>
      </w:r>
      <w:r w:rsidRPr="007B4760">
        <w:t>: Treasury Indexed</w:t>
      </w:r>
      <w:r w:rsidR="00752FF4" w:rsidRPr="007B4760">
        <w:t xml:space="preserve"> Bonds on issue</w:t>
      </w:r>
    </w:p>
    <w:p w:rsidR="006C2EB2" w:rsidRPr="007B4760" w:rsidRDefault="00752FF4" w:rsidP="000369C6">
      <w:pPr>
        <w:pStyle w:val="TableGraphic"/>
      </w:pPr>
      <w:r w:rsidRPr="007B4760">
        <w:object w:dxaOrig="7703" w:dyaOrig="2378">
          <v:shape id="_x0000_i1033" type="#_x0000_t75" style="width:385.8pt;height:122.95pt" o:ole="">
            <v:imagedata r:id="rId25" o:title=""/>
          </v:shape>
          <o:OLEObject Type="Link" ProgID="Excel.Sheet.12" ShapeID="_x0000_i1033" DrawAspect="Content" r:id="rId26" UpdateMode="Always">
            <o:LinkType>EnhancedMetaFile</o:LinkType>
            <o:LockedField/>
            <o:FieldCodes>\* MERGEFORMAT</o:FieldCodes>
          </o:OLEObject>
        </w:object>
      </w:r>
    </w:p>
    <w:p w:rsidR="00DD2BF8" w:rsidRPr="007B4760" w:rsidRDefault="00DD2BF8" w:rsidP="006C2EB2">
      <w:pPr>
        <w:pStyle w:val="ChartandTableFootnoteAlpha"/>
        <w:numPr>
          <w:ilvl w:val="0"/>
          <w:numId w:val="28"/>
        </w:numPr>
      </w:pPr>
      <w:r w:rsidRPr="007B4760">
        <w:t>Where the timing of an interest payment falls on a non</w:t>
      </w:r>
      <w:r w:rsidRPr="007B4760">
        <w:noBreakHyphen/>
        <w:t>business day, the payment will occur on the following business day.</w:t>
      </w:r>
    </w:p>
    <w:p w:rsidR="007609A9" w:rsidRPr="007B4760" w:rsidRDefault="00DD2BF8" w:rsidP="006C2EB2">
      <w:pPr>
        <w:pStyle w:val="Source"/>
      </w:pPr>
      <w:r w:rsidRPr="007B4760">
        <w:t>Source:</w:t>
      </w:r>
      <w:r w:rsidR="00610550" w:rsidRPr="007B4760">
        <w:t xml:space="preserve"> AOFM</w:t>
      </w:r>
      <w:r w:rsidRPr="007B4760">
        <w:t>.</w:t>
      </w:r>
    </w:p>
    <w:p w:rsidR="007609A9" w:rsidRPr="007B4760" w:rsidRDefault="007609A9" w:rsidP="00847166">
      <w:pPr>
        <w:pStyle w:val="Heading4"/>
      </w:pPr>
      <w:r w:rsidRPr="007B4760">
        <w:lastRenderedPageBreak/>
        <w:t>Treasury Notes</w:t>
      </w:r>
    </w:p>
    <w:p w:rsidR="00BD110D" w:rsidRPr="007B4760" w:rsidRDefault="00BD110D" w:rsidP="00A90CDC">
      <w:r w:rsidRPr="007B4760">
        <w:t xml:space="preserve">Table </w:t>
      </w:r>
      <w:r w:rsidR="00D41DEB" w:rsidRPr="007B4760">
        <w:t>3.44</w:t>
      </w:r>
      <w:r w:rsidRPr="007B4760">
        <w:t xml:space="preserve"> lists the Treasury Notes currently on issue. The face value of Treasury Notes on issue as at </w:t>
      </w:r>
      <w:r w:rsidR="00C12A67" w:rsidRPr="007B4760">
        <w:t>12</w:t>
      </w:r>
      <w:r w:rsidRPr="007B4760">
        <w:rPr>
          <w:rFonts w:eastAsia="Calibri"/>
        </w:rPr>
        <w:t xml:space="preserve"> December 2017</w:t>
      </w:r>
      <w:r w:rsidR="00C12A67" w:rsidRPr="007B4760">
        <w:t xml:space="preserve"> was $3.5 billion</w:t>
      </w:r>
      <w:r w:rsidRPr="007B4760">
        <w:t>. Treasury Notes do not pay a coupon, but they are issued at a discount — the face value received at maturity is higher than the price paid at issuance.</w:t>
      </w:r>
    </w:p>
    <w:p w:rsidR="00BD110D" w:rsidRPr="007B4760" w:rsidRDefault="00BD110D" w:rsidP="00BD110D">
      <w:pPr>
        <w:pStyle w:val="TableHeading"/>
        <w:rPr>
          <w:rStyle w:val="Strong"/>
          <w:bCs w:val="0"/>
        </w:rPr>
      </w:pPr>
      <w:r w:rsidRPr="007B4760">
        <w:rPr>
          <w:rStyle w:val="Strong"/>
          <w:bCs w:val="0"/>
        </w:rPr>
        <w:t xml:space="preserve">Table </w:t>
      </w:r>
      <w:r w:rsidRPr="007B4760">
        <w:t>3.</w:t>
      </w:r>
      <w:r w:rsidR="00186A0F" w:rsidRPr="007B4760">
        <w:t>44</w:t>
      </w:r>
      <w:r w:rsidR="00752FF4" w:rsidRPr="007B4760">
        <w:rPr>
          <w:rStyle w:val="Strong"/>
          <w:bCs w:val="0"/>
        </w:rPr>
        <w:t>: Treasury Notes on issue</w:t>
      </w:r>
    </w:p>
    <w:p w:rsidR="00752FF4" w:rsidRPr="007B4760" w:rsidRDefault="00752FF4" w:rsidP="000369C6">
      <w:pPr>
        <w:pStyle w:val="TableGraphic"/>
      </w:pPr>
      <w:r w:rsidRPr="007B4760">
        <w:object w:dxaOrig="7686" w:dyaOrig="895">
          <v:shape id="_x0000_i1034" type="#_x0000_t75" style="width:383.1pt;height:47.55pt" o:ole="">
            <v:imagedata r:id="rId27" o:title=""/>
          </v:shape>
          <o:OLEObject Type="Link" ProgID="Excel.Sheet.12" ShapeID="_x0000_i1034" DrawAspect="Content" r:id="rId28" UpdateMode="Always">
            <o:LinkType>EnhancedMetaFile</o:LinkType>
            <o:LockedField/>
            <o:FieldCodes>\* MERGEFORMAT</o:FieldCodes>
          </o:OLEObject>
        </w:object>
      </w:r>
    </w:p>
    <w:p w:rsidR="007609A9" w:rsidRPr="007B4760" w:rsidRDefault="00BD110D" w:rsidP="00587BE3">
      <w:pPr>
        <w:pStyle w:val="ChartandTableFootnote"/>
      </w:pPr>
      <w:r w:rsidRPr="007B4760">
        <w:t xml:space="preserve">Source: </w:t>
      </w:r>
      <w:r w:rsidR="00610550" w:rsidRPr="007B4760">
        <w:t>AOFM</w:t>
      </w:r>
      <w:r w:rsidRPr="007B4760">
        <w:t>.</w:t>
      </w:r>
    </w:p>
    <w:p w:rsidR="00587BE3" w:rsidRPr="007B4760" w:rsidRDefault="00587BE3" w:rsidP="00587BE3">
      <w:pPr>
        <w:pStyle w:val="SingleParagraph"/>
        <w:rPr>
          <w:lang w:eastAsia="en-AU"/>
        </w:rPr>
      </w:pPr>
    </w:p>
    <w:p w:rsidR="007609A9" w:rsidRPr="007B4760" w:rsidRDefault="007609A9" w:rsidP="00847166">
      <w:pPr>
        <w:pStyle w:val="Heading3"/>
      </w:pPr>
      <w:bookmarkStart w:id="10" w:name="_Toc387420552"/>
      <w:bookmarkStart w:id="11" w:name="_Toc387595705"/>
      <w:r w:rsidRPr="007B4760">
        <w:t>Non</w:t>
      </w:r>
      <w:r w:rsidRPr="007B4760">
        <w:noBreakHyphen/>
        <w:t>resident holdings of CGS on issue</w:t>
      </w:r>
      <w:bookmarkEnd w:id="10"/>
      <w:bookmarkEnd w:id="11"/>
    </w:p>
    <w:p w:rsidR="007609A9" w:rsidRPr="007B4760" w:rsidRDefault="00BD110D" w:rsidP="00A90CDC">
      <w:pPr>
        <w:rPr>
          <w:rFonts w:eastAsia="Calibri"/>
        </w:rPr>
      </w:pPr>
      <w:r w:rsidRPr="007B4760">
        <w:rPr>
          <w:rFonts w:eastAsia="Calibri"/>
        </w:rPr>
        <w:t>As at the September quarter 2017, the proportion of non-resident holdings of CGS is around 5</w:t>
      </w:r>
      <w:r w:rsidR="005B2F02" w:rsidRPr="007B4760">
        <w:rPr>
          <w:rFonts w:eastAsia="Calibri"/>
        </w:rPr>
        <w:t>5</w:t>
      </w:r>
      <w:r w:rsidRPr="007B4760">
        <w:rPr>
          <w:rFonts w:eastAsia="Calibri"/>
        </w:rPr>
        <w:t xml:space="preserve"> per cent (Chart </w:t>
      </w:r>
      <w:r w:rsidR="00045DAF" w:rsidRPr="007B4760">
        <w:rPr>
          <w:rFonts w:eastAsia="Calibri"/>
        </w:rPr>
        <w:t>3.15</w:t>
      </w:r>
      <w:r w:rsidRPr="007B4760">
        <w:rPr>
          <w:rFonts w:eastAsia="Calibri"/>
        </w:rPr>
        <w:t>). This proportion is down from historical highs</w:t>
      </w:r>
      <w:r w:rsidR="00752FF4" w:rsidRPr="007B4760">
        <w:rPr>
          <w:rFonts w:eastAsia="Calibri"/>
        </w:rPr>
        <w:t xml:space="preserve"> of around 76 per cent in 2012.</w:t>
      </w:r>
      <w:r w:rsidR="00F170FC" w:rsidRPr="007B4760">
        <w:rPr>
          <w:rFonts w:eastAsia="Calibri"/>
          <w:color w:val="FF0000"/>
        </w:rPr>
        <w:fldChar w:fldCharType="begin"/>
      </w:r>
      <w:r w:rsidR="00F170FC" w:rsidRPr="007B4760">
        <w:rPr>
          <w:rFonts w:eastAsia="Calibri"/>
          <w:color w:val="FF0000"/>
        </w:rPr>
        <w:instrText xml:space="preserve"> :End:AOFM_RN1 </w:instrText>
      </w:r>
      <w:r w:rsidR="00F170FC" w:rsidRPr="007B4760">
        <w:rPr>
          <w:rFonts w:eastAsia="Calibri"/>
          <w:color w:val="FF0000"/>
        </w:rPr>
        <w:fldChar w:fldCharType="end"/>
      </w:r>
    </w:p>
    <w:p w:rsidR="007609A9" w:rsidRPr="007B4760" w:rsidRDefault="000301F0" w:rsidP="007609A9">
      <w:pPr>
        <w:pStyle w:val="ChartHeading"/>
      </w:pPr>
      <w:r w:rsidRPr="007B4760">
        <w:rPr>
          <w:color w:val="0000FF"/>
        </w:rPr>
        <w:fldChar w:fldCharType="begin"/>
      </w:r>
      <w:r w:rsidRPr="007B4760">
        <w:rPr>
          <w:color w:val="0000FF"/>
        </w:rPr>
        <w:instrText xml:space="preserve"> :Start:BPD_JR1 </w:instrText>
      </w:r>
      <w:r w:rsidRPr="007B4760">
        <w:rPr>
          <w:color w:val="0000FF"/>
        </w:rPr>
        <w:fldChar w:fldCharType="end"/>
      </w:r>
      <w:r w:rsidR="00726B6B" w:rsidRPr="007B4760">
        <w:t xml:space="preserve">Chart </w:t>
      </w:r>
      <w:r w:rsidR="002801B8" w:rsidRPr="007B4760">
        <w:t>3.</w:t>
      </w:r>
      <w:r w:rsidR="00045DAF" w:rsidRPr="007B4760">
        <w:t>15</w:t>
      </w:r>
      <w:r w:rsidR="007609A9" w:rsidRPr="007B4760">
        <w:t>: Non</w:t>
      </w:r>
      <w:r w:rsidR="007609A9" w:rsidRPr="007B4760">
        <w:noBreakHyphen/>
        <w:t xml:space="preserve">resident holdings of </w:t>
      </w:r>
      <w:r w:rsidR="005242B9" w:rsidRPr="007B4760">
        <w:t>CGS</w:t>
      </w:r>
    </w:p>
    <w:p w:rsidR="00F23266" w:rsidRPr="007B4760" w:rsidRDefault="00395AB7" w:rsidP="00F23266">
      <w:pPr>
        <w:pStyle w:val="ChartGraphic"/>
      </w:pPr>
      <w:r w:rsidRPr="007B4760">
        <w:object w:dxaOrig="7351" w:dyaOrig="4530">
          <v:shape id="_x0000_i1035" type="#_x0000_t75" alt="As at September 2017, the proportion of non-resident holdings of CGS is around 55 per cent. This proportion is down from historical highs of around 76 per cent in 2012." style="width:367.45pt;height:226.2pt" o:ole="">
            <v:imagedata r:id="rId29" o:title=""/>
          </v:shape>
          <o:OLEObject Type="Link" ProgID="Excel.Sheet.12" ShapeID="_x0000_i1035" DrawAspect="Content" r:id="rId30" UpdateMode="Always">
            <o:LinkType>EnhancedMetaFile</o:LinkType>
            <o:LockedField/>
            <o:FieldCodes>\* MERGEFORMAT</o:FieldCodes>
          </o:OLEObject>
        </w:object>
      </w:r>
      <w:bookmarkStart w:id="12" w:name="_Toc387420553"/>
      <w:bookmarkStart w:id="13" w:name="_Toc387595706"/>
    </w:p>
    <w:p w:rsidR="002578E4" w:rsidRPr="007B4760" w:rsidRDefault="002578E4" w:rsidP="00F23266">
      <w:pPr>
        <w:pStyle w:val="ChartandTableFootnote"/>
      </w:pPr>
      <w:r w:rsidRPr="007B4760">
        <w:t>Note: Data refer to the market value of holdings.</w:t>
      </w:r>
    </w:p>
    <w:p w:rsidR="007609A9" w:rsidRPr="007B4760" w:rsidRDefault="002578E4" w:rsidP="00F23266">
      <w:pPr>
        <w:pStyle w:val="Source"/>
      </w:pPr>
      <w:r w:rsidRPr="007B4760">
        <w:t xml:space="preserve">Source: ABS </w:t>
      </w:r>
      <w:r w:rsidR="00792354" w:rsidRPr="007B4760">
        <w:t xml:space="preserve">cat. </w:t>
      </w:r>
      <w:proofErr w:type="gramStart"/>
      <w:r w:rsidR="00792354" w:rsidRPr="007B4760">
        <w:t>no</w:t>
      </w:r>
      <w:proofErr w:type="gramEnd"/>
      <w:r w:rsidR="00792354" w:rsidRPr="007B4760">
        <w:t xml:space="preserve">. </w:t>
      </w:r>
      <w:r w:rsidRPr="007B4760">
        <w:t>5302.0 and A</w:t>
      </w:r>
      <w:r w:rsidR="00610550" w:rsidRPr="007B4760">
        <w:t>OFM</w:t>
      </w:r>
      <w:r w:rsidRPr="007B4760">
        <w:t>.</w:t>
      </w:r>
      <w:r w:rsidR="00A100E9" w:rsidRPr="007B4760">
        <w:fldChar w:fldCharType="begin"/>
      </w:r>
      <w:r w:rsidR="00A100E9" w:rsidRPr="007B4760">
        <w:instrText xml:space="preserve"> :End:BPD_JR1 </w:instrText>
      </w:r>
      <w:r w:rsidR="00A100E9" w:rsidRPr="007B4760">
        <w:fldChar w:fldCharType="end"/>
      </w:r>
    </w:p>
    <w:p w:rsidR="007609A9" w:rsidRPr="007B4760" w:rsidRDefault="00A100E9" w:rsidP="00847166">
      <w:pPr>
        <w:pStyle w:val="Heading3"/>
      </w:pPr>
      <w:r w:rsidRPr="007B4760">
        <w:fldChar w:fldCharType="begin"/>
      </w:r>
      <w:r w:rsidRPr="007B4760">
        <w:instrText xml:space="preserve"> :Start:BPD_JR2 </w:instrText>
      </w:r>
      <w:r w:rsidRPr="007B4760">
        <w:fldChar w:fldCharType="end"/>
      </w:r>
      <w:r w:rsidR="007609A9" w:rsidRPr="007B4760">
        <w:t>Interest on CGS</w:t>
      </w:r>
      <w:bookmarkEnd w:id="12"/>
      <w:bookmarkEnd w:id="13"/>
    </w:p>
    <w:p w:rsidR="007609A9" w:rsidRPr="007B4760" w:rsidRDefault="007609A9" w:rsidP="00A90CDC">
      <w:r w:rsidRPr="007B4760">
        <w:t>The interest costs related to CGS are presented in these statements in both cash and accrual accounting terms. The difference between the cash interest payments and accrual interest expense generally relates to the timing of when the interest cost is recognised.</w:t>
      </w:r>
    </w:p>
    <w:p w:rsidR="007609A9" w:rsidRPr="007B4760" w:rsidRDefault="007609A9" w:rsidP="00587BE3">
      <w:pPr>
        <w:pStyle w:val="Bullet"/>
        <w:spacing w:after="220"/>
      </w:pPr>
      <w:r w:rsidRPr="007B4760">
        <w:rPr>
          <w:b/>
        </w:rPr>
        <w:lastRenderedPageBreak/>
        <w:t>Interest payments</w:t>
      </w:r>
      <w:r w:rsidRPr="007B4760">
        <w:t xml:space="preserve"> are recognised in the period when they are paid d</w:t>
      </w:r>
      <w:r w:rsidR="00752FF4" w:rsidRPr="007B4760">
        <w:t>uring the life of the security.</w:t>
      </w:r>
    </w:p>
    <w:p w:rsidR="007609A9" w:rsidRPr="007B4760" w:rsidRDefault="007609A9" w:rsidP="00587BE3">
      <w:pPr>
        <w:pStyle w:val="Bullet"/>
        <w:spacing w:after="220"/>
      </w:pPr>
      <w:r w:rsidRPr="007B4760">
        <w:rPr>
          <w:b/>
        </w:rPr>
        <w:t>Interest expense</w:t>
      </w:r>
      <w:r w:rsidRPr="007B4760">
        <w:t xml:space="preserve"> is recognised in the period in which an expense is incurred during the life of the security, rath</w:t>
      </w:r>
      <w:r w:rsidR="00752FF4" w:rsidRPr="007B4760">
        <w:t>er when they are actually paid.</w:t>
      </w:r>
    </w:p>
    <w:p w:rsidR="007609A9" w:rsidRPr="007B4760" w:rsidRDefault="007609A9" w:rsidP="00587BE3">
      <w:pPr>
        <w:spacing w:after="220"/>
      </w:pPr>
      <w:r w:rsidRPr="007B4760">
        <w:t>Estimates of the interest payments and interest expense of CGS on issue include the cost of CGS already on issue and future CGS issuance. The cost of:</w:t>
      </w:r>
    </w:p>
    <w:p w:rsidR="007609A9" w:rsidRPr="007B4760" w:rsidRDefault="007609A9" w:rsidP="00587BE3">
      <w:pPr>
        <w:pStyle w:val="Bullet"/>
        <w:spacing w:after="220"/>
      </w:pPr>
      <w:r w:rsidRPr="007B4760">
        <w:t>CGS already on issue uses the actual interest rates incurred at the time of issuance; and</w:t>
      </w:r>
    </w:p>
    <w:p w:rsidR="007609A9" w:rsidRPr="007B4760" w:rsidRDefault="007609A9" w:rsidP="00587BE3">
      <w:pPr>
        <w:pStyle w:val="Bullet"/>
        <w:spacing w:after="220"/>
      </w:pPr>
      <w:proofErr w:type="gramStart"/>
      <w:r w:rsidRPr="007B4760">
        <w:t>the</w:t>
      </w:r>
      <w:proofErr w:type="gramEnd"/>
      <w:r w:rsidRPr="007B4760">
        <w:t xml:space="preserve"> expected future issuance of CGS is based on the prevailing market rates across the yield curve at the time of a budget estimates update.</w:t>
      </w:r>
    </w:p>
    <w:p w:rsidR="007609A9" w:rsidRPr="007B4760" w:rsidRDefault="007609A9" w:rsidP="00587BE3">
      <w:pPr>
        <w:spacing w:after="220"/>
      </w:pPr>
      <w:r w:rsidRPr="007B4760">
        <w:t>The a</w:t>
      </w:r>
      <w:r w:rsidR="00137B44" w:rsidRPr="007B4760">
        <w:t>ssumed market yields at the 2017</w:t>
      </w:r>
      <w:r w:rsidRPr="007B4760">
        <w:rPr>
          <w:bCs/>
        </w:rPr>
        <w:noBreakHyphen/>
      </w:r>
      <w:r w:rsidR="00137B44" w:rsidRPr="007B4760">
        <w:t>18</w:t>
      </w:r>
      <w:r w:rsidRPr="007B4760">
        <w:t xml:space="preserve"> MYEFO result in a weighted average cost of borrowing of around </w:t>
      </w:r>
      <w:r w:rsidR="00CF66D8" w:rsidRPr="007B4760">
        <w:t>2.5</w:t>
      </w:r>
      <w:r w:rsidRPr="007B4760">
        <w:t xml:space="preserve"> per cent for future issuance of Treasury Bonds in the forward estimates period, compared with around </w:t>
      </w:r>
      <w:r w:rsidR="00CF66D8" w:rsidRPr="007B4760">
        <w:t>2.6</w:t>
      </w:r>
      <w:r w:rsidR="00137B44" w:rsidRPr="007B4760">
        <w:t xml:space="preserve"> per cent at the 2017-18</w:t>
      </w:r>
      <w:r w:rsidRPr="007B4760">
        <w:t xml:space="preserve"> </w:t>
      </w:r>
      <w:r w:rsidR="00137B44" w:rsidRPr="007B4760">
        <w:t>Budget</w:t>
      </w:r>
      <w:r w:rsidRPr="007B4760">
        <w:t xml:space="preserve">. </w:t>
      </w:r>
      <w:r w:rsidR="00726B6B" w:rsidRPr="007B4760">
        <w:t xml:space="preserve">Chart </w:t>
      </w:r>
      <w:r w:rsidR="00045DAF" w:rsidRPr="007B4760">
        <w:t>3.16</w:t>
      </w:r>
      <w:r w:rsidRPr="007B4760">
        <w:t xml:space="preserve"> shows the yield curve a</w:t>
      </w:r>
      <w:r w:rsidR="00726B6B" w:rsidRPr="007B4760">
        <w:t>ssumptions underpinning the 2017-18 Budget</w:t>
      </w:r>
      <w:r w:rsidRPr="007B4760">
        <w:t xml:space="preserve"> and 201</w:t>
      </w:r>
      <w:r w:rsidR="00726B6B" w:rsidRPr="007B4760">
        <w:t>7</w:t>
      </w:r>
      <w:r w:rsidRPr="007B4760">
        <w:rPr>
          <w:bCs/>
        </w:rPr>
        <w:noBreakHyphen/>
      </w:r>
      <w:r w:rsidR="00726B6B" w:rsidRPr="007B4760">
        <w:t>18</w:t>
      </w:r>
      <w:r w:rsidRPr="007B4760">
        <w:t xml:space="preserve"> MYEFO.</w:t>
      </w:r>
    </w:p>
    <w:p w:rsidR="007609A9" w:rsidRPr="007B4760" w:rsidRDefault="00A100E9" w:rsidP="007609A9">
      <w:pPr>
        <w:pStyle w:val="ChartHeading"/>
      </w:pPr>
      <w:r w:rsidRPr="007B4760">
        <w:rPr>
          <w:color w:val="FF0000"/>
        </w:rPr>
        <w:fldChar w:fldCharType="begin"/>
      </w:r>
      <w:r w:rsidRPr="007B4760">
        <w:rPr>
          <w:color w:val="FF0000"/>
        </w:rPr>
        <w:instrText xml:space="preserve"> :End:BPD_JR2 </w:instrText>
      </w:r>
      <w:r w:rsidRPr="007B4760">
        <w:rPr>
          <w:color w:val="FF0000"/>
        </w:rPr>
        <w:fldChar w:fldCharType="end"/>
      </w:r>
      <w:r w:rsidR="00A72E50" w:rsidRPr="007B4760">
        <w:rPr>
          <w:color w:val="0000FF"/>
        </w:rPr>
        <w:fldChar w:fldCharType="begin"/>
      </w:r>
      <w:r w:rsidR="00A72E50" w:rsidRPr="007B4760">
        <w:rPr>
          <w:color w:val="0000FF"/>
        </w:rPr>
        <w:instrText xml:space="preserve"> :Start:AOFM_RN1 </w:instrText>
      </w:r>
      <w:r w:rsidR="00A72E50" w:rsidRPr="007B4760">
        <w:rPr>
          <w:color w:val="0000FF"/>
        </w:rPr>
        <w:fldChar w:fldCharType="end"/>
      </w:r>
      <w:r w:rsidR="00726B6B" w:rsidRPr="007B4760">
        <w:t xml:space="preserve">Chart </w:t>
      </w:r>
      <w:r w:rsidR="00045DAF" w:rsidRPr="007B4760">
        <w:t>3.16</w:t>
      </w:r>
      <w:r w:rsidR="007609A9" w:rsidRPr="007B4760">
        <w:t>: Yiel</w:t>
      </w:r>
      <w:r w:rsidR="00D827A1" w:rsidRPr="007B4760">
        <w:t>d curve ass</w:t>
      </w:r>
      <w:r w:rsidR="001800FA" w:rsidRPr="007B4760">
        <w:t>umptions for 2017-18 to 2020-21</w:t>
      </w:r>
    </w:p>
    <w:p w:rsidR="00A1693C" w:rsidRPr="007B4760" w:rsidRDefault="00395AB7" w:rsidP="000369C6">
      <w:pPr>
        <w:pStyle w:val="ChartGraphic"/>
        <w:rPr>
          <w:noProof/>
        </w:rPr>
      </w:pPr>
      <w:r w:rsidRPr="007B4760">
        <w:rPr>
          <w:noProof/>
        </w:rPr>
        <w:object w:dxaOrig="7351" w:dyaOrig="4516">
          <v:shape id="_x0000_i1036" type="#_x0000_t75" alt="This chart shows the yield curve assumptions underpinning the 2017-18 Budget and the 2017-18 MYEFO. The 2017-18 Budget yield curve is generally lower and slightly flatter than the yield curve assumed at the 2016-17 MYEFO." style="width:367.45pt;height:221.45pt" o:ole="">
            <v:imagedata r:id="rId31" o:title="" cropbottom="1234f"/>
          </v:shape>
          <o:OLEObject Type="Link" ProgID="Excel.Sheet.12" ShapeID="_x0000_i1036" DrawAspect="Content" r:id="rId32" UpdateMode="Always">
            <o:LinkType>EnhancedMetaFile</o:LinkType>
            <o:LockedField/>
            <o:FieldCodes>\* MERGEFORMAT</o:FieldCodes>
          </o:OLEObject>
        </w:object>
      </w:r>
    </w:p>
    <w:p w:rsidR="007609A9" w:rsidRPr="007B4760" w:rsidRDefault="00BD110D" w:rsidP="00F23266">
      <w:pPr>
        <w:pStyle w:val="Source"/>
      </w:pPr>
      <w:r w:rsidRPr="007B4760">
        <w:t xml:space="preserve">Source: </w:t>
      </w:r>
      <w:r w:rsidR="00610550" w:rsidRPr="007B4760">
        <w:t>AOFM</w:t>
      </w:r>
      <w:r w:rsidRPr="007B4760">
        <w:t>.</w:t>
      </w:r>
      <w:r w:rsidR="000301F0" w:rsidRPr="007B4760">
        <w:fldChar w:fldCharType="begin"/>
      </w:r>
      <w:r w:rsidR="000301F0" w:rsidRPr="007B4760">
        <w:instrText xml:space="preserve"> :End:AOFM_RN1 </w:instrText>
      </w:r>
      <w:r w:rsidR="000301F0" w:rsidRPr="007B4760">
        <w:fldChar w:fldCharType="end"/>
      </w:r>
    </w:p>
    <w:p w:rsidR="00CF66D8" w:rsidRPr="007B4760" w:rsidRDefault="00BF1859" w:rsidP="00A90CDC">
      <w:r w:rsidRPr="007B4760">
        <w:fldChar w:fldCharType="begin"/>
      </w:r>
      <w:r w:rsidRPr="007B4760">
        <w:instrText xml:space="preserve"> :Start:BPD_JR1 </w:instrText>
      </w:r>
      <w:r w:rsidRPr="007B4760">
        <w:fldChar w:fldCharType="end"/>
      </w:r>
      <w:r w:rsidR="00CF66D8" w:rsidRPr="007B4760">
        <w:t xml:space="preserve">The 2017-18 </w:t>
      </w:r>
      <w:r w:rsidR="001800FA" w:rsidRPr="007B4760">
        <w:t xml:space="preserve">MYEFO yield curve is generally </w:t>
      </w:r>
      <w:r w:rsidR="005242B9" w:rsidRPr="007B4760">
        <w:t>lower and flatter</w:t>
      </w:r>
      <w:r w:rsidR="00CF66D8" w:rsidRPr="007B4760">
        <w:t xml:space="preserve"> than the yield curve assumed at the 2017-18 Budget. </w:t>
      </w:r>
      <w:r w:rsidRPr="007B4760">
        <w:fldChar w:fldCharType="begin"/>
      </w:r>
      <w:r w:rsidRPr="007B4760">
        <w:instrText xml:space="preserve"> :End:BPD_JR1 </w:instrText>
      </w:r>
      <w:r w:rsidRPr="007B4760">
        <w:fldChar w:fldCharType="end"/>
      </w:r>
      <w:r w:rsidRPr="007B4760">
        <w:fldChar w:fldCharType="begin"/>
      </w:r>
      <w:r w:rsidRPr="007B4760">
        <w:instrText xml:space="preserve"> :Start:BPD_JR2 </w:instrText>
      </w:r>
      <w:r w:rsidRPr="007B4760">
        <w:fldChar w:fldCharType="end"/>
      </w:r>
      <w:r w:rsidR="00CF66D8" w:rsidRPr="007B4760">
        <w:t>The Government’s interest payments and expense over the forward estimates mostly relate to the cost of servicing the stock of CGS on iss</w:t>
      </w:r>
      <w:r w:rsidR="001E2A3F" w:rsidRPr="007B4760">
        <w:t xml:space="preserve">ue. </w:t>
      </w:r>
      <w:r w:rsidR="00A66EAC" w:rsidRPr="007B4760">
        <w:t>Total i</w:t>
      </w:r>
      <w:r w:rsidR="001E2A3F" w:rsidRPr="007B4760">
        <w:t>nterest payments and expense</w:t>
      </w:r>
      <w:r w:rsidR="00A66EAC" w:rsidRPr="007B4760">
        <w:t xml:space="preserve"> on CGS</w:t>
      </w:r>
      <w:r w:rsidR="001E2A3F" w:rsidRPr="007B4760">
        <w:t xml:space="preserve"> </w:t>
      </w:r>
      <w:r w:rsidR="00A66EAC" w:rsidRPr="007B4760">
        <w:t xml:space="preserve">over the four years to 2020-21 </w:t>
      </w:r>
      <w:r w:rsidR="005242B9" w:rsidRPr="007B4760">
        <w:t>are expected to fall</w:t>
      </w:r>
      <w:r w:rsidR="00A66EAC" w:rsidRPr="007B4760">
        <w:t xml:space="preserve"> </w:t>
      </w:r>
      <w:r w:rsidR="001771D7" w:rsidRPr="007B4760">
        <w:t>compared with</w:t>
      </w:r>
      <w:r w:rsidR="001E2A3F" w:rsidRPr="007B4760">
        <w:t xml:space="preserve"> the Budget </w:t>
      </w:r>
      <w:r w:rsidR="00CF66D8" w:rsidRPr="007B4760">
        <w:t>a</w:t>
      </w:r>
      <w:r w:rsidR="005242B9" w:rsidRPr="007B4760">
        <w:t xml:space="preserve">s a </w:t>
      </w:r>
      <w:r w:rsidR="001771D7" w:rsidRPr="007B4760">
        <w:t>result of the decrease in projected</w:t>
      </w:r>
      <w:r w:rsidR="00A1693C" w:rsidRPr="007B4760">
        <w:t xml:space="preserve"> CGS on issue</w:t>
      </w:r>
      <w:r w:rsidR="00A66EAC" w:rsidRPr="007B4760">
        <w:t xml:space="preserve"> and fall in yields</w:t>
      </w:r>
      <w:r w:rsidR="00A1693C" w:rsidRPr="007B4760">
        <w:t>.</w:t>
      </w:r>
    </w:p>
    <w:p w:rsidR="00CF66D8" w:rsidRPr="007B4760" w:rsidRDefault="00CF66D8" w:rsidP="00A90CDC">
      <w:r w:rsidRPr="007B4760">
        <w:lastRenderedPageBreak/>
        <w:t>The Government’s total interest payments in 2017-18 are estimated to be $16.6 billion, of which $16.3 billion relates to CGS on issue (Table 3.</w:t>
      </w:r>
      <w:r w:rsidR="00D41DEB" w:rsidRPr="007B4760">
        <w:t>45</w:t>
      </w:r>
      <w:r w:rsidRPr="007B4760">
        <w:t>).</w:t>
      </w:r>
    </w:p>
    <w:p w:rsidR="00CF66D8" w:rsidRPr="007B4760" w:rsidRDefault="005242B9" w:rsidP="00CF66D8">
      <w:pPr>
        <w:pStyle w:val="TableHeading"/>
      </w:pPr>
      <w:r w:rsidRPr="007B4760">
        <w:t>Table 3.</w:t>
      </w:r>
      <w:r w:rsidR="00186A0F" w:rsidRPr="007B4760">
        <w:t>45</w:t>
      </w:r>
      <w:r w:rsidR="00CF66D8" w:rsidRPr="007B4760">
        <w:t xml:space="preserve">: Interest payments, interest receipts and net interest </w:t>
      </w:r>
      <w:proofErr w:type="gramStart"/>
      <w:r w:rsidR="00CF66D8" w:rsidRPr="007B4760">
        <w:t>payments</w:t>
      </w:r>
      <w:r w:rsidR="00CF66D8" w:rsidRPr="007B4760">
        <w:rPr>
          <w:vertAlign w:val="superscript"/>
        </w:rPr>
        <w:t>(</w:t>
      </w:r>
      <w:proofErr w:type="gramEnd"/>
      <w:r w:rsidR="00CF66D8" w:rsidRPr="007B4760">
        <w:rPr>
          <w:vertAlign w:val="superscript"/>
        </w:rPr>
        <w:t>a)</w:t>
      </w:r>
    </w:p>
    <w:p w:rsidR="00CF66D8" w:rsidRPr="007B4760" w:rsidRDefault="00A1693C" w:rsidP="00BE1F42">
      <w:pPr>
        <w:pStyle w:val="TableGraphic"/>
      </w:pPr>
      <w:r w:rsidRPr="007B4760">
        <w:object w:dxaOrig="7868" w:dyaOrig="2183">
          <v:shape id="_x0000_i1037" type="#_x0000_t75" style="width:385.8pt;height:118.85pt" o:ole="">
            <v:imagedata r:id="rId33" o:title=""/>
          </v:shape>
          <o:OLEObject Type="Link" ProgID="Excel.Sheet.12" ShapeID="_x0000_i1037" DrawAspect="Content" r:id="rId34" UpdateMode="Always">
            <o:LinkType>EnhancedMetaFile</o:LinkType>
            <o:LockedField/>
            <o:FieldCodes>\* MERGEFORMAT</o:FieldCodes>
          </o:OLEObject>
        </w:object>
      </w:r>
    </w:p>
    <w:p w:rsidR="00CF66D8" w:rsidRPr="007B4760" w:rsidRDefault="00CF66D8" w:rsidP="00F23266">
      <w:pPr>
        <w:pStyle w:val="ChartandTableFootnoteAlpha"/>
        <w:numPr>
          <w:ilvl w:val="0"/>
          <w:numId w:val="29"/>
        </w:numPr>
      </w:pPr>
      <w:r w:rsidRPr="007B4760">
        <w:t>Interest payments and interest receipts are a cash measure, with the relevant amount recognised in the period in which the interest payment is made or interest is received.</w:t>
      </w:r>
    </w:p>
    <w:p w:rsidR="00CF66D8" w:rsidRPr="007B4760" w:rsidRDefault="00CF66D8" w:rsidP="00F23266">
      <w:pPr>
        <w:pStyle w:val="ChartandTableFootnoteAlpha"/>
      </w:pPr>
      <w:r w:rsidRPr="007B4760">
        <w:t>Net interest payments are equal to the difference between interest payments and interest receipts.</w:t>
      </w:r>
    </w:p>
    <w:p w:rsidR="00F61CC0" w:rsidRPr="007B4760" w:rsidRDefault="00F61CC0" w:rsidP="00F61CC0">
      <w:pPr>
        <w:pStyle w:val="SingleParagraph"/>
        <w:rPr>
          <w:lang w:eastAsia="en-AU"/>
        </w:rPr>
      </w:pPr>
    </w:p>
    <w:p w:rsidR="00CF66D8" w:rsidRPr="007B4760" w:rsidRDefault="00CF66D8" w:rsidP="00F61CC0">
      <w:r w:rsidRPr="007B4760">
        <w:t xml:space="preserve">The Government’s total interest expense in </w:t>
      </w:r>
      <w:r w:rsidR="001A2233" w:rsidRPr="007B4760">
        <w:t>2017-18 is estimated to be $18</w:t>
      </w:r>
      <w:r w:rsidRPr="007B4760">
        <w:t xml:space="preserve"> billion, of which $16.9 billion relates to CGS on issue. Table 3.</w:t>
      </w:r>
      <w:r w:rsidR="00D41DEB" w:rsidRPr="007B4760">
        <w:t>46</w:t>
      </w:r>
      <w:r w:rsidRPr="007B4760">
        <w:t xml:space="preserve"> shows the Government’s estimated interest expense, interest expense on CGS, interest income and net interest expense over the forward estimates.</w:t>
      </w:r>
    </w:p>
    <w:p w:rsidR="007609A9" w:rsidRPr="007B4760" w:rsidRDefault="009554CD" w:rsidP="00CF66D8">
      <w:pPr>
        <w:pStyle w:val="TableHeading"/>
      </w:pPr>
      <w:r w:rsidRPr="007B4760">
        <w:t>Table 3.</w:t>
      </w:r>
      <w:r w:rsidR="00186A0F" w:rsidRPr="007B4760">
        <w:t>46</w:t>
      </w:r>
      <w:r w:rsidRPr="007B4760">
        <w:t xml:space="preserve">: </w:t>
      </w:r>
      <w:r w:rsidR="00CF66D8" w:rsidRPr="007B4760">
        <w:t xml:space="preserve">Interest expense, interest income and net interest </w:t>
      </w:r>
      <w:proofErr w:type="gramStart"/>
      <w:r w:rsidR="00CF66D8" w:rsidRPr="007B4760">
        <w:t>expense</w:t>
      </w:r>
      <w:r w:rsidR="007609A9" w:rsidRPr="007B4760">
        <w:rPr>
          <w:vertAlign w:val="superscript"/>
        </w:rPr>
        <w:t>(</w:t>
      </w:r>
      <w:proofErr w:type="gramEnd"/>
      <w:r w:rsidR="007609A9" w:rsidRPr="007B4760">
        <w:rPr>
          <w:vertAlign w:val="superscript"/>
        </w:rPr>
        <w:t>a)</w:t>
      </w:r>
    </w:p>
    <w:p w:rsidR="009F5DC7" w:rsidRPr="007B4760" w:rsidRDefault="00A1693C" w:rsidP="00BE1F42">
      <w:pPr>
        <w:pStyle w:val="TableGraphic"/>
        <w:rPr>
          <w:lang w:eastAsia="en-AU"/>
        </w:rPr>
      </w:pPr>
      <w:r w:rsidRPr="007B4760">
        <w:object w:dxaOrig="7868" w:dyaOrig="2183">
          <v:shape id="_x0000_i1038" type="#_x0000_t75" style="width:385.8pt;height:118.85pt" o:ole="">
            <v:imagedata r:id="rId35" o:title=""/>
          </v:shape>
          <o:OLEObject Type="Link" ProgID="Excel.Sheet.12" ShapeID="_x0000_i1038" DrawAspect="Content" r:id="rId36" UpdateMode="Always">
            <o:LinkType>EnhancedMetaFile</o:LinkType>
            <o:LockedField/>
            <o:FieldCodes>\* MERGEFORMAT</o:FieldCodes>
          </o:OLEObject>
        </w:object>
      </w:r>
    </w:p>
    <w:p w:rsidR="007609A9" w:rsidRPr="007B4760" w:rsidRDefault="00CF66D8" w:rsidP="00F23266">
      <w:pPr>
        <w:pStyle w:val="ChartandTableFootnoteAlpha"/>
        <w:numPr>
          <w:ilvl w:val="0"/>
          <w:numId w:val="30"/>
        </w:numPr>
      </w:pPr>
      <w:bookmarkStart w:id="14" w:name="_Toc387420554"/>
      <w:bookmarkStart w:id="15" w:name="_Toc387595707"/>
      <w:r w:rsidRPr="007B4760">
        <w:t>Interest expense is an accrual measure, with the relevant amount recognised in the period in which the expense is incurred, but not necessarily paid.</w:t>
      </w:r>
    </w:p>
    <w:p w:rsidR="00F61CC0" w:rsidRPr="007B4760" w:rsidRDefault="00F61CC0" w:rsidP="00F61CC0">
      <w:pPr>
        <w:pStyle w:val="SingleParagraph"/>
        <w:rPr>
          <w:lang w:eastAsia="en-AU"/>
        </w:rPr>
      </w:pPr>
    </w:p>
    <w:p w:rsidR="007609A9" w:rsidRPr="007B4760" w:rsidRDefault="00790D65" w:rsidP="00847166">
      <w:pPr>
        <w:pStyle w:val="Heading3"/>
      </w:pPr>
      <w:r w:rsidRPr="007B4760">
        <w:fldChar w:fldCharType="begin"/>
      </w:r>
      <w:r w:rsidRPr="007B4760">
        <w:instrText xml:space="preserve"> :End:BPD_JR2 </w:instrText>
      </w:r>
      <w:r w:rsidRPr="007B4760">
        <w:fldChar w:fldCharType="end"/>
      </w:r>
      <w:r w:rsidR="000301F0" w:rsidRPr="007B4760">
        <w:fldChar w:fldCharType="begin"/>
      </w:r>
      <w:r w:rsidR="000301F0" w:rsidRPr="007B4760">
        <w:instrText xml:space="preserve"> :Start:</w:instrText>
      </w:r>
      <w:r w:rsidR="00E37BDB" w:rsidRPr="007B4760">
        <w:instrText>NA_CS1</w:instrText>
      </w:r>
      <w:r w:rsidR="000301F0" w:rsidRPr="007B4760">
        <w:instrText xml:space="preserve"> </w:instrText>
      </w:r>
      <w:r w:rsidR="000301F0" w:rsidRPr="007B4760">
        <w:fldChar w:fldCharType="end"/>
      </w:r>
      <w:r w:rsidR="007609A9" w:rsidRPr="007B4760">
        <w:t>Climate spending</w:t>
      </w:r>
      <w:bookmarkEnd w:id="14"/>
      <w:bookmarkEnd w:id="15"/>
    </w:p>
    <w:p w:rsidR="007609A9" w:rsidRPr="007B4760" w:rsidRDefault="007609A9" w:rsidP="007609A9">
      <w:r w:rsidRPr="007B4760">
        <w:t>The Government’s climate spending is shown on a</w:t>
      </w:r>
      <w:r w:rsidR="00D827A1" w:rsidRPr="007B4760">
        <w:t xml:space="preserve">n aggregated basis in Table </w:t>
      </w:r>
      <w:r w:rsidR="00D41DEB" w:rsidRPr="007B4760">
        <w:t>3.47</w:t>
      </w:r>
      <w:r w:rsidRPr="007B4760">
        <w:t>.</w:t>
      </w:r>
    </w:p>
    <w:p w:rsidR="007609A9" w:rsidRPr="007B4760" w:rsidRDefault="00726B6B" w:rsidP="007609A9">
      <w:pPr>
        <w:pStyle w:val="TableHeading"/>
      </w:pPr>
      <w:r w:rsidRPr="007B4760">
        <w:t xml:space="preserve">Table </w:t>
      </w:r>
      <w:r w:rsidR="005242B9" w:rsidRPr="007B4760">
        <w:t>3.</w:t>
      </w:r>
      <w:r w:rsidR="00186A0F" w:rsidRPr="007B4760">
        <w:t>47</w:t>
      </w:r>
      <w:r w:rsidRPr="007B4760">
        <w:t>: Climate spending from 2017</w:t>
      </w:r>
      <w:r w:rsidRPr="007B4760">
        <w:noBreakHyphen/>
        <w:t>18 to 2020</w:t>
      </w:r>
      <w:r w:rsidRPr="007B4760">
        <w:noBreakHyphen/>
        <w:t>21</w:t>
      </w:r>
    </w:p>
    <w:p w:rsidR="0051103D" w:rsidRPr="007B4760" w:rsidRDefault="00A1693C" w:rsidP="00A1693C">
      <w:pPr>
        <w:pStyle w:val="ChartGraphic"/>
        <w:jc w:val="left"/>
      </w:pPr>
      <w:r w:rsidRPr="007B4760">
        <w:object w:dxaOrig="7868" w:dyaOrig="602">
          <v:shape id="_x0000_i1039" type="#_x0000_t75" style="width:383.75pt;height:32.6pt" o:ole="">
            <v:imagedata r:id="rId37" o:title=""/>
          </v:shape>
          <o:OLEObject Type="Link" ProgID="Excel.Sheet.12" ShapeID="_x0000_i1039" DrawAspect="Content" r:id="rId38" UpdateMode="Always">
            <o:LinkType>EnhancedMetaFile</o:LinkType>
            <o:LockedField/>
            <o:FieldCodes>\* MERGEFORMAT</o:FieldCodes>
          </o:OLEObject>
        </w:object>
      </w:r>
    </w:p>
    <w:p w:rsidR="007609A9" w:rsidRPr="007B4760" w:rsidRDefault="007609A9" w:rsidP="00F23266">
      <w:pPr>
        <w:pStyle w:val="ChartandTableFootnoteAlpha"/>
        <w:numPr>
          <w:ilvl w:val="0"/>
          <w:numId w:val="23"/>
        </w:numPr>
      </w:pPr>
      <w:r w:rsidRPr="007B4760">
        <w:t xml:space="preserve">Spending in this table is on a headline cash balance basis; that is, </w:t>
      </w:r>
      <w:r w:rsidR="0009330C" w:rsidRPr="007B4760">
        <w:t xml:space="preserve">it includes </w:t>
      </w:r>
      <w:r w:rsidRPr="007B4760">
        <w:t>payments and net cash flows from investments in financial assets for policy purposes, as well as estimated interest receipts associated with Clean Energy Finance Corporation investments.</w:t>
      </w:r>
    </w:p>
    <w:p w:rsidR="007609A9" w:rsidRPr="007B4760" w:rsidRDefault="007609A9" w:rsidP="00F23266">
      <w:pPr>
        <w:keepNext/>
        <w:keepLines/>
        <w:spacing w:before="240"/>
        <w:rPr>
          <w:rFonts w:eastAsia="Calibri"/>
        </w:rPr>
      </w:pPr>
      <w:r w:rsidRPr="007B4760">
        <w:rPr>
          <w:rFonts w:eastAsia="Calibri"/>
        </w:rPr>
        <w:lastRenderedPageBreak/>
        <w:t>The key components of climate spending are:</w:t>
      </w:r>
    </w:p>
    <w:p w:rsidR="007609A9" w:rsidRPr="007B4760" w:rsidRDefault="007609A9" w:rsidP="00F23266">
      <w:pPr>
        <w:pStyle w:val="Bullet"/>
        <w:keepNext/>
        <w:keepLines/>
        <w:rPr>
          <w:rFonts w:eastAsia="Calibri"/>
        </w:rPr>
      </w:pPr>
      <w:r w:rsidRPr="007B4760">
        <w:rPr>
          <w:rFonts w:eastAsia="Calibri"/>
        </w:rPr>
        <w:t>the Emissions Reduction Fund, which will provide incentives to support abatement</w:t>
      </w:r>
      <w:r w:rsidR="00A1693C" w:rsidRPr="007B4760">
        <w:rPr>
          <w:rFonts w:eastAsia="Calibri"/>
        </w:rPr>
        <w:t xml:space="preserve"> activities across the economy;</w:t>
      </w:r>
    </w:p>
    <w:p w:rsidR="007609A9" w:rsidRPr="007B4760" w:rsidRDefault="007609A9" w:rsidP="00F23266">
      <w:pPr>
        <w:pStyle w:val="Bullet"/>
        <w:keepNext/>
        <w:keepLines/>
        <w:rPr>
          <w:rFonts w:eastAsia="Calibri"/>
        </w:rPr>
      </w:pPr>
      <w:r w:rsidRPr="007B4760">
        <w:rPr>
          <w:rFonts w:eastAsia="Calibri"/>
        </w:rPr>
        <w:t xml:space="preserve">the Clean Energy Finance Corporation which invests in renewable energy, energy efficiency </w:t>
      </w:r>
      <w:r w:rsidR="005242B9" w:rsidRPr="007B4760">
        <w:rPr>
          <w:rFonts w:eastAsia="Calibri"/>
        </w:rPr>
        <w:t>and low emissions technologies; and</w:t>
      </w:r>
    </w:p>
    <w:p w:rsidR="004B383D" w:rsidRPr="007B4760" w:rsidRDefault="004B383D" w:rsidP="00F23266">
      <w:pPr>
        <w:pStyle w:val="Bullet"/>
        <w:keepNext/>
        <w:keepLines/>
        <w:rPr>
          <w:rFonts w:eastAsia="Calibri"/>
        </w:rPr>
      </w:pPr>
      <w:proofErr w:type="gramStart"/>
      <w:r w:rsidRPr="007B4760">
        <w:rPr>
          <w:rFonts w:eastAsia="Calibri"/>
        </w:rPr>
        <w:t>the</w:t>
      </w:r>
      <w:proofErr w:type="gramEnd"/>
      <w:r w:rsidRPr="007B4760">
        <w:rPr>
          <w:rFonts w:eastAsia="Calibri"/>
        </w:rPr>
        <w:t xml:space="preserve"> Australian Renewable Energy Agency, which </w:t>
      </w:r>
      <w:r w:rsidR="001E2A3F" w:rsidRPr="007B4760">
        <w:rPr>
          <w:rFonts w:eastAsia="Calibri"/>
        </w:rPr>
        <w:t>supports</w:t>
      </w:r>
      <w:r w:rsidRPr="007B4760">
        <w:rPr>
          <w:rFonts w:eastAsia="Calibri"/>
        </w:rPr>
        <w:t xml:space="preserve"> research and development of renewable energy and related technologies.</w:t>
      </w:r>
    </w:p>
    <w:p w:rsidR="004B383D" w:rsidRPr="007B4760" w:rsidRDefault="004B383D" w:rsidP="00A90CDC">
      <w:pPr>
        <w:rPr>
          <w:color w:val="FF0000"/>
        </w:rPr>
      </w:pPr>
      <w:r w:rsidRPr="007B4760">
        <w:rPr>
          <w:rFonts w:eastAsia="Calibri"/>
        </w:rPr>
        <w:t>The above figures incorporate the Government’s decision to make available</w:t>
      </w:r>
      <w:r w:rsidR="0009330C" w:rsidRPr="007B4760">
        <w:rPr>
          <w:rFonts w:eastAsia="Calibri"/>
        </w:rPr>
        <w:t>, if required,</w:t>
      </w:r>
      <w:r w:rsidR="005242B9" w:rsidRPr="007B4760">
        <w:rPr>
          <w:rFonts w:eastAsia="Calibri"/>
        </w:rPr>
        <w:t xml:space="preserve"> up to $110</w:t>
      </w:r>
      <w:r w:rsidRPr="007B4760">
        <w:rPr>
          <w:rFonts w:eastAsia="Calibri"/>
        </w:rPr>
        <w:t xml:space="preserve"> million for an equity investment</w:t>
      </w:r>
      <w:r w:rsidR="00BA50F2" w:rsidRPr="007B4760">
        <w:rPr>
          <w:rFonts w:eastAsia="Calibri"/>
        </w:rPr>
        <w:t xml:space="preserve"> </w:t>
      </w:r>
      <w:r w:rsidRPr="007B4760">
        <w:rPr>
          <w:rFonts w:eastAsia="Calibri"/>
        </w:rPr>
        <w:t>to accelerate and secure delivery of a thermal project in Port Augusta, South Australia.</w:t>
      </w:r>
      <w:r w:rsidR="00FE3133" w:rsidRPr="007B4760">
        <w:rPr>
          <w:color w:val="FF0000"/>
        </w:rPr>
        <w:fldChar w:fldCharType="begin"/>
      </w:r>
      <w:r w:rsidR="00FE3133" w:rsidRPr="007B4760">
        <w:rPr>
          <w:color w:val="FF0000"/>
        </w:rPr>
        <w:instrText xml:space="preserve"> :End:</w:instrText>
      </w:r>
      <w:r w:rsidR="00E37BDB" w:rsidRPr="007B4760">
        <w:rPr>
          <w:color w:val="FF0000"/>
        </w:rPr>
        <w:instrText>NA_CS1</w:instrText>
      </w:r>
      <w:r w:rsidR="00FE3133" w:rsidRPr="007B4760">
        <w:rPr>
          <w:color w:val="FF0000"/>
        </w:rPr>
        <w:instrText xml:space="preserve"> </w:instrText>
      </w:r>
      <w:r w:rsidR="00FE3133" w:rsidRPr="007B4760">
        <w:rPr>
          <w:color w:val="FF0000"/>
        </w:rPr>
        <w:fldChar w:fldCharType="end"/>
      </w:r>
      <w:r w:rsidR="00FE3133" w:rsidRPr="007B4760">
        <w:rPr>
          <w:color w:val="0000FF"/>
        </w:rPr>
        <w:fldChar w:fldCharType="begin"/>
      </w:r>
      <w:r w:rsidR="00FE3133" w:rsidRPr="007B4760">
        <w:rPr>
          <w:color w:val="0000FF"/>
        </w:rPr>
        <w:instrText xml:space="preserve"> :Start:BPD_JR2 </w:instrText>
      </w:r>
      <w:r w:rsidR="00FE3133" w:rsidRPr="007B4760">
        <w:rPr>
          <w:color w:val="0000FF"/>
        </w:rPr>
        <w:fldChar w:fldCharType="end"/>
      </w:r>
    </w:p>
    <w:p w:rsidR="007609A9" w:rsidRPr="007B4760" w:rsidRDefault="007609A9" w:rsidP="00A1693C">
      <w:pPr>
        <w:pStyle w:val="Heading4"/>
      </w:pPr>
      <w:r w:rsidRPr="007B4760">
        <w:t>Impact of climate spending on debt</w:t>
      </w:r>
    </w:p>
    <w:p w:rsidR="007609A9" w:rsidRPr="007B4760" w:rsidRDefault="007609A9" w:rsidP="00A90CDC">
      <w:r w:rsidRPr="007B4760">
        <w:t>Climate spending may be financed through either receipts or debt. This statement takes the approach of assuming that the proportion of climate spending being financed through new debt (as opposed to receipts) is equivalent to climate spending as a proportion of total spend</w:t>
      </w:r>
      <w:r w:rsidR="00D827A1" w:rsidRPr="007B4760">
        <w:t xml:space="preserve">ing. This is shown in Table </w:t>
      </w:r>
      <w:r w:rsidR="00D41DEB" w:rsidRPr="007B4760">
        <w:t>3.48</w:t>
      </w:r>
      <w:r w:rsidR="00A1693C" w:rsidRPr="007B4760">
        <w:t>.</w:t>
      </w:r>
    </w:p>
    <w:p w:rsidR="007609A9" w:rsidRPr="007B4760" w:rsidRDefault="00726B6B" w:rsidP="007609A9">
      <w:pPr>
        <w:pStyle w:val="TableHeading"/>
      </w:pPr>
      <w:r w:rsidRPr="007B4760">
        <w:t xml:space="preserve">Table </w:t>
      </w:r>
      <w:r w:rsidR="005242B9" w:rsidRPr="007B4760">
        <w:t>3.</w:t>
      </w:r>
      <w:r w:rsidR="00186A0F" w:rsidRPr="007B4760">
        <w:t>48</w:t>
      </w:r>
      <w:r w:rsidR="007609A9" w:rsidRPr="007B4760">
        <w:t>: Impact on debt — climate spending as</w:t>
      </w:r>
      <w:r w:rsidR="00A1693C" w:rsidRPr="007B4760">
        <w:t xml:space="preserve"> a proportion of total spending</w:t>
      </w:r>
    </w:p>
    <w:p w:rsidR="00642BBD" w:rsidRPr="007B4760" w:rsidRDefault="00BF1859" w:rsidP="00187C71">
      <w:pPr>
        <w:pStyle w:val="TableGraphic"/>
        <w:rPr>
          <w:rFonts w:ascii="Arial" w:hAnsi="Arial"/>
          <w:color w:val="000000"/>
          <w:sz w:val="16"/>
          <w:szCs w:val="20"/>
          <w:lang w:eastAsia="en-AU"/>
        </w:rPr>
      </w:pPr>
      <w:r w:rsidRPr="007B4760">
        <w:object w:dxaOrig="7868" w:dyaOrig="1750">
          <v:shape id="_x0000_i1040" type="#_x0000_t75" style="width:385.15pt;height:95.1pt" o:ole="">
            <v:imagedata r:id="rId39" o:title=""/>
          </v:shape>
          <o:OLEObject Type="Link" ProgID="Excel.Sheet.12" ShapeID="_x0000_i1040" DrawAspect="Content" r:id="rId40" UpdateMode="Always">
            <o:LinkType>EnhancedMetaFile</o:LinkType>
            <o:LockedField/>
          </o:OLEObject>
        </w:object>
      </w:r>
    </w:p>
    <w:p w:rsidR="007609A9" w:rsidRPr="007B4760" w:rsidRDefault="007609A9" w:rsidP="00F23266">
      <w:pPr>
        <w:pStyle w:val="ChartandTableFootnoteAlpha"/>
        <w:numPr>
          <w:ilvl w:val="0"/>
          <w:numId w:val="24"/>
        </w:numPr>
      </w:pPr>
      <w:r w:rsidRPr="007B4760">
        <w:t>The calculation of climate spending in this table is on a headline cash balance basis; that is,</w:t>
      </w:r>
      <w:r w:rsidR="00BA50F2" w:rsidRPr="007B4760">
        <w:t xml:space="preserve"> it includes</w:t>
      </w:r>
      <w:r w:rsidRPr="007B4760">
        <w:t xml:space="preserve"> payments and net cash flows from investments in financial assets for policy purposes, as well as estimated interest receipts associated with the Clean Energy Finance Corporation investments.</w:t>
      </w:r>
    </w:p>
    <w:p w:rsidR="007609A9" w:rsidRPr="007B4760" w:rsidRDefault="007609A9" w:rsidP="00F23266">
      <w:pPr>
        <w:pStyle w:val="ChartandTableFootnoteAlpha"/>
      </w:pPr>
      <w:r w:rsidRPr="007B4760">
        <w:t>The calculation of total spending in this table is on a headline cash balance basis; that is,</w:t>
      </w:r>
      <w:r w:rsidR="00BA50F2" w:rsidRPr="007B4760">
        <w:t xml:space="preserve"> it includes</w:t>
      </w:r>
      <w:r w:rsidRPr="007B4760">
        <w:t xml:space="preserve"> total payments and net cash flows from investments in financ</w:t>
      </w:r>
      <w:r w:rsidR="00A1693C" w:rsidRPr="007B4760">
        <w:t>ial assets for policy purposes.</w:t>
      </w:r>
    </w:p>
    <w:p w:rsidR="007609A9" w:rsidRPr="007B4760" w:rsidRDefault="007609A9" w:rsidP="00F23266">
      <w:pPr>
        <w:pStyle w:val="ChartandTableFootnoteAlpha"/>
      </w:pPr>
      <w:r w:rsidRPr="007B4760">
        <w:t>Calculations of the change in the face value of CGS are calculated using total CGS on issue.</w:t>
      </w:r>
      <w:r w:rsidR="00FE3133" w:rsidRPr="007B4760">
        <w:fldChar w:fldCharType="begin"/>
      </w:r>
      <w:r w:rsidR="00FE3133" w:rsidRPr="007B4760">
        <w:instrText xml:space="preserve"> :End:BPD_JR2 </w:instrText>
      </w:r>
      <w:r w:rsidR="00FE3133" w:rsidRPr="007B4760">
        <w:fldChar w:fldCharType="end"/>
      </w:r>
    </w:p>
    <w:sectPr w:rsidR="007609A9" w:rsidRPr="007B4760" w:rsidSect="00A57475">
      <w:headerReference w:type="even" r:id="rId41"/>
      <w:headerReference w:type="default" r:id="rId42"/>
      <w:footerReference w:type="even" r:id="rId43"/>
      <w:footerReference w:type="default" r:id="rId44"/>
      <w:headerReference w:type="first" r:id="rId45"/>
      <w:footerReference w:type="first" r:id="rId46"/>
      <w:type w:val="continuous"/>
      <w:pgSz w:w="11906" w:h="16838" w:code="9"/>
      <w:pgMar w:top="2466" w:right="2098" w:bottom="2466" w:left="2098" w:header="1899" w:footer="1899" w:gutter="0"/>
      <w:pgNumType w:start="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BE0" w:rsidRDefault="00196BE0" w:rsidP="00E40261">
      <w:pPr>
        <w:spacing w:after="0" w:line="240" w:lineRule="auto"/>
      </w:pPr>
      <w:r>
        <w:separator/>
      </w:r>
    </w:p>
  </w:endnote>
  <w:endnote w:type="continuationSeparator" w:id="0">
    <w:p w:rsidR="00196BE0" w:rsidRDefault="00196BE0"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1685E">
    <w:pPr>
      <w:pStyle w:val="Footer"/>
    </w:pPr>
    <w:r>
      <w:fldChar w:fldCharType="begin"/>
    </w:r>
    <w:r>
      <w:instrText xml:space="preserve"> PAGE  \* MERGEFORMAT </w:instrText>
    </w:r>
    <w:r>
      <w:fldChar w:fldCharType="separate"/>
    </w:r>
    <w:r w:rsidR="002B296E">
      <w:rPr>
        <w:noProof/>
      </w:rPr>
      <w:t>84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1685E">
    <w:pPr>
      <w:pStyle w:val="Footer"/>
    </w:pPr>
    <w:r>
      <w:fldChar w:fldCharType="begin"/>
    </w:r>
    <w:r>
      <w:instrText xml:space="preserve"> PAGE  \* MERGEFORMAT </w:instrText>
    </w:r>
    <w:r>
      <w:fldChar w:fldCharType="separate"/>
    </w:r>
    <w:r w:rsidR="002B296E">
      <w:rPr>
        <w:noProof/>
      </w:rPr>
      <w:t>95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168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BE0" w:rsidRDefault="00196BE0" w:rsidP="00E40261">
      <w:pPr>
        <w:spacing w:after="0" w:line="240" w:lineRule="auto"/>
      </w:pPr>
      <w:r>
        <w:separator/>
      </w:r>
    </w:p>
  </w:footnote>
  <w:footnote w:type="continuationSeparator" w:id="0">
    <w:p w:rsidR="00196BE0" w:rsidRDefault="00196BE0" w:rsidP="00E40261">
      <w:pPr>
        <w:spacing w:after="0" w:line="240" w:lineRule="auto"/>
      </w:pPr>
      <w:r>
        <w:continuationSeparator/>
      </w:r>
    </w:p>
  </w:footnote>
  <w:footnote w:id="1">
    <w:p w:rsidR="007609A9" w:rsidRPr="001A4D97" w:rsidRDefault="007609A9" w:rsidP="001A4D97">
      <w:pPr>
        <w:pStyle w:val="FootnoteText"/>
      </w:pPr>
      <w:r w:rsidRPr="001A4D97">
        <w:footnoteRef/>
      </w:r>
      <w:r w:rsidRPr="00744B48">
        <w:tab/>
        <w:t>For TIBs, the final repayment amount paid to investors includes an additional amount owing to inflation growth over the life of the security. This amount is not included in the calculation of face value.</w:t>
      </w:r>
    </w:p>
  </w:footnote>
  <w:footnote w:id="2">
    <w:p w:rsidR="007609A9" w:rsidRPr="001A4D97" w:rsidRDefault="007609A9" w:rsidP="001A4D97">
      <w:pPr>
        <w:pStyle w:val="FootnoteText"/>
      </w:pPr>
      <w:r w:rsidRPr="001A4D97">
        <w:rPr>
          <w:rStyle w:val="FootnoteReference"/>
          <w:vertAlign w:val="baseline"/>
        </w:rPr>
        <w:footnoteRef/>
      </w:r>
      <w:r w:rsidRPr="001A4D97">
        <w:t xml:space="preserve"> </w:t>
      </w:r>
      <w:r w:rsidRPr="00744B48">
        <w:tab/>
        <w:t>End-of-year values are estimates or projections of CGS on issue at 30 June for the particular year. The precise timing of within-year peaks of CGS on issue is not known. The timing of the within-year peak is therefore reported to the given month in the particular year.</w:t>
      </w:r>
    </w:p>
  </w:footnote>
  <w:footnote w:id="3">
    <w:p w:rsidR="007609A9" w:rsidRDefault="007609A9" w:rsidP="001A4D97">
      <w:pPr>
        <w:pStyle w:val="FootnoteText"/>
      </w:pPr>
      <w:r w:rsidRPr="001A4D97">
        <w:rPr>
          <w:rStyle w:val="FootnoteReference"/>
          <w:vertAlign w:val="baseline"/>
        </w:rPr>
        <w:footnoteRef/>
      </w:r>
      <w:r w:rsidRPr="001A4D97">
        <w:t xml:space="preserve"> </w:t>
      </w:r>
      <w:r w:rsidR="0035289E" w:rsidRPr="00744B48">
        <w:tab/>
        <w:t>On 9 May 2017</w:t>
      </w:r>
      <w:r w:rsidRPr="00744B48">
        <w:t>, the Treasurer directed that the maximum face value o</w:t>
      </w:r>
      <w:r w:rsidR="0035289E" w:rsidRPr="00744B48">
        <w:t>f CGS that can be on issue is $6</w:t>
      </w:r>
      <w:r w:rsidRPr="00744B48">
        <w:t>00 billion.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CB3A6E" w:rsidP="00752FF4">
    <w:pPr>
      <w:pStyle w:val="Header"/>
    </w:pPr>
    <w:fldSimple w:instr=" TITLE   \* MERGEFORMAT ">
      <w:r w:rsidR="001A2233">
        <w:t>Part 3: Fiscal strategy and outlook</w:t>
      </w:r>
    </w:fldSimple>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A6E" w:rsidRDefault="00CA52CC" w:rsidP="00CB3A6E">
    <w:pPr>
      <w:pStyle w:val="HeaderOdd"/>
    </w:pPr>
    <w:fldSimple w:instr=" TITLE   \* MERGEFORMAT ">
      <w:r w:rsidR="001A2233">
        <w:t>Part 3: Fiscal strategy and outlook</w:t>
      </w:r>
    </w:fldSimple>
  </w:p>
  <w:p w:rsidR="00D1685E" w:rsidRPr="00E40261" w:rsidRDefault="00D1685E" w:rsidP="00FC7371">
    <w:pPr>
      <w:pStyle w:val="HeaderOd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85E" w:rsidRDefault="00D168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D92E50E"/>
    <w:lvl w:ilvl="0">
      <w:start w:val="1"/>
      <w:numFmt w:val="bullet"/>
      <w:lvlText w:val=""/>
      <w:lvlJc w:val="left"/>
      <w:pPr>
        <w:tabs>
          <w:tab w:val="num" w:pos="643"/>
        </w:tabs>
        <w:ind w:left="643" w:hanging="360"/>
      </w:pPr>
      <w:rPr>
        <w:rFonts w:ascii="Book Antiqua" w:hAnsi="Book Antiqua" w:hint="default"/>
      </w:rPr>
    </w:lvl>
  </w:abstractNum>
  <w:abstractNum w:abstractNumId="1">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nsid w:val="1DEB0085"/>
    <w:multiLevelType w:val="singleLevel"/>
    <w:tmpl w:val="EF02D596"/>
    <w:lvl w:ilvl="0">
      <w:start w:val="1"/>
      <w:numFmt w:val="lowerLetter"/>
      <w:lvlRestart w:val="0"/>
      <w:lvlText w:val="(%1)"/>
      <w:lvlJc w:val="left"/>
      <w:pPr>
        <w:tabs>
          <w:tab w:val="num" w:pos="283"/>
        </w:tabs>
        <w:ind w:left="283" w:hanging="283"/>
      </w:pPr>
      <w:rPr>
        <w:rFonts w:ascii="Arial" w:hAnsi="Arial" w:cs="Arial"/>
        <w:b w:val="0"/>
        <w:i w:val="0"/>
        <w:sz w:val="16"/>
      </w:rPr>
    </w:lvl>
  </w:abstractNum>
  <w:abstractNum w:abstractNumId="4">
    <w:nsid w:val="27440C8B"/>
    <w:multiLevelType w:val="multilevel"/>
    <w:tmpl w:val="AF04C206"/>
    <w:lvl w:ilvl="0">
      <w:start w:val="1"/>
      <w:numFmt w:val="bullet"/>
      <w:lvlRestart w:val="0"/>
      <w:pStyle w:val="HeaderChar"/>
      <w:lvlText w:val="•"/>
      <w:lvlJc w:val="left"/>
      <w:pPr>
        <w:tabs>
          <w:tab w:val="num" w:pos="283"/>
        </w:tabs>
        <w:ind w:left="283" w:hanging="283"/>
      </w:pPr>
      <w:rPr>
        <w:rFonts w:ascii="Book Antiqua" w:hAnsi="Book Antiqua" w:hint="default"/>
        <w:b w:val="0"/>
        <w:i w:val="0"/>
        <w:position w:val="0"/>
        <w:sz w:val="18"/>
        <w:szCs w:val="18"/>
      </w:rPr>
    </w:lvl>
    <w:lvl w:ilvl="1">
      <w:start w:val="1"/>
      <w:numFmt w:val="bullet"/>
      <w:pStyle w:val="DLMSecurityFooter"/>
      <w:lvlText w:val="–"/>
      <w:lvlJc w:val="left"/>
      <w:pPr>
        <w:tabs>
          <w:tab w:val="num" w:pos="567"/>
        </w:tabs>
        <w:ind w:left="567" w:hanging="284"/>
      </w:pPr>
      <w:rPr>
        <w:rFonts w:ascii="Book Antiqua" w:hAnsi="Book Antiqua" w:cs="Times New Roman" w:hint="default"/>
        <w:b w:val="0"/>
        <w:i w:val="0"/>
        <w:position w:val="0"/>
        <w:sz w:val="18"/>
        <w:szCs w:val="18"/>
      </w:rPr>
    </w:lvl>
    <w:lvl w:ilvl="2">
      <w:start w:val="1"/>
      <w:numFmt w:val="bullet"/>
      <w:pStyle w:val="DLMSecurityFooterChar"/>
      <w:lvlText w:val=":"/>
      <w:lvlJc w:val="left"/>
      <w:pPr>
        <w:tabs>
          <w:tab w:val="num" w:pos="850"/>
        </w:tabs>
        <w:ind w:left="850" w:hanging="283"/>
      </w:pPr>
      <w:rPr>
        <w:rFonts w:ascii="Book Antiqua" w:hAnsi="Book Antiqua" w:cs="Times New Roman" w:hint="default"/>
        <w:b w:val="0"/>
        <w:i w:val="0"/>
        <w:position w:val="0"/>
        <w:sz w:val="18"/>
        <w:szCs w:val="18"/>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5">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6">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7">
    <w:nsid w:val="58661A3B"/>
    <w:multiLevelType w:val="singleLevel"/>
    <w:tmpl w:val="EF02D596"/>
    <w:lvl w:ilvl="0">
      <w:start w:val="1"/>
      <w:numFmt w:val="lowerLetter"/>
      <w:lvlRestart w:val="0"/>
      <w:lvlText w:val="(%1)"/>
      <w:lvlJc w:val="left"/>
      <w:pPr>
        <w:tabs>
          <w:tab w:val="num" w:pos="283"/>
        </w:tabs>
        <w:ind w:left="283" w:hanging="283"/>
      </w:pPr>
      <w:rPr>
        <w:rFonts w:ascii="Arial" w:hAnsi="Arial" w:cs="Arial"/>
        <w:b w:val="0"/>
        <w:i w:val="0"/>
        <w:sz w:val="16"/>
      </w:rPr>
    </w:lvl>
  </w:abstractNum>
  <w:abstractNum w:abstractNumId="8">
    <w:nsid w:val="66022277"/>
    <w:multiLevelType w:val="singleLevel"/>
    <w:tmpl w:val="EF02D596"/>
    <w:lvl w:ilvl="0">
      <w:start w:val="1"/>
      <w:numFmt w:val="lowerLetter"/>
      <w:lvlRestart w:val="0"/>
      <w:pStyle w:val="FooterChar"/>
      <w:lvlText w:val="(%1)"/>
      <w:lvlJc w:val="left"/>
      <w:pPr>
        <w:tabs>
          <w:tab w:val="num" w:pos="283"/>
        </w:tabs>
        <w:ind w:left="283" w:hanging="283"/>
      </w:pPr>
      <w:rPr>
        <w:rFonts w:ascii="Arial" w:hAnsi="Arial" w:cs="Arial"/>
        <w:b w:val="0"/>
        <w:i w:val="0"/>
        <w:sz w:val="16"/>
      </w:rPr>
    </w:lvl>
  </w:abstractNum>
  <w:abstractNum w:abstractNumId="9">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0">
    <w:nsid w:val="6FD20A93"/>
    <w:multiLevelType w:val="singleLevel"/>
    <w:tmpl w:val="3B6E6640"/>
    <w:name w:val="AlphaChartTableFootnoteSmallList"/>
    <w:lvl w:ilvl="0">
      <w:start w:val="1"/>
      <w:numFmt w:val="lowerLetter"/>
      <w:lvlRestart w:val="0"/>
      <w:pStyle w:val="ChartandTableFootnoteAlphaSmall"/>
      <w:lvlText w:val="(%1)"/>
      <w:lvlJc w:val="left"/>
      <w:pPr>
        <w:tabs>
          <w:tab w:val="num" w:pos="283"/>
        </w:tabs>
        <w:ind w:left="283" w:hanging="283"/>
      </w:pPr>
      <w:rPr>
        <w:rFonts w:ascii="Arial" w:hAnsi="Arial" w:cs="Arial"/>
        <w:b w:val="0"/>
        <w:i w:val="0"/>
        <w:sz w:val="15"/>
      </w:rPr>
    </w:lvl>
  </w:abstractNum>
  <w:num w:numId="1">
    <w:abstractNumId w:val="6"/>
  </w:num>
  <w:num w:numId="2">
    <w:abstractNumId w:val="2"/>
  </w:num>
  <w:num w:numId="3">
    <w:abstractNumId w:val="1"/>
  </w:num>
  <w:num w:numId="4">
    <w:abstractNumId w:val="5"/>
  </w:num>
  <w:num w:numId="5">
    <w:abstractNumId w:val="9"/>
  </w:num>
  <w:num w:numId="6">
    <w:abstractNumId w:val="1"/>
  </w:num>
  <w:num w:numId="7">
    <w:abstractNumId w:val="1"/>
  </w:num>
  <w:num w:numId="8">
    <w:abstractNumId w:val="8"/>
  </w:num>
  <w:num w:numId="9">
    <w:abstractNumId w:val="0"/>
  </w:num>
  <w:num w:numId="10">
    <w:abstractNumId w:val="10"/>
  </w:num>
  <w:num w:numId="11">
    <w:abstractNumId w:val="4"/>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7"/>
  </w:num>
  <w:num w:numId="21">
    <w:abstractNumId w:val="3"/>
  </w:num>
  <w:num w:numId="22">
    <w:abstractNumId w:val="5"/>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attachedTemplate r:id="rId1"/>
  <w:defaultTabStop w:val="720"/>
  <w:evenAndOddHeader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ecurityClassificationInHeader" w:val="False"/>
  </w:docVars>
  <w:rsids>
    <w:rsidRoot w:val="007609A9"/>
    <w:rsid w:val="00002B9A"/>
    <w:rsid w:val="00005930"/>
    <w:rsid w:val="00013EA8"/>
    <w:rsid w:val="000301F0"/>
    <w:rsid w:val="000325B5"/>
    <w:rsid w:val="00035D8D"/>
    <w:rsid w:val="000369C6"/>
    <w:rsid w:val="00045DAF"/>
    <w:rsid w:val="00047425"/>
    <w:rsid w:val="000519CB"/>
    <w:rsid w:val="00055676"/>
    <w:rsid w:val="000676B6"/>
    <w:rsid w:val="00071568"/>
    <w:rsid w:val="00072428"/>
    <w:rsid w:val="00081E50"/>
    <w:rsid w:val="000931F7"/>
    <w:rsid w:val="0009330C"/>
    <w:rsid w:val="000C6A9E"/>
    <w:rsid w:val="000C7EF1"/>
    <w:rsid w:val="000E105B"/>
    <w:rsid w:val="000E5159"/>
    <w:rsid w:val="000F1342"/>
    <w:rsid w:val="000F1F95"/>
    <w:rsid w:val="000F5B86"/>
    <w:rsid w:val="00110E13"/>
    <w:rsid w:val="00117053"/>
    <w:rsid w:val="00137B44"/>
    <w:rsid w:val="00147EEE"/>
    <w:rsid w:val="001543EA"/>
    <w:rsid w:val="0015510A"/>
    <w:rsid w:val="0016189E"/>
    <w:rsid w:val="0016257F"/>
    <w:rsid w:val="001675B5"/>
    <w:rsid w:val="00170AD9"/>
    <w:rsid w:val="00172CFE"/>
    <w:rsid w:val="001771D7"/>
    <w:rsid w:val="001800FA"/>
    <w:rsid w:val="00186A0F"/>
    <w:rsid w:val="00187C71"/>
    <w:rsid w:val="0019115B"/>
    <w:rsid w:val="00196BE0"/>
    <w:rsid w:val="001970E6"/>
    <w:rsid w:val="001A2233"/>
    <w:rsid w:val="001A2F79"/>
    <w:rsid w:val="001A4D97"/>
    <w:rsid w:val="001B219B"/>
    <w:rsid w:val="001C18C4"/>
    <w:rsid w:val="001C29BA"/>
    <w:rsid w:val="001D4AE0"/>
    <w:rsid w:val="001D6043"/>
    <w:rsid w:val="001D65F3"/>
    <w:rsid w:val="001D79A5"/>
    <w:rsid w:val="001E2842"/>
    <w:rsid w:val="001E2A3F"/>
    <w:rsid w:val="001F376B"/>
    <w:rsid w:val="001F7CA7"/>
    <w:rsid w:val="00203561"/>
    <w:rsid w:val="00214A48"/>
    <w:rsid w:val="00216CEA"/>
    <w:rsid w:val="00234566"/>
    <w:rsid w:val="00237F04"/>
    <w:rsid w:val="00242F75"/>
    <w:rsid w:val="00246852"/>
    <w:rsid w:val="002578E4"/>
    <w:rsid w:val="00267200"/>
    <w:rsid w:val="002744E7"/>
    <w:rsid w:val="002801B8"/>
    <w:rsid w:val="00281716"/>
    <w:rsid w:val="00283C32"/>
    <w:rsid w:val="002969D2"/>
    <w:rsid w:val="002B2193"/>
    <w:rsid w:val="002B296E"/>
    <w:rsid w:val="002B6106"/>
    <w:rsid w:val="002C2A76"/>
    <w:rsid w:val="002D36A0"/>
    <w:rsid w:val="002D7B2B"/>
    <w:rsid w:val="002E638A"/>
    <w:rsid w:val="0030139A"/>
    <w:rsid w:val="003421CD"/>
    <w:rsid w:val="003451F5"/>
    <w:rsid w:val="00345FF9"/>
    <w:rsid w:val="003506C0"/>
    <w:rsid w:val="00351B49"/>
    <w:rsid w:val="0035289E"/>
    <w:rsid w:val="003619FE"/>
    <w:rsid w:val="00361F4A"/>
    <w:rsid w:val="0038134B"/>
    <w:rsid w:val="00382E3D"/>
    <w:rsid w:val="00395AB7"/>
    <w:rsid w:val="003A3AC2"/>
    <w:rsid w:val="003C2A1B"/>
    <w:rsid w:val="003C6335"/>
    <w:rsid w:val="003E0357"/>
    <w:rsid w:val="00402C0D"/>
    <w:rsid w:val="004471D4"/>
    <w:rsid w:val="004843DE"/>
    <w:rsid w:val="0048563A"/>
    <w:rsid w:val="004B383D"/>
    <w:rsid w:val="004C118F"/>
    <w:rsid w:val="004C3940"/>
    <w:rsid w:val="004D6C28"/>
    <w:rsid w:val="004E03D0"/>
    <w:rsid w:val="004E46CC"/>
    <w:rsid w:val="004F3FD9"/>
    <w:rsid w:val="004F60DD"/>
    <w:rsid w:val="00503A5A"/>
    <w:rsid w:val="0051103D"/>
    <w:rsid w:val="005242B9"/>
    <w:rsid w:val="00577A57"/>
    <w:rsid w:val="0058597A"/>
    <w:rsid w:val="00587BE3"/>
    <w:rsid w:val="0059686A"/>
    <w:rsid w:val="005A43A4"/>
    <w:rsid w:val="005B10F1"/>
    <w:rsid w:val="005B2F02"/>
    <w:rsid w:val="005B3010"/>
    <w:rsid w:val="005D23CB"/>
    <w:rsid w:val="0060305C"/>
    <w:rsid w:val="00610550"/>
    <w:rsid w:val="00621DDE"/>
    <w:rsid w:val="00621EF6"/>
    <w:rsid w:val="00622CDB"/>
    <w:rsid w:val="00642BBD"/>
    <w:rsid w:val="0065590B"/>
    <w:rsid w:val="00657C06"/>
    <w:rsid w:val="00660A9F"/>
    <w:rsid w:val="00664F1B"/>
    <w:rsid w:val="00677EBB"/>
    <w:rsid w:val="00682D05"/>
    <w:rsid w:val="006C2EB2"/>
    <w:rsid w:val="006C5B79"/>
    <w:rsid w:val="006D795D"/>
    <w:rsid w:val="00715941"/>
    <w:rsid w:val="00722EA3"/>
    <w:rsid w:val="00723879"/>
    <w:rsid w:val="0072449F"/>
    <w:rsid w:val="00726B6B"/>
    <w:rsid w:val="00744B48"/>
    <w:rsid w:val="00745174"/>
    <w:rsid w:val="00752FF4"/>
    <w:rsid w:val="00753B80"/>
    <w:rsid w:val="007609A9"/>
    <w:rsid w:val="0077597D"/>
    <w:rsid w:val="00790D65"/>
    <w:rsid w:val="00792354"/>
    <w:rsid w:val="007B4760"/>
    <w:rsid w:val="007D2611"/>
    <w:rsid w:val="007E448D"/>
    <w:rsid w:val="007F2AF2"/>
    <w:rsid w:val="008211D3"/>
    <w:rsid w:val="00824E07"/>
    <w:rsid w:val="00843838"/>
    <w:rsid w:val="00847166"/>
    <w:rsid w:val="00864DE2"/>
    <w:rsid w:val="00885620"/>
    <w:rsid w:val="0088662F"/>
    <w:rsid w:val="008D43DE"/>
    <w:rsid w:val="008D71E5"/>
    <w:rsid w:val="008E7225"/>
    <w:rsid w:val="008F5C35"/>
    <w:rsid w:val="00904AAF"/>
    <w:rsid w:val="0091693A"/>
    <w:rsid w:val="0093363A"/>
    <w:rsid w:val="009419BA"/>
    <w:rsid w:val="00943C8B"/>
    <w:rsid w:val="009554CD"/>
    <w:rsid w:val="009737B1"/>
    <w:rsid w:val="009804F5"/>
    <w:rsid w:val="0099395F"/>
    <w:rsid w:val="00994F7E"/>
    <w:rsid w:val="009C4905"/>
    <w:rsid w:val="009D7662"/>
    <w:rsid w:val="009E57B4"/>
    <w:rsid w:val="009E766A"/>
    <w:rsid w:val="009F5DC7"/>
    <w:rsid w:val="00A100E9"/>
    <w:rsid w:val="00A125AA"/>
    <w:rsid w:val="00A1693C"/>
    <w:rsid w:val="00A24F8B"/>
    <w:rsid w:val="00A3430C"/>
    <w:rsid w:val="00A36880"/>
    <w:rsid w:val="00A420F2"/>
    <w:rsid w:val="00A57475"/>
    <w:rsid w:val="00A66EAC"/>
    <w:rsid w:val="00A7084E"/>
    <w:rsid w:val="00A72E50"/>
    <w:rsid w:val="00A765BD"/>
    <w:rsid w:val="00A90CDC"/>
    <w:rsid w:val="00AA03D3"/>
    <w:rsid w:val="00AC5963"/>
    <w:rsid w:val="00AE4928"/>
    <w:rsid w:val="00B30BCB"/>
    <w:rsid w:val="00B475D1"/>
    <w:rsid w:val="00B5245C"/>
    <w:rsid w:val="00B73111"/>
    <w:rsid w:val="00B91AED"/>
    <w:rsid w:val="00BA50F2"/>
    <w:rsid w:val="00BB207D"/>
    <w:rsid w:val="00BB32E4"/>
    <w:rsid w:val="00BD110D"/>
    <w:rsid w:val="00BE1F42"/>
    <w:rsid w:val="00BF1859"/>
    <w:rsid w:val="00C0458D"/>
    <w:rsid w:val="00C12A67"/>
    <w:rsid w:val="00C31B79"/>
    <w:rsid w:val="00C4293F"/>
    <w:rsid w:val="00C64CC1"/>
    <w:rsid w:val="00CA52CC"/>
    <w:rsid w:val="00CA68AD"/>
    <w:rsid w:val="00CB3A6E"/>
    <w:rsid w:val="00CB44E0"/>
    <w:rsid w:val="00CD09A8"/>
    <w:rsid w:val="00CD18E8"/>
    <w:rsid w:val="00CD46EA"/>
    <w:rsid w:val="00CE20D4"/>
    <w:rsid w:val="00CE3BAE"/>
    <w:rsid w:val="00CF66D8"/>
    <w:rsid w:val="00D1385A"/>
    <w:rsid w:val="00D1685E"/>
    <w:rsid w:val="00D2223F"/>
    <w:rsid w:val="00D26B5A"/>
    <w:rsid w:val="00D36D04"/>
    <w:rsid w:val="00D41DEB"/>
    <w:rsid w:val="00D47ABA"/>
    <w:rsid w:val="00D60031"/>
    <w:rsid w:val="00D827A1"/>
    <w:rsid w:val="00D82B0F"/>
    <w:rsid w:val="00D950C7"/>
    <w:rsid w:val="00DA42A3"/>
    <w:rsid w:val="00DA58C6"/>
    <w:rsid w:val="00DD0C06"/>
    <w:rsid w:val="00DD2BF8"/>
    <w:rsid w:val="00DF0877"/>
    <w:rsid w:val="00DF7F27"/>
    <w:rsid w:val="00E2371B"/>
    <w:rsid w:val="00E37BDB"/>
    <w:rsid w:val="00E40261"/>
    <w:rsid w:val="00E55BBC"/>
    <w:rsid w:val="00E66821"/>
    <w:rsid w:val="00E77F2D"/>
    <w:rsid w:val="00E80210"/>
    <w:rsid w:val="00E802C3"/>
    <w:rsid w:val="00EB1846"/>
    <w:rsid w:val="00EF4C8A"/>
    <w:rsid w:val="00F0388C"/>
    <w:rsid w:val="00F16181"/>
    <w:rsid w:val="00F170FC"/>
    <w:rsid w:val="00F23266"/>
    <w:rsid w:val="00F34991"/>
    <w:rsid w:val="00F47D7C"/>
    <w:rsid w:val="00F61CC0"/>
    <w:rsid w:val="00F63F9D"/>
    <w:rsid w:val="00F84F40"/>
    <w:rsid w:val="00F8665D"/>
    <w:rsid w:val="00FB0B7E"/>
    <w:rsid w:val="00FB6D71"/>
    <w:rsid w:val="00FB7D9F"/>
    <w:rsid w:val="00FC7371"/>
    <w:rsid w:val="00FD316B"/>
    <w:rsid w:val="00FE3133"/>
    <w:rsid w:val="00FF1F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9A9"/>
    <w:pPr>
      <w:spacing w:after="240" w:line="260" w:lineRule="exact"/>
      <w:jc w:val="both"/>
    </w:pPr>
    <w:rPr>
      <w:rFonts w:ascii="Book Antiqua" w:eastAsia="Times New Roman" w:hAnsi="Book Antiqua"/>
      <w:szCs w:val="24"/>
      <w:lang w:eastAsia="en-US"/>
    </w:rPr>
  </w:style>
  <w:style w:type="paragraph" w:styleId="Heading1">
    <w:name w:val="heading 1"/>
    <w:basedOn w:val="Attachmentheading"/>
    <w:next w:val="Normal"/>
    <w:link w:val="Heading1Char"/>
    <w:qFormat/>
    <w:rsid w:val="00994F7E"/>
    <w:pPr>
      <w:outlineLvl w:val="0"/>
    </w:p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link w:val="BulletChar"/>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link w:val="HeaderOddChar"/>
    <w:rsid w:val="00BB207D"/>
    <w:pPr>
      <w:jc w:val="right"/>
    </w:pPr>
  </w:style>
  <w:style w:type="character" w:customStyle="1" w:styleId="Heading1Char">
    <w:name w:val="Heading 1 Char"/>
    <w:link w:val="Heading1"/>
    <w:rsid w:val="00994F7E"/>
    <w:rPr>
      <w:rFonts w:ascii="Arial Bold" w:eastAsia="Times New Roman" w:hAnsi="Arial Bold"/>
      <w:b/>
      <w:sz w:val="22"/>
      <w:szCs w:val="24"/>
      <w:lang w:eastAsia="en-US"/>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ChartandTableFootnoteAlphaSmall">
    <w:name w:val="Chart and Table Footnote Alpha Small"/>
    <w:basedOn w:val="ChartandTableFootnoteAlpha"/>
    <w:rsid w:val="007609A9"/>
    <w:pPr>
      <w:numPr>
        <w:numId w:val="10"/>
      </w:numPr>
    </w:pPr>
    <w:rPr>
      <w:rFonts w:cs="Arial"/>
      <w:sz w:val="15"/>
      <w:szCs w:val="24"/>
      <w:lang w:eastAsia="en-US"/>
    </w:rPr>
  </w:style>
  <w:style w:type="paragraph" w:customStyle="1" w:styleId="Attachmentheading">
    <w:name w:val="Attachment heading"/>
    <w:basedOn w:val="Normal"/>
    <w:next w:val="Normal"/>
    <w:rsid w:val="007609A9"/>
    <w:pPr>
      <w:spacing w:line="240" w:lineRule="auto"/>
      <w:jc w:val="right"/>
    </w:pPr>
    <w:rPr>
      <w:rFonts w:ascii="Arial Bold" w:hAnsi="Arial Bold"/>
      <w:b/>
      <w:sz w:val="22"/>
    </w:rPr>
  </w:style>
  <w:style w:type="character" w:customStyle="1" w:styleId="BulletChar">
    <w:name w:val="Bullet Char"/>
    <w:link w:val="Bullet"/>
    <w:rsid w:val="007609A9"/>
    <w:rPr>
      <w:rFonts w:ascii="Book Antiqua" w:eastAsia="Times New Roman" w:hAnsi="Book Antiqua" w:cs="Times New Roman"/>
      <w:sz w:val="20"/>
      <w:szCs w:val="20"/>
      <w:lang w:eastAsia="en-AU"/>
    </w:rPr>
  </w:style>
  <w:style w:type="character" w:styleId="Strong">
    <w:name w:val="Strong"/>
    <w:qFormat/>
    <w:rsid w:val="007609A9"/>
    <w:rPr>
      <w:b/>
      <w:bCs/>
    </w:rPr>
  </w:style>
  <w:style w:type="character" w:customStyle="1" w:styleId="HeaderOddChar">
    <w:name w:val="Header Odd Char"/>
    <w:link w:val="HeaderOdd"/>
    <w:rsid w:val="00CB3A6E"/>
    <w:rPr>
      <w:rFonts w:ascii="Book Antiqua" w:eastAsia="Times New Roman" w:hAnsi="Book Antiqua"/>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2"/>
    <w:lsdException w:name="toc 2" w:uiPriority="2"/>
    <w:lsdException w:name="toc 3" w:uiPriority="2"/>
    <w:lsdException w:name="toc 4" w:uiPriority="2"/>
    <w:lsdException w:name="toc 5" w:uiPriority="2"/>
    <w:lsdException w:name="toc 6" w:uiPriority="2"/>
    <w:lsdException w:name="toc 7" w:uiPriority="2"/>
    <w:lsdException w:name="toc 8" w:uiPriority="2"/>
    <w:lsdException w:name="toc 9" w:uiPriority="2"/>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9A9"/>
    <w:pPr>
      <w:spacing w:after="240" w:line="260" w:lineRule="exact"/>
      <w:jc w:val="both"/>
    </w:pPr>
    <w:rPr>
      <w:rFonts w:ascii="Book Antiqua" w:eastAsia="Times New Roman" w:hAnsi="Book Antiqua"/>
      <w:szCs w:val="24"/>
      <w:lang w:eastAsia="en-US"/>
    </w:rPr>
  </w:style>
  <w:style w:type="paragraph" w:styleId="Heading1">
    <w:name w:val="heading 1"/>
    <w:basedOn w:val="Attachmentheading"/>
    <w:next w:val="Normal"/>
    <w:link w:val="Heading1Char"/>
    <w:qFormat/>
    <w:rsid w:val="00994F7E"/>
    <w:pPr>
      <w:outlineLvl w:val="0"/>
    </w:pPr>
  </w:style>
  <w:style w:type="paragraph" w:styleId="Heading2">
    <w:name w:val="heading 2"/>
    <w:basedOn w:val="HeadingBase"/>
    <w:next w:val="Normal"/>
    <w:link w:val="Heading2Char"/>
    <w:qFormat/>
    <w:rsid w:val="00BB207D"/>
    <w:pPr>
      <w:spacing w:before="240" w:after="240"/>
      <w:outlineLvl w:val="1"/>
    </w:pPr>
    <w:rPr>
      <w:rFonts w:ascii="Arial Bold" w:hAnsi="Arial Bold"/>
      <w:b/>
      <w:smallCaps/>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BB207D"/>
    <w:pPr>
      <w:spacing w:after="120"/>
      <w:outlineLvl w:val="4"/>
    </w:pPr>
    <w:rPr>
      <w:b/>
      <w:bCs/>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line="259" w:lineRule="auto"/>
      <w:jc w:val="center"/>
    </w:pPr>
    <w:rPr>
      <w:rFonts w:cs="Calibri"/>
      <w:b/>
      <w:caps/>
      <w:sz w:val="24"/>
      <w:szCs w:val="22"/>
      <w:lang w:eastAsia="en-US"/>
    </w:rPr>
  </w:style>
  <w:style w:type="character" w:customStyle="1" w:styleId="SecurityClassificationHeaderChar">
    <w:name w:val="Security Classification Header 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line="259" w:lineRule="auto"/>
      <w:jc w:val="center"/>
    </w:pPr>
    <w:rPr>
      <w:rFonts w:cs="Calibri"/>
      <w:b/>
      <w:caps/>
      <w:sz w:val="24"/>
      <w:szCs w:val="22"/>
      <w:lang w:eastAsia="en-US"/>
    </w:rPr>
  </w:style>
  <w:style w:type="character" w:customStyle="1" w:styleId="SecurityClassificationFooterChar">
    <w:name w:val="Security Classification Footer 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line="259" w:lineRule="auto"/>
      <w:jc w:val="center"/>
    </w:pPr>
    <w:rPr>
      <w:rFonts w:cs="Calibri"/>
      <w:b/>
      <w:caps/>
      <w:sz w:val="24"/>
      <w:szCs w:val="22"/>
      <w:lang w:eastAsia="en-US"/>
    </w:rPr>
  </w:style>
  <w:style w:type="character" w:customStyle="1" w:styleId="DLMSecurityHeaderChar">
    <w:name w:val="DLM Security Header 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line="259" w:lineRule="auto"/>
      <w:jc w:val="center"/>
    </w:pPr>
    <w:rPr>
      <w:rFonts w:cs="Calibri"/>
      <w:b/>
      <w:caps/>
      <w:sz w:val="24"/>
      <w:szCs w:val="22"/>
      <w:lang w:eastAsia="en-US"/>
    </w:rPr>
  </w:style>
  <w:style w:type="character" w:customStyle="1" w:styleId="DLMSecurityFooterChar">
    <w:name w:val="DLM Security Footer 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BB207D"/>
    <w:pPr>
      <w:jc w:val="center"/>
    </w:pPr>
    <w:rPr>
      <w:b/>
      <w:smallCaps/>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pPr>
    <w:rPr>
      <w:rFonts w:ascii="Arial" w:eastAsia="Times New Roman" w:hAnsi="Arial"/>
      <w:sz w:val="24"/>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link w:val="BulletChar"/>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BB207D"/>
    <w:pPr>
      <w:keepNext w:val="0"/>
      <w:tabs>
        <w:tab w:val="left" w:pos="284"/>
      </w:tabs>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BB207D"/>
    <w:pPr>
      <w:spacing w:after="720"/>
      <w:jc w:val="center"/>
    </w:pPr>
    <w:rPr>
      <w:b/>
      <w:smallCaps/>
      <w:sz w:val="34"/>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jc w:val="center"/>
    </w:pPr>
    <w:rPr>
      <w:rFonts w:ascii="Arial" w:eastAsia="Times New Roman" w:hAnsi="Arial"/>
    </w:rPr>
  </w:style>
  <w:style w:type="paragraph" w:customStyle="1" w:styleId="FooterEven">
    <w:name w:val="Footer Even"/>
    <w:basedOn w:val="Footer"/>
    <w:rsid w:val="00BB207D"/>
    <w:pPr>
      <w:jc w:val="left"/>
    </w:pPr>
    <w:rPr>
      <w:sz w:val="18"/>
    </w:rPr>
  </w:style>
  <w:style w:type="paragraph" w:customStyle="1" w:styleId="FooterOdd">
    <w:name w:val="Footer Odd"/>
    <w:basedOn w:val="Footer"/>
    <w:rsid w:val="00BB207D"/>
    <w:pPr>
      <w:jc w:val="right"/>
    </w:pPr>
    <w:rPr>
      <w:sz w:val="18"/>
    </w:rPr>
  </w:style>
  <w:style w:type="character" w:styleId="FootnoteReference">
    <w:name w:val="footnote reference"/>
    <w:rsid w:val="00BB207D"/>
    <w:rPr>
      <w:vertAlign w:val="superscript"/>
    </w:rPr>
  </w:style>
  <w:style w:type="paragraph" w:styleId="FootnoteText">
    <w:name w:val="footnote text"/>
    <w:basedOn w:val="Normal"/>
    <w:link w:val="FootnoteTextChar"/>
    <w:rsid w:val="00BB207D"/>
    <w:pPr>
      <w:tabs>
        <w:tab w:val="left" w:pos="284"/>
      </w:tabs>
      <w:spacing w:after="0" w:line="240" w:lineRule="auto"/>
      <w:ind w:left="284" w:hanging="284"/>
    </w:pPr>
    <w:rPr>
      <w:sz w:val="18"/>
    </w:rPr>
  </w:style>
  <w:style w:type="character" w:customStyle="1" w:styleId="FootnoteTextChar">
    <w:name w:val="Footnote Text Char"/>
    <w:link w:val="FootnoteText"/>
    <w:rsid w:val="00BB207D"/>
    <w:rPr>
      <w:rFonts w:ascii="Book Antiqua" w:eastAsia="Times New Roman" w:hAnsi="Book Antiqua" w:cs="Times New Roman"/>
      <w:sz w:val="18"/>
      <w:szCs w:val="20"/>
      <w:lang w:eastAsia="en-AU"/>
    </w:rPr>
  </w:style>
  <w:style w:type="character" w:customStyle="1" w:styleId="FramedHeader">
    <w:name w:val="Framed Header"/>
    <w:rsid w:val="00BB207D"/>
    <w:rPr>
      <w:rFonts w:ascii="Book Antiqua" w:hAnsi="Book Antiqua"/>
      <w:i/>
      <w:dstrike w:val="0"/>
      <w:color w:val="auto"/>
      <w:sz w:val="20"/>
      <w:vertAlign w:val="baseline"/>
    </w:rPr>
  </w:style>
  <w:style w:type="paragraph" w:customStyle="1" w:styleId="HeaderBase">
    <w:name w:val="Header Base"/>
    <w:rsid w:val="00DA42A3"/>
    <w:rPr>
      <w:rFonts w:ascii="Book Antiqua" w:eastAsia="Times New Roman" w:hAnsi="Book Antiqua"/>
      <w:i/>
    </w:rPr>
  </w:style>
  <w:style w:type="paragraph" w:customStyle="1" w:styleId="HeaderEven">
    <w:name w:val="Header Even"/>
    <w:basedOn w:val="HeaderBase"/>
    <w:rsid w:val="00BB207D"/>
  </w:style>
  <w:style w:type="paragraph" w:customStyle="1" w:styleId="HeaderOdd">
    <w:name w:val="Header Odd"/>
    <w:basedOn w:val="HeaderBase"/>
    <w:link w:val="HeaderOddChar"/>
    <w:rsid w:val="00BB207D"/>
    <w:pPr>
      <w:jc w:val="right"/>
    </w:pPr>
  </w:style>
  <w:style w:type="character" w:customStyle="1" w:styleId="Heading1Char">
    <w:name w:val="Heading 1 Char"/>
    <w:link w:val="Heading1"/>
    <w:rsid w:val="00994F7E"/>
    <w:rPr>
      <w:rFonts w:ascii="Arial Bold" w:eastAsia="Times New Roman" w:hAnsi="Arial Bold"/>
      <w:b/>
      <w:sz w:val="22"/>
      <w:szCs w:val="24"/>
      <w:lang w:eastAsia="en-US"/>
    </w:rPr>
  </w:style>
  <w:style w:type="character" w:customStyle="1" w:styleId="Heading2Char">
    <w:name w:val="Heading 2 Char"/>
    <w:link w:val="Heading2"/>
    <w:rsid w:val="00BB207D"/>
    <w:rPr>
      <w:rFonts w:ascii="Arial Bold" w:eastAsia="Times New Roman" w:hAnsi="Arial Bold" w:cs="Times New Roman"/>
      <w:b/>
      <w:smallCaps/>
      <w:sz w:val="26"/>
      <w:szCs w:val="20"/>
      <w:lang w:eastAsia="en-AU"/>
    </w:rPr>
  </w:style>
  <w:style w:type="character" w:customStyle="1" w:styleId="Heading3Char">
    <w:name w:val="Heading 3 Char"/>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link w:val="Heading4"/>
    <w:rsid w:val="00BB207D"/>
    <w:rPr>
      <w:rFonts w:ascii="Arial Bold" w:eastAsia="Times New Roman" w:hAnsi="Arial Bold" w:cs="Times New Roman"/>
      <w:b/>
      <w:sz w:val="20"/>
      <w:szCs w:val="20"/>
      <w:lang w:eastAsia="en-AU"/>
    </w:rPr>
  </w:style>
  <w:style w:type="character" w:customStyle="1" w:styleId="Heading5Char">
    <w:name w:val="Heading 5 Char"/>
    <w:link w:val="Heading5"/>
    <w:rsid w:val="00BB207D"/>
    <w:rPr>
      <w:rFonts w:ascii="Arial" w:eastAsia="Times New Roman" w:hAnsi="Arial" w:cs="Times New Roman"/>
      <w:b/>
      <w:bCs/>
      <w:iCs/>
      <w:sz w:val="20"/>
      <w:szCs w:val="26"/>
      <w:lang w:eastAsia="en-AU"/>
    </w:rPr>
  </w:style>
  <w:style w:type="character" w:customStyle="1" w:styleId="Heading7Char">
    <w:name w:val="Heading 7 Char"/>
    <w:link w:val="Heading7"/>
    <w:rsid w:val="00BB207D"/>
    <w:rPr>
      <w:rFonts w:ascii="Arial" w:eastAsia="Times New Roman" w:hAnsi="Arial" w:cs="Times New Roman"/>
      <w:sz w:val="20"/>
      <w:szCs w:val="24"/>
      <w:lang w:eastAsia="en-AU"/>
    </w:rPr>
  </w:style>
  <w:style w:type="character" w:customStyle="1" w:styleId="Heading8Char">
    <w:name w:val="Heading 8 Char"/>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rsid w:val="00BB207D"/>
    <w:rPr>
      <w:rFonts w:ascii="Times New Roman" w:hAnsi="Times New Roman"/>
      <w:vanish/>
      <w:sz w:val="16"/>
    </w:rPr>
  </w:style>
  <w:style w:type="character" w:styleId="Hyperlink">
    <w:name w:val="Hyperlink"/>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rPr>
  </w:style>
  <w:style w:type="character" w:customStyle="1" w:styleId="MacroTextChar">
    <w:name w:val="Macro Text Char"/>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BB207D"/>
    <w:pPr>
      <w:tabs>
        <w:tab w:val="left" w:pos="284"/>
      </w:tabs>
      <w:spacing w:line="240" w:lineRule="auto"/>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rPr>
  </w:style>
  <w:style w:type="paragraph" w:styleId="TOC1">
    <w:name w:val="toc 1"/>
    <w:basedOn w:val="HeaderBase"/>
    <w:next w:val="Normal"/>
    <w:uiPriority w:val="2"/>
    <w:rsid w:val="00BB207D"/>
    <w:pPr>
      <w:tabs>
        <w:tab w:val="left" w:pos="1486"/>
        <w:tab w:val="right" w:leader="dot" w:pos="7700"/>
      </w:tabs>
      <w:spacing w:before="240"/>
      <w:ind w:right="851"/>
    </w:pPr>
    <w:rPr>
      <w:rFonts w:ascii="Arial Bold" w:hAnsi="Arial Bold"/>
      <w:b/>
      <w:i w:val="0"/>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ChartandTableFootnoteAlphaSmall">
    <w:name w:val="Chart and Table Footnote Alpha Small"/>
    <w:basedOn w:val="ChartandTableFootnoteAlpha"/>
    <w:rsid w:val="007609A9"/>
    <w:pPr>
      <w:numPr>
        <w:numId w:val="10"/>
      </w:numPr>
    </w:pPr>
    <w:rPr>
      <w:rFonts w:cs="Arial"/>
      <w:sz w:val="15"/>
      <w:szCs w:val="24"/>
      <w:lang w:eastAsia="en-US"/>
    </w:rPr>
  </w:style>
  <w:style w:type="paragraph" w:customStyle="1" w:styleId="Attachmentheading">
    <w:name w:val="Attachment heading"/>
    <w:basedOn w:val="Normal"/>
    <w:next w:val="Normal"/>
    <w:rsid w:val="007609A9"/>
    <w:pPr>
      <w:spacing w:line="240" w:lineRule="auto"/>
      <w:jc w:val="right"/>
    </w:pPr>
    <w:rPr>
      <w:rFonts w:ascii="Arial Bold" w:hAnsi="Arial Bold"/>
      <w:b/>
      <w:sz w:val="22"/>
    </w:rPr>
  </w:style>
  <w:style w:type="character" w:customStyle="1" w:styleId="BulletChar">
    <w:name w:val="Bullet Char"/>
    <w:link w:val="Bullet"/>
    <w:rsid w:val="007609A9"/>
    <w:rPr>
      <w:rFonts w:ascii="Book Antiqua" w:eastAsia="Times New Roman" w:hAnsi="Book Antiqua" w:cs="Times New Roman"/>
      <w:sz w:val="20"/>
      <w:szCs w:val="20"/>
      <w:lang w:eastAsia="en-AU"/>
    </w:rPr>
  </w:style>
  <w:style w:type="character" w:styleId="Strong">
    <w:name w:val="Strong"/>
    <w:qFormat/>
    <w:rsid w:val="007609A9"/>
    <w:rPr>
      <w:b/>
      <w:bCs/>
    </w:rPr>
  </w:style>
  <w:style w:type="character" w:customStyle="1" w:styleId="HeaderOddChar">
    <w:name w:val="Header Odd Char"/>
    <w:link w:val="HeaderOdd"/>
    <w:rsid w:val="00CB3A6E"/>
    <w:rPr>
      <w:rFonts w:ascii="Book Antiqua" w:eastAsia="Times New Roman" w:hAnsi="Book Antiqua"/>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33351">
      <w:bodyDiv w:val="1"/>
      <w:marLeft w:val="0"/>
      <w:marRight w:val="0"/>
      <w:marTop w:val="0"/>
      <w:marBottom w:val="0"/>
      <w:divBdr>
        <w:top w:val="none" w:sz="0" w:space="0" w:color="auto"/>
        <w:left w:val="none" w:sz="0" w:space="0" w:color="auto"/>
        <w:bottom w:val="none" w:sz="0" w:space="0" w:color="auto"/>
        <w:right w:val="none" w:sz="0" w:space="0" w:color="auto"/>
      </w:divBdr>
    </w:div>
    <w:div w:id="1304654341">
      <w:bodyDiv w:val="1"/>
      <w:marLeft w:val="0"/>
      <w:marRight w:val="0"/>
      <w:marTop w:val="0"/>
      <w:marBottom w:val="0"/>
      <w:divBdr>
        <w:top w:val="none" w:sz="0" w:space="0" w:color="auto"/>
        <w:left w:val="none" w:sz="0" w:space="0" w:color="auto"/>
        <w:bottom w:val="none" w:sz="0" w:space="0" w:color="auto"/>
        <w:right w:val="none" w:sz="0" w:space="0" w:color="auto"/>
      </w:divBdr>
    </w:div>
    <w:div w:id="1576625190">
      <w:bodyDiv w:val="1"/>
      <w:marLeft w:val="0"/>
      <w:marRight w:val="0"/>
      <w:marTop w:val="0"/>
      <w:marBottom w:val="0"/>
      <w:divBdr>
        <w:top w:val="none" w:sz="0" w:space="0" w:color="auto"/>
        <w:left w:val="none" w:sz="0" w:space="0" w:color="auto"/>
        <w:bottom w:val="none" w:sz="0" w:space="0" w:color="auto"/>
        <w:right w:val="none" w:sz="0" w:space="0" w:color="auto"/>
      </w:divBdr>
    </w:div>
    <w:div w:id="1965118011">
      <w:bodyDiv w:val="1"/>
      <w:marLeft w:val="0"/>
      <w:marRight w:val="0"/>
      <w:marTop w:val="0"/>
      <w:marBottom w:val="0"/>
      <w:divBdr>
        <w:top w:val="none" w:sz="0" w:space="0" w:color="auto"/>
        <w:left w:val="none" w:sz="0" w:space="0" w:color="auto"/>
        <w:bottom w:val="none" w:sz="0" w:space="0" w:color="auto"/>
        <w:right w:val="none" w:sz="0" w:space="0" w:color="auto"/>
      </w:divBdr>
    </w:div>
    <w:div w:id="2071078331">
      <w:bodyDiv w:val="1"/>
      <w:marLeft w:val="0"/>
      <w:marRight w:val="0"/>
      <w:marTop w:val="0"/>
      <w:marBottom w:val="0"/>
      <w:divBdr>
        <w:top w:val="none" w:sz="0" w:space="0" w:color="auto"/>
        <w:left w:val="none" w:sz="0" w:space="0" w:color="auto"/>
        <w:bottom w:val="none" w:sz="0" w:space="0" w:color="auto"/>
        <w:right w:val="none" w:sz="0" w:space="0" w:color="auto"/>
      </w:divBdr>
    </w:div>
    <w:div w:id="209770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file:///\\columbus\Internet\budget.gov.au\2017-18\Tables%20-%20Fiscal\Part%203\Debt%20Statement\BEAU%20Tables%20-%20Debt%20Statement%20-%20Hard%20coded%20-%20EXTRA%20GAPS.xlsx!Table%203b%20-%20CGS%20on%20issue!R5C2:R21C7" TargetMode="External"/><Relationship Id="rId26" Type="http://schemas.openxmlformats.org/officeDocument/2006/relationships/oleObject" Target="file:///\\columbus\Internet\budget.gov.au\2017-18\Tables%20-%20Fiscal\Part%203\Debt%20Statement\BP1_BS7%20-%20Table%207%20-%20TIBs%20on%20issue.xlsx!Table%20-%20TIBs!R4C2:R14C9" TargetMode="External"/><Relationship Id="rId39"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oleObject" Target="file:///\\columbus\Internet\budget.gov.au\2017-18\Tables%20-%20Fiscal\Part%203\Debt%20Statement\BEAU%20Tables%20-%20Debt%20Statement%20-%20Hard%20coded%20-%20EXTRA%20GAPS.xlsx!Table%204b%20-%20Interest%20payments!R3C2:R12C7"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file:///\\columbus\Internet\budget.gov.au\2017-18\Tables%20-%20Fiscal\Part%203\Debt%20Statement\BEAU%20Tables%20-%20Debt%20Statement%20-%20Hard%20coded%20-%20EXTRA%20GAPS.xlsx!Table%202b%20-%20Net%20debt%20reco!R3C2:R16C7" TargetMode="External"/><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file:///\\columbus\Internet\budget.gov.au\2017-18\Tables%20-%20Fiscal\Part%203\Debt%20Statement\BEAU%20Tables%20-%20Debt%20Statement%20-%20Hard%20coded%20-%20EXTRA%20GAPS.xlsx!Table%206b%20-%20short%20climate%20table!R2C2:R3C7"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file:///\\columbus\Internet\budget.gov.au\2017-18\content\myefo\Tables%20-%20Fiscal\Part%203\Debt%20Statement\BP1_BS7%20-%20Table%201%20-%20Estimates%20and%20projections%20of%20CGS%20on%20issue%20subject%20to%20the%20Treasurers%20Direction.xlsx!Table%20-%20Projections!R4C2:R13C6" TargetMode="External"/><Relationship Id="rId20" Type="http://schemas.openxmlformats.org/officeDocument/2006/relationships/oleObject" Target="file:///\\columbus\Internet\budget.gov.au\2017-18\Charts%20-%20Fiscal\Debt%20Statement\Face%20value%20of%20CGS%20projected%20to%202027-28.xlsx!Chart!%5bFace%20value%20of%20CGS%20projected%20to%202027-28.xlsx%5dChart%20Chart%203" TargetMode="External"/><Relationship Id="rId29" Type="http://schemas.openxmlformats.org/officeDocument/2006/relationships/image" Target="media/image11.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file:///\\columbus\Internet\budget.gov.au\2017-18\Tables%20-%20Fiscal\Part%203\Debt%20Statement\BP1_BS7%20-%20Table%206%20-%20Treasury%20bonds%20on%20issue.xlsx!Table%20-%20Bonds!R4C3:R30C8" TargetMode="External"/><Relationship Id="rId32" Type="http://schemas.openxmlformats.org/officeDocument/2006/relationships/oleObject" Target="file:///\\columbus\Internet\budget.gov.au\2017-18\Charts%20-%20Fiscal\Debt%20Statement\Yield%20curve%20assumptions%20from%202017-18%20to%202020-21%20-%20Complete.xlsx!Chart!%5bYield%20curve%20assumptions%20from%202017-18%20to%202020-21%20-%20Complete.xlsx%5dChart%20Chart%202" TargetMode="External"/><Relationship Id="rId37" Type="http://schemas.openxmlformats.org/officeDocument/2006/relationships/image" Target="media/image15.emf"/><Relationship Id="rId40" Type="http://schemas.openxmlformats.org/officeDocument/2006/relationships/oleObject" Target="file:///\\columbus\Internet\budget.gov.au\2017-18\Tables%20-%20Fiscal\Part%203\Debt%20Statement\BEAU%20Tables%20-%20Debt%20Statement%20-%20Hard%20coded%20-%20EXTRA%20GAPS.xlsx!Table%206b%20-%20Climate%20change%20spend!R3C2:R10C7" TargetMode="Externa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file:///\\columbus\Internet\budget.gov.au\2017-18\Tables%20-%20Fiscal\Part%203\Debt%20Statement\BP1_BS7%20-%20Table%208%20-%20Treasury%20Notes%20on%20issue.xlsx!Table%20-%20Notes!R4C2:R7C5" TargetMode="External"/><Relationship Id="rId36" Type="http://schemas.openxmlformats.org/officeDocument/2006/relationships/oleObject" Target="file:///\\columbus\Internet\budget.gov.au\2017-18\Tables%20-%20Fiscal\Part%203\Debt%20Statement\BEAU%20Tables%20-%20Debt%20Statement%20-%20Hard%20coded%20-%20EXTRA%20GAPS.xlsx!Table%205b%20-%20Interest%20expense!R4C2:R13C7" TargetMode="External"/><Relationship Id="rId10" Type="http://schemas.openxmlformats.org/officeDocument/2006/relationships/oleObject" Target="file:///\\columbus\Internet\budget.gov.au\2017-18\Tables%20-%20Fiscal\Part%203\Debt%20Statement\BEAU%20Tables%20-%20Debt%20Statement%20-%20Hard%20coded%20-%20EXTRA%20GAPS.xlsx!Table%201b%20-%20Net%20debt!R3C2:R19C7" TargetMode="External"/><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file:///\\columbus\Internet\budget.gov.au\2017-18\Charts%20-%20Fiscal\Debt%20Statement\Net%20Debt%20projected%20to%202027-28.xlsx!Chart!%5bNet%20Debt%20projected%20to%202027-28.xlsx%5dChart%20Chart%201" TargetMode="External"/><Relationship Id="rId22" Type="http://schemas.openxmlformats.org/officeDocument/2006/relationships/oleObject" Target="file:///\\columbus\Internet\budget.gov.au\2017-18\Tables%20-%20Fiscal\Part%203\Debt%20Statement\BP1_BS7%20-%20Table%205%20-%20Breakdown%20of%20current%20CGS%20on%20issue%20by%20type%20of%20security.xlsx!Table%20-%20Breakdown!R3C2:R11C4" TargetMode="External"/><Relationship Id="rId27" Type="http://schemas.openxmlformats.org/officeDocument/2006/relationships/image" Target="media/image10.emf"/><Relationship Id="rId30" Type="http://schemas.openxmlformats.org/officeDocument/2006/relationships/oleObject" Target="file:///\\columbus\Internet\budget.gov.au\2017-18\Charts%20-%20Fiscal\Debt%20Statement\Non-resident%20holdings%20of%20Commonwealth%20Government%20Securities%20-%20Complete.xlsx!Chart!%5bNon-resident%20holdings%20of%20Commonwealth%20Government%20Securities%20-%20Complete.xlsx%5dChart%20Chart%201" TargetMode="External"/><Relationship Id="rId35" Type="http://schemas.openxmlformats.org/officeDocument/2006/relationships/image" Target="media/image14.emf"/><Relationship Id="rId43" Type="http://schemas.openxmlformats.org/officeDocument/2006/relationships/footer" Target="footer1.xm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B7649-ADFF-4E8A-98B8-3640F0544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0</TotalTime>
  <Pages>13</Pages>
  <Words>3615</Words>
  <Characters>20606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Part 3: Fiscal strategy and outlook</vt:lpstr>
    </vt:vector>
  </TitlesOfParts>
  <Company>Australian Government - The Treasury</Company>
  <LinksUpToDate>false</LinksUpToDate>
  <CharactersWithSpaces>24173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3: Fiscal strategy and outlook</dc:title>
  <dc:subject>Statement number and name</dc:subject>
  <dc:creator>Catanzariti, Lorraine</dc:creator>
  <cp:keywords>#-</cp:keywords>
  <cp:lastModifiedBy>Thomas, Deborah</cp:lastModifiedBy>
  <cp:revision>2</cp:revision>
  <cp:lastPrinted>2017-12-14T00:44:00Z</cp:lastPrinted>
  <dcterms:created xsi:type="dcterms:W3CDTF">2017-12-17T21:59:00Z</dcterms:created>
  <dcterms:modified xsi:type="dcterms:W3CDTF">2017-12-17T21:59:00Z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metadataUpdateName">
    <vt:lpwstr>Mid-Year Economic and Fiscal Outlook</vt:lpwstr>
  </property>
  <property fmtid="{D5CDD505-2E9C-101B-9397-08002B2CF9AE}" pid="5" name="metadataStatementName">
    <vt:lpwstr>Part 3</vt:lpwstr>
  </property>
  <property fmtid="{D5CDD505-2E9C-101B-9397-08002B2CF9AE}" pid="6" name="metadataCoordinator">
    <vt:lpwstr>Nathan Blane (x3593)</vt:lpwstr>
  </property>
  <property fmtid="{D5CDD505-2E9C-101B-9397-08002B2CF9AE}" pid="7" name="GlobalLastAccountabilityID">
    <vt:lpwstr>BPD_JR2</vt:lpwstr>
  </property>
</Properties>
</file>