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D775D9" w:rsidRPr="007E0BD4" w:rsidRDefault="007B5C6D" w:rsidP="006B18E0">
      <w:pPr>
        <w:pStyle w:val="Heading1"/>
      </w:pPr>
      <w:r w:rsidRPr="007E0BD4">
        <w:fldChar w:fldCharType="begin"/>
      </w:r>
      <w:r w:rsidRPr="007E0BD4">
        <w:instrText xml:space="preserve"> :Start Index: </w:instrText>
      </w:r>
      <w:r w:rsidRPr="007E0BD4">
        <w:fldChar w:fldCharType="end"/>
      </w:r>
      <w:r w:rsidRPr="007E0BD4">
        <w:fldChar w:fldCharType="begin"/>
      </w:r>
      <w:r w:rsidRPr="007E0BD4">
        <w:instrText xml:space="preserve"> :Accountability:|FARM_PGOTO1|Finance|FARM|Peter Gibson or Tony Olliffe|Tony Olliffe|Niki Lee|6215 2697 </w:instrText>
      </w:r>
      <w:r w:rsidRPr="007E0BD4">
        <w:fldChar w:fldCharType="end"/>
      </w:r>
      <w:r w:rsidRPr="007E0BD4">
        <w:fldChar w:fldCharType="begin"/>
      </w:r>
      <w:r w:rsidRPr="007E0BD4">
        <w:instrText xml:space="preserve"> :End Index: </w:instrText>
      </w:r>
      <w:r w:rsidRPr="007E0BD4">
        <w:fldChar w:fldCharType="end"/>
      </w:r>
      <w:r w:rsidRPr="007E0BD4">
        <w:fldChar w:fldCharType="begin"/>
      </w:r>
      <w:r w:rsidRPr="007E0BD4">
        <w:instrText xml:space="preserve"> :Start:FARM_PGOTO1 </w:instrText>
      </w:r>
      <w:r w:rsidRPr="007E0BD4">
        <w:fldChar w:fldCharType="end"/>
      </w:r>
      <w:r w:rsidR="00D775D9" w:rsidRPr="007E0BD4">
        <w:t>Appendix B: Australian Government Budget Financial Statements</w:t>
      </w:r>
    </w:p>
    <w:bookmarkEnd w:id="0"/>
    <w:p w:rsidR="00D775D9" w:rsidRPr="007E0BD4" w:rsidRDefault="00D775D9" w:rsidP="009E2315">
      <w:r w:rsidRPr="007E0BD4">
        <w:t xml:space="preserve">Consistent with the </w:t>
      </w:r>
      <w:r w:rsidRPr="007E0BD4">
        <w:rPr>
          <w:i/>
        </w:rPr>
        <w:t>Charter of Budget Honesty Act 1998</w:t>
      </w:r>
      <w:r w:rsidRPr="007E0BD4">
        <w:t xml:space="preserve"> (the Charter), the Government has produced a single set of financial statements for the Australian Government general government sector (GGS), the public non</w:t>
      </w:r>
      <w:r w:rsidR="0072048E" w:rsidRPr="007E0BD4">
        <w:noBreakHyphen/>
      </w:r>
      <w:r w:rsidRPr="007E0BD4">
        <w:t>financial corporations (PNFC) sector, the total non</w:t>
      </w:r>
      <w:r w:rsidR="0072048E" w:rsidRPr="007E0BD4">
        <w:noBreakHyphen/>
      </w:r>
      <w:r w:rsidRPr="007E0BD4">
        <w:t>financial public sector (NFPS) and the public financial corporations (PFC) sector. The financial statements comply with both Australian Bureau of Statistics</w:t>
      </w:r>
      <w:r w:rsidR="0072048E" w:rsidRPr="007E0BD4">
        <w:t>’</w:t>
      </w:r>
      <w:r w:rsidRPr="007E0BD4">
        <w:t xml:space="preserve"> (ABS) accrual Government Finance Statistics (GFS) and Australian Accounting Standards (AAS), with departures disclosed. These statements are:</w:t>
      </w:r>
    </w:p>
    <w:p w:rsidR="00D775D9" w:rsidRPr="007E0BD4" w:rsidRDefault="00D775D9" w:rsidP="009E2315">
      <w:pPr>
        <w:pStyle w:val="Bullet"/>
      </w:pPr>
      <w:r w:rsidRPr="007E0BD4">
        <w:t>an operating statement, including other economic flows, which shows</w:t>
      </w:r>
      <w:r w:rsidR="003D7FCB" w:rsidRPr="007E0BD4">
        <w:t xml:space="preserve"> the</w:t>
      </w:r>
      <w:r w:rsidRPr="007E0BD4">
        <w:t xml:space="preserve"> net operating balance and net lending/borrowing (fiscal balance);</w:t>
      </w:r>
    </w:p>
    <w:p w:rsidR="00D775D9" w:rsidRPr="007E0BD4" w:rsidRDefault="00D775D9" w:rsidP="009E2315">
      <w:pPr>
        <w:pStyle w:val="Bullet"/>
      </w:pPr>
      <w:r w:rsidRPr="007E0BD4">
        <w:t>a balance sheet, which also shows net worth, net financial worth, net financial liabilities and net debt; and</w:t>
      </w:r>
    </w:p>
    <w:p w:rsidR="00D775D9" w:rsidRPr="007E0BD4" w:rsidRDefault="00D775D9" w:rsidP="009E2315">
      <w:pPr>
        <w:pStyle w:val="Bullet"/>
      </w:pPr>
      <w:r w:rsidRPr="007E0BD4">
        <w:t>a cash flow statement, which includes the calculation of the underlying cash balance.</w:t>
      </w:r>
    </w:p>
    <w:p w:rsidR="00D775D9" w:rsidRPr="007E0BD4" w:rsidRDefault="00D775D9" w:rsidP="009E2315">
      <w:r w:rsidRPr="007E0BD4">
        <w:t>In addition to these general purpose statements, notes to the financial statements are required. These notes include a summary of accounting policies, disaggregated information and other disclosures required by AAS.</w:t>
      </w:r>
    </w:p>
    <w:p w:rsidR="00D775D9" w:rsidRPr="007E0BD4" w:rsidRDefault="00D775D9" w:rsidP="009E2315">
      <w:r w:rsidRPr="007E0BD4">
        <w:t>The statements reflect the policy that ABS GFS remains the basis of budget accounting policy, except where the Government applies AAS because it provides a better conceptual basis for presenting information of relevance to users of public sector financial reports.</w:t>
      </w:r>
    </w:p>
    <w:p w:rsidR="00D775D9" w:rsidRPr="007E0BD4" w:rsidRDefault="00D775D9" w:rsidP="009E2315">
      <w:r w:rsidRPr="007E0BD4">
        <w:t xml:space="preserve">The Australian, </w:t>
      </w:r>
      <w:r w:rsidR="00ED7569" w:rsidRPr="007E0BD4">
        <w:t>S</w:t>
      </w:r>
      <w:r w:rsidRPr="007E0BD4">
        <w:t xml:space="preserve">tate and </w:t>
      </w:r>
      <w:r w:rsidR="00ED7569" w:rsidRPr="007E0BD4">
        <w:t>T</w:t>
      </w:r>
      <w:r w:rsidRPr="007E0BD4">
        <w:t>erritory governments have an agreed framework — the Uniform Presentation Framework (UPF) — for the presentation of government financial information on a basis broadly consistent with the Australian Accounting Standards Board standard AASB 1049. The financial statements are consistent with the requirements of the UPF.</w:t>
      </w:r>
    </w:p>
    <w:p w:rsidR="00D775D9" w:rsidRPr="007E0BD4" w:rsidRDefault="00D775D9" w:rsidP="009E2315">
      <w:r w:rsidRPr="007E0BD4">
        <w:t>In accordance with the UPF requirements, this appendix also contains an update of the Australian Loan Council Allocation.</w:t>
      </w:r>
    </w:p>
    <w:p w:rsidR="00D775D9" w:rsidRPr="007E0BD4" w:rsidRDefault="007B5C6D" w:rsidP="006B18E0">
      <w:pPr>
        <w:pStyle w:val="Heading2"/>
      </w:pPr>
      <w:r w:rsidRPr="007E0BD4">
        <w:fldChar w:fldCharType="begin"/>
      </w:r>
      <w:r w:rsidRPr="007E0BD4">
        <w:instrText xml:space="preserve"> :End:FARM_PGOTO1 </w:instrText>
      </w:r>
      <w:r w:rsidRPr="007E0BD4">
        <w:fldChar w:fldCharType="end"/>
      </w:r>
      <w:r w:rsidR="00D775D9" w:rsidRPr="007E0BD4">
        <w:br w:type="page"/>
      </w:r>
      <w:r w:rsidR="00B700AA" w:rsidRPr="007E0BD4">
        <w:lastRenderedPageBreak/>
        <w:fldChar w:fldCharType="begin"/>
      </w:r>
      <w:r w:rsidR="00B700AA" w:rsidRPr="007E0BD4">
        <w:instrText xml:space="preserve"> :Start:FARM_PGOTO1 </w:instrText>
      </w:r>
      <w:r w:rsidR="00B700AA" w:rsidRPr="007E0BD4">
        <w:fldChar w:fldCharType="end"/>
      </w:r>
      <w:r w:rsidR="00D775D9" w:rsidRPr="007E0BD4">
        <w:t>Australian Government Financial Statements</w:t>
      </w:r>
    </w:p>
    <w:p w:rsidR="00D775D9" w:rsidRPr="007E0BD4" w:rsidRDefault="00D775D9" w:rsidP="003676C2">
      <w:pPr>
        <w:pStyle w:val="TableHeading"/>
        <w:ind w:right="56"/>
      </w:pPr>
      <w:r w:rsidRPr="007E0BD4">
        <w:rPr>
          <w:color w:val="auto"/>
          <w:szCs w:val="20"/>
        </w:rPr>
        <w:t>Table B1: Australian Government general government sector operating statemen</w:t>
      </w:r>
      <w:r w:rsidR="008F6567" w:rsidRPr="007E0BD4">
        <w:rPr>
          <w:color w:val="auto"/>
          <w:szCs w:val="20"/>
        </w:rPr>
        <w:t>t</w:t>
      </w:r>
    </w:p>
    <w:p w:rsidR="00120EA6" w:rsidRPr="007E0BD4" w:rsidRDefault="00004D54" w:rsidP="00C76CB1">
      <w:pPr>
        <w:pStyle w:val="TableGraphic"/>
      </w:pPr>
      <w:r w:rsidRPr="007E0BD4">
        <w:object w:dxaOrig="7717" w:dyaOrig="9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8pt;height:488.4pt" o:ole="">
            <v:imagedata r:id="rId15" o:title=""/>
          </v:shape>
          <o:OLEObject Type="Link" ProgID="Excel.SheetMacroEnabled.12" ShapeID="_x0000_i1025" DrawAspect="Content" r:id="rId16" UpdateMode="Always">
            <o:LinkType>EnhancedMetaFile</o:LinkType>
            <o:LockedField/>
          </o:OLEObject>
        </w:object>
      </w:r>
    </w:p>
    <w:p w:rsidR="00D775D9" w:rsidRPr="007E0BD4" w:rsidRDefault="00D775D9" w:rsidP="008045CD">
      <w:pPr>
        <w:pStyle w:val="TableHeadingcontinued"/>
      </w:pPr>
      <w:r w:rsidRPr="007E0BD4">
        <w:lastRenderedPageBreak/>
        <w:t>Table B1: Australian Government general government sector operating statement (continued)</w:t>
      </w:r>
    </w:p>
    <w:p w:rsidR="00D775D9" w:rsidRPr="007E0BD4" w:rsidRDefault="00004D54" w:rsidP="00963E3B">
      <w:pPr>
        <w:pStyle w:val="TableGraphic"/>
      </w:pPr>
      <w:r w:rsidRPr="007E0BD4">
        <w:object w:dxaOrig="7717" w:dyaOrig="4519">
          <v:shape id="_x0000_i1026" type="#_x0000_t75" style="width:385.8pt;height:226.2pt" o:ole="">
            <v:imagedata r:id="rId17" o:title=""/>
          </v:shape>
          <o:OLEObject Type="Link" ProgID="Excel.SheetMacroEnabled.12" ShapeID="_x0000_i1026" DrawAspect="Content" r:id="rId18" UpdateMode="Always">
            <o:LinkType>EnhancedMetaFile</o:LinkType>
            <o:LockedField/>
          </o:OLEObject>
        </w:object>
      </w:r>
    </w:p>
    <w:p w:rsidR="00D775D9" w:rsidRPr="007E0BD4" w:rsidRDefault="00D775D9" w:rsidP="00D775D9">
      <w:pPr>
        <w:pStyle w:val="ChartandTableFootnoteAlpha"/>
      </w:pPr>
      <w:r w:rsidRPr="007E0BD4">
        <w:t>Consistent with</w:t>
      </w:r>
      <w:r w:rsidR="00E5435C" w:rsidRPr="007E0BD4">
        <w:t xml:space="preserve"> the</w:t>
      </w:r>
      <w:r w:rsidRPr="007E0BD4">
        <w:t xml:space="preserve"> ABS GFS classification, other employee related expenses are reported under other operating expenses. Total employee expenses equal wages and salaries plus other operating expenses.</w:t>
      </w:r>
    </w:p>
    <w:p w:rsidR="00D775D9" w:rsidRPr="007E0BD4" w:rsidRDefault="00D775D9" w:rsidP="00D775D9">
      <w:pPr>
        <w:pStyle w:val="ChartandTableFootnoteAlpha"/>
      </w:pPr>
      <w:r w:rsidRPr="007E0BD4">
        <w:t>Operating result under AAS.</w:t>
      </w:r>
    </w:p>
    <w:p w:rsidR="008045CD" w:rsidRPr="007E0BD4" w:rsidRDefault="00D775D9" w:rsidP="0072048E">
      <w:pPr>
        <w:pStyle w:val="ChartandTableFootnoteAlpha"/>
      </w:pPr>
      <w:r w:rsidRPr="007E0BD4">
        <w:t>The term fiscal balance is not used by the ABS.</w: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D775D9" w:rsidP="008045CD">
      <w:pPr>
        <w:pStyle w:val="TableHeading"/>
      </w:pPr>
      <w:r w:rsidRPr="007E0BD4">
        <w:br w:type="page"/>
      </w:r>
      <w:r w:rsidR="00B700AA" w:rsidRPr="007E0BD4">
        <w:rPr>
          <w:color w:val="0000FF"/>
        </w:rPr>
        <w:lastRenderedPageBreak/>
        <w:fldChar w:fldCharType="begin"/>
      </w:r>
      <w:r w:rsidR="00B700AA" w:rsidRPr="007E0BD4">
        <w:rPr>
          <w:color w:val="0000FF"/>
        </w:rPr>
        <w:instrText xml:space="preserve"> :Start:FARM_PGOTO1 </w:instrText>
      </w:r>
      <w:r w:rsidR="00B700AA" w:rsidRPr="007E0BD4">
        <w:rPr>
          <w:color w:val="0000FF"/>
        </w:rPr>
        <w:fldChar w:fldCharType="end"/>
      </w:r>
      <w:r w:rsidRPr="007E0BD4">
        <w:t>Table B2: Australian Government general government sector balance sheet</w:t>
      </w:r>
    </w:p>
    <w:p w:rsidR="003C0055" w:rsidRPr="007E0BD4" w:rsidRDefault="00963E3B" w:rsidP="00C76CB1">
      <w:pPr>
        <w:pStyle w:val="TableGraphic"/>
      </w:pPr>
      <w:r w:rsidRPr="007E0BD4">
        <w:object w:dxaOrig="7707" w:dyaOrig="7490">
          <v:shape id="_x0000_i1027" type="#_x0000_t75" style="width:385.15pt;height:374.25pt" o:ole="">
            <v:imagedata r:id="rId19" o:title=""/>
          </v:shape>
          <o:OLEObject Type="Link" ProgID="Excel.SheetMacroEnabled.12" ShapeID="_x0000_i1027" DrawAspect="Content" r:id="rId20" UpdateMode="Always">
            <o:LinkType>EnhancedMetaFile</o:LinkType>
            <o:LockedField/>
          </o:OLEObject>
        </w:object>
      </w:r>
    </w:p>
    <w:p w:rsidR="00C76CB1" w:rsidRPr="007E0BD4" w:rsidRDefault="003C0055" w:rsidP="00C76CB1">
      <w:pPr>
        <w:pStyle w:val="TableGraphic"/>
      </w:pPr>
      <w:r w:rsidRPr="007E0BD4">
        <w:br w:type="page"/>
      </w:r>
      <w:r w:rsidRPr="007E0BD4">
        <w:rPr>
          <w:b/>
        </w:rPr>
        <w:lastRenderedPageBreak/>
        <w:t>Table B2: Australian Government general government sector balance sheet (continued)</w:t>
      </w:r>
      <w:bookmarkStart w:id="1" w:name="tempbookmark"/>
      <w:bookmarkEnd w:id="1"/>
      <w:r w:rsidR="00963E3B" w:rsidRPr="007E0BD4">
        <w:object w:dxaOrig="7707" w:dyaOrig="4029">
          <v:shape id="_x0000_i1028" type="#_x0000_t75" style="width:385.15pt;height:201.75pt" o:ole="">
            <v:imagedata r:id="rId21" o:title=""/>
          </v:shape>
          <o:OLEObject Type="Link" ProgID="Excel.SheetMacroEnabled.12" ShapeID="_x0000_i1028" DrawAspect="Content" r:id="rId22" UpdateMode="Always">
            <o:LinkType>EnhancedMetaFile</o:LinkType>
            <o:LockedField/>
          </o:OLEObject>
        </w:object>
      </w:r>
      <w:r w:rsidR="00C76CB1" w:rsidRPr="007E0BD4">
        <w:t xml:space="preserve"> </w:t>
      </w:r>
    </w:p>
    <w:p w:rsidR="003C0055" w:rsidRPr="007E0BD4" w:rsidRDefault="0033143C" w:rsidP="00C76CB1">
      <w:pPr>
        <w:pStyle w:val="ChartandTableFootnoteAlpha"/>
        <w:numPr>
          <w:ilvl w:val="0"/>
          <w:numId w:val="25"/>
        </w:numPr>
      </w:pPr>
      <w:r w:rsidRPr="007E0BD4">
        <w:t>Due to the implementation of the 2015 ABS GFS Manual, Australia’ subscription</w:t>
      </w:r>
      <w:r w:rsidR="00E5435C" w:rsidRPr="007E0BD4">
        <w:t>s</w:t>
      </w:r>
      <w:r w:rsidRPr="007E0BD4">
        <w:t xml:space="preserve"> to the International Development Association and the Asian Development Fund were reclassified in the 2017-18 Budget from nominal value ‘advances paid’ to fair value ‘equity investments’ on the balance sheet.</w:t>
      </w:r>
    </w:p>
    <w:p w:rsidR="00D775D9" w:rsidRPr="007E0BD4" w:rsidRDefault="00D775D9" w:rsidP="003C0055">
      <w:pPr>
        <w:pStyle w:val="ChartandTableFootnoteAlpha"/>
        <w:numPr>
          <w:ilvl w:val="0"/>
          <w:numId w:val="25"/>
        </w:numPr>
      </w:pPr>
      <w:r w:rsidRPr="007E0BD4">
        <w:t>Net worth is calculated as total assets minus total liabilities.</w:t>
      </w:r>
    </w:p>
    <w:p w:rsidR="00D775D9" w:rsidRPr="007E0BD4" w:rsidRDefault="00D775D9" w:rsidP="003C0055">
      <w:pPr>
        <w:pStyle w:val="ChartandTableFootnoteAlpha"/>
        <w:numPr>
          <w:ilvl w:val="0"/>
          <w:numId w:val="25"/>
        </w:numPr>
      </w:pPr>
      <w:r w:rsidRPr="007E0BD4">
        <w:t>Net financial worth</w:t>
      </w:r>
      <w:r w:rsidR="005E4348" w:rsidRPr="007E0BD4">
        <w:t xml:space="preserve"> equals</w:t>
      </w:r>
      <w:r w:rsidRPr="007E0BD4">
        <w:t xml:space="preserve"> total financial assets minus total liabilities.</w:t>
      </w:r>
    </w:p>
    <w:p w:rsidR="00D775D9" w:rsidRPr="007E0BD4" w:rsidRDefault="00D775D9" w:rsidP="003C0055">
      <w:pPr>
        <w:pStyle w:val="ChartandTableFootnoteAlpha"/>
        <w:numPr>
          <w:ilvl w:val="0"/>
          <w:numId w:val="25"/>
        </w:numPr>
      </w:pPr>
      <w:r w:rsidRPr="007E0BD4">
        <w:t>Net financial liabilities equals total liabilities less financial assets other than investments in other public sector entities.</w:t>
      </w:r>
    </w:p>
    <w:p w:rsidR="008045CD" w:rsidRPr="007E0BD4" w:rsidRDefault="00D775D9" w:rsidP="0072048E">
      <w:pPr>
        <w:pStyle w:val="ChartandTableFootnoteAlpha"/>
        <w:numPr>
          <w:ilvl w:val="0"/>
          <w:numId w:val="25"/>
        </w:numPr>
      </w:pPr>
      <w:r w:rsidRPr="007E0BD4">
        <w:t>Net debt equals the sum of deposits held, government securities, loans and other borrowing, minus the sum of cash and deposits, advances paid and investments, loans and placements.</w: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D775D9" w:rsidP="008045CD">
      <w:pPr>
        <w:pStyle w:val="TableHeading"/>
        <w:rPr>
          <w:rFonts w:ascii="Helvetica" w:hAnsi="Helvetica"/>
          <w:vertAlign w:val="superscript"/>
        </w:rPr>
      </w:pPr>
      <w:r w:rsidRPr="007E0BD4">
        <w:br w:type="page"/>
      </w:r>
      <w:r w:rsidR="00B700AA" w:rsidRPr="007E0BD4">
        <w:rPr>
          <w:color w:val="0000FF"/>
        </w:rPr>
        <w:lastRenderedPageBreak/>
        <w:fldChar w:fldCharType="begin"/>
      </w:r>
      <w:r w:rsidR="00B700AA" w:rsidRPr="007E0BD4">
        <w:rPr>
          <w:color w:val="0000FF"/>
        </w:rPr>
        <w:instrText xml:space="preserve"> :Start:FARM_PGOTO1 </w:instrText>
      </w:r>
      <w:r w:rsidR="00B700AA" w:rsidRPr="007E0BD4">
        <w:rPr>
          <w:color w:val="0000FF"/>
        </w:rPr>
        <w:fldChar w:fldCharType="end"/>
      </w:r>
      <w:r w:rsidRPr="007E0BD4">
        <w:t>Table B3: Australian Government general government sector cash flow statement</w:t>
      </w:r>
      <w:r w:rsidRPr="007E0BD4">
        <w:rPr>
          <w:rFonts w:ascii="Helvetica" w:hAnsi="Helvetica"/>
          <w:vertAlign w:val="superscript"/>
        </w:rPr>
        <w:t>(a)</w:t>
      </w:r>
    </w:p>
    <w:p w:rsidR="008045CD" w:rsidRPr="007E0BD4" w:rsidRDefault="00963E3B" w:rsidP="006B18E0">
      <w:pPr>
        <w:pStyle w:val="TableGraphic"/>
      </w:pPr>
      <w:r w:rsidRPr="007E0BD4">
        <w:object w:dxaOrig="7705" w:dyaOrig="9624">
          <v:shape id="_x0000_i1029" type="#_x0000_t75" style="width:385.15pt;height:480.9pt" o:ole="">
            <v:imagedata r:id="rId23" o:title=""/>
          </v:shape>
          <o:OLEObject Type="Link" ProgID="Excel.SheetMacroEnabled.12" ShapeID="_x0000_i1029" DrawAspect="Content" r:id="rId24" UpdateMode="Always">
            <o:LinkType>EnhancedMetaFile</o:LinkType>
            <o:LockedField/>
          </o:OLEObject>
        </w:object>
      </w:r>
    </w:p>
    <w:p w:rsidR="00D775D9" w:rsidRPr="007E0BD4" w:rsidRDefault="00D775D9" w:rsidP="008045CD">
      <w:pPr>
        <w:pStyle w:val="TableHeadingcontinued"/>
        <w:rPr>
          <w:rFonts w:ascii="Helvetica" w:hAnsi="Helvetica"/>
          <w:vertAlign w:val="superscript"/>
        </w:rPr>
      </w:pPr>
      <w:r w:rsidRPr="007E0BD4">
        <w:br w:type="page"/>
      </w:r>
      <w:r w:rsidRPr="007E0BD4">
        <w:lastRenderedPageBreak/>
        <w:t>Table B3: Australian Government general government sector cash flow statement (continued)</w:t>
      </w:r>
      <w:r w:rsidRPr="007E0BD4">
        <w:rPr>
          <w:rFonts w:ascii="Helvetica" w:hAnsi="Helvetica"/>
          <w:vertAlign w:val="superscript"/>
        </w:rPr>
        <w:t>(a)</w:t>
      </w:r>
    </w:p>
    <w:p w:rsidR="00D775D9" w:rsidRPr="007E0BD4" w:rsidRDefault="00963E3B" w:rsidP="003B3A85">
      <w:pPr>
        <w:pStyle w:val="TableGraphic"/>
      </w:pPr>
      <w:r w:rsidRPr="007E0BD4">
        <w:object w:dxaOrig="7705" w:dyaOrig="3264">
          <v:shape id="_x0000_i1030" type="#_x0000_t75" style="width:385.15pt;height:163pt" o:ole="">
            <v:imagedata r:id="rId25" o:title=""/>
          </v:shape>
          <o:OLEObject Type="Link" ProgID="Excel.SheetMacroEnabled.12" ShapeID="_x0000_i1030" DrawAspect="Content" r:id="rId26" UpdateMode="Always">
            <o:LinkType>EnhancedMetaFile</o:LinkType>
            <o:LockedField/>
          </o:OLEObject>
        </w:object>
      </w:r>
    </w:p>
    <w:p w:rsidR="00D775D9" w:rsidRPr="007E0BD4" w:rsidRDefault="00D775D9" w:rsidP="00D775D9">
      <w:pPr>
        <w:pStyle w:val="ChartandTableFootnote"/>
        <w:numPr>
          <w:ilvl w:val="0"/>
          <w:numId w:val="26"/>
        </w:numPr>
        <w:ind w:left="284" w:hanging="284"/>
      </w:pPr>
      <w:r w:rsidRPr="007E0BD4">
        <w:t>A positive number denotes a cash inflow; a negative number denotes a cash outflow.</w:t>
      </w:r>
      <w:r w:rsidR="00D67E6E" w:rsidRPr="007E0BD4">
        <w:rPr>
          <w:noProof/>
          <w:lang w:eastAsia="en-AU"/>
        </w:rPr>
        <w:t xml:space="preserve"> </w:t>
      </w:r>
    </w:p>
    <w:p w:rsidR="00BB7178" w:rsidRPr="007E0BD4" w:rsidRDefault="00E5435C" w:rsidP="00305410">
      <w:pPr>
        <w:pStyle w:val="ChartandTableFootnote"/>
        <w:numPr>
          <w:ilvl w:val="0"/>
          <w:numId w:val="26"/>
        </w:numPr>
        <w:ind w:left="284" w:hanging="284"/>
      </w:pPr>
      <w:r w:rsidRPr="007E0BD4">
        <w:t>In the 2016-17</w:t>
      </w:r>
      <w:r w:rsidR="00BB7178" w:rsidRPr="007E0BD4">
        <w:t xml:space="preserve"> FBO, the m</w:t>
      </w:r>
      <w:r w:rsidRPr="007E0BD4">
        <w:t>ajority of corporations law fee</w:t>
      </w:r>
      <w:r w:rsidR="00BB7178" w:rsidRPr="007E0BD4">
        <w:t xml:space="preserve">s were reclassified from non-taxation receipts to taxation receipts and financial institutions supervisory levies were reclassified from taxation receipts to non-taxation receipts. </w:t>
      </w:r>
    </w:p>
    <w:p w:rsidR="00BB7178" w:rsidRPr="007E0BD4" w:rsidRDefault="00BB7178" w:rsidP="00BB7178">
      <w:pPr>
        <w:pStyle w:val="ChartandTableFootnote"/>
        <w:numPr>
          <w:ilvl w:val="0"/>
          <w:numId w:val="26"/>
        </w:numPr>
        <w:ind w:left="284" w:hanging="284"/>
      </w:pPr>
      <w:r w:rsidRPr="007E0BD4">
        <w:t>Due to the implementation of the 2015 ABS GFS Manual, from the 2017</w:t>
      </w:r>
      <w:r w:rsidRPr="007E0BD4">
        <w:noBreakHyphen/>
        <w:t>18 Budget, finance leases are no longer deducted in the derivation of the GFS cash surplus/deficit.</w:t>
      </w:r>
    </w:p>
    <w:p w:rsidR="00B9602C" w:rsidRPr="007E0BD4" w:rsidRDefault="00B9602C" w:rsidP="00305410">
      <w:pPr>
        <w:pStyle w:val="ChartandTableFootnote"/>
        <w:numPr>
          <w:ilvl w:val="0"/>
          <w:numId w:val="26"/>
        </w:numPr>
        <w:ind w:left="284" w:hanging="284"/>
      </w:pPr>
      <w:r w:rsidRPr="007E0BD4">
        <w:t>GFS cash surplus/deficit equals net cash flows from operating activities and investments in non-financial assets.</w:t>
      </w:r>
    </w:p>
    <w:p w:rsidR="00305410" w:rsidRPr="007E0BD4" w:rsidRDefault="00D775D9" w:rsidP="00305410">
      <w:pPr>
        <w:pStyle w:val="ChartandTableFootnote"/>
        <w:numPr>
          <w:ilvl w:val="0"/>
          <w:numId w:val="26"/>
        </w:numPr>
        <w:ind w:left="284" w:hanging="284"/>
      </w:pPr>
      <w:r w:rsidRPr="007E0BD4">
        <w:t xml:space="preserve">The acquisition of assets under finance leases </w:t>
      </w:r>
      <w:r w:rsidR="00BB7178" w:rsidRPr="007E0BD4">
        <w:t xml:space="preserve">worsens </w:t>
      </w:r>
      <w:r w:rsidRPr="007E0BD4">
        <w:t xml:space="preserve">the underlying cash balance. The disposal of assets previously held under finance leases </w:t>
      </w:r>
      <w:r w:rsidR="00BB7178" w:rsidRPr="007E0BD4">
        <w:t xml:space="preserve">improves </w:t>
      </w:r>
      <w:r w:rsidRPr="007E0BD4">
        <w:t>the underlying cash balance.</w:t>
      </w:r>
    </w:p>
    <w:p w:rsidR="00305410" w:rsidRPr="007E0BD4" w:rsidRDefault="00305410" w:rsidP="00D775D9">
      <w:pPr>
        <w:pStyle w:val="ChartandTableFootnote"/>
        <w:numPr>
          <w:ilvl w:val="0"/>
          <w:numId w:val="26"/>
        </w:numPr>
        <w:ind w:left="284" w:hanging="284"/>
      </w:pPr>
      <w:r w:rsidRPr="007E0BD4">
        <w:t xml:space="preserve">Under the </w:t>
      </w:r>
      <w:r w:rsidRPr="007E0BD4">
        <w:rPr>
          <w:i/>
        </w:rPr>
        <w:t>Future Fund Act 2006</w:t>
      </w:r>
      <w:r w:rsidRPr="007E0BD4">
        <w:t>, net Future Fund earnings will be available to meet the Government superannuation liability in 2020-21. From this time, the underlying cash balance includes expected net Future Fund earnings.</w:t>
      </w:r>
    </w:p>
    <w:p w:rsidR="008045CD" w:rsidRPr="007E0BD4" w:rsidRDefault="00D775D9" w:rsidP="008045CD">
      <w:pPr>
        <w:pStyle w:val="ChartandTableFootnote"/>
        <w:numPr>
          <w:ilvl w:val="0"/>
          <w:numId w:val="26"/>
        </w:numPr>
        <w:ind w:left="284" w:hanging="284"/>
      </w:pPr>
      <w:r w:rsidRPr="007E0BD4">
        <w:t>The term underlying cash balance is not used by the ABS.</w: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D775D9" w:rsidP="008045CD">
      <w:pPr>
        <w:pStyle w:val="TableHeading"/>
      </w:pPr>
      <w:r w:rsidRPr="007E0BD4">
        <w:br w:type="page"/>
      </w:r>
      <w:r w:rsidR="00B700AA" w:rsidRPr="007E0BD4">
        <w:rPr>
          <w:color w:val="0000FF"/>
        </w:rPr>
        <w:lastRenderedPageBreak/>
        <w:fldChar w:fldCharType="begin"/>
      </w:r>
      <w:r w:rsidR="00B700AA" w:rsidRPr="007E0BD4">
        <w:rPr>
          <w:color w:val="0000FF"/>
        </w:rPr>
        <w:instrText xml:space="preserve"> :Start:FARM_PGOTO1 </w:instrText>
      </w:r>
      <w:r w:rsidR="00B700AA" w:rsidRPr="007E0BD4">
        <w:rPr>
          <w:color w:val="0000FF"/>
        </w:rPr>
        <w:fldChar w:fldCharType="end"/>
      </w:r>
      <w:r w:rsidRPr="007E0BD4">
        <w:t>Table B4: Australian Government public non</w:t>
      </w:r>
      <w:r w:rsidR="0072048E" w:rsidRPr="007E0BD4">
        <w:noBreakHyphen/>
      </w:r>
      <w:r w:rsidRPr="007E0BD4">
        <w:t>financial corporations sector operating statement</w:t>
      </w:r>
    </w:p>
    <w:p w:rsidR="00D775D9" w:rsidRPr="007E0BD4" w:rsidRDefault="00963E3B" w:rsidP="008559BD">
      <w:pPr>
        <w:pStyle w:val="TableGraphic"/>
      </w:pPr>
      <w:r w:rsidRPr="007E0BD4">
        <w:object w:dxaOrig="7707" w:dyaOrig="8040">
          <v:shape id="_x0000_i1031" type="#_x0000_t75" style="width:385.15pt;height:402.1pt" o:ole="">
            <v:imagedata r:id="rId27" o:title=""/>
          </v:shape>
          <o:OLEObject Type="Link" ProgID="Excel.SheetMacroEnabled.12" ShapeID="_x0000_i1031" DrawAspect="Content" r:id="rId28" UpdateMode="Always">
            <o:LinkType>EnhancedMetaFile</o:LinkType>
            <o:LockedField/>
          </o:OLEObject>
        </w:object>
      </w:r>
    </w:p>
    <w:p w:rsidR="00D775D9" w:rsidRPr="007E0BD4" w:rsidRDefault="00D775D9" w:rsidP="00116B16">
      <w:pPr>
        <w:pStyle w:val="ChartandTableFootnoteAlpha"/>
        <w:numPr>
          <w:ilvl w:val="0"/>
          <w:numId w:val="31"/>
        </w:numPr>
      </w:pPr>
      <w:r w:rsidRPr="007E0BD4">
        <w:t xml:space="preserve">Consistent with </w:t>
      </w:r>
      <w:r w:rsidR="00E5435C" w:rsidRPr="007E0BD4">
        <w:t xml:space="preserve">the </w:t>
      </w:r>
      <w:r w:rsidRPr="007E0BD4">
        <w:t>ABS GFS classification, other employee related expenses are reported under other operating expenses. Total employee expenses equal wages and salaries plus other operating expenses.</w:t>
      </w:r>
    </w:p>
    <w:p w:rsidR="008045CD" w:rsidRPr="007E0BD4" w:rsidRDefault="00D775D9" w:rsidP="0072048E">
      <w:pPr>
        <w:pStyle w:val="ChartandTableFootnoteAlpha"/>
      </w:pPr>
      <w:r w:rsidRPr="007E0BD4">
        <w:t>The term fiscal balance is not used by the ABS.</w:t>
      </w:r>
    </w:p>
    <w:p w:rsidR="00D775D9" w:rsidRPr="007E0BD4" w:rsidRDefault="00B700AA" w:rsidP="008045CD">
      <w:pPr>
        <w:pStyle w:val="TableHeading"/>
      </w:pPr>
      <w:r w:rsidRPr="007E0BD4">
        <w:rPr>
          <w:color w:val="FF0000"/>
        </w:rPr>
        <w:fldChar w:fldCharType="begin"/>
      </w:r>
      <w:r w:rsidRPr="007E0BD4">
        <w:rPr>
          <w:color w:val="FF0000"/>
        </w:rPr>
        <w:instrText xml:space="preserve"> :End:FARM_PGOTO1 </w:instrText>
      </w:r>
      <w:r w:rsidRPr="007E0BD4">
        <w:rPr>
          <w:color w:val="FF0000"/>
        </w:rPr>
        <w:fldChar w:fldCharType="end"/>
      </w:r>
      <w:r w:rsidR="00D775D9" w:rsidRPr="007E0BD4">
        <w:br w:type="page"/>
      </w:r>
      <w:r w:rsidRPr="007E0BD4">
        <w:rPr>
          <w:color w:val="0000FF"/>
        </w:rPr>
        <w:lastRenderedPageBreak/>
        <w:fldChar w:fldCharType="begin"/>
      </w:r>
      <w:r w:rsidRPr="007E0BD4">
        <w:rPr>
          <w:color w:val="0000FF"/>
        </w:rPr>
        <w:instrText xml:space="preserve"> :Start:FARM_PGOTO1 </w:instrText>
      </w:r>
      <w:r w:rsidRPr="007E0BD4">
        <w:rPr>
          <w:color w:val="0000FF"/>
        </w:rPr>
        <w:fldChar w:fldCharType="end"/>
      </w:r>
      <w:r w:rsidR="00D775D9" w:rsidRPr="007E0BD4">
        <w:t>Table B5: Australian Government public non</w:t>
      </w:r>
      <w:r w:rsidR="0072048E" w:rsidRPr="007E0BD4">
        <w:noBreakHyphen/>
      </w:r>
      <w:r w:rsidR="00D775D9" w:rsidRPr="007E0BD4">
        <w:t>financial corporations sector balance sheet</w:t>
      </w:r>
    </w:p>
    <w:p w:rsidR="00D775D9" w:rsidRPr="007E0BD4" w:rsidRDefault="00963E3B" w:rsidP="008559BD">
      <w:pPr>
        <w:pStyle w:val="TableGraphic"/>
      </w:pPr>
      <w:r w:rsidRPr="007E0BD4">
        <w:object w:dxaOrig="7707" w:dyaOrig="7346">
          <v:shape id="_x0000_i1032" type="#_x0000_t75" style="width:385.15pt;height:367.45pt" o:ole="">
            <v:imagedata r:id="rId29" o:title=""/>
          </v:shape>
          <o:OLEObject Type="Link" ProgID="Excel.SheetMacroEnabled.12" ShapeID="_x0000_i1032" DrawAspect="Content" r:id="rId30" UpdateMode="Always">
            <o:LinkType>EnhancedMetaFile</o:LinkType>
            <o:LockedField/>
          </o:OLEObject>
        </w:object>
      </w:r>
    </w:p>
    <w:p w:rsidR="007804ED" w:rsidRPr="007E0BD4" w:rsidRDefault="007804ED" w:rsidP="00116B16">
      <w:pPr>
        <w:pStyle w:val="ChartandTableFootnoteAlpha"/>
        <w:numPr>
          <w:ilvl w:val="0"/>
          <w:numId w:val="32"/>
        </w:numPr>
      </w:pPr>
      <w:r w:rsidRPr="007E0BD4">
        <w:t>In the 2017-18 Budget, the estimate for intangible produced assets was reclassified from land and other fixed assets to other non-financial assets to provide consistency across sectors.</w:t>
      </w:r>
    </w:p>
    <w:p w:rsidR="00D775D9" w:rsidRPr="007E0BD4" w:rsidRDefault="00235EC8" w:rsidP="00116B16">
      <w:pPr>
        <w:pStyle w:val="ChartandTableFootnoteAlpha"/>
        <w:numPr>
          <w:ilvl w:val="0"/>
          <w:numId w:val="32"/>
        </w:numPr>
      </w:pPr>
      <w:r w:rsidRPr="007E0BD4">
        <w:t>E</w:t>
      </w:r>
      <w:r w:rsidR="00D775D9" w:rsidRPr="007E0BD4">
        <w:t>xcludes the impact of commercial taxation adjustments.</w:t>
      </w:r>
    </w:p>
    <w:p w:rsidR="00D775D9" w:rsidRPr="007E0BD4" w:rsidRDefault="00D775D9" w:rsidP="00D775D9">
      <w:pPr>
        <w:pStyle w:val="ChartandTableFootnoteAlpha"/>
      </w:pPr>
      <w:r w:rsidRPr="007E0BD4">
        <w:t>Under AASB 1049, net worth is calculated as total assets minus total liabilities. Under ABS GFS, net worth is calculated as total assets minus total liabilities minus shares and other contributed capital. The AASB 1049 method is used in this table.</w:t>
      </w:r>
    </w:p>
    <w:p w:rsidR="00D775D9" w:rsidRPr="007E0BD4" w:rsidRDefault="00D775D9" w:rsidP="00D775D9">
      <w:pPr>
        <w:pStyle w:val="ChartandTableFootnoteAlpha"/>
      </w:pPr>
      <w:r w:rsidRPr="007E0BD4">
        <w:t>Under AASB 1049, net financial worth equals total financial assets minus total liabilities. Under ABS GFS, net financial worth equals total financial assets minus total liabilities minus shares and other contributed capital. The AASB 1049 method is used in this table.</w:t>
      </w:r>
    </w:p>
    <w:p w:rsidR="008045CD" w:rsidRPr="007E0BD4" w:rsidRDefault="00D775D9" w:rsidP="0072048E">
      <w:pPr>
        <w:pStyle w:val="ChartandTableFootnoteAlpha"/>
      </w:pPr>
      <w:r w:rsidRPr="007E0BD4">
        <w:t>Net debt equals the sum of interest bearing liabilities (deposits held, advances received, loans and other borrowing), minus the sum of cash and deposits and inv</w:t>
      </w:r>
      <w:r w:rsidR="006B18E0" w:rsidRPr="007E0BD4">
        <w:t>estments, loans and placements.</w:t>
      </w:r>
    </w:p>
    <w:p w:rsidR="00D775D9" w:rsidRPr="007E0BD4" w:rsidRDefault="00B700AA" w:rsidP="008045CD">
      <w:pPr>
        <w:pStyle w:val="TableHeading"/>
        <w:rPr>
          <w:rFonts w:ascii="Helvetica" w:hAnsi="Helvetica"/>
          <w:vertAlign w:val="superscript"/>
        </w:rPr>
      </w:pPr>
      <w:r w:rsidRPr="007E0BD4">
        <w:rPr>
          <w:color w:val="FF0000"/>
        </w:rPr>
        <w:fldChar w:fldCharType="begin"/>
      </w:r>
      <w:r w:rsidRPr="007E0BD4">
        <w:rPr>
          <w:color w:val="FF0000"/>
        </w:rPr>
        <w:instrText xml:space="preserve"> :End:FARM_PGOTO1 </w:instrText>
      </w:r>
      <w:r w:rsidRPr="007E0BD4">
        <w:rPr>
          <w:color w:val="FF0000"/>
        </w:rPr>
        <w:fldChar w:fldCharType="end"/>
      </w:r>
      <w:r w:rsidR="00D775D9" w:rsidRPr="007E0BD4">
        <w:br w:type="page"/>
      </w:r>
      <w:r w:rsidRPr="007E0BD4">
        <w:rPr>
          <w:color w:val="0000FF"/>
        </w:rPr>
        <w:lastRenderedPageBreak/>
        <w:fldChar w:fldCharType="begin"/>
      </w:r>
      <w:r w:rsidRPr="007E0BD4">
        <w:rPr>
          <w:color w:val="0000FF"/>
        </w:rPr>
        <w:instrText xml:space="preserve"> :Start:FARM_PGOTO1 </w:instrText>
      </w:r>
      <w:r w:rsidRPr="007E0BD4">
        <w:rPr>
          <w:color w:val="0000FF"/>
        </w:rPr>
        <w:fldChar w:fldCharType="end"/>
      </w:r>
      <w:r w:rsidR="00D775D9" w:rsidRPr="007E0BD4">
        <w:t>Table B6: Australian Government public non</w:t>
      </w:r>
      <w:r w:rsidR="0072048E" w:rsidRPr="007E0BD4">
        <w:noBreakHyphen/>
      </w:r>
      <w:r w:rsidR="00D775D9" w:rsidRPr="007E0BD4">
        <w:t>financial corporations sector cash flow statement</w:t>
      </w:r>
      <w:r w:rsidR="00D775D9" w:rsidRPr="007E0BD4">
        <w:rPr>
          <w:rFonts w:ascii="Helvetica" w:hAnsi="Helvetica"/>
          <w:vertAlign w:val="superscript"/>
        </w:rPr>
        <w:t>(a)</w:t>
      </w:r>
    </w:p>
    <w:p w:rsidR="00D775D9" w:rsidRPr="007E0BD4" w:rsidRDefault="008672B8" w:rsidP="008559BD">
      <w:pPr>
        <w:pStyle w:val="TableGraphic"/>
      </w:pPr>
      <w:r w:rsidRPr="007E0BD4">
        <w:object w:dxaOrig="7707" w:dyaOrig="9191">
          <v:shape id="_x0000_i1033" type="#_x0000_t75" style="width:385.15pt;height:459.85pt" o:ole="">
            <v:imagedata r:id="rId31" o:title=""/>
          </v:shape>
          <o:OLEObject Type="Link" ProgID="Excel.SheetMacroEnabled.12" ShapeID="_x0000_i1033" DrawAspect="Content" r:id="rId32" UpdateMode="Always">
            <o:LinkType>EnhancedMetaFile</o:LinkType>
            <o:LockedField/>
          </o:OLEObject>
        </w:object>
      </w:r>
    </w:p>
    <w:p w:rsidR="00090FBA" w:rsidRPr="007E0BD4" w:rsidRDefault="00D775D9" w:rsidP="00116B16">
      <w:pPr>
        <w:pStyle w:val="ChartandTableFootnoteAlpha"/>
        <w:numPr>
          <w:ilvl w:val="0"/>
          <w:numId w:val="33"/>
        </w:numPr>
      </w:pPr>
      <w:r w:rsidRPr="007E0BD4">
        <w:t>A positive number denotes a cash inflow; a negative number denotes a cash outflow.</w:t>
      </w:r>
    </w:p>
    <w:p w:rsidR="0080458E" w:rsidRPr="007E0BD4" w:rsidRDefault="0080458E" w:rsidP="00116B16">
      <w:pPr>
        <w:pStyle w:val="ChartandTableFootnoteAlpha"/>
        <w:numPr>
          <w:ilvl w:val="0"/>
          <w:numId w:val="33"/>
        </w:numPr>
      </w:pPr>
      <w:r w:rsidRPr="007E0BD4">
        <w:t>Other employee related payments are reported under other payments consistent with the treatment in the general government sector.</w:t>
      </w:r>
    </w:p>
    <w:p w:rsidR="008045CD" w:rsidRPr="007E0BD4" w:rsidRDefault="00090FBA" w:rsidP="0072048E">
      <w:pPr>
        <w:pStyle w:val="ChartandTableFootnoteAlpha"/>
        <w:numPr>
          <w:ilvl w:val="0"/>
          <w:numId w:val="33"/>
        </w:numPr>
      </w:pPr>
      <w:r w:rsidRPr="007E0BD4">
        <w:t>Due to the impl</w:t>
      </w:r>
      <w:r w:rsidR="00E5435C" w:rsidRPr="007E0BD4">
        <w:t>ementation of the 2015 ABS GFS M</w:t>
      </w:r>
      <w:r w:rsidRPr="007E0BD4">
        <w:t>anual, from the 2017</w:t>
      </w:r>
      <w:r w:rsidRPr="007E0BD4">
        <w:noBreakHyphen/>
        <w:t>18 Budget, finance leases are no longer deducted in the derivation of the GFS cash surplus/deficit.</w: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D775D9" w:rsidP="008045CD">
      <w:pPr>
        <w:pStyle w:val="TableHeading"/>
      </w:pPr>
      <w:r w:rsidRPr="007E0BD4">
        <w:br w:type="page"/>
      </w:r>
      <w:r w:rsidR="00B700AA" w:rsidRPr="007E0BD4">
        <w:rPr>
          <w:color w:val="0000FF"/>
        </w:rPr>
        <w:lastRenderedPageBreak/>
        <w:fldChar w:fldCharType="begin"/>
      </w:r>
      <w:r w:rsidR="00B700AA" w:rsidRPr="007E0BD4">
        <w:rPr>
          <w:color w:val="0000FF"/>
        </w:rPr>
        <w:instrText xml:space="preserve"> :Start:FARM_PGOTO1 </w:instrText>
      </w:r>
      <w:r w:rsidR="00B700AA" w:rsidRPr="007E0BD4">
        <w:rPr>
          <w:color w:val="0000FF"/>
        </w:rPr>
        <w:fldChar w:fldCharType="end"/>
      </w:r>
      <w:r w:rsidRPr="007E0BD4">
        <w:t>Table B7: Australian Government total non</w:t>
      </w:r>
      <w:r w:rsidR="0072048E" w:rsidRPr="007E0BD4">
        <w:noBreakHyphen/>
      </w:r>
      <w:r w:rsidRPr="007E0BD4">
        <w:t>financial pu</w:t>
      </w:r>
      <w:r w:rsidR="006B18E0" w:rsidRPr="007E0BD4">
        <w:t>blic sector operating statement</w:t>
      </w:r>
    </w:p>
    <w:p w:rsidR="00D775D9" w:rsidRPr="007E0BD4" w:rsidRDefault="00963E3B" w:rsidP="008559BD">
      <w:pPr>
        <w:pStyle w:val="TableGraphic"/>
      </w:pPr>
      <w:r w:rsidRPr="007E0BD4">
        <w:object w:dxaOrig="7707" w:dyaOrig="9653">
          <v:shape id="_x0000_i1034" type="#_x0000_t75" style="width:385.15pt;height:482.95pt" o:ole="">
            <v:imagedata r:id="rId33" o:title=""/>
          </v:shape>
          <o:OLEObject Type="Link" ProgID="Excel.SheetMacroEnabled.12" ShapeID="_x0000_i1034" DrawAspect="Content" r:id="rId34" UpdateMode="Always">
            <o:LinkType>EnhancedMetaFile</o:LinkType>
            <o:LockedField/>
          </o:OLEObject>
        </w:object>
      </w:r>
    </w:p>
    <w:p w:rsidR="00D775D9" w:rsidRPr="007E0BD4" w:rsidRDefault="00D775D9" w:rsidP="00116B16">
      <w:pPr>
        <w:pStyle w:val="ChartandTableFootnoteAlpha"/>
        <w:numPr>
          <w:ilvl w:val="0"/>
          <w:numId w:val="34"/>
        </w:numPr>
      </w:pPr>
      <w:r w:rsidRPr="007E0BD4">
        <w:t xml:space="preserve">Consistent with </w:t>
      </w:r>
      <w:r w:rsidR="00E5435C" w:rsidRPr="007E0BD4">
        <w:t xml:space="preserve">the </w:t>
      </w:r>
      <w:r w:rsidRPr="007E0BD4">
        <w:t>ABS GFS classification, other employee related expenses are reported under other operating expenses. Total employee expenses equal wages and salaries plus other operating expenses.</w:t>
      </w:r>
    </w:p>
    <w:p w:rsidR="008045CD" w:rsidRPr="007E0BD4" w:rsidRDefault="00D775D9" w:rsidP="0072048E">
      <w:pPr>
        <w:pStyle w:val="ChartandTableFootnoteAlpha"/>
      </w:pPr>
      <w:r w:rsidRPr="007E0BD4">
        <w:t>The term fiscal balance is not used by the ABS.</w: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D775D9" w:rsidP="008045CD">
      <w:pPr>
        <w:pStyle w:val="TableHeading"/>
      </w:pPr>
      <w:r w:rsidRPr="007E0BD4">
        <w:br w:type="page"/>
      </w:r>
      <w:r w:rsidR="00B700AA" w:rsidRPr="007E0BD4">
        <w:rPr>
          <w:color w:val="0000FF"/>
        </w:rPr>
        <w:lastRenderedPageBreak/>
        <w:fldChar w:fldCharType="begin"/>
      </w:r>
      <w:r w:rsidR="00B700AA" w:rsidRPr="007E0BD4">
        <w:rPr>
          <w:color w:val="0000FF"/>
        </w:rPr>
        <w:instrText xml:space="preserve"> :Start:FARM_PGOTO1 </w:instrText>
      </w:r>
      <w:r w:rsidR="00B700AA" w:rsidRPr="007E0BD4">
        <w:rPr>
          <w:color w:val="0000FF"/>
        </w:rPr>
        <w:fldChar w:fldCharType="end"/>
      </w:r>
      <w:r w:rsidRPr="007E0BD4">
        <w:t>Table B8: Australian Government total non</w:t>
      </w:r>
      <w:r w:rsidR="0072048E" w:rsidRPr="007E0BD4">
        <w:noBreakHyphen/>
      </w:r>
      <w:r w:rsidRPr="007E0BD4">
        <w:t>financial public sector balance sheet</w:t>
      </w:r>
    </w:p>
    <w:p w:rsidR="00D775D9" w:rsidRPr="007E0BD4" w:rsidRDefault="00A71970" w:rsidP="00A71970">
      <w:pPr>
        <w:pStyle w:val="TableGraphic"/>
      </w:pPr>
      <w:r w:rsidRPr="007E0BD4">
        <w:object w:dxaOrig="7707" w:dyaOrig="7605">
          <v:shape id="_x0000_i1035" type="#_x0000_t75" style="width:385.15pt;height:380.4pt" o:ole="">
            <v:imagedata r:id="rId35" o:title=""/>
          </v:shape>
          <o:OLEObject Type="Link" ProgID="Excel.SheetMacroEnabled.12" ShapeID="_x0000_i1035" DrawAspect="Content" r:id="rId36" UpdateMode="Always">
            <o:LinkType>EnhancedMetaFile</o:LinkType>
            <o:LockedField/>
          </o:OLEObject>
        </w:object>
      </w:r>
    </w:p>
    <w:p w:rsidR="00D775D9" w:rsidRPr="007E0BD4" w:rsidRDefault="00D775D9" w:rsidP="00116B16">
      <w:pPr>
        <w:pStyle w:val="ChartandTableFootnoteAlpha"/>
        <w:numPr>
          <w:ilvl w:val="0"/>
          <w:numId w:val="35"/>
        </w:numPr>
      </w:pPr>
      <w:r w:rsidRPr="007E0BD4">
        <w:t>Under AASB 1049, net worth is calculated as total assets minus total liabilities. Under ABS GFS, net worth is calculated as total assets minus total liabilities minus shares and other contributed capital. The AASB 1049 method is used in this table.</w:t>
      </w:r>
    </w:p>
    <w:p w:rsidR="00D775D9" w:rsidRPr="007E0BD4" w:rsidRDefault="00D775D9" w:rsidP="00D775D9">
      <w:pPr>
        <w:pStyle w:val="ChartandTableFootnoteAlpha"/>
      </w:pPr>
      <w:r w:rsidRPr="007E0BD4">
        <w:t>Under AASB 1049, net financial worth equals total financial assets minus total liabilities. Under ABS GFS, net financial worth equals total financial assets minus total liabilities minus shares and other contributed capital. The AASB 1049 method is used in this table.</w:t>
      </w:r>
    </w:p>
    <w:p w:rsidR="008045CD" w:rsidRPr="007E0BD4" w:rsidRDefault="00D775D9" w:rsidP="0072048E">
      <w:pPr>
        <w:pStyle w:val="ChartandTableFootnoteAlpha"/>
      </w:pPr>
      <w:r w:rsidRPr="007E0BD4">
        <w:t>Net debt equals the sum of deposits held, advances received, government securities, loans and other borrowing, minus the sum of cash and deposits, advances paid and investments, loans and placements.</w: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D775D9" w:rsidP="008045CD">
      <w:pPr>
        <w:pStyle w:val="TableHeading"/>
      </w:pPr>
      <w:r w:rsidRPr="007E0BD4">
        <w:br w:type="page"/>
      </w:r>
      <w:r w:rsidR="00B700AA" w:rsidRPr="007E0BD4">
        <w:rPr>
          <w:color w:val="0000FF"/>
        </w:rPr>
        <w:lastRenderedPageBreak/>
        <w:fldChar w:fldCharType="begin"/>
      </w:r>
      <w:r w:rsidR="00B700AA" w:rsidRPr="007E0BD4">
        <w:rPr>
          <w:color w:val="0000FF"/>
        </w:rPr>
        <w:instrText xml:space="preserve"> :Start:FARM_PGOTO1 </w:instrText>
      </w:r>
      <w:r w:rsidR="00B700AA" w:rsidRPr="007E0BD4">
        <w:rPr>
          <w:color w:val="0000FF"/>
        </w:rPr>
        <w:fldChar w:fldCharType="end"/>
      </w:r>
      <w:r w:rsidRPr="007E0BD4">
        <w:t>Table B9: Australian Government total non</w:t>
      </w:r>
      <w:r w:rsidR="0072048E" w:rsidRPr="007E0BD4">
        <w:noBreakHyphen/>
      </w:r>
      <w:r w:rsidRPr="007E0BD4">
        <w:t>financial public sector cash flow statement</w:t>
      </w:r>
      <w:r w:rsidRPr="007E0BD4">
        <w:rPr>
          <w:rFonts w:ascii="Arial Bold" w:hAnsi="Arial Bold"/>
          <w:vertAlign w:val="superscript"/>
        </w:rPr>
        <w:t>(a)</w:t>
      </w:r>
    </w:p>
    <w:p w:rsidR="00D775D9" w:rsidRPr="007E0BD4" w:rsidRDefault="00963E3B" w:rsidP="008559BD">
      <w:pPr>
        <w:pStyle w:val="TableGraphic"/>
      </w:pPr>
      <w:r w:rsidRPr="007E0BD4">
        <w:object w:dxaOrig="7707" w:dyaOrig="9561">
          <v:shape id="_x0000_i1036" type="#_x0000_t75" style="width:385.15pt;height:478.2pt" o:ole="">
            <v:imagedata r:id="rId37" o:title=""/>
          </v:shape>
          <o:OLEObject Type="Link" ProgID="Excel.SheetMacroEnabled.12" ShapeID="_x0000_i1036" DrawAspect="Content" r:id="rId38" UpdateMode="Always">
            <o:LinkType>EnhancedMetaFile</o:LinkType>
            <o:LockedField/>
          </o:OLEObject>
        </w:object>
      </w:r>
    </w:p>
    <w:p w:rsidR="00D775D9" w:rsidRPr="007E0BD4" w:rsidRDefault="00D775D9" w:rsidP="00116B16">
      <w:pPr>
        <w:pStyle w:val="ChartandTableFootnoteAlpha"/>
        <w:numPr>
          <w:ilvl w:val="0"/>
          <w:numId w:val="36"/>
        </w:numPr>
      </w:pPr>
      <w:r w:rsidRPr="007E0BD4">
        <w:t>A positive number denotes a cash inflow; a negative number denotes a cash outflow.</w:t>
      </w:r>
    </w:p>
    <w:p w:rsidR="008045CD" w:rsidRPr="007E0BD4" w:rsidRDefault="00BA257B" w:rsidP="0072048E">
      <w:pPr>
        <w:pStyle w:val="ChartandTableFootnoteAlpha"/>
      </w:pPr>
      <w:r w:rsidRPr="007E0BD4">
        <w:t>Due to the implementation of the 2015 ABS GFS</w:t>
      </w:r>
      <w:r w:rsidR="00E5435C" w:rsidRPr="007E0BD4">
        <w:t xml:space="preserve"> Manual</w:t>
      </w:r>
      <w:r w:rsidR="004C7A85" w:rsidRPr="007E0BD4">
        <w:t>, from the 2017</w:t>
      </w:r>
      <w:r w:rsidR="004C7A85" w:rsidRPr="007E0BD4">
        <w:noBreakHyphen/>
        <w:t>18</w:t>
      </w:r>
      <w:r w:rsidR="00E5435C" w:rsidRPr="007E0BD4">
        <w:t xml:space="preserve"> Budget</w:t>
      </w:r>
      <w:r w:rsidR="004C7A85" w:rsidRPr="007E0BD4">
        <w:t>, finance leases are no longer deducted in the derivation of the GFS cash surplus/deficit.</w: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D775D9" w:rsidP="007271E1">
      <w:pPr>
        <w:pStyle w:val="TableHeading"/>
      </w:pPr>
      <w:r w:rsidRPr="007E0BD4">
        <w:br w:type="page"/>
      </w:r>
      <w:r w:rsidR="00B700AA" w:rsidRPr="007E0BD4">
        <w:rPr>
          <w:color w:val="0000FF"/>
        </w:rPr>
        <w:lastRenderedPageBreak/>
        <w:fldChar w:fldCharType="begin"/>
      </w:r>
      <w:r w:rsidR="00B700AA" w:rsidRPr="007E0BD4">
        <w:rPr>
          <w:color w:val="0000FF"/>
        </w:rPr>
        <w:instrText xml:space="preserve"> :Start:FARM_PGOTO1 </w:instrText>
      </w:r>
      <w:r w:rsidR="00B700AA" w:rsidRPr="007E0BD4">
        <w:rPr>
          <w:color w:val="0000FF"/>
        </w:rPr>
        <w:fldChar w:fldCharType="end"/>
      </w:r>
      <w:r w:rsidRPr="007E0BD4">
        <w:t>Table B10: Australia Government public financial corporations sector operating statement</w:t>
      </w:r>
    </w:p>
    <w:p w:rsidR="00D775D9" w:rsidRPr="007E0BD4" w:rsidRDefault="00AF2198" w:rsidP="008559BD">
      <w:pPr>
        <w:pStyle w:val="TableGraphic"/>
      </w:pPr>
      <w:r w:rsidRPr="007E0BD4">
        <w:object w:dxaOrig="7707" w:dyaOrig="7937">
          <v:shape id="_x0000_i1037" type="#_x0000_t75" style="width:385.15pt;height:396.7pt" o:ole="">
            <v:imagedata r:id="rId39" o:title=""/>
          </v:shape>
          <o:OLEObject Type="Link" ProgID="Excel.SheetMacroEnabled.12" ShapeID="_x0000_i1037" DrawAspect="Content" r:id="rId40" UpdateMode="Always">
            <o:LinkType>EnhancedMetaFile</o:LinkType>
            <o:LockedField/>
          </o:OLEObject>
        </w:object>
      </w:r>
    </w:p>
    <w:p w:rsidR="00D775D9" w:rsidRPr="007E0BD4" w:rsidRDefault="00D775D9" w:rsidP="00116B16">
      <w:pPr>
        <w:pStyle w:val="ChartandTableFootnoteAlpha"/>
        <w:numPr>
          <w:ilvl w:val="0"/>
          <w:numId w:val="37"/>
        </w:numPr>
      </w:pPr>
      <w:r w:rsidRPr="007E0BD4">
        <w:t xml:space="preserve">Consistent with </w:t>
      </w:r>
      <w:r w:rsidR="00E5435C" w:rsidRPr="007E0BD4">
        <w:t xml:space="preserve">the </w:t>
      </w:r>
      <w:r w:rsidRPr="007E0BD4">
        <w:t>ABS GFS classification, other employee related expenses</w:t>
      </w:r>
      <w:r w:rsidR="00A2266E" w:rsidRPr="007E0BD4">
        <w:t xml:space="preserve"> are reported under</w:t>
      </w:r>
      <w:r w:rsidRPr="007E0BD4">
        <w:t xml:space="preserve"> other operating expenses. Total employee expenses equal wages and salaries plus other operating expenses.</w:t>
      </w:r>
    </w:p>
    <w:p w:rsidR="008045CD" w:rsidRPr="007E0BD4" w:rsidRDefault="00D775D9" w:rsidP="0072048E">
      <w:pPr>
        <w:pStyle w:val="ChartandTableFootnoteAlpha"/>
        <w:numPr>
          <w:ilvl w:val="0"/>
          <w:numId w:val="25"/>
        </w:numPr>
      </w:pPr>
      <w:r w:rsidRPr="007E0BD4">
        <w:t>The term fiscal balance is not used by the ABS.</w: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D775D9" w:rsidP="008045CD">
      <w:pPr>
        <w:pStyle w:val="TableHeading"/>
      </w:pPr>
      <w:r w:rsidRPr="007E0BD4">
        <w:br w:type="page"/>
      </w:r>
      <w:r w:rsidR="00B700AA" w:rsidRPr="007E0BD4">
        <w:rPr>
          <w:color w:val="0000FF"/>
        </w:rPr>
        <w:lastRenderedPageBreak/>
        <w:fldChar w:fldCharType="begin"/>
      </w:r>
      <w:r w:rsidR="00B700AA" w:rsidRPr="007E0BD4">
        <w:rPr>
          <w:color w:val="0000FF"/>
        </w:rPr>
        <w:instrText xml:space="preserve"> :Start:FARM_PGOTO1 </w:instrText>
      </w:r>
      <w:r w:rsidR="00B700AA" w:rsidRPr="007E0BD4">
        <w:rPr>
          <w:color w:val="0000FF"/>
        </w:rPr>
        <w:fldChar w:fldCharType="end"/>
      </w:r>
      <w:r w:rsidRPr="007E0BD4">
        <w:t>Table B11: Australian Government public financial corporations sector balance sheet</w:t>
      </w:r>
      <w:r w:rsidRPr="007E0BD4">
        <w:rPr>
          <w:rFonts w:ascii="Arial Bold" w:hAnsi="Arial Bold"/>
          <w:vertAlign w:val="superscript"/>
        </w:rPr>
        <w:t>(a)</w:t>
      </w:r>
    </w:p>
    <w:p w:rsidR="00D775D9" w:rsidRPr="007E0BD4" w:rsidRDefault="00A71970" w:rsidP="00A71970">
      <w:pPr>
        <w:pStyle w:val="TableGraphic"/>
      </w:pPr>
      <w:r w:rsidRPr="007E0BD4">
        <w:object w:dxaOrig="7707" w:dyaOrig="6898">
          <v:shape id="_x0000_i1038" type="#_x0000_t75" style="width:385.15pt;height:345.05pt" o:ole="">
            <v:imagedata r:id="rId41" o:title=""/>
          </v:shape>
          <o:OLEObject Type="Link" ProgID="Excel.SheetMacroEnabled.12" ShapeID="_x0000_i1038" DrawAspect="Content" r:id="rId42" UpdateMode="Always">
            <o:LinkType>EnhancedMetaFile</o:LinkType>
            <o:LockedField/>
          </o:OLEObject>
        </w:object>
      </w:r>
    </w:p>
    <w:p w:rsidR="001200AE" w:rsidRPr="007E0BD4" w:rsidRDefault="00D775D9" w:rsidP="00116B16">
      <w:pPr>
        <w:pStyle w:val="ChartandTableFootnoteAlpha"/>
        <w:numPr>
          <w:ilvl w:val="0"/>
          <w:numId w:val="38"/>
        </w:numPr>
      </w:pPr>
      <w:r w:rsidRPr="007E0BD4">
        <w:t>Assumes no valuation or currency movement</w:t>
      </w:r>
      <w:r w:rsidR="001200AE" w:rsidRPr="007E0BD4">
        <w:t>.</w:t>
      </w:r>
    </w:p>
    <w:p w:rsidR="00D775D9" w:rsidRPr="007E0BD4" w:rsidRDefault="004C7A85" w:rsidP="00116B16">
      <w:pPr>
        <w:pStyle w:val="ChartandTableFootnoteAlpha"/>
        <w:numPr>
          <w:ilvl w:val="0"/>
          <w:numId w:val="38"/>
        </w:numPr>
      </w:pPr>
      <w:r w:rsidRPr="007E0BD4">
        <w:t>In the 2017</w:t>
      </w:r>
      <w:r w:rsidRPr="007E0BD4">
        <w:noBreakHyphen/>
        <w:t>18 Budget, the estimate of intangible produced assets was reclassified from land and other fixed assets to other non-financial assets to provide consistency across sectors</w:t>
      </w:r>
      <w:r w:rsidR="00D775D9" w:rsidRPr="007E0BD4">
        <w:t>.</w:t>
      </w:r>
    </w:p>
    <w:p w:rsidR="00D775D9" w:rsidRPr="007E0BD4" w:rsidRDefault="00D775D9" w:rsidP="00D775D9">
      <w:pPr>
        <w:pStyle w:val="ChartandTableFootnoteAlpha"/>
        <w:numPr>
          <w:ilvl w:val="0"/>
          <w:numId w:val="25"/>
        </w:numPr>
      </w:pPr>
      <w:r w:rsidRPr="007E0BD4">
        <w:t>Excludes the impact of commercial taxation adjustments.</w:t>
      </w:r>
    </w:p>
    <w:p w:rsidR="00D775D9" w:rsidRPr="007E0BD4" w:rsidRDefault="00D775D9" w:rsidP="00D775D9">
      <w:pPr>
        <w:pStyle w:val="ChartandTableFootnoteAlpha"/>
        <w:numPr>
          <w:ilvl w:val="0"/>
          <w:numId w:val="25"/>
        </w:numPr>
      </w:pPr>
      <w:r w:rsidRPr="007E0BD4">
        <w:t>Under AASB</w:t>
      </w:r>
      <w:r w:rsidR="00E5435C" w:rsidRPr="007E0BD4">
        <w:t xml:space="preserve"> </w:t>
      </w:r>
      <w:r w:rsidRPr="007E0BD4">
        <w:t>1049, net worth is calculated as total assets minus total liabilities. Under ABS GFS, net worth is calculated as total assets minus total liabilities minus shares and other contributed capital. The AASB 1049 method is used in this table.</w:t>
      </w:r>
    </w:p>
    <w:p w:rsidR="00D775D9" w:rsidRPr="007E0BD4" w:rsidRDefault="00D775D9" w:rsidP="00D775D9">
      <w:pPr>
        <w:pStyle w:val="ChartandTableFootnoteAlpha"/>
        <w:numPr>
          <w:ilvl w:val="0"/>
          <w:numId w:val="25"/>
        </w:numPr>
      </w:pPr>
      <w:r w:rsidRPr="007E0BD4">
        <w:t>Under AASB</w:t>
      </w:r>
      <w:r w:rsidR="00E5435C" w:rsidRPr="007E0BD4">
        <w:t xml:space="preserve"> </w:t>
      </w:r>
      <w:r w:rsidRPr="007E0BD4">
        <w:t>1049, net financial worth equals total financial assets minus total liabilities. Under ABS GFS, net financial worth equals total financial assets minus total liabilities minus shares and other contributed capital. The AASB 1049 method is used in this table.</w:t>
      </w:r>
    </w:p>
    <w:p w:rsidR="008045CD" w:rsidRPr="007E0BD4" w:rsidRDefault="00D775D9" w:rsidP="0072048E">
      <w:pPr>
        <w:pStyle w:val="ChartandTableFootnoteAlpha"/>
        <w:numPr>
          <w:ilvl w:val="0"/>
          <w:numId w:val="25"/>
        </w:numPr>
      </w:pPr>
      <w:r w:rsidRPr="007E0BD4">
        <w:t>Net debt equals the sum of deposits held and borrowing, minus the sum of cash and deposits</w:t>
      </w:r>
      <w:r w:rsidR="0080458E" w:rsidRPr="007E0BD4">
        <w:t>, advances paid</w:t>
      </w:r>
      <w:r w:rsidRPr="007E0BD4">
        <w:t xml:space="preserve"> and investments, loans and placements.</w: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D775D9" w:rsidP="008045CD">
      <w:pPr>
        <w:pStyle w:val="TableHeading"/>
        <w:rPr>
          <w:rFonts w:ascii="Arial Bold" w:hAnsi="Arial Bold"/>
          <w:vertAlign w:val="superscript"/>
        </w:rPr>
      </w:pPr>
      <w:r w:rsidRPr="007E0BD4">
        <w:br w:type="page"/>
      </w:r>
      <w:r w:rsidR="00B700AA" w:rsidRPr="007E0BD4">
        <w:rPr>
          <w:color w:val="0000FF"/>
        </w:rPr>
        <w:lastRenderedPageBreak/>
        <w:fldChar w:fldCharType="begin"/>
      </w:r>
      <w:r w:rsidR="00B700AA" w:rsidRPr="007E0BD4">
        <w:rPr>
          <w:color w:val="0000FF"/>
        </w:rPr>
        <w:instrText xml:space="preserve"> :Start:FARM_PGOTO1 </w:instrText>
      </w:r>
      <w:r w:rsidR="00B700AA" w:rsidRPr="007E0BD4">
        <w:rPr>
          <w:color w:val="0000FF"/>
        </w:rPr>
        <w:fldChar w:fldCharType="end"/>
      </w:r>
      <w:r w:rsidRPr="007E0BD4">
        <w:t>Table B12: Australian Government public financial corporations sector cash flow</w:t>
      </w:r>
      <w:r w:rsidR="00A81468" w:rsidRPr="007E0BD4">
        <w:t xml:space="preserve"> </w:t>
      </w:r>
      <w:r w:rsidRPr="007E0BD4">
        <w:t>statement</w:t>
      </w:r>
      <w:r w:rsidRPr="007E0BD4">
        <w:rPr>
          <w:rFonts w:ascii="Arial Bold" w:hAnsi="Arial Bold"/>
          <w:vertAlign w:val="superscript"/>
        </w:rPr>
        <w:t>(a)</w:t>
      </w:r>
    </w:p>
    <w:p w:rsidR="00D775D9" w:rsidRPr="007E0BD4" w:rsidRDefault="002D76B1" w:rsidP="008559BD">
      <w:pPr>
        <w:pStyle w:val="TableGraphic"/>
      </w:pPr>
      <w:r w:rsidRPr="007E0BD4">
        <w:object w:dxaOrig="7707" w:dyaOrig="9624">
          <v:shape id="_x0000_i1039" type="#_x0000_t75" style="width:385.15pt;height:480.9pt" o:ole="">
            <v:imagedata r:id="rId43" o:title=""/>
          </v:shape>
          <o:OLEObject Type="Link" ProgID="Excel.SheetMacroEnabled.12" ShapeID="_x0000_i1039" DrawAspect="Content" r:id="rId44" UpdateMode="Always">
            <o:LinkType>EnhancedMetaFile</o:LinkType>
            <o:LockedField/>
          </o:OLEObject>
        </w:object>
      </w:r>
    </w:p>
    <w:p w:rsidR="0080458E" w:rsidRPr="007E0BD4" w:rsidRDefault="00B47E35" w:rsidP="0080458E">
      <w:pPr>
        <w:pStyle w:val="ChartandTableFootnoteAlpha"/>
        <w:numPr>
          <w:ilvl w:val="0"/>
          <w:numId w:val="50"/>
        </w:numPr>
      </w:pPr>
      <w:r w:rsidRPr="007E0BD4">
        <w:t>A positive number denotes a cash inflow; a negative number denotes a cash outflow.</w:t>
      </w:r>
    </w:p>
    <w:p w:rsidR="00823007" w:rsidRPr="007E0BD4" w:rsidRDefault="00823007" w:rsidP="00204A29">
      <w:pPr>
        <w:pStyle w:val="ChartandTableFootnoteAlpha"/>
        <w:numPr>
          <w:ilvl w:val="0"/>
          <w:numId w:val="50"/>
        </w:numPr>
      </w:pPr>
      <w:r w:rsidRPr="007E0BD4">
        <w:t>Other employee related payments are reported under other payments consistent with the treatment in the general government sector.</w:t>
      </w:r>
    </w:p>
    <w:p w:rsidR="00B47E35" w:rsidRPr="007E0BD4" w:rsidRDefault="001200AE" w:rsidP="00204A29">
      <w:pPr>
        <w:pStyle w:val="ChartandTableFootnoteAlpha"/>
        <w:numPr>
          <w:ilvl w:val="0"/>
          <w:numId w:val="50"/>
        </w:numPr>
      </w:pPr>
      <w:r w:rsidRPr="007E0BD4">
        <w:t>Due to the implementation of the 2015 ABS GFS Manual, from the 2017</w:t>
      </w:r>
      <w:r w:rsidR="00E5435C" w:rsidRPr="007E0BD4">
        <w:t>-</w:t>
      </w:r>
      <w:r w:rsidRPr="007E0BD4">
        <w:t>18 Budget, finance leases are no longer deducted in the derivation of the GFS cash surplus/deficit.</w:t>
      </w:r>
    </w:p>
    <w:p w:rsidR="003676C2" w:rsidRPr="007E0BD4" w:rsidRDefault="00B700AA" w:rsidP="003676C2">
      <w:pPr>
        <w:rPr>
          <w:color w:val="FF0000"/>
        </w:rPr>
        <w:sectPr w:rsidR="003676C2" w:rsidRPr="007E0BD4" w:rsidSect="00322A24">
          <w:headerReference w:type="even" r:id="rId45"/>
          <w:headerReference w:type="default" r:id="rId46"/>
          <w:footerReference w:type="even" r:id="rId47"/>
          <w:footerReference w:type="default" r:id="rId48"/>
          <w:footerReference w:type="first" r:id="rId49"/>
          <w:footnotePr>
            <w:numRestart w:val="eachSect"/>
          </w:footnotePr>
          <w:pgSz w:w="11907" w:h="16840" w:code="9"/>
          <w:pgMar w:top="2466" w:right="2098" w:bottom="2466" w:left="2098" w:header="1899" w:footer="1899" w:gutter="0"/>
          <w:pgNumType w:start="199"/>
          <w:cols w:space="720"/>
          <w:titlePg/>
          <w:docGrid w:linePitch="272"/>
        </w:sectPr>
      </w:pPr>
      <w:r w:rsidRPr="007E0BD4">
        <w:rPr>
          <w:color w:val="FF0000"/>
        </w:rPr>
        <w:fldChar w:fldCharType="begin"/>
      </w:r>
      <w:r w:rsidRPr="007E0BD4">
        <w:rPr>
          <w:color w:val="FF0000"/>
        </w:rPr>
        <w:instrText xml:space="preserve"> :End:FARM_PGOTO1 </w:instrText>
      </w:r>
      <w:r w:rsidRPr="007E0BD4">
        <w:rPr>
          <w:color w:val="FF0000"/>
        </w:rPr>
        <w:fldChar w:fldCharType="end"/>
      </w:r>
      <w:r w:rsidR="004C7A85" w:rsidRPr="007E0BD4">
        <w:rPr>
          <w:color w:val="FF0000"/>
        </w:rPr>
        <w:t xml:space="preserve"> </w:t>
      </w:r>
    </w:p>
    <w:p w:rsidR="00D775D9" w:rsidRPr="007E0BD4" w:rsidRDefault="00B700AA" w:rsidP="006B18E0">
      <w:pPr>
        <w:pStyle w:val="Heading2"/>
      </w:pPr>
      <w:r w:rsidRPr="007E0BD4">
        <w:lastRenderedPageBreak/>
        <w:fldChar w:fldCharType="begin"/>
      </w:r>
      <w:r w:rsidRPr="007E0BD4">
        <w:instrText xml:space="preserve"> :Start:FARM_PGOTO1 </w:instrText>
      </w:r>
      <w:r w:rsidRPr="007E0BD4">
        <w:fldChar w:fldCharType="end"/>
      </w:r>
      <w:r w:rsidR="00D775D9" w:rsidRPr="007E0BD4">
        <w:t>Notes to the general government sector financial statements</w:t>
      </w:r>
    </w:p>
    <w:p w:rsidR="00D775D9" w:rsidRPr="007E0BD4" w:rsidRDefault="00D775D9" w:rsidP="009E2315">
      <w:pPr>
        <w:pStyle w:val="NoteHeading1"/>
      </w:pPr>
      <w:bookmarkStart w:id="2" w:name="OLE_LINK2"/>
      <w:bookmarkStart w:id="3" w:name="OLE_LINK3"/>
      <w:r w:rsidRPr="007E0BD4">
        <w:t>Note 1: External reporting standards and accounting policies</w:t>
      </w:r>
    </w:p>
    <w:bookmarkEnd w:id="2"/>
    <w:bookmarkEnd w:id="3"/>
    <w:p w:rsidR="00D775D9" w:rsidRPr="007E0BD4" w:rsidRDefault="00D775D9" w:rsidP="009E2315">
      <w:r w:rsidRPr="007E0BD4">
        <w:t xml:space="preserve">The </w:t>
      </w:r>
      <w:r w:rsidRPr="007E0BD4">
        <w:rPr>
          <w:i/>
        </w:rPr>
        <w:t>Charter of Budget Honesty Act 1998</w:t>
      </w:r>
      <w:r w:rsidRPr="007E0BD4">
        <w:t xml:space="preserve"> (the Charter) requires that the </w:t>
      </w:r>
      <w:r w:rsidR="008C0B5E" w:rsidRPr="007E0BD4">
        <w:t>Mid</w:t>
      </w:r>
      <w:r w:rsidR="0072048E" w:rsidRPr="007E0BD4">
        <w:noBreakHyphen/>
      </w:r>
      <w:r w:rsidR="008C0B5E" w:rsidRPr="007E0BD4">
        <w:t>Year Economic and Fiscal Outlook (</w:t>
      </w:r>
      <w:r w:rsidRPr="007E0BD4">
        <w:t>MYEFO</w:t>
      </w:r>
      <w:r w:rsidR="008C0B5E" w:rsidRPr="007E0BD4">
        <w:t>)</w:t>
      </w:r>
      <w:r w:rsidRPr="007E0BD4">
        <w:t xml:space="preserve"> be based on external reporting standards and that departures from applicable external reporting standards be identified.</w:t>
      </w:r>
    </w:p>
    <w:p w:rsidR="00D775D9" w:rsidRPr="007E0BD4" w:rsidRDefault="00D775D9" w:rsidP="009E2315">
      <w:r w:rsidRPr="007E0BD4">
        <w:t>The external standards used for MYEFO reporting purposes are:</w:t>
      </w:r>
    </w:p>
    <w:p w:rsidR="00D775D9" w:rsidRPr="007E0BD4" w:rsidRDefault="00D775D9" w:rsidP="009E2315">
      <w:pPr>
        <w:pStyle w:val="Bullet"/>
      </w:pPr>
      <w:r w:rsidRPr="007E0BD4">
        <w:t>the Australian Bureau of Statistics</w:t>
      </w:r>
      <w:r w:rsidR="0072048E" w:rsidRPr="007E0BD4">
        <w:t>’</w:t>
      </w:r>
      <w:r w:rsidRPr="007E0BD4">
        <w:t xml:space="preserve"> (ABS) accrual Government Finance Statistics (GFS) publication, </w:t>
      </w:r>
      <w:r w:rsidRPr="007E0BD4">
        <w:rPr>
          <w:i/>
        </w:rPr>
        <w:t xml:space="preserve">Australian System </w:t>
      </w:r>
      <w:r w:rsidRPr="000E0FA4">
        <w:rPr>
          <w:i/>
        </w:rPr>
        <w:t>of Government</w:t>
      </w:r>
      <w:r w:rsidRPr="007E0BD4">
        <w:rPr>
          <w:i/>
        </w:rPr>
        <w:t xml:space="preserve"> Finance Statistics: Concepts, Sources and Methods, 20</w:t>
      </w:r>
      <w:r w:rsidR="002F3B8F" w:rsidRPr="007E0BD4">
        <w:rPr>
          <w:i/>
        </w:rPr>
        <w:t>1</w:t>
      </w:r>
      <w:r w:rsidRPr="007E0BD4">
        <w:rPr>
          <w:i/>
        </w:rPr>
        <w:t>5</w:t>
      </w:r>
      <w:r w:rsidRPr="007E0BD4">
        <w:t xml:space="preserve"> (cat. no. 5514.0), which in turn is based on the International Monetary Fund (IMF) accrual GFS framework</w:t>
      </w:r>
      <w:r w:rsidR="00B21395" w:rsidRPr="007E0BD4">
        <w:t>;</w:t>
      </w:r>
      <w:r w:rsidR="002F51B4" w:rsidRPr="007E0BD4">
        <w:rPr>
          <w:rStyle w:val="FootnoteReference"/>
        </w:rPr>
        <w:footnoteReference w:id="1"/>
      </w:r>
      <w:r w:rsidRPr="007E0BD4">
        <w:t xml:space="preserve"> and</w:t>
      </w:r>
    </w:p>
    <w:p w:rsidR="00D775D9" w:rsidRPr="007E0BD4" w:rsidRDefault="00D775D9" w:rsidP="009E2315">
      <w:pPr>
        <w:pStyle w:val="Bullet"/>
      </w:pPr>
      <w:r w:rsidRPr="007E0BD4">
        <w:t xml:space="preserve">the Australian Accounting Standards (AAS), issued by the Australian Accounting Standards Board (AASB), which includes International Financial Reporting Standards (IFRS) as adopted in Australia and the public sector specific standard AASB 1049 </w:t>
      </w:r>
      <w:r w:rsidRPr="007E0BD4">
        <w:rPr>
          <w:i/>
        </w:rPr>
        <w:t>Whole of Government and General Government Sector Financial Reporting</w:t>
      </w:r>
      <w:r w:rsidRPr="007E0BD4">
        <w:t>.</w:t>
      </w:r>
    </w:p>
    <w:p w:rsidR="00D775D9" w:rsidRPr="007E0BD4" w:rsidRDefault="00D775D9" w:rsidP="009E2315">
      <w:r w:rsidRPr="007E0BD4">
        <w:t>The financial statements have been prepared on an accrual basis that complies with both ABS GFS and AAS, except for departures disclosed at Note 2. A more detailed description of the AAS and ABS GFS frameworks, in addition to definitions of key terms used in these frameworks, can be found in Attachment A. Detailed accounting policies, as well as a set of notes and other disclosures, as required by AAS, are disclosed in the annual Consolidated Financial Statements.</w:t>
      </w:r>
    </w:p>
    <w:p w:rsidR="00EC719C" w:rsidRPr="007E0BD4" w:rsidRDefault="00D775D9" w:rsidP="009E2315">
      <w:r w:rsidRPr="007E0BD4">
        <w:t>Fiscal reporting focuses on the general government sector (GGS). The GGS provides public services that are mainly non</w:t>
      </w:r>
      <w:r w:rsidR="0072048E" w:rsidRPr="007E0BD4">
        <w:noBreakHyphen/>
      </w:r>
      <w:r w:rsidRPr="007E0BD4">
        <w:t>market in nature and for the collective consumption of the community, or involve the transfer or redistribution of income. These services are largely financed through taxes and other compulsory levies, user charging and external funding. This sector comprises all government departments, offices and some other bodies. In preparing financial statements for the GGS, all material transactions and balances between entities within the GGS have been eliminated.</w:t>
      </w:r>
    </w:p>
    <w:p w:rsidR="00D775D9" w:rsidRPr="007E0BD4" w:rsidRDefault="007271E1" w:rsidP="009E2315">
      <w:r w:rsidRPr="007E0BD4">
        <w:br w:type="page"/>
      </w:r>
      <w:r w:rsidR="00D775D9" w:rsidRPr="007E0BD4">
        <w:lastRenderedPageBreak/>
        <w:t>The Government</w:t>
      </w:r>
      <w:r w:rsidR="0072048E" w:rsidRPr="007E0BD4">
        <w:t>’</w:t>
      </w:r>
      <w:r w:rsidR="00D775D9" w:rsidRPr="007E0BD4">
        <w:t xml:space="preserve">s key fiscal aggregates are based on ABS GFS concepts and definitions, including the ABS GFS cash surplus/deficit and the derivation of the underlying cash balance and net financial worth. AASB 1049 requires the disclosure of other ABS GFS fiscal aggregates, including </w:t>
      </w:r>
      <w:r w:rsidR="003D7FCB" w:rsidRPr="007E0BD4">
        <w:t xml:space="preserve">the </w:t>
      </w:r>
      <w:r w:rsidR="00D775D9" w:rsidRPr="007E0BD4">
        <w:t>net operating balance, net lending/borrowing (fiscal balance) and net worth. In addition to these ABS GFS aggregates, the Uniform Presentation Framework (UPF) requires disclosure of net debt, net financial worth and net financial liabilities.</w:t>
      </w:r>
    </w:p>
    <w:p w:rsidR="009E1DAE" w:rsidRPr="007E0BD4" w:rsidRDefault="00D775D9" w:rsidP="009E2315">
      <w:r w:rsidRPr="007E0BD4">
        <w:t>AASB 1049 and the U</w:t>
      </w:r>
      <w:r w:rsidR="0077776D" w:rsidRPr="007E0BD4">
        <w:t>P</w:t>
      </w:r>
      <w:r w:rsidRPr="007E0BD4">
        <w:t>F also provide a basis for reporting of the public non</w:t>
      </w:r>
      <w:r w:rsidR="0072048E" w:rsidRPr="007E0BD4">
        <w:noBreakHyphen/>
      </w:r>
      <w:r w:rsidRPr="007E0BD4">
        <w:t>financial corporations (PNFC) and public financial corporations (PFC) sectors and the total non</w:t>
      </w:r>
      <w:r w:rsidR="0072048E" w:rsidRPr="007E0BD4">
        <w:noBreakHyphen/>
      </w:r>
      <w:r w:rsidRPr="007E0BD4">
        <w:t>financial public sector (NFPS).</w:t>
      </w:r>
    </w:p>
    <w:p w:rsidR="00D775D9" w:rsidRPr="007E0BD4" w:rsidRDefault="00D775D9" w:rsidP="009E2315">
      <w:r w:rsidRPr="007E0BD4">
        <w:t>Explanations of major variations in fiscal balance, revenue, expenses, net capital investment, cash flows, net debt, net financial worth and net worth since the 201</w:t>
      </w:r>
      <w:r w:rsidR="00305410" w:rsidRPr="007E0BD4">
        <w:t>7</w:t>
      </w:r>
      <w:r w:rsidR="00305410" w:rsidRPr="007E0BD4">
        <w:noBreakHyphen/>
        <w:t>18</w:t>
      </w:r>
      <w:r w:rsidRPr="007E0BD4">
        <w:t> Budget are disclosed in Part 3, with decisions taken since the 201</w:t>
      </w:r>
      <w:r w:rsidR="00305410" w:rsidRPr="007E0BD4">
        <w:t>7</w:t>
      </w:r>
      <w:r w:rsidR="00305410" w:rsidRPr="007E0BD4">
        <w:noBreakHyphen/>
        <w:t>18</w:t>
      </w:r>
      <w:r w:rsidRPr="007E0BD4">
        <w:t xml:space="preserve"> Budget disclosed</w:t>
      </w:r>
      <w:r w:rsidR="00056439" w:rsidRPr="007E0BD4">
        <w:t xml:space="preserve"> in Appendix A.</w:t>
      </w:r>
    </w:p>
    <w:p w:rsidR="00D775D9" w:rsidRPr="007E0BD4" w:rsidRDefault="00D775D9" w:rsidP="009E2315">
      <w:r w:rsidRPr="007E0BD4">
        <w:t>Updates to fiscal risks and contingent liabilities since the 201</w:t>
      </w:r>
      <w:r w:rsidR="004F0863" w:rsidRPr="007E0BD4">
        <w:t>7</w:t>
      </w:r>
      <w:r w:rsidR="004E653E" w:rsidRPr="007E0BD4">
        <w:noBreakHyphen/>
        <w:t>18</w:t>
      </w:r>
      <w:r w:rsidRPr="007E0BD4">
        <w:t xml:space="preserve"> Budget are disclosed in Appendix C.</w:t>
      </w:r>
    </w:p>
    <w:p w:rsidR="00D775D9" w:rsidRPr="007E0BD4" w:rsidRDefault="00D775D9" w:rsidP="009E2315">
      <w:pPr>
        <w:pStyle w:val="NoteHeading1"/>
      </w:pPr>
      <w:r w:rsidRPr="007E0BD4">
        <w:t>Note 2: Departures from external reporting standards</w:t>
      </w:r>
    </w:p>
    <w:p w:rsidR="00D775D9" w:rsidRPr="007E0BD4" w:rsidRDefault="00D775D9" w:rsidP="009E2315">
      <w:r w:rsidRPr="007E0BD4">
        <w:t>The Charter requires that departures from applicable external reporting standards be identified. The major differences between AAS and the ABS GFS treatments of transactions are outlined in Table B13.</w:t>
      </w:r>
    </w:p>
    <w:p w:rsidR="00D775D9" w:rsidRPr="007E0BD4" w:rsidRDefault="00D775D9" w:rsidP="009E2315">
      <w:r w:rsidRPr="007E0BD4">
        <w:t>AASB 1049 requires AAS measurement of items to be disclosed on the face of the financial statements with reconciliation to ABS GFS measurement of key fiscal aggregates, where different, in notes to the financial statements. Differences from the AAS measurement of items outlined above and reconciliation have not been included as they would effectively create different measures of the same aggregate.</w:t>
      </w:r>
    </w:p>
    <w:p w:rsidR="00D775D9" w:rsidRPr="007E0BD4" w:rsidRDefault="00D775D9" w:rsidP="009E2315">
      <w:r w:rsidRPr="007E0BD4">
        <w:t xml:space="preserve">Further information on the differences between the two systems is provided in the ABS publication </w:t>
      </w:r>
      <w:r w:rsidRPr="007E0BD4">
        <w:rPr>
          <w:i/>
        </w:rPr>
        <w:t>Australian System of Government Finance Statistics: Concepts, Sources and Methods, 20</w:t>
      </w:r>
      <w:r w:rsidR="004C7A85" w:rsidRPr="007E0BD4">
        <w:rPr>
          <w:i/>
        </w:rPr>
        <w:t>1</w:t>
      </w:r>
      <w:r w:rsidRPr="007E0BD4">
        <w:rPr>
          <w:i/>
        </w:rPr>
        <w:t>5</w:t>
      </w:r>
      <w:r w:rsidRPr="007E0BD4">
        <w:t xml:space="preserve"> (cat. </w:t>
      </w:r>
      <w:r w:rsidR="004C42CD" w:rsidRPr="007E0BD4">
        <w:t>n</w:t>
      </w:r>
      <w:r w:rsidRPr="007E0BD4">
        <w:t>o. 5514.0).</w:t>
      </w:r>
    </w:p>
    <w:p w:rsidR="00D775D9" w:rsidRPr="007E0BD4" w:rsidRDefault="00B700AA" w:rsidP="00D775D9">
      <w:pPr>
        <w:pStyle w:val="TableHeading"/>
      </w:pPr>
      <w:r w:rsidRPr="007E0BD4">
        <w:rPr>
          <w:color w:val="FF0000"/>
        </w:rPr>
        <w:fldChar w:fldCharType="begin"/>
      </w:r>
      <w:r w:rsidRPr="007E0BD4">
        <w:rPr>
          <w:color w:val="FF0000"/>
        </w:rPr>
        <w:instrText xml:space="preserve"> :End:FARM_PGOTO1 </w:instrText>
      </w:r>
      <w:r w:rsidRPr="007E0BD4">
        <w:rPr>
          <w:color w:val="FF0000"/>
        </w:rPr>
        <w:fldChar w:fldCharType="end"/>
      </w:r>
      <w:r w:rsidR="00D775D9" w:rsidRPr="007E0BD4">
        <w:br w:type="page"/>
      </w:r>
      <w:r w:rsidRPr="007E0BD4">
        <w:rPr>
          <w:color w:val="0000FF"/>
        </w:rPr>
        <w:lastRenderedPageBreak/>
        <w:fldChar w:fldCharType="begin"/>
      </w:r>
      <w:r w:rsidRPr="007E0BD4">
        <w:rPr>
          <w:color w:val="0000FF"/>
        </w:rPr>
        <w:instrText xml:space="preserve"> :Start:FARM_PGOTO1 </w:instrText>
      </w:r>
      <w:r w:rsidRPr="007E0BD4">
        <w:rPr>
          <w:color w:val="0000FF"/>
        </w:rPr>
        <w:fldChar w:fldCharType="end"/>
      </w:r>
      <w:r w:rsidR="00D775D9" w:rsidRPr="007E0BD4">
        <w:t>Table B13: Major differences between AAS and ABS GFS</w:t>
      </w:r>
    </w:p>
    <w:tbl>
      <w:tblPr>
        <w:tblW w:w="4894" w:type="pct"/>
        <w:tblInd w:w="8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2F2F2"/>
        <w:tblLook w:val="04A0" w:firstRow="1" w:lastRow="0" w:firstColumn="1" w:lastColumn="0" w:noHBand="0" w:noVBand="1"/>
      </w:tblPr>
      <w:tblGrid>
        <w:gridCol w:w="1453"/>
        <w:gridCol w:w="2656"/>
        <w:gridCol w:w="2657"/>
        <w:gridCol w:w="993"/>
      </w:tblGrid>
      <w:tr w:rsidR="00D775D9" w:rsidRPr="007E0BD4" w:rsidTr="007271E1">
        <w:trPr>
          <w:trHeight w:val="450"/>
          <w:tblHeader/>
        </w:trPr>
        <w:tc>
          <w:tcPr>
            <w:tcW w:w="936"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ColumnHeading"/>
              <w:keepNext/>
              <w:rPr>
                <w:rFonts w:cs="Arial"/>
              </w:rPr>
            </w:pPr>
            <w:r w:rsidRPr="007E0BD4">
              <w:rPr>
                <w:rFonts w:cs="Arial"/>
              </w:rPr>
              <w:t>Issue</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ColumnHeading"/>
              <w:keepNext/>
              <w:rPr>
                <w:rFonts w:cs="Arial"/>
              </w:rPr>
            </w:pPr>
            <w:r w:rsidRPr="007E0BD4">
              <w:rPr>
                <w:rFonts w:cs="Arial"/>
              </w:rPr>
              <w:t>AAS treatment</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ColumnHeading"/>
              <w:keepNext/>
              <w:rPr>
                <w:rFonts w:cs="Arial"/>
              </w:rPr>
            </w:pPr>
            <w:r w:rsidRPr="007E0BD4">
              <w:rPr>
                <w:rFonts w:cs="Arial"/>
              </w:rPr>
              <w:t>ABS GFS treatment</w:t>
            </w:r>
            <w:r w:rsidR="00CA6B57" w:rsidRPr="007E0BD4">
              <w:rPr>
                <w:rStyle w:val="FootnoteReference"/>
                <w:rFonts w:cs="Arial"/>
              </w:rPr>
              <w:footnoteReference w:id="2"/>
            </w:r>
          </w:p>
        </w:tc>
        <w:tc>
          <w:tcPr>
            <w:tcW w:w="640"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ColumnHeading"/>
              <w:keepNext/>
              <w:rPr>
                <w:rFonts w:cs="Arial"/>
              </w:rPr>
            </w:pPr>
            <w:r w:rsidRPr="007E0BD4">
              <w:rPr>
                <w:rFonts w:cs="Arial"/>
              </w:rPr>
              <w:t>Treatment adopted</w:t>
            </w:r>
          </w:p>
        </w:tc>
      </w:tr>
      <w:tr w:rsidR="00D775D9" w:rsidRPr="007E0BD4" w:rsidTr="007271E1">
        <w:trPr>
          <w:trHeight w:val="625"/>
        </w:trPr>
        <w:tc>
          <w:tcPr>
            <w:tcW w:w="936"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 xml:space="preserve">Circulating coins — </w:t>
            </w:r>
            <w:r w:rsidRPr="007E0BD4">
              <w:rPr>
                <w:rFonts w:cs="Arial"/>
                <w:bCs/>
              </w:rPr>
              <w:t>seigniorage</w:t>
            </w:r>
            <w:r w:rsidRPr="007E0BD4">
              <w:rPr>
                <w:rFonts w:cs="Arial"/>
              </w:rPr>
              <w:t xml:space="preserve"> </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The profit between the cost and sale of circulating coins (seigniorage) is treated as revenue.</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7A1B2B">
            <w:pPr>
              <w:pStyle w:val="TableTextLeft"/>
              <w:rPr>
                <w:rFonts w:cs="Arial"/>
              </w:rPr>
            </w:pPr>
            <w:r w:rsidRPr="007E0BD4">
              <w:rPr>
                <w:rFonts w:cs="Arial"/>
              </w:rPr>
              <w:t xml:space="preserve">Circulating coins </w:t>
            </w:r>
            <w:r w:rsidR="007A1B2B" w:rsidRPr="007E0BD4">
              <w:rPr>
                <w:rFonts w:cs="Arial"/>
              </w:rPr>
              <w:t xml:space="preserve">is </w:t>
            </w:r>
            <w:r w:rsidRPr="007E0BD4">
              <w:rPr>
                <w:rFonts w:cs="Arial"/>
              </w:rPr>
              <w:t>treated as a liability, and the cost of producing the coins is treated as an expense.</w:t>
            </w:r>
          </w:p>
        </w:tc>
        <w:tc>
          <w:tcPr>
            <w:tcW w:w="640"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AAS</w:t>
            </w:r>
          </w:p>
        </w:tc>
      </w:tr>
      <w:tr w:rsidR="00D775D9" w:rsidRPr="007E0BD4" w:rsidTr="007271E1">
        <w:trPr>
          <w:trHeight w:val="943"/>
        </w:trPr>
        <w:tc>
          <w:tcPr>
            <w:tcW w:w="936" w:type="pct"/>
            <w:tcBorders>
              <w:top w:val="single" w:sz="18" w:space="0" w:color="FFFFFF"/>
              <w:left w:val="single" w:sz="18" w:space="0" w:color="FFFFFF"/>
              <w:bottom w:val="single" w:sz="18" w:space="0" w:color="FFFFFF"/>
              <w:right w:val="single" w:sz="18" w:space="0" w:color="FFFFFF"/>
            </w:tcBorders>
            <w:shd w:val="clear" w:color="auto" w:fill="F2F2F2"/>
          </w:tcPr>
          <w:p w:rsidR="00D775D9" w:rsidRPr="007E0BD4" w:rsidRDefault="00CC2A53" w:rsidP="006D22F5">
            <w:pPr>
              <w:pStyle w:val="TableTextLeft"/>
              <w:rPr>
                <w:rFonts w:cs="Arial"/>
              </w:rPr>
            </w:pPr>
            <w:r w:rsidRPr="007E0BD4">
              <w:rPr>
                <w:rFonts w:cs="Arial"/>
              </w:rPr>
              <w:t>Valuation changes in assets and liabilities</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tcPr>
          <w:p w:rsidR="00D775D9" w:rsidRPr="007E0BD4" w:rsidRDefault="00CC2A53" w:rsidP="006D22F5">
            <w:pPr>
              <w:pStyle w:val="TableTextLeft"/>
              <w:rPr>
                <w:rFonts w:cs="Arial"/>
              </w:rPr>
            </w:pPr>
            <w:r w:rsidRPr="007E0BD4">
              <w:rPr>
                <w:rFonts w:cs="Arial"/>
              </w:rPr>
              <w:t>Most changes in the valuation are treated as an expense.</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tcPr>
          <w:p w:rsidR="00D775D9" w:rsidRPr="007E0BD4" w:rsidRDefault="00CC2A53" w:rsidP="006D22F5">
            <w:pPr>
              <w:pStyle w:val="TableTextLeft"/>
              <w:rPr>
                <w:rFonts w:cs="Arial"/>
              </w:rPr>
            </w:pPr>
            <w:r w:rsidRPr="007E0BD4">
              <w:rPr>
                <w:rFonts w:cs="Arial"/>
              </w:rPr>
              <w:t>Changes in valuation due to changes in market conditions or unilateral decisions are treated as an other economic flow.</w:t>
            </w:r>
          </w:p>
        </w:tc>
        <w:tc>
          <w:tcPr>
            <w:tcW w:w="640" w:type="pct"/>
            <w:tcBorders>
              <w:top w:val="single" w:sz="18" w:space="0" w:color="FFFFFF"/>
              <w:left w:val="single" w:sz="18" w:space="0" w:color="FFFFFF"/>
              <w:bottom w:val="single" w:sz="18" w:space="0" w:color="FFFFFF"/>
              <w:right w:val="single" w:sz="18" w:space="0" w:color="FFFFFF"/>
            </w:tcBorders>
            <w:shd w:val="clear" w:color="auto" w:fill="F2F2F2"/>
          </w:tcPr>
          <w:p w:rsidR="00D775D9" w:rsidRPr="007E0BD4" w:rsidRDefault="00CC2A53" w:rsidP="006D22F5">
            <w:pPr>
              <w:pStyle w:val="TableTextLeft"/>
              <w:rPr>
                <w:rFonts w:cs="Arial"/>
              </w:rPr>
            </w:pPr>
            <w:r w:rsidRPr="007E0BD4">
              <w:rPr>
                <w:rFonts w:cs="Arial"/>
              </w:rPr>
              <w:t>ABS GFS</w:t>
            </w:r>
          </w:p>
        </w:tc>
      </w:tr>
      <w:tr w:rsidR="00D775D9" w:rsidRPr="007E0BD4" w:rsidTr="007271E1">
        <w:trPr>
          <w:trHeight w:val="450"/>
        </w:trPr>
        <w:tc>
          <w:tcPr>
            <w:tcW w:w="936"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br w:type="page"/>
            </w:r>
            <w:r w:rsidRPr="007E0BD4">
              <w:rPr>
                <w:rFonts w:cs="Arial"/>
              </w:rPr>
              <w:t>Concessional loans</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CC2A53" w:rsidP="006D22F5">
            <w:pPr>
              <w:pStyle w:val="TableTextLeft"/>
              <w:rPr>
                <w:rFonts w:cs="Arial"/>
              </w:rPr>
            </w:pPr>
            <w:r w:rsidRPr="007E0BD4">
              <w:rPr>
                <w:rFonts w:cs="Arial"/>
              </w:rPr>
              <w:t>Concessional elements are treated as an expense.</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CC2A53" w:rsidP="006D22F5">
            <w:pPr>
              <w:pStyle w:val="TableTextLeft"/>
              <w:rPr>
                <w:rFonts w:cs="Arial"/>
              </w:rPr>
            </w:pPr>
            <w:r w:rsidRPr="007E0BD4">
              <w:rPr>
                <w:rFonts w:cs="Arial"/>
              </w:rPr>
              <w:t>Concessional elements are treated as an other economic flow.</w:t>
            </w:r>
          </w:p>
        </w:tc>
        <w:tc>
          <w:tcPr>
            <w:tcW w:w="640"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AAS</w:t>
            </w:r>
          </w:p>
        </w:tc>
      </w:tr>
      <w:tr w:rsidR="00D775D9" w:rsidRPr="007E0BD4" w:rsidTr="007271E1">
        <w:trPr>
          <w:trHeight w:val="450"/>
        </w:trPr>
        <w:tc>
          <w:tcPr>
            <w:tcW w:w="936"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ascii="Book Antiqua" w:hAnsi="Book Antiqua"/>
                <w:sz w:val="20"/>
              </w:rPr>
            </w:pPr>
            <w:r w:rsidRPr="007E0BD4">
              <w:rPr>
                <w:rFonts w:cs="Arial"/>
              </w:rPr>
              <w:t>Investment in other public sector entities</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Valued at fair value in the balance sheet as long as it can be reliably measured, otherwise net assets is permissible.</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Unlisted entities valued based on their net assets in the balance sheet.</w:t>
            </w:r>
          </w:p>
        </w:tc>
        <w:tc>
          <w:tcPr>
            <w:tcW w:w="640"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 xml:space="preserve">AAS </w:t>
            </w:r>
          </w:p>
        </w:tc>
      </w:tr>
      <w:tr w:rsidR="00D775D9" w:rsidRPr="007E0BD4" w:rsidTr="007271E1">
        <w:trPr>
          <w:trHeight w:val="450"/>
        </w:trPr>
        <w:tc>
          <w:tcPr>
            <w:tcW w:w="936"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ascii="Book Antiqua" w:hAnsi="Book Antiqua"/>
                <w:sz w:val="20"/>
              </w:rPr>
            </w:pPr>
            <w:r w:rsidRPr="007E0BD4">
              <w:rPr>
                <w:rFonts w:cs="Arial"/>
              </w:rPr>
              <w:t>Provision for restoration, decommissioning and make</w:t>
            </w:r>
            <w:r w:rsidR="0072048E" w:rsidRPr="007E0BD4">
              <w:rPr>
                <w:rFonts w:cs="Arial"/>
              </w:rPr>
              <w:noBreakHyphen/>
            </w:r>
            <w:r w:rsidRPr="007E0BD4">
              <w:rPr>
                <w:rFonts w:cs="Arial"/>
              </w:rPr>
              <w:t>good</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CC2A53" w:rsidP="006D22F5">
            <w:pPr>
              <w:pStyle w:val="TableTextLeft"/>
              <w:rPr>
                <w:rFonts w:cs="Arial"/>
              </w:rPr>
            </w:pPr>
            <w:r w:rsidRPr="007E0BD4">
              <w:rPr>
                <w:rFonts w:cs="Arial"/>
              </w:rPr>
              <w:t>Capitalised when the asset is acquired.</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CC2A53" w:rsidP="006D22F5">
            <w:pPr>
              <w:pStyle w:val="TableTextLeft"/>
              <w:rPr>
                <w:rFonts w:cs="Arial"/>
              </w:rPr>
            </w:pPr>
            <w:r w:rsidRPr="007E0BD4">
              <w:rPr>
                <w:rFonts w:cs="Arial"/>
              </w:rPr>
              <w:t>Capitalised when make-good activity takes place.</w:t>
            </w:r>
          </w:p>
        </w:tc>
        <w:tc>
          <w:tcPr>
            <w:tcW w:w="640"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AAS</w:t>
            </w:r>
          </w:p>
        </w:tc>
      </w:tr>
      <w:tr w:rsidR="00D775D9" w:rsidRPr="007E0BD4" w:rsidTr="007271E1">
        <w:trPr>
          <w:trHeight w:val="450"/>
        </w:trPr>
        <w:tc>
          <w:tcPr>
            <w:tcW w:w="936"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 xml:space="preserve">Renewable Energy Certificates (RECs) </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The issuance and registration of RECs is considered to be an administrative function and does not result in the recognition of assets or liabilities and, consequently, no revenues or expenses are recognised.</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The issuance and registration of RECs is considered to be government financial transactions resulting in the recognition of assets, liabilities, revenue and expenses.</w:t>
            </w:r>
          </w:p>
        </w:tc>
        <w:tc>
          <w:tcPr>
            <w:tcW w:w="640"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AAS</w:t>
            </w:r>
          </w:p>
        </w:tc>
      </w:tr>
      <w:tr w:rsidR="00D775D9" w:rsidRPr="007E0BD4" w:rsidTr="007271E1">
        <w:trPr>
          <w:trHeight w:val="450"/>
        </w:trPr>
        <w:tc>
          <w:tcPr>
            <w:tcW w:w="936"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 xml:space="preserve">Dividends paid by public corporations </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spacing w:after="0"/>
              <w:rPr>
                <w:rFonts w:cs="Arial"/>
              </w:rPr>
            </w:pPr>
            <w:r w:rsidRPr="007E0BD4">
              <w:rPr>
                <w:rFonts w:cs="Arial"/>
              </w:rPr>
              <w:t>Treated as an equity distribution. Equity distributions are treated as a distribution of profits, as opposed to an expense.</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Dividends are treated as an expense.</w:t>
            </w:r>
          </w:p>
        </w:tc>
        <w:tc>
          <w:tcPr>
            <w:tcW w:w="640"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ABS GFS</w:t>
            </w:r>
          </w:p>
        </w:tc>
      </w:tr>
      <w:tr w:rsidR="009A386B" w:rsidRPr="007E0BD4" w:rsidTr="007271E1">
        <w:trPr>
          <w:trHeight w:val="450"/>
        </w:trPr>
        <w:tc>
          <w:tcPr>
            <w:tcW w:w="936" w:type="pct"/>
            <w:tcBorders>
              <w:top w:val="single" w:sz="18" w:space="0" w:color="FFFFFF"/>
              <w:left w:val="single" w:sz="18" w:space="0" w:color="FFFFFF"/>
              <w:bottom w:val="single" w:sz="18" w:space="0" w:color="FFFFFF"/>
              <w:right w:val="single" w:sz="18" w:space="0" w:color="FFFFFF"/>
            </w:tcBorders>
            <w:shd w:val="clear" w:color="auto" w:fill="F2F2F2"/>
          </w:tcPr>
          <w:p w:rsidR="009A386B" w:rsidRPr="007E0BD4" w:rsidRDefault="009A386B" w:rsidP="006D22F5">
            <w:pPr>
              <w:pStyle w:val="TableTextLeft"/>
              <w:rPr>
                <w:rFonts w:cs="Arial"/>
              </w:rPr>
            </w:pPr>
            <w:r w:rsidRPr="007E0BD4">
              <w:rPr>
                <w:rFonts w:cs="Arial"/>
              </w:rPr>
              <w:t>Dividends paid by the Reserve Bank of Australia</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tcPr>
          <w:p w:rsidR="009A386B" w:rsidRPr="007E0BD4" w:rsidRDefault="009A386B" w:rsidP="006D22F5">
            <w:pPr>
              <w:pStyle w:val="TableTextLeft"/>
              <w:rPr>
                <w:rFonts w:cs="Arial"/>
              </w:rPr>
            </w:pPr>
            <w:r w:rsidRPr="007E0BD4">
              <w:rPr>
                <w:rFonts w:cs="Arial"/>
              </w:rPr>
              <w:t xml:space="preserve">Dividends are recognised in the year profit was earned. </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tcPr>
          <w:p w:rsidR="009A386B" w:rsidRPr="007E0BD4" w:rsidRDefault="009A386B" w:rsidP="006D22F5">
            <w:pPr>
              <w:pStyle w:val="TableTextLeft"/>
              <w:rPr>
                <w:rFonts w:cs="Arial"/>
              </w:rPr>
            </w:pPr>
            <w:r w:rsidRPr="007E0BD4">
              <w:rPr>
                <w:rFonts w:cs="Arial"/>
              </w:rPr>
              <w:t>Dividends are recognised when the Treasurer makes a determination.</w:t>
            </w:r>
          </w:p>
        </w:tc>
        <w:tc>
          <w:tcPr>
            <w:tcW w:w="640" w:type="pct"/>
            <w:tcBorders>
              <w:top w:val="single" w:sz="18" w:space="0" w:color="FFFFFF"/>
              <w:left w:val="single" w:sz="18" w:space="0" w:color="FFFFFF"/>
              <w:bottom w:val="single" w:sz="18" w:space="0" w:color="FFFFFF"/>
              <w:right w:val="single" w:sz="18" w:space="0" w:color="FFFFFF"/>
            </w:tcBorders>
            <w:shd w:val="clear" w:color="auto" w:fill="F2F2F2"/>
          </w:tcPr>
          <w:p w:rsidR="009A386B" w:rsidRPr="007E0BD4" w:rsidRDefault="009A386B" w:rsidP="006D22F5">
            <w:pPr>
              <w:pStyle w:val="TableTextLeft"/>
              <w:rPr>
                <w:rFonts w:cs="Arial"/>
              </w:rPr>
            </w:pPr>
            <w:r w:rsidRPr="007E0BD4">
              <w:rPr>
                <w:rFonts w:cs="Arial"/>
              </w:rPr>
              <w:t>AAS</w:t>
            </w:r>
          </w:p>
        </w:tc>
      </w:tr>
      <w:tr w:rsidR="004C7A85" w:rsidRPr="007E0BD4" w:rsidTr="007271E1">
        <w:trPr>
          <w:trHeight w:val="450"/>
        </w:trPr>
        <w:tc>
          <w:tcPr>
            <w:tcW w:w="936" w:type="pct"/>
            <w:tcBorders>
              <w:top w:val="single" w:sz="18" w:space="0" w:color="FFFFFF"/>
              <w:left w:val="single" w:sz="18" w:space="0" w:color="FFFFFF"/>
              <w:bottom w:val="single" w:sz="18" w:space="0" w:color="FFFFFF"/>
              <w:right w:val="single" w:sz="18" w:space="0" w:color="FFFFFF"/>
            </w:tcBorders>
            <w:shd w:val="clear" w:color="auto" w:fill="F2F2F2"/>
          </w:tcPr>
          <w:p w:rsidR="004C7A85" w:rsidRPr="007E0BD4" w:rsidRDefault="004C7A85" w:rsidP="006D22F5">
            <w:pPr>
              <w:pStyle w:val="TableTextLeft"/>
              <w:rPr>
                <w:rFonts w:cs="Arial"/>
              </w:rPr>
            </w:pPr>
            <w:r w:rsidRPr="007E0BD4">
              <w:rPr>
                <w:rFonts w:cs="Arial"/>
              </w:rPr>
              <w:t>Interest expense measurement</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tcPr>
          <w:p w:rsidR="004C7A85" w:rsidRPr="007E0BD4" w:rsidRDefault="004C7A85" w:rsidP="006D22F5">
            <w:pPr>
              <w:pStyle w:val="TableTextLeft"/>
              <w:rPr>
                <w:rFonts w:cs="Arial"/>
              </w:rPr>
            </w:pPr>
            <w:r w:rsidRPr="007E0BD4">
              <w:rPr>
                <w:rFonts w:cs="Arial"/>
              </w:rPr>
              <w:t>Interest expense will be recorded on a contractual (debtor) rate basis.</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tcPr>
          <w:p w:rsidR="004C7A85" w:rsidRPr="007E0BD4" w:rsidRDefault="004C7A85" w:rsidP="006D22F5">
            <w:pPr>
              <w:pStyle w:val="TableTextLeft"/>
              <w:rPr>
                <w:rFonts w:cs="Arial"/>
              </w:rPr>
            </w:pPr>
            <w:r w:rsidRPr="007E0BD4">
              <w:rPr>
                <w:rFonts w:cs="Arial"/>
              </w:rPr>
              <w:t>Interest expense will be recorded on a market (creditor) rate basis.</w:t>
            </w:r>
          </w:p>
        </w:tc>
        <w:tc>
          <w:tcPr>
            <w:tcW w:w="640" w:type="pct"/>
            <w:tcBorders>
              <w:top w:val="single" w:sz="18" w:space="0" w:color="FFFFFF"/>
              <w:left w:val="single" w:sz="18" w:space="0" w:color="FFFFFF"/>
              <w:bottom w:val="single" w:sz="18" w:space="0" w:color="FFFFFF"/>
              <w:right w:val="single" w:sz="18" w:space="0" w:color="FFFFFF"/>
            </w:tcBorders>
            <w:shd w:val="clear" w:color="auto" w:fill="F2F2F2"/>
          </w:tcPr>
          <w:p w:rsidR="004C7A85" w:rsidRPr="007E0BD4" w:rsidRDefault="004C7A85" w:rsidP="006D22F5">
            <w:pPr>
              <w:pStyle w:val="TableTextLeft"/>
              <w:rPr>
                <w:rFonts w:cs="Arial"/>
              </w:rPr>
            </w:pPr>
            <w:r w:rsidRPr="007E0BD4">
              <w:rPr>
                <w:rFonts w:cs="Arial"/>
              </w:rPr>
              <w:t>AAS</w:t>
            </w:r>
          </w:p>
        </w:tc>
      </w:tr>
      <w:tr w:rsidR="004C7A85" w:rsidRPr="007E0BD4" w:rsidTr="007271E1">
        <w:trPr>
          <w:trHeight w:val="450"/>
        </w:trPr>
        <w:tc>
          <w:tcPr>
            <w:tcW w:w="936" w:type="pct"/>
            <w:tcBorders>
              <w:top w:val="single" w:sz="18" w:space="0" w:color="FFFFFF"/>
              <w:left w:val="single" w:sz="18" w:space="0" w:color="FFFFFF"/>
              <w:bottom w:val="single" w:sz="18" w:space="0" w:color="FFFFFF"/>
              <w:right w:val="single" w:sz="18" w:space="0" w:color="FFFFFF"/>
            </w:tcBorders>
            <w:shd w:val="clear" w:color="auto" w:fill="F2F2F2"/>
          </w:tcPr>
          <w:p w:rsidR="004C7A85" w:rsidRPr="007E0BD4" w:rsidRDefault="004C7A85" w:rsidP="006D22F5">
            <w:pPr>
              <w:pStyle w:val="TableTextLeft"/>
              <w:rPr>
                <w:rFonts w:cs="Arial"/>
              </w:rPr>
            </w:pPr>
            <w:r w:rsidRPr="007E0BD4">
              <w:rPr>
                <w:rFonts w:cs="Arial"/>
              </w:rPr>
              <w:t>National Disability Insurance Scheme (NDIS) revenue</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tcPr>
          <w:p w:rsidR="004C7A85" w:rsidRPr="007E0BD4" w:rsidRDefault="004C7A85" w:rsidP="006D22F5">
            <w:pPr>
              <w:pStyle w:val="TableTextLeft"/>
              <w:rPr>
                <w:rFonts w:cs="Arial"/>
              </w:rPr>
            </w:pPr>
            <w:r w:rsidRPr="007E0BD4">
              <w:rPr>
                <w:rFonts w:cs="Arial"/>
              </w:rPr>
              <w:t>Funding contributions by the state and territory governments to NDIS are treated as sales of goods and services revenue.</w:t>
            </w:r>
          </w:p>
          <w:p w:rsidR="00CA6B57" w:rsidRPr="007E0BD4" w:rsidRDefault="00CA6B57" w:rsidP="006D22F5">
            <w:pPr>
              <w:pStyle w:val="TableTextLeft"/>
              <w:rPr>
                <w:rFonts w:cs="Arial"/>
              </w:rPr>
            </w:pPr>
          </w:p>
          <w:p w:rsidR="004C7A85" w:rsidRPr="007E0BD4" w:rsidRDefault="004C7A85" w:rsidP="006D22F5">
            <w:pPr>
              <w:pStyle w:val="TableTextLeft"/>
              <w:rPr>
                <w:rFonts w:cs="Arial"/>
              </w:rPr>
            </w:pPr>
            <w:r w:rsidRPr="007E0BD4">
              <w:rPr>
                <w:rFonts w:cs="Arial"/>
              </w:rPr>
              <w:t>In-kind disability services provided by the States and Territory Governments are treated as other revenue.</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tcPr>
          <w:p w:rsidR="004C7A85" w:rsidRPr="007E0BD4" w:rsidRDefault="004C7A85" w:rsidP="006D22F5">
            <w:pPr>
              <w:pStyle w:val="TableTextLeft"/>
              <w:rPr>
                <w:rFonts w:cs="Arial"/>
              </w:rPr>
            </w:pPr>
            <w:r w:rsidRPr="007E0BD4">
              <w:rPr>
                <w:rFonts w:cs="Arial"/>
              </w:rPr>
              <w:t xml:space="preserve">Funding contributions by the state and territory governments to NDIS are treated as grants revenue. </w:t>
            </w:r>
          </w:p>
          <w:p w:rsidR="00CA6B57" w:rsidRPr="007E0BD4" w:rsidRDefault="00CA6B57" w:rsidP="006D22F5">
            <w:pPr>
              <w:pStyle w:val="TableTextLeft"/>
              <w:rPr>
                <w:rFonts w:cs="Arial"/>
              </w:rPr>
            </w:pPr>
          </w:p>
          <w:p w:rsidR="004C7A85" w:rsidRPr="007E0BD4" w:rsidRDefault="004C7A85" w:rsidP="006D22F5">
            <w:pPr>
              <w:pStyle w:val="TableTextLeft"/>
              <w:rPr>
                <w:rFonts w:cs="Arial"/>
              </w:rPr>
            </w:pPr>
            <w:r w:rsidRPr="007E0BD4">
              <w:rPr>
                <w:rFonts w:cs="Arial"/>
              </w:rPr>
              <w:t>In-kind disability services provided by the States and Territory Governments are treated as sales of goods and services revenue.</w:t>
            </w:r>
          </w:p>
        </w:tc>
        <w:tc>
          <w:tcPr>
            <w:tcW w:w="640" w:type="pct"/>
            <w:tcBorders>
              <w:top w:val="single" w:sz="18" w:space="0" w:color="FFFFFF"/>
              <w:left w:val="single" w:sz="18" w:space="0" w:color="FFFFFF"/>
              <w:bottom w:val="single" w:sz="18" w:space="0" w:color="FFFFFF"/>
              <w:right w:val="single" w:sz="18" w:space="0" w:color="FFFFFF"/>
            </w:tcBorders>
            <w:shd w:val="clear" w:color="auto" w:fill="F2F2F2"/>
          </w:tcPr>
          <w:p w:rsidR="004C7A85" w:rsidRPr="007E0BD4" w:rsidRDefault="004C7A85" w:rsidP="006D22F5">
            <w:pPr>
              <w:pStyle w:val="TableTextLeft"/>
              <w:rPr>
                <w:rFonts w:cs="Arial"/>
              </w:rPr>
            </w:pPr>
            <w:r w:rsidRPr="007E0BD4">
              <w:rPr>
                <w:rFonts w:cs="Arial"/>
              </w:rPr>
              <w:t>AAS</w:t>
            </w:r>
          </w:p>
        </w:tc>
      </w:tr>
    </w:tbl>
    <w:p w:rsidR="00026A2E" w:rsidRPr="007E0BD4" w:rsidRDefault="00026A2E" w:rsidP="00026A2E">
      <w:pPr>
        <w:pStyle w:val="TableHeading"/>
      </w:pPr>
      <w:r w:rsidRPr="007E0BD4">
        <w:br w:type="page"/>
      </w:r>
      <w:r w:rsidRPr="007E0BD4">
        <w:lastRenderedPageBreak/>
        <w:t>Table B13: Major differences between AAS and ABS GFS (continued)</w:t>
      </w:r>
    </w:p>
    <w:tbl>
      <w:tblPr>
        <w:tblW w:w="4894" w:type="pct"/>
        <w:tblInd w:w="8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2F2F2"/>
        <w:tblLook w:val="04A0" w:firstRow="1" w:lastRow="0" w:firstColumn="1" w:lastColumn="0" w:noHBand="0" w:noVBand="1"/>
      </w:tblPr>
      <w:tblGrid>
        <w:gridCol w:w="21"/>
        <w:gridCol w:w="1431"/>
        <w:gridCol w:w="2657"/>
        <w:gridCol w:w="59"/>
        <w:gridCol w:w="2598"/>
        <w:gridCol w:w="993"/>
      </w:tblGrid>
      <w:tr w:rsidR="007271E1" w:rsidRPr="007E0BD4" w:rsidTr="008F4217">
        <w:trPr>
          <w:trHeight w:val="450"/>
          <w:tblHeader/>
        </w:trPr>
        <w:tc>
          <w:tcPr>
            <w:tcW w:w="936" w:type="pct"/>
            <w:gridSpan w:val="2"/>
            <w:tcBorders>
              <w:top w:val="single" w:sz="18" w:space="0" w:color="FFFFFF"/>
              <w:left w:val="single" w:sz="18" w:space="0" w:color="FFFFFF"/>
              <w:bottom w:val="single" w:sz="18" w:space="0" w:color="FFFFFF"/>
              <w:right w:val="single" w:sz="18" w:space="0" w:color="FFFFFF"/>
            </w:tcBorders>
            <w:shd w:val="clear" w:color="auto" w:fill="F2F2F2"/>
            <w:hideMark/>
          </w:tcPr>
          <w:p w:rsidR="007271E1" w:rsidRPr="007E0BD4" w:rsidRDefault="007271E1" w:rsidP="008F4217">
            <w:pPr>
              <w:pStyle w:val="TableColumnHeading"/>
              <w:keepNext/>
              <w:rPr>
                <w:rFonts w:cs="Arial"/>
              </w:rPr>
            </w:pPr>
            <w:r w:rsidRPr="007E0BD4">
              <w:rPr>
                <w:rFonts w:ascii="Book Antiqua" w:hAnsi="Book Antiqua"/>
                <w:sz w:val="20"/>
              </w:rPr>
              <w:br w:type="page"/>
            </w:r>
            <w:r w:rsidRPr="007E0BD4">
              <w:rPr>
                <w:rFonts w:cs="Arial"/>
              </w:rPr>
              <w:t>Issue</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hideMark/>
          </w:tcPr>
          <w:p w:rsidR="007271E1" w:rsidRPr="007E0BD4" w:rsidRDefault="007271E1" w:rsidP="008F4217">
            <w:pPr>
              <w:pStyle w:val="TableColumnHeading"/>
              <w:keepNext/>
              <w:rPr>
                <w:rFonts w:cs="Arial"/>
              </w:rPr>
            </w:pPr>
            <w:r w:rsidRPr="007E0BD4">
              <w:rPr>
                <w:rFonts w:cs="Arial"/>
              </w:rPr>
              <w:t>AAS treatment</w:t>
            </w:r>
          </w:p>
        </w:tc>
        <w:tc>
          <w:tcPr>
            <w:tcW w:w="1712" w:type="pct"/>
            <w:gridSpan w:val="2"/>
            <w:tcBorders>
              <w:top w:val="single" w:sz="18" w:space="0" w:color="FFFFFF"/>
              <w:left w:val="single" w:sz="18" w:space="0" w:color="FFFFFF"/>
              <w:bottom w:val="single" w:sz="18" w:space="0" w:color="FFFFFF"/>
              <w:right w:val="single" w:sz="18" w:space="0" w:color="FFFFFF"/>
            </w:tcBorders>
            <w:shd w:val="clear" w:color="auto" w:fill="F2F2F2"/>
            <w:hideMark/>
          </w:tcPr>
          <w:p w:rsidR="007271E1" w:rsidRPr="007E0BD4" w:rsidRDefault="007271E1" w:rsidP="00B1071C">
            <w:pPr>
              <w:pStyle w:val="TableColumnHeading"/>
              <w:keepNext/>
              <w:rPr>
                <w:rFonts w:cs="Arial"/>
              </w:rPr>
            </w:pPr>
            <w:r w:rsidRPr="007E0BD4">
              <w:rPr>
                <w:rFonts w:cs="Arial"/>
              </w:rPr>
              <w:t>ABS GFS treatment</w:t>
            </w:r>
          </w:p>
        </w:tc>
        <w:tc>
          <w:tcPr>
            <w:tcW w:w="640" w:type="pct"/>
            <w:tcBorders>
              <w:top w:val="single" w:sz="18" w:space="0" w:color="FFFFFF"/>
              <w:left w:val="single" w:sz="18" w:space="0" w:color="FFFFFF"/>
              <w:bottom w:val="single" w:sz="18" w:space="0" w:color="FFFFFF"/>
              <w:right w:val="single" w:sz="18" w:space="0" w:color="FFFFFF"/>
            </w:tcBorders>
            <w:shd w:val="clear" w:color="auto" w:fill="F2F2F2"/>
            <w:hideMark/>
          </w:tcPr>
          <w:p w:rsidR="007271E1" w:rsidRPr="007E0BD4" w:rsidRDefault="007271E1" w:rsidP="008F4217">
            <w:pPr>
              <w:pStyle w:val="TableColumnHeading"/>
              <w:keepNext/>
              <w:rPr>
                <w:rFonts w:cs="Arial"/>
              </w:rPr>
            </w:pPr>
            <w:r w:rsidRPr="007E0BD4">
              <w:rPr>
                <w:rFonts w:cs="Arial"/>
              </w:rPr>
              <w:t>Treatment adopted</w:t>
            </w:r>
          </w:p>
        </w:tc>
      </w:tr>
      <w:tr w:rsidR="00D775D9" w:rsidRPr="007E0BD4" w:rsidTr="007271E1">
        <w:trPr>
          <w:trHeight w:val="450"/>
        </w:trPr>
        <w:tc>
          <w:tcPr>
            <w:tcW w:w="936" w:type="pct"/>
            <w:gridSpan w:val="2"/>
            <w:tcBorders>
              <w:top w:val="single" w:sz="18" w:space="0" w:color="FFFFFF"/>
              <w:left w:val="single" w:sz="18" w:space="0" w:color="FFFFFF"/>
              <w:bottom w:val="single" w:sz="18" w:space="0" w:color="FFFFFF"/>
              <w:right w:val="single" w:sz="18" w:space="0" w:color="FFFFFF"/>
            </w:tcBorders>
            <w:shd w:val="clear" w:color="auto" w:fill="F2F2F2"/>
          </w:tcPr>
          <w:p w:rsidR="00D775D9" w:rsidRPr="007E0BD4" w:rsidRDefault="00D775D9" w:rsidP="006D22F5">
            <w:pPr>
              <w:pStyle w:val="TableTextLeft"/>
              <w:rPr>
                <w:rFonts w:cs="Arial"/>
              </w:rPr>
            </w:pPr>
            <w:r w:rsidRPr="007E0BD4">
              <w:rPr>
                <w:rFonts w:cs="Arial"/>
              </w:rPr>
              <w:t>Commercial tax effect accounting assets and liabilities</w:t>
            </w:r>
          </w:p>
        </w:tc>
        <w:tc>
          <w:tcPr>
            <w:tcW w:w="1712" w:type="pct"/>
            <w:tcBorders>
              <w:top w:val="single" w:sz="18" w:space="0" w:color="FFFFFF"/>
              <w:left w:val="single" w:sz="18" w:space="0" w:color="FFFFFF"/>
              <w:bottom w:val="single" w:sz="18" w:space="0" w:color="FFFFFF"/>
              <w:right w:val="single" w:sz="18" w:space="0" w:color="FFFFFF"/>
            </w:tcBorders>
            <w:shd w:val="clear" w:color="auto" w:fill="F2F2F2"/>
          </w:tcPr>
          <w:p w:rsidR="00D775D9" w:rsidRPr="007E0BD4" w:rsidRDefault="00D775D9" w:rsidP="006D22F5">
            <w:pPr>
              <w:pStyle w:val="TableTextLeft"/>
              <w:rPr>
                <w:rFonts w:cs="Arial"/>
              </w:rPr>
            </w:pPr>
            <w:r w:rsidRPr="007E0BD4">
              <w:rPr>
                <w:rFonts w:cs="Arial"/>
              </w:rPr>
              <w:t>Corporations in the PNFC and PFC sectors record tax expenses on a commercial basis.</w:t>
            </w:r>
          </w:p>
        </w:tc>
        <w:tc>
          <w:tcPr>
            <w:tcW w:w="1712" w:type="pct"/>
            <w:gridSpan w:val="2"/>
            <w:tcBorders>
              <w:top w:val="single" w:sz="18" w:space="0" w:color="FFFFFF"/>
              <w:left w:val="single" w:sz="18" w:space="0" w:color="FFFFFF"/>
              <w:bottom w:val="single" w:sz="18" w:space="0" w:color="FFFFFF"/>
              <w:right w:val="single" w:sz="18" w:space="0" w:color="FFFFFF"/>
            </w:tcBorders>
            <w:shd w:val="clear" w:color="auto" w:fill="F2F2F2"/>
          </w:tcPr>
          <w:p w:rsidR="00D775D9" w:rsidRPr="007E0BD4" w:rsidRDefault="00D775D9" w:rsidP="006D22F5">
            <w:pPr>
              <w:pStyle w:val="TableTextLeft"/>
              <w:rPr>
                <w:i/>
                <w:szCs w:val="24"/>
                <w:lang w:eastAsia="en-US"/>
              </w:rPr>
            </w:pPr>
            <w:r w:rsidRPr="007E0BD4">
              <w:rPr>
                <w:rFonts w:cs="Arial"/>
              </w:rPr>
              <w:t>Deferred tax assets and liabilities are reversed so that corporations record tax expenses on a consistent basis to the Australian Taxation Office.</w:t>
            </w:r>
          </w:p>
        </w:tc>
        <w:tc>
          <w:tcPr>
            <w:tcW w:w="640" w:type="pct"/>
            <w:tcBorders>
              <w:top w:val="single" w:sz="18" w:space="0" w:color="FFFFFF"/>
              <w:left w:val="single" w:sz="18" w:space="0" w:color="FFFFFF"/>
              <w:bottom w:val="single" w:sz="18" w:space="0" w:color="FFFFFF"/>
              <w:right w:val="single" w:sz="18" w:space="0" w:color="FFFFFF"/>
            </w:tcBorders>
            <w:shd w:val="clear" w:color="auto" w:fill="F2F2F2"/>
          </w:tcPr>
          <w:p w:rsidR="00D775D9" w:rsidRPr="007E0BD4" w:rsidRDefault="00D775D9" w:rsidP="006D22F5">
            <w:pPr>
              <w:pStyle w:val="TableTextLeft"/>
              <w:rPr>
                <w:rFonts w:cs="Arial"/>
              </w:rPr>
            </w:pPr>
            <w:r w:rsidRPr="007E0BD4">
              <w:rPr>
                <w:rFonts w:cs="Arial"/>
              </w:rPr>
              <w:t>ABS GFS</w:t>
            </w:r>
          </w:p>
        </w:tc>
      </w:tr>
      <w:tr w:rsidR="00AA45D8" w:rsidRPr="007E0BD4" w:rsidTr="00A4068A">
        <w:trPr>
          <w:gridBefore w:val="1"/>
          <w:wBefore w:w="14" w:type="pct"/>
          <w:trHeight w:val="453"/>
        </w:trPr>
        <w:tc>
          <w:tcPr>
            <w:tcW w:w="4986" w:type="pct"/>
            <w:gridSpan w:val="5"/>
            <w:tcBorders>
              <w:top w:val="single" w:sz="18" w:space="0" w:color="FFFFFF"/>
              <w:left w:val="single" w:sz="18" w:space="0" w:color="FFFFFF"/>
              <w:bottom w:val="single" w:sz="18" w:space="0" w:color="FFFFFF"/>
              <w:right w:val="single" w:sz="18" w:space="0" w:color="FFFFFF"/>
            </w:tcBorders>
            <w:shd w:val="clear" w:color="auto" w:fill="F2F2F2"/>
          </w:tcPr>
          <w:p w:rsidR="00AA45D8" w:rsidRPr="007E0BD4" w:rsidRDefault="00AA45D8" w:rsidP="00AA45D8">
            <w:pPr>
              <w:pStyle w:val="TableColumnHeading"/>
              <w:spacing w:before="120"/>
              <w:rPr>
                <w:rFonts w:cs="Arial"/>
              </w:rPr>
            </w:pPr>
            <w:r w:rsidRPr="007E0BD4">
              <w:rPr>
                <w:rFonts w:cs="Arial"/>
              </w:rPr>
              <w:t>Fiscal aggregate differences</w:t>
            </w:r>
          </w:p>
        </w:tc>
      </w:tr>
      <w:tr w:rsidR="00D775D9" w:rsidRPr="007E0BD4" w:rsidTr="007271E1">
        <w:trPr>
          <w:gridBefore w:val="1"/>
          <w:wBefore w:w="14" w:type="pct"/>
          <w:trHeight w:val="625"/>
        </w:trPr>
        <w:tc>
          <w:tcPr>
            <w:tcW w:w="922"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Net worth of PNFC and PFC sectors</w:t>
            </w:r>
          </w:p>
        </w:tc>
        <w:tc>
          <w:tcPr>
            <w:tcW w:w="1750" w:type="pct"/>
            <w:gridSpan w:val="2"/>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Calculated as assets less liabilities.</w:t>
            </w:r>
          </w:p>
        </w:tc>
        <w:tc>
          <w:tcPr>
            <w:tcW w:w="1674"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Calculated as assets less liabilities less shares and other contributed capital.</w:t>
            </w:r>
          </w:p>
        </w:tc>
        <w:tc>
          <w:tcPr>
            <w:tcW w:w="640"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AAS</w:t>
            </w:r>
          </w:p>
        </w:tc>
      </w:tr>
      <w:tr w:rsidR="00D775D9" w:rsidRPr="007E0BD4" w:rsidTr="007271E1">
        <w:trPr>
          <w:gridBefore w:val="1"/>
          <w:wBefore w:w="14" w:type="pct"/>
          <w:trHeight w:val="625"/>
        </w:trPr>
        <w:tc>
          <w:tcPr>
            <w:tcW w:w="922"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Net</w:t>
            </w:r>
            <w:r w:rsidR="00882E1A" w:rsidRPr="007E0BD4">
              <w:rPr>
                <w:rFonts w:cs="Arial"/>
              </w:rPr>
              <w:t xml:space="preserve"> financial worth of PNFC and PFC sectors</w:t>
            </w:r>
          </w:p>
        </w:tc>
        <w:tc>
          <w:tcPr>
            <w:tcW w:w="1750" w:type="pct"/>
            <w:gridSpan w:val="2"/>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Calculated as financial assets less total liabilities.</w:t>
            </w:r>
          </w:p>
        </w:tc>
        <w:tc>
          <w:tcPr>
            <w:tcW w:w="1674"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Calculated as financial assets less total liabilities less shares and contributed capital.</w:t>
            </w:r>
          </w:p>
        </w:tc>
        <w:tc>
          <w:tcPr>
            <w:tcW w:w="640"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AAS</w:t>
            </w:r>
          </w:p>
        </w:tc>
      </w:tr>
      <w:tr w:rsidR="00D775D9" w:rsidRPr="007E0BD4" w:rsidTr="00A4068A">
        <w:trPr>
          <w:gridBefore w:val="1"/>
          <w:wBefore w:w="14" w:type="pct"/>
          <w:trHeight w:val="394"/>
        </w:trPr>
        <w:tc>
          <w:tcPr>
            <w:tcW w:w="4986" w:type="pct"/>
            <w:gridSpan w:val="5"/>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ColumnHeading"/>
              <w:spacing w:before="120"/>
              <w:rPr>
                <w:rFonts w:cs="Arial"/>
              </w:rPr>
            </w:pPr>
            <w:r w:rsidRPr="007E0BD4">
              <w:rPr>
                <w:rFonts w:cs="Arial"/>
              </w:rPr>
              <w:t>Classification difference</w:t>
            </w:r>
            <w:r w:rsidR="00357959" w:rsidRPr="007E0BD4">
              <w:rPr>
                <w:rFonts w:cs="Arial"/>
              </w:rPr>
              <w:t>s</w:t>
            </w:r>
          </w:p>
        </w:tc>
      </w:tr>
      <w:tr w:rsidR="00D775D9" w:rsidRPr="007E0BD4" w:rsidTr="007271E1">
        <w:trPr>
          <w:gridBefore w:val="1"/>
          <w:wBefore w:w="14" w:type="pct"/>
          <w:trHeight w:val="450"/>
        </w:trPr>
        <w:tc>
          <w:tcPr>
            <w:tcW w:w="922"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Prepayments</w:t>
            </w:r>
          </w:p>
        </w:tc>
        <w:tc>
          <w:tcPr>
            <w:tcW w:w="1750" w:type="pct"/>
            <w:gridSpan w:val="2"/>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Treated as a non</w:t>
            </w:r>
            <w:r w:rsidR="0072048E" w:rsidRPr="007E0BD4">
              <w:rPr>
                <w:rFonts w:cs="Arial"/>
              </w:rPr>
              <w:noBreakHyphen/>
            </w:r>
            <w:r w:rsidRPr="007E0BD4">
              <w:rPr>
                <w:rFonts w:cs="Arial"/>
              </w:rPr>
              <w:t>financial asset.</w:t>
            </w:r>
          </w:p>
        </w:tc>
        <w:tc>
          <w:tcPr>
            <w:tcW w:w="1674"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Treated as a financial asset.</w:t>
            </w:r>
          </w:p>
        </w:tc>
        <w:tc>
          <w:tcPr>
            <w:tcW w:w="640"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ABS GFS</w:t>
            </w:r>
          </w:p>
        </w:tc>
      </w:tr>
      <w:tr w:rsidR="00D775D9" w:rsidRPr="007E0BD4" w:rsidTr="007271E1">
        <w:trPr>
          <w:gridBefore w:val="1"/>
          <w:wBefore w:w="14" w:type="pct"/>
          <w:trHeight w:val="450"/>
        </w:trPr>
        <w:tc>
          <w:tcPr>
            <w:tcW w:w="922"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Spectrum sales</w:t>
            </w:r>
          </w:p>
        </w:tc>
        <w:tc>
          <w:tcPr>
            <w:tcW w:w="1750" w:type="pct"/>
            <w:gridSpan w:val="2"/>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Recognise non</w:t>
            </w:r>
            <w:r w:rsidR="0072048E" w:rsidRPr="007E0BD4">
              <w:rPr>
                <w:rFonts w:cs="Arial"/>
              </w:rPr>
              <w:noBreakHyphen/>
            </w:r>
            <w:r w:rsidRPr="007E0BD4">
              <w:rPr>
                <w:rFonts w:cs="Arial"/>
              </w:rPr>
              <w:t>financial asset sales for fiscal balance when payment is made and the licences take effect, which may be after the auction of licences, as this is regarded as the point</w:t>
            </w:r>
            <w:r w:rsidR="00C62460" w:rsidRPr="007E0BD4">
              <w:rPr>
                <w:rFonts w:cs="Arial"/>
              </w:rPr>
              <w:t xml:space="preserve"> at which</w:t>
            </w:r>
            <w:r w:rsidRPr="007E0BD4">
              <w:rPr>
                <w:rFonts w:cs="Arial"/>
              </w:rPr>
              <w:t xml:space="preserve"> control is transferred. Recognise cash at the time of receipt.</w:t>
            </w:r>
          </w:p>
        </w:tc>
        <w:tc>
          <w:tcPr>
            <w:tcW w:w="1674"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Recognise non</w:t>
            </w:r>
            <w:r w:rsidR="0072048E" w:rsidRPr="007E0BD4">
              <w:rPr>
                <w:rFonts w:cs="Arial"/>
              </w:rPr>
              <w:noBreakHyphen/>
            </w:r>
            <w:r w:rsidRPr="007E0BD4">
              <w:rPr>
                <w:rFonts w:cs="Arial"/>
              </w:rPr>
              <w:t xml:space="preserve">financial asset sales for fiscal balance at time of auction as this is regarded as the point </w:t>
            </w:r>
            <w:r w:rsidR="00C62460" w:rsidRPr="007E0BD4">
              <w:rPr>
                <w:rFonts w:cs="Arial"/>
              </w:rPr>
              <w:t xml:space="preserve">at which </w:t>
            </w:r>
            <w:r w:rsidRPr="007E0BD4">
              <w:rPr>
                <w:rFonts w:cs="Arial"/>
              </w:rPr>
              <w:t>control is transferred. Recognise cash at the time of receipt.</w:t>
            </w:r>
          </w:p>
        </w:tc>
        <w:tc>
          <w:tcPr>
            <w:tcW w:w="640" w:type="pct"/>
            <w:tcBorders>
              <w:top w:val="single" w:sz="18" w:space="0" w:color="FFFFFF"/>
              <w:left w:val="single" w:sz="18" w:space="0" w:color="FFFFFF"/>
              <w:bottom w:val="single" w:sz="18" w:space="0" w:color="FFFFFF"/>
              <w:right w:val="single" w:sz="18" w:space="0" w:color="FFFFFF"/>
            </w:tcBorders>
            <w:shd w:val="clear" w:color="auto" w:fill="F2F2F2"/>
            <w:hideMark/>
          </w:tcPr>
          <w:p w:rsidR="00D775D9" w:rsidRPr="007E0BD4" w:rsidRDefault="00D775D9" w:rsidP="006D22F5">
            <w:pPr>
              <w:pStyle w:val="TableTextLeft"/>
              <w:rPr>
                <w:rFonts w:cs="Arial"/>
              </w:rPr>
            </w:pPr>
            <w:r w:rsidRPr="007E0BD4">
              <w:rPr>
                <w:rFonts w:cs="Arial"/>
              </w:rPr>
              <w:t>AAS</w:t>
            </w:r>
          </w:p>
        </w:tc>
      </w:tr>
    </w:tbl>
    <w:p w:rsidR="00D775D9" w:rsidRPr="007E0BD4" w:rsidRDefault="00D775D9" w:rsidP="00D775D9">
      <w:pPr>
        <w:pStyle w:val="SingleParagraph"/>
      </w:pPr>
    </w:p>
    <w:p w:rsidR="00D775D9" w:rsidRPr="007E0BD4" w:rsidRDefault="00B700AA" w:rsidP="00D775D9">
      <w:pPr>
        <w:pStyle w:val="NoteTableHeadingnospaceabove"/>
        <w:pageBreakBefore/>
        <w:rPr>
          <w:color w:val="auto"/>
        </w:rPr>
      </w:pPr>
      <w:r w:rsidRPr="007E0BD4">
        <w:rPr>
          <w:color w:val="FF0000"/>
        </w:rPr>
        <w:lastRenderedPageBreak/>
        <w:fldChar w:fldCharType="begin"/>
      </w:r>
      <w:r w:rsidRPr="007E0BD4">
        <w:rPr>
          <w:color w:val="FF0000"/>
        </w:rPr>
        <w:instrText xml:space="preserve"> :End:FARM_PGOTO1 </w:instrText>
      </w:r>
      <w:r w:rsidRPr="007E0BD4">
        <w:rPr>
          <w:color w:val="FF0000"/>
        </w:rPr>
        <w:fldChar w:fldCharType="end"/>
      </w:r>
      <w:r w:rsidRPr="007E0BD4">
        <w:rPr>
          <w:color w:val="0000FF"/>
        </w:rPr>
        <w:fldChar w:fldCharType="begin"/>
      </w:r>
      <w:r w:rsidRPr="007E0BD4">
        <w:rPr>
          <w:color w:val="0000FF"/>
        </w:rPr>
        <w:instrText xml:space="preserve"> :Start:FARM_PGOTO1 </w:instrText>
      </w:r>
      <w:r w:rsidRPr="007E0BD4">
        <w:rPr>
          <w:color w:val="0000FF"/>
        </w:rPr>
        <w:fldChar w:fldCharType="end"/>
      </w:r>
      <w:r w:rsidR="00D775D9" w:rsidRPr="007E0BD4">
        <w:rPr>
          <w:color w:val="auto"/>
        </w:rPr>
        <w:t>Note 3: Taxation revenue by type</w:t>
      </w:r>
    </w:p>
    <w:p w:rsidR="00D775D9" w:rsidRPr="007E0BD4" w:rsidRDefault="008672B8" w:rsidP="003B3A85">
      <w:pPr>
        <w:pStyle w:val="TableGraphic"/>
      </w:pPr>
      <w:r w:rsidRPr="007E0BD4">
        <w:object w:dxaOrig="7705" w:dyaOrig="8744">
          <v:shape id="_x0000_i1040" type="#_x0000_t75" style="width:385.15pt;height:437.45pt" o:ole="">
            <v:imagedata r:id="rId50" o:title=""/>
          </v:shape>
          <o:OLEObject Type="Link" ProgID="Excel.SheetMacroEnabled.12" ShapeID="_x0000_i1040" DrawAspect="Content" r:id="rId51" UpdateMode="Always">
            <o:LinkType>EnhancedMetaFile</o:LinkType>
            <o:LockedField/>
          </o:OLEObject>
        </w:object>
      </w:r>
    </w:p>
    <w:p w:rsidR="005D56C0" w:rsidRPr="007E0BD4" w:rsidRDefault="005D56C0" w:rsidP="005D56C0">
      <w:pPr>
        <w:pStyle w:val="NoteTableHeadingnospaceabove"/>
        <w:pageBreakBefore/>
        <w:rPr>
          <w:color w:val="auto"/>
        </w:rPr>
      </w:pPr>
      <w:r w:rsidRPr="007E0BD4">
        <w:rPr>
          <w:color w:val="FF0000"/>
        </w:rPr>
        <w:lastRenderedPageBreak/>
        <w:fldChar w:fldCharType="begin"/>
      </w:r>
      <w:r w:rsidRPr="007E0BD4">
        <w:rPr>
          <w:color w:val="FF0000"/>
        </w:rPr>
        <w:instrText xml:space="preserve"> :End:FARM_PGOTO1 </w:instrText>
      </w:r>
      <w:r w:rsidRPr="007E0BD4">
        <w:rPr>
          <w:color w:val="FF0000"/>
        </w:rPr>
        <w:fldChar w:fldCharType="end"/>
      </w:r>
      <w:r w:rsidRPr="007E0BD4">
        <w:rPr>
          <w:color w:val="0000FF"/>
        </w:rPr>
        <w:fldChar w:fldCharType="begin"/>
      </w:r>
      <w:r w:rsidRPr="007E0BD4">
        <w:rPr>
          <w:color w:val="0000FF"/>
        </w:rPr>
        <w:instrText xml:space="preserve"> :Start:FARM_PGOTO1 </w:instrText>
      </w:r>
      <w:r w:rsidRPr="007E0BD4">
        <w:rPr>
          <w:color w:val="0000FF"/>
        </w:rPr>
        <w:fldChar w:fldCharType="end"/>
      </w:r>
      <w:r w:rsidRPr="007E0BD4">
        <w:rPr>
          <w:color w:val="auto"/>
        </w:rPr>
        <w:t>Note 3: Taxation revenue by type (continued)</w:t>
      </w:r>
    </w:p>
    <w:p w:rsidR="005D56C0" w:rsidRPr="007E0BD4" w:rsidRDefault="008672B8" w:rsidP="003B3A85">
      <w:pPr>
        <w:pStyle w:val="TableGraphic"/>
      </w:pPr>
      <w:r w:rsidRPr="007E0BD4">
        <w:object w:dxaOrig="7705" w:dyaOrig="1534">
          <v:shape id="_x0000_i1041" type="#_x0000_t75" style="width:385.15pt;height:76.75pt" o:ole="">
            <v:imagedata r:id="rId52" o:title=""/>
          </v:shape>
          <o:OLEObject Type="Link" ProgID="Excel.SheetMacroEnabled.12" ShapeID="_x0000_i1041" DrawAspect="Content" r:id="rId53" UpdateMode="Always">
            <o:LinkType>EnhancedMetaFile</o:LinkType>
            <o:LockedField/>
          </o:OLEObject>
        </w:object>
      </w:r>
    </w:p>
    <w:p w:rsidR="00D775D9" w:rsidRPr="007E0BD4" w:rsidRDefault="0072048E" w:rsidP="00823007">
      <w:pPr>
        <w:pStyle w:val="ChartandTableFootnoteAlpha"/>
        <w:numPr>
          <w:ilvl w:val="0"/>
          <w:numId w:val="73"/>
        </w:numPr>
      </w:pPr>
      <w:r w:rsidRPr="007E0BD4">
        <w:t>‘</w:t>
      </w:r>
      <w:r w:rsidR="00D775D9" w:rsidRPr="007E0BD4">
        <w:t>Other alcoholic beverages</w:t>
      </w:r>
      <w:r w:rsidRPr="007E0BD4">
        <w:t>’</w:t>
      </w:r>
      <w:r w:rsidR="00D775D9" w:rsidRPr="007E0BD4">
        <w:t xml:space="preserve"> are those not exceeding 10 per cent by volume of alcohol (excluding beer, brandy and wine).</w:t>
      </w:r>
    </w:p>
    <w:p w:rsidR="00AB210F" w:rsidRPr="007E0BD4" w:rsidRDefault="00AB210F" w:rsidP="00AB210F">
      <w:pPr>
        <w:pStyle w:val="ChartandTableFootnoteAlpha"/>
      </w:pPr>
      <w:r w:rsidRPr="007E0BD4">
        <w:t>In the 2016-17 FBO, the majority of corporations law fees were reclassified from non-taxation revenue to taxation revenue and financial institutions supervisory levies were reclassified from taxation revenue to non-taxation revenue. See also Note 3(a), Taxation revenue by source and Note 4, Sales of goods and services revenue.</w:t>
      </w:r>
    </w:p>
    <w:p w:rsidR="00D775D9" w:rsidRPr="007E0BD4" w:rsidRDefault="0072048E" w:rsidP="00842B41">
      <w:pPr>
        <w:pStyle w:val="ChartandTableFootnoteAlpha"/>
      </w:pPr>
      <w:r w:rsidRPr="007E0BD4">
        <w:t>‘</w:t>
      </w:r>
      <w:r w:rsidR="00D775D9" w:rsidRPr="007E0BD4">
        <w:t>Capital gains tax</w:t>
      </w:r>
      <w:r w:rsidRPr="007E0BD4">
        <w:t>’</w:t>
      </w:r>
      <w:r w:rsidR="00D775D9" w:rsidRPr="007E0BD4">
        <w:t xml:space="preserve"> is part of gross other individuals, company tax</w:t>
      </w:r>
      <w:r w:rsidR="00056439" w:rsidRPr="007E0BD4">
        <w:t xml:space="preserve"> and superannuation fund taxes.</w:t>
      </w:r>
    </w:p>
    <w:p w:rsidR="00D775D9" w:rsidRPr="007E0BD4" w:rsidRDefault="00B700AA" w:rsidP="008045CD">
      <w:pPr>
        <w:pStyle w:val="NoteTableHeadingnospaceabove"/>
      </w:pPr>
      <w:r w:rsidRPr="007E0BD4">
        <w:rPr>
          <w:color w:val="FF0000"/>
        </w:rPr>
        <w:fldChar w:fldCharType="begin"/>
      </w:r>
      <w:r w:rsidRPr="007E0BD4">
        <w:rPr>
          <w:color w:val="FF0000"/>
        </w:rPr>
        <w:instrText xml:space="preserve"> :End:FARM_PGOTO1 </w:instrText>
      </w:r>
      <w:r w:rsidRPr="007E0BD4">
        <w:rPr>
          <w:color w:val="FF0000"/>
        </w:rPr>
        <w:fldChar w:fldCharType="end"/>
      </w:r>
      <w:r w:rsidR="00D775D9" w:rsidRPr="007E0BD4">
        <w:rPr>
          <w:color w:val="auto"/>
        </w:rPr>
        <w:br w:type="page"/>
      </w:r>
      <w:r w:rsidR="00B47B72" w:rsidRPr="007E0BD4">
        <w:rPr>
          <w:color w:val="auto"/>
        </w:rPr>
        <w:lastRenderedPageBreak/>
        <w:fldChar w:fldCharType="begin"/>
      </w:r>
      <w:r w:rsidR="00B47B72" w:rsidRPr="007E0BD4">
        <w:rPr>
          <w:color w:val="auto"/>
        </w:rPr>
        <w:instrText xml:space="preserve"> :Start:FARM_PGOTO1 </w:instrText>
      </w:r>
      <w:r w:rsidR="00B47B72" w:rsidRPr="007E0BD4">
        <w:rPr>
          <w:color w:val="auto"/>
        </w:rPr>
        <w:fldChar w:fldCharType="end"/>
      </w:r>
      <w:r w:rsidR="00D775D9" w:rsidRPr="007E0BD4">
        <w:t>Note 3(a): Taxation revenue by source</w:t>
      </w:r>
    </w:p>
    <w:p w:rsidR="00D775D9" w:rsidRPr="007E0BD4" w:rsidRDefault="008672B8" w:rsidP="003B3A85">
      <w:pPr>
        <w:pStyle w:val="TableGraphic"/>
      </w:pPr>
      <w:r w:rsidRPr="007E0BD4">
        <w:object w:dxaOrig="7705" w:dyaOrig="3971">
          <v:shape id="_x0000_i1042" type="#_x0000_t75" style="width:385.15pt;height:198.35pt" o:ole="">
            <v:imagedata r:id="rId54" o:title=""/>
          </v:shape>
          <o:OLEObject Type="Link" ProgID="Excel.SheetMacroEnabled.12" ShapeID="_x0000_i1042" DrawAspect="Content" r:id="rId55" UpdateMode="Always">
            <o:LinkType>EnhancedMetaFile</o:LinkType>
            <o:LockedField/>
          </o:OLEObject>
        </w:object>
      </w:r>
    </w:p>
    <w:p w:rsidR="006C660C" w:rsidRPr="007E0BD4" w:rsidRDefault="006C660C" w:rsidP="00A4068A">
      <w:pPr>
        <w:pStyle w:val="ChartandTableFootnoteAlpha"/>
        <w:numPr>
          <w:ilvl w:val="0"/>
          <w:numId w:val="60"/>
        </w:numPr>
      </w:pPr>
      <w:r w:rsidRPr="007E0BD4">
        <w:t xml:space="preserve">In the 2016-17 FBO, the majority of corporations law fees were reclassified from non-taxation revenue to taxation revenue and financial institutions supervisory levies were reclassified from taxation revenue to non-taxation revenue. </w:t>
      </w:r>
      <w:r w:rsidR="00B947B5" w:rsidRPr="007E0BD4">
        <w:t>See also Note 3</w:t>
      </w:r>
      <w:r w:rsidRPr="007E0BD4">
        <w:t>, Taxation revenue</w:t>
      </w:r>
      <w:r w:rsidR="00B947B5" w:rsidRPr="007E0BD4">
        <w:t xml:space="preserve"> by type</w:t>
      </w:r>
      <w:r w:rsidRPr="007E0BD4">
        <w:t xml:space="preserve"> and Note 4, Sales of goods and services revenue.</w:t>
      </w:r>
    </w:p>
    <w:p w:rsidR="00D775D9" w:rsidRPr="007E0BD4" w:rsidRDefault="00B47B72" w:rsidP="007271E1">
      <w:pPr>
        <w:pStyle w:val="NoteTableHeading"/>
      </w:pPr>
      <w:r w:rsidRPr="007E0BD4">
        <w:rPr>
          <w:color w:val="0000FF"/>
        </w:rPr>
        <w:fldChar w:fldCharType="begin"/>
      </w:r>
      <w:r w:rsidRPr="007E0BD4">
        <w:rPr>
          <w:color w:val="0000FF"/>
        </w:rPr>
        <w:instrText xml:space="preserve"> :End:FARM_PGOTO1 </w:instrText>
      </w:r>
      <w:r w:rsidRPr="007E0BD4">
        <w:rPr>
          <w:color w:val="0000FF"/>
        </w:rPr>
        <w:fldChar w:fldCharType="end"/>
      </w:r>
      <w:r w:rsidR="00B700AA" w:rsidRPr="007E0BD4">
        <w:rPr>
          <w:color w:val="0000FF"/>
        </w:rPr>
        <w:fldChar w:fldCharType="begin"/>
      </w:r>
      <w:r w:rsidR="00B700AA" w:rsidRPr="007E0BD4">
        <w:rPr>
          <w:color w:val="0000FF"/>
        </w:rPr>
        <w:instrText xml:space="preserve"> :Start:FARM_PGOTO1 </w:instrText>
      </w:r>
      <w:r w:rsidR="00B700AA" w:rsidRPr="007E0BD4">
        <w:rPr>
          <w:color w:val="0000FF"/>
        </w:rPr>
        <w:fldChar w:fldCharType="end"/>
      </w:r>
      <w:r w:rsidR="00D775D9" w:rsidRPr="007E0BD4">
        <w:t>Note 4: Sales of goods and services revenue</w:t>
      </w:r>
    </w:p>
    <w:p w:rsidR="00D775D9" w:rsidRPr="007E0BD4" w:rsidRDefault="00963E3B" w:rsidP="003B3A85">
      <w:pPr>
        <w:pStyle w:val="TableGraphic"/>
      </w:pPr>
      <w:r w:rsidRPr="007E0BD4">
        <w:object w:dxaOrig="7705" w:dyaOrig="1750">
          <v:shape id="_x0000_i1043" type="#_x0000_t75" style="width:385.15pt;height:87.6pt" o:ole="">
            <v:imagedata r:id="rId56" o:title=""/>
          </v:shape>
          <o:OLEObject Type="Link" ProgID="Excel.SheetMacroEnabled.12" ShapeID="_x0000_i1043" DrawAspect="Content" r:id="rId57" UpdateMode="Always">
            <o:LinkType>EnhancedMetaFile</o:LinkType>
            <o:LockedField/>
          </o:OLEObject>
        </w:object>
      </w:r>
    </w:p>
    <w:p w:rsidR="00B947B5" w:rsidRPr="007E0BD4" w:rsidRDefault="00B947B5" w:rsidP="00A4068A">
      <w:pPr>
        <w:pStyle w:val="ChartandTableFootnoteAlpha"/>
        <w:numPr>
          <w:ilvl w:val="0"/>
          <w:numId w:val="61"/>
        </w:numPr>
      </w:pPr>
      <w:r w:rsidRPr="007E0BD4">
        <w:t>In the 2016-17 FBO, the majority of corporations law fees were reclassified from non-taxation revenue to taxation revenue and financial institutions supervisory levies were reclassified from taxation revenue to non-taxation revenue.</w:t>
      </w:r>
      <w:r w:rsidR="00B1071C" w:rsidRPr="007E0BD4" w:rsidDel="00B1071C">
        <w:t xml:space="preserve"> </w:t>
      </w:r>
      <w:r w:rsidRPr="007E0BD4">
        <w:t>See also Note 3, Taxation revenue by type and Note 3(a), Taxation revenue by source.</w: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D775D9" w:rsidP="00D775D9">
      <w:pPr>
        <w:pStyle w:val="NoteTableHeadingnospaceabove"/>
        <w:rPr>
          <w:color w:val="auto"/>
        </w:rPr>
      </w:pPr>
      <w:r w:rsidRPr="007E0BD4">
        <w:rPr>
          <w:color w:val="auto"/>
        </w:rPr>
        <w:br w:type="page"/>
      </w:r>
      <w:r w:rsidR="00B700AA" w:rsidRPr="007E0BD4">
        <w:rPr>
          <w:color w:val="0000FF"/>
        </w:rPr>
        <w:lastRenderedPageBreak/>
        <w:fldChar w:fldCharType="begin"/>
      </w:r>
      <w:r w:rsidR="00B700AA" w:rsidRPr="007E0BD4">
        <w:rPr>
          <w:color w:val="0000FF"/>
        </w:rPr>
        <w:instrText xml:space="preserve"> :Start:FARM_PGOTO1 </w:instrText>
      </w:r>
      <w:r w:rsidR="00B700AA" w:rsidRPr="007E0BD4">
        <w:rPr>
          <w:color w:val="0000FF"/>
        </w:rPr>
        <w:fldChar w:fldCharType="end"/>
      </w:r>
      <w:r w:rsidRPr="007E0BD4">
        <w:rPr>
          <w:color w:val="auto"/>
        </w:rPr>
        <w:t>Note 5: Interest and dividend revenue</w:t>
      </w:r>
    </w:p>
    <w:p w:rsidR="00D775D9" w:rsidRPr="007E0BD4" w:rsidRDefault="00963E3B" w:rsidP="003B3A85">
      <w:pPr>
        <w:pStyle w:val="TableGraphic"/>
      </w:pPr>
      <w:r w:rsidRPr="007E0BD4">
        <w:object w:dxaOrig="7705" w:dyaOrig="4577">
          <v:shape id="_x0000_i1044" type="#_x0000_t75" style="width:385.15pt;height:228.9pt" o:ole="">
            <v:imagedata r:id="rId58" o:title=""/>
          </v:shape>
          <o:OLEObject Type="Link" ProgID="Excel.SheetMacroEnabled.12" ShapeID="_x0000_i1044" DrawAspect="Content" r:id="rId59" UpdateMode="Always">
            <o:LinkType>EnhancedMetaFile</o:LinkType>
            <o:LockedField/>
          </o:OLEObject>
        </w:object>
      </w:r>
    </w:p>
    <w:p w:rsidR="00AA45D8" w:rsidRPr="007E0BD4" w:rsidRDefault="00AA45D8" w:rsidP="00A4068A">
      <w:pPr>
        <w:pStyle w:val="ChartandTableFootnoteAlpha"/>
        <w:numPr>
          <w:ilvl w:val="0"/>
          <w:numId w:val="62"/>
        </w:numPr>
      </w:pPr>
      <w:r w:rsidRPr="007E0BD4">
        <w:t>Due to the implementation of the new Commonwealth Government reporting system, ‘bank deposits’ and ‘deposits’ are amalgamated and reported as ‘deposits’ from the 2016</w:t>
      </w:r>
      <w:r w:rsidRPr="007E0BD4">
        <w:noBreakHyphen/>
        <w:t>17 FBO.</w:t>
      </w:r>
    </w:p>
    <w:p w:rsidR="00D775D9" w:rsidRPr="007E0BD4" w:rsidRDefault="00B700AA" w:rsidP="008045CD">
      <w:pPr>
        <w:pStyle w:val="NoteTableHeading"/>
      </w:pPr>
      <w:r w:rsidRPr="007E0BD4">
        <w:rPr>
          <w:color w:val="FF0000"/>
        </w:rPr>
        <w:fldChar w:fldCharType="begin"/>
      </w:r>
      <w:r w:rsidRPr="007E0BD4">
        <w:rPr>
          <w:color w:val="FF0000"/>
        </w:rPr>
        <w:instrText xml:space="preserve"> :End:FARM_PGOTO1 </w:instrText>
      </w:r>
      <w:r w:rsidRPr="007E0BD4">
        <w:rPr>
          <w:color w:val="FF0000"/>
        </w:rPr>
        <w:fldChar w:fldCharType="end"/>
      </w:r>
      <w:r w:rsidRPr="007E0BD4">
        <w:rPr>
          <w:color w:val="0000FF"/>
        </w:rPr>
        <w:fldChar w:fldCharType="begin"/>
      </w:r>
      <w:r w:rsidRPr="007E0BD4">
        <w:rPr>
          <w:color w:val="0000FF"/>
        </w:rPr>
        <w:instrText xml:space="preserve"> :Start:FARM_PGOTO1 </w:instrText>
      </w:r>
      <w:r w:rsidRPr="007E0BD4">
        <w:rPr>
          <w:color w:val="0000FF"/>
        </w:rPr>
        <w:fldChar w:fldCharType="end"/>
      </w:r>
      <w:r w:rsidR="00D775D9" w:rsidRPr="007E0BD4">
        <w:t>Note 6: Other sources of non</w:t>
      </w:r>
      <w:r w:rsidR="0072048E" w:rsidRPr="007E0BD4">
        <w:noBreakHyphen/>
      </w:r>
      <w:r w:rsidR="00D775D9" w:rsidRPr="007E0BD4">
        <w:t>taxation revenue</w:t>
      </w:r>
    </w:p>
    <w:p w:rsidR="00D775D9" w:rsidRPr="007E0BD4" w:rsidRDefault="00963E3B" w:rsidP="003B3A85">
      <w:pPr>
        <w:pStyle w:val="TableGraphic"/>
      </w:pPr>
      <w:r w:rsidRPr="007E0BD4">
        <w:object w:dxaOrig="7705" w:dyaOrig="1750">
          <v:shape id="_x0000_i1045" type="#_x0000_t75" style="width:385.15pt;height:87.6pt" o:ole="">
            <v:imagedata r:id="rId60" o:title=""/>
          </v:shape>
          <o:OLEObject Type="Link" ProgID="Excel.SheetMacroEnabled.12" ShapeID="_x0000_i1045" DrawAspect="Content" r:id="rId61" UpdateMode="Always">
            <o:LinkType>EnhancedMetaFile</o:LinkType>
            <o:LockedField/>
          </o:OLEObject>
        </w:objec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D775D9" w:rsidP="00D775D9">
      <w:pPr>
        <w:pStyle w:val="NoteTableHeadingnospaceabove"/>
      </w:pPr>
      <w:r w:rsidRPr="007E0BD4">
        <w:br w:type="page"/>
      </w:r>
      <w:r w:rsidR="00B700AA" w:rsidRPr="007E0BD4">
        <w:rPr>
          <w:color w:val="0000FF"/>
        </w:rPr>
        <w:lastRenderedPageBreak/>
        <w:fldChar w:fldCharType="begin"/>
      </w:r>
      <w:r w:rsidR="00B700AA" w:rsidRPr="007E0BD4">
        <w:rPr>
          <w:color w:val="0000FF"/>
        </w:rPr>
        <w:instrText xml:space="preserve"> :Start:FARM_PGOTO1 </w:instrText>
      </w:r>
      <w:r w:rsidR="00B700AA" w:rsidRPr="007E0BD4">
        <w:rPr>
          <w:color w:val="0000FF"/>
        </w:rPr>
        <w:fldChar w:fldCharType="end"/>
      </w:r>
      <w:r w:rsidRPr="007E0BD4">
        <w:t>Note 7: Employee and superannuation expense</w:t>
      </w:r>
    </w:p>
    <w:p w:rsidR="00D775D9" w:rsidRPr="007E0BD4" w:rsidRDefault="00963E3B" w:rsidP="003B3A85">
      <w:pPr>
        <w:pStyle w:val="TableGraphic"/>
      </w:pPr>
      <w:r w:rsidRPr="007E0BD4">
        <w:object w:dxaOrig="7705" w:dyaOrig="3437">
          <v:shape id="_x0000_i1046" type="#_x0000_t75" style="width:385.15pt;height:171.85pt" o:ole="">
            <v:imagedata r:id="rId62" o:title=""/>
          </v:shape>
          <o:OLEObject Type="Link" ProgID="Excel.SheetMacroEnabled.12" ShapeID="_x0000_i1046" DrawAspect="Content" r:id="rId63" UpdateMode="Always">
            <o:LinkType>EnhancedMetaFile</o:LinkType>
            <o:LockedField/>
          </o:OLEObject>
        </w:objec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B700AA" w:rsidP="008045CD">
      <w:pPr>
        <w:pStyle w:val="NoteTableHeading"/>
      </w:pPr>
      <w:r w:rsidRPr="007E0BD4">
        <w:rPr>
          <w:color w:val="0000FF"/>
        </w:rPr>
        <w:fldChar w:fldCharType="begin"/>
      </w:r>
      <w:r w:rsidRPr="007E0BD4">
        <w:rPr>
          <w:color w:val="0000FF"/>
        </w:rPr>
        <w:instrText xml:space="preserve"> :Start:FARM_PGOTO1 </w:instrText>
      </w:r>
      <w:r w:rsidRPr="007E0BD4">
        <w:rPr>
          <w:color w:val="0000FF"/>
        </w:rPr>
        <w:fldChar w:fldCharType="end"/>
      </w:r>
      <w:r w:rsidR="00D775D9" w:rsidRPr="007E0BD4">
        <w:t>Note 8: Depreciation and amortisation expense</w:t>
      </w:r>
    </w:p>
    <w:p w:rsidR="00D775D9" w:rsidRPr="007E0BD4" w:rsidRDefault="00963E3B" w:rsidP="003B3A85">
      <w:pPr>
        <w:pStyle w:val="TableGraphic"/>
      </w:pPr>
      <w:r w:rsidRPr="007E0BD4">
        <w:object w:dxaOrig="7705" w:dyaOrig="2457">
          <v:shape id="_x0000_i1047" type="#_x0000_t75" style="width:385.15pt;height:122.95pt" o:ole="">
            <v:imagedata r:id="rId64" o:title=""/>
          </v:shape>
          <o:OLEObject Type="Link" ProgID="Excel.SheetMacroEnabled.12" ShapeID="_x0000_i1047" DrawAspect="Content" r:id="rId65" UpdateMode="Always">
            <o:LinkType>EnhancedMetaFile</o:LinkType>
            <o:LockedField/>
          </o:OLEObject>
        </w:objec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B700AA" w:rsidP="008045CD">
      <w:pPr>
        <w:pStyle w:val="NoteTableHeading"/>
      </w:pPr>
      <w:r w:rsidRPr="007E0BD4">
        <w:rPr>
          <w:color w:val="0000FF"/>
        </w:rPr>
        <w:fldChar w:fldCharType="begin"/>
      </w:r>
      <w:r w:rsidRPr="007E0BD4">
        <w:rPr>
          <w:color w:val="0000FF"/>
        </w:rPr>
        <w:instrText xml:space="preserve"> :Start:FARM_PGOTO1 </w:instrText>
      </w:r>
      <w:r w:rsidRPr="007E0BD4">
        <w:rPr>
          <w:color w:val="0000FF"/>
        </w:rPr>
        <w:fldChar w:fldCharType="end"/>
      </w:r>
      <w:r w:rsidR="00D775D9" w:rsidRPr="007E0BD4">
        <w:t>Note 9: Supply of goods and services expense</w:t>
      </w:r>
    </w:p>
    <w:p w:rsidR="00D775D9" w:rsidRPr="007E0BD4" w:rsidRDefault="00963E3B" w:rsidP="003B3A85">
      <w:pPr>
        <w:pStyle w:val="TableGraphic"/>
      </w:pPr>
      <w:r w:rsidRPr="007E0BD4">
        <w:object w:dxaOrig="7705" w:dyaOrig="1967">
          <v:shape id="_x0000_i1048" type="#_x0000_t75" style="width:385.15pt;height:98.5pt" o:ole="">
            <v:imagedata r:id="rId66" o:title=""/>
          </v:shape>
          <o:OLEObject Type="Link" ProgID="Excel.SheetMacroEnabled.12" ShapeID="_x0000_i1048" DrawAspect="Content" r:id="rId67" UpdateMode="Always">
            <o:LinkType>EnhancedMetaFile</o:LinkType>
            <o:LockedField/>
          </o:OLEObject>
        </w:object>
      </w:r>
    </w:p>
    <w:p w:rsidR="00DA4F8E" w:rsidRPr="007E0BD4" w:rsidRDefault="008737D1" w:rsidP="00116B16">
      <w:pPr>
        <w:pStyle w:val="ChartandTableFootnote"/>
        <w:numPr>
          <w:ilvl w:val="0"/>
          <w:numId w:val="30"/>
        </w:numPr>
        <w:ind w:left="284" w:hanging="284"/>
      </w:pPr>
      <w:r w:rsidRPr="007E0BD4">
        <w:t>In</w:t>
      </w:r>
      <w:r w:rsidR="00D775D9" w:rsidRPr="007E0BD4">
        <w:t xml:space="preserve">cludes </w:t>
      </w:r>
      <w:r w:rsidR="00456BD4" w:rsidRPr="007E0BD4">
        <w:t>the Child Care Subsidy, which commences from 2018-19, with the majority of the payments to be made directly to child care providers. See also Note 12, Personal benefits expenses.</w:t>
      </w:r>
    </w:p>
    <w:p w:rsidR="001A0697" w:rsidRPr="007E0BD4" w:rsidRDefault="00AA45D8" w:rsidP="00116B16">
      <w:pPr>
        <w:pStyle w:val="ChartandTableFootnote"/>
        <w:numPr>
          <w:ilvl w:val="0"/>
          <w:numId w:val="30"/>
        </w:numPr>
        <w:ind w:left="284" w:hanging="284"/>
        <w:rPr>
          <w:rFonts w:ascii="Book Antiqua" w:hAnsi="Book Antiqua"/>
        </w:rPr>
      </w:pPr>
      <w:r w:rsidRPr="007E0BD4">
        <w:t>Includes reclassification in the 2017</w:t>
      </w:r>
      <w:r w:rsidRPr="007E0BD4">
        <w:noBreakHyphen/>
        <w:t>18 Budget of payments under the National Disability Insurance Scheme from grants expenses (</w:t>
      </w:r>
      <w:r w:rsidR="00E06302" w:rsidRPr="007E0BD4">
        <w:t>N</w:t>
      </w:r>
      <w:r w:rsidRPr="007E0BD4">
        <w:t>ote 11) to indirect personal benefits expenses (Note 9), to reflect the nature of benefits provided to households.</w: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B700AA" w:rsidP="00116B16">
      <w:pPr>
        <w:pStyle w:val="NoteTableHeadingnospaceabove"/>
      </w:pPr>
      <w:r w:rsidRPr="007E0BD4">
        <w:rPr>
          <w:color w:val="0000FF"/>
        </w:rPr>
        <w:lastRenderedPageBreak/>
        <w:fldChar w:fldCharType="begin"/>
      </w:r>
      <w:r w:rsidRPr="007E0BD4">
        <w:rPr>
          <w:color w:val="0000FF"/>
        </w:rPr>
        <w:instrText xml:space="preserve"> :Start:FARM_PGOTO1 </w:instrText>
      </w:r>
      <w:r w:rsidRPr="007E0BD4">
        <w:rPr>
          <w:color w:val="0000FF"/>
        </w:rPr>
        <w:fldChar w:fldCharType="end"/>
      </w:r>
      <w:r w:rsidR="00D775D9" w:rsidRPr="007E0BD4">
        <w:t>Note 10: Interest expense</w:t>
      </w:r>
    </w:p>
    <w:p w:rsidR="00D775D9" w:rsidRPr="007E0BD4" w:rsidRDefault="008E5D09" w:rsidP="003B3A85">
      <w:pPr>
        <w:pStyle w:val="TableGraphic"/>
      </w:pPr>
      <w:r w:rsidRPr="007E0BD4">
        <w:object w:dxaOrig="7705" w:dyaOrig="2241">
          <v:shape id="_x0000_i1049" type="#_x0000_t75" style="width:385.15pt;height:112.1pt" o:ole="">
            <v:imagedata r:id="rId68" o:title=""/>
          </v:shape>
          <o:OLEObject Type="Link" ProgID="Excel.SheetMacroEnabled.12" ShapeID="_x0000_i1049" DrawAspect="Content" r:id="rId69" UpdateMode="Always">
            <o:LinkType>EnhancedMetaFile</o:LinkType>
            <o:LockedField/>
          </o:OLEObject>
        </w:object>
      </w:r>
    </w:p>
    <w:p w:rsidR="00D775D9" w:rsidRPr="007E0BD4" w:rsidRDefault="00D775D9" w:rsidP="00116B16">
      <w:pPr>
        <w:pStyle w:val="ChartandTableFootnote"/>
        <w:numPr>
          <w:ilvl w:val="0"/>
          <w:numId w:val="29"/>
        </w:numPr>
      </w:pPr>
      <w:r w:rsidRPr="007E0BD4">
        <w:t>Public debt interest estimates are calculated using the contract interest rates incurred on existing Commonwealth Government Securities (CGS) when issued and</w:t>
      </w:r>
      <w:r w:rsidR="009F036F" w:rsidRPr="007E0BD4">
        <w:t xml:space="preserve"> on</w:t>
      </w:r>
      <w:r w:rsidRPr="007E0BD4">
        <w:t xml:space="preserve"> technical assumptions, based on prevailing market interest rates across the yield curve, for yields on future CGS issuance.</w: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B700AA" w:rsidP="008045CD">
      <w:pPr>
        <w:pStyle w:val="NoteTableHeading"/>
      </w:pPr>
      <w:r w:rsidRPr="007E0BD4">
        <w:rPr>
          <w:color w:val="0000FF"/>
        </w:rPr>
        <w:fldChar w:fldCharType="begin"/>
      </w:r>
      <w:r w:rsidRPr="007E0BD4">
        <w:rPr>
          <w:color w:val="0000FF"/>
        </w:rPr>
        <w:instrText xml:space="preserve"> :Start:FARM_PGOTO1 </w:instrText>
      </w:r>
      <w:r w:rsidRPr="007E0BD4">
        <w:rPr>
          <w:color w:val="0000FF"/>
        </w:rPr>
        <w:fldChar w:fldCharType="end"/>
      </w:r>
      <w:r w:rsidR="00D775D9" w:rsidRPr="007E0BD4">
        <w:t>Note 11: Current and capital grants expense</w:t>
      </w:r>
    </w:p>
    <w:p w:rsidR="00D775D9" w:rsidRPr="007E0BD4" w:rsidRDefault="00406574" w:rsidP="00406574">
      <w:pPr>
        <w:pStyle w:val="TableGraphic"/>
      </w:pPr>
      <w:r w:rsidRPr="007E0BD4">
        <w:object w:dxaOrig="7705" w:dyaOrig="4620">
          <v:shape id="_x0000_i1050" type="#_x0000_t75" style="width:385.15pt;height:230.95pt" o:ole="">
            <v:imagedata r:id="rId70" o:title=""/>
          </v:shape>
          <o:OLEObject Type="Link" ProgID="Excel.SheetMacroEnabled.12" ShapeID="_x0000_i1050" DrawAspect="Content" r:id="rId71" UpdateMode="Always">
            <o:LinkType>EnhancedMetaFile</o:LinkType>
            <o:LockedField/>
          </o:OLEObject>
        </w:object>
      </w:r>
    </w:p>
    <w:p w:rsidR="00D82F1D" w:rsidRPr="007E0BD4" w:rsidRDefault="00AA45D8" w:rsidP="00116B16">
      <w:pPr>
        <w:pStyle w:val="ChartandTableFootnote"/>
        <w:numPr>
          <w:ilvl w:val="0"/>
          <w:numId w:val="48"/>
        </w:numPr>
      </w:pPr>
      <w:r w:rsidRPr="007E0BD4">
        <w:t>Includes reclassification in the 2017</w:t>
      </w:r>
      <w:r w:rsidRPr="007E0BD4">
        <w:noBreakHyphen/>
        <w:t>18 Budget of payments under the National Disability Insurance Scheme from grants expenses (Note 11) to indirect personal benefits expenses (Note 9), to reflect the nature of benefits provided to households</w:t>
      </w:r>
      <w:r w:rsidR="00D82F1D" w:rsidRPr="007E0BD4">
        <w:t>.</w: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D775D9" w:rsidP="00D775D9">
      <w:pPr>
        <w:pStyle w:val="NoteTableHeadingnospaceabove"/>
        <w:rPr>
          <w:color w:val="auto"/>
        </w:rPr>
      </w:pPr>
      <w:r w:rsidRPr="007E0BD4">
        <w:rPr>
          <w:color w:val="auto"/>
        </w:rPr>
        <w:br w:type="page"/>
      </w:r>
      <w:r w:rsidR="00B700AA" w:rsidRPr="007E0BD4">
        <w:rPr>
          <w:color w:val="0000FF"/>
        </w:rPr>
        <w:lastRenderedPageBreak/>
        <w:fldChar w:fldCharType="begin"/>
      </w:r>
      <w:r w:rsidR="00B700AA" w:rsidRPr="007E0BD4">
        <w:rPr>
          <w:color w:val="0000FF"/>
        </w:rPr>
        <w:instrText xml:space="preserve"> :Start:FARM_PGOTO1 </w:instrText>
      </w:r>
      <w:r w:rsidR="00B700AA" w:rsidRPr="007E0BD4">
        <w:rPr>
          <w:color w:val="0000FF"/>
        </w:rPr>
        <w:fldChar w:fldCharType="end"/>
      </w:r>
      <w:r w:rsidRPr="007E0BD4">
        <w:rPr>
          <w:color w:val="auto"/>
        </w:rPr>
        <w:t>Note 12: Personal benefits expense</w:t>
      </w:r>
    </w:p>
    <w:p w:rsidR="00D775D9" w:rsidRPr="007E0BD4" w:rsidRDefault="00963E3B" w:rsidP="003B3A85">
      <w:pPr>
        <w:pStyle w:val="TableGraphic"/>
      </w:pPr>
      <w:r w:rsidRPr="007E0BD4">
        <w:object w:dxaOrig="7705" w:dyaOrig="3048">
          <v:shape id="_x0000_i1051" type="#_x0000_t75" style="width:385.15pt;height:152.15pt" o:ole="">
            <v:imagedata r:id="rId72" o:title=""/>
          </v:shape>
          <o:OLEObject Type="Link" ProgID="Excel.SheetMacroEnabled.12" ShapeID="_x0000_i1051" DrawAspect="Content" r:id="rId73" UpdateMode="Always">
            <o:LinkType>EnhancedMetaFile</o:LinkType>
            <o:LockedField/>
          </o:OLEObject>
        </w:object>
      </w:r>
    </w:p>
    <w:p w:rsidR="00D82F1D" w:rsidRPr="007E0BD4" w:rsidRDefault="004226B4" w:rsidP="00116B16">
      <w:pPr>
        <w:pStyle w:val="ChartandTableFootnote"/>
        <w:numPr>
          <w:ilvl w:val="0"/>
          <w:numId w:val="45"/>
        </w:numPr>
      </w:pPr>
      <w:r w:rsidRPr="007E0BD4">
        <w:t xml:space="preserve">The majority of payments under the </w:t>
      </w:r>
      <w:r w:rsidR="00D775D9" w:rsidRPr="007E0BD4">
        <w:t>Child Care Subsidy,</w:t>
      </w:r>
      <w:r w:rsidRPr="007E0BD4">
        <w:t xml:space="preserve"> which commences from 2018</w:t>
      </w:r>
      <w:r w:rsidR="0072048E" w:rsidRPr="007E0BD4">
        <w:noBreakHyphen/>
      </w:r>
      <w:r w:rsidRPr="007E0BD4">
        <w:t xml:space="preserve">19, are to </w:t>
      </w:r>
      <w:r w:rsidR="00D775D9" w:rsidRPr="007E0BD4">
        <w:t>be made directly to child care providers. See also Note 9, Supply of goods and services expense.</w: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B700AA" w:rsidP="008045CD">
      <w:pPr>
        <w:pStyle w:val="NoteTableHeading"/>
      </w:pPr>
      <w:r w:rsidRPr="007E0BD4">
        <w:rPr>
          <w:color w:val="0000FF"/>
        </w:rPr>
        <w:fldChar w:fldCharType="begin"/>
      </w:r>
      <w:r w:rsidRPr="007E0BD4">
        <w:rPr>
          <w:color w:val="0000FF"/>
        </w:rPr>
        <w:instrText xml:space="preserve"> :Start:FARM_PGOTO1 </w:instrText>
      </w:r>
      <w:r w:rsidRPr="007E0BD4">
        <w:rPr>
          <w:color w:val="0000FF"/>
        </w:rPr>
        <w:fldChar w:fldCharType="end"/>
      </w:r>
      <w:r w:rsidR="00D775D9" w:rsidRPr="007E0BD4">
        <w:t>Note 13: Advances paid and other receivables</w:t>
      </w:r>
    </w:p>
    <w:p w:rsidR="00D775D9" w:rsidRPr="007E0BD4" w:rsidRDefault="00963E3B" w:rsidP="003B3A85">
      <w:pPr>
        <w:pStyle w:val="TableGraphic"/>
      </w:pPr>
      <w:r w:rsidRPr="007E0BD4">
        <w:object w:dxaOrig="7705" w:dyaOrig="3842">
          <v:shape id="_x0000_i1052" type="#_x0000_t75" style="width:385.15pt;height:192.25pt" o:ole="">
            <v:imagedata r:id="rId74" o:title=""/>
          </v:shape>
          <o:OLEObject Type="Link" ProgID="Excel.SheetMacroEnabled.12" ShapeID="_x0000_i1052" DrawAspect="Content" r:id="rId75" UpdateMode="Always">
            <o:LinkType>EnhancedMetaFile</o:LinkType>
            <o:LockedField/>
          </o:OLEObject>
        </w:object>
      </w:r>
    </w:p>
    <w:p w:rsidR="009D1A18" w:rsidRPr="007E0BD4" w:rsidRDefault="00AA45D8" w:rsidP="00AA45D8">
      <w:pPr>
        <w:pStyle w:val="ChartandTableFootnote"/>
        <w:numPr>
          <w:ilvl w:val="0"/>
          <w:numId w:val="47"/>
        </w:numPr>
      </w:pPr>
      <w:r w:rsidRPr="007E0BD4">
        <w:t xml:space="preserve">Due to the implementation of the new Commonwealth Government reporting system, student related loans including Higher Education Loan Program and Student Financial </w:t>
      </w:r>
      <w:r w:rsidR="009D1A18" w:rsidRPr="007E0BD4">
        <w:t>Supplement</w:t>
      </w:r>
      <w:r w:rsidRPr="007E0BD4">
        <w:t xml:space="preserve"> Schemes are amalgamated and reported as ‘student loans’ from the 2016</w:t>
      </w:r>
      <w:r w:rsidRPr="007E0BD4">
        <w:noBreakHyphen/>
        <w:t>17 FBO</w:t>
      </w:r>
      <w:r w:rsidR="009D1A18" w:rsidRPr="007E0BD4">
        <w:t>.</w:t>
      </w:r>
    </w:p>
    <w:p w:rsidR="001C332E" w:rsidRPr="007E0BD4" w:rsidRDefault="001C332E" w:rsidP="001C332E">
      <w:pPr>
        <w:pStyle w:val="ChartandTableFootnote"/>
        <w:numPr>
          <w:ilvl w:val="0"/>
          <w:numId w:val="47"/>
        </w:numPr>
      </w:pPr>
      <w:r w:rsidRPr="007E0BD4">
        <w:t>Trade Support Loans and Student Start-up Loans which were previously classified to ‘other’ are now classified to ‘student loans’.</w:t>
      </w:r>
    </w:p>
    <w:p w:rsidR="00AA45D8" w:rsidRPr="007E0BD4" w:rsidRDefault="00AA45D8" w:rsidP="00AA45D8">
      <w:pPr>
        <w:pStyle w:val="ChartandTableFootnote"/>
        <w:numPr>
          <w:ilvl w:val="0"/>
          <w:numId w:val="47"/>
        </w:numPr>
      </w:pPr>
      <w:r w:rsidRPr="007E0BD4">
        <w:t xml:space="preserve">Due to the implementation </w:t>
      </w:r>
      <w:r w:rsidR="00E5435C" w:rsidRPr="007E0BD4">
        <w:t>of</w:t>
      </w:r>
      <w:r w:rsidRPr="007E0BD4">
        <w:t xml:space="preserve"> the 2015 ABS GFS Manual, Australia’s subscriptions to the International Development Association and the Asian Development Fund were reclassified in the 2017</w:t>
      </w:r>
      <w:r w:rsidRPr="007E0BD4">
        <w:noBreakHyphen/>
        <w:t xml:space="preserve">18 Budget from </w:t>
      </w:r>
      <w:r w:rsidR="009D1A18" w:rsidRPr="007E0BD4">
        <w:t xml:space="preserve">nominal value </w:t>
      </w:r>
      <w:r w:rsidRPr="007E0BD4">
        <w:t xml:space="preserve">‘advances paid’ to </w:t>
      </w:r>
      <w:r w:rsidR="009D1A18" w:rsidRPr="007E0BD4">
        <w:t xml:space="preserve">fair value </w:t>
      </w:r>
      <w:r w:rsidRPr="007E0BD4">
        <w:t>‘equity investments’ on the balance sheet.</w: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B700AA" w:rsidP="008045CD">
      <w:pPr>
        <w:pStyle w:val="NoteTableHeading"/>
      </w:pPr>
      <w:r w:rsidRPr="007E0BD4">
        <w:rPr>
          <w:color w:val="0000FF"/>
        </w:rPr>
        <w:lastRenderedPageBreak/>
        <w:fldChar w:fldCharType="begin"/>
      </w:r>
      <w:r w:rsidRPr="007E0BD4">
        <w:rPr>
          <w:color w:val="0000FF"/>
        </w:rPr>
        <w:instrText xml:space="preserve"> :Start:FARM_PGOTO1 </w:instrText>
      </w:r>
      <w:r w:rsidRPr="007E0BD4">
        <w:rPr>
          <w:color w:val="0000FF"/>
        </w:rPr>
        <w:fldChar w:fldCharType="end"/>
      </w:r>
      <w:r w:rsidR="00D775D9" w:rsidRPr="007E0BD4">
        <w:t>Note 14: Investments, loans and placements</w:t>
      </w:r>
    </w:p>
    <w:p w:rsidR="00D775D9" w:rsidRPr="007E0BD4" w:rsidRDefault="00963E3B" w:rsidP="003B3A85">
      <w:pPr>
        <w:pStyle w:val="TableGraphic"/>
      </w:pPr>
      <w:r w:rsidRPr="007E0BD4">
        <w:object w:dxaOrig="7705" w:dyaOrig="1534">
          <v:shape id="_x0000_i1053" type="#_x0000_t75" style="width:385.15pt;height:76.75pt" o:ole="">
            <v:imagedata r:id="rId76" o:title=""/>
          </v:shape>
          <o:OLEObject Type="Link" ProgID="Excel.SheetMacroEnabled.12" ShapeID="_x0000_i1053" DrawAspect="Content" r:id="rId77" UpdateMode="Always">
            <o:LinkType>EnhancedMetaFile</o:LinkType>
            <o:LockedField/>
          </o:OLEObject>
        </w:objec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D775D9" w:rsidP="00D775D9">
      <w:pPr>
        <w:pStyle w:val="SingleParagraph"/>
      </w:pPr>
    </w:p>
    <w:p w:rsidR="00D775D9" w:rsidRPr="007E0BD4" w:rsidRDefault="00B700AA" w:rsidP="00D775D9">
      <w:pPr>
        <w:pStyle w:val="NoteTableHeadingnospaceabove"/>
        <w:rPr>
          <w:color w:val="auto"/>
        </w:rPr>
      </w:pPr>
      <w:r w:rsidRPr="007E0BD4">
        <w:rPr>
          <w:color w:val="0000FF"/>
        </w:rPr>
        <w:fldChar w:fldCharType="begin"/>
      </w:r>
      <w:r w:rsidRPr="007E0BD4">
        <w:rPr>
          <w:color w:val="0000FF"/>
        </w:rPr>
        <w:instrText xml:space="preserve"> :Start:FARM_PGOTO1 </w:instrText>
      </w:r>
      <w:r w:rsidRPr="007E0BD4">
        <w:rPr>
          <w:color w:val="0000FF"/>
        </w:rPr>
        <w:fldChar w:fldCharType="end"/>
      </w:r>
      <w:r w:rsidR="00D775D9" w:rsidRPr="007E0BD4">
        <w:rPr>
          <w:color w:val="auto"/>
        </w:rPr>
        <w:t>Note 15: Non</w:t>
      </w:r>
      <w:r w:rsidR="0072048E" w:rsidRPr="007E0BD4">
        <w:rPr>
          <w:color w:val="auto"/>
        </w:rPr>
        <w:noBreakHyphen/>
      </w:r>
      <w:r w:rsidR="00D775D9" w:rsidRPr="007E0BD4">
        <w:rPr>
          <w:color w:val="auto"/>
        </w:rPr>
        <w:t>financial assets</w:t>
      </w:r>
    </w:p>
    <w:p w:rsidR="007541D7" w:rsidRPr="007E0BD4" w:rsidRDefault="00AF2198" w:rsidP="00056439">
      <w:pPr>
        <w:pStyle w:val="TableGraphic"/>
      </w:pPr>
      <w:r w:rsidRPr="007E0BD4">
        <w:object w:dxaOrig="7705" w:dyaOrig="5947">
          <v:shape id="_x0000_i1054" type="#_x0000_t75" style="width:385.15pt;height:297.5pt" o:ole="">
            <v:imagedata r:id="rId78" o:title=""/>
          </v:shape>
          <o:OLEObject Type="Link" ProgID="Excel.SheetMacroEnabled.12" ShapeID="_x0000_i1054" DrawAspect="Content" r:id="rId79" UpdateMode="Always">
            <o:LinkType>EnhancedMetaFile</o:LinkType>
            <o:LockedField/>
          </o:OLEObject>
        </w:objec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B700AA" w:rsidP="008045CD">
      <w:pPr>
        <w:pStyle w:val="NoteTableHeading"/>
      </w:pPr>
      <w:r w:rsidRPr="007E0BD4">
        <w:rPr>
          <w:color w:val="0000FF"/>
        </w:rPr>
        <w:fldChar w:fldCharType="begin"/>
      </w:r>
      <w:r w:rsidRPr="007E0BD4">
        <w:rPr>
          <w:color w:val="0000FF"/>
        </w:rPr>
        <w:instrText xml:space="preserve"> :Start:FARM_PGOTO1 </w:instrText>
      </w:r>
      <w:r w:rsidRPr="007E0BD4">
        <w:rPr>
          <w:color w:val="0000FF"/>
        </w:rPr>
        <w:fldChar w:fldCharType="end"/>
      </w:r>
      <w:r w:rsidR="00D775D9" w:rsidRPr="007E0BD4">
        <w:t>Note 16: Loans</w:t>
      </w:r>
    </w:p>
    <w:p w:rsidR="00D775D9" w:rsidRPr="007E0BD4" w:rsidRDefault="00963E3B" w:rsidP="00056439">
      <w:pPr>
        <w:pStyle w:val="TableGraphic"/>
      </w:pPr>
      <w:r w:rsidRPr="007E0BD4">
        <w:object w:dxaOrig="7705" w:dyaOrig="1534">
          <v:shape id="_x0000_i1055" type="#_x0000_t75" style="width:385.15pt;height:76.75pt" o:ole="">
            <v:imagedata r:id="rId80" o:title=""/>
          </v:shape>
          <o:OLEObject Type="Link" ProgID="Excel.SheetMacroEnabled.12" ShapeID="_x0000_i1055" DrawAspect="Content" r:id="rId81" UpdateMode="Always">
            <o:LinkType>EnhancedMetaFile</o:LinkType>
            <o:LockedField/>
          </o:OLEObject>
        </w:objec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606E15" w:rsidP="00D775D9">
      <w:pPr>
        <w:pStyle w:val="NoteTableHeadingnospaceabove"/>
      </w:pPr>
      <w:r w:rsidRPr="007E0BD4">
        <w:br w:type="page"/>
      </w:r>
      <w:r w:rsidR="00B700AA" w:rsidRPr="007E0BD4">
        <w:rPr>
          <w:color w:val="0000FF"/>
        </w:rPr>
        <w:lastRenderedPageBreak/>
        <w:fldChar w:fldCharType="begin"/>
      </w:r>
      <w:r w:rsidR="00B700AA" w:rsidRPr="007E0BD4">
        <w:rPr>
          <w:color w:val="0000FF"/>
        </w:rPr>
        <w:instrText xml:space="preserve"> :Start:FARM_PGOTO1 </w:instrText>
      </w:r>
      <w:r w:rsidR="00B700AA" w:rsidRPr="007E0BD4">
        <w:rPr>
          <w:color w:val="0000FF"/>
        </w:rPr>
        <w:fldChar w:fldCharType="end"/>
      </w:r>
      <w:r w:rsidR="00D775D9" w:rsidRPr="007E0BD4">
        <w:t>Note 17: Employee and superannuation liabilities</w:t>
      </w:r>
    </w:p>
    <w:p w:rsidR="00D775D9" w:rsidRPr="007E0BD4" w:rsidRDefault="00334A31" w:rsidP="003B3A85">
      <w:pPr>
        <w:pStyle w:val="TableGraphic"/>
      </w:pPr>
      <w:r w:rsidRPr="007E0BD4">
        <w:object w:dxaOrig="7705" w:dyaOrig="2947">
          <v:shape id="_x0000_i1056" type="#_x0000_t75" style="width:385.15pt;height:147.4pt" o:ole="">
            <v:imagedata r:id="rId82" o:title=""/>
          </v:shape>
          <o:OLEObject Type="Link" ProgID="Excel.SheetMacroEnabled.12" ShapeID="_x0000_i1056" DrawAspect="Content" r:id="rId83" UpdateMode="Always">
            <o:LinkType>EnhancedMetaFile</o:LinkType>
            <o:LockedField/>
          </o:OLEObject>
        </w:object>
      </w:r>
    </w:p>
    <w:p w:rsidR="00406574" w:rsidRPr="007E0BD4" w:rsidRDefault="001C332E" w:rsidP="00A4068A">
      <w:pPr>
        <w:pStyle w:val="ChartandTableFootnote"/>
        <w:numPr>
          <w:ilvl w:val="0"/>
          <w:numId w:val="27"/>
        </w:numPr>
        <w:ind w:left="284" w:hanging="284"/>
      </w:pPr>
      <w:r w:rsidRPr="007E0BD4">
        <w:t xml:space="preserve">For budget reporting purposes, a discount rate of 6 per cent used by actuaries in preparing Long-Term Cost Reports is used to value the superannuation liability. This reflects the average annual rate estimated to apply over the term of the liability and it reduces the volatility in reported liabilities that would occur from year to year if the long-term government bond rate were used. Consistent with Australian Accounting Standards, the superannuation liability for the 2016-17 FBO was calculated using the long-term government bond rate as at 30 June 2017 that best matches each individual scheme’s liability duration. These rates were broadly between </w:t>
      </w:r>
      <w:r w:rsidR="00056439" w:rsidRPr="007E0BD4">
        <w:t>3.0 and 3.5 per cent per annum.</w:t>
      </w:r>
    </w:p>
    <w:p w:rsidR="00606E15" w:rsidRPr="007E0BD4" w:rsidRDefault="00742D68" w:rsidP="00606E15">
      <w:pPr>
        <w:pStyle w:val="ChartandTableFootnote"/>
        <w:numPr>
          <w:ilvl w:val="0"/>
          <w:numId w:val="27"/>
        </w:numPr>
        <w:ind w:left="284" w:hanging="284"/>
      </w:pPr>
      <w:r w:rsidRPr="007E0BD4">
        <w:t>Consistent</w:t>
      </w:r>
      <w:r w:rsidR="00147D8E" w:rsidRPr="007E0BD4">
        <w:t xml:space="preserve"> with the presentation of Consolidated Financial Statements, ‘military compensation’ is separately disclosed from the 2017-18 MYEFO.</w:t>
      </w:r>
    </w:p>
    <w:p w:rsidR="00D775D9" w:rsidRPr="007E0BD4" w:rsidRDefault="00606E15" w:rsidP="00606E15">
      <w:pPr>
        <w:pStyle w:val="NoteTableHeading"/>
        <w:spacing w:before="0"/>
      </w:pPr>
      <w:r w:rsidRPr="007E0BD4">
        <w:br w:type="page"/>
      </w:r>
      <w:r w:rsidR="00B700AA" w:rsidRPr="007E0BD4">
        <w:rPr>
          <w:color w:val="FF0000"/>
        </w:rPr>
        <w:lastRenderedPageBreak/>
        <w:fldChar w:fldCharType="begin"/>
      </w:r>
      <w:r w:rsidR="00B700AA" w:rsidRPr="007E0BD4">
        <w:rPr>
          <w:color w:val="FF0000"/>
        </w:rPr>
        <w:instrText xml:space="preserve"> :End:FARM_PGOTO1 </w:instrText>
      </w:r>
      <w:r w:rsidR="00B700AA" w:rsidRPr="007E0BD4">
        <w:rPr>
          <w:color w:val="FF0000"/>
        </w:rPr>
        <w:fldChar w:fldCharType="end"/>
      </w:r>
      <w:r w:rsidR="00B700AA" w:rsidRPr="007E0BD4">
        <w:rPr>
          <w:color w:val="0000FF"/>
        </w:rPr>
        <w:fldChar w:fldCharType="begin"/>
      </w:r>
      <w:r w:rsidR="00B700AA" w:rsidRPr="007E0BD4">
        <w:rPr>
          <w:color w:val="0000FF"/>
        </w:rPr>
        <w:instrText xml:space="preserve"> :Start:FARM_PGOTO1 </w:instrText>
      </w:r>
      <w:r w:rsidR="00B700AA" w:rsidRPr="007E0BD4">
        <w:rPr>
          <w:color w:val="0000FF"/>
        </w:rPr>
        <w:fldChar w:fldCharType="end"/>
      </w:r>
      <w:r w:rsidR="00D775D9" w:rsidRPr="007E0BD4">
        <w:t>Note 18: Provisions and payables</w:t>
      </w:r>
    </w:p>
    <w:p w:rsidR="00FA5828" w:rsidRPr="007E0BD4" w:rsidRDefault="00493BE5" w:rsidP="003B3A85">
      <w:pPr>
        <w:pStyle w:val="TableGraphic"/>
      </w:pPr>
      <w:r w:rsidRPr="007E0BD4">
        <w:object w:dxaOrig="7705" w:dyaOrig="6148">
          <v:shape id="_x0000_i1057" type="#_x0000_t75" style="width:385.15pt;height:307.7pt" o:ole="">
            <v:imagedata r:id="rId84" o:title=""/>
          </v:shape>
          <o:OLEObject Type="Link" ProgID="Excel.SheetMacroEnabled.12" ShapeID="_x0000_i1057" DrawAspect="Content" r:id="rId85" UpdateMode="Always">
            <o:LinkType>EnhancedMetaFile</o:LinkType>
            <o:LockedField/>
          </o:OLEObject>
        </w:object>
      </w:r>
    </w:p>
    <w:p w:rsidR="00147D8E" w:rsidRPr="007E0BD4" w:rsidRDefault="00147D8E" w:rsidP="002D2D0A">
      <w:pPr>
        <w:pStyle w:val="ChartandTableFootnoteAlpha"/>
        <w:numPr>
          <w:ilvl w:val="0"/>
          <w:numId w:val="63"/>
        </w:numPr>
      </w:pPr>
      <w:r w:rsidRPr="007E0BD4">
        <w:t>Implementation of the new Commonwealth Government reporting system provides the ability to distinguish direct and indirect personal benefit liabilities (a GFS distinction). From the 2017-18 MYEFO, these liabilities are separately disclosed.</w:t>
      </w:r>
    </w:p>
    <w:p w:rsidR="00147D8E" w:rsidRPr="007E0BD4" w:rsidRDefault="00742D68" w:rsidP="002D2D0A">
      <w:pPr>
        <w:pStyle w:val="ChartandTableFootnoteAlpha"/>
        <w:numPr>
          <w:ilvl w:val="0"/>
          <w:numId w:val="63"/>
        </w:numPr>
      </w:pPr>
      <w:r w:rsidRPr="007E0BD4">
        <w:t>Consistent</w:t>
      </w:r>
      <w:r w:rsidR="00147D8E" w:rsidRPr="007E0BD4">
        <w:t xml:space="preserve"> with the presentation of the Consolidated Financial Statements, provisions and payables are separately disclosed from the 2017-18 MYEFO.</w:t>
      </w:r>
    </w:p>
    <w:p w:rsidR="00D775D9" w:rsidRPr="007E0BD4" w:rsidRDefault="00730479" w:rsidP="00FA5828">
      <w:pPr>
        <w:pStyle w:val="ChartandTableFootnoteAlpha"/>
        <w:numPr>
          <w:ilvl w:val="0"/>
          <w:numId w:val="63"/>
        </w:numPr>
      </w:pPr>
      <w:r w:rsidRPr="007E0BD4">
        <w:t>Includes reclassification of payments in the 2017</w:t>
      </w:r>
      <w:r w:rsidRPr="007E0BD4">
        <w:noBreakHyphen/>
        <w:t>18 Budget under the National Disability Insurance Scheme from grants to indirect personal benefits to reflect the nature of benefits provided to households.</w:t>
      </w:r>
    </w:p>
    <w:p w:rsidR="003676C2" w:rsidRPr="007E0BD4" w:rsidRDefault="00B700AA" w:rsidP="00926A7D">
      <w:pPr>
        <w:pStyle w:val="SingleParagraph"/>
        <w:rPr>
          <w:color w:val="FF0000"/>
        </w:rPr>
        <w:sectPr w:rsidR="003676C2" w:rsidRPr="007E0BD4" w:rsidSect="005E59E9">
          <w:headerReference w:type="first" r:id="rId86"/>
          <w:footnotePr>
            <w:numRestart w:val="eachSect"/>
          </w:footnotePr>
          <w:pgSz w:w="11907" w:h="16840" w:code="9"/>
          <w:pgMar w:top="2466" w:right="2098" w:bottom="2466" w:left="2098" w:header="1899" w:footer="1899" w:gutter="0"/>
          <w:cols w:space="720"/>
          <w:titlePg/>
          <w:docGrid w:linePitch="272"/>
        </w:sectPr>
      </w:pPr>
      <w:r w:rsidRPr="007E0BD4">
        <w:rPr>
          <w:color w:val="FF0000"/>
        </w:rPr>
        <w:fldChar w:fldCharType="begin"/>
      </w:r>
      <w:r w:rsidRPr="007E0BD4">
        <w:rPr>
          <w:color w:val="FF0000"/>
        </w:rPr>
        <w:instrText xml:space="preserve"> :End:FARM_PGOTO1 </w:instrText>
      </w:r>
      <w:r w:rsidRPr="007E0BD4">
        <w:rPr>
          <w:color w:val="FF0000"/>
        </w:rPr>
        <w:fldChar w:fldCharType="end"/>
      </w:r>
    </w:p>
    <w:p w:rsidR="00D775D9" w:rsidRPr="007E0BD4" w:rsidRDefault="00B700AA" w:rsidP="003676C2">
      <w:pPr>
        <w:pStyle w:val="NoteTableHeadingnospaceabove"/>
      </w:pPr>
      <w:r w:rsidRPr="007E0BD4">
        <w:rPr>
          <w:color w:val="0000FF"/>
        </w:rPr>
        <w:lastRenderedPageBreak/>
        <w:fldChar w:fldCharType="begin"/>
      </w:r>
      <w:r w:rsidRPr="007E0BD4">
        <w:rPr>
          <w:color w:val="0000FF"/>
        </w:rPr>
        <w:instrText xml:space="preserve"> :Start:FARM_PGOTO1 </w:instrText>
      </w:r>
      <w:r w:rsidRPr="007E0BD4">
        <w:rPr>
          <w:color w:val="0000FF"/>
        </w:rPr>
        <w:fldChar w:fldCharType="end"/>
      </w:r>
      <w:r w:rsidR="00D775D9" w:rsidRPr="007E0BD4">
        <w:t>Note 19: Reconciliation of cash</w:t>
      </w:r>
    </w:p>
    <w:p w:rsidR="003676C2" w:rsidRPr="007E0BD4" w:rsidRDefault="00493BE5" w:rsidP="0016691F">
      <w:pPr>
        <w:pStyle w:val="TableGraphic"/>
      </w:pPr>
      <w:r w:rsidRPr="007E0BD4">
        <w:object w:dxaOrig="7719" w:dyaOrig="7994">
          <v:shape id="_x0000_i1058" type="#_x0000_t75" style="width:385.8pt;height:399.4pt" o:ole="">
            <v:imagedata r:id="rId87" o:title=""/>
          </v:shape>
          <o:OLEObject Type="Link" ProgID="Excel.SheetMacroEnabled.12" ShapeID="_x0000_i1058" DrawAspect="Content" r:id="rId88" UpdateMode="Always">
            <o:LinkType>EnhancedMetaFile</o:LinkType>
            <o:LockedField/>
          </o:OLEObject>
        </w:object>
      </w:r>
      <w:r w:rsidR="00B700AA" w:rsidRPr="007E0BD4">
        <w:rPr>
          <w:color w:val="FF0000"/>
        </w:rPr>
        <w:fldChar w:fldCharType="begin"/>
      </w:r>
      <w:r w:rsidR="00B700AA" w:rsidRPr="007E0BD4">
        <w:rPr>
          <w:color w:val="FF0000"/>
        </w:rPr>
        <w:instrText xml:space="preserve"> :End:FARM_PGOTO1 </w:instrText>
      </w:r>
      <w:r w:rsidR="00B700AA" w:rsidRPr="007E0BD4">
        <w:rPr>
          <w:color w:val="FF0000"/>
        </w:rPr>
        <w:fldChar w:fldCharType="end"/>
      </w:r>
    </w:p>
    <w:p w:rsidR="00D775D9" w:rsidRPr="007E0BD4" w:rsidRDefault="00D775D9" w:rsidP="00926A7D">
      <w:pPr>
        <w:pStyle w:val="SingleParagraph"/>
      </w:pPr>
    </w:p>
    <w:p w:rsidR="00DD474C" w:rsidRPr="007E0BD4" w:rsidRDefault="00DD474C" w:rsidP="00CE140D"/>
    <w:p w:rsidR="00AF1958" w:rsidRPr="007E0BD4" w:rsidRDefault="00AF1958" w:rsidP="00CE140D"/>
    <w:p w:rsidR="00AF1958" w:rsidRPr="007E0BD4" w:rsidRDefault="00AF1958" w:rsidP="00CE140D">
      <w:pPr>
        <w:sectPr w:rsidR="00AF1958" w:rsidRPr="007E0BD4" w:rsidSect="005E59E9">
          <w:footnotePr>
            <w:numRestart w:val="eachSect"/>
          </w:footnotePr>
          <w:pgSz w:w="11907" w:h="16840" w:code="9"/>
          <w:pgMar w:top="2466" w:right="2098" w:bottom="2466" w:left="2098" w:header="1899" w:footer="1899" w:gutter="0"/>
          <w:cols w:space="720"/>
          <w:titlePg/>
          <w:docGrid w:linePitch="272"/>
        </w:sectPr>
      </w:pPr>
    </w:p>
    <w:p w:rsidR="00D775D9" w:rsidRPr="00D277F5" w:rsidRDefault="00B700AA" w:rsidP="00D277F5">
      <w:pPr>
        <w:pStyle w:val="Heading1"/>
        <w:jc w:val="right"/>
        <w:rPr>
          <w:rFonts w:ascii="Arial Bold" w:hAnsi="Arial Bold"/>
          <w:caps/>
          <w:smallCaps w:val="0"/>
          <w:sz w:val="22"/>
          <w:szCs w:val="22"/>
        </w:rPr>
      </w:pPr>
      <w:r w:rsidRPr="00D277F5">
        <w:rPr>
          <w:rFonts w:ascii="Arial Bold" w:hAnsi="Arial Bold"/>
          <w:caps/>
          <w:smallCaps w:val="0"/>
          <w:sz w:val="22"/>
          <w:szCs w:val="22"/>
        </w:rPr>
        <w:lastRenderedPageBreak/>
        <w:fldChar w:fldCharType="begin"/>
      </w:r>
      <w:r w:rsidRPr="00D277F5">
        <w:rPr>
          <w:rFonts w:ascii="Arial Bold" w:hAnsi="Arial Bold"/>
          <w:caps/>
          <w:smallCaps w:val="0"/>
          <w:sz w:val="22"/>
          <w:szCs w:val="22"/>
        </w:rPr>
        <w:instrText xml:space="preserve"> :Start:FARM_PGOTO1 </w:instrText>
      </w:r>
      <w:r w:rsidRPr="00D277F5">
        <w:rPr>
          <w:rFonts w:ascii="Arial Bold" w:hAnsi="Arial Bold"/>
          <w:caps/>
          <w:smallCaps w:val="0"/>
          <w:sz w:val="22"/>
          <w:szCs w:val="22"/>
        </w:rPr>
        <w:fldChar w:fldCharType="end"/>
      </w:r>
      <w:r w:rsidR="00D277F5" w:rsidRPr="00D277F5">
        <w:rPr>
          <w:rFonts w:ascii="Arial Bold" w:hAnsi="Arial Bold"/>
          <w:smallCaps w:val="0"/>
          <w:sz w:val="22"/>
          <w:szCs w:val="22"/>
        </w:rPr>
        <w:t>Attachment A</w:t>
      </w:r>
    </w:p>
    <w:p w:rsidR="00D775D9" w:rsidRPr="007E0BD4" w:rsidRDefault="00D775D9" w:rsidP="009E2315">
      <w:pPr>
        <w:pStyle w:val="Heading2noTOC"/>
      </w:pPr>
      <w:r w:rsidRPr="007E0BD4">
        <w:t>Financial reporting standards and budget concepts</w:t>
      </w:r>
    </w:p>
    <w:p w:rsidR="00D775D9" w:rsidRPr="007E0BD4" w:rsidRDefault="00D775D9" w:rsidP="009E2315">
      <w:r w:rsidRPr="007E0BD4">
        <w:t>The MYEFO primarily focuses on the financial performance and position of the general government sector (GGS). The</w:t>
      </w:r>
      <w:r w:rsidR="0033462C" w:rsidRPr="007E0BD4">
        <w:t xml:space="preserve"> </w:t>
      </w:r>
      <w:r w:rsidRPr="007E0BD4">
        <w:t>GGS</w:t>
      </w:r>
      <w:r w:rsidR="0033462C" w:rsidRPr="007E0BD4">
        <w:t xml:space="preserve"> </w:t>
      </w:r>
      <w:r w:rsidRPr="007E0BD4">
        <w:t>provid</w:t>
      </w:r>
      <w:r w:rsidR="0033462C" w:rsidRPr="007E0BD4">
        <w:t>es</w:t>
      </w:r>
      <w:r w:rsidRPr="007E0BD4">
        <w:t xml:space="preserve"> public services </w:t>
      </w:r>
      <w:r w:rsidR="0033462C" w:rsidRPr="007E0BD4">
        <w:t>that</w:t>
      </w:r>
      <w:r w:rsidRPr="007E0BD4">
        <w:t xml:space="preserve"> are mainly non</w:t>
      </w:r>
      <w:r w:rsidR="0072048E" w:rsidRPr="007E0BD4">
        <w:noBreakHyphen/>
      </w:r>
      <w:r w:rsidRPr="007E0BD4">
        <w:t>market in nature</w:t>
      </w:r>
      <w:r w:rsidR="0033462C" w:rsidRPr="007E0BD4">
        <w:t xml:space="preserve"> and</w:t>
      </w:r>
      <w:r w:rsidRPr="007E0BD4">
        <w:t xml:space="preserve"> for the collective consumption of the community, or involv</w:t>
      </w:r>
      <w:r w:rsidR="0033462C" w:rsidRPr="007E0BD4">
        <w:t>e</w:t>
      </w:r>
      <w:r w:rsidRPr="007E0BD4">
        <w:t xml:space="preserve"> the transfer or redistribution of income</w:t>
      </w:r>
      <w:r w:rsidR="0033462C" w:rsidRPr="007E0BD4">
        <w:t>. These services are largely</w:t>
      </w:r>
      <w:r w:rsidRPr="007E0BD4">
        <w:t xml:space="preserve"> financed through taxes and other compulsory levies</w:t>
      </w:r>
      <w:r w:rsidR="0033462C" w:rsidRPr="007E0BD4">
        <w:t>, user charging and external funding</w:t>
      </w:r>
      <w:r w:rsidRPr="007E0BD4">
        <w:t>. AASB 1049 recognises the GGS as a reporting entity.</w:t>
      </w:r>
    </w:p>
    <w:p w:rsidR="00D775D9" w:rsidRPr="007E0BD4" w:rsidRDefault="00D775D9" w:rsidP="009E2315">
      <w:pPr>
        <w:pStyle w:val="Heading3noTOC"/>
      </w:pPr>
      <w:r w:rsidRPr="007E0BD4">
        <w:t xml:space="preserve">AASB 1049 </w:t>
      </w:r>
      <w:r w:rsidR="006313A6" w:rsidRPr="007E0BD4">
        <w:t>C</w:t>
      </w:r>
      <w:r w:rsidRPr="007E0BD4">
        <w:t>onceptual framework</w:t>
      </w:r>
    </w:p>
    <w:p w:rsidR="00D775D9" w:rsidRPr="007E0BD4" w:rsidRDefault="00D775D9" w:rsidP="009E2315">
      <w:r w:rsidRPr="007E0BD4">
        <w:t xml:space="preserve">AASB 1049 seeks to </w:t>
      </w:r>
      <w:r w:rsidR="0072048E" w:rsidRPr="007E0BD4">
        <w:t>‘</w:t>
      </w:r>
      <w:r w:rsidRPr="007E0BD4">
        <w:t>harmonise</w:t>
      </w:r>
      <w:r w:rsidR="0072048E" w:rsidRPr="007E0BD4">
        <w:t>’</w:t>
      </w:r>
      <w:r w:rsidRPr="007E0BD4">
        <w:t xml:space="preserve"> ABS GFS and AAS. </w:t>
      </w:r>
    </w:p>
    <w:p w:rsidR="00D775D9" w:rsidRPr="007E0BD4" w:rsidRDefault="00D775D9" w:rsidP="009E2315">
      <w:r w:rsidRPr="007E0BD4">
        <w:t>The reporting framework for AASB 1049 requires the preparation of accrual</w:t>
      </w:r>
      <w:r w:rsidR="0072048E" w:rsidRPr="007E0BD4">
        <w:noBreakHyphen/>
      </w:r>
      <w:r w:rsidRPr="007E0BD4">
        <w:t>based general purpose financial reports, showing government assets, liabilities, revenue, expenses and cash flows. GGS reporting under AASB 1049 aims to provide users with information about the stewardship of each government in relation to its GGS and accountability for the resources entrusted to it; information about the financial position, performance and cash flows of each government</w:t>
      </w:r>
      <w:r w:rsidR="0072048E" w:rsidRPr="007E0BD4">
        <w:t>’</w:t>
      </w:r>
      <w:r w:rsidRPr="007E0BD4">
        <w:t>s GGS; and information that facilitates assessments of the macroeconomic impact. While AASB 1049 provides a basis for whole of government (including the PNFC and PFC sectors) reporting focuses on the</w:t>
      </w:r>
      <w:r w:rsidR="004F53CC" w:rsidRPr="007E0BD4">
        <w:t> </w:t>
      </w:r>
      <w:r w:rsidR="00056439" w:rsidRPr="007E0BD4">
        <w:t>GGS.</w:t>
      </w:r>
    </w:p>
    <w:p w:rsidR="00D775D9" w:rsidRPr="007E0BD4" w:rsidRDefault="00D775D9" w:rsidP="009E2315">
      <w:r w:rsidRPr="007E0BD4">
        <w:t xml:space="preserve">AASB 1049 has adopted the AAS conceptual framework and principles for the recognition of assets, liabilities, revenues and expenses and their presentation, measurement and disclosure. In addition, AASB 1049 has broadly adopted the ABS GFS conceptual framework for presenting government financial statements. In particular, AASB 1049 requires the GGS to prepare a separate set of financial statements, overriding AASB 10 </w:t>
      </w:r>
      <w:r w:rsidRPr="007E0BD4">
        <w:rPr>
          <w:i/>
        </w:rPr>
        <w:t>Consolidated Financial Statements</w:t>
      </w:r>
      <w:r w:rsidRPr="007E0BD4">
        <w:t xml:space="preserve">. AASB 1049 also follows ABS GFS by requiring changes in net worth to be split into either transactions or </w:t>
      </w:r>
      <w:r w:rsidR="0072048E" w:rsidRPr="007E0BD4">
        <w:t>‘</w:t>
      </w:r>
      <w:r w:rsidRPr="007E0BD4">
        <w:t>other economic flows</w:t>
      </w:r>
      <w:r w:rsidR="0072048E" w:rsidRPr="007E0BD4">
        <w:t>’</w:t>
      </w:r>
      <w:r w:rsidRPr="007E0BD4">
        <w:t xml:space="preserve"> and for this to be presented in a single operating statement. AASB 1049 is therefore broadly consistent with international statistical standards and the International Monetary Fund</w:t>
      </w:r>
      <w:r w:rsidR="0072048E" w:rsidRPr="007E0BD4">
        <w:t>’</w:t>
      </w:r>
      <w:r w:rsidRPr="007E0BD4">
        <w:t xml:space="preserve">s (IMF) </w:t>
      </w:r>
      <w:r w:rsidRPr="007E0BD4">
        <w:rPr>
          <w:i/>
        </w:rPr>
        <w:t>Government Finance Statistics Manual 2014</w:t>
      </w:r>
      <w:r w:rsidRPr="007E0BD4">
        <w:t>.</w:t>
      </w:r>
      <w:r w:rsidR="00C32C3C" w:rsidRPr="007E0BD4">
        <w:rPr>
          <w:rStyle w:val="FootnoteReference"/>
        </w:rPr>
        <w:footnoteReference w:id="3"/>
      </w:r>
    </w:p>
    <w:p w:rsidR="00D775D9" w:rsidRPr="007E0BD4" w:rsidRDefault="000E6D5C" w:rsidP="009E2315">
      <w:r w:rsidRPr="007E0BD4">
        <w:br w:type="page"/>
      </w:r>
      <w:r w:rsidR="00D775D9" w:rsidRPr="007E0BD4">
        <w:lastRenderedPageBreak/>
        <w:t xml:space="preserve">All financial data presented in the financial statements are recorded as either stocks (assets and liabilities) or flows (classified as either transactions or </w:t>
      </w:r>
      <w:r w:rsidR="0033462C" w:rsidRPr="007E0BD4">
        <w:t>‘</w:t>
      </w:r>
      <w:r w:rsidR="00D775D9" w:rsidRPr="007E0BD4">
        <w:t>other economic flows</w:t>
      </w:r>
      <w:r w:rsidR="0033462C" w:rsidRPr="007E0BD4">
        <w:t>’</w:t>
      </w:r>
      <w:r w:rsidR="00D775D9" w:rsidRPr="007E0BD4">
        <w:t>). Transactions result from a mutually agreed interaction between economic entities. Despite their compulsory nature, taxes are transactions deemed to occur by mutual agreement between the government and the taxpayer. Transactions that increase or decrease net worth (assets less liabilities) are reported as revenues and expenses respectively in the operating statement.</w:t>
      </w:r>
      <w:r w:rsidR="00D775D9" w:rsidRPr="007E0BD4">
        <w:rPr>
          <w:rStyle w:val="FootnoteReference"/>
        </w:rPr>
        <w:footnoteReference w:id="4"/>
      </w:r>
    </w:p>
    <w:p w:rsidR="00146ADF" w:rsidRDefault="00D775D9" w:rsidP="009E2315">
      <w:r w:rsidRPr="007E0BD4">
        <w:t xml:space="preserve">A change to the value or volume of an asset or liability that does not result from a transaction is an </w:t>
      </w:r>
      <w:r w:rsidR="0072048E" w:rsidRPr="007E0BD4">
        <w:t>‘</w:t>
      </w:r>
      <w:r w:rsidRPr="007E0BD4">
        <w:t>other economic flow</w:t>
      </w:r>
      <w:r w:rsidR="0072048E" w:rsidRPr="007E0BD4">
        <w:t>’</w:t>
      </w:r>
      <w:r w:rsidRPr="007E0BD4">
        <w:t>. This can include changes in values from market prices, most actuarial valuations and exchange rates, and changes in volumes from discover</w:t>
      </w:r>
      <w:r w:rsidR="00146ADF">
        <w:t>ies, depletion and destruction.</w:t>
      </w:r>
    </w:p>
    <w:p w:rsidR="00D775D9" w:rsidRPr="007E0BD4" w:rsidRDefault="00D775D9" w:rsidP="009E2315">
      <w:r w:rsidRPr="007E0BD4">
        <w:t>Consistent with the ABS GFS framework, and in general AAS, the financial statements record flows in the period in which they occur. As a result, prior period outcomes may be revised for classification changes relating to information that could reasonably have been expected to be known in the past, is material in at least one of the affected periods and can be reliably assigned to the relevant period(s).</w:t>
      </w:r>
    </w:p>
    <w:p w:rsidR="00D775D9" w:rsidRPr="007E0BD4" w:rsidRDefault="00D775D9" w:rsidP="009E2315">
      <w:pPr>
        <w:pStyle w:val="Heading4"/>
      </w:pPr>
      <w:r w:rsidRPr="007E0BD4">
        <w:t>Operating statement</w:t>
      </w:r>
    </w:p>
    <w:p w:rsidR="00D775D9" w:rsidRPr="007E0BD4" w:rsidRDefault="00D775D9" w:rsidP="00D775D9">
      <w:r w:rsidRPr="007E0BD4">
        <w:t>The operating statement presents details of transactions in revenues, expenses, the net acquisition of non</w:t>
      </w:r>
      <w:r w:rsidR="0072048E" w:rsidRPr="007E0BD4">
        <w:noBreakHyphen/>
      </w:r>
      <w:r w:rsidRPr="007E0BD4">
        <w:t>financial assets (net capital investment) and other economic flows for an accounting period.</w:t>
      </w:r>
    </w:p>
    <w:p w:rsidR="00D775D9" w:rsidRPr="007E0BD4" w:rsidRDefault="00D775D9" w:rsidP="009E2315">
      <w:r w:rsidRPr="007E0BD4">
        <w:t>Revenues arise from trans</w:t>
      </w:r>
      <w:r w:rsidR="003D7FCB" w:rsidRPr="007E0BD4">
        <w:t>actions that increase net worth</w:t>
      </w:r>
      <w:r w:rsidRPr="007E0BD4">
        <w:t xml:space="preserve"> and expenses arise from transactions that decrease net worth. Revenues less expenses gives the net operating balance. The net operating balance is similar to the National Accounts concept of government saving plus capital transfers.</w:t>
      </w:r>
    </w:p>
    <w:p w:rsidR="00D775D9" w:rsidRPr="007E0BD4" w:rsidRDefault="00D775D9" w:rsidP="009E2315">
      <w:r w:rsidRPr="007E0BD4">
        <w:t>The net acquisition of non</w:t>
      </w:r>
      <w:r w:rsidR="0072048E" w:rsidRPr="007E0BD4">
        <w:noBreakHyphen/>
      </w:r>
      <w:r w:rsidRPr="007E0BD4">
        <w:t>financial assets (net capital investment) equals gross fixed capital formation, less depreciation, plus changes (investment) in inventories, plus other transactions in non</w:t>
      </w:r>
      <w:r w:rsidR="0072048E" w:rsidRPr="007E0BD4">
        <w:noBreakHyphen/>
      </w:r>
      <w:r w:rsidRPr="007E0BD4">
        <w:t>financial assets. This measures the net effect of purchases, sales and consumption (for example, depreciation of fixed assets and use of inventory) of non</w:t>
      </w:r>
      <w:r w:rsidR="0072048E" w:rsidRPr="007E0BD4">
        <w:noBreakHyphen/>
      </w:r>
      <w:r w:rsidRPr="007E0BD4">
        <w:t>financial assets during an accounting period.</w:t>
      </w:r>
    </w:p>
    <w:p w:rsidR="00D775D9" w:rsidRPr="007E0BD4" w:rsidRDefault="00CC78C3" w:rsidP="009E2315">
      <w:r w:rsidRPr="007E0BD4">
        <w:t>‘</w:t>
      </w:r>
      <w:r w:rsidR="00D775D9" w:rsidRPr="007E0BD4">
        <w:t>Other economic flows</w:t>
      </w:r>
      <w:r w:rsidRPr="007E0BD4">
        <w:t>’</w:t>
      </w:r>
      <w:r w:rsidR="00D775D9" w:rsidRPr="007E0BD4">
        <w:t xml:space="preserve"> are presented in the operating statement and outline changes in net worth that are driven by economic flows other than revenues and expenses. Revenues, expenses and </w:t>
      </w:r>
      <w:r w:rsidRPr="007E0BD4">
        <w:t>‘</w:t>
      </w:r>
      <w:r w:rsidR="00D775D9" w:rsidRPr="007E0BD4">
        <w:t>other economic flows</w:t>
      </w:r>
      <w:r w:rsidRPr="007E0BD4">
        <w:t>’</w:t>
      </w:r>
      <w:r w:rsidR="00D775D9" w:rsidRPr="007E0BD4">
        <w:t xml:space="preserve"> sum to the total change in net worth during a period. The majority of </w:t>
      </w:r>
      <w:r w:rsidRPr="007E0BD4">
        <w:t>‘</w:t>
      </w:r>
      <w:r w:rsidR="00D775D9" w:rsidRPr="007E0BD4">
        <w:t>other economic flows</w:t>
      </w:r>
      <w:r w:rsidRPr="007E0BD4">
        <w:t>’</w:t>
      </w:r>
      <w:r w:rsidR="00D775D9" w:rsidRPr="007E0BD4">
        <w:t xml:space="preserve"> for the Australian Government GGS arise from price movements in its assets and liabilities.</w:t>
      </w:r>
    </w:p>
    <w:p w:rsidR="00D1614A" w:rsidRPr="007E0BD4" w:rsidRDefault="00D1614A" w:rsidP="009E2315">
      <w:pPr>
        <w:pStyle w:val="Heading5"/>
      </w:pPr>
      <w:r w:rsidRPr="007E0BD4">
        <w:lastRenderedPageBreak/>
        <w:t>Net operating balance</w:t>
      </w:r>
    </w:p>
    <w:p w:rsidR="00D1614A" w:rsidRPr="007E0BD4" w:rsidRDefault="00D1614A" w:rsidP="009E2315">
      <w:r w:rsidRPr="007E0BD4">
        <w:t>The net operating balance is the excess of revenue from transactions over expenses from transactions. The net operating balance excludes expenditure on the acquisition of capital assets, but includes non</w:t>
      </w:r>
      <w:r w:rsidRPr="007E0BD4">
        <w:noBreakHyphen/>
        <w:t xml:space="preserve">cash costs such as accruing superannuation entitlements and the consumption of capital (depreciation). By including all accruing costs, including depreciation, the net operating balance encompasses the full </w:t>
      </w:r>
      <w:r w:rsidR="00E5435C" w:rsidRPr="007E0BD4">
        <w:t xml:space="preserve">current </w:t>
      </w:r>
      <w:r w:rsidRPr="007E0BD4">
        <w:t>cost of providing government services. This makes it a measure of the sustainability of the government’s fiscal position over time and provides an indication of the sustainability of the existing level of government services.</w:t>
      </w:r>
    </w:p>
    <w:p w:rsidR="00D1614A" w:rsidRPr="007E0BD4" w:rsidRDefault="00D1614A" w:rsidP="009E2315">
      <w:r w:rsidRPr="007E0BD4">
        <w:t xml:space="preserve">The net operating balance is a flow measure </w:t>
      </w:r>
      <w:r w:rsidR="002C5375" w:rsidRPr="007E0BD4">
        <w:t>i</w:t>
      </w:r>
      <w:r w:rsidRPr="007E0BD4">
        <w:t xml:space="preserve">n the </w:t>
      </w:r>
      <w:r w:rsidR="006313A6" w:rsidRPr="007E0BD4">
        <w:t>operating statement</w:t>
      </w:r>
      <w:r w:rsidRPr="007E0BD4">
        <w:t>.</w:t>
      </w:r>
    </w:p>
    <w:p w:rsidR="00D775D9" w:rsidRPr="007E0BD4" w:rsidRDefault="00D775D9" w:rsidP="009E2315">
      <w:pPr>
        <w:pStyle w:val="Heading5"/>
      </w:pPr>
      <w:r w:rsidRPr="007E0BD4">
        <w:t>Fiscal balance</w:t>
      </w:r>
    </w:p>
    <w:p w:rsidR="00D775D9" w:rsidRPr="007E0BD4" w:rsidRDefault="00D775D9" w:rsidP="009E2315">
      <w:r w:rsidRPr="007E0BD4">
        <w:t>The fiscal balance (or net lending/borrowing) is the net operating balance less net capital investment. Thus, the fiscal balance includes the impact of net expenditure (effectively purchases less sales) on non</w:t>
      </w:r>
      <w:r w:rsidR="0072048E" w:rsidRPr="007E0BD4">
        <w:noBreakHyphen/>
      </w:r>
      <w:r w:rsidRPr="007E0BD4">
        <w:t>financial assets rather than consumption (depreciation) of non</w:t>
      </w:r>
      <w:r w:rsidR="0072048E" w:rsidRPr="007E0BD4">
        <w:noBreakHyphen/>
      </w:r>
      <w:r w:rsidRPr="007E0BD4">
        <w:t>financial assets.</w:t>
      </w:r>
      <w:r w:rsidRPr="007E0BD4">
        <w:rPr>
          <w:rStyle w:val="FootnoteReference"/>
        </w:rPr>
        <w:footnoteReference w:id="5"/>
      </w:r>
    </w:p>
    <w:p w:rsidR="00D775D9" w:rsidRPr="007E0BD4" w:rsidRDefault="00D775D9" w:rsidP="009E2315">
      <w:r w:rsidRPr="007E0BD4">
        <w:t>The fiscal balance measures the Australian Government</w:t>
      </w:r>
      <w:r w:rsidR="0072048E" w:rsidRPr="007E0BD4">
        <w:t>’</w:t>
      </w:r>
      <w:r w:rsidRPr="007E0BD4">
        <w:t>s investment saving balance. It measures in accrual terms the gap between government savings plus net capital transfers, and investment in non</w:t>
      </w:r>
      <w:r w:rsidR="0072048E" w:rsidRPr="007E0BD4">
        <w:noBreakHyphen/>
      </w:r>
      <w:r w:rsidRPr="007E0BD4">
        <w:t>financial assets. As such, it approximates the contribution of the Australian Government GGS to the balance on the current account in the balance of payments.</w:t>
      </w:r>
    </w:p>
    <w:p w:rsidR="00D775D9" w:rsidRPr="007E0BD4" w:rsidRDefault="00D775D9" w:rsidP="009E2315">
      <w:pPr>
        <w:pStyle w:val="Heading4"/>
      </w:pPr>
      <w:r w:rsidRPr="007E0BD4">
        <w:t>Balance sheet</w:t>
      </w:r>
    </w:p>
    <w:p w:rsidR="00D775D9" w:rsidRPr="007E0BD4" w:rsidRDefault="00D775D9" w:rsidP="009E2315">
      <w:r w:rsidRPr="007E0BD4">
        <w:t>The balance sheet shows stocks of assets, liabilities and net worth. In accordance with the UPF, net debt, net financial worth and net financial liabilities are also reported in the balance sheet.</w:t>
      </w:r>
    </w:p>
    <w:p w:rsidR="00D775D9" w:rsidRPr="007E0BD4" w:rsidRDefault="00D775D9" w:rsidP="009E2315">
      <w:pPr>
        <w:pStyle w:val="Heading5"/>
      </w:pPr>
      <w:r w:rsidRPr="007E0BD4">
        <w:t>Net worth</w:t>
      </w:r>
    </w:p>
    <w:p w:rsidR="00D775D9" w:rsidRPr="007E0BD4" w:rsidRDefault="00D775D9" w:rsidP="009E2315">
      <w:r w:rsidRPr="007E0BD4">
        <w:t>The net worth of the GGS, PNFC and PFC sectors is defined as assets less liabilities. This differs from the ABS GFS definition for the PNFC and PFC sectors, where net worth is defined as assets less liabilities less shares and other contributed capital. Net worth is an economic measure of wealth, reflecting the Australian Government</w:t>
      </w:r>
      <w:r w:rsidR="0072048E" w:rsidRPr="007E0BD4">
        <w:t>’</w:t>
      </w:r>
      <w:r w:rsidRPr="007E0BD4">
        <w:t>s contribution to the wealth of Australia.</w:t>
      </w:r>
    </w:p>
    <w:p w:rsidR="00D775D9" w:rsidRPr="007E0BD4" w:rsidRDefault="006C0C27" w:rsidP="009E2315">
      <w:pPr>
        <w:pStyle w:val="Heading5"/>
      </w:pPr>
      <w:r w:rsidRPr="007E0BD4">
        <w:br w:type="page"/>
      </w:r>
      <w:r w:rsidR="00D775D9" w:rsidRPr="007E0BD4">
        <w:lastRenderedPageBreak/>
        <w:t>Net financial worth</w:t>
      </w:r>
    </w:p>
    <w:p w:rsidR="00D775D9" w:rsidRPr="007E0BD4" w:rsidRDefault="00D775D9" w:rsidP="009E2315">
      <w:r w:rsidRPr="007E0BD4">
        <w:t>Net financial worth measures a government</w:t>
      </w:r>
      <w:r w:rsidR="0072048E" w:rsidRPr="007E0BD4">
        <w:t>’</w:t>
      </w:r>
      <w:r w:rsidRPr="007E0BD4">
        <w:t>s net holdings of financial assets. It is calculated from the balance sheet as financial assets minus liabilities. This differs from the ABS GFS definition of net financial worth for the PNFC and PFC sectors, defined as financial assets, less liabilities, less shares and other contributed capital. Net financial worth is a broader measure than net debt, in that it incorporates provisions made (such as superannuation) as well as holdings of equity. Net financial worth includes all classes of financial assets and all liabilities, only some of which are included in net debt. As non</w:t>
      </w:r>
      <w:r w:rsidR="0072048E" w:rsidRPr="007E0BD4">
        <w:noBreakHyphen/>
      </w:r>
      <w:r w:rsidRPr="007E0BD4">
        <w:t>financial assets are excluded from net financial worth, this is a narrower measure than net worth. However, it avoids the concerns inherent with the net worth measure relating to the valuation of non</w:t>
      </w:r>
      <w:r w:rsidR="0072048E" w:rsidRPr="007E0BD4">
        <w:noBreakHyphen/>
      </w:r>
      <w:r w:rsidRPr="007E0BD4">
        <w:t>financial assets and their availability to offset liabilities.</w:t>
      </w:r>
    </w:p>
    <w:p w:rsidR="00D775D9" w:rsidRPr="007E0BD4" w:rsidRDefault="00D775D9" w:rsidP="009E2315">
      <w:pPr>
        <w:pStyle w:val="Heading5"/>
      </w:pPr>
      <w:r w:rsidRPr="007E0BD4">
        <w:t>Net financial liabilities</w:t>
      </w:r>
    </w:p>
    <w:p w:rsidR="00D775D9" w:rsidRPr="007E0BD4" w:rsidRDefault="00D775D9" w:rsidP="009E2315">
      <w:r w:rsidRPr="007E0BD4">
        <w:t>Net financial liabilities comprises total liabilities less financial assets but excludes equity investments in the other sectors of the jurisdiction. Net financial liabilities is a more accurate indicator than net debt of a jurisdiction</w:t>
      </w:r>
      <w:r w:rsidR="0072048E" w:rsidRPr="007E0BD4">
        <w:t>’</w:t>
      </w:r>
      <w:r w:rsidRPr="007E0BD4">
        <w:t>s fiscal position as it includes substantial non</w:t>
      </w:r>
      <w:r w:rsidR="0072048E" w:rsidRPr="007E0BD4">
        <w:noBreakHyphen/>
      </w:r>
      <w:r w:rsidRPr="007E0BD4">
        <w:t>debt liabilities such as accrued superannuation and long service leave entitlements. Excluding the net worth of other sectors of government results in a purer measure of financial worth than net financial worth, as, in general, the net worth of other sectors of government, in particular the PNFC sector, is backed up by physical assets.</w:t>
      </w:r>
    </w:p>
    <w:p w:rsidR="00D775D9" w:rsidRPr="007E0BD4" w:rsidRDefault="00D775D9" w:rsidP="009E2315">
      <w:pPr>
        <w:pStyle w:val="Heading5"/>
      </w:pPr>
      <w:r w:rsidRPr="007E0BD4">
        <w:t>Net debt</w:t>
      </w:r>
    </w:p>
    <w:p w:rsidR="00D775D9" w:rsidRPr="007E0BD4" w:rsidRDefault="00D775D9" w:rsidP="009E2315">
      <w:r w:rsidRPr="007E0BD4">
        <w:t>Net debt is the sum of selected financial liabilities (deposits held, advances received, government securities, loans and other borrowing) less the sum of selected financial assets</w:t>
      </w:r>
      <w:r w:rsidRPr="007E0BD4">
        <w:rPr>
          <w:rStyle w:val="FootnoteReference"/>
        </w:rPr>
        <w:footnoteReference w:id="6"/>
      </w:r>
      <w:r w:rsidRPr="007E0BD4">
        <w:t xml:space="preserve"> (cash and deposits, advances paid, and investments, loans and placements). This includes financial assets </w:t>
      </w:r>
      <w:r w:rsidR="0033462C" w:rsidRPr="007E0BD4">
        <w:t xml:space="preserve">(excluding equities) </w:t>
      </w:r>
      <w:r w:rsidRPr="007E0BD4">
        <w:t>held by the Future Fund which are invested in these asset classes, including term deposits and investments in collective investment vehicles. Net debt does not include superannuation related liabilities. Net debt is a common measure of the strength of a government</w:t>
      </w:r>
      <w:r w:rsidR="0072048E" w:rsidRPr="007E0BD4">
        <w:t>’</w:t>
      </w:r>
      <w:r w:rsidRPr="007E0BD4">
        <w:t>s financial position. High levels of net debt impose a call on future revenue flows to service that debt.</w:t>
      </w:r>
    </w:p>
    <w:p w:rsidR="003D68FC" w:rsidRPr="007E0BD4" w:rsidRDefault="003D68FC" w:rsidP="009E2315">
      <w:r w:rsidRPr="007E0BD4">
        <w:t>The 2015 ABS GFS Manual presents debt in a matrix format, with no single net debt aggregate identified. The Commonwealth Government continues to report net debt in accordance with the UPF as described above.</w:t>
      </w:r>
    </w:p>
    <w:p w:rsidR="00D775D9" w:rsidRPr="007E0BD4" w:rsidRDefault="006C0C27" w:rsidP="009E2315">
      <w:pPr>
        <w:pStyle w:val="Heading4"/>
      </w:pPr>
      <w:r w:rsidRPr="007E0BD4">
        <w:br w:type="page"/>
      </w:r>
      <w:r w:rsidR="00D775D9" w:rsidRPr="007E0BD4">
        <w:lastRenderedPageBreak/>
        <w:t>Cash flow statement</w:t>
      </w:r>
    </w:p>
    <w:p w:rsidR="00D775D9" w:rsidRPr="007E0BD4" w:rsidRDefault="00D775D9" w:rsidP="009E2315">
      <w:r w:rsidRPr="007E0BD4">
        <w:t>The cash flow statement identifies how cash is generated and applied in a single accounting period. The cash flow statement reflects a cash basis of recording (rather than an accrual basis) where information is derived indirectly from underlying accrual transactions and movements in balances. This, in effect, means that transactions are captured when cash is received or when cash payments are made. Cash transactions are specifically identified because cash management is considered an integral function of accrual budgeting.</w:t>
      </w:r>
    </w:p>
    <w:p w:rsidR="00D775D9" w:rsidRPr="007E0BD4" w:rsidRDefault="00D775D9" w:rsidP="009E2315">
      <w:pPr>
        <w:pStyle w:val="Heading5"/>
      </w:pPr>
      <w:r w:rsidRPr="007E0BD4">
        <w:t>Underlying cash balance</w:t>
      </w:r>
    </w:p>
    <w:p w:rsidR="00D775D9" w:rsidRPr="007E0BD4" w:rsidRDefault="00D775D9" w:rsidP="009E2315">
      <w:r w:rsidRPr="007E0BD4">
        <w:t>The underlying cash balance plus net Future Fund earnings is the cash counterpart of the fiscal balance, reflecting the Australi</w:t>
      </w:r>
      <w:r w:rsidR="00A07E40" w:rsidRPr="007E0BD4">
        <w:t>an Government</w:t>
      </w:r>
      <w:r w:rsidR="0072048E" w:rsidRPr="007E0BD4">
        <w:t>’</w:t>
      </w:r>
      <w:r w:rsidR="00A07E40" w:rsidRPr="007E0BD4">
        <w:t>s cash investment</w:t>
      </w:r>
      <w:r w:rsidR="0072048E" w:rsidRPr="007E0BD4">
        <w:noBreakHyphen/>
      </w:r>
      <w:r w:rsidR="006C0C27" w:rsidRPr="007E0BD4">
        <w:t>saving balance.</w:t>
      </w:r>
    </w:p>
    <w:p w:rsidR="00D775D9" w:rsidRPr="007E0BD4" w:rsidRDefault="00D775D9" w:rsidP="009E2315">
      <w:r w:rsidRPr="007E0BD4">
        <w:t>For the GGS, the underlying cash balance is calculated as shown below:</w:t>
      </w:r>
    </w:p>
    <w:p w:rsidR="00D775D9" w:rsidRPr="007E0BD4" w:rsidRDefault="00D775D9" w:rsidP="009E2315">
      <w:pPr>
        <w:pStyle w:val="Normal-Indent"/>
      </w:pPr>
      <w:r w:rsidRPr="007E0BD4">
        <w:t>Net cash flows from operating activities</w:t>
      </w:r>
    </w:p>
    <w:p w:rsidR="00D775D9" w:rsidRPr="007E0BD4" w:rsidRDefault="00D775D9" w:rsidP="009E2315">
      <w:pPr>
        <w:pStyle w:val="Normal-Indent-Italics"/>
      </w:pPr>
      <w:r w:rsidRPr="007E0BD4">
        <w:t>plus</w:t>
      </w:r>
    </w:p>
    <w:p w:rsidR="00D775D9" w:rsidRPr="007E0BD4" w:rsidRDefault="00D775D9" w:rsidP="009E2315">
      <w:pPr>
        <w:pStyle w:val="Normal-Indent"/>
      </w:pPr>
      <w:r w:rsidRPr="007E0BD4">
        <w:t>Net cash flows from investments in non</w:t>
      </w:r>
      <w:r w:rsidR="0072048E" w:rsidRPr="007E0BD4">
        <w:noBreakHyphen/>
      </w:r>
      <w:r w:rsidRPr="007E0BD4">
        <w:t>financial assets</w:t>
      </w:r>
    </w:p>
    <w:p w:rsidR="00D775D9" w:rsidRPr="007E0BD4" w:rsidRDefault="00D775D9" w:rsidP="006C0C27">
      <w:pPr>
        <w:pStyle w:val="Normal-Indent-Italics"/>
      </w:pPr>
      <w:r w:rsidRPr="007E0BD4">
        <w:t>equals</w:t>
      </w:r>
    </w:p>
    <w:p w:rsidR="00D775D9" w:rsidRPr="007E0BD4" w:rsidRDefault="00D775D9" w:rsidP="006C0C27">
      <w:pPr>
        <w:pStyle w:val="Normal-Indent"/>
      </w:pPr>
      <w:r w:rsidRPr="007E0BD4">
        <w:t>ABS GFS cash surplus/deficit</w:t>
      </w:r>
      <w:r w:rsidR="00AB79B5" w:rsidRPr="007E0BD4">
        <w:rPr>
          <w:rStyle w:val="FootnoteReference"/>
        </w:rPr>
        <w:footnoteReference w:id="7"/>
      </w:r>
    </w:p>
    <w:p w:rsidR="003D68FC" w:rsidRPr="007E0BD4" w:rsidRDefault="003D68FC" w:rsidP="006C0C27">
      <w:pPr>
        <w:pStyle w:val="Normal-Indent-Italics"/>
      </w:pPr>
      <w:r w:rsidRPr="007E0BD4">
        <w:t>less</w:t>
      </w:r>
    </w:p>
    <w:p w:rsidR="003D68FC" w:rsidRPr="007E0BD4" w:rsidRDefault="003D68FC" w:rsidP="006C0C27">
      <w:pPr>
        <w:pStyle w:val="Normal-Indent"/>
      </w:pPr>
      <w:r w:rsidRPr="007E0BD4">
        <w:t>Net acquisitions of assets acquired under finance leases and similar arrangements</w:t>
      </w:r>
      <w:r w:rsidRPr="007E0BD4">
        <w:rPr>
          <w:vertAlign w:val="superscript"/>
        </w:rPr>
        <w:footnoteReference w:id="8"/>
      </w:r>
    </w:p>
    <w:p w:rsidR="00D775D9" w:rsidRPr="007E0BD4" w:rsidRDefault="00D775D9" w:rsidP="006C0C27">
      <w:pPr>
        <w:pStyle w:val="Normal-Indent-Italics"/>
      </w:pPr>
      <w:r w:rsidRPr="007E0BD4">
        <w:t>less</w:t>
      </w:r>
    </w:p>
    <w:p w:rsidR="00D775D9" w:rsidRPr="007E0BD4" w:rsidRDefault="00D775D9" w:rsidP="006C0C27">
      <w:pPr>
        <w:pStyle w:val="Normal-Indent"/>
      </w:pPr>
      <w:r w:rsidRPr="007E0BD4">
        <w:t>Net Future Fund earnings</w:t>
      </w:r>
    </w:p>
    <w:p w:rsidR="00D775D9" w:rsidRPr="007E0BD4" w:rsidRDefault="00D775D9" w:rsidP="006C0C27">
      <w:pPr>
        <w:pStyle w:val="Normal-Indent-Italics"/>
      </w:pPr>
      <w:r w:rsidRPr="007E0BD4">
        <w:t>equals</w:t>
      </w:r>
    </w:p>
    <w:p w:rsidR="00D775D9" w:rsidRPr="007E0BD4" w:rsidRDefault="00D775D9" w:rsidP="006C0C27">
      <w:pPr>
        <w:pStyle w:val="Normal-Indent"/>
      </w:pPr>
      <w:r w:rsidRPr="007E0BD4">
        <w:t>Underlying cash balance</w:t>
      </w:r>
    </w:p>
    <w:p w:rsidR="003D68FC" w:rsidRPr="007E0BD4" w:rsidRDefault="006C0C27" w:rsidP="009E2315">
      <w:r w:rsidRPr="007E0BD4">
        <w:br w:type="page"/>
      </w:r>
      <w:r w:rsidR="003D68FC" w:rsidRPr="007E0BD4">
        <w:lastRenderedPageBreak/>
        <w:t xml:space="preserve">Under the </w:t>
      </w:r>
      <w:r w:rsidR="003D68FC" w:rsidRPr="007E0BD4">
        <w:rPr>
          <w:i/>
          <w:iCs/>
        </w:rPr>
        <w:t>Future Fund Act 2006</w:t>
      </w:r>
      <w:r w:rsidR="003D68FC" w:rsidRPr="007E0BD4">
        <w:t>, earnings are required to be reinvested to meet the Government’s future public sector superannuation liabilities.</w:t>
      </w:r>
      <w:r w:rsidR="003D68FC" w:rsidRPr="007E0BD4">
        <w:rPr>
          <w:color w:val="1F497D"/>
        </w:rPr>
        <w:t xml:space="preserve"> </w:t>
      </w:r>
      <w:r w:rsidR="003D68FC" w:rsidRPr="007E0BD4">
        <w:t>The Government excludes net Future Fund cash earnings from the calculation of the underlying cash balance between 2005-06 and 2019-20. From 2020-21 onwards, net Future Fund cash earnings are included in the calculation of the underlying cash balance because the Future Fund becomes available to meet the Government’s superannuat</w:t>
      </w:r>
      <w:r w:rsidR="00056439" w:rsidRPr="007E0BD4">
        <w:t>ion liabilities from that year.</w:t>
      </w:r>
    </w:p>
    <w:p w:rsidR="00D775D9" w:rsidRPr="007E0BD4" w:rsidRDefault="00D775D9" w:rsidP="009E2315">
      <w:r w:rsidRPr="007E0BD4">
        <w:t xml:space="preserve">In contrast, net Future Fund earnings are included in the </w:t>
      </w:r>
      <w:r w:rsidR="003D68FC" w:rsidRPr="007E0BD4">
        <w:t xml:space="preserve">net operating balance and </w:t>
      </w:r>
      <w:r w:rsidRPr="007E0BD4">
        <w:t xml:space="preserve">fiscal balance </w:t>
      </w:r>
      <w:r w:rsidR="003D68FC" w:rsidRPr="007E0BD4">
        <w:t xml:space="preserve">for all years </w:t>
      </w:r>
      <w:r w:rsidRPr="007E0BD4">
        <w:t>because superannuation expenses relating to future cash payments are recorded in the</w:t>
      </w:r>
      <w:r w:rsidR="003D68FC" w:rsidRPr="007E0BD4">
        <w:t xml:space="preserve"> net operating balance and</w:t>
      </w:r>
      <w:r w:rsidRPr="007E0BD4">
        <w:t xml:space="preserve"> fiscal balance.</w:t>
      </w:r>
    </w:p>
    <w:p w:rsidR="00D775D9" w:rsidRPr="007E0BD4" w:rsidRDefault="00D775D9" w:rsidP="009E2315">
      <w:r w:rsidRPr="007E0BD4">
        <w:t>Net Future Fund earnings are separately identified in the Australian Government GGS cash flow statement in Table B3 of this statement and related t</w:t>
      </w:r>
      <w:r w:rsidR="00056439" w:rsidRPr="007E0BD4">
        <w:t>ables in Part 3 and Appendix D.</w:t>
      </w:r>
    </w:p>
    <w:p w:rsidR="00D775D9" w:rsidRPr="007E0BD4" w:rsidRDefault="00D775D9" w:rsidP="009E2315">
      <w:pPr>
        <w:pStyle w:val="Heading5"/>
      </w:pPr>
      <w:r w:rsidRPr="007E0BD4">
        <w:t>Headline cash balance</w:t>
      </w:r>
    </w:p>
    <w:p w:rsidR="00D775D9" w:rsidRPr="007E0BD4" w:rsidRDefault="00D775D9" w:rsidP="009E2315">
      <w:r w:rsidRPr="007E0BD4">
        <w:t>The headline cash balance is calculated by adding net cash flows from investments in financial assets for policy purposes and</w:t>
      </w:r>
      <w:r w:rsidR="00CC78C3" w:rsidRPr="007E0BD4">
        <w:t xml:space="preserve"> net</w:t>
      </w:r>
      <w:r w:rsidRPr="007E0BD4">
        <w:t xml:space="preserve"> Future Fund earnings to the underlying cash balance.</w:t>
      </w:r>
    </w:p>
    <w:p w:rsidR="00D775D9" w:rsidRPr="007E0BD4" w:rsidRDefault="00D775D9" w:rsidP="009E2315">
      <w:r w:rsidRPr="007E0BD4">
        <w:t>Cash flows from investments in financial assets for policy purposes include equity transactions and advances</w:t>
      </w:r>
      <w:r w:rsidR="00146ADF">
        <w:t xml:space="preserve"> paid</w:t>
      </w:r>
      <w:r w:rsidRPr="007E0BD4">
        <w:t xml:space="preserve">. Equity transactions include equity injections into controlled businesses and privatisations of government businesses. </w:t>
      </w:r>
      <w:r w:rsidR="00146ADF">
        <w:t>A</w:t>
      </w:r>
      <w:r w:rsidRPr="007E0BD4">
        <w:t xml:space="preserve">dvances </w:t>
      </w:r>
      <w:r w:rsidR="00146ADF">
        <w:t xml:space="preserve">paid </w:t>
      </w:r>
      <w:r w:rsidRPr="007E0BD4">
        <w:t>include net loans to the States,</w:t>
      </w:r>
      <w:r w:rsidR="004F498A" w:rsidRPr="007E0BD4">
        <w:t xml:space="preserve"> and</w:t>
      </w:r>
      <w:r w:rsidRPr="007E0BD4">
        <w:t xml:space="preserve"> net loans to students.</w:t>
      </w:r>
    </w:p>
    <w:p w:rsidR="00D775D9" w:rsidRPr="007E0BD4" w:rsidRDefault="00D775D9" w:rsidP="006B18E0">
      <w:pPr>
        <w:pStyle w:val="Heading4"/>
      </w:pPr>
      <w:r w:rsidRPr="007E0BD4">
        <w:t>Sectoral classifications</w:t>
      </w:r>
    </w:p>
    <w:p w:rsidR="007743E5" w:rsidRPr="007E0BD4" w:rsidRDefault="00D775D9" w:rsidP="009E2315">
      <w:r w:rsidRPr="007E0BD4">
        <w:t xml:space="preserve">To assist in analysing the public sector, data </w:t>
      </w:r>
      <w:r w:rsidR="00CC78C3" w:rsidRPr="007E0BD4">
        <w:t>are</w:t>
      </w:r>
      <w:r w:rsidRPr="007E0BD4">
        <w:t xml:space="preserve"> presented by institutional sector as shown in Figure B1. ABS GFS defines the general government sector (GGS) and the public non</w:t>
      </w:r>
      <w:r w:rsidR="0072048E" w:rsidRPr="007E0BD4">
        <w:noBreakHyphen/>
      </w:r>
      <w:r w:rsidRPr="007E0BD4">
        <w:t>financial corporations (PNFC) and public financial corporations (PFC) sectors. AASB 1049 has also adopted this sectoral reporting.</w:t>
      </w:r>
    </w:p>
    <w:p w:rsidR="00D67A07" w:rsidRPr="007E0BD4" w:rsidRDefault="0049731A" w:rsidP="00D67A07">
      <w:pPr>
        <w:pStyle w:val="FigureHeading"/>
        <w:jc w:val="center"/>
      </w:pPr>
      <w:r>
        <w:rPr>
          <w:noProof/>
          <w:lang w:eastAsia="en-AU"/>
        </w:rPr>
        <w:lastRenderedPageBreak/>
        <mc:AlternateContent>
          <mc:Choice Requires="wpg">
            <w:drawing>
              <wp:anchor distT="0" distB="0" distL="114300" distR="114300" simplePos="0" relativeHeight="251657728" behindDoc="0" locked="0" layoutInCell="1" allowOverlap="1">
                <wp:simplePos x="0" y="0"/>
                <wp:positionH relativeFrom="column">
                  <wp:posOffset>-36195</wp:posOffset>
                </wp:positionH>
                <wp:positionV relativeFrom="paragraph">
                  <wp:posOffset>207010</wp:posOffset>
                </wp:positionV>
                <wp:extent cx="4990465" cy="3260725"/>
                <wp:effectExtent l="1905" t="0" r="0" b="0"/>
                <wp:wrapSquare wrapText="bothSides"/>
                <wp:docPr id="1" name="Group 1" descr="This chart shows the institutional structure of the public sector, including the split between the public financial corporations sector and the total non-financial public secto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0465" cy="3260725"/>
                          <a:chOff x="2041" y="6352"/>
                          <a:chExt cx="7859" cy="5135"/>
                        </a:xfrm>
                      </wpg:grpSpPr>
                      <wps:wsp>
                        <wps:cNvPr id="2" name="Straight Connector 30"/>
                        <wps:cNvCnPr>
                          <a:cxnSpLocks noChangeShapeType="1"/>
                        </wps:cNvCnPr>
                        <wps:spPr bwMode="auto">
                          <a:xfrm>
                            <a:off x="6315" y="8207"/>
                            <a:ext cx="2671" cy="1328"/>
                          </a:xfrm>
                          <a:prstGeom prst="line">
                            <a:avLst/>
                          </a:prstGeom>
                          <a:noFill/>
                          <a:ln w="10160" cap="rnd">
                            <a:solidFill>
                              <a:srgbClr val="808080"/>
                            </a:solidFill>
                            <a:round/>
                            <a:headEnd/>
                            <a:tailEnd/>
                          </a:ln>
                          <a:extLst>
                            <a:ext uri="{909E8E84-426E-40DD-AFC4-6F175D3DCCD1}">
                              <a14:hiddenFill xmlns:a14="http://schemas.microsoft.com/office/drawing/2010/main">
                                <a:noFill/>
                              </a14:hiddenFill>
                            </a:ext>
                          </a:extLst>
                        </wps:spPr>
                        <wps:bodyPr/>
                      </wps:wsp>
                      <wps:wsp>
                        <wps:cNvPr id="3" name="Text Box 2"/>
                        <wps:cNvSpPr txBox="1">
                          <a:spLocks noChangeArrowheads="1"/>
                        </wps:cNvSpPr>
                        <wps:spPr bwMode="auto">
                          <a:xfrm>
                            <a:off x="2041" y="8437"/>
                            <a:ext cx="2500" cy="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DA" w:rsidRPr="0049063F" w:rsidRDefault="005656DA" w:rsidP="00D775D9">
                              <w:pPr>
                                <w:spacing w:after="0" w:line="200" w:lineRule="atLeast"/>
                                <w:jc w:val="left"/>
                                <w:rPr>
                                  <w:rFonts w:ascii="Arial" w:hAnsi="Arial" w:cs="Arial"/>
                                  <w:sz w:val="16"/>
                                  <w:szCs w:val="16"/>
                                </w:rPr>
                              </w:pPr>
                              <w:r w:rsidRPr="0049063F">
                                <w:rPr>
                                  <w:rFonts w:ascii="Arial" w:hAnsi="Arial" w:cs="Arial"/>
                                  <w:sz w:val="16"/>
                                  <w:szCs w:val="16"/>
                                </w:rPr>
                                <w:t>(Includes Reserve Bank of Australia and other borrowing authorities)</w:t>
                              </w:r>
                            </w:p>
                          </w:txbxContent>
                        </wps:txbx>
                        <wps:bodyPr rot="0" vert="horz" wrap="square" lIns="91440" tIns="45720" rIns="91440" bIns="45720" anchor="t" anchorCtr="0" upright="1">
                          <a:spAutoFit/>
                        </wps:bodyPr>
                      </wps:wsp>
                      <wps:wsp>
                        <wps:cNvPr id="4" name="Text Box 2"/>
                        <wps:cNvSpPr txBox="1">
                          <a:spLocks noChangeArrowheads="1"/>
                        </wps:cNvSpPr>
                        <wps:spPr bwMode="auto">
                          <a:xfrm>
                            <a:off x="3757" y="9900"/>
                            <a:ext cx="2722" cy="1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DA" w:rsidRPr="0049063F" w:rsidRDefault="005656DA" w:rsidP="00D775D9">
                              <w:pPr>
                                <w:spacing w:after="0" w:line="200" w:lineRule="atLeast"/>
                                <w:jc w:val="left"/>
                                <w:rPr>
                                  <w:rFonts w:ascii="Arial" w:hAnsi="Arial" w:cs="Arial"/>
                                  <w:sz w:val="16"/>
                                  <w:szCs w:val="16"/>
                                </w:rPr>
                              </w:pPr>
                              <w:r w:rsidRPr="00FE61EC">
                                <w:rPr>
                                  <w:rFonts w:ascii="Arial" w:hAnsi="Arial" w:cs="Arial"/>
                                  <w:sz w:val="16"/>
                                  <w:szCs w:val="16"/>
                                </w:rPr>
                                <w:t>(Government departments and agencies that provide non</w:t>
                              </w:r>
                              <w:r w:rsidR="0072048E">
                                <w:rPr>
                                  <w:rFonts w:ascii="Arial" w:hAnsi="Arial" w:cs="Arial"/>
                                  <w:sz w:val="16"/>
                                  <w:szCs w:val="16"/>
                                </w:rPr>
                                <w:noBreakHyphen/>
                              </w:r>
                              <w:r w:rsidRPr="00FE61EC">
                                <w:rPr>
                                  <w:rFonts w:ascii="Arial" w:hAnsi="Arial" w:cs="Arial"/>
                                  <w:sz w:val="16"/>
                                  <w:szCs w:val="16"/>
                                </w:rPr>
                                <w:t>market public services</w:t>
                              </w:r>
                              <w:r>
                                <w:rPr>
                                  <w:rFonts w:ascii="Arial" w:hAnsi="Arial" w:cs="Arial"/>
                                  <w:sz w:val="16"/>
                                  <w:szCs w:val="16"/>
                                </w:rPr>
                                <w:t>, or involve the transfer or redistribution of income,</w:t>
                              </w:r>
                              <w:r w:rsidRPr="00FE61EC">
                                <w:rPr>
                                  <w:rFonts w:ascii="Arial" w:hAnsi="Arial" w:cs="Arial"/>
                                  <w:sz w:val="16"/>
                                  <w:szCs w:val="16"/>
                                </w:rPr>
                                <w:t xml:space="preserve"> and are funded mainly through taxes)</w:t>
                              </w:r>
                            </w:p>
                          </w:txbxContent>
                        </wps:txbx>
                        <wps:bodyPr rot="0" vert="horz" wrap="square" lIns="91440" tIns="45720" rIns="91440" bIns="45720" anchor="t" anchorCtr="0" upright="1">
                          <a:noAutofit/>
                        </wps:bodyPr>
                      </wps:wsp>
                      <wps:wsp>
                        <wps:cNvPr id="5" name="Text Box 2"/>
                        <wps:cNvSpPr txBox="1">
                          <a:spLocks noChangeArrowheads="1"/>
                        </wps:cNvSpPr>
                        <wps:spPr bwMode="auto">
                          <a:xfrm>
                            <a:off x="7179" y="9900"/>
                            <a:ext cx="2721" cy="1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DA" w:rsidRPr="0049063F" w:rsidRDefault="005656DA" w:rsidP="00D775D9">
                              <w:pPr>
                                <w:spacing w:after="0" w:line="200" w:lineRule="atLeast"/>
                                <w:jc w:val="left"/>
                                <w:rPr>
                                  <w:rFonts w:ascii="Arial" w:hAnsi="Arial" w:cs="Arial"/>
                                  <w:sz w:val="16"/>
                                  <w:szCs w:val="16"/>
                                </w:rPr>
                              </w:pPr>
                              <w:r w:rsidRPr="0049063F">
                                <w:rPr>
                                  <w:rFonts w:ascii="Arial" w:hAnsi="Arial" w:cs="Arial"/>
                                  <w:sz w:val="16"/>
                                  <w:szCs w:val="16"/>
                                </w:rPr>
                                <w:t>(</w:t>
                              </w:r>
                              <w:r>
                                <w:rPr>
                                  <w:rFonts w:ascii="Arial" w:hAnsi="Arial" w:cs="Arial"/>
                                  <w:sz w:val="16"/>
                                  <w:szCs w:val="16"/>
                                </w:rPr>
                                <w:t>Provide goods and services to consumers on a commercial basis, are funded largely by the sale of these goods and services and are generally legally distinguishable from the governments that own them</w:t>
                              </w:r>
                              <w:r w:rsidRPr="0049063F">
                                <w:rPr>
                                  <w:rFonts w:ascii="Arial" w:hAnsi="Arial" w:cs="Arial"/>
                                  <w:sz w:val="16"/>
                                  <w:szCs w:val="16"/>
                                </w:rPr>
                                <w:t>)</w:t>
                              </w:r>
                            </w:p>
                          </w:txbxContent>
                        </wps:txbx>
                        <wps:bodyPr rot="0" vert="horz" wrap="square" lIns="91440" tIns="45720" rIns="91440" bIns="45720" anchor="t" anchorCtr="0" upright="1">
                          <a:noAutofit/>
                        </wps:bodyPr>
                      </wps:wsp>
                      <wps:wsp>
                        <wps:cNvPr id="6" name="Straight Connector 288"/>
                        <wps:cNvCnPr>
                          <a:cxnSpLocks noChangeShapeType="1"/>
                        </wps:cNvCnPr>
                        <wps:spPr bwMode="auto">
                          <a:xfrm flipH="1">
                            <a:off x="4610" y="8207"/>
                            <a:ext cx="2704" cy="1328"/>
                          </a:xfrm>
                          <a:prstGeom prst="line">
                            <a:avLst/>
                          </a:prstGeom>
                          <a:noFill/>
                          <a:ln w="10160" cap="rnd">
                            <a:solidFill>
                              <a:srgbClr val="808080"/>
                            </a:solidFill>
                            <a:round/>
                            <a:headEnd/>
                            <a:tailEnd/>
                          </a:ln>
                          <a:extLst>
                            <a:ext uri="{909E8E84-426E-40DD-AFC4-6F175D3DCCD1}">
                              <a14:hiddenFill xmlns:a14="http://schemas.microsoft.com/office/drawing/2010/main">
                                <a:noFill/>
                              </a14:hiddenFill>
                            </a:ext>
                          </a:extLst>
                        </wps:spPr>
                        <wps:bodyPr/>
                      </wps:wsp>
                      <wps:wsp>
                        <wps:cNvPr id="7" name="Straight Connector 289"/>
                        <wps:cNvCnPr>
                          <a:cxnSpLocks noChangeShapeType="1"/>
                        </wps:cNvCnPr>
                        <wps:spPr bwMode="auto">
                          <a:xfrm>
                            <a:off x="4610" y="6732"/>
                            <a:ext cx="2671" cy="1328"/>
                          </a:xfrm>
                          <a:prstGeom prst="line">
                            <a:avLst/>
                          </a:prstGeom>
                          <a:noFill/>
                          <a:ln w="10160" cap="rnd">
                            <a:solidFill>
                              <a:srgbClr val="808080"/>
                            </a:solidFill>
                            <a:round/>
                            <a:headEnd/>
                            <a:tailEnd/>
                          </a:ln>
                          <a:extLst>
                            <a:ext uri="{909E8E84-426E-40DD-AFC4-6F175D3DCCD1}">
                              <a14:hiddenFill xmlns:a14="http://schemas.microsoft.com/office/drawing/2010/main">
                                <a:noFill/>
                              </a14:hiddenFill>
                            </a:ext>
                          </a:extLst>
                        </wps:spPr>
                        <wps:bodyPr/>
                      </wps:wsp>
                      <wps:wsp>
                        <wps:cNvPr id="8" name="Straight Connector 290"/>
                        <wps:cNvCnPr>
                          <a:cxnSpLocks noChangeShapeType="1"/>
                        </wps:cNvCnPr>
                        <wps:spPr bwMode="auto">
                          <a:xfrm flipH="1">
                            <a:off x="2905" y="6721"/>
                            <a:ext cx="2703" cy="1341"/>
                          </a:xfrm>
                          <a:prstGeom prst="line">
                            <a:avLst/>
                          </a:prstGeom>
                          <a:noFill/>
                          <a:ln w="10160" cap="rnd">
                            <a:solidFill>
                              <a:srgbClr val="808080"/>
                            </a:solidFill>
                            <a:round/>
                            <a:headEnd/>
                            <a:tailEnd/>
                          </a:ln>
                          <a:extLst>
                            <a:ext uri="{909E8E84-426E-40DD-AFC4-6F175D3DCCD1}">
                              <a14:hiddenFill xmlns:a14="http://schemas.microsoft.com/office/drawing/2010/main">
                                <a:noFill/>
                              </a14:hiddenFill>
                            </a:ext>
                          </a:extLst>
                        </wps:spPr>
                        <wps:bodyPr/>
                      </wps:wsp>
                      <wps:wsp>
                        <wps:cNvPr id="9" name="Text Box 2"/>
                        <wps:cNvSpPr txBox="1">
                          <a:spLocks noChangeArrowheads="1"/>
                        </wps:cNvSpPr>
                        <wps:spPr bwMode="auto">
                          <a:xfrm>
                            <a:off x="3815" y="6352"/>
                            <a:ext cx="2551" cy="623"/>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56DA" w:rsidRPr="00F77D77" w:rsidRDefault="005656DA" w:rsidP="00D775D9">
                              <w:pPr>
                                <w:spacing w:before="120" w:after="120" w:line="240" w:lineRule="auto"/>
                                <w:jc w:val="center"/>
                                <w:rPr>
                                  <w:rFonts w:ascii="Arial" w:hAnsi="Arial" w:cs="Arial"/>
                                  <w:b/>
                                  <w:color w:val="FFFFFF"/>
                                  <w:sz w:val="16"/>
                                  <w:szCs w:val="16"/>
                                </w:rPr>
                              </w:pPr>
                              <w:r w:rsidRPr="00F77D77">
                                <w:rPr>
                                  <w:rFonts w:ascii="Arial" w:hAnsi="Arial" w:cs="Arial"/>
                                  <w:b/>
                                  <w:color w:val="FFFFFF"/>
                                  <w:sz w:val="16"/>
                                  <w:szCs w:val="16"/>
                                </w:rPr>
                                <w:t>Total public sector</w:t>
                              </w:r>
                            </w:p>
                          </w:txbxContent>
                        </wps:txbx>
                        <wps:bodyPr rot="0" vert="horz" wrap="square" lIns="91440" tIns="45720" rIns="91440" bIns="45720" anchor="ctr" anchorCtr="0" upright="1">
                          <a:noAutofit/>
                        </wps:bodyPr>
                      </wps:wsp>
                      <wps:wsp>
                        <wps:cNvPr id="10" name="Text Box 2"/>
                        <wps:cNvSpPr txBox="1">
                          <a:spLocks noChangeArrowheads="1"/>
                        </wps:cNvSpPr>
                        <wps:spPr bwMode="auto">
                          <a:xfrm>
                            <a:off x="2099" y="7838"/>
                            <a:ext cx="2551" cy="623"/>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56DA" w:rsidRPr="00F77D77" w:rsidRDefault="005656DA" w:rsidP="00D775D9">
                              <w:pPr>
                                <w:spacing w:before="40" w:after="40" w:line="240" w:lineRule="auto"/>
                                <w:jc w:val="center"/>
                                <w:rPr>
                                  <w:rFonts w:ascii="Arial" w:hAnsi="Arial" w:cs="Arial"/>
                                  <w:b/>
                                  <w:color w:val="FFFFFF"/>
                                  <w:sz w:val="16"/>
                                  <w:szCs w:val="16"/>
                                </w:rPr>
                              </w:pPr>
                              <w:r w:rsidRPr="00F77D77">
                                <w:rPr>
                                  <w:rFonts w:ascii="Arial" w:hAnsi="Arial" w:cs="Arial"/>
                                  <w:b/>
                                  <w:color w:val="FFFFFF"/>
                                  <w:sz w:val="16"/>
                                  <w:szCs w:val="16"/>
                                </w:rPr>
                                <w:t>Public financial corporations</w:t>
                              </w:r>
                              <w:r w:rsidRPr="00F77D77">
                                <w:rPr>
                                  <w:rFonts w:ascii="Arial" w:hAnsi="Arial" w:cs="Arial"/>
                                  <w:b/>
                                  <w:color w:val="FFFFFF"/>
                                  <w:sz w:val="16"/>
                                  <w:szCs w:val="16"/>
                                </w:rPr>
                                <w:br/>
                                <w:t>sector</w:t>
                              </w:r>
                            </w:p>
                          </w:txbxContent>
                        </wps:txbx>
                        <wps:bodyPr rot="0" vert="horz" wrap="square" lIns="91440" tIns="45720" rIns="91440" bIns="45720" anchor="ctr" anchorCtr="0" upright="1">
                          <a:noAutofit/>
                        </wps:bodyPr>
                      </wps:wsp>
                      <wps:wsp>
                        <wps:cNvPr id="11" name="Text Box 2"/>
                        <wps:cNvSpPr txBox="1">
                          <a:spLocks noChangeArrowheads="1"/>
                        </wps:cNvSpPr>
                        <wps:spPr bwMode="auto">
                          <a:xfrm>
                            <a:off x="5532" y="7838"/>
                            <a:ext cx="2551" cy="623"/>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56DA" w:rsidRPr="00F77D77" w:rsidRDefault="005656DA" w:rsidP="00D775D9">
                              <w:pPr>
                                <w:spacing w:before="40" w:after="40" w:line="240" w:lineRule="auto"/>
                                <w:jc w:val="center"/>
                                <w:rPr>
                                  <w:rFonts w:ascii="Arial" w:hAnsi="Arial" w:cs="Arial"/>
                                  <w:b/>
                                  <w:color w:val="FFFFFF"/>
                                  <w:sz w:val="16"/>
                                  <w:szCs w:val="16"/>
                                </w:rPr>
                              </w:pPr>
                              <w:r w:rsidRPr="00F77D77">
                                <w:rPr>
                                  <w:rFonts w:ascii="Arial" w:hAnsi="Arial" w:cs="Arial"/>
                                  <w:b/>
                                  <w:color w:val="FFFFFF"/>
                                  <w:sz w:val="16"/>
                                  <w:szCs w:val="16"/>
                                </w:rPr>
                                <w:t>Total non</w:t>
                              </w:r>
                              <w:r w:rsidR="0072048E">
                                <w:rPr>
                                  <w:rFonts w:ascii="Arial" w:hAnsi="Arial" w:cs="Arial"/>
                                  <w:b/>
                                  <w:color w:val="FFFFFF"/>
                                  <w:sz w:val="16"/>
                                  <w:szCs w:val="16"/>
                                </w:rPr>
                                <w:noBreakHyphen/>
                              </w:r>
                              <w:r w:rsidRPr="00F77D77">
                                <w:rPr>
                                  <w:rFonts w:ascii="Arial" w:hAnsi="Arial" w:cs="Arial"/>
                                  <w:b/>
                                  <w:color w:val="FFFFFF"/>
                                  <w:sz w:val="16"/>
                                  <w:szCs w:val="16"/>
                                </w:rPr>
                                <w:t>financial</w:t>
                              </w:r>
                              <w:r w:rsidRPr="00F77D77">
                                <w:rPr>
                                  <w:rFonts w:ascii="Arial" w:hAnsi="Arial" w:cs="Arial"/>
                                  <w:b/>
                                  <w:color w:val="FFFFFF"/>
                                  <w:sz w:val="16"/>
                                  <w:szCs w:val="16"/>
                                </w:rPr>
                                <w:br/>
                                <w:t>public sector</w:t>
                              </w:r>
                            </w:p>
                          </w:txbxContent>
                        </wps:txbx>
                        <wps:bodyPr rot="0" vert="horz" wrap="square" lIns="91440" tIns="45720" rIns="91440" bIns="45720" anchor="ctr" anchorCtr="0" upright="1">
                          <a:noAutofit/>
                        </wps:bodyPr>
                      </wps:wsp>
                      <wps:wsp>
                        <wps:cNvPr id="12" name="Text Box 2"/>
                        <wps:cNvSpPr txBox="1">
                          <a:spLocks noChangeArrowheads="1"/>
                        </wps:cNvSpPr>
                        <wps:spPr bwMode="auto">
                          <a:xfrm>
                            <a:off x="3815" y="9301"/>
                            <a:ext cx="2551" cy="623"/>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56DA" w:rsidRPr="00F77D77" w:rsidRDefault="005656DA" w:rsidP="00D775D9">
                              <w:pPr>
                                <w:spacing w:before="120" w:after="120" w:line="240" w:lineRule="auto"/>
                                <w:jc w:val="center"/>
                                <w:rPr>
                                  <w:rFonts w:ascii="Arial" w:hAnsi="Arial" w:cs="Arial"/>
                                  <w:b/>
                                  <w:color w:val="FFFFFF"/>
                                  <w:sz w:val="16"/>
                                  <w:szCs w:val="16"/>
                                </w:rPr>
                              </w:pPr>
                              <w:r w:rsidRPr="00F77D77">
                                <w:rPr>
                                  <w:rFonts w:ascii="Arial" w:hAnsi="Arial" w:cs="Arial"/>
                                  <w:b/>
                                  <w:color w:val="FFFFFF"/>
                                  <w:sz w:val="16"/>
                                  <w:szCs w:val="16"/>
                                </w:rPr>
                                <w:t>General government sector</w:t>
                              </w:r>
                            </w:p>
                          </w:txbxContent>
                        </wps:txbx>
                        <wps:bodyPr rot="0" vert="horz" wrap="square" lIns="91440" tIns="45720" rIns="91440" bIns="45720" anchor="ctr" anchorCtr="0" upright="1">
                          <a:noAutofit/>
                        </wps:bodyPr>
                      </wps:wsp>
                      <wps:wsp>
                        <wps:cNvPr id="13" name="Text Box 2"/>
                        <wps:cNvSpPr txBox="1">
                          <a:spLocks noChangeArrowheads="1"/>
                        </wps:cNvSpPr>
                        <wps:spPr bwMode="auto">
                          <a:xfrm>
                            <a:off x="7248" y="9301"/>
                            <a:ext cx="2551" cy="623"/>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56DA" w:rsidRPr="00F77D77" w:rsidRDefault="005656DA" w:rsidP="00D775D9">
                              <w:pPr>
                                <w:spacing w:before="40" w:after="40" w:line="240" w:lineRule="auto"/>
                                <w:jc w:val="center"/>
                                <w:rPr>
                                  <w:rFonts w:ascii="Arial" w:hAnsi="Arial" w:cs="Arial"/>
                                  <w:b/>
                                  <w:color w:val="FFFFFF"/>
                                  <w:sz w:val="16"/>
                                  <w:szCs w:val="16"/>
                                </w:rPr>
                              </w:pPr>
                              <w:r w:rsidRPr="00F77D77">
                                <w:rPr>
                                  <w:rFonts w:ascii="Arial" w:hAnsi="Arial" w:cs="Arial"/>
                                  <w:b/>
                                  <w:color w:val="FFFFFF"/>
                                  <w:sz w:val="16"/>
                                  <w:szCs w:val="16"/>
                                </w:rPr>
                                <w:t>Public non</w:t>
                              </w:r>
                              <w:r w:rsidR="0072048E">
                                <w:rPr>
                                  <w:rFonts w:ascii="Arial" w:hAnsi="Arial" w:cs="Arial"/>
                                  <w:b/>
                                  <w:color w:val="FFFFFF"/>
                                  <w:sz w:val="16"/>
                                  <w:szCs w:val="16"/>
                                </w:rPr>
                                <w:noBreakHyphen/>
                              </w:r>
                              <w:r w:rsidRPr="00F77D77">
                                <w:rPr>
                                  <w:rFonts w:ascii="Arial" w:hAnsi="Arial" w:cs="Arial"/>
                                  <w:b/>
                                  <w:color w:val="FFFFFF"/>
                                  <w:sz w:val="16"/>
                                  <w:szCs w:val="16"/>
                                </w:rPr>
                                <w:t>financial corporations sector</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alt="This chart shows the institutional structure of the public sector, including the split between the public financial corporations sector and the total non-financial public sector." style="position:absolute;left:0;text-align:left;margin-left:-2.85pt;margin-top:16.3pt;width:392.95pt;height:256.75pt;z-index:251657728" coordorigin="2041,6352" coordsize="7859,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">
                <v:line id="Straight Connector 30" o:spid="_x0000_s1027" style="position:absolute;visibility:visible;mso-wrap-style:square" from="6315,8207" to="8986,9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sPdcUAAADaAAAADwAAAGRycy9kb3ducmV2LnhtbESPQWvCQBSE74L/YXlCL1I3jaCSuobS&#10;EvQioha0t9fsaxKafRuya5L++26h4HGY+WaYdTqYWnTUusqygqdZBII4t7riQsH7OXtcgXAeWWNt&#10;mRT8kIN0Mx6tMdG25yN1J1+IUMIuQQWl900ipctLMuhmtiEO3pdtDfog20LqFvtQbmoZR9FCGqw4&#10;LJTY0GtJ+ffpZhTE2aK6TON8ef3cH95WH05vp/O9Ug+T4eUZhKfB38P/9E4HDv6uhBs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usPdcUAAADaAAAADwAAAAAAAAAA&#10;AAAAAAChAgAAZHJzL2Rvd25yZXYueG1sUEsFBgAAAAAEAAQA+QAAAJMDAAAAAA==&#10;" strokecolor="gray" strokeweight=".8pt">
                  <v:stroke endcap="round"/>
                </v:line>
                <v:shapetype id="_x0000_t202" coordsize="21600,21600" o:spt="202" path="m,l,21600r21600,l21600,xe">
                  <v:stroke joinstyle="miter"/>
                  <v:path gradientshapeok="t" o:connecttype="rect"/>
                </v:shapetype>
                <v:shape id="Text Box 2" o:spid="_x0000_s1028" type="#_x0000_t202" style="position:absolute;left:2041;top:8437;width:2500;height: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YMEA&#10;AADaAAAADwAAAGRycy9kb3ducmV2LnhtbESPT2vCQBTE7wW/w/IEb3Vjp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FmDBAAAA2gAAAA8AAAAAAAAAAAAAAAAAmAIAAGRycy9kb3du&#10;cmV2LnhtbFBLBQYAAAAABAAEAPUAAACGAwAAAAA=&#10;" filled="f" stroked="f">
                  <v:textbox style="mso-fit-shape-to-text:t">
                    <w:txbxContent>
                      <w:p w:rsidR="005656DA" w:rsidRPr="0049063F" w:rsidRDefault="005656DA" w:rsidP="00D775D9">
                        <w:pPr>
                          <w:spacing w:after="0" w:line="200" w:lineRule="atLeast"/>
                          <w:jc w:val="left"/>
                          <w:rPr>
                            <w:rFonts w:ascii="Arial" w:hAnsi="Arial" w:cs="Arial"/>
                            <w:sz w:val="16"/>
                            <w:szCs w:val="16"/>
                          </w:rPr>
                        </w:pPr>
                        <w:r w:rsidRPr="0049063F">
                          <w:rPr>
                            <w:rFonts w:ascii="Arial" w:hAnsi="Arial" w:cs="Arial"/>
                            <w:sz w:val="16"/>
                            <w:szCs w:val="16"/>
                          </w:rPr>
                          <w:t>(Includes Reserve Bank of Australia and other borrowing authorities)</w:t>
                        </w:r>
                      </w:p>
                    </w:txbxContent>
                  </v:textbox>
                </v:shape>
                <v:shape id="Text Box 2" o:spid="_x0000_s1029" type="#_x0000_t202" style="position:absolute;left:3757;top:9900;width:2722;height:1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5656DA" w:rsidRPr="0049063F" w:rsidRDefault="005656DA" w:rsidP="00D775D9">
                        <w:pPr>
                          <w:spacing w:after="0" w:line="200" w:lineRule="atLeast"/>
                          <w:jc w:val="left"/>
                          <w:rPr>
                            <w:rFonts w:ascii="Arial" w:hAnsi="Arial" w:cs="Arial"/>
                            <w:sz w:val="16"/>
                            <w:szCs w:val="16"/>
                          </w:rPr>
                        </w:pPr>
                        <w:r w:rsidRPr="00FE61EC">
                          <w:rPr>
                            <w:rFonts w:ascii="Arial" w:hAnsi="Arial" w:cs="Arial"/>
                            <w:sz w:val="16"/>
                            <w:szCs w:val="16"/>
                          </w:rPr>
                          <w:t>(Government departments and agencies that provide non</w:t>
                        </w:r>
                        <w:r w:rsidR="0072048E">
                          <w:rPr>
                            <w:rFonts w:ascii="Arial" w:hAnsi="Arial" w:cs="Arial"/>
                            <w:sz w:val="16"/>
                            <w:szCs w:val="16"/>
                          </w:rPr>
                          <w:noBreakHyphen/>
                        </w:r>
                        <w:r w:rsidRPr="00FE61EC">
                          <w:rPr>
                            <w:rFonts w:ascii="Arial" w:hAnsi="Arial" w:cs="Arial"/>
                            <w:sz w:val="16"/>
                            <w:szCs w:val="16"/>
                          </w:rPr>
                          <w:t>market public services</w:t>
                        </w:r>
                        <w:r>
                          <w:rPr>
                            <w:rFonts w:ascii="Arial" w:hAnsi="Arial" w:cs="Arial"/>
                            <w:sz w:val="16"/>
                            <w:szCs w:val="16"/>
                          </w:rPr>
                          <w:t>, or involve the transfer or redistribution of income,</w:t>
                        </w:r>
                        <w:r w:rsidRPr="00FE61EC">
                          <w:rPr>
                            <w:rFonts w:ascii="Arial" w:hAnsi="Arial" w:cs="Arial"/>
                            <w:sz w:val="16"/>
                            <w:szCs w:val="16"/>
                          </w:rPr>
                          <w:t xml:space="preserve"> and are funded mainly through taxes)</w:t>
                        </w:r>
                      </w:p>
                    </w:txbxContent>
                  </v:textbox>
                </v:shape>
                <v:shape id="Text Box 2" o:spid="_x0000_s1030" type="#_x0000_t202" style="position:absolute;left:7179;top:9900;width:2721;height:1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5656DA" w:rsidRPr="0049063F" w:rsidRDefault="005656DA" w:rsidP="00D775D9">
                        <w:pPr>
                          <w:spacing w:after="0" w:line="200" w:lineRule="atLeast"/>
                          <w:jc w:val="left"/>
                          <w:rPr>
                            <w:rFonts w:ascii="Arial" w:hAnsi="Arial" w:cs="Arial"/>
                            <w:sz w:val="16"/>
                            <w:szCs w:val="16"/>
                          </w:rPr>
                        </w:pPr>
                        <w:r w:rsidRPr="0049063F">
                          <w:rPr>
                            <w:rFonts w:ascii="Arial" w:hAnsi="Arial" w:cs="Arial"/>
                            <w:sz w:val="16"/>
                            <w:szCs w:val="16"/>
                          </w:rPr>
                          <w:t>(</w:t>
                        </w:r>
                        <w:r>
                          <w:rPr>
                            <w:rFonts w:ascii="Arial" w:hAnsi="Arial" w:cs="Arial"/>
                            <w:sz w:val="16"/>
                            <w:szCs w:val="16"/>
                          </w:rPr>
                          <w:t>Provide goods and services to consumers on a commercial basis, are funded largely by the sale of these goods and services and are generally legally distinguishable from the governments that own them</w:t>
                        </w:r>
                        <w:r w:rsidRPr="0049063F">
                          <w:rPr>
                            <w:rFonts w:ascii="Arial" w:hAnsi="Arial" w:cs="Arial"/>
                            <w:sz w:val="16"/>
                            <w:szCs w:val="16"/>
                          </w:rPr>
                          <w:t>)</w:t>
                        </w:r>
                      </w:p>
                    </w:txbxContent>
                  </v:textbox>
                </v:shape>
                <v:line id="Straight Connector 288" o:spid="_x0000_s1031" style="position:absolute;flip:x;visibility:visible;mso-wrap-style:square" from="4610,8207" to="7314,9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GkHsMAAADaAAAADwAAAGRycy9kb3ducmV2LnhtbESPzWsCMRTE7wX/h/CE3mrWQq2uRhGp&#10;aHvz4+DxsXn7gcnLsoka/eubQsHjMDO/YWaLaI24UucbxwqGgwwEceF0w5WC42H9NgbhA7JG45gU&#10;3MnDYt57mWGu3Y13dN2HSiQI+xwV1CG0uZS+qMmiH7iWOHml6yyGJLtK6g5vCW6NfM+ykbTYcFqo&#10;saVVTcV5f7EKvrYns3t8HpvxZlP6WMbvifn5UOq1H5dTEIFieIb/21utYAR/V9IN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BpB7DAAAA2gAAAA8AAAAAAAAAAAAA&#10;AAAAoQIAAGRycy9kb3ducmV2LnhtbFBLBQYAAAAABAAEAPkAAACRAwAAAAA=&#10;" strokecolor="gray" strokeweight=".8pt">
                  <v:stroke endcap="round"/>
                </v:line>
                <v:line id="Straight Connector 289" o:spid="_x0000_s1032" style="position:absolute;visibility:visible;mso-wrap-style:square" from="4610,6732" to="7281,8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ys7cQAAADaAAAADwAAAGRycy9kb3ducmV2LnhtbESPQYvCMBSE74L/ITxhL6KpFVSqURYX&#10;WS8iuoJ6ezbPtmzzUpqs1n9vBGGPw8x8w8wWjSnFjWpXWFYw6EcgiFOrC84UHH5WvQkI55E1lpZJ&#10;wYMcLObt1gwTbe+8o9veZyJA2CWoIPe+SqR0aU4GXd9WxMG72tqgD7LOpK7xHuCmlHEUjaTBgsNC&#10;jhUtc0p/939GQbwaFcdunI5Pl832a3J2+rs73Cj10Wk+pyA8Nf4//G6vtYIxvK6EGyD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nKztxAAAANoAAAAPAAAAAAAAAAAA&#10;AAAAAKECAABkcnMvZG93bnJldi54bWxQSwUGAAAAAAQABAD5AAAAkgMAAAAA&#10;" strokecolor="gray" strokeweight=".8pt">
                  <v:stroke endcap="round"/>
                </v:line>
                <v:line id="Straight Connector 290" o:spid="_x0000_s1033" style="position:absolute;flip:x;visibility:visible;mso-wrap-style:square" from="2905,6721" to="5608,8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KV978AAADaAAAADwAAAGRycy9kb3ducmV2LnhtbERPy2oCMRTdF/yHcAvuaqaCVqdGEVG0&#10;3flYuLxM7jxocjNMoka/vlkILg/nPVtEa8SVOt84VvA5yEAQF043XCk4HTcfExA+IGs0jknBnTws&#10;5r23Geba3XhP10OoRAphn6OCOoQ2l9IXNVn0A9cSJ650ncWQYFdJ3eEthVsjh1k2lhYbTg01trSq&#10;qfg7XKyC9e5s9o+vUzPZbksfy/gzNb8jpfrvcfkNIlAML/HTvdMK0tZ0Jd0AOf8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hKV978AAADaAAAADwAAAAAAAAAAAAAAAACh&#10;AgAAZHJzL2Rvd25yZXYueG1sUEsFBgAAAAAEAAQA+QAAAI0DAAAAAA==&#10;" strokecolor="gray" strokeweight=".8pt">
                  <v:stroke endcap="round"/>
                </v:line>
                <v:shape id="Text Box 2" o:spid="_x0000_s1034" type="#_x0000_t202" style="position:absolute;left:3815;top:6352;width:2551;height: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k7TMIA&#10;AADaAAAADwAAAGRycy9kb3ducmV2LnhtbESP3YrCMBSE7wXfIRzBO00VXLRrFFEEEXbBn93rQ3O2&#10;LTYnNYlaffqNIHg5zMw3zHTemEpcyfnSsoJBPwFBnFldcq7geFj3xiB8QNZYWSYFd/Iwn7VbU0y1&#10;vfGOrvuQiwhhn6KCIoQ6ldJnBRn0fVsTR+/POoMhSpdL7fAW4aaSwyT5kAZLjgsF1rQsKDvtL0ZB&#10;Pnr8rvnnZJeHkLiH+95uvlZnpbqdZvEJIlAT3uFXe6MVTOB5Jd4AO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uTtMwgAAANoAAAAPAAAAAAAAAAAAAAAAAJgCAABkcnMvZG93&#10;bnJldi54bWxQSwUGAAAAAAQABAD1AAAAhwMAAAAA&#10;" fillcolor="#7f7f7f" stroked="f">
                  <v:textbox>
                    <w:txbxContent>
                      <w:p w:rsidR="005656DA" w:rsidRPr="00F77D77" w:rsidRDefault="005656DA" w:rsidP="00D775D9">
                        <w:pPr>
                          <w:spacing w:before="120" w:after="120" w:line="240" w:lineRule="auto"/>
                          <w:jc w:val="center"/>
                          <w:rPr>
                            <w:rFonts w:ascii="Arial" w:hAnsi="Arial" w:cs="Arial"/>
                            <w:b/>
                            <w:color w:val="FFFFFF"/>
                            <w:sz w:val="16"/>
                            <w:szCs w:val="16"/>
                          </w:rPr>
                        </w:pPr>
                        <w:r w:rsidRPr="00F77D77">
                          <w:rPr>
                            <w:rFonts w:ascii="Arial" w:hAnsi="Arial" w:cs="Arial"/>
                            <w:b/>
                            <w:color w:val="FFFFFF"/>
                            <w:sz w:val="16"/>
                            <w:szCs w:val="16"/>
                          </w:rPr>
                          <w:t>Total public sector</w:t>
                        </w:r>
                      </w:p>
                    </w:txbxContent>
                  </v:textbox>
                </v:shape>
                <v:shape id="Text Box 2" o:spid="_x0000_s1035" type="#_x0000_t202" style="position:absolute;left:2099;top:7838;width:2551;height: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OpsMQA&#10;AADbAAAADwAAAGRycy9kb3ducmV2LnhtbESPT2sCQQzF7wW/wxChtzprwVJWRxFFEKFC/XcOO3F3&#10;cSezzkx19dM3h0JvCe/lvV8ms8416kYh1p4NDAcZKOLC25pLA4f96u0TVEzIFhvPZOBBEWbT3ssE&#10;c+vv/E23XSqVhHDM0UCVUptrHYuKHMaBb4lFO/vgMMkaSm0D3iXcNfo9yz60w5qlocKWFhUVl92P&#10;M1COnqcVHy9+sU9ZeIbtZv21vBrz2u/mY1CJuvRv/rteW8EXevlFBt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qbDEAAAA2wAAAA8AAAAAAAAAAAAAAAAAmAIAAGRycy9k&#10;b3ducmV2LnhtbFBLBQYAAAAABAAEAPUAAACJAwAAAAA=&#10;" fillcolor="#7f7f7f" stroked="f">
                  <v:textbox>
                    <w:txbxContent>
                      <w:p w:rsidR="005656DA" w:rsidRPr="00F77D77" w:rsidRDefault="005656DA" w:rsidP="00D775D9">
                        <w:pPr>
                          <w:spacing w:before="40" w:after="40" w:line="240" w:lineRule="auto"/>
                          <w:jc w:val="center"/>
                          <w:rPr>
                            <w:rFonts w:ascii="Arial" w:hAnsi="Arial" w:cs="Arial"/>
                            <w:b/>
                            <w:color w:val="FFFFFF"/>
                            <w:sz w:val="16"/>
                            <w:szCs w:val="16"/>
                          </w:rPr>
                        </w:pPr>
                        <w:r w:rsidRPr="00F77D77">
                          <w:rPr>
                            <w:rFonts w:ascii="Arial" w:hAnsi="Arial" w:cs="Arial"/>
                            <w:b/>
                            <w:color w:val="FFFFFF"/>
                            <w:sz w:val="16"/>
                            <w:szCs w:val="16"/>
                          </w:rPr>
                          <w:t>Public financial corporations</w:t>
                        </w:r>
                        <w:r w:rsidRPr="00F77D77">
                          <w:rPr>
                            <w:rFonts w:ascii="Arial" w:hAnsi="Arial" w:cs="Arial"/>
                            <w:b/>
                            <w:color w:val="FFFFFF"/>
                            <w:sz w:val="16"/>
                            <w:szCs w:val="16"/>
                          </w:rPr>
                          <w:br/>
                          <w:t>sector</w:t>
                        </w:r>
                      </w:p>
                    </w:txbxContent>
                  </v:textbox>
                </v:shape>
                <v:shape id="Text Box 2" o:spid="_x0000_s1036" type="#_x0000_t202" style="position:absolute;left:5532;top:7838;width:2551;height: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8MK8IA&#10;AADbAAAADwAAAGRycy9kb3ducmV2LnhtbERP22rCQBB9L/gPywh9azYWWiR1FbEEQqFCvfR5yI5J&#10;MDub7m6T6Nd3C4JvczjXWaxG04qenG8sK5glKQji0uqGKwWHff40B+EDssbWMim4kIfVcvKwwEzb&#10;gb+o34VKxBD2GSqoQ+gyKX1Zk0Gf2I44cifrDIYIXSW1wyGGm1Y+p+mrNNhwbKixo01N5Xn3axRU&#10;L9fvnI9nu9mH1F3d9qP4fP9R6nE6rt9ABBrDXXxzFzrOn8H/L/E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jwwrwgAAANsAAAAPAAAAAAAAAAAAAAAAAJgCAABkcnMvZG93&#10;bnJldi54bWxQSwUGAAAAAAQABAD1AAAAhwMAAAAA&#10;" fillcolor="#7f7f7f" stroked="f">
                  <v:textbox>
                    <w:txbxContent>
                      <w:p w:rsidR="005656DA" w:rsidRPr="00F77D77" w:rsidRDefault="005656DA" w:rsidP="00D775D9">
                        <w:pPr>
                          <w:spacing w:before="40" w:after="40" w:line="240" w:lineRule="auto"/>
                          <w:jc w:val="center"/>
                          <w:rPr>
                            <w:rFonts w:ascii="Arial" w:hAnsi="Arial" w:cs="Arial"/>
                            <w:b/>
                            <w:color w:val="FFFFFF"/>
                            <w:sz w:val="16"/>
                            <w:szCs w:val="16"/>
                          </w:rPr>
                        </w:pPr>
                        <w:r w:rsidRPr="00F77D77">
                          <w:rPr>
                            <w:rFonts w:ascii="Arial" w:hAnsi="Arial" w:cs="Arial"/>
                            <w:b/>
                            <w:color w:val="FFFFFF"/>
                            <w:sz w:val="16"/>
                            <w:szCs w:val="16"/>
                          </w:rPr>
                          <w:t>Total non</w:t>
                        </w:r>
                        <w:r w:rsidR="0072048E">
                          <w:rPr>
                            <w:rFonts w:ascii="Arial" w:hAnsi="Arial" w:cs="Arial"/>
                            <w:b/>
                            <w:color w:val="FFFFFF"/>
                            <w:sz w:val="16"/>
                            <w:szCs w:val="16"/>
                          </w:rPr>
                          <w:noBreakHyphen/>
                        </w:r>
                        <w:r w:rsidRPr="00F77D77">
                          <w:rPr>
                            <w:rFonts w:ascii="Arial" w:hAnsi="Arial" w:cs="Arial"/>
                            <w:b/>
                            <w:color w:val="FFFFFF"/>
                            <w:sz w:val="16"/>
                            <w:szCs w:val="16"/>
                          </w:rPr>
                          <w:t>financial</w:t>
                        </w:r>
                        <w:r w:rsidRPr="00F77D77">
                          <w:rPr>
                            <w:rFonts w:ascii="Arial" w:hAnsi="Arial" w:cs="Arial"/>
                            <w:b/>
                            <w:color w:val="FFFFFF"/>
                            <w:sz w:val="16"/>
                            <w:szCs w:val="16"/>
                          </w:rPr>
                          <w:br/>
                          <w:t>public sector</w:t>
                        </w:r>
                      </w:p>
                    </w:txbxContent>
                  </v:textbox>
                </v:shape>
                <v:shape id="Text Box 2" o:spid="_x0000_s1037" type="#_x0000_t202" style="position:absolute;left:3815;top:9301;width:2551;height: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2SXMEA&#10;AADbAAAADwAAAGRycy9kb3ducmV2LnhtbERP22rCQBB9L/gPywi+1Y2BlhJdpUQCoWDB6/OQnSbB&#10;7Gy6u9XUr+8KBd/mcK6zWA2mExdyvrWsYDZNQBBXVrdcKzjsi+c3ED4ga+wsk4Jf8rBajp4WmGl7&#10;5S1ddqEWMYR9hgqaEPpMSl81ZNBPbU8cuS/rDIYIXS21w2sMN51Mk+RVGmw5NjTYU95Qdd79GAX1&#10;y+1U8PFs831I3M19fpSb9bdSk/HwPgcRaAgP8b+71HF+Cvdf4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dklzBAAAA2wAAAA8AAAAAAAAAAAAAAAAAmAIAAGRycy9kb3du&#10;cmV2LnhtbFBLBQYAAAAABAAEAPUAAACGAwAAAAA=&#10;" fillcolor="#7f7f7f" stroked="f">
                  <v:textbox>
                    <w:txbxContent>
                      <w:p w:rsidR="005656DA" w:rsidRPr="00F77D77" w:rsidRDefault="005656DA" w:rsidP="00D775D9">
                        <w:pPr>
                          <w:spacing w:before="120" w:after="120" w:line="240" w:lineRule="auto"/>
                          <w:jc w:val="center"/>
                          <w:rPr>
                            <w:rFonts w:ascii="Arial" w:hAnsi="Arial" w:cs="Arial"/>
                            <w:b/>
                            <w:color w:val="FFFFFF"/>
                            <w:sz w:val="16"/>
                            <w:szCs w:val="16"/>
                          </w:rPr>
                        </w:pPr>
                        <w:r w:rsidRPr="00F77D77">
                          <w:rPr>
                            <w:rFonts w:ascii="Arial" w:hAnsi="Arial" w:cs="Arial"/>
                            <w:b/>
                            <w:color w:val="FFFFFF"/>
                            <w:sz w:val="16"/>
                            <w:szCs w:val="16"/>
                          </w:rPr>
                          <w:t>General government sector</w:t>
                        </w:r>
                      </w:p>
                    </w:txbxContent>
                  </v:textbox>
                </v:shape>
                <v:shape id="Text Box 2" o:spid="_x0000_s1038" type="#_x0000_t202" style="position:absolute;left:7248;top:9301;width:2551;height: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E3x8IA&#10;AADbAAAADwAAAGRycy9kb3ducmV2LnhtbERP32vCMBB+H+x/CDfY25puQxnVKEMRZKAwO30+mrMt&#10;NpeaZLbrX28Ggm/38f286bw3jbiQ87VlBa9JCoK4sLrmUsFPvnr5AOEDssbGMin4Iw/z2ePDFDNt&#10;O/6myy6UIoawz1BBFUKbSemLigz6xLbEkTtaZzBE6EqpHXYx3DTyLU3H0mDNsaHClhYVFafdr1FQ&#10;jobDivcnu8hD6ga3/Vpvlmelnp/6zwmIQH24i2/utY7z3+H/l3iAn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ETfHwgAAANsAAAAPAAAAAAAAAAAAAAAAAJgCAABkcnMvZG93&#10;bnJldi54bWxQSwUGAAAAAAQABAD1AAAAhwMAAAAA&#10;" fillcolor="#7f7f7f" stroked="f">
                  <v:textbox>
                    <w:txbxContent>
                      <w:p w:rsidR="005656DA" w:rsidRPr="00F77D77" w:rsidRDefault="005656DA" w:rsidP="00D775D9">
                        <w:pPr>
                          <w:spacing w:before="40" w:after="40" w:line="240" w:lineRule="auto"/>
                          <w:jc w:val="center"/>
                          <w:rPr>
                            <w:rFonts w:ascii="Arial" w:hAnsi="Arial" w:cs="Arial"/>
                            <w:b/>
                            <w:color w:val="FFFFFF"/>
                            <w:sz w:val="16"/>
                            <w:szCs w:val="16"/>
                          </w:rPr>
                        </w:pPr>
                        <w:r w:rsidRPr="00F77D77">
                          <w:rPr>
                            <w:rFonts w:ascii="Arial" w:hAnsi="Arial" w:cs="Arial"/>
                            <w:b/>
                            <w:color w:val="FFFFFF"/>
                            <w:sz w:val="16"/>
                            <w:szCs w:val="16"/>
                          </w:rPr>
                          <w:t>Public non</w:t>
                        </w:r>
                        <w:r w:rsidR="0072048E">
                          <w:rPr>
                            <w:rFonts w:ascii="Arial" w:hAnsi="Arial" w:cs="Arial"/>
                            <w:b/>
                            <w:color w:val="FFFFFF"/>
                            <w:sz w:val="16"/>
                            <w:szCs w:val="16"/>
                          </w:rPr>
                          <w:noBreakHyphen/>
                        </w:r>
                        <w:r w:rsidRPr="00F77D77">
                          <w:rPr>
                            <w:rFonts w:ascii="Arial" w:hAnsi="Arial" w:cs="Arial"/>
                            <w:b/>
                            <w:color w:val="FFFFFF"/>
                            <w:sz w:val="16"/>
                            <w:szCs w:val="16"/>
                          </w:rPr>
                          <w:t>financial corporations sector</w:t>
                        </w:r>
                      </w:p>
                    </w:txbxContent>
                  </v:textbox>
                </v:shape>
                <w10:wrap type="square"/>
              </v:group>
            </w:pict>
          </mc:Fallback>
        </mc:AlternateContent>
      </w:r>
      <w:r w:rsidR="00D67A07" w:rsidRPr="007E0BD4">
        <w:t>Figure B1: Institutional structure of the public sector</w:t>
      </w:r>
    </w:p>
    <w:p w:rsidR="00D775D9" w:rsidRPr="007E0BD4" w:rsidRDefault="00D775D9" w:rsidP="00CE140D">
      <w:r w:rsidRPr="007E0BD4">
        <w:t>All entities are classified as GGS entities except for the following list of portfolio entities that are classified as PFC or PNFC (T</w:t>
      </w:r>
      <w:r w:rsidR="00056439" w:rsidRPr="007E0BD4">
        <w:t>able B14).</w:t>
      </w:r>
    </w:p>
    <w:p w:rsidR="00D775D9" w:rsidRPr="007E0BD4" w:rsidRDefault="00D775D9" w:rsidP="00D775D9">
      <w:pPr>
        <w:jc w:val="left"/>
      </w:pPr>
      <w:r w:rsidRPr="007E0BD4">
        <w:t xml:space="preserve">A table which provides a full list of public sector principal entities is available on the Department of Finance website at: </w:t>
      </w:r>
      <w:r w:rsidR="00D3135F" w:rsidRPr="007E0BD4">
        <w:rPr>
          <w:rStyle w:val="Hyperlink"/>
        </w:rPr>
        <w:t>http://www.finance.gov.au/sites/default/files/</w:t>
      </w:r>
      <w:r w:rsidR="006C0C27" w:rsidRPr="007E0BD4">
        <w:rPr>
          <w:rStyle w:val="Hyperlink"/>
        </w:rPr>
        <w:br/>
      </w:r>
      <w:r w:rsidR="00D3135F" w:rsidRPr="007E0BD4">
        <w:rPr>
          <w:rStyle w:val="Hyperlink"/>
        </w:rPr>
        <w:t>Bodies_List_3_October_2017.pdf</w:t>
      </w:r>
      <w:r w:rsidR="00F80C76" w:rsidRPr="007E0BD4">
        <w:t>.</w:t>
      </w:r>
    </w:p>
    <w:p w:rsidR="00D775D9" w:rsidRPr="007E0BD4" w:rsidRDefault="00B700AA" w:rsidP="003F63BF">
      <w:pPr>
        <w:pStyle w:val="TableHeading"/>
        <w:keepLines/>
      </w:pPr>
      <w:r w:rsidRPr="007E0BD4">
        <w:rPr>
          <w:color w:val="FF0000"/>
        </w:rPr>
        <w:lastRenderedPageBreak/>
        <w:fldChar w:fldCharType="begin"/>
      </w:r>
      <w:r w:rsidRPr="007E0BD4">
        <w:rPr>
          <w:color w:val="FF0000"/>
        </w:rPr>
        <w:instrText xml:space="preserve"> :End:FARM_PGOTO1 </w:instrText>
      </w:r>
      <w:r w:rsidRPr="007E0BD4">
        <w:rPr>
          <w:color w:val="FF0000"/>
        </w:rPr>
        <w:fldChar w:fldCharType="end"/>
      </w:r>
      <w:r w:rsidRPr="007E0BD4">
        <w:rPr>
          <w:color w:val="0000FF"/>
        </w:rPr>
        <w:fldChar w:fldCharType="begin"/>
      </w:r>
      <w:r w:rsidRPr="007E0BD4">
        <w:rPr>
          <w:color w:val="0000FF"/>
        </w:rPr>
        <w:instrText xml:space="preserve"> :Start:FARM_PGOTO1 </w:instrText>
      </w:r>
      <w:r w:rsidRPr="007E0BD4">
        <w:rPr>
          <w:color w:val="0000FF"/>
        </w:rPr>
        <w:fldChar w:fldCharType="end"/>
      </w:r>
      <w:r w:rsidR="00D775D9" w:rsidRPr="007E0BD4">
        <w:t>Table B14: Entities outside of the general government sector</w:t>
      </w:r>
    </w:p>
    <w:tbl>
      <w:tblPr>
        <w:tblW w:w="7713" w:type="dxa"/>
        <w:tblInd w:w="108" w:type="dxa"/>
        <w:shd w:val="clear" w:color="auto" w:fill="F2F2F2"/>
        <w:tblLook w:val="01E0" w:firstRow="1" w:lastRow="1" w:firstColumn="1" w:lastColumn="1" w:noHBand="0" w:noVBand="0"/>
      </w:tblPr>
      <w:tblGrid>
        <w:gridCol w:w="7713"/>
      </w:tblGrid>
      <w:tr w:rsidR="00D775D9" w:rsidRPr="007E0BD4" w:rsidTr="00D126A6">
        <w:tc>
          <w:tcPr>
            <w:tcW w:w="5000" w:type="pct"/>
            <w:tcBorders>
              <w:bottom w:val="single" w:sz="18" w:space="0" w:color="FFFFFF"/>
            </w:tcBorders>
            <w:shd w:val="clear" w:color="auto" w:fill="D9D9D9"/>
            <w:vAlign w:val="center"/>
          </w:tcPr>
          <w:p w:rsidR="00D775D9" w:rsidRPr="007E0BD4" w:rsidRDefault="00D775D9" w:rsidP="003F63BF">
            <w:pPr>
              <w:pStyle w:val="BoxHeading"/>
              <w:keepNext/>
              <w:keepLines/>
            </w:pPr>
            <w:r w:rsidRPr="007E0BD4">
              <w:t>Public financial corporations</w:t>
            </w:r>
          </w:p>
        </w:tc>
      </w:tr>
      <w:tr w:rsidR="00D775D9" w:rsidRPr="007E0BD4" w:rsidTr="00D126A6">
        <w:tc>
          <w:tcPr>
            <w:tcW w:w="5000" w:type="pct"/>
            <w:tcBorders>
              <w:top w:val="single" w:sz="18" w:space="0" w:color="FFFFFF"/>
              <w:bottom w:val="single" w:sz="18" w:space="0" w:color="FFFFFF"/>
            </w:tcBorders>
            <w:shd w:val="clear" w:color="auto" w:fill="F2F2F2"/>
          </w:tcPr>
          <w:p w:rsidR="00D775D9" w:rsidRPr="007E0BD4" w:rsidRDefault="00D775D9" w:rsidP="003F63BF">
            <w:pPr>
              <w:pStyle w:val="BoxSubHeading"/>
              <w:keepLines/>
            </w:pPr>
            <w:r w:rsidRPr="007E0BD4">
              <w:t>Employment Portfolio</w:t>
            </w:r>
          </w:p>
          <w:p w:rsidR="00D775D9" w:rsidRPr="007E0BD4" w:rsidRDefault="00D775D9" w:rsidP="003F63BF">
            <w:pPr>
              <w:pStyle w:val="BoxBullet"/>
              <w:keepNext/>
              <w:keepLines/>
            </w:pPr>
            <w:r w:rsidRPr="007E0BD4">
              <w:t>Coal Mining Industry (Long Service Leave Funding) Corporation</w:t>
            </w:r>
          </w:p>
          <w:p w:rsidR="00D775D9" w:rsidRPr="007E0BD4" w:rsidRDefault="00D775D9" w:rsidP="003F63BF">
            <w:pPr>
              <w:pStyle w:val="BoxSubHeading"/>
              <w:keepLines/>
            </w:pPr>
            <w:r w:rsidRPr="007E0BD4">
              <w:t>Foreign Affairs and Trade Portfolio</w:t>
            </w:r>
          </w:p>
          <w:p w:rsidR="00D775D9" w:rsidRPr="007E0BD4" w:rsidRDefault="00D775D9" w:rsidP="003F63BF">
            <w:pPr>
              <w:pStyle w:val="BoxBullet"/>
              <w:keepNext/>
              <w:keepLines/>
            </w:pPr>
            <w:r w:rsidRPr="007E0BD4">
              <w:t>Export Finance and Insurance Corporation</w:t>
            </w:r>
          </w:p>
          <w:p w:rsidR="003D68FC" w:rsidRPr="007E0BD4" w:rsidRDefault="003D68FC" w:rsidP="003F63BF">
            <w:pPr>
              <w:pStyle w:val="BoxSubHeading"/>
              <w:keepLines/>
            </w:pPr>
            <w:r w:rsidRPr="007E0BD4">
              <w:t>Industry, Innovation and Science Portfolio</w:t>
            </w:r>
          </w:p>
          <w:p w:rsidR="003D68FC" w:rsidRPr="007E0BD4" w:rsidRDefault="003D68FC" w:rsidP="003F63BF">
            <w:pPr>
              <w:pStyle w:val="BoxBullet"/>
              <w:keepNext/>
              <w:keepLines/>
            </w:pPr>
            <w:r w:rsidRPr="007E0BD4">
              <w:t>CSIRO General Partner Pty Ltd</w:t>
            </w:r>
          </w:p>
          <w:p w:rsidR="003D68FC" w:rsidRPr="007E0BD4" w:rsidRDefault="003D68FC" w:rsidP="003F63BF">
            <w:pPr>
              <w:pStyle w:val="BoxBullet"/>
              <w:keepNext/>
              <w:keepLines/>
            </w:pPr>
            <w:r w:rsidRPr="007E0BD4">
              <w:t>CSIRO General Partner 2 Pty Ltd</w:t>
            </w:r>
          </w:p>
          <w:p w:rsidR="00D775D9" w:rsidRPr="007E0BD4" w:rsidRDefault="00D775D9" w:rsidP="003F63BF">
            <w:pPr>
              <w:pStyle w:val="BoxSubHeading"/>
              <w:keepLines/>
            </w:pPr>
            <w:r w:rsidRPr="007E0BD4">
              <w:t>Treasury Portfolio</w:t>
            </w:r>
          </w:p>
          <w:p w:rsidR="00371A36" w:rsidRPr="007E0BD4" w:rsidRDefault="00D775D9" w:rsidP="003F63BF">
            <w:pPr>
              <w:pStyle w:val="BoxBullet"/>
              <w:keepNext/>
              <w:keepLines/>
            </w:pPr>
            <w:r w:rsidRPr="007E0BD4">
              <w:t>Australian Reinsurance Pool Corporation</w:t>
            </w:r>
          </w:p>
          <w:p w:rsidR="00D775D9" w:rsidRPr="007E0BD4" w:rsidRDefault="00D775D9" w:rsidP="003F63BF">
            <w:pPr>
              <w:pStyle w:val="BoxBullet"/>
              <w:keepNext/>
              <w:keepLines/>
            </w:pPr>
            <w:r w:rsidRPr="007E0BD4">
              <w:t>Reserve Bank of Australia</w:t>
            </w:r>
          </w:p>
        </w:tc>
      </w:tr>
      <w:tr w:rsidR="00D775D9" w:rsidRPr="007E0BD4" w:rsidTr="00D126A6">
        <w:tc>
          <w:tcPr>
            <w:tcW w:w="5000" w:type="pct"/>
            <w:tcBorders>
              <w:top w:val="single" w:sz="18" w:space="0" w:color="FFFFFF"/>
              <w:bottom w:val="single" w:sz="18" w:space="0" w:color="FFFFFF"/>
            </w:tcBorders>
            <w:shd w:val="clear" w:color="auto" w:fill="D9D9D9"/>
          </w:tcPr>
          <w:p w:rsidR="00D775D9" w:rsidRPr="007E0BD4" w:rsidDel="00E53097" w:rsidRDefault="00D775D9" w:rsidP="003F63BF">
            <w:pPr>
              <w:pStyle w:val="BoxHeading"/>
              <w:keepNext/>
              <w:keepLines/>
            </w:pPr>
            <w:r w:rsidRPr="007E0BD4">
              <w:t>Public non</w:t>
            </w:r>
            <w:r w:rsidR="0072048E" w:rsidRPr="007E0BD4">
              <w:noBreakHyphen/>
            </w:r>
            <w:r w:rsidRPr="007E0BD4">
              <w:t>financial corporations</w:t>
            </w:r>
          </w:p>
        </w:tc>
      </w:tr>
      <w:tr w:rsidR="00D775D9" w:rsidRPr="007E0BD4" w:rsidTr="00D126A6">
        <w:tc>
          <w:tcPr>
            <w:tcW w:w="5000" w:type="pct"/>
            <w:tcBorders>
              <w:top w:val="single" w:sz="18" w:space="0" w:color="FFFFFF"/>
              <w:bottom w:val="single" w:sz="18" w:space="0" w:color="FFFFFF"/>
            </w:tcBorders>
            <w:shd w:val="clear" w:color="auto" w:fill="F2F2F2"/>
          </w:tcPr>
          <w:p w:rsidR="00D775D9" w:rsidRPr="007E0BD4" w:rsidRDefault="00D775D9" w:rsidP="003F63BF">
            <w:pPr>
              <w:pStyle w:val="BoxSubHeading"/>
              <w:keepLines/>
            </w:pPr>
            <w:r w:rsidRPr="007E0BD4">
              <w:t>Communications and the Arts Portfolio</w:t>
            </w:r>
          </w:p>
          <w:p w:rsidR="004431B7" w:rsidRPr="007E0BD4" w:rsidRDefault="00D775D9" w:rsidP="003F63BF">
            <w:pPr>
              <w:pStyle w:val="BoxBullet"/>
              <w:keepNext/>
              <w:keepLines/>
            </w:pPr>
            <w:r w:rsidRPr="007E0BD4">
              <w:t>Australian Postal Corporation</w:t>
            </w:r>
          </w:p>
          <w:p w:rsidR="00D775D9" w:rsidRPr="007E0BD4" w:rsidRDefault="00D775D9" w:rsidP="003F63BF">
            <w:pPr>
              <w:pStyle w:val="BoxBullet"/>
              <w:keepNext/>
              <w:keepLines/>
            </w:pPr>
            <w:r w:rsidRPr="007E0BD4">
              <w:t>NBN Co L</w:t>
            </w:r>
            <w:r w:rsidR="004B2E3B" w:rsidRPr="007E0BD4">
              <w:t>imi</w:t>
            </w:r>
            <w:r w:rsidRPr="007E0BD4">
              <w:t>t</w:t>
            </w:r>
            <w:r w:rsidR="004B2E3B" w:rsidRPr="007E0BD4">
              <w:t>e</w:t>
            </w:r>
            <w:r w:rsidRPr="007E0BD4">
              <w:t>d</w:t>
            </w:r>
          </w:p>
          <w:p w:rsidR="00D775D9" w:rsidRPr="007E0BD4" w:rsidRDefault="00D775D9" w:rsidP="003F63BF">
            <w:pPr>
              <w:pStyle w:val="BoxSubHeading"/>
              <w:keepLines/>
            </w:pPr>
            <w:r w:rsidRPr="007E0BD4">
              <w:t>Finance Portfolio</w:t>
            </w:r>
          </w:p>
          <w:p w:rsidR="00D775D9" w:rsidRPr="007E0BD4" w:rsidRDefault="00D775D9" w:rsidP="003F63BF">
            <w:pPr>
              <w:pStyle w:val="BoxBullet"/>
              <w:keepNext/>
              <w:keepLines/>
            </w:pPr>
            <w:r w:rsidRPr="007E0BD4">
              <w:t>ASC Pty Ltd</w:t>
            </w:r>
          </w:p>
          <w:p w:rsidR="003D68FC" w:rsidRPr="007E0BD4" w:rsidRDefault="003D68FC" w:rsidP="003F63BF">
            <w:pPr>
              <w:pStyle w:val="BoxBullet"/>
              <w:keepNext/>
              <w:keepLines/>
            </w:pPr>
            <w:r w:rsidRPr="007E0BD4">
              <w:t>Australian Naval Infrastructure Pty Ltd</w:t>
            </w:r>
          </w:p>
          <w:p w:rsidR="00D775D9" w:rsidRPr="007E0BD4" w:rsidRDefault="00D775D9" w:rsidP="003F63BF">
            <w:pPr>
              <w:pStyle w:val="BoxSubHeading"/>
              <w:keepLines/>
            </w:pPr>
            <w:r w:rsidRPr="007E0BD4">
              <w:t>Industry, Innovation and Science Portfolio</w:t>
            </w:r>
          </w:p>
          <w:p w:rsidR="00D775D9" w:rsidRPr="007E0BD4" w:rsidRDefault="00D775D9" w:rsidP="003F63BF">
            <w:pPr>
              <w:pStyle w:val="BoxBullet"/>
              <w:keepNext/>
              <w:keepLines/>
            </w:pPr>
            <w:r w:rsidRPr="007E0BD4">
              <w:t>ANSTO Nuclear Medicine Pty Ltd</w:t>
            </w:r>
          </w:p>
          <w:p w:rsidR="00D775D9" w:rsidRPr="007E0BD4" w:rsidRDefault="00D775D9" w:rsidP="003F63BF">
            <w:pPr>
              <w:pStyle w:val="BoxSubHeading"/>
              <w:keepLines/>
            </w:pPr>
            <w:r w:rsidRPr="007E0BD4">
              <w:t>Infrastructure and Regional Development Portfolio</w:t>
            </w:r>
          </w:p>
          <w:p w:rsidR="004431B7" w:rsidRPr="007E0BD4" w:rsidRDefault="00D775D9" w:rsidP="003F63BF">
            <w:pPr>
              <w:pStyle w:val="BoxBullet"/>
              <w:keepNext/>
              <w:keepLines/>
            </w:pPr>
            <w:r w:rsidRPr="007E0BD4">
              <w:t>Airservices Australia</w:t>
            </w:r>
          </w:p>
          <w:p w:rsidR="004431B7" w:rsidRPr="007E0BD4" w:rsidRDefault="00D775D9" w:rsidP="003F63BF">
            <w:pPr>
              <w:pStyle w:val="BoxBullet"/>
              <w:keepNext/>
              <w:keepLines/>
            </w:pPr>
            <w:r w:rsidRPr="007E0BD4">
              <w:t xml:space="preserve">Australian Rail Track Corporation </w:t>
            </w:r>
            <w:r w:rsidR="001C332E" w:rsidRPr="007E0BD4">
              <w:t>Limited</w:t>
            </w:r>
          </w:p>
          <w:p w:rsidR="00D775D9" w:rsidRPr="007E0BD4" w:rsidRDefault="00D775D9" w:rsidP="003F63BF">
            <w:pPr>
              <w:pStyle w:val="BoxBullet"/>
              <w:keepNext/>
              <w:keepLines/>
            </w:pPr>
            <w:r w:rsidRPr="007E0BD4">
              <w:t xml:space="preserve">Moorebank Intermodal Company </w:t>
            </w:r>
            <w:r w:rsidR="001C332E" w:rsidRPr="007E0BD4">
              <w:t>Limited</w:t>
            </w:r>
          </w:p>
          <w:p w:rsidR="001D50E9" w:rsidRPr="007E0BD4" w:rsidRDefault="001D50E9" w:rsidP="003F63BF">
            <w:pPr>
              <w:pStyle w:val="BoxBullet"/>
              <w:keepNext/>
              <w:keepLines/>
            </w:pPr>
            <w:r w:rsidRPr="007E0BD4">
              <w:t>WSA Co Ltd</w:t>
            </w:r>
          </w:p>
          <w:p w:rsidR="00D775D9" w:rsidRPr="007E0BD4" w:rsidRDefault="00D775D9" w:rsidP="003F63BF">
            <w:pPr>
              <w:pStyle w:val="BoxSubHeading"/>
              <w:keepLines/>
            </w:pPr>
            <w:r w:rsidRPr="007E0BD4">
              <w:t>Prime Minister and Cabinet Portfolio</w:t>
            </w:r>
          </w:p>
          <w:p w:rsidR="00D775D9" w:rsidRPr="007E0BD4" w:rsidRDefault="00D775D9" w:rsidP="003F63BF">
            <w:pPr>
              <w:pStyle w:val="BoxBullet"/>
              <w:keepNext/>
              <w:keepLines/>
            </w:pPr>
            <w:r w:rsidRPr="007E0BD4">
              <w:t>Voyages Indigenous Tourism Australia Pty Ltd</w:t>
            </w:r>
          </w:p>
          <w:p w:rsidR="00D775D9" w:rsidRPr="007E0BD4" w:rsidRDefault="00D775D9" w:rsidP="003F63BF">
            <w:pPr>
              <w:pStyle w:val="BoxSubHeading"/>
              <w:keepLines/>
            </w:pPr>
            <w:r w:rsidRPr="007E0BD4">
              <w:t>Social Services Portfolio</w:t>
            </w:r>
          </w:p>
          <w:p w:rsidR="00D775D9" w:rsidRPr="007E0BD4" w:rsidDel="00E53097" w:rsidRDefault="00D775D9" w:rsidP="003F63BF">
            <w:pPr>
              <w:pStyle w:val="BoxBullet"/>
              <w:keepNext/>
              <w:keepLines/>
            </w:pPr>
            <w:r w:rsidRPr="007E0BD4">
              <w:t>Australian Hearing Services</w:t>
            </w:r>
          </w:p>
        </w:tc>
      </w:tr>
    </w:tbl>
    <w:p w:rsidR="001A0481" w:rsidRPr="007E0BD4" w:rsidRDefault="00B700AA" w:rsidP="00AF1958">
      <w:pPr>
        <w:spacing w:after="0" w:line="240" w:lineRule="auto"/>
        <w:rPr>
          <w:color w:val="FF0000"/>
          <w:sz w:val="12"/>
        </w:rPr>
      </w:pPr>
      <w:r w:rsidRPr="007E0BD4">
        <w:rPr>
          <w:rStyle w:val="Strong"/>
          <w:b w:val="0"/>
          <w:color w:val="FF0000"/>
          <w:sz w:val="12"/>
        </w:rPr>
        <w:fldChar w:fldCharType="begin"/>
      </w:r>
      <w:r w:rsidRPr="007E0BD4">
        <w:rPr>
          <w:rStyle w:val="Strong"/>
          <w:b w:val="0"/>
          <w:color w:val="FF0000"/>
          <w:sz w:val="12"/>
        </w:rPr>
        <w:instrText xml:space="preserve"> :End:FARM_PGOTO1 </w:instrText>
      </w:r>
      <w:r w:rsidRPr="007E0BD4">
        <w:rPr>
          <w:rStyle w:val="Strong"/>
          <w:b w:val="0"/>
          <w:color w:val="FF0000"/>
          <w:sz w:val="12"/>
        </w:rPr>
        <w:fldChar w:fldCharType="end"/>
      </w:r>
    </w:p>
    <w:sectPr w:rsidR="001A0481" w:rsidRPr="007E0BD4" w:rsidSect="00AF1958">
      <w:headerReference w:type="first" r:id="rId89"/>
      <w:footerReference w:type="first" r:id="rId90"/>
      <w:footnotePr>
        <w:numRestart w:val="eachSect"/>
      </w:footnotePr>
      <w:type w:val="oddPage"/>
      <w:pgSz w:w="11907" w:h="16840" w:code="9"/>
      <w:pgMar w:top="2466" w:right="2098" w:bottom="2466" w:left="2098" w:header="1899" w:footer="1899"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B69" w:rsidRDefault="00E61B69" w:rsidP="003A22BE">
      <w:pPr>
        <w:pStyle w:val="TOC5"/>
      </w:pPr>
      <w:r>
        <w:separator/>
      </w:r>
    </w:p>
  </w:endnote>
  <w:endnote w:type="continuationSeparator" w:id="0">
    <w:p w:rsidR="00E61B69" w:rsidRDefault="00E61B69" w:rsidP="003A22BE">
      <w:pPr>
        <w:pStyle w:val="TOC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875" w:rsidRDefault="005656DA" w:rsidP="00E21875">
    <w:pPr>
      <w:pStyle w:val="Footer"/>
    </w:pPr>
    <w:r>
      <w:rPr>
        <w:rStyle w:val="PageNumber"/>
      </w:rPr>
      <w:fldChar w:fldCharType="begin"/>
    </w:r>
    <w:r>
      <w:rPr>
        <w:rStyle w:val="PageNumber"/>
      </w:rPr>
      <w:instrText xml:space="preserve"> PAGE </w:instrText>
    </w:r>
    <w:r>
      <w:rPr>
        <w:rStyle w:val="PageNumber"/>
      </w:rPr>
      <w:fldChar w:fldCharType="separate"/>
    </w:r>
    <w:r w:rsidR="0049731A">
      <w:rPr>
        <w:rStyle w:val="PageNumber"/>
        <w:noProof/>
      </w:rPr>
      <w:t>238</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6DA" w:rsidRDefault="005656DA">
    <w:pPr>
      <w:pStyle w:val="Footer"/>
    </w:pPr>
    <w:r>
      <w:rPr>
        <w:rStyle w:val="PageNumber"/>
      </w:rPr>
      <w:fldChar w:fldCharType="begin"/>
    </w:r>
    <w:r>
      <w:rPr>
        <w:rStyle w:val="PageNumber"/>
      </w:rPr>
      <w:instrText xml:space="preserve"> PAGE </w:instrText>
    </w:r>
    <w:r>
      <w:rPr>
        <w:rStyle w:val="PageNumber"/>
      </w:rPr>
      <w:fldChar w:fldCharType="separate"/>
    </w:r>
    <w:r w:rsidR="0049731A">
      <w:rPr>
        <w:rStyle w:val="PageNumber"/>
        <w:noProof/>
      </w:rPr>
      <w:t>237</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875" w:rsidRDefault="005656DA" w:rsidP="00133736">
    <w:pPr>
      <w:pStyle w:val="Footer"/>
    </w:pPr>
    <w:r>
      <w:rPr>
        <w:rStyle w:val="PageNumber"/>
      </w:rPr>
      <w:fldChar w:fldCharType="begin"/>
    </w:r>
    <w:r>
      <w:rPr>
        <w:rStyle w:val="PageNumber"/>
      </w:rPr>
      <w:instrText xml:space="preserve"> PAGE </w:instrText>
    </w:r>
    <w:r>
      <w:rPr>
        <w:rStyle w:val="PageNumber"/>
      </w:rPr>
      <w:fldChar w:fldCharType="separate"/>
    </w:r>
    <w:r w:rsidR="0049731A">
      <w:rPr>
        <w:rStyle w:val="PageNumber"/>
        <w:noProof/>
      </w:rPr>
      <w:t>199</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481" w:rsidRPr="001A0481" w:rsidRDefault="005C574A" w:rsidP="001A0481">
    <w:pPr>
      <w:pStyle w:val="Footer"/>
    </w:pPr>
    <w:r>
      <w:rPr>
        <w:rStyle w:val="PageNumber"/>
      </w:rPr>
      <w:fldChar w:fldCharType="begin"/>
    </w:r>
    <w:r>
      <w:rPr>
        <w:rStyle w:val="PageNumber"/>
      </w:rPr>
      <w:instrText xml:space="preserve"> PAGE </w:instrText>
    </w:r>
    <w:r>
      <w:rPr>
        <w:rStyle w:val="PageNumber"/>
      </w:rPr>
      <w:fldChar w:fldCharType="separate"/>
    </w:r>
    <w:r w:rsidR="0049731A">
      <w:rPr>
        <w:rStyle w:val="PageNumber"/>
        <w:noProof/>
      </w:rPr>
      <w:t>231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B69" w:rsidRDefault="00E61B69" w:rsidP="003A22BE">
      <w:pPr>
        <w:pStyle w:val="TOC5"/>
      </w:pPr>
      <w:r>
        <w:separator/>
      </w:r>
    </w:p>
  </w:footnote>
  <w:footnote w:type="continuationSeparator" w:id="0">
    <w:p w:rsidR="00E61B69" w:rsidRDefault="00E61B69" w:rsidP="003A22BE">
      <w:pPr>
        <w:pStyle w:val="TOC5"/>
      </w:pPr>
      <w:r>
        <w:continuationSeparator/>
      </w:r>
    </w:p>
  </w:footnote>
  <w:footnote w:id="1">
    <w:p w:rsidR="005656DA" w:rsidRPr="003C4077" w:rsidRDefault="005656DA" w:rsidP="003C4077">
      <w:pPr>
        <w:pStyle w:val="FootnoteText"/>
      </w:pPr>
      <w:r w:rsidRPr="003C4077">
        <w:rPr>
          <w:rStyle w:val="FootnoteReference"/>
          <w:sz w:val="18"/>
          <w:vertAlign w:val="baseline"/>
        </w:rPr>
        <w:footnoteRef/>
      </w:r>
      <w:r w:rsidRPr="003C4077">
        <w:t xml:space="preserve"> </w:t>
      </w:r>
      <w:r w:rsidR="00120EA6" w:rsidRPr="003C4077">
        <w:tab/>
      </w:r>
      <w:r w:rsidR="00305410" w:rsidRPr="003C4077">
        <w:t>From 1 July 2017, the 2015 ABS GFS Manual replace</w:t>
      </w:r>
      <w:r w:rsidR="00C62460" w:rsidRPr="003C4077">
        <w:t>d</w:t>
      </w:r>
      <w:r w:rsidR="00305410" w:rsidRPr="003C4077">
        <w:t xml:space="preserve"> the 2005 ABS GFS Manual</w:t>
      </w:r>
      <w:r w:rsidR="001200AE" w:rsidRPr="003C4077">
        <w:t xml:space="preserve">. </w:t>
      </w:r>
      <w:r w:rsidR="00305410" w:rsidRPr="003C4077">
        <w:t xml:space="preserve">The 2015 ABS GFS Manual </w:t>
      </w:r>
      <w:r w:rsidR="00C62460" w:rsidRPr="003C4077">
        <w:t>was</w:t>
      </w:r>
      <w:r w:rsidR="00584CBA" w:rsidRPr="003C4077">
        <w:t xml:space="preserve"> </w:t>
      </w:r>
      <w:r w:rsidR="00305410" w:rsidRPr="003C4077">
        <w:t>updated to incorporate the changes included by the International Monetary Fund outlined in its IMF GFS Manual 2014.</w:t>
      </w:r>
    </w:p>
  </w:footnote>
  <w:footnote w:id="2">
    <w:p w:rsidR="00CA6B57" w:rsidRPr="003C4077" w:rsidRDefault="00CA6B57" w:rsidP="003C4077">
      <w:pPr>
        <w:pStyle w:val="FootnoteText"/>
      </w:pPr>
      <w:r w:rsidRPr="003C4077">
        <w:rPr>
          <w:rStyle w:val="FootnoteReference"/>
          <w:sz w:val="18"/>
          <w:vertAlign w:val="baseline"/>
        </w:rPr>
        <w:footnoteRef/>
      </w:r>
      <w:r w:rsidRPr="003C4077">
        <w:t xml:space="preserve"> </w:t>
      </w:r>
      <w:r w:rsidRPr="003C4077">
        <w:tab/>
        <w:t>From 1 July 2017, the 2015 ABS GFS Manual replace</w:t>
      </w:r>
      <w:r w:rsidR="00C62460" w:rsidRPr="003C4077">
        <w:t>d</w:t>
      </w:r>
      <w:r w:rsidRPr="003C4077">
        <w:t xml:space="preserve"> the 2005 ABS GFS Manual. The 2015 ABS GFS Manual </w:t>
      </w:r>
      <w:r w:rsidR="00662989" w:rsidRPr="003C4077">
        <w:t>was</w:t>
      </w:r>
      <w:r w:rsidRPr="003C4077">
        <w:t xml:space="preserve"> updated to incorporate the changes included by the International Monetary Fund outlined in its IMF GFS Manual 2014.</w:t>
      </w:r>
    </w:p>
  </w:footnote>
  <w:footnote w:id="3">
    <w:p w:rsidR="00C32C3C" w:rsidRDefault="00C32C3C">
      <w:pPr>
        <w:pStyle w:val="FootnoteText"/>
      </w:pPr>
      <w:r w:rsidRPr="003075C1">
        <w:rPr>
          <w:rStyle w:val="FootnoteReference"/>
          <w:sz w:val="18"/>
          <w:vertAlign w:val="baseline"/>
        </w:rPr>
        <w:footnoteRef/>
      </w:r>
      <w:r w:rsidRPr="003075C1">
        <w:t xml:space="preserve"> </w:t>
      </w:r>
      <w:r w:rsidRPr="00B47B72">
        <w:tab/>
        <w:t xml:space="preserve">Additional information on the Australian accrual GFS framework is available in the ABS publication </w:t>
      </w:r>
      <w:r w:rsidRPr="00B47B72">
        <w:rPr>
          <w:i/>
        </w:rPr>
        <w:t>Australian System of Government Finance Statistics: Concepts, Sources and Methods, 20</w:t>
      </w:r>
      <w:r w:rsidR="00FD38F8" w:rsidRPr="00B47B72">
        <w:rPr>
          <w:i/>
        </w:rPr>
        <w:t>1</w:t>
      </w:r>
      <w:r w:rsidRPr="00B47B72">
        <w:rPr>
          <w:i/>
        </w:rPr>
        <w:t>5</w:t>
      </w:r>
      <w:r w:rsidRPr="00B47B72">
        <w:t xml:space="preserve"> (cat. no. 5514.0).</w:t>
      </w:r>
    </w:p>
  </w:footnote>
  <w:footnote w:id="4">
    <w:p w:rsidR="005656DA" w:rsidRPr="003075C1" w:rsidRDefault="005656DA" w:rsidP="00D775D9">
      <w:pPr>
        <w:pStyle w:val="FootnoteText"/>
      </w:pPr>
      <w:r w:rsidRPr="003075C1">
        <w:rPr>
          <w:rStyle w:val="FootnoteReference"/>
          <w:sz w:val="18"/>
          <w:vertAlign w:val="baseline"/>
        </w:rPr>
        <w:footnoteRef/>
      </w:r>
      <w:r w:rsidRPr="003075C1">
        <w:t xml:space="preserve"> </w:t>
      </w:r>
      <w:r w:rsidRPr="00B47B72">
        <w:tab/>
        <w:t>Not all transactions impact on net worth. For example, transactions in financial assets and liabilities do not impact on net worth as they represent the swapping of assets and liabilities on the balance sheet.</w:t>
      </w:r>
    </w:p>
  </w:footnote>
  <w:footnote w:id="5">
    <w:p w:rsidR="005656DA" w:rsidRPr="003075C1" w:rsidRDefault="005656DA" w:rsidP="00D775D9">
      <w:pPr>
        <w:pStyle w:val="FootnoteText"/>
      </w:pPr>
      <w:r w:rsidRPr="003075C1">
        <w:rPr>
          <w:rStyle w:val="FootnoteReference"/>
          <w:sz w:val="18"/>
          <w:vertAlign w:val="baseline"/>
        </w:rPr>
        <w:footnoteRef/>
      </w:r>
      <w:r w:rsidRPr="003075C1">
        <w:t xml:space="preserve"> </w:t>
      </w:r>
      <w:r w:rsidRPr="00B47B72">
        <w:tab/>
        <w:t>The net operating balance includes consumption of non</w:t>
      </w:r>
      <w:r w:rsidR="0072048E" w:rsidRPr="00B47B72">
        <w:noBreakHyphen/>
      </w:r>
      <w:r w:rsidRPr="00B47B72">
        <w:t>financial assets because depreciation is an expense. Depreciation also forms part of net capital investment, which (in the calculation of fiscal balance) offsets the inclusion of depreciation in the net operating balance.</w:t>
      </w:r>
    </w:p>
  </w:footnote>
  <w:footnote w:id="6">
    <w:p w:rsidR="005656DA" w:rsidRPr="003075C1" w:rsidRDefault="005656DA" w:rsidP="00D775D9">
      <w:pPr>
        <w:pStyle w:val="FootnoteText"/>
      </w:pPr>
      <w:r w:rsidRPr="003075C1">
        <w:rPr>
          <w:rStyle w:val="FootnoteReference"/>
          <w:sz w:val="18"/>
          <w:vertAlign w:val="baseline"/>
        </w:rPr>
        <w:footnoteRef/>
      </w:r>
      <w:r w:rsidRPr="003075C1">
        <w:t xml:space="preserve"> </w:t>
      </w:r>
      <w:r w:rsidRPr="00B47B72">
        <w:tab/>
        <w:t>Financial assets are defined as cash, an equity instrument of another entity, a contractual right to receive cash or financial asset, and a contract that will or may be settled in the entity</w:t>
      </w:r>
      <w:r w:rsidR="0072048E" w:rsidRPr="00B47B72">
        <w:t>’</w:t>
      </w:r>
      <w:r w:rsidRPr="00B47B72">
        <w:t>s own equity instruments.</w:t>
      </w:r>
    </w:p>
  </w:footnote>
  <w:footnote w:id="7">
    <w:p w:rsidR="00AB79B5" w:rsidRPr="006C0C27" w:rsidRDefault="00AB79B5" w:rsidP="006C0C27">
      <w:pPr>
        <w:pStyle w:val="FootnoteText"/>
      </w:pPr>
      <w:r w:rsidRPr="006C0C27">
        <w:rPr>
          <w:rStyle w:val="FootnoteReference"/>
          <w:sz w:val="18"/>
          <w:vertAlign w:val="baseline"/>
        </w:rPr>
        <w:footnoteRef/>
      </w:r>
      <w:r w:rsidRPr="006C0C27">
        <w:t xml:space="preserve"> </w:t>
      </w:r>
      <w:r w:rsidR="004F498A" w:rsidRPr="00B47B72">
        <w:tab/>
      </w:r>
      <w:r w:rsidRPr="00B47B72">
        <w:t>In accordance with the 2015 ABS GFS Manual, finance leases are not deducted in the derivation of the cash surplus/deficit. This has removed the distinction between the calculation of the cash surplus/deficit under AASB 1049 and the ABS GFS standards that existed</w:t>
      </w:r>
      <w:r w:rsidR="00056439">
        <w:t xml:space="preserve"> under the 2005 ABS GFS Manual.</w:t>
      </w:r>
    </w:p>
  </w:footnote>
  <w:footnote w:id="8">
    <w:p w:rsidR="003D68FC" w:rsidRPr="00723D9D" w:rsidRDefault="003D68FC" w:rsidP="003D68FC">
      <w:pPr>
        <w:pStyle w:val="FootnoteText"/>
      </w:pPr>
      <w:r w:rsidRPr="00723D9D">
        <w:rPr>
          <w:rStyle w:val="FootnoteReference"/>
          <w:sz w:val="18"/>
          <w:vertAlign w:val="baseline"/>
        </w:rPr>
        <w:footnoteRef/>
      </w:r>
      <w:r w:rsidRPr="00B47B72">
        <w:tab/>
        <w:t>The underlying cash balance treats the acquisition and disposal of non</w:t>
      </w:r>
      <w:r w:rsidRPr="00B47B72">
        <w:noBreakHyphen/>
        <w:t>financial assets in the same manner regardless of whether they occur by purchase/sale or finance lease — acquisitions reduce the underlying cash balance and disposals increase the underlying cash balance. However, finance leases do not generate cash flows at the time of acquisition or disposal equivalent to the value of the asset. As such, net acquisitions of assets under finance leases are not shown in the body of the cash flow statement but are reported as a supplementary item for the calculation of the underlying cash balance.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1C2" w:rsidRPr="008045CD" w:rsidRDefault="00133736" w:rsidP="004944EE">
    <w:pPr>
      <w:pStyle w:val="HeaderEven"/>
    </w:pPr>
    <w:fldSimple w:instr=" TITLE   \* MERGEFORMAT ">
      <w:r w:rsidR="00747867">
        <w:t>Appendix B: Australian Government Budget Financial Statements</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6DA" w:rsidRDefault="00133736" w:rsidP="004944EE">
    <w:pPr>
      <w:pStyle w:val="HeaderOdd"/>
    </w:pPr>
    <w:r>
      <w:rPr>
        <w:noProof/>
      </w:rPr>
      <w:fldChar w:fldCharType="begin"/>
    </w:r>
    <w:r>
      <w:rPr>
        <w:noProof/>
      </w:rPr>
      <w:instrText xml:space="preserve"> TITLE   \* MERGEFORMAT </w:instrText>
    </w:r>
    <w:r>
      <w:rPr>
        <w:noProof/>
      </w:rPr>
      <w:fldChar w:fldCharType="separate"/>
    </w:r>
    <w:r w:rsidR="00747867">
      <w:rPr>
        <w:noProof/>
      </w:rPr>
      <w:t>Appendix B: Australian Government Budget Financial Statements</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9E9" w:rsidRPr="00133736" w:rsidRDefault="00133736" w:rsidP="00133736">
    <w:pPr>
      <w:pStyle w:val="HeaderOdd"/>
    </w:pPr>
    <w:r>
      <w:rPr>
        <w:noProof/>
      </w:rPr>
      <w:fldChar w:fldCharType="begin"/>
    </w:r>
    <w:r>
      <w:rPr>
        <w:noProof/>
      </w:rPr>
      <w:instrText xml:space="preserve"> TITLE   \* MERGEFORMAT </w:instrText>
    </w:r>
    <w:r>
      <w:rPr>
        <w:noProof/>
      </w:rPr>
      <w:fldChar w:fldCharType="separate"/>
    </w:r>
    <w:r w:rsidR="00747867">
      <w:rPr>
        <w:noProof/>
      </w:rPr>
      <w:t>Appendix B: Australian Government Budget Financial Statements</w:t>
    </w:r>
    <w:r>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481" w:rsidRPr="00133736" w:rsidRDefault="00133736" w:rsidP="00AF1958">
    <w:pPr>
      <w:pStyle w:val="HeaderOdd"/>
    </w:pPr>
    <w:fldSimple w:instr=" TITLE   \* MERGEFORMAT ">
      <w:r w:rsidR="00747867">
        <w:t>Appendix B: Australian Government Budget Financial Statements</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2660560"/>
    <w:lvl w:ilvl="0">
      <w:start w:val="1"/>
      <w:numFmt w:val="decimal"/>
      <w:lvlText w:val="%1."/>
      <w:lvlJc w:val="left"/>
      <w:pPr>
        <w:tabs>
          <w:tab w:val="num" w:pos="1492"/>
        </w:tabs>
        <w:ind w:left="1492" w:hanging="360"/>
      </w:pPr>
    </w:lvl>
  </w:abstractNum>
  <w:abstractNum w:abstractNumId="1">
    <w:nsid w:val="FFFFFF7D"/>
    <w:multiLevelType w:val="singleLevel"/>
    <w:tmpl w:val="F4AE73F8"/>
    <w:lvl w:ilvl="0">
      <w:start w:val="1"/>
      <w:numFmt w:val="decimal"/>
      <w:lvlText w:val="%1."/>
      <w:lvlJc w:val="left"/>
      <w:pPr>
        <w:tabs>
          <w:tab w:val="num" w:pos="1209"/>
        </w:tabs>
        <w:ind w:left="1209" w:hanging="360"/>
      </w:pPr>
    </w:lvl>
  </w:abstractNum>
  <w:abstractNum w:abstractNumId="2">
    <w:nsid w:val="FFFFFF7E"/>
    <w:multiLevelType w:val="singleLevel"/>
    <w:tmpl w:val="00D4234E"/>
    <w:lvl w:ilvl="0">
      <w:start w:val="1"/>
      <w:numFmt w:val="decimal"/>
      <w:lvlText w:val="%1."/>
      <w:lvlJc w:val="left"/>
      <w:pPr>
        <w:tabs>
          <w:tab w:val="num" w:pos="926"/>
        </w:tabs>
        <w:ind w:left="926" w:hanging="360"/>
      </w:pPr>
    </w:lvl>
  </w:abstractNum>
  <w:abstractNum w:abstractNumId="3">
    <w:nsid w:val="FFFFFF7F"/>
    <w:multiLevelType w:val="singleLevel"/>
    <w:tmpl w:val="8938AF70"/>
    <w:lvl w:ilvl="0">
      <w:start w:val="1"/>
      <w:numFmt w:val="decimal"/>
      <w:lvlText w:val="%1."/>
      <w:lvlJc w:val="left"/>
      <w:pPr>
        <w:tabs>
          <w:tab w:val="num" w:pos="643"/>
        </w:tabs>
        <w:ind w:left="643" w:hanging="360"/>
      </w:pPr>
    </w:lvl>
  </w:abstractNum>
  <w:abstractNum w:abstractNumId="4">
    <w:nsid w:val="FFFFFF80"/>
    <w:multiLevelType w:val="singleLevel"/>
    <w:tmpl w:val="B11640F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D623CE"/>
    <w:lvl w:ilvl="0">
      <w:start w:val="1"/>
      <w:numFmt w:val="bullet"/>
      <w:pStyle w:val="ListBullet4"/>
      <w:lvlText w:val=""/>
      <w:lvlJc w:val="left"/>
      <w:pPr>
        <w:tabs>
          <w:tab w:val="num" w:pos="1209"/>
        </w:tabs>
        <w:ind w:left="1209" w:hanging="360"/>
      </w:pPr>
      <w:rPr>
        <w:rFonts w:ascii="Book Antiqua" w:hAnsi="Book Antiqua" w:hint="default"/>
      </w:rPr>
    </w:lvl>
  </w:abstractNum>
  <w:abstractNum w:abstractNumId="6">
    <w:nsid w:val="FFFFFF82"/>
    <w:multiLevelType w:val="singleLevel"/>
    <w:tmpl w:val="53C64620"/>
    <w:lvl w:ilvl="0">
      <w:start w:val="1"/>
      <w:numFmt w:val="bullet"/>
      <w:lvlText w:val=""/>
      <w:lvlJc w:val="left"/>
      <w:pPr>
        <w:tabs>
          <w:tab w:val="num" w:pos="926"/>
        </w:tabs>
        <w:ind w:left="926" w:hanging="360"/>
      </w:pPr>
      <w:rPr>
        <w:rFonts w:ascii="Book Antiqua" w:hAnsi="Book Antiqua" w:hint="default"/>
      </w:rPr>
    </w:lvl>
  </w:abstractNum>
  <w:abstractNum w:abstractNumId="7">
    <w:nsid w:val="FFFFFF83"/>
    <w:multiLevelType w:val="singleLevel"/>
    <w:tmpl w:val="F15C1490"/>
    <w:lvl w:ilvl="0">
      <w:start w:val="1"/>
      <w:numFmt w:val="bullet"/>
      <w:lvlText w:val=""/>
      <w:lvlJc w:val="left"/>
      <w:pPr>
        <w:tabs>
          <w:tab w:val="num" w:pos="643"/>
        </w:tabs>
        <w:ind w:left="643" w:hanging="360"/>
      </w:pPr>
      <w:rPr>
        <w:rFonts w:ascii="Book Antiqua" w:hAnsi="Book Antiqua" w:hint="default"/>
      </w:rPr>
    </w:lvl>
  </w:abstractNum>
  <w:abstractNum w:abstractNumId="8">
    <w:nsid w:val="FFFFFF88"/>
    <w:multiLevelType w:val="singleLevel"/>
    <w:tmpl w:val="10500C20"/>
    <w:lvl w:ilvl="0">
      <w:start w:val="1"/>
      <w:numFmt w:val="decimal"/>
      <w:lvlText w:val="%1."/>
      <w:lvlJc w:val="left"/>
      <w:pPr>
        <w:tabs>
          <w:tab w:val="num" w:pos="360"/>
        </w:tabs>
        <w:ind w:left="360" w:hanging="360"/>
      </w:pPr>
    </w:lvl>
  </w:abstractNum>
  <w:abstractNum w:abstractNumId="9">
    <w:nsid w:val="FFFFFF89"/>
    <w:multiLevelType w:val="singleLevel"/>
    <w:tmpl w:val="F4B8FABE"/>
    <w:lvl w:ilvl="0">
      <w:start w:val="1"/>
      <w:numFmt w:val="bullet"/>
      <w:lvlText w:val=""/>
      <w:lvlJc w:val="left"/>
      <w:pPr>
        <w:tabs>
          <w:tab w:val="num" w:pos="360"/>
        </w:tabs>
        <w:ind w:left="360" w:hanging="360"/>
      </w:pPr>
      <w:rPr>
        <w:rFonts w:ascii="Book Antiqua" w:hAnsi="Book Antiqua" w:hint="default"/>
      </w:rPr>
    </w:lvl>
  </w:abstractNum>
  <w:abstractNum w:abstractNumId="10">
    <w:nsid w:val="01775260"/>
    <w:multiLevelType w:val="multilevel"/>
    <w:tmpl w:val="1E922D34"/>
    <w:name w:val="BulletedList"/>
    <w:lvl w:ilvl="0">
      <w:start w:val="1"/>
      <w:numFmt w:val="bullet"/>
      <w:lvlRestart w:val="0"/>
      <w:lvlText w:val=""/>
      <w:lvlJc w:val="left"/>
      <w:pPr>
        <w:tabs>
          <w:tab w:val="num" w:pos="283"/>
        </w:tabs>
        <w:ind w:left="283" w:hanging="283"/>
      </w:pPr>
      <w:rPr>
        <w:rFonts w:ascii="Symbol" w:hAnsi="Symbol" w:hint="default"/>
        <w:sz w:val="16"/>
      </w:rPr>
    </w:lvl>
    <w:lvl w:ilvl="1">
      <w:start w:val="1"/>
      <w:numFmt w:val="bullet"/>
      <w:lvlText w:val="–"/>
      <w:lvlJc w:val="left"/>
      <w:pPr>
        <w:tabs>
          <w:tab w:val="num" w:pos="567"/>
        </w:tabs>
        <w:ind w:left="567" w:hanging="284"/>
      </w:pPr>
      <w:rPr>
        <w:rFonts w:ascii="Arial" w:hAnsi="Arial" w:cs="Arial"/>
      </w:rPr>
    </w:lvl>
    <w:lvl w:ilvl="2">
      <w:start w:val="1"/>
      <w:numFmt w:val="bullet"/>
      <w:lvlText w:val=":"/>
      <w:lvlJc w:val="left"/>
      <w:pPr>
        <w:tabs>
          <w:tab w:val="num" w:pos="850"/>
        </w:tabs>
        <w:ind w:left="850" w:hanging="283"/>
      </w:pPr>
      <w:rPr>
        <w:rFonts w:ascii="Arial" w:hAnsi="Arial" w:cs="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31451DF"/>
    <w:multiLevelType w:val="hybridMultilevel"/>
    <w:tmpl w:val="20FCC966"/>
    <w:lvl w:ilvl="0" w:tplc="AC20B6DC">
      <w:start w:val="1"/>
      <w:numFmt w:val="lowerLetter"/>
      <w:lvlText w:val="(%1)"/>
      <w:lvlJc w:val="left"/>
      <w:pPr>
        <w:ind w:left="360" w:hanging="360"/>
      </w:pPr>
      <w:rPr>
        <w:rFonts w:ascii="Arial" w:hAnsi="Arial" w:cs="Arial" w:hint="default"/>
        <w:b w:val="0"/>
        <w:i w:val="0"/>
        <w:color w:val="000000"/>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03DD5DCC"/>
    <w:multiLevelType w:val="hybridMultilevel"/>
    <w:tmpl w:val="20FCC966"/>
    <w:lvl w:ilvl="0" w:tplc="AC20B6DC">
      <w:start w:val="1"/>
      <w:numFmt w:val="lowerLetter"/>
      <w:lvlText w:val="(%1)"/>
      <w:lvlJc w:val="left"/>
      <w:pPr>
        <w:ind w:left="360" w:hanging="360"/>
      </w:pPr>
      <w:rPr>
        <w:rFonts w:ascii="Arial" w:hAnsi="Arial" w:cs="Arial" w:hint="default"/>
        <w:b w:val="0"/>
        <w:i w:val="0"/>
        <w:color w:val="000000"/>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nsid w:val="10757CBC"/>
    <w:multiLevelType w:val="singleLevel"/>
    <w:tmpl w:val="103C53FC"/>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4">
    <w:nsid w:val="18327E43"/>
    <w:multiLevelType w:val="hybridMultilevel"/>
    <w:tmpl w:val="20FCC966"/>
    <w:lvl w:ilvl="0" w:tplc="AC20B6DC">
      <w:start w:val="1"/>
      <w:numFmt w:val="lowerLetter"/>
      <w:lvlText w:val="(%1)"/>
      <w:lvlJc w:val="left"/>
      <w:pPr>
        <w:ind w:left="360" w:hanging="360"/>
      </w:pPr>
      <w:rPr>
        <w:rFonts w:ascii="Arial" w:hAnsi="Arial" w:cs="Arial" w:hint="default"/>
        <w:b w:val="0"/>
        <w:i w:val="0"/>
        <w:color w:val="000000"/>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nsid w:val="19614FDC"/>
    <w:multiLevelType w:val="hybridMultilevel"/>
    <w:tmpl w:val="20FCC966"/>
    <w:lvl w:ilvl="0" w:tplc="AC20B6DC">
      <w:start w:val="1"/>
      <w:numFmt w:val="lowerLetter"/>
      <w:lvlText w:val="(%1)"/>
      <w:lvlJc w:val="left"/>
      <w:pPr>
        <w:ind w:left="360" w:hanging="360"/>
      </w:pPr>
      <w:rPr>
        <w:rFonts w:ascii="Arial" w:hAnsi="Arial" w:cs="Arial" w:hint="default"/>
        <w:b w:val="0"/>
        <w:i w:val="0"/>
        <w:color w:val="000000"/>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19C960FD"/>
    <w:multiLevelType w:val="multilevel"/>
    <w:tmpl w:val="F9EA08CE"/>
    <w:name w:val="OneLevelNumberedParagraphList"/>
    <w:lvl w:ilvl="0">
      <w:start w:val="1"/>
      <w:numFmt w:val="decimal"/>
      <w:lvlRestart w:val="0"/>
      <w:pStyle w:val="OneLevelNumberedParagraph"/>
      <w:lvlText w:val="%1"/>
      <w:lvlJc w:val="left"/>
      <w:pPr>
        <w:tabs>
          <w:tab w:val="num" w:pos="567"/>
        </w:tabs>
        <w:ind w:left="567" w:hanging="567"/>
      </w:pPr>
      <w:rPr>
        <w:rFonts w:ascii="Times New Roman" w:hAnsi="Times New Roman" w:cs="Times New Roman"/>
        <w:b w:val="0"/>
        <w:i w:val="0"/>
        <w:color w:val="000000"/>
      </w:rPr>
    </w:lvl>
    <w:lvl w:ilvl="1">
      <w:start w:val="1"/>
      <w:numFmt w:val="decimal"/>
      <w:lvlText w:val="%2"/>
      <w:lvlJc w:val="left"/>
      <w:pPr>
        <w:tabs>
          <w:tab w:val="num" w:pos="1134"/>
        </w:tabs>
        <w:ind w:left="1134" w:hanging="567"/>
      </w:pPr>
      <w:rPr>
        <w:rFonts w:ascii="Times New Roman" w:hAnsi="Times New Roman" w:cs="Times New Roman"/>
        <w:b w:val="0"/>
        <w:i w:val="0"/>
        <w:color w:val="000000"/>
      </w:rPr>
    </w:lvl>
    <w:lvl w:ilvl="2">
      <w:start w:val="1"/>
      <w:numFmt w:val="decimal"/>
      <w:lvlText w:val="%3"/>
      <w:lvlJc w:val="left"/>
      <w:pPr>
        <w:tabs>
          <w:tab w:val="num" w:pos="1701"/>
        </w:tabs>
        <w:ind w:left="1701" w:hanging="567"/>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7">
    <w:nsid w:val="244237C5"/>
    <w:multiLevelType w:val="multilevel"/>
    <w:tmpl w:val="F0BE3518"/>
    <w:lvl w:ilvl="0">
      <w:start w:val="1"/>
      <w:numFmt w:val="decimal"/>
      <w:lvlRestart w:val="0"/>
      <w:pStyle w:val="OutlineNumbered1"/>
      <w:lvlText w:val="%1."/>
      <w:lvlJc w:val="left"/>
      <w:pPr>
        <w:tabs>
          <w:tab w:val="num" w:pos="567"/>
        </w:tabs>
        <w:ind w:left="567" w:hanging="567"/>
      </w:pPr>
      <w:rPr>
        <w:b w:val="0"/>
        <w:i w:val="0"/>
      </w:rPr>
    </w:lvl>
    <w:lvl w:ilvl="1">
      <w:start w:val="1"/>
      <w:numFmt w:val="decimal"/>
      <w:pStyle w:val="OutlineNumbered2"/>
      <w:lvlText w:val="%1.%2."/>
      <w:lvlJc w:val="left"/>
      <w:pPr>
        <w:tabs>
          <w:tab w:val="num" w:pos="1134"/>
        </w:tabs>
        <w:ind w:left="1134" w:hanging="567"/>
      </w:pPr>
      <w:rPr>
        <w:b w:val="0"/>
        <w:i w:val="0"/>
      </w:rPr>
    </w:lvl>
    <w:lvl w:ilvl="2">
      <w:start w:val="1"/>
      <w:numFmt w:val="decimal"/>
      <w:pStyle w:val="OutlineNumbered3"/>
      <w:lvlText w:val="%1.%2.%3."/>
      <w:lvlJc w:val="left"/>
      <w:pPr>
        <w:tabs>
          <w:tab w:val="num" w:pos="1701"/>
        </w:tabs>
        <w:ind w:left="1701" w:hanging="567"/>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8">
    <w:nsid w:val="27440C8B"/>
    <w:multiLevelType w:val="multilevel"/>
    <w:tmpl w:val="AF04C206"/>
    <w:lvl w:ilvl="0">
      <w:start w:val="1"/>
      <w:numFmt w:val="bullet"/>
      <w:lvlRestart w:val="0"/>
      <w:pStyle w:val="Bullet"/>
      <w:lvlText w:val="•"/>
      <w:lvlJc w:val="left"/>
      <w:pPr>
        <w:tabs>
          <w:tab w:val="num" w:pos="283"/>
        </w:tabs>
        <w:ind w:left="283" w:hanging="283"/>
      </w:pPr>
      <w:rPr>
        <w:rFonts w:ascii="Book Antiqua" w:hAnsi="Book Antiqua" w:hint="default"/>
        <w:b w:val="0"/>
        <w:i w:val="0"/>
        <w:position w:val="0"/>
        <w:sz w:val="18"/>
        <w:szCs w:val="18"/>
      </w:rPr>
    </w:lvl>
    <w:lvl w:ilvl="1">
      <w:start w:val="1"/>
      <w:numFmt w:val="bullet"/>
      <w:pStyle w:val="Dash"/>
      <w:lvlText w:val="–"/>
      <w:lvlJc w:val="left"/>
      <w:pPr>
        <w:tabs>
          <w:tab w:val="num" w:pos="567"/>
        </w:tabs>
        <w:ind w:left="567" w:hanging="284"/>
      </w:pPr>
      <w:rPr>
        <w:rFonts w:ascii="Book Antiqua" w:hAnsi="Book Antiqua" w:cs="Times New Roman" w:hint="default"/>
        <w:b w:val="0"/>
        <w:i w:val="0"/>
        <w:position w:val="0"/>
        <w:sz w:val="18"/>
        <w:szCs w:val="18"/>
      </w:rPr>
    </w:lvl>
    <w:lvl w:ilvl="2">
      <w:start w:val="1"/>
      <w:numFmt w:val="bullet"/>
      <w:pStyle w:val="DoubleDot"/>
      <w:lvlText w:val=":"/>
      <w:lvlJc w:val="left"/>
      <w:pPr>
        <w:tabs>
          <w:tab w:val="num" w:pos="850"/>
        </w:tabs>
        <w:ind w:left="850" w:hanging="283"/>
      </w:pPr>
      <w:rPr>
        <w:rFonts w:ascii="Book Antiqua" w:hAnsi="Book Antiqua" w:cs="Times New Roman" w:hint="default"/>
        <w:b w:val="0"/>
        <w:i w:val="0"/>
        <w:position w:val="0"/>
        <w:sz w:val="18"/>
        <w:szCs w:val="18"/>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9">
    <w:nsid w:val="2D665DFA"/>
    <w:multiLevelType w:val="singleLevel"/>
    <w:tmpl w:val="78D04A8C"/>
    <w:name w:val="OneLevelAlphaParagraphList"/>
    <w:lvl w:ilvl="0">
      <w:start w:val="1"/>
      <w:numFmt w:val="lowerLetter"/>
      <w:lvlRestart w:val="0"/>
      <w:pStyle w:val="AlphaParagraph"/>
      <w:lvlText w:val="(%1)"/>
      <w:lvlJc w:val="left"/>
      <w:pPr>
        <w:tabs>
          <w:tab w:val="num" w:pos="567"/>
        </w:tabs>
        <w:ind w:left="567" w:hanging="567"/>
      </w:pPr>
      <w:rPr>
        <w:rFonts w:ascii="Book Antiqua" w:hAnsi="Book Antiqua"/>
        <w:b w:val="0"/>
        <w:i w:val="0"/>
        <w:sz w:val="20"/>
      </w:rPr>
    </w:lvl>
  </w:abstractNum>
  <w:abstractNum w:abstractNumId="20">
    <w:nsid w:val="3B2E19AC"/>
    <w:multiLevelType w:val="singleLevel"/>
    <w:tmpl w:val="51080BCE"/>
    <w:lvl w:ilvl="0">
      <w:start w:val="1"/>
      <w:numFmt w:val="lowerLetter"/>
      <w:lvlRestart w:val="0"/>
      <w:lvlText w:val="(%1)"/>
      <w:lvlJc w:val="left"/>
      <w:pPr>
        <w:tabs>
          <w:tab w:val="num" w:pos="284"/>
        </w:tabs>
        <w:ind w:left="284" w:hanging="284"/>
      </w:pPr>
      <w:rPr>
        <w:rFonts w:ascii="Arial" w:hAnsi="Arial" w:cs="Arial"/>
        <w:b w:val="0"/>
        <w:i w:val="0"/>
        <w:color w:val="000000"/>
        <w:sz w:val="16"/>
        <w:szCs w:val="15"/>
      </w:rPr>
    </w:lvl>
  </w:abstractNum>
  <w:abstractNum w:abstractNumId="21">
    <w:nsid w:val="45156DFA"/>
    <w:multiLevelType w:val="multilevel"/>
    <w:tmpl w:val="1456A466"/>
    <w:lvl w:ilvl="0">
      <w:start w:val="1"/>
      <w:numFmt w:val="bullet"/>
      <w:lvlRestart w:val="0"/>
      <w:lvlText w:val="•"/>
      <w:lvlJc w:val="left"/>
      <w:pPr>
        <w:tabs>
          <w:tab w:val="num" w:pos="283"/>
        </w:tabs>
        <w:ind w:left="283" w:hanging="283"/>
      </w:pPr>
      <w:rPr>
        <w:rFonts w:ascii="Book Antiqua" w:hAnsi="Book Antiqua" w:hint="default"/>
        <w:b w:val="0"/>
        <w:i w:val="0"/>
        <w:position w:val="0"/>
        <w:sz w:val="18"/>
        <w:szCs w:val="18"/>
      </w:rPr>
    </w:lvl>
    <w:lvl w:ilvl="1">
      <w:start w:val="1"/>
      <w:numFmt w:val="bullet"/>
      <w:lvlText w:val="–"/>
      <w:lvlJc w:val="left"/>
      <w:pPr>
        <w:tabs>
          <w:tab w:val="num" w:pos="567"/>
        </w:tabs>
        <w:ind w:left="567" w:hanging="284"/>
      </w:pPr>
      <w:rPr>
        <w:rFonts w:ascii="Book Antiqua" w:hAnsi="Book Antiqua" w:cs="Times New Roman" w:hint="default"/>
        <w:b w:val="0"/>
        <w:i w:val="0"/>
        <w:position w:val="0"/>
        <w:sz w:val="18"/>
        <w:szCs w:val="18"/>
      </w:rPr>
    </w:lvl>
    <w:lvl w:ilvl="2">
      <w:start w:val="1"/>
      <w:numFmt w:val="bullet"/>
      <w:lvlText w:val=":"/>
      <w:lvlJc w:val="left"/>
      <w:pPr>
        <w:tabs>
          <w:tab w:val="num" w:pos="850"/>
        </w:tabs>
        <w:ind w:left="850" w:hanging="283"/>
      </w:pPr>
      <w:rPr>
        <w:rFonts w:ascii="Book Antiqua" w:hAnsi="Book Antiqua" w:cs="Times New Roman" w:hint="default"/>
        <w:b w:val="0"/>
        <w:i w:val="0"/>
        <w:position w:val="0"/>
        <w:sz w:val="18"/>
        <w:szCs w:val="18"/>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22">
    <w:nsid w:val="47B77E89"/>
    <w:multiLevelType w:val="hybridMultilevel"/>
    <w:tmpl w:val="3A4A99D6"/>
    <w:lvl w:ilvl="0" w:tplc="8CCCD65C">
      <w:start w:val="1"/>
      <w:numFmt w:val="lowerLetter"/>
      <w:lvlText w:val="(%1)"/>
      <w:lvlJc w:val="left"/>
      <w:pPr>
        <w:ind w:left="720" w:hanging="360"/>
      </w:pPr>
      <w:rPr>
        <w:rFonts w:ascii="Arial" w:hAnsi="Arial" w:cs="Arial" w:hint="default"/>
        <w:b w:val="0"/>
        <w:i w:val="0"/>
        <w:color w:val="00000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8101827"/>
    <w:multiLevelType w:val="multilevel"/>
    <w:tmpl w:val="C750BC58"/>
    <w:lvl w:ilvl="0">
      <w:start w:val="1"/>
      <w:numFmt w:val="bullet"/>
      <w:lvlRestart w:val="0"/>
      <w:pStyle w:val="BoxBullet"/>
      <w:lvlText w:val="•"/>
      <w:lvlJc w:val="left"/>
      <w:pPr>
        <w:tabs>
          <w:tab w:val="num" w:pos="283"/>
        </w:tabs>
        <w:ind w:left="283" w:hanging="283"/>
      </w:pPr>
      <w:rPr>
        <w:rFonts w:ascii="Book Antiqua" w:hAnsi="Book Antiqua" w:hint="default"/>
        <w:b w:val="0"/>
        <w:i w:val="0"/>
        <w:position w:val="0"/>
        <w:sz w:val="18"/>
      </w:rPr>
    </w:lvl>
    <w:lvl w:ilvl="1">
      <w:start w:val="1"/>
      <w:numFmt w:val="bullet"/>
      <w:pStyle w:val="BoxDash"/>
      <w:lvlText w:val="–"/>
      <w:lvlJc w:val="left"/>
      <w:pPr>
        <w:tabs>
          <w:tab w:val="num" w:pos="567"/>
        </w:tabs>
        <w:ind w:left="567" w:hanging="284"/>
      </w:pPr>
      <w:rPr>
        <w:rFonts w:ascii="Book Antiqua" w:hAnsi="Book Antiqua" w:hint="default"/>
        <w:b w:val="0"/>
        <w:i w:val="0"/>
        <w:position w:val="0"/>
        <w:sz w:val="18"/>
      </w:rPr>
    </w:lvl>
    <w:lvl w:ilvl="2">
      <w:start w:val="1"/>
      <w:numFmt w:val="bullet"/>
      <w:pStyle w:val="BoxDoubleDot"/>
      <w:lvlText w:val=":"/>
      <w:lvlJc w:val="left"/>
      <w:pPr>
        <w:tabs>
          <w:tab w:val="num" w:pos="850"/>
        </w:tabs>
        <w:ind w:left="850" w:hanging="283"/>
      </w:pPr>
      <w:rPr>
        <w:rFonts w:ascii="Book Antiqua" w:hAnsi="Book Antiqua" w:hint="default"/>
        <w:b w:val="0"/>
        <w:i w:val="0"/>
        <w:position w:val="0"/>
        <w:sz w:val="18"/>
        <w:szCs w:val="18"/>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24">
    <w:nsid w:val="583A7597"/>
    <w:multiLevelType w:val="hybridMultilevel"/>
    <w:tmpl w:val="20FCC966"/>
    <w:lvl w:ilvl="0" w:tplc="AC20B6DC">
      <w:start w:val="1"/>
      <w:numFmt w:val="lowerLetter"/>
      <w:lvlText w:val="(%1)"/>
      <w:lvlJc w:val="left"/>
      <w:pPr>
        <w:ind w:left="720" w:hanging="360"/>
      </w:pPr>
      <w:rPr>
        <w:rFonts w:ascii="Arial" w:hAnsi="Arial" w:cs="Arial" w:hint="default"/>
        <w:b w:val="0"/>
        <w:i w:val="0"/>
        <w:color w:val="00000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66022277"/>
    <w:multiLevelType w:val="singleLevel"/>
    <w:tmpl w:val="4A1C7FD2"/>
    <w:lvl w:ilvl="0">
      <w:start w:val="1"/>
      <w:numFmt w:val="lowerLetter"/>
      <w:lvlRestart w:val="0"/>
      <w:pStyle w:val="ChartandTableFootnoteAlpha"/>
      <w:lvlText w:val="(%1)"/>
      <w:lvlJc w:val="left"/>
      <w:pPr>
        <w:tabs>
          <w:tab w:val="num" w:pos="283"/>
        </w:tabs>
        <w:ind w:left="283" w:hanging="283"/>
      </w:pPr>
      <w:rPr>
        <w:rFonts w:ascii="Arial" w:hAnsi="Arial" w:cs="Arial"/>
        <w:b w:val="0"/>
        <w:i w:val="0"/>
        <w:sz w:val="16"/>
      </w:rPr>
    </w:lvl>
  </w:abstractNum>
  <w:abstractNum w:abstractNumId="26">
    <w:nsid w:val="6B154405"/>
    <w:multiLevelType w:val="hybridMultilevel"/>
    <w:tmpl w:val="20FCC966"/>
    <w:lvl w:ilvl="0" w:tplc="AC20B6DC">
      <w:start w:val="1"/>
      <w:numFmt w:val="lowerLetter"/>
      <w:lvlText w:val="(%1)"/>
      <w:lvlJc w:val="left"/>
      <w:pPr>
        <w:ind w:left="360" w:hanging="360"/>
      </w:pPr>
      <w:rPr>
        <w:rFonts w:ascii="Arial" w:hAnsi="Arial" w:cs="Arial" w:hint="default"/>
        <w:b w:val="0"/>
        <w:i w:val="0"/>
        <w:color w:val="000000"/>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nsid w:val="6ECD005E"/>
    <w:multiLevelType w:val="hybridMultilevel"/>
    <w:tmpl w:val="20FCC966"/>
    <w:lvl w:ilvl="0" w:tplc="AC20B6DC">
      <w:start w:val="1"/>
      <w:numFmt w:val="lowerLetter"/>
      <w:lvlText w:val="(%1)"/>
      <w:lvlJc w:val="left"/>
      <w:pPr>
        <w:ind w:left="720" w:hanging="360"/>
      </w:pPr>
      <w:rPr>
        <w:rFonts w:ascii="Arial" w:hAnsi="Arial" w:cs="Arial" w:hint="default"/>
        <w:b w:val="0"/>
        <w:i w:val="0"/>
        <w:color w:val="00000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6FD20A93"/>
    <w:multiLevelType w:val="singleLevel"/>
    <w:tmpl w:val="3B6E6640"/>
    <w:name w:val="AlphaChartTableFootnoteSmallList"/>
    <w:lvl w:ilvl="0">
      <w:start w:val="1"/>
      <w:numFmt w:val="lowerLetter"/>
      <w:lvlRestart w:val="0"/>
      <w:pStyle w:val="ChartandTableFootnoteAlphaSmall"/>
      <w:lvlText w:val="(%1)"/>
      <w:lvlJc w:val="left"/>
      <w:pPr>
        <w:tabs>
          <w:tab w:val="num" w:pos="283"/>
        </w:tabs>
        <w:ind w:left="283" w:hanging="283"/>
      </w:pPr>
      <w:rPr>
        <w:rFonts w:ascii="Arial" w:hAnsi="Arial" w:cs="Arial"/>
        <w:b w:val="0"/>
        <w:i w:val="0"/>
        <w:sz w:val="15"/>
      </w:rPr>
    </w:lvl>
  </w:abstractNum>
  <w:abstractNum w:abstractNumId="29">
    <w:nsid w:val="72FF649C"/>
    <w:multiLevelType w:val="hybridMultilevel"/>
    <w:tmpl w:val="20FCC966"/>
    <w:lvl w:ilvl="0" w:tplc="AC20B6DC">
      <w:start w:val="1"/>
      <w:numFmt w:val="lowerLetter"/>
      <w:lvlText w:val="(%1)"/>
      <w:lvlJc w:val="left"/>
      <w:pPr>
        <w:ind w:left="720" w:hanging="360"/>
      </w:pPr>
      <w:rPr>
        <w:rFonts w:ascii="Arial" w:hAnsi="Arial" w:cs="Arial" w:hint="default"/>
        <w:b w:val="0"/>
        <w:i w:val="0"/>
        <w:color w:val="00000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78E420B0"/>
    <w:multiLevelType w:val="hybridMultilevel"/>
    <w:tmpl w:val="776E35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7BDD275C"/>
    <w:multiLevelType w:val="hybridMultilevel"/>
    <w:tmpl w:val="20FCC966"/>
    <w:lvl w:ilvl="0" w:tplc="AC20B6DC">
      <w:start w:val="1"/>
      <w:numFmt w:val="lowerLetter"/>
      <w:lvlText w:val="(%1)"/>
      <w:lvlJc w:val="left"/>
      <w:pPr>
        <w:ind w:left="720" w:hanging="360"/>
      </w:pPr>
      <w:rPr>
        <w:rFonts w:ascii="Arial" w:hAnsi="Arial" w:cs="Arial" w:hint="default"/>
        <w:b w:val="0"/>
        <w:i w:val="0"/>
        <w:color w:val="00000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7EF54282"/>
    <w:multiLevelType w:val="hybridMultilevel"/>
    <w:tmpl w:val="20FCC966"/>
    <w:lvl w:ilvl="0" w:tplc="AC20B6DC">
      <w:start w:val="1"/>
      <w:numFmt w:val="lowerLetter"/>
      <w:lvlText w:val="(%1)"/>
      <w:lvlJc w:val="left"/>
      <w:pPr>
        <w:ind w:left="720" w:hanging="360"/>
      </w:pPr>
      <w:rPr>
        <w:rFonts w:ascii="Arial" w:hAnsi="Arial" w:cs="Arial" w:hint="default"/>
        <w:b w:val="0"/>
        <w:i w:val="0"/>
        <w:color w:val="00000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0"/>
  </w:num>
  <w:num w:numId="2">
    <w:abstractNumId w:val="25"/>
  </w:num>
  <w:num w:numId="3">
    <w:abstractNumId w:val="9"/>
  </w:num>
  <w:num w:numId="4">
    <w:abstractNumId w:val="7"/>
  </w:num>
  <w:num w:numId="5">
    <w:abstractNumId w:val="6"/>
  </w:num>
  <w:num w:numId="6">
    <w:abstractNumId w:val="5"/>
  </w:num>
  <w:num w:numId="7">
    <w:abstractNumId w:val="25"/>
  </w:num>
  <w:num w:numId="8">
    <w:abstractNumId w:val="25"/>
  </w:num>
  <w:num w:numId="9">
    <w:abstractNumId w:val="28"/>
  </w:num>
  <w:num w:numId="10">
    <w:abstractNumId w:val="19"/>
  </w:num>
  <w:num w:numId="11">
    <w:abstractNumId w:val="23"/>
  </w:num>
  <w:num w:numId="12">
    <w:abstractNumId w:val="23"/>
  </w:num>
  <w:num w:numId="13">
    <w:abstractNumId w:val="23"/>
  </w:num>
  <w:num w:numId="14">
    <w:abstractNumId w:val="16"/>
  </w:num>
  <w:num w:numId="15">
    <w:abstractNumId w:val="17"/>
  </w:num>
  <w:num w:numId="16">
    <w:abstractNumId w:val="17"/>
  </w:num>
  <w:num w:numId="17">
    <w:abstractNumId w:val="17"/>
  </w:num>
  <w:num w:numId="18">
    <w:abstractNumId w:val="23"/>
  </w:num>
  <w:num w:numId="19">
    <w:abstractNumId w:val="23"/>
  </w:num>
  <w:num w:numId="20">
    <w:abstractNumId w:val="23"/>
  </w:num>
  <w:num w:numId="21">
    <w:abstractNumId w:val="18"/>
  </w:num>
  <w:num w:numId="22">
    <w:abstractNumId w:val="18"/>
  </w:num>
  <w:num w:numId="23">
    <w:abstractNumId w:val="18"/>
  </w:num>
  <w:num w:numId="24">
    <w:abstractNumId w:val="21"/>
  </w:num>
  <w:num w:numId="25">
    <w:abstractNumId w:val="25"/>
    <w:lvlOverride w:ilvl="0">
      <w:startOverride w:val="1"/>
    </w:lvlOverride>
  </w:num>
  <w:num w:numId="26">
    <w:abstractNumId w:val="22"/>
  </w:num>
  <w:num w:numId="27">
    <w:abstractNumId w:val="24"/>
  </w:num>
  <w:num w:numId="28">
    <w:abstractNumId w:val="29"/>
  </w:num>
  <w:num w:numId="29">
    <w:abstractNumId w:val="14"/>
  </w:num>
  <w:num w:numId="30">
    <w:abstractNumId w:val="31"/>
  </w:num>
  <w:num w:numId="31">
    <w:abstractNumId w:val="25"/>
    <w:lvlOverride w:ilvl="0">
      <w:startOverride w:val="1"/>
    </w:lvlOverride>
  </w:num>
  <w:num w:numId="32">
    <w:abstractNumId w:val="25"/>
    <w:lvlOverride w:ilvl="0">
      <w:startOverride w:val="1"/>
    </w:lvlOverride>
  </w:num>
  <w:num w:numId="33">
    <w:abstractNumId w:val="25"/>
    <w:lvlOverride w:ilvl="0">
      <w:startOverride w:val="1"/>
    </w:lvlOverride>
  </w:num>
  <w:num w:numId="34">
    <w:abstractNumId w:val="25"/>
    <w:lvlOverride w:ilvl="0">
      <w:startOverride w:val="1"/>
    </w:lvlOverride>
  </w:num>
  <w:num w:numId="35">
    <w:abstractNumId w:val="25"/>
    <w:lvlOverride w:ilvl="0">
      <w:startOverride w:val="1"/>
    </w:lvlOverride>
  </w:num>
  <w:num w:numId="36">
    <w:abstractNumId w:val="25"/>
    <w:lvlOverride w:ilvl="0">
      <w:startOverride w:val="1"/>
    </w:lvlOverride>
  </w:num>
  <w:num w:numId="37">
    <w:abstractNumId w:val="25"/>
    <w:lvlOverride w:ilvl="0">
      <w:startOverride w:val="1"/>
    </w:lvlOverride>
  </w:num>
  <w:num w:numId="38">
    <w:abstractNumId w:val="25"/>
    <w:lvlOverride w:ilvl="0">
      <w:startOverride w:val="1"/>
    </w:lvlOverride>
  </w:num>
  <w:num w:numId="39">
    <w:abstractNumId w:val="25"/>
    <w:lvlOverride w:ilvl="0">
      <w:startOverride w:val="1"/>
    </w:lvlOverride>
  </w:num>
  <w:num w:numId="40">
    <w:abstractNumId w:val="25"/>
    <w:lvlOverride w:ilvl="0">
      <w:startOverride w:val="1"/>
    </w:lvlOverride>
  </w:num>
  <w:num w:numId="41">
    <w:abstractNumId w:val="25"/>
    <w:lvlOverride w:ilvl="0">
      <w:startOverride w:val="1"/>
    </w:lvlOverride>
  </w:num>
  <w:num w:numId="42">
    <w:abstractNumId w:val="25"/>
    <w:lvlOverride w:ilvl="0">
      <w:startOverride w:val="1"/>
    </w:lvlOverride>
  </w:num>
  <w:num w:numId="43">
    <w:abstractNumId w:val="27"/>
  </w:num>
  <w:num w:numId="44">
    <w:abstractNumId w:val="32"/>
  </w:num>
  <w:num w:numId="45">
    <w:abstractNumId w:val="26"/>
  </w:num>
  <w:num w:numId="46">
    <w:abstractNumId w:val="30"/>
  </w:num>
  <w:num w:numId="47">
    <w:abstractNumId w:val="15"/>
  </w:num>
  <w:num w:numId="48">
    <w:abstractNumId w:val="12"/>
  </w:num>
  <w:num w:numId="49">
    <w:abstractNumId w:val="25"/>
    <w:lvlOverride w:ilvl="0">
      <w:startOverride w:val="1"/>
    </w:lvlOverride>
  </w:num>
  <w:num w:numId="50">
    <w:abstractNumId w:val="25"/>
    <w:lvlOverride w:ilvl="0">
      <w:startOverride w:val="1"/>
    </w:lvlOverride>
  </w:num>
  <w:num w:numId="51">
    <w:abstractNumId w:val="11"/>
  </w:num>
  <w:num w:numId="52">
    <w:abstractNumId w:val="25"/>
  </w:num>
  <w:num w:numId="53">
    <w:abstractNumId w:val="25"/>
  </w:num>
  <w:num w:numId="54">
    <w:abstractNumId w:val="25"/>
  </w:num>
  <w:num w:numId="55">
    <w:abstractNumId w:val="20"/>
  </w:num>
  <w:num w:numId="56">
    <w:abstractNumId w:val="13"/>
  </w:num>
  <w:num w:numId="57">
    <w:abstractNumId w:val="25"/>
  </w:num>
  <w:num w:numId="58">
    <w:abstractNumId w:val="25"/>
  </w:num>
  <w:num w:numId="59">
    <w:abstractNumId w:val="25"/>
  </w:num>
  <w:num w:numId="60">
    <w:abstractNumId w:val="25"/>
    <w:lvlOverride w:ilvl="0">
      <w:startOverride w:val="1"/>
    </w:lvlOverride>
  </w:num>
  <w:num w:numId="61">
    <w:abstractNumId w:val="25"/>
    <w:lvlOverride w:ilvl="0">
      <w:startOverride w:val="1"/>
    </w:lvlOverride>
  </w:num>
  <w:num w:numId="62">
    <w:abstractNumId w:val="25"/>
    <w:lvlOverride w:ilvl="0">
      <w:startOverride w:val="1"/>
    </w:lvlOverride>
  </w:num>
  <w:num w:numId="63">
    <w:abstractNumId w:val="25"/>
    <w:lvlOverride w:ilvl="0">
      <w:startOverride w:val="1"/>
    </w:lvlOverride>
  </w:num>
  <w:num w:numId="64">
    <w:abstractNumId w:val="25"/>
  </w:num>
  <w:num w:numId="65">
    <w:abstractNumId w:val="4"/>
  </w:num>
  <w:num w:numId="66">
    <w:abstractNumId w:val="8"/>
  </w:num>
  <w:num w:numId="67">
    <w:abstractNumId w:val="3"/>
  </w:num>
  <w:num w:numId="68">
    <w:abstractNumId w:val="2"/>
  </w:num>
  <w:num w:numId="69">
    <w:abstractNumId w:val="1"/>
  </w:num>
  <w:num w:numId="70">
    <w:abstractNumId w:val="0"/>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5"/>
  </w:num>
  <w:num w:numId="73">
    <w:abstractNumId w:val="25"/>
    <w:lvlOverride w:ilvl="0">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mirrorMargins/>
  <w:attachedTemplate r:id="rId1"/>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720"/>
  <w:evenAndOddHeaders/>
  <w:drawingGridHorizontalSpacing w:val="100"/>
  <w:displayHorizontalDrawingGridEvery w:val="2"/>
  <w:noPunctuationKerning/>
  <w:characterSpacingControl w:val="doNotCompress"/>
  <w:hdrShapeDefaults>
    <o:shapedefaults v:ext="edit" spidmax="3074"/>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ecurityClassificationInHeader" w:val="False"/>
    <w:docVar w:name="SecurityDLMInHeader" w:val="False"/>
  </w:docVars>
  <w:rsids>
    <w:rsidRoot w:val="00D775D9"/>
    <w:rsid w:val="00004D54"/>
    <w:rsid w:val="00005CC0"/>
    <w:rsid w:val="00010EA5"/>
    <w:rsid w:val="00021F6C"/>
    <w:rsid w:val="00023826"/>
    <w:rsid w:val="000246B1"/>
    <w:rsid w:val="000249DC"/>
    <w:rsid w:val="00025EB1"/>
    <w:rsid w:val="000266C5"/>
    <w:rsid w:val="00026A2E"/>
    <w:rsid w:val="00027949"/>
    <w:rsid w:val="00037A45"/>
    <w:rsid w:val="00040751"/>
    <w:rsid w:val="000461D5"/>
    <w:rsid w:val="000464F7"/>
    <w:rsid w:val="00047438"/>
    <w:rsid w:val="000511C0"/>
    <w:rsid w:val="00056439"/>
    <w:rsid w:val="00056996"/>
    <w:rsid w:val="00056AF8"/>
    <w:rsid w:val="000634B7"/>
    <w:rsid w:val="00065F92"/>
    <w:rsid w:val="00066F4F"/>
    <w:rsid w:val="00067DA6"/>
    <w:rsid w:val="00067F39"/>
    <w:rsid w:val="00075676"/>
    <w:rsid w:val="00076181"/>
    <w:rsid w:val="00080657"/>
    <w:rsid w:val="00081F06"/>
    <w:rsid w:val="00083F03"/>
    <w:rsid w:val="00084DD1"/>
    <w:rsid w:val="00085E85"/>
    <w:rsid w:val="00086AEA"/>
    <w:rsid w:val="00086DDD"/>
    <w:rsid w:val="00090FBA"/>
    <w:rsid w:val="00091714"/>
    <w:rsid w:val="00096D61"/>
    <w:rsid w:val="000A0886"/>
    <w:rsid w:val="000B2EA3"/>
    <w:rsid w:val="000B3305"/>
    <w:rsid w:val="000B7653"/>
    <w:rsid w:val="000C29D5"/>
    <w:rsid w:val="000C6F6B"/>
    <w:rsid w:val="000D18EE"/>
    <w:rsid w:val="000D4567"/>
    <w:rsid w:val="000D6392"/>
    <w:rsid w:val="000E0FA4"/>
    <w:rsid w:val="000E10B2"/>
    <w:rsid w:val="000E2A34"/>
    <w:rsid w:val="000E6D5C"/>
    <w:rsid w:val="0010107E"/>
    <w:rsid w:val="001011FA"/>
    <w:rsid w:val="00107D36"/>
    <w:rsid w:val="00110818"/>
    <w:rsid w:val="00116B16"/>
    <w:rsid w:val="001200AE"/>
    <w:rsid w:val="00120EA6"/>
    <w:rsid w:val="00121745"/>
    <w:rsid w:val="0012214E"/>
    <w:rsid w:val="001256C3"/>
    <w:rsid w:val="0013092B"/>
    <w:rsid w:val="00133736"/>
    <w:rsid w:val="001349D8"/>
    <w:rsid w:val="0013617E"/>
    <w:rsid w:val="001404BE"/>
    <w:rsid w:val="001406E9"/>
    <w:rsid w:val="00142539"/>
    <w:rsid w:val="001442A3"/>
    <w:rsid w:val="00146044"/>
    <w:rsid w:val="00146ADF"/>
    <w:rsid w:val="00147D8E"/>
    <w:rsid w:val="00151968"/>
    <w:rsid w:val="001523A5"/>
    <w:rsid w:val="001631C3"/>
    <w:rsid w:val="001644CF"/>
    <w:rsid w:val="0016691F"/>
    <w:rsid w:val="001748C5"/>
    <w:rsid w:val="00176649"/>
    <w:rsid w:val="00181847"/>
    <w:rsid w:val="00183D04"/>
    <w:rsid w:val="00185E56"/>
    <w:rsid w:val="00190FCA"/>
    <w:rsid w:val="001952D0"/>
    <w:rsid w:val="001A0481"/>
    <w:rsid w:val="001A0697"/>
    <w:rsid w:val="001A1A3D"/>
    <w:rsid w:val="001A5066"/>
    <w:rsid w:val="001B41F3"/>
    <w:rsid w:val="001B661D"/>
    <w:rsid w:val="001C220C"/>
    <w:rsid w:val="001C332E"/>
    <w:rsid w:val="001C7D83"/>
    <w:rsid w:val="001D0D5F"/>
    <w:rsid w:val="001D0EDB"/>
    <w:rsid w:val="001D50E9"/>
    <w:rsid w:val="001E0C5D"/>
    <w:rsid w:val="001F138A"/>
    <w:rsid w:val="001F19D0"/>
    <w:rsid w:val="001F1EEE"/>
    <w:rsid w:val="001F2C7B"/>
    <w:rsid w:val="001F2DB0"/>
    <w:rsid w:val="001F329E"/>
    <w:rsid w:val="001F3504"/>
    <w:rsid w:val="002015D7"/>
    <w:rsid w:val="00203E25"/>
    <w:rsid w:val="0020446F"/>
    <w:rsid w:val="00204A29"/>
    <w:rsid w:val="002159BF"/>
    <w:rsid w:val="00216DD0"/>
    <w:rsid w:val="00216DD9"/>
    <w:rsid w:val="00221C95"/>
    <w:rsid w:val="00224884"/>
    <w:rsid w:val="0022657A"/>
    <w:rsid w:val="00227817"/>
    <w:rsid w:val="00230C4F"/>
    <w:rsid w:val="002324E7"/>
    <w:rsid w:val="0023255A"/>
    <w:rsid w:val="00232A6B"/>
    <w:rsid w:val="00235EC8"/>
    <w:rsid w:val="0024021B"/>
    <w:rsid w:val="00247A05"/>
    <w:rsid w:val="00255F53"/>
    <w:rsid w:val="00262BB1"/>
    <w:rsid w:val="00287398"/>
    <w:rsid w:val="002A2929"/>
    <w:rsid w:val="002A588A"/>
    <w:rsid w:val="002B7353"/>
    <w:rsid w:val="002B7F2F"/>
    <w:rsid w:val="002C1942"/>
    <w:rsid w:val="002C437B"/>
    <w:rsid w:val="002C5375"/>
    <w:rsid w:val="002C5561"/>
    <w:rsid w:val="002C72B2"/>
    <w:rsid w:val="002D29C9"/>
    <w:rsid w:val="002D2D0A"/>
    <w:rsid w:val="002D76B1"/>
    <w:rsid w:val="002E0F18"/>
    <w:rsid w:val="002F0967"/>
    <w:rsid w:val="002F3B8F"/>
    <w:rsid w:val="002F51B4"/>
    <w:rsid w:val="002F5389"/>
    <w:rsid w:val="00302B50"/>
    <w:rsid w:val="00305410"/>
    <w:rsid w:val="00314234"/>
    <w:rsid w:val="00314456"/>
    <w:rsid w:val="00322A24"/>
    <w:rsid w:val="003249A7"/>
    <w:rsid w:val="0032574C"/>
    <w:rsid w:val="003278E8"/>
    <w:rsid w:val="0033143C"/>
    <w:rsid w:val="0033351F"/>
    <w:rsid w:val="0033462C"/>
    <w:rsid w:val="00334A31"/>
    <w:rsid w:val="00350703"/>
    <w:rsid w:val="0035188D"/>
    <w:rsid w:val="003537D8"/>
    <w:rsid w:val="0035535A"/>
    <w:rsid w:val="00356F88"/>
    <w:rsid w:val="003571FD"/>
    <w:rsid w:val="00357959"/>
    <w:rsid w:val="00357CEF"/>
    <w:rsid w:val="00361AF9"/>
    <w:rsid w:val="003676C2"/>
    <w:rsid w:val="00371A36"/>
    <w:rsid w:val="00371D72"/>
    <w:rsid w:val="00376418"/>
    <w:rsid w:val="00385744"/>
    <w:rsid w:val="00392E5F"/>
    <w:rsid w:val="00397869"/>
    <w:rsid w:val="003A22BE"/>
    <w:rsid w:val="003B173B"/>
    <w:rsid w:val="003B2AAE"/>
    <w:rsid w:val="003B3950"/>
    <w:rsid w:val="003B3A85"/>
    <w:rsid w:val="003B7B0C"/>
    <w:rsid w:val="003C0055"/>
    <w:rsid w:val="003C2EDE"/>
    <w:rsid w:val="003C4077"/>
    <w:rsid w:val="003C66FC"/>
    <w:rsid w:val="003D68FC"/>
    <w:rsid w:val="003D77BC"/>
    <w:rsid w:val="003D7FCB"/>
    <w:rsid w:val="003E02A9"/>
    <w:rsid w:val="003E2CC5"/>
    <w:rsid w:val="003E4206"/>
    <w:rsid w:val="003E4C8A"/>
    <w:rsid w:val="003F2DE9"/>
    <w:rsid w:val="003F3CF1"/>
    <w:rsid w:val="003F3DAA"/>
    <w:rsid w:val="003F3F34"/>
    <w:rsid w:val="003F59D8"/>
    <w:rsid w:val="003F63BF"/>
    <w:rsid w:val="003F751A"/>
    <w:rsid w:val="00406574"/>
    <w:rsid w:val="004073F9"/>
    <w:rsid w:val="00410FAB"/>
    <w:rsid w:val="00417FC9"/>
    <w:rsid w:val="0042025B"/>
    <w:rsid w:val="004226B4"/>
    <w:rsid w:val="004242E7"/>
    <w:rsid w:val="00425824"/>
    <w:rsid w:val="00427455"/>
    <w:rsid w:val="004307EA"/>
    <w:rsid w:val="00432384"/>
    <w:rsid w:val="004351F1"/>
    <w:rsid w:val="004416F3"/>
    <w:rsid w:val="004428FF"/>
    <w:rsid w:val="004431B7"/>
    <w:rsid w:val="00445A2F"/>
    <w:rsid w:val="00452A02"/>
    <w:rsid w:val="00455C6E"/>
    <w:rsid w:val="00456BD4"/>
    <w:rsid w:val="004629E9"/>
    <w:rsid w:val="004668CD"/>
    <w:rsid w:val="00466A66"/>
    <w:rsid w:val="004732F9"/>
    <w:rsid w:val="00475B64"/>
    <w:rsid w:val="004824F7"/>
    <w:rsid w:val="00483991"/>
    <w:rsid w:val="0048540C"/>
    <w:rsid w:val="00493BE5"/>
    <w:rsid w:val="004944EE"/>
    <w:rsid w:val="0049731A"/>
    <w:rsid w:val="004A4FE6"/>
    <w:rsid w:val="004B2E3B"/>
    <w:rsid w:val="004C043B"/>
    <w:rsid w:val="004C32E6"/>
    <w:rsid w:val="004C42CD"/>
    <w:rsid w:val="004C7A85"/>
    <w:rsid w:val="004D7709"/>
    <w:rsid w:val="004E1DFB"/>
    <w:rsid w:val="004E2633"/>
    <w:rsid w:val="004E653E"/>
    <w:rsid w:val="004E6AC8"/>
    <w:rsid w:val="004F0863"/>
    <w:rsid w:val="004F498A"/>
    <w:rsid w:val="004F53CC"/>
    <w:rsid w:val="004F6014"/>
    <w:rsid w:val="00506D2F"/>
    <w:rsid w:val="00517F8D"/>
    <w:rsid w:val="005235D0"/>
    <w:rsid w:val="00527EB6"/>
    <w:rsid w:val="00530305"/>
    <w:rsid w:val="0053299F"/>
    <w:rsid w:val="005453F7"/>
    <w:rsid w:val="00562C02"/>
    <w:rsid w:val="005643D0"/>
    <w:rsid w:val="00565560"/>
    <w:rsid w:val="005656DA"/>
    <w:rsid w:val="00570EA3"/>
    <w:rsid w:val="0057193E"/>
    <w:rsid w:val="00581B91"/>
    <w:rsid w:val="0058375A"/>
    <w:rsid w:val="00583CCA"/>
    <w:rsid w:val="00584B56"/>
    <w:rsid w:val="00584CBA"/>
    <w:rsid w:val="00584E2F"/>
    <w:rsid w:val="00587C00"/>
    <w:rsid w:val="005A0FEB"/>
    <w:rsid w:val="005A58C3"/>
    <w:rsid w:val="005B0261"/>
    <w:rsid w:val="005B0BD9"/>
    <w:rsid w:val="005B5170"/>
    <w:rsid w:val="005B689F"/>
    <w:rsid w:val="005C574A"/>
    <w:rsid w:val="005D02AC"/>
    <w:rsid w:val="005D56C0"/>
    <w:rsid w:val="005D67D7"/>
    <w:rsid w:val="005D6F22"/>
    <w:rsid w:val="005E1FED"/>
    <w:rsid w:val="005E40C8"/>
    <w:rsid w:val="005E4348"/>
    <w:rsid w:val="005E59E9"/>
    <w:rsid w:val="005F191B"/>
    <w:rsid w:val="005F3763"/>
    <w:rsid w:val="0060318C"/>
    <w:rsid w:val="00606E15"/>
    <w:rsid w:val="006105F8"/>
    <w:rsid w:val="006114D0"/>
    <w:rsid w:val="0061503C"/>
    <w:rsid w:val="00620990"/>
    <w:rsid w:val="00620C07"/>
    <w:rsid w:val="00626D14"/>
    <w:rsid w:val="006313A6"/>
    <w:rsid w:val="00631A0B"/>
    <w:rsid w:val="006340DE"/>
    <w:rsid w:val="00635D38"/>
    <w:rsid w:val="00637F77"/>
    <w:rsid w:val="00653A1B"/>
    <w:rsid w:val="00661169"/>
    <w:rsid w:val="00661875"/>
    <w:rsid w:val="00662989"/>
    <w:rsid w:val="00662D4B"/>
    <w:rsid w:val="0066339B"/>
    <w:rsid w:val="00670EB0"/>
    <w:rsid w:val="0067677B"/>
    <w:rsid w:val="00683152"/>
    <w:rsid w:val="00692377"/>
    <w:rsid w:val="00696576"/>
    <w:rsid w:val="006A4765"/>
    <w:rsid w:val="006B18E0"/>
    <w:rsid w:val="006C0020"/>
    <w:rsid w:val="006C0C27"/>
    <w:rsid w:val="006C660C"/>
    <w:rsid w:val="006D057A"/>
    <w:rsid w:val="006D22F5"/>
    <w:rsid w:val="006D3EDA"/>
    <w:rsid w:val="007039AB"/>
    <w:rsid w:val="0072048E"/>
    <w:rsid w:val="00725437"/>
    <w:rsid w:val="007271E1"/>
    <w:rsid w:val="00730479"/>
    <w:rsid w:val="007337B1"/>
    <w:rsid w:val="00737166"/>
    <w:rsid w:val="00737A12"/>
    <w:rsid w:val="00737E9B"/>
    <w:rsid w:val="00740B92"/>
    <w:rsid w:val="00741C29"/>
    <w:rsid w:val="00742D68"/>
    <w:rsid w:val="00743263"/>
    <w:rsid w:val="007436C5"/>
    <w:rsid w:val="00747867"/>
    <w:rsid w:val="007541D7"/>
    <w:rsid w:val="00754537"/>
    <w:rsid w:val="0075643E"/>
    <w:rsid w:val="007635E0"/>
    <w:rsid w:val="007650E6"/>
    <w:rsid w:val="0077288F"/>
    <w:rsid w:val="007743E5"/>
    <w:rsid w:val="007765FF"/>
    <w:rsid w:val="0077776D"/>
    <w:rsid w:val="007804ED"/>
    <w:rsid w:val="007826AF"/>
    <w:rsid w:val="00792704"/>
    <w:rsid w:val="00796383"/>
    <w:rsid w:val="007A02AE"/>
    <w:rsid w:val="007A169F"/>
    <w:rsid w:val="007A1B2B"/>
    <w:rsid w:val="007A2CFE"/>
    <w:rsid w:val="007A50E9"/>
    <w:rsid w:val="007A7E25"/>
    <w:rsid w:val="007B56D6"/>
    <w:rsid w:val="007B5C6D"/>
    <w:rsid w:val="007B619E"/>
    <w:rsid w:val="007B6CF9"/>
    <w:rsid w:val="007C700C"/>
    <w:rsid w:val="007D1326"/>
    <w:rsid w:val="007D638B"/>
    <w:rsid w:val="007E0BD4"/>
    <w:rsid w:val="007E56D9"/>
    <w:rsid w:val="007E7A21"/>
    <w:rsid w:val="007F2172"/>
    <w:rsid w:val="007F3415"/>
    <w:rsid w:val="007F5F3C"/>
    <w:rsid w:val="007F7456"/>
    <w:rsid w:val="008005D7"/>
    <w:rsid w:val="00801580"/>
    <w:rsid w:val="00802CDC"/>
    <w:rsid w:val="0080458E"/>
    <w:rsid w:val="008045CD"/>
    <w:rsid w:val="00804BB8"/>
    <w:rsid w:val="00805D3C"/>
    <w:rsid w:val="00810015"/>
    <w:rsid w:val="008162AA"/>
    <w:rsid w:val="008167F8"/>
    <w:rsid w:val="00823007"/>
    <w:rsid w:val="0082420E"/>
    <w:rsid w:val="00830617"/>
    <w:rsid w:val="0083074E"/>
    <w:rsid w:val="00842B41"/>
    <w:rsid w:val="00844BA3"/>
    <w:rsid w:val="0084607F"/>
    <w:rsid w:val="0085017B"/>
    <w:rsid w:val="0085042D"/>
    <w:rsid w:val="008559BD"/>
    <w:rsid w:val="00856395"/>
    <w:rsid w:val="00860DF4"/>
    <w:rsid w:val="008610CB"/>
    <w:rsid w:val="008639D3"/>
    <w:rsid w:val="00865CF7"/>
    <w:rsid w:val="008672B8"/>
    <w:rsid w:val="00872357"/>
    <w:rsid w:val="0087320E"/>
    <w:rsid w:val="008737D1"/>
    <w:rsid w:val="00882C3B"/>
    <w:rsid w:val="00882E1A"/>
    <w:rsid w:val="00882EDF"/>
    <w:rsid w:val="008868A1"/>
    <w:rsid w:val="008944BA"/>
    <w:rsid w:val="0089655B"/>
    <w:rsid w:val="0089674A"/>
    <w:rsid w:val="008B2CB8"/>
    <w:rsid w:val="008C0B5E"/>
    <w:rsid w:val="008C68F8"/>
    <w:rsid w:val="008D4201"/>
    <w:rsid w:val="008E5D09"/>
    <w:rsid w:val="008E7A1D"/>
    <w:rsid w:val="008F40E7"/>
    <w:rsid w:val="008F4217"/>
    <w:rsid w:val="008F50C3"/>
    <w:rsid w:val="008F6567"/>
    <w:rsid w:val="00901B9F"/>
    <w:rsid w:val="009162A8"/>
    <w:rsid w:val="009162A9"/>
    <w:rsid w:val="00920C88"/>
    <w:rsid w:val="00924A59"/>
    <w:rsid w:val="00926A7D"/>
    <w:rsid w:val="00931D5C"/>
    <w:rsid w:val="00932DA3"/>
    <w:rsid w:val="0093347B"/>
    <w:rsid w:val="009401A1"/>
    <w:rsid w:val="00942C0F"/>
    <w:rsid w:val="00947A19"/>
    <w:rsid w:val="00960DD1"/>
    <w:rsid w:val="00962C1D"/>
    <w:rsid w:val="00963E3B"/>
    <w:rsid w:val="00970E82"/>
    <w:rsid w:val="00977880"/>
    <w:rsid w:val="009826CE"/>
    <w:rsid w:val="00982A18"/>
    <w:rsid w:val="0098432D"/>
    <w:rsid w:val="0099037F"/>
    <w:rsid w:val="00992799"/>
    <w:rsid w:val="00996DDD"/>
    <w:rsid w:val="009A386B"/>
    <w:rsid w:val="009B2D16"/>
    <w:rsid w:val="009B4009"/>
    <w:rsid w:val="009B452D"/>
    <w:rsid w:val="009C6958"/>
    <w:rsid w:val="009C6BB5"/>
    <w:rsid w:val="009C6CEA"/>
    <w:rsid w:val="009D1A18"/>
    <w:rsid w:val="009E1DAE"/>
    <w:rsid w:val="009E2315"/>
    <w:rsid w:val="009E2985"/>
    <w:rsid w:val="009F01C8"/>
    <w:rsid w:val="009F036F"/>
    <w:rsid w:val="009F4681"/>
    <w:rsid w:val="009F66F1"/>
    <w:rsid w:val="00A00823"/>
    <w:rsid w:val="00A016C0"/>
    <w:rsid w:val="00A05855"/>
    <w:rsid w:val="00A07E40"/>
    <w:rsid w:val="00A11D04"/>
    <w:rsid w:val="00A16589"/>
    <w:rsid w:val="00A20A11"/>
    <w:rsid w:val="00A2266E"/>
    <w:rsid w:val="00A232D2"/>
    <w:rsid w:val="00A277C4"/>
    <w:rsid w:val="00A35442"/>
    <w:rsid w:val="00A36D12"/>
    <w:rsid w:val="00A4068A"/>
    <w:rsid w:val="00A42D2D"/>
    <w:rsid w:val="00A464A1"/>
    <w:rsid w:val="00A62432"/>
    <w:rsid w:val="00A65624"/>
    <w:rsid w:val="00A71970"/>
    <w:rsid w:val="00A744D4"/>
    <w:rsid w:val="00A75266"/>
    <w:rsid w:val="00A7787F"/>
    <w:rsid w:val="00A81468"/>
    <w:rsid w:val="00A83923"/>
    <w:rsid w:val="00A94221"/>
    <w:rsid w:val="00A949D6"/>
    <w:rsid w:val="00A949F9"/>
    <w:rsid w:val="00A94A15"/>
    <w:rsid w:val="00AA0847"/>
    <w:rsid w:val="00AA0E0D"/>
    <w:rsid w:val="00AA12B5"/>
    <w:rsid w:val="00AA1F51"/>
    <w:rsid w:val="00AA2325"/>
    <w:rsid w:val="00AA2A63"/>
    <w:rsid w:val="00AA45D8"/>
    <w:rsid w:val="00AB210F"/>
    <w:rsid w:val="00AB5FF1"/>
    <w:rsid w:val="00AB639A"/>
    <w:rsid w:val="00AB79B5"/>
    <w:rsid w:val="00AC3B7F"/>
    <w:rsid w:val="00AC5354"/>
    <w:rsid w:val="00AC6227"/>
    <w:rsid w:val="00AC7895"/>
    <w:rsid w:val="00AD0095"/>
    <w:rsid w:val="00AD138C"/>
    <w:rsid w:val="00AD1406"/>
    <w:rsid w:val="00AD261D"/>
    <w:rsid w:val="00AD2B66"/>
    <w:rsid w:val="00AF1195"/>
    <w:rsid w:val="00AF1958"/>
    <w:rsid w:val="00AF1BA7"/>
    <w:rsid w:val="00AF2198"/>
    <w:rsid w:val="00AF5855"/>
    <w:rsid w:val="00AF637D"/>
    <w:rsid w:val="00AF6B93"/>
    <w:rsid w:val="00B1071C"/>
    <w:rsid w:val="00B12D91"/>
    <w:rsid w:val="00B21395"/>
    <w:rsid w:val="00B2343E"/>
    <w:rsid w:val="00B3413B"/>
    <w:rsid w:val="00B351AC"/>
    <w:rsid w:val="00B37A7E"/>
    <w:rsid w:val="00B40CDD"/>
    <w:rsid w:val="00B44019"/>
    <w:rsid w:val="00B4417E"/>
    <w:rsid w:val="00B47B72"/>
    <w:rsid w:val="00B47E35"/>
    <w:rsid w:val="00B50429"/>
    <w:rsid w:val="00B5190E"/>
    <w:rsid w:val="00B52965"/>
    <w:rsid w:val="00B54675"/>
    <w:rsid w:val="00B560FB"/>
    <w:rsid w:val="00B700AA"/>
    <w:rsid w:val="00B74008"/>
    <w:rsid w:val="00B804DC"/>
    <w:rsid w:val="00B810C6"/>
    <w:rsid w:val="00B93250"/>
    <w:rsid w:val="00B947B5"/>
    <w:rsid w:val="00B9602C"/>
    <w:rsid w:val="00B972C3"/>
    <w:rsid w:val="00BA257B"/>
    <w:rsid w:val="00BA4FC5"/>
    <w:rsid w:val="00BA6010"/>
    <w:rsid w:val="00BA7E5B"/>
    <w:rsid w:val="00BB0F8C"/>
    <w:rsid w:val="00BB7178"/>
    <w:rsid w:val="00BC4A8B"/>
    <w:rsid w:val="00BC5228"/>
    <w:rsid w:val="00BE647F"/>
    <w:rsid w:val="00BF7FE9"/>
    <w:rsid w:val="00C02197"/>
    <w:rsid w:val="00C021CC"/>
    <w:rsid w:val="00C14D1D"/>
    <w:rsid w:val="00C16D37"/>
    <w:rsid w:val="00C215CB"/>
    <w:rsid w:val="00C21DA3"/>
    <w:rsid w:val="00C22F8F"/>
    <w:rsid w:val="00C2303F"/>
    <w:rsid w:val="00C23AB3"/>
    <w:rsid w:val="00C23C4F"/>
    <w:rsid w:val="00C3178B"/>
    <w:rsid w:val="00C31ECB"/>
    <w:rsid w:val="00C32C3C"/>
    <w:rsid w:val="00C355D6"/>
    <w:rsid w:val="00C36F3C"/>
    <w:rsid w:val="00C4218F"/>
    <w:rsid w:val="00C46FE6"/>
    <w:rsid w:val="00C61D23"/>
    <w:rsid w:val="00C62460"/>
    <w:rsid w:val="00C64014"/>
    <w:rsid w:val="00C7058F"/>
    <w:rsid w:val="00C73CE6"/>
    <w:rsid w:val="00C76CB1"/>
    <w:rsid w:val="00C8502E"/>
    <w:rsid w:val="00C87FD9"/>
    <w:rsid w:val="00C9000F"/>
    <w:rsid w:val="00C90934"/>
    <w:rsid w:val="00CA0EB3"/>
    <w:rsid w:val="00CA5DCA"/>
    <w:rsid w:val="00CA6B57"/>
    <w:rsid w:val="00CC2616"/>
    <w:rsid w:val="00CC2A53"/>
    <w:rsid w:val="00CC31C2"/>
    <w:rsid w:val="00CC61CB"/>
    <w:rsid w:val="00CC78C3"/>
    <w:rsid w:val="00CD2A30"/>
    <w:rsid w:val="00CD4E13"/>
    <w:rsid w:val="00CD4EE2"/>
    <w:rsid w:val="00CD50BA"/>
    <w:rsid w:val="00CD712D"/>
    <w:rsid w:val="00CD7405"/>
    <w:rsid w:val="00CE140D"/>
    <w:rsid w:val="00CE23F9"/>
    <w:rsid w:val="00CE6179"/>
    <w:rsid w:val="00CF5676"/>
    <w:rsid w:val="00CF5C5F"/>
    <w:rsid w:val="00D064B8"/>
    <w:rsid w:val="00D10A9D"/>
    <w:rsid w:val="00D126A6"/>
    <w:rsid w:val="00D15D74"/>
    <w:rsid w:val="00D1614A"/>
    <w:rsid w:val="00D17D4D"/>
    <w:rsid w:val="00D239F7"/>
    <w:rsid w:val="00D25871"/>
    <w:rsid w:val="00D25B8C"/>
    <w:rsid w:val="00D277F5"/>
    <w:rsid w:val="00D3135F"/>
    <w:rsid w:val="00D35306"/>
    <w:rsid w:val="00D46974"/>
    <w:rsid w:val="00D53AA4"/>
    <w:rsid w:val="00D543B8"/>
    <w:rsid w:val="00D56918"/>
    <w:rsid w:val="00D60E27"/>
    <w:rsid w:val="00D652FA"/>
    <w:rsid w:val="00D66EDC"/>
    <w:rsid w:val="00D67A07"/>
    <w:rsid w:val="00D67E6E"/>
    <w:rsid w:val="00D7153E"/>
    <w:rsid w:val="00D775D9"/>
    <w:rsid w:val="00D77F83"/>
    <w:rsid w:val="00D8197D"/>
    <w:rsid w:val="00D82F1D"/>
    <w:rsid w:val="00D9099A"/>
    <w:rsid w:val="00D91984"/>
    <w:rsid w:val="00D93609"/>
    <w:rsid w:val="00D94DF5"/>
    <w:rsid w:val="00D96A2B"/>
    <w:rsid w:val="00D973A2"/>
    <w:rsid w:val="00DA0B36"/>
    <w:rsid w:val="00DA4F8E"/>
    <w:rsid w:val="00DB0B5D"/>
    <w:rsid w:val="00DB10A6"/>
    <w:rsid w:val="00DB369C"/>
    <w:rsid w:val="00DB4168"/>
    <w:rsid w:val="00DC43A2"/>
    <w:rsid w:val="00DC5536"/>
    <w:rsid w:val="00DC7B03"/>
    <w:rsid w:val="00DD127B"/>
    <w:rsid w:val="00DD474C"/>
    <w:rsid w:val="00DD5DDF"/>
    <w:rsid w:val="00DE0FB6"/>
    <w:rsid w:val="00DF719D"/>
    <w:rsid w:val="00E06302"/>
    <w:rsid w:val="00E075DF"/>
    <w:rsid w:val="00E12D8E"/>
    <w:rsid w:val="00E21875"/>
    <w:rsid w:val="00E228C0"/>
    <w:rsid w:val="00E249BD"/>
    <w:rsid w:val="00E25909"/>
    <w:rsid w:val="00E31E48"/>
    <w:rsid w:val="00E34328"/>
    <w:rsid w:val="00E36139"/>
    <w:rsid w:val="00E37601"/>
    <w:rsid w:val="00E40997"/>
    <w:rsid w:val="00E41A89"/>
    <w:rsid w:val="00E4357F"/>
    <w:rsid w:val="00E44161"/>
    <w:rsid w:val="00E454D8"/>
    <w:rsid w:val="00E47228"/>
    <w:rsid w:val="00E50692"/>
    <w:rsid w:val="00E540FE"/>
    <w:rsid w:val="00E5435C"/>
    <w:rsid w:val="00E61B69"/>
    <w:rsid w:val="00E64D63"/>
    <w:rsid w:val="00E7220A"/>
    <w:rsid w:val="00E73D56"/>
    <w:rsid w:val="00E77800"/>
    <w:rsid w:val="00E82BC6"/>
    <w:rsid w:val="00E91B76"/>
    <w:rsid w:val="00E94090"/>
    <w:rsid w:val="00EA1D41"/>
    <w:rsid w:val="00EB31F7"/>
    <w:rsid w:val="00EB41B3"/>
    <w:rsid w:val="00EB4C74"/>
    <w:rsid w:val="00EB66F6"/>
    <w:rsid w:val="00EC30B5"/>
    <w:rsid w:val="00EC587D"/>
    <w:rsid w:val="00EC719C"/>
    <w:rsid w:val="00ED2887"/>
    <w:rsid w:val="00ED7569"/>
    <w:rsid w:val="00EE03FB"/>
    <w:rsid w:val="00EE332E"/>
    <w:rsid w:val="00EE6C51"/>
    <w:rsid w:val="00EF47E0"/>
    <w:rsid w:val="00F00FA8"/>
    <w:rsid w:val="00F03122"/>
    <w:rsid w:val="00F048A0"/>
    <w:rsid w:val="00F10686"/>
    <w:rsid w:val="00F10736"/>
    <w:rsid w:val="00F109E8"/>
    <w:rsid w:val="00F203E8"/>
    <w:rsid w:val="00F20F9A"/>
    <w:rsid w:val="00F22295"/>
    <w:rsid w:val="00F239D3"/>
    <w:rsid w:val="00F31609"/>
    <w:rsid w:val="00F32D11"/>
    <w:rsid w:val="00F40AF9"/>
    <w:rsid w:val="00F42B57"/>
    <w:rsid w:val="00F46DE3"/>
    <w:rsid w:val="00F50026"/>
    <w:rsid w:val="00F5372E"/>
    <w:rsid w:val="00F5605F"/>
    <w:rsid w:val="00F604E8"/>
    <w:rsid w:val="00F6134E"/>
    <w:rsid w:val="00F6318C"/>
    <w:rsid w:val="00F70352"/>
    <w:rsid w:val="00F73587"/>
    <w:rsid w:val="00F80C76"/>
    <w:rsid w:val="00F80E31"/>
    <w:rsid w:val="00F87895"/>
    <w:rsid w:val="00F87A19"/>
    <w:rsid w:val="00F87B00"/>
    <w:rsid w:val="00F87CFC"/>
    <w:rsid w:val="00F90C74"/>
    <w:rsid w:val="00F966ED"/>
    <w:rsid w:val="00FA0C6A"/>
    <w:rsid w:val="00FA5828"/>
    <w:rsid w:val="00FB007D"/>
    <w:rsid w:val="00FB5AD7"/>
    <w:rsid w:val="00FD0A0E"/>
    <w:rsid w:val="00FD38F8"/>
    <w:rsid w:val="00FD4324"/>
    <w:rsid w:val="00FD7E8B"/>
    <w:rsid w:val="00FE07AC"/>
    <w:rsid w:val="00FE11F3"/>
    <w:rsid w:val="00FE2D88"/>
    <w:rsid w:val="00FF43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Straight Connector 30"/>
        <o:r id="V:Rule2" type="connector" idref="#Straight Connector 288"/>
        <o:r id="V:Rule3" type="connector" idref="#Straight Connector 289"/>
        <o:r id="V:Rule4" type="connector" idref="#Straight Connector 29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75D9"/>
    <w:pPr>
      <w:spacing w:after="240" w:line="260" w:lineRule="exact"/>
      <w:jc w:val="both"/>
    </w:pPr>
    <w:rPr>
      <w:rFonts w:ascii="Book Antiqua" w:hAnsi="Book Antiqua"/>
      <w:szCs w:val="24"/>
      <w:lang w:eastAsia="en-US"/>
    </w:rPr>
  </w:style>
  <w:style w:type="paragraph" w:styleId="Heading1">
    <w:name w:val="heading 1"/>
    <w:basedOn w:val="HeadingBase"/>
    <w:next w:val="Normal"/>
    <w:qFormat/>
    <w:rsid w:val="00E77800"/>
    <w:pPr>
      <w:spacing w:after="240"/>
      <w:jc w:val="center"/>
      <w:outlineLvl w:val="0"/>
    </w:pPr>
    <w:rPr>
      <w:b/>
      <w:bCs/>
      <w:smallCaps/>
      <w:kern w:val="28"/>
      <w:sz w:val="34"/>
      <w:szCs w:val="32"/>
    </w:rPr>
  </w:style>
  <w:style w:type="paragraph" w:styleId="Heading2">
    <w:name w:val="heading 2"/>
    <w:basedOn w:val="HeadingBase"/>
    <w:next w:val="Normal"/>
    <w:qFormat/>
    <w:rsid w:val="00027949"/>
    <w:pPr>
      <w:keepNext/>
      <w:spacing w:before="240" w:after="240"/>
      <w:outlineLvl w:val="1"/>
    </w:pPr>
    <w:rPr>
      <w:rFonts w:ascii="Arial Bold" w:hAnsi="Arial Bold"/>
      <w:b/>
      <w:bCs/>
      <w:iCs/>
      <w:smallCaps/>
      <w:color w:val="000000"/>
      <w:sz w:val="26"/>
      <w:szCs w:val="28"/>
    </w:rPr>
  </w:style>
  <w:style w:type="paragraph" w:styleId="Heading3">
    <w:name w:val="heading 3"/>
    <w:basedOn w:val="HeadingBase"/>
    <w:next w:val="Normal"/>
    <w:qFormat/>
    <w:rsid w:val="00056AF8"/>
    <w:pPr>
      <w:keepNext/>
      <w:spacing w:before="120" w:after="120"/>
      <w:outlineLvl w:val="2"/>
    </w:pPr>
    <w:rPr>
      <w:rFonts w:ascii="Arial Bold" w:hAnsi="Arial Bold"/>
      <w:b/>
      <w:bCs/>
      <w:color w:val="000000"/>
      <w:sz w:val="22"/>
      <w:szCs w:val="26"/>
    </w:rPr>
  </w:style>
  <w:style w:type="paragraph" w:styleId="Heading4">
    <w:name w:val="heading 4"/>
    <w:basedOn w:val="HeadingBase"/>
    <w:next w:val="Normal"/>
    <w:qFormat/>
    <w:rsid w:val="00056AF8"/>
    <w:pPr>
      <w:keepNext/>
      <w:spacing w:after="120"/>
      <w:outlineLvl w:val="3"/>
    </w:pPr>
    <w:rPr>
      <w:b/>
      <w:color w:val="000000"/>
      <w:sz w:val="20"/>
    </w:rPr>
  </w:style>
  <w:style w:type="paragraph" w:styleId="Heading5">
    <w:name w:val="heading 5"/>
    <w:basedOn w:val="HeadingBase"/>
    <w:next w:val="Normal"/>
    <w:qFormat/>
    <w:rsid w:val="00056AF8"/>
    <w:pPr>
      <w:keepNext/>
      <w:spacing w:after="120"/>
      <w:outlineLvl w:val="4"/>
    </w:pPr>
    <w:rPr>
      <w:color w:val="000000"/>
      <w:sz w:val="20"/>
    </w:rPr>
  </w:style>
  <w:style w:type="paragraph" w:styleId="Heading6">
    <w:name w:val="heading 6"/>
    <w:basedOn w:val="HeadingBase"/>
    <w:next w:val="Normal"/>
    <w:qFormat/>
    <w:rsid w:val="00E77800"/>
    <w:pPr>
      <w:keepNext/>
      <w:spacing w:after="120"/>
      <w:outlineLvl w:val="5"/>
    </w:pPr>
    <w:rPr>
      <w:color w:val="000000"/>
      <w:sz w:val="20"/>
    </w:rPr>
  </w:style>
  <w:style w:type="paragraph" w:styleId="Heading7">
    <w:name w:val="heading 7"/>
    <w:basedOn w:val="HeadingBase"/>
    <w:next w:val="Normal"/>
    <w:qFormat/>
    <w:rsid w:val="00E77800"/>
    <w:pPr>
      <w:spacing w:after="100"/>
      <w:outlineLvl w:val="6"/>
    </w:pPr>
    <w:rPr>
      <w:color w:val="000000"/>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Heading">
    <w:name w:val="Box Heading"/>
    <w:basedOn w:val="HeadingBase"/>
    <w:next w:val="Normal"/>
    <w:rsid w:val="00E77800"/>
    <w:pPr>
      <w:spacing w:before="240" w:after="120"/>
    </w:pPr>
    <w:rPr>
      <w:rFonts w:ascii="Arial Bold" w:hAnsi="Arial Bold"/>
      <w:b/>
      <w:sz w:val="20"/>
    </w:rPr>
  </w:style>
  <w:style w:type="paragraph" w:customStyle="1" w:styleId="Bullet">
    <w:name w:val="Bullet"/>
    <w:basedOn w:val="Normal"/>
    <w:rsid w:val="0013092B"/>
    <w:pPr>
      <w:numPr>
        <w:numId w:val="23"/>
      </w:numPr>
      <w:ind w:left="284" w:hanging="284"/>
    </w:pPr>
    <w:rPr>
      <w:color w:val="000000"/>
      <w:szCs w:val="20"/>
      <w:lang w:eastAsia="en-AU"/>
    </w:rPr>
  </w:style>
  <w:style w:type="paragraph" w:customStyle="1" w:styleId="ChartandTableFootnote">
    <w:name w:val="Chart and Table Footnote"/>
    <w:basedOn w:val="HeadingBase"/>
    <w:next w:val="Normal"/>
    <w:rsid w:val="00E77800"/>
    <w:pPr>
      <w:jc w:val="both"/>
    </w:pPr>
    <w:rPr>
      <w:color w:val="000000"/>
      <w:sz w:val="16"/>
    </w:rPr>
  </w:style>
  <w:style w:type="paragraph" w:customStyle="1" w:styleId="ChartandTableFootnoteAlpha">
    <w:name w:val="Chart and Table Footnote Alpha"/>
    <w:basedOn w:val="ChartandTableFootnote"/>
    <w:next w:val="Normal"/>
    <w:link w:val="ChartandTableFootnoteAlphaChar"/>
    <w:rsid w:val="00E77800"/>
    <w:pPr>
      <w:numPr>
        <w:numId w:val="2"/>
      </w:numPr>
    </w:pPr>
  </w:style>
  <w:style w:type="paragraph" w:customStyle="1" w:styleId="ChartGraphic">
    <w:name w:val="Chart Graphic"/>
    <w:basedOn w:val="HeadingBase"/>
    <w:next w:val="Normal"/>
    <w:rsid w:val="00E77800"/>
    <w:pPr>
      <w:jc w:val="center"/>
    </w:pPr>
    <w:rPr>
      <w:color w:val="000000"/>
      <w:sz w:val="20"/>
    </w:rPr>
  </w:style>
  <w:style w:type="paragraph" w:customStyle="1" w:styleId="ChartHeading">
    <w:name w:val="Chart Heading"/>
    <w:basedOn w:val="HeadingBase"/>
    <w:next w:val="ChartGraphic"/>
    <w:rsid w:val="00E77800"/>
    <w:pPr>
      <w:keepNext/>
      <w:spacing w:before="120"/>
      <w:jc w:val="center"/>
    </w:pPr>
    <w:rPr>
      <w:b/>
      <w:color w:val="000000"/>
      <w:sz w:val="20"/>
    </w:rPr>
  </w:style>
  <w:style w:type="paragraph" w:customStyle="1" w:styleId="ChartSecondHeading">
    <w:name w:val="Chart Second Heading"/>
    <w:basedOn w:val="ChartHeading"/>
    <w:next w:val="ChartGraphic"/>
    <w:rsid w:val="00E77800"/>
    <w:pPr>
      <w:spacing w:before="60"/>
    </w:pPr>
    <w:rPr>
      <w:b w:val="0"/>
    </w:rPr>
  </w:style>
  <w:style w:type="paragraph" w:customStyle="1" w:styleId="Classification">
    <w:name w:val="Classification"/>
    <w:basedOn w:val="HeadingBase"/>
    <w:rsid w:val="00E77800"/>
    <w:pPr>
      <w:jc w:val="center"/>
    </w:pPr>
    <w:rPr>
      <w:b/>
      <w:smallCaps/>
      <w:color w:val="000000"/>
    </w:rPr>
  </w:style>
  <w:style w:type="paragraph" w:customStyle="1" w:styleId="ContentsHeading">
    <w:name w:val="Contents Heading"/>
    <w:basedOn w:val="HeadingBase"/>
    <w:next w:val="Normal"/>
    <w:rsid w:val="00E77800"/>
    <w:pPr>
      <w:spacing w:after="360"/>
      <w:jc w:val="center"/>
    </w:pPr>
    <w:rPr>
      <w:b/>
      <w:smallCaps/>
      <w:sz w:val="34"/>
    </w:rPr>
  </w:style>
  <w:style w:type="paragraph" w:customStyle="1" w:styleId="ContentsSecondHeading">
    <w:name w:val="Contents Second Heading"/>
    <w:basedOn w:val="HeadingBase"/>
    <w:next w:val="Normal"/>
    <w:rsid w:val="00E77800"/>
    <w:pPr>
      <w:spacing w:after="360"/>
      <w:jc w:val="center"/>
    </w:pPr>
    <w:rPr>
      <w:color w:val="000000"/>
      <w:sz w:val="30"/>
    </w:rPr>
  </w:style>
  <w:style w:type="paragraph" w:customStyle="1" w:styleId="Dash">
    <w:name w:val="Dash"/>
    <w:basedOn w:val="Normal"/>
    <w:rsid w:val="0013092B"/>
    <w:pPr>
      <w:numPr>
        <w:ilvl w:val="1"/>
        <w:numId w:val="23"/>
      </w:numPr>
    </w:pPr>
    <w:rPr>
      <w:color w:val="000000"/>
      <w:szCs w:val="20"/>
      <w:lang w:eastAsia="en-AU"/>
    </w:rPr>
  </w:style>
  <w:style w:type="paragraph" w:customStyle="1" w:styleId="DoubleDot">
    <w:name w:val="Double Dot"/>
    <w:basedOn w:val="Normal"/>
    <w:rsid w:val="0013092B"/>
    <w:pPr>
      <w:numPr>
        <w:ilvl w:val="2"/>
        <w:numId w:val="23"/>
      </w:numPr>
    </w:pPr>
    <w:rPr>
      <w:color w:val="000000"/>
      <w:szCs w:val="20"/>
      <w:lang w:eastAsia="en-AU"/>
    </w:rPr>
  </w:style>
  <w:style w:type="paragraph" w:customStyle="1" w:styleId="FileProperties">
    <w:name w:val="File Properties"/>
    <w:basedOn w:val="Normal"/>
    <w:rsid w:val="00E77800"/>
    <w:rPr>
      <w:i/>
      <w:color w:val="000000"/>
    </w:rPr>
  </w:style>
  <w:style w:type="paragraph" w:customStyle="1" w:styleId="FooterBase">
    <w:name w:val="Footer Base"/>
    <w:rsid w:val="00E77800"/>
    <w:rPr>
      <w:rFonts w:ascii="Arial" w:hAnsi="Arial" w:cs="Arial"/>
      <w:szCs w:val="24"/>
      <w:lang w:eastAsia="en-US"/>
    </w:rPr>
  </w:style>
  <w:style w:type="character" w:customStyle="1" w:styleId="FramedHeader">
    <w:name w:val="Framed Header"/>
    <w:rsid w:val="00E77800"/>
    <w:rPr>
      <w:rFonts w:ascii="Book Antiqua" w:hAnsi="Book Antiqua"/>
      <w:i/>
      <w:dstrike w:val="0"/>
      <w:color w:val="auto"/>
      <w:sz w:val="20"/>
      <w:vertAlign w:val="baseline"/>
    </w:rPr>
  </w:style>
  <w:style w:type="paragraph" w:customStyle="1" w:styleId="HeaderBase">
    <w:name w:val="Header Base"/>
    <w:rsid w:val="00E77800"/>
    <w:rPr>
      <w:rFonts w:ascii="Book Antiqua" w:hAnsi="Book Antiqua"/>
      <w:i/>
      <w:szCs w:val="24"/>
      <w:lang w:eastAsia="en-US"/>
    </w:rPr>
  </w:style>
  <w:style w:type="paragraph" w:customStyle="1" w:styleId="HeaderEven">
    <w:name w:val="Header Even"/>
    <w:basedOn w:val="HeaderBase"/>
    <w:rsid w:val="00E77800"/>
  </w:style>
  <w:style w:type="paragraph" w:customStyle="1" w:styleId="HeaderOdd">
    <w:name w:val="Header Odd"/>
    <w:basedOn w:val="HeaderBase"/>
    <w:rsid w:val="00E77800"/>
    <w:pPr>
      <w:jc w:val="right"/>
    </w:pPr>
  </w:style>
  <w:style w:type="paragraph" w:customStyle="1" w:styleId="HeadingBase">
    <w:name w:val="Heading Base"/>
    <w:rsid w:val="00E77800"/>
    <w:rPr>
      <w:rFonts w:ascii="Arial" w:hAnsi="Arial" w:cs="Arial"/>
      <w:sz w:val="24"/>
      <w:szCs w:val="24"/>
      <w:lang w:eastAsia="en-US"/>
    </w:rPr>
  </w:style>
  <w:style w:type="paragraph" w:customStyle="1" w:styleId="AppendixHeading">
    <w:name w:val="Appendix Heading"/>
    <w:basedOn w:val="HeadingBase"/>
    <w:next w:val="Normal"/>
    <w:rsid w:val="00CD7405"/>
    <w:pPr>
      <w:spacing w:after="240"/>
      <w:jc w:val="center"/>
      <w:outlineLvl w:val="3"/>
    </w:pPr>
    <w:rPr>
      <w:rFonts w:ascii="Arial Bold" w:hAnsi="Arial Bold"/>
      <w:b/>
      <w:smallCaps/>
      <w:color w:val="000000"/>
      <w:sz w:val="34"/>
      <w:szCs w:val="34"/>
    </w:rPr>
  </w:style>
  <w:style w:type="paragraph" w:styleId="TOC5">
    <w:name w:val="toc 5"/>
    <w:basedOn w:val="HeadingBase"/>
    <w:next w:val="Normal"/>
    <w:autoRedefine/>
    <w:semiHidden/>
    <w:rsid w:val="00E77800"/>
    <w:pPr>
      <w:tabs>
        <w:tab w:val="left" w:pos="1134"/>
        <w:tab w:val="right" w:leader="dot" w:pos="7700"/>
      </w:tabs>
      <w:spacing w:before="120"/>
      <w:ind w:left="1134" w:right="851" w:hanging="1134"/>
    </w:pPr>
    <w:rPr>
      <w:sz w:val="20"/>
    </w:rPr>
  </w:style>
  <w:style w:type="paragraph" w:customStyle="1" w:styleId="TableGraphic">
    <w:name w:val="Table Graphic"/>
    <w:basedOn w:val="TableHeading"/>
    <w:next w:val="Normal"/>
    <w:rsid w:val="00E77800"/>
    <w:pPr>
      <w:keepNext w:val="0"/>
      <w:spacing w:before="0"/>
      <w:ind w:right="-113"/>
    </w:pPr>
    <w:rPr>
      <w:b w:val="0"/>
    </w:rPr>
  </w:style>
  <w:style w:type="paragraph" w:customStyle="1" w:styleId="TableHeading">
    <w:name w:val="Table Heading"/>
    <w:basedOn w:val="HeadingBase"/>
    <w:next w:val="TableGraphic"/>
    <w:link w:val="TableHeadingChar"/>
    <w:rsid w:val="00E77800"/>
    <w:pPr>
      <w:keepNext/>
      <w:spacing w:before="120" w:after="20"/>
    </w:pPr>
    <w:rPr>
      <w:b/>
      <w:color w:val="000000"/>
      <w:sz w:val="20"/>
    </w:rPr>
  </w:style>
  <w:style w:type="paragraph" w:customStyle="1" w:styleId="TableHeadingcontinued">
    <w:name w:val="Table Heading continued"/>
    <w:basedOn w:val="HeadingBase"/>
    <w:next w:val="TableGraphic"/>
    <w:rsid w:val="00E77800"/>
    <w:pPr>
      <w:keepNext/>
      <w:spacing w:before="120" w:after="20"/>
    </w:pPr>
    <w:rPr>
      <w:b/>
      <w:color w:val="000000"/>
      <w:sz w:val="20"/>
    </w:rPr>
  </w:style>
  <w:style w:type="paragraph" w:styleId="Footer">
    <w:name w:val="footer"/>
    <w:basedOn w:val="FooterBase"/>
    <w:link w:val="FooterChar"/>
    <w:rsid w:val="00E77800"/>
    <w:pPr>
      <w:jc w:val="center"/>
    </w:pPr>
    <w:rPr>
      <w:color w:val="000000"/>
    </w:rPr>
  </w:style>
  <w:style w:type="paragraph" w:styleId="Header">
    <w:name w:val="header"/>
    <w:basedOn w:val="HeaderBase"/>
    <w:rsid w:val="00E77800"/>
  </w:style>
  <w:style w:type="character" w:styleId="PageNumber">
    <w:name w:val="page number"/>
    <w:rsid w:val="00E77800"/>
    <w:rPr>
      <w:rFonts w:ascii="Arial" w:hAnsi="Arial" w:cs="Arial"/>
    </w:rPr>
  </w:style>
  <w:style w:type="character" w:styleId="FootnoteReference">
    <w:name w:val="footnote reference"/>
    <w:rsid w:val="00E77800"/>
    <w:rPr>
      <w:rFonts w:ascii="Book Antiqua" w:hAnsi="Book Antiqua"/>
      <w:dstrike w:val="0"/>
      <w:sz w:val="20"/>
      <w:vertAlign w:val="superscript"/>
    </w:rPr>
  </w:style>
  <w:style w:type="paragraph" w:styleId="FootnoteText">
    <w:name w:val="footnote text"/>
    <w:basedOn w:val="Normal"/>
    <w:link w:val="FootnoteTextChar"/>
    <w:rsid w:val="00E77800"/>
    <w:pPr>
      <w:tabs>
        <w:tab w:val="left" w:pos="283"/>
      </w:tabs>
      <w:spacing w:after="0" w:line="240" w:lineRule="auto"/>
      <w:ind w:left="284" w:hanging="284"/>
    </w:pPr>
    <w:rPr>
      <w:color w:val="000000"/>
      <w:sz w:val="18"/>
    </w:rPr>
  </w:style>
  <w:style w:type="paragraph" w:styleId="Index1">
    <w:name w:val="index 1"/>
    <w:basedOn w:val="Normal"/>
    <w:next w:val="Normal"/>
    <w:autoRedefine/>
    <w:semiHidden/>
    <w:rsid w:val="00E77800"/>
    <w:pPr>
      <w:ind w:left="198" w:hanging="198"/>
    </w:pPr>
    <w:rPr>
      <w:color w:val="000000"/>
      <w:sz w:val="18"/>
    </w:rPr>
  </w:style>
  <w:style w:type="paragraph" w:styleId="Index2">
    <w:name w:val="index 2"/>
    <w:basedOn w:val="Normal"/>
    <w:next w:val="Normal"/>
    <w:autoRedefine/>
    <w:semiHidden/>
    <w:rsid w:val="00E77800"/>
    <w:pPr>
      <w:ind w:left="397" w:hanging="198"/>
    </w:pPr>
    <w:rPr>
      <w:color w:val="000000"/>
      <w:sz w:val="18"/>
    </w:rPr>
  </w:style>
  <w:style w:type="paragraph" w:styleId="Index3">
    <w:name w:val="index 3"/>
    <w:basedOn w:val="Normal"/>
    <w:next w:val="Normal"/>
    <w:autoRedefine/>
    <w:semiHidden/>
    <w:rsid w:val="00E77800"/>
    <w:pPr>
      <w:ind w:left="601" w:hanging="198"/>
    </w:pPr>
    <w:rPr>
      <w:color w:val="000000"/>
      <w:sz w:val="18"/>
    </w:rPr>
  </w:style>
  <w:style w:type="paragraph" w:styleId="IndexHeading">
    <w:name w:val="index heading"/>
    <w:basedOn w:val="Normal"/>
    <w:next w:val="Index1"/>
    <w:semiHidden/>
    <w:rsid w:val="00E77800"/>
    <w:pPr>
      <w:spacing w:before="240" w:after="120"/>
      <w:jc w:val="center"/>
    </w:pPr>
    <w:rPr>
      <w:rFonts w:ascii="Arial" w:hAnsi="Arial" w:cs="Arial"/>
      <w:b/>
      <w:bCs/>
      <w:color w:val="000000"/>
      <w:sz w:val="24"/>
    </w:rPr>
  </w:style>
  <w:style w:type="paragraph" w:styleId="TOC1">
    <w:name w:val="toc 1"/>
    <w:basedOn w:val="HeadingBase"/>
    <w:next w:val="Normal"/>
    <w:autoRedefine/>
    <w:uiPriority w:val="39"/>
    <w:rsid w:val="00D8197D"/>
    <w:pPr>
      <w:tabs>
        <w:tab w:val="right" w:leader="dot" w:pos="7699"/>
      </w:tabs>
      <w:spacing w:before="120" w:after="60"/>
      <w:ind w:right="851"/>
    </w:pPr>
    <w:rPr>
      <w:rFonts w:ascii="Helvetica" w:hAnsi="Helvetica"/>
      <w:b/>
      <w:smallCaps/>
      <w:color w:val="000000"/>
      <w:sz w:val="22"/>
      <w:szCs w:val="20"/>
    </w:rPr>
  </w:style>
  <w:style w:type="paragraph" w:styleId="TOC2">
    <w:name w:val="toc 2"/>
    <w:basedOn w:val="Normal"/>
    <w:next w:val="Normal"/>
    <w:autoRedefine/>
    <w:uiPriority w:val="39"/>
    <w:rsid w:val="00D8197D"/>
    <w:pPr>
      <w:tabs>
        <w:tab w:val="right" w:leader="dot" w:pos="7699"/>
      </w:tabs>
      <w:spacing w:before="40" w:after="60" w:line="240" w:lineRule="auto"/>
      <w:jc w:val="left"/>
    </w:pPr>
    <w:rPr>
      <w:rFonts w:ascii="Arial" w:hAnsi="Arial"/>
    </w:rPr>
  </w:style>
  <w:style w:type="paragraph" w:styleId="TOC3">
    <w:name w:val="toc 3"/>
    <w:basedOn w:val="HeadingBase"/>
    <w:next w:val="Normal"/>
    <w:autoRedefine/>
    <w:semiHidden/>
    <w:rsid w:val="00E77800"/>
    <w:pPr>
      <w:ind w:left="400"/>
    </w:pPr>
  </w:style>
  <w:style w:type="paragraph" w:styleId="TOC4">
    <w:name w:val="toc 4"/>
    <w:basedOn w:val="Normal"/>
    <w:next w:val="Normal"/>
    <w:autoRedefine/>
    <w:semiHidden/>
    <w:rsid w:val="00E77800"/>
    <w:pPr>
      <w:tabs>
        <w:tab w:val="right" w:leader="dot" w:pos="7699"/>
      </w:tabs>
      <w:spacing w:before="40" w:after="0" w:line="240" w:lineRule="auto"/>
      <w:jc w:val="left"/>
    </w:pPr>
    <w:rPr>
      <w:rFonts w:ascii="Arial" w:hAnsi="Arial"/>
    </w:rPr>
  </w:style>
  <w:style w:type="paragraph" w:styleId="TOC6">
    <w:name w:val="toc 6"/>
    <w:basedOn w:val="Normal"/>
    <w:next w:val="Normal"/>
    <w:autoRedefine/>
    <w:semiHidden/>
    <w:rsid w:val="00E77800"/>
    <w:pPr>
      <w:ind w:left="1000"/>
    </w:pPr>
  </w:style>
  <w:style w:type="paragraph" w:customStyle="1" w:styleId="SingleParagraph">
    <w:name w:val="Single Paragraph"/>
    <w:basedOn w:val="Normal"/>
    <w:next w:val="Normal"/>
    <w:rsid w:val="00E77800"/>
    <w:pPr>
      <w:spacing w:after="0"/>
    </w:pPr>
  </w:style>
  <w:style w:type="paragraph" w:styleId="TOC7">
    <w:name w:val="toc 7"/>
    <w:basedOn w:val="Normal"/>
    <w:next w:val="Normal"/>
    <w:autoRedefine/>
    <w:semiHidden/>
    <w:rsid w:val="00E77800"/>
    <w:pPr>
      <w:ind w:left="1200"/>
    </w:pPr>
  </w:style>
  <w:style w:type="paragraph" w:styleId="TOC8">
    <w:name w:val="toc 8"/>
    <w:basedOn w:val="Normal"/>
    <w:next w:val="Normal"/>
    <w:autoRedefine/>
    <w:semiHidden/>
    <w:rsid w:val="00E77800"/>
    <w:pPr>
      <w:ind w:left="1400"/>
    </w:pPr>
  </w:style>
  <w:style w:type="paragraph" w:styleId="ListBullet4">
    <w:name w:val="List Bullet 4"/>
    <w:basedOn w:val="Normal"/>
    <w:autoRedefine/>
    <w:rsid w:val="00E77800"/>
    <w:pPr>
      <w:numPr>
        <w:numId w:val="6"/>
      </w:numPr>
    </w:pPr>
  </w:style>
  <w:style w:type="paragraph" w:customStyle="1" w:styleId="FigureHeading">
    <w:name w:val="Figure Heading"/>
    <w:basedOn w:val="HeadingBase"/>
    <w:next w:val="TableGraphic"/>
    <w:rsid w:val="00E77800"/>
    <w:pPr>
      <w:keepNext/>
      <w:spacing w:before="120" w:after="20"/>
    </w:pPr>
    <w:rPr>
      <w:b/>
      <w:color w:val="000000"/>
      <w:sz w:val="20"/>
    </w:rPr>
  </w:style>
  <w:style w:type="paragraph" w:customStyle="1" w:styleId="NoteTableHeading">
    <w:name w:val="Note Table Heading"/>
    <w:basedOn w:val="HeadingBase"/>
    <w:next w:val="TableGraphic"/>
    <w:rsid w:val="00E77800"/>
    <w:pPr>
      <w:keepNext/>
      <w:spacing w:before="480"/>
    </w:pPr>
    <w:rPr>
      <w:b/>
      <w:color w:val="000000"/>
      <w:sz w:val="20"/>
    </w:rPr>
  </w:style>
  <w:style w:type="paragraph" w:customStyle="1" w:styleId="ChartandTableFootnoteAlphaSmall">
    <w:name w:val="Chart and Table Footnote Alpha Small"/>
    <w:basedOn w:val="ChartandTableFootnoteAlpha"/>
    <w:rsid w:val="00E77800"/>
    <w:pPr>
      <w:numPr>
        <w:numId w:val="9"/>
      </w:numPr>
    </w:pPr>
    <w:rPr>
      <w:sz w:val="15"/>
    </w:rPr>
  </w:style>
  <w:style w:type="paragraph" w:customStyle="1" w:styleId="ChartandTableFootnoteSmall">
    <w:name w:val="Chart and Table Footnote Small"/>
    <w:basedOn w:val="ChartandTableFootnote"/>
    <w:rsid w:val="00E77800"/>
    <w:rPr>
      <w:sz w:val="15"/>
    </w:rPr>
  </w:style>
  <w:style w:type="paragraph" w:customStyle="1" w:styleId="Source">
    <w:name w:val="Source"/>
    <w:basedOn w:val="HeadingBase"/>
    <w:next w:val="Normal"/>
    <w:rsid w:val="00083F03"/>
    <w:pPr>
      <w:spacing w:after="240"/>
      <w:jc w:val="both"/>
    </w:pPr>
    <w:rPr>
      <w:sz w:val="16"/>
    </w:rPr>
  </w:style>
  <w:style w:type="paragraph" w:customStyle="1" w:styleId="BlockedQuotation">
    <w:name w:val="Blocked Quotation"/>
    <w:basedOn w:val="Normal"/>
    <w:rsid w:val="00E77800"/>
    <w:pPr>
      <w:ind w:left="567"/>
    </w:pPr>
  </w:style>
  <w:style w:type="paragraph" w:customStyle="1" w:styleId="Exactly">
    <w:name w:val="Exactly"/>
    <w:basedOn w:val="Normal"/>
    <w:next w:val="Normal"/>
    <w:rsid w:val="00E77800"/>
    <w:pPr>
      <w:spacing w:line="240" w:lineRule="auto"/>
    </w:pPr>
  </w:style>
  <w:style w:type="paragraph" w:customStyle="1" w:styleId="SingleParagraph0">
    <w:name w:val="SingleParagraph"/>
    <w:basedOn w:val="Normal"/>
    <w:next w:val="Normal"/>
    <w:rsid w:val="00E77800"/>
    <w:pPr>
      <w:spacing w:after="0" w:line="240" w:lineRule="auto"/>
    </w:pPr>
    <w:rPr>
      <w:color w:val="000000"/>
    </w:rPr>
  </w:style>
  <w:style w:type="paragraph" w:customStyle="1" w:styleId="MeasureTableTextLeftAligned">
    <w:name w:val="Measure Table Text Left Aligned"/>
    <w:basedOn w:val="Normal"/>
    <w:rsid w:val="00E77800"/>
    <w:pPr>
      <w:spacing w:before="60" w:after="60" w:line="240" w:lineRule="auto"/>
      <w:jc w:val="left"/>
    </w:pPr>
    <w:rPr>
      <w:rFonts w:ascii="Arial" w:hAnsi="Arial"/>
      <w:color w:val="000000"/>
      <w:sz w:val="16"/>
    </w:rPr>
  </w:style>
  <w:style w:type="paragraph" w:customStyle="1" w:styleId="MeasureTableTextRightAligned">
    <w:name w:val="Measure Table Text Right Aligned"/>
    <w:basedOn w:val="Normal"/>
    <w:rsid w:val="00E77800"/>
    <w:pPr>
      <w:spacing w:before="60" w:after="60" w:line="240" w:lineRule="auto"/>
      <w:jc w:val="right"/>
    </w:pPr>
    <w:rPr>
      <w:rFonts w:ascii="Arial" w:hAnsi="Arial"/>
      <w:sz w:val="16"/>
    </w:rPr>
  </w:style>
  <w:style w:type="paragraph" w:customStyle="1" w:styleId="Attachmentheading">
    <w:name w:val="Attachment heading"/>
    <w:basedOn w:val="Normal"/>
    <w:next w:val="Normal"/>
    <w:rsid w:val="00302B50"/>
    <w:pPr>
      <w:spacing w:line="240" w:lineRule="auto"/>
      <w:jc w:val="right"/>
    </w:pPr>
    <w:rPr>
      <w:rFonts w:ascii="Arial Bold" w:hAnsi="Arial Bold"/>
      <w:b/>
      <w:sz w:val="22"/>
    </w:rPr>
  </w:style>
  <w:style w:type="paragraph" w:customStyle="1" w:styleId="st11summarytableheading1">
    <w:name w:val="st 11 summary table heading 1"/>
    <w:basedOn w:val="Heading5"/>
    <w:rsid w:val="00792704"/>
    <w:pPr>
      <w:spacing w:before="60" w:after="60"/>
    </w:pPr>
    <w:rPr>
      <w:rFonts w:ascii="Arial Bold" w:hAnsi="Arial Bold"/>
      <w:sz w:val="18"/>
      <w:szCs w:val="18"/>
    </w:rPr>
  </w:style>
  <w:style w:type="paragraph" w:customStyle="1" w:styleId="St11summarytableheading2">
    <w:name w:val="St 11 summary table heading 2"/>
    <w:basedOn w:val="Heading7"/>
    <w:rsid w:val="00792704"/>
    <w:pPr>
      <w:spacing w:before="40" w:after="0"/>
    </w:pPr>
    <w:rPr>
      <w:rFonts w:ascii="Arial Bold" w:hAnsi="Arial Bold"/>
      <w:b/>
      <w:sz w:val="16"/>
      <w:szCs w:val="16"/>
    </w:rPr>
  </w:style>
  <w:style w:type="paragraph" w:customStyle="1" w:styleId="BoxText">
    <w:name w:val="Box Text"/>
    <w:basedOn w:val="Normal"/>
    <w:link w:val="BoxTextChar"/>
    <w:rsid w:val="00E77800"/>
    <w:pPr>
      <w:spacing w:line="240" w:lineRule="auto"/>
    </w:pPr>
  </w:style>
  <w:style w:type="paragraph" w:customStyle="1" w:styleId="OverviewParagraph">
    <w:name w:val="Overview Paragraph"/>
    <w:basedOn w:val="Normal"/>
    <w:rsid w:val="00E77800"/>
    <w:pPr>
      <w:spacing w:before="120" w:after="120" w:line="240" w:lineRule="auto"/>
    </w:pPr>
  </w:style>
  <w:style w:type="paragraph" w:customStyle="1" w:styleId="MeasureTableHeading">
    <w:name w:val="Measure Table Heading"/>
    <w:basedOn w:val="Normal"/>
    <w:rsid w:val="00037A45"/>
    <w:pPr>
      <w:keepNext/>
      <w:spacing w:after="0" w:line="240" w:lineRule="auto"/>
      <w:jc w:val="left"/>
    </w:pPr>
    <w:rPr>
      <w:rFonts w:ascii="Arial" w:hAnsi="Arial"/>
      <w:sz w:val="16"/>
      <w:szCs w:val="3276"/>
      <w:lang w:eastAsia="en-AU"/>
    </w:rPr>
  </w:style>
  <w:style w:type="paragraph" w:customStyle="1" w:styleId="AlphaParagraph">
    <w:name w:val="Alpha Paragraph"/>
    <w:basedOn w:val="Normal"/>
    <w:rsid w:val="0058375A"/>
    <w:pPr>
      <w:numPr>
        <w:numId w:val="10"/>
      </w:numPr>
    </w:pPr>
    <w:rPr>
      <w:color w:val="000000"/>
      <w:szCs w:val="20"/>
      <w:lang w:eastAsia="en-AU"/>
    </w:rPr>
  </w:style>
  <w:style w:type="paragraph" w:customStyle="1" w:styleId="Heading3noTOC">
    <w:name w:val="Heading 3 no TOC"/>
    <w:basedOn w:val="Heading3"/>
    <w:rsid w:val="007337B1"/>
  </w:style>
  <w:style w:type="paragraph" w:customStyle="1" w:styleId="BoxBullet">
    <w:name w:val="Box Bullet"/>
    <w:basedOn w:val="BoxTextBase"/>
    <w:rsid w:val="003F63BF"/>
    <w:pPr>
      <w:numPr>
        <w:numId w:val="20"/>
      </w:numPr>
      <w:spacing w:before="60" w:after="60"/>
      <w:ind w:left="284" w:hanging="284"/>
    </w:pPr>
  </w:style>
  <w:style w:type="paragraph" w:customStyle="1" w:styleId="BoxDash">
    <w:name w:val="Box Dash"/>
    <w:basedOn w:val="Normal"/>
    <w:rsid w:val="00083F03"/>
    <w:pPr>
      <w:numPr>
        <w:ilvl w:val="1"/>
        <w:numId w:val="20"/>
      </w:numPr>
      <w:tabs>
        <w:tab w:val="clear" w:pos="567"/>
        <w:tab w:val="num" w:pos="283"/>
      </w:tabs>
      <w:ind w:left="283" w:hanging="283"/>
    </w:pPr>
    <w:rPr>
      <w:color w:val="000000"/>
      <w:szCs w:val="20"/>
      <w:lang w:eastAsia="en-AU"/>
    </w:rPr>
  </w:style>
  <w:style w:type="paragraph" w:customStyle="1" w:styleId="BoxDoubleDot">
    <w:name w:val="Box Double Dot"/>
    <w:basedOn w:val="BoxTextBase"/>
    <w:rsid w:val="00083F03"/>
    <w:pPr>
      <w:numPr>
        <w:ilvl w:val="2"/>
        <w:numId w:val="20"/>
      </w:numPr>
      <w:tabs>
        <w:tab w:val="clear" w:pos="850"/>
        <w:tab w:val="num" w:pos="283"/>
      </w:tabs>
      <w:spacing w:before="120" w:after="120"/>
      <w:ind w:left="283"/>
    </w:pPr>
  </w:style>
  <w:style w:type="paragraph" w:customStyle="1" w:styleId="BoxTextBase">
    <w:name w:val="Box Text Base"/>
    <w:basedOn w:val="Normal"/>
    <w:rsid w:val="0058375A"/>
    <w:pPr>
      <w:spacing w:line="240" w:lineRule="auto"/>
    </w:pPr>
    <w:rPr>
      <w:color w:val="000000"/>
      <w:szCs w:val="20"/>
      <w:lang w:eastAsia="en-AU"/>
    </w:rPr>
  </w:style>
  <w:style w:type="paragraph" w:customStyle="1" w:styleId="AppendixBBoxHeading">
    <w:name w:val="Appendix_B_Box_Heading"/>
    <w:basedOn w:val="Heading5"/>
    <w:rsid w:val="000266C5"/>
    <w:pPr>
      <w:spacing w:before="120" w:after="80"/>
    </w:pPr>
  </w:style>
  <w:style w:type="paragraph" w:customStyle="1" w:styleId="OneLevelNumberedParagraph">
    <w:name w:val="One Level Numbered Paragraph"/>
    <w:basedOn w:val="Normal"/>
    <w:rsid w:val="0058375A"/>
    <w:pPr>
      <w:numPr>
        <w:numId w:val="14"/>
      </w:numPr>
      <w:tabs>
        <w:tab w:val="clear" w:pos="567"/>
        <w:tab w:val="num" w:pos="360"/>
      </w:tabs>
      <w:ind w:left="0" w:firstLine="0"/>
    </w:pPr>
    <w:rPr>
      <w:color w:val="000000"/>
      <w:szCs w:val="20"/>
      <w:lang w:eastAsia="en-AU"/>
    </w:rPr>
  </w:style>
  <w:style w:type="paragraph" w:customStyle="1" w:styleId="OutlineNumbered1">
    <w:name w:val="Outline Numbered 1"/>
    <w:basedOn w:val="Normal"/>
    <w:rsid w:val="0058375A"/>
    <w:pPr>
      <w:numPr>
        <w:numId w:val="17"/>
      </w:numPr>
      <w:tabs>
        <w:tab w:val="clear" w:pos="567"/>
        <w:tab w:val="num" w:pos="360"/>
      </w:tabs>
      <w:ind w:left="0" w:firstLine="0"/>
    </w:pPr>
    <w:rPr>
      <w:color w:val="000000"/>
      <w:szCs w:val="20"/>
      <w:lang w:eastAsia="en-AU"/>
    </w:rPr>
  </w:style>
  <w:style w:type="paragraph" w:customStyle="1" w:styleId="OutlineNumbered2">
    <w:name w:val="Outline Numbered 2"/>
    <w:basedOn w:val="Normal"/>
    <w:rsid w:val="0058375A"/>
    <w:pPr>
      <w:numPr>
        <w:ilvl w:val="1"/>
        <w:numId w:val="17"/>
      </w:numPr>
      <w:tabs>
        <w:tab w:val="clear" w:pos="1134"/>
        <w:tab w:val="num" w:pos="360"/>
      </w:tabs>
      <w:ind w:left="0" w:firstLine="0"/>
    </w:pPr>
    <w:rPr>
      <w:color w:val="000000"/>
      <w:szCs w:val="20"/>
      <w:lang w:eastAsia="en-AU"/>
    </w:rPr>
  </w:style>
  <w:style w:type="paragraph" w:customStyle="1" w:styleId="OutlineNumbered3">
    <w:name w:val="Outline Numbered 3"/>
    <w:basedOn w:val="Normal"/>
    <w:rsid w:val="0058375A"/>
    <w:pPr>
      <w:numPr>
        <w:ilvl w:val="2"/>
        <w:numId w:val="17"/>
      </w:numPr>
      <w:tabs>
        <w:tab w:val="clear" w:pos="1701"/>
        <w:tab w:val="num" w:pos="360"/>
      </w:tabs>
      <w:ind w:left="0" w:firstLine="0"/>
    </w:pPr>
    <w:rPr>
      <w:color w:val="000000"/>
      <w:szCs w:val="20"/>
      <w:lang w:eastAsia="en-AU"/>
    </w:rPr>
  </w:style>
  <w:style w:type="paragraph" w:styleId="Title">
    <w:name w:val="Title"/>
    <w:basedOn w:val="Normal"/>
    <w:qFormat/>
    <w:rsid w:val="00D8197D"/>
    <w:pPr>
      <w:spacing w:after="0" w:line="240" w:lineRule="auto"/>
      <w:jc w:val="center"/>
      <w:outlineLvl w:val="0"/>
    </w:pPr>
    <w:rPr>
      <w:b/>
      <w:kern w:val="28"/>
      <w:sz w:val="52"/>
    </w:rPr>
  </w:style>
  <w:style w:type="paragraph" w:customStyle="1" w:styleId="Title2ndLevel">
    <w:name w:val="Title 2nd Level"/>
    <w:basedOn w:val="Normal"/>
    <w:rsid w:val="00D8197D"/>
    <w:pPr>
      <w:spacing w:after="0" w:line="240" w:lineRule="auto"/>
      <w:jc w:val="center"/>
    </w:pPr>
    <w:rPr>
      <w:sz w:val="24"/>
    </w:rPr>
  </w:style>
  <w:style w:type="paragraph" w:customStyle="1" w:styleId="AppendixBBoxSubHeading">
    <w:name w:val="Appendix_B_Box_SubHeading"/>
    <w:basedOn w:val="Heading6"/>
    <w:rsid w:val="000266C5"/>
    <w:pPr>
      <w:spacing w:before="80" w:after="80"/>
    </w:pPr>
  </w:style>
  <w:style w:type="paragraph" w:customStyle="1" w:styleId="TableColumnHeadingCentred">
    <w:name w:val="Table Column Heading Centred"/>
    <w:basedOn w:val="Normal"/>
    <w:next w:val="Normal"/>
    <w:rsid w:val="00080657"/>
    <w:pPr>
      <w:spacing w:before="40" w:after="40" w:line="240" w:lineRule="auto"/>
      <w:jc w:val="center"/>
    </w:pPr>
    <w:rPr>
      <w:rFonts w:ascii="Arial Bold" w:hAnsi="Arial Bold"/>
      <w:b/>
      <w:color w:val="002B54"/>
      <w:sz w:val="16"/>
      <w:szCs w:val="20"/>
      <w:lang w:eastAsia="en-AU"/>
    </w:rPr>
  </w:style>
  <w:style w:type="paragraph" w:customStyle="1" w:styleId="TableColumnHeadingLeft">
    <w:name w:val="Table Column Heading Left"/>
    <w:basedOn w:val="Normal"/>
    <w:next w:val="Normal"/>
    <w:rsid w:val="00080657"/>
    <w:pPr>
      <w:spacing w:before="40" w:after="40" w:line="240" w:lineRule="auto"/>
      <w:jc w:val="left"/>
    </w:pPr>
    <w:rPr>
      <w:rFonts w:ascii="Arial Bold" w:hAnsi="Arial Bold"/>
      <w:b/>
      <w:color w:val="002B54"/>
      <w:sz w:val="16"/>
      <w:szCs w:val="20"/>
      <w:lang w:eastAsia="en-AU"/>
    </w:rPr>
  </w:style>
  <w:style w:type="paragraph" w:customStyle="1" w:styleId="TableColumnHeadingRight">
    <w:name w:val="Table Column Heading Right"/>
    <w:basedOn w:val="Normal"/>
    <w:next w:val="Normal"/>
    <w:rsid w:val="00080657"/>
    <w:pPr>
      <w:spacing w:before="40" w:after="40" w:line="240" w:lineRule="auto"/>
      <w:jc w:val="right"/>
    </w:pPr>
    <w:rPr>
      <w:rFonts w:ascii="Arial Bold" w:hAnsi="Arial Bold"/>
      <w:b/>
      <w:color w:val="002B54"/>
      <w:sz w:val="16"/>
      <w:szCs w:val="20"/>
      <w:lang w:eastAsia="en-AU"/>
    </w:rPr>
  </w:style>
  <w:style w:type="paragraph" w:customStyle="1" w:styleId="TableTextCentred">
    <w:name w:val="Table Text Centred"/>
    <w:basedOn w:val="Normal"/>
    <w:rsid w:val="00080657"/>
    <w:pPr>
      <w:spacing w:before="20" w:after="20" w:line="240" w:lineRule="auto"/>
      <w:jc w:val="center"/>
    </w:pPr>
    <w:rPr>
      <w:rFonts w:ascii="Arial" w:hAnsi="Arial"/>
      <w:sz w:val="16"/>
      <w:szCs w:val="20"/>
      <w:lang w:eastAsia="en-AU"/>
    </w:rPr>
  </w:style>
  <w:style w:type="paragraph" w:customStyle="1" w:styleId="TableTextIndented">
    <w:name w:val="Table Text Indented"/>
    <w:basedOn w:val="Normal"/>
    <w:rsid w:val="00080657"/>
    <w:pPr>
      <w:spacing w:before="20" w:after="20" w:line="240" w:lineRule="auto"/>
      <w:ind w:left="284"/>
      <w:jc w:val="left"/>
    </w:pPr>
    <w:rPr>
      <w:rFonts w:ascii="Arial" w:hAnsi="Arial"/>
      <w:sz w:val="16"/>
      <w:szCs w:val="20"/>
      <w:lang w:eastAsia="en-AU"/>
    </w:rPr>
  </w:style>
  <w:style w:type="paragraph" w:customStyle="1" w:styleId="TableTextLeft">
    <w:name w:val="Table Text Left"/>
    <w:basedOn w:val="Normal"/>
    <w:rsid w:val="00080657"/>
    <w:pPr>
      <w:spacing w:before="20" w:after="20" w:line="240" w:lineRule="auto"/>
      <w:jc w:val="left"/>
    </w:pPr>
    <w:rPr>
      <w:rFonts w:ascii="Arial" w:hAnsi="Arial"/>
      <w:sz w:val="16"/>
      <w:szCs w:val="20"/>
      <w:lang w:eastAsia="en-AU"/>
    </w:rPr>
  </w:style>
  <w:style w:type="paragraph" w:customStyle="1" w:styleId="TableTextRight">
    <w:name w:val="Table Text Right"/>
    <w:basedOn w:val="Normal"/>
    <w:rsid w:val="00080657"/>
    <w:pPr>
      <w:spacing w:before="20" w:after="20" w:line="240" w:lineRule="auto"/>
      <w:jc w:val="right"/>
    </w:pPr>
    <w:rPr>
      <w:rFonts w:ascii="Arial" w:hAnsi="Arial"/>
      <w:sz w:val="16"/>
      <w:szCs w:val="20"/>
      <w:lang w:eastAsia="en-AU"/>
    </w:rPr>
  </w:style>
  <w:style w:type="paragraph" w:customStyle="1" w:styleId="Heading2noTOC">
    <w:name w:val="Heading 2 no TOC"/>
    <w:basedOn w:val="Heading2"/>
    <w:qFormat/>
    <w:rsid w:val="004D7709"/>
  </w:style>
  <w:style w:type="character" w:customStyle="1" w:styleId="FooterChar">
    <w:name w:val="Footer Char"/>
    <w:link w:val="Footer"/>
    <w:rsid w:val="00D973A2"/>
    <w:rPr>
      <w:rFonts w:ascii="Arial" w:hAnsi="Arial" w:cs="Arial"/>
      <w:color w:val="000000"/>
      <w:szCs w:val="24"/>
      <w:lang w:eastAsia="en-US"/>
    </w:rPr>
  </w:style>
  <w:style w:type="paragraph" w:customStyle="1" w:styleId="fbo">
    <w:name w:val="fbo"/>
    <w:rsid w:val="009162A8"/>
    <w:pPr>
      <w:spacing w:after="240" w:line="260" w:lineRule="exact"/>
      <w:jc w:val="both"/>
    </w:pPr>
    <w:rPr>
      <w:rFonts w:ascii="Book Antiqua" w:hAnsi="Book Antiqua"/>
      <w:szCs w:val="24"/>
      <w:lang w:eastAsia="en-US"/>
    </w:rPr>
  </w:style>
  <w:style w:type="character" w:customStyle="1" w:styleId="ChartandTableFootnoteAlphaChar">
    <w:name w:val="Chart and Table Footnote Alpha Char"/>
    <w:link w:val="ChartandTableFootnoteAlpha"/>
    <w:rsid w:val="00D775D9"/>
    <w:rPr>
      <w:rFonts w:ascii="Arial" w:hAnsi="Arial" w:cs="Arial"/>
      <w:color w:val="000000"/>
      <w:sz w:val="16"/>
      <w:szCs w:val="24"/>
      <w:lang w:eastAsia="en-US"/>
    </w:rPr>
  </w:style>
  <w:style w:type="paragraph" w:customStyle="1" w:styleId="TableColumnHeading">
    <w:name w:val="Table Column Heading"/>
    <w:basedOn w:val="Normal"/>
    <w:rsid w:val="00D775D9"/>
    <w:pPr>
      <w:spacing w:before="40" w:after="40" w:line="240" w:lineRule="auto"/>
      <w:jc w:val="left"/>
    </w:pPr>
    <w:rPr>
      <w:rFonts w:ascii="Arial" w:hAnsi="Arial"/>
      <w:b/>
      <w:color w:val="000000"/>
      <w:sz w:val="16"/>
    </w:rPr>
  </w:style>
  <w:style w:type="character" w:styleId="Strong">
    <w:name w:val="Strong"/>
    <w:qFormat/>
    <w:rsid w:val="00D775D9"/>
    <w:rPr>
      <w:b/>
      <w:bCs/>
    </w:rPr>
  </w:style>
  <w:style w:type="character" w:customStyle="1" w:styleId="TableHeadingChar">
    <w:name w:val="Table Heading Char"/>
    <w:link w:val="TableHeading"/>
    <w:rsid w:val="00D775D9"/>
    <w:rPr>
      <w:rFonts w:ascii="Arial" w:hAnsi="Arial" w:cs="Arial"/>
      <w:b/>
      <w:color w:val="000000"/>
      <w:szCs w:val="24"/>
      <w:lang w:eastAsia="en-US"/>
    </w:rPr>
  </w:style>
  <w:style w:type="paragraph" w:customStyle="1" w:styleId="NoteHeading1">
    <w:name w:val="Note Heading1"/>
    <w:basedOn w:val="NoteTableHeading"/>
    <w:rsid w:val="00D775D9"/>
    <w:pPr>
      <w:spacing w:before="0" w:after="240"/>
    </w:pPr>
  </w:style>
  <w:style w:type="paragraph" w:customStyle="1" w:styleId="NoteTableHeadingnospaceabove">
    <w:name w:val="Note Table Heading no space above"/>
    <w:basedOn w:val="NoteTableHeading"/>
    <w:rsid w:val="00D775D9"/>
    <w:pPr>
      <w:spacing w:before="0"/>
    </w:pPr>
  </w:style>
  <w:style w:type="character" w:customStyle="1" w:styleId="FootnoteTextChar">
    <w:name w:val="Footnote Text Char"/>
    <w:link w:val="FootnoteText"/>
    <w:locked/>
    <w:rsid w:val="00D775D9"/>
    <w:rPr>
      <w:rFonts w:ascii="Book Antiqua" w:hAnsi="Book Antiqua"/>
      <w:color w:val="000000"/>
      <w:sz w:val="18"/>
      <w:szCs w:val="24"/>
      <w:lang w:eastAsia="en-US"/>
    </w:rPr>
  </w:style>
  <w:style w:type="character" w:customStyle="1" w:styleId="BoxTextChar">
    <w:name w:val="Box Text Char"/>
    <w:link w:val="BoxText"/>
    <w:rsid w:val="00D775D9"/>
    <w:rPr>
      <w:rFonts w:ascii="Book Antiqua" w:hAnsi="Book Antiqua"/>
      <w:szCs w:val="24"/>
      <w:lang w:eastAsia="en-US"/>
    </w:rPr>
  </w:style>
  <w:style w:type="paragraph" w:styleId="BalloonText">
    <w:name w:val="Balloon Text"/>
    <w:basedOn w:val="Normal"/>
    <w:link w:val="BalloonTextChar"/>
    <w:rsid w:val="001349D8"/>
    <w:pPr>
      <w:spacing w:after="0" w:line="240" w:lineRule="auto"/>
    </w:pPr>
    <w:rPr>
      <w:rFonts w:ascii="Tahoma" w:hAnsi="Tahoma" w:cs="Tahoma"/>
      <w:sz w:val="16"/>
      <w:szCs w:val="16"/>
    </w:rPr>
  </w:style>
  <w:style w:type="character" w:customStyle="1" w:styleId="BalloonTextChar">
    <w:name w:val="Balloon Text Char"/>
    <w:link w:val="BalloonText"/>
    <w:rsid w:val="001349D8"/>
    <w:rPr>
      <w:rFonts w:ascii="Tahoma" w:hAnsi="Tahoma" w:cs="Tahoma"/>
      <w:sz w:val="16"/>
      <w:szCs w:val="16"/>
      <w:lang w:eastAsia="en-US"/>
    </w:rPr>
  </w:style>
  <w:style w:type="character" w:styleId="CommentReference">
    <w:name w:val="annotation reference"/>
    <w:rsid w:val="00F109E8"/>
    <w:rPr>
      <w:sz w:val="16"/>
      <w:szCs w:val="16"/>
    </w:rPr>
  </w:style>
  <w:style w:type="paragraph" w:styleId="CommentText">
    <w:name w:val="annotation text"/>
    <w:basedOn w:val="Normal"/>
    <w:link w:val="CommentTextChar"/>
    <w:rsid w:val="00F109E8"/>
    <w:rPr>
      <w:szCs w:val="20"/>
    </w:rPr>
  </w:style>
  <w:style w:type="character" w:customStyle="1" w:styleId="CommentTextChar">
    <w:name w:val="Comment Text Char"/>
    <w:link w:val="CommentText"/>
    <w:rsid w:val="00F109E8"/>
    <w:rPr>
      <w:rFonts w:ascii="Book Antiqua" w:hAnsi="Book Antiqua"/>
      <w:lang w:eastAsia="en-US"/>
    </w:rPr>
  </w:style>
  <w:style w:type="paragraph" w:styleId="CommentSubject">
    <w:name w:val="annotation subject"/>
    <w:basedOn w:val="CommentText"/>
    <w:next w:val="CommentText"/>
    <w:link w:val="CommentSubjectChar"/>
    <w:rsid w:val="00F109E8"/>
    <w:rPr>
      <w:b/>
      <w:bCs/>
    </w:rPr>
  </w:style>
  <w:style w:type="character" w:customStyle="1" w:styleId="CommentSubjectChar">
    <w:name w:val="Comment Subject Char"/>
    <w:link w:val="CommentSubject"/>
    <w:rsid w:val="00F109E8"/>
    <w:rPr>
      <w:rFonts w:ascii="Book Antiqua" w:hAnsi="Book Antiqua"/>
      <w:b/>
      <w:bCs/>
      <w:lang w:eastAsia="en-US"/>
    </w:rPr>
  </w:style>
  <w:style w:type="paragraph" w:styleId="Revision">
    <w:name w:val="Revision"/>
    <w:hidden/>
    <w:uiPriority w:val="99"/>
    <w:semiHidden/>
    <w:rsid w:val="00BE647F"/>
    <w:rPr>
      <w:rFonts w:ascii="Book Antiqua" w:hAnsi="Book Antiqua"/>
      <w:szCs w:val="24"/>
      <w:lang w:eastAsia="en-US"/>
    </w:rPr>
  </w:style>
  <w:style w:type="character" w:styleId="LineNumber">
    <w:name w:val="line number"/>
    <w:basedOn w:val="DefaultParagraphFont"/>
    <w:rsid w:val="00FD7E8B"/>
  </w:style>
  <w:style w:type="paragraph" w:styleId="EndnoteText">
    <w:name w:val="endnote text"/>
    <w:basedOn w:val="Normal"/>
    <w:link w:val="EndnoteTextChar"/>
    <w:rsid w:val="00FD7E8B"/>
    <w:pPr>
      <w:spacing w:after="0" w:line="240" w:lineRule="auto"/>
    </w:pPr>
    <w:rPr>
      <w:szCs w:val="20"/>
    </w:rPr>
  </w:style>
  <w:style w:type="character" w:customStyle="1" w:styleId="EndnoteTextChar">
    <w:name w:val="Endnote Text Char"/>
    <w:link w:val="EndnoteText"/>
    <w:rsid w:val="00FD7E8B"/>
    <w:rPr>
      <w:rFonts w:ascii="Book Antiqua" w:hAnsi="Book Antiqua"/>
      <w:lang w:eastAsia="en-US"/>
    </w:rPr>
  </w:style>
  <w:style w:type="character" w:styleId="EndnoteReference">
    <w:name w:val="endnote reference"/>
    <w:rsid w:val="00FD7E8B"/>
    <w:rPr>
      <w:vertAlign w:val="superscript"/>
    </w:rPr>
  </w:style>
  <w:style w:type="paragraph" w:styleId="NormalWeb">
    <w:name w:val="Normal (Web)"/>
    <w:basedOn w:val="Normal"/>
    <w:rsid w:val="005656DA"/>
    <w:rPr>
      <w:rFonts w:ascii="Times New Roman" w:hAnsi="Times New Roman"/>
      <w:sz w:val="24"/>
    </w:rPr>
  </w:style>
  <w:style w:type="paragraph" w:customStyle="1" w:styleId="BoxSubHeading">
    <w:name w:val="Box Sub Heading"/>
    <w:basedOn w:val="Heading6"/>
    <w:qFormat/>
    <w:rsid w:val="003D68FC"/>
    <w:pPr>
      <w:spacing w:before="180"/>
    </w:pPr>
    <w:rPr>
      <w:rFonts w:cs="Times New Roman"/>
      <w:bCs/>
      <w:color w:val="auto"/>
      <w:szCs w:val="22"/>
      <w:lang w:eastAsia="en-AU"/>
    </w:rPr>
  </w:style>
  <w:style w:type="paragraph" w:customStyle="1" w:styleId="Normal-Indent">
    <w:name w:val="Normal - Indent"/>
    <w:basedOn w:val="Normal"/>
    <w:rsid w:val="006C0C27"/>
    <w:pPr>
      <w:spacing w:after="120"/>
      <w:ind w:left="284"/>
    </w:pPr>
  </w:style>
  <w:style w:type="paragraph" w:customStyle="1" w:styleId="Normal-Indent-Italics">
    <w:name w:val="Normal - Indent - Italics"/>
    <w:basedOn w:val="Normal"/>
    <w:rsid w:val="006C0C27"/>
    <w:pPr>
      <w:spacing w:after="120"/>
      <w:ind w:left="284"/>
    </w:pPr>
    <w:rPr>
      <w:i/>
    </w:rPr>
  </w:style>
  <w:style w:type="character" w:styleId="Hyperlink">
    <w:name w:val="Hyperlink"/>
    <w:rsid w:val="006C0C27"/>
    <w:rPr>
      <w:color w:val="auto"/>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75D9"/>
    <w:pPr>
      <w:spacing w:after="240" w:line="260" w:lineRule="exact"/>
      <w:jc w:val="both"/>
    </w:pPr>
    <w:rPr>
      <w:rFonts w:ascii="Book Antiqua" w:hAnsi="Book Antiqua"/>
      <w:szCs w:val="24"/>
      <w:lang w:eastAsia="en-US"/>
    </w:rPr>
  </w:style>
  <w:style w:type="paragraph" w:styleId="Heading1">
    <w:name w:val="heading 1"/>
    <w:basedOn w:val="HeadingBase"/>
    <w:next w:val="Normal"/>
    <w:qFormat/>
    <w:rsid w:val="00E77800"/>
    <w:pPr>
      <w:spacing w:after="240"/>
      <w:jc w:val="center"/>
      <w:outlineLvl w:val="0"/>
    </w:pPr>
    <w:rPr>
      <w:b/>
      <w:bCs/>
      <w:smallCaps/>
      <w:kern w:val="28"/>
      <w:sz w:val="34"/>
      <w:szCs w:val="32"/>
    </w:rPr>
  </w:style>
  <w:style w:type="paragraph" w:styleId="Heading2">
    <w:name w:val="heading 2"/>
    <w:basedOn w:val="HeadingBase"/>
    <w:next w:val="Normal"/>
    <w:qFormat/>
    <w:rsid w:val="00027949"/>
    <w:pPr>
      <w:keepNext/>
      <w:spacing w:before="240" w:after="240"/>
      <w:outlineLvl w:val="1"/>
    </w:pPr>
    <w:rPr>
      <w:rFonts w:ascii="Arial Bold" w:hAnsi="Arial Bold"/>
      <w:b/>
      <w:bCs/>
      <w:iCs/>
      <w:smallCaps/>
      <w:color w:val="000000"/>
      <w:sz w:val="26"/>
      <w:szCs w:val="28"/>
    </w:rPr>
  </w:style>
  <w:style w:type="paragraph" w:styleId="Heading3">
    <w:name w:val="heading 3"/>
    <w:basedOn w:val="HeadingBase"/>
    <w:next w:val="Normal"/>
    <w:qFormat/>
    <w:rsid w:val="00056AF8"/>
    <w:pPr>
      <w:keepNext/>
      <w:spacing w:before="120" w:after="120"/>
      <w:outlineLvl w:val="2"/>
    </w:pPr>
    <w:rPr>
      <w:rFonts w:ascii="Arial Bold" w:hAnsi="Arial Bold"/>
      <w:b/>
      <w:bCs/>
      <w:color w:val="000000"/>
      <w:sz w:val="22"/>
      <w:szCs w:val="26"/>
    </w:rPr>
  </w:style>
  <w:style w:type="paragraph" w:styleId="Heading4">
    <w:name w:val="heading 4"/>
    <w:basedOn w:val="HeadingBase"/>
    <w:next w:val="Normal"/>
    <w:qFormat/>
    <w:rsid w:val="00056AF8"/>
    <w:pPr>
      <w:keepNext/>
      <w:spacing w:after="120"/>
      <w:outlineLvl w:val="3"/>
    </w:pPr>
    <w:rPr>
      <w:b/>
      <w:color w:val="000000"/>
      <w:sz w:val="20"/>
    </w:rPr>
  </w:style>
  <w:style w:type="paragraph" w:styleId="Heading5">
    <w:name w:val="heading 5"/>
    <w:basedOn w:val="HeadingBase"/>
    <w:next w:val="Normal"/>
    <w:qFormat/>
    <w:rsid w:val="00056AF8"/>
    <w:pPr>
      <w:keepNext/>
      <w:spacing w:after="120"/>
      <w:outlineLvl w:val="4"/>
    </w:pPr>
    <w:rPr>
      <w:color w:val="000000"/>
      <w:sz w:val="20"/>
    </w:rPr>
  </w:style>
  <w:style w:type="paragraph" w:styleId="Heading6">
    <w:name w:val="heading 6"/>
    <w:basedOn w:val="HeadingBase"/>
    <w:next w:val="Normal"/>
    <w:qFormat/>
    <w:rsid w:val="00E77800"/>
    <w:pPr>
      <w:keepNext/>
      <w:spacing w:after="120"/>
      <w:outlineLvl w:val="5"/>
    </w:pPr>
    <w:rPr>
      <w:color w:val="000000"/>
      <w:sz w:val="20"/>
    </w:rPr>
  </w:style>
  <w:style w:type="paragraph" w:styleId="Heading7">
    <w:name w:val="heading 7"/>
    <w:basedOn w:val="HeadingBase"/>
    <w:next w:val="Normal"/>
    <w:qFormat/>
    <w:rsid w:val="00E77800"/>
    <w:pPr>
      <w:spacing w:after="100"/>
      <w:outlineLvl w:val="6"/>
    </w:pPr>
    <w:rPr>
      <w:color w:val="000000"/>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Heading">
    <w:name w:val="Box Heading"/>
    <w:basedOn w:val="HeadingBase"/>
    <w:next w:val="Normal"/>
    <w:rsid w:val="00E77800"/>
    <w:pPr>
      <w:spacing w:before="240" w:after="120"/>
    </w:pPr>
    <w:rPr>
      <w:rFonts w:ascii="Arial Bold" w:hAnsi="Arial Bold"/>
      <w:b/>
      <w:sz w:val="20"/>
    </w:rPr>
  </w:style>
  <w:style w:type="paragraph" w:customStyle="1" w:styleId="Bullet">
    <w:name w:val="Bullet"/>
    <w:basedOn w:val="Normal"/>
    <w:rsid w:val="0013092B"/>
    <w:pPr>
      <w:numPr>
        <w:numId w:val="23"/>
      </w:numPr>
      <w:ind w:left="284" w:hanging="284"/>
    </w:pPr>
    <w:rPr>
      <w:color w:val="000000"/>
      <w:szCs w:val="20"/>
      <w:lang w:eastAsia="en-AU"/>
    </w:rPr>
  </w:style>
  <w:style w:type="paragraph" w:customStyle="1" w:styleId="ChartandTableFootnote">
    <w:name w:val="Chart and Table Footnote"/>
    <w:basedOn w:val="HeadingBase"/>
    <w:next w:val="Normal"/>
    <w:rsid w:val="00E77800"/>
    <w:pPr>
      <w:jc w:val="both"/>
    </w:pPr>
    <w:rPr>
      <w:color w:val="000000"/>
      <w:sz w:val="16"/>
    </w:rPr>
  </w:style>
  <w:style w:type="paragraph" w:customStyle="1" w:styleId="ChartandTableFootnoteAlpha">
    <w:name w:val="Chart and Table Footnote Alpha"/>
    <w:basedOn w:val="ChartandTableFootnote"/>
    <w:next w:val="Normal"/>
    <w:link w:val="ChartandTableFootnoteAlphaChar"/>
    <w:rsid w:val="00E77800"/>
    <w:pPr>
      <w:numPr>
        <w:numId w:val="2"/>
      </w:numPr>
    </w:pPr>
  </w:style>
  <w:style w:type="paragraph" w:customStyle="1" w:styleId="ChartGraphic">
    <w:name w:val="Chart Graphic"/>
    <w:basedOn w:val="HeadingBase"/>
    <w:next w:val="Normal"/>
    <w:rsid w:val="00E77800"/>
    <w:pPr>
      <w:jc w:val="center"/>
    </w:pPr>
    <w:rPr>
      <w:color w:val="000000"/>
      <w:sz w:val="20"/>
    </w:rPr>
  </w:style>
  <w:style w:type="paragraph" w:customStyle="1" w:styleId="ChartHeading">
    <w:name w:val="Chart Heading"/>
    <w:basedOn w:val="HeadingBase"/>
    <w:next w:val="ChartGraphic"/>
    <w:rsid w:val="00E77800"/>
    <w:pPr>
      <w:keepNext/>
      <w:spacing w:before="120"/>
      <w:jc w:val="center"/>
    </w:pPr>
    <w:rPr>
      <w:b/>
      <w:color w:val="000000"/>
      <w:sz w:val="20"/>
    </w:rPr>
  </w:style>
  <w:style w:type="paragraph" w:customStyle="1" w:styleId="ChartSecondHeading">
    <w:name w:val="Chart Second Heading"/>
    <w:basedOn w:val="ChartHeading"/>
    <w:next w:val="ChartGraphic"/>
    <w:rsid w:val="00E77800"/>
    <w:pPr>
      <w:spacing w:before="60"/>
    </w:pPr>
    <w:rPr>
      <w:b w:val="0"/>
    </w:rPr>
  </w:style>
  <w:style w:type="paragraph" w:customStyle="1" w:styleId="Classification">
    <w:name w:val="Classification"/>
    <w:basedOn w:val="HeadingBase"/>
    <w:rsid w:val="00E77800"/>
    <w:pPr>
      <w:jc w:val="center"/>
    </w:pPr>
    <w:rPr>
      <w:b/>
      <w:smallCaps/>
      <w:color w:val="000000"/>
    </w:rPr>
  </w:style>
  <w:style w:type="paragraph" w:customStyle="1" w:styleId="ContentsHeading">
    <w:name w:val="Contents Heading"/>
    <w:basedOn w:val="HeadingBase"/>
    <w:next w:val="Normal"/>
    <w:rsid w:val="00E77800"/>
    <w:pPr>
      <w:spacing w:after="360"/>
      <w:jc w:val="center"/>
    </w:pPr>
    <w:rPr>
      <w:b/>
      <w:smallCaps/>
      <w:sz w:val="34"/>
    </w:rPr>
  </w:style>
  <w:style w:type="paragraph" w:customStyle="1" w:styleId="ContentsSecondHeading">
    <w:name w:val="Contents Second Heading"/>
    <w:basedOn w:val="HeadingBase"/>
    <w:next w:val="Normal"/>
    <w:rsid w:val="00E77800"/>
    <w:pPr>
      <w:spacing w:after="360"/>
      <w:jc w:val="center"/>
    </w:pPr>
    <w:rPr>
      <w:color w:val="000000"/>
      <w:sz w:val="30"/>
    </w:rPr>
  </w:style>
  <w:style w:type="paragraph" w:customStyle="1" w:styleId="Dash">
    <w:name w:val="Dash"/>
    <w:basedOn w:val="Normal"/>
    <w:rsid w:val="0013092B"/>
    <w:pPr>
      <w:numPr>
        <w:ilvl w:val="1"/>
        <w:numId w:val="23"/>
      </w:numPr>
    </w:pPr>
    <w:rPr>
      <w:color w:val="000000"/>
      <w:szCs w:val="20"/>
      <w:lang w:eastAsia="en-AU"/>
    </w:rPr>
  </w:style>
  <w:style w:type="paragraph" w:customStyle="1" w:styleId="DoubleDot">
    <w:name w:val="Double Dot"/>
    <w:basedOn w:val="Normal"/>
    <w:rsid w:val="0013092B"/>
    <w:pPr>
      <w:numPr>
        <w:ilvl w:val="2"/>
        <w:numId w:val="23"/>
      </w:numPr>
    </w:pPr>
    <w:rPr>
      <w:color w:val="000000"/>
      <w:szCs w:val="20"/>
      <w:lang w:eastAsia="en-AU"/>
    </w:rPr>
  </w:style>
  <w:style w:type="paragraph" w:customStyle="1" w:styleId="FileProperties">
    <w:name w:val="File Properties"/>
    <w:basedOn w:val="Normal"/>
    <w:rsid w:val="00E77800"/>
    <w:rPr>
      <w:i/>
      <w:color w:val="000000"/>
    </w:rPr>
  </w:style>
  <w:style w:type="paragraph" w:customStyle="1" w:styleId="FooterBase">
    <w:name w:val="Footer Base"/>
    <w:rsid w:val="00E77800"/>
    <w:rPr>
      <w:rFonts w:ascii="Arial" w:hAnsi="Arial" w:cs="Arial"/>
      <w:szCs w:val="24"/>
      <w:lang w:eastAsia="en-US"/>
    </w:rPr>
  </w:style>
  <w:style w:type="character" w:customStyle="1" w:styleId="FramedHeader">
    <w:name w:val="Framed Header"/>
    <w:rsid w:val="00E77800"/>
    <w:rPr>
      <w:rFonts w:ascii="Book Antiqua" w:hAnsi="Book Antiqua"/>
      <w:i/>
      <w:dstrike w:val="0"/>
      <w:color w:val="auto"/>
      <w:sz w:val="20"/>
      <w:vertAlign w:val="baseline"/>
    </w:rPr>
  </w:style>
  <w:style w:type="paragraph" w:customStyle="1" w:styleId="HeaderBase">
    <w:name w:val="Header Base"/>
    <w:rsid w:val="00E77800"/>
    <w:rPr>
      <w:rFonts w:ascii="Book Antiqua" w:hAnsi="Book Antiqua"/>
      <w:i/>
      <w:szCs w:val="24"/>
      <w:lang w:eastAsia="en-US"/>
    </w:rPr>
  </w:style>
  <w:style w:type="paragraph" w:customStyle="1" w:styleId="HeaderEven">
    <w:name w:val="Header Even"/>
    <w:basedOn w:val="HeaderBase"/>
    <w:rsid w:val="00E77800"/>
  </w:style>
  <w:style w:type="paragraph" w:customStyle="1" w:styleId="HeaderOdd">
    <w:name w:val="Header Odd"/>
    <w:basedOn w:val="HeaderBase"/>
    <w:rsid w:val="00E77800"/>
    <w:pPr>
      <w:jc w:val="right"/>
    </w:pPr>
  </w:style>
  <w:style w:type="paragraph" w:customStyle="1" w:styleId="HeadingBase">
    <w:name w:val="Heading Base"/>
    <w:rsid w:val="00E77800"/>
    <w:rPr>
      <w:rFonts w:ascii="Arial" w:hAnsi="Arial" w:cs="Arial"/>
      <w:sz w:val="24"/>
      <w:szCs w:val="24"/>
      <w:lang w:eastAsia="en-US"/>
    </w:rPr>
  </w:style>
  <w:style w:type="paragraph" w:customStyle="1" w:styleId="AppendixHeading">
    <w:name w:val="Appendix Heading"/>
    <w:basedOn w:val="HeadingBase"/>
    <w:next w:val="Normal"/>
    <w:rsid w:val="00CD7405"/>
    <w:pPr>
      <w:spacing w:after="240"/>
      <w:jc w:val="center"/>
      <w:outlineLvl w:val="3"/>
    </w:pPr>
    <w:rPr>
      <w:rFonts w:ascii="Arial Bold" w:hAnsi="Arial Bold"/>
      <w:b/>
      <w:smallCaps/>
      <w:color w:val="000000"/>
      <w:sz w:val="34"/>
      <w:szCs w:val="34"/>
    </w:rPr>
  </w:style>
  <w:style w:type="paragraph" w:styleId="TOC5">
    <w:name w:val="toc 5"/>
    <w:basedOn w:val="HeadingBase"/>
    <w:next w:val="Normal"/>
    <w:autoRedefine/>
    <w:semiHidden/>
    <w:rsid w:val="00E77800"/>
    <w:pPr>
      <w:tabs>
        <w:tab w:val="left" w:pos="1134"/>
        <w:tab w:val="right" w:leader="dot" w:pos="7700"/>
      </w:tabs>
      <w:spacing w:before="120"/>
      <w:ind w:left="1134" w:right="851" w:hanging="1134"/>
    </w:pPr>
    <w:rPr>
      <w:sz w:val="20"/>
    </w:rPr>
  </w:style>
  <w:style w:type="paragraph" w:customStyle="1" w:styleId="TableGraphic">
    <w:name w:val="Table Graphic"/>
    <w:basedOn w:val="TableHeading"/>
    <w:next w:val="Normal"/>
    <w:rsid w:val="00E77800"/>
    <w:pPr>
      <w:keepNext w:val="0"/>
      <w:spacing w:before="0"/>
      <w:ind w:right="-113"/>
    </w:pPr>
    <w:rPr>
      <w:b w:val="0"/>
    </w:rPr>
  </w:style>
  <w:style w:type="paragraph" w:customStyle="1" w:styleId="TableHeading">
    <w:name w:val="Table Heading"/>
    <w:basedOn w:val="HeadingBase"/>
    <w:next w:val="TableGraphic"/>
    <w:link w:val="TableHeadingChar"/>
    <w:rsid w:val="00E77800"/>
    <w:pPr>
      <w:keepNext/>
      <w:spacing w:before="120" w:after="20"/>
    </w:pPr>
    <w:rPr>
      <w:b/>
      <w:color w:val="000000"/>
      <w:sz w:val="20"/>
    </w:rPr>
  </w:style>
  <w:style w:type="paragraph" w:customStyle="1" w:styleId="TableHeadingcontinued">
    <w:name w:val="Table Heading continued"/>
    <w:basedOn w:val="HeadingBase"/>
    <w:next w:val="TableGraphic"/>
    <w:rsid w:val="00E77800"/>
    <w:pPr>
      <w:keepNext/>
      <w:spacing w:before="120" w:after="20"/>
    </w:pPr>
    <w:rPr>
      <w:b/>
      <w:color w:val="000000"/>
      <w:sz w:val="20"/>
    </w:rPr>
  </w:style>
  <w:style w:type="paragraph" w:styleId="Footer">
    <w:name w:val="footer"/>
    <w:basedOn w:val="FooterBase"/>
    <w:link w:val="FooterChar"/>
    <w:rsid w:val="00E77800"/>
    <w:pPr>
      <w:jc w:val="center"/>
    </w:pPr>
    <w:rPr>
      <w:color w:val="000000"/>
    </w:rPr>
  </w:style>
  <w:style w:type="paragraph" w:styleId="Header">
    <w:name w:val="header"/>
    <w:basedOn w:val="HeaderBase"/>
    <w:rsid w:val="00E77800"/>
  </w:style>
  <w:style w:type="character" w:styleId="PageNumber">
    <w:name w:val="page number"/>
    <w:rsid w:val="00E77800"/>
    <w:rPr>
      <w:rFonts w:ascii="Arial" w:hAnsi="Arial" w:cs="Arial"/>
    </w:rPr>
  </w:style>
  <w:style w:type="character" w:styleId="FootnoteReference">
    <w:name w:val="footnote reference"/>
    <w:rsid w:val="00E77800"/>
    <w:rPr>
      <w:rFonts w:ascii="Book Antiqua" w:hAnsi="Book Antiqua"/>
      <w:dstrike w:val="0"/>
      <w:sz w:val="20"/>
      <w:vertAlign w:val="superscript"/>
    </w:rPr>
  </w:style>
  <w:style w:type="paragraph" w:styleId="FootnoteText">
    <w:name w:val="footnote text"/>
    <w:basedOn w:val="Normal"/>
    <w:link w:val="FootnoteTextChar"/>
    <w:rsid w:val="00E77800"/>
    <w:pPr>
      <w:tabs>
        <w:tab w:val="left" w:pos="283"/>
      </w:tabs>
      <w:spacing w:after="0" w:line="240" w:lineRule="auto"/>
      <w:ind w:left="284" w:hanging="284"/>
    </w:pPr>
    <w:rPr>
      <w:color w:val="000000"/>
      <w:sz w:val="18"/>
    </w:rPr>
  </w:style>
  <w:style w:type="paragraph" w:styleId="Index1">
    <w:name w:val="index 1"/>
    <w:basedOn w:val="Normal"/>
    <w:next w:val="Normal"/>
    <w:autoRedefine/>
    <w:semiHidden/>
    <w:rsid w:val="00E77800"/>
    <w:pPr>
      <w:ind w:left="198" w:hanging="198"/>
    </w:pPr>
    <w:rPr>
      <w:color w:val="000000"/>
      <w:sz w:val="18"/>
    </w:rPr>
  </w:style>
  <w:style w:type="paragraph" w:styleId="Index2">
    <w:name w:val="index 2"/>
    <w:basedOn w:val="Normal"/>
    <w:next w:val="Normal"/>
    <w:autoRedefine/>
    <w:semiHidden/>
    <w:rsid w:val="00E77800"/>
    <w:pPr>
      <w:ind w:left="397" w:hanging="198"/>
    </w:pPr>
    <w:rPr>
      <w:color w:val="000000"/>
      <w:sz w:val="18"/>
    </w:rPr>
  </w:style>
  <w:style w:type="paragraph" w:styleId="Index3">
    <w:name w:val="index 3"/>
    <w:basedOn w:val="Normal"/>
    <w:next w:val="Normal"/>
    <w:autoRedefine/>
    <w:semiHidden/>
    <w:rsid w:val="00E77800"/>
    <w:pPr>
      <w:ind w:left="601" w:hanging="198"/>
    </w:pPr>
    <w:rPr>
      <w:color w:val="000000"/>
      <w:sz w:val="18"/>
    </w:rPr>
  </w:style>
  <w:style w:type="paragraph" w:styleId="IndexHeading">
    <w:name w:val="index heading"/>
    <w:basedOn w:val="Normal"/>
    <w:next w:val="Index1"/>
    <w:semiHidden/>
    <w:rsid w:val="00E77800"/>
    <w:pPr>
      <w:spacing w:before="240" w:after="120"/>
      <w:jc w:val="center"/>
    </w:pPr>
    <w:rPr>
      <w:rFonts w:ascii="Arial" w:hAnsi="Arial" w:cs="Arial"/>
      <w:b/>
      <w:bCs/>
      <w:color w:val="000000"/>
      <w:sz w:val="24"/>
    </w:rPr>
  </w:style>
  <w:style w:type="paragraph" w:styleId="TOC1">
    <w:name w:val="toc 1"/>
    <w:basedOn w:val="HeadingBase"/>
    <w:next w:val="Normal"/>
    <w:autoRedefine/>
    <w:uiPriority w:val="39"/>
    <w:rsid w:val="00D8197D"/>
    <w:pPr>
      <w:tabs>
        <w:tab w:val="right" w:leader="dot" w:pos="7699"/>
      </w:tabs>
      <w:spacing w:before="120" w:after="60"/>
      <w:ind w:right="851"/>
    </w:pPr>
    <w:rPr>
      <w:rFonts w:ascii="Helvetica" w:hAnsi="Helvetica"/>
      <w:b/>
      <w:smallCaps/>
      <w:color w:val="000000"/>
      <w:sz w:val="22"/>
      <w:szCs w:val="20"/>
    </w:rPr>
  </w:style>
  <w:style w:type="paragraph" w:styleId="TOC2">
    <w:name w:val="toc 2"/>
    <w:basedOn w:val="Normal"/>
    <w:next w:val="Normal"/>
    <w:autoRedefine/>
    <w:uiPriority w:val="39"/>
    <w:rsid w:val="00D8197D"/>
    <w:pPr>
      <w:tabs>
        <w:tab w:val="right" w:leader="dot" w:pos="7699"/>
      </w:tabs>
      <w:spacing w:before="40" w:after="60" w:line="240" w:lineRule="auto"/>
      <w:jc w:val="left"/>
    </w:pPr>
    <w:rPr>
      <w:rFonts w:ascii="Arial" w:hAnsi="Arial"/>
    </w:rPr>
  </w:style>
  <w:style w:type="paragraph" w:styleId="TOC3">
    <w:name w:val="toc 3"/>
    <w:basedOn w:val="HeadingBase"/>
    <w:next w:val="Normal"/>
    <w:autoRedefine/>
    <w:semiHidden/>
    <w:rsid w:val="00E77800"/>
    <w:pPr>
      <w:ind w:left="400"/>
    </w:pPr>
  </w:style>
  <w:style w:type="paragraph" w:styleId="TOC4">
    <w:name w:val="toc 4"/>
    <w:basedOn w:val="Normal"/>
    <w:next w:val="Normal"/>
    <w:autoRedefine/>
    <w:semiHidden/>
    <w:rsid w:val="00E77800"/>
    <w:pPr>
      <w:tabs>
        <w:tab w:val="right" w:leader="dot" w:pos="7699"/>
      </w:tabs>
      <w:spacing w:before="40" w:after="0" w:line="240" w:lineRule="auto"/>
      <w:jc w:val="left"/>
    </w:pPr>
    <w:rPr>
      <w:rFonts w:ascii="Arial" w:hAnsi="Arial"/>
    </w:rPr>
  </w:style>
  <w:style w:type="paragraph" w:styleId="TOC6">
    <w:name w:val="toc 6"/>
    <w:basedOn w:val="Normal"/>
    <w:next w:val="Normal"/>
    <w:autoRedefine/>
    <w:semiHidden/>
    <w:rsid w:val="00E77800"/>
    <w:pPr>
      <w:ind w:left="1000"/>
    </w:pPr>
  </w:style>
  <w:style w:type="paragraph" w:customStyle="1" w:styleId="SingleParagraph">
    <w:name w:val="Single Paragraph"/>
    <w:basedOn w:val="Normal"/>
    <w:next w:val="Normal"/>
    <w:rsid w:val="00E77800"/>
    <w:pPr>
      <w:spacing w:after="0"/>
    </w:pPr>
  </w:style>
  <w:style w:type="paragraph" w:styleId="TOC7">
    <w:name w:val="toc 7"/>
    <w:basedOn w:val="Normal"/>
    <w:next w:val="Normal"/>
    <w:autoRedefine/>
    <w:semiHidden/>
    <w:rsid w:val="00E77800"/>
    <w:pPr>
      <w:ind w:left="1200"/>
    </w:pPr>
  </w:style>
  <w:style w:type="paragraph" w:styleId="TOC8">
    <w:name w:val="toc 8"/>
    <w:basedOn w:val="Normal"/>
    <w:next w:val="Normal"/>
    <w:autoRedefine/>
    <w:semiHidden/>
    <w:rsid w:val="00E77800"/>
    <w:pPr>
      <w:ind w:left="1400"/>
    </w:pPr>
  </w:style>
  <w:style w:type="paragraph" w:styleId="ListBullet4">
    <w:name w:val="List Bullet 4"/>
    <w:basedOn w:val="Normal"/>
    <w:autoRedefine/>
    <w:rsid w:val="00E77800"/>
    <w:pPr>
      <w:numPr>
        <w:numId w:val="6"/>
      </w:numPr>
    </w:pPr>
  </w:style>
  <w:style w:type="paragraph" w:customStyle="1" w:styleId="FigureHeading">
    <w:name w:val="Figure Heading"/>
    <w:basedOn w:val="HeadingBase"/>
    <w:next w:val="TableGraphic"/>
    <w:rsid w:val="00E77800"/>
    <w:pPr>
      <w:keepNext/>
      <w:spacing w:before="120" w:after="20"/>
    </w:pPr>
    <w:rPr>
      <w:b/>
      <w:color w:val="000000"/>
      <w:sz w:val="20"/>
    </w:rPr>
  </w:style>
  <w:style w:type="paragraph" w:customStyle="1" w:styleId="NoteTableHeading">
    <w:name w:val="Note Table Heading"/>
    <w:basedOn w:val="HeadingBase"/>
    <w:next w:val="TableGraphic"/>
    <w:rsid w:val="00E77800"/>
    <w:pPr>
      <w:keepNext/>
      <w:spacing w:before="480"/>
    </w:pPr>
    <w:rPr>
      <w:b/>
      <w:color w:val="000000"/>
      <w:sz w:val="20"/>
    </w:rPr>
  </w:style>
  <w:style w:type="paragraph" w:customStyle="1" w:styleId="ChartandTableFootnoteAlphaSmall">
    <w:name w:val="Chart and Table Footnote Alpha Small"/>
    <w:basedOn w:val="ChartandTableFootnoteAlpha"/>
    <w:rsid w:val="00E77800"/>
    <w:pPr>
      <w:numPr>
        <w:numId w:val="9"/>
      </w:numPr>
    </w:pPr>
    <w:rPr>
      <w:sz w:val="15"/>
    </w:rPr>
  </w:style>
  <w:style w:type="paragraph" w:customStyle="1" w:styleId="ChartandTableFootnoteSmall">
    <w:name w:val="Chart and Table Footnote Small"/>
    <w:basedOn w:val="ChartandTableFootnote"/>
    <w:rsid w:val="00E77800"/>
    <w:rPr>
      <w:sz w:val="15"/>
    </w:rPr>
  </w:style>
  <w:style w:type="paragraph" w:customStyle="1" w:styleId="Source">
    <w:name w:val="Source"/>
    <w:basedOn w:val="HeadingBase"/>
    <w:next w:val="Normal"/>
    <w:rsid w:val="00083F03"/>
    <w:pPr>
      <w:spacing w:after="240"/>
      <w:jc w:val="both"/>
    </w:pPr>
    <w:rPr>
      <w:sz w:val="16"/>
    </w:rPr>
  </w:style>
  <w:style w:type="paragraph" w:customStyle="1" w:styleId="BlockedQuotation">
    <w:name w:val="Blocked Quotation"/>
    <w:basedOn w:val="Normal"/>
    <w:rsid w:val="00E77800"/>
    <w:pPr>
      <w:ind w:left="567"/>
    </w:pPr>
  </w:style>
  <w:style w:type="paragraph" w:customStyle="1" w:styleId="Exactly">
    <w:name w:val="Exactly"/>
    <w:basedOn w:val="Normal"/>
    <w:next w:val="Normal"/>
    <w:rsid w:val="00E77800"/>
    <w:pPr>
      <w:spacing w:line="240" w:lineRule="auto"/>
    </w:pPr>
  </w:style>
  <w:style w:type="paragraph" w:customStyle="1" w:styleId="SingleParagraph0">
    <w:name w:val="SingleParagraph"/>
    <w:basedOn w:val="Normal"/>
    <w:next w:val="Normal"/>
    <w:rsid w:val="00E77800"/>
    <w:pPr>
      <w:spacing w:after="0" w:line="240" w:lineRule="auto"/>
    </w:pPr>
    <w:rPr>
      <w:color w:val="000000"/>
    </w:rPr>
  </w:style>
  <w:style w:type="paragraph" w:customStyle="1" w:styleId="MeasureTableTextLeftAligned">
    <w:name w:val="Measure Table Text Left Aligned"/>
    <w:basedOn w:val="Normal"/>
    <w:rsid w:val="00E77800"/>
    <w:pPr>
      <w:spacing w:before="60" w:after="60" w:line="240" w:lineRule="auto"/>
      <w:jc w:val="left"/>
    </w:pPr>
    <w:rPr>
      <w:rFonts w:ascii="Arial" w:hAnsi="Arial"/>
      <w:color w:val="000000"/>
      <w:sz w:val="16"/>
    </w:rPr>
  </w:style>
  <w:style w:type="paragraph" w:customStyle="1" w:styleId="MeasureTableTextRightAligned">
    <w:name w:val="Measure Table Text Right Aligned"/>
    <w:basedOn w:val="Normal"/>
    <w:rsid w:val="00E77800"/>
    <w:pPr>
      <w:spacing w:before="60" w:after="60" w:line="240" w:lineRule="auto"/>
      <w:jc w:val="right"/>
    </w:pPr>
    <w:rPr>
      <w:rFonts w:ascii="Arial" w:hAnsi="Arial"/>
      <w:sz w:val="16"/>
    </w:rPr>
  </w:style>
  <w:style w:type="paragraph" w:customStyle="1" w:styleId="Attachmentheading">
    <w:name w:val="Attachment heading"/>
    <w:basedOn w:val="Normal"/>
    <w:next w:val="Normal"/>
    <w:rsid w:val="00302B50"/>
    <w:pPr>
      <w:spacing w:line="240" w:lineRule="auto"/>
      <w:jc w:val="right"/>
    </w:pPr>
    <w:rPr>
      <w:rFonts w:ascii="Arial Bold" w:hAnsi="Arial Bold"/>
      <w:b/>
      <w:sz w:val="22"/>
    </w:rPr>
  </w:style>
  <w:style w:type="paragraph" w:customStyle="1" w:styleId="st11summarytableheading1">
    <w:name w:val="st 11 summary table heading 1"/>
    <w:basedOn w:val="Heading5"/>
    <w:rsid w:val="00792704"/>
    <w:pPr>
      <w:spacing w:before="60" w:after="60"/>
    </w:pPr>
    <w:rPr>
      <w:rFonts w:ascii="Arial Bold" w:hAnsi="Arial Bold"/>
      <w:sz w:val="18"/>
      <w:szCs w:val="18"/>
    </w:rPr>
  </w:style>
  <w:style w:type="paragraph" w:customStyle="1" w:styleId="St11summarytableheading2">
    <w:name w:val="St 11 summary table heading 2"/>
    <w:basedOn w:val="Heading7"/>
    <w:rsid w:val="00792704"/>
    <w:pPr>
      <w:spacing w:before="40" w:after="0"/>
    </w:pPr>
    <w:rPr>
      <w:rFonts w:ascii="Arial Bold" w:hAnsi="Arial Bold"/>
      <w:b/>
      <w:sz w:val="16"/>
      <w:szCs w:val="16"/>
    </w:rPr>
  </w:style>
  <w:style w:type="paragraph" w:customStyle="1" w:styleId="BoxText">
    <w:name w:val="Box Text"/>
    <w:basedOn w:val="Normal"/>
    <w:link w:val="BoxTextChar"/>
    <w:rsid w:val="00E77800"/>
    <w:pPr>
      <w:spacing w:line="240" w:lineRule="auto"/>
    </w:pPr>
  </w:style>
  <w:style w:type="paragraph" w:customStyle="1" w:styleId="OverviewParagraph">
    <w:name w:val="Overview Paragraph"/>
    <w:basedOn w:val="Normal"/>
    <w:rsid w:val="00E77800"/>
    <w:pPr>
      <w:spacing w:before="120" w:after="120" w:line="240" w:lineRule="auto"/>
    </w:pPr>
  </w:style>
  <w:style w:type="paragraph" w:customStyle="1" w:styleId="MeasureTableHeading">
    <w:name w:val="Measure Table Heading"/>
    <w:basedOn w:val="Normal"/>
    <w:rsid w:val="00037A45"/>
    <w:pPr>
      <w:keepNext/>
      <w:spacing w:after="0" w:line="240" w:lineRule="auto"/>
      <w:jc w:val="left"/>
    </w:pPr>
    <w:rPr>
      <w:rFonts w:ascii="Arial" w:hAnsi="Arial"/>
      <w:sz w:val="16"/>
      <w:szCs w:val="3276"/>
      <w:lang w:eastAsia="en-AU"/>
    </w:rPr>
  </w:style>
  <w:style w:type="paragraph" w:customStyle="1" w:styleId="AlphaParagraph">
    <w:name w:val="Alpha Paragraph"/>
    <w:basedOn w:val="Normal"/>
    <w:rsid w:val="0058375A"/>
    <w:pPr>
      <w:numPr>
        <w:numId w:val="10"/>
      </w:numPr>
    </w:pPr>
    <w:rPr>
      <w:color w:val="000000"/>
      <w:szCs w:val="20"/>
      <w:lang w:eastAsia="en-AU"/>
    </w:rPr>
  </w:style>
  <w:style w:type="paragraph" w:customStyle="1" w:styleId="Heading3noTOC">
    <w:name w:val="Heading 3 no TOC"/>
    <w:basedOn w:val="Heading3"/>
    <w:rsid w:val="007337B1"/>
  </w:style>
  <w:style w:type="paragraph" w:customStyle="1" w:styleId="BoxBullet">
    <w:name w:val="Box Bullet"/>
    <w:basedOn w:val="BoxTextBase"/>
    <w:rsid w:val="003F63BF"/>
    <w:pPr>
      <w:numPr>
        <w:numId w:val="20"/>
      </w:numPr>
      <w:spacing w:before="60" w:after="60"/>
      <w:ind w:left="284" w:hanging="284"/>
    </w:pPr>
  </w:style>
  <w:style w:type="paragraph" w:customStyle="1" w:styleId="BoxDash">
    <w:name w:val="Box Dash"/>
    <w:basedOn w:val="Normal"/>
    <w:rsid w:val="00083F03"/>
    <w:pPr>
      <w:numPr>
        <w:ilvl w:val="1"/>
        <w:numId w:val="20"/>
      </w:numPr>
      <w:tabs>
        <w:tab w:val="clear" w:pos="567"/>
        <w:tab w:val="num" w:pos="283"/>
      </w:tabs>
      <w:ind w:left="283" w:hanging="283"/>
    </w:pPr>
    <w:rPr>
      <w:color w:val="000000"/>
      <w:szCs w:val="20"/>
      <w:lang w:eastAsia="en-AU"/>
    </w:rPr>
  </w:style>
  <w:style w:type="paragraph" w:customStyle="1" w:styleId="BoxDoubleDot">
    <w:name w:val="Box Double Dot"/>
    <w:basedOn w:val="BoxTextBase"/>
    <w:rsid w:val="00083F03"/>
    <w:pPr>
      <w:numPr>
        <w:ilvl w:val="2"/>
        <w:numId w:val="20"/>
      </w:numPr>
      <w:tabs>
        <w:tab w:val="clear" w:pos="850"/>
        <w:tab w:val="num" w:pos="283"/>
      </w:tabs>
      <w:spacing w:before="120" w:after="120"/>
      <w:ind w:left="283"/>
    </w:pPr>
  </w:style>
  <w:style w:type="paragraph" w:customStyle="1" w:styleId="BoxTextBase">
    <w:name w:val="Box Text Base"/>
    <w:basedOn w:val="Normal"/>
    <w:rsid w:val="0058375A"/>
    <w:pPr>
      <w:spacing w:line="240" w:lineRule="auto"/>
    </w:pPr>
    <w:rPr>
      <w:color w:val="000000"/>
      <w:szCs w:val="20"/>
      <w:lang w:eastAsia="en-AU"/>
    </w:rPr>
  </w:style>
  <w:style w:type="paragraph" w:customStyle="1" w:styleId="AppendixBBoxHeading">
    <w:name w:val="Appendix_B_Box_Heading"/>
    <w:basedOn w:val="Heading5"/>
    <w:rsid w:val="000266C5"/>
    <w:pPr>
      <w:spacing w:before="120" w:after="80"/>
    </w:pPr>
  </w:style>
  <w:style w:type="paragraph" w:customStyle="1" w:styleId="OneLevelNumberedParagraph">
    <w:name w:val="One Level Numbered Paragraph"/>
    <w:basedOn w:val="Normal"/>
    <w:rsid w:val="0058375A"/>
    <w:pPr>
      <w:numPr>
        <w:numId w:val="14"/>
      </w:numPr>
      <w:tabs>
        <w:tab w:val="clear" w:pos="567"/>
        <w:tab w:val="num" w:pos="360"/>
      </w:tabs>
      <w:ind w:left="0" w:firstLine="0"/>
    </w:pPr>
    <w:rPr>
      <w:color w:val="000000"/>
      <w:szCs w:val="20"/>
      <w:lang w:eastAsia="en-AU"/>
    </w:rPr>
  </w:style>
  <w:style w:type="paragraph" w:customStyle="1" w:styleId="OutlineNumbered1">
    <w:name w:val="Outline Numbered 1"/>
    <w:basedOn w:val="Normal"/>
    <w:rsid w:val="0058375A"/>
    <w:pPr>
      <w:numPr>
        <w:numId w:val="17"/>
      </w:numPr>
      <w:tabs>
        <w:tab w:val="clear" w:pos="567"/>
        <w:tab w:val="num" w:pos="360"/>
      </w:tabs>
      <w:ind w:left="0" w:firstLine="0"/>
    </w:pPr>
    <w:rPr>
      <w:color w:val="000000"/>
      <w:szCs w:val="20"/>
      <w:lang w:eastAsia="en-AU"/>
    </w:rPr>
  </w:style>
  <w:style w:type="paragraph" w:customStyle="1" w:styleId="OutlineNumbered2">
    <w:name w:val="Outline Numbered 2"/>
    <w:basedOn w:val="Normal"/>
    <w:rsid w:val="0058375A"/>
    <w:pPr>
      <w:numPr>
        <w:ilvl w:val="1"/>
        <w:numId w:val="17"/>
      </w:numPr>
      <w:tabs>
        <w:tab w:val="clear" w:pos="1134"/>
        <w:tab w:val="num" w:pos="360"/>
      </w:tabs>
      <w:ind w:left="0" w:firstLine="0"/>
    </w:pPr>
    <w:rPr>
      <w:color w:val="000000"/>
      <w:szCs w:val="20"/>
      <w:lang w:eastAsia="en-AU"/>
    </w:rPr>
  </w:style>
  <w:style w:type="paragraph" w:customStyle="1" w:styleId="OutlineNumbered3">
    <w:name w:val="Outline Numbered 3"/>
    <w:basedOn w:val="Normal"/>
    <w:rsid w:val="0058375A"/>
    <w:pPr>
      <w:numPr>
        <w:ilvl w:val="2"/>
        <w:numId w:val="17"/>
      </w:numPr>
      <w:tabs>
        <w:tab w:val="clear" w:pos="1701"/>
        <w:tab w:val="num" w:pos="360"/>
      </w:tabs>
      <w:ind w:left="0" w:firstLine="0"/>
    </w:pPr>
    <w:rPr>
      <w:color w:val="000000"/>
      <w:szCs w:val="20"/>
      <w:lang w:eastAsia="en-AU"/>
    </w:rPr>
  </w:style>
  <w:style w:type="paragraph" w:styleId="Title">
    <w:name w:val="Title"/>
    <w:basedOn w:val="Normal"/>
    <w:qFormat/>
    <w:rsid w:val="00D8197D"/>
    <w:pPr>
      <w:spacing w:after="0" w:line="240" w:lineRule="auto"/>
      <w:jc w:val="center"/>
      <w:outlineLvl w:val="0"/>
    </w:pPr>
    <w:rPr>
      <w:b/>
      <w:kern w:val="28"/>
      <w:sz w:val="52"/>
    </w:rPr>
  </w:style>
  <w:style w:type="paragraph" w:customStyle="1" w:styleId="Title2ndLevel">
    <w:name w:val="Title 2nd Level"/>
    <w:basedOn w:val="Normal"/>
    <w:rsid w:val="00D8197D"/>
    <w:pPr>
      <w:spacing w:after="0" w:line="240" w:lineRule="auto"/>
      <w:jc w:val="center"/>
    </w:pPr>
    <w:rPr>
      <w:sz w:val="24"/>
    </w:rPr>
  </w:style>
  <w:style w:type="paragraph" w:customStyle="1" w:styleId="AppendixBBoxSubHeading">
    <w:name w:val="Appendix_B_Box_SubHeading"/>
    <w:basedOn w:val="Heading6"/>
    <w:rsid w:val="000266C5"/>
    <w:pPr>
      <w:spacing w:before="80" w:after="80"/>
    </w:pPr>
  </w:style>
  <w:style w:type="paragraph" w:customStyle="1" w:styleId="TableColumnHeadingCentred">
    <w:name w:val="Table Column Heading Centred"/>
    <w:basedOn w:val="Normal"/>
    <w:next w:val="Normal"/>
    <w:rsid w:val="00080657"/>
    <w:pPr>
      <w:spacing w:before="40" w:after="40" w:line="240" w:lineRule="auto"/>
      <w:jc w:val="center"/>
    </w:pPr>
    <w:rPr>
      <w:rFonts w:ascii="Arial Bold" w:hAnsi="Arial Bold"/>
      <w:b/>
      <w:color w:val="002B54"/>
      <w:sz w:val="16"/>
      <w:szCs w:val="20"/>
      <w:lang w:eastAsia="en-AU"/>
    </w:rPr>
  </w:style>
  <w:style w:type="paragraph" w:customStyle="1" w:styleId="TableColumnHeadingLeft">
    <w:name w:val="Table Column Heading Left"/>
    <w:basedOn w:val="Normal"/>
    <w:next w:val="Normal"/>
    <w:rsid w:val="00080657"/>
    <w:pPr>
      <w:spacing w:before="40" w:after="40" w:line="240" w:lineRule="auto"/>
      <w:jc w:val="left"/>
    </w:pPr>
    <w:rPr>
      <w:rFonts w:ascii="Arial Bold" w:hAnsi="Arial Bold"/>
      <w:b/>
      <w:color w:val="002B54"/>
      <w:sz w:val="16"/>
      <w:szCs w:val="20"/>
      <w:lang w:eastAsia="en-AU"/>
    </w:rPr>
  </w:style>
  <w:style w:type="paragraph" w:customStyle="1" w:styleId="TableColumnHeadingRight">
    <w:name w:val="Table Column Heading Right"/>
    <w:basedOn w:val="Normal"/>
    <w:next w:val="Normal"/>
    <w:rsid w:val="00080657"/>
    <w:pPr>
      <w:spacing w:before="40" w:after="40" w:line="240" w:lineRule="auto"/>
      <w:jc w:val="right"/>
    </w:pPr>
    <w:rPr>
      <w:rFonts w:ascii="Arial Bold" w:hAnsi="Arial Bold"/>
      <w:b/>
      <w:color w:val="002B54"/>
      <w:sz w:val="16"/>
      <w:szCs w:val="20"/>
      <w:lang w:eastAsia="en-AU"/>
    </w:rPr>
  </w:style>
  <w:style w:type="paragraph" w:customStyle="1" w:styleId="TableTextCentred">
    <w:name w:val="Table Text Centred"/>
    <w:basedOn w:val="Normal"/>
    <w:rsid w:val="00080657"/>
    <w:pPr>
      <w:spacing w:before="20" w:after="20" w:line="240" w:lineRule="auto"/>
      <w:jc w:val="center"/>
    </w:pPr>
    <w:rPr>
      <w:rFonts w:ascii="Arial" w:hAnsi="Arial"/>
      <w:sz w:val="16"/>
      <w:szCs w:val="20"/>
      <w:lang w:eastAsia="en-AU"/>
    </w:rPr>
  </w:style>
  <w:style w:type="paragraph" w:customStyle="1" w:styleId="TableTextIndented">
    <w:name w:val="Table Text Indented"/>
    <w:basedOn w:val="Normal"/>
    <w:rsid w:val="00080657"/>
    <w:pPr>
      <w:spacing w:before="20" w:after="20" w:line="240" w:lineRule="auto"/>
      <w:ind w:left="284"/>
      <w:jc w:val="left"/>
    </w:pPr>
    <w:rPr>
      <w:rFonts w:ascii="Arial" w:hAnsi="Arial"/>
      <w:sz w:val="16"/>
      <w:szCs w:val="20"/>
      <w:lang w:eastAsia="en-AU"/>
    </w:rPr>
  </w:style>
  <w:style w:type="paragraph" w:customStyle="1" w:styleId="TableTextLeft">
    <w:name w:val="Table Text Left"/>
    <w:basedOn w:val="Normal"/>
    <w:rsid w:val="00080657"/>
    <w:pPr>
      <w:spacing w:before="20" w:after="20" w:line="240" w:lineRule="auto"/>
      <w:jc w:val="left"/>
    </w:pPr>
    <w:rPr>
      <w:rFonts w:ascii="Arial" w:hAnsi="Arial"/>
      <w:sz w:val="16"/>
      <w:szCs w:val="20"/>
      <w:lang w:eastAsia="en-AU"/>
    </w:rPr>
  </w:style>
  <w:style w:type="paragraph" w:customStyle="1" w:styleId="TableTextRight">
    <w:name w:val="Table Text Right"/>
    <w:basedOn w:val="Normal"/>
    <w:rsid w:val="00080657"/>
    <w:pPr>
      <w:spacing w:before="20" w:after="20" w:line="240" w:lineRule="auto"/>
      <w:jc w:val="right"/>
    </w:pPr>
    <w:rPr>
      <w:rFonts w:ascii="Arial" w:hAnsi="Arial"/>
      <w:sz w:val="16"/>
      <w:szCs w:val="20"/>
      <w:lang w:eastAsia="en-AU"/>
    </w:rPr>
  </w:style>
  <w:style w:type="paragraph" w:customStyle="1" w:styleId="Heading2noTOC">
    <w:name w:val="Heading 2 no TOC"/>
    <w:basedOn w:val="Heading2"/>
    <w:qFormat/>
    <w:rsid w:val="004D7709"/>
  </w:style>
  <w:style w:type="character" w:customStyle="1" w:styleId="FooterChar">
    <w:name w:val="Footer Char"/>
    <w:link w:val="Footer"/>
    <w:rsid w:val="00D973A2"/>
    <w:rPr>
      <w:rFonts w:ascii="Arial" w:hAnsi="Arial" w:cs="Arial"/>
      <w:color w:val="000000"/>
      <w:szCs w:val="24"/>
      <w:lang w:eastAsia="en-US"/>
    </w:rPr>
  </w:style>
  <w:style w:type="paragraph" w:customStyle="1" w:styleId="fbo">
    <w:name w:val="fbo"/>
    <w:rsid w:val="009162A8"/>
    <w:pPr>
      <w:spacing w:after="240" w:line="260" w:lineRule="exact"/>
      <w:jc w:val="both"/>
    </w:pPr>
    <w:rPr>
      <w:rFonts w:ascii="Book Antiqua" w:hAnsi="Book Antiqua"/>
      <w:szCs w:val="24"/>
      <w:lang w:eastAsia="en-US"/>
    </w:rPr>
  </w:style>
  <w:style w:type="character" w:customStyle="1" w:styleId="ChartandTableFootnoteAlphaChar">
    <w:name w:val="Chart and Table Footnote Alpha Char"/>
    <w:link w:val="ChartandTableFootnoteAlpha"/>
    <w:rsid w:val="00D775D9"/>
    <w:rPr>
      <w:rFonts w:ascii="Arial" w:hAnsi="Arial" w:cs="Arial"/>
      <w:color w:val="000000"/>
      <w:sz w:val="16"/>
      <w:szCs w:val="24"/>
      <w:lang w:eastAsia="en-US"/>
    </w:rPr>
  </w:style>
  <w:style w:type="paragraph" w:customStyle="1" w:styleId="TableColumnHeading">
    <w:name w:val="Table Column Heading"/>
    <w:basedOn w:val="Normal"/>
    <w:rsid w:val="00D775D9"/>
    <w:pPr>
      <w:spacing w:before="40" w:after="40" w:line="240" w:lineRule="auto"/>
      <w:jc w:val="left"/>
    </w:pPr>
    <w:rPr>
      <w:rFonts w:ascii="Arial" w:hAnsi="Arial"/>
      <w:b/>
      <w:color w:val="000000"/>
      <w:sz w:val="16"/>
    </w:rPr>
  </w:style>
  <w:style w:type="character" w:styleId="Strong">
    <w:name w:val="Strong"/>
    <w:qFormat/>
    <w:rsid w:val="00D775D9"/>
    <w:rPr>
      <w:b/>
      <w:bCs/>
    </w:rPr>
  </w:style>
  <w:style w:type="character" w:customStyle="1" w:styleId="TableHeadingChar">
    <w:name w:val="Table Heading Char"/>
    <w:link w:val="TableHeading"/>
    <w:rsid w:val="00D775D9"/>
    <w:rPr>
      <w:rFonts w:ascii="Arial" w:hAnsi="Arial" w:cs="Arial"/>
      <w:b/>
      <w:color w:val="000000"/>
      <w:szCs w:val="24"/>
      <w:lang w:eastAsia="en-US"/>
    </w:rPr>
  </w:style>
  <w:style w:type="paragraph" w:customStyle="1" w:styleId="NoteHeading1">
    <w:name w:val="Note Heading1"/>
    <w:basedOn w:val="NoteTableHeading"/>
    <w:rsid w:val="00D775D9"/>
    <w:pPr>
      <w:spacing w:before="0" w:after="240"/>
    </w:pPr>
  </w:style>
  <w:style w:type="paragraph" w:customStyle="1" w:styleId="NoteTableHeadingnospaceabove">
    <w:name w:val="Note Table Heading no space above"/>
    <w:basedOn w:val="NoteTableHeading"/>
    <w:rsid w:val="00D775D9"/>
    <w:pPr>
      <w:spacing w:before="0"/>
    </w:pPr>
  </w:style>
  <w:style w:type="character" w:customStyle="1" w:styleId="FootnoteTextChar">
    <w:name w:val="Footnote Text Char"/>
    <w:link w:val="FootnoteText"/>
    <w:locked/>
    <w:rsid w:val="00D775D9"/>
    <w:rPr>
      <w:rFonts w:ascii="Book Antiqua" w:hAnsi="Book Antiqua"/>
      <w:color w:val="000000"/>
      <w:sz w:val="18"/>
      <w:szCs w:val="24"/>
      <w:lang w:eastAsia="en-US"/>
    </w:rPr>
  </w:style>
  <w:style w:type="character" w:customStyle="1" w:styleId="BoxTextChar">
    <w:name w:val="Box Text Char"/>
    <w:link w:val="BoxText"/>
    <w:rsid w:val="00D775D9"/>
    <w:rPr>
      <w:rFonts w:ascii="Book Antiqua" w:hAnsi="Book Antiqua"/>
      <w:szCs w:val="24"/>
      <w:lang w:eastAsia="en-US"/>
    </w:rPr>
  </w:style>
  <w:style w:type="paragraph" w:styleId="BalloonText">
    <w:name w:val="Balloon Text"/>
    <w:basedOn w:val="Normal"/>
    <w:link w:val="BalloonTextChar"/>
    <w:rsid w:val="001349D8"/>
    <w:pPr>
      <w:spacing w:after="0" w:line="240" w:lineRule="auto"/>
    </w:pPr>
    <w:rPr>
      <w:rFonts w:ascii="Tahoma" w:hAnsi="Tahoma" w:cs="Tahoma"/>
      <w:sz w:val="16"/>
      <w:szCs w:val="16"/>
    </w:rPr>
  </w:style>
  <w:style w:type="character" w:customStyle="1" w:styleId="BalloonTextChar">
    <w:name w:val="Balloon Text Char"/>
    <w:link w:val="BalloonText"/>
    <w:rsid w:val="001349D8"/>
    <w:rPr>
      <w:rFonts w:ascii="Tahoma" w:hAnsi="Tahoma" w:cs="Tahoma"/>
      <w:sz w:val="16"/>
      <w:szCs w:val="16"/>
      <w:lang w:eastAsia="en-US"/>
    </w:rPr>
  </w:style>
  <w:style w:type="character" w:styleId="CommentReference">
    <w:name w:val="annotation reference"/>
    <w:rsid w:val="00F109E8"/>
    <w:rPr>
      <w:sz w:val="16"/>
      <w:szCs w:val="16"/>
    </w:rPr>
  </w:style>
  <w:style w:type="paragraph" w:styleId="CommentText">
    <w:name w:val="annotation text"/>
    <w:basedOn w:val="Normal"/>
    <w:link w:val="CommentTextChar"/>
    <w:rsid w:val="00F109E8"/>
    <w:rPr>
      <w:szCs w:val="20"/>
    </w:rPr>
  </w:style>
  <w:style w:type="character" w:customStyle="1" w:styleId="CommentTextChar">
    <w:name w:val="Comment Text Char"/>
    <w:link w:val="CommentText"/>
    <w:rsid w:val="00F109E8"/>
    <w:rPr>
      <w:rFonts w:ascii="Book Antiqua" w:hAnsi="Book Antiqua"/>
      <w:lang w:eastAsia="en-US"/>
    </w:rPr>
  </w:style>
  <w:style w:type="paragraph" w:styleId="CommentSubject">
    <w:name w:val="annotation subject"/>
    <w:basedOn w:val="CommentText"/>
    <w:next w:val="CommentText"/>
    <w:link w:val="CommentSubjectChar"/>
    <w:rsid w:val="00F109E8"/>
    <w:rPr>
      <w:b/>
      <w:bCs/>
    </w:rPr>
  </w:style>
  <w:style w:type="character" w:customStyle="1" w:styleId="CommentSubjectChar">
    <w:name w:val="Comment Subject Char"/>
    <w:link w:val="CommentSubject"/>
    <w:rsid w:val="00F109E8"/>
    <w:rPr>
      <w:rFonts w:ascii="Book Antiqua" w:hAnsi="Book Antiqua"/>
      <w:b/>
      <w:bCs/>
      <w:lang w:eastAsia="en-US"/>
    </w:rPr>
  </w:style>
  <w:style w:type="paragraph" w:styleId="Revision">
    <w:name w:val="Revision"/>
    <w:hidden/>
    <w:uiPriority w:val="99"/>
    <w:semiHidden/>
    <w:rsid w:val="00BE647F"/>
    <w:rPr>
      <w:rFonts w:ascii="Book Antiqua" w:hAnsi="Book Antiqua"/>
      <w:szCs w:val="24"/>
      <w:lang w:eastAsia="en-US"/>
    </w:rPr>
  </w:style>
  <w:style w:type="character" w:styleId="LineNumber">
    <w:name w:val="line number"/>
    <w:basedOn w:val="DefaultParagraphFont"/>
    <w:rsid w:val="00FD7E8B"/>
  </w:style>
  <w:style w:type="paragraph" w:styleId="EndnoteText">
    <w:name w:val="endnote text"/>
    <w:basedOn w:val="Normal"/>
    <w:link w:val="EndnoteTextChar"/>
    <w:rsid w:val="00FD7E8B"/>
    <w:pPr>
      <w:spacing w:after="0" w:line="240" w:lineRule="auto"/>
    </w:pPr>
    <w:rPr>
      <w:szCs w:val="20"/>
    </w:rPr>
  </w:style>
  <w:style w:type="character" w:customStyle="1" w:styleId="EndnoteTextChar">
    <w:name w:val="Endnote Text Char"/>
    <w:link w:val="EndnoteText"/>
    <w:rsid w:val="00FD7E8B"/>
    <w:rPr>
      <w:rFonts w:ascii="Book Antiqua" w:hAnsi="Book Antiqua"/>
      <w:lang w:eastAsia="en-US"/>
    </w:rPr>
  </w:style>
  <w:style w:type="character" w:styleId="EndnoteReference">
    <w:name w:val="endnote reference"/>
    <w:rsid w:val="00FD7E8B"/>
    <w:rPr>
      <w:vertAlign w:val="superscript"/>
    </w:rPr>
  </w:style>
  <w:style w:type="paragraph" w:styleId="NormalWeb">
    <w:name w:val="Normal (Web)"/>
    <w:basedOn w:val="Normal"/>
    <w:rsid w:val="005656DA"/>
    <w:rPr>
      <w:rFonts w:ascii="Times New Roman" w:hAnsi="Times New Roman"/>
      <w:sz w:val="24"/>
    </w:rPr>
  </w:style>
  <w:style w:type="paragraph" w:customStyle="1" w:styleId="BoxSubHeading">
    <w:name w:val="Box Sub Heading"/>
    <w:basedOn w:val="Heading6"/>
    <w:qFormat/>
    <w:rsid w:val="003D68FC"/>
    <w:pPr>
      <w:spacing w:before="180"/>
    </w:pPr>
    <w:rPr>
      <w:rFonts w:cs="Times New Roman"/>
      <w:bCs/>
      <w:color w:val="auto"/>
      <w:szCs w:val="22"/>
      <w:lang w:eastAsia="en-AU"/>
    </w:rPr>
  </w:style>
  <w:style w:type="paragraph" w:customStyle="1" w:styleId="Normal-Indent">
    <w:name w:val="Normal - Indent"/>
    <w:basedOn w:val="Normal"/>
    <w:rsid w:val="006C0C27"/>
    <w:pPr>
      <w:spacing w:after="120"/>
      <w:ind w:left="284"/>
    </w:pPr>
  </w:style>
  <w:style w:type="paragraph" w:customStyle="1" w:styleId="Normal-Indent-Italics">
    <w:name w:val="Normal - Indent - Italics"/>
    <w:basedOn w:val="Normal"/>
    <w:rsid w:val="006C0C27"/>
    <w:pPr>
      <w:spacing w:after="120"/>
      <w:ind w:left="284"/>
    </w:pPr>
    <w:rPr>
      <w:i/>
    </w:rPr>
  </w:style>
  <w:style w:type="character" w:styleId="Hyperlink">
    <w:name w:val="Hyperlink"/>
    <w:rsid w:val="006C0C27"/>
    <w:rPr>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147560">
      <w:bodyDiv w:val="1"/>
      <w:marLeft w:val="0"/>
      <w:marRight w:val="0"/>
      <w:marTop w:val="0"/>
      <w:marBottom w:val="0"/>
      <w:divBdr>
        <w:top w:val="none" w:sz="0" w:space="0" w:color="auto"/>
        <w:left w:val="none" w:sz="0" w:space="0" w:color="auto"/>
        <w:bottom w:val="none" w:sz="0" w:space="0" w:color="auto"/>
        <w:right w:val="none" w:sz="0" w:space="0" w:color="auto"/>
      </w:divBdr>
    </w:div>
    <w:div w:id="863598613">
      <w:bodyDiv w:val="1"/>
      <w:marLeft w:val="0"/>
      <w:marRight w:val="0"/>
      <w:marTop w:val="0"/>
      <w:marBottom w:val="0"/>
      <w:divBdr>
        <w:top w:val="none" w:sz="0" w:space="0" w:color="auto"/>
        <w:left w:val="none" w:sz="0" w:space="0" w:color="auto"/>
        <w:bottom w:val="none" w:sz="0" w:space="0" w:color="auto"/>
        <w:right w:val="none" w:sz="0" w:space="0" w:color="auto"/>
      </w:divBdr>
    </w:div>
    <w:div w:id="117888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oleObject" Target="file:///\\romulus\csg_h$\MCD\Publishing\Internet%20&amp;%20Intranet%20Services%20Team\To_Do_For_Conversion\MYEFO\Tables%20-%20Fiscal\Appendix%20B\MYEFO%202017-18%20appendix%20B%20tables%20-%20formatted.xlsm!S10.T1!R80C11:R107C21" TargetMode="External"/><Relationship Id="rId26" Type="http://schemas.openxmlformats.org/officeDocument/2006/relationships/oleObject" Target="file:///\\romulus\csg_h$\MCD\Publishing\Internet%20&amp;%20Intranet%20Services%20Team\To_Do_For_Conversion\MYEFO\Tables%20-%20Fiscal\Appendix%20B\MYEFO%202017-18%20appendix%20B%20tables%20-%20formatted.xlsm!S10.T3!R103C11:R132C19" TargetMode="External"/><Relationship Id="rId39" Type="http://schemas.openxmlformats.org/officeDocument/2006/relationships/image" Target="media/image13.emf"/><Relationship Id="rId21" Type="http://schemas.openxmlformats.org/officeDocument/2006/relationships/image" Target="media/image4.emf"/><Relationship Id="rId34" Type="http://schemas.openxmlformats.org/officeDocument/2006/relationships/oleObject" Target="file:///\\romulus\csg_h$\MCD\Publishing\Internet%20&amp;%20Intranet%20Services%20Team\To_Do_For_Conversion\MYEFO\Tables%20-%20Fiscal\Appendix%20B\MYEFO%202017-18%20appendix%20B%20tables%20-%20formatted.xlsm!S10.T7!R6C11:R68C13" TargetMode="External"/><Relationship Id="rId42" Type="http://schemas.openxmlformats.org/officeDocument/2006/relationships/oleObject" Target="file:///\\romulus\csg_h$\MCD\Publishing\Internet%20&amp;%20Intranet%20Services%20Team\To_Do_For_Conversion\Tables%20-%20Fiscal\Appendix%20B\MYEFO%202017-18%20appendix%20B%20tables%20-%20formatted.xlsm!S10.T11!R6C11:R116C14" TargetMode="External"/><Relationship Id="rId47" Type="http://schemas.openxmlformats.org/officeDocument/2006/relationships/footer" Target="footer1.xml"/><Relationship Id="rId50" Type="http://schemas.openxmlformats.org/officeDocument/2006/relationships/image" Target="media/image16.emf"/><Relationship Id="rId55" Type="http://schemas.openxmlformats.org/officeDocument/2006/relationships/oleObject" Target="file:///\\romulus\csg_h$\MCD\Publishing\Internet%20&amp;%20Intranet%20Services%20Team\To_Do_For_Conversion\MYEFO\Tables%20-%20Fiscal\Appendix%20B\MYEFO%202017-18%20appendix%20B%20tables%20-%20formatted.xlsm!S10.N3(a)!R6C11:R46C17" TargetMode="External"/><Relationship Id="rId63" Type="http://schemas.openxmlformats.org/officeDocument/2006/relationships/oleObject" Target="file:///\\romulus\csg_h$\MCD\Publishing\Internet%20&amp;%20Intranet%20Services%20Team\To_Do_For_Conversion\MYEFO\Tables%20-%20Fiscal\Appendix%20B\MYEFO%202017-18%20appendix%20B%20tables%20-%20formatted.xlsm!S10.N7!R6C11:R30C17" TargetMode="External"/><Relationship Id="rId68" Type="http://schemas.openxmlformats.org/officeDocument/2006/relationships/image" Target="media/image25.emf"/><Relationship Id="rId76" Type="http://schemas.openxmlformats.org/officeDocument/2006/relationships/image" Target="media/image29.emf"/><Relationship Id="rId84" Type="http://schemas.openxmlformats.org/officeDocument/2006/relationships/image" Target="media/image33.emf"/><Relationship Id="rId89" Type="http://schemas.openxmlformats.org/officeDocument/2006/relationships/header" Target="header4.xml"/><Relationship Id="rId7" Type="http://schemas.openxmlformats.org/officeDocument/2006/relationships/customXml" Target="../customXml/item7.xml"/><Relationship Id="rId71" Type="http://schemas.openxmlformats.org/officeDocument/2006/relationships/oleObject" Target="file:///\\romulus\csg_h$\MCD\Publishing\Internet%20&amp;%20Intranet%20Services%20Team\To_Do_For_Conversion\MYEFO\Tables%20-%20Fiscal\Appendix%20B\MYEFO%202017-18%20appendix%20B%20tables%20-%20formatted.xlsm!S10.N11!R6C11:R60C17" TargetMode="External"/><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file:///\\romulus\csg_h$\MCD\Publishing\Internet%20&amp;%20Intranet%20Services%20Team\To_Do_For_Conversion\MYEFO\Tables%20-%20Fiscal\Appendix%20B\MYEFO%202017-18%20appendix%20B%20tables%20-%20formatted.xlsm!S10.T1!R6C11:R77C21" TargetMode="External"/><Relationship Id="rId29" Type="http://schemas.openxmlformats.org/officeDocument/2006/relationships/image" Target="media/image8.emf"/><Relationship Id="rId11" Type="http://schemas.openxmlformats.org/officeDocument/2006/relationships/settings" Target="settings.xml"/><Relationship Id="rId24" Type="http://schemas.openxmlformats.org/officeDocument/2006/relationships/oleObject" Target="file:///\\romulus\csg_h$\MCD\Publishing\Internet%20&amp;%20Intranet%20Services%20Team\To_Do_For_Conversion\MYEFO\Tables%20-%20Fiscal\Appendix%20B\MYEFO%202017-18%20appendix%20B%20tables%20-%20formatted.xlsm!S10.T3!R6C11:R100C19" TargetMode="External"/><Relationship Id="rId32" Type="http://schemas.openxmlformats.org/officeDocument/2006/relationships/oleObject" Target="file:///\\romulus\csg_h$\MCD\Publishing\Internet%20&amp;%20Intranet%20Services%20Team\To_Do_For_Conversion\MYEFO\Tables%20-%20Fiscal\Appendix%20B\MYEFO%202017-18%20appendix%20B%20tables%20-%20formatted.xlsm!S10.T6!R6C11:R93C13" TargetMode="External"/><Relationship Id="rId37" Type="http://schemas.openxmlformats.org/officeDocument/2006/relationships/image" Target="media/image12.emf"/><Relationship Id="rId40" Type="http://schemas.openxmlformats.org/officeDocument/2006/relationships/oleObject" Target="file:///\\romulus\csg_h$\MCD\Publishing\Internet%20&amp;%20Intranet%20Services%20Team\To_Do_For_Conversion\MYEFO\Tables%20-%20Fiscal\Appendix%20B\MYEFO%202017-18%20appendix%20B%20tables%20-%20formatted.xlsm!S10.T10!R6C11:R72C13" TargetMode="External"/><Relationship Id="rId45" Type="http://schemas.openxmlformats.org/officeDocument/2006/relationships/header" Target="header1.xml"/><Relationship Id="rId53" Type="http://schemas.openxmlformats.org/officeDocument/2006/relationships/oleObject" Target="file:///\\romulus\csg_h$\MCD\Publishing\Internet%20&amp;%20Intranet%20Services%20Team\To_Do_For_Conversion\MYEFO\Tables%20-%20Fiscal\Appendix%20B\MYEFO%202017-18%20appendix%20B%20tables%20-%20formatted.xlsm!S10.N3!R83C11:R89C17" TargetMode="External"/><Relationship Id="rId58" Type="http://schemas.openxmlformats.org/officeDocument/2006/relationships/image" Target="media/image20.emf"/><Relationship Id="rId66" Type="http://schemas.openxmlformats.org/officeDocument/2006/relationships/image" Target="media/image24.emf"/><Relationship Id="rId74" Type="http://schemas.openxmlformats.org/officeDocument/2006/relationships/image" Target="media/image28.emf"/><Relationship Id="rId79" Type="http://schemas.openxmlformats.org/officeDocument/2006/relationships/oleObject" Target="file:///\\romulus\csg_h$\MCD\Publishing\Internet%20&amp;%20Intranet%20Services%20Team\To_Do_For_Conversion\MYEFO\Tables%20-%20Fiscal\Appendix%20B\MYEFO%202017-18%20appendix%20B%20tables%20-%20formatted.xlsm!S10.N15!R7C11:R51C17" TargetMode="External"/><Relationship Id="rId87" Type="http://schemas.openxmlformats.org/officeDocument/2006/relationships/image" Target="media/image34.emf"/><Relationship Id="rId5" Type="http://schemas.openxmlformats.org/officeDocument/2006/relationships/customXml" Target="../customXml/item5.xml"/><Relationship Id="rId61" Type="http://schemas.openxmlformats.org/officeDocument/2006/relationships/oleObject" Target="file:///\\romulus\csg_h$\MCD\Publishing\Internet%20&amp;%20Intranet%20Services%20Team\To_Do_For_Conversion\MYEFO\Tables%20-%20Fiscal\Appendix%20B\MYEFO%202017-18%20appendix%20B%20tables%20-%20formatted.xlsm!S10.N6!R6C11:R36C17" TargetMode="External"/><Relationship Id="rId82" Type="http://schemas.openxmlformats.org/officeDocument/2006/relationships/image" Target="media/image32.emf"/><Relationship Id="rId90" Type="http://schemas.openxmlformats.org/officeDocument/2006/relationships/footer" Target="footer4.xml"/><Relationship Id="rId19" Type="http://schemas.openxmlformats.org/officeDocument/2006/relationships/image" Target="media/image3.emf"/><Relationship Id="rId14" Type="http://schemas.openxmlformats.org/officeDocument/2006/relationships/endnotes" Target="endnotes.xml"/><Relationship Id="rId22" Type="http://schemas.openxmlformats.org/officeDocument/2006/relationships/oleObject" Target="file:///\\romulus\csg_h$\MCD\Publishing\Internet%20&amp;%20Intranet%20Services%20Team\To_Do_For_Conversion\MYEFO\Tables%20-%20Fiscal\Appendix%20B\MYEFO%202017-18%20appendix%20B%20tables%20-%20formatted.xlsm!S10.T2!R60C11:R132C18" TargetMode="External"/><Relationship Id="rId27" Type="http://schemas.openxmlformats.org/officeDocument/2006/relationships/image" Target="media/image7.emf"/><Relationship Id="rId30" Type="http://schemas.openxmlformats.org/officeDocument/2006/relationships/oleObject" Target="file:///\\romulus\csg_h$\MCD\Publishing\Internet%20&amp;%20Intranet%20Services%20Team\To_Do_For_Conversion\MYEFO\Tables%20-%20Fiscal\Appendix%20B\MYEFO%202017-18%20appendix%20B%20tables%20-%20formatted.xlsm!S10.T5!R6C11:R117C14" TargetMode="External"/><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footer" Target="footer2.xml"/><Relationship Id="rId56" Type="http://schemas.openxmlformats.org/officeDocument/2006/relationships/image" Target="media/image19.emf"/><Relationship Id="rId64" Type="http://schemas.openxmlformats.org/officeDocument/2006/relationships/image" Target="media/image23.emf"/><Relationship Id="rId69" Type="http://schemas.openxmlformats.org/officeDocument/2006/relationships/oleObject" Target="file:///\\romulus\csg_h$\MCD\Publishing\Internet%20&amp;%20Intranet%20Services%20Team\To_Do_For_Conversion\MYEFO\Tables%20-%20Fiscal\Appendix%20B\MYEFO%202017-18%20appendix%20B%20tables%20-%20formatted.xlsm!S10.N10!R6C11:R35C17" TargetMode="External"/><Relationship Id="rId77" Type="http://schemas.openxmlformats.org/officeDocument/2006/relationships/oleObject" Target="file:///\\romulus\csg_h$\MCD\Publishing\Internet%20&amp;%20Intranet%20Services%20Team\To_Do_For_Conversion\MYEFO\Tables%20-%20Fiscal\Appendix%20B\MYEFO%202017-18%20appendix%20B%20tables%20-%20formatted.xlsm!S10.N14!R6C11:R26C17" TargetMode="External"/><Relationship Id="rId8" Type="http://schemas.openxmlformats.org/officeDocument/2006/relationships/numbering" Target="numbering.xml"/><Relationship Id="rId51" Type="http://schemas.openxmlformats.org/officeDocument/2006/relationships/oleObject" Target="file:///\\romulus\csg_h$\MCD\Publishing\Internet%20&amp;%20Intranet%20Services%20Team\To_Do_For_Conversion\MYEFO\Tables%20-%20Fiscal\Appendix%20B\MYEFO%202017-18%20appendix%20B%20tables%20-%20formatted.xlsm!S10.N3!R6C11:R79C17" TargetMode="External"/><Relationship Id="rId72" Type="http://schemas.openxmlformats.org/officeDocument/2006/relationships/image" Target="media/image27.emf"/><Relationship Id="rId80" Type="http://schemas.openxmlformats.org/officeDocument/2006/relationships/image" Target="media/image31.emf"/><Relationship Id="rId85" Type="http://schemas.openxmlformats.org/officeDocument/2006/relationships/oleObject" Target="file:///\\romulus\csg_h$\MCD\Publishing\Internet%20&amp;%20Intranet%20Services%20Team\To_Do_For_Conversion\Tables%20-%20Fiscal\Appendix%20B\MYEFO%202017-18%20appendix%20B%20tables%20-%20formatted.xlsm!S10.N18!R6C1:R109C17" TargetMode="Externa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image" Target="media/image2.emf"/><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oleObject" Target="file:///\\romulus\csg_h$\MCD\Publishing\Internet%20&amp;%20Intranet%20Services%20Team\To_Do_For_Conversion\MYEFO\Tables%20-%20Fiscal\Appendix%20B\MYEFO%202017-18%20appendix%20B%20tables%20-%20formatted.xlsm!S10.T9!R6C11:R98C13" TargetMode="External"/><Relationship Id="rId46" Type="http://schemas.openxmlformats.org/officeDocument/2006/relationships/header" Target="header2.xml"/><Relationship Id="rId59" Type="http://schemas.openxmlformats.org/officeDocument/2006/relationships/oleObject" Target="file:///\\romulus\csg_h$\MCD\Publishing\Internet%20&amp;%20Intranet%20Services%20Team\To_Do_For_Conversion\MYEFO\Tables%20-%20Fiscal\Appendix%20B\MYEFO%202017-18%20appendix%20B%20tables%20-%20formatted.xlsm!S10.N5!R6C11:R45C17" TargetMode="External"/><Relationship Id="rId67" Type="http://schemas.openxmlformats.org/officeDocument/2006/relationships/oleObject" Target="file:///\\romulus\csg_h$\MCD\Publishing\Internet%20&amp;%20Intranet%20Services%20Team\To_Do_For_Conversion\MYEFO\Tables%20-%20Fiscal\Appendix%20B\MYEFO%202017-18%20appendix%20B%20tables%20-%20formatted.xlsm!S10.N9!R6C11:R57C17" TargetMode="External"/><Relationship Id="rId20" Type="http://schemas.openxmlformats.org/officeDocument/2006/relationships/oleObject" Target="file:///\\romulus\csg_h$\MCD\Publishing\Internet%20&amp;%20Intranet%20Services%20Team\To_Do_For_Conversion\MYEFO\Tables%20-%20Fiscal\Appendix%20B\MYEFO%202017-18%20appendix%20B%20tables%20-%20formatted.xlsm!S10.T2!R6C11:R56C18" TargetMode="External"/><Relationship Id="rId41" Type="http://schemas.openxmlformats.org/officeDocument/2006/relationships/image" Target="media/image14.emf"/><Relationship Id="rId54" Type="http://schemas.openxmlformats.org/officeDocument/2006/relationships/image" Target="media/image18.emf"/><Relationship Id="rId62" Type="http://schemas.openxmlformats.org/officeDocument/2006/relationships/image" Target="media/image22.emf"/><Relationship Id="rId70" Type="http://schemas.openxmlformats.org/officeDocument/2006/relationships/image" Target="media/image26.emf"/><Relationship Id="rId75" Type="http://schemas.openxmlformats.org/officeDocument/2006/relationships/oleObject" Target="file:///\\romulus\csg_h$\MCD\Publishing\Internet%20&amp;%20Intranet%20Services%20Team\To_Do_For_Conversion\MYEFO\Tables%20-%20Fiscal\Appendix%20B\MYEFO%202017-18%20appendix%20B%20tables%20-%20formatted.xlsm!S10.N13!R6C11:R74C17" TargetMode="External"/><Relationship Id="rId83" Type="http://schemas.openxmlformats.org/officeDocument/2006/relationships/oleObject" Target="file:///\\romulus\csg_h$\MCD\Publishing\Internet%20&amp;%20Intranet%20Services%20Team\To_Do_For_Conversion\MYEFO\Tables%20-%20Fiscal\Appendix%20B\MYEFO%202017-18%20appendix%20B%20tables%20-%20formatted.xlsm!S10.N17!R6C11:R25C17" TargetMode="External"/><Relationship Id="rId88" Type="http://schemas.openxmlformats.org/officeDocument/2006/relationships/oleObject" Target="file:///\\romulus\csg_h$\MCD\Publishing\Internet%20&amp;%20Intranet%20Services%20Team\To_Do_For_Conversion\Tables%20-%20Fiscal\Appendix%20B\MYEFO%202017-18%20appendix%20B%20tables%20-%20formatted.xlsm!S10.N19!R6C11:R142C17"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1.emf"/><Relationship Id="rId23" Type="http://schemas.openxmlformats.org/officeDocument/2006/relationships/image" Target="media/image5.emf"/><Relationship Id="rId28" Type="http://schemas.openxmlformats.org/officeDocument/2006/relationships/oleObject" Target="file:///\\romulus\csg_h$\MCD\Publishing\Internet%20&amp;%20Intranet%20Services%20Team\To_Do_For_Conversion\MYEFO\Tables%20-%20Fiscal\Appendix%20B\MYEFO%202017-18%20appendix%20B%20tables%20-%20formatted.xlsm!S10.T4!R6C11:R72C13" TargetMode="External"/><Relationship Id="rId36" Type="http://schemas.openxmlformats.org/officeDocument/2006/relationships/oleObject" Target="file:///\\romulus\csg_h$\MCD\Publishing\Internet%20&amp;%20Intranet%20Services%20Team\To_Do_For_Conversion\Tables%20-%20Fiscal\Appendix%20B\MYEFO%202017-18%20appendix%20B%20tables%20-%20formatted.xlsm!S10.T8!R6C11:R111C14" TargetMode="External"/><Relationship Id="rId49" Type="http://schemas.openxmlformats.org/officeDocument/2006/relationships/footer" Target="footer3.xml"/><Relationship Id="rId57" Type="http://schemas.openxmlformats.org/officeDocument/2006/relationships/oleObject" Target="file:///\\romulus\csg_h$\MCD\Publishing\Internet%20&amp;%20Intranet%20Services%20Team\To_Do_For_Conversion\MYEFO\Tables%20-%20Fiscal\Appendix%20B\MYEFO%202017-18%20appendix%20B%20tables%20-%20formatted.xlsm!S10.N4!R6C11:R19C17" TargetMode="External"/><Relationship Id="rId10" Type="http://schemas.microsoft.com/office/2007/relationships/stylesWithEffects" Target="stylesWithEffects.xml"/><Relationship Id="rId31" Type="http://schemas.openxmlformats.org/officeDocument/2006/relationships/image" Target="media/image9.emf"/><Relationship Id="rId44" Type="http://schemas.openxmlformats.org/officeDocument/2006/relationships/oleObject" Target="file:///\\romulus\csg_h$\MCD\Publishing\Internet%20&amp;%20Intranet%20Services%20Team\To_Do_For_Conversion\MYEFO\Tables%20-%20Fiscal\Appendix%20B\MYEFO%202017-18%20appendix%20B%20tables%20-%20formatted.xlsm!S10.T12!R6C11:R95C13" TargetMode="External"/><Relationship Id="rId52" Type="http://schemas.openxmlformats.org/officeDocument/2006/relationships/image" Target="media/image17.emf"/><Relationship Id="rId60" Type="http://schemas.openxmlformats.org/officeDocument/2006/relationships/image" Target="media/image21.emf"/><Relationship Id="rId65" Type="http://schemas.openxmlformats.org/officeDocument/2006/relationships/oleObject" Target="file:///\\romulus\csg_h$\MCD\Publishing\Internet%20&amp;%20Intranet%20Services%20Team\To_Do_For_Conversion\MYEFO\Tables%20-%20Fiscal\Appendix%20B\MYEFO%202017-18%20appendix%20B%20tables%20-%20formatted.xlsm!S10.N8!R6C11:R17C17" TargetMode="External"/><Relationship Id="rId73" Type="http://schemas.openxmlformats.org/officeDocument/2006/relationships/oleObject" Target="file:///\\romulus\csg_h$\MCD\Publishing\Internet%20&amp;%20Intranet%20Services%20Team\To_Do_For_Conversion\MYEFO\Tables%20-%20Fiscal\Appendix%20B\MYEFO%202017-18%20appendix%20B%20tables%20-%20formatted.xlsm!S10.N12!R6C11:R19C17" TargetMode="External"/><Relationship Id="rId78" Type="http://schemas.openxmlformats.org/officeDocument/2006/relationships/image" Target="media/image30.emf"/><Relationship Id="rId81" Type="http://schemas.openxmlformats.org/officeDocument/2006/relationships/oleObject" Target="file:///\\romulus\csg_h$\MCD\Publishing\Internet%20&amp;%20Intranet%20Services%20Team\To_Do_For_Conversion\MYEFO\Tables%20-%20Fiscal\Appendix%20B\MYEFO%202017-18%20appendix%20B%20tables%20-%20formatted.xlsm!S10.N16!R6C1:R30C17" TargetMode="External"/><Relationship Id="rId86"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BFCCE9A6AE7E2C4D8556A56EF67FEA5D" ma:contentTypeVersion="23" ma:contentTypeDescription="" ma:contentTypeScope="" ma:versionID="b0a2de537b3dbe9ea5fe84278f4e82c0">
  <xsd:schema xmlns:xsd="http://www.w3.org/2001/XMLSchema" xmlns:xs="http://www.w3.org/2001/XMLSchema" xmlns:p="http://schemas.microsoft.com/office/2006/metadata/properties" xmlns:ns1="http://schemas.microsoft.com/sharepoint/v3" xmlns:ns2="eb47d8b7-fefc-4923-b53c-9685ba6b7210" xmlns:ns4="http://schemas.microsoft.com/sharepoint/v4" targetNamespace="http://schemas.microsoft.com/office/2006/metadata/properties" ma:root="true" ma:fieldsID="c575848c8c27eb9a2886b094c90bf53a" ns1:_="" ns2:_="" ns4:_="">
    <xsd:import namespace="http://schemas.microsoft.com/sharepoint/v3"/>
    <xsd:import namespace="eb47d8b7-fefc-4923-b53c-9685ba6b7210"/>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9fc3aacc-0177-4e1f-98da-4601e5ed4a1a">
      <p:Name>Auditing</p:Name>
      <p:Description>Audits user actions on documents and list items to the Audit Log.</p:Description>
      <p:CustomData>
        <Audit>
          <Update/>
          <CheckInOut/>
          <MoveCopy/>
          <DeleteRestore/>
        </Audit>
      </p:CustomData>
    </p:PolicyItem>
  </p:PolicyItems>
</p:Policy>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IconOverlay xmlns="http://schemas.microsoft.com/sharepoint/v4" xsi:nil="true"/>
    <TaxCatchAll xmlns="eb47d8b7-fefc-4923-b53c-9685ba6b7210">
      <Value xmlns="eb47d8b7-fefc-4923-b53c-9685ba6b7210">75</Value>
    </TaxCatchAl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49C82-055F-40DC-A5FE-27BDF68AD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284B97-E88A-452D-91C3-729AE5131A55}">
  <ds:schemaRefs>
    <ds:schemaRef ds:uri="http://schemas.microsoft.com/sharepoint/events"/>
  </ds:schemaRefs>
</ds:datastoreItem>
</file>

<file path=customXml/itemProps3.xml><?xml version="1.0" encoding="utf-8"?>
<ds:datastoreItem xmlns:ds="http://schemas.openxmlformats.org/officeDocument/2006/customXml" ds:itemID="{D3BDECAD-FDAE-45CB-BEAF-4D6F2959D163}">
  <ds:schemaRefs>
    <ds:schemaRef ds:uri="http://schemas.microsoft.com/sharepoint/v3/contenttype/forms"/>
  </ds:schemaRefs>
</ds:datastoreItem>
</file>

<file path=customXml/itemProps4.xml><?xml version="1.0" encoding="utf-8"?>
<ds:datastoreItem xmlns:ds="http://schemas.openxmlformats.org/officeDocument/2006/customXml" ds:itemID="{DF093BAE-0DA3-4102-A8B4-0733F46BBBB2}">
  <ds:schemaRefs>
    <ds:schemaRef ds:uri="office.server.policy"/>
  </ds:schemaRefs>
</ds:datastoreItem>
</file>

<file path=customXml/itemProps5.xml><?xml version="1.0" encoding="utf-8"?>
<ds:datastoreItem xmlns:ds="http://schemas.openxmlformats.org/officeDocument/2006/customXml" ds:itemID="{5BE152DF-64A9-4F84-8019-DCEDC41332ED}">
  <ds:schemaRefs>
    <ds:schemaRef ds:uri="http://schemas.microsoft.com/office/2006/metadata/longProperties"/>
  </ds:schemaRefs>
</ds:datastoreItem>
</file>

<file path=customXml/itemProps6.xml><?xml version="1.0" encoding="utf-8"?>
<ds:datastoreItem xmlns:ds="http://schemas.openxmlformats.org/officeDocument/2006/customXml" ds:itemID="{139066E6-2CFB-4B76-A60D-E5849D3A06F4}">
  <ds:schemaRefs>
    <ds:schemaRef ds:uri="http://purl.org/dc/dcmitype/"/>
    <ds:schemaRef ds:uri="http://schemas.microsoft.com/office/2006/metadata/properties"/>
    <ds:schemaRef ds:uri="http://purl.org/dc/elements/1.1/"/>
    <ds:schemaRef ds:uri="http://schemas.openxmlformats.org/package/2006/metadata/core-properties"/>
    <ds:schemaRef ds:uri="eb47d8b7-fefc-4923-b53c-9685ba6b7210"/>
    <ds:schemaRef ds:uri="http://purl.org/dc/terms/"/>
    <ds:schemaRef ds:uri="http://schemas.microsoft.com/office/2006/documentManagement/types"/>
    <ds:schemaRef ds:uri="http://www.w3.org/XML/1998/namespace"/>
    <ds:schemaRef ds:uri="http://schemas.microsoft.com/office/infopath/2007/PartnerControls"/>
    <ds:schemaRef ds:uri="http://schemas.microsoft.com/sharepoint/v4"/>
    <ds:schemaRef ds:uri="http://schemas.microsoft.com/sharepoint/v3"/>
  </ds:schemaRefs>
</ds:datastoreItem>
</file>

<file path=customXml/itemProps7.xml><?xml version="1.0" encoding="utf-8"?>
<ds:datastoreItem xmlns:ds="http://schemas.openxmlformats.org/officeDocument/2006/customXml" ds:itemID="{CD700C0F-158E-46F7-85A2-82FA34373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0</TotalTime>
  <Pages>40</Pages>
  <Words>6663</Words>
  <Characters>37981</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Mid-Year Economic and Fiscal Outlook 2017-18</vt:lpstr>
    </vt:vector>
  </TitlesOfParts>
  <Company>Department of the Treasury</Company>
  <LinksUpToDate>false</LinksUpToDate>
  <CharactersWithSpaces>44555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2017-18</dc:title>
  <dc:subject>Part 10: Appendix B - Australian Government Budget Financial Statements</dc:subject>
  <dc:creator>The Treasury</dc:creator>
  <cp:lastModifiedBy>Thomas, Deborah</cp:lastModifiedBy>
  <cp:revision>2</cp:revision>
  <cp:lastPrinted>2017-12-14T06:38:00Z</cp:lastPrinted>
  <dcterms:created xsi:type="dcterms:W3CDTF">2017-12-17T21:42:00Z</dcterms:created>
  <dcterms:modified xsi:type="dcterms:W3CDTF">2017-12-17T21:42:00Z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ked">
    <vt:bool>false</vt:bool>
  </property>
  <property fmtid="{D5CDD505-2E9C-101B-9397-08002B2CF9AE}" pid="3" name="SecurityClassification">
    <vt:lpwstr>Protected</vt:lpwstr>
  </property>
  <property fmtid="{D5CDD505-2E9C-101B-9397-08002B2CF9AE}" pid="4" name="DLMSecurityClassification">
    <vt:lpwstr>Sensitive:  Cabinet</vt:lpwstr>
  </property>
  <property fmtid="{D5CDD505-2E9C-101B-9397-08002B2CF9AE}" pid="5" name="ContentTypeId">
    <vt:lpwstr>0x010100605AAC981168BE40A9BD548B81A50DF600BFCCE9A6AE7E2C4D8556A56EF67FEA5D</vt:lpwstr>
  </property>
  <property fmtid="{D5CDD505-2E9C-101B-9397-08002B2CF9AE}" pid="6" name="TSYRecordClass">
    <vt:lpwstr>75;#AE-20337-Destroy 7 years after action completed|668ae28e-5138-4c7c-82db-1c8c6afc81a6</vt:lpwstr>
  </property>
  <property fmtid="{D5CDD505-2E9C-101B-9397-08002B2CF9AE}" pid="7" name="_dlc_DocId">
    <vt:lpwstr>2016CSSG-1223-2129</vt:lpwstr>
  </property>
  <property fmtid="{D5CDD505-2E9C-101B-9397-08002B2CF9AE}" pid="8" name="_dlc_DocIdItemGuid">
    <vt:lpwstr>ba671169-fa7a-42d8-a7b0-783290ec7062</vt:lpwstr>
  </property>
  <property fmtid="{D5CDD505-2E9C-101B-9397-08002B2CF9AE}" pid="9" name="_dlc_DocIdUrl">
    <vt:lpwstr>http://tweb/sites/cssg/ped/pu/pt/_layouts/15/DocIdRedir.aspx?ID=2016CSSG-1223-2129, 2016CSSG-1223-2129</vt:lpwstr>
  </property>
  <property fmtid="{D5CDD505-2E9C-101B-9397-08002B2CF9AE}" pid="10" name="RecordPoint_WorkflowType">
    <vt:lpwstr>ActiveSubmitStub</vt:lpwstr>
  </property>
  <property fmtid="{D5CDD505-2E9C-101B-9397-08002B2CF9AE}" pid="11" name="RecordPoint_ActiveItemSiteId">
    <vt:lpwstr>{de902461-0703-410e-906b-a2e3a4f5dd57}</vt:lpwstr>
  </property>
  <property fmtid="{D5CDD505-2E9C-101B-9397-08002B2CF9AE}" pid="12" name="RecordPoint_ActiveItemListId">
    <vt:lpwstr>{fd8d1e70-36b5-4dd3-8d5f-44a874085014}</vt:lpwstr>
  </property>
  <property fmtid="{D5CDD505-2E9C-101B-9397-08002B2CF9AE}" pid="13" name="RecordPoint_ActiveItemUniqueId">
    <vt:lpwstr>{ba671169-fa7a-42d8-a7b0-783290ec7062}</vt:lpwstr>
  </property>
  <property fmtid="{D5CDD505-2E9C-101B-9397-08002B2CF9AE}" pid="14" name="RecordPoint_ActiveItemWebId">
    <vt:lpwstr>{e237d495-0881-4849-ae62-ddc8a8132df5}</vt:lpwstr>
  </property>
  <property fmtid="{D5CDD505-2E9C-101B-9397-08002B2CF9AE}" pid="15" name="RecordPoint_SubmissionCompleted">
    <vt:lpwstr>2016-10-31T15:09:43.5331917+11:00</vt:lpwstr>
  </property>
  <property fmtid="{D5CDD505-2E9C-101B-9397-08002B2CF9AE}" pid="16" name="RecordPoint_RecordNumberSubmitted">
    <vt:lpwstr>R0001139169</vt:lpwstr>
  </property>
  <property fmtid="{D5CDD505-2E9C-101B-9397-08002B2CF9AE}" pid="17" name="_NewReviewCycle">
    <vt:lpwstr/>
  </property>
  <property fmtid="{D5CDD505-2E9C-101B-9397-08002B2CF9AE}" pid="18" name="metadataUpdateName">
    <vt:lpwstr>Mid-Year Economic and Fiscal Outlook</vt:lpwstr>
  </property>
  <property fmtid="{D5CDD505-2E9C-101B-9397-08002B2CF9AE}" pid="19" name="metadataStatementName">
    <vt:lpwstr>Appendix B</vt:lpwstr>
  </property>
  <property fmtid="{D5CDD505-2E9C-101B-9397-08002B2CF9AE}" pid="20" name="metadataCoordinator">
    <vt:lpwstr>Kai Zen (x3406)</vt:lpwstr>
  </property>
  <property fmtid="{D5CDD505-2E9C-101B-9397-08002B2CF9AE}" pid="21" name="GlobalLastAccountabilityID">
    <vt:lpwstr>FARM_PGOTO1</vt:lpwstr>
  </property>
</Properties>
</file>