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197E" w:rsidRPr="00A33648" w:rsidRDefault="00591436" w:rsidP="00A33648">
      <w:pPr>
        <w:pStyle w:val="Heading1"/>
        <w:rPr>
          <w:rStyle w:val="Strong"/>
          <w:b/>
          <w:bCs w:val="0"/>
        </w:rPr>
      </w:pPr>
      <w:r w:rsidRPr="00A33648">
        <w:fldChar w:fldCharType="begin"/>
      </w:r>
      <w:r w:rsidRPr="00A33648">
        <w:instrText xml:space="preserve"> :Start Index: </w:instrText>
      </w:r>
      <w:r w:rsidRPr="00A33648">
        <w:fldChar w:fldCharType="end"/>
      </w:r>
      <w:r w:rsidRPr="00A33648">
        <w:fldChar w:fldCharType="begin"/>
      </w:r>
      <w:r w:rsidRPr="00A33648">
        <w:instrText xml:space="preserve"> :Accountability:|CSRD_KP1|Treasury|CSRD|Kate Phipps|Michael Gardner|Maxwell Maesepp|2754 </w:instrText>
      </w:r>
      <w:r w:rsidRPr="00A33648">
        <w:fldChar w:fldCharType="end"/>
      </w:r>
      <w:r w:rsidRPr="00A33648">
        <w:fldChar w:fldCharType="begin"/>
      </w:r>
      <w:r w:rsidRPr="00A33648">
        <w:instrText xml:space="preserve"> :Accountability:|BPD_JR1|Treasury|BPD|Jonathan Rollings|Luke Spear|Kai Zen|3406 </w:instrText>
      </w:r>
      <w:r w:rsidRPr="00A33648">
        <w:fldChar w:fldCharType="end"/>
      </w:r>
      <w:r w:rsidRPr="00A33648">
        <w:fldChar w:fldCharType="begin"/>
      </w:r>
      <w:r w:rsidRPr="00A33648">
        <w:instrText xml:space="preserve"> :End Index: </w:instrText>
      </w:r>
      <w:r w:rsidRPr="00A33648">
        <w:fldChar w:fldCharType="end"/>
      </w:r>
      <w:r w:rsidR="00451AA6" w:rsidRPr="00A33648">
        <w:fldChar w:fldCharType="begin"/>
      </w:r>
      <w:r w:rsidR="00451AA6" w:rsidRPr="00A33648">
        <w:instrText xml:space="preserve"> :Start:CSRD_KP1 </w:instrText>
      </w:r>
      <w:r w:rsidR="00451AA6" w:rsidRPr="00A33648">
        <w:fldChar w:fldCharType="end"/>
      </w:r>
      <w:r w:rsidR="00F6197E" w:rsidRPr="00A33648">
        <w:t>Attachment</w:t>
      </w:r>
      <w:r w:rsidR="00F6197E" w:rsidRPr="00A33648">
        <w:rPr>
          <w:rStyle w:val="Strong"/>
          <w:b/>
          <w:bCs w:val="0"/>
        </w:rPr>
        <w:t xml:space="preserve"> B</w:t>
      </w:r>
    </w:p>
    <w:p w:rsidR="00F6197E" w:rsidRPr="00B03954" w:rsidRDefault="00F6197E" w:rsidP="007228BE">
      <w:pPr>
        <w:pStyle w:val="Heading2"/>
        <w:spacing w:before="0"/>
      </w:pPr>
      <w:r w:rsidRPr="00B03954">
        <w:t>Australian Loan Council Allocation</w:t>
      </w:r>
    </w:p>
    <w:p w:rsidR="00F6197E" w:rsidRPr="00B03954" w:rsidRDefault="00F6197E" w:rsidP="007228BE">
      <w:pPr>
        <w:spacing w:after="120"/>
      </w:pPr>
      <w:r w:rsidRPr="00B03954">
        <w:t>Under the Loan Council arrangements, every year the Commonwealth and each State</w:t>
      </w:r>
      <w:r w:rsidR="00601FEB" w:rsidRPr="00B03954">
        <w:t xml:space="preserve"> </w:t>
      </w:r>
      <w:r w:rsidRPr="00B03954">
        <w:t>government nominate a Loan Council Allocation (LCA). A jurisdiction’s LCA incorporates:</w:t>
      </w:r>
    </w:p>
    <w:p w:rsidR="00F6197E" w:rsidRPr="00B03954" w:rsidRDefault="00F6197E" w:rsidP="007228BE">
      <w:pPr>
        <w:pStyle w:val="Bullet"/>
        <w:spacing w:after="120"/>
        <w:ind w:left="284" w:hanging="284"/>
      </w:pPr>
      <w:r w:rsidRPr="00B03954">
        <w:t>the estimated non</w:t>
      </w:r>
      <w:r w:rsidRPr="00B03954">
        <w:noBreakHyphen/>
        <w:t>financial public sector ABS GFS cash surplus/deficit (made up from the balances of the general government and public non</w:t>
      </w:r>
      <w:r w:rsidRPr="00B03954">
        <w:noBreakHyphen/>
        <w:t>financial corporations sectors and total non</w:t>
      </w:r>
      <w:r w:rsidRPr="00B03954">
        <w:noBreakHyphen/>
        <w:t>financial public sector</w:t>
      </w:r>
      <w:r w:rsidR="00601FEB" w:rsidRPr="00B03954">
        <w:t>s</w:t>
      </w:r>
      <w:r w:rsidRPr="00B03954">
        <w:t>);</w:t>
      </w:r>
    </w:p>
    <w:p w:rsidR="00F6197E" w:rsidRPr="00B03954" w:rsidRDefault="00F6197E" w:rsidP="007228BE">
      <w:pPr>
        <w:pStyle w:val="Bullet"/>
        <w:spacing w:after="120"/>
        <w:ind w:left="284" w:hanging="284"/>
      </w:pPr>
      <w:r w:rsidRPr="00B03954">
        <w:t>net cash flows from investments in financial assets for policy purposes; and</w:t>
      </w:r>
    </w:p>
    <w:p w:rsidR="00F6197E" w:rsidRPr="00B03954" w:rsidRDefault="00F6197E" w:rsidP="007228BE">
      <w:pPr>
        <w:pStyle w:val="Bullet"/>
        <w:spacing w:after="120"/>
        <w:ind w:left="284" w:hanging="284"/>
      </w:pPr>
      <w:proofErr w:type="gramStart"/>
      <w:r w:rsidRPr="00B03954">
        <w:t>memorandum</w:t>
      </w:r>
      <w:proofErr w:type="gramEnd"/>
      <w:r w:rsidRPr="00B03954">
        <w:t xml:space="preserve"> items, which involve transactions that are not formally borrowings but nevertheless have many of the characteristics of borrowings.</w:t>
      </w:r>
    </w:p>
    <w:p w:rsidR="00F6197E" w:rsidRPr="00B03954" w:rsidRDefault="00F6197E" w:rsidP="006D6103">
      <w:r w:rsidRPr="00B03954">
        <w:t>LCA nominations are considered by the Loan Council, having regard to each jurisdiction’s fiscal position and infrastructure requirements, as well as the macroeconomic implications of the aggregate figure.</w:t>
      </w:r>
    </w:p>
    <w:p w:rsidR="00F6197E" w:rsidRPr="00B03954" w:rsidRDefault="00F6197E" w:rsidP="006D6103">
      <w:r w:rsidRPr="00B03954">
        <w:rPr>
          <w:lang w:val="x-none"/>
        </w:rPr>
        <w:t>As set out in Table B1</w:t>
      </w:r>
      <w:r w:rsidRPr="00B03954">
        <w:t>5</w:t>
      </w:r>
      <w:r w:rsidRPr="00B03954">
        <w:rPr>
          <w:lang w:val="x-none"/>
        </w:rPr>
        <w:t xml:space="preserve">, the </w:t>
      </w:r>
      <w:r w:rsidR="00601FEB" w:rsidRPr="00B03954">
        <w:t>Commonwealth</w:t>
      </w:r>
      <w:r w:rsidRPr="00B03954">
        <w:t>’s</w:t>
      </w:r>
      <w:r w:rsidRPr="00B03954">
        <w:rPr>
          <w:lang w:val="x-none"/>
        </w:rPr>
        <w:t xml:space="preserve"> revised estimate for the 201</w:t>
      </w:r>
      <w:r w:rsidR="000B12F2" w:rsidRPr="00B03954">
        <w:t>7</w:t>
      </w:r>
      <w:r w:rsidRPr="00B03954">
        <w:rPr>
          <w:lang w:val="x-none"/>
        </w:rPr>
        <w:noBreakHyphen/>
        <w:t>1</w:t>
      </w:r>
      <w:r w:rsidR="000B12F2" w:rsidRPr="00B03954">
        <w:t>8</w:t>
      </w:r>
      <w:r w:rsidRPr="00B03954">
        <w:t> </w:t>
      </w:r>
      <w:r w:rsidRPr="00B03954">
        <w:rPr>
          <w:lang w:val="x-none"/>
        </w:rPr>
        <w:t>LCA is a $</w:t>
      </w:r>
      <w:r w:rsidR="00F201E0" w:rsidRPr="00B03954">
        <w:t>49.8</w:t>
      </w:r>
      <w:r w:rsidRPr="00B03954">
        <w:rPr>
          <w:lang w:val="x-none"/>
        </w:rPr>
        <w:t> billion</w:t>
      </w:r>
      <w:r w:rsidRPr="00B03954">
        <w:t xml:space="preserve"> </w:t>
      </w:r>
      <w:r w:rsidRPr="00B03954">
        <w:rPr>
          <w:lang w:val="x-none"/>
        </w:rPr>
        <w:t>deficit</w:t>
      </w:r>
      <w:r w:rsidRPr="00B03954">
        <w:t>, which is an improvement of $</w:t>
      </w:r>
      <w:r w:rsidR="00F201E0" w:rsidRPr="00B03954">
        <w:t>11.0</w:t>
      </w:r>
      <w:r w:rsidRPr="00B03954">
        <w:t xml:space="preserve"> billion from the </w:t>
      </w:r>
      <w:r w:rsidR="00654C76" w:rsidRPr="00B03954">
        <w:t xml:space="preserve">estimated </w:t>
      </w:r>
      <w:r w:rsidRPr="00B03954">
        <w:t xml:space="preserve">deficit of </w:t>
      </w:r>
      <w:r w:rsidR="00601FEB" w:rsidRPr="00B03954">
        <w:t>$60.8 billion</w:t>
      </w:r>
      <w:r w:rsidRPr="00B03954">
        <w:t xml:space="preserve"> at the 201</w:t>
      </w:r>
      <w:r w:rsidR="000B12F2" w:rsidRPr="00B03954">
        <w:t>7</w:t>
      </w:r>
      <w:r w:rsidRPr="00B03954">
        <w:noBreakHyphen/>
        <w:t>1</w:t>
      </w:r>
      <w:r w:rsidR="000B12F2" w:rsidRPr="00B03954">
        <w:t>8</w:t>
      </w:r>
      <w:r w:rsidRPr="00B03954">
        <w:t xml:space="preserve"> Budget</w:t>
      </w:r>
      <w:r w:rsidRPr="00B03954">
        <w:rPr>
          <w:b/>
          <w:lang w:val="x-none"/>
        </w:rPr>
        <w:t>.</w:t>
      </w:r>
      <w:r w:rsidR="00BC4A03" w:rsidRPr="00B03954">
        <w:rPr>
          <w:b/>
        </w:rPr>
        <w:t xml:space="preserve"> </w:t>
      </w:r>
      <w:r w:rsidR="00660CF6" w:rsidRPr="00B03954">
        <w:fldChar w:fldCharType="begin"/>
      </w:r>
      <w:r w:rsidR="00660CF6" w:rsidRPr="00B03954">
        <w:instrText xml:space="preserve"> :End:CSRD_KP1 </w:instrText>
      </w:r>
      <w:r w:rsidR="00660CF6" w:rsidRPr="00B03954">
        <w:fldChar w:fldCharType="end"/>
      </w:r>
      <w:r w:rsidR="00660CF6" w:rsidRPr="00B03954">
        <w:fldChar w:fldCharType="begin"/>
      </w:r>
      <w:r w:rsidR="00660CF6" w:rsidRPr="00B03954">
        <w:instrText xml:space="preserve"> :Start:BPD_JR1 </w:instrText>
      </w:r>
      <w:r w:rsidR="00660CF6" w:rsidRPr="00B03954">
        <w:fldChar w:fldCharType="end"/>
      </w:r>
      <w:r w:rsidR="00BC4A03" w:rsidRPr="00B03954">
        <w:t xml:space="preserve">The revised LCA estimate falls outside the tolerance limit set at Budget, largely due to the improvement </w:t>
      </w:r>
      <w:r w:rsidR="006D6103" w:rsidRPr="00B03954">
        <w:t>in the underlying cash balance.</w:t>
      </w:r>
      <w:r w:rsidR="00660CF6" w:rsidRPr="00B03954">
        <w:fldChar w:fldCharType="begin"/>
      </w:r>
      <w:r w:rsidR="00660CF6" w:rsidRPr="00B03954">
        <w:instrText xml:space="preserve"> :End:BPD_JR1 </w:instrText>
      </w:r>
      <w:r w:rsidR="00660CF6" w:rsidRPr="00B03954">
        <w:fldChar w:fldCharType="end"/>
      </w:r>
    </w:p>
    <w:p w:rsidR="00F6197E" w:rsidRPr="00B03954" w:rsidRDefault="00591436" w:rsidP="006D6103">
      <w:pPr>
        <w:pStyle w:val="TableHeading"/>
      </w:pPr>
      <w:r w:rsidRPr="00B03954">
        <w:fldChar w:fldCharType="begin"/>
      </w:r>
      <w:r w:rsidRPr="00B03954">
        <w:instrText xml:space="preserve"> :Start:CSRD_KP1 </w:instrText>
      </w:r>
      <w:r w:rsidRPr="00B03954">
        <w:fldChar w:fldCharType="end"/>
      </w:r>
      <w:r w:rsidR="00F6197E" w:rsidRPr="00B03954">
        <w:t>Table B15: 201</w:t>
      </w:r>
      <w:r w:rsidR="000B12F2" w:rsidRPr="00B03954">
        <w:t>7</w:t>
      </w:r>
      <w:r w:rsidR="00F6197E" w:rsidRPr="00B03954">
        <w:noBreakHyphen/>
        <w:t>1</w:t>
      </w:r>
      <w:r w:rsidR="000B12F2" w:rsidRPr="00B03954">
        <w:t>8</w:t>
      </w:r>
      <w:r w:rsidR="00F6197E" w:rsidRPr="00B03954">
        <w:t xml:space="preserve"> Commonwealth Loan Council </w:t>
      </w:r>
      <w:r w:rsidRPr="00B03954">
        <w:fldChar w:fldCharType="begin"/>
      </w:r>
      <w:r w:rsidRPr="00B03954">
        <w:instrText xml:space="preserve"> :End:CSRD_KP1 </w:instrText>
      </w:r>
      <w:r w:rsidRPr="00B03954">
        <w:fldChar w:fldCharType="end"/>
      </w:r>
      <w:r w:rsidRPr="00B03954">
        <w:fldChar w:fldCharType="begin"/>
      </w:r>
      <w:r w:rsidRPr="00B03954">
        <w:instrText xml:space="preserve"> :Start:BPD_JR1 </w:instrText>
      </w:r>
      <w:r w:rsidRPr="00B03954">
        <w:fldChar w:fldCharType="end"/>
      </w:r>
      <w:r w:rsidR="00F6197E" w:rsidRPr="00B03954">
        <w:t>Allocation</w:t>
      </w:r>
      <w:r w:rsidRPr="00B03954">
        <w:fldChar w:fldCharType="begin"/>
      </w:r>
      <w:r w:rsidRPr="00B03954">
        <w:instrText xml:space="preserve"> :End:BPD_JR1 </w:instrText>
      </w:r>
      <w:r w:rsidRPr="00B03954">
        <w:fldChar w:fldCharType="end"/>
      </w:r>
    </w:p>
    <w:p w:rsidR="00F6197E" w:rsidRPr="00B03954" w:rsidRDefault="005B3E5A" w:rsidP="001336BD">
      <w:pPr>
        <w:pStyle w:val="TableGraphic"/>
      </w:pPr>
      <w:r w:rsidRPr="00B03954">
        <w:fldChar w:fldCharType="begin"/>
      </w:r>
      <w:r w:rsidRPr="00B03954">
        <w:instrText xml:space="preserve"> :Start:CSRD_KP1 </w:instrText>
      </w:r>
      <w:r w:rsidRPr="00B03954">
        <w:fldChar w:fldCharType="end"/>
      </w:r>
      <w:r w:rsidR="003719DF" w:rsidRPr="00B03954">
        <w:object w:dxaOrig="7717" w:dyaOrig="2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65pt;height:143.35pt" o:ole="">
            <v:imagedata r:id="rId9" o:title=""/>
          </v:shape>
          <o:OLEObject Type="Link" ProgID="Excel.Sheet.12" ShapeID="_x0000_i1025" DrawAspect="Content" r:id="rId10" UpdateMode="Always">
            <o:LinkType>EnhancedMetaFile</o:LinkType>
            <o:LockedField/>
          </o:OLEObject>
        </w:object>
      </w:r>
    </w:p>
    <w:p w:rsidR="00F6197E" w:rsidRPr="00B03954" w:rsidRDefault="00F6197E" w:rsidP="00F6197E">
      <w:pPr>
        <w:pStyle w:val="ChartandTableFootnoteAlpha"/>
        <w:numPr>
          <w:ilvl w:val="0"/>
          <w:numId w:val="8"/>
        </w:numPr>
        <w:rPr>
          <w:spacing w:val="-2"/>
        </w:rPr>
      </w:pPr>
      <w:r w:rsidRPr="00B03954">
        <w:rPr>
          <w:spacing w:val="-2"/>
        </w:rPr>
        <w:t xml:space="preserve">May not directly equate to the sum of the GGS and the PNFC sector due to intersectoral transfers which are </w:t>
      </w:r>
      <w:proofErr w:type="gramStart"/>
      <w:r w:rsidRPr="00B03954">
        <w:rPr>
          <w:spacing w:val="-2"/>
        </w:rPr>
        <w:t>netted</w:t>
      </w:r>
      <w:proofErr w:type="gramEnd"/>
      <w:r w:rsidRPr="00B03954">
        <w:rPr>
          <w:spacing w:val="-2"/>
        </w:rPr>
        <w:t xml:space="preserve"> out.</w:t>
      </w:r>
    </w:p>
    <w:p w:rsidR="00F6197E" w:rsidRPr="00B03954" w:rsidRDefault="00F6197E" w:rsidP="00F6197E">
      <w:pPr>
        <w:pStyle w:val="ChartandTableFootnoteAlpha"/>
        <w:numPr>
          <w:ilvl w:val="0"/>
          <w:numId w:val="8"/>
        </w:numPr>
        <w:rPr>
          <w:spacing w:val="-2"/>
        </w:rPr>
      </w:pPr>
      <w:r w:rsidRPr="00B03954">
        <w:rPr>
          <w:spacing w:val="-2"/>
        </w:rPr>
        <w:t>Net cash flows from investments in financial assets for policy purposes are displayed with the same sign as they are reported in cash flow statements. Such transactions involve the transfer or exchange of a financial asset and are not included within the cash surplus/deficit. However, the cash flow from investments in financial assets for policy purposes has implications for a government’s call on financial markets.</w:t>
      </w:r>
    </w:p>
    <w:p w:rsidR="00C00CC9" w:rsidRPr="00B03954" w:rsidRDefault="00F6197E" w:rsidP="00F45635">
      <w:pPr>
        <w:pStyle w:val="ChartandTableFootnoteAlpha"/>
        <w:numPr>
          <w:ilvl w:val="0"/>
          <w:numId w:val="8"/>
        </w:numPr>
        <w:rPr>
          <w:spacing w:val="-2"/>
        </w:rPr>
      </w:pPr>
      <w:r w:rsidRPr="00B03954">
        <w:rPr>
          <w:spacing w:val="-2"/>
        </w:rPr>
        <w:t>For the Commonwealth’s LCA outcome, memorandum items include the change in net present value</w:t>
      </w:r>
      <w:r w:rsidR="00654C76" w:rsidRPr="00B03954">
        <w:rPr>
          <w:spacing w:val="-2"/>
        </w:rPr>
        <w:t> </w:t>
      </w:r>
      <w:r w:rsidRPr="00B03954">
        <w:rPr>
          <w:spacing w:val="-2"/>
        </w:rPr>
        <w:t>(NPV) of operating leases (with NPV greater than $5 million), the net funding of superannuation</w:t>
      </w:r>
      <w:r w:rsidR="00F45635" w:rsidRPr="00B03954">
        <w:rPr>
          <w:spacing w:val="-2"/>
        </w:rPr>
        <w:t>;</w:t>
      </w:r>
      <w:r w:rsidRPr="00B03954">
        <w:rPr>
          <w:spacing w:val="-2"/>
        </w:rPr>
        <w:t xml:space="preserve"> the net financing requirement of the Australian National University</w:t>
      </w:r>
      <w:r w:rsidR="00F45635" w:rsidRPr="00B03954">
        <w:rPr>
          <w:spacing w:val="-2"/>
        </w:rPr>
        <w:t>; and NFPS acquisitions under finance leases and similar arrangements.</w:t>
      </w:r>
    </w:p>
    <w:p w:rsidR="0093363A" w:rsidRPr="00B03954" w:rsidRDefault="00C00CC9" w:rsidP="00F45635">
      <w:pPr>
        <w:pStyle w:val="ChartandTableFootnoteAlpha"/>
        <w:numPr>
          <w:ilvl w:val="0"/>
          <w:numId w:val="8"/>
        </w:numPr>
      </w:pPr>
      <w:r w:rsidRPr="00B03954">
        <w:t>A tolerance limit equal to two per cent of NFPS cash receipts from operating activities</w:t>
      </w:r>
      <w:r w:rsidR="00160DB8" w:rsidRPr="00B03954">
        <w:t>, as at budget,</w:t>
      </w:r>
      <w:r w:rsidRPr="00B03954">
        <w:t xml:space="preserve"> applies to the movement between the </w:t>
      </w:r>
      <w:r w:rsidR="00654C76" w:rsidRPr="00B03954">
        <w:t>B</w:t>
      </w:r>
      <w:r w:rsidRPr="00B03954">
        <w:t>udget and MYEFO estimates</w:t>
      </w:r>
      <w:r w:rsidR="00160DB8" w:rsidRPr="00B03954">
        <w:t>. Tolerance limits recognise that LCAs may change through the year as a result of policy and parameter changes.</w:t>
      </w:r>
      <w:r w:rsidR="005B3E5A" w:rsidRPr="00B03954">
        <w:fldChar w:fldCharType="begin"/>
      </w:r>
      <w:r w:rsidR="005B3E5A" w:rsidRPr="00B03954">
        <w:instrText xml:space="preserve"> :End:CSRD_KP1 </w:instrText>
      </w:r>
      <w:r w:rsidR="005B3E5A" w:rsidRPr="00B03954">
        <w:fldChar w:fldCharType="end"/>
      </w:r>
    </w:p>
    <w:sectPr w:rsidR="0093363A" w:rsidRPr="00B03954" w:rsidSect="00044B50">
      <w:headerReference w:type="even" r:id="rId11"/>
      <w:headerReference w:type="default" r:id="rId12"/>
      <w:footerReference w:type="even" r:id="rId13"/>
      <w:footerReference w:type="default" r:id="rId14"/>
      <w:pgSz w:w="11906" w:h="16838" w:code="9"/>
      <w:pgMar w:top="2466" w:right="2098" w:bottom="2466" w:left="2098" w:header="1899" w:footer="1899" w:gutter="0"/>
      <w:pgNumType w:start="23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BD4" w:rsidRDefault="00ED6BD4" w:rsidP="00E40261">
      <w:pPr>
        <w:spacing w:after="0" w:line="240" w:lineRule="auto"/>
      </w:pPr>
      <w:r>
        <w:separator/>
      </w:r>
    </w:p>
  </w:endnote>
  <w:endnote w:type="continuationSeparator" w:id="0">
    <w:p w:rsidR="00ED6BD4" w:rsidRDefault="00ED6BD4"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545834">
      <w:rPr>
        <w:noProof/>
      </w:rPr>
      <w:t>244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FC232E">
      <w:rPr>
        <w:noProof/>
      </w:rPr>
      <w:t>239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BD4" w:rsidRDefault="00ED6BD4" w:rsidP="00E40261">
      <w:pPr>
        <w:spacing w:after="0" w:line="240" w:lineRule="auto"/>
      </w:pPr>
      <w:r>
        <w:separator/>
      </w:r>
    </w:p>
  </w:footnote>
  <w:footnote w:type="continuationSeparator" w:id="0">
    <w:p w:rsidR="00ED6BD4" w:rsidRDefault="00ED6BD4" w:rsidP="00E40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842383" w:rsidRDefault="00842383" w:rsidP="00842383">
    <w:pPr>
      <w:pStyle w:val="HeaderEven"/>
    </w:pPr>
    <w:fldSimple w:instr=" TITLE   \* MERGEFORMAT ">
      <w:r w:rsidR="00BC4A03">
        <w:t>Appendix B: Australian Government Budget Financial Statements</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E40261" w:rsidRDefault="00842383" w:rsidP="00842383">
    <w:pPr>
      <w:pStyle w:val="HeaderOdd"/>
    </w:pPr>
    <w:fldSimple w:instr=" TITLE   \* MERGEFORMAT ">
      <w:r w:rsidR="00BC4A03">
        <w:t>Appendix B: Australian Government Budget Financial Statements</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nsid w:val="27440C8B"/>
    <w:multiLevelType w:val="multilevel"/>
    <w:tmpl w:val="AF04C206"/>
    <w:lvl w:ilvl="0">
      <w:start w:val="1"/>
      <w:numFmt w:val="bullet"/>
      <w:lvlRestart w:val="0"/>
      <w:pStyle w:val="HeaderChar"/>
      <w:lvlText w:val="•"/>
      <w:lvlJc w:val="left"/>
      <w:pPr>
        <w:tabs>
          <w:tab w:val="num" w:pos="283"/>
        </w:tabs>
        <w:ind w:left="283" w:hanging="283"/>
      </w:pPr>
      <w:rPr>
        <w:rFonts w:ascii="Book Antiqua" w:hAnsi="Book Antiqua" w:hint="default"/>
        <w:b w:val="0"/>
        <w:i w:val="0"/>
        <w:position w:val="0"/>
        <w:sz w:val="18"/>
        <w:szCs w:val="18"/>
      </w:rPr>
    </w:lvl>
    <w:lvl w:ilvl="1">
      <w:start w:val="1"/>
      <w:numFmt w:val="bullet"/>
      <w:pStyle w:val="DLMSecurityFooter"/>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pStyle w:val="DLMSecurityFooterChar"/>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3">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nsid w:val="66022277"/>
    <w:multiLevelType w:val="singleLevel"/>
    <w:tmpl w:val="EF02D596"/>
    <w:lvl w:ilvl="0">
      <w:start w:val="1"/>
      <w:numFmt w:val="lowerLetter"/>
      <w:lvlRestart w:val="0"/>
      <w:pStyle w:val="FooterChar"/>
      <w:lvlText w:val="(%1)"/>
      <w:lvlJc w:val="left"/>
      <w:pPr>
        <w:tabs>
          <w:tab w:val="num" w:pos="283"/>
        </w:tabs>
        <w:ind w:left="283" w:hanging="283"/>
      </w:pPr>
      <w:rPr>
        <w:rFonts w:ascii="Arial" w:hAnsi="Arial" w:cs="Arial"/>
        <w:b w:val="0"/>
        <w:i w:val="0"/>
        <w:sz w:val="16"/>
      </w:rPr>
    </w:lvl>
  </w:abstractNum>
  <w:abstractNum w:abstractNumId="6">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4"/>
  </w:num>
  <w:num w:numId="2">
    <w:abstractNumId w:val="1"/>
  </w:num>
  <w:num w:numId="3">
    <w:abstractNumId w:val="0"/>
  </w:num>
  <w:num w:numId="4">
    <w:abstractNumId w:val="3"/>
  </w:num>
  <w:num w:numId="5">
    <w:abstractNumId w:val="6"/>
  </w:num>
  <w:num w:numId="6">
    <w:abstractNumId w:val="0"/>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F6197E"/>
    <w:rsid w:val="00013EA8"/>
    <w:rsid w:val="00031487"/>
    <w:rsid w:val="00035D8D"/>
    <w:rsid w:val="00044B50"/>
    <w:rsid w:val="000B12F2"/>
    <w:rsid w:val="000E105B"/>
    <w:rsid w:val="000E32A9"/>
    <w:rsid w:val="001330B3"/>
    <w:rsid w:val="001336BD"/>
    <w:rsid w:val="00137D50"/>
    <w:rsid w:val="00160DB8"/>
    <w:rsid w:val="00172CFE"/>
    <w:rsid w:val="001831E1"/>
    <w:rsid w:val="0019115B"/>
    <w:rsid w:val="001970E6"/>
    <w:rsid w:val="001C29BA"/>
    <w:rsid w:val="00237F04"/>
    <w:rsid w:val="00267200"/>
    <w:rsid w:val="0026777F"/>
    <w:rsid w:val="00281716"/>
    <w:rsid w:val="002A0F4D"/>
    <w:rsid w:val="002B6106"/>
    <w:rsid w:val="002E638A"/>
    <w:rsid w:val="00311DA6"/>
    <w:rsid w:val="003421CD"/>
    <w:rsid w:val="003451F5"/>
    <w:rsid w:val="003506C0"/>
    <w:rsid w:val="003719DF"/>
    <w:rsid w:val="00382E3D"/>
    <w:rsid w:val="00383632"/>
    <w:rsid w:val="003A3AC2"/>
    <w:rsid w:val="003A79CF"/>
    <w:rsid w:val="003F4408"/>
    <w:rsid w:val="00437DB4"/>
    <w:rsid w:val="00451AA6"/>
    <w:rsid w:val="0048563A"/>
    <w:rsid w:val="004B2F4F"/>
    <w:rsid w:val="004F3FD9"/>
    <w:rsid w:val="004F60DD"/>
    <w:rsid w:val="004F63DC"/>
    <w:rsid w:val="00545834"/>
    <w:rsid w:val="00591436"/>
    <w:rsid w:val="005A43A4"/>
    <w:rsid w:val="005B3010"/>
    <w:rsid w:val="005B3E5A"/>
    <w:rsid w:val="005D23CB"/>
    <w:rsid w:val="005E1020"/>
    <w:rsid w:val="00601FEB"/>
    <w:rsid w:val="0060305C"/>
    <w:rsid w:val="00622CDB"/>
    <w:rsid w:val="00654C76"/>
    <w:rsid w:val="00660CF6"/>
    <w:rsid w:val="00664F1B"/>
    <w:rsid w:val="00677EBB"/>
    <w:rsid w:val="00682D05"/>
    <w:rsid w:val="006D6103"/>
    <w:rsid w:val="00714A86"/>
    <w:rsid w:val="007228BE"/>
    <w:rsid w:val="0072449F"/>
    <w:rsid w:val="0079522C"/>
    <w:rsid w:val="008202A5"/>
    <w:rsid w:val="00824E07"/>
    <w:rsid w:val="00836C0F"/>
    <w:rsid w:val="00842383"/>
    <w:rsid w:val="00855176"/>
    <w:rsid w:val="00867990"/>
    <w:rsid w:val="00885620"/>
    <w:rsid w:val="008A79DA"/>
    <w:rsid w:val="008D71E5"/>
    <w:rsid w:val="008E7225"/>
    <w:rsid w:val="0093363A"/>
    <w:rsid w:val="009366B2"/>
    <w:rsid w:val="00943C8B"/>
    <w:rsid w:val="009804F5"/>
    <w:rsid w:val="009C3304"/>
    <w:rsid w:val="009C4905"/>
    <w:rsid w:val="009D7662"/>
    <w:rsid w:val="009E766A"/>
    <w:rsid w:val="00A20DD0"/>
    <w:rsid w:val="00A25910"/>
    <w:rsid w:val="00A33648"/>
    <w:rsid w:val="00A36880"/>
    <w:rsid w:val="00A51751"/>
    <w:rsid w:val="00A72256"/>
    <w:rsid w:val="00AD2D4B"/>
    <w:rsid w:val="00B03954"/>
    <w:rsid w:val="00B91AED"/>
    <w:rsid w:val="00BB207D"/>
    <w:rsid w:val="00BC4A03"/>
    <w:rsid w:val="00BD5729"/>
    <w:rsid w:val="00C00CC9"/>
    <w:rsid w:val="00C4293F"/>
    <w:rsid w:val="00C64CC1"/>
    <w:rsid w:val="00C745F1"/>
    <w:rsid w:val="00CB179E"/>
    <w:rsid w:val="00CD600C"/>
    <w:rsid w:val="00D1685E"/>
    <w:rsid w:val="00D82B0F"/>
    <w:rsid w:val="00DA42A3"/>
    <w:rsid w:val="00DA58C6"/>
    <w:rsid w:val="00DE2AD8"/>
    <w:rsid w:val="00E40261"/>
    <w:rsid w:val="00E66821"/>
    <w:rsid w:val="00E7455D"/>
    <w:rsid w:val="00E80210"/>
    <w:rsid w:val="00ED6BD4"/>
    <w:rsid w:val="00EF4C8A"/>
    <w:rsid w:val="00F201E0"/>
    <w:rsid w:val="00F40179"/>
    <w:rsid w:val="00F4070A"/>
    <w:rsid w:val="00F45635"/>
    <w:rsid w:val="00F6197E"/>
    <w:rsid w:val="00F80D26"/>
    <w:rsid w:val="00F84F40"/>
    <w:rsid w:val="00F9472D"/>
    <w:rsid w:val="00F96C13"/>
    <w:rsid w:val="00FC232E"/>
    <w:rsid w:val="00FC73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97E"/>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A33648"/>
    <w:pPr>
      <w:spacing w:after="120"/>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A33648"/>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F6197E"/>
    <w:pPr>
      <w:spacing w:line="240" w:lineRule="auto"/>
      <w:jc w:val="right"/>
    </w:pPr>
    <w:rPr>
      <w:rFonts w:ascii="Arial Bold" w:hAnsi="Arial Bold"/>
      <w:b/>
      <w:sz w:val="22"/>
    </w:rPr>
  </w:style>
  <w:style w:type="character" w:styleId="Strong">
    <w:name w:val="Strong"/>
    <w:qFormat/>
    <w:rsid w:val="00F6197E"/>
    <w:rPr>
      <w:b/>
      <w:bCs/>
    </w:rPr>
  </w:style>
  <w:style w:type="character" w:customStyle="1" w:styleId="TableHeadingChar">
    <w:name w:val="Table Heading Char"/>
    <w:link w:val="TableHeading"/>
    <w:rsid w:val="00F6197E"/>
    <w:rPr>
      <w:rFonts w:ascii="Arial" w:eastAsia="Times New Roman" w:hAnsi="Arial" w:cs="Times New Roman"/>
      <w:b/>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97E"/>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A33648"/>
    <w:pPr>
      <w:spacing w:after="120"/>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A33648"/>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F6197E"/>
    <w:pPr>
      <w:spacing w:line="240" w:lineRule="auto"/>
      <w:jc w:val="right"/>
    </w:pPr>
    <w:rPr>
      <w:rFonts w:ascii="Arial Bold" w:hAnsi="Arial Bold"/>
      <w:b/>
      <w:sz w:val="22"/>
    </w:rPr>
  </w:style>
  <w:style w:type="character" w:styleId="Strong">
    <w:name w:val="Strong"/>
    <w:qFormat/>
    <w:rsid w:val="00F6197E"/>
    <w:rPr>
      <w:b/>
      <w:bCs/>
    </w:rPr>
  </w:style>
  <w:style w:type="character" w:customStyle="1" w:styleId="TableHeadingChar">
    <w:name w:val="Table Heading Char"/>
    <w:link w:val="TableHeading"/>
    <w:rsid w:val="00F6197E"/>
    <w:rPr>
      <w:rFonts w:ascii="Arial" w:eastAsia="Times New Roman" w:hAnsi="Arial" w:cs="Times New Roman"/>
      <w:b/>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file:///\\columbus\Internet\budget.gov.au\2017-18\content\myefo\Tables%20-%20CSRD\Tables%20in%20text\Table%20-%202017-18%20MYEFO%20Loan%20Council.xlsx!Sheet1!R2C1:R14C4"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8A553-B221-4A46-8D2B-E59C5D5D0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0</TotalTime>
  <Pages>1</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Appendix B: Australian Government Budget Financial Statements</vt:lpstr>
    </vt:vector>
  </TitlesOfParts>
  <Company>Australian Government - The Treasury</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Australian Government Budget Financial Statements</dc:title>
  <dc:subject>Statement number and name</dc:subject>
  <dc:creator>Catanzariti, Lorraine</dc:creator>
  <cp:keywords>#-</cp:keywords>
  <cp:lastModifiedBy>Thomas, Deborah</cp:lastModifiedBy>
  <cp:revision>2</cp:revision>
  <cp:lastPrinted>2017-12-12T01:25:00Z</cp:lastPrinted>
  <dcterms:created xsi:type="dcterms:W3CDTF">2017-12-17T22:16:00Z</dcterms:created>
  <dcterms:modified xsi:type="dcterms:W3CDTF">2017-12-17T22:16:00Z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Mid-Year Economic and Fiscal Outlook</vt:lpwstr>
  </property>
  <property fmtid="{D5CDD505-2E9C-101B-9397-08002B2CF9AE}" pid="5" name="metadataStatementName">
    <vt:lpwstr>Appendix B, Attachment B</vt:lpwstr>
  </property>
  <property fmtid="{D5CDD505-2E9C-101B-9397-08002B2CF9AE}" pid="6" name="metadataCoordinator">
    <vt:lpwstr>Maxwell Maesepp (x2754)</vt:lpwstr>
  </property>
  <property fmtid="{D5CDD505-2E9C-101B-9397-08002B2CF9AE}" pid="7" name="GlobalLastAccountabilityID">
    <vt:lpwstr>BPD_JR1</vt:lpwstr>
  </property>
</Properties>
</file>