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4D3C74A" w14:textId="6E6A4144" w:rsidR="00203E25" w:rsidRPr="006B5F4F" w:rsidRDefault="004E148C" w:rsidP="00210C1E">
      <w:pPr>
        <w:pStyle w:val="Heading1"/>
      </w:pPr>
      <w:r w:rsidRPr="006B5F4F">
        <w:fldChar w:fldCharType="begin"/>
      </w:r>
      <w:r w:rsidRPr="006B5F4F">
        <w:instrText xml:space="preserve"> :Start Index: </w:instrText>
      </w:r>
      <w:r w:rsidRPr="006B5F4F">
        <w:fldChar w:fldCharType="end"/>
      </w:r>
      <w:r w:rsidRPr="006B5F4F">
        <w:fldChar w:fldCharType="begin"/>
      </w:r>
      <w:r w:rsidRPr="006B5F4F">
        <w:instrText xml:space="preserve"> :Accountability:|BPCD_DD1|Finance|BPCD|Donna Degen|Luke Bewley|Luke Bewley|02 6215 1384 </w:instrText>
      </w:r>
      <w:r w:rsidRPr="006B5F4F">
        <w:fldChar w:fldCharType="end"/>
      </w:r>
      <w:r w:rsidRPr="006B5F4F">
        <w:fldChar w:fldCharType="begin"/>
      </w:r>
      <w:r w:rsidRPr="006B5F4F">
        <w:instrText xml:space="preserve"> :End Index: </w:instrText>
      </w:r>
      <w:r w:rsidRPr="006B5F4F">
        <w:fldChar w:fldCharType="end"/>
      </w:r>
      <w:r w:rsidRPr="006B5F4F">
        <w:fldChar w:fldCharType="begin"/>
      </w:r>
      <w:r w:rsidRPr="006B5F4F">
        <w:instrText xml:space="preserve"> :Start:BPCD_DD1 </w:instrText>
      </w:r>
      <w:r w:rsidRPr="006B5F4F">
        <w:fldChar w:fldCharType="end"/>
      </w:r>
      <w:r w:rsidR="00E77A13" w:rsidRPr="006B5F4F">
        <w:t xml:space="preserve">Appendix C: Statement of </w:t>
      </w:r>
      <w:r w:rsidR="00890CC9" w:rsidRPr="006B5F4F">
        <w:t>R</w:t>
      </w:r>
      <w:r w:rsidR="00E77A13" w:rsidRPr="006B5F4F">
        <w:t>isk</w:t>
      </w:r>
      <w:r w:rsidR="0077696F" w:rsidRPr="006B5F4F">
        <w:t>s</w:t>
      </w:r>
    </w:p>
    <w:p w14:paraId="4B911462" w14:textId="77777777" w:rsidR="00E77A13" w:rsidRPr="006B5F4F" w:rsidRDefault="00E77A13" w:rsidP="00210C1E">
      <w:pPr>
        <w:pStyle w:val="Heading2"/>
      </w:pPr>
      <w:r w:rsidRPr="006B5F4F">
        <w:t>Overview</w:t>
      </w:r>
    </w:p>
    <w:p w14:paraId="17C7DDC7" w14:textId="67BB9FEC" w:rsidR="0038741E" w:rsidRPr="006B5F4F" w:rsidRDefault="0038741E" w:rsidP="00D42A4D">
      <w:r w:rsidRPr="006B5F4F">
        <w:t xml:space="preserve">Full details of fiscal risks and contingent liabilities are provided in Budget Paper No. 1, </w:t>
      </w:r>
      <w:r w:rsidRPr="006B5F4F">
        <w:rPr>
          <w:i/>
        </w:rPr>
        <w:t xml:space="preserve">Budget Strategy and Outlook </w:t>
      </w:r>
      <w:r w:rsidR="00E8710C" w:rsidRPr="006B5F4F">
        <w:rPr>
          <w:i/>
        </w:rPr>
        <w:t>2017-18</w:t>
      </w:r>
      <w:r w:rsidRPr="006B5F4F">
        <w:t xml:space="preserve">. The following statement updates fiscal risks and contingent liabilities and assets that have materially changed since the </w:t>
      </w:r>
      <w:r w:rsidR="00E8710C" w:rsidRPr="006B5F4F">
        <w:t>2017-18</w:t>
      </w:r>
      <w:r w:rsidR="00B1588F" w:rsidRPr="006B5F4F">
        <w:t xml:space="preserve"> </w:t>
      </w:r>
      <w:r w:rsidRPr="006B5F4F">
        <w:t>Budget.</w:t>
      </w:r>
      <w:r w:rsidR="000B4AE4" w:rsidRPr="006B5F4F">
        <w:t xml:space="preserve"> </w:t>
      </w:r>
    </w:p>
    <w:p w14:paraId="6993DD87" w14:textId="13A99CE1" w:rsidR="0038741E" w:rsidRPr="006B5F4F" w:rsidRDefault="0038741E" w:rsidP="00D42A4D">
      <w:r w:rsidRPr="006B5F4F">
        <w:t>The forward estimates of revenue and expenses in</w:t>
      </w:r>
      <w:r w:rsidR="00B4228F" w:rsidRPr="006B5F4F">
        <w:t xml:space="preserve"> </w:t>
      </w:r>
      <w:r w:rsidRPr="006B5F4F">
        <w:t xml:space="preserve">the </w:t>
      </w:r>
      <w:r w:rsidRPr="006B5F4F">
        <w:rPr>
          <w:i/>
        </w:rPr>
        <w:t>Mid</w:t>
      </w:r>
      <w:r w:rsidR="000760DA" w:rsidRPr="006B5F4F">
        <w:rPr>
          <w:i/>
        </w:rPr>
        <w:noBreakHyphen/>
      </w:r>
      <w:r w:rsidRPr="006B5F4F">
        <w:rPr>
          <w:i/>
        </w:rPr>
        <w:t xml:space="preserve">Year Economic and Fiscal Outlook </w:t>
      </w:r>
      <w:r w:rsidR="00E8710C" w:rsidRPr="006B5F4F">
        <w:rPr>
          <w:i/>
        </w:rPr>
        <w:t>2017-18</w:t>
      </w:r>
      <w:r w:rsidR="00B1588F" w:rsidRPr="006B5F4F">
        <w:t xml:space="preserve"> </w:t>
      </w:r>
      <w:r w:rsidRPr="006B5F4F">
        <w:t>(MYEFO) incorporate assumptions and judgments based on the best information available at the time of publication, together with a range of economic assumptions and other forecasts and projections.</w:t>
      </w:r>
    </w:p>
    <w:p w14:paraId="68A673C2" w14:textId="77777777" w:rsidR="0038741E" w:rsidRPr="006B5F4F" w:rsidRDefault="0038741E" w:rsidP="00D42A4D">
      <w:r w:rsidRPr="006B5F4F">
        <w:t>To the extent that unanticipated changes in economic circumstances occur, their impact will flow through to government expense and revenue forecasts.</w:t>
      </w:r>
    </w:p>
    <w:p w14:paraId="54B3D302" w14:textId="77777777" w:rsidR="0038741E" w:rsidRPr="006B5F4F" w:rsidRDefault="0038741E" w:rsidP="0038741E">
      <w:r w:rsidRPr="006B5F4F">
        <w:t>Major taxes such as company and individuals</w:t>
      </w:r>
      <w:r w:rsidR="000760DA" w:rsidRPr="006B5F4F">
        <w:t>’</w:t>
      </w:r>
      <w:r w:rsidRPr="006B5F4F">
        <w:t xml:space="preserve"> income taxes fluctuate significantly with economic activity. Capital gains tax is particularly volatile and is affected by both the level of gains in asset markets and the timing of when those gains are realised.</w:t>
      </w:r>
    </w:p>
    <w:p w14:paraId="11B2E565" w14:textId="77777777" w:rsidR="0038741E" w:rsidRPr="006B5F4F" w:rsidRDefault="0038741E" w:rsidP="0038741E">
      <w:r w:rsidRPr="006B5F4F">
        <w:t>In addition, revenue forecasting relies heavily on the observed historical relationships between the economy, tax bases and tax revenues. Such relationships may shift over time as the economy changes, presenting a further risk to the estimates. Revenue forecasts also incorporate costings for new policies that typically have a margin of uncertainty.</w:t>
      </w:r>
    </w:p>
    <w:p w14:paraId="17171C3A" w14:textId="77777777" w:rsidR="00B2267B" w:rsidRPr="006B5F4F" w:rsidRDefault="0038741E" w:rsidP="0038741E">
      <w:r w:rsidRPr="006B5F4F">
        <w:t xml:space="preserve">The estimates and projections of revenue are subject to a number of general risks that can affect taxation collections. These general pressures include failure of the tax system to keep pace with changes in the business environment, tax avoidance, court decisions and Australian Taxation Office rulings, and the outcome of compliance </w:t>
      </w:r>
      <w:r w:rsidR="0000234C" w:rsidRPr="006B5F4F">
        <w:t>program</w:t>
      </w:r>
      <w:r w:rsidRPr="006B5F4F">
        <w:t>s. These pressures may result in a shift in the composition of taxation collected from the various tax bases and/or a change in the size of the tax base.</w:t>
      </w:r>
      <w:r w:rsidR="00DD7A28" w:rsidRPr="006B5F4F">
        <w:t xml:space="preserve"> </w:t>
      </w:r>
    </w:p>
    <w:p w14:paraId="6CA289F3" w14:textId="77777777" w:rsidR="00E77A13" w:rsidRPr="006B5F4F" w:rsidRDefault="00E77A13" w:rsidP="00210C1E">
      <w:pPr>
        <w:pStyle w:val="Heading2"/>
      </w:pPr>
      <w:r w:rsidRPr="006B5F4F">
        <w:t>Details of fiscal risks and contingent liabilities</w:t>
      </w:r>
    </w:p>
    <w:p w14:paraId="329327EA" w14:textId="08E6A7ED" w:rsidR="0022162C" w:rsidRPr="006B5F4F" w:rsidRDefault="0022162C" w:rsidP="00E77A13">
      <w:r w:rsidRPr="006B5F4F">
        <w:t>New or revised fiscal risks</w:t>
      </w:r>
      <w:r w:rsidR="001A65AE" w:rsidRPr="006B5F4F">
        <w:t>, contingent assets</w:t>
      </w:r>
      <w:r w:rsidRPr="006B5F4F">
        <w:t xml:space="preserve"> and contingent liabilities with a possible impact on the forward estimates greater than $20 million in any one year, or $50</w:t>
      </w:r>
      <w:r w:rsidR="00061CF7" w:rsidRPr="006B5F4F">
        <w:t> </w:t>
      </w:r>
      <w:r w:rsidRPr="006B5F4F">
        <w:t xml:space="preserve">million over the forward estimates period, that have </w:t>
      </w:r>
      <w:r w:rsidR="001F01C8" w:rsidRPr="006B5F4F">
        <w:t xml:space="preserve">arisen or changed since the </w:t>
      </w:r>
      <w:r w:rsidR="00061CF7" w:rsidRPr="006B5F4F">
        <w:t>2017</w:t>
      </w:r>
      <w:r w:rsidR="00215E1C" w:rsidRPr="006B5F4F">
        <w:t>-</w:t>
      </w:r>
      <w:r w:rsidR="00E8710C" w:rsidRPr="006B5F4F">
        <w:t>18</w:t>
      </w:r>
      <w:r w:rsidR="00B1588F" w:rsidRPr="006B5F4F">
        <w:t xml:space="preserve"> </w:t>
      </w:r>
      <w:r w:rsidRPr="006B5F4F">
        <w:t>Budget are described be</w:t>
      </w:r>
      <w:r w:rsidR="00C77802" w:rsidRPr="006B5F4F">
        <w:t>low and summarised in Table C1.</w:t>
      </w:r>
    </w:p>
    <w:p w14:paraId="526F0091" w14:textId="77777777" w:rsidR="00E77A13" w:rsidRPr="006B5F4F" w:rsidRDefault="0022162C" w:rsidP="00E77A13">
      <w:r w:rsidRPr="006B5F4F">
        <w:t xml:space="preserve">Information on both contingent assets and contingent liabilities is also provided in the annual financial statements of departments, </w:t>
      </w:r>
      <w:r w:rsidR="005E14AB" w:rsidRPr="006B5F4F">
        <w:t>entities</w:t>
      </w:r>
      <w:r w:rsidRPr="006B5F4F">
        <w:t xml:space="preserve"> and non</w:t>
      </w:r>
      <w:r w:rsidR="000760DA" w:rsidRPr="006B5F4F">
        <w:noBreakHyphen/>
      </w:r>
      <w:r w:rsidRPr="006B5F4F">
        <w:t>budget entities.</w:t>
      </w:r>
    </w:p>
    <w:tbl>
      <w:tblPr>
        <w:tblW w:w="4856" w:type="pct"/>
        <w:tblInd w:w="108" w:type="dxa"/>
        <w:tblBorders>
          <w:top w:val="single" w:sz="2" w:space="0" w:color="7F7F7F"/>
          <w:bottom w:val="single" w:sz="2" w:space="0" w:color="7F7F7F"/>
          <w:insideH w:val="single" w:sz="2" w:space="0" w:color="7F7F7F"/>
        </w:tblBorders>
        <w:tblLayout w:type="fixed"/>
        <w:tblLook w:val="04A0" w:firstRow="1" w:lastRow="0" w:firstColumn="1" w:lastColumn="0" w:noHBand="0" w:noVBand="1"/>
      </w:tblPr>
      <w:tblGrid>
        <w:gridCol w:w="6664"/>
        <w:gridCol w:w="1035"/>
      </w:tblGrid>
      <w:tr w:rsidR="001419E3" w:rsidRPr="006B5F4F" w14:paraId="45F7704E" w14:textId="77777777" w:rsidTr="00C541CD">
        <w:trPr>
          <w:cantSplit/>
          <w:trHeight w:val="228"/>
          <w:tblHeader/>
        </w:trPr>
        <w:tc>
          <w:tcPr>
            <w:tcW w:w="5000" w:type="pct"/>
            <w:gridSpan w:val="2"/>
            <w:tcBorders>
              <w:top w:val="nil"/>
            </w:tcBorders>
            <w:shd w:val="clear" w:color="auto" w:fill="auto"/>
            <w:noWrap/>
            <w:vAlign w:val="center"/>
          </w:tcPr>
          <w:p w14:paraId="07759C3C" w14:textId="7C21D056" w:rsidR="001419E3" w:rsidRPr="006B5F4F" w:rsidRDefault="001419E3" w:rsidP="0014402C">
            <w:pPr>
              <w:pStyle w:val="TableHeadingcontinued"/>
              <w:spacing w:before="0"/>
            </w:pPr>
            <w:r w:rsidRPr="006B5F4F">
              <w:lastRenderedPageBreak/>
              <w:t xml:space="preserve">Table C1: Summary of material changes to the Statement of Risks since the </w:t>
            </w:r>
            <w:r w:rsidR="0084512B" w:rsidRPr="006B5F4F">
              <w:t>2017-18</w:t>
            </w:r>
            <w:r w:rsidRPr="006B5F4F">
              <w:t xml:space="preserve"> Budget</w:t>
            </w:r>
            <w:r w:rsidRPr="006B5F4F">
              <w:rPr>
                <w:vertAlign w:val="superscript"/>
              </w:rPr>
              <w:t>(a)</w:t>
            </w:r>
          </w:p>
        </w:tc>
      </w:tr>
      <w:tr w:rsidR="00494113" w:rsidRPr="006B5F4F" w14:paraId="634A5178" w14:textId="77777777" w:rsidTr="00943914">
        <w:trPr>
          <w:cantSplit/>
          <w:trHeight w:val="228"/>
          <w:tblHeader/>
        </w:trPr>
        <w:tc>
          <w:tcPr>
            <w:tcW w:w="4328" w:type="pct"/>
            <w:shd w:val="clear" w:color="auto" w:fill="E6E6E6"/>
            <w:noWrap/>
            <w:vAlign w:val="center"/>
          </w:tcPr>
          <w:p w14:paraId="409C3741" w14:textId="77777777" w:rsidR="00494113" w:rsidRPr="006B5F4F" w:rsidRDefault="00494113" w:rsidP="00943914">
            <w:pPr>
              <w:pStyle w:val="TableColumnHeadingLeft"/>
            </w:pPr>
            <w:r w:rsidRPr="006B5F4F">
              <w:t>Fiscal risks</w:t>
            </w:r>
          </w:p>
        </w:tc>
        <w:tc>
          <w:tcPr>
            <w:tcW w:w="672" w:type="pct"/>
            <w:shd w:val="clear" w:color="auto" w:fill="E6E6E6"/>
            <w:noWrap/>
            <w:vAlign w:val="center"/>
          </w:tcPr>
          <w:p w14:paraId="44008710" w14:textId="77777777" w:rsidR="00494113" w:rsidRPr="006B5F4F" w:rsidRDefault="00494113" w:rsidP="00943914">
            <w:pPr>
              <w:pStyle w:val="TableColumnHeadingLeft"/>
            </w:pPr>
          </w:p>
        </w:tc>
      </w:tr>
      <w:tr w:rsidR="0046188B" w:rsidRPr="006B5F4F" w14:paraId="46B23F1B" w14:textId="77777777" w:rsidTr="0046188B">
        <w:trPr>
          <w:cantSplit/>
          <w:trHeight w:val="228"/>
          <w:tblHeader/>
        </w:trPr>
        <w:tc>
          <w:tcPr>
            <w:tcW w:w="4328" w:type="pct"/>
            <w:shd w:val="clear" w:color="auto" w:fill="auto"/>
            <w:noWrap/>
            <w:vAlign w:val="bottom"/>
          </w:tcPr>
          <w:p w14:paraId="3EDBC674" w14:textId="77777777" w:rsidR="0046188B" w:rsidRPr="006B5F4F" w:rsidRDefault="0046188B" w:rsidP="0046188B">
            <w:pPr>
              <w:pStyle w:val="TableColumnHeadingS118pt"/>
            </w:pPr>
            <w:r w:rsidRPr="006B5F4F">
              <w:t>Education and Training</w:t>
            </w:r>
          </w:p>
        </w:tc>
        <w:tc>
          <w:tcPr>
            <w:tcW w:w="672" w:type="pct"/>
            <w:shd w:val="clear" w:color="auto" w:fill="auto"/>
            <w:noWrap/>
            <w:vAlign w:val="center"/>
          </w:tcPr>
          <w:p w14:paraId="10592377" w14:textId="77777777" w:rsidR="0046188B" w:rsidRPr="006B5F4F" w:rsidRDefault="0046188B" w:rsidP="0046188B">
            <w:pPr>
              <w:pStyle w:val="TableTextRight"/>
            </w:pPr>
          </w:p>
        </w:tc>
      </w:tr>
      <w:tr w:rsidR="0046188B" w:rsidRPr="006B5F4F" w14:paraId="5D3A6083" w14:textId="77777777" w:rsidTr="0046188B">
        <w:trPr>
          <w:cantSplit/>
          <w:trHeight w:val="228"/>
          <w:tblHeader/>
        </w:trPr>
        <w:tc>
          <w:tcPr>
            <w:tcW w:w="4328" w:type="pct"/>
            <w:shd w:val="clear" w:color="auto" w:fill="auto"/>
            <w:noWrap/>
            <w:vAlign w:val="bottom"/>
          </w:tcPr>
          <w:p w14:paraId="3F2BD576" w14:textId="77777777" w:rsidR="0046188B" w:rsidRPr="006B5F4F" w:rsidRDefault="0046188B" w:rsidP="0046188B">
            <w:pPr>
              <w:pStyle w:val="TableTextIndented"/>
            </w:pPr>
            <w:r w:rsidRPr="006B5F4F">
              <w:t>Recovery of inappropriately claimed VET FEE-HELP funds from providers</w:t>
            </w:r>
          </w:p>
        </w:tc>
        <w:tc>
          <w:tcPr>
            <w:tcW w:w="672" w:type="pct"/>
            <w:shd w:val="clear" w:color="auto" w:fill="auto"/>
            <w:noWrap/>
            <w:vAlign w:val="center"/>
          </w:tcPr>
          <w:p w14:paraId="0FA8E3DD" w14:textId="15D96189" w:rsidR="0046188B" w:rsidRPr="006B5F4F" w:rsidRDefault="004A4037" w:rsidP="004A4037">
            <w:pPr>
              <w:pStyle w:val="TableTextRight"/>
            </w:pPr>
            <w:r w:rsidRPr="006B5F4F">
              <w:t>Modified</w:t>
            </w:r>
          </w:p>
        </w:tc>
      </w:tr>
      <w:tr w:rsidR="0046188B" w:rsidRPr="006B5F4F" w14:paraId="63614FAF" w14:textId="77777777" w:rsidTr="0046188B">
        <w:trPr>
          <w:cantSplit/>
          <w:trHeight w:val="228"/>
          <w:tblHeader/>
        </w:trPr>
        <w:tc>
          <w:tcPr>
            <w:tcW w:w="4328" w:type="pct"/>
            <w:shd w:val="clear" w:color="auto" w:fill="auto"/>
            <w:noWrap/>
            <w:vAlign w:val="bottom"/>
          </w:tcPr>
          <w:p w14:paraId="23956984" w14:textId="77777777" w:rsidR="0046188B" w:rsidRPr="006B5F4F" w:rsidRDefault="0046188B" w:rsidP="0046188B">
            <w:pPr>
              <w:pStyle w:val="TableColumnHeadingS118pt"/>
            </w:pPr>
            <w:r w:rsidRPr="006B5F4F">
              <w:t>Environment and Energy</w:t>
            </w:r>
          </w:p>
        </w:tc>
        <w:tc>
          <w:tcPr>
            <w:tcW w:w="672" w:type="pct"/>
            <w:shd w:val="clear" w:color="auto" w:fill="auto"/>
            <w:noWrap/>
            <w:vAlign w:val="center"/>
          </w:tcPr>
          <w:p w14:paraId="35FDC452" w14:textId="77777777" w:rsidR="0046188B" w:rsidRPr="006B5F4F" w:rsidRDefault="0046188B" w:rsidP="0046188B">
            <w:pPr>
              <w:pStyle w:val="TableTextRight"/>
            </w:pPr>
          </w:p>
        </w:tc>
      </w:tr>
      <w:tr w:rsidR="0046188B" w:rsidRPr="006B5F4F" w14:paraId="3BA38441" w14:textId="77777777" w:rsidTr="0046188B">
        <w:trPr>
          <w:cantSplit/>
          <w:trHeight w:val="228"/>
          <w:tblHeader/>
        </w:trPr>
        <w:tc>
          <w:tcPr>
            <w:tcW w:w="4328" w:type="pct"/>
            <w:shd w:val="clear" w:color="auto" w:fill="auto"/>
            <w:noWrap/>
            <w:vAlign w:val="bottom"/>
          </w:tcPr>
          <w:p w14:paraId="273ADADF" w14:textId="77777777" w:rsidR="0046188B" w:rsidRPr="006B5F4F" w:rsidRDefault="0046188B" w:rsidP="0046188B">
            <w:pPr>
              <w:pStyle w:val="TableTextIndented"/>
            </w:pPr>
            <w:r w:rsidRPr="006B5F4F">
              <w:t>Snowy Hydro Limited — Government shareholding</w:t>
            </w:r>
          </w:p>
        </w:tc>
        <w:tc>
          <w:tcPr>
            <w:tcW w:w="672" w:type="pct"/>
            <w:shd w:val="clear" w:color="auto" w:fill="auto"/>
            <w:noWrap/>
            <w:vAlign w:val="center"/>
          </w:tcPr>
          <w:p w14:paraId="17EB5EE0" w14:textId="77777777" w:rsidR="0046188B" w:rsidRPr="006B5F4F" w:rsidRDefault="00DE04C1" w:rsidP="0046188B">
            <w:pPr>
              <w:pStyle w:val="TableTextRight"/>
            </w:pPr>
            <w:r w:rsidRPr="006B5F4F">
              <w:t>New</w:t>
            </w:r>
          </w:p>
        </w:tc>
      </w:tr>
      <w:tr w:rsidR="0046188B" w:rsidRPr="006B5F4F" w14:paraId="5394D698" w14:textId="77777777" w:rsidTr="0046188B">
        <w:trPr>
          <w:cantSplit/>
          <w:trHeight w:val="228"/>
          <w:tblHeader/>
        </w:trPr>
        <w:tc>
          <w:tcPr>
            <w:tcW w:w="4328" w:type="pct"/>
            <w:shd w:val="clear" w:color="auto" w:fill="auto"/>
            <w:noWrap/>
            <w:vAlign w:val="bottom"/>
          </w:tcPr>
          <w:p w14:paraId="0B157307" w14:textId="77777777" w:rsidR="0046188B" w:rsidRPr="006B5F4F" w:rsidRDefault="0046188B" w:rsidP="0046188B">
            <w:pPr>
              <w:pStyle w:val="TableColumnHeadingS118pt"/>
            </w:pPr>
            <w:r w:rsidRPr="006B5F4F">
              <w:t>Finance</w:t>
            </w:r>
          </w:p>
        </w:tc>
        <w:tc>
          <w:tcPr>
            <w:tcW w:w="672" w:type="pct"/>
            <w:shd w:val="clear" w:color="auto" w:fill="auto"/>
            <w:noWrap/>
            <w:vAlign w:val="center"/>
          </w:tcPr>
          <w:p w14:paraId="50EA9CF9" w14:textId="77777777" w:rsidR="0046188B" w:rsidRPr="006B5F4F" w:rsidRDefault="0046188B" w:rsidP="0046188B">
            <w:pPr>
              <w:pStyle w:val="TableTextRight"/>
            </w:pPr>
          </w:p>
        </w:tc>
      </w:tr>
      <w:tr w:rsidR="0046188B" w:rsidRPr="006B5F4F" w14:paraId="7D560BE4" w14:textId="77777777" w:rsidTr="0046188B">
        <w:trPr>
          <w:cantSplit/>
          <w:trHeight w:val="228"/>
          <w:tblHeader/>
        </w:trPr>
        <w:tc>
          <w:tcPr>
            <w:tcW w:w="4328" w:type="pct"/>
            <w:shd w:val="clear" w:color="auto" w:fill="auto"/>
            <w:noWrap/>
            <w:vAlign w:val="bottom"/>
          </w:tcPr>
          <w:p w14:paraId="0FF972C4" w14:textId="77777777" w:rsidR="0046188B" w:rsidRPr="006B5F4F" w:rsidRDefault="0046188B" w:rsidP="0046188B">
            <w:pPr>
              <w:pStyle w:val="TableTextIndented"/>
            </w:pPr>
            <w:r w:rsidRPr="006B5F4F">
              <w:t>Same-Sex Marriage Plebiscite</w:t>
            </w:r>
          </w:p>
        </w:tc>
        <w:tc>
          <w:tcPr>
            <w:tcW w:w="672" w:type="pct"/>
            <w:shd w:val="clear" w:color="auto" w:fill="auto"/>
            <w:noWrap/>
            <w:vAlign w:val="center"/>
          </w:tcPr>
          <w:p w14:paraId="6FB4921B" w14:textId="77777777" w:rsidR="0046188B" w:rsidRPr="006B5F4F" w:rsidRDefault="00F80CF0" w:rsidP="0046188B">
            <w:pPr>
              <w:pStyle w:val="TableTextRight"/>
            </w:pPr>
            <w:r w:rsidRPr="006B5F4F">
              <w:t>Removed</w:t>
            </w:r>
          </w:p>
        </w:tc>
      </w:tr>
      <w:tr w:rsidR="000E3032" w:rsidRPr="006B5F4F" w14:paraId="7E5F2733" w14:textId="77777777" w:rsidTr="0046188B">
        <w:trPr>
          <w:cantSplit/>
          <w:trHeight w:val="228"/>
          <w:tblHeader/>
        </w:trPr>
        <w:tc>
          <w:tcPr>
            <w:tcW w:w="4328" w:type="pct"/>
            <w:shd w:val="clear" w:color="auto" w:fill="auto"/>
            <w:noWrap/>
            <w:vAlign w:val="bottom"/>
          </w:tcPr>
          <w:p w14:paraId="4A093240" w14:textId="38427192" w:rsidR="000E3032" w:rsidRPr="006B5F4F" w:rsidRDefault="000E3032" w:rsidP="000E3032">
            <w:pPr>
              <w:pStyle w:val="TableColumnHeadingS118pt"/>
            </w:pPr>
            <w:r w:rsidRPr="006B5F4F">
              <w:t>Home Affairs</w:t>
            </w:r>
          </w:p>
        </w:tc>
        <w:tc>
          <w:tcPr>
            <w:tcW w:w="672" w:type="pct"/>
            <w:shd w:val="clear" w:color="auto" w:fill="auto"/>
            <w:noWrap/>
            <w:vAlign w:val="center"/>
          </w:tcPr>
          <w:p w14:paraId="5DD98F66" w14:textId="77777777" w:rsidR="000E3032" w:rsidRPr="006B5F4F" w:rsidRDefault="000E3032" w:rsidP="000E3032">
            <w:pPr>
              <w:pStyle w:val="TableTextRight"/>
            </w:pPr>
          </w:p>
        </w:tc>
      </w:tr>
      <w:tr w:rsidR="000E3032" w:rsidRPr="006B5F4F" w14:paraId="481774D1" w14:textId="77777777" w:rsidTr="0046188B">
        <w:trPr>
          <w:cantSplit/>
          <w:trHeight w:val="228"/>
          <w:tblHeader/>
        </w:trPr>
        <w:tc>
          <w:tcPr>
            <w:tcW w:w="4328" w:type="pct"/>
            <w:shd w:val="clear" w:color="auto" w:fill="auto"/>
            <w:noWrap/>
            <w:vAlign w:val="bottom"/>
          </w:tcPr>
          <w:p w14:paraId="5B31B3E3" w14:textId="5001EB76" w:rsidR="000E3032" w:rsidRPr="006B5F4F" w:rsidRDefault="000E3032" w:rsidP="00AB1181">
            <w:pPr>
              <w:pStyle w:val="TableTextIndented"/>
            </w:pPr>
            <w:r w:rsidRPr="006B5F4F">
              <w:t xml:space="preserve">Regional Processing </w:t>
            </w:r>
            <w:r w:rsidR="00AB1181" w:rsidRPr="006B5F4F">
              <w:t>Arrangements</w:t>
            </w:r>
          </w:p>
        </w:tc>
        <w:tc>
          <w:tcPr>
            <w:tcW w:w="672" w:type="pct"/>
            <w:shd w:val="clear" w:color="auto" w:fill="auto"/>
            <w:noWrap/>
            <w:vAlign w:val="center"/>
          </w:tcPr>
          <w:p w14:paraId="1CCEE442" w14:textId="49C7944A" w:rsidR="000E3032" w:rsidRPr="006B5F4F" w:rsidRDefault="000E3032" w:rsidP="000E3032">
            <w:pPr>
              <w:pStyle w:val="TableTextRight"/>
            </w:pPr>
            <w:r w:rsidRPr="006B5F4F">
              <w:t>Modified</w:t>
            </w:r>
          </w:p>
        </w:tc>
      </w:tr>
      <w:tr w:rsidR="000E3032" w:rsidRPr="006B5F4F" w14:paraId="7FC0B4E1" w14:textId="77777777" w:rsidTr="0046188B">
        <w:trPr>
          <w:cantSplit/>
          <w:trHeight w:val="228"/>
          <w:tblHeader/>
        </w:trPr>
        <w:tc>
          <w:tcPr>
            <w:tcW w:w="4328" w:type="pct"/>
            <w:shd w:val="clear" w:color="auto" w:fill="auto"/>
            <w:noWrap/>
            <w:vAlign w:val="bottom"/>
          </w:tcPr>
          <w:p w14:paraId="626CFAF0" w14:textId="77777777" w:rsidR="000E3032" w:rsidRPr="006B5F4F" w:rsidRDefault="000E3032" w:rsidP="000E3032">
            <w:pPr>
              <w:pStyle w:val="TableColumnHeadingS118pt"/>
            </w:pPr>
            <w:r w:rsidRPr="006B5F4F">
              <w:t>Infrastructure and Regional Development</w:t>
            </w:r>
          </w:p>
        </w:tc>
        <w:tc>
          <w:tcPr>
            <w:tcW w:w="672" w:type="pct"/>
            <w:shd w:val="clear" w:color="auto" w:fill="auto"/>
            <w:noWrap/>
            <w:vAlign w:val="center"/>
          </w:tcPr>
          <w:p w14:paraId="09E3B5C3" w14:textId="77777777" w:rsidR="000E3032" w:rsidRPr="006B5F4F" w:rsidRDefault="000E3032" w:rsidP="000E3032">
            <w:pPr>
              <w:pStyle w:val="TableTextRight"/>
            </w:pPr>
          </w:p>
        </w:tc>
      </w:tr>
      <w:tr w:rsidR="000E3032" w:rsidRPr="006B5F4F" w14:paraId="4F396A88" w14:textId="77777777" w:rsidTr="0046188B">
        <w:trPr>
          <w:cantSplit/>
          <w:trHeight w:val="228"/>
          <w:tblHeader/>
        </w:trPr>
        <w:tc>
          <w:tcPr>
            <w:tcW w:w="4328" w:type="pct"/>
            <w:shd w:val="clear" w:color="auto" w:fill="auto"/>
            <w:noWrap/>
            <w:vAlign w:val="bottom"/>
          </w:tcPr>
          <w:p w14:paraId="1EE8210A" w14:textId="77777777" w:rsidR="000E3032" w:rsidRPr="006B5F4F" w:rsidRDefault="000E3032" w:rsidP="000E3032">
            <w:pPr>
              <w:pStyle w:val="TableTextIndented"/>
            </w:pPr>
            <w:r w:rsidRPr="006B5F4F">
              <w:t>Inland Rail — Delivery</w:t>
            </w:r>
          </w:p>
        </w:tc>
        <w:tc>
          <w:tcPr>
            <w:tcW w:w="672" w:type="pct"/>
            <w:shd w:val="clear" w:color="auto" w:fill="auto"/>
            <w:noWrap/>
            <w:vAlign w:val="center"/>
          </w:tcPr>
          <w:p w14:paraId="4A483581" w14:textId="65815504" w:rsidR="000E3032" w:rsidRPr="006B5F4F" w:rsidRDefault="000E3032" w:rsidP="000E3032">
            <w:pPr>
              <w:pStyle w:val="TableTextRight"/>
            </w:pPr>
            <w:r w:rsidRPr="006B5F4F">
              <w:t>Modified</w:t>
            </w:r>
          </w:p>
        </w:tc>
      </w:tr>
      <w:tr w:rsidR="000E3032" w:rsidRPr="006B5F4F" w14:paraId="772289EE" w14:textId="77777777" w:rsidTr="00943914">
        <w:trPr>
          <w:cantSplit/>
          <w:trHeight w:val="228"/>
          <w:tblHeader/>
        </w:trPr>
        <w:tc>
          <w:tcPr>
            <w:tcW w:w="4328" w:type="pct"/>
            <w:shd w:val="clear" w:color="auto" w:fill="E6E6E6"/>
            <w:noWrap/>
            <w:vAlign w:val="center"/>
          </w:tcPr>
          <w:p w14:paraId="05E5477C" w14:textId="77777777" w:rsidR="000E3032" w:rsidRPr="006B5F4F" w:rsidRDefault="000E3032" w:rsidP="000E3032">
            <w:pPr>
              <w:pStyle w:val="TableColumnHeadingLeft"/>
            </w:pPr>
            <w:r w:rsidRPr="006B5F4F">
              <w:t>Significant but remote contingencies</w:t>
            </w:r>
          </w:p>
        </w:tc>
        <w:tc>
          <w:tcPr>
            <w:tcW w:w="672" w:type="pct"/>
            <w:shd w:val="clear" w:color="auto" w:fill="E6E6E6"/>
            <w:noWrap/>
            <w:vAlign w:val="center"/>
          </w:tcPr>
          <w:p w14:paraId="47F402F7" w14:textId="77777777" w:rsidR="000E3032" w:rsidRPr="006B5F4F" w:rsidRDefault="000E3032" w:rsidP="000E3032">
            <w:pPr>
              <w:pStyle w:val="TableColumnHeadingLeft"/>
            </w:pPr>
          </w:p>
        </w:tc>
      </w:tr>
      <w:tr w:rsidR="000E3032" w:rsidRPr="006B5F4F" w14:paraId="338C27A0" w14:textId="77777777" w:rsidTr="0046188B">
        <w:trPr>
          <w:cantSplit/>
          <w:trHeight w:val="228"/>
          <w:tblHeader/>
        </w:trPr>
        <w:tc>
          <w:tcPr>
            <w:tcW w:w="4328" w:type="pct"/>
            <w:shd w:val="clear" w:color="auto" w:fill="auto"/>
            <w:noWrap/>
            <w:vAlign w:val="bottom"/>
          </w:tcPr>
          <w:p w14:paraId="123838D5" w14:textId="599FBB42" w:rsidR="000E3032" w:rsidRPr="006B5F4F" w:rsidRDefault="000E3032" w:rsidP="000E3032">
            <w:pPr>
              <w:pStyle w:val="TableColumnHeadingS118pt"/>
              <w:rPr>
                <w:rFonts w:eastAsia="Arial" w:cs="Arial"/>
                <w:spacing w:val="4"/>
                <w:szCs w:val="16"/>
              </w:rPr>
            </w:pPr>
            <w:r w:rsidRPr="006B5F4F">
              <w:t>Communications</w:t>
            </w:r>
            <w:r w:rsidR="007F4138" w:rsidRPr="006B5F4F">
              <w:t xml:space="preserve"> and the Arts </w:t>
            </w:r>
          </w:p>
        </w:tc>
        <w:tc>
          <w:tcPr>
            <w:tcW w:w="672" w:type="pct"/>
            <w:shd w:val="clear" w:color="auto" w:fill="auto"/>
            <w:noWrap/>
            <w:vAlign w:val="center"/>
          </w:tcPr>
          <w:p w14:paraId="11E905B2" w14:textId="77777777" w:rsidR="000E3032" w:rsidRPr="006B5F4F" w:rsidRDefault="000E3032" w:rsidP="000E3032">
            <w:pPr>
              <w:pStyle w:val="TableTextRight"/>
            </w:pPr>
          </w:p>
        </w:tc>
      </w:tr>
      <w:tr w:rsidR="000E3032" w:rsidRPr="006B5F4F" w14:paraId="6C1E878D" w14:textId="77777777" w:rsidTr="0046188B">
        <w:trPr>
          <w:cantSplit/>
          <w:trHeight w:val="228"/>
          <w:tblHeader/>
        </w:trPr>
        <w:tc>
          <w:tcPr>
            <w:tcW w:w="4328" w:type="pct"/>
            <w:shd w:val="clear" w:color="auto" w:fill="auto"/>
            <w:noWrap/>
            <w:vAlign w:val="bottom"/>
          </w:tcPr>
          <w:p w14:paraId="22D8F42D"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NBN Co Limited — Equity Agreement</w:t>
            </w:r>
          </w:p>
        </w:tc>
        <w:tc>
          <w:tcPr>
            <w:tcW w:w="672" w:type="pct"/>
            <w:shd w:val="clear" w:color="auto" w:fill="auto"/>
            <w:noWrap/>
            <w:vAlign w:val="center"/>
          </w:tcPr>
          <w:p w14:paraId="781C2E06" w14:textId="77777777" w:rsidR="000E3032" w:rsidRPr="006B5F4F" w:rsidRDefault="000E3032" w:rsidP="000E3032">
            <w:pPr>
              <w:pStyle w:val="TableTextRight"/>
            </w:pPr>
            <w:r w:rsidRPr="006B5F4F">
              <w:t>Modified</w:t>
            </w:r>
          </w:p>
        </w:tc>
      </w:tr>
      <w:tr w:rsidR="000E3032" w:rsidRPr="006B5F4F" w14:paraId="33230AE8" w14:textId="77777777" w:rsidTr="0046188B">
        <w:trPr>
          <w:cantSplit/>
          <w:trHeight w:val="228"/>
          <w:tblHeader/>
        </w:trPr>
        <w:tc>
          <w:tcPr>
            <w:tcW w:w="4328" w:type="pct"/>
            <w:shd w:val="clear" w:color="auto" w:fill="auto"/>
            <w:noWrap/>
            <w:vAlign w:val="bottom"/>
          </w:tcPr>
          <w:p w14:paraId="6A43114C"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Optus Financial Guarantee</w:t>
            </w:r>
          </w:p>
        </w:tc>
        <w:tc>
          <w:tcPr>
            <w:tcW w:w="672" w:type="pct"/>
            <w:shd w:val="clear" w:color="auto" w:fill="auto"/>
            <w:noWrap/>
            <w:vAlign w:val="center"/>
          </w:tcPr>
          <w:p w14:paraId="29FB9229" w14:textId="77777777" w:rsidR="000E3032" w:rsidRPr="006B5F4F" w:rsidRDefault="000E3032" w:rsidP="000E3032">
            <w:pPr>
              <w:pStyle w:val="TableTextRight"/>
            </w:pPr>
            <w:r w:rsidRPr="006B5F4F">
              <w:t>Modified</w:t>
            </w:r>
          </w:p>
        </w:tc>
      </w:tr>
      <w:tr w:rsidR="000E3032" w:rsidRPr="006B5F4F" w14:paraId="17485D28" w14:textId="77777777" w:rsidTr="0046188B">
        <w:trPr>
          <w:cantSplit/>
          <w:trHeight w:val="228"/>
          <w:tblHeader/>
        </w:trPr>
        <w:tc>
          <w:tcPr>
            <w:tcW w:w="4328" w:type="pct"/>
            <w:shd w:val="clear" w:color="auto" w:fill="auto"/>
            <w:noWrap/>
            <w:vAlign w:val="bottom"/>
          </w:tcPr>
          <w:p w14:paraId="62664237"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Telstra Financial Guarantee</w:t>
            </w:r>
          </w:p>
        </w:tc>
        <w:tc>
          <w:tcPr>
            <w:tcW w:w="672" w:type="pct"/>
            <w:shd w:val="clear" w:color="auto" w:fill="auto"/>
            <w:noWrap/>
            <w:vAlign w:val="center"/>
          </w:tcPr>
          <w:p w14:paraId="08073351" w14:textId="77777777" w:rsidR="000E3032" w:rsidRPr="006B5F4F" w:rsidRDefault="000E3032" w:rsidP="000E3032">
            <w:pPr>
              <w:pStyle w:val="TableTextRight"/>
            </w:pPr>
            <w:r w:rsidRPr="006B5F4F">
              <w:t>Modified</w:t>
            </w:r>
          </w:p>
        </w:tc>
      </w:tr>
      <w:tr w:rsidR="000E3032" w:rsidRPr="006B5F4F" w14:paraId="6C5D6715" w14:textId="77777777" w:rsidTr="0046188B">
        <w:trPr>
          <w:cantSplit/>
          <w:trHeight w:val="228"/>
          <w:tblHeader/>
        </w:trPr>
        <w:tc>
          <w:tcPr>
            <w:tcW w:w="4328" w:type="pct"/>
            <w:shd w:val="clear" w:color="auto" w:fill="auto"/>
            <w:noWrap/>
            <w:vAlign w:val="bottom"/>
          </w:tcPr>
          <w:p w14:paraId="4E2A79E2" w14:textId="77777777" w:rsidR="000E3032" w:rsidRPr="006B5F4F" w:rsidRDefault="000E3032" w:rsidP="000E3032">
            <w:pPr>
              <w:pStyle w:val="TableColumnHeadingS118pt"/>
              <w:rPr>
                <w:rFonts w:eastAsia="Arial" w:cs="Arial"/>
                <w:spacing w:val="4"/>
                <w:szCs w:val="16"/>
              </w:rPr>
            </w:pPr>
            <w:r w:rsidRPr="006B5F4F">
              <w:t>Defence</w:t>
            </w:r>
          </w:p>
        </w:tc>
        <w:tc>
          <w:tcPr>
            <w:tcW w:w="672" w:type="pct"/>
            <w:shd w:val="clear" w:color="auto" w:fill="auto"/>
            <w:noWrap/>
            <w:vAlign w:val="center"/>
          </w:tcPr>
          <w:p w14:paraId="4E92AF56" w14:textId="77777777" w:rsidR="000E3032" w:rsidRPr="006B5F4F" w:rsidRDefault="000E3032" w:rsidP="000E3032">
            <w:pPr>
              <w:pStyle w:val="TableTextRight"/>
            </w:pPr>
          </w:p>
        </w:tc>
      </w:tr>
      <w:tr w:rsidR="000E3032" w:rsidRPr="006B5F4F" w14:paraId="096D3116" w14:textId="77777777" w:rsidTr="0046188B">
        <w:trPr>
          <w:cantSplit/>
          <w:trHeight w:val="228"/>
          <w:tblHeader/>
        </w:trPr>
        <w:tc>
          <w:tcPr>
            <w:tcW w:w="4328" w:type="pct"/>
            <w:shd w:val="clear" w:color="auto" w:fill="auto"/>
            <w:noWrap/>
            <w:vAlign w:val="bottom"/>
          </w:tcPr>
          <w:p w14:paraId="0A03D305"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Remote contingencies</w:t>
            </w:r>
          </w:p>
        </w:tc>
        <w:tc>
          <w:tcPr>
            <w:tcW w:w="672" w:type="pct"/>
            <w:shd w:val="clear" w:color="auto" w:fill="auto"/>
            <w:noWrap/>
            <w:vAlign w:val="center"/>
          </w:tcPr>
          <w:p w14:paraId="4FC310ED" w14:textId="77777777" w:rsidR="000E3032" w:rsidRPr="006B5F4F" w:rsidRDefault="000E3032" w:rsidP="000E3032">
            <w:pPr>
              <w:pStyle w:val="TableTextRight"/>
            </w:pPr>
            <w:r w:rsidRPr="006B5F4F">
              <w:t>Modified</w:t>
            </w:r>
          </w:p>
        </w:tc>
      </w:tr>
      <w:tr w:rsidR="00A0673D" w:rsidRPr="006B5F4F" w14:paraId="3621C7BB" w14:textId="77777777" w:rsidTr="0046188B">
        <w:trPr>
          <w:cantSplit/>
          <w:trHeight w:val="228"/>
          <w:tblHeader/>
        </w:trPr>
        <w:tc>
          <w:tcPr>
            <w:tcW w:w="4328" w:type="pct"/>
            <w:shd w:val="clear" w:color="auto" w:fill="auto"/>
            <w:noWrap/>
            <w:vAlign w:val="bottom"/>
          </w:tcPr>
          <w:p w14:paraId="50B92640" w14:textId="3027D5B0" w:rsidR="00A0673D" w:rsidRPr="006B5F4F" w:rsidRDefault="00A0673D" w:rsidP="00A0673D">
            <w:pPr>
              <w:pStyle w:val="TableColumnHeadingS118pt"/>
              <w:rPr>
                <w:rFonts w:eastAsia="Arial" w:cs="Arial"/>
                <w:spacing w:val="4"/>
                <w:szCs w:val="16"/>
              </w:rPr>
            </w:pPr>
            <w:r w:rsidRPr="006B5F4F">
              <w:rPr>
                <w:rFonts w:eastAsia="Arial" w:cs="Arial"/>
                <w:spacing w:val="4"/>
                <w:szCs w:val="16"/>
              </w:rPr>
              <w:t>Infrastructure and Regional Development</w:t>
            </w:r>
          </w:p>
        </w:tc>
        <w:tc>
          <w:tcPr>
            <w:tcW w:w="672" w:type="pct"/>
            <w:shd w:val="clear" w:color="auto" w:fill="auto"/>
            <w:noWrap/>
            <w:vAlign w:val="center"/>
          </w:tcPr>
          <w:p w14:paraId="69FD5138" w14:textId="77777777" w:rsidR="00A0673D" w:rsidRPr="006B5F4F" w:rsidRDefault="00A0673D" w:rsidP="000E3032">
            <w:pPr>
              <w:pStyle w:val="TableTextRight"/>
            </w:pPr>
          </w:p>
        </w:tc>
      </w:tr>
      <w:tr w:rsidR="00A0673D" w:rsidRPr="006B5F4F" w14:paraId="6D28E3DD" w14:textId="77777777" w:rsidTr="0046188B">
        <w:trPr>
          <w:cantSplit/>
          <w:trHeight w:val="228"/>
          <w:tblHeader/>
        </w:trPr>
        <w:tc>
          <w:tcPr>
            <w:tcW w:w="4328" w:type="pct"/>
            <w:shd w:val="clear" w:color="auto" w:fill="auto"/>
            <w:noWrap/>
            <w:vAlign w:val="bottom"/>
          </w:tcPr>
          <w:p w14:paraId="68B13438" w14:textId="35157932" w:rsidR="00A0673D" w:rsidRPr="006B5F4F" w:rsidRDefault="00A0673D" w:rsidP="00A0673D">
            <w:pPr>
              <w:pStyle w:val="TableTextIndented"/>
            </w:pPr>
            <w:r w:rsidRPr="006B5F4F">
              <w:rPr>
                <w:rFonts w:eastAsia="Arial" w:cs="Arial"/>
                <w:spacing w:val="4"/>
                <w:szCs w:val="16"/>
              </w:rPr>
              <w:t>WSA Co Limited – Board Members’ Indemnities</w:t>
            </w:r>
          </w:p>
        </w:tc>
        <w:tc>
          <w:tcPr>
            <w:tcW w:w="672" w:type="pct"/>
            <w:shd w:val="clear" w:color="auto" w:fill="auto"/>
            <w:noWrap/>
            <w:vAlign w:val="center"/>
          </w:tcPr>
          <w:p w14:paraId="712D2D1F" w14:textId="32F2F94D" w:rsidR="00A0673D" w:rsidRPr="006B5F4F" w:rsidRDefault="00A0673D" w:rsidP="000E3032">
            <w:pPr>
              <w:pStyle w:val="TableTextRight"/>
            </w:pPr>
            <w:r w:rsidRPr="006B5F4F">
              <w:t>New</w:t>
            </w:r>
          </w:p>
        </w:tc>
      </w:tr>
      <w:tr w:rsidR="00A0673D" w:rsidRPr="006B5F4F" w14:paraId="61B90863" w14:textId="77777777" w:rsidTr="0046188B">
        <w:trPr>
          <w:cantSplit/>
          <w:trHeight w:val="228"/>
          <w:tblHeader/>
        </w:trPr>
        <w:tc>
          <w:tcPr>
            <w:tcW w:w="4328" w:type="pct"/>
            <w:shd w:val="clear" w:color="auto" w:fill="auto"/>
            <w:noWrap/>
            <w:vAlign w:val="bottom"/>
          </w:tcPr>
          <w:p w14:paraId="686EAC16" w14:textId="07A29F24" w:rsidR="00A0673D" w:rsidRPr="006B5F4F" w:rsidRDefault="00A0673D" w:rsidP="00A0673D">
            <w:pPr>
              <w:pStyle w:val="TableTextIndented"/>
            </w:pPr>
            <w:r w:rsidRPr="006B5F4F">
              <w:rPr>
                <w:rFonts w:eastAsia="Arial" w:cs="Arial"/>
                <w:spacing w:val="4"/>
                <w:szCs w:val="16"/>
              </w:rPr>
              <w:t>WSA Co Limited – Termination of the Equity Subscription Agreement</w:t>
            </w:r>
          </w:p>
        </w:tc>
        <w:tc>
          <w:tcPr>
            <w:tcW w:w="672" w:type="pct"/>
            <w:shd w:val="clear" w:color="auto" w:fill="auto"/>
            <w:noWrap/>
            <w:vAlign w:val="center"/>
          </w:tcPr>
          <w:p w14:paraId="78CCBE9A" w14:textId="44762AF2" w:rsidR="00A0673D" w:rsidRPr="006B5F4F" w:rsidRDefault="00A0673D" w:rsidP="000E3032">
            <w:pPr>
              <w:pStyle w:val="TableTextRight"/>
            </w:pPr>
            <w:r w:rsidRPr="006B5F4F">
              <w:t>New</w:t>
            </w:r>
          </w:p>
        </w:tc>
      </w:tr>
      <w:tr w:rsidR="000E3032" w:rsidRPr="006B5F4F" w14:paraId="18880FBA" w14:textId="77777777" w:rsidTr="0046188B">
        <w:trPr>
          <w:cantSplit/>
          <w:trHeight w:val="228"/>
          <w:tblHeader/>
        </w:trPr>
        <w:tc>
          <w:tcPr>
            <w:tcW w:w="4328" w:type="pct"/>
            <w:shd w:val="clear" w:color="auto" w:fill="auto"/>
            <w:noWrap/>
            <w:vAlign w:val="bottom"/>
          </w:tcPr>
          <w:p w14:paraId="661E977E" w14:textId="77777777" w:rsidR="000E3032" w:rsidRPr="006B5F4F" w:rsidRDefault="000E3032" w:rsidP="000E3032">
            <w:pPr>
              <w:pStyle w:val="TableColumnHeadingS118pt"/>
              <w:rPr>
                <w:rFonts w:eastAsia="Arial" w:cs="Arial"/>
                <w:spacing w:val="4"/>
                <w:szCs w:val="16"/>
              </w:rPr>
            </w:pPr>
            <w:r w:rsidRPr="006B5F4F">
              <w:t>Treasury</w:t>
            </w:r>
          </w:p>
        </w:tc>
        <w:tc>
          <w:tcPr>
            <w:tcW w:w="672" w:type="pct"/>
            <w:shd w:val="clear" w:color="auto" w:fill="auto"/>
            <w:noWrap/>
            <w:vAlign w:val="center"/>
          </w:tcPr>
          <w:p w14:paraId="3EA69AA9" w14:textId="77777777" w:rsidR="000E3032" w:rsidRPr="006B5F4F" w:rsidRDefault="000E3032" w:rsidP="000E3032">
            <w:pPr>
              <w:pStyle w:val="TableTextRight"/>
            </w:pPr>
          </w:p>
        </w:tc>
      </w:tr>
      <w:tr w:rsidR="000E3032" w:rsidRPr="006B5F4F" w14:paraId="2EE37522" w14:textId="77777777" w:rsidTr="0046188B">
        <w:trPr>
          <w:cantSplit/>
          <w:trHeight w:val="228"/>
          <w:tblHeader/>
        </w:trPr>
        <w:tc>
          <w:tcPr>
            <w:tcW w:w="4328" w:type="pct"/>
            <w:shd w:val="clear" w:color="auto" w:fill="auto"/>
            <w:noWrap/>
            <w:vAlign w:val="bottom"/>
          </w:tcPr>
          <w:p w14:paraId="3578CD4D"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Financial Claims Scheme</w:t>
            </w:r>
          </w:p>
        </w:tc>
        <w:tc>
          <w:tcPr>
            <w:tcW w:w="672" w:type="pct"/>
            <w:shd w:val="clear" w:color="auto" w:fill="auto"/>
            <w:noWrap/>
            <w:vAlign w:val="center"/>
          </w:tcPr>
          <w:p w14:paraId="7668D5EA" w14:textId="77777777" w:rsidR="000E3032" w:rsidRPr="006B5F4F" w:rsidRDefault="000E3032" w:rsidP="000E3032">
            <w:pPr>
              <w:pStyle w:val="TableTextRight"/>
            </w:pPr>
            <w:r w:rsidRPr="006B5F4F">
              <w:t>Modified</w:t>
            </w:r>
          </w:p>
        </w:tc>
      </w:tr>
      <w:tr w:rsidR="000E3032" w:rsidRPr="006B5F4F" w14:paraId="7987B257" w14:textId="77777777" w:rsidTr="0046188B">
        <w:trPr>
          <w:cantSplit/>
          <w:trHeight w:val="228"/>
          <w:tblHeader/>
        </w:trPr>
        <w:tc>
          <w:tcPr>
            <w:tcW w:w="4328" w:type="pct"/>
            <w:shd w:val="clear" w:color="auto" w:fill="auto"/>
            <w:noWrap/>
            <w:vAlign w:val="bottom"/>
          </w:tcPr>
          <w:p w14:paraId="67116E65"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Guarantee of State and Territory borrowing</w:t>
            </w:r>
          </w:p>
        </w:tc>
        <w:tc>
          <w:tcPr>
            <w:tcW w:w="672" w:type="pct"/>
            <w:shd w:val="clear" w:color="auto" w:fill="auto"/>
            <w:noWrap/>
            <w:vAlign w:val="center"/>
          </w:tcPr>
          <w:p w14:paraId="22C4F8C0" w14:textId="77777777" w:rsidR="000E3032" w:rsidRPr="006B5F4F" w:rsidRDefault="000E3032" w:rsidP="000E3032">
            <w:pPr>
              <w:pStyle w:val="TableTextRight"/>
            </w:pPr>
            <w:r w:rsidRPr="006B5F4F">
              <w:t>Modified</w:t>
            </w:r>
          </w:p>
        </w:tc>
      </w:tr>
      <w:tr w:rsidR="000E3032" w:rsidRPr="006B5F4F" w14:paraId="3BD8DB5B" w14:textId="77777777" w:rsidTr="0046188B">
        <w:trPr>
          <w:cantSplit/>
          <w:trHeight w:val="228"/>
          <w:tblHeader/>
        </w:trPr>
        <w:tc>
          <w:tcPr>
            <w:tcW w:w="4328" w:type="pct"/>
            <w:shd w:val="clear" w:color="auto" w:fill="auto"/>
            <w:noWrap/>
            <w:vAlign w:val="bottom"/>
          </w:tcPr>
          <w:p w14:paraId="65D1B694" w14:textId="77777777" w:rsidR="000E3032" w:rsidRPr="006B5F4F" w:rsidRDefault="000E3032" w:rsidP="000E3032">
            <w:pPr>
              <w:pStyle w:val="TableTextIndented"/>
              <w:rPr>
                <w:rFonts w:eastAsia="Arial" w:cs="Arial"/>
                <w:spacing w:val="4"/>
                <w:szCs w:val="16"/>
              </w:rPr>
            </w:pPr>
            <w:r w:rsidRPr="006B5F4F">
              <w:rPr>
                <w:rFonts w:eastAsia="Arial" w:cs="Arial"/>
                <w:spacing w:val="4"/>
                <w:szCs w:val="16"/>
              </w:rPr>
              <w:t xml:space="preserve">Guarantees under the </w:t>
            </w:r>
            <w:r w:rsidRPr="006B5F4F">
              <w:rPr>
                <w:rFonts w:eastAsia="Arial" w:cs="Arial"/>
                <w:i/>
                <w:spacing w:val="4"/>
                <w:szCs w:val="16"/>
              </w:rPr>
              <w:t>Commonwealth Bank Sale Act 1995</w:t>
            </w:r>
          </w:p>
        </w:tc>
        <w:tc>
          <w:tcPr>
            <w:tcW w:w="672" w:type="pct"/>
            <w:shd w:val="clear" w:color="auto" w:fill="auto"/>
            <w:noWrap/>
            <w:vAlign w:val="center"/>
          </w:tcPr>
          <w:p w14:paraId="39563916" w14:textId="77777777" w:rsidR="000E3032" w:rsidRPr="006B5F4F" w:rsidRDefault="000E3032" w:rsidP="000E3032">
            <w:pPr>
              <w:pStyle w:val="TableTextRight"/>
            </w:pPr>
            <w:r w:rsidRPr="006B5F4F">
              <w:t>Modified</w:t>
            </w:r>
          </w:p>
        </w:tc>
      </w:tr>
      <w:tr w:rsidR="000E3032" w:rsidRPr="006B5F4F" w14:paraId="5D051B2E" w14:textId="77777777" w:rsidTr="0046188B">
        <w:trPr>
          <w:cantSplit/>
          <w:trHeight w:val="228"/>
          <w:tblHeader/>
        </w:trPr>
        <w:tc>
          <w:tcPr>
            <w:tcW w:w="4328" w:type="pct"/>
            <w:shd w:val="clear" w:color="auto" w:fill="auto"/>
            <w:noWrap/>
            <w:vAlign w:val="bottom"/>
          </w:tcPr>
          <w:p w14:paraId="09640E26" w14:textId="29D97BC3" w:rsidR="000E3032" w:rsidRPr="006B5F4F" w:rsidRDefault="004E1B23" w:rsidP="000E3032">
            <w:pPr>
              <w:pStyle w:val="TableTextIndented"/>
              <w:rPr>
                <w:rFonts w:eastAsia="Arial" w:cs="Arial"/>
                <w:spacing w:val="4"/>
                <w:szCs w:val="16"/>
              </w:rPr>
            </w:pPr>
            <w:r w:rsidRPr="006B5F4F">
              <w:rPr>
                <w:rFonts w:eastAsia="Arial" w:cs="Arial"/>
                <w:spacing w:val="4"/>
                <w:szCs w:val="16"/>
              </w:rPr>
              <w:t>Reserve Bank of Australia — G</w:t>
            </w:r>
            <w:r w:rsidR="000E3032" w:rsidRPr="006B5F4F">
              <w:rPr>
                <w:rFonts w:eastAsia="Arial" w:cs="Arial"/>
                <w:spacing w:val="4"/>
                <w:szCs w:val="16"/>
              </w:rPr>
              <w:t>uarantee</w:t>
            </w:r>
          </w:p>
        </w:tc>
        <w:tc>
          <w:tcPr>
            <w:tcW w:w="672" w:type="pct"/>
            <w:shd w:val="clear" w:color="auto" w:fill="auto"/>
            <w:noWrap/>
            <w:vAlign w:val="center"/>
          </w:tcPr>
          <w:p w14:paraId="5E7F8458" w14:textId="77777777" w:rsidR="000E3032" w:rsidRPr="006B5F4F" w:rsidRDefault="000E3032" w:rsidP="000E3032">
            <w:pPr>
              <w:pStyle w:val="TableTextRight"/>
            </w:pPr>
            <w:r w:rsidRPr="006B5F4F">
              <w:t>Modified</w:t>
            </w:r>
          </w:p>
        </w:tc>
      </w:tr>
      <w:tr w:rsidR="000E3032" w:rsidRPr="006B5F4F" w14:paraId="0007B822" w14:textId="77777777" w:rsidTr="00943914">
        <w:trPr>
          <w:cantSplit/>
          <w:trHeight w:val="228"/>
          <w:tblHeader/>
        </w:trPr>
        <w:tc>
          <w:tcPr>
            <w:tcW w:w="4328" w:type="pct"/>
            <w:shd w:val="clear" w:color="auto" w:fill="E6E6E6"/>
            <w:noWrap/>
            <w:vAlign w:val="center"/>
          </w:tcPr>
          <w:p w14:paraId="27F08D2D" w14:textId="77777777" w:rsidR="000E3032" w:rsidRPr="006B5F4F" w:rsidRDefault="000E3032" w:rsidP="000E3032">
            <w:pPr>
              <w:pStyle w:val="TableColumnHeadingLeft"/>
            </w:pPr>
            <w:r w:rsidRPr="006B5F4F">
              <w:t xml:space="preserve">Contingent liabilities </w:t>
            </w:r>
            <w:r w:rsidRPr="006B5F4F">
              <w:rPr>
                <w:rFonts w:ascii="Calibri" w:hAnsi="Calibri"/>
              </w:rPr>
              <w:t>—</w:t>
            </w:r>
            <w:r w:rsidRPr="006B5F4F">
              <w:t xml:space="preserve"> unquantifiable</w:t>
            </w:r>
          </w:p>
        </w:tc>
        <w:tc>
          <w:tcPr>
            <w:tcW w:w="672" w:type="pct"/>
            <w:shd w:val="clear" w:color="auto" w:fill="E6E6E6"/>
            <w:noWrap/>
            <w:vAlign w:val="center"/>
          </w:tcPr>
          <w:p w14:paraId="5264CC8A" w14:textId="77777777" w:rsidR="000E3032" w:rsidRPr="006B5F4F" w:rsidRDefault="000E3032" w:rsidP="000E3032">
            <w:pPr>
              <w:pStyle w:val="TableTextLeft"/>
            </w:pPr>
          </w:p>
        </w:tc>
      </w:tr>
      <w:tr w:rsidR="000E3032" w:rsidRPr="006B5F4F" w14:paraId="17D94BA6" w14:textId="77777777" w:rsidTr="0046188B">
        <w:trPr>
          <w:cantSplit/>
          <w:trHeight w:val="228"/>
          <w:tblHeader/>
        </w:trPr>
        <w:tc>
          <w:tcPr>
            <w:tcW w:w="4328" w:type="pct"/>
            <w:shd w:val="clear" w:color="auto" w:fill="auto"/>
            <w:noWrap/>
            <w:vAlign w:val="bottom"/>
          </w:tcPr>
          <w:p w14:paraId="432F9657" w14:textId="77777777" w:rsidR="000E3032" w:rsidRPr="006B5F4F" w:rsidRDefault="000E3032" w:rsidP="000E3032">
            <w:pPr>
              <w:pStyle w:val="TableColumnHeadingS118pt"/>
            </w:pPr>
            <w:r w:rsidRPr="006B5F4F">
              <w:t>Agriculture and Water Resources</w:t>
            </w:r>
          </w:p>
        </w:tc>
        <w:tc>
          <w:tcPr>
            <w:tcW w:w="672" w:type="pct"/>
            <w:shd w:val="clear" w:color="auto" w:fill="auto"/>
            <w:noWrap/>
            <w:vAlign w:val="center"/>
          </w:tcPr>
          <w:p w14:paraId="13A764F8" w14:textId="77777777" w:rsidR="000E3032" w:rsidRPr="006B5F4F" w:rsidRDefault="000E3032" w:rsidP="000E3032">
            <w:pPr>
              <w:pStyle w:val="TableTextRight"/>
            </w:pPr>
          </w:p>
        </w:tc>
      </w:tr>
      <w:tr w:rsidR="000E3032" w:rsidRPr="006B5F4F" w14:paraId="615EB541" w14:textId="77777777" w:rsidTr="0046188B">
        <w:trPr>
          <w:cantSplit/>
          <w:trHeight w:val="228"/>
          <w:tblHeader/>
        </w:trPr>
        <w:tc>
          <w:tcPr>
            <w:tcW w:w="4328" w:type="pct"/>
            <w:shd w:val="clear" w:color="auto" w:fill="auto"/>
            <w:noWrap/>
            <w:vAlign w:val="bottom"/>
          </w:tcPr>
          <w:p w14:paraId="297C494E" w14:textId="2649865C" w:rsidR="000E3032" w:rsidRPr="006B5F4F" w:rsidRDefault="000E3032" w:rsidP="000E3032">
            <w:pPr>
              <w:pStyle w:val="TableTextIndented"/>
            </w:pPr>
            <w:r w:rsidRPr="006B5F4F">
              <w:rPr>
                <w:rFonts w:eastAsia="Arial" w:cs="Arial"/>
                <w:spacing w:val="-2"/>
                <w:szCs w:val="16"/>
              </w:rPr>
              <w:t>Emergency pest an</w:t>
            </w:r>
            <w:r w:rsidR="00C77802" w:rsidRPr="006B5F4F">
              <w:rPr>
                <w:rFonts w:eastAsia="Arial" w:cs="Arial"/>
                <w:spacing w:val="-2"/>
                <w:szCs w:val="16"/>
              </w:rPr>
              <w:t>d disease response arrangements</w:t>
            </w:r>
          </w:p>
        </w:tc>
        <w:tc>
          <w:tcPr>
            <w:tcW w:w="672" w:type="pct"/>
            <w:shd w:val="clear" w:color="auto" w:fill="auto"/>
            <w:noWrap/>
            <w:vAlign w:val="center"/>
          </w:tcPr>
          <w:p w14:paraId="2015049D" w14:textId="77777777" w:rsidR="000E3032" w:rsidRPr="006B5F4F" w:rsidRDefault="000E3032" w:rsidP="000E3032">
            <w:pPr>
              <w:pStyle w:val="TableTextRight"/>
            </w:pPr>
            <w:r w:rsidRPr="006B5F4F">
              <w:t>Modified</w:t>
            </w:r>
          </w:p>
        </w:tc>
      </w:tr>
      <w:tr w:rsidR="000E3032" w:rsidRPr="006B5F4F" w14:paraId="70BF5475" w14:textId="77777777" w:rsidTr="0046188B">
        <w:trPr>
          <w:cantSplit/>
          <w:trHeight w:val="228"/>
          <w:tblHeader/>
        </w:trPr>
        <w:tc>
          <w:tcPr>
            <w:tcW w:w="4328" w:type="pct"/>
            <w:shd w:val="clear" w:color="auto" w:fill="auto"/>
            <w:noWrap/>
            <w:vAlign w:val="bottom"/>
          </w:tcPr>
          <w:p w14:paraId="68416374" w14:textId="13C72313" w:rsidR="000E3032" w:rsidRPr="006B5F4F" w:rsidRDefault="000E3032" w:rsidP="000E3032">
            <w:pPr>
              <w:pStyle w:val="TableColumnHeadingS118pt"/>
            </w:pPr>
            <w:r w:rsidRPr="006B5F4F">
              <w:t>Communications</w:t>
            </w:r>
            <w:r w:rsidR="007F4138" w:rsidRPr="006B5F4F">
              <w:t xml:space="preserve"> and the Arts</w:t>
            </w:r>
          </w:p>
        </w:tc>
        <w:tc>
          <w:tcPr>
            <w:tcW w:w="672" w:type="pct"/>
            <w:shd w:val="clear" w:color="auto" w:fill="auto"/>
            <w:noWrap/>
            <w:vAlign w:val="center"/>
          </w:tcPr>
          <w:p w14:paraId="2F913587" w14:textId="77777777" w:rsidR="000E3032" w:rsidRPr="006B5F4F" w:rsidRDefault="000E3032" w:rsidP="000E3032">
            <w:pPr>
              <w:pStyle w:val="TableTextRight"/>
              <w:rPr>
                <w:rFonts w:eastAsia="Arial" w:cs="Arial"/>
                <w:spacing w:val="-2"/>
                <w:szCs w:val="16"/>
              </w:rPr>
            </w:pPr>
          </w:p>
        </w:tc>
      </w:tr>
      <w:tr w:rsidR="000E3032" w:rsidRPr="006B5F4F" w14:paraId="27A1651C" w14:textId="77777777" w:rsidTr="0046188B">
        <w:trPr>
          <w:cantSplit/>
          <w:trHeight w:val="228"/>
          <w:tblHeader/>
        </w:trPr>
        <w:tc>
          <w:tcPr>
            <w:tcW w:w="4328" w:type="pct"/>
            <w:shd w:val="clear" w:color="auto" w:fill="auto"/>
            <w:noWrap/>
            <w:vAlign w:val="bottom"/>
          </w:tcPr>
          <w:p w14:paraId="7717F33A" w14:textId="77777777" w:rsidR="000E3032" w:rsidRPr="006B5F4F" w:rsidRDefault="000E3032" w:rsidP="000E3032">
            <w:pPr>
              <w:pStyle w:val="TableTextIndented"/>
              <w:rPr>
                <w:rFonts w:eastAsia="Arial" w:cs="Arial"/>
                <w:spacing w:val="-2"/>
                <w:szCs w:val="16"/>
              </w:rPr>
            </w:pPr>
            <w:r w:rsidRPr="006B5F4F">
              <w:rPr>
                <w:rFonts w:eastAsia="Arial" w:cs="Arial"/>
                <w:spacing w:val="-2"/>
                <w:szCs w:val="16"/>
              </w:rPr>
              <w:t>NBN Co Limited — Board Members’ Insolvency Indemnity</w:t>
            </w:r>
          </w:p>
        </w:tc>
        <w:tc>
          <w:tcPr>
            <w:tcW w:w="672" w:type="pct"/>
            <w:shd w:val="clear" w:color="auto" w:fill="auto"/>
            <w:noWrap/>
            <w:vAlign w:val="center"/>
          </w:tcPr>
          <w:p w14:paraId="6CDAF978" w14:textId="77777777" w:rsidR="000E3032" w:rsidRPr="006B5F4F" w:rsidRDefault="000E3032" w:rsidP="000E3032">
            <w:pPr>
              <w:pStyle w:val="TableTextRight"/>
              <w:rPr>
                <w:rFonts w:eastAsia="Arial" w:cs="Arial"/>
                <w:spacing w:val="-2"/>
                <w:szCs w:val="16"/>
              </w:rPr>
            </w:pPr>
            <w:r w:rsidRPr="006B5F4F">
              <w:rPr>
                <w:rFonts w:eastAsia="Arial" w:cs="Arial"/>
                <w:spacing w:val="-2"/>
                <w:szCs w:val="16"/>
              </w:rPr>
              <w:t>Modified</w:t>
            </w:r>
          </w:p>
        </w:tc>
      </w:tr>
      <w:tr w:rsidR="000E3032" w:rsidRPr="006B5F4F" w14:paraId="305D59FF" w14:textId="77777777" w:rsidTr="0046188B">
        <w:trPr>
          <w:cantSplit/>
          <w:trHeight w:val="228"/>
          <w:tblHeader/>
        </w:trPr>
        <w:tc>
          <w:tcPr>
            <w:tcW w:w="4328" w:type="pct"/>
            <w:shd w:val="clear" w:color="auto" w:fill="auto"/>
            <w:noWrap/>
            <w:vAlign w:val="bottom"/>
          </w:tcPr>
          <w:p w14:paraId="75B0A807" w14:textId="77777777" w:rsidR="000E3032" w:rsidRPr="006B5F4F" w:rsidRDefault="000E3032" w:rsidP="000E3032">
            <w:pPr>
              <w:pStyle w:val="TableColumnHeadingS118pt"/>
              <w:rPr>
                <w:rFonts w:eastAsia="Arial" w:cs="Arial"/>
                <w:spacing w:val="-2"/>
                <w:szCs w:val="16"/>
              </w:rPr>
            </w:pPr>
            <w:r w:rsidRPr="006B5F4F">
              <w:t>Defence</w:t>
            </w:r>
          </w:p>
        </w:tc>
        <w:tc>
          <w:tcPr>
            <w:tcW w:w="672" w:type="pct"/>
            <w:shd w:val="clear" w:color="auto" w:fill="auto"/>
            <w:noWrap/>
            <w:vAlign w:val="center"/>
          </w:tcPr>
          <w:p w14:paraId="152B11FA" w14:textId="77777777" w:rsidR="000E3032" w:rsidRPr="006B5F4F" w:rsidRDefault="000E3032" w:rsidP="000E3032">
            <w:pPr>
              <w:pStyle w:val="TableTextRight"/>
              <w:rPr>
                <w:rFonts w:eastAsia="Arial" w:cs="Arial"/>
                <w:spacing w:val="-2"/>
                <w:szCs w:val="16"/>
              </w:rPr>
            </w:pPr>
          </w:p>
        </w:tc>
      </w:tr>
      <w:tr w:rsidR="000E3032" w:rsidRPr="006B5F4F" w14:paraId="55FD1FBC" w14:textId="77777777" w:rsidTr="0046188B">
        <w:trPr>
          <w:cantSplit/>
          <w:trHeight w:val="228"/>
          <w:tblHeader/>
        </w:trPr>
        <w:tc>
          <w:tcPr>
            <w:tcW w:w="4328" w:type="pct"/>
            <w:shd w:val="clear" w:color="auto" w:fill="auto"/>
            <w:noWrap/>
            <w:vAlign w:val="bottom"/>
          </w:tcPr>
          <w:p w14:paraId="7FBD1BF1" w14:textId="77777777" w:rsidR="000E3032" w:rsidRPr="006B5F4F" w:rsidRDefault="000E3032" w:rsidP="000E3032">
            <w:pPr>
              <w:pStyle w:val="TableTextIndented"/>
              <w:rPr>
                <w:rFonts w:eastAsia="Arial" w:cs="Arial"/>
                <w:spacing w:val="-2"/>
                <w:szCs w:val="16"/>
              </w:rPr>
            </w:pPr>
            <w:r w:rsidRPr="006B5F4F">
              <w:rPr>
                <w:rFonts w:eastAsia="Arial" w:cs="Arial"/>
                <w:spacing w:val="-2"/>
                <w:szCs w:val="16"/>
              </w:rPr>
              <w:t>Non</w:t>
            </w:r>
            <w:r w:rsidRPr="006B5F4F">
              <w:rPr>
                <w:rFonts w:eastAsia="Arial" w:cs="Arial"/>
                <w:spacing w:val="-2"/>
                <w:szCs w:val="16"/>
              </w:rPr>
              <w:noBreakHyphen/>
              <w:t>remote contingent liabilities</w:t>
            </w:r>
          </w:p>
        </w:tc>
        <w:tc>
          <w:tcPr>
            <w:tcW w:w="672" w:type="pct"/>
            <w:shd w:val="clear" w:color="auto" w:fill="auto"/>
            <w:noWrap/>
            <w:vAlign w:val="center"/>
          </w:tcPr>
          <w:p w14:paraId="14E5FBE4" w14:textId="77777777" w:rsidR="000E3032" w:rsidRPr="006B5F4F" w:rsidRDefault="000E3032" w:rsidP="000E3032">
            <w:pPr>
              <w:pStyle w:val="TableTextRight"/>
              <w:rPr>
                <w:rFonts w:eastAsia="Arial" w:cs="Arial"/>
                <w:spacing w:val="-2"/>
                <w:szCs w:val="16"/>
              </w:rPr>
            </w:pPr>
            <w:r w:rsidRPr="006B5F4F">
              <w:rPr>
                <w:rFonts w:eastAsia="Arial" w:cs="Arial"/>
                <w:spacing w:val="-2"/>
                <w:szCs w:val="16"/>
              </w:rPr>
              <w:t>Modified</w:t>
            </w:r>
          </w:p>
        </w:tc>
      </w:tr>
      <w:tr w:rsidR="000E3032" w:rsidRPr="006B5F4F" w14:paraId="01228002" w14:textId="77777777" w:rsidTr="0046188B">
        <w:trPr>
          <w:cantSplit/>
          <w:trHeight w:val="228"/>
          <w:tblHeader/>
        </w:trPr>
        <w:tc>
          <w:tcPr>
            <w:tcW w:w="4328" w:type="pct"/>
            <w:shd w:val="clear" w:color="auto" w:fill="auto"/>
            <w:noWrap/>
            <w:vAlign w:val="bottom"/>
          </w:tcPr>
          <w:p w14:paraId="6AB75B31" w14:textId="77777777" w:rsidR="000E3032" w:rsidRPr="006B5F4F" w:rsidRDefault="000E3032" w:rsidP="000E3032">
            <w:pPr>
              <w:pStyle w:val="TableColumnHeadingS118pt"/>
              <w:rPr>
                <w:rFonts w:eastAsia="Arial" w:cs="Arial"/>
                <w:spacing w:val="-2"/>
                <w:szCs w:val="16"/>
              </w:rPr>
            </w:pPr>
            <w:r w:rsidRPr="006B5F4F">
              <w:t>Employment</w:t>
            </w:r>
          </w:p>
        </w:tc>
        <w:tc>
          <w:tcPr>
            <w:tcW w:w="672" w:type="pct"/>
            <w:shd w:val="clear" w:color="auto" w:fill="auto"/>
            <w:noWrap/>
            <w:vAlign w:val="center"/>
          </w:tcPr>
          <w:p w14:paraId="17325639" w14:textId="77777777" w:rsidR="000E3032" w:rsidRPr="006B5F4F" w:rsidRDefault="000E3032" w:rsidP="000E3032">
            <w:pPr>
              <w:pStyle w:val="TableTextRight"/>
              <w:rPr>
                <w:rFonts w:eastAsia="Arial" w:cs="Arial"/>
                <w:spacing w:val="-2"/>
                <w:szCs w:val="16"/>
              </w:rPr>
            </w:pPr>
          </w:p>
        </w:tc>
      </w:tr>
      <w:tr w:rsidR="000E3032" w:rsidRPr="006B5F4F" w14:paraId="03CF665D" w14:textId="77777777" w:rsidTr="0046188B">
        <w:trPr>
          <w:cantSplit/>
          <w:trHeight w:val="228"/>
          <w:tblHeader/>
        </w:trPr>
        <w:tc>
          <w:tcPr>
            <w:tcW w:w="4328" w:type="pct"/>
            <w:shd w:val="clear" w:color="auto" w:fill="auto"/>
            <w:noWrap/>
            <w:vAlign w:val="bottom"/>
          </w:tcPr>
          <w:p w14:paraId="23958227" w14:textId="00353296" w:rsidR="000E3032" w:rsidRPr="006B5F4F" w:rsidRDefault="000E3032" w:rsidP="000E3032">
            <w:pPr>
              <w:pStyle w:val="TableTextIndented"/>
              <w:rPr>
                <w:rFonts w:eastAsia="Arial" w:cs="Arial"/>
                <w:spacing w:val="-2"/>
                <w:szCs w:val="16"/>
              </w:rPr>
            </w:pPr>
            <w:proofErr w:type="spellStart"/>
            <w:r w:rsidRPr="006B5F4F">
              <w:rPr>
                <w:rFonts w:eastAsia="Arial" w:cs="Arial"/>
                <w:spacing w:val="-2"/>
                <w:szCs w:val="16"/>
              </w:rPr>
              <w:t>jobactive</w:t>
            </w:r>
            <w:proofErr w:type="spellEnd"/>
            <w:r w:rsidRPr="006B5F4F">
              <w:rPr>
                <w:rFonts w:eastAsia="Arial" w:cs="Arial"/>
                <w:spacing w:val="-2"/>
                <w:szCs w:val="16"/>
              </w:rPr>
              <w:t xml:space="preserve"> – Employment Fund</w:t>
            </w:r>
          </w:p>
        </w:tc>
        <w:tc>
          <w:tcPr>
            <w:tcW w:w="672" w:type="pct"/>
            <w:shd w:val="clear" w:color="auto" w:fill="auto"/>
            <w:noWrap/>
            <w:vAlign w:val="center"/>
          </w:tcPr>
          <w:p w14:paraId="39AED934" w14:textId="77777777" w:rsidR="000E3032" w:rsidRPr="006B5F4F" w:rsidRDefault="000E3032" w:rsidP="000E3032">
            <w:pPr>
              <w:pStyle w:val="TableTextRight"/>
              <w:rPr>
                <w:rFonts w:eastAsia="Arial" w:cs="Arial"/>
                <w:spacing w:val="-2"/>
                <w:szCs w:val="16"/>
              </w:rPr>
            </w:pPr>
            <w:r w:rsidRPr="006B5F4F">
              <w:rPr>
                <w:rFonts w:eastAsia="Arial" w:cs="Arial"/>
                <w:spacing w:val="-2"/>
                <w:szCs w:val="16"/>
              </w:rPr>
              <w:t>New</w:t>
            </w:r>
          </w:p>
        </w:tc>
      </w:tr>
      <w:tr w:rsidR="000E3032" w:rsidRPr="006B5F4F" w14:paraId="71EF2C28" w14:textId="77777777" w:rsidTr="0046188B">
        <w:trPr>
          <w:cantSplit/>
          <w:trHeight w:val="228"/>
          <w:tblHeader/>
        </w:trPr>
        <w:tc>
          <w:tcPr>
            <w:tcW w:w="4328" w:type="pct"/>
            <w:shd w:val="clear" w:color="auto" w:fill="auto"/>
            <w:noWrap/>
            <w:vAlign w:val="center"/>
          </w:tcPr>
          <w:p w14:paraId="0DE53FB0" w14:textId="77777777" w:rsidR="000E3032" w:rsidRPr="006B5F4F" w:rsidRDefault="000E3032" w:rsidP="000E3032">
            <w:pPr>
              <w:pStyle w:val="TableColumnHeadingS118pt"/>
            </w:pPr>
            <w:r w:rsidRPr="006B5F4F">
              <w:t>Finance</w:t>
            </w:r>
          </w:p>
        </w:tc>
        <w:tc>
          <w:tcPr>
            <w:tcW w:w="672" w:type="pct"/>
            <w:shd w:val="clear" w:color="auto" w:fill="auto"/>
            <w:noWrap/>
            <w:vAlign w:val="center"/>
          </w:tcPr>
          <w:p w14:paraId="2EC90C72" w14:textId="77777777" w:rsidR="000E3032" w:rsidRPr="006B5F4F" w:rsidRDefault="000E3032" w:rsidP="000E3032">
            <w:pPr>
              <w:pStyle w:val="TableTextRight"/>
              <w:rPr>
                <w:rFonts w:eastAsia="Arial" w:cs="Arial"/>
                <w:spacing w:val="-2"/>
                <w:szCs w:val="16"/>
              </w:rPr>
            </w:pPr>
          </w:p>
        </w:tc>
      </w:tr>
      <w:tr w:rsidR="000E3032" w:rsidRPr="006B5F4F" w14:paraId="3202F76D" w14:textId="77777777" w:rsidTr="0046188B">
        <w:trPr>
          <w:cantSplit/>
          <w:trHeight w:val="228"/>
          <w:tblHeader/>
        </w:trPr>
        <w:tc>
          <w:tcPr>
            <w:tcW w:w="4328" w:type="pct"/>
            <w:shd w:val="clear" w:color="auto" w:fill="auto"/>
            <w:noWrap/>
            <w:vAlign w:val="center"/>
          </w:tcPr>
          <w:p w14:paraId="2F44257E" w14:textId="77777777" w:rsidR="000E3032" w:rsidRPr="006B5F4F" w:rsidRDefault="000E3032" w:rsidP="000E3032">
            <w:pPr>
              <w:pStyle w:val="TableTextIndented"/>
            </w:pPr>
            <w:r w:rsidRPr="006B5F4F">
              <w:t>Australian Government domestic property</w:t>
            </w:r>
          </w:p>
        </w:tc>
        <w:tc>
          <w:tcPr>
            <w:tcW w:w="672" w:type="pct"/>
            <w:shd w:val="clear" w:color="auto" w:fill="auto"/>
            <w:noWrap/>
            <w:vAlign w:val="center"/>
          </w:tcPr>
          <w:p w14:paraId="645F2B09" w14:textId="77777777" w:rsidR="000E3032" w:rsidRPr="006B5F4F" w:rsidRDefault="000E3032" w:rsidP="000E3032">
            <w:pPr>
              <w:pStyle w:val="TableTextRight"/>
              <w:rPr>
                <w:rFonts w:eastAsia="Arial" w:cs="Arial"/>
                <w:spacing w:val="-2"/>
                <w:szCs w:val="16"/>
              </w:rPr>
            </w:pPr>
            <w:r w:rsidRPr="006B5F4F">
              <w:rPr>
                <w:rFonts w:eastAsia="Arial" w:cs="Arial"/>
                <w:spacing w:val="-2"/>
                <w:szCs w:val="16"/>
              </w:rPr>
              <w:t>Modified</w:t>
            </w:r>
          </w:p>
        </w:tc>
      </w:tr>
      <w:tr w:rsidR="000E3032" w:rsidRPr="006B5F4F" w14:paraId="432C9246" w14:textId="77777777" w:rsidTr="0046188B">
        <w:trPr>
          <w:cantSplit/>
          <w:trHeight w:val="228"/>
          <w:tblHeader/>
        </w:trPr>
        <w:tc>
          <w:tcPr>
            <w:tcW w:w="4328" w:type="pct"/>
            <w:shd w:val="clear" w:color="auto" w:fill="auto"/>
            <w:noWrap/>
            <w:vAlign w:val="center"/>
          </w:tcPr>
          <w:p w14:paraId="6D8E1151" w14:textId="77777777" w:rsidR="000E3032" w:rsidRPr="006B5F4F" w:rsidRDefault="000E3032" w:rsidP="000E3032">
            <w:pPr>
              <w:pStyle w:val="TableColumnHeadingS118pt"/>
            </w:pPr>
            <w:r w:rsidRPr="006B5F4F">
              <w:t>Health</w:t>
            </w:r>
          </w:p>
        </w:tc>
        <w:tc>
          <w:tcPr>
            <w:tcW w:w="672" w:type="pct"/>
            <w:shd w:val="clear" w:color="auto" w:fill="auto"/>
            <w:noWrap/>
            <w:vAlign w:val="center"/>
          </w:tcPr>
          <w:p w14:paraId="7E3B4755" w14:textId="77777777" w:rsidR="000E3032" w:rsidRPr="006B5F4F" w:rsidRDefault="000E3032" w:rsidP="000E3032">
            <w:pPr>
              <w:pStyle w:val="TableTextRight"/>
              <w:rPr>
                <w:rFonts w:eastAsia="Arial" w:cs="Arial"/>
                <w:spacing w:val="-2"/>
                <w:szCs w:val="16"/>
              </w:rPr>
            </w:pPr>
          </w:p>
        </w:tc>
      </w:tr>
      <w:tr w:rsidR="000E3032" w:rsidRPr="006B5F4F" w14:paraId="6711460F" w14:textId="77777777" w:rsidTr="0046188B">
        <w:trPr>
          <w:cantSplit/>
          <w:trHeight w:val="228"/>
          <w:tblHeader/>
        </w:trPr>
        <w:tc>
          <w:tcPr>
            <w:tcW w:w="4328" w:type="pct"/>
            <w:shd w:val="clear" w:color="auto" w:fill="auto"/>
            <w:noWrap/>
            <w:vAlign w:val="bottom"/>
          </w:tcPr>
          <w:p w14:paraId="49BE3614" w14:textId="77777777" w:rsidR="000E3032" w:rsidRPr="006B5F4F" w:rsidRDefault="000E3032" w:rsidP="000E3032">
            <w:pPr>
              <w:pStyle w:val="TableTextIndented"/>
              <w:ind w:right="-250"/>
            </w:pPr>
            <w:r w:rsidRPr="006B5F4F">
              <w:t>Tobacco plain packaging litigation</w:t>
            </w:r>
          </w:p>
        </w:tc>
        <w:tc>
          <w:tcPr>
            <w:tcW w:w="672" w:type="pct"/>
            <w:shd w:val="clear" w:color="auto" w:fill="auto"/>
            <w:noWrap/>
            <w:vAlign w:val="center"/>
          </w:tcPr>
          <w:p w14:paraId="212D6F3D" w14:textId="77777777" w:rsidR="000E3032" w:rsidRPr="006B5F4F" w:rsidRDefault="000E3032" w:rsidP="000E3032">
            <w:pPr>
              <w:pStyle w:val="TableTextRight"/>
            </w:pPr>
            <w:r w:rsidRPr="006B5F4F">
              <w:t>Removed</w:t>
            </w:r>
          </w:p>
        </w:tc>
      </w:tr>
      <w:tr w:rsidR="000E3032" w:rsidRPr="006B5F4F" w14:paraId="424612FF" w14:textId="77777777" w:rsidTr="0046188B">
        <w:trPr>
          <w:cantSplit/>
          <w:trHeight w:val="228"/>
          <w:tblHeader/>
        </w:trPr>
        <w:tc>
          <w:tcPr>
            <w:tcW w:w="4328" w:type="pct"/>
            <w:shd w:val="clear" w:color="auto" w:fill="auto"/>
            <w:noWrap/>
            <w:vAlign w:val="bottom"/>
          </w:tcPr>
          <w:p w14:paraId="1CB9918E" w14:textId="286A041E" w:rsidR="000E3032" w:rsidRPr="006B5F4F" w:rsidRDefault="000E3032" w:rsidP="000E3032">
            <w:pPr>
              <w:pStyle w:val="TableColumnHeadingS118pt"/>
            </w:pPr>
            <w:r w:rsidRPr="006B5F4F">
              <w:t>Home Affairs</w:t>
            </w:r>
          </w:p>
        </w:tc>
        <w:tc>
          <w:tcPr>
            <w:tcW w:w="672" w:type="pct"/>
            <w:shd w:val="clear" w:color="auto" w:fill="auto"/>
            <w:noWrap/>
            <w:vAlign w:val="center"/>
          </w:tcPr>
          <w:p w14:paraId="1611C1D7" w14:textId="77777777" w:rsidR="000E3032" w:rsidRPr="006B5F4F" w:rsidRDefault="000E3032" w:rsidP="000E3032">
            <w:pPr>
              <w:pStyle w:val="TableTextRight"/>
            </w:pPr>
          </w:p>
        </w:tc>
      </w:tr>
      <w:tr w:rsidR="000E3032" w:rsidRPr="006B5F4F" w14:paraId="317E5AB2" w14:textId="77777777" w:rsidTr="0046188B">
        <w:trPr>
          <w:cantSplit/>
          <w:trHeight w:val="228"/>
          <w:tblHeader/>
        </w:trPr>
        <w:tc>
          <w:tcPr>
            <w:tcW w:w="4328" w:type="pct"/>
            <w:shd w:val="clear" w:color="auto" w:fill="auto"/>
            <w:noWrap/>
          </w:tcPr>
          <w:p w14:paraId="15539BD4" w14:textId="75502A97" w:rsidR="000E3032" w:rsidRPr="006B5F4F" w:rsidRDefault="000E3032" w:rsidP="00AB1181">
            <w:pPr>
              <w:pStyle w:val="TableTextIndented"/>
            </w:pPr>
            <w:r w:rsidRPr="006B5F4F">
              <w:t>Garrison</w:t>
            </w:r>
            <w:r w:rsidR="00AB1181" w:rsidRPr="006B5F4F">
              <w:t xml:space="preserve">, </w:t>
            </w:r>
            <w:r w:rsidRPr="006B5F4F">
              <w:t xml:space="preserve">welfare </w:t>
            </w:r>
            <w:r w:rsidR="00AB1181" w:rsidRPr="006B5F4F">
              <w:t xml:space="preserve">and health </w:t>
            </w:r>
            <w:r w:rsidRPr="006B5F4F">
              <w:t xml:space="preserve">services at regional processing </w:t>
            </w:r>
            <w:r w:rsidR="00011A11" w:rsidRPr="006B5F4F">
              <w:t xml:space="preserve">countries </w:t>
            </w:r>
            <w:r w:rsidRPr="006B5F4F">
              <w:t>— liability limit</w:t>
            </w:r>
          </w:p>
        </w:tc>
        <w:tc>
          <w:tcPr>
            <w:tcW w:w="672" w:type="pct"/>
            <w:shd w:val="clear" w:color="auto" w:fill="auto"/>
            <w:noWrap/>
            <w:vAlign w:val="center"/>
          </w:tcPr>
          <w:p w14:paraId="438DC9AA" w14:textId="77777777" w:rsidR="000E3032" w:rsidRPr="006B5F4F" w:rsidRDefault="000E3032" w:rsidP="000E3032">
            <w:pPr>
              <w:pStyle w:val="TableTextRight"/>
            </w:pPr>
            <w:r w:rsidRPr="006B5F4F">
              <w:t>Modified</w:t>
            </w:r>
          </w:p>
        </w:tc>
      </w:tr>
      <w:tr w:rsidR="000E3032" w:rsidRPr="006B5F4F" w14:paraId="2B41B626" w14:textId="77777777" w:rsidTr="002713A6">
        <w:trPr>
          <w:cantSplit/>
          <w:trHeight w:val="228"/>
          <w:tblHeader/>
        </w:trPr>
        <w:tc>
          <w:tcPr>
            <w:tcW w:w="4328" w:type="pct"/>
            <w:shd w:val="clear" w:color="auto" w:fill="auto"/>
            <w:noWrap/>
            <w:vAlign w:val="bottom"/>
          </w:tcPr>
          <w:p w14:paraId="4FB25FE7" w14:textId="17873DD7" w:rsidR="000E3032" w:rsidRPr="006B5F4F" w:rsidRDefault="000E3032" w:rsidP="000E3032">
            <w:pPr>
              <w:pStyle w:val="TableTextIndented"/>
            </w:pPr>
            <w:r w:rsidRPr="006B5F4F">
              <w:t>Disaster Recovery</w:t>
            </w:r>
          </w:p>
        </w:tc>
        <w:tc>
          <w:tcPr>
            <w:tcW w:w="672" w:type="pct"/>
            <w:shd w:val="clear" w:color="auto" w:fill="auto"/>
            <w:noWrap/>
            <w:vAlign w:val="center"/>
          </w:tcPr>
          <w:p w14:paraId="0915FAC3" w14:textId="3A5C1495" w:rsidR="000E3032" w:rsidRPr="006B5F4F" w:rsidRDefault="000E3032" w:rsidP="000E3032">
            <w:pPr>
              <w:pStyle w:val="TableTextRight"/>
            </w:pPr>
            <w:r w:rsidRPr="006B5F4F">
              <w:t>Modified</w:t>
            </w:r>
          </w:p>
        </w:tc>
      </w:tr>
      <w:tr w:rsidR="000E3032" w:rsidRPr="006B5F4F" w14:paraId="0EC49C73" w14:textId="77777777" w:rsidTr="0046188B">
        <w:trPr>
          <w:cantSplit/>
          <w:trHeight w:val="228"/>
          <w:tblHeader/>
        </w:trPr>
        <w:tc>
          <w:tcPr>
            <w:tcW w:w="4328" w:type="pct"/>
            <w:shd w:val="clear" w:color="auto" w:fill="auto"/>
            <w:noWrap/>
            <w:vAlign w:val="bottom"/>
          </w:tcPr>
          <w:p w14:paraId="2625ED2A" w14:textId="77777777" w:rsidR="000E3032" w:rsidRPr="006B5F4F" w:rsidRDefault="000E3032" w:rsidP="000E3032">
            <w:pPr>
              <w:pStyle w:val="TableColumnHeadingS118pt"/>
            </w:pPr>
            <w:r w:rsidRPr="006B5F4F">
              <w:t>Infrastructure and Regional Development</w:t>
            </w:r>
          </w:p>
        </w:tc>
        <w:tc>
          <w:tcPr>
            <w:tcW w:w="672" w:type="pct"/>
            <w:tcBorders>
              <w:bottom w:val="single" w:sz="2" w:space="0" w:color="7F7F7F"/>
            </w:tcBorders>
            <w:shd w:val="clear" w:color="auto" w:fill="auto"/>
            <w:noWrap/>
            <w:vAlign w:val="center"/>
          </w:tcPr>
          <w:p w14:paraId="18083ACE" w14:textId="77777777" w:rsidR="000E3032" w:rsidRPr="006B5F4F" w:rsidRDefault="000E3032" w:rsidP="000E3032">
            <w:pPr>
              <w:pStyle w:val="TableTextRight"/>
            </w:pPr>
          </w:p>
        </w:tc>
      </w:tr>
      <w:tr w:rsidR="000E3032" w:rsidRPr="006B5F4F" w14:paraId="2BD130B9" w14:textId="77777777" w:rsidTr="0014402C">
        <w:trPr>
          <w:cantSplit/>
          <w:trHeight w:val="228"/>
          <w:tblHeader/>
        </w:trPr>
        <w:tc>
          <w:tcPr>
            <w:tcW w:w="4328" w:type="pct"/>
            <w:shd w:val="clear" w:color="auto" w:fill="auto"/>
            <w:noWrap/>
          </w:tcPr>
          <w:p w14:paraId="3EB8DDD2" w14:textId="77777777" w:rsidR="000E3032" w:rsidRPr="006B5F4F" w:rsidRDefault="000E3032" w:rsidP="000E3032">
            <w:pPr>
              <w:pStyle w:val="TableTextIndented"/>
              <w:ind w:right="-250"/>
            </w:pPr>
            <w:r w:rsidRPr="006B5F4F">
              <w:t>Service Delivery Arrangement Indemnities — External Territories</w:t>
            </w:r>
          </w:p>
        </w:tc>
        <w:tc>
          <w:tcPr>
            <w:tcW w:w="672" w:type="pct"/>
            <w:shd w:val="clear" w:color="auto" w:fill="auto"/>
            <w:noWrap/>
            <w:vAlign w:val="center"/>
          </w:tcPr>
          <w:p w14:paraId="55229C40" w14:textId="77777777" w:rsidR="000E3032" w:rsidRPr="006B5F4F" w:rsidRDefault="000E3032" w:rsidP="000E3032">
            <w:pPr>
              <w:pStyle w:val="TableTextRight"/>
            </w:pPr>
            <w:r w:rsidRPr="006B5F4F">
              <w:t>Modified</w:t>
            </w:r>
          </w:p>
        </w:tc>
      </w:tr>
      <w:tr w:rsidR="0014402C" w:rsidRPr="006B5F4F" w14:paraId="27828643" w14:textId="77777777" w:rsidTr="0014402C">
        <w:trPr>
          <w:cantSplit/>
          <w:trHeight w:val="228"/>
          <w:tblHeader/>
        </w:trPr>
        <w:tc>
          <w:tcPr>
            <w:tcW w:w="4328" w:type="pct"/>
            <w:shd w:val="clear" w:color="auto" w:fill="auto"/>
            <w:noWrap/>
          </w:tcPr>
          <w:p w14:paraId="46DA8E97" w14:textId="379E4D18" w:rsidR="0014402C" w:rsidRPr="006B5F4F" w:rsidRDefault="004E1B23" w:rsidP="004E1B23">
            <w:pPr>
              <w:pStyle w:val="TableTextIndented"/>
              <w:ind w:right="-250"/>
            </w:pPr>
            <w:r w:rsidRPr="006B5F4F">
              <w:t>Aviation r</w:t>
            </w:r>
            <w:r w:rsidR="0014402C" w:rsidRPr="006B5F4F">
              <w:t xml:space="preserve">escue </w:t>
            </w:r>
            <w:r w:rsidRPr="006B5F4F">
              <w:t>and</w:t>
            </w:r>
            <w:r w:rsidR="0014402C" w:rsidRPr="006B5F4F">
              <w:t xml:space="preserve"> </w:t>
            </w:r>
            <w:proofErr w:type="spellStart"/>
            <w:r w:rsidRPr="006B5F4F">
              <w:t>f</w:t>
            </w:r>
            <w:r w:rsidR="0014402C" w:rsidRPr="006B5F4F">
              <w:t xml:space="preserve">ire </w:t>
            </w:r>
            <w:r w:rsidRPr="006B5F4F">
              <w:t>f</w:t>
            </w:r>
            <w:r w:rsidR="0014402C" w:rsidRPr="006B5F4F">
              <w:t>ighting</w:t>
            </w:r>
            <w:proofErr w:type="spellEnd"/>
            <w:r w:rsidR="0014402C" w:rsidRPr="006B5F4F">
              <w:t xml:space="preserve"> potential </w:t>
            </w:r>
            <w:r w:rsidRPr="006B5F4F">
              <w:t>p</w:t>
            </w:r>
            <w:r w:rsidR="0014402C" w:rsidRPr="006B5F4F">
              <w:t xml:space="preserve">er- and </w:t>
            </w:r>
            <w:r w:rsidRPr="006B5F4F">
              <w:t>p</w:t>
            </w:r>
            <w:r w:rsidR="0014402C" w:rsidRPr="006B5F4F">
              <w:t>oly-</w:t>
            </w:r>
            <w:proofErr w:type="spellStart"/>
            <w:r w:rsidRPr="006B5F4F">
              <w:t>f</w:t>
            </w:r>
            <w:r w:rsidR="0014402C" w:rsidRPr="006B5F4F">
              <w:t>luoroalkyl</w:t>
            </w:r>
            <w:proofErr w:type="spellEnd"/>
            <w:r w:rsidR="0014402C" w:rsidRPr="006B5F4F">
              <w:t xml:space="preserve"> </w:t>
            </w:r>
            <w:r w:rsidRPr="006B5F4F">
              <w:t>s</w:t>
            </w:r>
            <w:r w:rsidR="0014402C" w:rsidRPr="006B5F4F">
              <w:t xml:space="preserve">ubstances </w:t>
            </w:r>
            <w:r w:rsidRPr="006B5F4F">
              <w:t>c</w:t>
            </w:r>
            <w:r w:rsidR="0014402C" w:rsidRPr="006B5F4F">
              <w:t>ontamination</w:t>
            </w:r>
          </w:p>
        </w:tc>
        <w:tc>
          <w:tcPr>
            <w:tcW w:w="672" w:type="pct"/>
            <w:tcBorders>
              <w:bottom w:val="single" w:sz="2" w:space="0" w:color="7F7F7F"/>
            </w:tcBorders>
            <w:shd w:val="clear" w:color="auto" w:fill="auto"/>
            <w:noWrap/>
            <w:vAlign w:val="center"/>
          </w:tcPr>
          <w:p w14:paraId="499D02D5" w14:textId="77777777" w:rsidR="0014402C" w:rsidRPr="006B5F4F" w:rsidRDefault="0014402C" w:rsidP="0014402C">
            <w:pPr>
              <w:pStyle w:val="TableTextRight"/>
            </w:pPr>
            <w:r w:rsidRPr="006B5F4F">
              <w:t>Modified</w:t>
            </w:r>
          </w:p>
        </w:tc>
      </w:tr>
    </w:tbl>
    <w:p w14:paraId="35C68595" w14:textId="77777777" w:rsidR="002575B2" w:rsidRPr="006B5F4F" w:rsidRDefault="002575B2">
      <w:r w:rsidRPr="006B5F4F">
        <w:br w:type="page"/>
      </w:r>
    </w:p>
    <w:tbl>
      <w:tblPr>
        <w:tblW w:w="4856" w:type="pct"/>
        <w:tblInd w:w="108" w:type="dxa"/>
        <w:tblBorders>
          <w:top w:val="single" w:sz="2" w:space="0" w:color="7F7F7F"/>
          <w:bottom w:val="single" w:sz="2" w:space="0" w:color="7F7F7F"/>
          <w:insideH w:val="single" w:sz="2" w:space="0" w:color="7F7F7F"/>
        </w:tblBorders>
        <w:tblLayout w:type="fixed"/>
        <w:tblLook w:val="04A0" w:firstRow="1" w:lastRow="0" w:firstColumn="1" w:lastColumn="0" w:noHBand="0" w:noVBand="1"/>
      </w:tblPr>
      <w:tblGrid>
        <w:gridCol w:w="6664"/>
        <w:gridCol w:w="1035"/>
      </w:tblGrid>
      <w:tr w:rsidR="00C54D7C" w:rsidRPr="006B5F4F" w14:paraId="349B40DC" w14:textId="77777777" w:rsidTr="00C31162">
        <w:trPr>
          <w:cantSplit/>
          <w:trHeight w:val="228"/>
          <w:tblHeader/>
        </w:trPr>
        <w:tc>
          <w:tcPr>
            <w:tcW w:w="5000" w:type="pct"/>
            <w:gridSpan w:val="2"/>
            <w:tcBorders>
              <w:top w:val="nil"/>
            </w:tcBorders>
            <w:shd w:val="clear" w:color="auto" w:fill="auto"/>
            <w:noWrap/>
          </w:tcPr>
          <w:p w14:paraId="27BDBA27" w14:textId="1F7ED08E" w:rsidR="00C54D7C" w:rsidRPr="006B5F4F" w:rsidRDefault="00C54D7C" w:rsidP="0014402C">
            <w:pPr>
              <w:pStyle w:val="TableTextRight"/>
              <w:spacing w:before="100" w:beforeAutospacing="1"/>
              <w:jc w:val="left"/>
            </w:pPr>
            <w:r w:rsidRPr="006B5F4F">
              <w:rPr>
                <w:b/>
                <w:sz w:val="20"/>
              </w:rPr>
              <w:lastRenderedPageBreak/>
              <w:t>Table C1: Summary of material changes to the Statement of Risks since the 2017-18 Budget</w:t>
            </w:r>
            <w:r w:rsidRPr="006B5F4F">
              <w:rPr>
                <w:b/>
                <w:sz w:val="20"/>
                <w:vertAlign w:val="superscript"/>
              </w:rPr>
              <w:t>(a)</w:t>
            </w:r>
            <w:r w:rsidRPr="006B5F4F">
              <w:rPr>
                <w:b/>
                <w:sz w:val="20"/>
              </w:rPr>
              <w:t xml:space="preserve"> (continued)</w:t>
            </w:r>
          </w:p>
        </w:tc>
      </w:tr>
      <w:tr w:rsidR="00C54D7C" w:rsidRPr="006B5F4F" w14:paraId="42AE20A0" w14:textId="77777777" w:rsidTr="009A0627">
        <w:trPr>
          <w:cantSplit/>
          <w:trHeight w:val="228"/>
          <w:tblHeader/>
        </w:trPr>
        <w:tc>
          <w:tcPr>
            <w:tcW w:w="4328" w:type="pct"/>
            <w:shd w:val="clear" w:color="auto" w:fill="E6E6E6"/>
            <w:noWrap/>
            <w:vAlign w:val="center"/>
          </w:tcPr>
          <w:p w14:paraId="2C194BFD" w14:textId="77777777" w:rsidR="00C54D7C" w:rsidRPr="006B5F4F" w:rsidRDefault="00C54D7C" w:rsidP="00C54D7C">
            <w:pPr>
              <w:pStyle w:val="TableColumnHeadingLeft"/>
              <w:rPr>
                <w:rFonts w:eastAsia="Arial" w:cs="Arial"/>
                <w:spacing w:val="-2"/>
                <w:szCs w:val="16"/>
              </w:rPr>
            </w:pPr>
            <w:r w:rsidRPr="006B5F4F">
              <w:t>Contingent assets — unquantifiable</w:t>
            </w:r>
          </w:p>
        </w:tc>
        <w:tc>
          <w:tcPr>
            <w:tcW w:w="672" w:type="pct"/>
            <w:shd w:val="clear" w:color="auto" w:fill="E6E6E6"/>
            <w:noWrap/>
            <w:vAlign w:val="center"/>
          </w:tcPr>
          <w:p w14:paraId="6184E766" w14:textId="77777777" w:rsidR="00C54D7C" w:rsidRPr="006B5F4F" w:rsidRDefault="00C54D7C" w:rsidP="00C54D7C">
            <w:pPr>
              <w:pStyle w:val="TableTextRight"/>
            </w:pPr>
          </w:p>
        </w:tc>
      </w:tr>
      <w:tr w:rsidR="00033843" w:rsidRPr="006B5F4F" w14:paraId="1B97D2CF" w14:textId="77777777" w:rsidTr="00B80692">
        <w:trPr>
          <w:cantSplit/>
          <w:trHeight w:val="228"/>
          <w:tblHeader/>
        </w:trPr>
        <w:tc>
          <w:tcPr>
            <w:tcW w:w="4328" w:type="pct"/>
            <w:shd w:val="clear" w:color="auto" w:fill="auto"/>
            <w:noWrap/>
            <w:vAlign w:val="bottom"/>
          </w:tcPr>
          <w:p w14:paraId="754FDAF7" w14:textId="77777777" w:rsidR="00033843" w:rsidRPr="006B5F4F" w:rsidRDefault="00033843" w:rsidP="00033843">
            <w:pPr>
              <w:pStyle w:val="TableColumnHeadingS118pt"/>
            </w:pPr>
            <w:r w:rsidRPr="006B5F4F">
              <w:t>Defence</w:t>
            </w:r>
          </w:p>
        </w:tc>
        <w:tc>
          <w:tcPr>
            <w:tcW w:w="672" w:type="pct"/>
            <w:shd w:val="clear" w:color="auto" w:fill="auto"/>
            <w:noWrap/>
            <w:vAlign w:val="center"/>
          </w:tcPr>
          <w:p w14:paraId="139022E8" w14:textId="77777777" w:rsidR="00033843" w:rsidRPr="006B5F4F" w:rsidRDefault="00033843" w:rsidP="00033843">
            <w:pPr>
              <w:pStyle w:val="TableTextRight"/>
            </w:pPr>
          </w:p>
        </w:tc>
      </w:tr>
      <w:tr w:rsidR="00033843" w:rsidRPr="006B5F4F" w14:paraId="2516473B" w14:textId="77777777" w:rsidTr="00B80692">
        <w:trPr>
          <w:cantSplit/>
          <w:trHeight w:val="228"/>
          <w:tblHeader/>
        </w:trPr>
        <w:tc>
          <w:tcPr>
            <w:tcW w:w="4328" w:type="pct"/>
            <w:shd w:val="clear" w:color="auto" w:fill="auto"/>
            <w:noWrap/>
            <w:vAlign w:val="bottom"/>
          </w:tcPr>
          <w:p w14:paraId="2A7F0F57" w14:textId="77777777" w:rsidR="00033843" w:rsidRPr="006B5F4F" w:rsidRDefault="00033843" w:rsidP="00033843">
            <w:pPr>
              <w:pStyle w:val="TableTextIndented"/>
            </w:pPr>
            <w:r w:rsidRPr="006B5F4F">
              <w:t>Non</w:t>
            </w:r>
            <w:r w:rsidRPr="006B5F4F">
              <w:noBreakHyphen/>
              <w:t>remote contingent assets</w:t>
            </w:r>
          </w:p>
        </w:tc>
        <w:tc>
          <w:tcPr>
            <w:tcW w:w="672" w:type="pct"/>
            <w:shd w:val="clear" w:color="auto" w:fill="auto"/>
            <w:noWrap/>
            <w:vAlign w:val="center"/>
          </w:tcPr>
          <w:p w14:paraId="677C42A9" w14:textId="77777777" w:rsidR="00033843" w:rsidRPr="006B5F4F" w:rsidRDefault="00031D2A" w:rsidP="00033843">
            <w:pPr>
              <w:pStyle w:val="TableTextRight"/>
            </w:pPr>
            <w:r w:rsidRPr="006B5F4F">
              <w:t>Modified</w:t>
            </w:r>
          </w:p>
        </w:tc>
      </w:tr>
      <w:tr w:rsidR="002713A6" w:rsidRPr="006B5F4F" w14:paraId="15924C48" w14:textId="77777777" w:rsidTr="00B80692">
        <w:trPr>
          <w:cantSplit/>
          <w:trHeight w:val="228"/>
          <w:tblHeader/>
        </w:trPr>
        <w:tc>
          <w:tcPr>
            <w:tcW w:w="4328" w:type="pct"/>
            <w:shd w:val="clear" w:color="auto" w:fill="auto"/>
            <w:noWrap/>
            <w:vAlign w:val="bottom"/>
          </w:tcPr>
          <w:p w14:paraId="46C298E4" w14:textId="5829CCE9" w:rsidR="002713A6" w:rsidRPr="006B5F4F" w:rsidRDefault="00E61747" w:rsidP="00E61747">
            <w:pPr>
              <w:pStyle w:val="TableColumnHeadingS118pt"/>
            </w:pPr>
            <w:r w:rsidRPr="006B5F4F">
              <w:t>Home Affairs</w:t>
            </w:r>
          </w:p>
        </w:tc>
        <w:tc>
          <w:tcPr>
            <w:tcW w:w="672" w:type="pct"/>
            <w:shd w:val="clear" w:color="auto" w:fill="auto"/>
            <w:noWrap/>
            <w:vAlign w:val="center"/>
          </w:tcPr>
          <w:p w14:paraId="32703447" w14:textId="77777777" w:rsidR="002713A6" w:rsidRPr="006B5F4F" w:rsidRDefault="002713A6" w:rsidP="002713A6">
            <w:pPr>
              <w:pStyle w:val="TableTextRight"/>
            </w:pPr>
          </w:p>
        </w:tc>
      </w:tr>
      <w:tr w:rsidR="002713A6" w:rsidRPr="006B5F4F" w14:paraId="1218C15B" w14:textId="77777777" w:rsidTr="00B80692">
        <w:trPr>
          <w:cantSplit/>
          <w:trHeight w:val="228"/>
          <w:tblHeader/>
        </w:trPr>
        <w:tc>
          <w:tcPr>
            <w:tcW w:w="4328" w:type="pct"/>
            <w:shd w:val="clear" w:color="auto" w:fill="auto"/>
            <w:noWrap/>
            <w:vAlign w:val="bottom"/>
          </w:tcPr>
          <w:p w14:paraId="375FEAEF" w14:textId="5F2936BD" w:rsidR="002713A6" w:rsidRPr="006B5F4F" w:rsidRDefault="002713A6" w:rsidP="002713A6">
            <w:pPr>
              <w:pStyle w:val="TableTextIndented"/>
            </w:pPr>
            <w:r w:rsidRPr="006B5F4F">
              <w:t>Civil penalty proceedings in the Federal Court against the</w:t>
            </w:r>
            <w:r w:rsidR="00B337A9" w:rsidRPr="006B5F4F">
              <w:t xml:space="preserve"> Commonwealth Bank of Australia</w:t>
            </w:r>
          </w:p>
        </w:tc>
        <w:tc>
          <w:tcPr>
            <w:tcW w:w="672" w:type="pct"/>
            <w:shd w:val="clear" w:color="auto" w:fill="auto"/>
            <w:noWrap/>
            <w:vAlign w:val="center"/>
          </w:tcPr>
          <w:p w14:paraId="75C4986F" w14:textId="138DD45E" w:rsidR="002713A6" w:rsidRPr="006B5F4F" w:rsidRDefault="002713A6" w:rsidP="002713A6">
            <w:pPr>
              <w:pStyle w:val="TableTextRight"/>
            </w:pPr>
            <w:r w:rsidRPr="006B5F4F">
              <w:t>New</w:t>
            </w:r>
          </w:p>
        </w:tc>
      </w:tr>
      <w:tr w:rsidR="002713A6" w:rsidRPr="006B5F4F" w14:paraId="5251CE8D" w14:textId="77777777" w:rsidTr="00B80692">
        <w:trPr>
          <w:cantSplit/>
          <w:trHeight w:val="228"/>
          <w:tblHeader/>
        </w:trPr>
        <w:tc>
          <w:tcPr>
            <w:tcW w:w="4328" w:type="pct"/>
            <w:shd w:val="clear" w:color="auto" w:fill="auto"/>
            <w:noWrap/>
            <w:vAlign w:val="bottom"/>
          </w:tcPr>
          <w:p w14:paraId="279871CB" w14:textId="1CEF2A29" w:rsidR="002713A6" w:rsidRPr="006B5F4F" w:rsidRDefault="007F4138" w:rsidP="002713A6">
            <w:pPr>
              <w:pStyle w:val="TableColumnHeadingS118pt"/>
            </w:pPr>
            <w:r w:rsidRPr="006B5F4F">
              <w:t xml:space="preserve">Industry, Innovation </w:t>
            </w:r>
            <w:r w:rsidR="002713A6" w:rsidRPr="006B5F4F">
              <w:t>and Science</w:t>
            </w:r>
          </w:p>
        </w:tc>
        <w:tc>
          <w:tcPr>
            <w:tcW w:w="672" w:type="pct"/>
            <w:shd w:val="clear" w:color="auto" w:fill="auto"/>
            <w:noWrap/>
            <w:vAlign w:val="center"/>
          </w:tcPr>
          <w:p w14:paraId="1E5231EB" w14:textId="77777777" w:rsidR="002713A6" w:rsidRPr="006B5F4F" w:rsidRDefault="002713A6" w:rsidP="002713A6">
            <w:pPr>
              <w:pStyle w:val="TableTextRight"/>
            </w:pPr>
          </w:p>
        </w:tc>
      </w:tr>
      <w:tr w:rsidR="002713A6" w:rsidRPr="006B5F4F" w14:paraId="64954846" w14:textId="77777777" w:rsidTr="00B80692">
        <w:trPr>
          <w:cantSplit/>
          <w:trHeight w:val="228"/>
          <w:tblHeader/>
        </w:trPr>
        <w:tc>
          <w:tcPr>
            <w:tcW w:w="4328" w:type="pct"/>
            <w:tcBorders>
              <w:bottom w:val="single" w:sz="2" w:space="0" w:color="C0C0C0"/>
            </w:tcBorders>
            <w:shd w:val="clear" w:color="auto" w:fill="auto"/>
            <w:noWrap/>
            <w:vAlign w:val="bottom"/>
          </w:tcPr>
          <w:p w14:paraId="276DCA52" w14:textId="77777777" w:rsidR="002713A6" w:rsidRPr="006B5F4F" w:rsidRDefault="002713A6" w:rsidP="002713A6">
            <w:pPr>
              <w:pStyle w:val="TableTextIndented"/>
            </w:pPr>
            <w:r w:rsidRPr="006B5F4F">
              <w:t>Wireless Local Area Network</w:t>
            </w:r>
          </w:p>
        </w:tc>
        <w:tc>
          <w:tcPr>
            <w:tcW w:w="672" w:type="pct"/>
            <w:shd w:val="clear" w:color="auto" w:fill="auto"/>
            <w:noWrap/>
            <w:vAlign w:val="center"/>
          </w:tcPr>
          <w:p w14:paraId="39F77020" w14:textId="77777777" w:rsidR="002713A6" w:rsidRPr="006B5F4F" w:rsidRDefault="002713A6" w:rsidP="002713A6">
            <w:pPr>
              <w:pStyle w:val="TableTextRight"/>
            </w:pPr>
            <w:r w:rsidRPr="006B5F4F">
              <w:t>Removed</w:t>
            </w:r>
          </w:p>
        </w:tc>
      </w:tr>
      <w:tr w:rsidR="002713A6" w:rsidRPr="006B5F4F" w14:paraId="387ABB3D" w14:textId="77777777" w:rsidTr="005E7D9B">
        <w:trPr>
          <w:cantSplit/>
          <w:trHeight w:val="228"/>
        </w:trPr>
        <w:tc>
          <w:tcPr>
            <w:tcW w:w="4328" w:type="pct"/>
            <w:shd w:val="clear" w:color="auto" w:fill="E6E6E6"/>
            <w:noWrap/>
            <w:vAlign w:val="center"/>
            <w:hideMark/>
          </w:tcPr>
          <w:p w14:paraId="4E029EAA" w14:textId="77777777" w:rsidR="002713A6" w:rsidRPr="006B5F4F" w:rsidRDefault="002713A6" w:rsidP="002713A6">
            <w:pPr>
              <w:pStyle w:val="TableColumnHeadingLeft"/>
            </w:pPr>
            <w:r w:rsidRPr="006B5F4F">
              <w:t>Contingent liabilities — quantifiable</w:t>
            </w:r>
          </w:p>
        </w:tc>
        <w:tc>
          <w:tcPr>
            <w:tcW w:w="672" w:type="pct"/>
            <w:shd w:val="clear" w:color="auto" w:fill="E6E6E6"/>
            <w:noWrap/>
            <w:vAlign w:val="center"/>
          </w:tcPr>
          <w:p w14:paraId="558DB58D" w14:textId="77777777" w:rsidR="002713A6" w:rsidRPr="006B5F4F" w:rsidRDefault="002713A6" w:rsidP="002713A6">
            <w:pPr>
              <w:pStyle w:val="TableTextLeft"/>
            </w:pPr>
          </w:p>
        </w:tc>
      </w:tr>
      <w:tr w:rsidR="002713A6" w:rsidRPr="006B5F4F" w14:paraId="1308241D" w14:textId="77777777" w:rsidTr="00B80692">
        <w:trPr>
          <w:cantSplit/>
          <w:trHeight w:val="228"/>
        </w:trPr>
        <w:tc>
          <w:tcPr>
            <w:tcW w:w="4328" w:type="pct"/>
            <w:shd w:val="clear" w:color="auto" w:fill="auto"/>
            <w:noWrap/>
            <w:vAlign w:val="bottom"/>
          </w:tcPr>
          <w:p w14:paraId="5F4906B3" w14:textId="77777777" w:rsidR="002713A6" w:rsidRPr="006B5F4F" w:rsidRDefault="002713A6" w:rsidP="002713A6">
            <w:pPr>
              <w:pStyle w:val="TableColumnHeadingS118pt"/>
            </w:pPr>
            <w:r w:rsidRPr="006B5F4F">
              <w:t>Defence</w:t>
            </w:r>
          </w:p>
        </w:tc>
        <w:tc>
          <w:tcPr>
            <w:tcW w:w="672" w:type="pct"/>
            <w:shd w:val="clear" w:color="auto" w:fill="auto"/>
            <w:noWrap/>
            <w:vAlign w:val="center"/>
          </w:tcPr>
          <w:p w14:paraId="0F92EFD9" w14:textId="77777777" w:rsidR="002713A6" w:rsidRPr="006B5F4F" w:rsidRDefault="002713A6" w:rsidP="002713A6">
            <w:pPr>
              <w:pStyle w:val="TableTextRight"/>
            </w:pPr>
          </w:p>
        </w:tc>
      </w:tr>
      <w:tr w:rsidR="002713A6" w:rsidRPr="006B5F4F" w14:paraId="47F3DF42" w14:textId="77777777" w:rsidTr="00B80692">
        <w:trPr>
          <w:cantSplit/>
          <w:trHeight w:val="228"/>
        </w:trPr>
        <w:tc>
          <w:tcPr>
            <w:tcW w:w="4328" w:type="pct"/>
            <w:shd w:val="clear" w:color="auto" w:fill="auto"/>
            <w:noWrap/>
            <w:vAlign w:val="bottom"/>
          </w:tcPr>
          <w:p w14:paraId="3A5E1C91" w14:textId="77777777" w:rsidR="002713A6" w:rsidRPr="006B5F4F" w:rsidRDefault="002713A6" w:rsidP="002713A6">
            <w:pPr>
              <w:pStyle w:val="TableTextIndented"/>
            </w:pPr>
            <w:r w:rsidRPr="006B5F4F">
              <w:t>Claims against the Department of Defence</w:t>
            </w:r>
          </w:p>
        </w:tc>
        <w:tc>
          <w:tcPr>
            <w:tcW w:w="672" w:type="pct"/>
            <w:shd w:val="clear" w:color="auto" w:fill="auto"/>
            <w:noWrap/>
            <w:vAlign w:val="center"/>
          </w:tcPr>
          <w:p w14:paraId="477AAAB6" w14:textId="77777777" w:rsidR="002713A6" w:rsidRPr="006B5F4F" w:rsidRDefault="002713A6" w:rsidP="002713A6">
            <w:pPr>
              <w:pStyle w:val="TableTextRight"/>
            </w:pPr>
            <w:r w:rsidRPr="006B5F4F">
              <w:t>Modified</w:t>
            </w:r>
          </w:p>
        </w:tc>
      </w:tr>
      <w:tr w:rsidR="002713A6" w:rsidRPr="006B5F4F" w14:paraId="48D02058" w14:textId="77777777" w:rsidTr="00B80692">
        <w:trPr>
          <w:cantSplit/>
          <w:trHeight w:val="228"/>
        </w:trPr>
        <w:tc>
          <w:tcPr>
            <w:tcW w:w="4328" w:type="pct"/>
            <w:shd w:val="clear" w:color="auto" w:fill="auto"/>
            <w:noWrap/>
            <w:vAlign w:val="bottom"/>
          </w:tcPr>
          <w:p w14:paraId="3398D7A4" w14:textId="77777777" w:rsidR="002713A6" w:rsidRPr="006B5F4F" w:rsidRDefault="002713A6" w:rsidP="002713A6">
            <w:pPr>
              <w:pStyle w:val="TableColumnHeadingS118pt"/>
            </w:pPr>
            <w:r w:rsidRPr="006B5F4F">
              <w:t>Environment and Energy</w:t>
            </w:r>
          </w:p>
        </w:tc>
        <w:tc>
          <w:tcPr>
            <w:tcW w:w="672" w:type="pct"/>
            <w:shd w:val="clear" w:color="auto" w:fill="auto"/>
            <w:noWrap/>
            <w:vAlign w:val="center"/>
          </w:tcPr>
          <w:p w14:paraId="099589B2" w14:textId="77777777" w:rsidR="002713A6" w:rsidRPr="006B5F4F" w:rsidRDefault="002713A6" w:rsidP="002713A6">
            <w:pPr>
              <w:pStyle w:val="TableTextRight"/>
            </w:pPr>
          </w:p>
        </w:tc>
      </w:tr>
      <w:tr w:rsidR="002713A6" w:rsidRPr="006B5F4F" w14:paraId="20242F15" w14:textId="77777777" w:rsidTr="00B80692">
        <w:trPr>
          <w:cantSplit/>
          <w:trHeight w:val="228"/>
        </w:trPr>
        <w:tc>
          <w:tcPr>
            <w:tcW w:w="4328" w:type="pct"/>
            <w:shd w:val="clear" w:color="auto" w:fill="auto"/>
            <w:noWrap/>
            <w:vAlign w:val="bottom"/>
          </w:tcPr>
          <w:p w14:paraId="3F812558" w14:textId="77777777" w:rsidR="002713A6" w:rsidRPr="006B5F4F" w:rsidRDefault="002713A6" w:rsidP="002713A6">
            <w:pPr>
              <w:pStyle w:val="TableTextIndented"/>
              <w:rPr>
                <w:rFonts w:eastAsia="Arial" w:cs="Arial"/>
                <w:spacing w:val="-2"/>
                <w:szCs w:val="16"/>
              </w:rPr>
            </w:pPr>
            <w:r w:rsidRPr="006B5F4F">
              <w:rPr>
                <w:rFonts w:eastAsia="Arial" w:cs="Arial"/>
                <w:spacing w:val="-2"/>
                <w:szCs w:val="16"/>
              </w:rPr>
              <w:t xml:space="preserve">Renewable Energy Target — </w:t>
            </w:r>
            <w:r w:rsidRPr="006B5F4F">
              <w:rPr>
                <w:i/>
              </w:rPr>
              <w:t>Renewable Energy (Electricity) Act 2000</w:t>
            </w:r>
            <w:r w:rsidRPr="006B5F4F">
              <w:t xml:space="preserve"> — refunds of large-scale renewable energy shortfall charges</w:t>
            </w:r>
          </w:p>
        </w:tc>
        <w:tc>
          <w:tcPr>
            <w:tcW w:w="672" w:type="pct"/>
            <w:shd w:val="clear" w:color="auto" w:fill="auto"/>
            <w:noWrap/>
            <w:vAlign w:val="center"/>
          </w:tcPr>
          <w:p w14:paraId="58827736" w14:textId="77777777" w:rsidR="002713A6" w:rsidRPr="006B5F4F" w:rsidRDefault="002713A6" w:rsidP="002713A6">
            <w:pPr>
              <w:pStyle w:val="TableTextRight"/>
            </w:pPr>
            <w:r w:rsidRPr="006B5F4F">
              <w:t>Removed</w:t>
            </w:r>
          </w:p>
        </w:tc>
      </w:tr>
      <w:tr w:rsidR="002713A6" w:rsidRPr="006B5F4F" w14:paraId="4D7B78FB" w14:textId="77777777" w:rsidTr="00B80692">
        <w:trPr>
          <w:cantSplit/>
          <w:trHeight w:val="228"/>
        </w:trPr>
        <w:tc>
          <w:tcPr>
            <w:tcW w:w="4328" w:type="pct"/>
            <w:shd w:val="clear" w:color="auto" w:fill="auto"/>
            <w:noWrap/>
            <w:vAlign w:val="bottom"/>
          </w:tcPr>
          <w:p w14:paraId="272EF1A7" w14:textId="77777777" w:rsidR="002713A6" w:rsidRPr="006B5F4F" w:rsidRDefault="002713A6" w:rsidP="002713A6">
            <w:pPr>
              <w:pStyle w:val="TableColumnHeadingS118pt"/>
            </w:pPr>
            <w:r w:rsidRPr="006B5F4F">
              <w:t>Foreign Affairs and Trade</w:t>
            </w:r>
          </w:p>
        </w:tc>
        <w:tc>
          <w:tcPr>
            <w:tcW w:w="672" w:type="pct"/>
            <w:shd w:val="clear" w:color="auto" w:fill="auto"/>
            <w:noWrap/>
            <w:vAlign w:val="center"/>
          </w:tcPr>
          <w:p w14:paraId="4EF94FE9" w14:textId="77777777" w:rsidR="002713A6" w:rsidRPr="006B5F4F" w:rsidRDefault="002713A6" w:rsidP="002713A6">
            <w:pPr>
              <w:pStyle w:val="TableTextRight"/>
            </w:pPr>
          </w:p>
        </w:tc>
      </w:tr>
      <w:tr w:rsidR="002713A6" w:rsidRPr="006B5F4F" w14:paraId="5C19B513" w14:textId="77777777" w:rsidTr="00B80692">
        <w:trPr>
          <w:cantSplit/>
          <w:trHeight w:val="228"/>
        </w:trPr>
        <w:tc>
          <w:tcPr>
            <w:tcW w:w="4328" w:type="pct"/>
            <w:shd w:val="clear" w:color="auto" w:fill="auto"/>
            <w:noWrap/>
            <w:vAlign w:val="bottom"/>
          </w:tcPr>
          <w:p w14:paraId="14DD1F23" w14:textId="77777777" w:rsidR="002713A6" w:rsidRPr="006B5F4F" w:rsidRDefault="002713A6" w:rsidP="002713A6">
            <w:pPr>
              <w:pStyle w:val="TableTextIndented"/>
            </w:pPr>
            <w:r w:rsidRPr="006B5F4F">
              <w:t>Export Finance and Insurance Corporation</w:t>
            </w:r>
          </w:p>
        </w:tc>
        <w:tc>
          <w:tcPr>
            <w:tcW w:w="672" w:type="pct"/>
            <w:shd w:val="clear" w:color="auto" w:fill="auto"/>
            <w:noWrap/>
            <w:vAlign w:val="center"/>
          </w:tcPr>
          <w:p w14:paraId="02002F0D" w14:textId="77777777" w:rsidR="002713A6" w:rsidRPr="006B5F4F" w:rsidRDefault="002713A6" w:rsidP="002713A6">
            <w:pPr>
              <w:pStyle w:val="TableTextRight"/>
            </w:pPr>
            <w:r w:rsidRPr="006B5F4F">
              <w:t>Modified</w:t>
            </w:r>
          </w:p>
        </w:tc>
      </w:tr>
      <w:tr w:rsidR="002713A6" w:rsidRPr="006B5F4F" w14:paraId="6A19D1CB" w14:textId="77777777" w:rsidTr="00B80692">
        <w:trPr>
          <w:cantSplit/>
          <w:trHeight w:val="228"/>
        </w:trPr>
        <w:tc>
          <w:tcPr>
            <w:tcW w:w="4328" w:type="pct"/>
            <w:shd w:val="clear" w:color="auto" w:fill="auto"/>
            <w:noWrap/>
            <w:vAlign w:val="bottom"/>
          </w:tcPr>
          <w:p w14:paraId="44A31E80" w14:textId="77777777" w:rsidR="002713A6" w:rsidRPr="006B5F4F" w:rsidRDefault="002713A6" w:rsidP="002713A6">
            <w:pPr>
              <w:pStyle w:val="TableColumnHeadingS118pt"/>
            </w:pPr>
            <w:r w:rsidRPr="006B5F4F">
              <w:t>Prime Minister and Cabinet</w:t>
            </w:r>
          </w:p>
        </w:tc>
        <w:tc>
          <w:tcPr>
            <w:tcW w:w="672" w:type="pct"/>
            <w:shd w:val="clear" w:color="auto" w:fill="auto"/>
            <w:noWrap/>
            <w:vAlign w:val="center"/>
          </w:tcPr>
          <w:p w14:paraId="40D5EE0A" w14:textId="77777777" w:rsidR="002713A6" w:rsidRPr="006B5F4F" w:rsidRDefault="002713A6" w:rsidP="002713A6">
            <w:pPr>
              <w:pStyle w:val="TableTextRight"/>
            </w:pPr>
          </w:p>
        </w:tc>
      </w:tr>
      <w:tr w:rsidR="002713A6" w:rsidRPr="006B5F4F" w14:paraId="25BD8740" w14:textId="77777777" w:rsidTr="00B80692">
        <w:trPr>
          <w:cantSplit/>
          <w:trHeight w:val="228"/>
        </w:trPr>
        <w:tc>
          <w:tcPr>
            <w:tcW w:w="4328" w:type="pct"/>
            <w:shd w:val="clear" w:color="auto" w:fill="auto"/>
            <w:noWrap/>
            <w:vAlign w:val="bottom"/>
          </w:tcPr>
          <w:p w14:paraId="7B92429E" w14:textId="77777777" w:rsidR="002713A6" w:rsidRPr="006B5F4F" w:rsidRDefault="002713A6" w:rsidP="002713A6">
            <w:pPr>
              <w:pStyle w:val="TableTextIndented"/>
            </w:pPr>
            <w:r w:rsidRPr="006B5F4F">
              <w:t>Leases for public housing in remote Northern Territory</w:t>
            </w:r>
          </w:p>
        </w:tc>
        <w:tc>
          <w:tcPr>
            <w:tcW w:w="672" w:type="pct"/>
            <w:shd w:val="clear" w:color="auto" w:fill="auto"/>
            <w:noWrap/>
            <w:vAlign w:val="center"/>
          </w:tcPr>
          <w:p w14:paraId="35129A7D" w14:textId="77777777" w:rsidR="002713A6" w:rsidRPr="006B5F4F" w:rsidRDefault="002713A6" w:rsidP="002713A6">
            <w:pPr>
              <w:pStyle w:val="TableTextRight"/>
            </w:pPr>
            <w:r w:rsidRPr="006B5F4F">
              <w:t>New</w:t>
            </w:r>
          </w:p>
        </w:tc>
      </w:tr>
      <w:tr w:rsidR="002713A6" w:rsidRPr="006B5F4F" w14:paraId="1E4ADFED" w14:textId="77777777" w:rsidTr="00B80692">
        <w:trPr>
          <w:cantSplit/>
          <w:trHeight w:val="228"/>
        </w:trPr>
        <w:tc>
          <w:tcPr>
            <w:tcW w:w="4328" w:type="pct"/>
            <w:shd w:val="clear" w:color="auto" w:fill="auto"/>
            <w:noWrap/>
            <w:vAlign w:val="bottom"/>
          </w:tcPr>
          <w:p w14:paraId="72FA73EB" w14:textId="77777777" w:rsidR="002713A6" w:rsidRPr="006B5F4F" w:rsidRDefault="002713A6" w:rsidP="002713A6">
            <w:pPr>
              <w:pStyle w:val="TableColumnHeadingS118pt"/>
            </w:pPr>
            <w:r w:rsidRPr="006B5F4F">
              <w:t>Treasury</w:t>
            </w:r>
          </w:p>
        </w:tc>
        <w:tc>
          <w:tcPr>
            <w:tcW w:w="672" w:type="pct"/>
            <w:shd w:val="clear" w:color="auto" w:fill="auto"/>
            <w:noWrap/>
            <w:vAlign w:val="center"/>
          </w:tcPr>
          <w:p w14:paraId="0D3DFE21" w14:textId="77777777" w:rsidR="002713A6" w:rsidRPr="006B5F4F" w:rsidRDefault="002713A6" w:rsidP="002713A6">
            <w:pPr>
              <w:pStyle w:val="TableTextRight"/>
            </w:pPr>
          </w:p>
        </w:tc>
      </w:tr>
      <w:tr w:rsidR="002713A6" w:rsidRPr="006B5F4F" w14:paraId="20C58DB3" w14:textId="77777777" w:rsidTr="00B80692">
        <w:trPr>
          <w:cantSplit/>
          <w:trHeight w:val="228"/>
        </w:trPr>
        <w:tc>
          <w:tcPr>
            <w:tcW w:w="4328" w:type="pct"/>
            <w:shd w:val="clear" w:color="auto" w:fill="auto"/>
            <w:noWrap/>
            <w:vAlign w:val="bottom"/>
          </w:tcPr>
          <w:p w14:paraId="397D59D2" w14:textId="77777777" w:rsidR="002713A6" w:rsidRPr="006B5F4F" w:rsidRDefault="002713A6" w:rsidP="002713A6">
            <w:pPr>
              <w:pStyle w:val="TableTextIndented"/>
            </w:pPr>
            <w:r w:rsidRPr="006B5F4F">
              <w:t>Australian Taxation Office — tax disputes</w:t>
            </w:r>
          </w:p>
        </w:tc>
        <w:tc>
          <w:tcPr>
            <w:tcW w:w="672" w:type="pct"/>
            <w:shd w:val="clear" w:color="auto" w:fill="auto"/>
            <w:noWrap/>
            <w:vAlign w:val="center"/>
          </w:tcPr>
          <w:p w14:paraId="18EB9526" w14:textId="77777777" w:rsidR="002713A6" w:rsidRPr="006B5F4F" w:rsidRDefault="002713A6" w:rsidP="002713A6">
            <w:pPr>
              <w:pStyle w:val="TableTextRight"/>
            </w:pPr>
            <w:r w:rsidRPr="006B5F4F">
              <w:t>Modified</w:t>
            </w:r>
          </w:p>
        </w:tc>
      </w:tr>
      <w:tr w:rsidR="002713A6" w:rsidRPr="006B5F4F" w14:paraId="1ECC1F15" w14:textId="77777777" w:rsidTr="00B80692">
        <w:trPr>
          <w:cantSplit/>
          <w:trHeight w:val="228"/>
        </w:trPr>
        <w:tc>
          <w:tcPr>
            <w:tcW w:w="4328" w:type="pct"/>
            <w:shd w:val="clear" w:color="auto" w:fill="auto"/>
            <w:noWrap/>
            <w:vAlign w:val="bottom"/>
          </w:tcPr>
          <w:p w14:paraId="55D9DD06" w14:textId="77777777" w:rsidR="002713A6" w:rsidRPr="006B5F4F" w:rsidRDefault="002713A6" w:rsidP="002713A6">
            <w:pPr>
              <w:pStyle w:val="TableTextIndented"/>
            </w:pPr>
            <w:r w:rsidRPr="006B5F4F">
              <w:t>International financial institutions — uncalled capital subscriptions</w:t>
            </w:r>
          </w:p>
        </w:tc>
        <w:tc>
          <w:tcPr>
            <w:tcW w:w="672" w:type="pct"/>
            <w:shd w:val="clear" w:color="auto" w:fill="auto"/>
            <w:noWrap/>
            <w:vAlign w:val="center"/>
          </w:tcPr>
          <w:p w14:paraId="22011695" w14:textId="77777777" w:rsidR="002713A6" w:rsidRPr="006B5F4F" w:rsidRDefault="002713A6" w:rsidP="002713A6">
            <w:pPr>
              <w:pStyle w:val="TableTextRight"/>
            </w:pPr>
            <w:r w:rsidRPr="006B5F4F">
              <w:t>Modified</w:t>
            </w:r>
          </w:p>
        </w:tc>
      </w:tr>
      <w:tr w:rsidR="002713A6" w:rsidRPr="006B5F4F" w14:paraId="18A5F492" w14:textId="77777777" w:rsidTr="00C31162">
        <w:trPr>
          <w:cantSplit/>
          <w:trHeight w:val="228"/>
        </w:trPr>
        <w:tc>
          <w:tcPr>
            <w:tcW w:w="4328" w:type="pct"/>
            <w:tcBorders>
              <w:bottom w:val="single" w:sz="2" w:space="0" w:color="7F7F7F"/>
            </w:tcBorders>
            <w:shd w:val="clear" w:color="auto" w:fill="auto"/>
            <w:noWrap/>
            <w:vAlign w:val="bottom"/>
          </w:tcPr>
          <w:p w14:paraId="17D13103" w14:textId="77777777" w:rsidR="002713A6" w:rsidRPr="006B5F4F" w:rsidRDefault="002713A6" w:rsidP="002713A6">
            <w:pPr>
              <w:pStyle w:val="TableTextIndented"/>
            </w:pPr>
            <w:r w:rsidRPr="006B5F4F">
              <w:t>International Monetary Fund</w:t>
            </w:r>
          </w:p>
        </w:tc>
        <w:tc>
          <w:tcPr>
            <w:tcW w:w="672" w:type="pct"/>
            <w:tcBorders>
              <w:bottom w:val="single" w:sz="2" w:space="0" w:color="7F7F7F"/>
            </w:tcBorders>
            <w:shd w:val="clear" w:color="auto" w:fill="auto"/>
            <w:noWrap/>
            <w:vAlign w:val="center"/>
          </w:tcPr>
          <w:p w14:paraId="4F520566" w14:textId="77777777" w:rsidR="002713A6" w:rsidRPr="006B5F4F" w:rsidRDefault="002713A6" w:rsidP="002713A6">
            <w:pPr>
              <w:pStyle w:val="TableTextRight"/>
            </w:pPr>
            <w:r w:rsidRPr="006B5F4F">
              <w:t>Modified</w:t>
            </w:r>
          </w:p>
        </w:tc>
      </w:tr>
      <w:tr w:rsidR="002713A6" w:rsidRPr="006B5F4F" w14:paraId="5763B8E6" w14:textId="77777777" w:rsidTr="00C31162">
        <w:trPr>
          <w:cantSplit/>
          <w:trHeight w:val="228"/>
        </w:trPr>
        <w:tc>
          <w:tcPr>
            <w:tcW w:w="4328" w:type="pct"/>
            <w:tcBorders>
              <w:top w:val="single" w:sz="2" w:space="0" w:color="7F7F7F"/>
            </w:tcBorders>
            <w:shd w:val="clear" w:color="auto" w:fill="E6E6E6"/>
            <w:noWrap/>
            <w:vAlign w:val="center"/>
            <w:hideMark/>
          </w:tcPr>
          <w:p w14:paraId="31A448B3" w14:textId="77777777" w:rsidR="002713A6" w:rsidRPr="006B5F4F" w:rsidRDefault="002713A6" w:rsidP="002713A6">
            <w:pPr>
              <w:pStyle w:val="TableColumnHeadingLeft"/>
            </w:pPr>
            <w:r w:rsidRPr="006B5F4F">
              <w:t xml:space="preserve">Contingent assets </w:t>
            </w:r>
            <w:r w:rsidRPr="006B5F4F">
              <w:rPr>
                <w:rFonts w:ascii="Calibri" w:hAnsi="Calibri"/>
              </w:rPr>
              <w:t>—</w:t>
            </w:r>
            <w:r w:rsidRPr="006B5F4F">
              <w:t xml:space="preserve"> quantifiable</w:t>
            </w:r>
          </w:p>
        </w:tc>
        <w:tc>
          <w:tcPr>
            <w:tcW w:w="672" w:type="pct"/>
            <w:tcBorders>
              <w:top w:val="single" w:sz="2" w:space="0" w:color="7F7F7F"/>
            </w:tcBorders>
            <w:shd w:val="clear" w:color="auto" w:fill="E6E6E6"/>
            <w:noWrap/>
            <w:vAlign w:val="center"/>
          </w:tcPr>
          <w:p w14:paraId="0685D5B2" w14:textId="77777777" w:rsidR="002713A6" w:rsidRPr="006B5F4F" w:rsidRDefault="002713A6" w:rsidP="002713A6">
            <w:pPr>
              <w:pStyle w:val="TableTextLeft"/>
            </w:pPr>
          </w:p>
        </w:tc>
      </w:tr>
      <w:tr w:rsidR="002713A6" w:rsidRPr="006B5F4F" w14:paraId="6FE5AAFF" w14:textId="77777777" w:rsidTr="005E7D9B">
        <w:trPr>
          <w:cantSplit/>
          <w:trHeight w:val="228"/>
        </w:trPr>
        <w:tc>
          <w:tcPr>
            <w:tcW w:w="4328" w:type="pct"/>
            <w:tcBorders>
              <w:bottom w:val="single" w:sz="2" w:space="0" w:color="7F7F7F"/>
            </w:tcBorders>
            <w:shd w:val="clear" w:color="auto" w:fill="auto"/>
            <w:noWrap/>
            <w:vAlign w:val="center"/>
            <w:hideMark/>
          </w:tcPr>
          <w:p w14:paraId="27B921FA" w14:textId="77777777" w:rsidR="002713A6" w:rsidRPr="006B5F4F" w:rsidRDefault="002713A6" w:rsidP="002713A6">
            <w:pPr>
              <w:pStyle w:val="TableColumnHeadingLeft"/>
            </w:pPr>
            <w:r w:rsidRPr="006B5F4F">
              <w:t xml:space="preserve">Defence </w:t>
            </w:r>
          </w:p>
        </w:tc>
        <w:tc>
          <w:tcPr>
            <w:tcW w:w="672" w:type="pct"/>
            <w:tcBorders>
              <w:bottom w:val="single" w:sz="2" w:space="0" w:color="7F7F7F"/>
            </w:tcBorders>
            <w:shd w:val="clear" w:color="auto" w:fill="auto"/>
            <w:noWrap/>
            <w:vAlign w:val="center"/>
          </w:tcPr>
          <w:p w14:paraId="0459462C" w14:textId="77777777" w:rsidR="002713A6" w:rsidRPr="006B5F4F" w:rsidRDefault="002713A6" w:rsidP="002713A6">
            <w:pPr>
              <w:pStyle w:val="TableTextRight"/>
            </w:pPr>
          </w:p>
        </w:tc>
      </w:tr>
      <w:tr w:rsidR="002713A6" w:rsidRPr="006B5F4F" w14:paraId="664A73A4" w14:textId="77777777" w:rsidTr="005E7D9B">
        <w:trPr>
          <w:cantSplit/>
          <w:trHeight w:val="228"/>
        </w:trPr>
        <w:tc>
          <w:tcPr>
            <w:tcW w:w="4328" w:type="pct"/>
            <w:tcBorders>
              <w:bottom w:val="single" w:sz="2" w:space="0" w:color="7F7F7F"/>
            </w:tcBorders>
            <w:shd w:val="clear" w:color="auto" w:fill="auto"/>
            <w:noWrap/>
            <w:vAlign w:val="center"/>
            <w:hideMark/>
          </w:tcPr>
          <w:p w14:paraId="58DDEE7F" w14:textId="77777777" w:rsidR="002713A6" w:rsidRPr="006B5F4F" w:rsidRDefault="002713A6" w:rsidP="002713A6">
            <w:pPr>
              <w:pStyle w:val="TableTextIndented"/>
            </w:pPr>
            <w:r w:rsidRPr="006B5F4F">
              <w:t>Claims by the Department of Defence</w:t>
            </w:r>
          </w:p>
        </w:tc>
        <w:tc>
          <w:tcPr>
            <w:tcW w:w="672" w:type="pct"/>
            <w:tcBorders>
              <w:bottom w:val="single" w:sz="2" w:space="0" w:color="7F7F7F"/>
            </w:tcBorders>
            <w:shd w:val="clear" w:color="auto" w:fill="auto"/>
            <w:noWrap/>
            <w:vAlign w:val="center"/>
          </w:tcPr>
          <w:p w14:paraId="551373B3" w14:textId="77777777" w:rsidR="002713A6" w:rsidRPr="006B5F4F" w:rsidRDefault="002713A6" w:rsidP="002713A6">
            <w:pPr>
              <w:pStyle w:val="TableTextRight"/>
            </w:pPr>
            <w:r w:rsidRPr="006B5F4F">
              <w:t>Modified</w:t>
            </w:r>
          </w:p>
        </w:tc>
      </w:tr>
    </w:tbl>
    <w:p w14:paraId="51433DB5" w14:textId="695A1A5E" w:rsidR="00E77A13" w:rsidRPr="006B5F4F" w:rsidRDefault="00F778C2" w:rsidP="00E77A13">
      <w:pPr>
        <w:pStyle w:val="ChartandTableFootnoteAlpha"/>
      </w:pPr>
      <w:r w:rsidRPr="006B5F4F">
        <w:t xml:space="preserve">Risks appearing in Budget Paper No. 1, </w:t>
      </w:r>
      <w:r w:rsidRPr="006B5F4F">
        <w:rPr>
          <w:i/>
        </w:rPr>
        <w:t xml:space="preserve">Budget Strategy and Outlook </w:t>
      </w:r>
      <w:r w:rsidR="0084512B" w:rsidRPr="006B5F4F">
        <w:rPr>
          <w:i/>
        </w:rPr>
        <w:t>2017-18</w:t>
      </w:r>
      <w:r w:rsidRPr="006B5F4F">
        <w:t xml:space="preserve">, Statement </w:t>
      </w:r>
      <w:r w:rsidR="0084512B" w:rsidRPr="006B5F4F">
        <w:t>9</w:t>
      </w:r>
      <w:r w:rsidRPr="006B5F4F">
        <w:t>, but not listed in the table above are substantially unchanged.</w:t>
      </w:r>
    </w:p>
    <w:p w14:paraId="1BA32E82" w14:textId="77777777" w:rsidR="00E77A13" w:rsidRPr="006B5F4F" w:rsidRDefault="0036365E" w:rsidP="00210C1E">
      <w:pPr>
        <w:pStyle w:val="Heading2"/>
      </w:pPr>
      <w:r w:rsidRPr="006B5F4F">
        <w:t>Fiscal r</w:t>
      </w:r>
      <w:r w:rsidR="00F778C2" w:rsidRPr="006B5F4F">
        <w:t>isks</w:t>
      </w:r>
    </w:p>
    <w:p w14:paraId="5E3BFE54" w14:textId="049CB941" w:rsidR="00E77A13" w:rsidRPr="006B5F4F" w:rsidRDefault="0022162C" w:rsidP="003E36D9">
      <w:r w:rsidRPr="006B5F4F">
        <w:t>Fiscal risks comprise general developments or specific events that may affect the fiscal outlook. Some developments or events raise the possibility of a fiscal impact. In other cases, the likelihood of a fiscal impact may be reasonably certain, but will not be included in the forward estimates because the ti</w:t>
      </w:r>
      <w:r w:rsidR="00B337A9" w:rsidRPr="006B5F4F">
        <w:t>ming or magnitude is not known.</w:t>
      </w:r>
    </w:p>
    <w:p w14:paraId="43CF7C75" w14:textId="1F2FCE18" w:rsidR="0084512B" w:rsidRPr="006B5F4F" w:rsidRDefault="00B337A9" w:rsidP="00210C1E">
      <w:pPr>
        <w:pStyle w:val="Heading3"/>
      </w:pPr>
      <w:r w:rsidRPr="006B5F4F">
        <w:t>Education and Training</w:t>
      </w:r>
    </w:p>
    <w:p w14:paraId="09E6667B" w14:textId="569E760C" w:rsidR="0084512B" w:rsidRPr="006B5F4F" w:rsidRDefault="0084512B" w:rsidP="00D42A4D">
      <w:pPr>
        <w:pStyle w:val="Heading4"/>
      </w:pPr>
      <w:r w:rsidRPr="006B5F4F">
        <w:t>Recovery of inappropriately claimed VE</w:t>
      </w:r>
      <w:r w:rsidR="00B337A9" w:rsidRPr="006B5F4F">
        <w:t>T FEE-HELP funds from providers</w:t>
      </w:r>
    </w:p>
    <w:p w14:paraId="58C694D6" w14:textId="6D069B79" w:rsidR="000E4CB1" w:rsidRPr="006B5F4F" w:rsidRDefault="000E4CB1" w:rsidP="000E4CB1">
      <w:r w:rsidRPr="006B5F4F">
        <w:t>The Government is undertaking compliance action</w:t>
      </w:r>
      <w:r w:rsidR="00F83B32" w:rsidRPr="006B5F4F">
        <w:t>, including court action,</w:t>
      </w:r>
      <w:r w:rsidRPr="006B5F4F">
        <w:t xml:space="preserve"> to recover VET FEE-HELP payments from VET providers where loans were inappropriately issued to students by providers. A number of VET FEE-HELP providers have entered administration or liquidation. There is a potential financial risk to the Commonwealth in the event that compliance action results in student loan </w:t>
      </w:r>
      <w:proofErr w:type="gramStart"/>
      <w:r w:rsidRPr="006B5F4F">
        <w:t>debts being</w:t>
      </w:r>
      <w:proofErr w:type="gramEnd"/>
      <w:r w:rsidRPr="006B5F4F">
        <w:t xml:space="preserve"> remitted but</w:t>
      </w:r>
      <w:r w:rsidR="00596075" w:rsidRPr="006B5F4F">
        <w:t xml:space="preserve"> the Commonwealth is unable to recover the payments from providers</w:t>
      </w:r>
      <w:r w:rsidRPr="006B5F4F">
        <w:t xml:space="preserve">. There is also a financial risk to </w:t>
      </w:r>
      <w:r w:rsidR="00596075" w:rsidRPr="006B5F4F">
        <w:t xml:space="preserve">the Commonwealth </w:t>
      </w:r>
      <w:r w:rsidRPr="006B5F4F">
        <w:t xml:space="preserve">that it will be </w:t>
      </w:r>
      <w:r w:rsidR="007C2919" w:rsidRPr="006B5F4F">
        <w:t xml:space="preserve">unable to recover the </w:t>
      </w:r>
      <w:r w:rsidRPr="006B5F4F">
        <w:t xml:space="preserve">cost of remitting student debts </w:t>
      </w:r>
      <w:r w:rsidR="007C2919" w:rsidRPr="006B5F4F">
        <w:t xml:space="preserve">from </w:t>
      </w:r>
      <w:r w:rsidRPr="006B5F4F">
        <w:t>tuition assurance operators following provider closures.</w:t>
      </w:r>
    </w:p>
    <w:p w14:paraId="0BFEB974" w14:textId="4759BD79" w:rsidR="00DE04C1" w:rsidRPr="006B5F4F" w:rsidRDefault="00DE04C1" w:rsidP="00210C1E">
      <w:pPr>
        <w:pStyle w:val="Heading3"/>
      </w:pPr>
      <w:r w:rsidRPr="006B5F4F">
        <w:lastRenderedPageBreak/>
        <w:t>Environment and Energy</w:t>
      </w:r>
    </w:p>
    <w:p w14:paraId="461D3E07" w14:textId="77777777" w:rsidR="00DE04C1" w:rsidRPr="006B5F4F" w:rsidRDefault="00DE04C1" w:rsidP="00D42A4D">
      <w:pPr>
        <w:pStyle w:val="Heading4"/>
      </w:pPr>
      <w:r w:rsidRPr="006B5F4F">
        <w:t>Snowy Hydro Limited – Government Shareholding</w:t>
      </w:r>
    </w:p>
    <w:p w14:paraId="6AE176CB" w14:textId="15675C38" w:rsidR="00DE04C1" w:rsidRPr="006B5F4F" w:rsidRDefault="00DE04C1" w:rsidP="00965B70">
      <w:r w:rsidRPr="006B5F4F">
        <w:t xml:space="preserve">The Australian Government is open to acquiring a larger share or outright ownership of Snowy Hydro Limited. If an agreement is reached with the NSW and Victorian Governments, the purchase and transfer of the NSW and Victorian Governments’ shares in Snowy Hydro Limited to the Commonwealth will have financial implications for the fiscal position, for example by increasing assets and liabilities on the Australian Government’s balance sheet, and depending on the nature </w:t>
      </w:r>
      <w:r w:rsidR="003B797D" w:rsidRPr="006B5F4F">
        <w:t xml:space="preserve">of </w:t>
      </w:r>
      <w:r w:rsidRPr="006B5F4F">
        <w:t xml:space="preserve">the agreement, </w:t>
      </w:r>
      <w:r w:rsidR="00DE418A" w:rsidRPr="006B5F4F">
        <w:t>through changed dividend distributions</w:t>
      </w:r>
      <w:r w:rsidRPr="006B5F4F">
        <w:t>.</w:t>
      </w:r>
    </w:p>
    <w:p w14:paraId="1822267A" w14:textId="3949846B" w:rsidR="000E3032" w:rsidRPr="006B5F4F" w:rsidRDefault="000E3032" w:rsidP="00210C1E">
      <w:pPr>
        <w:pStyle w:val="Heading3"/>
      </w:pPr>
      <w:r w:rsidRPr="006B5F4F">
        <w:t>Home Affairs</w:t>
      </w:r>
    </w:p>
    <w:p w14:paraId="712AC765" w14:textId="28C0E59A" w:rsidR="000E3032" w:rsidRPr="006B5F4F" w:rsidRDefault="000E3032" w:rsidP="00D42A4D">
      <w:pPr>
        <w:pStyle w:val="Heading4"/>
      </w:pPr>
      <w:r w:rsidRPr="006B5F4F">
        <w:t>R</w:t>
      </w:r>
      <w:r w:rsidR="00B337A9" w:rsidRPr="006B5F4F">
        <w:t>egional Processing Arrangements</w:t>
      </w:r>
    </w:p>
    <w:p w14:paraId="11306CEC" w14:textId="0E699CE9" w:rsidR="000E3032" w:rsidRPr="006B5F4F" w:rsidRDefault="000E3032" w:rsidP="009A0347">
      <w:r w:rsidRPr="006B5F4F">
        <w:t>The Australian Government funds services to transferees in regional processing countries to support host governments’ management, removal and resettlement of these people. Any significant changes in the number of transferees, the arrangements that underpin the provision of those services, or relevant litigation, may incur a cost or generate cost reductions which are unquantifiable at this time.</w:t>
      </w:r>
    </w:p>
    <w:p w14:paraId="1BC976AA" w14:textId="0D8C51FC" w:rsidR="0084512B" w:rsidRPr="006B5F4F" w:rsidRDefault="0084512B" w:rsidP="00210C1E">
      <w:pPr>
        <w:pStyle w:val="Heading3"/>
      </w:pPr>
      <w:r w:rsidRPr="006B5F4F">
        <w:t>Infrastr</w:t>
      </w:r>
      <w:r w:rsidR="00B337A9" w:rsidRPr="006B5F4F">
        <w:t>ucture and Regional Development</w:t>
      </w:r>
    </w:p>
    <w:p w14:paraId="1ADA241D" w14:textId="2208C2BF" w:rsidR="0084512B" w:rsidRPr="006B5F4F" w:rsidRDefault="00B337A9" w:rsidP="00D42A4D">
      <w:pPr>
        <w:pStyle w:val="Heading4"/>
      </w:pPr>
      <w:r w:rsidRPr="006B5F4F">
        <w:t>Inland Rail — Delivery</w:t>
      </w:r>
    </w:p>
    <w:p w14:paraId="207F36E2" w14:textId="0979EBD5" w:rsidR="00AB5753" w:rsidRPr="006B5F4F" w:rsidRDefault="00AB5753" w:rsidP="00AB5753">
      <w:r w:rsidRPr="006B5F4F">
        <w:t xml:space="preserve">The </w:t>
      </w:r>
      <w:r w:rsidR="00CC744E" w:rsidRPr="006B5F4F">
        <w:t>Australian Government has committed to deliver the Inland Rail project through the Australian Rail Track Corporation (ARTC) to provide a direct, high-performance freight rail corridor between Melbourne and Brisbane, as well as a new freight corridor between B</w:t>
      </w:r>
      <w:r w:rsidR="00B337A9" w:rsidRPr="006B5F4F">
        <w:t>risbane and Perth (via Parkes).</w:t>
      </w:r>
    </w:p>
    <w:p w14:paraId="133AFCD1" w14:textId="6160341E" w:rsidR="00CC744E" w:rsidRPr="006B5F4F" w:rsidRDefault="00CC744E" w:rsidP="00CC744E">
      <w:r w:rsidRPr="006B5F4F">
        <w:t xml:space="preserve">The ARTC will deliver Inland Rail using up to </w:t>
      </w:r>
      <w:r w:rsidR="00D91C55" w:rsidRPr="006B5F4F">
        <w:t xml:space="preserve">a </w:t>
      </w:r>
      <w:r w:rsidRPr="006B5F4F">
        <w:t>$9</w:t>
      </w:r>
      <w:r w:rsidR="007F4138" w:rsidRPr="006B5F4F">
        <w:t> </w:t>
      </w:r>
      <w:r w:rsidRPr="006B5F4F">
        <w:t xml:space="preserve">billion equity investment from the Commonwealth. A Public Private Partnership will be established to design, build, finance and maintain the complex Toowoomba to </w:t>
      </w:r>
      <w:proofErr w:type="spellStart"/>
      <w:r w:rsidRPr="006B5F4F">
        <w:t>Kagaru</w:t>
      </w:r>
      <w:proofErr w:type="spellEnd"/>
      <w:r w:rsidRPr="006B5F4F">
        <w:t xml:space="preserve"> (Brisbane) section of the project, in</w:t>
      </w:r>
      <w:r w:rsidR="00B337A9" w:rsidRPr="006B5F4F">
        <w:t>cluding major tunnelling works.</w:t>
      </w:r>
    </w:p>
    <w:p w14:paraId="2F9DC6C7" w14:textId="0C1F562D" w:rsidR="00CC744E" w:rsidRPr="006B5F4F" w:rsidRDefault="00CC744E" w:rsidP="000E4CB1">
      <w:r w:rsidRPr="006B5F4F">
        <w:t xml:space="preserve">Project costs will not be finalised until procurements, alignment and reference designs are completed. Project risks include securing jurisdictional support, construction delays, cost pressures, and revenues realised. These pressures are being mitigated through </w:t>
      </w:r>
      <w:r w:rsidR="00D91C55" w:rsidRPr="006B5F4F">
        <w:t>close management of the</w:t>
      </w:r>
      <w:r w:rsidRPr="006B5F4F">
        <w:t xml:space="preserve"> delivery </w:t>
      </w:r>
      <w:r w:rsidR="001F7007" w:rsidRPr="006B5F4F">
        <w:t xml:space="preserve">program </w:t>
      </w:r>
      <w:r w:rsidRPr="006B5F4F">
        <w:t>and progressing pre-construction activities.</w:t>
      </w:r>
    </w:p>
    <w:p w14:paraId="699EDFCC" w14:textId="55658CDC" w:rsidR="003639FF" w:rsidRPr="006B5F4F" w:rsidRDefault="00F778C2" w:rsidP="00210C1E">
      <w:pPr>
        <w:pStyle w:val="Heading2"/>
      </w:pPr>
      <w:r w:rsidRPr="006B5F4F">
        <w:t>Signi</w:t>
      </w:r>
      <w:r w:rsidR="00160EC1" w:rsidRPr="006B5F4F">
        <w:t>ficant but remote contingencies</w:t>
      </w:r>
    </w:p>
    <w:p w14:paraId="16309C5C" w14:textId="4D8F2C82" w:rsidR="00DC4CC0" w:rsidRPr="006B5F4F" w:rsidRDefault="00B337A9" w:rsidP="00210C1E">
      <w:pPr>
        <w:pStyle w:val="Heading3"/>
      </w:pPr>
      <w:r w:rsidRPr="006B5F4F">
        <w:t>Communications and the Arts</w:t>
      </w:r>
    </w:p>
    <w:p w14:paraId="61EB2AB2" w14:textId="30A7DB76" w:rsidR="00DC4CC0" w:rsidRPr="006B5F4F" w:rsidRDefault="00DC4CC0" w:rsidP="00D42A4D">
      <w:pPr>
        <w:pStyle w:val="Heading4"/>
      </w:pPr>
      <w:r w:rsidRPr="006B5F4F">
        <w:t>NB</w:t>
      </w:r>
      <w:r w:rsidR="00B337A9" w:rsidRPr="006B5F4F">
        <w:t>N Co Limited — Equity Agreement</w:t>
      </w:r>
    </w:p>
    <w:p w14:paraId="15D1CE20" w14:textId="151CC81B" w:rsidR="00DC4CC0" w:rsidRPr="006B5F4F" w:rsidRDefault="00DC4CC0" w:rsidP="00DC4CC0">
      <w:pPr>
        <w:rPr>
          <w:rFonts w:eastAsia="Calibri"/>
        </w:rPr>
      </w:pPr>
      <w:r w:rsidRPr="006B5F4F">
        <w:rPr>
          <w:rFonts w:eastAsia="Calibri"/>
        </w:rPr>
        <w:t xml:space="preserve">The Australian Government has entered into an Equity Funding Agreement with NBN Co Limited (NBN Co). The Agreement formalises the Australian Government’s </w:t>
      </w:r>
      <w:r w:rsidRPr="006B5F4F">
        <w:rPr>
          <w:rFonts w:eastAsia="Calibri"/>
        </w:rPr>
        <w:lastRenderedPageBreak/>
        <w:t>intention to provide equity to fund the roll-out of the National Broadband Network, with such funding being conditional on the annual appropriation processes. In</w:t>
      </w:r>
      <w:r w:rsidR="0014402C" w:rsidRPr="006B5F4F">
        <w:rPr>
          <w:rFonts w:eastAsia="Calibri"/>
        </w:rPr>
        <w:t> </w:t>
      </w:r>
      <w:r w:rsidRPr="006B5F4F">
        <w:rPr>
          <w:rFonts w:eastAsia="Calibri"/>
        </w:rPr>
        <w:t xml:space="preserve">addition, it commits the Australian Government, in the event of a termination of the National Broadband Network roll-out, to provide sufficient funds to NBN Co to meet its costs arising from that termination. </w:t>
      </w:r>
      <w:r w:rsidR="00F83B32" w:rsidRPr="006B5F4F">
        <w:rPr>
          <w:rFonts w:eastAsia="Calibri"/>
        </w:rPr>
        <w:t xml:space="preserve">All equity under this agreement has been provided. </w:t>
      </w:r>
      <w:r w:rsidRPr="006B5F4F">
        <w:rPr>
          <w:rFonts w:eastAsia="Calibri"/>
        </w:rPr>
        <w:t xml:space="preserve">Although the NBN Co Equity Funding Agreement will end in 2019, the Commonwealth would retain obligations to meet NBN </w:t>
      </w:r>
      <w:proofErr w:type="spellStart"/>
      <w:r w:rsidRPr="006B5F4F">
        <w:rPr>
          <w:rFonts w:eastAsia="Calibri"/>
        </w:rPr>
        <w:t>Co’s</w:t>
      </w:r>
      <w:proofErr w:type="spellEnd"/>
      <w:r w:rsidRPr="006B5F4F">
        <w:rPr>
          <w:rFonts w:eastAsia="Calibri"/>
        </w:rPr>
        <w:t xml:space="preserve"> costs arising from a termination of the roll</w:t>
      </w:r>
      <w:r w:rsidR="007F4138" w:rsidRPr="006B5F4F">
        <w:rPr>
          <w:rFonts w:eastAsia="Calibri"/>
        </w:rPr>
        <w:noBreakHyphen/>
      </w:r>
      <w:r w:rsidRPr="006B5F4F">
        <w:rPr>
          <w:rFonts w:eastAsia="Calibri"/>
        </w:rPr>
        <w:t xml:space="preserve">out. As at </w:t>
      </w:r>
      <w:r w:rsidR="00E91C9E" w:rsidRPr="006B5F4F">
        <w:rPr>
          <w:rFonts w:eastAsia="Calibri"/>
        </w:rPr>
        <w:t>30 September</w:t>
      </w:r>
      <w:r w:rsidRPr="006B5F4F">
        <w:rPr>
          <w:rFonts w:eastAsia="Calibri"/>
        </w:rPr>
        <w:t xml:space="preserve"> 2017, NBN </w:t>
      </w:r>
      <w:proofErr w:type="spellStart"/>
      <w:r w:rsidRPr="006B5F4F">
        <w:rPr>
          <w:rFonts w:eastAsia="Calibri"/>
        </w:rPr>
        <w:t>Co’s</w:t>
      </w:r>
      <w:proofErr w:type="spellEnd"/>
      <w:r w:rsidRPr="006B5F4F">
        <w:rPr>
          <w:rFonts w:eastAsia="Calibri"/>
        </w:rPr>
        <w:t xml:space="preserve"> termination liabilities were estimated at </w:t>
      </w:r>
      <w:r w:rsidR="00E91C9E" w:rsidRPr="006B5F4F">
        <w:rPr>
          <w:rFonts w:eastAsia="Calibri"/>
        </w:rPr>
        <w:t>$15.9</w:t>
      </w:r>
      <w:r w:rsidR="00BC395F" w:rsidRPr="006B5F4F">
        <w:rPr>
          <w:rFonts w:eastAsia="Calibri"/>
        </w:rPr>
        <w:t> </w:t>
      </w:r>
      <w:r w:rsidRPr="006B5F4F">
        <w:rPr>
          <w:rFonts w:eastAsia="Calibri"/>
        </w:rPr>
        <w:t>billion.</w:t>
      </w:r>
    </w:p>
    <w:p w14:paraId="2CDD64D6" w14:textId="11B6F083" w:rsidR="00DC4CC0" w:rsidRPr="006B5F4F" w:rsidRDefault="00DC4CC0" w:rsidP="00D42A4D">
      <w:pPr>
        <w:pStyle w:val="Heading4"/>
      </w:pPr>
      <w:r w:rsidRPr="006B5F4F">
        <w:t xml:space="preserve">Optus </w:t>
      </w:r>
      <w:r w:rsidR="007F4138" w:rsidRPr="006B5F4F">
        <w:t>Financial G</w:t>
      </w:r>
      <w:r w:rsidR="00B337A9" w:rsidRPr="006B5F4F">
        <w:t>uarantee</w:t>
      </w:r>
    </w:p>
    <w:p w14:paraId="44723CF5" w14:textId="4D1F30D7" w:rsidR="00DC4CC0" w:rsidRPr="006B5F4F" w:rsidRDefault="00DC4CC0" w:rsidP="00DC4CC0">
      <w:pPr>
        <w:rPr>
          <w:rFonts w:eastAsia="Calibri"/>
        </w:rPr>
      </w:pPr>
      <w:r w:rsidRPr="006B5F4F">
        <w:rPr>
          <w:rFonts w:eastAsia="Calibri"/>
        </w:rPr>
        <w:t xml:space="preserve">The Australian Government has provided a guarantee in respect of the </w:t>
      </w:r>
      <w:r w:rsidR="00061CF7" w:rsidRPr="006B5F4F">
        <w:rPr>
          <w:rFonts w:eastAsia="Calibri"/>
        </w:rPr>
        <w:t>NBN Co</w:t>
      </w:r>
      <w:r w:rsidRPr="006B5F4F">
        <w:rPr>
          <w:rFonts w:eastAsia="Calibri"/>
        </w:rPr>
        <w:t xml:space="preserve"> financial obligations to Optus Networks Pty Ltd, Optus Internet Pty Limited, Optus</w:t>
      </w:r>
      <w:r w:rsidR="00564F9B" w:rsidRPr="006B5F4F">
        <w:rPr>
          <w:rFonts w:eastAsia="Calibri"/>
        </w:rPr>
        <w:t> </w:t>
      </w:r>
      <w:r w:rsidRPr="006B5F4F">
        <w:rPr>
          <w:rFonts w:eastAsia="Calibri"/>
        </w:rPr>
        <w:t>Vision Media Pty Limited and SingTel Optus Pty Ltd (collectively, Optus) under the Optus HFC Subscriber Agreement. The Agreement was amended on</w:t>
      </w:r>
      <w:r w:rsidR="00564F9B" w:rsidRPr="006B5F4F">
        <w:rPr>
          <w:rFonts w:eastAsia="Calibri"/>
        </w:rPr>
        <w:br/>
      </w:r>
      <w:r w:rsidRPr="006B5F4F">
        <w:rPr>
          <w:rFonts w:eastAsia="Calibri"/>
        </w:rPr>
        <w:t>19 September 2015. The Agreement extends for the period of the National Broadband Network</w:t>
      </w:r>
      <w:r w:rsidR="00564F9B" w:rsidRPr="006B5F4F">
        <w:rPr>
          <w:rFonts w:eastAsia="Calibri"/>
        </w:rPr>
        <w:t xml:space="preserve"> </w:t>
      </w:r>
      <w:r w:rsidRPr="006B5F4F">
        <w:rPr>
          <w:rFonts w:eastAsia="Calibri"/>
        </w:rPr>
        <w:t xml:space="preserve">roll-out in Optus Hybrid Fibre Coaxial areas. The Australian Government is only liable in the event NBN Co does not pay an amount when due under the </w:t>
      </w:r>
      <w:r w:rsidR="00E91C9E" w:rsidRPr="006B5F4F">
        <w:rPr>
          <w:rFonts w:eastAsia="Calibri"/>
        </w:rPr>
        <w:t>Optus</w:t>
      </w:r>
      <w:r w:rsidR="0014402C" w:rsidRPr="006B5F4F">
        <w:rPr>
          <w:rFonts w:eastAsia="Calibri"/>
        </w:rPr>
        <w:t> </w:t>
      </w:r>
      <w:r w:rsidRPr="006B5F4F">
        <w:rPr>
          <w:rFonts w:eastAsia="Calibri"/>
        </w:rPr>
        <w:t xml:space="preserve">Agreement. </w:t>
      </w:r>
      <w:proofErr w:type="gramStart"/>
      <w:r w:rsidRPr="006B5F4F">
        <w:rPr>
          <w:rFonts w:eastAsia="Calibri"/>
        </w:rPr>
        <w:t xml:space="preserve">As at </w:t>
      </w:r>
      <w:r w:rsidR="00E91C9E" w:rsidRPr="006B5F4F">
        <w:rPr>
          <w:rFonts w:eastAsia="Calibri"/>
        </w:rPr>
        <w:t>30 September</w:t>
      </w:r>
      <w:r w:rsidRPr="006B5F4F">
        <w:rPr>
          <w:rFonts w:eastAsia="Calibri"/>
        </w:rPr>
        <w:t xml:space="preserve"> 2017, NBN Co had generated liabilities covered by the Optus Agreement, which are estimated at an amount lower than </w:t>
      </w:r>
      <w:r w:rsidR="00E91C9E" w:rsidRPr="006B5F4F">
        <w:rPr>
          <w:rFonts w:eastAsia="Calibri"/>
        </w:rPr>
        <w:t>$125</w:t>
      </w:r>
      <w:r w:rsidRPr="006B5F4F">
        <w:rPr>
          <w:rFonts w:eastAsia="Calibri"/>
        </w:rPr>
        <w:t xml:space="preserve"> million.</w:t>
      </w:r>
      <w:proofErr w:type="gramEnd"/>
      <w:r w:rsidRPr="006B5F4F">
        <w:rPr>
          <w:rFonts w:eastAsia="Calibri"/>
        </w:rPr>
        <w:t xml:space="preserve"> There is a low risk that a claim </w:t>
      </w:r>
      <w:r w:rsidR="00F83B32" w:rsidRPr="006B5F4F">
        <w:rPr>
          <w:rFonts w:eastAsia="Calibri"/>
        </w:rPr>
        <w:t xml:space="preserve">would </w:t>
      </w:r>
      <w:r w:rsidRPr="006B5F4F">
        <w:rPr>
          <w:rFonts w:eastAsia="Calibri"/>
        </w:rPr>
        <w:t>be made under the Guarantee. The Gu</w:t>
      </w:r>
      <w:r w:rsidR="00B337A9" w:rsidRPr="006B5F4F">
        <w:rPr>
          <w:rFonts w:eastAsia="Calibri"/>
        </w:rPr>
        <w:t>arantee will terminate in 2021.</w:t>
      </w:r>
    </w:p>
    <w:p w14:paraId="6D996D53" w14:textId="45112F91" w:rsidR="00DC4CC0" w:rsidRPr="006B5F4F" w:rsidRDefault="007F4138" w:rsidP="00D42A4D">
      <w:pPr>
        <w:pStyle w:val="Heading4"/>
      </w:pPr>
      <w:r w:rsidRPr="006B5F4F">
        <w:t>Telstra F</w:t>
      </w:r>
      <w:r w:rsidR="00B337A9" w:rsidRPr="006B5F4F">
        <w:t>inancial Guarantee</w:t>
      </w:r>
    </w:p>
    <w:p w14:paraId="3203FFB1" w14:textId="7D53FC50" w:rsidR="00DC4CC0" w:rsidRPr="006B5F4F" w:rsidRDefault="00DC4CC0" w:rsidP="00DC4CC0">
      <w:pPr>
        <w:rPr>
          <w:rFonts w:eastAsia="Calibri"/>
        </w:rPr>
      </w:pPr>
      <w:r w:rsidRPr="006B5F4F">
        <w:rPr>
          <w:rFonts w:eastAsia="Calibri"/>
        </w:rPr>
        <w:t xml:space="preserve">The Australian Government has provided </w:t>
      </w:r>
      <w:r w:rsidR="00E91C9E" w:rsidRPr="006B5F4F">
        <w:rPr>
          <w:rFonts w:eastAsia="Calibri"/>
        </w:rPr>
        <w:t xml:space="preserve">to Telstra Corporation Limited (Telstra) </w:t>
      </w:r>
      <w:r w:rsidRPr="006B5F4F">
        <w:rPr>
          <w:rFonts w:eastAsia="Calibri"/>
        </w:rPr>
        <w:t xml:space="preserve">a </w:t>
      </w:r>
      <w:r w:rsidR="00E91C9E" w:rsidRPr="006B5F4F">
        <w:rPr>
          <w:rFonts w:eastAsia="Calibri"/>
        </w:rPr>
        <w:t>G</w:t>
      </w:r>
      <w:r w:rsidRPr="006B5F4F">
        <w:rPr>
          <w:rFonts w:eastAsia="Calibri"/>
        </w:rPr>
        <w:t xml:space="preserve">uarantee in respect of NBN Co financial obligations under the Definitive Agreements. The Agreements were amended on 14 December 2014. The Guarantee was not amended at that time and it continues in force in accordance with its terms in respect of the amended Definitive Agreements. The liabilities under the </w:t>
      </w:r>
      <w:r w:rsidR="00E91C9E" w:rsidRPr="006B5F4F">
        <w:rPr>
          <w:rFonts w:eastAsia="Calibri"/>
        </w:rPr>
        <w:t>Definitive A</w:t>
      </w:r>
      <w:r w:rsidRPr="006B5F4F">
        <w:rPr>
          <w:rFonts w:eastAsia="Calibri"/>
        </w:rPr>
        <w:t>greements between Telstra and NBN Co aris</w:t>
      </w:r>
      <w:r w:rsidR="00B349E5" w:rsidRPr="006B5F4F">
        <w:rPr>
          <w:rFonts w:eastAsia="Calibri"/>
        </w:rPr>
        <w:t>e progressively during the roll</w:t>
      </w:r>
      <w:r w:rsidR="00B349E5" w:rsidRPr="006B5F4F">
        <w:rPr>
          <w:rFonts w:eastAsia="Calibri"/>
        </w:rPr>
        <w:noBreakHyphen/>
      </w:r>
      <w:r w:rsidRPr="006B5F4F">
        <w:rPr>
          <w:rFonts w:eastAsia="Calibri"/>
        </w:rPr>
        <w:t xml:space="preserve">out of the National Broadband Network as Telstra’s infrastructure is accessed and Telstra’s customers are disconnected from its copper and Hybrid Fibre Coaxial cable networks. The Australian Government is only liable in the event NBN Co does not pay an amount when due under the Definitive Agreements. As at </w:t>
      </w:r>
      <w:r w:rsidR="00E91C9E" w:rsidRPr="006B5F4F">
        <w:rPr>
          <w:rFonts w:eastAsia="Calibri"/>
        </w:rPr>
        <w:t>30 September</w:t>
      </w:r>
      <w:r w:rsidRPr="006B5F4F">
        <w:rPr>
          <w:rFonts w:eastAsia="Calibri"/>
        </w:rPr>
        <w:t xml:space="preserve"> 2017, NBN</w:t>
      </w:r>
      <w:r w:rsidR="0014402C" w:rsidRPr="006B5F4F">
        <w:rPr>
          <w:rFonts w:eastAsia="Calibri"/>
        </w:rPr>
        <w:t> </w:t>
      </w:r>
      <w:r w:rsidRPr="006B5F4F">
        <w:rPr>
          <w:rFonts w:eastAsia="Calibri"/>
        </w:rPr>
        <w:t xml:space="preserve">Co had generated liabilities covered by the </w:t>
      </w:r>
      <w:r w:rsidR="00061CF7" w:rsidRPr="006B5F4F">
        <w:rPr>
          <w:rFonts w:eastAsia="Calibri"/>
        </w:rPr>
        <w:t>G</w:t>
      </w:r>
      <w:r w:rsidRPr="006B5F4F">
        <w:rPr>
          <w:rFonts w:eastAsia="Calibri"/>
        </w:rPr>
        <w:t xml:space="preserve">uarantee estimated at </w:t>
      </w:r>
      <w:r w:rsidR="00E91C9E" w:rsidRPr="006B5F4F">
        <w:rPr>
          <w:rFonts w:eastAsia="Calibri"/>
        </w:rPr>
        <w:t>$7.0</w:t>
      </w:r>
      <w:r w:rsidRPr="006B5F4F">
        <w:rPr>
          <w:rFonts w:eastAsia="Calibri"/>
        </w:rPr>
        <w:t xml:space="preserve"> billion. The </w:t>
      </w:r>
      <w:r w:rsidR="00E91C9E" w:rsidRPr="006B5F4F">
        <w:rPr>
          <w:rFonts w:eastAsia="Calibri"/>
        </w:rPr>
        <w:t>G</w:t>
      </w:r>
      <w:r w:rsidRPr="006B5F4F">
        <w:rPr>
          <w:rFonts w:eastAsia="Calibri"/>
        </w:rPr>
        <w:t>uarantee will terminate when NBN Co achieves specified credit ratings for a period of t</w:t>
      </w:r>
      <w:r w:rsidR="00B337A9" w:rsidRPr="006B5F4F">
        <w:rPr>
          <w:rFonts w:eastAsia="Calibri"/>
        </w:rPr>
        <w:t>wo continuous years and either:</w:t>
      </w:r>
    </w:p>
    <w:p w14:paraId="5E74EA90" w14:textId="77777777" w:rsidR="00E024FF" w:rsidRPr="006B5F4F" w:rsidRDefault="00E024FF" w:rsidP="00C5259B">
      <w:pPr>
        <w:pStyle w:val="Bullet"/>
      </w:pPr>
      <w:r w:rsidRPr="006B5F4F">
        <w:t>the company is capitalised by the Commonwealth to the agreed amount; or</w:t>
      </w:r>
    </w:p>
    <w:p w14:paraId="4657782B" w14:textId="77777777" w:rsidR="00DC4CC0" w:rsidRPr="006B5F4F" w:rsidRDefault="00E024FF" w:rsidP="00C5259B">
      <w:pPr>
        <w:pStyle w:val="Bullet"/>
      </w:pPr>
      <w:proofErr w:type="gramStart"/>
      <w:r w:rsidRPr="006B5F4F">
        <w:t>the</w:t>
      </w:r>
      <w:proofErr w:type="gramEnd"/>
      <w:r w:rsidRPr="006B5F4F">
        <w:t xml:space="preserve"> Communications Minister declares, under the </w:t>
      </w:r>
      <w:r w:rsidRPr="006B5F4F">
        <w:rPr>
          <w:i/>
        </w:rPr>
        <w:t>National Broadband Network Companies Act 2011</w:t>
      </w:r>
      <w:r w:rsidRPr="006B5F4F">
        <w:t>, that, in his or her opinion, the National Broadband Network should be treated as built and fully operational.</w:t>
      </w:r>
    </w:p>
    <w:p w14:paraId="24A9EC01" w14:textId="77777777" w:rsidR="00E024FF" w:rsidRPr="006B5F4F" w:rsidRDefault="00E024FF" w:rsidP="00210C1E">
      <w:pPr>
        <w:pStyle w:val="Heading3"/>
      </w:pPr>
      <w:r w:rsidRPr="006B5F4F">
        <w:lastRenderedPageBreak/>
        <w:t>Defence</w:t>
      </w:r>
    </w:p>
    <w:p w14:paraId="41709405" w14:textId="10FC6F02" w:rsidR="00F5718F" w:rsidRPr="006B5F4F" w:rsidRDefault="00B337A9" w:rsidP="00D42A4D">
      <w:pPr>
        <w:pStyle w:val="Heading4"/>
      </w:pPr>
      <w:r w:rsidRPr="006B5F4F">
        <w:t>Remote contingencies</w:t>
      </w:r>
    </w:p>
    <w:p w14:paraId="570C4151" w14:textId="614D0B10" w:rsidR="00F5718F" w:rsidRPr="006B5F4F" w:rsidRDefault="00F5718F" w:rsidP="00F5718F">
      <w:pPr>
        <w:rPr>
          <w:rFonts w:eastAsia="Calibri"/>
        </w:rPr>
      </w:pPr>
      <w:r w:rsidRPr="006B5F4F">
        <w:rPr>
          <w:rFonts w:eastAsia="Calibri"/>
        </w:rPr>
        <w:t xml:space="preserve">As at 31 </w:t>
      </w:r>
      <w:r w:rsidR="003A6237" w:rsidRPr="006B5F4F">
        <w:rPr>
          <w:rFonts w:eastAsia="Calibri"/>
        </w:rPr>
        <w:t xml:space="preserve">October </w:t>
      </w:r>
      <w:r w:rsidRPr="006B5F4F">
        <w:rPr>
          <w:rFonts w:eastAsia="Calibri"/>
        </w:rPr>
        <w:t xml:space="preserve">2017, the Department of Defence carried </w:t>
      </w:r>
      <w:r w:rsidR="003A6237" w:rsidRPr="006B5F4F">
        <w:rPr>
          <w:rFonts w:eastAsia="Calibri"/>
        </w:rPr>
        <w:t>1,479</w:t>
      </w:r>
      <w:r w:rsidRPr="006B5F4F">
        <w:rPr>
          <w:rFonts w:eastAsia="Calibri"/>
        </w:rPr>
        <w:t xml:space="preserve"> instances of quantifiable remote contingent liabilities valued at </w:t>
      </w:r>
      <w:r w:rsidR="003A6237" w:rsidRPr="006B5F4F">
        <w:rPr>
          <w:rFonts w:eastAsia="Calibri"/>
        </w:rPr>
        <w:t>$5.1</w:t>
      </w:r>
      <w:r w:rsidRPr="006B5F4F">
        <w:rPr>
          <w:rFonts w:eastAsia="Calibri"/>
        </w:rPr>
        <w:t xml:space="preserve"> billion and </w:t>
      </w:r>
      <w:r w:rsidR="003A6237" w:rsidRPr="006B5F4F">
        <w:rPr>
          <w:rFonts w:eastAsia="Calibri"/>
        </w:rPr>
        <w:t xml:space="preserve">27 </w:t>
      </w:r>
      <w:r w:rsidRPr="006B5F4F">
        <w:rPr>
          <w:rFonts w:eastAsia="Calibri"/>
        </w:rPr>
        <w:t>instances of unquantifiable</w:t>
      </w:r>
      <w:r w:rsidR="00B337A9" w:rsidRPr="006B5F4F">
        <w:rPr>
          <w:rFonts w:eastAsia="Calibri"/>
        </w:rPr>
        <w:t xml:space="preserve"> remote contingent liabilities.</w:t>
      </w:r>
    </w:p>
    <w:p w14:paraId="6DC5CF15" w14:textId="2FE84FDB" w:rsidR="00FD62D1" w:rsidRPr="006B5F4F" w:rsidRDefault="00FD62D1" w:rsidP="00FD62D1">
      <w:pPr>
        <w:rPr>
          <w:rFonts w:eastAsia="Calibri"/>
        </w:rPr>
      </w:pPr>
      <w:r w:rsidRPr="006B5F4F">
        <w:rPr>
          <w:rFonts w:eastAsia="Calibri"/>
        </w:rPr>
        <w:t>These significant remote contingent liabilities are restricted in nature and details are not given due to reasons of commercial in confi</w:t>
      </w:r>
      <w:r w:rsidR="00B337A9" w:rsidRPr="006B5F4F">
        <w:rPr>
          <w:rFonts w:eastAsia="Calibri"/>
        </w:rPr>
        <w:t>dence and/or national security.</w:t>
      </w:r>
    </w:p>
    <w:p w14:paraId="3C21EE9B" w14:textId="698463E4" w:rsidR="00301197" w:rsidRPr="006B5F4F" w:rsidRDefault="00301197" w:rsidP="00210C1E">
      <w:pPr>
        <w:pStyle w:val="Heading3"/>
      </w:pPr>
      <w:r w:rsidRPr="006B5F4F">
        <w:t xml:space="preserve">Infrastructure </w:t>
      </w:r>
      <w:r w:rsidR="00EC2ED4" w:rsidRPr="006B5F4F">
        <w:t>and Regional Development</w:t>
      </w:r>
    </w:p>
    <w:p w14:paraId="16F91B97" w14:textId="39B8134E" w:rsidR="00EC2ED4" w:rsidRPr="006B5F4F" w:rsidRDefault="00EC2ED4" w:rsidP="00D42A4D">
      <w:pPr>
        <w:pStyle w:val="Heading4"/>
      </w:pPr>
      <w:r w:rsidRPr="006B5F4F">
        <w:t>WSA Co Limited – Board Members’ Indemnities</w:t>
      </w:r>
    </w:p>
    <w:p w14:paraId="7ADF599B" w14:textId="29A0E979" w:rsidR="00EC2ED4" w:rsidRPr="006B5F4F" w:rsidRDefault="00EC2ED4" w:rsidP="00EC2ED4">
      <w:pPr>
        <w:rPr>
          <w:rFonts w:eastAsia="Calibri"/>
        </w:rPr>
      </w:pPr>
      <w:r w:rsidRPr="006B5F4F">
        <w:rPr>
          <w:rFonts w:eastAsia="Calibri"/>
        </w:rPr>
        <w:t>The Australian Government has provided an indemnity for each of the Directors of WSA</w:t>
      </w:r>
      <w:r w:rsidR="00D10D01" w:rsidRPr="006B5F4F">
        <w:rPr>
          <w:rFonts w:eastAsia="Calibri"/>
        </w:rPr>
        <w:t> </w:t>
      </w:r>
      <w:r w:rsidRPr="006B5F4F">
        <w:rPr>
          <w:rFonts w:eastAsia="Calibri"/>
        </w:rPr>
        <w:t>Co Limited (WSA Co) to protect them against certain claims relating to their employment as Directors. Unless the indemnity agreements are varied or brought to an end, they cease to apply from the date the Commonwealth has fully satisfied its obligations to subscribe for equity in WSA Co pursuant to the WSA Co Limited Equity Subscription Agreement.</w:t>
      </w:r>
    </w:p>
    <w:p w14:paraId="3BA0AA7E" w14:textId="4F006C88" w:rsidR="00EC2ED4" w:rsidRPr="006B5F4F" w:rsidRDefault="00EC2ED4" w:rsidP="00D42A4D">
      <w:pPr>
        <w:pStyle w:val="Heading4"/>
      </w:pPr>
      <w:r w:rsidRPr="006B5F4F">
        <w:t>WSA Co</w:t>
      </w:r>
      <w:r w:rsidR="004E1B23" w:rsidRPr="006B5F4F">
        <w:t xml:space="preserve"> Limited </w:t>
      </w:r>
      <w:r w:rsidRPr="006B5F4F">
        <w:t>– Termination of the Equity Subscription Agreement</w:t>
      </w:r>
    </w:p>
    <w:p w14:paraId="6D60D714" w14:textId="0C9C322B" w:rsidR="004C702C" w:rsidRPr="006B5F4F" w:rsidRDefault="004C702C" w:rsidP="004C702C">
      <w:pPr>
        <w:rPr>
          <w:rFonts w:eastAsia="Calibri"/>
        </w:rPr>
      </w:pPr>
      <w:r w:rsidRPr="006B5F4F">
        <w:rPr>
          <w:rFonts w:eastAsia="Calibri"/>
        </w:rPr>
        <w:t>The Australian Government is required to cover all costs and liabilities that may be incurred by WSA Co in the event that the Commonwealth terminates the Equity Subscription Agreement between the Commonwealth and WSA</w:t>
      </w:r>
      <w:r w:rsidR="0014402C" w:rsidRPr="006B5F4F">
        <w:rPr>
          <w:rFonts w:eastAsia="Calibri"/>
        </w:rPr>
        <w:t> </w:t>
      </w:r>
      <w:r w:rsidRPr="006B5F4F">
        <w:rPr>
          <w:rFonts w:eastAsia="Calibri"/>
        </w:rPr>
        <w:t>Co.</w:t>
      </w:r>
    </w:p>
    <w:p w14:paraId="5069CB93" w14:textId="3D3F3004" w:rsidR="003852AC" w:rsidRPr="006B5F4F" w:rsidRDefault="003852AC" w:rsidP="00210C1E">
      <w:pPr>
        <w:pStyle w:val="Heading3"/>
      </w:pPr>
      <w:r w:rsidRPr="006B5F4F">
        <w:t>Treasury</w:t>
      </w:r>
    </w:p>
    <w:p w14:paraId="592BA685" w14:textId="528F0392" w:rsidR="0054375C" w:rsidRPr="006B5F4F" w:rsidRDefault="00B337A9" w:rsidP="00D42A4D">
      <w:pPr>
        <w:pStyle w:val="Heading4"/>
      </w:pPr>
      <w:r w:rsidRPr="006B5F4F">
        <w:t>Financial Claims Scheme</w:t>
      </w:r>
    </w:p>
    <w:p w14:paraId="7AA01B06" w14:textId="44EDDF22" w:rsidR="0054375C" w:rsidRPr="006B5F4F" w:rsidRDefault="0054375C" w:rsidP="0054375C">
      <w:pPr>
        <w:rPr>
          <w:rFonts w:eastAsia="Calibri"/>
        </w:rPr>
      </w:pPr>
      <w:r w:rsidRPr="006B5F4F">
        <w:rPr>
          <w:rFonts w:eastAsia="Calibri"/>
        </w:rPr>
        <w:t>The Financial Claims Scheme provides depositors of authorised deposit-taking institutions (ADIs) and claimants of general insurers with timely access to their funds in the event of a</w:t>
      </w:r>
      <w:r w:rsidR="00B337A9" w:rsidRPr="006B5F4F">
        <w:rPr>
          <w:rFonts w:eastAsia="Calibri"/>
        </w:rPr>
        <w:t xml:space="preserve"> financial institution failure.</w:t>
      </w:r>
    </w:p>
    <w:p w14:paraId="6B39A5CB" w14:textId="35EC817E" w:rsidR="0054375C" w:rsidRPr="006B5F4F" w:rsidRDefault="0054375C" w:rsidP="0054375C">
      <w:pPr>
        <w:rPr>
          <w:rFonts w:eastAsia="Calibri"/>
        </w:rPr>
      </w:pPr>
      <w:r w:rsidRPr="006B5F4F">
        <w:rPr>
          <w:rFonts w:eastAsia="Calibri"/>
        </w:rPr>
        <w:t xml:space="preserve">Under the </w:t>
      </w:r>
      <w:r w:rsidRPr="006B5F4F">
        <w:rPr>
          <w:rFonts w:eastAsia="Calibri"/>
          <w:i/>
        </w:rPr>
        <w:t>Banking Act 1959</w:t>
      </w:r>
      <w:r w:rsidRPr="006B5F4F">
        <w:rPr>
          <w:rFonts w:eastAsia="Calibri"/>
        </w:rPr>
        <w:t xml:space="preserve"> the scheme provides a mechanism for making payments to depositors under the Government’s guarantee of deposits in ADIs. Payments are capped at $250,000 per account holder per ADI. As at </w:t>
      </w:r>
      <w:r w:rsidR="002946F6" w:rsidRPr="006B5F4F">
        <w:rPr>
          <w:rFonts w:eastAsia="Calibri"/>
        </w:rPr>
        <w:t>30 June 201</w:t>
      </w:r>
      <w:r w:rsidR="00C162C5" w:rsidRPr="006B5F4F">
        <w:rPr>
          <w:rFonts w:eastAsia="Calibri"/>
        </w:rPr>
        <w:t>7</w:t>
      </w:r>
      <w:r w:rsidRPr="006B5F4F">
        <w:rPr>
          <w:rFonts w:eastAsia="Calibri"/>
        </w:rPr>
        <w:t xml:space="preserve">, deposits eligible for coverage under the Financial Claims Scheme were estimated to be </w:t>
      </w:r>
      <w:r w:rsidR="002946F6" w:rsidRPr="006B5F4F">
        <w:rPr>
          <w:rFonts w:eastAsia="Calibri"/>
        </w:rPr>
        <w:t>$860</w:t>
      </w:r>
      <w:r w:rsidRPr="006B5F4F">
        <w:rPr>
          <w:rFonts w:eastAsia="Calibri"/>
        </w:rPr>
        <w:t xml:space="preserve"> billion, compared to an estimated </w:t>
      </w:r>
      <w:r w:rsidR="002946F6" w:rsidRPr="006B5F4F">
        <w:rPr>
          <w:rFonts w:eastAsia="Calibri"/>
        </w:rPr>
        <w:t>$850</w:t>
      </w:r>
      <w:r w:rsidRPr="006B5F4F">
        <w:rPr>
          <w:rFonts w:eastAsia="Calibri"/>
        </w:rPr>
        <w:t xml:space="preserve"> billion as at </w:t>
      </w:r>
      <w:r w:rsidR="002946F6" w:rsidRPr="006B5F4F">
        <w:rPr>
          <w:rFonts w:eastAsia="Calibri"/>
        </w:rPr>
        <w:t>31 December</w:t>
      </w:r>
      <w:r w:rsidRPr="006B5F4F">
        <w:rPr>
          <w:rFonts w:eastAsia="Calibri"/>
        </w:rPr>
        <w:t xml:space="preserve"> 2016, reflecting overall deposit gro</w:t>
      </w:r>
      <w:r w:rsidR="00B337A9" w:rsidRPr="006B5F4F">
        <w:rPr>
          <w:rFonts w:eastAsia="Calibri"/>
        </w:rPr>
        <w:t>wth in the financial system.</w:t>
      </w:r>
    </w:p>
    <w:p w14:paraId="1D9A5D40" w14:textId="5CFC8977" w:rsidR="0054375C" w:rsidRPr="006B5F4F" w:rsidRDefault="0054375C" w:rsidP="0054375C">
      <w:pPr>
        <w:rPr>
          <w:rFonts w:eastAsia="Calibri"/>
        </w:rPr>
      </w:pPr>
      <w:r w:rsidRPr="006B5F4F">
        <w:rPr>
          <w:rFonts w:eastAsia="Calibri"/>
        </w:rPr>
        <w:t xml:space="preserve">Under the </w:t>
      </w:r>
      <w:r w:rsidRPr="006B5F4F">
        <w:rPr>
          <w:rFonts w:eastAsia="Calibri"/>
          <w:i/>
        </w:rPr>
        <w:t>Insurance Act 1973</w:t>
      </w:r>
      <w:r w:rsidRPr="006B5F4F">
        <w:rPr>
          <w:rFonts w:eastAsia="Calibri"/>
        </w:rPr>
        <w:t xml:space="preserve"> the scheme provides a mechanism for making payments to eligible beneficiaries with a valid claim against a failed general insurer. It is not possible to estimate the amounts of any eventual payments that may be required in relati</w:t>
      </w:r>
      <w:r w:rsidR="00B337A9" w:rsidRPr="006B5F4F">
        <w:rPr>
          <w:rFonts w:eastAsia="Calibri"/>
        </w:rPr>
        <w:t>on to general insurance claims.</w:t>
      </w:r>
    </w:p>
    <w:p w14:paraId="12168F27" w14:textId="77777777" w:rsidR="00564F9B" w:rsidRPr="006B5F4F" w:rsidRDefault="00564F9B">
      <w:pPr>
        <w:spacing w:after="0" w:line="240" w:lineRule="auto"/>
        <w:jc w:val="left"/>
        <w:rPr>
          <w:rFonts w:eastAsia="Calibri"/>
        </w:rPr>
      </w:pPr>
      <w:r w:rsidRPr="006B5F4F">
        <w:rPr>
          <w:rFonts w:eastAsia="Calibri"/>
        </w:rPr>
        <w:br w:type="page"/>
      </w:r>
    </w:p>
    <w:p w14:paraId="45F82782" w14:textId="40A1967A" w:rsidR="0054375C" w:rsidRPr="006B5F4F" w:rsidRDefault="0054375C" w:rsidP="0054375C">
      <w:pPr>
        <w:rPr>
          <w:rFonts w:eastAsia="Calibri"/>
        </w:rPr>
      </w:pPr>
      <w:r w:rsidRPr="006B5F4F">
        <w:rPr>
          <w:rFonts w:eastAsia="Calibri"/>
        </w:rPr>
        <w:lastRenderedPageBreak/>
        <w:t>In the very unlikely event of an ADI or general insurer failure, any payments made under the Financial Claims Scheme would be recovered through the liquidation of the failed institution. If there was a shortfall in the amount recovered through the liquidation of the failed institution, a levy could be applied to the relevant industry to recover the difference between the amount expended and the amoun</w:t>
      </w:r>
      <w:r w:rsidR="00B337A9" w:rsidRPr="006B5F4F">
        <w:rPr>
          <w:rFonts w:eastAsia="Calibri"/>
        </w:rPr>
        <w:t>t recovered in the liquidation.</w:t>
      </w:r>
    </w:p>
    <w:p w14:paraId="5C107619" w14:textId="267D79BF" w:rsidR="0054375C" w:rsidRPr="006B5F4F" w:rsidRDefault="0054375C" w:rsidP="0054375C">
      <w:pPr>
        <w:rPr>
          <w:rFonts w:eastAsia="Calibri"/>
        </w:rPr>
      </w:pPr>
      <w:r w:rsidRPr="006B5F4F">
        <w:rPr>
          <w:rFonts w:eastAsia="Calibri"/>
        </w:rPr>
        <w:t xml:space="preserve">The Australian Prudential Regulation Authority (APRA) is responsible for </w:t>
      </w:r>
      <w:r w:rsidR="00546D38" w:rsidRPr="006B5F4F">
        <w:rPr>
          <w:rFonts w:eastAsia="Calibri"/>
        </w:rPr>
        <w:t xml:space="preserve">administration of </w:t>
      </w:r>
      <w:r w:rsidRPr="006B5F4F">
        <w:rPr>
          <w:rFonts w:eastAsia="Calibri"/>
        </w:rPr>
        <w:t>the Financial Claims Scheme. Under the Financial Claims Scheme, any payments to account-holders with eligible protected accounts or eligible claimants would be made from APRA’s Financial Claims Scheme Special Account. Under the legislation, upon activation, up to $20 billion per institution would be available to meet Financial Claims Scheme payments and up to $100 million for administration costs per</w:t>
      </w:r>
      <w:r w:rsidR="0014402C" w:rsidRPr="006B5F4F">
        <w:rPr>
          <w:rFonts w:eastAsia="Calibri"/>
        </w:rPr>
        <w:t> </w:t>
      </w:r>
      <w:r w:rsidRPr="006B5F4F">
        <w:rPr>
          <w:rFonts w:eastAsia="Calibri"/>
        </w:rPr>
        <w:t>institution.</w:t>
      </w:r>
    </w:p>
    <w:p w14:paraId="7E8F8F0B" w14:textId="4A1DFD3A" w:rsidR="0054375C" w:rsidRPr="006B5F4F" w:rsidRDefault="0054375C" w:rsidP="00D42A4D">
      <w:pPr>
        <w:pStyle w:val="Heading4"/>
      </w:pPr>
      <w:r w:rsidRPr="006B5F4F">
        <w:t>Guarantee of St</w:t>
      </w:r>
      <w:r w:rsidR="00A34F8C" w:rsidRPr="006B5F4F">
        <w:t>ate and Territory b</w:t>
      </w:r>
      <w:r w:rsidR="00B337A9" w:rsidRPr="006B5F4F">
        <w:t>orrowing</w:t>
      </w:r>
    </w:p>
    <w:p w14:paraId="646FA3C3" w14:textId="388A837B" w:rsidR="0054375C" w:rsidRPr="006B5F4F" w:rsidRDefault="0054375C" w:rsidP="0054375C">
      <w:pPr>
        <w:rPr>
          <w:rFonts w:eastAsia="Calibri"/>
        </w:rPr>
      </w:pPr>
      <w:r w:rsidRPr="006B5F4F">
        <w:rPr>
          <w:rFonts w:eastAsia="Calibri"/>
        </w:rPr>
        <w:t>The Australian Government announced on 25 March 2009 that a voluntary, temporary guarantee would be put in place over State and Territory borrowing. The Gu</w:t>
      </w:r>
      <w:r w:rsidR="00A34F8C" w:rsidRPr="006B5F4F">
        <w:rPr>
          <w:rFonts w:eastAsia="Calibri"/>
        </w:rPr>
        <w:t>arantee of State and Territory b</w:t>
      </w:r>
      <w:r w:rsidRPr="006B5F4F">
        <w:rPr>
          <w:rFonts w:eastAsia="Calibri"/>
        </w:rPr>
        <w:t>orrowing commenced on 24 July</w:t>
      </w:r>
      <w:r w:rsidR="00B349E5" w:rsidRPr="006B5F4F">
        <w:rPr>
          <w:rFonts w:eastAsia="Calibri"/>
        </w:rPr>
        <w:t xml:space="preserve"> 2009 and closed on 31 December </w:t>
      </w:r>
      <w:r w:rsidRPr="006B5F4F">
        <w:rPr>
          <w:rFonts w:eastAsia="Calibri"/>
        </w:rPr>
        <w:t xml:space="preserve">2010. </w:t>
      </w:r>
      <w:r w:rsidR="00DE04C1" w:rsidRPr="006B5F4F">
        <w:rPr>
          <w:rFonts w:eastAsia="Calibri"/>
        </w:rPr>
        <w:t>New South Wales and Queensland were the only States who chose to participate in the Guarantee.</w:t>
      </w:r>
    </w:p>
    <w:p w14:paraId="29EA58F7" w14:textId="7B78FC4E" w:rsidR="0054375C" w:rsidRPr="006B5F4F" w:rsidRDefault="00A34F8C" w:rsidP="0054375C">
      <w:pPr>
        <w:rPr>
          <w:rFonts w:eastAsia="Calibri"/>
        </w:rPr>
      </w:pPr>
      <w:r w:rsidRPr="006B5F4F">
        <w:rPr>
          <w:rFonts w:eastAsia="Calibri"/>
        </w:rPr>
        <w:t>Securities covered by the G</w:t>
      </w:r>
      <w:r w:rsidR="0054375C" w:rsidRPr="006B5F4F">
        <w:rPr>
          <w:rFonts w:eastAsia="Calibri"/>
        </w:rPr>
        <w:t>uarantee will continue to be guaranteed until these securities either mature or are bought back and extinguished by the issuer.</w:t>
      </w:r>
    </w:p>
    <w:p w14:paraId="1E63CF81" w14:textId="0EB1C8CD" w:rsidR="0054375C" w:rsidRPr="006B5F4F" w:rsidRDefault="0054375C" w:rsidP="0054375C">
      <w:pPr>
        <w:rPr>
          <w:rFonts w:eastAsia="Calibri"/>
        </w:rPr>
      </w:pPr>
      <w:r w:rsidRPr="006B5F4F">
        <w:rPr>
          <w:rFonts w:eastAsia="Calibri"/>
        </w:rPr>
        <w:t>Th</w:t>
      </w:r>
      <w:r w:rsidR="00A34F8C" w:rsidRPr="006B5F4F">
        <w:rPr>
          <w:rFonts w:eastAsia="Calibri"/>
        </w:rPr>
        <w:t>e expected liability under the G</w:t>
      </w:r>
      <w:r w:rsidRPr="006B5F4F">
        <w:rPr>
          <w:rFonts w:eastAsia="Calibri"/>
        </w:rPr>
        <w:t xml:space="preserve">uarantee is remote and unquantifiable. Australian Government expenditure would arise under the </w:t>
      </w:r>
      <w:r w:rsidR="00A34F8C" w:rsidRPr="006B5F4F">
        <w:rPr>
          <w:rFonts w:eastAsia="Calibri"/>
        </w:rPr>
        <w:t>G</w:t>
      </w:r>
      <w:r w:rsidRPr="006B5F4F">
        <w:rPr>
          <w:rFonts w:eastAsia="Calibri"/>
        </w:rPr>
        <w:t xml:space="preserve">uarantee only in the unlikely event that a State failed to meet its obligations with respect to a commitment that was subject to the </w:t>
      </w:r>
      <w:r w:rsidR="00A34F8C" w:rsidRPr="006B5F4F">
        <w:rPr>
          <w:rFonts w:eastAsia="Calibri"/>
        </w:rPr>
        <w:t>G</w:t>
      </w:r>
      <w:r w:rsidRPr="006B5F4F">
        <w:rPr>
          <w:rFonts w:eastAsia="Calibri"/>
        </w:rPr>
        <w:t xml:space="preserve">uarantee and the </w:t>
      </w:r>
      <w:r w:rsidR="00A34F8C" w:rsidRPr="006B5F4F">
        <w:rPr>
          <w:rFonts w:eastAsia="Calibri"/>
        </w:rPr>
        <w:t>G</w:t>
      </w:r>
      <w:r w:rsidRPr="006B5F4F">
        <w:rPr>
          <w:rFonts w:eastAsia="Calibri"/>
        </w:rPr>
        <w:t>uarantee was called upon. In such a case, the Government would likely be able to recover any such expenditure through a claim on the relevant State at a future date. The impact on the Government’s budget would depend upon the extent of the default and the State</w:t>
      </w:r>
      <w:r w:rsidR="00D00566" w:rsidRPr="006B5F4F">
        <w:rPr>
          <w:rFonts w:eastAsia="Calibri"/>
        </w:rPr>
        <w:t>’s</w:t>
      </w:r>
      <w:r w:rsidRPr="006B5F4F">
        <w:rPr>
          <w:rFonts w:eastAsia="Calibri"/>
        </w:rPr>
        <w:t xml:space="preserve"> ability </w:t>
      </w:r>
      <w:r w:rsidR="00B337A9" w:rsidRPr="006B5F4F">
        <w:rPr>
          <w:rFonts w:eastAsia="Calibri"/>
        </w:rPr>
        <w:t>to meet the Government’s claim.</w:t>
      </w:r>
    </w:p>
    <w:p w14:paraId="761C3E2F" w14:textId="6C37188B" w:rsidR="0054375C" w:rsidRPr="006B5F4F" w:rsidRDefault="0054375C" w:rsidP="0054375C">
      <w:pPr>
        <w:rPr>
          <w:rFonts w:eastAsia="Calibri"/>
        </w:rPr>
      </w:pPr>
      <w:r w:rsidRPr="006B5F4F">
        <w:rPr>
          <w:rFonts w:eastAsia="Calibri"/>
        </w:rPr>
        <w:t xml:space="preserve">As at </w:t>
      </w:r>
      <w:r w:rsidR="00DE04C1" w:rsidRPr="006B5F4F">
        <w:rPr>
          <w:rFonts w:eastAsia="Calibri"/>
        </w:rPr>
        <w:t>30 September</w:t>
      </w:r>
      <w:r w:rsidRPr="006B5F4F">
        <w:rPr>
          <w:rFonts w:eastAsia="Calibri"/>
        </w:rPr>
        <w:t xml:space="preserve"> 2017, the face value of State and Territory borrowings covered by the </w:t>
      </w:r>
      <w:r w:rsidR="00A34F8C" w:rsidRPr="006B5F4F">
        <w:rPr>
          <w:rFonts w:eastAsia="Calibri"/>
        </w:rPr>
        <w:t>G</w:t>
      </w:r>
      <w:r w:rsidRPr="006B5F4F">
        <w:rPr>
          <w:rFonts w:eastAsia="Calibri"/>
        </w:rPr>
        <w:t xml:space="preserve">uarantee was </w:t>
      </w:r>
      <w:r w:rsidR="00DE04C1" w:rsidRPr="006B5F4F">
        <w:rPr>
          <w:rFonts w:eastAsia="Calibri"/>
        </w:rPr>
        <w:t>$3.8</w:t>
      </w:r>
      <w:r w:rsidRPr="006B5F4F">
        <w:rPr>
          <w:rFonts w:eastAsia="Calibri"/>
        </w:rPr>
        <w:t xml:space="preserve"> billion, down from </w:t>
      </w:r>
      <w:r w:rsidR="00DE04C1" w:rsidRPr="006B5F4F">
        <w:rPr>
          <w:rFonts w:eastAsia="Calibri"/>
        </w:rPr>
        <w:t>$6.5</w:t>
      </w:r>
      <w:r w:rsidRPr="006B5F4F">
        <w:rPr>
          <w:rFonts w:eastAsia="Calibri"/>
        </w:rPr>
        <w:t xml:space="preserve"> billion at </w:t>
      </w:r>
      <w:r w:rsidR="00DE04C1" w:rsidRPr="006B5F4F">
        <w:rPr>
          <w:rFonts w:eastAsia="Calibri"/>
        </w:rPr>
        <w:t>31 March</w:t>
      </w:r>
      <w:r w:rsidRPr="006B5F4F">
        <w:rPr>
          <w:rFonts w:eastAsia="Calibri"/>
        </w:rPr>
        <w:t xml:space="preserve"> </w:t>
      </w:r>
      <w:r w:rsidR="00DE04C1" w:rsidRPr="006B5F4F">
        <w:rPr>
          <w:rFonts w:eastAsia="Calibri"/>
        </w:rPr>
        <w:t>2017</w:t>
      </w:r>
      <w:r w:rsidRPr="006B5F4F">
        <w:rPr>
          <w:rFonts w:eastAsia="Calibri"/>
        </w:rPr>
        <w:t>.</w:t>
      </w:r>
    </w:p>
    <w:p w14:paraId="348A855D" w14:textId="60495BB6" w:rsidR="0054375C" w:rsidRPr="006B5F4F" w:rsidRDefault="0054375C" w:rsidP="00D42A4D">
      <w:pPr>
        <w:pStyle w:val="Heading4"/>
      </w:pPr>
      <w:r w:rsidRPr="006B5F4F">
        <w:t>Guarantees under the Commonwealth Bank Sale Act 1995</w:t>
      </w:r>
    </w:p>
    <w:p w14:paraId="412B1707" w14:textId="152EB2C8" w:rsidR="0054375C" w:rsidRPr="006B5F4F" w:rsidRDefault="0054375C" w:rsidP="0054375C">
      <w:pPr>
        <w:rPr>
          <w:rFonts w:eastAsia="Calibri"/>
        </w:rPr>
      </w:pPr>
      <w:r w:rsidRPr="006B5F4F">
        <w:rPr>
          <w:rFonts w:eastAsia="Calibri"/>
        </w:rPr>
        <w:t xml:space="preserve">Under the terms of the </w:t>
      </w:r>
      <w:r w:rsidRPr="006B5F4F">
        <w:rPr>
          <w:rFonts w:eastAsia="Calibri"/>
          <w:i/>
        </w:rPr>
        <w:t>Commonwealth Bank Sale Act 1995</w:t>
      </w:r>
      <w:r w:rsidRPr="006B5F4F">
        <w:rPr>
          <w:rFonts w:eastAsia="Calibri"/>
        </w:rPr>
        <w:t xml:space="preserve">, the Australian Government has guaranteed various superannuation and other liabilities: </w:t>
      </w:r>
      <w:r w:rsidR="00965B70" w:rsidRPr="006B5F4F">
        <w:rPr>
          <w:rFonts w:eastAsia="Calibri"/>
        </w:rPr>
        <w:t>$129.5</w:t>
      </w:r>
      <w:r w:rsidRPr="006B5F4F">
        <w:rPr>
          <w:rFonts w:eastAsia="Calibri"/>
        </w:rPr>
        <w:t xml:space="preserve"> million is attributable to liabilities of the Commonwealth Bank of Australia, as at </w:t>
      </w:r>
      <w:r w:rsidR="00965B70" w:rsidRPr="006B5F4F">
        <w:rPr>
          <w:rFonts w:eastAsia="Calibri"/>
        </w:rPr>
        <w:t>30 September </w:t>
      </w:r>
      <w:r w:rsidRPr="006B5F4F">
        <w:rPr>
          <w:rFonts w:eastAsia="Calibri"/>
        </w:rPr>
        <w:t xml:space="preserve">2017; and </w:t>
      </w:r>
      <w:r w:rsidR="00965B70" w:rsidRPr="006B5F4F">
        <w:rPr>
          <w:rFonts w:eastAsia="Calibri"/>
        </w:rPr>
        <w:t>$4.5</w:t>
      </w:r>
      <w:r w:rsidRPr="006B5F4F">
        <w:rPr>
          <w:rFonts w:eastAsia="Calibri"/>
        </w:rPr>
        <w:t xml:space="preserve"> billion is attributable to liabilities of the Commonwealth Bank Officers’ Superannuation Corporation, as at </w:t>
      </w:r>
      <w:r w:rsidR="00965B70" w:rsidRPr="006B5F4F">
        <w:rPr>
          <w:rFonts w:eastAsia="Calibri"/>
        </w:rPr>
        <w:t>30 September</w:t>
      </w:r>
      <w:r w:rsidR="00B337A9" w:rsidRPr="006B5F4F">
        <w:rPr>
          <w:rFonts w:eastAsia="Calibri"/>
        </w:rPr>
        <w:t xml:space="preserve"> 2017.</w:t>
      </w:r>
    </w:p>
    <w:p w14:paraId="2D1F4402" w14:textId="0779257D" w:rsidR="0054375C" w:rsidRPr="006B5F4F" w:rsidRDefault="0054375C" w:rsidP="00D42A4D">
      <w:pPr>
        <w:pStyle w:val="Heading4"/>
      </w:pPr>
      <w:r w:rsidRPr="006B5F4F">
        <w:lastRenderedPageBreak/>
        <w:t>Reserv</w:t>
      </w:r>
      <w:r w:rsidR="00B337A9" w:rsidRPr="006B5F4F">
        <w:t xml:space="preserve">e Bank of Australia — </w:t>
      </w:r>
      <w:r w:rsidR="00A34F8C" w:rsidRPr="006B5F4F">
        <w:t>G</w:t>
      </w:r>
      <w:r w:rsidR="00B337A9" w:rsidRPr="006B5F4F">
        <w:t>uarantee</w:t>
      </w:r>
    </w:p>
    <w:p w14:paraId="2380B9C0" w14:textId="09263B99" w:rsidR="0054375C" w:rsidRPr="006B5F4F" w:rsidRDefault="0054375C" w:rsidP="0054375C">
      <w:pPr>
        <w:rPr>
          <w:rFonts w:eastAsia="Calibri"/>
        </w:rPr>
      </w:pPr>
      <w:r w:rsidRPr="006B5F4F">
        <w:rPr>
          <w:rFonts w:eastAsia="Calibri"/>
        </w:rPr>
        <w:t xml:space="preserve">The Australian Government guarantees the liabilities of the Reserve Bank of Australia, measured as the Bank’s total liabilities excluding capital, reserves, and Australian Government deposits. The major component of the Bank’s liabilities is Australian banknotes on issue. Banknotes on issue amount to </w:t>
      </w:r>
      <w:r w:rsidR="00965B70" w:rsidRPr="006B5F4F">
        <w:rPr>
          <w:rFonts w:eastAsia="Calibri"/>
        </w:rPr>
        <w:t>$74.6</w:t>
      </w:r>
      <w:r w:rsidRPr="006B5F4F">
        <w:rPr>
          <w:rFonts w:eastAsia="Calibri"/>
        </w:rPr>
        <w:t xml:space="preserve"> billion as at </w:t>
      </w:r>
      <w:r w:rsidR="00965B70" w:rsidRPr="006B5F4F">
        <w:rPr>
          <w:rFonts w:eastAsia="Calibri"/>
        </w:rPr>
        <w:t>18 October</w:t>
      </w:r>
      <w:r w:rsidRPr="006B5F4F">
        <w:rPr>
          <w:rFonts w:eastAsia="Calibri"/>
        </w:rPr>
        <w:t xml:space="preserve"> 2017, and the total </w:t>
      </w:r>
      <w:r w:rsidR="00A34F8C" w:rsidRPr="006B5F4F">
        <w:rPr>
          <w:rFonts w:eastAsia="Calibri"/>
        </w:rPr>
        <w:t>G</w:t>
      </w:r>
      <w:r w:rsidRPr="006B5F4F">
        <w:rPr>
          <w:rFonts w:eastAsia="Calibri"/>
        </w:rPr>
        <w:t xml:space="preserve">uarantee is </w:t>
      </w:r>
      <w:r w:rsidR="00965B70" w:rsidRPr="006B5F4F">
        <w:rPr>
          <w:rFonts w:eastAsia="Calibri"/>
        </w:rPr>
        <w:t>$111.9</w:t>
      </w:r>
      <w:r w:rsidRPr="006B5F4F">
        <w:rPr>
          <w:rFonts w:eastAsia="Calibri"/>
        </w:rPr>
        <w:t xml:space="preserve"> billion (</w:t>
      </w:r>
      <w:r w:rsidR="00965B70" w:rsidRPr="006B5F4F">
        <w:rPr>
          <w:rFonts w:eastAsia="Calibri"/>
        </w:rPr>
        <w:t>$113.5</w:t>
      </w:r>
      <w:r w:rsidRPr="006B5F4F">
        <w:rPr>
          <w:rFonts w:eastAsia="Calibri"/>
        </w:rPr>
        <w:t xml:space="preserve"> billion at the </w:t>
      </w:r>
      <w:r w:rsidR="00965B70" w:rsidRPr="006B5F4F">
        <w:rPr>
          <w:rFonts w:eastAsia="Calibri"/>
        </w:rPr>
        <w:t>2017-18</w:t>
      </w:r>
      <w:r w:rsidRPr="006B5F4F">
        <w:rPr>
          <w:rFonts w:eastAsia="Calibri"/>
        </w:rPr>
        <w:t xml:space="preserve"> Budget).</w:t>
      </w:r>
    </w:p>
    <w:p w14:paraId="1C62B6FF" w14:textId="33596537" w:rsidR="00ED79D2" w:rsidRPr="006B5F4F" w:rsidRDefault="00F778C2" w:rsidP="00210C1E">
      <w:pPr>
        <w:pStyle w:val="Heading2"/>
      </w:pPr>
      <w:r w:rsidRPr="006B5F4F">
        <w:t>Contingent liabilities</w:t>
      </w:r>
      <w:r w:rsidR="000D21E8" w:rsidRPr="006B5F4F">
        <w:t xml:space="preserve"> — </w:t>
      </w:r>
      <w:r w:rsidR="00B337A9" w:rsidRPr="006B5F4F">
        <w:t>unquantifiable</w:t>
      </w:r>
    </w:p>
    <w:p w14:paraId="1213099D" w14:textId="326B360B" w:rsidR="000E55F8" w:rsidRPr="006B5F4F" w:rsidRDefault="00B337A9" w:rsidP="00210C1E">
      <w:pPr>
        <w:pStyle w:val="Heading3"/>
      </w:pPr>
      <w:r w:rsidRPr="006B5F4F">
        <w:t>Agriculture and Water Resources</w:t>
      </w:r>
    </w:p>
    <w:p w14:paraId="58D54C9F" w14:textId="560518E4" w:rsidR="000E55F8" w:rsidRPr="006B5F4F" w:rsidRDefault="000E55F8" w:rsidP="00D42A4D">
      <w:pPr>
        <w:pStyle w:val="Heading4"/>
      </w:pPr>
      <w:r w:rsidRPr="006B5F4F">
        <w:t>Emergency pest and disease response arrangements</w:t>
      </w:r>
    </w:p>
    <w:p w14:paraId="09E967E0" w14:textId="02ED09E3" w:rsidR="000E55F8" w:rsidRPr="006B5F4F" w:rsidRDefault="000E55F8" w:rsidP="000E55F8">
      <w:pPr>
        <w:rPr>
          <w:rFonts w:eastAsia="Calibri"/>
        </w:rPr>
      </w:pPr>
      <w:r w:rsidRPr="006B5F4F">
        <w:rPr>
          <w:rFonts w:eastAsia="Calibri"/>
        </w:rPr>
        <w:t xml:space="preserve">National emergency response arrangements for animal, plant and environmental pest and disease incursions are largely funded through cost sharing agreements between Australian governments and, where relevant, agricultural industry bodies. Under the terms of the emergency response agreements, the Australian Government is typically liable for 50 per cent of the total government funding for a nationally agreed response to a disease or pest incursion. Limited funding is provided in the forward estimates for the Australian Government’s contribution under the emergency response </w:t>
      </w:r>
      <w:r w:rsidR="002D6833" w:rsidRPr="006B5F4F">
        <w:rPr>
          <w:rFonts w:eastAsia="Calibri"/>
        </w:rPr>
        <w:t>agreements</w:t>
      </w:r>
      <w:r w:rsidR="00CC744E" w:rsidRPr="006B5F4F">
        <w:rPr>
          <w:rFonts w:eastAsia="Calibri"/>
        </w:rPr>
        <w:t>,</w:t>
      </w:r>
      <w:r w:rsidR="002D6833" w:rsidRPr="006B5F4F">
        <w:rPr>
          <w:rFonts w:eastAsia="Calibri"/>
        </w:rPr>
        <w:t xml:space="preserve"> </w:t>
      </w:r>
      <w:r w:rsidR="00CC744E" w:rsidRPr="006B5F4F">
        <w:rPr>
          <w:rFonts w:eastAsia="Calibri"/>
        </w:rPr>
        <w:t>which is paid to</w:t>
      </w:r>
      <w:r w:rsidR="002D6833" w:rsidRPr="006B5F4F">
        <w:rPr>
          <w:rFonts w:eastAsia="Calibri"/>
        </w:rPr>
        <w:t xml:space="preserve"> the relevant State or T</w:t>
      </w:r>
      <w:r w:rsidRPr="006B5F4F">
        <w:rPr>
          <w:rFonts w:eastAsia="Calibri"/>
        </w:rPr>
        <w:t xml:space="preserve">erritory government. This funding is unlikely to be sufficient to meet the costs of </w:t>
      </w:r>
      <w:r w:rsidR="00965220" w:rsidRPr="006B5F4F">
        <w:rPr>
          <w:rFonts w:eastAsia="Calibri"/>
        </w:rPr>
        <w:t xml:space="preserve">a </w:t>
      </w:r>
      <w:r w:rsidRPr="006B5F4F">
        <w:rPr>
          <w:rFonts w:eastAsia="Calibri"/>
        </w:rPr>
        <w:t>large-scale pest or disease incursion</w:t>
      </w:r>
      <w:r w:rsidR="00CC744E" w:rsidRPr="006B5F4F">
        <w:rPr>
          <w:rFonts w:eastAsia="Calibri"/>
        </w:rPr>
        <w:t xml:space="preserve"> or </w:t>
      </w:r>
      <w:r w:rsidRPr="006B5F4F">
        <w:rPr>
          <w:rFonts w:eastAsia="Calibri"/>
        </w:rPr>
        <w:t xml:space="preserve">additional and multiple responses (noting there are currently </w:t>
      </w:r>
      <w:r w:rsidR="00965220" w:rsidRPr="006B5F4F">
        <w:rPr>
          <w:rFonts w:eastAsia="Calibri"/>
        </w:rPr>
        <w:t xml:space="preserve">13 </w:t>
      </w:r>
      <w:r w:rsidR="00A34F8C" w:rsidRPr="006B5F4F">
        <w:rPr>
          <w:rFonts w:eastAsia="Calibri"/>
        </w:rPr>
        <w:t>national cost-</w:t>
      </w:r>
      <w:r w:rsidRPr="006B5F4F">
        <w:rPr>
          <w:rFonts w:eastAsia="Calibri"/>
        </w:rPr>
        <w:t>shared emergency responses</w:t>
      </w:r>
      <w:r w:rsidR="00965220" w:rsidRPr="006B5F4F">
        <w:rPr>
          <w:rFonts w:eastAsia="Calibri"/>
        </w:rPr>
        <w:t xml:space="preserve"> and for 10 years from 2017-18, half this funding is allocated to a</w:t>
      </w:r>
      <w:r w:rsidR="00592D2F" w:rsidRPr="006B5F4F">
        <w:rPr>
          <w:rFonts w:eastAsia="Calibri"/>
        </w:rPr>
        <w:t>n</w:t>
      </w:r>
      <w:r w:rsidR="00965220" w:rsidRPr="006B5F4F">
        <w:rPr>
          <w:rFonts w:eastAsia="Calibri"/>
        </w:rPr>
        <w:t xml:space="preserve"> </w:t>
      </w:r>
      <w:r w:rsidR="001F7007" w:rsidRPr="006B5F4F">
        <w:rPr>
          <w:rFonts w:eastAsia="Calibri"/>
        </w:rPr>
        <w:t>e</w:t>
      </w:r>
      <w:r w:rsidR="00965220" w:rsidRPr="006B5F4F">
        <w:rPr>
          <w:rFonts w:eastAsia="Calibri"/>
        </w:rPr>
        <w:t>radication program for red imported fire ants in Queensland</w:t>
      </w:r>
      <w:r w:rsidR="00B337A9" w:rsidRPr="006B5F4F">
        <w:rPr>
          <w:rFonts w:eastAsia="Calibri"/>
        </w:rPr>
        <w:t>).</w:t>
      </w:r>
    </w:p>
    <w:p w14:paraId="5A42B65E" w14:textId="6CCE417B" w:rsidR="000E55F8" w:rsidRPr="006B5F4F" w:rsidRDefault="000E55F8" w:rsidP="000E55F8">
      <w:pPr>
        <w:rPr>
          <w:rFonts w:eastAsia="Calibri"/>
        </w:rPr>
      </w:pPr>
      <w:r w:rsidRPr="006B5F4F">
        <w:rPr>
          <w:rFonts w:eastAsia="Calibri"/>
        </w:rPr>
        <w:t xml:space="preserve">The Australian Government may provide financial assistance to an industry party by funding its share of an emergency response. These contributions </w:t>
      </w:r>
      <w:r w:rsidR="00965220" w:rsidRPr="006B5F4F">
        <w:rPr>
          <w:rFonts w:eastAsia="Calibri"/>
        </w:rPr>
        <w:t>are</w:t>
      </w:r>
      <w:r w:rsidRPr="006B5F4F">
        <w:rPr>
          <w:rFonts w:eastAsia="Calibri"/>
        </w:rPr>
        <w:t xml:space="preserve"> recovered from the industry over a period of up to 10 years, usually through an emergency response levy. The Australian Government may also contribute bilaterally in situations where an inc</w:t>
      </w:r>
      <w:r w:rsidR="00A34F8C" w:rsidRPr="006B5F4F">
        <w:rPr>
          <w:rFonts w:eastAsia="Calibri"/>
        </w:rPr>
        <w:t>ursion is not covered by a cost-</w:t>
      </w:r>
      <w:r w:rsidRPr="006B5F4F">
        <w:rPr>
          <w:rFonts w:eastAsia="Calibri"/>
        </w:rPr>
        <w:t>sharing agreement or where the affected industry body/bodies are not party to an emergency response agreement, depending on the circumstances of the incursion.</w:t>
      </w:r>
    </w:p>
    <w:p w14:paraId="7A37AEC4" w14:textId="69CB3E0E" w:rsidR="007B1DB9" w:rsidRPr="006B5F4F" w:rsidRDefault="007B1DB9" w:rsidP="00210C1E">
      <w:pPr>
        <w:pStyle w:val="Heading3"/>
      </w:pPr>
      <w:r w:rsidRPr="006B5F4F">
        <w:t>Communi</w:t>
      </w:r>
      <w:r w:rsidR="00B337A9" w:rsidRPr="006B5F4F">
        <w:t>cations and the Arts</w:t>
      </w:r>
    </w:p>
    <w:p w14:paraId="45389794" w14:textId="2962AB1D" w:rsidR="007B1DB9" w:rsidRPr="006B5F4F" w:rsidRDefault="007B1DB9" w:rsidP="00D42A4D">
      <w:pPr>
        <w:pStyle w:val="Heading4"/>
      </w:pPr>
      <w:r w:rsidRPr="006B5F4F">
        <w:t>NBN Co Limited — Boar</w:t>
      </w:r>
      <w:r w:rsidR="00B337A9" w:rsidRPr="006B5F4F">
        <w:t>d Members’ Insolvency Indemnity</w:t>
      </w:r>
    </w:p>
    <w:p w14:paraId="271BE4B4" w14:textId="6A685A01" w:rsidR="007B1DB9" w:rsidRPr="006B5F4F" w:rsidRDefault="007B1DB9" w:rsidP="007B1DB9">
      <w:pPr>
        <w:rPr>
          <w:rFonts w:eastAsia="Calibri"/>
        </w:rPr>
      </w:pPr>
      <w:r w:rsidRPr="006B5F4F">
        <w:rPr>
          <w:rFonts w:eastAsia="Calibri"/>
        </w:rPr>
        <w:t>The Australian Government has provided Director</w:t>
      </w:r>
      <w:r w:rsidR="003A6237" w:rsidRPr="006B5F4F">
        <w:rPr>
          <w:rFonts w:eastAsia="Calibri"/>
        </w:rPr>
        <w:t>s</w:t>
      </w:r>
      <w:r w:rsidRPr="006B5F4F">
        <w:rPr>
          <w:rFonts w:eastAsia="Calibri"/>
        </w:rPr>
        <w:t xml:space="preserve"> of NBN Co with an indemnity against liability as a result of the Government failing to meet its funding obligations to NBN Co. The liabilities covered by this indemnity would be no greater than those covered by the NBN Co Equity Funding Agreement, with the exception of any legal expenses incurred by individual Directo</w:t>
      </w:r>
      <w:r w:rsidR="00B337A9" w:rsidRPr="006B5F4F">
        <w:rPr>
          <w:rFonts w:eastAsia="Calibri"/>
        </w:rPr>
        <w:t>rs arising from this indemnity.</w:t>
      </w:r>
    </w:p>
    <w:p w14:paraId="7421A25B" w14:textId="59E1D95A" w:rsidR="007B1DB9" w:rsidRPr="006B5F4F" w:rsidRDefault="00B337A9" w:rsidP="00210C1E">
      <w:pPr>
        <w:pStyle w:val="Heading3"/>
      </w:pPr>
      <w:r w:rsidRPr="006B5F4F">
        <w:lastRenderedPageBreak/>
        <w:t>Defence</w:t>
      </w:r>
    </w:p>
    <w:p w14:paraId="5DC26DE9" w14:textId="485C3ECA" w:rsidR="007B1DB9" w:rsidRPr="006B5F4F" w:rsidRDefault="007F4138" w:rsidP="00D42A4D">
      <w:pPr>
        <w:pStyle w:val="Heading4"/>
      </w:pPr>
      <w:r w:rsidRPr="006B5F4F">
        <w:t>Non-</w:t>
      </w:r>
      <w:r w:rsidR="007B1DB9" w:rsidRPr="006B5F4F">
        <w:t>remote contingent liabilities</w:t>
      </w:r>
    </w:p>
    <w:p w14:paraId="06FF5A57" w14:textId="48C27683" w:rsidR="007B1DB9" w:rsidRPr="006B5F4F" w:rsidRDefault="007B1DB9" w:rsidP="007B1DB9">
      <w:pPr>
        <w:rPr>
          <w:rFonts w:eastAsia="Calibri"/>
        </w:rPr>
      </w:pPr>
      <w:r w:rsidRPr="006B5F4F">
        <w:rPr>
          <w:rFonts w:eastAsia="Calibri"/>
        </w:rPr>
        <w:t xml:space="preserve">The Department of Defence has </w:t>
      </w:r>
      <w:r w:rsidR="00031D2A" w:rsidRPr="006B5F4F">
        <w:rPr>
          <w:rFonts w:eastAsia="Calibri"/>
        </w:rPr>
        <w:t xml:space="preserve">40 </w:t>
      </w:r>
      <w:r w:rsidRPr="006B5F4F">
        <w:rPr>
          <w:rFonts w:eastAsia="Calibri"/>
        </w:rPr>
        <w:t>instances of unquantifiable non-remote contingent liabilities. There is potential for claims to arise from legacy contamination at various Defence locations.</w:t>
      </w:r>
    </w:p>
    <w:p w14:paraId="0D397527" w14:textId="77777777" w:rsidR="002D0C21" w:rsidRPr="006B5F4F" w:rsidRDefault="002D0C21" w:rsidP="00210C1E">
      <w:pPr>
        <w:pStyle w:val="Heading3"/>
      </w:pPr>
      <w:r w:rsidRPr="006B5F4F">
        <w:t>Employment</w:t>
      </w:r>
    </w:p>
    <w:p w14:paraId="70501FD3" w14:textId="22B38154" w:rsidR="002D0C21" w:rsidRPr="006B5F4F" w:rsidRDefault="003B797D" w:rsidP="00D42A4D">
      <w:pPr>
        <w:pStyle w:val="Heading4"/>
      </w:pPr>
      <w:proofErr w:type="spellStart"/>
      <w:proofErr w:type="gramStart"/>
      <w:r w:rsidRPr="006B5F4F">
        <w:t>j</w:t>
      </w:r>
      <w:r w:rsidR="002D0C21" w:rsidRPr="006B5F4F">
        <w:t>obactive</w:t>
      </w:r>
      <w:proofErr w:type="spellEnd"/>
      <w:proofErr w:type="gramEnd"/>
      <w:r w:rsidR="002D0C21" w:rsidRPr="006B5F4F">
        <w:t xml:space="preserve"> – Employment Fund</w:t>
      </w:r>
    </w:p>
    <w:p w14:paraId="4CE1C681" w14:textId="77777777" w:rsidR="002D0C21" w:rsidRPr="006B5F4F" w:rsidRDefault="002D0C21" w:rsidP="000816A3">
      <w:pPr>
        <w:rPr>
          <w:rFonts w:eastAsia="Calibri"/>
        </w:rPr>
      </w:pPr>
      <w:r w:rsidRPr="006B5F4F">
        <w:rPr>
          <w:rFonts w:eastAsia="Calibri"/>
        </w:rPr>
        <w:t xml:space="preserve">The Department of Employment’s forward estimates for </w:t>
      </w:r>
      <w:proofErr w:type="spellStart"/>
      <w:r w:rsidRPr="006B5F4F">
        <w:rPr>
          <w:rFonts w:eastAsia="Calibri"/>
        </w:rPr>
        <w:t>jobactive</w:t>
      </w:r>
      <w:proofErr w:type="spellEnd"/>
      <w:r w:rsidRPr="006B5F4F">
        <w:rPr>
          <w:rFonts w:eastAsia="Calibri"/>
        </w:rPr>
        <w:t xml:space="preserve"> includes anticipated expenditure for the Employment Fund. This flexible pool of funds is available to </w:t>
      </w:r>
      <w:proofErr w:type="spellStart"/>
      <w:r w:rsidRPr="006B5F4F">
        <w:rPr>
          <w:rFonts w:eastAsia="Calibri"/>
        </w:rPr>
        <w:t>jobactive</w:t>
      </w:r>
      <w:proofErr w:type="spellEnd"/>
      <w:r w:rsidRPr="006B5F4F">
        <w:rPr>
          <w:rFonts w:eastAsia="Calibri"/>
        </w:rPr>
        <w:t xml:space="preserve"> providers to assist job seekers to find and keep a job. The amount credited to the Employment Fund is commensurate with each job seeker’s level of disadvantage. Experience suggests that </w:t>
      </w:r>
      <w:proofErr w:type="spellStart"/>
      <w:r w:rsidRPr="006B5F4F">
        <w:rPr>
          <w:rFonts w:eastAsia="Calibri"/>
        </w:rPr>
        <w:t>jobactive</w:t>
      </w:r>
      <w:proofErr w:type="spellEnd"/>
      <w:r w:rsidRPr="006B5F4F">
        <w:rPr>
          <w:rFonts w:eastAsia="Calibri"/>
        </w:rPr>
        <w:t xml:space="preserve"> providers will not necessarily spend all the credits during the life of the </w:t>
      </w:r>
      <w:proofErr w:type="spellStart"/>
      <w:r w:rsidRPr="006B5F4F">
        <w:rPr>
          <w:rFonts w:eastAsia="Calibri"/>
        </w:rPr>
        <w:t>jobactive</w:t>
      </w:r>
      <w:proofErr w:type="spellEnd"/>
      <w:r w:rsidRPr="006B5F4F">
        <w:rPr>
          <w:rFonts w:eastAsia="Calibri"/>
        </w:rPr>
        <w:t xml:space="preserve"> contracts. The forward estimates do not include the value of residual credits.</w:t>
      </w:r>
    </w:p>
    <w:p w14:paraId="4E7A3CBF" w14:textId="0F3E2E58" w:rsidR="00A839A6" w:rsidRPr="006B5F4F" w:rsidRDefault="00B337A9" w:rsidP="00210C1E">
      <w:pPr>
        <w:pStyle w:val="Heading3"/>
      </w:pPr>
      <w:r w:rsidRPr="006B5F4F">
        <w:t>Finance</w:t>
      </w:r>
    </w:p>
    <w:p w14:paraId="1EF92C75" w14:textId="7E302E60" w:rsidR="00D36C66" w:rsidRPr="006B5F4F" w:rsidRDefault="00D36C66" w:rsidP="00D42A4D">
      <w:pPr>
        <w:pStyle w:val="Heading4"/>
      </w:pPr>
      <w:r w:rsidRPr="006B5F4F">
        <w:t>Australi</w:t>
      </w:r>
      <w:r w:rsidR="00B337A9" w:rsidRPr="006B5F4F">
        <w:t>an Government domestic property</w:t>
      </w:r>
    </w:p>
    <w:p w14:paraId="582B4BE9" w14:textId="2658294C" w:rsidR="00D36C66" w:rsidRPr="006B5F4F" w:rsidRDefault="00D36C66" w:rsidP="00D36C66">
      <w:pPr>
        <w:rPr>
          <w:rFonts w:eastAsia="Calibri"/>
        </w:rPr>
      </w:pPr>
      <w:r w:rsidRPr="006B5F4F">
        <w:rPr>
          <w:rFonts w:eastAsia="Calibri"/>
        </w:rPr>
        <w:t xml:space="preserve">The Australian Government’s domestic property portfolio managed by the Department of Finance has approximately </w:t>
      </w:r>
      <w:r w:rsidR="00402821" w:rsidRPr="006B5F4F">
        <w:rPr>
          <w:rFonts w:eastAsia="Calibri"/>
        </w:rPr>
        <w:t xml:space="preserve">100 </w:t>
      </w:r>
      <w:r w:rsidRPr="006B5F4F">
        <w:rPr>
          <w:rFonts w:eastAsia="Calibri"/>
        </w:rPr>
        <w:t xml:space="preserve">properties. This number has reduced from approximately </w:t>
      </w:r>
      <w:r w:rsidR="00402821" w:rsidRPr="006B5F4F">
        <w:rPr>
          <w:rFonts w:eastAsia="Calibri"/>
        </w:rPr>
        <w:t xml:space="preserve">110 </w:t>
      </w:r>
      <w:r w:rsidRPr="006B5F4F">
        <w:rPr>
          <w:rFonts w:eastAsia="Calibri"/>
        </w:rPr>
        <w:t xml:space="preserve">reported at the </w:t>
      </w:r>
      <w:r w:rsidR="00402821" w:rsidRPr="006B5F4F">
        <w:rPr>
          <w:rFonts w:eastAsia="Calibri"/>
        </w:rPr>
        <w:t>2017-18 Budget</w:t>
      </w:r>
      <w:r w:rsidRPr="006B5F4F">
        <w:rPr>
          <w:rFonts w:eastAsia="Calibri"/>
        </w:rPr>
        <w:t xml:space="preserve"> due to the ongoing</w:t>
      </w:r>
      <w:r w:rsidR="001F3F27" w:rsidRPr="006B5F4F">
        <w:rPr>
          <w:rFonts w:eastAsia="Calibri"/>
        </w:rPr>
        <w:t xml:space="preserve"> implementation of the measure</w:t>
      </w:r>
      <w:r w:rsidRPr="006B5F4F">
        <w:rPr>
          <w:rFonts w:eastAsia="Calibri"/>
        </w:rPr>
        <w:t xml:space="preserve"> </w:t>
      </w:r>
      <w:r w:rsidRPr="006B5F4F">
        <w:rPr>
          <w:rFonts w:eastAsia="Calibri"/>
          <w:i/>
        </w:rPr>
        <w:t>Smaller Government — Surplus Commonwealth Properties — divestment</w:t>
      </w:r>
      <w:r w:rsidRPr="006B5F4F">
        <w:rPr>
          <w:rFonts w:eastAsia="Calibri"/>
        </w:rPr>
        <w:t>. A small number of properties have had potential remediation issues identified, which are currently the subject of further investigation. Except for the properties at Lucas Heights, New South Wales and Cox Peninsula, Northern Territory, none of the remaining properties with potential remediation issues has had a provision recognised, as neither the conditions for legal nor constructive obligations have been met, nor is a reliable estimate of the obligation currently possible.</w:t>
      </w:r>
    </w:p>
    <w:p w14:paraId="60CD785E" w14:textId="3D69CDA0" w:rsidR="00C5259B" w:rsidRPr="006B5F4F" w:rsidRDefault="002713A6" w:rsidP="00210C1E">
      <w:pPr>
        <w:pStyle w:val="Heading3"/>
      </w:pPr>
      <w:r w:rsidRPr="006B5F4F">
        <w:t>Home Affairs</w:t>
      </w:r>
    </w:p>
    <w:p w14:paraId="458F86DD" w14:textId="4B2E7FC1" w:rsidR="00C5259B" w:rsidRPr="006B5F4F" w:rsidRDefault="00C5259B" w:rsidP="00D42A4D">
      <w:pPr>
        <w:pStyle w:val="Heading4"/>
      </w:pPr>
      <w:r w:rsidRPr="006B5F4F">
        <w:t>Garrison</w:t>
      </w:r>
      <w:r w:rsidR="00AB1181" w:rsidRPr="006B5F4F">
        <w:t xml:space="preserve">, </w:t>
      </w:r>
      <w:r w:rsidRPr="006B5F4F">
        <w:t xml:space="preserve">welfare </w:t>
      </w:r>
      <w:r w:rsidR="00AB1181" w:rsidRPr="006B5F4F">
        <w:t xml:space="preserve">and health </w:t>
      </w:r>
      <w:r w:rsidRPr="006B5F4F">
        <w:t xml:space="preserve">services at </w:t>
      </w:r>
      <w:r w:rsidR="006C0FA9" w:rsidRPr="006B5F4F">
        <w:t>r</w:t>
      </w:r>
      <w:r w:rsidRPr="006B5F4F">
        <w:t xml:space="preserve">egional </w:t>
      </w:r>
      <w:r w:rsidR="006C0FA9" w:rsidRPr="006B5F4F">
        <w:t>p</w:t>
      </w:r>
      <w:r w:rsidRPr="006B5F4F">
        <w:t>rocessing</w:t>
      </w:r>
      <w:r w:rsidR="006C0FA9" w:rsidRPr="006B5F4F">
        <w:t xml:space="preserve"> </w:t>
      </w:r>
      <w:r w:rsidR="007F4138" w:rsidRPr="006B5F4F">
        <w:t xml:space="preserve">countries </w:t>
      </w:r>
      <w:r w:rsidR="00B337A9" w:rsidRPr="006B5F4F">
        <w:t>— liability limit</w:t>
      </w:r>
    </w:p>
    <w:p w14:paraId="4F56E84C" w14:textId="469084F4" w:rsidR="00A6186B" w:rsidRPr="006B5F4F" w:rsidRDefault="00A6186B" w:rsidP="00A6186B">
      <w:pPr>
        <w:rPr>
          <w:rFonts w:eastAsia="Calibri"/>
        </w:rPr>
      </w:pPr>
      <w:r w:rsidRPr="006B5F4F">
        <w:rPr>
          <w:rFonts w:eastAsia="Calibri"/>
        </w:rPr>
        <w:t xml:space="preserve">The Department of Home Affairs entered into a contract with </w:t>
      </w:r>
      <w:proofErr w:type="spellStart"/>
      <w:r w:rsidRPr="006B5F4F">
        <w:rPr>
          <w:rFonts w:eastAsia="Calibri"/>
        </w:rPr>
        <w:t>Canstruct</w:t>
      </w:r>
      <w:proofErr w:type="spellEnd"/>
      <w:r w:rsidRPr="006B5F4F">
        <w:rPr>
          <w:rFonts w:eastAsia="Calibri"/>
        </w:rPr>
        <w:t xml:space="preserve"> International Pty Ltd (</w:t>
      </w:r>
      <w:proofErr w:type="spellStart"/>
      <w:r w:rsidRPr="006B5F4F">
        <w:rPr>
          <w:rFonts w:eastAsia="Calibri"/>
        </w:rPr>
        <w:t>Canstruct</w:t>
      </w:r>
      <w:proofErr w:type="spellEnd"/>
      <w:r w:rsidRPr="006B5F4F">
        <w:rPr>
          <w:rFonts w:eastAsia="Calibri"/>
        </w:rPr>
        <w:t xml:space="preserve">), which commenced on 1 November 2017, for the provision of garrison and welfare services on Nauru in relation to regional processing arrangements. The contract includes a provision that limits </w:t>
      </w:r>
      <w:proofErr w:type="spellStart"/>
      <w:r w:rsidRPr="006B5F4F">
        <w:rPr>
          <w:rFonts w:eastAsia="Calibri"/>
        </w:rPr>
        <w:t>Canstruct’s</w:t>
      </w:r>
      <w:proofErr w:type="spellEnd"/>
      <w:r w:rsidRPr="006B5F4F">
        <w:rPr>
          <w:rFonts w:eastAsia="Calibri"/>
        </w:rPr>
        <w:t xml:space="preserve"> liability to the Department of Home Affairs to a maximum of $20 million for any single occurrence and $50 million in aggregate for the term of the contract (12 months). The limitation of liability does not apply to personal injury, breach of third-party IP rights, damage to third-party property or malicious acts or omiss</w:t>
      </w:r>
      <w:r w:rsidR="00B337A9" w:rsidRPr="006B5F4F">
        <w:rPr>
          <w:rFonts w:eastAsia="Calibri"/>
        </w:rPr>
        <w:t xml:space="preserve">ions attributable to </w:t>
      </w:r>
      <w:proofErr w:type="spellStart"/>
      <w:r w:rsidR="00B337A9" w:rsidRPr="006B5F4F">
        <w:rPr>
          <w:rFonts w:eastAsia="Calibri"/>
        </w:rPr>
        <w:t>Canstruct</w:t>
      </w:r>
      <w:proofErr w:type="spellEnd"/>
      <w:r w:rsidR="00B337A9" w:rsidRPr="006B5F4F">
        <w:rPr>
          <w:rFonts w:eastAsia="Calibri"/>
        </w:rPr>
        <w:t>.</w:t>
      </w:r>
    </w:p>
    <w:p w14:paraId="40A55362" w14:textId="77777777" w:rsidR="0014402C" w:rsidRPr="006B5F4F" w:rsidRDefault="0014402C">
      <w:pPr>
        <w:spacing w:after="0" w:line="240" w:lineRule="auto"/>
        <w:jc w:val="left"/>
        <w:rPr>
          <w:rFonts w:eastAsia="Calibri"/>
        </w:rPr>
      </w:pPr>
      <w:r w:rsidRPr="006B5F4F">
        <w:rPr>
          <w:rFonts w:eastAsia="Calibri"/>
        </w:rPr>
        <w:br w:type="page"/>
      </w:r>
    </w:p>
    <w:p w14:paraId="18534064" w14:textId="36B45ECB" w:rsidR="00A6186B" w:rsidRPr="006B5F4F" w:rsidRDefault="00A6186B" w:rsidP="00A6186B">
      <w:pPr>
        <w:rPr>
          <w:rFonts w:eastAsia="Calibri"/>
        </w:rPr>
      </w:pPr>
      <w:r w:rsidRPr="006B5F4F">
        <w:rPr>
          <w:rFonts w:eastAsia="Calibri"/>
        </w:rPr>
        <w:lastRenderedPageBreak/>
        <w:t>The Department of Home Affairs is also in the process of negotiating contracts for the provision of garrison, welfare and health services in Papua New Guinea</w:t>
      </w:r>
      <w:r w:rsidR="00EB3870" w:rsidRPr="006B5F4F">
        <w:rPr>
          <w:rFonts w:eastAsia="Calibri"/>
        </w:rPr>
        <w:t xml:space="preserve"> in relation to regional processing arrangements</w:t>
      </w:r>
      <w:r w:rsidRPr="006B5F4F">
        <w:rPr>
          <w:rFonts w:eastAsia="Calibri"/>
        </w:rPr>
        <w:t>, for which the potential liability for the Australian Government in the context of these services is currently unquantifiable.</w:t>
      </w:r>
    </w:p>
    <w:p w14:paraId="67F38F3F" w14:textId="6766DE98" w:rsidR="00E61747" w:rsidRPr="006B5F4F" w:rsidRDefault="00B337A9" w:rsidP="00D10D01">
      <w:pPr>
        <w:rPr>
          <w:rFonts w:ascii="Arial" w:hAnsi="Arial" w:cs="Arial"/>
          <w:b/>
          <w:color w:val="000000"/>
        </w:rPr>
      </w:pPr>
      <w:r w:rsidRPr="006B5F4F">
        <w:rPr>
          <w:rFonts w:ascii="Arial" w:hAnsi="Arial" w:cs="Arial"/>
          <w:b/>
          <w:color w:val="000000"/>
        </w:rPr>
        <w:t>Disaster Recovery</w:t>
      </w:r>
    </w:p>
    <w:p w14:paraId="05CB54CF" w14:textId="796F7EAF" w:rsidR="00E61747" w:rsidRPr="006B5F4F" w:rsidRDefault="00E61747" w:rsidP="00E61747">
      <w:pPr>
        <w:rPr>
          <w:rFonts w:eastAsia="Calibri"/>
        </w:rPr>
      </w:pPr>
      <w:r w:rsidRPr="006B5F4F">
        <w:rPr>
          <w:rFonts w:eastAsia="Calibri"/>
        </w:rPr>
        <w:t xml:space="preserve">The Australian Government provides funding to States and Territories through the Natural Disaster Relief and Recovery Arrangements (NDRRA) to assist with natural disaster relief and recovery costs. A State or Territory may claim NDRRA funding if a natural disaster occurs and State or Territory relief and recovery expenditure for that event meets the requirements set out in the NDRRA Determination. </w:t>
      </w:r>
      <w:r w:rsidR="00C1091C" w:rsidRPr="006B5F4F">
        <w:rPr>
          <w:rFonts w:eastAsia="Calibri"/>
        </w:rPr>
        <w:t>For major disasters</w:t>
      </w:r>
      <w:r w:rsidR="0016147F" w:rsidRPr="006B5F4F">
        <w:rPr>
          <w:rFonts w:eastAsia="Calibri"/>
        </w:rPr>
        <w:t>,</w:t>
      </w:r>
      <w:r w:rsidR="00C1091C" w:rsidRPr="006B5F4F">
        <w:rPr>
          <w:rFonts w:eastAsia="Calibri"/>
        </w:rPr>
        <w:t xml:space="preserve"> the Australian Government may approve payments to individuals under the </w:t>
      </w:r>
      <w:r w:rsidR="00C1091C" w:rsidRPr="006B5F4F">
        <w:rPr>
          <w:rFonts w:eastAsia="Calibri"/>
          <w:i/>
        </w:rPr>
        <w:t>Social Security Act 1991</w:t>
      </w:r>
      <w:r w:rsidR="00C1091C" w:rsidRPr="006B5F4F">
        <w:rPr>
          <w:rFonts w:eastAsia="Calibri"/>
        </w:rPr>
        <w:t>. These include the Disaster Recovery Payment and Disaster Recovery Allowance. As disasters and their impacts are unpredictable, the cost relating to these payments from future disasters is unquantifiable and therefore not included in the forward estimates.</w:t>
      </w:r>
    </w:p>
    <w:p w14:paraId="4B7D3EAF" w14:textId="7C54B68F" w:rsidR="00E61747" w:rsidRPr="006B5F4F" w:rsidRDefault="00C1091C" w:rsidP="00E61747">
      <w:r w:rsidRPr="006B5F4F">
        <w:rPr>
          <w:rFonts w:eastAsia="Calibri"/>
        </w:rPr>
        <w:t>Further, w</w:t>
      </w:r>
      <w:r w:rsidR="00E61747" w:rsidRPr="006B5F4F">
        <w:rPr>
          <w:rFonts w:eastAsia="Calibri"/>
        </w:rPr>
        <w:t>hile current forward estimates for the NDRRA are based on the best information available at the time of preparation, preliminary estimates of the cost of a disaster and the timing of expenditure are subject to change and the total cost of relief and recovery from these events may not be completely realised for some years.</w:t>
      </w:r>
    </w:p>
    <w:p w14:paraId="3399D1AC" w14:textId="07AFF82C" w:rsidR="00B23FFB" w:rsidRPr="006B5F4F" w:rsidRDefault="00B23FFB" w:rsidP="00210C1E">
      <w:pPr>
        <w:pStyle w:val="Heading3"/>
      </w:pPr>
      <w:r w:rsidRPr="006B5F4F">
        <w:t>Infrastr</w:t>
      </w:r>
      <w:r w:rsidR="00B337A9" w:rsidRPr="006B5F4F">
        <w:t>ucture and Regional Development</w:t>
      </w:r>
    </w:p>
    <w:p w14:paraId="040A9559" w14:textId="04D06842" w:rsidR="00B23FFB" w:rsidRPr="006B5F4F" w:rsidRDefault="00B23FFB" w:rsidP="00D42A4D">
      <w:pPr>
        <w:pStyle w:val="Heading4"/>
      </w:pPr>
      <w:r w:rsidRPr="006B5F4F">
        <w:t>Service Delivery Arrangement Indemnities — External Territories</w:t>
      </w:r>
    </w:p>
    <w:p w14:paraId="25102B69" w14:textId="0B853B87" w:rsidR="00B23FFB" w:rsidRPr="006B5F4F" w:rsidRDefault="00B23FFB" w:rsidP="00B23FFB">
      <w:pPr>
        <w:rPr>
          <w:rFonts w:eastAsia="Calibri"/>
        </w:rPr>
      </w:pPr>
      <w:r w:rsidRPr="006B5F4F">
        <w:rPr>
          <w:rFonts w:eastAsia="Calibri"/>
        </w:rPr>
        <w:t xml:space="preserve">A range of services are delivered to the Indian Ocean Territories </w:t>
      </w:r>
      <w:r w:rsidR="008A0629" w:rsidRPr="006B5F4F">
        <w:rPr>
          <w:rFonts w:eastAsia="Calibri"/>
        </w:rPr>
        <w:t xml:space="preserve">(Christmas Island and the Cocos (Keeling) Islands) by </w:t>
      </w:r>
      <w:r w:rsidRPr="006B5F4F">
        <w:rPr>
          <w:rFonts w:eastAsia="Calibri"/>
        </w:rPr>
        <w:t xml:space="preserve">the Western Australian (WA) Government </w:t>
      </w:r>
      <w:r w:rsidR="008A0629" w:rsidRPr="006B5F4F">
        <w:rPr>
          <w:rFonts w:eastAsia="Calibri"/>
        </w:rPr>
        <w:t xml:space="preserve">under </w:t>
      </w:r>
      <w:r w:rsidRPr="006B5F4F">
        <w:rPr>
          <w:rFonts w:eastAsia="Calibri"/>
        </w:rPr>
        <w:t xml:space="preserve">Service Delivery Arrangements </w:t>
      </w:r>
      <w:r w:rsidR="008A0629" w:rsidRPr="006B5F4F">
        <w:rPr>
          <w:rFonts w:eastAsia="Calibri"/>
        </w:rPr>
        <w:t>(</w:t>
      </w:r>
      <w:r w:rsidRPr="006B5F4F">
        <w:rPr>
          <w:rFonts w:eastAsia="Calibri"/>
        </w:rPr>
        <w:t>SDAs)</w:t>
      </w:r>
      <w:r w:rsidR="008A0629" w:rsidRPr="006B5F4F">
        <w:rPr>
          <w:rFonts w:eastAsia="Calibri"/>
        </w:rPr>
        <w:t xml:space="preserve"> agreed with the Australian Government</w:t>
      </w:r>
      <w:r w:rsidRPr="006B5F4F">
        <w:rPr>
          <w:rFonts w:eastAsia="Calibri"/>
        </w:rPr>
        <w:t xml:space="preserve">. There are </w:t>
      </w:r>
      <w:r w:rsidR="00473A85" w:rsidRPr="006B5F4F">
        <w:rPr>
          <w:rFonts w:eastAsia="Calibri"/>
        </w:rPr>
        <w:t>45</w:t>
      </w:r>
      <w:r w:rsidR="008A0629" w:rsidRPr="006B5F4F">
        <w:rPr>
          <w:rFonts w:eastAsia="Calibri"/>
        </w:rPr>
        <w:t xml:space="preserve"> SDAs in place with</w:t>
      </w:r>
      <w:r w:rsidR="00473A85" w:rsidRPr="006B5F4F">
        <w:rPr>
          <w:rFonts w:eastAsia="Calibri"/>
        </w:rPr>
        <w:t xml:space="preserve"> </w:t>
      </w:r>
      <w:r w:rsidRPr="006B5F4F">
        <w:rPr>
          <w:rFonts w:eastAsia="Calibri"/>
        </w:rPr>
        <w:t xml:space="preserve">WA Government agencies </w:t>
      </w:r>
      <w:r w:rsidR="008A0629" w:rsidRPr="006B5F4F">
        <w:rPr>
          <w:rFonts w:eastAsia="Calibri"/>
        </w:rPr>
        <w:t xml:space="preserve">for </w:t>
      </w:r>
      <w:r w:rsidRPr="006B5F4F">
        <w:rPr>
          <w:rFonts w:eastAsia="Calibri"/>
        </w:rPr>
        <w:t>services t</w:t>
      </w:r>
      <w:r w:rsidR="00B337A9" w:rsidRPr="006B5F4F">
        <w:rPr>
          <w:rFonts w:eastAsia="Calibri"/>
        </w:rPr>
        <w:t>o the Indian Ocean Territories.</w:t>
      </w:r>
    </w:p>
    <w:p w14:paraId="785E17D5" w14:textId="40FDACE3" w:rsidR="00B23FFB" w:rsidRPr="006B5F4F" w:rsidRDefault="00B23FFB" w:rsidP="00B23FFB">
      <w:pPr>
        <w:rPr>
          <w:rFonts w:eastAsia="Calibri"/>
        </w:rPr>
      </w:pPr>
      <w:r w:rsidRPr="006B5F4F">
        <w:rPr>
          <w:rFonts w:eastAsia="Calibri"/>
        </w:rPr>
        <w:t>The Australian Government has provided certain indemnities for the WA</w:t>
      </w:r>
      <w:r w:rsidR="00564F9B" w:rsidRPr="006B5F4F">
        <w:rPr>
          <w:rFonts w:eastAsia="Calibri"/>
        </w:rPr>
        <w:t> </w:t>
      </w:r>
      <w:r w:rsidRPr="006B5F4F">
        <w:rPr>
          <w:rFonts w:eastAsia="Calibri"/>
        </w:rPr>
        <w:t>Government, their respective officers, agents, contractors and employees against civil claims relating to their empl</w:t>
      </w:r>
      <w:r w:rsidR="00B337A9" w:rsidRPr="006B5F4F">
        <w:rPr>
          <w:rFonts w:eastAsia="Calibri"/>
        </w:rPr>
        <w:t>oyment and conduct as officers.</w:t>
      </w:r>
    </w:p>
    <w:p w14:paraId="4CC54B87" w14:textId="6E7AA8A7" w:rsidR="00B23FFB" w:rsidRPr="006B5F4F" w:rsidRDefault="00B23FFB" w:rsidP="00B23FFB">
      <w:pPr>
        <w:rPr>
          <w:rFonts w:eastAsia="Calibri"/>
        </w:rPr>
      </w:pPr>
      <w:r w:rsidRPr="006B5F4F">
        <w:rPr>
          <w:rFonts w:eastAsia="Calibri"/>
        </w:rPr>
        <w:t xml:space="preserve">From 1 July 2016, the New South Wales (NSW) Government has provided a range of services to the Norfolk Island community through </w:t>
      </w:r>
      <w:r w:rsidR="008A0629" w:rsidRPr="006B5F4F">
        <w:rPr>
          <w:rFonts w:eastAsia="Calibri"/>
        </w:rPr>
        <w:t>a Heads of Agreement</w:t>
      </w:r>
      <w:r w:rsidRPr="006B5F4F">
        <w:rPr>
          <w:rFonts w:eastAsia="Calibri"/>
        </w:rPr>
        <w:t xml:space="preserve">. The Australian Government provides certain indemnities for the </w:t>
      </w:r>
      <w:r w:rsidR="00473A85" w:rsidRPr="006B5F4F">
        <w:rPr>
          <w:rFonts w:eastAsia="Calibri"/>
        </w:rPr>
        <w:t>State of NSW and NSW authorities and officials in respect of the delivery of services to Norfolk Island</w:t>
      </w:r>
      <w:r w:rsidR="00B337A9" w:rsidRPr="006B5F4F">
        <w:rPr>
          <w:rFonts w:eastAsia="Calibri"/>
        </w:rPr>
        <w:t>.</w:t>
      </w:r>
    </w:p>
    <w:p w14:paraId="47EF4B57" w14:textId="72A4FB29" w:rsidR="00B23FFB" w:rsidRPr="006B5F4F" w:rsidRDefault="00B23FFB" w:rsidP="00B23FFB">
      <w:pPr>
        <w:rPr>
          <w:rFonts w:cs="Book Antiqua"/>
        </w:rPr>
      </w:pPr>
      <w:r w:rsidRPr="006B5F4F">
        <w:rPr>
          <w:rFonts w:eastAsia="Calibri"/>
        </w:rPr>
        <w:t>The likelihood of an event occurring that may result in a liability for the Australian Government has been assessed as remote and the risks are currently mitigated through the training and professional qualifications of the staff of these agencies.</w:t>
      </w:r>
    </w:p>
    <w:p w14:paraId="7AACB7E5" w14:textId="51E8B7E7" w:rsidR="00B23FFB" w:rsidRPr="006B5F4F" w:rsidRDefault="00672404" w:rsidP="00D42A4D">
      <w:pPr>
        <w:pStyle w:val="Heading4"/>
      </w:pPr>
      <w:r w:rsidRPr="006B5F4F">
        <w:lastRenderedPageBreak/>
        <w:t>Aviation r</w:t>
      </w:r>
      <w:r w:rsidR="00B23FFB" w:rsidRPr="006B5F4F">
        <w:t xml:space="preserve">escue </w:t>
      </w:r>
      <w:r w:rsidRPr="006B5F4F">
        <w:t xml:space="preserve">and </w:t>
      </w:r>
      <w:proofErr w:type="spellStart"/>
      <w:r w:rsidRPr="006B5F4F">
        <w:t>f</w:t>
      </w:r>
      <w:r w:rsidR="00B23FFB" w:rsidRPr="006B5F4F">
        <w:t xml:space="preserve">ire </w:t>
      </w:r>
      <w:r w:rsidRPr="006B5F4F">
        <w:t>f</w:t>
      </w:r>
      <w:r w:rsidR="00B23FFB" w:rsidRPr="006B5F4F">
        <w:t>ighting</w:t>
      </w:r>
      <w:proofErr w:type="spellEnd"/>
      <w:r w:rsidR="00B23FFB" w:rsidRPr="006B5F4F">
        <w:t xml:space="preserve"> potential </w:t>
      </w:r>
      <w:r w:rsidRPr="006B5F4F">
        <w:t>p</w:t>
      </w:r>
      <w:r w:rsidR="00B23FFB" w:rsidRPr="006B5F4F">
        <w:t>er- a</w:t>
      </w:r>
      <w:r w:rsidR="007F4138" w:rsidRPr="006B5F4F">
        <w:t xml:space="preserve">nd </w:t>
      </w:r>
      <w:r w:rsidRPr="006B5F4F">
        <w:t>p</w:t>
      </w:r>
      <w:r w:rsidR="007F4138" w:rsidRPr="006B5F4F">
        <w:t>oly-</w:t>
      </w:r>
      <w:proofErr w:type="spellStart"/>
      <w:r w:rsidRPr="006B5F4F">
        <w:t>f</w:t>
      </w:r>
      <w:r w:rsidR="007F4138" w:rsidRPr="006B5F4F">
        <w:t>luoroalkyl</w:t>
      </w:r>
      <w:proofErr w:type="spellEnd"/>
      <w:r w:rsidR="007F4138" w:rsidRPr="006B5F4F">
        <w:t xml:space="preserve"> </w:t>
      </w:r>
      <w:r w:rsidRPr="006B5F4F">
        <w:t>s</w:t>
      </w:r>
      <w:r w:rsidR="007F4138" w:rsidRPr="006B5F4F">
        <w:t>ubstances</w:t>
      </w:r>
      <w:r w:rsidR="00B337A9" w:rsidRPr="006B5F4F">
        <w:t xml:space="preserve"> </w:t>
      </w:r>
      <w:r w:rsidRPr="006B5F4F">
        <w:t>c</w:t>
      </w:r>
      <w:r w:rsidR="00B337A9" w:rsidRPr="006B5F4F">
        <w:t>ontamination</w:t>
      </w:r>
    </w:p>
    <w:p w14:paraId="62DB1086" w14:textId="2CB941A3" w:rsidR="00E071BC" w:rsidRPr="006B5F4F" w:rsidRDefault="00E071BC" w:rsidP="00E071BC">
      <w:pPr>
        <w:rPr>
          <w:strike/>
        </w:rPr>
      </w:pPr>
      <w:proofErr w:type="spellStart"/>
      <w:r w:rsidRPr="006B5F4F">
        <w:t>Airservices</w:t>
      </w:r>
      <w:proofErr w:type="spellEnd"/>
      <w:r w:rsidRPr="006B5F4F">
        <w:t xml:space="preserve"> Australia (</w:t>
      </w:r>
      <w:proofErr w:type="spellStart"/>
      <w:r w:rsidRPr="006B5F4F">
        <w:t>Airservices</w:t>
      </w:r>
      <w:proofErr w:type="spellEnd"/>
      <w:r w:rsidRPr="006B5F4F">
        <w:t>) has identified a number of sites around the country that potentially have been contaminated with per- and poly-</w:t>
      </w:r>
      <w:proofErr w:type="spellStart"/>
      <w:r w:rsidRPr="006B5F4F">
        <w:t>fluoroalkyl</w:t>
      </w:r>
      <w:proofErr w:type="spellEnd"/>
      <w:r w:rsidRPr="006B5F4F">
        <w:t xml:space="preserve"> substances (PFAS) previously contained in firefighting foams. The firefighting foams containing PF</w:t>
      </w:r>
      <w:r w:rsidR="00831EBC" w:rsidRPr="006B5F4F">
        <w:t>A</w:t>
      </w:r>
      <w:r w:rsidRPr="006B5F4F">
        <w:t xml:space="preserve">S were widely used internationally and were used on sites where aviation rescue and firefighting services were provided </w:t>
      </w:r>
      <w:proofErr w:type="gramStart"/>
      <w:r w:rsidRPr="006B5F4F">
        <w:t>between approximately 1980 to 2010</w:t>
      </w:r>
      <w:proofErr w:type="gramEnd"/>
      <w:r w:rsidRPr="006B5F4F">
        <w:t xml:space="preserve">. The identified contaminants do not naturally break down in the environment. </w:t>
      </w:r>
      <w:proofErr w:type="spellStart"/>
      <w:r w:rsidRPr="006B5F4F">
        <w:t>Airservices</w:t>
      </w:r>
      <w:proofErr w:type="spellEnd"/>
      <w:r w:rsidRPr="006B5F4F">
        <w:t xml:space="preserve"> continues to implement its PFAS management program </w:t>
      </w:r>
      <w:r w:rsidR="00831EBC" w:rsidRPr="006B5F4F">
        <w:t>that</w:t>
      </w:r>
      <w:r w:rsidRPr="006B5F4F">
        <w:t xml:space="preserve"> included testing and assessment of the fire training grounds in 2008-09</w:t>
      </w:r>
      <w:r w:rsidR="00D91C55" w:rsidRPr="006B5F4F">
        <w:t>,</w:t>
      </w:r>
      <w:r w:rsidRPr="006B5F4F">
        <w:t xml:space="preserve"> with additional site assessments conducted in the years following. Costs associated with potential long term management options such as containment and remediation cannot be quantified at this time, but could be considerable given the current lack of practicable management options and the fact there are potentially 19 of the 21 federally leased airports and other regional airports involved.</w:t>
      </w:r>
    </w:p>
    <w:p w14:paraId="0915CA5C" w14:textId="7C311AC4" w:rsidR="00E071BC" w:rsidRPr="006B5F4F" w:rsidRDefault="00E071BC" w:rsidP="00E071BC">
      <w:r w:rsidRPr="006B5F4F">
        <w:t>For federally-leased airports, under the airport head leases, the Airport Lessee Companies are responsible for the environmental management of their airport sites.  The airport leases contain an indemnity in favour of the Commonwealth specifically relating to damages, costs or injury arising out of any damage or injury to the environment on</w:t>
      </w:r>
      <w:r w:rsidR="00B349E5" w:rsidRPr="006B5F4F">
        <w:noBreakHyphen/>
      </w:r>
      <w:r w:rsidRPr="006B5F4F">
        <w:t>airport, both before and after the grant time (with some exceptions applying to the latter).  However, which entity is liable for costs/damages/injury arising from PFAS contamination on federally-leased airports has not y</w:t>
      </w:r>
      <w:r w:rsidR="00B337A9" w:rsidRPr="006B5F4F">
        <w:t>et been tested or established.</w:t>
      </w:r>
    </w:p>
    <w:p w14:paraId="2400F18F" w14:textId="7EBFEF16" w:rsidR="00E071BC" w:rsidRPr="006B5F4F" w:rsidRDefault="00E071BC" w:rsidP="00E071BC">
      <w:r w:rsidRPr="006B5F4F">
        <w:t xml:space="preserve">Currently, there are two class actions </w:t>
      </w:r>
      <w:r w:rsidR="00D91C55" w:rsidRPr="006B5F4F">
        <w:t xml:space="preserve">against the Commonwealth </w:t>
      </w:r>
      <w:r w:rsidRPr="006B5F4F">
        <w:t>before the Federal Court</w:t>
      </w:r>
      <w:r w:rsidR="00D91C55" w:rsidRPr="006B5F4F">
        <w:t>,</w:t>
      </w:r>
      <w:r w:rsidRPr="006B5F4F">
        <w:t xml:space="preserve"> seeking damages over the use of historical PFAS-containing firefighting foam by the Department of Defence at Williamtown and Oakey. The outcomes of these class actions may have implications for the </w:t>
      </w:r>
      <w:r w:rsidR="009A0347" w:rsidRPr="006B5F4F">
        <w:t xml:space="preserve">Department of Defence, </w:t>
      </w:r>
      <w:r w:rsidR="00542D92" w:rsidRPr="006B5F4F">
        <w:t xml:space="preserve">the </w:t>
      </w:r>
      <w:r w:rsidRPr="006B5F4F">
        <w:t>Department of Infrastructure and Regional Development</w:t>
      </w:r>
      <w:r w:rsidR="00542D92" w:rsidRPr="006B5F4F">
        <w:t xml:space="preserve"> and </w:t>
      </w:r>
      <w:proofErr w:type="spellStart"/>
      <w:r w:rsidR="00542D92" w:rsidRPr="006B5F4F">
        <w:t>Airservices</w:t>
      </w:r>
      <w:proofErr w:type="spellEnd"/>
      <w:r w:rsidRPr="006B5F4F">
        <w:t>.</w:t>
      </w:r>
    </w:p>
    <w:p w14:paraId="4BD530CF" w14:textId="77777777" w:rsidR="00ED79D2" w:rsidRPr="006B5F4F" w:rsidRDefault="00F778C2" w:rsidP="00210C1E">
      <w:pPr>
        <w:pStyle w:val="Heading2"/>
      </w:pPr>
      <w:r w:rsidRPr="006B5F4F">
        <w:t>Contingent assets</w:t>
      </w:r>
      <w:r w:rsidR="000D21E8" w:rsidRPr="006B5F4F">
        <w:t xml:space="preserve"> — </w:t>
      </w:r>
      <w:r w:rsidR="001920A5" w:rsidRPr="006B5F4F">
        <w:t>unquantifiable</w:t>
      </w:r>
    </w:p>
    <w:p w14:paraId="643C14AC" w14:textId="77777777" w:rsidR="00E61747" w:rsidRPr="006B5F4F" w:rsidRDefault="00E61747" w:rsidP="00210C1E">
      <w:pPr>
        <w:pStyle w:val="Heading3"/>
      </w:pPr>
      <w:r w:rsidRPr="006B5F4F">
        <w:t>Defence</w:t>
      </w:r>
    </w:p>
    <w:p w14:paraId="6FF1F2DB" w14:textId="6C90F1FE" w:rsidR="00E61747" w:rsidRPr="006B5F4F" w:rsidRDefault="007F4138" w:rsidP="00D42A4D">
      <w:pPr>
        <w:pStyle w:val="Heading4"/>
      </w:pPr>
      <w:r w:rsidRPr="006B5F4F">
        <w:t>Non-</w:t>
      </w:r>
      <w:r w:rsidR="00B337A9" w:rsidRPr="006B5F4F">
        <w:t>remote contingent assets</w:t>
      </w:r>
    </w:p>
    <w:p w14:paraId="2FFEBCBC" w14:textId="5CA117CA" w:rsidR="00E61747" w:rsidRPr="006B5F4F" w:rsidRDefault="00E61747" w:rsidP="00E61747">
      <w:r w:rsidRPr="006B5F4F">
        <w:t>The Department of Defence has eight instances of unquantifiable non-remote contingent assets.</w:t>
      </w:r>
    </w:p>
    <w:p w14:paraId="4CBE4333" w14:textId="2B1A8816" w:rsidR="00033843" w:rsidRPr="006B5F4F" w:rsidRDefault="00E61747" w:rsidP="00210C1E">
      <w:pPr>
        <w:pStyle w:val="Heading3"/>
      </w:pPr>
      <w:r w:rsidRPr="006B5F4F">
        <w:t>Home Affairs</w:t>
      </w:r>
    </w:p>
    <w:p w14:paraId="3A24D8BD" w14:textId="77777777" w:rsidR="00033843" w:rsidRPr="006B5F4F" w:rsidRDefault="00033843" w:rsidP="00D42A4D">
      <w:pPr>
        <w:pStyle w:val="Heading4"/>
      </w:pPr>
      <w:r w:rsidRPr="006B5F4F">
        <w:t>Civil penalty proceedings in the Federal Court against the Commonwealth Bank of Australia</w:t>
      </w:r>
    </w:p>
    <w:p w14:paraId="329BA300" w14:textId="0D0FA0EF" w:rsidR="00033843" w:rsidRPr="006B5F4F" w:rsidRDefault="00033843" w:rsidP="000816A3">
      <w:r w:rsidRPr="006B5F4F">
        <w:t>On 3 August 2017, AUSTRAC initiated civil penalty proceedings in the Federal Court against the Commonwealth Bank of Australia (CBA) for serious and systemic</w:t>
      </w:r>
      <w:r w:rsidR="0014402C" w:rsidRPr="006B5F4F">
        <w:br/>
      </w:r>
      <w:r w:rsidRPr="006B5F4F">
        <w:t xml:space="preserve">non-compliance with the </w:t>
      </w:r>
      <w:r w:rsidRPr="006B5F4F">
        <w:rPr>
          <w:i/>
        </w:rPr>
        <w:t xml:space="preserve">Anti-Money Laundering and Counter Terrorism Financing Act </w:t>
      </w:r>
      <w:r w:rsidRPr="006B5F4F">
        <w:rPr>
          <w:i/>
        </w:rPr>
        <w:lastRenderedPageBreak/>
        <w:t>2006</w:t>
      </w:r>
      <w:r w:rsidRPr="006B5F4F">
        <w:t xml:space="preserve">. AUSTRAC’s statement of claim has been made public by the Court. </w:t>
      </w:r>
      <w:r w:rsidR="00996961" w:rsidRPr="006B5F4F">
        <w:t>T</w:t>
      </w:r>
      <w:r w:rsidRPr="006B5F4F">
        <w:t>he outcome of this matter is unknown, including the quantum of any penalty that may be imposed by the Court.</w:t>
      </w:r>
    </w:p>
    <w:p w14:paraId="07F0404A" w14:textId="1F789D6A" w:rsidR="00E77A13" w:rsidRPr="006B5F4F" w:rsidRDefault="00F778C2" w:rsidP="00210C1E">
      <w:pPr>
        <w:pStyle w:val="Heading2"/>
      </w:pPr>
      <w:r w:rsidRPr="006B5F4F">
        <w:t>Contingent liabilities</w:t>
      </w:r>
      <w:r w:rsidR="000D21E8" w:rsidRPr="006B5F4F">
        <w:t xml:space="preserve"> — </w:t>
      </w:r>
      <w:r w:rsidRPr="006B5F4F">
        <w:t>quantif</w:t>
      </w:r>
      <w:r w:rsidR="00B337A9" w:rsidRPr="006B5F4F">
        <w:t>iable</w:t>
      </w:r>
    </w:p>
    <w:p w14:paraId="26DF1899" w14:textId="1A03BC0E" w:rsidR="00556A12" w:rsidRPr="006B5F4F" w:rsidRDefault="00B337A9" w:rsidP="00210C1E">
      <w:pPr>
        <w:pStyle w:val="Heading3"/>
      </w:pPr>
      <w:r w:rsidRPr="006B5F4F">
        <w:t>Defence</w:t>
      </w:r>
    </w:p>
    <w:p w14:paraId="57BF6485" w14:textId="151A9743" w:rsidR="00556A12" w:rsidRPr="006B5F4F" w:rsidRDefault="00556A12" w:rsidP="00D42A4D">
      <w:pPr>
        <w:pStyle w:val="Heading4"/>
      </w:pPr>
      <w:r w:rsidRPr="006B5F4F">
        <w:t>Claims ag</w:t>
      </w:r>
      <w:r w:rsidR="00B337A9" w:rsidRPr="006B5F4F">
        <w:t>ainst the Department of Defence</w:t>
      </w:r>
    </w:p>
    <w:p w14:paraId="64803255" w14:textId="38441E67" w:rsidR="00556A12" w:rsidRPr="006B5F4F" w:rsidRDefault="00556A12" w:rsidP="00556A12">
      <w:r w:rsidRPr="006B5F4F">
        <w:t xml:space="preserve">The Department of Defence (Defence) has </w:t>
      </w:r>
      <w:r w:rsidR="00031D2A" w:rsidRPr="006B5F4F">
        <w:t xml:space="preserve">14 </w:t>
      </w:r>
      <w:r w:rsidRPr="006B5F4F">
        <w:t>instances of non-remote, quantifiable contingent liabilities in respect of claims on Defence valued at $</w:t>
      </w:r>
      <w:r w:rsidR="00031D2A" w:rsidRPr="006B5F4F">
        <w:t>53.2</w:t>
      </w:r>
      <w:r w:rsidRPr="006B5F4F">
        <w:t xml:space="preserve"> million. The estimated figure is determined by conducting an objective analysis of the probable amount payable for all matters managed by Defence through the Attorney-General’s Legal Services Multi-Use List and those being handled in-house by Defence Legal Division. However, the exact amount payable under those claims is uncertain. Defence is defending the claims or is trying to resolve them by recourse to alternative dispute resolution measures.</w:t>
      </w:r>
    </w:p>
    <w:p w14:paraId="5711CEC6" w14:textId="312880F5" w:rsidR="003F6191" w:rsidRPr="006B5F4F" w:rsidRDefault="00B337A9" w:rsidP="00210C1E">
      <w:pPr>
        <w:pStyle w:val="Heading3"/>
      </w:pPr>
      <w:r w:rsidRPr="006B5F4F">
        <w:t>Foreign Affairs and Trade</w:t>
      </w:r>
    </w:p>
    <w:p w14:paraId="61366848" w14:textId="560C0973" w:rsidR="003F6191" w:rsidRPr="006B5F4F" w:rsidRDefault="003F6191" w:rsidP="00D42A4D">
      <w:pPr>
        <w:pStyle w:val="Heading4"/>
      </w:pPr>
      <w:r w:rsidRPr="006B5F4F">
        <w:t>Export Fi</w:t>
      </w:r>
      <w:r w:rsidR="00B337A9" w:rsidRPr="006B5F4F">
        <w:t>nance and Insurance Corporation</w:t>
      </w:r>
    </w:p>
    <w:p w14:paraId="7F4B70A3" w14:textId="26D37657" w:rsidR="003F6191" w:rsidRPr="006B5F4F" w:rsidRDefault="003F6191" w:rsidP="003F6191">
      <w:r w:rsidRPr="006B5F4F">
        <w:t xml:space="preserve">The Australian Government guarantees the due payment of money that is, or may at any time become, payable by the Export Finance and Insurance Corporation (EFIC) to anybody other than the Government. The Government also has in place a $200 million callable capital facility available to EFIC on request to cover liabilities, losses and claims. As at </w:t>
      </w:r>
      <w:r w:rsidR="00F3435B" w:rsidRPr="006B5F4F">
        <w:t>31 October</w:t>
      </w:r>
      <w:r w:rsidRPr="006B5F4F">
        <w:t xml:space="preserve"> 2017, the Government’s total contingent liability was </w:t>
      </w:r>
      <w:r w:rsidR="00F3435B" w:rsidRPr="006B5F4F">
        <w:t>$3.2</w:t>
      </w:r>
      <w:r w:rsidR="0014402C" w:rsidRPr="006B5F4F">
        <w:t> </w:t>
      </w:r>
      <w:r w:rsidRPr="006B5F4F">
        <w:t xml:space="preserve">billion. The </w:t>
      </w:r>
      <w:r w:rsidR="00F3435B" w:rsidRPr="006B5F4F">
        <w:t>$3.2</w:t>
      </w:r>
      <w:r w:rsidRPr="006B5F4F">
        <w:t xml:space="preserve"> billion contingent liability comprises EFIC’s</w:t>
      </w:r>
      <w:r w:rsidR="005202D8" w:rsidRPr="006B5F4F">
        <w:t xml:space="preserve"> liabilities to third</w:t>
      </w:r>
      <w:r w:rsidR="0014402C" w:rsidRPr="006B5F4F">
        <w:t> </w:t>
      </w:r>
      <w:r w:rsidR="005202D8" w:rsidRPr="006B5F4F">
        <w:t>parties (</w:t>
      </w:r>
      <w:r w:rsidR="00F3435B" w:rsidRPr="006B5F4F">
        <w:t>$2.5</w:t>
      </w:r>
      <w:r w:rsidRPr="006B5F4F">
        <w:t xml:space="preserve"> billion) and EFIC’s overseas investment insurance, contracts of</w:t>
      </w:r>
      <w:r w:rsidR="00B349E5" w:rsidRPr="006B5F4F">
        <w:t xml:space="preserve"> insurance and guarantees ($0.7 </w:t>
      </w:r>
      <w:r w:rsidRPr="006B5F4F">
        <w:t xml:space="preserve">billion). Of the total contingent liability, $2.7 billion relates to EFIC’s Commercial Account and </w:t>
      </w:r>
      <w:r w:rsidR="00F3435B" w:rsidRPr="006B5F4F">
        <w:t>$0.5</w:t>
      </w:r>
      <w:r w:rsidRPr="006B5F4F">
        <w:t xml:space="preserve"> billion relates to the National Interest Account.</w:t>
      </w:r>
    </w:p>
    <w:p w14:paraId="0C2D1F4B" w14:textId="77777777" w:rsidR="000816A3" w:rsidRPr="006B5F4F" w:rsidRDefault="000816A3" w:rsidP="00210C1E">
      <w:pPr>
        <w:pStyle w:val="Heading3"/>
      </w:pPr>
      <w:r w:rsidRPr="006B5F4F">
        <w:t>Prime Minister and Cabinet</w:t>
      </w:r>
    </w:p>
    <w:p w14:paraId="3A16404F" w14:textId="77777777" w:rsidR="000816A3" w:rsidRPr="006B5F4F" w:rsidRDefault="000816A3" w:rsidP="00D42A4D">
      <w:pPr>
        <w:pStyle w:val="Heading4"/>
      </w:pPr>
      <w:r w:rsidRPr="006B5F4F">
        <w:t>Leases for public housing in remote Northern Territory</w:t>
      </w:r>
    </w:p>
    <w:p w14:paraId="02ADFC28" w14:textId="7CCA0D0F" w:rsidR="000816A3" w:rsidRPr="006B5F4F" w:rsidRDefault="0006387F" w:rsidP="00CC4AB1">
      <w:r w:rsidRPr="006B5F4F">
        <w:t>From 2008, the Commonwealth has entered into leases for public housing lots in 51</w:t>
      </w:r>
      <w:r w:rsidR="0014402C" w:rsidRPr="006B5F4F">
        <w:t> </w:t>
      </w:r>
      <w:r w:rsidRPr="006B5F4F">
        <w:t>remote Northern Territory communities for a period of 40-99 years. Under these leases, the Commonwealth is expected to enter into subleases with a third party housing provider to deliver property and tenancy management on its behalf, or to deliver these responsibilities itself. The Northern Territory Government currently has subleases for all communities where Commonwealth leases are in place. The first of these subleases expire from June 2018. If no new subleases are entered into, the Commonwealth will become responsible for delivering landlord duties under the leases. Over the forward estimates period, N</w:t>
      </w:r>
      <w:r w:rsidR="007F4138" w:rsidRPr="006B5F4F">
        <w:t xml:space="preserve">orthern </w:t>
      </w:r>
      <w:r w:rsidRPr="006B5F4F">
        <w:t>T</w:t>
      </w:r>
      <w:r w:rsidR="007F4138" w:rsidRPr="006B5F4F">
        <w:t>erritory</w:t>
      </w:r>
      <w:r w:rsidRPr="006B5F4F">
        <w:t xml:space="preserve"> Government subleases expire in 43 communities, which encompass 1,836 housing lots.</w:t>
      </w:r>
    </w:p>
    <w:p w14:paraId="6877585E" w14:textId="6F546479" w:rsidR="00BE0AE2" w:rsidRPr="006B5F4F" w:rsidRDefault="00B337A9" w:rsidP="00210C1E">
      <w:pPr>
        <w:pStyle w:val="Heading3"/>
      </w:pPr>
      <w:r w:rsidRPr="006B5F4F">
        <w:lastRenderedPageBreak/>
        <w:t>Treasury</w:t>
      </w:r>
    </w:p>
    <w:p w14:paraId="45860C4A" w14:textId="638E2237" w:rsidR="00BE0AE2" w:rsidRPr="006B5F4F" w:rsidRDefault="00BE0AE2" w:rsidP="00D42A4D">
      <w:pPr>
        <w:pStyle w:val="Heading4"/>
      </w:pPr>
      <w:r w:rsidRPr="006B5F4F">
        <w:t>Australian</w:t>
      </w:r>
      <w:r w:rsidR="00B337A9" w:rsidRPr="006B5F4F">
        <w:t xml:space="preserve"> Taxation Office — tax disputes</w:t>
      </w:r>
    </w:p>
    <w:p w14:paraId="429257E3" w14:textId="102AFAD4" w:rsidR="00BE0AE2" w:rsidRPr="006B5F4F" w:rsidRDefault="00BE0AE2" w:rsidP="00BE0AE2">
      <w:r w:rsidRPr="006B5F4F">
        <w:t>At any point in time the Australian Taxation Office is involved in a range of dispute resolution processes, including litigation, r</w:t>
      </w:r>
      <w:r w:rsidR="00B337A9" w:rsidRPr="006B5F4F">
        <w:t>elating to tax disputes.</w:t>
      </w:r>
    </w:p>
    <w:p w14:paraId="0342739D" w14:textId="7BF3EEA9" w:rsidR="003F6191" w:rsidRPr="006B5F4F" w:rsidRDefault="00BE0AE2" w:rsidP="00BE0AE2">
      <w:r w:rsidRPr="006B5F4F">
        <w:t xml:space="preserve">Details of the outcome of dispute resolution processes are uncertain until a court ruling is made and/or an agreement is reached with the taxpayer. As a result, in most cases it is not possible to estimate with any reliability the likely financial impact of current disputes. The estimated aggregate value of tax in dispute as at </w:t>
      </w:r>
      <w:r w:rsidR="002946F6" w:rsidRPr="006B5F4F">
        <w:t>30 September</w:t>
      </w:r>
      <w:r w:rsidRPr="006B5F4F">
        <w:t xml:space="preserve"> 2017, for which a provision has not been made, is </w:t>
      </w:r>
      <w:r w:rsidR="002946F6" w:rsidRPr="006B5F4F">
        <w:t>$5.3</w:t>
      </w:r>
      <w:r w:rsidRPr="006B5F4F">
        <w:t xml:space="preserve"> billion.</w:t>
      </w:r>
    </w:p>
    <w:p w14:paraId="275A00D7" w14:textId="77777777" w:rsidR="003F6191" w:rsidRPr="006B5F4F" w:rsidRDefault="00BE0AE2" w:rsidP="00BE0AE2">
      <w:r w:rsidRPr="006B5F4F">
        <w:t>Outcomes of dispute resolution processes are included in the Commissioner of Taxation’s Annual Report each year. This may include disputes resolved through objections, settlements and court and tribunal decisions. It may also include amounts owed by taxpayers that are subject to dispute but not finalised.</w:t>
      </w:r>
    </w:p>
    <w:p w14:paraId="42DEF16E" w14:textId="069E32FE" w:rsidR="00BE0AE2" w:rsidRPr="006B5F4F" w:rsidRDefault="00BE0AE2" w:rsidP="00D42A4D">
      <w:pPr>
        <w:pStyle w:val="Heading4"/>
      </w:pPr>
      <w:r w:rsidRPr="006B5F4F">
        <w:t>International financial institutions —</w:t>
      </w:r>
      <w:r w:rsidR="00B337A9" w:rsidRPr="006B5F4F">
        <w:t xml:space="preserve"> uncalled capital subscriptions</w:t>
      </w:r>
    </w:p>
    <w:p w14:paraId="7DE0D1B6" w14:textId="505E13EA" w:rsidR="00BE0AE2" w:rsidRPr="006B5F4F" w:rsidRDefault="00BE0AE2" w:rsidP="00BE0AE2">
      <w:r w:rsidRPr="006B5F4F">
        <w:t xml:space="preserve">The Australian Government has held an uncalled capital subscription in the International Bank for Reconstruction and Development (IBRD) since 1947. Australia’s uncalled capital subscription to the IBRD totals US$3.6 billion (estimated value </w:t>
      </w:r>
      <w:proofErr w:type="gramStart"/>
      <w:r w:rsidRPr="006B5F4F">
        <w:t>A$</w:t>
      </w:r>
      <w:proofErr w:type="gramEnd"/>
      <w:r w:rsidRPr="006B5F4F">
        <w:t>4.7</w:t>
      </w:r>
      <w:r w:rsidR="00965B70" w:rsidRPr="006B5F4F">
        <w:t> </w:t>
      </w:r>
      <w:r w:rsidRPr="006B5F4F">
        <w:t xml:space="preserve">billion as at 31 </w:t>
      </w:r>
      <w:r w:rsidR="00965B70" w:rsidRPr="006B5F4F">
        <w:t xml:space="preserve">October </w:t>
      </w:r>
      <w:r w:rsidR="00B337A9" w:rsidRPr="006B5F4F">
        <w:t>2017).</w:t>
      </w:r>
    </w:p>
    <w:p w14:paraId="34DA41A2" w14:textId="52944ABF" w:rsidR="00BE0AE2" w:rsidRPr="006B5F4F" w:rsidRDefault="00BE0AE2" w:rsidP="00BE0AE2">
      <w:r w:rsidRPr="006B5F4F">
        <w:t xml:space="preserve">The Australian Government has also held an uncalled capital subscription in the European Bank for Reconstruction and Development (EBRD) since 1991. Australia’s uncalled capital subscription to the EBRD totals EUR237.5 million (estimated value </w:t>
      </w:r>
      <w:r w:rsidR="00965B70" w:rsidRPr="006B5F4F">
        <w:t xml:space="preserve">A$359.9 </w:t>
      </w:r>
      <w:r w:rsidRPr="006B5F4F">
        <w:t xml:space="preserve">million as at 31 </w:t>
      </w:r>
      <w:r w:rsidR="00965B70" w:rsidRPr="006B5F4F">
        <w:t xml:space="preserve">October </w:t>
      </w:r>
      <w:r w:rsidR="00B337A9" w:rsidRPr="006B5F4F">
        <w:t>2017).</w:t>
      </w:r>
    </w:p>
    <w:p w14:paraId="3414A9E9" w14:textId="2832517C" w:rsidR="00BE0AE2" w:rsidRPr="006B5F4F" w:rsidRDefault="00BE0AE2" w:rsidP="00BE0AE2">
      <w:r w:rsidRPr="006B5F4F">
        <w:t xml:space="preserve">The Australian Government has further held an uncalled capital subscription in the Asian Development Bank (ADB) since 1966. Australia’s uncalled capital subscription to the ADB totals US$7.0 billion (estimated value </w:t>
      </w:r>
      <w:proofErr w:type="gramStart"/>
      <w:r w:rsidRPr="006B5F4F">
        <w:t>A$</w:t>
      </w:r>
      <w:proofErr w:type="gramEnd"/>
      <w:r w:rsidRPr="006B5F4F">
        <w:t xml:space="preserve">9.2 billion as at 31 </w:t>
      </w:r>
      <w:r w:rsidR="00965B70" w:rsidRPr="006B5F4F">
        <w:t xml:space="preserve">October </w:t>
      </w:r>
      <w:r w:rsidR="00B337A9" w:rsidRPr="006B5F4F">
        <w:t>2017).</w:t>
      </w:r>
    </w:p>
    <w:p w14:paraId="17C7231E" w14:textId="42EEF423" w:rsidR="00BE0AE2" w:rsidRPr="006B5F4F" w:rsidRDefault="00BE0AE2" w:rsidP="00BE0AE2">
      <w:r w:rsidRPr="006B5F4F">
        <w:t xml:space="preserve">The Australian Government has further held an uncalled capital subscription in the Multilateral Investment Guarantee Agency of US$26.5 million (estimated value </w:t>
      </w:r>
      <w:proofErr w:type="gramStart"/>
      <w:r w:rsidR="00965B70" w:rsidRPr="006B5F4F">
        <w:t>A$</w:t>
      </w:r>
      <w:proofErr w:type="gramEnd"/>
      <w:r w:rsidR="00965B70" w:rsidRPr="006B5F4F">
        <w:t>34.5 </w:t>
      </w:r>
      <w:r w:rsidRPr="006B5F4F">
        <w:t xml:space="preserve">million as at 31 </w:t>
      </w:r>
      <w:r w:rsidR="00965B70" w:rsidRPr="006B5F4F">
        <w:t xml:space="preserve">October </w:t>
      </w:r>
      <w:r w:rsidR="00B337A9" w:rsidRPr="006B5F4F">
        <w:t>2017).</w:t>
      </w:r>
    </w:p>
    <w:p w14:paraId="4D9AF6B6" w14:textId="269B8784" w:rsidR="00BE0AE2" w:rsidRPr="006B5F4F" w:rsidRDefault="00BE0AE2" w:rsidP="00BE0AE2">
      <w:r w:rsidRPr="006B5F4F">
        <w:t xml:space="preserve">The Asian Infrastructure Investment Bank (AIIB) was established on 25 December 2015. The Australian Government has subscribed to shares in the AIIB, which includes an uncalled capital subscription. Australia’s uncalled capital subscription to the AIIB totals US$3.0 billion (estimated value </w:t>
      </w:r>
      <w:proofErr w:type="gramStart"/>
      <w:r w:rsidR="00965B70" w:rsidRPr="006B5F4F">
        <w:t>A$</w:t>
      </w:r>
      <w:proofErr w:type="gramEnd"/>
      <w:r w:rsidR="00965B70" w:rsidRPr="006B5F4F">
        <w:t>3.8</w:t>
      </w:r>
      <w:r w:rsidRPr="006B5F4F">
        <w:t xml:space="preserve"> billion as at 31 </w:t>
      </w:r>
      <w:r w:rsidR="00965B70" w:rsidRPr="006B5F4F">
        <w:t xml:space="preserve">October </w:t>
      </w:r>
      <w:r w:rsidR="00B337A9" w:rsidRPr="006B5F4F">
        <w:t>2017).</w:t>
      </w:r>
    </w:p>
    <w:p w14:paraId="4CF78287" w14:textId="77777777" w:rsidR="00BE0AE2" w:rsidRPr="006B5F4F" w:rsidRDefault="00BE0AE2" w:rsidP="00BE0AE2">
      <w:r w:rsidRPr="006B5F4F">
        <w:t>None of these international financial institutions have ever drawn on Australia’s uncalled capital subscriptions.</w:t>
      </w:r>
    </w:p>
    <w:p w14:paraId="4E5749C9" w14:textId="2591E903" w:rsidR="00BE0AE2" w:rsidRPr="006B5F4F" w:rsidRDefault="00B337A9" w:rsidP="00D42A4D">
      <w:pPr>
        <w:pStyle w:val="Heading4"/>
      </w:pPr>
      <w:r w:rsidRPr="006B5F4F">
        <w:lastRenderedPageBreak/>
        <w:t>International Monetary Fund</w:t>
      </w:r>
    </w:p>
    <w:p w14:paraId="05B68E92" w14:textId="23BC6230" w:rsidR="00BE0AE2" w:rsidRPr="006B5F4F" w:rsidRDefault="00BE0AE2" w:rsidP="00BE0AE2">
      <w:r w:rsidRPr="006B5F4F">
        <w:t>Australia has made a line of credit available to the International Monetary Fund (IMF) under its New Arrangements to Borrow (NAB) since 1998. This is a contingent loan to help ensure that the IMF has the resources available to maintain stability in the global economy. The value of Australia’s NAB credit arrangement now stands at Special</w:t>
      </w:r>
      <w:r w:rsidR="00C31162" w:rsidRPr="006B5F4F">
        <w:t> </w:t>
      </w:r>
      <w:r w:rsidRPr="006B5F4F">
        <w:t xml:space="preserve">Drawing Rights (SDR, the IMF’s unit of account) SDR2.2 billion (estimated value </w:t>
      </w:r>
      <w:r w:rsidR="008E1321" w:rsidRPr="006B5F4F">
        <w:t>A$4.1 </w:t>
      </w:r>
      <w:r w:rsidRPr="006B5F4F">
        <w:t xml:space="preserve">billion at 31 </w:t>
      </w:r>
      <w:r w:rsidR="008E1321" w:rsidRPr="006B5F4F">
        <w:t xml:space="preserve">October </w:t>
      </w:r>
      <w:r w:rsidRPr="006B5F4F">
        <w:t xml:space="preserve">2017). On 4 November 2016, </w:t>
      </w:r>
      <w:r w:rsidR="008E1321" w:rsidRPr="006B5F4F">
        <w:t>the IMF Executive Board agreed to renew the NAB</w:t>
      </w:r>
      <w:r w:rsidRPr="006B5F4F">
        <w:t xml:space="preserve"> for an additional five year period to </w:t>
      </w:r>
      <w:r w:rsidR="008E1321" w:rsidRPr="006B5F4F">
        <w:t xml:space="preserve">16 </w:t>
      </w:r>
      <w:r w:rsidRPr="006B5F4F">
        <w:t xml:space="preserve">November 2022. </w:t>
      </w:r>
    </w:p>
    <w:p w14:paraId="4F83083A" w14:textId="0AE28074" w:rsidR="00BE0AE2" w:rsidRPr="006B5F4F" w:rsidRDefault="00BE0AE2" w:rsidP="002946F6">
      <w:r w:rsidRPr="006B5F4F">
        <w:t xml:space="preserve">In addition, Australia has made available </w:t>
      </w:r>
      <w:proofErr w:type="gramStart"/>
      <w:r w:rsidRPr="006B5F4F">
        <w:t>a</w:t>
      </w:r>
      <w:proofErr w:type="gramEnd"/>
      <w:r w:rsidRPr="006B5F4F">
        <w:t xml:space="preserve"> SDR4.61 billion (approximately </w:t>
      </w:r>
      <w:r w:rsidR="008E1321" w:rsidRPr="006B5F4F">
        <w:t>A$8.4</w:t>
      </w:r>
      <w:r w:rsidR="0014402C" w:rsidRPr="006B5F4F">
        <w:t> </w:t>
      </w:r>
      <w:r w:rsidRPr="006B5F4F">
        <w:t xml:space="preserve">billion at 31 </w:t>
      </w:r>
      <w:r w:rsidR="008E1321" w:rsidRPr="006B5F4F">
        <w:t xml:space="preserve">October </w:t>
      </w:r>
      <w:r w:rsidRPr="006B5F4F">
        <w:t>2017) contingent bilateral loan to the IMF.</w:t>
      </w:r>
      <w:r w:rsidR="008E1321" w:rsidRPr="006B5F4F">
        <w:t xml:space="preserve"> This</w:t>
      </w:r>
      <w:r w:rsidRPr="006B5F4F">
        <w:t xml:space="preserve"> contingent loan is on terms consistent with separate bilateral loan and note purchase agreements between the IMF and </w:t>
      </w:r>
      <w:r w:rsidR="008E1321" w:rsidRPr="006B5F4F">
        <w:t xml:space="preserve">other </w:t>
      </w:r>
      <w:r w:rsidRPr="006B5F4F">
        <w:t xml:space="preserve">contributing countries. It will be drawn upon by the IMF only if needed to supplement the IMF’s quota and NAB resources and any loans would be repaid in full with interest. </w:t>
      </w:r>
      <w:r w:rsidR="008E1321" w:rsidRPr="006B5F4F">
        <w:t>T</w:t>
      </w:r>
      <w:r w:rsidRPr="006B5F4F">
        <w:t>he Treasurer agreed to renew Australia’s loan agreement with the IMF</w:t>
      </w:r>
      <w:r w:rsidR="008E1321" w:rsidRPr="006B5F4F">
        <w:t xml:space="preserve"> on 19 December 2016. </w:t>
      </w:r>
      <w:r w:rsidRPr="006B5F4F">
        <w:t>The renewed agreement extend</w:t>
      </w:r>
      <w:r w:rsidR="008E1321" w:rsidRPr="006B5F4F">
        <w:t>s</w:t>
      </w:r>
      <w:r w:rsidRPr="006B5F4F">
        <w:t xml:space="preserve"> Australia’s existing funding commitment to December 2019, with the possibility of an additional one-year extension with Australia’s consent.</w:t>
      </w:r>
    </w:p>
    <w:p w14:paraId="70DF6E1C" w14:textId="77777777" w:rsidR="009B70F4" w:rsidRPr="006B5F4F" w:rsidRDefault="00030ACC" w:rsidP="00210C1E">
      <w:pPr>
        <w:pStyle w:val="Heading2"/>
      </w:pPr>
      <w:r w:rsidRPr="006B5F4F">
        <w:t>Contingent assets</w:t>
      </w:r>
      <w:r w:rsidR="000D21E8" w:rsidRPr="006B5F4F">
        <w:t xml:space="preserve"> — </w:t>
      </w:r>
      <w:r w:rsidR="001920A5" w:rsidRPr="006B5F4F">
        <w:t>quantifiable</w:t>
      </w:r>
    </w:p>
    <w:p w14:paraId="46902E98" w14:textId="751EE8F2" w:rsidR="00BE0AE2" w:rsidRPr="006B5F4F" w:rsidRDefault="00B337A9" w:rsidP="00210C1E">
      <w:pPr>
        <w:pStyle w:val="Heading3"/>
      </w:pPr>
      <w:r w:rsidRPr="006B5F4F">
        <w:t>Defence</w:t>
      </w:r>
    </w:p>
    <w:p w14:paraId="245851F7" w14:textId="273CD372" w:rsidR="00BE0AE2" w:rsidRPr="006B5F4F" w:rsidRDefault="00BE0AE2" w:rsidP="00D42A4D">
      <w:pPr>
        <w:pStyle w:val="Heading4"/>
      </w:pPr>
      <w:r w:rsidRPr="006B5F4F">
        <w:t>Clai</w:t>
      </w:r>
      <w:r w:rsidR="00B337A9" w:rsidRPr="006B5F4F">
        <w:t>ms by the Department of Defence</w:t>
      </w:r>
    </w:p>
    <w:p w14:paraId="6B4D34EA" w14:textId="0680D540" w:rsidR="00BE0AE2" w:rsidRPr="006B5F4F" w:rsidRDefault="00BE0AE2" w:rsidP="00BE0AE2">
      <w:r w:rsidRPr="006B5F4F">
        <w:t xml:space="preserve">The Department of Defence has </w:t>
      </w:r>
      <w:r w:rsidR="00031D2A" w:rsidRPr="006B5F4F">
        <w:t xml:space="preserve">11 </w:t>
      </w:r>
      <w:r w:rsidRPr="006B5F4F">
        <w:t xml:space="preserve">instances of non-remote, quantifiable contingent assets in respect of claims by the Department valued at </w:t>
      </w:r>
      <w:r w:rsidR="00031D2A" w:rsidRPr="006B5F4F">
        <w:t>$23.2</w:t>
      </w:r>
      <w:r w:rsidRPr="006B5F4F">
        <w:t xml:space="preserve"> million. Defence is expecting to succeed in its claims. The estimated figure is determined by conducting an objective analysis of the pro</w:t>
      </w:r>
      <w:r w:rsidR="00B337A9" w:rsidRPr="006B5F4F">
        <w:t>bable amounts owing to Defence.</w:t>
      </w:r>
    </w:p>
    <w:p w14:paraId="0BF3DA17" w14:textId="77777777" w:rsidR="00314BA5" w:rsidRPr="006B5F4F" w:rsidRDefault="00030ACC" w:rsidP="00210C1E">
      <w:pPr>
        <w:pStyle w:val="Heading2"/>
      </w:pPr>
      <w:r w:rsidRPr="006B5F4F">
        <w:t>Government loans</w:t>
      </w:r>
    </w:p>
    <w:p w14:paraId="2502592F" w14:textId="42398392" w:rsidR="00AD66B3" w:rsidRPr="006B5F4F" w:rsidRDefault="00AD66B3" w:rsidP="006F7A26">
      <w:r w:rsidRPr="006B5F4F">
        <w:rPr>
          <w:rFonts w:eastAsia="Calibri"/>
        </w:rPr>
        <w:t xml:space="preserve">Loans are recorded as financial assets and accordingly the amounts advanced and repaid do not normally affect the budget aggregates of fiscal balance and underlying cash balance. Loans that are concessional (lower than market interest rate) or are agreed to be written off may result in an impact on </w:t>
      </w:r>
      <w:r w:rsidR="008A256C" w:rsidRPr="006B5F4F">
        <w:rPr>
          <w:rFonts w:eastAsia="Calibri"/>
        </w:rPr>
        <w:t xml:space="preserve">the </w:t>
      </w:r>
      <w:r w:rsidRPr="006B5F4F">
        <w:rPr>
          <w:rFonts w:eastAsia="Calibri"/>
        </w:rPr>
        <w:t xml:space="preserve">fiscal balance in some circumstances. The Government makes loans for policy purposes. All loans contain some element of credit risk that they will not be repaid in full, although in many cases this risk is small. Table C2 summarises Government loans estimated to exceed </w:t>
      </w:r>
      <w:r w:rsidR="006F7A26" w:rsidRPr="006B5F4F">
        <w:rPr>
          <w:rFonts w:eastAsia="Calibri"/>
        </w:rPr>
        <w:t>$200 </w:t>
      </w:r>
      <w:r w:rsidR="00014C43" w:rsidRPr="006B5F4F">
        <w:rPr>
          <w:rFonts w:eastAsia="Calibri"/>
        </w:rPr>
        <w:t>million at 30 </w:t>
      </w:r>
      <w:r w:rsidRPr="006B5F4F">
        <w:rPr>
          <w:rFonts w:eastAsia="Calibri"/>
        </w:rPr>
        <w:t>June</w:t>
      </w:r>
      <w:r w:rsidR="00014C43" w:rsidRPr="006B5F4F">
        <w:rPr>
          <w:rFonts w:eastAsia="Calibri"/>
        </w:rPr>
        <w:t> </w:t>
      </w:r>
      <w:r w:rsidR="00BE0AE2" w:rsidRPr="006B5F4F">
        <w:rPr>
          <w:rFonts w:eastAsia="Calibri"/>
        </w:rPr>
        <w:t>2018</w:t>
      </w:r>
      <w:r w:rsidRPr="006B5F4F">
        <w:rPr>
          <w:rFonts w:eastAsia="Calibri"/>
        </w:rPr>
        <w:t>.</w:t>
      </w:r>
    </w:p>
    <w:p w14:paraId="662415B9" w14:textId="77777777" w:rsidR="00AD66B3" w:rsidRPr="006B5F4F" w:rsidRDefault="00AD66B3" w:rsidP="00AD66B3"/>
    <w:p w14:paraId="11623626" w14:textId="77777777" w:rsidR="006345D8" w:rsidRPr="006B5F4F" w:rsidRDefault="006345D8" w:rsidP="00AD66B3">
      <w:pPr>
        <w:sectPr w:rsidR="006345D8" w:rsidRPr="006B5F4F" w:rsidSect="00697218">
          <w:headerReference w:type="even" r:id="rId9"/>
          <w:headerReference w:type="default" r:id="rId10"/>
          <w:footerReference w:type="even" r:id="rId11"/>
          <w:footerReference w:type="default" r:id="rId12"/>
          <w:footerReference w:type="first" r:id="rId13"/>
          <w:pgSz w:w="11907" w:h="16840" w:code="9"/>
          <w:pgMar w:top="2466" w:right="2098" w:bottom="2466" w:left="2098" w:header="1899" w:footer="1899" w:gutter="0"/>
          <w:pgNumType w:start="241"/>
          <w:cols w:space="720"/>
          <w:titlePg/>
          <w:docGrid w:linePitch="272"/>
        </w:sectPr>
      </w:pPr>
    </w:p>
    <w:p w14:paraId="7FC3FE68" w14:textId="291E1868" w:rsidR="00314BA5" w:rsidRPr="006B5F4F" w:rsidRDefault="00030ACC" w:rsidP="00314BA5">
      <w:pPr>
        <w:pStyle w:val="TableHeading"/>
      </w:pPr>
      <w:r w:rsidRPr="006B5F4F">
        <w:lastRenderedPageBreak/>
        <w:t>Table C2: Summary of material changes to Australian Government loans exceeding $200 million since</w:t>
      </w:r>
      <w:r w:rsidR="00890CC9" w:rsidRPr="006B5F4F">
        <w:t xml:space="preserve"> the</w:t>
      </w:r>
      <w:r w:rsidRPr="006B5F4F">
        <w:t xml:space="preserve"> </w:t>
      </w:r>
      <w:r w:rsidR="00BE0AE2" w:rsidRPr="006B5F4F">
        <w:t>2017-18</w:t>
      </w:r>
      <w:r w:rsidRPr="006B5F4F">
        <w:t xml:space="preserve"> Budget</w:t>
      </w:r>
    </w:p>
    <w:tbl>
      <w:tblPr>
        <w:tblW w:w="11878" w:type="dxa"/>
        <w:tblInd w:w="108"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3969"/>
        <w:gridCol w:w="1077"/>
        <w:gridCol w:w="2438"/>
        <w:gridCol w:w="1559"/>
        <w:gridCol w:w="1559"/>
        <w:gridCol w:w="1276"/>
      </w:tblGrid>
      <w:tr w:rsidR="00EB04FE" w:rsidRPr="006B5F4F" w14:paraId="37730538" w14:textId="77777777" w:rsidTr="00D93150">
        <w:trPr>
          <w:trHeight w:val="20"/>
          <w:tblHeader/>
        </w:trPr>
        <w:tc>
          <w:tcPr>
            <w:tcW w:w="3969" w:type="dxa"/>
            <w:tcBorders>
              <w:top w:val="single" w:sz="2" w:space="0" w:color="BFBFBF"/>
              <w:bottom w:val="nil"/>
            </w:tcBorders>
            <w:shd w:val="clear" w:color="auto" w:fill="E6E6E6"/>
            <w:vAlign w:val="center"/>
          </w:tcPr>
          <w:p w14:paraId="1D03DB3D" w14:textId="77777777" w:rsidR="000C0ACC" w:rsidRPr="006B5F4F" w:rsidRDefault="00E617BC" w:rsidP="00780FF6">
            <w:pPr>
              <w:pStyle w:val="TableColumnHeadingLeft"/>
              <w:spacing w:beforeLines="20" w:before="48" w:afterLines="20" w:after="48"/>
            </w:pPr>
            <w:r w:rsidRPr="006B5F4F">
              <w:t>Entity</w:t>
            </w:r>
          </w:p>
        </w:tc>
        <w:tc>
          <w:tcPr>
            <w:tcW w:w="1077" w:type="dxa"/>
            <w:tcBorders>
              <w:top w:val="single" w:sz="2" w:space="0" w:color="BFBFBF"/>
              <w:bottom w:val="nil"/>
            </w:tcBorders>
            <w:shd w:val="clear" w:color="auto" w:fill="E6E6E6"/>
            <w:vAlign w:val="center"/>
          </w:tcPr>
          <w:p w14:paraId="37FE6596" w14:textId="53E5EEAA" w:rsidR="000C0ACC" w:rsidRPr="006B5F4F" w:rsidRDefault="00F778C2" w:rsidP="007560F5">
            <w:pPr>
              <w:pStyle w:val="TableColumnHeadingCentred"/>
              <w:rPr>
                <w:sz w:val="18"/>
                <w:szCs w:val="18"/>
                <w:vertAlign w:val="superscript"/>
              </w:rPr>
            </w:pPr>
            <w:r w:rsidRPr="006B5F4F">
              <w:t xml:space="preserve">Loan </w:t>
            </w:r>
            <w:r w:rsidR="00A03B57" w:rsidRPr="006B5F4F">
              <w:t>amount</w:t>
            </w:r>
            <w:r w:rsidR="00A03B57" w:rsidRPr="006B5F4F">
              <w:rPr>
                <w:sz w:val="18"/>
                <w:szCs w:val="18"/>
                <w:vertAlign w:val="superscript"/>
              </w:rPr>
              <w:t xml:space="preserve"> (a) </w:t>
            </w:r>
            <w:r w:rsidRPr="006B5F4F">
              <w:rPr>
                <w:szCs w:val="16"/>
              </w:rPr>
              <w:t>($m)</w:t>
            </w:r>
          </w:p>
        </w:tc>
        <w:tc>
          <w:tcPr>
            <w:tcW w:w="2438" w:type="dxa"/>
            <w:tcBorders>
              <w:top w:val="single" w:sz="2" w:space="0" w:color="BFBFBF"/>
              <w:bottom w:val="nil"/>
            </w:tcBorders>
            <w:shd w:val="clear" w:color="auto" w:fill="E6E6E6"/>
            <w:vAlign w:val="center"/>
          </w:tcPr>
          <w:p w14:paraId="358C0EB3" w14:textId="77777777" w:rsidR="00E857B3" w:rsidRPr="006B5F4F" w:rsidRDefault="00F778C2" w:rsidP="00780FF6">
            <w:pPr>
              <w:pStyle w:val="TableColumnHeadingLeft"/>
              <w:spacing w:beforeLines="20" w:before="48" w:afterLines="20" w:after="48"/>
              <w:rPr>
                <w:rFonts w:cs="Arial"/>
              </w:rPr>
            </w:pPr>
            <w:r w:rsidRPr="006B5F4F">
              <w:t>Borrower</w:t>
            </w:r>
          </w:p>
        </w:tc>
        <w:tc>
          <w:tcPr>
            <w:tcW w:w="1559" w:type="dxa"/>
            <w:tcBorders>
              <w:top w:val="single" w:sz="2" w:space="0" w:color="BFBFBF"/>
              <w:bottom w:val="nil"/>
            </w:tcBorders>
            <w:shd w:val="clear" w:color="auto" w:fill="E6E6E6"/>
            <w:vAlign w:val="center"/>
          </w:tcPr>
          <w:p w14:paraId="591CAF62" w14:textId="77777777" w:rsidR="00E857B3" w:rsidRPr="006B5F4F" w:rsidRDefault="00DB5FD3" w:rsidP="006F7A26">
            <w:pPr>
              <w:pStyle w:val="TableColumnHeadingRight"/>
            </w:pPr>
            <w:r w:rsidRPr="006B5F4F">
              <w:t>Interest rate</w:t>
            </w:r>
          </w:p>
        </w:tc>
        <w:tc>
          <w:tcPr>
            <w:tcW w:w="1559" w:type="dxa"/>
            <w:tcBorders>
              <w:top w:val="single" w:sz="2" w:space="0" w:color="BFBFBF"/>
              <w:bottom w:val="nil"/>
            </w:tcBorders>
            <w:shd w:val="clear" w:color="auto" w:fill="E6E6E6"/>
            <w:vAlign w:val="center"/>
          </w:tcPr>
          <w:p w14:paraId="3C8131F2" w14:textId="77777777" w:rsidR="00E857B3" w:rsidRPr="006B5F4F" w:rsidRDefault="00030ACC" w:rsidP="006F7A26">
            <w:pPr>
              <w:pStyle w:val="TableColumnHeadingRight"/>
            </w:pPr>
            <w:r w:rsidRPr="006B5F4F">
              <w:t>Term</w:t>
            </w:r>
          </w:p>
        </w:tc>
        <w:tc>
          <w:tcPr>
            <w:tcW w:w="1276" w:type="dxa"/>
            <w:tcBorders>
              <w:top w:val="single" w:sz="2" w:space="0" w:color="BFBFBF"/>
              <w:bottom w:val="nil"/>
            </w:tcBorders>
            <w:shd w:val="clear" w:color="auto" w:fill="E6E6E6"/>
            <w:vAlign w:val="center"/>
          </w:tcPr>
          <w:p w14:paraId="4365E79B" w14:textId="77777777" w:rsidR="00EB04FE" w:rsidRPr="006B5F4F" w:rsidRDefault="00F778C2" w:rsidP="006F7A26">
            <w:pPr>
              <w:pStyle w:val="TableColumnHeadingRight"/>
            </w:pPr>
            <w:r w:rsidRPr="006B5F4F">
              <w:t>Status</w:t>
            </w:r>
          </w:p>
        </w:tc>
      </w:tr>
      <w:tr w:rsidR="00142A07" w:rsidRPr="006B5F4F" w14:paraId="451F70DA" w14:textId="77777777" w:rsidTr="003E1352">
        <w:trPr>
          <w:trHeight w:val="20"/>
          <w:tblHeader/>
        </w:trPr>
        <w:tc>
          <w:tcPr>
            <w:tcW w:w="11878" w:type="dxa"/>
            <w:gridSpan w:val="6"/>
            <w:tcBorders>
              <w:top w:val="single" w:sz="2" w:space="0" w:color="BFBFBF"/>
              <w:left w:val="nil"/>
              <w:bottom w:val="single" w:sz="2" w:space="0" w:color="BFBFBF"/>
            </w:tcBorders>
            <w:shd w:val="clear" w:color="auto" w:fill="EBEBEB"/>
            <w:vAlign w:val="center"/>
          </w:tcPr>
          <w:p w14:paraId="529BFC00" w14:textId="77777777" w:rsidR="00142A07" w:rsidRPr="006B5F4F" w:rsidRDefault="00142A07" w:rsidP="00010EEB">
            <w:pPr>
              <w:pStyle w:val="TableColumnHeadingLeft"/>
              <w:spacing w:beforeLines="10" w:before="24" w:afterLines="10" w:after="24"/>
              <w:rPr>
                <w:rFonts w:ascii="Arial" w:hAnsi="Arial" w:cs="Arial"/>
                <w:szCs w:val="16"/>
              </w:rPr>
            </w:pPr>
            <w:r w:rsidRPr="006B5F4F">
              <w:rPr>
                <w:rFonts w:ascii="Arial" w:hAnsi="Arial" w:cs="Arial"/>
                <w:szCs w:val="16"/>
              </w:rPr>
              <w:t>Department of Education and Training</w:t>
            </w:r>
          </w:p>
        </w:tc>
      </w:tr>
      <w:tr w:rsidR="00142A07" w:rsidRPr="006B5F4F" w14:paraId="2A712CBE"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623947C4" w14:textId="77777777" w:rsidR="00142A07" w:rsidRPr="006B5F4F" w:rsidRDefault="00142A07" w:rsidP="00142A07">
            <w:pPr>
              <w:pStyle w:val="TableTextLeft"/>
              <w:spacing w:beforeLines="20" w:before="48" w:afterLines="20" w:after="48"/>
              <w:rPr>
                <w:rFonts w:cs="Arial"/>
                <w:szCs w:val="16"/>
              </w:rPr>
            </w:pPr>
            <w:r w:rsidRPr="006B5F4F">
              <w:rPr>
                <w:rFonts w:cs="Arial"/>
                <w:szCs w:val="16"/>
              </w:rPr>
              <w:t>Higher Education Loan Program</w:t>
            </w:r>
          </w:p>
        </w:tc>
        <w:tc>
          <w:tcPr>
            <w:tcW w:w="1077" w:type="dxa"/>
            <w:tcBorders>
              <w:top w:val="single" w:sz="2" w:space="0" w:color="BFBFBF"/>
              <w:bottom w:val="single" w:sz="2" w:space="0" w:color="BFBFBF"/>
            </w:tcBorders>
            <w:shd w:val="clear" w:color="auto" w:fill="auto"/>
            <w:vAlign w:val="center"/>
          </w:tcPr>
          <w:p w14:paraId="4A830B9C" w14:textId="3701C148" w:rsidR="00142A07" w:rsidRPr="006B5F4F" w:rsidRDefault="00D65C41" w:rsidP="00142A07">
            <w:pPr>
              <w:pStyle w:val="TableTextLeft"/>
              <w:tabs>
                <w:tab w:val="left" w:pos="885"/>
              </w:tabs>
              <w:spacing w:beforeLines="20" w:before="48" w:afterLines="20" w:after="48"/>
              <w:ind w:right="175"/>
              <w:jc w:val="right"/>
              <w:rPr>
                <w:rFonts w:cs="Arial"/>
                <w:szCs w:val="16"/>
              </w:rPr>
            </w:pPr>
            <w:r w:rsidRPr="006B5F4F">
              <w:rPr>
                <w:rFonts w:cs="Arial"/>
                <w:szCs w:val="16"/>
              </w:rPr>
              <w:t>43,293</w:t>
            </w:r>
          </w:p>
        </w:tc>
        <w:tc>
          <w:tcPr>
            <w:tcW w:w="2438" w:type="dxa"/>
            <w:tcBorders>
              <w:top w:val="single" w:sz="2" w:space="0" w:color="BFBFBF"/>
              <w:bottom w:val="single" w:sz="2" w:space="0" w:color="BFBFBF"/>
            </w:tcBorders>
            <w:shd w:val="clear" w:color="auto" w:fill="auto"/>
            <w:vAlign w:val="center"/>
          </w:tcPr>
          <w:p w14:paraId="20613E9C" w14:textId="77777777" w:rsidR="00142A07" w:rsidRPr="006B5F4F" w:rsidRDefault="00142A07" w:rsidP="00142A07">
            <w:pPr>
              <w:pStyle w:val="TableTextLeft"/>
              <w:spacing w:beforeLines="20" w:before="48" w:afterLines="20" w:after="48"/>
              <w:rPr>
                <w:rFonts w:cs="Arial"/>
                <w:color w:val="000000"/>
                <w:szCs w:val="16"/>
              </w:rPr>
            </w:pPr>
            <w:r w:rsidRPr="006B5F4F">
              <w:rPr>
                <w:rFonts w:cs="Arial"/>
                <w:szCs w:val="16"/>
              </w:rPr>
              <w:t>Eligible tertiary education students</w:t>
            </w:r>
          </w:p>
        </w:tc>
        <w:tc>
          <w:tcPr>
            <w:tcW w:w="1559" w:type="dxa"/>
            <w:tcBorders>
              <w:top w:val="single" w:sz="2" w:space="0" w:color="BFBFBF"/>
              <w:bottom w:val="single" w:sz="2" w:space="0" w:color="BFBFBF"/>
            </w:tcBorders>
            <w:shd w:val="clear" w:color="auto" w:fill="auto"/>
            <w:vAlign w:val="center"/>
          </w:tcPr>
          <w:p w14:paraId="4DAB9F78" w14:textId="77777777" w:rsidR="00142A07" w:rsidRPr="006B5F4F" w:rsidRDefault="00142A07" w:rsidP="00142A07">
            <w:pPr>
              <w:pStyle w:val="TableTextLeft"/>
              <w:spacing w:beforeLines="20" w:before="48" w:afterLines="20" w:after="48"/>
              <w:jc w:val="right"/>
              <w:rPr>
                <w:rFonts w:cs="Arial"/>
                <w:color w:val="000000"/>
                <w:szCs w:val="16"/>
              </w:rPr>
            </w:pPr>
            <w:r w:rsidRPr="006B5F4F">
              <w:rPr>
                <w:rFonts w:cs="Arial"/>
                <w:szCs w:val="16"/>
              </w:rPr>
              <w:t>Consumer Price Index (CPI)</w:t>
            </w:r>
          </w:p>
        </w:tc>
        <w:tc>
          <w:tcPr>
            <w:tcW w:w="1559" w:type="dxa"/>
            <w:tcBorders>
              <w:top w:val="single" w:sz="2" w:space="0" w:color="BFBFBF"/>
              <w:bottom w:val="single" w:sz="2" w:space="0" w:color="BFBFBF"/>
            </w:tcBorders>
            <w:shd w:val="clear" w:color="auto" w:fill="auto"/>
            <w:vAlign w:val="center"/>
          </w:tcPr>
          <w:p w14:paraId="4C118C4B" w14:textId="5960B29C" w:rsidR="00142A07" w:rsidRPr="006B5F4F" w:rsidRDefault="00990ED0" w:rsidP="00142A07">
            <w:pPr>
              <w:pStyle w:val="TableTextLeft"/>
              <w:spacing w:beforeLines="20" w:before="48" w:afterLines="20" w:after="48"/>
              <w:jc w:val="right"/>
              <w:rPr>
                <w:rFonts w:cs="Arial"/>
                <w:color w:val="000000"/>
                <w:szCs w:val="16"/>
              </w:rPr>
            </w:pPr>
            <w:r w:rsidRPr="006B5F4F">
              <w:rPr>
                <w:rFonts w:cs="Arial"/>
                <w:szCs w:val="16"/>
              </w:rPr>
              <w:t>8.9</w:t>
            </w:r>
            <w:r w:rsidR="00142A07" w:rsidRPr="006B5F4F">
              <w:rPr>
                <w:rFonts w:cs="Arial"/>
                <w:szCs w:val="16"/>
              </w:rPr>
              <w:t xml:space="preserve"> years*</w:t>
            </w:r>
          </w:p>
        </w:tc>
        <w:tc>
          <w:tcPr>
            <w:tcW w:w="1276" w:type="dxa"/>
            <w:vAlign w:val="center"/>
          </w:tcPr>
          <w:p w14:paraId="584000F2" w14:textId="3B4D8230" w:rsidR="00142A07" w:rsidRPr="006B5F4F" w:rsidRDefault="00862F05" w:rsidP="00142A07">
            <w:pPr>
              <w:pStyle w:val="TableTextLeft"/>
              <w:spacing w:beforeLines="20" w:before="48" w:afterLines="20" w:after="48"/>
              <w:jc w:val="right"/>
              <w:rPr>
                <w:rFonts w:cs="Arial"/>
                <w:color w:val="000000"/>
                <w:szCs w:val="16"/>
              </w:rPr>
            </w:pPr>
            <w:r w:rsidRPr="006B5F4F">
              <w:rPr>
                <w:rFonts w:cs="Arial"/>
                <w:color w:val="000000"/>
                <w:szCs w:val="16"/>
              </w:rPr>
              <w:t>Modified</w:t>
            </w:r>
          </w:p>
        </w:tc>
      </w:tr>
      <w:tr w:rsidR="000612AC" w:rsidRPr="006B5F4F" w14:paraId="4A9E208B" w14:textId="77777777" w:rsidTr="008E1321">
        <w:trPr>
          <w:trHeight w:val="20"/>
        </w:trPr>
        <w:tc>
          <w:tcPr>
            <w:tcW w:w="11878" w:type="dxa"/>
            <w:gridSpan w:val="6"/>
            <w:tcBorders>
              <w:top w:val="single" w:sz="2" w:space="0" w:color="BFBFBF"/>
              <w:left w:val="nil"/>
              <w:bottom w:val="single" w:sz="2" w:space="0" w:color="BFBFBF"/>
            </w:tcBorders>
            <w:shd w:val="clear" w:color="auto" w:fill="EBEBEB"/>
            <w:vAlign w:val="center"/>
          </w:tcPr>
          <w:p w14:paraId="52CE2CEB" w14:textId="77777777" w:rsidR="000612AC" w:rsidRPr="006B5F4F" w:rsidRDefault="000612AC" w:rsidP="00010EEB">
            <w:pPr>
              <w:pStyle w:val="TableColumnHeadingLeft"/>
              <w:spacing w:beforeLines="10" w:before="24" w:afterLines="10" w:after="24"/>
              <w:rPr>
                <w:rFonts w:ascii="Arial" w:hAnsi="Arial" w:cs="Arial"/>
                <w:szCs w:val="16"/>
              </w:rPr>
            </w:pPr>
            <w:r w:rsidRPr="006B5F4F">
              <w:rPr>
                <w:rFonts w:ascii="Arial" w:hAnsi="Arial" w:cs="Arial"/>
                <w:szCs w:val="16"/>
              </w:rPr>
              <w:t>Department of Communications and Arts</w:t>
            </w:r>
          </w:p>
        </w:tc>
      </w:tr>
      <w:tr w:rsidR="000612AC" w:rsidRPr="006B5F4F" w14:paraId="25C73300"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2F5340ED" w14:textId="77777777" w:rsidR="000612AC" w:rsidRPr="006B5F4F" w:rsidRDefault="000612AC" w:rsidP="00142A07">
            <w:pPr>
              <w:pStyle w:val="TableTextLeft"/>
              <w:spacing w:beforeLines="20" w:before="48" w:afterLines="20" w:after="48"/>
              <w:rPr>
                <w:rFonts w:cs="Arial"/>
                <w:szCs w:val="16"/>
              </w:rPr>
            </w:pPr>
            <w:r w:rsidRPr="006B5F4F">
              <w:rPr>
                <w:rFonts w:cs="Arial"/>
                <w:szCs w:val="16"/>
              </w:rPr>
              <w:t>NBN Co Loan</w:t>
            </w:r>
          </w:p>
        </w:tc>
        <w:tc>
          <w:tcPr>
            <w:tcW w:w="1077" w:type="dxa"/>
            <w:tcBorders>
              <w:top w:val="single" w:sz="2" w:space="0" w:color="BFBFBF"/>
              <w:bottom w:val="single" w:sz="2" w:space="0" w:color="BFBFBF"/>
            </w:tcBorders>
            <w:shd w:val="clear" w:color="auto" w:fill="auto"/>
            <w:vAlign w:val="center"/>
          </w:tcPr>
          <w:p w14:paraId="27EE8211" w14:textId="77777777" w:rsidR="000612AC" w:rsidRPr="006B5F4F" w:rsidRDefault="000612AC" w:rsidP="00142A07">
            <w:pPr>
              <w:pStyle w:val="TableTextLeft"/>
              <w:tabs>
                <w:tab w:val="left" w:pos="885"/>
              </w:tabs>
              <w:spacing w:beforeLines="20" w:before="48" w:afterLines="20" w:after="48"/>
              <w:ind w:right="175"/>
              <w:jc w:val="right"/>
              <w:rPr>
                <w:rFonts w:cs="Arial"/>
                <w:szCs w:val="16"/>
              </w:rPr>
            </w:pPr>
            <w:r w:rsidRPr="006B5F4F">
              <w:rPr>
                <w:rFonts w:cs="Arial"/>
                <w:szCs w:val="16"/>
              </w:rPr>
              <w:t>8,843</w:t>
            </w:r>
          </w:p>
        </w:tc>
        <w:tc>
          <w:tcPr>
            <w:tcW w:w="2438" w:type="dxa"/>
            <w:tcBorders>
              <w:top w:val="single" w:sz="2" w:space="0" w:color="BFBFBF"/>
              <w:bottom w:val="single" w:sz="2" w:space="0" w:color="BFBFBF"/>
            </w:tcBorders>
            <w:shd w:val="clear" w:color="auto" w:fill="auto"/>
            <w:vAlign w:val="center"/>
          </w:tcPr>
          <w:p w14:paraId="040081F9" w14:textId="77777777" w:rsidR="000612AC" w:rsidRPr="006B5F4F" w:rsidRDefault="000612AC" w:rsidP="00142A07">
            <w:pPr>
              <w:pStyle w:val="TableTextLeft"/>
              <w:spacing w:beforeLines="20" w:before="48" w:afterLines="20" w:after="48"/>
              <w:rPr>
                <w:rFonts w:cs="Arial"/>
                <w:szCs w:val="16"/>
              </w:rPr>
            </w:pPr>
            <w:r w:rsidRPr="006B5F4F">
              <w:rPr>
                <w:rFonts w:cs="Arial"/>
                <w:szCs w:val="16"/>
              </w:rPr>
              <w:t>NBN Co Limited</w:t>
            </w:r>
          </w:p>
        </w:tc>
        <w:tc>
          <w:tcPr>
            <w:tcW w:w="1559" w:type="dxa"/>
            <w:tcBorders>
              <w:top w:val="single" w:sz="2" w:space="0" w:color="BFBFBF"/>
              <w:bottom w:val="single" w:sz="2" w:space="0" w:color="BFBFBF"/>
            </w:tcBorders>
            <w:shd w:val="clear" w:color="auto" w:fill="auto"/>
            <w:vAlign w:val="center"/>
          </w:tcPr>
          <w:p w14:paraId="2286DEFD" w14:textId="77777777" w:rsidR="000612AC" w:rsidRPr="006B5F4F" w:rsidRDefault="000612AC" w:rsidP="00142A07">
            <w:pPr>
              <w:pStyle w:val="TableTextLeft"/>
              <w:spacing w:beforeLines="20" w:before="48" w:afterLines="20" w:after="48"/>
              <w:jc w:val="right"/>
              <w:rPr>
                <w:rFonts w:cs="Arial"/>
                <w:szCs w:val="16"/>
              </w:rPr>
            </w:pPr>
            <w:r w:rsidRPr="006B5F4F">
              <w:rPr>
                <w:rFonts w:cs="Arial"/>
                <w:szCs w:val="16"/>
              </w:rPr>
              <w:t>3.96 per cent</w:t>
            </w:r>
          </w:p>
        </w:tc>
        <w:tc>
          <w:tcPr>
            <w:tcW w:w="1559" w:type="dxa"/>
            <w:tcBorders>
              <w:top w:val="single" w:sz="2" w:space="0" w:color="BFBFBF"/>
              <w:bottom w:val="single" w:sz="2" w:space="0" w:color="BFBFBF"/>
            </w:tcBorders>
            <w:shd w:val="clear" w:color="auto" w:fill="auto"/>
            <w:vAlign w:val="center"/>
          </w:tcPr>
          <w:p w14:paraId="2B2545DC" w14:textId="77777777" w:rsidR="000612AC" w:rsidRPr="006B5F4F" w:rsidRDefault="000612AC" w:rsidP="00142A07">
            <w:pPr>
              <w:pStyle w:val="TableTextLeft"/>
              <w:spacing w:beforeLines="20" w:before="48" w:afterLines="20" w:after="48"/>
              <w:jc w:val="right"/>
              <w:rPr>
                <w:rFonts w:cs="Arial"/>
                <w:szCs w:val="16"/>
              </w:rPr>
            </w:pPr>
            <w:r w:rsidRPr="006B5F4F">
              <w:rPr>
                <w:rFonts w:cs="Arial"/>
                <w:szCs w:val="16"/>
              </w:rPr>
              <w:t>30 June 2021</w:t>
            </w:r>
          </w:p>
        </w:tc>
        <w:tc>
          <w:tcPr>
            <w:tcW w:w="1276" w:type="dxa"/>
            <w:vAlign w:val="center"/>
          </w:tcPr>
          <w:p w14:paraId="4FF5DA5E" w14:textId="77777777" w:rsidR="000612AC" w:rsidRPr="006B5F4F" w:rsidRDefault="00EC1D68" w:rsidP="00142A07">
            <w:pPr>
              <w:pStyle w:val="TableTextLeft"/>
              <w:spacing w:beforeLines="20" w:before="48" w:afterLines="20" w:after="48"/>
              <w:jc w:val="right"/>
              <w:rPr>
                <w:rFonts w:cs="Arial"/>
                <w:color w:val="000000"/>
                <w:szCs w:val="16"/>
              </w:rPr>
            </w:pPr>
            <w:r w:rsidRPr="006B5F4F">
              <w:rPr>
                <w:rFonts w:cs="Arial"/>
                <w:color w:val="000000"/>
                <w:szCs w:val="16"/>
              </w:rPr>
              <w:t>New</w:t>
            </w:r>
          </w:p>
        </w:tc>
      </w:tr>
      <w:tr w:rsidR="00FC454A" w:rsidRPr="006B5F4F" w14:paraId="48164662" w14:textId="77777777" w:rsidTr="00FC454A">
        <w:trPr>
          <w:trHeight w:val="20"/>
        </w:trPr>
        <w:tc>
          <w:tcPr>
            <w:tcW w:w="11878" w:type="dxa"/>
            <w:gridSpan w:val="6"/>
            <w:tcBorders>
              <w:top w:val="single" w:sz="2" w:space="0" w:color="BFBFBF"/>
              <w:left w:val="nil"/>
              <w:bottom w:val="single" w:sz="2" w:space="0" w:color="BFBFBF"/>
            </w:tcBorders>
            <w:shd w:val="pct10" w:color="auto" w:fill="auto"/>
            <w:vAlign w:val="center"/>
          </w:tcPr>
          <w:p w14:paraId="5B0774BC" w14:textId="77777777" w:rsidR="00FC454A" w:rsidRPr="006B5F4F" w:rsidRDefault="00FC454A" w:rsidP="00010EEB">
            <w:pPr>
              <w:pStyle w:val="TableColumnHeadingLeft"/>
              <w:spacing w:beforeLines="10" w:before="24" w:afterLines="10" w:after="24"/>
              <w:rPr>
                <w:rFonts w:ascii="Arial" w:hAnsi="Arial" w:cs="Arial"/>
                <w:szCs w:val="16"/>
              </w:rPr>
            </w:pPr>
            <w:r w:rsidRPr="006B5F4F">
              <w:rPr>
                <w:rFonts w:ascii="Arial" w:hAnsi="Arial" w:cs="Arial"/>
                <w:szCs w:val="16"/>
              </w:rPr>
              <w:t>Clean Energy Finance Corporation</w:t>
            </w:r>
          </w:p>
        </w:tc>
      </w:tr>
      <w:tr w:rsidR="00FC454A" w:rsidRPr="006B5F4F" w14:paraId="51581749" w14:textId="77777777" w:rsidTr="00FC454A">
        <w:trPr>
          <w:trHeight w:val="20"/>
        </w:trPr>
        <w:tc>
          <w:tcPr>
            <w:tcW w:w="3969" w:type="dxa"/>
            <w:tcBorders>
              <w:top w:val="single" w:sz="2" w:space="0" w:color="BFBFBF"/>
              <w:left w:val="nil"/>
              <w:bottom w:val="single" w:sz="2" w:space="0" w:color="BFBFBF"/>
            </w:tcBorders>
            <w:shd w:val="clear" w:color="auto" w:fill="auto"/>
            <w:vAlign w:val="center"/>
          </w:tcPr>
          <w:p w14:paraId="199701A2" w14:textId="77777777" w:rsidR="00FC454A" w:rsidRPr="006B5F4F" w:rsidRDefault="00FC454A" w:rsidP="00FC454A">
            <w:pPr>
              <w:pStyle w:val="TableTextLeft"/>
              <w:spacing w:beforeLines="20" w:before="48" w:afterLines="20" w:after="48"/>
              <w:rPr>
                <w:rFonts w:cs="Arial"/>
                <w:szCs w:val="16"/>
              </w:rPr>
            </w:pPr>
            <w:r w:rsidRPr="006B5F4F">
              <w:rPr>
                <w:rFonts w:cs="Arial"/>
                <w:szCs w:val="16"/>
              </w:rPr>
              <w:t>Clean Energy Finance Corporation</w:t>
            </w:r>
          </w:p>
        </w:tc>
        <w:tc>
          <w:tcPr>
            <w:tcW w:w="1077" w:type="dxa"/>
            <w:tcBorders>
              <w:top w:val="single" w:sz="2" w:space="0" w:color="BFBFBF"/>
              <w:bottom w:val="single" w:sz="2" w:space="0" w:color="BFBFBF"/>
            </w:tcBorders>
            <w:shd w:val="clear" w:color="auto" w:fill="auto"/>
            <w:vAlign w:val="center"/>
          </w:tcPr>
          <w:p w14:paraId="51266A22" w14:textId="6DB0E123" w:rsidR="00FC454A" w:rsidRPr="006B5F4F" w:rsidRDefault="00FC454A" w:rsidP="00FC454A">
            <w:pPr>
              <w:pStyle w:val="TableTextLeft"/>
              <w:tabs>
                <w:tab w:val="left" w:pos="885"/>
              </w:tabs>
              <w:spacing w:beforeLines="20" w:before="48" w:afterLines="20" w:after="48"/>
              <w:ind w:right="175"/>
              <w:jc w:val="right"/>
              <w:rPr>
                <w:rFonts w:cs="Arial"/>
                <w:szCs w:val="16"/>
              </w:rPr>
            </w:pPr>
            <w:r w:rsidRPr="006B5F4F">
              <w:rPr>
                <w:rFonts w:cs="Arial"/>
                <w:szCs w:val="16"/>
              </w:rPr>
              <w:t>1,992</w:t>
            </w:r>
          </w:p>
        </w:tc>
        <w:tc>
          <w:tcPr>
            <w:tcW w:w="2438" w:type="dxa"/>
            <w:tcBorders>
              <w:top w:val="single" w:sz="2" w:space="0" w:color="BFBFBF"/>
              <w:bottom w:val="single" w:sz="2" w:space="0" w:color="BFBFBF"/>
            </w:tcBorders>
            <w:shd w:val="clear" w:color="auto" w:fill="auto"/>
            <w:vAlign w:val="center"/>
          </w:tcPr>
          <w:p w14:paraId="49C282BA" w14:textId="4D88BD8C" w:rsidR="00FC454A" w:rsidRPr="006B5F4F" w:rsidRDefault="00FC454A" w:rsidP="00FC454A">
            <w:pPr>
              <w:pStyle w:val="TableTextLeft"/>
              <w:spacing w:beforeLines="20" w:before="48" w:afterLines="20" w:after="48"/>
              <w:rPr>
                <w:rFonts w:cs="Arial"/>
                <w:szCs w:val="16"/>
              </w:rPr>
            </w:pPr>
            <w:r w:rsidRPr="006B5F4F">
              <w:rPr>
                <w:rFonts w:cs="Arial"/>
                <w:szCs w:val="16"/>
              </w:rPr>
              <w:t>Approved entities undertaking clean energy technology projects</w:t>
            </w:r>
          </w:p>
        </w:tc>
        <w:tc>
          <w:tcPr>
            <w:tcW w:w="1559" w:type="dxa"/>
            <w:tcBorders>
              <w:top w:val="single" w:sz="2" w:space="0" w:color="BFBFBF"/>
              <w:bottom w:val="single" w:sz="2" w:space="0" w:color="BFBFBF"/>
            </w:tcBorders>
            <w:shd w:val="clear" w:color="auto" w:fill="auto"/>
            <w:vAlign w:val="center"/>
          </w:tcPr>
          <w:p w14:paraId="461DF462" w14:textId="35B9ED15" w:rsidR="00FC454A" w:rsidRPr="006B5F4F" w:rsidRDefault="00FC454A" w:rsidP="00FC454A">
            <w:pPr>
              <w:pStyle w:val="TableTextLeft"/>
              <w:spacing w:beforeLines="20" w:before="48" w:afterLines="20" w:after="48"/>
              <w:jc w:val="right"/>
              <w:rPr>
                <w:rFonts w:cs="Arial"/>
                <w:color w:val="000000"/>
                <w:szCs w:val="16"/>
              </w:rPr>
            </w:pPr>
            <w:r w:rsidRPr="006B5F4F">
              <w:t>4.6 per cent weighted average</w:t>
            </w:r>
          </w:p>
        </w:tc>
        <w:tc>
          <w:tcPr>
            <w:tcW w:w="1559" w:type="dxa"/>
            <w:tcBorders>
              <w:top w:val="single" w:sz="2" w:space="0" w:color="BFBFBF"/>
              <w:bottom w:val="single" w:sz="2" w:space="0" w:color="BFBFBF"/>
            </w:tcBorders>
            <w:shd w:val="clear" w:color="auto" w:fill="auto"/>
            <w:vAlign w:val="center"/>
          </w:tcPr>
          <w:p w14:paraId="06353324" w14:textId="77777777" w:rsidR="00FC454A" w:rsidRPr="006B5F4F" w:rsidRDefault="00FC454A" w:rsidP="00FC454A">
            <w:pPr>
              <w:pStyle w:val="TableTextLeft"/>
              <w:spacing w:beforeLines="20" w:before="48" w:afterLines="20" w:after="48"/>
              <w:jc w:val="right"/>
              <w:rPr>
                <w:rFonts w:cs="Arial"/>
                <w:color w:val="000000"/>
                <w:szCs w:val="16"/>
              </w:rPr>
            </w:pPr>
            <w:r w:rsidRPr="006B5F4F">
              <w:t>5-15 years</w:t>
            </w:r>
          </w:p>
        </w:tc>
        <w:tc>
          <w:tcPr>
            <w:tcW w:w="1276" w:type="dxa"/>
            <w:tcBorders>
              <w:top w:val="single" w:sz="2" w:space="0" w:color="BFBFBF"/>
              <w:bottom w:val="single" w:sz="2" w:space="0" w:color="BFBFBF"/>
            </w:tcBorders>
            <w:vAlign w:val="center"/>
          </w:tcPr>
          <w:p w14:paraId="41F78FE5" w14:textId="77777777" w:rsidR="00FC454A" w:rsidRPr="006B5F4F" w:rsidRDefault="00FC454A" w:rsidP="00FC454A">
            <w:pPr>
              <w:pStyle w:val="TableTextLeft"/>
              <w:spacing w:beforeLines="20" w:before="48" w:afterLines="20" w:after="48"/>
              <w:jc w:val="right"/>
              <w:rPr>
                <w:rFonts w:cs="Arial"/>
                <w:color w:val="000000"/>
                <w:szCs w:val="16"/>
              </w:rPr>
            </w:pPr>
            <w:r w:rsidRPr="006B5F4F">
              <w:rPr>
                <w:rFonts w:cs="Arial"/>
                <w:color w:val="000000"/>
                <w:szCs w:val="16"/>
              </w:rPr>
              <w:t>Modified</w:t>
            </w:r>
          </w:p>
        </w:tc>
      </w:tr>
      <w:tr w:rsidR="00142A07" w:rsidRPr="006B5F4F" w14:paraId="1878EAB4" w14:textId="77777777" w:rsidTr="003E1352">
        <w:trPr>
          <w:trHeight w:val="20"/>
        </w:trPr>
        <w:tc>
          <w:tcPr>
            <w:tcW w:w="11878" w:type="dxa"/>
            <w:gridSpan w:val="6"/>
            <w:tcBorders>
              <w:top w:val="single" w:sz="2" w:space="0" w:color="BFBFBF"/>
              <w:left w:val="nil"/>
              <w:bottom w:val="single" w:sz="2" w:space="0" w:color="BFBFBF"/>
            </w:tcBorders>
            <w:shd w:val="clear" w:color="auto" w:fill="EBEBEB"/>
            <w:vAlign w:val="center"/>
          </w:tcPr>
          <w:p w14:paraId="65FC3B39" w14:textId="77777777" w:rsidR="00142A07" w:rsidRPr="006B5F4F" w:rsidRDefault="00142A07" w:rsidP="00010EEB">
            <w:pPr>
              <w:pStyle w:val="TableColumnHeadingLeft"/>
              <w:spacing w:beforeLines="10" w:before="24" w:afterLines="10" w:after="24"/>
              <w:rPr>
                <w:rFonts w:ascii="Arial" w:hAnsi="Arial" w:cs="Arial"/>
                <w:szCs w:val="16"/>
              </w:rPr>
            </w:pPr>
            <w:r w:rsidRPr="006B5F4F">
              <w:rPr>
                <w:rFonts w:ascii="Arial" w:hAnsi="Arial" w:cs="Arial"/>
                <w:szCs w:val="16"/>
              </w:rPr>
              <w:t>Australian Office of Financial Management</w:t>
            </w:r>
          </w:p>
        </w:tc>
      </w:tr>
      <w:tr w:rsidR="00142A07" w:rsidRPr="006B5F4F" w14:paraId="019B7413"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71D0AB91" w14:textId="77777777" w:rsidR="00142A07" w:rsidRPr="006B5F4F" w:rsidRDefault="00142A07" w:rsidP="00142A07">
            <w:pPr>
              <w:pStyle w:val="TableTextLeft"/>
              <w:spacing w:beforeLines="20" w:before="48" w:afterLines="20" w:after="48"/>
              <w:rPr>
                <w:rFonts w:cs="Arial"/>
                <w:color w:val="000000"/>
                <w:szCs w:val="16"/>
              </w:rPr>
            </w:pPr>
            <w:r w:rsidRPr="006B5F4F">
              <w:rPr>
                <w:rFonts w:cs="Arial"/>
                <w:szCs w:val="16"/>
              </w:rPr>
              <w:t>Commonwealth</w:t>
            </w:r>
            <w:r w:rsidRPr="006B5F4F">
              <w:rPr>
                <w:rFonts w:cs="Arial"/>
                <w:szCs w:val="16"/>
              </w:rPr>
              <w:noBreakHyphen/>
              <w:t xml:space="preserve">State financing arrangements </w:t>
            </w:r>
            <w:r w:rsidRPr="006B5F4F">
              <w:rPr>
                <w:rFonts w:cs="Arial"/>
                <w:szCs w:val="16"/>
              </w:rPr>
              <w:br/>
              <w:t>— Housing and Specific Purpose Capital</w:t>
            </w:r>
          </w:p>
        </w:tc>
        <w:tc>
          <w:tcPr>
            <w:tcW w:w="1077" w:type="dxa"/>
            <w:tcBorders>
              <w:top w:val="single" w:sz="2" w:space="0" w:color="BFBFBF"/>
              <w:bottom w:val="single" w:sz="2" w:space="0" w:color="BFBFBF"/>
            </w:tcBorders>
            <w:shd w:val="clear" w:color="auto" w:fill="auto"/>
            <w:vAlign w:val="center"/>
          </w:tcPr>
          <w:p w14:paraId="6D52D202" w14:textId="38C911BA" w:rsidR="00142A07" w:rsidRPr="006B5F4F" w:rsidRDefault="002946F6" w:rsidP="00142A07">
            <w:pPr>
              <w:pStyle w:val="TableTextLeft"/>
              <w:tabs>
                <w:tab w:val="left" w:pos="885"/>
              </w:tabs>
              <w:spacing w:beforeLines="20" w:before="48" w:afterLines="20" w:after="48"/>
              <w:ind w:right="175"/>
              <w:jc w:val="right"/>
              <w:rPr>
                <w:rFonts w:cs="Arial"/>
                <w:color w:val="000000"/>
                <w:szCs w:val="16"/>
              </w:rPr>
            </w:pPr>
            <w:r w:rsidRPr="006B5F4F">
              <w:rPr>
                <w:rFonts w:cs="Arial"/>
                <w:color w:val="000000"/>
                <w:szCs w:val="16"/>
              </w:rPr>
              <w:t>1,793</w:t>
            </w:r>
          </w:p>
        </w:tc>
        <w:tc>
          <w:tcPr>
            <w:tcW w:w="2438" w:type="dxa"/>
            <w:tcBorders>
              <w:top w:val="single" w:sz="2" w:space="0" w:color="BFBFBF"/>
              <w:bottom w:val="single" w:sz="2" w:space="0" w:color="BFBFBF"/>
            </w:tcBorders>
            <w:shd w:val="clear" w:color="auto" w:fill="auto"/>
            <w:vAlign w:val="center"/>
          </w:tcPr>
          <w:p w14:paraId="1D4F8C24" w14:textId="77777777" w:rsidR="00142A07" w:rsidRPr="006B5F4F" w:rsidRDefault="00142A07" w:rsidP="00142A07">
            <w:pPr>
              <w:pStyle w:val="TableTextLeft"/>
              <w:spacing w:beforeLines="20" w:before="48" w:afterLines="20" w:after="48"/>
              <w:rPr>
                <w:rFonts w:cs="Arial"/>
                <w:color w:val="000000"/>
                <w:szCs w:val="16"/>
              </w:rPr>
            </w:pPr>
            <w:r w:rsidRPr="006B5F4F">
              <w:rPr>
                <w:rFonts w:cs="Arial"/>
                <w:szCs w:val="16"/>
              </w:rPr>
              <w:t>State and Northern Territory governments</w:t>
            </w:r>
          </w:p>
        </w:tc>
        <w:tc>
          <w:tcPr>
            <w:tcW w:w="1559" w:type="dxa"/>
            <w:tcBorders>
              <w:top w:val="single" w:sz="2" w:space="0" w:color="BFBFBF"/>
              <w:bottom w:val="single" w:sz="2" w:space="0" w:color="BFBFBF"/>
            </w:tcBorders>
            <w:shd w:val="clear" w:color="auto" w:fill="auto"/>
            <w:vAlign w:val="center"/>
          </w:tcPr>
          <w:p w14:paraId="0FC00CD5" w14:textId="14B9D0E8" w:rsidR="00142A07" w:rsidRPr="006B5F4F" w:rsidRDefault="00142A07" w:rsidP="00142A07">
            <w:pPr>
              <w:pStyle w:val="TableTextLeft"/>
              <w:spacing w:beforeLines="20" w:before="48" w:afterLines="20" w:after="48"/>
              <w:jc w:val="right"/>
              <w:rPr>
                <w:rFonts w:cs="Arial"/>
                <w:color w:val="000000"/>
                <w:szCs w:val="16"/>
              </w:rPr>
            </w:pPr>
            <w:r w:rsidRPr="006B5F4F">
              <w:rPr>
                <w:rFonts w:cs="Arial"/>
                <w:szCs w:val="16"/>
              </w:rPr>
              <w:t>3.</w:t>
            </w:r>
            <w:r w:rsidR="002946F6" w:rsidRPr="006B5F4F">
              <w:rPr>
                <w:rFonts w:cs="Arial"/>
                <w:szCs w:val="16"/>
              </w:rPr>
              <w:t>63</w:t>
            </w:r>
            <w:r w:rsidRPr="006B5F4F">
              <w:rPr>
                <w:rFonts w:cs="Arial"/>
                <w:szCs w:val="16"/>
              </w:rPr>
              <w:noBreakHyphen/>
              <w:t>6.0 per cent</w:t>
            </w:r>
          </w:p>
        </w:tc>
        <w:tc>
          <w:tcPr>
            <w:tcW w:w="1559" w:type="dxa"/>
            <w:tcBorders>
              <w:top w:val="single" w:sz="2" w:space="0" w:color="BFBFBF"/>
              <w:bottom w:val="single" w:sz="2" w:space="0" w:color="BFBFBF"/>
            </w:tcBorders>
            <w:shd w:val="clear" w:color="auto" w:fill="auto"/>
            <w:vAlign w:val="center"/>
          </w:tcPr>
          <w:p w14:paraId="55B9135B" w14:textId="77777777" w:rsidR="00142A07" w:rsidRPr="006B5F4F" w:rsidRDefault="00142A07" w:rsidP="00142A07">
            <w:pPr>
              <w:pStyle w:val="TableTextLeft"/>
              <w:spacing w:beforeLines="20" w:before="48" w:afterLines="20" w:after="48"/>
              <w:jc w:val="right"/>
              <w:rPr>
                <w:rFonts w:cs="Arial"/>
                <w:color w:val="000000"/>
                <w:szCs w:val="16"/>
              </w:rPr>
            </w:pPr>
            <w:r w:rsidRPr="006B5F4F">
              <w:rPr>
                <w:rFonts w:cs="Arial"/>
                <w:szCs w:val="16"/>
              </w:rPr>
              <w:t>Up to 30 June 2042</w:t>
            </w:r>
          </w:p>
        </w:tc>
        <w:tc>
          <w:tcPr>
            <w:tcW w:w="1276" w:type="dxa"/>
            <w:tcBorders>
              <w:bottom w:val="single" w:sz="2" w:space="0" w:color="BFBFBF"/>
            </w:tcBorders>
            <w:vAlign w:val="center"/>
          </w:tcPr>
          <w:p w14:paraId="38286AF1" w14:textId="77777777" w:rsidR="00142A07" w:rsidRPr="006B5F4F" w:rsidRDefault="002946F6" w:rsidP="00142A07">
            <w:pPr>
              <w:pStyle w:val="TableTextLeft"/>
              <w:spacing w:beforeLines="20" w:before="48" w:afterLines="20" w:after="48"/>
              <w:jc w:val="right"/>
              <w:rPr>
                <w:rFonts w:cs="Arial"/>
                <w:color w:val="000000"/>
                <w:szCs w:val="16"/>
              </w:rPr>
            </w:pPr>
            <w:r w:rsidRPr="006B5F4F">
              <w:rPr>
                <w:rFonts w:cs="Arial"/>
                <w:color w:val="000000"/>
                <w:szCs w:val="16"/>
              </w:rPr>
              <w:t>Modified</w:t>
            </w:r>
          </w:p>
        </w:tc>
      </w:tr>
      <w:tr w:rsidR="00142A07" w:rsidRPr="006B5F4F" w14:paraId="1AF9946C" w14:textId="77777777" w:rsidTr="003E1352">
        <w:trPr>
          <w:trHeight w:val="20"/>
        </w:trPr>
        <w:tc>
          <w:tcPr>
            <w:tcW w:w="11878" w:type="dxa"/>
            <w:gridSpan w:val="6"/>
            <w:tcBorders>
              <w:top w:val="single" w:sz="2" w:space="0" w:color="BFBFBF"/>
              <w:left w:val="nil"/>
              <w:bottom w:val="single" w:sz="2" w:space="0" w:color="BFBFBF"/>
            </w:tcBorders>
            <w:shd w:val="pct10" w:color="auto" w:fill="FFFFFF"/>
            <w:vAlign w:val="center"/>
          </w:tcPr>
          <w:p w14:paraId="2622AAA7" w14:textId="77777777" w:rsidR="00142A07" w:rsidRPr="006B5F4F" w:rsidRDefault="00142A07" w:rsidP="00010EEB">
            <w:pPr>
              <w:pStyle w:val="TableColumnHeadingLeft"/>
              <w:spacing w:beforeLines="10" w:before="24" w:afterLines="10" w:after="24"/>
              <w:rPr>
                <w:rFonts w:ascii="Arial" w:hAnsi="Arial" w:cs="Arial"/>
                <w:szCs w:val="16"/>
              </w:rPr>
            </w:pPr>
            <w:r w:rsidRPr="006B5F4F">
              <w:rPr>
                <w:rFonts w:ascii="Arial" w:hAnsi="Arial" w:cs="Arial"/>
                <w:szCs w:val="16"/>
              </w:rPr>
              <w:t xml:space="preserve">Department of Infrastructure and Regional Development </w:t>
            </w:r>
          </w:p>
        </w:tc>
      </w:tr>
      <w:tr w:rsidR="00965036" w:rsidRPr="006B5F4F" w14:paraId="651AD29A" w14:textId="77777777" w:rsidTr="00FC454A">
        <w:trPr>
          <w:trHeight w:val="20"/>
        </w:trPr>
        <w:tc>
          <w:tcPr>
            <w:tcW w:w="3969" w:type="dxa"/>
            <w:tcBorders>
              <w:top w:val="single" w:sz="2" w:space="0" w:color="BFBFBF"/>
              <w:left w:val="nil"/>
              <w:bottom w:val="single" w:sz="2" w:space="0" w:color="BFBFBF"/>
            </w:tcBorders>
            <w:shd w:val="clear" w:color="auto" w:fill="auto"/>
            <w:vAlign w:val="center"/>
          </w:tcPr>
          <w:p w14:paraId="695BAB54" w14:textId="77777777" w:rsidR="00965036" w:rsidRPr="006B5F4F" w:rsidRDefault="00965036" w:rsidP="00FC454A">
            <w:pPr>
              <w:pStyle w:val="TableTextLeft"/>
              <w:spacing w:beforeLines="20" w:before="48" w:afterLines="20" w:after="48"/>
              <w:rPr>
                <w:rFonts w:cs="Arial"/>
                <w:szCs w:val="16"/>
              </w:rPr>
            </w:pPr>
            <w:proofErr w:type="spellStart"/>
            <w:r w:rsidRPr="006B5F4F">
              <w:rPr>
                <w:rFonts w:cs="Arial"/>
                <w:szCs w:val="16"/>
              </w:rPr>
              <w:t>WestConnex</w:t>
            </w:r>
            <w:proofErr w:type="spellEnd"/>
            <w:r w:rsidRPr="006B5F4F">
              <w:rPr>
                <w:rFonts w:cs="Arial"/>
                <w:szCs w:val="16"/>
              </w:rPr>
              <w:t xml:space="preserve"> Stage 2 Concessional Loan</w:t>
            </w:r>
          </w:p>
        </w:tc>
        <w:tc>
          <w:tcPr>
            <w:tcW w:w="1077" w:type="dxa"/>
            <w:tcBorders>
              <w:top w:val="single" w:sz="2" w:space="0" w:color="BFBFBF"/>
              <w:bottom w:val="single" w:sz="2" w:space="0" w:color="BFBFBF"/>
            </w:tcBorders>
            <w:shd w:val="clear" w:color="auto" w:fill="auto"/>
            <w:vAlign w:val="center"/>
          </w:tcPr>
          <w:p w14:paraId="7CC8A4DB" w14:textId="379020EF" w:rsidR="00965036" w:rsidRPr="006B5F4F" w:rsidRDefault="00965036" w:rsidP="00965036">
            <w:pPr>
              <w:pStyle w:val="TableTextLeft"/>
              <w:tabs>
                <w:tab w:val="left" w:pos="885"/>
              </w:tabs>
              <w:spacing w:beforeLines="20" w:before="48" w:afterLines="20" w:after="48"/>
              <w:ind w:right="175"/>
              <w:jc w:val="right"/>
              <w:rPr>
                <w:rFonts w:cs="Arial"/>
                <w:szCs w:val="16"/>
              </w:rPr>
            </w:pPr>
            <w:r w:rsidRPr="006B5F4F">
              <w:rPr>
                <w:rFonts w:cs="Arial"/>
                <w:szCs w:val="16"/>
              </w:rPr>
              <w:t>1,125</w:t>
            </w:r>
          </w:p>
        </w:tc>
        <w:tc>
          <w:tcPr>
            <w:tcW w:w="2438" w:type="dxa"/>
            <w:tcBorders>
              <w:top w:val="single" w:sz="2" w:space="0" w:color="BFBFBF"/>
              <w:bottom w:val="single" w:sz="2" w:space="0" w:color="BFBFBF"/>
            </w:tcBorders>
            <w:shd w:val="clear" w:color="auto" w:fill="auto"/>
            <w:vAlign w:val="center"/>
          </w:tcPr>
          <w:p w14:paraId="3869629D" w14:textId="77777777" w:rsidR="00965036" w:rsidRPr="006B5F4F" w:rsidRDefault="00965036" w:rsidP="00FC454A">
            <w:pPr>
              <w:pStyle w:val="TableTextLeft"/>
              <w:spacing w:beforeLines="20" w:before="48" w:afterLines="20" w:after="48"/>
              <w:rPr>
                <w:rFonts w:cs="Arial"/>
                <w:szCs w:val="16"/>
              </w:rPr>
            </w:pPr>
            <w:r w:rsidRPr="006B5F4F">
              <w:rPr>
                <w:rFonts w:cs="Arial"/>
                <w:szCs w:val="16"/>
              </w:rPr>
              <w:t xml:space="preserve">WCX M5 </w:t>
            </w:r>
            <w:proofErr w:type="spellStart"/>
            <w:r w:rsidRPr="006B5F4F">
              <w:rPr>
                <w:rFonts w:cs="Arial"/>
                <w:szCs w:val="16"/>
              </w:rPr>
              <w:t>Finco</w:t>
            </w:r>
            <w:proofErr w:type="spellEnd"/>
            <w:r w:rsidRPr="006B5F4F">
              <w:rPr>
                <w:rFonts w:cs="Arial"/>
                <w:szCs w:val="16"/>
              </w:rPr>
              <w:t xml:space="preserve"> Pty Ltd</w:t>
            </w:r>
          </w:p>
        </w:tc>
        <w:tc>
          <w:tcPr>
            <w:tcW w:w="1559" w:type="dxa"/>
            <w:tcBorders>
              <w:top w:val="single" w:sz="2" w:space="0" w:color="BFBFBF"/>
              <w:bottom w:val="single" w:sz="2" w:space="0" w:color="BFBFBF"/>
            </w:tcBorders>
            <w:shd w:val="clear" w:color="auto" w:fill="auto"/>
            <w:vAlign w:val="center"/>
          </w:tcPr>
          <w:p w14:paraId="3DF90105" w14:textId="77777777" w:rsidR="00965036" w:rsidRPr="006B5F4F" w:rsidRDefault="00965036" w:rsidP="00FC454A">
            <w:pPr>
              <w:pStyle w:val="TableTextLeft"/>
              <w:spacing w:beforeLines="20" w:before="48" w:afterLines="20" w:after="48"/>
              <w:ind w:left="33" w:firstLine="142"/>
              <w:jc w:val="right"/>
              <w:rPr>
                <w:rFonts w:cs="Arial"/>
                <w:szCs w:val="16"/>
              </w:rPr>
            </w:pPr>
            <w:r w:rsidRPr="006B5F4F">
              <w:rPr>
                <w:rFonts w:cs="Arial"/>
                <w:szCs w:val="16"/>
              </w:rPr>
              <w:t>3.4 per cent</w:t>
            </w:r>
          </w:p>
        </w:tc>
        <w:tc>
          <w:tcPr>
            <w:tcW w:w="1559" w:type="dxa"/>
            <w:tcBorders>
              <w:top w:val="single" w:sz="2" w:space="0" w:color="BFBFBF"/>
              <w:bottom w:val="single" w:sz="2" w:space="0" w:color="BFBFBF"/>
            </w:tcBorders>
            <w:shd w:val="clear" w:color="auto" w:fill="auto"/>
            <w:vAlign w:val="center"/>
          </w:tcPr>
          <w:p w14:paraId="14A8EA72" w14:textId="77777777" w:rsidR="00965036" w:rsidRPr="006B5F4F" w:rsidRDefault="00965036" w:rsidP="00FC454A">
            <w:pPr>
              <w:pStyle w:val="TableTextLeft"/>
              <w:spacing w:beforeLines="20" w:before="48" w:afterLines="20" w:after="48"/>
              <w:jc w:val="right"/>
              <w:rPr>
                <w:rFonts w:cs="Arial"/>
                <w:szCs w:val="16"/>
              </w:rPr>
            </w:pPr>
            <w:r w:rsidRPr="006B5F4F">
              <w:rPr>
                <w:rFonts w:cs="Arial"/>
                <w:szCs w:val="16"/>
              </w:rPr>
              <w:t>November 2015 to July 2034</w:t>
            </w:r>
          </w:p>
        </w:tc>
        <w:tc>
          <w:tcPr>
            <w:tcW w:w="1276" w:type="dxa"/>
            <w:tcBorders>
              <w:bottom w:val="single" w:sz="2" w:space="0" w:color="BFBFBF"/>
            </w:tcBorders>
            <w:vAlign w:val="center"/>
          </w:tcPr>
          <w:p w14:paraId="2F36D1C9" w14:textId="6C581EA2" w:rsidR="00965036" w:rsidRPr="006B5F4F" w:rsidRDefault="00965036" w:rsidP="00965036">
            <w:pPr>
              <w:pStyle w:val="TableTextLeft"/>
              <w:spacing w:beforeLines="20" w:before="48" w:afterLines="20" w:after="48"/>
              <w:jc w:val="right"/>
              <w:rPr>
                <w:rFonts w:cs="Arial"/>
                <w:szCs w:val="16"/>
              </w:rPr>
            </w:pPr>
            <w:r w:rsidRPr="006B5F4F">
              <w:rPr>
                <w:rFonts w:cs="Arial"/>
                <w:szCs w:val="16"/>
              </w:rPr>
              <w:t>Modified</w:t>
            </w:r>
          </w:p>
        </w:tc>
      </w:tr>
      <w:tr w:rsidR="00142A07" w:rsidRPr="006B5F4F" w14:paraId="156C05DA"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73BFBF35" w14:textId="62867B41" w:rsidR="00142A07" w:rsidRPr="006B5F4F" w:rsidRDefault="00B61875" w:rsidP="00B61875">
            <w:pPr>
              <w:pStyle w:val="TableTextLeft"/>
              <w:rPr>
                <w:rFonts w:cs="Arial"/>
                <w:szCs w:val="16"/>
              </w:rPr>
            </w:pPr>
            <w:r w:rsidRPr="006B5F4F">
              <w:t>Concessional loan for a</w:t>
            </w:r>
            <w:r w:rsidR="00142A07" w:rsidRPr="006B5F4F">
              <w:t>sbestos removal in the ACT — Mr Fluffy loose fill asbestos remediation</w:t>
            </w:r>
          </w:p>
        </w:tc>
        <w:tc>
          <w:tcPr>
            <w:tcW w:w="1077" w:type="dxa"/>
            <w:tcBorders>
              <w:top w:val="single" w:sz="2" w:space="0" w:color="BFBFBF"/>
              <w:bottom w:val="single" w:sz="2" w:space="0" w:color="BFBFBF"/>
            </w:tcBorders>
            <w:shd w:val="clear" w:color="auto" w:fill="auto"/>
            <w:vAlign w:val="center"/>
          </w:tcPr>
          <w:p w14:paraId="1E175B80" w14:textId="2F4C43B2" w:rsidR="00142A07" w:rsidRPr="006B5F4F" w:rsidRDefault="00473A85" w:rsidP="00142A07">
            <w:pPr>
              <w:pStyle w:val="TableTextLeft"/>
              <w:tabs>
                <w:tab w:val="left" w:pos="885"/>
              </w:tabs>
              <w:ind w:right="175"/>
              <w:jc w:val="right"/>
              <w:rPr>
                <w:rFonts w:cs="Arial"/>
                <w:szCs w:val="16"/>
              </w:rPr>
            </w:pPr>
            <w:r w:rsidRPr="006B5F4F">
              <w:rPr>
                <w:rFonts w:cs="Arial"/>
                <w:szCs w:val="16"/>
              </w:rPr>
              <w:t>936</w:t>
            </w:r>
          </w:p>
        </w:tc>
        <w:tc>
          <w:tcPr>
            <w:tcW w:w="2438" w:type="dxa"/>
            <w:tcBorders>
              <w:top w:val="single" w:sz="2" w:space="0" w:color="BFBFBF"/>
              <w:bottom w:val="single" w:sz="2" w:space="0" w:color="BFBFBF"/>
            </w:tcBorders>
            <w:shd w:val="clear" w:color="auto" w:fill="auto"/>
            <w:vAlign w:val="center"/>
          </w:tcPr>
          <w:p w14:paraId="011E1219" w14:textId="77777777" w:rsidR="00142A07" w:rsidRPr="006B5F4F" w:rsidRDefault="00142A07" w:rsidP="00142A07">
            <w:pPr>
              <w:pStyle w:val="TableTextLeft"/>
              <w:rPr>
                <w:rFonts w:cs="Arial"/>
                <w:szCs w:val="16"/>
              </w:rPr>
            </w:pPr>
            <w:r w:rsidRPr="006B5F4F">
              <w:rPr>
                <w:rFonts w:cs="Arial"/>
                <w:szCs w:val="16"/>
              </w:rPr>
              <w:t>Australian Capital Territory Government</w:t>
            </w:r>
          </w:p>
        </w:tc>
        <w:tc>
          <w:tcPr>
            <w:tcW w:w="1559" w:type="dxa"/>
            <w:tcBorders>
              <w:top w:val="single" w:sz="2" w:space="0" w:color="BFBFBF"/>
              <w:bottom w:val="single" w:sz="2" w:space="0" w:color="BFBFBF"/>
            </w:tcBorders>
            <w:shd w:val="clear" w:color="auto" w:fill="auto"/>
            <w:vAlign w:val="center"/>
          </w:tcPr>
          <w:p w14:paraId="79A8FF54" w14:textId="77777777" w:rsidR="00142A07" w:rsidRPr="006B5F4F" w:rsidRDefault="00142A07" w:rsidP="00142A07">
            <w:pPr>
              <w:pStyle w:val="TableTextLeft"/>
              <w:jc w:val="right"/>
              <w:rPr>
                <w:rFonts w:cs="Arial"/>
                <w:color w:val="000000"/>
                <w:szCs w:val="16"/>
              </w:rPr>
            </w:pPr>
            <w:r w:rsidRPr="006B5F4F">
              <w:t>Commonwealth Government 10-year bond rate</w:t>
            </w:r>
          </w:p>
        </w:tc>
        <w:tc>
          <w:tcPr>
            <w:tcW w:w="1559" w:type="dxa"/>
            <w:tcBorders>
              <w:top w:val="single" w:sz="2" w:space="0" w:color="BFBFBF"/>
              <w:bottom w:val="single" w:sz="2" w:space="0" w:color="BFBFBF"/>
            </w:tcBorders>
            <w:shd w:val="clear" w:color="auto" w:fill="auto"/>
            <w:vAlign w:val="center"/>
          </w:tcPr>
          <w:p w14:paraId="635826D6" w14:textId="77777777" w:rsidR="00142A07" w:rsidRPr="006B5F4F" w:rsidRDefault="00142A07" w:rsidP="00142A07">
            <w:pPr>
              <w:pStyle w:val="TableTextLeft"/>
              <w:jc w:val="right"/>
              <w:rPr>
                <w:rFonts w:cs="Arial"/>
                <w:color w:val="000000"/>
                <w:szCs w:val="16"/>
              </w:rPr>
            </w:pPr>
            <w:r w:rsidRPr="006B5F4F">
              <w:rPr>
                <w:rFonts w:cs="Arial"/>
                <w:szCs w:val="16"/>
              </w:rPr>
              <w:t>Up to 30 June 2024</w:t>
            </w:r>
          </w:p>
        </w:tc>
        <w:tc>
          <w:tcPr>
            <w:tcW w:w="1276" w:type="dxa"/>
            <w:tcBorders>
              <w:top w:val="single" w:sz="2" w:space="0" w:color="BFBFBF"/>
              <w:bottom w:val="single" w:sz="2" w:space="0" w:color="BFBFBF"/>
            </w:tcBorders>
            <w:vAlign w:val="center"/>
          </w:tcPr>
          <w:p w14:paraId="47D6C5B8" w14:textId="77777777" w:rsidR="00142A07" w:rsidRPr="006B5F4F" w:rsidRDefault="00473A85" w:rsidP="00142A07">
            <w:pPr>
              <w:pStyle w:val="TableTextLeft"/>
              <w:jc w:val="right"/>
              <w:rPr>
                <w:rFonts w:cs="Arial"/>
                <w:color w:val="000000"/>
                <w:szCs w:val="16"/>
              </w:rPr>
            </w:pPr>
            <w:r w:rsidRPr="006B5F4F">
              <w:rPr>
                <w:rFonts w:cs="Arial"/>
                <w:color w:val="000000"/>
                <w:szCs w:val="16"/>
              </w:rPr>
              <w:t>Modified</w:t>
            </w:r>
          </w:p>
        </w:tc>
      </w:tr>
      <w:tr w:rsidR="00AF567F" w:rsidRPr="006B5F4F" w14:paraId="534E52B1" w14:textId="77777777" w:rsidTr="0003630E">
        <w:trPr>
          <w:trHeight w:val="20"/>
        </w:trPr>
        <w:tc>
          <w:tcPr>
            <w:tcW w:w="11878" w:type="dxa"/>
            <w:gridSpan w:val="6"/>
            <w:tcBorders>
              <w:top w:val="single" w:sz="2" w:space="0" w:color="BFBFBF"/>
              <w:left w:val="nil"/>
              <w:bottom w:val="single" w:sz="2" w:space="0" w:color="BFBFBF"/>
            </w:tcBorders>
            <w:shd w:val="pct10" w:color="auto" w:fill="FFFFFF"/>
            <w:vAlign w:val="center"/>
          </w:tcPr>
          <w:p w14:paraId="3A89CB70" w14:textId="77777777" w:rsidR="00AF567F" w:rsidRPr="006B5F4F" w:rsidRDefault="00AF567F" w:rsidP="00010EEB">
            <w:pPr>
              <w:pStyle w:val="TableTextLeft"/>
              <w:spacing w:beforeLines="10" w:before="24" w:afterLines="10" w:after="24"/>
              <w:rPr>
                <w:b/>
              </w:rPr>
            </w:pPr>
            <w:r w:rsidRPr="006B5F4F">
              <w:rPr>
                <w:b/>
              </w:rPr>
              <w:t>Department of Agriculture and Water Resources</w:t>
            </w:r>
          </w:p>
        </w:tc>
      </w:tr>
      <w:tr w:rsidR="00AF567F" w:rsidRPr="006B5F4F" w14:paraId="3A77EF13" w14:textId="77777777" w:rsidTr="0003630E">
        <w:trPr>
          <w:trHeight w:val="20"/>
        </w:trPr>
        <w:tc>
          <w:tcPr>
            <w:tcW w:w="3969" w:type="dxa"/>
            <w:tcBorders>
              <w:top w:val="single" w:sz="2" w:space="0" w:color="BFBFBF"/>
              <w:left w:val="nil"/>
              <w:bottom w:val="single" w:sz="2" w:space="0" w:color="BFBFBF"/>
            </w:tcBorders>
            <w:shd w:val="clear" w:color="auto" w:fill="auto"/>
            <w:vAlign w:val="center"/>
          </w:tcPr>
          <w:p w14:paraId="7EC72351" w14:textId="77777777" w:rsidR="00AF567F" w:rsidRPr="006B5F4F" w:rsidRDefault="00AF567F" w:rsidP="0003630E">
            <w:pPr>
              <w:pStyle w:val="TableTextLeft"/>
              <w:spacing w:beforeLines="20" w:before="48" w:afterLines="20" w:after="48"/>
              <w:rPr>
                <w:rFonts w:cs="Arial"/>
                <w:szCs w:val="16"/>
              </w:rPr>
            </w:pPr>
            <w:r w:rsidRPr="006B5F4F">
              <w:rPr>
                <w:rFonts w:cs="Arial"/>
                <w:szCs w:val="16"/>
              </w:rPr>
              <w:t>Drought related and Farm Finance Concessional Loans – Agriculture</w:t>
            </w:r>
          </w:p>
        </w:tc>
        <w:tc>
          <w:tcPr>
            <w:tcW w:w="1077" w:type="dxa"/>
            <w:tcBorders>
              <w:top w:val="single" w:sz="2" w:space="0" w:color="BFBFBF"/>
              <w:bottom w:val="single" w:sz="2" w:space="0" w:color="BFBFBF"/>
            </w:tcBorders>
            <w:shd w:val="clear" w:color="auto" w:fill="auto"/>
            <w:vAlign w:val="center"/>
          </w:tcPr>
          <w:p w14:paraId="38A2E485" w14:textId="1BCDD976" w:rsidR="00AF567F" w:rsidRPr="006B5F4F" w:rsidRDefault="00AF567F" w:rsidP="0003630E">
            <w:pPr>
              <w:pStyle w:val="TableTextLeft"/>
              <w:tabs>
                <w:tab w:val="left" w:pos="885"/>
              </w:tabs>
              <w:spacing w:beforeLines="20" w:before="48" w:afterLines="20" w:after="48"/>
              <w:ind w:right="175"/>
              <w:jc w:val="right"/>
              <w:rPr>
                <w:rFonts w:cs="Arial"/>
                <w:szCs w:val="16"/>
              </w:rPr>
            </w:pPr>
            <w:r w:rsidRPr="006B5F4F">
              <w:rPr>
                <w:rFonts w:cs="Arial"/>
                <w:szCs w:val="16"/>
              </w:rPr>
              <w:t>888</w:t>
            </w:r>
          </w:p>
        </w:tc>
        <w:tc>
          <w:tcPr>
            <w:tcW w:w="2438" w:type="dxa"/>
            <w:tcBorders>
              <w:top w:val="single" w:sz="2" w:space="0" w:color="BFBFBF"/>
              <w:bottom w:val="single" w:sz="2" w:space="0" w:color="BFBFBF"/>
            </w:tcBorders>
            <w:shd w:val="clear" w:color="auto" w:fill="auto"/>
            <w:vAlign w:val="center"/>
          </w:tcPr>
          <w:p w14:paraId="5C25932A" w14:textId="77777777" w:rsidR="00AF567F" w:rsidRPr="006B5F4F" w:rsidRDefault="00AF567F" w:rsidP="0003630E">
            <w:pPr>
              <w:pStyle w:val="TableTextLeft"/>
              <w:spacing w:beforeLines="20" w:before="48" w:afterLines="20" w:after="48"/>
              <w:rPr>
                <w:rFonts w:cs="Arial"/>
                <w:szCs w:val="16"/>
              </w:rPr>
            </w:pPr>
            <w:r w:rsidRPr="006B5F4F">
              <w:rPr>
                <w:rFonts w:cs="Arial"/>
                <w:szCs w:val="16"/>
              </w:rPr>
              <w:t>State Governments (that, through their delivery agencies, on-lend to eligible farm businesses)</w:t>
            </w:r>
          </w:p>
        </w:tc>
        <w:tc>
          <w:tcPr>
            <w:tcW w:w="1559" w:type="dxa"/>
            <w:tcBorders>
              <w:top w:val="single" w:sz="2" w:space="0" w:color="BFBFBF"/>
              <w:bottom w:val="single" w:sz="2" w:space="0" w:color="BFBFBF"/>
            </w:tcBorders>
            <w:shd w:val="clear" w:color="auto" w:fill="auto"/>
            <w:vAlign w:val="center"/>
          </w:tcPr>
          <w:p w14:paraId="288B8BB9" w14:textId="77777777" w:rsidR="00AF567F" w:rsidRPr="006B5F4F" w:rsidRDefault="00AF567F" w:rsidP="0003630E">
            <w:pPr>
              <w:pStyle w:val="TableTextLeft"/>
              <w:spacing w:beforeLines="20" w:before="48" w:afterLines="20" w:after="48"/>
              <w:jc w:val="right"/>
              <w:rPr>
                <w:rFonts w:cs="Arial"/>
                <w:color w:val="000000"/>
                <w:szCs w:val="16"/>
              </w:rPr>
            </w:pPr>
            <w:r w:rsidRPr="006B5F4F">
              <w:rPr>
                <w:rFonts w:cs="Arial"/>
                <w:szCs w:val="16"/>
              </w:rPr>
              <w:t>Various</w:t>
            </w:r>
          </w:p>
        </w:tc>
        <w:tc>
          <w:tcPr>
            <w:tcW w:w="1559" w:type="dxa"/>
            <w:tcBorders>
              <w:top w:val="single" w:sz="2" w:space="0" w:color="BFBFBF"/>
              <w:bottom w:val="single" w:sz="2" w:space="0" w:color="BFBFBF"/>
            </w:tcBorders>
            <w:shd w:val="clear" w:color="auto" w:fill="auto"/>
            <w:vAlign w:val="center"/>
          </w:tcPr>
          <w:p w14:paraId="0C7C0D67" w14:textId="77777777" w:rsidR="00AF567F" w:rsidRPr="006B5F4F" w:rsidRDefault="00AF567F" w:rsidP="0003630E">
            <w:pPr>
              <w:pStyle w:val="TableTextLeft"/>
              <w:spacing w:beforeLines="20" w:before="48" w:afterLines="20" w:after="48"/>
              <w:jc w:val="right"/>
              <w:rPr>
                <w:rFonts w:cs="Arial"/>
                <w:color w:val="000000"/>
                <w:szCs w:val="16"/>
              </w:rPr>
            </w:pPr>
            <w:r w:rsidRPr="006B5F4F">
              <w:rPr>
                <w:rFonts w:cs="Arial"/>
                <w:szCs w:val="16"/>
              </w:rPr>
              <w:t>Various</w:t>
            </w:r>
          </w:p>
        </w:tc>
        <w:tc>
          <w:tcPr>
            <w:tcW w:w="1276" w:type="dxa"/>
            <w:tcBorders>
              <w:top w:val="single" w:sz="2" w:space="0" w:color="BFBFBF"/>
              <w:bottom w:val="single" w:sz="2" w:space="0" w:color="BFBFBF"/>
            </w:tcBorders>
            <w:vAlign w:val="center"/>
          </w:tcPr>
          <w:p w14:paraId="0E1AF00E" w14:textId="77777777" w:rsidR="00AF567F" w:rsidRPr="006B5F4F" w:rsidRDefault="00AF567F" w:rsidP="0003630E">
            <w:pPr>
              <w:pStyle w:val="TableTextLeft"/>
              <w:spacing w:beforeLines="20" w:before="48" w:afterLines="20" w:after="48"/>
              <w:jc w:val="right"/>
              <w:rPr>
                <w:rFonts w:cs="Arial"/>
                <w:color w:val="000000"/>
                <w:szCs w:val="16"/>
              </w:rPr>
            </w:pPr>
            <w:r w:rsidRPr="006B5F4F">
              <w:rPr>
                <w:rFonts w:cs="Arial"/>
                <w:color w:val="000000"/>
                <w:szCs w:val="16"/>
              </w:rPr>
              <w:t>Modified</w:t>
            </w:r>
          </w:p>
        </w:tc>
      </w:tr>
      <w:tr w:rsidR="00142A07" w:rsidRPr="006B5F4F" w14:paraId="0675045D" w14:textId="77777777" w:rsidTr="003E1352">
        <w:trPr>
          <w:trHeight w:val="20"/>
        </w:trPr>
        <w:tc>
          <w:tcPr>
            <w:tcW w:w="11878" w:type="dxa"/>
            <w:gridSpan w:val="6"/>
            <w:tcBorders>
              <w:top w:val="single" w:sz="2" w:space="0" w:color="BFBFBF"/>
              <w:left w:val="nil"/>
              <w:bottom w:val="single" w:sz="2" w:space="0" w:color="BFBFBF"/>
            </w:tcBorders>
            <w:shd w:val="clear" w:color="auto" w:fill="EBEBEB"/>
            <w:vAlign w:val="center"/>
          </w:tcPr>
          <w:p w14:paraId="6C294626" w14:textId="77777777" w:rsidR="00142A07" w:rsidRPr="006B5F4F" w:rsidRDefault="00142A07" w:rsidP="00010EEB">
            <w:pPr>
              <w:pStyle w:val="TableColumnHeadingLeft"/>
              <w:spacing w:beforeLines="10" w:before="24" w:afterLines="10" w:after="24"/>
              <w:rPr>
                <w:rFonts w:ascii="Arial" w:hAnsi="Arial" w:cs="Arial"/>
                <w:szCs w:val="16"/>
              </w:rPr>
            </w:pPr>
            <w:r w:rsidRPr="006B5F4F">
              <w:rPr>
                <w:rFonts w:ascii="Arial" w:hAnsi="Arial" w:cs="Arial"/>
                <w:szCs w:val="16"/>
              </w:rPr>
              <w:t>Indigenous Business Australia</w:t>
            </w:r>
          </w:p>
        </w:tc>
      </w:tr>
      <w:tr w:rsidR="00142A07" w:rsidRPr="006B5F4F" w14:paraId="1DFDAB42"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52350E45" w14:textId="77777777" w:rsidR="00142A07" w:rsidRPr="006B5F4F" w:rsidRDefault="00142A07" w:rsidP="00142A07">
            <w:pPr>
              <w:pStyle w:val="TableTextLeft"/>
              <w:spacing w:beforeLines="20" w:before="48" w:afterLines="20" w:after="48"/>
              <w:rPr>
                <w:rFonts w:cs="Arial"/>
                <w:color w:val="000000"/>
                <w:szCs w:val="16"/>
              </w:rPr>
            </w:pPr>
            <w:r w:rsidRPr="006B5F4F">
              <w:rPr>
                <w:rFonts w:cs="Arial"/>
                <w:szCs w:val="16"/>
              </w:rPr>
              <w:t>Indigenous Home Ownership, Business Development and Assistance</w:t>
            </w:r>
          </w:p>
        </w:tc>
        <w:tc>
          <w:tcPr>
            <w:tcW w:w="1077" w:type="dxa"/>
            <w:tcBorders>
              <w:top w:val="single" w:sz="2" w:space="0" w:color="BFBFBF"/>
              <w:bottom w:val="single" w:sz="2" w:space="0" w:color="BFBFBF"/>
            </w:tcBorders>
            <w:shd w:val="clear" w:color="auto" w:fill="auto"/>
            <w:vAlign w:val="center"/>
          </w:tcPr>
          <w:p w14:paraId="58714688" w14:textId="431C3685" w:rsidR="00142A07" w:rsidRPr="006B5F4F" w:rsidRDefault="00CC4AB1" w:rsidP="00142A07">
            <w:pPr>
              <w:pStyle w:val="TableTextLeft"/>
              <w:tabs>
                <w:tab w:val="left" w:pos="885"/>
              </w:tabs>
              <w:spacing w:beforeLines="20" w:before="48" w:afterLines="20" w:after="48"/>
              <w:ind w:right="175"/>
              <w:jc w:val="right"/>
              <w:rPr>
                <w:rFonts w:cs="Arial"/>
                <w:color w:val="000000"/>
                <w:szCs w:val="16"/>
              </w:rPr>
            </w:pPr>
            <w:r w:rsidRPr="006B5F4F">
              <w:rPr>
                <w:rFonts w:cs="Arial"/>
                <w:color w:val="000000"/>
                <w:szCs w:val="16"/>
              </w:rPr>
              <w:t>736</w:t>
            </w:r>
          </w:p>
        </w:tc>
        <w:tc>
          <w:tcPr>
            <w:tcW w:w="2438" w:type="dxa"/>
            <w:tcBorders>
              <w:top w:val="single" w:sz="2" w:space="0" w:color="BFBFBF"/>
              <w:bottom w:val="single" w:sz="2" w:space="0" w:color="BFBFBF"/>
            </w:tcBorders>
            <w:shd w:val="clear" w:color="auto" w:fill="auto"/>
            <w:vAlign w:val="center"/>
          </w:tcPr>
          <w:p w14:paraId="0CABA49A" w14:textId="77777777" w:rsidR="00142A07" w:rsidRPr="006B5F4F" w:rsidRDefault="00142A07" w:rsidP="00142A07">
            <w:pPr>
              <w:pStyle w:val="TableTextLeft"/>
              <w:spacing w:beforeLines="20" w:before="48" w:afterLines="20" w:after="48"/>
              <w:rPr>
                <w:rFonts w:cs="Arial"/>
                <w:color w:val="000000"/>
                <w:szCs w:val="16"/>
              </w:rPr>
            </w:pPr>
            <w:r w:rsidRPr="006B5F4F">
              <w:rPr>
                <w:rFonts w:cs="Arial"/>
                <w:szCs w:val="16"/>
              </w:rPr>
              <w:t>Eligible Indigenous persons</w:t>
            </w:r>
          </w:p>
        </w:tc>
        <w:tc>
          <w:tcPr>
            <w:tcW w:w="1559" w:type="dxa"/>
            <w:tcBorders>
              <w:top w:val="single" w:sz="2" w:space="0" w:color="BFBFBF"/>
              <w:bottom w:val="single" w:sz="2" w:space="0" w:color="BFBFBF"/>
            </w:tcBorders>
            <w:shd w:val="clear" w:color="auto" w:fill="auto"/>
            <w:vAlign w:val="center"/>
          </w:tcPr>
          <w:p w14:paraId="2FD66F94" w14:textId="2C645E11" w:rsidR="00142A07" w:rsidRPr="006B5F4F" w:rsidRDefault="00CC4AB1" w:rsidP="00142A07">
            <w:pPr>
              <w:pStyle w:val="TableTextLeft"/>
              <w:spacing w:beforeLines="20" w:before="48" w:afterLines="20" w:after="48"/>
              <w:jc w:val="right"/>
              <w:rPr>
                <w:rFonts w:cs="Arial"/>
                <w:color w:val="000000"/>
                <w:szCs w:val="16"/>
              </w:rPr>
            </w:pPr>
            <w:r w:rsidRPr="006B5F4F">
              <w:rPr>
                <w:rFonts w:cs="Arial"/>
                <w:szCs w:val="16"/>
              </w:rPr>
              <w:t>4.10</w:t>
            </w:r>
            <w:r w:rsidR="00142A07" w:rsidRPr="006B5F4F">
              <w:rPr>
                <w:rStyle w:val="CommentReference"/>
                <w:rFonts w:ascii="Book Antiqua" w:hAnsi="Book Antiqua"/>
                <w:lang w:eastAsia="x-none"/>
              </w:rPr>
              <w:t> </w:t>
            </w:r>
            <w:r w:rsidR="00142A07" w:rsidRPr="006B5F4F">
              <w:rPr>
                <w:rFonts w:cs="Arial"/>
                <w:szCs w:val="16"/>
              </w:rPr>
              <w:t>per cent*</w:t>
            </w:r>
          </w:p>
        </w:tc>
        <w:tc>
          <w:tcPr>
            <w:tcW w:w="1559" w:type="dxa"/>
            <w:tcBorders>
              <w:top w:val="single" w:sz="2" w:space="0" w:color="BFBFBF"/>
              <w:bottom w:val="single" w:sz="2" w:space="0" w:color="BFBFBF"/>
            </w:tcBorders>
            <w:shd w:val="clear" w:color="auto" w:fill="auto"/>
            <w:vAlign w:val="center"/>
          </w:tcPr>
          <w:p w14:paraId="50834D1E" w14:textId="4A379E17" w:rsidR="00142A07" w:rsidRPr="006B5F4F" w:rsidRDefault="00CC4AB1" w:rsidP="00142A07">
            <w:pPr>
              <w:pStyle w:val="TableTextLeft"/>
              <w:spacing w:beforeLines="20" w:before="48" w:afterLines="20" w:after="48"/>
              <w:jc w:val="right"/>
              <w:rPr>
                <w:rFonts w:cs="Arial"/>
                <w:color w:val="000000"/>
                <w:szCs w:val="16"/>
              </w:rPr>
            </w:pPr>
            <w:r w:rsidRPr="006B5F4F">
              <w:rPr>
                <w:rFonts w:cs="Arial"/>
                <w:szCs w:val="16"/>
              </w:rPr>
              <w:t>4.0</w:t>
            </w:r>
            <w:r w:rsidR="00142A07" w:rsidRPr="006B5F4F">
              <w:rPr>
                <w:rFonts w:cs="Arial"/>
                <w:szCs w:val="16"/>
              </w:rPr>
              <w:t>-</w:t>
            </w:r>
            <w:r w:rsidRPr="006B5F4F">
              <w:rPr>
                <w:rFonts w:cs="Arial"/>
                <w:szCs w:val="16"/>
              </w:rPr>
              <w:t>28.1</w:t>
            </w:r>
            <w:r w:rsidR="00142A07" w:rsidRPr="006B5F4F">
              <w:rPr>
                <w:rFonts w:cs="Arial"/>
                <w:szCs w:val="16"/>
              </w:rPr>
              <w:t> years*</w:t>
            </w:r>
          </w:p>
        </w:tc>
        <w:tc>
          <w:tcPr>
            <w:tcW w:w="1276" w:type="dxa"/>
            <w:tcBorders>
              <w:top w:val="single" w:sz="2" w:space="0" w:color="BFBFBF"/>
              <w:bottom w:val="single" w:sz="2" w:space="0" w:color="BFBFBF"/>
            </w:tcBorders>
            <w:vAlign w:val="center"/>
          </w:tcPr>
          <w:p w14:paraId="58325542" w14:textId="5ECCDB35" w:rsidR="00142A07" w:rsidRPr="006B5F4F" w:rsidRDefault="00CC4AB1" w:rsidP="00142A07">
            <w:pPr>
              <w:pStyle w:val="TableTextLeft"/>
              <w:spacing w:beforeLines="20" w:before="48" w:afterLines="20" w:after="48"/>
              <w:jc w:val="right"/>
              <w:rPr>
                <w:rFonts w:cs="Arial"/>
                <w:szCs w:val="16"/>
              </w:rPr>
            </w:pPr>
            <w:r w:rsidRPr="006B5F4F">
              <w:rPr>
                <w:rFonts w:cs="Arial"/>
                <w:szCs w:val="16"/>
              </w:rPr>
              <w:t>Modified</w:t>
            </w:r>
          </w:p>
        </w:tc>
      </w:tr>
      <w:tr w:rsidR="00010EEB" w:rsidRPr="006B5F4F" w14:paraId="464E5439" w14:textId="77777777" w:rsidTr="00831C54">
        <w:trPr>
          <w:trHeight w:val="105"/>
          <w:tblHeader/>
        </w:trPr>
        <w:tc>
          <w:tcPr>
            <w:tcW w:w="3969" w:type="dxa"/>
            <w:tcBorders>
              <w:top w:val="single" w:sz="2" w:space="0" w:color="BFBFBF"/>
              <w:bottom w:val="single" w:sz="2" w:space="0" w:color="BFBFBF"/>
            </w:tcBorders>
            <w:shd w:val="clear" w:color="auto" w:fill="E6E6E6"/>
            <w:vAlign w:val="center"/>
          </w:tcPr>
          <w:p w14:paraId="41324E2B" w14:textId="77777777" w:rsidR="00010EEB" w:rsidRPr="006B5F4F" w:rsidRDefault="00010EEB" w:rsidP="00C77802">
            <w:pPr>
              <w:pStyle w:val="TableColumnHeadingLeft"/>
              <w:spacing w:beforeLines="10" w:before="24" w:afterLines="10" w:after="24"/>
            </w:pPr>
            <w:r w:rsidRPr="006B5F4F">
              <w:t>Department of the Treasury</w:t>
            </w:r>
          </w:p>
        </w:tc>
        <w:tc>
          <w:tcPr>
            <w:tcW w:w="1077" w:type="dxa"/>
            <w:tcBorders>
              <w:top w:val="single" w:sz="2" w:space="0" w:color="BFBFBF"/>
              <w:bottom w:val="single" w:sz="2" w:space="0" w:color="BFBFBF"/>
            </w:tcBorders>
            <w:shd w:val="clear" w:color="auto" w:fill="E6E6E6"/>
            <w:vAlign w:val="center"/>
          </w:tcPr>
          <w:p w14:paraId="41EDA4AF" w14:textId="77777777" w:rsidR="00010EEB" w:rsidRPr="006B5F4F" w:rsidRDefault="00010EEB" w:rsidP="00C77802">
            <w:pPr>
              <w:pStyle w:val="TableColumnHeadingCentred"/>
              <w:spacing w:beforeLines="10" w:before="24" w:afterLines="10" w:after="24"/>
            </w:pPr>
          </w:p>
        </w:tc>
        <w:tc>
          <w:tcPr>
            <w:tcW w:w="2438" w:type="dxa"/>
            <w:tcBorders>
              <w:top w:val="single" w:sz="2" w:space="0" w:color="BFBFBF"/>
              <w:bottom w:val="single" w:sz="2" w:space="0" w:color="BFBFBF"/>
            </w:tcBorders>
            <w:shd w:val="clear" w:color="auto" w:fill="E6E6E6"/>
            <w:vAlign w:val="center"/>
          </w:tcPr>
          <w:p w14:paraId="54D397FA" w14:textId="77777777" w:rsidR="00010EEB" w:rsidRPr="006B5F4F" w:rsidRDefault="00010EEB" w:rsidP="00C77802">
            <w:pPr>
              <w:pStyle w:val="TableColumnHeadingLeft"/>
              <w:spacing w:beforeLines="10" w:before="24" w:afterLines="10" w:after="24"/>
            </w:pPr>
          </w:p>
        </w:tc>
        <w:tc>
          <w:tcPr>
            <w:tcW w:w="1559" w:type="dxa"/>
            <w:tcBorders>
              <w:top w:val="single" w:sz="2" w:space="0" w:color="BFBFBF"/>
              <w:bottom w:val="single" w:sz="2" w:space="0" w:color="BFBFBF"/>
            </w:tcBorders>
            <w:shd w:val="clear" w:color="auto" w:fill="E6E6E6"/>
            <w:vAlign w:val="center"/>
          </w:tcPr>
          <w:p w14:paraId="547A39D2" w14:textId="77777777" w:rsidR="00010EEB" w:rsidRPr="006B5F4F" w:rsidRDefault="00010EEB" w:rsidP="00C77802">
            <w:pPr>
              <w:pStyle w:val="TableColumnHeadingLeft"/>
              <w:spacing w:beforeLines="10" w:before="24" w:afterLines="10" w:after="24"/>
            </w:pPr>
          </w:p>
        </w:tc>
        <w:tc>
          <w:tcPr>
            <w:tcW w:w="1559" w:type="dxa"/>
            <w:tcBorders>
              <w:top w:val="single" w:sz="2" w:space="0" w:color="BFBFBF"/>
              <w:bottom w:val="single" w:sz="2" w:space="0" w:color="BFBFBF"/>
            </w:tcBorders>
            <w:shd w:val="clear" w:color="auto" w:fill="E6E6E6"/>
            <w:vAlign w:val="center"/>
          </w:tcPr>
          <w:p w14:paraId="70090B9F" w14:textId="77777777" w:rsidR="00010EEB" w:rsidRPr="006B5F4F" w:rsidRDefault="00010EEB" w:rsidP="00C77802">
            <w:pPr>
              <w:pStyle w:val="TableColumnHeadingLeft"/>
              <w:spacing w:beforeLines="10" w:before="24" w:afterLines="10" w:after="24"/>
            </w:pPr>
          </w:p>
        </w:tc>
        <w:tc>
          <w:tcPr>
            <w:tcW w:w="1276" w:type="dxa"/>
            <w:tcBorders>
              <w:top w:val="single" w:sz="2" w:space="0" w:color="BFBFBF"/>
              <w:bottom w:val="single" w:sz="2" w:space="0" w:color="BFBFBF"/>
            </w:tcBorders>
            <w:shd w:val="clear" w:color="auto" w:fill="E6E6E6"/>
            <w:vAlign w:val="bottom"/>
          </w:tcPr>
          <w:p w14:paraId="260FC6E7" w14:textId="77777777" w:rsidR="00010EEB" w:rsidRPr="006B5F4F" w:rsidRDefault="00010EEB" w:rsidP="00C77802">
            <w:pPr>
              <w:pStyle w:val="TableColumnHeadingLeft"/>
              <w:spacing w:beforeLines="10" w:before="24" w:afterLines="10" w:after="24"/>
            </w:pPr>
          </w:p>
        </w:tc>
      </w:tr>
      <w:tr w:rsidR="00010EEB" w:rsidRPr="006B5F4F" w14:paraId="26715451" w14:textId="77777777" w:rsidTr="00C77802">
        <w:trPr>
          <w:trHeight w:val="20"/>
        </w:trPr>
        <w:tc>
          <w:tcPr>
            <w:tcW w:w="3969" w:type="dxa"/>
            <w:tcBorders>
              <w:top w:val="single" w:sz="2" w:space="0" w:color="BFBFBF"/>
              <w:left w:val="nil"/>
              <w:bottom w:val="single" w:sz="2" w:space="0" w:color="BFBFBF"/>
            </w:tcBorders>
            <w:shd w:val="clear" w:color="auto" w:fill="auto"/>
            <w:vAlign w:val="center"/>
          </w:tcPr>
          <w:p w14:paraId="4601F369" w14:textId="77777777" w:rsidR="00010EEB" w:rsidRPr="006B5F4F" w:rsidRDefault="00010EEB" w:rsidP="00C77802">
            <w:pPr>
              <w:pStyle w:val="TableTextLeft"/>
              <w:spacing w:beforeLines="20" w:before="48" w:afterLines="20" w:after="48"/>
              <w:rPr>
                <w:rFonts w:cs="Arial"/>
                <w:szCs w:val="16"/>
              </w:rPr>
            </w:pPr>
            <w:r w:rsidRPr="006B5F4F">
              <w:rPr>
                <w:rFonts w:cs="Arial"/>
                <w:szCs w:val="16"/>
              </w:rPr>
              <w:t>International Monetary Fund New Arrangements to Borrow</w:t>
            </w:r>
          </w:p>
        </w:tc>
        <w:tc>
          <w:tcPr>
            <w:tcW w:w="1077" w:type="dxa"/>
            <w:tcBorders>
              <w:top w:val="single" w:sz="2" w:space="0" w:color="BFBFBF"/>
              <w:bottom w:val="single" w:sz="2" w:space="0" w:color="BFBFBF"/>
            </w:tcBorders>
            <w:shd w:val="clear" w:color="auto" w:fill="auto"/>
            <w:vAlign w:val="center"/>
          </w:tcPr>
          <w:p w14:paraId="53E3E1C7" w14:textId="77777777" w:rsidR="00010EEB" w:rsidRPr="006B5F4F" w:rsidRDefault="00010EEB" w:rsidP="00C77802">
            <w:pPr>
              <w:pStyle w:val="TableTextLeft"/>
              <w:tabs>
                <w:tab w:val="left" w:pos="885"/>
              </w:tabs>
              <w:spacing w:beforeLines="20" w:before="48" w:afterLines="20" w:after="48"/>
              <w:ind w:right="175"/>
              <w:jc w:val="right"/>
              <w:rPr>
                <w:rFonts w:cs="Arial"/>
                <w:szCs w:val="16"/>
              </w:rPr>
            </w:pPr>
            <w:r w:rsidRPr="006B5F4F">
              <w:rPr>
                <w:rFonts w:cs="Arial"/>
                <w:szCs w:val="16"/>
              </w:rPr>
              <w:t>474</w:t>
            </w:r>
          </w:p>
        </w:tc>
        <w:tc>
          <w:tcPr>
            <w:tcW w:w="2438" w:type="dxa"/>
            <w:tcBorders>
              <w:top w:val="single" w:sz="2" w:space="0" w:color="BFBFBF"/>
              <w:bottom w:val="single" w:sz="2" w:space="0" w:color="BFBFBF"/>
            </w:tcBorders>
            <w:shd w:val="clear" w:color="auto" w:fill="auto"/>
            <w:vAlign w:val="center"/>
          </w:tcPr>
          <w:p w14:paraId="685978F1" w14:textId="77777777" w:rsidR="00010EEB" w:rsidRPr="006B5F4F" w:rsidRDefault="00010EEB" w:rsidP="00C77802">
            <w:pPr>
              <w:pStyle w:val="TableTextLeft"/>
              <w:spacing w:beforeLines="20" w:before="48" w:afterLines="20" w:after="48"/>
              <w:rPr>
                <w:rFonts w:cs="Arial"/>
                <w:szCs w:val="16"/>
              </w:rPr>
            </w:pPr>
            <w:r w:rsidRPr="006B5F4F">
              <w:rPr>
                <w:rFonts w:cs="Arial"/>
                <w:szCs w:val="16"/>
              </w:rPr>
              <w:t>International Monetary Fund</w:t>
            </w:r>
          </w:p>
        </w:tc>
        <w:tc>
          <w:tcPr>
            <w:tcW w:w="1559" w:type="dxa"/>
            <w:tcBorders>
              <w:top w:val="single" w:sz="2" w:space="0" w:color="BFBFBF"/>
              <w:bottom w:val="single" w:sz="2" w:space="0" w:color="BFBFBF"/>
            </w:tcBorders>
            <w:shd w:val="clear" w:color="auto" w:fill="auto"/>
            <w:vAlign w:val="center"/>
          </w:tcPr>
          <w:p w14:paraId="4B8193BC" w14:textId="77777777" w:rsidR="00010EEB" w:rsidRPr="006B5F4F" w:rsidRDefault="00010EEB" w:rsidP="00C77802">
            <w:pPr>
              <w:pStyle w:val="TableTextLeft"/>
              <w:spacing w:beforeLines="20" w:before="48" w:afterLines="20" w:after="48"/>
              <w:ind w:left="33" w:firstLine="142"/>
              <w:jc w:val="right"/>
              <w:rPr>
                <w:rFonts w:cs="Arial"/>
                <w:szCs w:val="16"/>
              </w:rPr>
            </w:pPr>
            <w:r w:rsidRPr="006B5F4F">
              <w:rPr>
                <w:rFonts w:cs="Arial"/>
                <w:szCs w:val="16"/>
              </w:rPr>
              <w:t xml:space="preserve">0.628 per cent </w:t>
            </w:r>
          </w:p>
        </w:tc>
        <w:tc>
          <w:tcPr>
            <w:tcW w:w="1559" w:type="dxa"/>
            <w:tcBorders>
              <w:top w:val="single" w:sz="2" w:space="0" w:color="BFBFBF"/>
              <w:bottom w:val="single" w:sz="2" w:space="0" w:color="BFBFBF"/>
            </w:tcBorders>
            <w:shd w:val="clear" w:color="auto" w:fill="auto"/>
            <w:vAlign w:val="center"/>
          </w:tcPr>
          <w:p w14:paraId="450D7980" w14:textId="77777777" w:rsidR="00010EEB" w:rsidRPr="006B5F4F" w:rsidRDefault="00010EEB" w:rsidP="00C77802">
            <w:pPr>
              <w:pStyle w:val="TableTextLeft"/>
              <w:spacing w:beforeLines="20" w:before="48" w:afterLines="20" w:after="48"/>
              <w:jc w:val="right"/>
              <w:rPr>
                <w:rFonts w:cs="Arial"/>
                <w:szCs w:val="16"/>
              </w:rPr>
            </w:pPr>
            <w:r w:rsidRPr="006B5F4F">
              <w:rPr>
                <w:rFonts w:cs="Arial"/>
                <w:szCs w:val="16"/>
              </w:rPr>
              <w:t>10 years</w:t>
            </w:r>
          </w:p>
        </w:tc>
        <w:tc>
          <w:tcPr>
            <w:tcW w:w="1276" w:type="dxa"/>
            <w:tcBorders>
              <w:bottom w:val="single" w:sz="2" w:space="0" w:color="BFBFBF"/>
            </w:tcBorders>
            <w:vAlign w:val="center"/>
          </w:tcPr>
          <w:p w14:paraId="30FAF40D" w14:textId="77777777" w:rsidR="00010EEB" w:rsidRPr="006B5F4F" w:rsidRDefault="00010EEB" w:rsidP="00C77802">
            <w:pPr>
              <w:pStyle w:val="TableTextLeft"/>
              <w:spacing w:beforeLines="20" w:before="48" w:afterLines="20" w:after="48"/>
              <w:jc w:val="right"/>
              <w:rPr>
                <w:rFonts w:cs="Arial"/>
                <w:szCs w:val="16"/>
              </w:rPr>
            </w:pPr>
            <w:r w:rsidRPr="006B5F4F">
              <w:rPr>
                <w:rFonts w:cs="Arial"/>
                <w:szCs w:val="16"/>
              </w:rPr>
              <w:t>Modified</w:t>
            </w:r>
          </w:p>
        </w:tc>
      </w:tr>
    </w:tbl>
    <w:p w14:paraId="622A7C59" w14:textId="08F60263" w:rsidR="00A80E10" w:rsidRPr="006B5F4F" w:rsidRDefault="006345D8" w:rsidP="00010EEB">
      <w:pPr>
        <w:pStyle w:val="TableHeadingcontinued"/>
      </w:pPr>
      <w:r w:rsidRPr="006B5F4F">
        <w:lastRenderedPageBreak/>
        <w:t>Table C2: Summary of material changes to Australian Government loans exceeding $200 million since</w:t>
      </w:r>
      <w:r w:rsidR="00890CC9" w:rsidRPr="006B5F4F">
        <w:t xml:space="preserve"> the</w:t>
      </w:r>
      <w:r w:rsidRPr="006B5F4F">
        <w:t xml:space="preserve"> </w:t>
      </w:r>
      <w:r w:rsidR="00BE0AE2" w:rsidRPr="006B5F4F">
        <w:t>2017-18</w:t>
      </w:r>
      <w:r w:rsidRPr="006B5F4F">
        <w:t xml:space="preserve"> Budget</w:t>
      </w:r>
      <w:r w:rsidR="00890CC9" w:rsidRPr="006B5F4F">
        <w:rPr>
          <w:vertAlign w:val="superscript"/>
        </w:rPr>
        <w:t xml:space="preserve"> </w:t>
      </w:r>
      <w:r w:rsidR="00890CC9" w:rsidRPr="006B5F4F">
        <w:t>(continued)</w:t>
      </w:r>
    </w:p>
    <w:tbl>
      <w:tblPr>
        <w:tblW w:w="11878" w:type="dxa"/>
        <w:tblInd w:w="108" w:type="dxa"/>
        <w:tblBorders>
          <w:top w:val="dotted" w:sz="4" w:space="0" w:color="auto"/>
          <w:bottom w:val="dotted" w:sz="4" w:space="0" w:color="auto"/>
          <w:insideH w:val="dotted" w:sz="4" w:space="0" w:color="auto"/>
        </w:tblBorders>
        <w:tblLayout w:type="fixed"/>
        <w:tblLook w:val="04A0" w:firstRow="1" w:lastRow="0" w:firstColumn="1" w:lastColumn="0" w:noHBand="0" w:noVBand="1"/>
      </w:tblPr>
      <w:tblGrid>
        <w:gridCol w:w="3969"/>
        <w:gridCol w:w="1077"/>
        <w:gridCol w:w="2438"/>
        <w:gridCol w:w="1559"/>
        <w:gridCol w:w="1559"/>
        <w:gridCol w:w="1276"/>
      </w:tblGrid>
      <w:tr w:rsidR="006345D8" w:rsidRPr="006B5F4F" w14:paraId="26999362" w14:textId="77777777" w:rsidTr="001011B4">
        <w:trPr>
          <w:trHeight w:val="20"/>
          <w:tblHeader/>
        </w:trPr>
        <w:tc>
          <w:tcPr>
            <w:tcW w:w="3969" w:type="dxa"/>
            <w:tcBorders>
              <w:top w:val="single" w:sz="2" w:space="0" w:color="BFBFBF"/>
              <w:bottom w:val="single" w:sz="2" w:space="0" w:color="BFBFBF"/>
            </w:tcBorders>
            <w:shd w:val="clear" w:color="auto" w:fill="E6E6E6"/>
            <w:vAlign w:val="center"/>
          </w:tcPr>
          <w:p w14:paraId="1A32A728" w14:textId="77777777" w:rsidR="00477F75" w:rsidRPr="006B5F4F" w:rsidRDefault="00E617BC" w:rsidP="00780FF6">
            <w:pPr>
              <w:pStyle w:val="TableColumnHeadingLeft"/>
              <w:spacing w:beforeLines="20" w:before="48" w:afterLines="20" w:after="48"/>
              <w:rPr>
                <w:rFonts w:cs="Arial"/>
                <w:color w:val="000000"/>
              </w:rPr>
            </w:pPr>
            <w:r w:rsidRPr="006B5F4F">
              <w:t>Entity</w:t>
            </w:r>
          </w:p>
        </w:tc>
        <w:tc>
          <w:tcPr>
            <w:tcW w:w="1077" w:type="dxa"/>
            <w:tcBorders>
              <w:top w:val="single" w:sz="2" w:space="0" w:color="BFBFBF"/>
              <w:bottom w:val="single" w:sz="2" w:space="0" w:color="BFBFBF"/>
            </w:tcBorders>
            <w:shd w:val="clear" w:color="auto" w:fill="E6E6E6"/>
            <w:vAlign w:val="center"/>
          </w:tcPr>
          <w:p w14:paraId="24435C7C" w14:textId="4B15F2FE" w:rsidR="006345D8" w:rsidRPr="006B5F4F" w:rsidRDefault="006345D8" w:rsidP="007560F5">
            <w:pPr>
              <w:pStyle w:val="TableColumnHeadingCentred"/>
              <w:rPr>
                <w:sz w:val="18"/>
                <w:szCs w:val="18"/>
                <w:vertAlign w:val="superscript"/>
              </w:rPr>
            </w:pPr>
            <w:r w:rsidRPr="006B5F4F">
              <w:t>Loan amount</w:t>
            </w:r>
            <w:r w:rsidRPr="006B5F4F">
              <w:rPr>
                <w:sz w:val="18"/>
                <w:szCs w:val="18"/>
                <w:vertAlign w:val="superscript"/>
              </w:rPr>
              <w:t xml:space="preserve"> </w:t>
            </w:r>
            <w:r w:rsidR="00A03B57" w:rsidRPr="006B5F4F">
              <w:rPr>
                <w:sz w:val="18"/>
                <w:szCs w:val="18"/>
                <w:vertAlign w:val="superscript"/>
              </w:rPr>
              <w:t xml:space="preserve">(a) </w:t>
            </w:r>
            <w:r w:rsidRPr="006B5F4F">
              <w:rPr>
                <w:szCs w:val="16"/>
              </w:rPr>
              <w:t>($m)</w:t>
            </w:r>
          </w:p>
        </w:tc>
        <w:tc>
          <w:tcPr>
            <w:tcW w:w="2438" w:type="dxa"/>
            <w:tcBorders>
              <w:top w:val="single" w:sz="2" w:space="0" w:color="BFBFBF"/>
              <w:bottom w:val="single" w:sz="2" w:space="0" w:color="BFBFBF"/>
            </w:tcBorders>
            <w:shd w:val="clear" w:color="auto" w:fill="E6E6E6"/>
            <w:vAlign w:val="center"/>
          </w:tcPr>
          <w:p w14:paraId="473FC84E" w14:textId="77777777" w:rsidR="00477F75" w:rsidRPr="006B5F4F" w:rsidRDefault="006345D8" w:rsidP="00780FF6">
            <w:pPr>
              <w:pStyle w:val="TableColumnHeadingLeft"/>
              <w:spacing w:beforeLines="20" w:before="48" w:afterLines="20" w:after="48"/>
              <w:rPr>
                <w:rFonts w:cs="Arial"/>
                <w:color w:val="000000"/>
              </w:rPr>
            </w:pPr>
            <w:r w:rsidRPr="006B5F4F">
              <w:t>Borrower</w:t>
            </w:r>
          </w:p>
        </w:tc>
        <w:tc>
          <w:tcPr>
            <w:tcW w:w="1559" w:type="dxa"/>
            <w:tcBorders>
              <w:top w:val="single" w:sz="2" w:space="0" w:color="BFBFBF"/>
              <w:bottom w:val="single" w:sz="2" w:space="0" w:color="BFBFBF"/>
            </w:tcBorders>
            <w:shd w:val="clear" w:color="auto" w:fill="E6E6E6"/>
            <w:vAlign w:val="center"/>
          </w:tcPr>
          <w:p w14:paraId="74F42835" w14:textId="77777777" w:rsidR="00477F75" w:rsidRPr="006B5F4F" w:rsidRDefault="006345D8" w:rsidP="00780FF6">
            <w:pPr>
              <w:pStyle w:val="TableColumnHeadingLeft"/>
              <w:spacing w:beforeLines="20" w:before="48" w:afterLines="20" w:after="48"/>
              <w:jc w:val="right"/>
              <w:rPr>
                <w:rFonts w:cs="Arial"/>
                <w:color w:val="000000"/>
              </w:rPr>
            </w:pPr>
            <w:r w:rsidRPr="006B5F4F">
              <w:t>Interest rate</w:t>
            </w:r>
          </w:p>
        </w:tc>
        <w:tc>
          <w:tcPr>
            <w:tcW w:w="1559" w:type="dxa"/>
            <w:tcBorders>
              <w:top w:val="single" w:sz="2" w:space="0" w:color="BFBFBF"/>
              <w:bottom w:val="single" w:sz="2" w:space="0" w:color="BFBFBF"/>
            </w:tcBorders>
            <w:shd w:val="clear" w:color="auto" w:fill="E6E6E6"/>
            <w:vAlign w:val="center"/>
          </w:tcPr>
          <w:p w14:paraId="55B76B38" w14:textId="77777777" w:rsidR="00477F75" w:rsidRPr="006B5F4F" w:rsidRDefault="006345D8" w:rsidP="00780FF6">
            <w:pPr>
              <w:pStyle w:val="TableColumnHeadingLeft"/>
              <w:spacing w:beforeLines="20" w:before="48" w:afterLines="20" w:after="48"/>
              <w:jc w:val="right"/>
              <w:rPr>
                <w:rFonts w:cs="Arial"/>
                <w:color w:val="000000"/>
              </w:rPr>
            </w:pPr>
            <w:r w:rsidRPr="006B5F4F">
              <w:t>Term</w:t>
            </w:r>
          </w:p>
        </w:tc>
        <w:tc>
          <w:tcPr>
            <w:tcW w:w="1276" w:type="dxa"/>
            <w:tcBorders>
              <w:top w:val="single" w:sz="2" w:space="0" w:color="BFBFBF"/>
              <w:bottom w:val="single" w:sz="2" w:space="0" w:color="BFBFBF"/>
            </w:tcBorders>
            <w:shd w:val="clear" w:color="auto" w:fill="E6E6E6"/>
            <w:vAlign w:val="bottom"/>
          </w:tcPr>
          <w:p w14:paraId="789927D2" w14:textId="77777777" w:rsidR="006345D8" w:rsidRPr="006B5F4F" w:rsidRDefault="006345D8" w:rsidP="0035740F">
            <w:pPr>
              <w:ind w:left="176" w:hanging="176"/>
              <w:jc w:val="right"/>
            </w:pPr>
            <w:r w:rsidRPr="006B5F4F">
              <w:rPr>
                <w:rFonts w:ascii="Arial Bold" w:hAnsi="Arial Bold"/>
                <w:b/>
                <w:sz w:val="16"/>
              </w:rPr>
              <w:t>Status</w:t>
            </w:r>
          </w:p>
        </w:tc>
      </w:tr>
      <w:tr w:rsidR="00897E7B" w:rsidRPr="006B5F4F" w14:paraId="07311628" w14:textId="77777777" w:rsidTr="00616ED1">
        <w:trPr>
          <w:trHeight w:val="20"/>
        </w:trPr>
        <w:tc>
          <w:tcPr>
            <w:tcW w:w="11878" w:type="dxa"/>
            <w:gridSpan w:val="6"/>
            <w:tcBorders>
              <w:top w:val="single" w:sz="2" w:space="0" w:color="BFBFBF"/>
              <w:left w:val="nil"/>
              <w:bottom w:val="single" w:sz="2" w:space="0" w:color="BFBFBF"/>
            </w:tcBorders>
            <w:shd w:val="pct10" w:color="auto" w:fill="FFFFFF"/>
            <w:vAlign w:val="center"/>
          </w:tcPr>
          <w:p w14:paraId="7C955028" w14:textId="77777777" w:rsidR="00897E7B" w:rsidRPr="006B5F4F" w:rsidRDefault="00897E7B" w:rsidP="00010EEB">
            <w:pPr>
              <w:pStyle w:val="TableColumnHeadingLeft"/>
              <w:spacing w:beforeLines="10" w:before="24" w:afterLines="10" w:after="24"/>
              <w:rPr>
                <w:rFonts w:cs="Arial"/>
                <w:szCs w:val="16"/>
              </w:rPr>
            </w:pPr>
            <w:r w:rsidRPr="006B5F4F">
              <w:rPr>
                <w:rFonts w:ascii="Arial" w:hAnsi="Arial" w:cs="Arial"/>
                <w:szCs w:val="16"/>
              </w:rPr>
              <w:t>Department of Education and Training</w:t>
            </w:r>
          </w:p>
        </w:tc>
      </w:tr>
      <w:tr w:rsidR="00897E7B" w:rsidRPr="006B5F4F" w14:paraId="3EB01629" w14:textId="77777777" w:rsidTr="00616ED1">
        <w:trPr>
          <w:trHeight w:val="20"/>
        </w:trPr>
        <w:tc>
          <w:tcPr>
            <w:tcW w:w="3969" w:type="dxa"/>
            <w:tcBorders>
              <w:top w:val="single" w:sz="2" w:space="0" w:color="BFBFBF"/>
              <w:left w:val="nil"/>
              <w:bottom w:val="single" w:sz="2" w:space="0" w:color="BFBFBF"/>
            </w:tcBorders>
            <w:shd w:val="clear" w:color="auto" w:fill="auto"/>
            <w:vAlign w:val="center"/>
          </w:tcPr>
          <w:p w14:paraId="012BA752" w14:textId="77777777" w:rsidR="00897E7B" w:rsidRPr="006B5F4F" w:rsidRDefault="00897E7B" w:rsidP="00616ED1">
            <w:pPr>
              <w:pStyle w:val="TableTextLeft"/>
              <w:spacing w:beforeLines="20" w:before="48" w:afterLines="20" w:after="48"/>
              <w:rPr>
                <w:rFonts w:cs="Arial"/>
                <w:szCs w:val="16"/>
              </w:rPr>
            </w:pPr>
            <w:r w:rsidRPr="006B5F4F">
              <w:rPr>
                <w:rFonts w:cs="Arial"/>
                <w:szCs w:val="16"/>
              </w:rPr>
              <w:t>Trade Support Loans Program</w:t>
            </w:r>
          </w:p>
        </w:tc>
        <w:tc>
          <w:tcPr>
            <w:tcW w:w="1077" w:type="dxa"/>
            <w:tcBorders>
              <w:top w:val="single" w:sz="2" w:space="0" w:color="BFBFBF"/>
              <w:bottom w:val="single" w:sz="2" w:space="0" w:color="BFBFBF"/>
            </w:tcBorders>
            <w:shd w:val="clear" w:color="auto" w:fill="auto"/>
            <w:vAlign w:val="center"/>
          </w:tcPr>
          <w:p w14:paraId="02BE9D67" w14:textId="6186C0DD" w:rsidR="00897E7B" w:rsidRPr="006B5F4F" w:rsidRDefault="00A80E10" w:rsidP="00616ED1">
            <w:pPr>
              <w:pStyle w:val="TableTextLeft"/>
              <w:tabs>
                <w:tab w:val="left" w:pos="885"/>
              </w:tabs>
              <w:spacing w:beforeLines="20" w:before="48" w:afterLines="20" w:after="48"/>
              <w:ind w:right="175"/>
              <w:jc w:val="right"/>
              <w:rPr>
                <w:rFonts w:cs="Arial"/>
                <w:color w:val="000000"/>
                <w:szCs w:val="16"/>
              </w:rPr>
            </w:pPr>
            <w:r w:rsidRPr="006B5F4F">
              <w:rPr>
                <w:rFonts w:cs="Arial"/>
                <w:color w:val="000000"/>
                <w:szCs w:val="16"/>
              </w:rPr>
              <w:t>410</w:t>
            </w:r>
          </w:p>
        </w:tc>
        <w:tc>
          <w:tcPr>
            <w:tcW w:w="2438" w:type="dxa"/>
            <w:tcBorders>
              <w:top w:val="single" w:sz="2" w:space="0" w:color="BFBFBF"/>
              <w:bottom w:val="single" w:sz="2" w:space="0" w:color="BFBFBF"/>
            </w:tcBorders>
            <w:shd w:val="clear" w:color="auto" w:fill="auto"/>
            <w:vAlign w:val="center"/>
          </w:tcPr>
          <w:p w14:paraId="65A93D20" w14:textId="77777777" w:rsidR="00897E7B" w:rsidRPr="006B5F4F" w:rsidRDefault="00897E7B" w:rsidP="00616ED1">
            <w:pPr>
              <w:pStyle w:val="TableTextLeft"/>
              <w:spacing w:beforeLines="20" w:before="48" w:afterLines="20" w:after="48"/>
              <w:rPr>
                <w:rFonts w:cs="Arial"/>
                <w:szCs w:val="16"/>
              </w:rPr>
            </w:pPr>
            <w:r w:rsidRPr="006B5F4F">
              <w:rPr>
                <w:rFonts w:cs="Arial"/>
                <w:szCs w:val="16"/>
              </w:rPr>
              <w:t>Eligible Australian Apprentices</w:t>
            </w:r>
          </w:p>
        </w:tc>
        <w:tc>
          <w:tcPr>
            <w:tcW w:w="1559" w:type="dxa"/>
            <w:tcBorders>
              <w:top w:val="single" w:sz="2" w:space="0" w:color="BFBFBF"/>
              <w:bottom w:val="single" w:sz="2" w:space="0" w:color="BFBFBF"/>
            </w:tcBorders>
            <w:shd w:val="clear" w:color="auto" w:fill="auto"/>
            <w:vAlign w:val="center"/>
          </w:tcPr>
          <w:p w14:paraId="289AEF9F" w14:textId="77777777" w:rsidR="00897E7B" w:rsidRPr="006B5F4F" w:rsidRDefault="00897E7B" w:rsidP="00616ED1">
            <w:pPr>
              <w:pStyle w:val="TableTextLeft"/>
              <w:spacing w:beforeLines="20" w:before="48" w:afterLines="20" w:after="48"/>
              <w:jc w:val="right"/>
              <w:rPr>
                <w:rFonts w:cs="Arial"/>
                <w:szCs w:val="16"/>
              </w:rPr>
            </w:pPr>
            <w:r w:rsidRPr="006B5F4F">
              <w:rPr>
                <w:rFonts w:cs="Arial"/>
                <w:szCs w:val="16"/>
              </w:rPr>
              <w:t>Consumer Price Index (CPI)</w:t>
            </w:r>
          </w:p>
        </w:tc>
        <w:tc>
          <w:tcPr>
            <w:tcW w:w="1559" w:type="dxa"/>
            <w:tcBorders>
              <w:top w:val="single" w:sz="2" w:space="0" w:color="BFBFBF"/>
              <w:bottom w:val="single" w:sz="2" w:space="0" w:color="BFBFBF"/>
            </w:tcBorders>
            <w:shd w:val="clear" w:color="auto" w:fill="auto"/>
            <w:vAlign w:val="center"/>
          </w:tcPr>
          <w:p w14:paraId="5AE75CB5" w14:textId="77777777" w:rsidR="00897E7B" w:rsidRPr="006B5F4F" w:rsidRDefault="00897E7B" w:rsidP="00616ED1">
            <w:pPr>
              <w:pStyle w:val="TableTextLeft"/>
              <w:spacing w:beforeLines="20" w:before="48" w:afterLines="20" w:after="48"/>
              <w:jc w:val="right"/>
              <w:rPr>
                <w:rFonts w:cs="Arial"/>
                <w:szCs w:val="16"/>
              </w:rPr>
            </w:pPr>
            <w:r w:rsidRPr="006B5F4F">
              <w:rPr>
                <w:rFonts w:cs="Arial"/>
                <w:szCs w:val="16"/>
              </w:rPr>
              <w:t xml:space="preserve">— </w:t>
            </w:r>
            <w:r w:rsidRPr="006B5F4F">
              <w:rPr>
                <w:rFonts w:cs="Arial"/>
                <w:szCs w:val="16"/>
                <w:vertAlign w:val="superscript"/>
              </w:rPr>
              <w:t>#</w:t>
            </w:r>
          </w:p>
        </w:tc>
        <w:tc>
          <w:tcPr>
            <w:tcW w:w="1276" w:type="dxa"/>
            <w:tcBorders>
              <w:top w:val="single" w:sz="2" w:space="0" w:color="BFBFBF"/>
              <w:bottom w:val="single" w:sz="2" w:space="0" w:color="BFBFBF"/>
            </w:tcBorders>
            <w:vAlign w:val="center"/>
          </w:tcPr>
          <w:p w14:paraId="78DC8390" w14:textId="77777777" w:rsidR="00897E7B" w:rsidRPr="006B5F4F" w:rsidRDefault="00897E7B" w:rsidP="00616ED1">
            <w:pPr>
              <w:pStyle w:val="TableTextLeft"/>
              <w:spacing w:beforeLines="20" w:before="48" w:afterLines="20" w:after="48"/>
              <w:jc w:val="right"/>
              <w:rPr>
                <w:rFonts w:cs="Arial"/>
                <w:color w:val="000000"/>
                <w:szCs w:val="16"/>
              </w:rPr>
            </w:pPr>
            <w:r w:rsidRPr="006B5F4F">
              <w:rPr>
                <w:rFonts w:cs="Arial"/>
                <w:color w:val="000000"/>
                <w:szCs w:val="16"/>
              </w:rPr>
              <w:t>Modified</w:t>
            </w:r>
          </w:p>
        </w:tc>
      </w:tr>
      <w:tr w:rsidR="00345D93" w:rsidRPr="006B5F4F" w14:paraId="477CEB39" w14:textId="77777777" w:rsidTr="003E1352">
        <w:trPr>
          <w:trHeight w:val="20"/>
        </w:trPr>
        <w:tc>
          <w:tcPr>
            <w:tcW w:w="11878" w:type="dxa"/>
            <w:gridSpan w:val="6"/>
            <w:tcBorders>
              <w:top w:val="single" w:sz="2" w:space="0" w:color="BFBFBF"/>
              <w:left w:val="nil"/>
              <w:bottom w:val="single" w:sz="2" w:space="0" w:color="BFBFBF"/>
            </w:tcBorders>
            <w:shd w:val="clear" w:color="auto" w:fill="EBEBEB"/>
            <w:vAlign w:val="center"/>
          </w:tcPr>
          <w:p w14:paraId="4989D353" w14:textId="77777777" w:rsidR="00345D93" w:rsidRPr="006B5F4F" w:rsidRDefault="00345D93" w:rsidP="00010EEB">
            <w:pPr>
              <w:pStyle w:val="TableColumnHeadingLeft"/>
              <w:spacing w:beforeLines="10" w:before="24" w:afterLines="10" w:after="24"/>
              <w:rPr>
                <w:rFonts w:ascii="Arial" w:hAnsi="Arial" w:cs="Arial"/>
                <w:szCs w:val="16"/>
              </w:rPr>
            </w:pPr>
            <w:r w:rsidRPr="006B5F4F">
              <w:rPr>
                <w:rFonts w:ascii="Arial" w:hAnsi="Arial" w:cs="Arial"/>
                <w:szCs w:val="16"/>
              </w:rPr>
              <w:t>Department of Social Services</w:t>
            </w:r>
          </w:p>
        </w:tc>
      </w:tr>
      <w:tr w:rsidR="00345D93" w:rsidRPr="006B5F4F" w14:paraId="5ED75129"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1E58BBE8" w14:textId="77777777" w:rsidR="00345D93" w:rsidRPr="006B5F4F" w:rsidRDefault="00345D93" w:rsidP="00345D93">
            <w:pPr>
              <w:pStyle w:val="TableTextLeft"/>
              <w:spacing w:beforeLines="20" w:before="48" w:afterLines="20" w:after="48"/>
              <w:rPr>
                <w:rFonts w:cs="Arial"/>
                <w:szCs w:val="16"/>
              </w:rPr>
            </w:pPr>
            <w:r w:rsidRPr="006B5F4F">
              <w:rPr>
                <w:rFonts w:cs="Arial"/>
                <w:szCs w:val="16"/>
              </w:rPr>
              <w:t>Student Financial Supplement Scheme</w:t>
            </w:r>
          </w:p>
        </w:tc>
        <w:tc>
          <w:tcPr>
            <w:tcW w:w="1077" w:type="dxa"/>
            <w:tcBorders>
              <w:top w:val="single" w:sz="2" w:space="0" w:color="BFBFBF"/>
              <w:bottom w:val="single" w:sz="2" w:space="0" w:color="BFBFBF"/>
            </w:tcBorders>
            <w:shd w:val="clear" w:color="auto" w:fill="auto"/>
            <w:vAlign w:val="center"/>
          </w:tcPr>
          <w:p w14:paraId="4D2D70B9" w14:textId="09A1DC18" w:rsidR="00345D93" w:rsidRPr="006B5F4F" w:rsidRDefault="00473A85" w:rsidP="00345D93">
            <w:pPr>
              <w:pStyle w:val="TableTextLeft"/>
              <w:tabs>
                <w:tab w:val="left" w:pos="885"/>
              </w:tabs>
              <w:spacing w:beforeLines="20" w:before="48" w:afterLines="20" w:after="48"/>
              <w:ind w:right="175"/>
              <w:jc w:val="right"/>
              <w:rPr>
                <w:rFonts w:cs="Arial"/>
                <w:szCs w:val="16"/>
              </w:rPr>
            </w:pPr>
            <w:r w:rsidRPr="006B5F4F">
              <w:rPr>
                <w:rFonts w:cs="Arial"/>
                <w:szCs w:val="16"/>
              </w:rPr>
              <w:t>310</w:t>
            </w:r>
          </w:p>
        </w:tc>
        <w:tc>
          <w:tcPr>
            <w:tcW w:w="2438" w:type="dxa"/>
            <w:tcBorders>
              <w:top w:val="single" w:sz="2" w:space="0" w:color="BFBFBF"/>
              <w:bottom w:val="single" w:sz="2" w:space="0" w:color="BFBFBF"/>
            </w:tcBorders>
            <w:shd w:val="clear" w:color="auto" w:fill="auto"/>
            <w:vAlign w:val="center"/>
          </w:tcPr>
          <w:p w14:paraId="634A40F2" w14:textId="77777777" w:rsidR="00345D93" w:rsidRPr="006B5F4F" w:rsidRDefault="00345D93" w:rsidP="00345D93">
            <w:pPr>
              <w:pStyle w:val="TableTextLeft"/>
              <w:spacing w:beforeLines="20" w:before="48" w:afterLines="20" w:after="48"/>
              <w:rPr>
                <w:rFonts w:cs="Arial"/>
                <w:szCs w:val="16"/>
              </w:rPr>
            </w:pPr>
            <w:r w:rsidRPr="006B5F4F">
              <w:rPr>
                <w:rFonts w:cs="Arial"/>
                <w:szCs w:val="16"/>
              </w:rPr>
              <w:t xml:space="preserve">Eligible recipients of Youth Allowance (student), </w:t>
            </w:r>
            <w:proofErr w:type="spellStart"/>
            <w:r w:rsidRPr="006B5F4F">
              <w:rPr>
                <w:rFonts w:cs="Arial"/>
                <w:szCs w:val="16"/>
              </w:rPr>
              <w:t>Austudy</w:t>
            </w:r>
            <w:proofErr w:type="spellEnd"/>
            <w:r w:rsidRPr="006B5F4F">
              <w:rPr>
                <w:rFonts w:cs="Arial"/>
                <w:szCs w:val="16"/>
              </w:rPr>
              <w:t xml:space="preserve"> and ABSTUDY</w:t>
            </w:r>
          </w:p>
        </w:tc>
        <w:tc>
          <w:tcPr>
            <w:tcW w:w="1559" w:type="dxa"/>
            <w:tcBorders>
              <w:top w:val="single" w:sz="2" w:space="0" w:color="BFBFBF"/>
              <w:bottom w:val="single" w:sz="2" w:space="0" w:color="BFBFBF"/>
            </w:tcBorders>
            <w:shd w:val="clear" w:color="auto" w:fill="auto"/>
            <w:vAlign w:val="center"/>
          </w:tcPr>
          <w:p w14:paraId="32AA78A7" w14:textId="77777777" w:rsidR="00345D93" w:rsidRPr="006B5F4F" w:rsidRDefault="00345D93" w:rsidP="00345D93">
            <w:pPr>
              <w:pStyle w:val="TableTextLeft"/>
              <w:spacing w:beforeLines="20" w:before="48" w:afterLines="20" w:after="48"/>
              <w:ind w:left="33" w:firstLine="142"/>
              <w:jc w:val="right"/>
              <w:rPr>
                <w:rFonts w:cs="Arial"/>
                <w:szCs w:val="16"/>
              </w:rPr>
            </w:pPr>
            <w:r w:rsidRPr="006B5F4F">
              <w:rPr>
                <w:rFonts w:cs="Arial"/>
                <w:szCs w:val="16"/>
              </w:rPr>
              <w:t>Consumer Price Index (CPI)</w:t>
            </w:r>
          </w:p>
        </w:tc>
        <w:tc>
          <w:tcPr>
            <w:tcW w:w="1559" w:type="dxa"/>
            <w:tcBorders>
              <w:top w:val="single" w:sz="2" w:space="0" w:color="BFBFBF"/>
              <w:bottom w:val="single" w:sz="2" w:space="0" w:color="BFBFBF"/>
            </w:tcBorders>
            <w:shd w:val="clear" w:color="auto" w:fill="auto"/>
            <w:vAlign w:val="center"/>
          </w:tcPr>
          <w:p w14:paraId="50E3785B" w14:textId="77777777" w:rsidR="00345D93" w:rsidRPr="006B5F4F" w:rsidRDefault="00345D93" w:rsidP="00345D93">
            <w:pPr>
              <w:pStyle w:val="TableTextLeft"/>
              <w:spacing w:beforeLines="20" w:before="48" w:afterLines="20" w:after="48"/>
              <w:jc w:val="right"/>
              <w:rPr>
                <w:rFonts w:cs="Arial"/>
                <w:szCs w:val="16"/>
              </w:rPr>
            </w:pPr>
            <w:r w:rsidRPr="006B5F4F">
              <w:rPr>
                <w:rFonts w:cs="Arial"/>
                <w:szCs w:val="16"/>
              </w:rPr>
              <w:t>Various</w:t>
            </w:r>
          </w:p>
        </w:tc>
        <w:tc>
          <w:tcPr>
            <w:tcW w:w="1276" w:type="dxa"/>
            <w:tcBorders>
              <w:bottom w:val="single" w:sz="2" w:space="0" w:color="BFBFBF"/>
            </w:tcBorders>
            <w:vAlign w:val="center"/>
          </w:tcPr>
          <w:p w14:paraId="418D2528" w14:textId="77777777" w:rsidR="00345D93" w:rsidRPr="006B5F4F" w:rsidRDefault="00473A85" w:rsidP="00345D93">
            <w:pPr>
              <w:pStyle w:val="TableTextLeft"/>
              <w:spacing w:beforeLines="20" w:before="48" w:afterLines="20" w:after="48"/>
              <w:jc w:val="right"/>
              <w:rPr>
                <w:rFonts w:cs="Arial"/>
                <w:szCs w:val="16"/>
              </w:rPr>
            </w:pPr>
            <w:r w:rsidRPr="006B5F4F">
              <w:rPr>
                <w:rFonts w:cs="Arial"/>
                <w:szCs w:val="16"/>
              </w:rPr>
              <w:t>Modified</w:t>
            </w:r>
          </w:p>
        </w:tc>
      </w:tr>
      <w:tr w:rsidR="00AF567F" w:rsidRPr="006B5F4F" w14:paraId="3F705FDE" w14:textId="77777777" w:rsidTr="0003630E">
        <w:trPr>
          <w:trHeight w:val="20"/>
        </w:trPr>
        <w:tc>
          <w:tcPr>
            <w:tcW w:w="11878" w:type="dxa"/>
            <w:gridSpan w:val="6"/>
            <w:tcBorders>
              <w:top w:val="single" w:sz="2" w:space="0" w:color="BFBFBF"/>
              <w:left w:val="nil"/>
              <w:bottom w:val="single" w:sz="2" w:space="0" w:color="BFBFBF"/>
            </w:tcBorders>
            <w:shd w:val="clear" w:color="auto" w:fill="EBEBEB"/>
            <w:vAlign w:val="center"/>
          </w:tcPr>
          <w:p w14:paraId="659C7CE6" w14:textId="77777777" w:rsidR="00AF567F" w:rsidRPr="006B5F4F" w:rsidRDefault="00AF567F" w:rsidP="00010EEB">
            <w:pPr>
              <w:pStyle w:val="TableColumnHeadingLeft"/>
              <w:spacing w:beforeLines="10" w:before="24" w:afterLines="10" w:after="24"/>
              <w:rPr>
                <w:rFonts w:cs="Arial"/>
                <w:szCs w:val="16"/>
              </w:rPr>
            </w:pPr>
            <w:r w:rsidRPr="006B5F4F">
              <w:rPr>
                <w:rFonts w:cs="Arial"/>
                <w:b w:val="0"/>
                <w:szCs w:val="16"/>
              </w:rPr>
              <w:t>Indigenous Land Corporation</w:t>
            </w:r>
          </w:p>
        </w:tc>
      </w:tr>
      <w:tr w:rsidR="00AF567F" w:rsidRPr="006B5F4F" w14:paraId="3912063F" w14:textId="77777777" w:rsidTr="0003630E">
        <w:trPr>
          <w:trHeight w:val="20"/>
        </w:trPr>
        <w:tc>
          <w:tcPr>
            <w:tcW w:w="3969" w:type="dxa"/>
            <w:tcBorders>
              <w:top w:val="single" w:sz="2" w:space="0" w:color="BFBFBF"/>
              <w:left w:val="nil"/>
              <w:bottom w:val="single" w:sz="2" w:space="0" w:color="BFBFBF"/>
            </w:tcBorders>
            <w:shd w:val="clear" w:color="auto" w:fill="auto"/>
            <w:vAlign w:val="center"/>
          </w:tcPr>
          <w:p w14:paraId="551A9918" w14:textId="77777777" w:rsidR="00AF567F" w:rsidRPr="006B5F4F" w:rsidRDefault="00AF567F" w:rsidP="0003630E">
            <w:pPr>
              <w:pStyle w:val="TableTextLeft"/>
              <w:spacing w:beforeLines="20" w:before="48" w:afterLines="20" w:after="48"/>
              <w:rPr>
                <w:rFonts w:cs="Arial"/>
                <w:szCs w:val="16"/>
              </w:rPr>
            </w:pPr>
            <w:r w:rsidRPr="006B5F4F">
              <w:rPr>
                <w:rFonts w:cs="Arial"/>
                <w:szCs w:val="16"/>
              </w:rPr>
              <w:t>Voyages Indigenous Tourism Australia Pty Ltd</w:t>
            </w:r>
          </w:p>
        </w:tc>
        <w:tc>
          <w:tcPr>
            <w:tcW w:w="1077" w:type="dxa"/>
            <w:tcBorders>
              <w:top w:val="single" w:sz="2" w:space="0" w:color="BFBFBF"/>
              <w:bottom w:val="single" w:sz="2" w:space="0" w:color="BFBFBF"/>
            </w:tcBorders>
            <w:shd w:val="clear" w:color="auto" w:fill="auto"/>
            <w:vAlign w:val="center"/>
          </w:tcPr>
          <w:p w14:paraId="78701890" w14:textId="21853739" w:rsidR="00AF567F" w:rsidRPr="006B5F4F" w:rsidRDefault="00AF567F" w:rsidP="0003630E">
            <w:pPr>
              <w:pStyle w:val="TableTextLeft"/>
              <w:tabs>
                <w:tab w:val="left" w:pos="885"/>
              </w:tabs>
              <w:spacing w:beforeLines="20" w:before="48" w:afterLines="20" w:after="48"/>
              <w:ind w:right="175"/>
              <w:jc w:val="right"/>
              <w:rPr>
                <w:rFonts w:cs="Arial"/>
                <w:color w:val="000000"/>
                <w:szCs w:val="16"/>
              </w:rPr>
            </w:pPr>
            <w:r w:rsidRPr="006B5F4F">
              <w:rPr>
                <w:rFonts w:cs="Arial"/>
                <w:color w:val="000000"/>
                <w:szCs w:val="16"/>
              </w:rPr>
              <w:t>308</w:t>
            </w:r>
          </w:p>
        </w:tc>
        <w:tc>
          <w:tcPr>
            <w:tcW w:w="2438" w:type="dxa"/>
            <w:tcBorders>
              <w:top w:val="single" w:sz="2" w:space="0" w:color="BFBFBF"/>
              <w:bottom w:val="single" w:sz="2" w:space="0" w:color="BFBFBF"/>
            </w:tcBorders>
            <w:shd w:val="clear" w:color="auto" w:fill="auto"/>
            <w:vAlign w:val="center"/>
          </w:tcPr>
          <w:p w14:paraId="7F6B4D43" w14:textId="77777777" w:rsidR="00AF567F" w:rsidRPr="006B5F4F" w:rsidRDefault="00AF567F" w:rsidP="0003630E">
            <w:pPr>
              <w:pStyle w:val="TableTextLeft"/>
              <w:spacing w:beforeLines="20" w:before="48" w:afterLines="20" w:after="48"/>
              <w:rPr>
                <w:rFonts w:cs="Arial"/>
                <w:color w:val="000000"/>
                <w:szCs w:val="16"/>
              </w:rPr>
            </w:pPr>
            <w:r w:rsidRPr="006B5F4F">
              <w:rPr>
                <w:rFonts w:cs="Arial"/>
                <w:szCs w:val="16"/>
              </w:rPr>
              <w:t>Voyages Indigenous Tourism Australia Pty Ltd</w:t>
            </w:r>
          </w:p>
        </w:tc>
        <w:tc>
          <w:tcPr>
            <w:tcW w:w="1559" w:type="dxa"/>
            <w:tcBorders>
              <w:top w:val="single" w:sz="2" w:space="0" w:color="BFBFBF"/>
              <w:bottom w:val="single" w:sz="2" w:space="0" w:color="BFBFBF"/>
            </w:tcBorders>
            <w:shd w:val="clear" w:color="auto" w:fill="auto"/>
            <w:vAlign w:val="center"/>
          </w:tcPr>
          <w:p w14:paraId="527FF468" w14:textId="77777777" w:rsidR="00AF567F" w:rsidRPr="006B5F4F" w:rsidRDefault="00AF567F" w:rsidP="0003630E">
            <w:pPr>
              <w:pStyle w:val="TableTextLeft"/>
              <w:spacing w:beforeLines="20" w:before="48" w:afterLines="20" w:after="48"/>
              <w:ind w:left="33" w:firstLine="142"/>
              <w:jc w:val="right"/>
              <w:rPr>
                <w:rFonts w:cs="Arial"/>
                <w:color w:val="000000"/>
                <w:szCs w:val="16"/>
              </w:rPr>
            </w:pPr>
            <w:r w:rsidRPr="006B5F4F">
              <w:rPr>
                <w:rFonts w:cs="Arial"/>
                <w:szCs w:val="16"/>
              </w:rPr>
              <w:t>90 Day bank bill swap reference rate + 5 per cent</w:t>
            </w:r>
          </w:p>
        </w:tc>
        <w:tc>
          <w:tcPr>
            <w:tcW w:w="1559" w:type="dxa"/>
            <w:tcBorders>
              <w:top w:val="single" w:sz="2" w:space="0" w:color="BFBFBF"/>
              <w:bottom w:val="single" w:sz="2" w:space="0" w:color="BFBFBF"/>
            </w:tcBorders>
            <w:shd w:val="clear" w:color="auto" w:fill="auto"/>
            <w:vAlign w:val="center"/>
          </w:tcPr>
          <w:p w14:paraId="11D0175F" w14:textId="77777777" w:rsidR="00AF567F" w:rsidRPr="006B5F4F" w:rsidRDefault="00AF567F" w:rsidP="0003630E">
            <w:pPr>
              <w:pStyle w:val="TableTextLeft"/>
              <w:spacing w:beforeLines="20" w:before="48" w:afterLines="20" w:after="48"/>
              <w:jc w:val="right"/>
              <w:rPr>
                <w:rFonts w:cs="Arial"/>
                <w:color w:val="000000"/>
                <w:szCs w:val="16"/>
              </w:rPr>
            </w:pPr>
            <w:r w:rsidRPr="006B5F4F">
              <w:rPr>
                <w:rFonts w:cs="Arial"/>
                <w:szCs w:val="16"/>
              </w:rPr>
              <w:t>9 years, 11 months</w:t>
            </w:r>
          </w:p>
        </w:tc>
        <w:tc>
          <w:tcPr>
            <w:tcW w:w="1276" w:type="dxa"/>
            <w:tcBorders>
              <w:bottom w:val="single" w:sz="2" w:space="0" w:color="BFBFBF"/>
            </w:tcBorders>
            <w:vAlign w:val="center"/>
          </w:tcPr>
          <w:p w14:paraId="771D45F7" w14:textId="77777777" w:rsidR="00AF567F" w:rsidRPr="006B5F4F" w:rsidRDefault="00AF567F" w:rsidP="0003630E">
            <w:pPr>
              <w:pStyle w:val="TableTextLeft"/>
              <w:spacing w:beforeLines="20" w:before="48" w:afterLines="20" w:after="48"/>
              <w:jc w:val="right"/>
              <w:rPr>
                <w:rFonts w:cs="Arial"/>
                <w:color w:val="000000"/>
                <w:szCs w:val="16"/>
              </w:rPr>
            </w:pPr>
            <w:r w:rsidRPr="006B5F4F">
              <w:rPr>
                <w:rFonts w:cs="Arial"/>
                <w:color w:val="000000"/>
                <w:szCs w:val="16"/>
              </w:rPr>
              <w:t>Modified</w:t>
            </w:r>
          </w:p>
        </w:tc>
      </w:tr>
      <w:tr w:rsidR="00345D93" w:rsidRPr="006B5F4F" w14:paraId="23845018" w14:textId="77777777" w:rsidTr="003E1352">
        <w:trPr>
          <w:trHeight w:val="20"/>
        </w:trPr>
        <w:tc>
          <w:tcPr>
            <w:tcW w:w="11878" w:type="dxa"/>
            <w:gridSpan w:val="6"/>
            <w:tcBorders>
              <w:top w:val="single" w:sz="2" w:space="0" w:color="BFBFBF"/>
              <w:left w:val="nil"/>
              <w:bottom w:val="single" w:sz="2" w:space="0" w:color="BFBFBF"/>
            </w:tcBorders>
            <w:shd w:val="clear" w:color="auto" w:fill="EBEBEB"/>
            <w:vAlign w:val="center"/>
          </w:tcPr>
          <w:p w14:paraId="055185BD" w14:textId="77777777" w:rsidR="00345D93" w:rsidRPr="006B5F4F" w:rsidRDefault="00345D93" w:rsidP="00010EEB">
            <w:pPr>
              <w:pStyle w:val="TableColumnHeadingLeft"/>
              <w:spacing w:beforeLines="10" w:before="24" w:afterLines="10" w:after="24"/>
              <w:rPr>
                <w:rFonts w:ascii="Arial" w:hAnsi="Arial" w:cs="Arial"/>
                <w:szCs w:val="16"/>
              </w:rPr>
            </w:pPr>
            <w:r w:rsidRPr="006B5F4F">
              <w:rPr>
                <w:rFonts w:ascii="Arial" w:hAnsi="Arial" w:cs="Arial"/>
                <w:szCs w:val="16"/>
              </w:rPr>
              <w:t>Department of Health</w:t>
            </w:r>
          </w:p>
        </w:tc>
      </w:tr>
      <w:tr w:rsidR="00345D93" w:rsidRPr="006B5F4F" w14:paraId="376DA195"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2601778C" w14:textId="77777777" w:rsidR="00345D93" w:rsidRPr="006B5F4F" w:rsidRDefault="00345D93" w:rsidP="00345D93">
            <w:pPr>
              <w:pStyle w:val="TableTextLeft"/>
              <w:spacing w:beforeLines="20" w:before="48" w:afterLines="20" w:after="48"/>
              <w:rPr>
                <w:rFonts w:cs="Arial"/>
                <w:szCs w:val="16"/>
              </w:rPr>
            </w:pPr>
            <w:r w:rsidRPr="006B5F4F">
              <w:rPr>
                <w:rFonts w:cs="Arial"/>
                <w:szCs w:val="16"/>
              </w:rPr>
              <w:t>Zero Real Interest Loans</w:t>
            </w:r>
          </w:p>
        </w:tc>
        <w:tc>
          <w:tcPr>
            <w:tcW w:w="1077" w:type="dxa"/>
            <w:tcBorders>
              <w:top w:val="single" w:sz="2" w:space="0" w:color="BFBFBF"/>
              <w:bottom w:val="single" w:sz="2" w:space="0" w:color="BFBFBF"/>
            </w:tcBorders>
            <w:shd w:val="clear" w:color="auto" w:fill="auto"/>
            <w:vAlign w:val="center"/>
          </w:tcPr>
          <w:p w14:paraId="2153ECA2" w14:textId="0EA44985" w:rsidR="00345D93" w:rsidRPr="006B5F4F" w:rsidRDefault="00B7414C" w:rsidP="00345D93">
            <w:pPr>
              <w:pStyle w:val="TableTextLeft"/>
              <w:tabs>
                <w:tab w:val="left" w:pos="885"/>
              </w:tabs>
              <w:spacing w:beforeLines="20" w:before="48" w:afterLines="20" w:after="48"/>
              <w:ind w:right="175"/>
              <w:jc w:val="right"/>
              <w:rPr>
                <w:rFonts w:cs="Arial"/>
                <w:szCs w:val="16"/>
              </w:rPr>
            </w:pPr>
            <w:r w:rsidRPr="006B5F4F">
              <w:rPr>
                <w:rFonts w:cs="Arial"/>
                <w:szCs w:val="16"/>
              </w:rPr>
              <w:t>268</w:t>
            </w:r>
          </w:p>
        </w:tc>
        <w:tc>
          <w:tcPr>
            <w:tcW w:w="2438" w:type="dxa"/>
            <w:tcBorders>
              <w:top w:val="single" w:sz="2" w:space="0" w:color="BFBFBF"/>
              <w:bottom w:val="single" w:sz="2" w:space="0" w:color="BFBFBF"/>
            </w:tcBorders>
            <w:shd w:val="clear" w:color="auto" w:fill="auto"/>
            <w:vAlign w:val="center"/>
          </w:tcPr>
          <w:p w14:paraId="2BA9D43A" w14:textId="100451F2" w:rsidR="00345D93" w:rsidRPr="006B5F4F" w:rsidRDefault="00345D93" w:rsidP="00B7414C">
            <w:pPr>
              <w:pStyle w:val="TableTextLeft"/>
              <w:spacing w:beforeLines="20" w:before="48" w:afterLines="20" w:after="48"/>
              <w:rPr>
                <w:rFonts w:cs="Arial"/>
                <w:szCs w:val="16"/>
              </w:rPr>
            </w:pPr>
            <w:r w:rsidRPr="006B5F4F">
              <w:rPr>
                <w:rFonts w:cs="Arial"/>
                <w:szCs w:val="16"/>
              </w:rPr>
              <w:t xml:space="preserve">Residential aged care providers </w:t>
            </w:r>
          </w:p>
        </w:tc>
        <w:tc>
          <w:tcPr>
            <w:tcW w:w="1559" w:type="dxa"/>
            <w:tcBorders>
              <w:top w:val="single" w:sz="2" w:space="0" w:color="BFBFBF"/>
              <w:bottom w:val="single" w:sz="2" w:space="0" w:color="BFBFBF"/>
            </w:tcBorders>
            <w:shd w:val="clear" w:color="auto" w:fill="auto"/>
            <w:vAlign w:val="center"/>
          </w:tcPr>
          <w:p w14:paraId="2D3F7297" w14:textId="77777777" w:rsidR="00345D93" w:rsidRPr="006B5F4F" w:rsidRDefault="00B7414C" w:rsidP="00345D93">
            <w:pPr>
              <w:pStyle w:val="TableTextLeft"/>
              <w:spacing w:beforeLines="20" w:before="48" w:afterLines="20" w:after="48"/>
              <w:ind w:left="33" w:firstLine="142"/>
              <w:jc w:val="right"/>
              <w:rPr>
                <w:rFonts w:cs="Arial"/>
                <w:szCs w:val="16"/>
              </w:rPr>
            </w:pPr>
            <w:r w:rsidRPr="006B5F4F">
              <w:rPr>
                <w:rFonts w:cs="Arial"/>
                <w:szCs w:val="16"/>
              </w:rPr>
              <w:t xml:space="preserve">All Groups </w:t>
            </w:r>
            <w:r w:rsidR="00345D93" w:rsidRPr="006B5F4F">
              <w:rPr>
                <w:rFonts w:cs="Arial"/>
                <w:szCs w:val="16"/>
              </w:rPr>
              <w:t>Consumer Price Index (CPI)</w:t>
            </w:r>
          </w:p>
        </w:tc>
        <w:tc>
          <w:tcPr>
            <w:tcW w:w="1559" w:type="dxa"/>
            <w:tcBorders>
              <w:top w:val="single" w:sz="2" w:space="0" w:color="BFBFBF"/>
              <w:bottom w:val="single" w:sz="2" w:space="0" w:color="BFBFBF"/>
            </w:tcBorders>
            <w:shd w:val="clear" w:color="auto" w:fill="auto"/>
            <w:vAlign w:val="center"/>
          </w:tcPr>
          <w:p w14:paraId="761BC333" w14:textId="77777777" w:rsidR="00345D93" w:rsidRPr="006B5F4F" w:rsidRDefault="00345D93" w:rsidP="00345D93">
            <w:pPr>
              <w:pStyle w:val="TableTextLeft"/>
              <w:spacing w:beforeLines="20" w:before="48" w:afterLines="20" w:after="48"/>
              <w:jc w:val="right"/>
              <w:rPr>
                <w:rFonts w:cs="Arial"/>
                <w:szCs w:val="16"/>
              </w:rPr>
            </w:pPr>
            <w:r w:rsidRPr="006B5F4F">
              <w:rPr>
                <w:rFonts w:cs="Arial"/>
                <w:szCs w:val="16"/>
              </w:rPr>
              <w:t>Up to 22 years</w:t>
            </w:r>
          </w:p>
        </w:tc>
        <w:tc>
          <w:tcPr>
            <w:tcW w:w="1276" w:type="dxa"/>
            <w:tcBorders>
              <w:bottom w:val="single" w:sz="2" w:space="0" w:color="BFBFBF"/>
            </w:tcBorders>
            <w:vAlign w:val="center"/>
          </w:tcPr>
          <w:p w14:paraId="221C6C26" w14:textId="77777777" w:rsidR="00345D93" w:rsidRPr="006B5F4F" w:rsidRDefault="00B7414C" w:rsidP="00345D93">
            <w:pPr>
              <w:pStyle w:val="TableTextLeft"/>
              <w:spacing w:beforeLines="20" w:before="48" w:afterLines="20" w:after="48"/>
              <w:jc w:val="right"/>
              <w:rPr>
                <w:rFonts w:cs="Arial"/>
                <w:szCs w:val="16"/>
              </w:rPr>
            </w:pPr>
            <w:r w:rsidRPr="006B5F4F">
              <w:rPr>
                <w:rFonts w:cs="Arial"/>
                <w:szCs w:val="16"/>
              </w:rPr>
              <w:t>Modified</w:t>
            </w:r>
          </w:p>
        </w:tc>
      </w:tr>
      <w:tr w:rsidR="00345D93" w:rsidRPr="006B5F4F" w14:paraId="40CBFDF8" w14:textId="77777777" w:rsidTr="003E1352">
        <w:trPr>
          <w:trHeight w:val="20"/>
        </w:trPr>
        <w:tc>
          <w:tcPr>
            <w:tcW w:w="11878" w:type="dxa"/>
            <w:gridSpan w:val="6"/>
            <w:tcBorders>
              <w:top w:val="single" w:sz="2" w:space="0" w:color="BFBFBF"/>
              <w:left w:val="nil"/>
              <w:bottom w:val="single" w:sz="2" w:space="0" w:color="BFBFBF"/>
            </w:tcBorders>
            <w:shd w:val="clear" w:color="auto" w:fill="EBEBEB"/>
            <w:vAlign w:val="center"/>
          </w:tcPr>
          <w:p w14:paraId="03DC9851" w14:textId="77777777" w:rsidR="00345D93" w:rsidRPr="006B5F4F" w:rsidRDefault="00345D93" w:rsidP="00010EEB">
            <w:pPr>
              <w:pStyle w:val="TableColumnHeadingLeft"/>
              <w:spacing w:beforeLines="10" w:before="24" w:afterLines="10" w:after="24"/>
              <w:rPr>
                <w:rFonts w:ascii="Arial" w:hAnsi="Arial" w:cs="Arial"/>
                <w:szCs w:val="16"/>
              </w:rPr>
            </w:pPr>
            <w:r w:rsidRPr="006B5F4F">
              <w:rPr>
                <w:rFonts w:cs="Arial"/>
                <w:b w:val="0"/>
                <w:szCs w:val="16"/>
              </w:rPr>
              <w:t>Export Finance and Insurance Corporation</w:t>
            </w:r>
          </w:p>
        </w:tc>
      </w:tr>
      <w:tr w:rsidR="00345D93" w:rsidRPr="006B5F4F" w14:paraId="5890DE1A" w14:textId="77777777" w:rsidTr="003E1352">
        <w:trPr>
          <w:trHeight w:val="20"/>
        </w:trPr>
        <w:tc>
          <w:tcPr>
            <w:tcW w:w="3969" w:type="dxa"/>
            <w:tcBorders>
              <w:top w:val="single" w:sz="2" w:space="0" w:color="BFBFBF"/>
              <w:left w:val="nil"/>
              <w:bottom w:val="single" w:sz="2" w:space="0" w:color="BFBFBF"/>
            </w:tcBorders>
            <w:shd w:val="clear" w:color="auto" w:fill="auto"/>
            <w:vAlign w:val="center"/>
          </w:tcPr>
          <w:p w14:paraId="6CDAE2D1" w14:textId="77777777" w:rsidR="00345D93" w:rsidRPr="006B5F4F" w:rsidRDefault="00345D93" w:rsidP="00345D93">
            <w:pPr>
              <w:pStyle w:val="TableTextLeft"/>
              <w:spacing w:beforeLines="20" w:before="48" w:afterLines="20" w:after="48"/>
              <w:rPr>
                <w:rFonts w:cs="Arial"/>
                <w:szCs w:val="16"/>
              </w:rPr>
            </w:pPr>
            <w:r w:rsidRPr="006B5F4F">
              <w:rPr>
                <w:rFonts w:cs="Arial"/>
                <w:szCs w:val="16"/>
              </w:rPr>
              <w:t>Papua New Guinea Liquefied Natural Gas</w:t>
            </w:r>
          </w:p>
        </w:tc>
        <w:tc>
          <w:tcPr>
            <w:tcW w:w="1077" w:type="dxa"/>
            <w:tcBorders>
              <w:top w:val="single" w:sz="2" w:space="0" w:color="BFBFBF"/>
              <w:bottom w:val="single" w:sz="2" w:space="0" w:color="BFBFBF"/>
            </w:tcBorders>
            <w:shd w:val="clear" w:color="auto" w:fill="auto"/>
            <w:vAlign w:val="center"/>
          </w:tcPr>
          <w:p w14:paraId="243C4FF5" w14:textId="10C85DB9" w:rsidR="00345D93" w:rsidRPr="006B5F4F" w:rsidRDefault="006F3A2D" w:rsidP="00345D93">
            <w:pPr>
              <w:pStyle w:val="TableTextLeft"/>
              <w:tabs>
                <w:tab w:val="left" w:pos="885"/>
              </w:tabs>
              <w:spacing w:beforeLines="20" w:before="48" w:afterLines="20" w:after="48"/>
              <w:ind w:right="175"/>
              <w:jc w:val="right"/>
              <w:rPr>
                <w:rFonts w:cs="Arial"/>
                <w:szCs w:val="16"/>
              </w:rPr>
            </w:pPr>
            <w:r w:rsidRPr="006B5F4F">
              <w:rPr>
                <w:rFonts w:cs="Arial"/>
                <w:szCs w:val="16"/>
              </w:rPr>
              <w:t>264</w:t>
            </w:r>
          </w:p>
        </w:tc>
        <w:tc>
          <w:tcPr>
            <w:tcW w:w="2438" w:type="dxa"/>
            <w:tcBorders>
              <w:top w:val="single" w:sz="2" w:space="0" w:color="BFBFBF"/>
              <w:bottom w:val="single" w:sz="2" w:space="0" w:color="BFBFBF"/>
            </w:tcBorders>
            <w:shd w:val="clear" w:color="auto" w:fill="auto"/>
            <w:vAlign w:val="center"/>
          </w:tcPr>
          <w:p w14:paraId="38D4305D" w14:textId="77777777" w:rsidR="00345D93" w:rsidRPr="006B5F4F" w:rsidRDefault="00345D93" w:rsidP="00345D93">
            <w:pPr>
              <w:pStyle w:val="TableTextLeft"/>
              <w:spacing w:beforeLines="20" w:before="48" w:afterLines="20" w:after="48"/>
              <w:rPr>
                <w:rFonts w:cs="Arial"/>
                <w:szCs w:val="16"/>
              </w:rPr>
            </w:pPr>
            <w:r w:rsidRPr="006B5F4F">
              <w:rPr>
                <w:rFonts w:cs="Arial"/>
                <w:szCs w:val="16"/>
              </w:rPr>
              <w:t>Entities associated with the Papua New Guinea Liquefied Natural Gas project</w:t>
            </w:r>
          </w:p>
        </w:tc>
        <w:tc>
          <w:tcPr>
            <w:tcW w:w="1559" w:type="dxa"/>
            <w:tcBorders>
              <w:top w:val="single" w:sz="2" w:space="0" w:color="BFBFBF"/>
              <w:bottom w:val="single" w:sz="2" w:space="0" w:color="BFBFBF"/>
            </w:tcBorders>
            <w:shd w:val="clear" w:color="auto" w:fill="auto"/>
            <w:vAlign w:val="center"/>
          </w:tcPr>
          <w:p w14:paraId="3F5028C4" w14:textId="37E84FB0" w:rsidR="00345D93" w:rsidRPr="006B5F4F" w:rsidRDefault="00345D93" w:rsidP="00345D93">
            <w:pPr>
              <w:pStyle w:val="TableTextLeft"/>
              <w:spacing w:beforeLines="20" w:before="48" w:afterLines="20" w:after="48"/>
              <w:ind w:left="33" w:firstLine="142"/>
              <w:jc w:val="right"/>
              <w:rPr>
                <w:rFonts w:cs="Arial"/>
                <w:szCs w:val="16"/>
              </w:rPr>
            </w:pPr>
            <w:r w:rsidRPr="006B5F4F">
              <w:rPr>
                <w:rFonts w:cs="Arial"/>
                <w:szCs w:val="16"/>
              </w:rPr>
              <w:t>Commercial</w:t>
            </w:r>
            <w:r w:rsidRPr="006B5F4F">
              <w:rPr>
                <w:rFonts w:cs="Arial"/>
                <w:bCs/>
                <w:szCs w:val="16"/>
              </w:rPr>
              <w:noBreakHyphen/>
            </w:r>
            <w:r w:rsidRPr="006B5F4F">
              <w:rPr>
                <w:rFonts w:cs="Arial"/>
                <w:szCs w:val="16"/>
              </w:rPr>
              <w:t>In</w:t>
            </w:r>
            <w:r w:rsidRPr="006B5F4F">
              <w:rPr>
                <w:rFonts w:cs="Arial"/>
                <w:szCs w:val="16"/>
              </w:rPr>
              <w:noBreakHyphen/>
              <w:t>Confidence</w:t>
            </w:r>
          </w:p>
        </w:tc>
        <w:tc>
          <w:tcPr>
            <w:tcW w:w="1559" w:type="dxa"/>
            <w:tcBorders>
              <w:top w:val="single" w:sz="2" w:space="0" w:color="BFBFBF"/>
              <w:bottom w:val="single" w:sz="2" w:space="0" w:color="BFBFBF"/>
            </w:tcBorders>
            <w:shd w:val="clear" w:color="auto" w:fill="auto"/>
            <w:vAlign w:val="center"/>
          </w:tcPr>
          <w:p w14:paraId="0138BDE6" w14:textId="77777777" w:rsidR="00345D93" w:rsidRPr="006B5F4F" w:rsidRDefault="00345D93" w:rsidP="00345D93">
            <w:pPr>
              <w:pStyle w:val="TableTextLeft"/>
              <w:spacing w:beforeLines="20" w:before="48" w:afterLines="20" w:after="48"/>
              <w:jc w:val="right"/>
              <w:rPr>
                <w:rFonts w:cs="Arial"/>
                <w:szCs w:val="16"/>
              </w:rPr>
            </w:pPr>
            <w:r w:rsidRPr="006B5F4F">
              <w:rPr>
                <w:rFonts w:cs="Arial"/>
                <w:szCs w:val="16"/>
              </w:rPr>
              <w:t>Until 2026</w:t>
            </w:r>
          </w:p>
        </w:tc>
        <w:tc>
          <w:tcPr>
            <w:tcW w:w="1276" w:type="dxa"/>
            <w:tcBorders>
              <w:bottom w:val="single" w:sz="2" w:space="0" w:color="BFBFBF"/>
            </w:tcBorders>
            <w:vAlign w:val="center"/>
          </w:tcPr>
          <w:p w14:paraId="78D9DA19" w14:textId="77777777" w:rsidR="00345D93" w:rsidRPr="006B5F4F" w:rsidRDefault="00EF4384" w:rsidP="00345D93">
            <w:pPr>
              <w:pStyle w:val="TableTextLeft"/>
              <w:spacing w:beforeLines="20" w:before="48" w:afterLines="20" w:after="48"/>
              <w:jc w:val="right"/>
              <w:rPr>
                <w:rFonts w:cs="Arial"/>
                <w:szCs w:val="16"/>
              </w:rPr>
            </w:pPr>
            <w:r w:rsidRPr="006B5F4F">
              <w:rPr>
                <w:rFonts w:cs="Arial"/>
                <w:szCs w:val="16"/>
              </w:rPr>
              <w:t>Modified</w:t>
            </w:r>
          </w:p>
        </w:tc>
      </w:tr>
      <w:tr w:rsidR="007560F5" w:rsidRPr="006B5F4F" w14:paraId="4CEC7A0C" w14:textId="77777777" w:rsidTr="008E1321">
        <w:trPr>
          <w:trHeight w:val="20"/>
        </w:trPr>
        <w:tc>
          <w:tcPr>
            <w:tcW w:w="11878" w:type="dxa"/>
            <w:gridSpan w:val="6"/>
            <w:tcBorders>
              <w:top w:val="single" w:sz="2" w:space="0" w:color="BFBFBF"/>
              <w:left w:val="nil"/>
              <w:bottom w:val="single" w:sz="2" w:space="0" w:color="BFBFBF"/>
            </w:tcBorders>
            <w:shd w:val="pct10" w:color="auto" w:fill="auto"/>
          </w:tcPr>
          <w:p w14:paraId="03BB8BBD" w14:textId="77777777" w:rsidR="007560F5" w:rsidRPr="006B5F4F" w:rsidRDefault="007560F5" w:rsidP="00010EEB">
            <w:pPr>
              <w:pStyle w:val="TableTextLeft"/>
              <w:spacing w:beforeLines="10" w:before="24" w:afterLines="10" w:after="24"/>
              <w:rPr>
                <w:rFonts w:cs="Arial"/>
                <w:b/>
                <w:szCs w:val="16"/>
              </w:rPr>
            </w:pPr>
            <w:r w:rsidRPr="006B5F4F">
              <w:rPr>
                <w:rFonts w:cs="Arial"/>
                <w:b/>
                <w:szCs w:val="16"/>
              </w:rPr>
              <w:t>Department of Industry, Innovation and Science</w:t>
            </w:r>
          </w:p>
        </w:tc>
      </w:tr>
      <w:tr w:rsidR="007560F5" w:rsidRPr="006B5F4F" w14:paraId="6DDCEDA8" w14:textId="77777777" w:rsidTr="00CC34A0">
        <w:trPr>
          <w:trHeight w:val="20"/>
        </w:trPr>
        <w:tc>
          <w:tcPr>
            <w:tcW w:w="3969" w:type="dxa"/>
            <w:tcBorders>
              <w:top w:val="single" w:sz="2" w:space="0" w:color="BFBFBF"/>
              <w:left w:val="nil"/>
              <w:bottom w:val="single" w:sz="2" w:space="0" w:color="BFBFBF"/>
            </w:tcBorders>
            <w:shd w:val="clear" w:color="auto" w:fill="auto"/>
            <w:vAlign w:val="center"/>
          </w:tcPr>
          <w:p w14:paraId="2712F487" w14:textId="77777777" w:rsidR="007560F5" w:rsidRPr="006B5F4F" w:rsidRDefault="007560F5" w:rsidP="00345D93">
            <w:pPr>
              <w:pStyle w:val="TableTextLeft"/>
              <w:spacing w:beforeLines="20" w:before="48" w:afterLines="20" w:after="48"/>
              <w:rPr>
                <w:rFonts w:cs="Arial"/>
                <w:szCs w:val="16"/>
              </w:rPr>
            </w:pPr>
            <w:r w:rsidRPr="006B5F4F">
              <w:rPr>
                <w:rFonts w:cs="Arial"/>
                <w:szCs w:val="16"/>
              </w:rPr>
              <w:t>Northern Australia Infrastructure Facility Loans</w:t>
            </w:r>
          </w:p>
        </w:tc>
        <w:tc>
          <w:tcPr>
            <w:tcW w:w="1077" w:type="dxa"/>
            <w:tcBorders>
              <w:top w:val="single" w:sz="2" w:space="0" w:color="BFBFBF"/>
              <w:bottom w:val="single" w:sz="2" w:space="0" w:color="BFBFBF"/>
            </w:tcBorders>
            <w:shd w:val="clear" w:color="auto" w:fill="auto"/>
            <w:vAlign w:val="center"/>
          </w:tcPr>
          <w:p w14:paraId="1D3BB48A" w14:textId="77777777" w:rsidR="007560F5" w:rsidRPr="006B5F4F" w:rsidDel="00EF4384" w:rsidRDefault="007560F5" w:rsidP="00345D93">
            <w:pPr>
              <w:pStyle w:val="TableTextLeft"/>
              <w:tabs>
                <w:tab w:val="left" w:pos="885"/>
              </w:tabs>
              <w:spacing w:beforeLines="20" w:before="48" w:afterLines="20" w:after="48"/>
              <w:ind w:right="175"/>
              <w:jc w:val="right"/>
              <w:rPr>
                <w:rFonts w:cs="Arial"/>
                <w:szCs w:val="16"/>
              </w:rPr>
            </w:pPr>
            <w:r w:rsidRPr="006B5F4F">
              <w:rPr>
                <w:rFonts w:cs="Arial"/>
                <w:szCs w:val="16"/>
              </w:rPr>
              <w:t>201</w:t>
            </w:r>
          </w:p>
        </w:tc>
        <w:tc>
          <w:tcPr>
            <w:tcW w:w="2438" w:type="dxa"/>
            <w:tcBorders>
              <w:top w:val="single" w:sz="2" w:space="0" w:color="BFBFBF"/>
              <w:bottom w:val="single" w:sz="2" w:space="0" w:color="BFBFBF"/>
            </w:tcBorders>
            <w:shd w:val="clear" w:color="auto" w:fill="auto"/>
            <w:vAlign w:val="center"/>
          </w:tcPr>
          <w:p w14:paraId="1689CF47" w14:textId="4D9D9AB4" w:rsidR="007560F5" w:rsidRPr="006B5F4F" w:rsidRDefault="000556B4" w:rsidP="00FE2719">
            <w:pPr>
              <w:pStyle w:val="TableTextLeft"/>
              <w:spacing w:beforeLines="20" w:before="48" w:afterLines="20" w:after="48"/>
              <w:rPr>
                <w:rFonts w:cs="Arial"/>
                <w:szCs w:val="16"/>
              </w:rPr>
            </w:pPr>
            <w:r w:rsidRPr="006B5F4F">
              <w:rPr>
                <w:rFonts w:cs="Arial"/>
                <w:szCs w:val="16"/>
              </w:rPr>
              <w:t xml:space="preserve">Northern Australia jurisdictions for on-lending to project proponents </w:t>
            </w:r>
          </w:p>
        </w:tc>
        <w:tc>
          <w:tcPr>
            <w:tcW w:w="1559" w:type="dxa"/>
            <w:tcBorders>
              <w:top w:val="single" w:sz="2" w:space="0" w:color="BFBFBF"/>
              <w:bottom w:val="single" w:sz="2" w:space="0" w:color="BFBFBF"/>
            </w:tcBorders>
            <w:shd w:val="clear" w:color="auto" w:fill="auto"/>
            <w:vAlign w:val="center"/>
          </w:tcPr>
          <w:p w14:paraId="3FE192A9" w14:textId="3170320E" w:rsidR="007560F5" w:rsidRPr="006B5F4F" w:rsidRDefault="007560F5" w:rsidP="00345D93">
            <w:pPr>
              <w:pStyle w:val="TableTextLeft"/>
              <w:spacing w:before="0" w:after="0"/>
              <w:jc w:val="right"/>
              <w:rPr>
                <w:rFonts w:cs="Arial"/>
                <w:szCs w:val="16"/>
              </w:rPr>
            </w:pPr>
            <w:r w:rsidRPr="006B5F4F">
              <w:rPr>
                <w:rFonts w:cs="Arial"/>
                <w:szCs w:val="16"/>
              </w:rPr>
              <w:t>5 per cent</w:t>
            </w:r>
            <w:r w:rsidR="004F1B1F" w:rsidRPr="006B5F4F">
              <w:rPr>
                <w:rFonts w:cs="Arial"/>
                <w:szCs w:val="16"/>
                <w:vertAlign w:val="superscript"/>
              </w:rPr>
              <w:t>^</w:t>
            </w:r>
          </w:p>
        </w:tc>
        <w:tc>
          <w:tcPr>
            <w:tcW w:w="1559" w:type="dxa"/>
            <w:tcBorders>
              <w:top w:val="single" w:sz="2" w:space="0" w:color="BFBFBF"/>
              <w:bottom w:val="single" w:sz="2" w:space="0" w:color="BFBFBF"/>
            </w:tcBorders>
            <w:shd w:val="clear" w:color="auto" w:fill="auto"/>
            <w:vAlign w:val="center"/>
          </w:tcPr>
          <w:p w14:paraId="4BC43C41" w14:textId="3A4624B5" w:rsidR="007560F5" w:rsidRPr="006B5F4F" w:rsidRDefault="007560F5" w:rsidP="00345D93">
            <w:pPr>
              <w:pStyle w:val="TableTextLeft"/>
              <w:spacing w:before="0" w:after="0"/>
              <w:jc w:val="right"/>
              <w:rPr>
                <w:rFonts w:cs="Arial"/>
                <w:szCs w:val="16"/>
              </w:rPr>
            </w:pPr>
            <w:r w:rsidRPr="006B5F4F">
              <w:rPr>
                <w:rFonts w:cs="Arial"/>
                <w:szCs w:val="16"/>
              </w:rPr>
              <w:t>30 years</w:t>
            </w:r>
            <w:r w:rsidR="004F1B1F" w:rsidRPr="006B5F4F">
              <w:rPr>
                <w:rFonts w:cs="Arial"/>
                <w:szCs w:val="16"/>
                <w:vertAlign w:val="superscript"/>
              </w:rPr>
              <w:t>^</w:t>
            </w:r>
          </w:p>
        </w:tc>
        <w:tc>
          <w:tcPr>
            <w:tcW w:w="1276" w:type="dxa"/>
            <w:tcBorders>
              <w:top w:val="single" w:sz="2" w:space="0" w:color="BFBFBF"/>
              <w:bottom w:val="single" w:sz="2" w:space="0" w:color="BFBFBF"/>
            </w:tcBorders>
            <w:vAlign w:val="center"/>
          </w:tcPr>
          <w:p w14:paraId="424861CE" w14:textId="77777777" w:rsidR="007560F5" w:rsidRPr="006B5F4F" w:rsidRDefault="007560F5" w:rsidP="00345D93">
            <w:pPr>
              <w:pStyle w:val="TableTextLeft"/>
              <w:spacing w:before="0" w:after="0"/>
              <w:jc w:val="right"/>
              <w:rPr>
                <w:rFonts w:cs="Arial"/>
                <w:szCs w:val="16"/>
              </w:rPr>
            </w:pPr>
            <w:r w:rsidRPr="006B5F4F">
              <w:rPr>
                <w:rFonts w:cs="Arial"/>
                <w:szCs w:val="16"/>
              </w:rPr>
              <w:t>New</w:t>
            </w:r>
          </w:p>
        </w:tc>
      </w:tr>
    </w:tbl>
    <w:p w14:paraId="4F962D5B" w14:textId="06E6C71E" w:rsidR="00A21E7B" w:rsidRPr="006B5F4F" w:rsidRDefault="00C31162" w:rsidP="00F96E63">
      <w:pPr>
        <w:pStyle w:val="ChartandTableFootnote"/>
      </w:pPr>
      <w:r w:rsidRPr="006B5F4F">
        <w:t>*</w:t>
      </w:r>
      <w:r w:rsidR="0068364A" w:rsidRPr="006B5F4F">
        <w:t xml:space="preserve"> </w:t>
      </w:r>
      <w:r w:rsidRPr="006B5F4F">
        <w:tab/>
      </w:r>
      <w:r w:rsidR="00A21E7B" w:rsidRPr="006B5F4F">
        <w:t>Av</w:t>
      </w:r>
      <w:r w:rsidR="00622E64" w:rsidRPr="006B5F4F">
        <w:t>erage</w:t>
      </w:r>
    </w:p>
    <w:p w14:paraId="4F56E87B" w14:textId="416DEE5C" w:rsidR="00A21E7B" w:rsidRPr="006B5F4F" w:rsidRDefault="00A21E7B" w:rsidP="00F96E63">
      <w:pPr>
        <w:pStyle w:val="ChartandTableFootnote"/>
      </w:pPr>
      <w:r w:rsidRPr="006B5F4F">
        <w:rPr>
          <w:vertAlign w:val="superscript"/>
        </w:rPr>
        <w:t>#</w:t>
      </w:r>
      <w:r w:rsidR="0068364A" w:rsidRPr="006B5F4F">
        <w:t xml:space="preserve"> </w:t>
      </w:r>
      <w:r w:rsidR="0068364A" w:rsidRPr="006B5F4F">
        <w:tab/>
      </w:r>
      <w:proofErr w:type="gramStart"/>
      <w:r w:rsidRPr="006B5F4F">
        <w:t>To</w:t>
      </w:r>
      <w:proofErr w:type="gramEnd"/>
      <w:r w:rsidRPr="006B5F4F">
        <w:t xml:space="preserve"> be determined after sufficient numbers of </w:t>
      </w:r>
      <w:r w:rsidR="00622E64" w:rsidRPr="006B5F4F">
        <w:t>compulsory repayments commence.</w:t>
      </w:r>
    </w:p>
    <w:p w14:paraId="56F88037" w14:textId="315E1777" w:rsidR="004F1B1F" w:rsidRPr="006B5F4F" w:rsidRDefault="004F1B1F" w:rsidP="00F96E63">
      <w:pPr>
        <w:pStyle w:val="ChartandTableFootnote"/>
      </w:pPr>
      <w:r w:rsidRPr="006B5F4F">
        <w:t>^</w:t>
      </w:r>
      <w:r w:rsidR="0068364A" w:rsidRPr="006B5F4F">
        <w:t xml:space="preserve"> </w:t>
      </w:r>
      <w:r w:rsidR="00C31162" w:rsidRPr="006B5F4F">
        <w:tab/>
      </w:r>
      <w:r w:rsidRPr="006B5F4F">
        <w:t>Estimated</w:t>
      </w:r>
    </w:p>
    <w:p w14:paraId="01D91CFC" w14:textId="37DEE7ED" w:rsidR="00A21E7B" w:rsidRPr="006B5F4F" w:rsidRDefault="00A21E7B" w:rsidP="00F96E63">
      <w:pPr>
        <w:pStyle w:val="ChartandTableFootnoteAlpha"/>
        <w:numPr>
          <w:ilvl w:val="0"/>
          <w:numId w:val="26"/>
        </w:numPr>
      </w:pPr>
      <w:r w:rsidRPr="006B5F4F">
        <w:t>Loan amount is the estimated loan program amounts outstanding as at 30 June 201</w:t>
      </w:r>
      <w:r w:rsidR="009B332E" w:rsidRPr="006B5F4F">
        <w:t>8</w:t>
      </w:r>
      <w:r w:rsidR="00622E64" w:rsidRPr="006B5F4F">
        <w:t xml:space="preserve"> in $ million.</w:t>
      </w:r>
    </w:p>
    <w:p w14:paraId="0139B3BD" w14:textId="77777777" w:rsidR="004F6077" w:rsidRPr="006B5F4F" w:rsidRDefault="004F6077" w:rsidP="00C13FBC"/>
    <w:p w14:paraId="1DB0FD83" w14:textId="77777777" w:rsidR="0070534F" w:rsidRPr="006B5F4F" w:rsidRDefault="0070534F" w:rsidP="0070534F">
      <w:pPr>
        <w:sectPr w:rsidR="0070534F" w:rsidRPr="006B5F4F" w:rsidSect="00A624AD">
          <w:headerReference w:type="even" r:id="rId14"/>
          <w:headerReference w:type="default" r:id="rId15"/>
          <w:footerReference w:type="even" r:id="rId16"/>
          <w:footerReference w:type="default" r:id="rId17"/>
          <w:headerReference w:type="first" r:id="rId18"/>
          <w:footerReference w:type="first" r:id="rId19"/>
          <w:pgSz w:w="16840" w:h="11907" w:orient="landscape" w:code="9"/>
          <w:pgMar w:top="2098" w:right="2466" w:bottom="2098" w:left="2466" w:header="1531" w:footer="1531" w:gutter="0"/>
          <w:cols w:space="720"/>
          <w:titlePg/>
          <w:docGrid w:linePitch="272"/>
        </w:sectPr>
      </w:pPr>
    </w:p>
    <w:p w14:paraId="29FA5D5C" w14:textId="3F085143" w:rsidR="00314BA5" w:rsidRPr="006B5F4F" w:rsidRDefault="00030ACC" w:rsidP="00210C1E">
      <w:pPr>
        <w:pStyle w:val="Heading3"/>
      </w:pPr>
      <w:r w:rsidRPr="006B5F4F">
        <w:lastRenderedPageBreak/>
        <w:t>Higher Education Loan Program</w:t>
      </w:r>
    </w:p>
    <w:p w14:paraId="04DC4E55" w14:textId="34D1B935" w:rsidR="00BE0AE2" w:rsidRPr="006B5F4F" w:rsidRDefault="00BE0AE2" w:rsidP="00C31162">
      <w:pPr>
        <w:spacing w:after="230"/>
      </w:pPr>
      <w:r w:rsidRPr="006B5F4F">
        <w:t>The Higher Education Loan Program (HELP) is an income contingent loan program that assists eligible tertiary education students with the cost of their fees. As at 30</w:t>
      </w:r>
      <w:r w:rsidR="00831C54" w:rsidRPr="006B5F4F">
        <w:t> </w:t>
      </w:r>
      <w:r w:rsidRPr="006B5F4F">
        <w:t>June</w:t>
      </w:r>
      <w:r w:rsidR="00831C54" w:rsidRPr="006B5F4F">
        <w:t> </w:t>
      </w:r>
      <w:r w:rsidR="00990ED0" w:rsidRPr="006B5F4F">
        <w:t>2018</w:t>
      </w:r>
      <w:r w:rsidRPr="006B5F4F">
        <w:t xml:space="preserve">, the fair value of debt outstanding is estimated to be </w:t>
      </w:r>
      <w:r w:rsidR="00D65C41" w:rsidRPr="006B5F4F">
        <w:t>$43.3</w:t>
      </w:r>
      <w:r w:rsidRPr="006B5F4F">
        <w:t xml:space="preserve"> billion. The fair value takes into account the </w:t>
      </w:r>
      <w:proofErr w:type="spellStart"/>
      <w:r w:rsidRPr="006B5F4F">
        <w:t>concessionality</w:t>
      </w:r>
      <w:proofErr w:type="spellEnd"/>
      <w:r w:rsidRPr="006B5F4F">
        <w:t xml:space="preserve"> of HELP loans and makes an allowance for </w:t>
      </w:r>
      <w:r w:rsidR="00831C54" w:rsidRPr="006B5F4F">
        <w:t>debt not expected to be repaid.</w:t>
      </w:r>
    </w:p>
    <w:p w14:paraId="12B5BBAE" w14:textId="4A558F1D" w:rsidR="00BE0AE2" w:rsidRPr="006B5F4F" w:rsidRDefault="00BE0AE2" w:rsidP="00C31162">
      <w:pPr>
        <w:spacing w:after="230"/>
      </w:pPr>
      <w:r w:rsidRPr="006B5F4F">
        <w:t xml:space="preserve">Debts are indexed annually by the Consumer Price Index. The repayment term depends on individual circumstances including the amount borrowed and each debtor’s income. There were </w:t>
      </w:r>
      <w:r w:rsidR="00990ED0" w:rsidRPr="006B5F4F">
        <w:t>2,659,057</w:t>
      </w:r>
      <w:r w:rsidRPr="006B5F4F">
        <w:t xml:space="preserve"> HELP debtors as at 30 June </w:t>
      </w:r>
      <w:r w:rsidR="00990ED0" w:rsidRPr="006B5F4F">
        <w:t>2017</w:t>
      </w:r>
      <w:r w:rsidRPr="006B5F4F">
        <w:t xml:space="preserve">. The repayment term of a HELP debt can only be determined for people who have fully repaid their debt. As at the end of June </w:t>
      </w:r>
      <w:r w:rsidR="00990ED0" w:rsidRPr="006B5F4F">
        <w:t>2017</w:t>
      </w:r>
      <w:r w:rsidRPr="006B5F4F">
        <w:t xml:space="preserve">, the average time taken to repay HELP debts was </w:t>
      </w:r>
      <w:r w:rsidR="00990ED0" w:rsidRPr="006B5F4F">
        <w:t>8.9</w:t>
      </w:r>
      <w:r w:rsidR="00831C54" w:rsidRPr="006B5F4F">
        <w:t> years.</w:t>
      </w:r>
    </w:p>
    <w:p w14:paraId="60EDC528" w14:textId="6CBAE5DE" w:rsidR="0064094F" w:rsidRPr="006B5F4F" w:rsidRDefault="00BE0AE2" w:rsidP="00C31162">
      <w:pPr>
        <w:spacing w:after="230"/>
      </w:pPr>
      <w:r w:rsidRPr="006B5F4F">
        <w:t>HELP comprises a number of programs, including the VET Student Loans program, which replaced VET FEE-HELP from 1 January 2017.</w:t>
      </w:r>
    </w:p>
    <w:p w14:paraId="1CB187E8" w14:textId="77777777" w:rsidR="000612AC" w:rsidRPr="006B5F4F" w:rsidRDefault="000612AC" w:rsidP="00210C1E">
      <w:pPr>
        <w:pStyle w:val="Heading3"/>
      </w:pPr>
      <w:r w:rsidRPr="006B5F4F">
        <w:t>NBN Co Loan</w:t>
      </w:r>
    </w:p>
    <w:p w14:paraId="61B78E85" w14:textId="0D479E50" w:rsidR="00EC1D68" w:rsidRPr="006B5F4F" w:rsidRDefault="00EC1D68" w:rsidP="00C31162">
      <w:pPr>
        <w:spacing w:after="230"/>
      </w:pPr>
      <w:r w:rsidRPr="006B5F4F">
        <w:t>The Australian Government has provided a loan to NBN Co on commercial terms of up to $19.5 billion for the period from 1 July 2017 to 30 June 2021, with drawings available on a monthly basis. The loan has a fixed interest rate of 3.96</w:t>
      </w:r>
      <w:r w:rsidR="00831C54" w:rsidRPr="006B5F4F">
        <w:t> </w:t>
      </w:r>
      <w:r w:rsidRPr="006B5F4F">
        <w:t>per cent, with interest calculated daily and payable monthly over the life of the facility. The full principal amount of the loan is to be repaid by NBN Co on 30</w:t>
      </w:r>
      <w:r w:rsidR="00831C54" w:rsidRPr="006B5F4F">
        <w:t> </w:t>
      </w:r>
      <w:r w:rsidRPr="006B5F4F">
        <w:t>June</w:t>
      </w:r>
      <w:r w:rsidR="00831C54" w:rsidRPr="006B5F4F">
        <w:t> </w:t>
      </w:r>
      <w:r w:rsidR="00622E64" w:rsidRPr="006B5F4F">
        <w:t>2021.</w:t>
      </w:r>
    </w:p>
    <w:p w14:paraId="59E369D8" w14:textId="4A77D0F9" w:rsidR="000612AC" w:rsidRPr="006B5F4F" w:rsidRDefault="00EC1D68" w:rsidP="00C31162">
      <w:pPr>
        <w:spacing w:after="230"/>
      </w:pPr>
      <w:r w:rsidRPr="006B5F4F">
        <w:t>A Government loan on commercial terms represents the most cost effective way to raise necessary debt and secure funding to complete the rollout of this important national infrastructure project. A government loan will assist in ensuring NBN Co can focus on the remaining rollout as it significantly scales up toward completion in 2020.</w:t>
      </w:r>
    </w:p>
    <w:p w14:paraId="52B0EC28" w14:textId="77777777" w:rsidR="00121F6A" w:rsidRPr="006B5F4F" w:rsidRDefault="00121F6A" w:rsidP="00210C1E">
      <w:pPr>
        <w:pStyle w:val="Heading3"/>
      </w:pPr>
      <w:r w:rsidRPr="006B5F4F">
        <w:t>Clean Energy Finance Corporation</w:t>
      </w:r>
    </w:p>
    <w:p w14:paraId="68609245" w14:textId="4047D0D7" w:rsidR="00121F6A" w:rsidRPr="006B5F4F" w:rsidRDefault="00121F6A" w:rsidP="00C31162">
      <w:pPr>
        <w:spacing w:after="230"/>
      </w:pPr>
      <w:r w:rsidRPr="006B5F4F">
        <w:t xml:space="preserve">The Clean Energy Finance Corporation (CEFC) has developed a portfolio of loans and investments across the spectrum of clean energy technologies, as required by the </w:t>
      </w:r>
      <w:r w:rsidRPr="006B5F4F">
        <w:rPr>
          <w:i/>
        </w:rPr>
        <w:t>Clean Energy Finance Corporation Act 2012</w:t>
      </w:r>
      <w:r w:rsidRPr="006B5F4F">
        <w:t>. This portfolio has an acceptable but not excessive level of risk relative to the sector, as required under the Clean Energy Finance Corporation Investment Mandate Direction 20</w:t>
      </w:r>
      <w:r w:rsidR="00C2334D" w:rsidRPr="006B5F4F">
        <w:t>16 (No.2)</w:t>
      </w:r>
      <w:r w:rsidR="00622E64" w:rsidRPr="006B5F4F">
        <w:t>.</w:t>
      </w:r>
    </w:p>
    <w:p w14:paraId="5BD855CE" w14:textId="206F3471" w:rsidR="00121F6A" w:rsidRPr="006B5F4F" w:rsidRDefault="00121F6A" w:rsidP="00C31162">
      <w:pPr>
        <w:spacing w:after="230"/>
      </w:pPr>
      <w:r w:rsidRPr="006B5F4F">
        <w:t xml:space="preserve">The CEFC’s loan portfolio consists of predominantly senior ranking, secured loans, and secured project finance facilities, typically secured against energy generating assets such as wind or solar farms or biogas facilities or </w:t>
      </w:r>
      <w:r w:rsidR="00D42075" w:rsidRPr="006B5F4F">
        <w:t>energy efficiency assets</w:t>
      </w:r>
      <w:r w:rsidRPr="006B5F4F">
        <w:t xml:space="preserve">. The CEFC has predominantly made loans as a co-financier either jointly or in consortiums with private sector financial institutions. Interest rates vary with a current average expected return of approximately 4.6 per cent. Loans have various maturity dates, typically in the range of 5-15 years. As at 30 June </w:t>
      </w:r>
      <w:r w:rsidR="00256D98" w:rsidRPr="006B5F4F">
        <w:t xml:space="preserve">2018 </w:t>
      </w:r>
      <w:r w:rsidRPr="006B5F4F">
        <w:t xml:space="preserve">loans contracted and outstanding are expected to total </w:t>
      </w:r>
      <w:r w:rsidR="00256D98" w:rsidRPr="006B5F4F">
        <w:t>$2.0</w:t>
      </w:r>
      <w:r w:rsidR="00622E64" w:rsidRPr="006B5F4F">
        <w:t xml:space="preserve"> billion.</w:t>
      </w:r>
    </w:p>
    <w:p w14:paraId="04606208" w14:textId="77777777" w:rsidR="00507EFD" w:rsidRPr="006B5F4F" w:rsidRDefault="009E69EB" w:rsidP="00210C1E">
      <w:pPr>
        <w:pStyle w:val="Heading3"/>
      </w:pPr>
      <w:r w:rsidRPr="006B5F4F">
        <w:lastRenderedPageBreak/>
        <w:t>Commonwealth</w:t>
      </w:r>
      <w:r w:rsidR="000760DA" w:rsidRPr="006B5F4F">
        <w:noBreakHyphen/>
      </w:r>
      <w:r w:rsidRPr="006B5F4F">
        <w:t xml:space="preserve">State financing arrangements — </w:t>
      </w:r>
      <w:r w:rsidR="005E14AB" w:rsidRPr="006B5F4F">
        <w:t>Housing and S</w:t>
      </w:r>
      <w:r w:rsidR="0036365E" w:rsidRPr="006B5F4F">
        <w:t xml:space="preserve">pecific </w:t>
      </w:r>
      <w:r w:rsidR="005E14AB" w:rsidRPr="006B5F4F">
        <w:t>Purpose Capital</w:t>
      </w:r>
    </w:p>
    <w:p w14:paraId="009D893A" w14:textId="3B425113" w:rsidR="0064094F" w:rsidRPr="006B5F4F" w:rsidRDefault="0064094F" w:rsidP="00C31162">
      <w:pPr>
        <w:spacing w:after="220"/>
      </w:pPr>
      <w:r w:rsidRPr="006B5F4F">
        <w:t xml:space="preserve">From 1945 to 1989, the Australian Government made concessional advances to the State and Northern Territory Governments under Commonwealth-State financing arrangements for housing and for specific purpose capital. The advances are concessional fixed rate loans to be repaid over 53 years, with the last loans maturing in 2042. Annual payments, comprising both interest and principal repayment, are made by the States and the Northern Territory. As at 30 June </w:t>
      </w:r>
      <w:r w:rsidR="007D13C5" w:rsidRPr="006B5F4F">
        <w:t>2018</w:t>
      </w:r>
      <w:r w:rsidRPr="006B5F4F">
        <w:t xml:space="preserve">, the estimated amortised value of the advances is </w:t>
      </w:r>
      <w:r w:rsidR="007D13C5" w:rsidRPr="006B5F4F">
        <w:t>$1.79</w:t>
      </w:r>
      <w:r w:rsidR="00622E64" w:rsidRPr="006B5F4F">
        <w:t xml:space="preserve"> billion.</w:t>
      </w:r>
    </w:p>
    <w:p w14:paraId="36A63204" w14:textId="2CB23587" w:rsidR="0064094F" w:rsidRPr="006B5F4F" w:rsidRDefault="0064094F" w:rsidP="00C31162">
      <w:pPr>
        <w:spacing w:after="220"/>
      </w:pPr>
      <w:r w:rsidRPr="006B5F4F">
        <w:t xml:space="preserve">The Australian Office of Financial Management manages the receipt of interest and principal repayments from the State and </w:t>
      </w:r>
      <w:r w:rsidR="00622E64" w:rsidRPr="006B5F4F">
        <w:t>Northern Territory Governments.</w:t>
      </w:r>
    </w:p>
    <w:p w14:paraId="0EDE5DE9" w14:textId="13A4CBDD" w:rsidR="00FB0974" w:rsidRPr="006B5F4F" w:rsidRDefault="00FB0974" w:rsidP="00210C1E">
      <w:pPr>
        <w:pStyle w:val="Heading3"/>
      </w:pPr>
      <w:proofErr w:type="spellStart"/>
      <w:r w:rsidRPr="006B5F4F">
        <w:t>WestC</w:t>
      </w:r>
      <w:r w:rsidR="00622E64" w:rsidRPr="006B5F4F">
        <w:t>onnex</w:t>
      </w:r>
      <w:proofErr w:type="spellEnd"/>
      <w:r w:rsidR="00622E64" w:rsidRPr="006B5F4F">
        <w:t xml:space="preserve"> Stage 2 Concessional Loan</w:t>
      </w:r>
    </w:p>
    <w:p w14:paraId="03C56F4B" w14:textId="528D60B8" w:rsidR="00FB0974" w:rsidRPr="006B5F4F" w:rsidRDefault="00FB0974" w:rsidP="00C31162">
      <w:pPr>
        <w:spacing w:after="220"/>
      </w:pPr>
      <w:r w:rsidRPr="006B5F4F">
        <w:t xml:space="preserve">The </w:t>
      </w:r>
      <w:proofErr w:type="spellStart"/>
      <w:r w:rsidRPr="006B5F4F">
        <w:t>WestConnex</w:t>
      </w:r>
      <w:proofErr w:type="spellEnd"/>
      <w:r w:rsidRPr="006B5F4F">
        <w:t xml:space="preserve"> Concessional Loan is a $2 billion loan facility provided to WCX M5 </w:t>
      </w:r>
      <w:proofErr w:type="spellStart"/>
      <w:r w:rsidRPr="006B5F4F">
        <w:t>Finco</w:t>
      </w:r>
      <w:proofErr w:type="spellEnd"/>
      <w:r w:rsidRPr="006B5F4F">
        <w:t xml:space="preserve"> Pty Ltd, a company wholly owned by the Sydney Motorway Corporation, to accelerate Stage 2 of the </w:t>
      </w:r>
      <w:proofErr w:type="spellStart"/>
      <w:r w:rsidRPr="006B5F4F">
        <w:t>WestConnex</w:t>
      </w:r>
      <w:proofErr w:type="spellEnd"/>
      <w:r w:rsidRPr="006B5F4F">
        <w:t xml:space="preserve"> project. The concessional loan assisted in ensuring finance for the New M5 thereby accelerating delivery of Stage 2 and allowing Stage 1 and Stage 2 of the project to be built concurrently. Stage 2 comprises </w:t>
      </w:r>
      <w:r w:rsidR="00965036" w:rsidRPr="006B5F4F">
        <w:t xml:space="preserve">of </w:t>
      </w:r>
      <w:r w:rsidRPr="006B5F4F">
        <w:t xml:space="preserve">the King Georges Road Interchange Upgrade that is now complete and the New M5 </w:t>
      </w:r>
      <w:r w:rsidR="00622E64" w:rsidRPr="006B5F4F">
        <w:t>that is now under construction.</w:t>
      </w:r>
    </w:p>
    <w:p w14:paraId="0547E7F7" w14:textId="69FC19BE" w:rsidR="000F2E20" w:rsidRPr="006B5F4F" w:rsidRDefault="000637BB" w:rsidP="00210C1E">
      <w:pPr>
        <w:pStyle w:val="Heading3"/>
      </w:pPr>
      <w:r w:rsidRPr="006B5F4F">
        <w:t>Concessional l</w:t>
      </w:r>
      <w:r w:rsidR="000F2E20" w:rsidRPr="006B5F4F">
        <w:t xml:space="preserve">oan for </w:t>
      </w:r>
      <w:r w:rsidRPr="006B5F4F">
        <w:t>a</w:t>
      </w:r>
      <w:r w:rsidR="000F2E20" w:rsidRPr="006B5F4F">
        <w:t xml:space="preserve">sbestos removal in the ACT — Mr Fluffy </w:t>
      </w:r>
      <w:r w:rsidR="00622E64" w:rsidRPr="006B5F4F">
        <w:t>loose fill asbestos remediation</w:t>
      </w:r>
    </w:p>
    <w:p w14:paraId="329AB324" w14:textId="7637A205" w:rsidR="000F2E20" w:rsidRPr="006B5F4F" w:rsidRDefault="000F2E20" w:rsidP="00C31162">
      <w:pPr>
        <w:spacing w:after="220"/>
      </w:pPr>
      <w:r w:rsidRPr="006B5F4F">
        <w:t>On 27 January 2015, the Australian Government provided the ACT Government with a $1.0 billion concessional loan to deliver a program to buy-back and demolish houses in the ACT affected by Mr Fluff</w:t>
      </w:r>
      <w:r w:rsidR="00622E64" w:rsidRPr="006B5F4F">
        <w:t>y loose fill asbestos.</w:t>
      </w:r>
    </w:p>
    <w:p w14:paraId="73D73FB2" w14:textId="07748C95" w:rsidR="000F2E20" w:rsidRPr="006B5F4F" w:rsidRDefault="000F2E20" w:rsidP="00C31162">
      <w:pPr>
        <w:spacing w:after="220"/>
      </w:pPr>
      <w:r w:rsidRPr="006B5F4F">
        <w:t>The ACT Government will make annual repayments to the Australian Government from 2017-18 to 2023-24.</w:t>
      </w:r>
    </w:p>
    <w:p w14:paraId="5AF7103B" w14:textId="103A20A4" w:rsidR="000F2E20" w:rsidRPr="006B5F4F" w:rsidRDefault="000F2E20" w:rsidP="00210C1E">
      <w:pPr>
        <w:pStyle w:val="Heading3"/>
      </w:pPr>
      <w:r w:rsidRPr="006B5F4F">
        <w:t>Drought related and Farm Finance C</w:t>
      </w:r>
      <w:r w:rsidR="00622E64" w:rsidRPr="006B5F4F">
        <w:t>oncessional Loans – Agriculture</w:t>
      </w:r>
    </w:p>
    <w:p w14:paraId="533686D1" w14:textId="063063BB" w:rsidR="000F2E20" w:rsidRPr="006B5F4F" w:rsidRDefault="000F2E20" w:rsidP="00C31162">
      <w:pPr>
        <w:spacing w:after="220"/>
      </w:pPr>
      <w:r w:rsidRPr="006B5F4F">
        <w:t xml:space="preserve">As at 30 June </w:t>
      </w:r>
      <w:r w:rsidR="00AE5A1B" w:rsidRPr="006B5F4F">
        <w:t>2018</w:t>
      </w:r>
      <w:r w:rsidRPr="006B5F4F">
        <w:t xml:space="preserve">, the fair value of </w:t>
      </w:r>
      <w:r w:rsidR="00B104E1" w:rsidRPr="006B5F4F">
        <w:t>f</w:t>
      </w:r>
      <w:r w:rsidR="00AE5A1B" w:rsidRPr="006B5F4F">
        <w:t xml:space="preserve">arm </w:t>
      </w:r>
      <w:r w:rsidR="00B104E1" w:rsidRPr="006B5F4F">
        <w:t>b</w:t>
      </w:r>
      <w:r w:rsidR="00AE5A1B" w:rsidRPr="006B5F4F">
        <w:t xml:space="preserve">usiness, </w:t>
      </w:r>
      <w:r w:rsidRPr="006B5F4F">
        <w:t xml:space="preserve">drought and dairy farm related loans is estimated to total </w:t>
      </w:r>
      <w:r w:rsidR="00AE5A1B" w:rsidRPr="006B5F4F">
        <w:t xml:space="preserve">$888.1 </w:t>
      </w:r>
      <w:r w:rsidR="00622E64" w:rsidRPr="006B5F4F">
        <w:t>million. These include:</w:t>
      </w:r>
    </w:p>
    <w:p w14:paraId="6DDEE287" w14:textId="7416D8F9" w:rsidR="000F2E20" w:rsidRPr="006B5F4F" w:rsidRDefault="000F2E20" w:rsidP="00C31162">
      <w:pPr>
        <w:spacing w:after="220"/>
      </w:pPr>
      <w:r w:rsidRPr="006B5F4F">
        <w:rPr>
          <w:b/>
        </w:rPr>
        <w:t>Drought Concessional Loans Scheme:</w:t>
      </w:r>
      <w:r w:rsidRPr="006B5F4F">
        <w:t xml:space="preserve"> This scheme provide</w:t>
      </w:r>
      <w:r w:rsidR="00AE5A1B" w:rsidRPr="006B5F4F">
        <w:t>d</w:t>
      </w:r>
      <w:r w:rsidRPr="006B5F4F">
        <w:t xml:space="preserve"> loans to drought affected farm businesses for debt restructuring, operating expenses and drought recovery and preparedness activities. The scheme </w:t>
      </w:r>
      <w:r w:rsidR="00B349E5" w:rsidRPr="006B5F4F">
        <w:t xml:space="preserve">commenced in June 2014 as a </w:t>
      </w:r>
      <w:r w:rsidRPr="006B5F4F">
        <w:t xml:space="preserve">loans scheme </w:t>
      </w:r>
      <w:r w:rsidR="00F83B32" w:rsidRPr="006B5F4F">
        <w:t xml:space="preserve">available for two years </w:t>
      </w:r>
      <w:r w:rsidRPr="006B5F4F">
        <w:t>and operated in Queensland, Victoria, New</w:t>
      </w:r>
      <w:r w:rsidR="00C31162" w:rsidRPr="006B5F4F">
        <w:t> </w:t>
      </w:r>
      <w:r w:rsidRPr="006B5F4F">
        <w:t>South</w:t>
      </w:r>
      <w:r w:rsidR="00C31162" w:rsidRPr="006B5F4F">
        <w:t> </w:t>
      </w:r>
      <w:r w:rsidRPr="006B5F4F">
        <w:t>Wales, South Australia, Western Australia, Tasmania and the Northern</w:t>
      </w:r>
      <w:r w:rsidR="00C31162" w:rsidRPr="006B5F4F">
        <w:t> </w:t>
      </w:r>
      <w:r w:rsidRPr="006B5F4F">
        <w:t>Territory. The Government extended the application period until 31</w:t>
      </w:r>
      <w:r w:rsidR="00C31162" w:rsidRPr="006B5F4F">
        <w:t> </w:t>
      </w:r>
      <w:r w:rsidRPr="006B5F4F">
        <w:t>October</w:t>
      </w:r>
      <w:r w:rsidR="00C31162" w:rsidRPr="006B5F4F">
        <w:t> </w:t>
      </w:r>
      <w:r w:rsidRPr="006B5F4F">
        <w:t>2016 to cover the period until the new 10-year Drought Concessional Loans Scheme was able to commence on 1</w:t>
      </w:r>
      <w:r w:rsidR="00EE7D08" w:rsidRPr="006B5F4F">
        <w:t> </w:t>
      </w:r>
      <w:r w:rsidRPr="006B5F4F">
        <w:t>November</w:t>
      </w:r>
      <w:r w:rsidR="00EE7D08" w:rsidRPr="006B5F4F">
        <w:t> </w:t>
      </w:r>
      <w:r w:rsidRPr="006B5F4F">
        <w:t>2016. The Government also extended the Western Australian application period for the Drought Concessional Loa</w:t>
      </w:r>
      <w:r w:rsidR="00622E64" w:rsidRPr="006B5F4F">
        <w:t>ns Scheme until 30 June 2017.</w:t>
      </w:r>
    </w:p>
    <w:p w14:paraId="1AA556BF" w14:textId="7ECCA2CA" w:rsidR="000F2E20" w:rsidRPr="006B5F4F" w:rsidRDefault="000F2E20" w:rsidP="00502112">
      <w:r w:rsidRPr="006B5F4F">
        <w:lastRenderedPageBreak/>
        <w:t xml:space="preserve">As at 1 </w:t>
      </w:r>
      <w:r w:rsidR="00AE5A1B" w:rsidRPr="006B5F4F">
        <w:t xml:space="preserve">August </w:t>
      </w:r>
      <w:r w:rsidRPr="006B5F4F">
        <w:t xml:space="preserve">2017, the interest rate is </w:t>
      </w:r>
      <w:r w:rsidR="00AE5A1B" w:rsidRPr="006B5F4F">
        <w:t xml:space="preserve">3.01 </w:t>
      </w:r>
      <w:r w:rsidRPr="006B5F4F">
        <w:t>per cent, reviewed on a six-monthly basis and revised in accordance with material changes in the five-year Commonwealth bond rate. Loans have a maximum term of five years, with an extenuating circumstances clause in some jurisdictions, which allows a maximum two-year extension to the loan at commercial rates.</w:t>
      </w:r>
    </w:p>
    <w:p w14:paraId="53FDA10C" w14:textId="1D19EB26" w:rsidR="000F2E20" w:rsidRPr="006B5F4F" w:rsidRDefault="000F2E20" w:rsidP="00502112">
      <w:r w:rsidRPr="006B5F4F">
        <w:rPr>
          <w:b/>
        </w:rPr>
        <w:t>Drought Recovery and Dairy Recovery Concessional Loans Scheme(s):</w:t>
      </w:r>
      <w:r w:rsidRPr="006B5F4F">
        <w:t xml:space="preserve"> The drought recovery component of this scheme provided loans to farm businesses affected by unprecedented drought or, where applicable, Queensland farm businesses directly impacted by the combined effects of drought and the mid-2011 disruption to live cattle exports to Indonesia. The loans </w:t>
      </w:r>
      <w:r w:rsidR="00AE5A1B" w:rsidRPr="006B5F4F">
        <w:t xml:space="preserve">funded </w:t>
      </w:r>
      <w:r w:rsidRPr="006B5F4F">
        <w:t>planting and restocking activities and associated expenses, when seasonal conditions allow. The loans were available from January 2015 and in 2014-15 operated in Queensland and New South Wales. In</w:t>
      </w:r>
      <w:r w:rsidR="00C31162" w:rsidRPr="006B5F4F">
        <w:br/>
      </w:r>
      <w:r w:rsidRPr="006B5F4F">
        <w:t>2015-16</w:t>
      </w:r>
      <w:r w:rsidR="00EE7D08" w:rsidRPr="006B5F4F">
        <w:t>,</w:t>
      </w:r>
      <w:r w:rsidRPr="006B5F4F">
        <w:t xml:space="preserve"> drought recovery concessional loans were available in Queensland, New</w:t>
      </w:r>
      <w:r w:rsidR="00C31162" w:rsidRPr="006B5F4F">
        <w:t> </w:t>
      </w:r>
      <w:r w:rsidRPr="006B5F4F">
        <w:t>South Wales</w:t>
      </w:r>
      <w:r w:rsidR="00622E64" w:rsidRPr="006B5F4F">
        <w:t>, South Australia and Tasmania.</w:t>
      </w:r>
    </w:p>
    <w:p w14:paraId="44182406" w14:textId="7D23E9BF" w:rsidR="000F2E20" w:rsidRPr="006B5F4F" w:rsidRDefault="000F2E20" w:rsidP="00502112">
      <w:r w:rsidRPr="006B5F4F">
        <w:t>The dairy recovery component of this scheme provided concessional loans to dairy farm businesses affected by the 2016 reduction in farm gate milk prices by Murray</w:t>
      </w:r>
      <w:r w:rsidR="00C31162" w:rsidRPr="006B5F4F">
        <w:t> </w:t>
      </w:r>
      <w:r w:rsidRPr="006B5F4F">
        <w:t xml:space="preserve">Goulburn, Fonterra and National Dairy Products. Loans were available for debt restructuring, providing new debt for operating expenses or productivity enhancement activities, or a combination of these purposes. Dairy recovery concessional loans became available in Victoria, New South Wales, South Australia and Tasmania from June 2016. Applications closed on 31 October 2016. </w:t>
      </w:r>
      <w:r w:rsidR="00AE5A1B" w:rsidRPr="006B5F4F">
        <w:t>A d</w:t>
      </w:r>
      <w:r w:rsidRPr="006B5F4F">
        <w:t xml:space="preserve">airy </w:t>
      </w:r>
      <w:r w:rsidR="00AE5A1B" w:rsidRPr="006B5F4F">
        <w:t>r</w:t>
      </w:r>
      <w:r w:rsidRPr="006B5F4F">
        <w:t xml:space="preserve">ecovery </w:t>
      </w:r>
      <w:r w:rsidR="00AE5A1B" w:rsidRPr="006B5F4F">
        <w:t>c</w:t>
      </w:r>
      <w:r w:rsidRPr="006B5F4F">
        <w:t xml:space="preserve">oncessional </w:t>
      </w:r>
      <w:r w:rsidR="00AE5A1B" w:rsidRPr="006B5F4F">
        <w:t>l</w:t>
      </w:r>
      <w:r w:rsidRPr="006B5F4F">
        <w:t xml:space="preserve">oan </w:t>
      </w:r>
      <w:r w:rsidR="00AE5A1B" w:rsidRPr="006B5F4F">
        <w:t xml:space="preserve">product </w:t>
      </w:r>
      <w:r w:rsidRPr="006B5F4F">
        <w:t>remain</w:t>
      </w:r>
      <w:r w:rsidR="00AE5A1B" w:rsidRPr="006B5F4F">
        <w:t>s</w:t>
      </w:r>
      <w:r w:rsidRPr="006B5F4F">
        <w:t xml:space="preserve"> available under the Farm Business Concessional Loans Scheme until 30 June </w:t>
      </w:r>
      <w:r w:rsidR="00AE5A1B" w:rsidRPr="006B5F4F">
        <w:t>2018</w:t>
      </w:r>
      <w:r w:rsidR="00622E64" w:rsidRPr="006B5F4F">
        <w:t>.</w:t>
      </w:r>
    </w:p>
    <w:p w14:paraId="6D2ACBC6" w14:textId="41BA0A89" w:rsidR="000F2E20" w:rsidRPr="006B5F4F" w:rsidRDefault="000F2E20" w:rsidP="00502112">
      <w:r w:rsidRPr="006B5F4F">
        <w:t xml:space="preserve">As at 1 </w:t>
      </w:r>
      <w:r w:rsidR="00AE5A1B" w:rsidRPr="006B5F4F">
        <w:t xml:space="preserve">August </w:t>
      </w:r>
      <w:r w:rsidRPr="006B5F4F">
        <w:t xml:space="preserve">2017, the interest rate is </w:t>
      </w:r>
      <w:r w:rsidR="00AE5A1B" w:rsidRPr="006B5F4F">
        <w:t>2.69</w:t>
      </w:r>
      <w:r w:rsidRPr="006B5F4F">
        <w:t xml:space="preserve"> per cent, reviewed on a six-monthly basis and revised in accordance with changes in the 10-year Commonwealth bond rate. Loans have a maximum term of 10 years with interest-only payments required for the first five years. Principal and interest repayments will be made in the remaining five</w:t>
      </w:r>
      <w:r w:rsidR="00C31162" w:rsidRPr="006B5F4F">
        <w:t> </w:t>
      </w:r>
      <w:r w:rsidR="00622E64" w:rsidRPr="006B5F4F">
        <w:t>years of the loan term.</w:t>
      </w:r>
    </w:p>
    <w:p w14:paraId="1DD863B7" w14:textId="56F2D443" w:rsidR="000F2E20" w:rsidRPr="006B5F4F" w:rsidRDefault="000F2E20" w:rsidP="00502112">
      <w:r w:rsidRPr="006B5F4F">
        <w:rPr>
          <w:b/>
        </w:rPr>
        <w:t>Farm Business Concessional Loans Scheme:</w:t>
      </w:r>
      <w:r w:rsidRPr="006B5F4F">
        <w:t xml:space="preserve"> This scheme provides </w:t>
      </w:r>
      <w:r w:rsidR="00DC2749" w:rsidRPr="006B5F4F">
        <w:t xml:space="preserve">three </w:t>
      </w:r>
      <w:r w:rsidRPr="006B5F4F">
        <w:t>types of concessional loans — drought assistance</w:t>
      </w:r>
      <w:r w:rsidR="00DC2749" w:rsidRPr="006B5F4F">
        <w:t xml:space="preserve">, </w:t>
      </w:r>
      <w:r w:rsidRPr="006B5F4F">
        <w:t>dairy recovery</w:t>
      </w:r>
      <w:r w:rsidR="00DC2749" w:rsidRPr="006B5F4F">
        <w:t xml:space="preserve"> and business improvement</w:t>
      </w:r>
      <w:r w:rsidRPr="006B5F4F">
        <w:t>. This scheme is designed to cover a farmer’s short-term needs when income is tight and to supplement, rather th</w:t>
      </w:r>
      <w:r w:rsidR="00622E64" w:rsidRPr="006B5F4F">
        <w:t>an replace, commercial finance.</w:t>
      </w:r>
    </w:p>
    <w:p w14:paraId="117635D4" w14:textId="12293EB3" w:rsidR="000F2E20" w:rsidRPr="006B5F4F" w:rsidRDefault="000F2E20" w:rsidP="00502112">
      <w:r w:rsidRPr="006B5F4F">
        <w:t>Drought assistance concessional loans are available in Queensland, New South Wales, Victoria, South Australia, Tasmania and the Northern Territory. Loans are available for debt restructuring, operating expenses, drought preparedness activities or drought recovery activities or a</w:t>
      </w:r>
      <w:r w:rsidR="00622E64" w:rsidRPr="006B5F4F">
        <w:t xml:space="preserve"> combination of these purposes.</w:t>
      </w:r>
    </w:p>
    <w:p w14:paraId="61D95344" w14:textId="77777777" w:rsidR="00C31162" w:rsidRPr="006B5F4F" w:rsidRDefault="00C31162">
      <w:pPr>
        <w:spacing w:after="0" w:line="240" w:lineRule="auto"/>
        <w:jc w:val="left"/>
      </w:pPr>
      <w:r w:rsidRPr="006B5F4F">
        <w:br w:type="page"/>
      </w:r>
    </w:p>
    <w:p w14:paraId="7EFBD164" w14:textId="5161762D" w:rsidR="00DC2749" w:rsidRPr="006B5F4F" w:rsidRDefault="00DC2749" w:rsidP="00502112">
      <w:r w:rsidRPr="006B5F4F">
        <w:lastRenderedPageBreak/>
        <w:t>Business improvement concessional loans are available in Queensland, New</w:t>
      </w:r>
      <w:r w:rsidR="00C31162" w:rsidRPr="006B5F4F">
        <w:t> </w:t>
      </w:r>
      <w:r w:rsidRPr="006B5F4F">
        <w:t>South</w:t>
      </w:r>
      <w:r w:rsidR="00C31162" w:rsidRPr="006B5F4F">
        <w:t> </w:t>
      </w:r>
      <w:r w:rsidRPr="006B5F4F">
        <w:t>Wales, Victoria, South Australia, Tasmania and the Northern Territory. Loans are available for eligible Farm Household Allowance (FHA) recipients who are recovering from financial hardship and who have exhausted, or will exhaust, by 30</w:t>
      </w:r>
      <w:r w:rsidR="00C31162" w:rsidRPr="006B5F4F">
        <w:t> </w:t>
      </w:r>
      <w:r w:rsidRPr="006B5F4F">
        <w:t xml:space="preserve">June 2018, </w:t>
      </w:r>
      <w:r w:rsidR="00791D2C" w:rsidRPr="006B5F4F">
        <w:t>t</w:t>
      </w:r>
      <w:r w:rsidRPr="006B5F4F">
        <w:t>heir FHA 1,095-day income support entitlement. These loans a</w:t>
      </w:r>
      <w:r w:rsidR="00622E64" w:rsidRPr="006B5F4F">
        <w:t>re for debt restructuring only.</w:t>
      </w:r>
    </w:p>
    <w:p w14:paraId="1D9CDF31" w14:textId="3E37B7AB" w:rsidR="000F2E20" w:rsidRPr="006B5F4F" w:rsidRDefault="000F2E20" w:rsidP="00502112">
      <w:r w:rsidRPr="006B5F4F">
        <w:t>Dairy recovery concessional loans are available in New South Wales, Victoria, South</w:t>
      </w:r>
      <w:r w:rsidR="00C31162" w:rsidRPr="006B5F4F">
        <w:t> </w:t>
      </w:r>
      <w:r w:rsidRPr="006B5F4F">
        <w:t>Australia and Tasmania</w:t>
      </w:r>
      <w:r w:rsidR="00DC2749" w:rsidRPr="006B5F4F">
        <w:t xml:space="preserve"> to eligible suppliers of Murray Goulburn, Fonterra and National Dairy Products</w:t>
      </w:r>
      <w:r w:rsidRPr="006B5F4F">
        <w:t>. Loans are available for debt restructuring, providing new debt for operating expenses, productivity enhancement activities or a</w:t>
      </w:r>
      <w:r w:rsidR="00622E64" w:rsidRPr="006B5F4F">
        <w:t xml:space="preserve"> combination of these purposes.</w:t>
      </w:r>
    </w:p>
    <w:p w14:paraId="262B2A00" w14:textId="0DFFE676" w:rsidR="000F2E20" w:rsidRPr="006B5F4F" w:rsidRDefault="000F2E20" w:rsidP="00502112">
      <w:r w:rsidRPr="006B5F4F">
        <w:t xml:space="preserve">As at 1 </w:t>
      </w:r>
      <w:r w:rsidR="00DC2749" w:rsidRPr="006B5F4F">
        <w:t xml:space="preserve">August </w:t>
      </w:r>
      <w:r w:rsidRPr="006B5F4F">
        <w:t xml:space="preserve">2017, the interest rate is </w:t>
      </w:r>
      <w:r w:rsidR="00DC2749" w:rsidRPr="006B5F4F">
        <w:t>3.09</w:t>
      </w:r>
      <w:r w:rsidRPr="006B5F4F">
        <w:t xml:space="preserve"> per cent, reviewed on a six-monthly basis and revised in accordance with changes in the 10-year Commonwealth bond rate. Loans have a maximum term of 10 years.</w:t>
      </w:r>
    </w:p>
    <w:p w14:paraId="60F71B9D" w14:textId="33D2E957" w:rsidR="000F2E20" w:rsidRPr="006B5F4F" w:rsidRDefault="000F2E20" w:rsidP="00502112">
      <w:r w:rsidRPr="006B5F4F">
        <w:rPr>
          <w:b/>
        </w:rPr>
        <w:t>Farm Finance Concessional Loans Scheme:</w:t>
      </w:r>
      <w:r w:rsidRPr="006B5F4F">
        <w:t xml:space="preserve"> This scheme provided concessional loans to eligible farm businesses experiencing financial difficulties that were considered commercially viable in the long term, and were for productivity enhancements and debt restructuring. Applications for Farm Finance Concessional Loans closed on 30</w:t>
      </w:r>
      <w:r w:rsidR="00C31162" w:rsidRPr="006B5F4F">
        <w:t> </w:t>
      </w:r>
      <w:r w:rsidR="00622E64" w:rsidRPr="006B5F4F">
        <w:t>June 2015.</w:t>
      </w:r>
    </w:p>
    <w:p w14:paraId="02EB392B" w14:textId="7C1015A5" w:rsidR="000F2E20" w:rsidRPr="006B5F4F" w:rsidRDefault="000F2E20" w:rsidP="00502112">
      <w:r w:rsidRPr="006B5F4F">
        <w:t xml:space="preserve">As at 1 </w:t>
      </w:r>
      <w:r w:rsidR="00865A6A" w:rsidRPr="006B5F4F">
        <w:t xml:space="preserve">August </w:t>
      </w:r>
      <w:r w:rsidRPr="006B5F4F">
        <w:t xml:space="preserve">2017, the interest rate is </w:t>
      </w:r>
      <w:r w:rsidR="00865A6A" w:rsidRPr="006B5F4F">
        <w:t>3.51</w:t>
      </w:r>
      <w:r w:rsidRPr="006B5F4F">
        <w:t xml:space="preserve"> per cent, reviewed on a six-monthly basis and revised in accordance with material changes in the five-year Commonwealth bond rate. Loans have a maximum term of five years, with an extenuating circumstances clause in some jurisdictions, which allows a maximum two-year extension to the loan, on commercial terms.</w:t>
      </w:r>
    </w:p>
    <w:p w14:paraId="551EBBBA" w14:textId="41224EEF" w:rsidR="00121F6A" w:rsidRPr="006B5F4F" w:rsidRDefault="00121F6A" w:rsidP="00210C1E">
      <w:pPr>
        <w:pStyle w:val="Heading3"/>
      </w:pPr>
      <w:r w:rsidRPr="006B5F4F">
        <w:t>Indigenous Home Ownership, Busi</w:t>
      </w:r>
      <w:r w:rsidR="00622E64" w:rsidRPr="006B5F4F">
        <w:t>ness Development and Assistance</w:t>
      </w:r>
    </w:p>
    <w:p w14:paraId="1714C110" w14:textId="0873937D" w:rsidR="00121F6A" w:rsidRPr="006B5F4F" w:rsidRDefault="00121F6A" w:rsidP="00121F6A">
      <w:r w:rsidRPr="006B5F4F">
        <w:t>Indigenous Business Australia delivers flexible loans with concessional interest rates to improve Indigenous home ownership across Australia, including in remote Indigenous communities. Indigenous Business Australia also provides concessional interest rate business loans and business support to increase Indigenous ownership of small to medium sized enterprises, and support their sustainability and growth. As at 30</w:t>
      </w:r>
      <w:r w:rsidR="00F17BCF" w:rsidRPr="006B5F4F">
        <w:t> </w:t>
      </w:r>
      <w:r w:rsidRPr="006B5F4F">
        <w:t>June</w:t>
      </w:r>
      <w:r w:rsidR="00F17BCF" w:rsidRPr="006B5F4F">
        <w:t> 2018</w:t>
      </w:r>
      <w:r w:rsidRPr="006B5F4F">
        <w:t xml:space="preserve">, the fair value of outstanding loans for Indigenous Home Ownership and Business Development and Assistance is estimated to total </w:t>
      </w:r>
      <w:r w:rsidR="00F17BCF" w:rsidRPr="006B5F4F">
        <w:t>$736</w:t>
      </w:r>
      <w:r w:rsidR="00622E64" w:rsidRPr="006B5F4F">
        <w:t xml:space="preserve"> million.</w:t>
      </w:r>
    </w:p>
    <w:p w14:paraId="14FCE603" w14:textId="5D2B1BB9" w:rsidR="00502112" w:rsidRPr="006B5F4F" w:rsidRDefault="00502112" w:rsidP="00210C1E">
      <w:pPr>
        <w:pStyle w:val="Heading3"/>
      </w:pPr>
      <w:r w:rsidRPr="006B5F4F">
        <w:t xml:space="preserve">International Monetary </w:t>
      </w:r>
      <w:r w:rsidR="00622E64" w:rsidRPr="006B5F4F">
        <w:t>Fund New Arrangements to Borrow</w:t>
      </w:r>
    </w:p>
    <w:p w14:paraId="4510CE32" w14:textId="20679560" w:rsidR="00502112" w:rsidRPr="006B5F4F" w:rsidRDefault="00502112" w:rsidP="00C31162">
      <w:pPr>
        <w:spacing w:after="220"/>
      </w:pPr>
      <w:r w:rsidRPr="006B5F4F">
        <w:t xml:space="preserve">Australia has made a line of credit available to the International Monetary Fund (IMF) under its New Arrangements to Borrow (NAB) since 1998. On 4 November 2016, the </w:t>
      </w:r>
      <w:r w:rsidR="005245B7" w:rsidRPr="006B5F4F">
        <w:t xml:space="preserve">IMF Executive Board agreed to renew the </w:t>
      </w:r>
      <w:r w:rsidRPr="006B5F4F">
        <w:t xml:space="preserve">NAB for an additional five year period to </w:t>
      </w:r>
      <w:r w:rsidR="005245B7" w:rsidRPr="006B5F4F">
        <w:t>16 </w:t>
      </w:r>
      <w:r w:rsidRPr="006B5F4F">
        <w:t xml:space="preserve">November 2022. The NAB is a contingent loan to help ensure that the IMF has the resources available to maintain stability and support recovery in the global economy. The funds are drawn upon by the IMF as needed to supplement the IMF’s usual quota </w:t>
      </w:r>
      <w:r w:rsidRPr="006B5F4F">
        <w:lastRenderedPageBreak/>
        <w:t xml:space="preserve">resources and will be repaid in full with interest. It is expected that the fair value of loans outstanding to Australia will be approximately </w:t>
      </w:r>
      <w:proofErr w:type="gramStart"/>
      <w:r w:rsidR="00F17BCF" w:rsidRPr="006B5F4F">
        <w:t>A$</w:t>
      </w:r>
      <w:proofErr w:type="gramEnd"/>
      <w:r w:rsidR="00F17BCF" w:rsidRPr="006B5F4F">
        <w:t>474</w:t>
      </w:r>
      <w:r w:rsidRPr="006B5F4F">
        <w:t xml:space="preserve"> million as at 30 June </w:t>
      </w:r>
      <w:r w:rsidR="00F17BCF" w:rsidRPr="006B5F4F">
        <w:t>2018</w:t>
      </w:r>
      <w:r w:rsidR="00622E64" w:rsidRPr="006B5F4F">
        <w:t>.</w:t>
      </w:r>
    </w:p>
    <w:p w14:paraId="5C7AD76C" w14:textId="0FAF7C2E" w:rsidR="00A80E10" w:rsidRPr="006B5F4F" w:rsidRDefault="00622E64" w:rsidP="00210C1E">
      <w:pPr>
        <w:pStyle w:val="Heading3"/>
      </w:pPr>
      <w:r w:rsidRPr="006B5F4F">
        <w:t>Trade Support Loans Program</w:t>
      </w:r>
    </w:p>
    <w:p w14:paraId="6FA741BE" w14:textId="3D44950A" w:rsidR="00A80E10" w:rsidRPr="006B5F4F" w:rsidRDefault="00A80E10" w:rsidP="00C31162">
      <w:pPr>
        <w:spacing w:after="220"/>
      </w:pPr>
      <w:r w:rsidRPr="006B5F4F">
        <w:t>The Trade Support Loans Program is an income contingent, concessional loan program that assists eligible Australian Apprentices by providing financial support of up to $20,420 to assist with the costs of living, learning and undertaking an apprenticeship</w:t>
      </w:r>
      <w:r w:rsidR="00605956" w:rsidRPr="006B5F4F">
        <w:t xml:space="preserve">, helping apprentices to </w:t>
      </w:r>
      <w:r w:rsidRPr="006B5F4F">
        <w:t>focus on completing a trade qualification</w:t>
      </w:r>
      <w:r w:rsidR="00622E64" w:rsidRPr="006B5F4F">
        <w:t>.</w:t>
      </w:r>
    </w:p>
    <w:p w14:paraId="7E920B5C" w14:textId="79F1F3C7" w:rsidR="00A80E10" w:rsidRPr="006B5F4F" w:rsidRDefault="00A80E10" w:rsidP="00C31162">
      <w:pPr>
        <w:spacing w:after="220"/>
      </w:pPr>
      <w:r w:rsidRPr="006B5F4F">
        <w:t>Eligible Australian Apprentices can access up to $8,168 in the first year, $6,126 in the second, $4,084 in the third and $2,042 in the fourth year</w:t>
      </w:r>
      <w:r w:rsidR="00605956" w:rsidRPr="006B5F4F">
        <w:t xml:space="preserve"> of their apprenticeships</w:t>
      </w:r>
      <w:r w:rsidRPr="006B5F4F">
        <w:t xml:space="preserve">. The lifetime limit of $20,000 was indexed on 1 July 2017 and will </w:t>
      </w:r>
      <w:r w:rsidR="00605956" w:rsidRPr="006B5F4F">
        <w:t xml:space="preserve">continue to </w:t>
      </w:r>
      <w:r w:rsidRPr="006B5F4F">
        <w:t xml:space="preserve">be indexed annually on 1 July to </w:t>
      </w:r>
      <w:r w:rsidR="00622E64" w:rsidRPr="006B5F4F">
        <w:t>maintain its real value.</w:t>
      </w:r>
    </w:p>
    <w:p w14:paraId="43CAB3A5" w14:textId="52221FCA" w:rsidR="00A80E10" w:rsidRPr="006B5F4F" w:rsidRDefault="00A80E10" w:rsidP="00C31162">
      <w:pPr>
        <w:spacing w:after="220"/>
      </w:pPr>
      <w:r w:rsidRPr="006B5F4F">
        <w:t xml:space="preserve">As an incentive to finish their training, apprentices who successfully complete their apprenticeships are eligible </w:t>
      </w:r>
      <w:r w:rsidR="00F04A88" w:rsidRPr="006B5F4F">
        <w:t>for a</w:t>
      </w:r>
      <w:r w:rsidRPr="006B5F4F">
        <w:t xml:space="preserve"> 20 per cent discount on the</w:t>
      </w:r>
      <w:r w:rsidR="00605956" w:rsidRPr="006B5F4F">
        <w:t>ir</w:t>
      </w:r>
      <w:r w:rsidRPr="006B5F4F">
        <w:t xml:space="preserve"> loan. The loans become repayable at the same thresholds as the Higher Education Loan Program, which is $55,874 in 2017-18. This is a demand driven program.</w:t>
      </w:r>
    </w:p>
    <w:p w14:paraId="02792C37" w14:textId="2F4BF347" w:rsidR="00502112" w:rsidRPr="006B5F4F" w:rsidRDefault="00502112" w:rsidP="00210C1E">
      <w:pPr>
        <w:pStyle w:val="Heading3"/>
      </w:pPr>
      <w:r w:rsidRPr="006B5F4F">
        <w:t>Stud</w:t>
      </w:r>
      <w:r w:rsidR="00622E64" w:rsidRPr="006B5F4F">
        <w:t>ent Financial Supplement Scheme</w:t>
      </w:r>
    </w:p>
    <w:p w14:paraId="7DA1F685" w14:textId="0FC0AE02" w:rsidR="00502112" w:rsidRPr="006B5F4F" w:rsidRDefault="00502112" w:rsidP="00C31162">
      <w:pPr>
        <w:spacing w:after="220"/>
      </w:pPr>
      <w:r w:rsidRPr="006B5F4F">
        <w:t>The Student Financial Supplement Scheme (SFSS) was a program under which student income support recipients could trade one dollar of entitlement for two dollars provided as an income contingent loan. The program closed for new recipients on 1</w:t>
      </w:r>
      <w:r w:rsidR="00C31162" w:rsidRPr="006B5F4F">
        <w:t> </w:t>
      </w:r>
      <w:r w:rsidRPr="006B5F4F">
        <w:t xml:space="preserve">January 2004. The outstanding debt relates to debtors who received loans prior to 2004. </w:t>
      </w:r>
      <w:r w:rsidR="00C71EBB" w:rsidRPr="006B5F4F">
        <w:t>Debtors are required to start repaying their SFSS loan once they earn more than $55,874 for 2017-18.</w:t>
      </w:r>
      <w:r w:rsidR="00F17BCF" w:rsidRPr="006B5F4F">
        <w:t xml:space="preserve"> </w:t>
      </w:r>
      <w:r w:rsidRPr="006B5F4F">
        <w:t xml:space="preserve">As at 30 June </w:t>
      </w:r>
      <w:r w:rsidR="00F17BCF" w:rsidRPr="006B5F4F">
        <w:t>2018</w:t>
      </w:r>
      <w:r w:rsidRPr="006B5F4F">
        <w:t xml:space="preserve">, the fair value of loans outstanding is estimated to total </w:t>
      </w:r>
      <w:r w:rsidR="00F17BCF" w:rsidRPr="006B5F4F">
        <w:t>$310</w:t>
      </w:r>
      <w:r w:rsidRPr="006B5F4F">
        <w:t xml:space="preserve"> million.</w:t>
      </w:r>
    </w:p>
    <w:p w14:paraId="5514CC0F" w14:textId="509A1763" w:rsidR="00121F6A" w:rsidRPr="006B5F4F" w:rsidRDefault="00121F6A" w:rsidP="00210C1E">
      <w:pPr>
        <w:pStyle w:val="Heading3"/>
      </w:pPr>
      <w:r w:rsidRPr="006B5F4F">
        <w:t>Indigenous Land Corporation-Voyages Indig</w:t>
      </w:r>
      <w:r w:rsidR="00622E64" w:rsidRPr="006B5F4F">
        <w:t>enous Tourism Australia Pty Ltd</w:t>
      </w:r>
    </w:p>
    <w:p w14:paraId="5DEAE417" w14:textId="43D821C5" w:rsidR="00121F6A" w:rsidRPr="006B5F4F" w:rsidRDefault="00121F6A" w:rsidP="00C31162">
      <w:pPr>
        <w:spacing w:after="220"/>
      </w:pPr>
      <w:r w:rsidRPr="006B5F4F">
        <w:t xml:space="preserve">The Indigenous Land Corporation (ILC) purchased Ayers Rock Resort (ARR) for $292 million in May 2011 and immediately on-sold it to its wholly-owned </w:t>
      </w:r>
      <w:proofErr w:type="gramStart"/>
      <w:r w:rsidRPr="006B5F4F">
        <w:t>subsidiary,</w:t>
      </w:r>
      <w:proofErr w:type="gramEnd"/>
      <w:r w:rsidRPr="006B5F4F">
        <w:t xml:space="preserve"> Voyages Indigenous Tourism Australia Pty Ltd (Voyages), creating an intercompany loan that is partly funded by borrowings. The interest rate is set at the 90 day bank bill swap reference rate plus 5 per cent, and is reset six-monthly. As at 30 June </w:t>
      </w:r>
      <w:r w:rsidR="00F17BCF" w:rsidRPr="006B5F4F">
        <w:t>2018</w:t>
      </w:r>
      <w:r w:rsidRPr="006B5F4F">
        <w:t xml:space="preserve">, the outstanding loan is estimated to total </w:t>
      </w:r>
      <w:r w:rsidR="00F17BCF" w:rsidRPr="006B5F4F">
        <w:t>$308</w:t>
      </w:r>
      <w:r w:rsidR="00622E64" w:rsidRPr="006B5F4F">
        <w:t xml:space="preserve"> million.</w:t>
      </w:r>
    </w:p>
    <w:p w14:paraId="497B4388" w14:textId="35BB69B3" w:rsidR="00502112" w:rsidRPr="006B5F4F" w:rsidRDefault="00622E64" w:rsidP="00210C1E">
      <w:pPr>
        <w:pStyle w:val="Heading3"/>
      </w:pPr>
      <w:r w:rsidRPr="006B5F4F">
        <w:t>Zero Real Interest Loans</w:t>
      </w:r>
    </w:p>
    <w:p w14:paraId="18DA8283" w14:textId="5447EB74" w:rsidR="00502112" w:rsidRPr="006B5F4F" w:rsidRDefault="00502112" w:rsidP="00C31162">
      <w:pPr>
        <w:spacing w:after="0"/>
      </w:pPr>
      <w:r w:rsidRPr="006B5F4F">
        <w:t xml:space="preserve">The Zero Real Interest Loans program provided loans to assist aged care providers to build or extend residential aged care services in areas of high need. Loans provided under the program attract an interest rate equivalent to the </w:t>
      </w:r>
      <w:r w:rsidR="00B7414C" w:rsidRPr="006B5F4F">
        <w:t xml:space="preserve">All Groups </w:t>
      </w:r>
      <w:r w:rsidRPr="006B5F4F">
        <w:t xml:space="preserve">Consumer Price Index (updated quarterly). Four funding rounds were completed, with the final round of offers finalised in 2013. No further loans will be allocated under the program. </w:t>
      </w:r>
      <w:r w:rsidR="00B7414C" w:rsidRPr="006B5F4F">
        <w:t xml:space="preserve">It is estimated that by 30 June </w:t>
      </w:r>
      <w:r w:rsidR="00F17BCF" w:rsidRPr="006B5F4F">
        <w:t>2018</w:t>
      </w:r>
      <w:r w:rsidR="00B7414C" w:rsidRPr="006B5F4F">
        <w:t xml:space="preserve">, the total amount owing to the Commonwealth will be </w:t>
      </w:r>
      <w:r w:rsidR="00F17BCF" w:rsidRPr="006B5F4F">
        <w:t>$268</w:t>
      </w:r>
      <w:r w:rsidR="00B7414C" w:rsidRPr="006B5F4F">
        <w:t xml:space="preserve"> million.</w:t>
      </w:r>
    </w:p>
    <w:p w14:paraId="5062807D" w14:textId="3CB666C2" w:rsidR="00121F6A" w:rsidRPr="006B5F4F" w:rsidRDefault="00121F6A" w:rsidP="00210C1E">
      <w:pPr>
        <w:pStyle w:val="Heading3"/>
      </w:pPr>
      <w:r w:rsidRPr="006B5F4F">
        <w:lastRenderedPageBreak/>
        <w:t>Papua N</w:t>
      </w:r>
      <w:r w:rsidR="00622E64" w:rsidRPr="006B5F4F">
        <w:t>ew Guinea Liquefied Natural Gas</w:t>
      </w:r>
    </w:p>
    <w:p w14:paraId="3359311B" w14:textId="3C90E423" w:rsidR="00121F6A" w:rsidRPr="006B5F4F" w:rsidRDefault="00121F6A" w:rsidP="00502112">
      <w:r w:rsidRPr="006B5F4F">
        <w:t xml:space="preserve">The loan in support of the Papua New Guinea Liquefied Natural Gas (PNG LNG) project involves the development, construction, operation and maintenance of a LNG liquefaction plant, gas production and processing facilities, onshore and offshore pipelines, associated ancillary facilities and infrastructure. As at 30 June </w:t>
      </w:r>
      <w:r w:rsidR="00396CF0" w:rsidRPr="006B5F4F">
        <w:t>2018</w:t>
      </w:r>
      <w:r w:rsidRPr="006B5F4F">
        <w:t xml:space="preserve">, the fair value of the loan amount outstanding is estimated to total </w:t>
      </w:r>
      <w:r w:rsidR="00396CF0" w:rsidRPr="006B5F4F">
        <w:t>$264</w:t>
      </w:r>
      <w:r w:rsidRPr="006B5F4F">
        <w:t xml:space="preserve"> million.</w:t>
      </w:r>
    </w:p>
    <w:p w14:paraId="311EC898" w14:textId="618FDA57" w:rsidR="007560F5" w:rsidRPr="006B5F4F" w:rsidRDefault="007560F5" w:rsidP="00210C1E">
      <w:pPr>
        <w:pStyle w:val="Heading3"/>
      </w:pPr>
      <w:r w:rsidRPr="006B5F4F">
        <w:t>Northern Australia Infrastructure Facility Loans</w:t>
      </w:r>
    </w:p>
    <w:p w14:paraId="1322B244" w14:textId="427B73D6" w:rsidR="00502112" w:rsidRPr="006B5F4F" w:rsidRDefault="007560F5" w:rsidP="00210C1E">
      <w:r w:rsidRPr="006B5F4F">
        <w:t>The Northern Australia Infrastructure Facility (NAIF) may approve loans to 30</w:t>
      </w:r>
      <w:r w:rsidR="00B349E5" w:rsidRPr="006B5F4F">
        <w:t> </w:t>
      </w:r>
      <w:r w:rsidRPr="006B5F4F">
        <w:t>June</w:t>
      </w:r>
      <w:r w:rsidR="00B349E5" w:rsidRPr="006B5F4F">
        <w:t> </w:t>
      </w:r>
      <w:r w:rsidRPr="006B5F4F">
        <w:t xml:space="preserve">2021 </w:t>
      </w:r>
      <w:r w:rsidR="00791D2C" w:rsidRPr="006B5F4F">
        <w:t>that</w:t>
      </w:r>
      <w:r w:rsidRPr="006B5F4F">
        <w:t xml:space="preserve"> </w:t>
      </w:r>
      <w:r w:rsidR="00605956" w:rsidRPr="006B5F4F">
        <w:t>aggregate to</w:t>
      </w:r>
      <w:r w:rsidRPr="006B5F4F">
        <w:t xml:space="preserve"> $5 billion (with loan </w:t>
      </w:r>
      <w:r w:rsidR="00F16B14" w:rsidRPr="006B5F4F">
        <w:t xml:space="preserve">tenors </w:t>
      </w:r>
      <w:r w:rsidR="00605956" w:rsidRPr="006B5F4F">
        <w:t>of</w:t>
      </w:r>
      <w:r w:rsidRPr="006B5F4F">
        <w:t xml:space="preserve"> up to the longest term of Commonwealth borrowings) under the </w:t>
      </w:r>
      <w:r w:rsidRPr="006B5F4F">
        <w:rPr>
          <w:i/>
        </w:rPr>
        <w:t>Northern Australia Infrastructure Facility Act 2016</w:t>
      </w:r>
      <w:r w:rsidR="00605956" w:rsidRPr="006B5F4F">
        <w:t>. The NAIF</w:t>
      </w:r>
      <w:r w:rsidRPr="006B5F4F">
        <w:t xml:space="preserve"> enable</w:t>
      </w:r>
      <w:r w:rsidR="00605956" w:rsidRPr="006B5F4F">
        <w:t>s</w:t>
      </w:r>
      <w:r w:rsidRPr="006B5F4F">
        <w:t xml:space="preserve"> economic growth in northern Australia by facilitating investment in infrastructure through the provision of concessional financing</w:t>
      </w:r>
      <w:r w:rsidR="00791D2C" w:rsidRPr="006B5F4F">
        <w:t>,</w:t>
      </w:r>
      <w:r w:rsidRPr="006B5F4F">
        <w:t xml:space="preserve"> delivered through </w:t>
      </w:r>
      <w:r w:rsidR="002D6833" w:rsidRPr="006B5F4F">
        <w:t>S</w:t>
      </w:r>
      <w:r w:rsidRPr="006B5F4F">
        <w:t xml:space="preserve">tate and </w:t>
      </w:r>
      <w:r w:rsidR="002D6833" w:rsidRPr="006B5F4F">
        <w:t>T</w:t>
      </w:r>
      <w:r w:rsidRPr="006B5F4F">
        <w:t xml:space="preserve">erritory governments. This may include developments in airports, communications, energy, </w:t>
      </w:r>
      <w:r w:rsidR="00F40A4E" w:rsidRPr="006B5F4F">
        <w:t>tourism</w:t>
      </w:r>
      <w:r w:rsidR="0032584C" w:rsidRPr="006B5F4F">
        <w:t>,</w:t>
      </w:r>
      <w:r w:rsidR="00F40A4E" w:rsidRPr="006B5F4F">
        <w:t xml:space="preserve"> </w:t>
      </w:r>
      <w:r w:rsidRPr="006B5F4F">
        <w:t xml:space="preserve">ports, rail and water. NAIF investments may support growth in sectors across the north, such as food and agribusiness, international education, medical research, tourism, energy and resources. Under its Investment Mandate, </w:t>
      </w:r>
      <w:r w:rsidR="00605956" w:rsidRPr="006B5F4F">
        <w:t xml:space="preserve">the </w:t>
      </w:r>
      <w:r w:rsidRPr="006B5F4F">
        <w:t>NAIF can only lend up to 50</w:t>
      </w:r>
      <w:r w:rsidR="00791D2C" w:rsidRPr="006B5F4F">
        <w:t xml:space="preserve"> per cent</w:t>
      </w:r>
      <w:r w:rsidRPr="006B5F4F">
        <w:t xml:space="preserve"> of the total debt for </w:t>
      </w:r>
      <w:r w:rsidR="00605956" w:rsidRPr="006B5F4F">
        <w:t>a</w:t>
      </w:r>
      <w:r w:rsidR="00622E64" w:rsidRPr="006B5F4F">
        <w:t xml:space="preserve"> proposed project.</w:t>
      </w:r>
      <w:r w:rsidR="004E148C" w:rsidRPr="006B5F4F">
        <w:fldChar w:fldCharType="begin"/>
      </w:r>
      <w:r w:rsidR="004E148C" w:rsidRPr="006B5F4F">
        <w:instrText xml:space="preserve"> :End:BPCD_DD1 </w:instrText>
      </w:r>
      <w:r w:rsidR="004E148C" w:rsidRPr="006B5F4F">
        <w:fldChar w:fldCharType="end"/>
      </w:r>
    </w:p>
    <w:sectPr w:rsidR="00502112" w:rsidRPr="006B5F4F" w:rsidSect="00AD66B3">
      <w:headerReference w:type="even" r:id="rId20"/>
      <w:headerReference w:type="default" r:id="rId21"/>
      <w:footerReference w:type="even" r:id="rId22"/>
      <w:footerReference w:type="default" r:id="rId23"/>
      <w:headerReference w:type="first" r:id="rId24"/>
      <w:footerReference w:type="first" r:id="rId25"/>
      <w:pgSz w:w="11907" w:h="16840" w:code="9"/>
      <w:pgMar w:top="2466" w:right="2098" w:bottom="2466" w:left="2098" w:header="1899" w:footer="189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85DB42" w14:textId="77777777" w:rsidR="00672404" w:rsidRDefault="00672404" w:rsidP="003A22BE">
      <w:pPr>
        <w:pStyle w:val="TOC5"/>
      </w:pPr>
      <w:r>
        <w:separator/>
      </w:r>
    </w:p>
  </w:endnote>
  <w:endnote w:type="continuationSeparator" w:id="0">
    <w:p w14:paraId="57BE53B7" w14:textId="77777777" w:rsidR="00672404" w:rsidRDefault="00672404" w:rsidP="003A22BE">
      <w:pPr>
        <w:pStyle w:val="TOC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DDB3D" w14:textId="48144720" w:rsidR="00672404" w:rsidRDefault="00672404">
    <w:pPr>
      <w:pStyle w:val="Footer"/>
    </w:pPr>
    <w:r>
      <w:fldChar w:fldCharType="begin"/>
    </w:r>
    <w:r>
      <w:instrText xml:space="preserve"> PAGE   \* MERGEFORMAT </w:instrText>
    </w:r>
    <w:r>
      <w:fldChar w:fldCharType="separate"/>
    </w:r>
    <w:r w:rsidR="00A970BD">
      <w:rPr>
        <w:noProof/>
      </w:rPr>
      <w:t>254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EA829" w14:textId="2FA0C163" w:rsidR="00672404" w:rsidRDefault="00672404" w:rsidP="00FC68A4">
    <w:pPr>
      <w:pStyle w:val="Footer"/>
    </w:pPr>
    <w:r>
      <w:rPr>
        <w:rStyle w:val="PageNumber"/>
      </w:rPr>
      <w:fldChar w:fldCharType="begin"/>
    </w:r>
    <w:r>
      <w:rPr>
        <w:rStyle w:val="PageNumber"/>
      </w:rPr>
      <w:instrText xml:space="preserve"> PAGE </w:instrText>
    </w:r>
    <w:r>
      <w:rPr>
        <w:rStyle w:val="PageNumber"/>
      </w:rPr>
      <w:fldChar w:fldCharType="separate"/>
    </w:r>
    <w:r w:rsidR="00A970BD">
      <w:rPr>
        <w:rStyle w:val="PageNumber"/>
        <w:noProof/>
      </w:rPr>
      <w:t>253</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6E755" w14:textId="14DDCA50" w:rsidR="00672404" w:rsidRDefault="00672404" w:rsidP="000D21E8">
    <w:pPr>
      <w:pStyle w:val="Footer"/>
    </w:pPr>
    <w:r>
      <w:rPr>
        <w:rStyle w:val="PageNumber"/>
      </w:rPr>
      <w:fldChar w:fldCharType="begin"/>
    </w:r>
    <w:r>
      <w:rPr>
        <w:rStyle w:val="PageNumber"/>
      </w:rPr>
      <w:instrText xml:space="preserve"> PAGE </w:instrText>
    </w:r>
    <w:r>
      <w:rPr>
        <w:rStyle w:val="PageNumber"/>
      </w:rPr>
      <w:fldChar w:fldCharType="separate"/>
    </w:r>
    <w:r w:rsidR="00A970BD">
      <w:rPr>
        <w:rStyle w:val="PageNumber"/>
        <w:noProof/>
      </w:rPr>
      <w:t>241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19F63" w14:textId="2DBB0387" w:rsidR="00672404" w:rsidRPr="00B07ACD" w:rsidRDefault="00672404" w:rsidP="00B07ACD">
    <w:pPr>
      <w:pStyle w:val="Footer"/>
    </w:pPr>
    <w:r>
      <w:rPr>
        <w:noProof/>
      </w:rPr>
      <mc:AlternateContent>
        <mc:Choice Requires="wps">
          <w:drawing>
            <wp:anchor distT="0" distB="0" distL="114300" distR="114300" simplePos="0" relativeHeight="251661312" behindDoc="0" locked="0" layoutInCell="1" allowOverlap="1" wp14:anchorId="3E82B15C" wp14:editId="36DADE5B">
              <wp:simplePos x="0" y="0"/>
              <wp:positionH relativeFrom="page">
                <wp:posOffset>1242060</wp:posOffset>
              </wp:positionH>
              <wp:positionV relativeFrom="margin">
                <wp:posOffset>0</wp:posOffset>
              </wp:positionV>
              <wp:extent cx="147955" cy="4829175"/>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482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9BE65" w14:textId="13E48ED7" w:rsidR="00672404" w:rsidRPr="00597721" w:rsidRDefault="00672404" w:rsidP="00AC4485">
                          <w:pPr>
                            <w:pStyle w:val="Footer"/>
                            <w:rPr>
                              <w:rStyle w:val="PageNumber"/>
                            </w:rPr>
                          </w:pPr>
                          <w:r w:rsidRPr="00597721">
                            <w:rPr>
                              <w:rStyle w:val="PageNumber"/>
                            </w:rPr>
                            <w:fldChar w:fldCharType="begin"/>
                          </w:r>
                          <w:r w:rsidRPr="00597721">
                            <w:rPr>
                              <w:rStyle w:val="PageNumber"/>
                            </w:rPr>
                            <w:instrText xml:space="preserve"> PAGE   \* MERGEFORMAT </w:instrText>
                          </w:r>
                          <w:r w:rsidRPr="00597721">
                            <w:rPr>
                              <w:rStyle w:val="PageNumber"/>
                            </w:rPr>
                            <w:fldChar w:fldCharType="separate"/>
                          </w:r>
                          <w:r w:rsidR="00A970BD">
                            <w:rPr>
                              <w:rStyle w:val="PageNumber"/>
                              <w:noProof/>
                            </w:rPr>
                            <w:t>256</w:t>
                          </w:r>
                          <w:r w:rsidRPr="00597721">
                            <w:rPr>
                              <w:rStyle w:val="PageNumber"/>
                            </w:rPr>
                            <w:fldChar w:fldCharType="end"/>
                          </w:r>
                        </w:p>
                      </w:txbxContent>
                    </wps:txbx>
                    <wps:bodyPr rot="0" vert="vert"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97.8pt;margin-top:0;width:11.65pt;height:380.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bNewIAAAYFAAAOAAAAZHJzL2Uyb0RvYy54bWysVNlu3CAUfa/Uf0C8T2xPPYuteKIsnapS&#10;ukhJPwADHqNioMCMHVX5917weJJ0kaqqfsDX5nLucs7l/GLoJDpw64RWFc7OUoy4opoJtavwl/vt&#10;bI2R80QxIrXiFX7gDl9sXr86703J57rVknGLAES5sjcVbr03ZZI42vKOuDNtuILNRtuOePi0u4RZ&#10;0gN6J5N5mi6TXltmrKbcOfh7M27iTcRvGk79p6Zx3CNZYcjNx9XGtQ5rsjkn5c4S0wp6TIP8QxYd&#10;EQqCnqBuiCdob8UvUJ2gVjvd+DOqu0Q3jaA81gDVZOlP1dy1xPBYCzTHmVOb3P+DpR8Pny0SrMIL&#10;jBTpgKJ7Pnh0pQe0DN3pjSvB6c6Amx/gN7AcK3XmVtOvDil93RK145fW6r7lhEF2WTiZPDs64rgA&#10;UvcfNIMwZO91BBoa24XWQTMQoANLDydmQio0hMxXxQIypLCVr+dFtlrEEKScThvr/DuuOxSMCltg&#10;PqKTw63zIRtSTi4hmNNSsK2QMn7YXX0tLToQUMk2Pkf0F25SBWelw7ERcfwDSUKMsBfSjax/L7J5&#10;nl7Ni9l2uV7N8m2+mBWrdD1Ls+KqWKZ5kd9sH0OCWV62gjGuboXikwKz/O8YPs7CqJ2oQdRXuFjM&#10;FyNFfywyjc/viuyEh4GUoqvw+uREykDsW8WgbFJ6IuRoJy/Tj12GHkzv2JUog8D8qAE/1EPU25sQ&#10;PUik1uwBdGE10Abkw2UCRlgx6mEwK+y+7YnlGMn3CrQVpngy7GTUk0EUbTXMd43RaF77cdr3xopd&#10;C8ijepW+BP01IkrjKYujamHYYg3HiyFM8/Pv6PV0fW1+AAAA//8DAFBLAwQUAAYACAAAACEAxXQa&#10;xt0AAAAIAQAADwAAAGRycy9kb3ducmV2LnhtbEyPT0+EMBTE7yZ+h+aZeHPLkoC7SNkYE/8cvIAc&#10;PHbpk5Klr4R2F/z2Pk96nMxk5jflYXWjuOAcBk8KtpsEBFLnzUC9gvbj+W4HIkRNRo+eUME3BjhU&#10;11elLoxfqMZLE3vBJRQKrcDGOBVShs6i02HjJyT2vvzsdGQ599LMeuFyN8o0SXLp9EC8YPWETxa7&#10;U3N2CvrP+jTl2XvbvXUv7ZK+2nRoaqVub9bHBxAR1/gXhl98RoeKmY7+TCaIkfU+yzmqgB+xnW53&#10;exBHBfd5koGsSvn/QPUDAAD//wMAUEsBAi0AFAAGAAgAAAAhALaDOJL+AAAA4QEAABMAAAAAAAAA&#10;AAAAAAAAAAAAAFtDb250ZW50X1R5cGVzXS54bWxQSwECLQAUAAYACAAAACEAOP0h/9YAAACUAQAA&#10;CwAAAAAAAAAAAAAAAAAvAQAAX3JlbHMvLnJlbHNQSwECLQAUAAYACAAAACEAMq3mzXsCAAAGBQAA&#10;DgAAAAAAAAAAAAAAAAAuAgAAZHJzL2Uyb0RvYy54bWxQSwECLQAUAAYACAAAACEAxXQaxt0AAAAI&#10;AQAADwAAAAAAAAAAAAAAAADVBAAAZHJzL2Rvd25yZXYueG1sUEsFBgAAAAAEAAQA8wAAAN8FAAAA&#10;AA==&#10;" stroked="f">
              <v:textbox style="layout-flow:vertical" inset="0,0,0,0">
                <w:txbxContent>
                  <w:p w14:paraId="4359BE65" w14:textId="13E48ED7" w:rsidR="00672404" w:rsidRPr="00597721" w:rsidRDefault="00672404" w:rsidP="00AC4485">
                    <w:pPr>
                      <w:pStyle w:val="Footer"/>
                      <w:rPr>
                        <w:rStyle w:val="PageNumber"/>
                      </w:rPr>
                    </w:pPr>
                    <w:r w:rsidRPr="00597721">
                      <w:rPr>
                        <w:rStyle w:val="PageNumber"/>
                      </w:rPr>
                      <w:fldChar w:fldCharType="begin"/>
                    </w:r>
                    <w:r w:rsidRPr="00597721">
                      <w:rPr>
                        <w:rStyle w:val="PageNumber"/>
                      </w:rPr>
                      <w:instrText xml:space="preserve"> PAGE   \* MERGEFORMAT </w:instrText>
                    </w:r>
                    <w:r w:rsidRPr="00597721">
                      <w:rPr>
                        <w:rStyle w:val="PageNumber"/>
                      </w:rPr>
                      <w:fldChar w:fldCharType="separate"/>
                    </w:r>
                    <w:r w:rsidR="00A970BD">
                      <w:rPr>
                        <w:rStyle w:val="PageNumber"/>
                        <w:noProof/>
                      </w:rPr>
                      <w:t>256</w:t>
                    </w:r>
                    <w:r w:rsidRPr="00597721">
                      <w:rPr>
                        <w:rStyle w:val="PageNumber"/>
                      </w:rPr>
                      <w:fldChar w:fldCharType="end"/>
                    </w:r>
                  </w:p>
                </w:txbxContent>
              </v:textbox>
              <w10:wrap anchorx="page"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1C248" w14:textId="43205940" w:rsidR="00672404" w:rsidRPr="00FE5F0A" w:rsidRDefault="00672404" w:rsidP="00FE5F0A">
    <w:pPr>
      <w:pStyle w:val="Footer"/>
    </w:pPr>
    <w:r>
      <w:fldChar w:fldCharType="begin"/>
    </w:r>
    <w:r>
      <w:instrText xml:space="preserve"> PAGE   \* MERGEFORMAT </w:instrText>
    </w:r>
    <w:r>
      <w:fldChar w:fldCharType="separate"/>
    </w:r>
    <w:r>
      <w:rPr>
        <w:noProof/>
      </w:rPr>
      <w:t>285</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6C847" w14:textId="77777777" w:rsidR="00672404" w:rsidRPr="000D21E8" w:rsidRDefault="00672404" w:rsidP="000D21E8">
    <w:pPr>
      <w:pStyle w:val="Footer"/>
    </w:pPr>
    <w:r>
      <w:rPr>
        <w:noProof/>
      </w:rPr>
      <mc:AlternateContent>
        <mc:Choice Requires="wps">
          <w:drawing>
            <wp:anchor distT="0" distB="0" distL="114300" distR="114300" simplePos="0" relativeHeight="251681792" behindDoc="0" locked="0" layoutInCell="1" allowOverlap="1" wp14:anchorId="41745935" wp14:editId="278F2065">
              <wp:simplePos x="0" y="0"/>
              <wp:positionH relativeFrom="page">
                <wp:posOffset>1242060</wp:posOffset>
              </wp:positionH>
              <wp:positionV relativeFrom="margin">
                <wp:posOffset>0</wp:posOffset>
              </wp:positionV>
              <wp:extent cx="147955" cy="482917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482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29918" w14:textId="7260C5A5" w:rsidR="00672404" w:rsidRPr="00597721" w:rsidRDefault="00672404" w:rsidP="001074B7">
                          <w:pPr>
                            <w:pStyle w:val="Footer"/>
                            <w:rPr>
                              <w:rStyle w:val="PageNumber"/>
                            </w:rPr>
                          </w:pPr>
                          <w:r w:rsidRPr="00597721">
                            <w:rPr>
                              <w:rStyle w:val="PageNumber"/>
                            </w:rPr>
                            <w:fldChar w:fldCharType="begin"/>
                          </w:r>
                          <w:r w:rsidRPr="00597721">
                            <w:rPr>
                              <w:rStyle w:val="PageNumber"/>
                            </w:rPr>
                            <w:instrText xml:space="preserve"> PAGE   \* MERGEFORMAT </w:instrText>
                          </w:r>
                          <w:r w:rsidRPr="00597721">
                            <w:rPr>
                              <w:rStyle w:val="PageNumber"/>
                            </w:rPr>
                            <w:fldChar w:fldCharType="separate"/>
                          </w:r>
                          <w:r w:rsidR="00A970BD">
                            <w:rPr>
                              <w:rStyle w:val="PageNumber"/>
                              <w:noProof/>
                            </w:rPr>
                            <w:t>255</w:t>
                          </w:r>
                          <w:r w:rsidRPr="00597721">
                            <w:rPr>
                              <w:rStyle w:val="PageNumber"/>
                            </w:rPr>
                            <w:fldChar w:fldCharType="end"/>
                          </w:r>
                        </w:p>
                      </w:txbxContent>
                    </wps:txbx>
                    <wps:bodyPr rot="0" vert="vert"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97.8pt;margin-top:0;width:11.65pt;height:380.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E/egIAAAYFAAAOAAAAZHJzL2Uyb0RvYy54bWysVNuO2yAQfa/Uf0C8Z21HzsVWnNVemqrS&#10;9iLt9gMw4BgVAwUSe1X133fAcbrbi1RV9QMeYDjMzDnD5nLoJDpy64RWFc4uUoy4opoJta/w54fd&#10;bI2R80QxIrXiFX7kDl9uX7/a9Kbkc91qybhFAKJc2ZsKt96bMkkcbXlH3IU2XMFmo21HPEztPmGW&#10;9IDeyWSepsuk15YZqyl3DlZvx028jfhNw6n/2DSOeyQrDLH5ONo41mFMthtS7i0xraCnMMg/RNER&#10;oeDSM9Qt8QQdrPgFqhPUaqcbf0F1l+imEZTHHCCbLP0pm/uWGB5zgeI4cy6T+3+w9MPxk0WCVbjA&#10;SJEOKHrgg0fXekDLUJ3euBKc7g24+QGWgeWYqTN3mn5xSOmblqg9v7JW9y0nDKLLwsnk2dERxwWQ&#10;un+vGVxDDl5HoKGxXSgdFAMBOrD0eGYmhELDlfmqWCwworCVr+dFtlrEK0g5nTbW+bdcdygYFbbA&#10;fEQnxzvnQzSknFzCZU5LwXZCyjix+/pGWnQkoJJd/E7oL9ykCs5Kh2Mj4rgCQcIdYS+EG1n/VmTz&#10;PL2eF7Pdcr2a5bt8MStW6XqWZsV1sUzzIr/dfQ8BZnnZCsa4uhOKTwrM8r9j+NQLo3aiBlEPTC7m&#10;i5GiPyaZxu93SXbCQ0NK0VV4fXYiZSD2jWKQNik9EXK0k5fhxypDDaZ/rEqUQWB+1IAf6iHq7ayu&#10;WrNH0IXVQBuQD48JGGHEqIfGrLD7eiCWYyTfKdBW6OLJsJNRTwZRtNXQ3zVGo3njx24/GCv2LSCP&#10;6lX6CvTXiCiNINQxipNqodliDqeHIXTz83n0+vF8bZ8AAAD//wMAUEsDBBQABgAIAAAAIQDFdBrG&#10;3QAAAAgBAAAPAAAAZHJzL2Rvd25yZXYueG1sTI9PT4QwFMTvJn6H5pl4c8uSgLtI2RgT/xy8gBw8&#10;dumTkqWvhHYX/PY+T3qczGTmN+VhdaO44BwGTwq2mwQEUufNQL2C9uP5bgciRE1Gj55QwTcGOFTX&#10;V6UujF+oxksTe8ElFAqtwMY4FVKGzqLTYeMnJPa+/Ox0ZDn30sx64XI3yjRJcun0QLxg9YRPFrtT&#10;c3YK+s/6NOXZe9u9dS/tkr7adGhqpW5v1scHEBHX+BeGX3xGh4qZjv5MJoiR9T7LOaqAH7Gdbnd7&#10;EEcF93mSgaxK+f9A9QMAAP//AwBQSwECLQAUAAYACAAAACEAtoM4kv4AAADhAQAAEwAAAAAAAAAA&#10;AAAAAAAAAAAAW0NvbnRlbnRfVHlwZXNdLnhtbFBLAQItABQABgAIAAAAIQA4/SH/1gAAAJQBAAAL&#10;AAAAAAAAAAAAAAAAAC8BAABfcmVscy8ucmVsc1BLAQItABQABgAIAAAAIQCAlwE/egIAAAYFAAAO&#10;AAAAAAAAAAAAAAAAAC4CAABkcnMvZTJvRG9jLnhtbFBLAQItABQABgAIAAAAIQDFdBrG3QAAAAgB&#10;AAAPAAAAAAAAAAAAAAAAANQEAABkcnMvZG93bnJldi54bWxQSwUGAAAAAAQABADzAAAA3gUAAAAA&#10;" stroked="f">
              <v:textbox style="layout-flow:vertical" inset="0,0,0,0">
                <w:txbxContent>
                  <w:p w14:paraId="69729918" w14:textId="7260C5A5" w:rsidR="00672404" w:rsidRPr="00597721" w:rsidRDefault="00672404" w:rsidP="001074B7">
                    <w:pPr>
                      <w:pStyle w:val="Footer"/>
                      <w:rPr>
                        <w:rStyle w:val="PageNumber"/>
                      </w:rPr>
                    </w:pPr>
                    <w:r w:rsidRPr="00597721">
                      <w:rPr>
                        <w:rStyle w:val="PageNumber"/>
                      </w:rPr>
                      <w:fldChar w:fldCharType="begin"/>
                    </w:r>
                    <w:r w:rsidRPr="00597721">
                      <w:rPr>
                        <w:rStyle w:val="PageNumber"/>
                      </w:rPr>
                      <w:instrText xml:space="preserve"> PAGE   \* MERGEFORMAT </w:instrText>
                    </w:r>
                    <w:r w:rsidRPr="00597721">
                      <w:rPr>
                        <w:rStyle w:val="PageNumber"/>
                      </w:rPr>
                      <w:fldChar w:fldCharType="separate"/>
                    </w:r>
                    <w:r w:rsidR="00A970BD">
                      <w:rPr>
                        <w:rStyle w:val="PageNumber"/>
                        <w:noProof/>
                      </w:rPr>
                      <w:t>255</w:t>
                    </w:r>
                    <w:r w:rsidRPr="00597721">
                      <w:rPr>
                        <w:rStyle w:val="PageNumber"/>
                      </w:rPr>
                      <w:fldChar w:fldCharType="end"/>
                    </w:r>
                  </w:p>
                </w:txbxContent>
              </v:textbox>
              <w10:wrap anchorx="page" anchory="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3C3FB" w14:textId="7486B54D" w:rsidR="00672404" w:rsidRPr="00FE5F0A" w:rsidRDefault="00672404" w:rsidP="00FE5F0A">
    <w:pPr>
      <w:pStyle w:val="Footer"/>
    </w:pPr>
    <w:r>
      <w:fldChar w:fldCharType="begin"/>
    </w:r>
    <w:r>
      <w:instrText xml:space="preserve"> PAGE   \* MERGEFORMAT </w:instrText>
    </w:r>
    <w:r>
      <w:fldChar w:fldCharType="separate"/>
    </w:r>
    <w:r w:rsidR="00A970BD">
      <w:rPr>
        <w:noProof/>
      </w:rPr>
      <w:t>262</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641B2" w14:textId="51B44581" w:rsidR="00672404" w:rsidRPr="00FE5F0A" w:rsidRDefault="00672404" w:rsidP="00FE5F0A">
    <w:pPr>
      <w:pStyle w:val="Footer"/>
    </w:pPr>
    <w:r>
      <w:fldChar w:fldCharType="begin"/>
    </w:r>
    <w:r>
      <w:instrText xml:space="preserve"> PAGE   \* MERGEFORMAT </w:instrText>
    </w:r>
    <w:r>
      <w:fldChar w:fldCharType="separate"/>
    </w:r>
    <w:r w:rsidR="00A970BD">
      <w:rPr>
        <w:noProof/>
      </w:rPr>
      <w:t>261</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B29C5" w14:textId="0C42296A" w:rsidR="00672404" w:rsidRPr="001B6418" w:rsidRDefault="00672404" w:rsidP="001B6418">
    <w:pPr>
      <w:pStyle w:val="Footer"/>
    </w:pPr>
    <w:r>
      <w:fldChar w:fldCharType="begin"/>
    </w:r>
    <w:r>
      <w:instrText xml:space="preserve"> PAGE   \* MERGEFORMAT </w:instrText>
    </w:r>
    <w:r>
      <w:fldChar w:fldCharType="separate"/>
    </w:r>
    <w:r w:rsidR="00A970BD">
      <w:rPr>
        <w:noProof/>
      </w:rPr>
      <w:t>257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FDAEE" w14:textId="77777777" w:rsidR="00672404" w:rsidRDefault="00672404" w:rsidP="003A22BE">
      <w:pPr>
        <w:pStyle w:val="TOC5"/>
      </w:pPr>
      <w:r>
        <w:separator/>
      </w:r>
    </w:p>
  </w:footnote>
  <w:footnote w:type="continuationSeparator" w:id="0">
    <w:p w14:paraId="3E9359C7" w14:textId="77777777" w:rsidR="00672404" w:rsidRDefault="00672404" w:rsidP="003A22BE">
      <w:pPr>
        <w:pStyle w:val="TOC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2C5C7" w14:textId="672BBF4B" w:rsidR="00672404" w:rsidRPr="009354C2" w:rsidRDefault="00672404" w:rsidP="009354C2">
    <w:pPr>
      <w:pStyle w:val="HeaderEven"/>
    </w:pPr>
    <w:r>
      <w:t xml:space="preserve">Appendix C: </w:t>
    </w:r>
    <w:r w:rsidRPr="000D21E8">
      <w:t>Statement</w:t>
    </w:r>
    <w:r>
      <w:t xml:space="preserve"> of risks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B5451" w14:textId="0AAFE018" w:rsidR="00672404" w:rsidRDefault="00672404" w:rsidP="000D21E8">
    <w:pPr>
      <w:pStyle w:val="HeaderOdd"/>
    </w:pPr>
    <w:r>
      <w:t xml:space="preserve">Appendix C: </w:t>
    </w:r>
    <w:r w:rsidRPr="000D21E8">
      <w:t>Statement</w:t>
    </w:r>
    <w:r>
      <w:t xml:space="preserve"> of risks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8BC03" w14:textId="62A94561" w:rsidR="00672404" w:rsidRPr="009354C2" w:rsidRDefault="00672404" w:rsidP="009354C2">
    <w:pPr>
      <w:pStyle w:val="HeaderEven"/>
    </w:pPr>
    <w:r>
      <w:rPr>
        <w:noProof/>
      </w:rPr>
      <mc:AlternateContent>
        <mc:Choice Requires="wps">
          <w:drawing>
            <wp:anchor distT="0" distB="0" distL="114300" distR="114300" simplePos="0" relativeHeight="251689984" behindDoc="0" locked="0" layoutInCell="1" allowOverlap="0" wp14:anchorId="0F4401C6" wp14:editId="0F65458E">
              <wp:simplePos x="0" y="0"/>
              <wp:positionH relativeFrom="rightMargin">
                <wp:posOffset>71120</wp:posOffset>
              </wp:positionH>
              <wp:positionV relativeFrom="page">
                <wp:posOffset>1356360</wp:posOffset>
              </wp:positionV>
              <wp:extent cx="396240" cy="4910455"/>
              <wp:effectExtent l="0" t="0" r="3810" b="44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ACFC7" w14:textId="77777777" w:rsidR="00672404" w:rsidRPr="0014402C" w:rsidRDefault="00A970BD" w:rsidP="00831C54">
                          <w:pPr>
                            <w:pStyle w:val="HeaderOdd"/>
                          </w:pPr>
                          <w:r>
                            <w:fldChar w:fldCharType="begin"/>
                          </w:r>
                          <w:r>
                            <w:instrText xml:space="preserve"> TITLE   \* MERGEFORMAT </w:instrText>
                          </w:r>
                          <w:r>
                            <w:fldChar w:fldCharType="separate"/>
                          </w:r>
                          <w:r w:rsidR="00672404" w:rsidRPr="0014402C">
                            <w:t>Appendix C: Statement of risks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margin-left:5.6pt;margin-top:106.8pt;width:31.2pt;height:386.6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hVgwIAABgFAAAOAAAAZHJzL2Uyb0RvYy54bWysVMlu2zAQvRfoPxC8O5Jc2bGEyEGWuiiQ&#10;LkDSD6BFyiJKcViSthQU+fcOKdtxugBFUR9okjN8s7w3urgcOkV2wjoJuqLZWUqJ0DVwqTcV/fKw&#10;miwocZ5pzhRoUdFH4ejl8vWri96UYgotKC4sQRDtyt5UtPXelEni6lZ0zJ2BERqNDdiOeTzaTcIt&#10;6xG9U8k0TedJD5YbC7VwDm9vRyNdRvymEbX/1DROeKIqirn5uNq4rsOaLC9YubHMtLLep8H+IYuO&#10;SY1Bj1C3zDOytfIXqE7WFhw0/qyGLoGmkbWINWA1WfpTNfctMyLWgs1x5tgm9/9g64+7z5ZIjtzN&#10;KdGsQ44exODJNQwEr7A/vXElut0bdPQD3qNvrNWZO6i/OqLhpmV6I66shb4VjGN+WXiZnDwdcVwA&#10;WfcfgGMctvUQgYbGdqF52A6C6MjT45GbkEuNl2+K+TRHS42mvMjSfDaLIVh5eG2s8+8EdCRsKmqR&#10;+4jOdnfOh2xYeXAJwRwoyVdSqXiwm/WNsmTHUCer+Nujv3BTOjhrCM9GxPEGk8QYwRbSjbx/LzLM&#10;93paTFbzxfkkX+WzSXGeLiZpVlwX8zQv8tvVU0gwy8tWci70ndTioMEs/zuO99MwqieqkPQVLWbT&#10;2UjRH4tM4+93RXbS40gq2VV0cXRiZSD2reZYNis9k2rcJy/Tj13GHhz+Y1eiDALzowb8sB5GxYXo&#10;QSJr4I+oCwtIG1KMnxPchJWSHkezou7blllBiXqvUVtFlgcl+HjIZ+dTPNhTy/rUwnTdAk48go3b&#10;Gz/O/9ZYuWkx0qhmDVeox0ZGqTxntVcxjl+saf+pCPN9eo5ezx+05Q8AAAD//wMAUEsDBBQABgAI&#10;AAAAIQAAeO9B3wAAAAkBAAAPAAAAZHJzL2Rvd25yZXYueG1sTI/BTsMwDIbvSLxDZCQuiKXpRNlK&#10;02kC7QgaHYhr1nhtReJUTdqVtyc7wcn65U+/Pxeb2Ro24eA7RxLEIgGGVDvdUSPh47C7XwHzQZFW&#10;xhFK+EEPm/L6qlC5dmd6x6kKDYsl5HMloQ2hzzn3dYtW+YXrkeLu5AarQoxDw/WgzrHcGp4mScat&#10;6iheaFWPzy3W39VoJXx9jru7VOy3L9NSVG8PB/N6IiPl7c28fQIWcA5/MFz0ozqU0enoRtKemZhF&#10;GkkJqVhmwCLweJlHCetVtgZeFvz/B+UvAAAA//8DAFBLAQItABQABgAIAAAAIQC2gziS/gAAAOEB&#10;AAATAAAAAAAAAAAAAAAAAAAAAABbQ29udGVudF9UeXBlc10ueG1sUEsBAi0AFAAGAAgAAAAhADj9&#10;If/WAAAAlAEAAAsAAAAAAAAAAAAAAAAALwEAAF9yZWxzLy5yZWxzUEsBAi0AFAAGAAgAAAAhACpU&#10;CFWDAgAAGAUAAA4AAAAAAAAAAAAAAAAALgIAAGRycy9lMm9Eb2MueG1sUEsBAi0AFAAGAAgAAAAh&#10;AAB470HfAAAACQEAAA8AAAAAAAAAAAAAAAAA3QQAAGRycy9kb3ducmV2LnhtbFBLBQYAAAAABAAE&#10;APMAAADpBQAAAAA=&#10;" o:allowoverlap="f" stroked="f">
              <v:textbox style="layout-flow:vertical">
                <w:txbxContent>
                  <w:p w14:paraId="63EACFC7" w14:textId="77777777" w:rsidR="00672404" w:rsidRPr="0014402C" w:rsidRDefault="00672404" w:rsidP="00831C54">
                    <w:pPr>
                      <w:pStyle w:val="HeaderOdd"/>
                    </w:pPr>
                    <w:fldSimple w:instr=" TITLE   \* MERGEFORMAT ">
                      <w:r w:rsidRPr="0014402C">
                        <w:t>Appendix C: Statement of risks</w:t>
                      </w:r>
                    </w:fldSimple>
                  </w:p>
                </w:txbxContent>
              </v:textbox>
              <w10:wrap anchorx="margin" anchory="page"/>
            </v:shape>
          </w:pict>
        </mc:Fallback>
      </mc:AlternateContent>
    </w:r>
    <w:r>
      <w:rPr>
        <w:noProof/>
      </w:rPr>
      <mc:AlternateContent>
        <mc:Choice Requires="wps">
          <w:drawing>
            <wp:anchor distT="0" distB="0" distL="114300" distR="114300" simplePos="0" relativeHeight="251656192" behindDoc="0" locked="0" layoutInCell="1" allowOverlap="1" wp14:anchorId="6F4FD0CB" wp14:editId="06219A6F">
              <wp:simplePos x="0" y="0"/>
              <wp:positionH relativeFrom="page">
                <wp:posOffset>9315450</wp:posOffset>
              </wp:positionH>
              <wp:positionV relativeFrom="margin">
                <wp:posOffset>7620</wp:posOffset>
              </wp:positionV>
              <wp:extent cx="147955" cy="4829175"/>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482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D89E7" w14:textId="77777777" w:rsidR="00672404" w:rsidRDefault="00672404" w:rsidP="009354C2">
                          <w:pPr>
                            <w:pStyle w:val="HeaderEven"/>
                          </w:pPr>
                          <w:r>
                            <w:t xml:space="preserve">Appendix C: </w:t>
                          </w:r>
                          <w:r w:rsidRPr="000D21E8">
                            <w:t>Statement</w:t>
                          </w:r>
                          <w:r>
                            <w:t xml:space="preserve"> of risks </w:t>
                          </w:r>
                        </w:p>
                        <w:p w14:paraId="70203350" w14:textId="77777777" w:rsidR="00672404" w:rsidRPr="00597721" w:rsidRDefault="00672404" w:rsidP="00A55188">
                          <w:pPr>
                            <w:pStyle w:val="Footer"/>
                            <w:rPr>
                              <w:rStyle w:val="PageNumber"/>
                            </w:rPr>
                          </w:pPr>
                        </w:p>
                      </w:txbxContent>
                    </wps:txbx>
                    <wps:bodyPr rot="0" vert="vert"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33.5pt;margin-top:.6pt;width:11.65pt;height:380.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DBewIAAAYFAAAOAAAAZHJzL2Uyb0RvYy54bWysVNlu3CAUfa/Uf0C8T2xPPYuteKIsnapS&#10;ukhJPwADHqNioMCMHVX5917weJJ0kaqqfsDX5nLucs7l/GLoJDpw64RWFc7OUoy4opoJtavwl/vt&#10;bI2R80QxIrXiFX7gDl9sXr86703J57rVknGLAES5sjcVbr03ZZI42vKOuDNtuILNRtuOePi0u4RZ&#10;0gN6J5N5mi6TXltmrKbcOfh7M27iTcRvGk79p6Zx3CNZYcjNx9XGtQ5rsjkn5c4S0wp6TIP8QxYd&#10;EQqCnqBuiCdob8UvUJ2gVjvd+DOqu0Q3jaA81gDVZOlP1dy1xPBYCzTHmVOb3P+DpR8Pny0SrMIr&#10;jBTpgKJ7Pnh0pQe0DN3pjSvB6c6Amx/gN7AcK3XmVtOvDil93RK145fW6r7lhEF2WTiZPDs64rgA&#10;UvcfNIMwZO91BBoa24XWQTMQoANLDydmQio0hMxXxWKBEYWtfD0vstUihiDldNpY599x3aFgVNgC&#10;8xGdHG6dD9mQcnIJwZyWgm2FlPHD7upradGBgEq28Tmiv3CTKjgrHY6NiOMfSBJihL2QbmT9e5HN&#10;8/RqXsy2y/Vqlm/zxaxYpetZmhVXxTLNi/xm+xgSzPKyFYxxdSsUnxSY5X/H8HEWRu1EDaK+wsVi&#10;vhgp+mORaXx+V2QnPAykFF2F1ycnUgZi3yoGZZPSEyFHO3mZfuwy9GB6x65EGQTmRw34oR6i3t6E&#10;6EEitWYPoAurgTYgHy4TMMKKUQ+DWWH3bU8sx0i+V6CtMMWTYSejngyiaKthvmuMRvPaj9O+N1bs&#10;WkAe1av0JeivEVEaT1kcVQvDFms4Xgxhmp9/R6+n62vzAwAA//8DAFBLAwQUAAYACAAAACEAblv5&#10;fOAAAAALAQAADwAAAGRycy9kb3ducmV2LnhtbEyPzU7DMBCE70i8g7VI3KjTUJI2xKkQEj8HLgk5&#10;cHTtJY4ar6PYbcLb457gtqMdzXxT7hc7sDNOvnckYL1KgCEpp3vqBLSfL3dbYD5I0nJwhAJ+0MO+&#10;ur4qZaHdTDWem9CxGEK+kAJMCGPBuVcGrfQrNyLF37ebrAxRTh3Xk5xjuB14miQZt7Kn2GDkiM8G&#10;1bE5WQHdV30cs4ePVr2r13ZO30zaN7UQtzfL0yOwgEv4M8MFP6JDFZkO7kTasyHqTZbHMSFeKbCL&#10;YbNL7oEdBOTZOgdelfz/huoXAAD//wMAUEsBAi0AFAAGAAgAAAAhALaDOJL+AAAA4QEAABMAAAAA&#10;AAAAAAAAAAAAAAAAAFtDb250ZW50X1R5cGVzXS54bWxQSwECLQAUAAYACAAAACEAOP0h/9YAAACU&#10;AQAACwAAAAAAAAAAAAAAAAAvAQAAX3JlbHMvLnJlbHNQSwECLQAUAAYACAAAACEA8CwgwXsCAAAG&#10;BQAADgAAAAAAAAAAAAAAAAAuAgAAZHJzL2Uyb0RvYy54bWxQSwECLQAUAAYACAAAACEAblv5fOAA&#10;AAALAQAADwAAAAAAAAAAAAAAAADVBAAAZHJzL2Rvd25yZXYueG1sUEsFBgAAAAAEAAQA8wAAAOIF&#10;AAAAAA==&#10;" stroked="f">
              <v:textbox style="layout-flow:vertical" inset="0,0,0,0">
                <w:txbxContent>
                  <w:p w14:paraId="497D89E7" w14:textId="77777777" w:rsidR="00672404" w:rsidRDefault="00672404" w:rsidP="009354C2">
                    <w:pPr>
                      <w:pStyle w:val="HeaderEven"/>
                    </w:pPr>
                    <w:r>
                      <w:t xml:space="preserve">Appendix C: </w:t>
                    </w:r>
                    <w:r w:rsidRPr="000D21E8">
                      <w:t>Statement</w:t>
                    </w:r>
                    <w:r>
                      <w:t xml:space="preserve"> of risks </w:t>
                    </w:r>
                  </w:p>
                  <w:p w14:paraId="70203350" w14:textId="77777777" w:rsidR="00672404" w:rsidRPr="00597721" w:rsidRDefault="00672404" w:rsidP="00A55188">
                    <w:pPr>
                      <w:pStyle w:val="Footer"/>
                      <w:rPr>
                        <w:rStyle w:val="PageNumber"/>
                      </w:rPr>
                    </w:pPr>
                  </w:p>
                </w:txbxContent>
              </v:textbox>
              <w10:wrap anchorx="page"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F7B2D" w14:textId="11A7F111" w:rsidR="00672404" w:rsidRPr="000D21E8" w:rsidRDefault="00672404" w:rsidP="008E2054">
    <w:pPr>
      <w:pStyle w:val="HeaderOdd"/>
    </w:pPr>
    <w:r>
      <w:t xml:space="preserve">Appendix C: </w:t>
    </w:r>
    <w:r w:rsidRPr="000D21E8">
      <w:t>Statement</w:t>
    </w:r>
    <w:r>
      <w:t xml:space="preserve"> of Risks </w:t>
    </w:r>
    <w:r>
      <w:rPr>
        <w:noProof/>
      </w:rPr>
      <mc:AlternateContent>
        <mc:Choice Requires="wps">
          <w:drawing>
            <wp:anchor distT="0" distB="0" distL="114300" distR="114300" simplePos="0" relativeHeight="251658240" behindDoc="0" locked="0" layoutInCell="1" allowOverlap="1" wp14:anchorId="78B532E0" wp14:editId="5A6DB9ED">
              <wp:simplePos x="0" y="0"/>
              <wp:positionH relativeFrom="page">
                <wp:posOffset>9315450</wp:posOffset>
              </wp:positionH>
              <wp:positionV relativeFrom="margin">
                <wp:posOffset>7620</wp:posOffset>
              </wp:positionV>
              <wp:extent cx="147955" cy="48291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482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55CF9" w14:textId="77777777" w:rsidR="00672404" w:rsidRDefault="00672404" w:rsidP="008E2054">
                          <w:pPr>
                            <w:pStyle w:val="HeaderEven"/>
                          </w:pPr>
                          <w:r>
                            <w:t xml:space="preserve">Appendix C: </w:t>
                          </w:r>
                          <w:r w:rsidRPr="000D21E8">
                            <w:t>Statement</w:t>
                          </w:r>
                          <w:r>
                            <w:t xml:space="preserve"> of Risks </w:t>
                          </w:r>
                        </w:p>
                        <w:p w14:paraId="429C81D7" w14:textId="77777777" w:rsidR="00672404" w:rsidRPr="00597721" w:rsidRDefault="00672404" w:rsidP="008E2054">
                          <w:pPr>
                            <w:pStyle w:val="Footer"/>
                            <w:rPr>
                              <w:rStyle w:val="PageNumber"/>
                            </w:rPr>
                          </w:pPr>
                        </w:p>
                      </w:txbxContent>
                    </wps:txbx>
                    <wps:bodyPr rot="0" vert="vert"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733.5pt;margin-top:.6pt;width:11.65pt;height:380.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2a0ewIAAAYFAAAOAAAAZHJzL2Uyb0RvYy54bWysVNmO2yAUfa/Uf0C8Z2xHzmIrzmiWpqo0&#10;XaSZfgAGHKNioEBij6r+ey84zsx0kaqqfsDX5nLucs5lczl0Eh25dUKrCmcXKUZcUc2E2lf488Nu&#10;tsbIeaIYkVrxCj9yhy+3r19telPyuW61ZNwiAFGu7E2FW+9NmSSOtrwj7kIbrmCz0bYjHj7tPmGW&#10;9IDeyWSepsuk15YZqyl3Dv7ejpt4G/GbhlP/sWkc90hWGHLzcbVxrcOabDek3FtiWkFPaZB/yKIj&#10;QkHQM9Qt8QQdrPgFqhPUaqcbf0F1l+imEZTHGqCaLP2pmvuWGB5rgeY4c26T+3+w9MPxk0WCVXiJ&#10;kSIdUPTAB4+u9YCWoTu9cSU43Rtw8wP8BpZjpc7cafrFIaVvWqL2/Mpa3becMMguCyeTZ0dHHBdA&#10;6v69ZhCGHLyOQENju9A6aAYCdGDp8cxMSIWGkPmqWCwworCVr+dFtlrEEKScThvr/FuuOxSMCltg&#10;PqKT453zIRtSTi4hmNNSsJ2QMn7YfX0jLToSUMkuPif0F25SBWelw7ERcfwDSUKMsBfSjax/K7J5&#10;nl7Pi9luuV7N8l2+mBWrdD1Ls+K6WKZ5kd/uvocEs7xsBWNc3QnFJwVm+d8xfJqFUTtRg6ivcLGY&#10;L0aK/lhkGp/fFdkJDwMpRVfh9dmJlIHYN4pB2aT0RMjRTl6mH7sMPZjesStRBoH5UQN+qIeotzxE&#10;DxKpNXsEXVgNtAH5cJmAEVaMehjMCruvB2I5RvKdAm2FKZ4MOxn1ZBBFWw3zXWM0mjd+nPaDsWLf&#10;AvKoXqWvQH+NiNJ4yuKkWhi2WMPpYgjT/Pw7ej1dX9sfAAAA//8DAFBLAwQUAAYACAAAACEAblv5&#10;fOAAAAALAQAADwAAAGRycy9kb3ducmV2LnhtbEyPzU7DMBCE70i8g7VI3KjTUJI2xKkQEj8HLgk5&#10;cHTtJY4ar6PYbcLb457gtqMdzXxT7hc7sDNOvnckYL1KgCEpp3vqBLSfL3dbYD5I0nJwhAJ+0MO+&#10;ur4qZaHdTDWem9CxGEK+kAJMCGPBuVcGrfQrNyLF37ebrAxRTh3Xk5xjuB14miQZt7Kn2GDkiM8G&#10;1bE5WQHdV30cs4ePVr2r13ZO30zaN7UQtzfL0yOwgEv4M8MFP6JDFZkO7kTasyHqTZbHMSFeKbCL&#10;YbNL7oEdBOTZOgdelfz/huoXAAD//wMAUEsBAi0AFAAGAAgAAAAhALaDOJL+AAAA4QEAABMAAAAA&#10;AAAAAAAAAAAAAAAAAFtDb250ZW50X1R5cGVzXS54bWxQSwECLQAUAAYACAAAACEAOP0h/9YAAACU&#10;AQAACwAAAAAAAAAAAAAAAAAvAQAAX3JlbHMvLnJlbHNQSwECLQAUAAYACAAAACEASbdmtHsCAAAG&#10;BQAADgAAAAAAAAAAAAAAAAAuAgAAZHJzL2Uyb0RvYy54bWxQSwECLQAUAAYACAAAACEAblv5fOAA&#10;AAALAQAADwAAAAAAAAAAAAAAAADVBAAAZHJzL2Rvd25yZXYueG1sUEsFBgAAAAAEAAQA8wAAAOIF&#10;AAAAAA==&#10;" stroked="f">
              <v:textbox style="layout-flow:vertical" inset="0,0,0,0">
                <w:txbxContent>
                  <w:p w14:paraId="04155CF9" w14:textId="77777777" w:rsidR="00672404" w:rsidRDefault="00672404" w:rsidP="008E2054">
                    <w:pPr>
                      <w:pStyle w:val="HeaderEven"/>
                    </w:pPr>
                    <w:r>
                      <w:t xml:space="preserve">Appendix C: </w:t>
                    </w:r>
                    <w:r w:rsidRPr="000D21E8">
                      <w:t>Statement</w:t>
                    </w:r>
                    <w:r>
                      <w:t xml:space="preserve"> of Risks </w:t>
                    </w:r>
                  </w:p>
                  <w:p w14:paraId="429C81D7" w14:textId="77777777" w:rsidR="00672404" w:rsidRPr="00597721" w:rsidRDefault="00672404" w:rsidP="008E2054">
                    <w:pPr>
                      <w:pStyle w:val="Footer"/>
                      <w:rPr>
                        <w:rStyle w:val="PageNumber"/>
                      </w:rPr>
                    </w:pPr>
                  </w:p>
                </w:txbxContent>
              </v:textbox>
              <w10:wrap anchorx="page"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DAE46" w14:textId="2487F169" w:rsidR="00672404" w:rsidRDefault="00672404" w:rsidP="000D21E8">
    <w:pPr>
      <w:pStyle w:val="HeaderEven"/>
    </w:pPr>
    <w:r>
      <w:rPr>
        <w:noProof/>
      </w:rPr>
      <mc:AlternateContent>
        <mc:Choice Requires="wps">
          <w:drawing>
            <wp:anchor distT="0" distB="0" distL="114300" distR="114300" simplePos="0" relativeHeight="251683840" behindDoc="0" locked="0" layoutInCell="1" allowOverlap="0" wp14:anchorId="5B6A8AC8" wp14:editId="28DA3462">
              <wp:simplePos x="0" y="0"/>
              <wp:positionH relativeFrom="rightMargin">
                <wp:posOffset>71120</wp:posOffset>
              </wp:positionH>
              <wp:positionV relativeFrom="page">
                <wp:posOffset>1346835</wp:posOffset>
              </wp:positionV>
              <wp:extent cx="396240" cy="4910455"/>
              <wp:effectExtent l="0" t="0" r="381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6A880" w14:textId="36001054" w:rsidR="00672404" w:rsidRPr="0014402C" w:rsidRDefault="00A970BD" w:rsidP="0014402C">
                          <w:pPr>
                            <w:pStyle w:val="HeaderOdd"/>
                          </w:pPr>
                          <w:r>
                            <w:fldChar w:fldCharType="begin"/>
                          </w:r>
                          <w:r>
                            <w:instrText xml:space="preserve"> TITLE   \* MERGEFORMAT </w:instrText>
                          </w:r>
                          <w:r>
                            <w:fldChar w:fldCharType="separate"/>
                          </w:r>
                          <w:r w:rsidR="00672404" w:rsidRPr="0014402C">
                            <w:t>Appendix C: Statement of risks</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5.6pt;margin-top:106.05pt;width:31.2pt;height:386.65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ATgwIAABYFAAAOAAAAZHJzL2Uyb0RvYy54bWysVMlu2zAQvRfoPxC8O5Ic2bGEyEGWuiiQ&#10;LkDSD6BFyiJKcViSthQU/fcOKdtxugBFUR9okjN8s7w3urwaOkV2wjoJuqLZWUqJ0DVwqTcV/fy4&#10;miwocZ5pzhRoUdEn4ejV8vWry96UYgotKC4sQRDtyt5UtPXelEni6lZ0zJ2BERqNDdiOeTzaTcIt&#10;6xG9U8k0TedJD5YbC7VwDm/vRiNdRvymEbX/2DROeKIqirn5uNq4rsOaLC9ZubHMtLLep8H+IYuO&#10;SY1Bj1B3zDOytfIXqE7WFhw0/qyGLoGmkbWINWA1WfpTNQ8tMyLWgs1x5tgm9/9g6w+7T5ZIXtFz&#10;SjTrkKJHMXhyAwM5D93pjSvR6cGgmx/wGlmOlTpzD/UXRzTctkxvxLW10LeCccwuCy+Tk6cjjgsg&#10;6/49cAzDth4i0NDYLrQOm0EQHVl6OjITUqnx8ryYT3O01GjKiyzNZ7MYgpWH18Y6/1ZAR8KmohaZ&#10;j+hsd+98yIaVB5cQzIGSfCWVige7Wd8qS3YMVbKKvz36Czelg7OG8GxEHG8wSYwRbCHdyPq3IsN8&#10;b6bFZDVfXEzyVT6bFBfpYpJmxU0xT/Miv1t9DwlmedlKzoW+l1ocFJjlf8fwfhZG7UQNkr6ixWw6&#10;Gyn6Y5Fp/P2uyE56HEglu4oujk6sDMS+0RzLZqVnUo375GX6scvYg8N/7EqUQWB+1IAf1kPU2zxE&#10;DxJZA39CXVhA2pBi/JjgJqyU9DiYFXVft8wKStQ7jdoqsjwowcdDPruY4sGeWtanFqbrFnDeEWzc&#10;3vpx+rfGyk2LkUY1a7hGPTYySuU5q72KcfhiTfsPRZju03P0ev6cLX8AAAD//wMAUEsDBBQABgAI&#10;AAAAIQCDkS0F3wAAAAkBAAAPAAAAZHJzL2Rvd25yZXYueG1sTI/LTsMwEEX3SPyDNUhsEHWc0gch&#10;TlWBuqSCtIitG0+TCHscxU4a/h6zguXVHN17Jt9M1rARe986kiBmCTCkyumWagnHw+5+DcwHRVoZ&#10;RyjhGz1siuurXGXaXegdxzLULJaQz5SEJoQu49xXDVrlZ65Direz660KMfY11726xHJreJokS25V&#10;S3GhUR0+N1h9lYOV8Pkx7O5S8bZ9Geei3C8O5vVMRsrbm2n7BCzgFP5g+NWP6lBEp5MbSHtmYhZp&#10;JCWkIhXAIrCaL4GdJDyuFw/Ai5z//6D4AQAA//8DAFBLAQItABQABgAIAAAAIQC2gziS/gAAAOEB&#10;AAATAAAAAAAAAAAAAAAAAAAAAABbQ29udGVudF9UeXBlc10ueG1sUEsBAi0AFAAGAAgAAAAhADj9&#10;If/WAAAAlAEAAAsAAAAAAAAAAAAAAAAALwEAAF9yZWxzLy5yZWxzUEsBAi0AFAAGAAgAAAAhAIe9&#10;oBODAgAAFgUAAA4AAAAAAAAAAAAAAAAALgIAAGRycy9lMm9Eb2MueG1sUEsBAi0AFAAGAAgAAAAh&#10;AIORLQXfAAAACQEAAA8AAAAAAAAAAAAAAAAA3QQAAGRycy9kb3ducmV2LnhtbFBLBQYAAAAABAAE&#10;APMAAADpBQAAAAA=&#10;" o:allowoverlap="f" stroked="f">
              <v:textbox style="layout-flow:vertical">
                <w:txbxContent>
                  <w:p w14:paraId="2E66A880" w14:textId="36001054" w:rsidR="00672404" w:rsidRPr="0014402C" w:rsidRDefault="00672404" w:rsidP="0014402C">
                    <w:pPr>
                      <w:pStyle w:val="HeaderOdd"/>
                    </w:pPr>
                    <w:fldSimple w:instr=" TITLE   \* MERGEFORMAT ">
                      <w:r w:rsidRPr="0014402C">
                        <w:t>Appendix C: Statement of risks</w:t>
                      </w:r>
                    </w:fldSimple>
                  </w:p>
                </w:txbxContent>
              </v:textbox>
              <w10:wrap anchorx="margin" anchory="page"/>
            </v:shape>
          </w:pict>
        </mc:Fallback>
      </mc:AlternateContent>
    </w:r>
    <w:r>
      <w:rPr>
        <w:noProof/>
      </w:rPr>
      <mc:AlternateContent>
        <mc:Choice Requires="wps">
          <w:drawing>
            <wp:anchor distT="0" distB="0" distL="114300" distR="114300" simplePos="0" relativeHeight="251657216" behindDoc="0" locked="0" layoutInCell="1" allowOverlap="1" wp14:anchorId="285CCC9D" wp14:editId="0572CF4A">
              <wp:simplePos x="0" y="0"/>
              <wp:positionH relativeFrom="page">
                <wp:posOffset>9311640</wp:posOffset>
              </wp:positionH>
              <wp:positionV relativeFrom="margin">
                <wp:posOffset>53975</wp:posOffset>
              </wp:positionV>
              <wp:extent cx="147955" cy="482917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482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DEB03" w14:textId="77777777" w:rsidR="00672404" w:rsidRDefault="00672404" w:rsidP="00FE5F0A">
                          <w:pPr>
                            <w:pStyle w:val="HeaderOdd"/>
                          </w:pPr>
                          <w:r>
                            <w:t xml:space="preserve">Appendix C: </w:t>
                          </w:r>
                          <w:r w:rsidRPr="000D21E8">
                            <w:t>Statement</w:t>
                          </w:r>
                          <w:r>
                            <w:t xml:space="preserve"> of risks </w:t>
                          </w:r>
                        </w:p>
                        <w:p w14:paraId="454D8FE8" w14:textId="77777777" w:rsidR="00672404" w:rsidRPr="00597721" w:rsidRDefault="00672404" w:rsidP="00FE5F0A">
                          <w:pPr>
                            <w:pStyle w:val="Footer"/>
                            <w:rPr>
                              <w:rStyle w:val="PageNumber"/>
                            </w:rPr>
                          </w:pPr>
                        </w:p>
                        <w:p w14:paraId="53AC292B" w14:textId="77777777" w:rsidR="00480290" w:rsidRDefault="00480290" w:rsidP="00C903CB">
                          <w:pPr>
                            <w:pStyle w:val="Footer"/>
                          </w:pPr>
                        </w:p>
                      </w:txbxContent>
                    </wps:txbx>
                    <wps:bodyPr rot="0" vert="vert"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733.2pt;margin-top:4.25pt;width:11.65pt;height:38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71ewIAAAYFAAAOAAAAZHJzL2Uyb0RvYy54bWysVNmO2yAUfa/Uf0C8Z2xHzmIrzmiWpqo0&#10;XaSZfgAGHKNioEBij6r+ey84zsx0kaqqfsDX5nLucs5lczl0Eh25dUKrCmcXKUZcUc2E2lf488Nu&#10;tsbIeaIYkVrxCj9yhy+3r19telPyuW61ZNwiAFGu7E2FW+9NmSSOtrwj7kIbrmCz0bYjHj7tPmGW&#10;9IDeyWSepsuk15YZqyl3Dv7ejpt4G/GbhlP/sWkc90hWGHLzcbVxrcOabDek3FtiWkFPaZB/yKIj&#10;QkHQM9Qt8QQdrPgFqhPUaqcbf0F1l+imEZTHGqCaLP2pmvuWGB5rgeY4c26T+3+w9MPxk0WCVTjH&#10;SJEOKHrgg0fXekDL0J3euBKc7g24+QF+A8uxUmfuNP3ikNI3LVF7fmWt7ltOGGSXhZPJs6Mjjgsg&#10;df9eMwhDDl5HoKGxXWgdNAMBOrD0eGYmpEJDyHxVLBYYUdjK1/MiWy1iCFJOp411/i3XHQpGhS0w&#10;H9HJ8c75kA0pJ5cQzGkp2E5IGT/svr6RFh0JqGQXnxP6CzepgrPS4diIOP6BJCFG2AvpRta/Fdk8&#10;T6/nxWy3XK9m+S5fzIpVup6lWXFdLNO8yG9330OCWV62gjGu7oTikwKz/O8YPs3CqJ2oQdRXuFjM&#10;FyNFfywyjc/viuyEh4GUoqvw+uxEykDsG8WgbFJ6IuRoJy/Tj12GHkzv2JUog8D8qAE/1EPU2zpE&#10;DxKpNXsEXVgNtAH5cJmAEVaMehjMCruvB2I5RvKdAm2FKZ4MOxn1ZBBFWw3zXWM0mjd+nPaDsWLf&#10;AvKoXqWvQH+NiNJ4yuKkWhi2WMPpYgjT/Pw7ej1dX9sfAAAA//8DAFBLAwQUAAYACAAAACEAA5x4&#10;geAAAAALAQAADwAAAGRycy9kb3ducmV2LnhtbEyPPW+DMBRF90r9D9ar1K0xRcQhBBNVlfoxdIEy&#10;dHTsF4yCbYSdQP99nakZr97RveeV+8UM5IKT753l8LxKgKCVTvW249B+vz3lQHwQVonBWeTwix72&#10;1f1dKQrlZlvjpQkdiSXWF4KDDmEsKPVSoxF+5Ua08XZ0kxEhxqmjahJzLDcDTZOEUSN6Gxe0GPFV&#10;ozw1Z8Oh+6lPI1t/tfJTvrdz+qHTvqk5f3xYXnZAAi7hH4arflSHKjod3NkqT4aYM8ayyHLI10Cu&#10;QJZvN0AOHDZsmwCtSnr7Q/UHAAD//wMAUEsBAi0AFAAGAAgAAAAhALaDOJL+AAAA4QEAABMAAAAA&#10;AAAAAAAAAAAAAAAAAFtDb250ZW50X1R5cGVzXS54bWxQSwECLQAUAAYACAAAACEAOP0h/9YAAACU&#10;AQAACwAAAAAAAAAAAAAAAAAvAQAAX3JlbHMvLnJlbHNQSwECLQAUAAYACAAAACEAXWW+9XsCAAAG&#10;BQAADgAAAAAAAAAAAAAAAAAuAgAAZHJzL2Uyb0RvYy54bWxQSwECLQAUAAYACAAAACEAA5x4geAA&#10;AAALAQAADwAAAAAAAAAAAAAAAADVBAAAZHJzL2Rvd25yZXYueG1sUEsFBgAAAAAEAAQA8wAAAOIF&#10;AAAAAA==&#10;" stroked="f">
              <v:textbox style="layout-flow:vertical" inset="0,0,0,0">
                <w:txbxContent>
                  <w:p w14:paraId="009DEB03" w14:textId="77777777" w:rsidR="00672404" w:rsidRDefault="00672404" w:rsidP="00FE5F0A">
                    <w:pPr>
                      <w:pStyle w:val="HeaderOdd"/>
                    </w:pPr>
                    <w:r>
                      <w:t xml:space="preserve">Appendix C: </w:t>
                    </w:r>
                    <w:r w:rsidRPr="000D21E8">
                      <w:t>Statement</w:t>
                    </w:r>
                    <w:r>
                      <w:t xml:space="preserve"> of risks </w:t>
                    </w:r>
                  </w:p>
                  <w:p w14:paraId="454D8FE8" w14:textId="77777777" w:rsidR="00672404" w:rsidRPr="00597721" w:rsidRDefault="00672404" w:rsidP="00FE5F0A">
                    <w:pPr>
                      <w:pStyle w:val="Footer"/>
                      <w:rPr>
                        <w:rStyle w:val="PageNumber"/>
                      </w:rPr>
                    </w:pPr>
                  </w:p>
                  <w:p w14:paraId="53AC292B" w14:textId="77777777" w:rsidR="00000000" w:rsidRDefault="00C903CB" w:rsidP="00C903CB">
                    <w:pPr>
                      <w:pStyle w:val="Footer"/>
                    </w:pPr>
                  </w:p>
                </w:txbxContent>
              </v:textbox>
              <w10:wrap anchorx="page" anchory="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868987" w14:textId="066760BC" w:rsidR="00672404" w:rsidRPr="009354C2" w:rsidRDefault="00672404" w:rsidP="009354C2">
    <w:pPr>
      <w:pStyle w:val="HeaderEven"/>
    </w:pPr>
    <w:r>
      <w:t xml:space="preserve">Appendix C: </w:t>
    </w:r>
    <w:r w:rsidRPr="000D21E8">
      <w:t>Statement</w:t>
    </w:r>
    <w:r>
      <w:t xml:space="preserve"> of risks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087C4" w14:textId="0544D4E3" w:rsidR="00672404" w:rsidRPr="000D21E8" w:rsidRDefault="00672404" w:rsidP="008E2054">
    <w:pPr>
      <w:pStyle w:val="HeaderOdd"/>
    </w:pPr>
    <w:r>
      <w:t xml:space="preserve">Appendix C: </w:t>
    </w:r>
    <w:r w:rsidRPr="000D21E8">
      <w:t>Statement</w:t>
    </w:r>
    <w:r>
      <w:t xml:space="preserve"> of risks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4E4C7" w14:textId="72D7C35C" w:rsidR="00672404" w:rsidRPr="001B6418" w:rsidRDefault="00672404" w:rsidP="00FE5F0A">
    <w:pPr>
      <w:pStyle w:val="HeaderOdd"/>
    </w:pPr>
    <w:r>
      <w:t xml:space="preserve">Appendix C: </w:t>
    </w:r>
    <w:r w:rsidRPr="000D21E8">
      <w:t>Statement</w:t>
    </w:r>
    <w:r>
      <w:t xml:space="preserve"> of risks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98121E"/>
    <w:lvl w:ilvl="0">
      <w:start w:val="1"/>
      <w:numFmt w:val="decimal"/>
      <w:lvlText w:val="%1."/>
      <w:lvlJc w:val="left"/>
      <w:pPr>
        <w:tabs>
          <w:tab w:val="num" w:pos="1492"/>
        </w:tabs>
        <w:ind w:left="1492" w:hanging="360"/>
      </w:pPr>
    </w:lvl>
  </w:abstractNum>
  <w:abstractNum w:abstractNumId="1">
    <w:nsid w:val="FFFFFF7D"/>
    <w:multiLevelType w:val="singleLevel"/>
    <w:tmpl w:val="9EAE222A"/>
    <w:lvl w:ilvl="0">
      <w:start w:val="1"/>
      <w:numFmt w:val="decimal"/>
      <w:lvlText w:val="%1."/>
      <w:lvlJc w:val="left"/>
      <w:pPr>
        <w:tabs>
          <w:tab w:val="num" w:pos="1209"/>
        </w:tabs>
        <w:ind w:left="1209" w:hanging="360"/>
      </w:pPr>
    </w:lvl>
  </w:abstractNum>
  <w:abstractNum w:abstractNumId="2">
    <w:nsid w:val="FFFFFF7E"/>
    <w:multiLevelType w:val="singleLevel"/>
    <w:tmpl w:val="161A494C"/>
    <w:lvl w:ilvl="0">
      <w:start w:val="1"/>
      <w:numFmt w:val="decimal"/>
      <w:lvlText w:val="%1."/>
      <w:lvlJc w:val="left"/>
      <w:pPr>
        <w:tabs>
          <w:tab w:val="num" w:pos="926"/>
        </w:tabs>
        <w:ind w:left="926" w:hanging="360"/>
      </w:pPr>
    </w:lvl>
  </w:abstractNum>
  <w:abstractNum w:abstractNumId="3">
    <w:nsid w:val="FFFFFF7F"/>
    <w:multiLevelType w:val="singleLevel"/>
    <w:tmpl w:val="AFCA4BEC"/>
    <w:lvl w:ilvl="0">
      <w:start w:val="1"/>
      <w:numFmt w:val="decimal"/>
      <w:lvlText w:val="%1."/>
      <w:lvlJc w:val="left"/>
      <w:pPr>
        <w:tabs>
          <w:tab w:val="num" w:pos="643"/>
        </w:tabs>
        <w:ind w:left="643" w:hanging="360"/>
      </w:pPr>
    </w:lvl>
  </w:abstractNum>
  <w:abstractNum w:abstractNumId="4">
    <w:nsid w:val="FFFFFF80"/>
    <w:multiLevelType w:val="singleLevel"/>
    <w:tmpl w:val="3E1E4F6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D623CE"/>
    <w:lvl w:ilvl="0">
      <w:start w:val="1"/>
      <w:numFmt w:val="bullet"/>
      <w:pStyle w:val="ListBullet4"/>
      <w:lvlText w:val=""/>
      <w:lvlJc w:val="left"/>
      <w:pPr>
        <w:tabs>
          <w:tab w:val="num" w:pos="1209"/>
        </w:tabs>
        <w:ind w:left="1209" w:hanging="360"/>
      </w:pPr>
      <w:rPr>
        <w:rFonts w:ascii="Book Antiqua" w:hAnsi="Book Antiqua" w:hint="default"/>
      </w:rPr>
    </w:lvl>
  </w:abstractNum>
  <w:abstractNum w:abstractNumId="6">
    <w:nsid w:val="FFFFFF82"/>
    <w:multiLevelType w:val="singleLevel"/>
    <w:tmpl w:val="993636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D654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2A0EBE4"/>
    <w:lvl w:ilvl="0">
      <w:start w:val="1"/>
      <w:numFmt w:val="decimal"/>
      <w:lvlText w:val="%1."/>
      <w:lvlJc w:val="left"/>
      <w:pPr>
        <w:tabs>
          <w:tab w:val="num" w:pos="360"/>
        </w:tabs>
        <w:ind w:left="360" w:hanging="360"/>
      </w:pPr>
    </w:lvl>
  </w:abstractNum>
  <w:abstractNum w:abstractNumId="9">
    <w:nsid w:val="FFFFFF89"/>
    <w:multiLevelType w:val="singleLevel"/>
    <w:tmpl w:val="F264826C"/>
    <w:lvl w:ilvl="0">
      <w:start w:val="1"/>
      <w:numFmt w:val="bullet"/>
      <w:lvlText w:val=""/>
      <w:lvlJc w:val="left"/>
      <w:pPr>
        <w:tabs>
          <w:tab w:val="num" w:pos="360"/>
        </w:tabs>
        <w:ind w:left="360" w:hanging="360"/>
      </w:pPr>
      <w:rPr>
        <w:rFonts w:ascii="Symbol" w:hAnsi="Symbol" w:hint="default"/>
      </w:rPr>
    </w:lvl>
  </w:abstractNum>
  <w:abstractNum w:abstractNumId="10">
    <w:nsid w:val="01775260"/>
    <w:multiLevelType w:val="multilevel"/>
    <w:tmpl w:val="1E922D34"/>
    <w:name w:val="BulletedList"/>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nsid w:val="19C960FD"/>
    <w:multiLevelType w:val="multilevel"/>
    <w:tmpl w:val="F9EA08CE"/>
    <w:name w:val="OneLevelNumberedParagraphList"/>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4">
    <w:nsid w:val="244237C5"/>
    <w:multiLevelType w:val="multilevel"/>
    <w:tmpl w:val="F0BE3518"/>
    <w:lvl w:ilvl="0">
      <w:start w:val="1"/>
      <w:numFmt w:val="decimal"/>
      <w:lvlRestart w:val="0"/>
      <w:pStyle w:val="OutlineNumbered1"/>
      <w:lvlText w:val="%1."/>
      <w:lvlJc w:val="left"/>
      <w:pPr>
        <w:tabs>
          <w:tab w:val="num" w:pos="567"/>
        </w:tabs>
        <w:ind w:left="567" w:hanging="567"/>
      </w:pPr>
      <w:rPr>
        <w:b w:val="0"/>
        <w:i w:val="0"/>
      </w:rPr>
    </w:lvl>
    <w:lvl w:ilvl="1">
      <w:start w:val="1"/>
      <w:numFmt w:val="decimal"/>
      <w:pStyle w:val="OutlineNumbered2"/>
      <w:lvlText w:val="%1.%2."/>
      <w:lvlJc w:val="left"/>
      <w:pPr>
        <w:tabs>
          <w:tab w:val="num" w:pos="1134"/>
        </w:tabs>
        <w:ind w:left="1134" w:hanging="567"/>
      </w:pPr>
      <w:rPr>
        <w:b w:val="0"/>
        <w:i w:val="0"/>
      </w:rPr>
    </w:lvl>
    <w:lvl w:ilvl="2">
      <w:start w:val="1"/>
      <w:numFmt w:val="decimal"/>
      <w:pStyle w:val="OutlineNumbered3"/>
      <w:lvlText w:val="%1.%2.%3."/>
      <w:lvlJc w:val="left"/>
      <w:pPr>
        <w:tabs>
          <w:tab w:val="num" w:pos="1701"/>
        </w:tabs>
        <w:ind w:left="1701" w:hanging="567"/>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26C76151"/>
    <w:multiLevelType w:val="hybridMultilevel"/>
    <w:tmpl w:val="746257A0"/>
    <w:lvl w:ilvl="0" w:tplc="22241000">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27440C8B"/>
    <w:multiLevelType w:val="multilevel"/>
    <w:tmpl w:val="AF04C206"/>
    <w:lvl w:ilvl="0">
      <w:start w:val="1"/>
      <w:numFmt w:val="bullet"/>
      <w:lvlRestart w:val="0"/>
      <w:lvlText w:val="•"/>
      <w:lvlJc w:val="left"/>
      <w:pPr>
        <w:tabs>
          <w:tab w:val="num" w:pos="283"/>
        </w:tabs>
        <w:ind w:left="283" w:hanging="283"/>
      </w:pPr>
      <w:rPr>
        <w:rFonts w:ascii="Book Antiqua" w:hAnsi="Book Antiqua" w:hint="default"/>
        <w:b w:val="0"/>
        <w:i w:val="0"/>
        <w:position w:val="0"/>
        <w:sz w:val="18"/>
        <w:szCs w:val="18"/>
      </w:rPr>
    </w:lvl>
    <w:lvl w:ilvl="1">
      <w:start w:val="1"/>
      <w:numFmt w:val="bullet"/>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7">
    <w:nsid w:val="2D665DFA"/>
    <w:multiLevelType w:val="singleLevel"/>
    <w:tmpl w:val="7E8429CA"/>
    <w:name w:val="OneLevelAlphaParagraphList"/>
    <w:lvl w:ilvl="0">
      <w:start w:val="1"/>
      <w:numFmt w:val="lowerLetter"/>
      <w:lvlRestart w:val="0"/>
      <w:lvlText w:val="(%1)"/>
      <w:lvlJc w:val="left"/>
      <w:pPr>
        <w:tabs>
          <w:tab w:val="num" w:pos="567"/>
        </w:tabs>
        <w:ind w:left="567" w:hanging="567"/>
      </w:pPr>
      <w:rPr>
        <w:rFonts w:ascii="Book Antiqua" w:hAnsi="Book Antiqua"/>
        <w:b w:val="0"/>
        <w:i w:val="0"/>
        <w:sz w:val="20"/>
      </w:rPr>
    </w:lvl>
  </w:abstractNum>
  <w:abstractNum w:abstractNumId="18">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9">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nsid w:val="58101827"/>
    <w:multiLevelType w:val="multilevel"/>
    <w:tmpl w:val="5CEE68CA"/>
    <w:lvl w:ilvl="0">
      <w:start w:val="1"/>
      <w:numFmt w:val="bullet"/>
      <w:lvlRestart w:val="0"/>
      <w:lvlText w:val="•"/>
      <w:lvlJc w:val="left"/>
      <w:pPr>
        <w:tabs>
          <w:tab w:val="num" w:pos="283"/>
        </w:tabs>
        <w:ind w:left="283" w:hanging="283"/>
      </w:pPr>
      <w:rPr>
        <w:rFonts w:ascii="Book Antiqua" w:hAnsi="Book Antiqua" w:hint="default"/>
        <w:b w:val="0"/>
        <w:i w:val="0"/>
        <w:position w:val="0"/>
        <w:sz w:val="18"/>
      </w:rPr>
    </w:lvl>
    <w:lvl w:ilvl="1">
      <w:start w:val="1"/>
      <w:numFmt w:val="bullet"/>
      <w:pStyle w:val="BoxDash"/>
      <w:lvlText w:val="–"/>
      <w:lvlJc w:val="left"/>
      <w:pPr>
        <w:tabs>
          <w:tab w:val="num" w:pos="567"/>
        </w:tabs>
        <w:ind w:left="567" w:hanging="284"/>
      </w:pPr>
      <w:rPr>
        <w:rFonts w:ascii="Book Antiqua" w:hAnsi="Book Antiqua" w:hint="default"/>
        <w:b w:val="0"/>
        <w:i w:val="0"/>
        <w:position w:val="0"/>
        <w:sz w:val="18"/>
      </w:rPr>
    </w:lvl>
    <w:lvl w:ilvl="2">
      <w:start w:val="1"/>
      <w:numFmt w:val="bullet"/>
      <w:pStyle w:val="BoxDoubleDot"/>
      <w:lvlText w:val=":"/>
      <w:lvlJc w:val="left"/>
      <w:pPr>
        <w:tabs>
          <w:tab w:val="num" w:pos="850"/>
        </w:tabs>
        <w:ind w:left="850" w:hanging="283"/>
      </w:pPr>
      <w:rPr>
        <w:rFonts w:ascii="Book Antiqua" w:hAnsi="Book Antiqua"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1">
    <w:nsid w:val="66022277"/>
    <w:multiLevelType w:val="singleLevel"/>
    <w:tmpl w:val="EF02D596"/>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22">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3">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num w:numId="1">
    <w:abstractNumId w:val="5"/>
  </w:num>
  <w:num w:numId="2">
    <w:abstractNumId w:val="23"/>
  </w:num>
  <w:num w:numId="3">
    <w:abstractNumId w:val="17"/>
  </w:num>
  <w:num w:numId="4">
    <w:abstractNumId w:val="20"/>
  </w:num>
  <w:num w:numId="5">
    <w:abstractNumId w:val="13"/>
  </w:num>
  <w:num w:numId="6">
    <w:abstractNumId w:val="14"/>
  </w:num>
  <w:num w:numId="7">
    <w:abstractNumId w:val="16"/>
  </w:num>
  <w:num w:numId="8">
    <w:abstractNumId w:val="21"/>
    <w:lvlOverride w:ilvl="0">
      <w:startOverride w:val="1"/>
    </w:lvlOverride>
  </w:num>
  <w:num w:numId="9">
    <w:abstractNumId w:val="21"/>
    <w:lvlOverride w:ilvl="0">
      <w:startOverride w:val="1"/>
    </w:lvlOverride>
  </w:num>
  <w:num w:numId="10">
    <w:abstractNumId w:val="11"/>
  </w:num>
  <w:num w:numId="11">
    <w:abstractNumId w:val="15"/>
  </w:num>
  <w:num w:numId="12">
    <w:abstractNumId w:val="21"/>
    <w:lvlOverride w:ilvl="0">
      <w:startOverride w:val="1"/>
    </w:lvlOverride>
  </w:num>
  <w:num w:numId="13">
    <w:abstractNumId w:val="9"/>
  </w:num>
  <w:num w:numId="14">
    <w:abstractNumId w:val="7"/>
  </w:num>
  <w:num w:numId="15">
    <w:abstractNumId w:val="6"/>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9"/>
  </w:num>
  <w:num w:numId="23">
    <w:abstractNumId w:val="12"/>
  </w:num>
  <w:num w:numId="24">
    <w:abstractNumId w:val="18"/>
  </w:num>
  <w:num w:numId="25">
    <w:abstractNumId w:val="22"/>
  </w:num>
  <w:num w:numId="26">
    <w:abstractNumId w:val="18"/>
    <w:lvlOverride w:ilvl="0">
      <w:startOverride w:val="1"/>
    </w:lvlOverride>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egrzyn, Jakub">
    <w15:presenceInfo w15:providerId="AD" w15:userId="S-1-5-21-3116327230-3747694248-558935996-67585"/>
  </w15:person>
  <w15:person w15:author="Bewley, Luke">
    <w15:presenceInfo w15:providerId="AD" w15:userId="S-1-5-21-3116327230-3747694248-558935996-70338"/>
  </w15:person>
  <w15:person w15:author="Reside, Chris">
    <w15:presenceInfo w15:providerId="AD" w15:userId="S-1-5-21-3116327230-3747694248-558935996-71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 w:name="SecurityDLMInHeader" w:val="False"/>
  </w:docVars>
  <w:rsids>
    <w:rsidRoot w:val="00E77A13"/>
    <w:rsid w:val="0000234C"/>
    <w:rsid w:val="00002EC7"/>
    <w:rsid w:val="000049B3"/>
    <w:rsid w:val="00004CAA"/>
    <w:rsid w:val="00010EEB"/>
    <w:rsid w:val="0001122F"/>
    <w:rsid w:val="00011A11"/>
    <w:rsid w:val="00011C1E"/>
    <w:rsid w:val="000124F4"/>
    <w:rsid w:val="000125BC"/>
    <w:rsid w:val="00012EB0"/>
    <w:rsid w:val="00013272"/>
    <w:rsid w:val="00014C43"/>
    <w:rsid w:val="000151F8"/>
    <w:rsid w:val="000168B5"/>
    <w:rsid w:val="00016FA9"/>
    <w:rsid w:val="0002160F"/>
    <w:rsid w:val="000230DE"/>
    <w:rsid w:val="00023631"/>
    <w:rsid w:val="000266C5"/>
    <w:rsid w:val="00027279"/>
    <w:rsid w:val="00027949"/>
    <w:rsid w:val="00030ACC"/>
    <w:rsid w:val="00030C67"/>
    <w:rsid w:val="00030F3F"/>
    <w:rsid w:val="00031403"/>
    <w:rsid w:val="00031D2A"/>
    <w:rsid w:val="00033843"/>
    <w:rsid w:val="000348C0"/>
    <w:rsid w:val="00035A36"/>
    <w:rsid w:val="0003630E"/>
    <w:rsid w:val="00036A42"/>
    <w:rsid w:val="000376DF"/>
    <w:rsid w:val="0003780A"/>
    <w:rsid w:val="00037A45"/>
    <w:rsid w:val="00041DC5"/>
    <w:rsid w:val="00042E7D"/>
    <w:rsid w:val="00043708"/>
    <w:rsid w:val="0004588F"/>
    <w:rsid w:val="00046F97"/>
    <w:rsid w:val="00047F4A"/>
    <w:rsid w:val="000511C0"/>
    <w:rsid w:val="000533DD"/>
    <w:rsid w:val="00053D89"/>
    <w:rsid w:val="00055080"/>
    <w:rsid w:val="000556B4"/>
    <w:rsid w:val="00056214"/>
    <w:rsid w:val="00056AF8"/>
    <w:rsid w:val="00056D2A"/>
    <w:rsid w:val="000612AC"/>
    <w:rsid w:val="0006165F"/>
    <w:rsid w:val="00061702"/>
    <w:rsid w:val="00061CF7"/>
    <w:rsid w:val="000622EF"/>
    <w:rsid w:val="0006246D"/>
    <w:rsid w:val="000633EC"/>
    <w:rsid w:val="000637BB"/>
    <w:rsid w:val="0006387F"/>
    <w:rsid w:val="00070468"/>
    <w:rsid w:val="000723B3"/>
    <w:rsid w:val="00075397"/>
    <w:rsid w:val="000760DA"/>
    <w:rsid w:val="00076113"/>
    <w:rsid w:val="00076B58"/>
    <w:rsid w:val="00077990"/>
    <w:rsid w:val="00077A0D"/>
    <w:rsid w:val="00080657"/>
    <w:rsid w:val="00080B33"/>
    <w:rsid w:val="000816A3"/>
    <w:rsid w:val="00081F06"/>
    <w:rsid w:val="00083F03"/>
    <w:rsid w:val="00084DD1"/>
    <w:rsid w:val="00086AEA"/>
    <w:rsid w:val="00087A8F"/>
    <w:rsid w:val="000925A6"/>
    <w:rsid w:val="00092F5F"/>
    <w:rsid w:val="000940FD"/>
    <w:rsid w:val="00094125"/>
    <w:rsid w:val="00095F75"/>
    <w:rsid w:val="00097918"/>
    <w:rsid w:val="000A1847"/>
    <w:rsid w:val="000A3CD3"/>
    <w:rsid w:val="000A716D"/>
    <w:rsid w:val="000A722C"/>
    <w:rsid w:val="000A7EC9"/>
    <w:rsid w:val="000B1C93"/>
    <w:rsid w:val="000B319A"/>
    <w:rsid w:val="000B4AE4"/>
    <w:rsid w:val="000C0ACC"/>
    <w:rsid w:val="000C0F28"/>
    <w:rsid w:val="000C1142"/>
    <w:rsid w:val="000C1D5A"/>
    <w:rsid w:val="000C253E"/>
    <w:rsid w:val="000C285B"/>
    <w:rsid w:val="000C35D0"/>
    <w:rsid w:val="000C40ED"/>
    <w:rsid w:val="000C5035"/>
    <w:rsid w:val="000C5B31"/>
    <w:rsid w:val="000C7405"/>
    <w:rsid w:val="000D0553"/>
    <w:rsid w:val="000D21E8"/>
    <w:rsid w:val="000D2234"/>
    <w:rsid w:val="000D713D"/>
    <w:rsid w:val="000D7AD7"/>
    <w:rsid w:val="000E0700"/>
    <w:rsid w:val="000E10B2"/>
    <w:rsid w:val="000E15FF"/>
    <w:rsid w:val="000E293C"/>
    <w:rsid w:val="000E3032"/>
    <w:rsid w:val="000E33B4"/>
    <w:rsid w:val="000E4660"/>
    <w:rsid w:val="000E4CB1"/>
    <w:rsid w:val="000E55F8"/>
    <w:rsid w:val="000E5973"/>
    <w:rsid w:val="000F032E"/>
    <w:rsid w:val="000F083C"/>
    <w:rsid w:val="000F14AA"/>
    <w:rsid w:val="000F27B8"/>
    <w:rsid w:val="000F2E20"/>
    <w:rsid w:val="000F2F89"/>
    <w:rsid w:val="000F30CC"/>
    <w:rsid w:val="000F38FE"/>
    <w:rsid w:val="000F5B67"/>
    <w:rsid w:val="000F5F3D"/>
    <w:rsid w:val="000F7060"/>
    <w:rsid w:val="001011B4"/>
    <w:rsid w:val="0010325E"/>
    <w:rsid w:val="00105DA3"/>
    <w:rsid w:val="001074B7"/>
    <w:rsid w:val="00107F66"/>
    <w:rsid w:val="001114F2"/>
    <w:rsid w:val="0011707C"/>
    <w:rsid w:val="00121F6A"/>
    <w:rsid w:val="001260F6"/>
    <w:rsid w:val="001267B6"/>
    <w:rsid w:val="0013092B"/>
    <w:rsid w:val="001320F0"/>
    <w:rsid w:val="00132906"/>
    <w:rsid w:val="00133419"/>
    <w:rsid w:val="00133FD8"/>
    <w:rsid w:val="00135EDE"/>
    <w:rsid w:val="0013617E"/>
    <w:rsid w:val="00136E5C"/>
    <w:rsid w:val="00140406"/>
    <w:rsid w:val="001404BE"/>
    <w:rsid w:val="00140AD6"/>
    <w:rsid w:val="001419E3"/>
    <w:rsid w:val="00141B2F"/>
    <w:rsid w:val="0014257F"/>
    <w:rsid w:val="00142652"/>
    <w:rsid w:val="00142A07"/>
    <w:rsid w:val="00142B6E"/>
    <w:rsid w:val="00143B9C"/>
    <w:rsid w:val="0014402C"/>
    <w:rsid w:val="00146044"/>
    <w:rsid w:val="00146EE7"/>
    <w:rsid w:val="001527A4"/>
    <w:rsid w:val="00156611"/>
    <w:rsid w:val="00160EC1"/>
    <w:rsid w:val="0016147F"/>
    <w:rsid w:val="001631C3"/>
    <w:rsid w:val="0016330C"/>
    <w:rsid w:val="001633AE"/>
    <w:rsid w:val="001638A3"/>
    <w:rsid w:val="001643C8"/>
    <w:rsid w:val="00164E61"/>
    <w:rsid w:val="00165003"/>
    <w:rsid w:val="001661D8"/>
    <w:rsid w:val="00166BA8"/>
    <w:rsid w:val="00171190"/>
    <w:rsid w:val="001736D4"/>
    <w:rsid w:val="0017507C"/>
    <w:rsid w:val="00175965"/>
    <w:rsid w:val="001762A2"/>
    <w:rsid w:val="001766DE"/>
    <w:rsid w:val="00181B27"/>
    <w:rsid w:val="00183709"/>
    <w:rsid w:val="00191505"/>
    <w:rsid w:val="001920A5"/>
    <w:rsid w:val="00193BA3"/>
    <w:rsid w:val="00193BA4"/>
    <w:rsid w:val="00194842"/>
    <w:rsid w:val="0019625C"/>
    <w:rsid w:val="001967F9"/>
    <w:rsid w:val="001A1FCB"/>
    <w:rsid w:val="001A24B6"/>
    <w:rsid w:val="001A288B"/>
    <w:rsid w:val="001A29F3"/>
    <w:rsid w:val="001A65AE"/>
    <w:rsid w:val="001B0767"/>
    <w:rsid w:val="001B22A0"/>
    <w:rsid w:val="001B6418"/>
    <w:rsid w:val="001B6742"/>
    <w:rsid w:val="001C1CDF"/>
    <w:rsid w:val="001C248D"/>
    <w:rsid w:val="001C306A"/>
    <w:rsid w:val="001C3CF3"/>
    <w:rsid w:val="001C58CB"/>
    <w:rsid w:val="001C5D5A"/>
    <w:rsid w:val="001D07FB"/>
    <w:rsid w:val="001D0AC1"/>
    <w:rsid w:val="001D0EDB"/>
    <w:rsid w:val="001D2065"/>
    <w:rsid w:val="001D3EA5"/>
    <w:rsid w:val="001E27BF"/>
    <w:rsid w:val="001E45FB"/>
    <w:rsid w:val="001E46AD"/>
    <w:rsid w:val="001E6125"/>
    <w:rsid w:val="001F01C8"/>
    <w:rsid w:val="001F19D0"/>
    <w:rsid w:val="001F1EEE"/>
    <w:rsid w:val="001F3F27"/>
    <w:rsid w:val="001F40BF"/>
    <w:rsid w:val="001F5AE7"/>
    <w:rsid w:val="001F66C4"/>
    <w:rsid w:val="001F7007"/>
    <w:rsid w:val="002005CB"/>
    <w:rsid w:val="002015D7"/>
    <w:rsid w:val="002017B6"/>
    <w:rsid w:val="0020225A"/>
    <w:rsid w:val="00203509"/>
    <w:rsid w:val="00203754"/>
    <w:rsid w:val="00203E25"/>
    <w:rsid w:val="002042A2"/>
    <w:rsid w:val="00204745"/>
    <w:rsid w:val="00207793"/>
    <w:rsid w:val="00210779"/>
    <w:rsid w:val="00210C1E"/>
    <w:rsid w:val="00210CC2"/>
    <w:rsid w:val="00215464"/>
    <w:rsid w:val="0021557A"/>
    <w:rsid w:val="002159BF"/>
    <w:rsid w:val="00215E1C"/>
    <w:rsid w:val="00217F95"/>
    <w:rsid w:val="0022162C"/>
    <w:rsid w:val="00223832"/>
    <w:rsid w:val="00223D63"/>
    <w:rsid w:val="00235BCC"/>
    <w:rsid w:val="00235F35"/>
    <w:rsid w:val="00235FE7"/>
    <w:rsid w:val="00237FFB"/>
    <w:rsid w:val="00243E9D"/>
    <w:rsid w:val="0024489F"/>
    <w:rsid w:val="00244D51"/>
    <w:rsid w:val="002450DB"/>
    <w:rsid w:val="00251A8D"/>
    <w:rsid w:val="00252C37"/>
    <w:rsid w:val="00255B2D"/>
    <w:rsid w:val="00255F53"/>
    <w:rsid w:val="00256113"/>
    <w:rsid w:val="00256D98"/>
    <w:rsid w:val="002575B2"/>
    <w:rsid w:val="00260803"/>
    <w:rsid w:val="0026195B"/>
    <w:rsid w:val="00267FEA"/>
    <w:rsid w:val="002713A6"/>
    <w:rsid w:val="00273431"/>
    <w:rsid w:val="002751F9"/>
    <w:rsid w:val="00275CA7"/>
    <w:rsid w:val="002760F4"/>
    <w:rsid w:val="00276B93"/>
    <w:rsid w:val="00282144"/>
    <w:rsid w:val="00282376"/>
    <w:rsid w:val="00283085"/>
    <w:rsid w:val="00283A88"/>
    <w:rsid w:val="00283E15"/>
    <w:rsid w:val="0028793F"/>
    <w:rsid w:val="00291F0F"/>
    <w:rsid w:val="00293422"/>
    <w:rsid w:val="002946F6"/>
    <w:rsid w:val="00294FF2"/>
    <w:rsid w:val="00296EEA"/>
    <w:rsid w:val="002A10F8"/>
    <w:rsid w:val="002A2929"/>
    <w:rsid w:val="002A5083"/>
    <w:rsid w:val="002A67C0"/>
    <w:rsid w:val="002A7A00"/>
    <w:rsid w:val="002B2477"/>
    <w:rsid w:val="002B3EED"/>
    <w:rsid w:val="002B597A"/>
    <w:rsid w:val="002C0F49"/>
    <w:rsid w:val="002C4E38"/>
    <w:rsid w:val="002C6DA5"/>
    <w:rsid w:val="002C78F0"/>
    <w:rsid w:val="002D0C21"/>
    <w:rsid w:val="002D49F1"/>
    <w:rsid w:val="002D6833"/>
    <w:rsid w:val="002E0F18"/>
    <w:rsid w:val="002E27C9"/>
    <w:rsid w:val="002E3868"/>
    <w:rsid w:val="002E3EE4"/>
    <w:rsid w:val="002E4738"/>
    <w:rsid w:val="002E59B4"/>
    <w:rsid w:val="002E6956"/>
    <w:rsid w:val="002F03F8"/>
    <w:rsid w:val="002F1B6E"/>
    <w:rsid w:val="002F2520"/>
    <w:rsid w:val="002F4836"/>
    <w:rsid w:val="002F73D2"/>
    <w:rsid w:val="00301197"/>
    <w:rsid w:val="00302B50"/>
    <w:rsid w:val="00304C39"/>
    <w:rsid w:val="00310A3D"/>
    <w:rsid w:val="00312B64"/>
    <w:rsid w:val="00312C0C"/>
    <w:rsid w:val="0031390B"/>
    <w:rsid w:val="00314234"/>
    <w:rsid w:val="003146E4"/>
    <w:rsid w:val="00314BA5"/>
    <w:rsid w:val="0031769B"/>
    <w:rsid w:val="0032584C"/>
    <w:rsid w:val="0032743A"/>
    <w:rsid w:val="00327B32"/>
    <w:rsid w:val="0033014B"/>
    <w:rsid w:val="003331B7"/>
    <w:rsid w:val="00336D04"/>
    <w:rsid w:val="0034089B"/>
    <w:rsid w:val="00341FD2"/>
    <w:rsid w:val="00342BBD"/>
    <w:rsid w:val="00345D14"/>
    <w:rsid w:val="00345D93"/>
    <w:rsid w:val="0034611E"/>
    <w:rsid w:val="00346412"/>
    <w:rsid w:val="00346E69"/>
    <w:rsid w:val="0035017F"/>
    <w:rsid w:val="0035366E"/>
    <w:rsid w:val="003537D8"/>
    <w:rsid w:val="0035532F"/>
    <w:rsid w:val="0035535A"/>
    <w:rsid w:val="00356260"/>
    <w:rsid w:val="00356DBE"/>
    <w:rsid w:val="003573A3"/>
    <w:rsid w:val="0035740F"/>
    <w:rsid w:val="00360D3E"/>
    <w:rsid w:val="003630AB"/>
    <w:rsid w:val="0036365E"/>
    <w:rsid w:val="003639FF"/>
    <w:rsid w:val="00363EC3"/>
    <w:rsid w:val="00366C00"/>
    <w:rsid w:val="00371114"/>
    <w:rsid w:val="00371B5D"/>
    <w:rsid w:val="00375867"/>
    <w:rsid w:val="003766E9"/>
    <w:rsid w:val="0037690E"/>
    <w:rsid w:val="0038095E"/>
    <w:rsid w:val="00382BDA"/>
    <w:rsid w:val="003852AC"/>
    <w:rsid w:val="00385556"/>
    <w:rsid w:val="00385744"/>
    <w:rsid w:val="00386216"/>
    <w:rsid w:val="0038741E"/>
    <w:rsid w:val="00390BA6"/>
    <w:rsid w:val="0039423F"/>
    <w:rsid w:val="00396CF0"/>
    <w:rsid w:val="00397BA8"/>
    <w:rsid w:val="003A22BE"/>
    <w:rsid w:val="003A4ACF"/>
    <w:rsid w:val="003A51C9"/>
    <w:rsid w:val="003A6237"/>
    <w:rsid w:val="003A641C"/>
    <w:rsid w:val="003B24C7"/>
    <w:rsid w:val="003B2B72"/>
    <w:rsid w:val="003B64D8"/>
    <w:rsid w:val="003B6A1B"/>
    <w:rsid w:val="003B797D"/>
    <w:rsid w:val="003C2037"/>
    <w:rsid w:val="003C2A0A"/>
    <w:rsid w:val="003C2EDE"/>
    <w:rsid w:val="003C33A8"/>
    <w:rsid w:val="003C3EFE"/>
    <w:rsid w:val="003C470A"/>
    <w:rsid w:val="003C5079"/>
    <w:rsid w:val="003C6747"/>
    <w:rsid w:val="003D77BC"/>
    <w:rsid w:val="003D77CA"/>
    <w:rsid w:val="003E1352"/>
    <w:rsid w:val="003E2CC5"/>
    <w:rsid w:val="003E36D9"/>
    <w:rsid w:val="003E5736"/>
    <w:rsid w:val="003F16F0"/>
    <w:rsid w:val="003F2A4C"/>
    <w:rsid w:val="003F3DAA"/>
    <w:rsid w:val="003F4924"/>
    <w:rsid w:val="003F5133"/>
    <w:rsid w:val="003F6191"/>
    <w:rsid w:val="003F7D64"/>
    <w:rsid w:val="003F7DC3"/>
    <w:rsid w:val="004001FB"/>
    <w:rsid w:val="00402821"/>
    <w:rsid w:val="00402E67"/>
    <w:rsid w:val="00405428"/>
    <w:rsid w:val="0040713C"/>
    <w:rsid w:val="004073F9"/>
    <w:rsid w:val="00415A02"/>
    <w:rsid w:val="00416D9E"/>
    <w:rsid w:val="00417AFC"/>
    <w:rsid w:val="00417B06"/>
    <w:rsid w:val="00417FC9"/>
    <w:rsid w:val="00422FC7"/>
    <w:rsid w:val="00423A85"/>
    <w:rsid w:val="004242E7"/>
    <w:rsid w:val="00424441"/>
    <w:rsid w:val="004279B0"/>
    <w:rsid w:val="00427E0B"/>
    <w:rsid w:val="004310AC"/>
    <w:rsid w:val="00432384"/>
    <w:rsid w:val="00432EB1"/>
    <w:rsid w:val="0043411E"/>
    <w:rsid w:val="0043507F"/>
    <w:rsid w:val="00442120"/>
    <w:rsid w:val="004421AF"/>
    <w:rsid w:val="004428FF"/>
    <w:rsid w:val="00442A15"/>
    <w:rsid w:val="00442D37"/>
    <w:rsid w:val="00446249"/>
    <w:rsid w:val="004470E3"/>
    <w:rsid w:val="004514C5"/>
    <w:rsid w:val="00455992"/>
    <w:rsid w:val="00455C6E"/>
    <w:rsid w:val="00456003"/>
    <w:rsid w:val="00456F18"/>
    <w:rsid w:val="0046188B"/>
    <w:rsid w:val="00463251"/>
    <w:rsid w:val="00466E8A"/>
    <w:rsid w:val="004672C6"/>
    <w:rsid w:val="00472689"/>
    <w:rsid w:val="0047271A"/>
    <w:rsid w:val="00472F27"/>
    <w:rsid w:val="0047369E"/>
    <w:rsid w:val="00473A85"/>
    <w:rsid w:val="0047790A"/>
    <w:rsid w:val="00477F75"/>
    <w:rsid w:val="00480290"/>
    <w:rsid w:val="00480AFA"/>
    <w:rsid w:val="00483991"/>
    <w:rsid w:val="0048540C"/>
    <w:rsid w:val="004865D3"/>
    <w:rsid w:val="004865E8"/>
    <w:rsid w:val="004903FB"/>
    <w:rsid w:val="00491CC5"/>
    <w:rsid w:val="004938BA"/>
    <w:rsid w:val="00494113"/>
    <w:rsid w:val="004951B8"/>
    <w:rsid w:val="0049612E"/>
    <w:rsid w:val="004A1CA6"/>
    <w:rsid w:val="004A307E"/>
    <w:rsid w:val="004A4037"/>
    <w:rsid w:val="004A4351"/>
    <w:rsid w:val="004B0298"/>
    <w:rsid w:val="004B16C7"/>
    <w:rsid w:val="004B55FD"/>
    <w:rsid w:val="004B5E71"/>
    <w:rsid w:val="004C02B5"/>
    <w:rsid w:val="004C0FB5"/>
    <w:rsid w:val="004C32E6"/>
    <w:rsid w:val="004C4F57"/>
    <w:rsid w:val="004C702C"/>
    <w:rsid w:val="004D3AFF"/>
    <w:rsid w:val="004D55EA"/>
    <w:rsid w:val="004D5EA5"/>
    <w:rsid w:val="004D75D4"/>
    <w:rsid w:val="004D7709"/>
    <w:rsid w:val="004E148C"/>
    <w:rsid w:val="004E1B23"/>
    <w:rsid w:val="004E29F1"/>
    <w:rsid w:val="004E30DC"/>
    <w:rsid w:val="004E4E88"/>
    <w:rsid w:val="004E76D3"/>
    <w:rsid w:val="004F046A"/>
    <w:rsid w:val="004F1B1F"/>
    <w:rsid w:val="004F4716"/>
    <w:rsid w:val="004F5BF1"/>
    <w:rsid w:val="004F5D7B"/>
    <w:rsid w:val="004F6077"/>
    <w:rsid w:val="00502112"/>
    <w:rsid w:val="005027BD"/>
    <w:rsid w:val="00506D2F"/>
    <w:rsid w:val="00506E4D"/>
    <w:rsid w:val="00507EFD"/>
    <w:rsid w:val="00510E59"/>
    <w:rsid w:val="0051353C"/>
    <w:rsid w:val="00516324"/>
    <w:rsid w:val="005174CE"/>
    <w:rsid w:val="005202D8"/>
    <w:rsid w:val="00521426"/>
    <w:rsid w:val="005235D0"/>
    <w:rsid w:val="005245B7"/>
    <w:rsid w:val="005255E6"/>
    <w:rsid w:val="0052614A"/>
    <w:rsid w:val="0052682D"/>
    <w:rsid w:val="00526DF0"/>
    <w:rsid w:val="00535B06"/>
    <w:rsid w:val="005377A1"/>
    <w:rsid w:val="00537F84"/>
    <w:rsid w:val="0054085A"/>
    <w:rsid w:val="005420CB"/>
    <w:rsid w:val="00542D92"/>
    <w:rsid w:val="0054375C"/>
    <w:rsid w:val="00544CC5"/>
    <w:rsid w:val="00545B4E"/>
    <w:rsid w:val="005460AD"/>
    <w:rsid w:val="0054614B"/>
    <w:rsid w:val="0054693C"/>
    <w:rsid w:val="00546D38"/>
    <w:rsid w:val="00547153"/>
    <w:rsid w:val="00550ECD"/>
    <w:rsid w:val="005515A2"/>
    <w:rsid w:val="00552C96"/>
    <w:rsid w:val="005558DF"/>
    <w:rsid w:val="00556A12"/>
    <w:rsid w:val="00560592"/>
    <w:rsid w:val="005611A4"/>
    <w:rsid w:val="00562892"/>
    <w:rsid w:val="00562C02"/>
    <w:rsid w:val="00563879"/>
    <w:rsid w:val="00563A21"/>
    <w:rsid w:val="00564F9B"/>
    <w:rsid w:val="0057193E"/>
    <w:rsid w:val="0057255F"/>
    <w:rsid w:val="00573320"/>
    <w:rsid w:val="0057423D"/>
    <w:rsid w:val="0058375A"/>
    <w:rsid w:val="00584456"/>
    <w:rsid w:val="00584F11"/>
    <w:rsid w:val="005856FC"/>
    <w:rsid w:val="00587316"/>
    <w:rsid w:val="0059074B"/>
    <w:rsid w:val="00592D2F"/>
    <w:rsid w:val="00593A9F"/>
    <w:rsid w:val="00596075"/>
    <w:rsid w:val="005A0295"/>
    <w:rsid w:val="005A0700"/>
    <w:rsid w:val="005A0FEB"/>
    <w:rsid w:val="005A2152"/>
    <w:rsid w:val="005A3B46"/>
    <w:rsid w:val="005A50F6"/>
    <w:rsid w:val="005A60C3"/>
    <w:rsid w:val="005B04A8"/>
    <w:rsid w:val="005B05C1"/>
    <w:rsid w:val="005B0926"/>
    <w:rsid w:val="005B0C9D"/>
    <w:rsid w:val="005B1388"/>
    <w:rsid w:val="005B1C92"/>
    <w:rsid w:val="005B488F"/>
    <w:rsid w:val="005B689F"/>
    <w:rsid w:val="005B77D0"/>
    <w:rsid w:val="005C233C"/>
    <w:rsid w:val="005C437C"/>
    <w:rsid w:val="005C4A6F"/>
    <w:rsid w:val="005C6917"/>
    <w:rsid w:val="005D0DE7"/>
    <w:rsid w:val="005D2797"/>
    <w:rsid w:val="005D3132"/>
    <w:rsid w:val="005D6F22"/>
    <w:rsid w:val="005E14AB"/>
    <w:rsid w:val="005E1EA4"/>
    <w:rsid w:val="005E36F0"/>
    <w:rsid w:val="005E54F5"/>
    <w:rsid w:val="005E7D9B"/>
    <w:rsid w:val="005F0C0B"/>
    <w:rsid w:val="005F191B"/>
    <w:rsid w:val="005F2344"/>
    <w:rsid w:val="005F5874"/>
    <w:rsid w:val="00600B2E"/>
    <w:rsid w:val="00605956"/>
    <w:rsid w:val="00605B54"/>
    <w:rsid w:val="006064DB"/>
    <w:rsid w:val="006105F8"/>
    <w:rsid w:val="00610FCE"/>
    <w:rsid w:val="0061124F"/>
    <w:rsid w:val="006117A2"/>
    <w:rsid w:val="00613171"/>
    <w:rsid w:val="006133D8"/>
    <w:rsid w:val="00616ED1"/>
    <w:rsid w:val="006172D4"/>
    <w:rsid w:val="00620050"/>
    <w:rsid w:val="00620C07"/>
    <w:rsid w:val="00620CE1"/>
    <w:rsid w:val="00621566"/>
    <w:rsid w:val="00622E64"/>
    <w:rsid w:val="00623AD7"/>
    <w:rsid w:val="00624B96"/>
    <w:rsid w:val="006263C4"/>
    <w:rsid w:val="00626D14"/>
    <w:rsid w:val="00626D89"/>
    <w:rsid w:val="006309B1"/>
    <w:rsid w:val="00630AED"/>
    <w:rsid w:val="00633FD9"/>
    <w:rsid w:val="006345D8"/>
    <w:rsid w:val="00636266"/>
    <w:rsid w:val="00640577"/>
    <w:rsid w:val="0064094F"/>
    <w:rsid w:val="0064305D"/>
    <w:rsid w:val="006453F1"/>
    <w:rsid w:val="00645B8B"/>
    <w:rsid w:val="00651BA7"/>
    <w:rsid w:val="006524FE"/>
    <w:rsid w:val="00654075"/>
    <w:rsid w:val="006547D2"/>
    <w:rsid w:val="00654FC8"/>
    <w:rsid w:val="00656F9B"/>
    <w:rsid w:val="00660F2D"/>
    <w:rsid w:val="00662D4B"/>
    <w:rsid w:val="00664FC1"/>
    <w:rsid w:val="0066659A"/>
    <w:rsid w:val="006674C5"/>
    <w:rsid w:val="00672404"/>
    <w:rsid w:val="00672FFF"/>
    <w:rsid w:val="0067307A"/>
    <w:rsid w:val="006773C0"/>
    <w:rsid w:val="0067757C"/>
    <w:rsid w:val="006808C2"/>
    <w:rsid w:val="00683152"/>
    <w:rsid w:val="0068364A"/>
    <w:rsid w:val="00684A5C"/>
    <w:rsid w:val="006907A1"/>
    <w:rsid w:val="00694B94"/>
    <w:rsid w:val="00697218"/>
    <w:rsid w:val="00697595"/>
    <w:rsid w:val="006A156B"/>
    <w:rsid w:val="006A5ACD"/>
    <w:rsid w:val="006A780A"/>
    <w:rsid w:val="006B0503"/>
    <w:rsid w:val="006B1FFF"/>
    <w:rsid w:val="006B514A"/>
    <w:rsid w:val="006B5B93"/>
    <w:rsid w:val="006B5F4F"/>
    <w:rsid w:val="006B7DF6"/>
    <w:rsid w:val="006C0FA9"/>
    <w:rsid w:val="006C1F8C"/>
    <w:rsid w:val="006C2006"/>
    <w:rsid w:val="006C3866"/>
    <w:rsid w:val="006C4A2C"/>
    <w:rsid w:val="006C4DF3"/>
    <w:rsid w:val="006C639B"/>
    <w:rsid w:val="006C6ED9"/>
    <w:rsid w:val="006D3012"/>
    <w:rsid w:val="006D4298"/>
    <w:rsid w:val="006D60C5"/>
    <w:rsid w:val="006D691E"/>
    <w:rsid w:val="006D74C9"/>
    <w:rsid w:val="006D7C64"/>
    <w:rsid w:val="006D7E4B"/>
    <w:rsid w:val="006E2F1B"/>
    <w:rsid w:val="006E436A"/>
    <w:rsid w:val="006E615D"/>
    <w:rsid w:val="006E6F7C"/>
    <w:rsid w:val="006F052B"/>
    <w:rsid w:val="006F198B"/>
    <w:rsid w:val="006F335E"/>
    <w:rsid w:val="006F3A2D"/>
    <w:rsid w:val="006F50E2"/>
    <w:rsid w:val="006F56E5"/>
    <w:rsid w:val="006F7A26"/>
    <w:rsid w:val="00701009"/>
    <w:rsid w:val="0070125F"/>
    <w:rsid w:val="00701C32"/>
    <w:rsid w:val="007039AB"/>
    <w:rsid w:val="0070534F"/>
    <w:rsid w:val="00705E7F"/>
    <w:rsid w:val="007134ED"/>
    <w:rsid w:val="00715745"/>
    <w:rsid w:val="007219B0"/>
    <w:rsid w:val="00722D62"/>
    <w:rsid w:val="007241C2"/>
    <w:rsid w:val="00724791"/>
    <w:rsid w:val="0072559B"/>
    <w:rsid w:val="00725BBD"/>
    <w:rsid w:val="0072677C"/>
    <w:rsid w:val="00732D26"/>
    <w:rsid w:val="007334ED"/>
    <w:rsid w:val="007337B1"/>
    <w:rsid w:val="00733DA3"/>
    <w:rsid w:val="007349DB"/>
    <w:rsid w:val="00734D49"/>
    <w:rsid w:val="00735583"/>
    <w:rsid w:val="007356A3"/>
    <w:rsid w:val="007359E6"/>
    <w:rsid w:val="007359EA"/>
    <w:rsid w:val="0073630E"/>
    <w:rsid w:val="0073691C"/>
    <w:rsid w:val="00736C4D"/>
    <w:rsid w:val="0074728E"/>
    <w:rsid w:val="00747F59"/>
    <w:rsid w:val="007560F5"/>
    <w:rsid w:val="0075719E"/>
    <w:rsid w:val="00763012"/>
    <w:rsid w:val="00764372"/>
    <w:rsid w:val="00766AE9"/>
    <w:rsid w:val="00770C83"/>
    <w:rsid w:val="00771461"/>
    <w:rsid w:val="00771475"/>
    <w:rsid w:val="007739A8"/>
    <w:rsid w:val="007746AC"/>
    <w:rsid w:val="007750AC"/>
    <w:rsid w:val="007762AE"/>
    <w:rsid w:val="0077696F"/>
    <w:rsid w:val="00777121"/>
    <w:rsid w:val="00780FF6"/>
    <w:rsid w:val="00781FD3"/>
    <w:rsid w:val="0078318B"/>
    <w:rsid w:val="00786544"/>
    <w:rsid w:val="00786FCC"/>
    <w:rsid w:val="0078773D"/>
    <w:rsid w:val="007906FC"/>
    <w:rsid w:val="00791D2C"/>
    <w:rsid w:val="00792704"/>
    <w:rsid w:val="00793330"/>
    <w:rsid w:val="0079364A"/>
    <w:rsid w:val="00796383"/>
    <w:rsid w:val="007975C2"/>
    <w:rsid w:val="007A02AE"/>
    <w:rsid w:val="007A65F8"/>
    <w:rsid w:val="007B0323"/>
    <w:rsid w:val="007B04CB"/>
    <w:rsid w:val="007B09B8"/>
    <w:rsid w:val="007B1A2A"/>
    <w:rsid w:val="007B1DB9"/>
    <w:rsid w:val="007B619E"/>
    <w:rsid w:val="007C071D"/>
    <w:rsid w:val="007C12E1"/>
    <w:rsid w:val="007C1B5E"/>
    <w:rsid w:val="007C207B"/>
    <w:rsid w:val="007C28E7"/>
    <w:rsid w:val="007C2919"/>
    <w:rsid w:val="007C3BB3"/>
    <w:rsid w:val="007C49BA"/>
    <w:rsid w:val="007C54AC"/>
    <w:rsid w:val="007D13C5"/>
    <w:rsid w:val="007D154B"/>
    <w:rsid w:val="007D3AA8"/>
    <w:rsid w:val="007D3AFF"/>
    <w:rsid w:val="007D4490"/>
    <w:rsid w:val="007D64DC"/>
    <w:rsid w:val="007D72A1"/>
    <w:rsid w:val="007D79E7"/>
    <w:rsid w:val="007E0649"/>
    <w:rsid w:val="007E4E69"/>
    <w:rsid w:val="007E5D05"/>
    <w:rsid w:val="007F2172"/>
    <w:rsid w:val="007F3415"/>
    <w:rsid w:val="007F4138"/>
    <w:rsid w:val="007F4257"/>
    <w:rsid w:val="007F4624"/>
    <w:rsid w:val="007F7C4D"/>
    <w:rsid w:val="00803134"/>
    <w:rsid w:val="00804729"/>
    <w:rsid w:val="00805DFD"/>
    <w:rsid w:val="00805EEA"/>
    <w:rsid w:val="0081067C"/>
    <w:rsid w:val="00810C02"/>
    <w:rsid w:val="00810F18"/>
    <w:rsid w:val="0081468A"/>
    <w:rsid w:val="008167F7"/>
    <w:rsid w:val="00820666"/>
    <w:rsid w:val="00820747"/>
    <w:rsid w:val="00822FEE"/>
    <w:rsid w:val="00823ADD"/>
    <w:rsid w:val="0082420E"/>
    <w:rsid w:val="0082772B"/>
    <w:rsid w:val="00831C54"/>
    <w:rsid w:val="00831EBC"/>
    <w:rsid w:val="00835987"/>
    <w:rsid w:val="008361F4"/>
    <w:rsid w:val="00837D0A"/>
    <w:rsid w:val="00841B17"/>
    <w:rsid w:val="0084512B"/>
    <w:rsid w:val="00845481"/>
    <w:rsid w:val="0084607F"/>
    <w:rsid w:val="00855C58"/>
    <w:rsid w:val="00856395"/>
    <w:rsid w:val="008610C5"/>
    <w:rsid w:val="008610CB"/>
    <w:rsid w:val="00862C64"/>
    <w:rsid w:val="00862F05"/>
    <w:rsid w:val="00864169"/>
    <w:rsid w:val="00865A6A"/>
    <w:rsid w:val="00866E86"/>
    <w:rsid w:val="008703C9"/>
    <w:rsid w:val="008720EB"/>
    <w:rsid w:val="00877483"/>
    <w:rsid w:val="00882133"/>
    <w:rsid w:val="00882880"/>
    <w:rsid w:val="00882C3B"/>
    <w:rsid w:val="00882C8D"/>
    <w:rsid w:val="0088509D"/>
    <w:rsid w:val="00890455"/>
    <w:rsid w:val="00890CC9"/>
    <w:rsid w:val="00891447"/>
    <w:rsid w:val="00891DFB"/>
    <w:rsid w:val="00892391"/>
    <w:rsid w:val="00896609"/>
    <w:rsid w:val="00897E7B"/>
    <w:rsid w:val="008A0436"/>
    <w:rsid w:val="008A0629"/>
    <w:rsid w:val="008A256C"/>
    <w:rsid w:val="008A5333"/>
    <w:rsid w:val="008A7483"/>
    <w:rsid w:val="008A75B3"/>
    <w:rsid w:val="008B1387"/>
    <w:rsid w:val="008B2CB8"/>
    <w:rsid w:val="008B5C72"/>
    <w:rsid w:val="008C03AB"/>
    <w:rsid w:val="008C4094"/>
    <w:rsid w:val="008C5496"/>
    <w:rsid w:val="008D2AA9"/>
    <w:rsid w:val="008D7254"/>
    <w:rsid w:val="008D7679"/>
    <w:rsid w:val="008E09DF"/>
    <w:rsid w:val="008E1321"/>
    <w:rsid w:val="008E2054"/>
    <w:rsid w:val="008E2B2D"/>
    <w:rsid w:val="008E2CA7"/>
    <w:rsid w:val="008E6271"/>
    <w:rsid w:val="008E7A1D"/>
    <w:rsid w:val="008F21CC"/>
    <w:rsid w:val="008F2799"/>
    <w:rsid w:val="008F40E7"/>
    <w:rsid w:val="008F435D"/>
    <w:rsid w:val="008F5371"/>
    <w:rsid w:val="008F6809"/>
    <w:rsid w:val="00901B9F"/>
    <w:rsid w:val="00904D14"/>
    <w:rsid w:val="00905371"/>
    <w:rsid w:val="009059F8"/>
    <w:rsid w:val="00907173"/>
    <w:rsid w:val="00907570"/>
    <w:rsid w:val="00910AAA"/>
    <w:rsid w:val="00912C9E"/>
    <w:rsid w:val="00913CB8"/>
    <w:rsid w:val="009148D7"/>
    <w:rsid w:val="00914C1B"/>
    <w:rsid w:val="0091533A"/>
    <w:rsid w:val="009162A8"/>
    <w:rsid w:val="009208E6"/>
    <w:rsid w:val="00922590"/>
    <w:rsid w:val="0092309A"/>
    <w:rsid w:val="0092637E"/>
    <w:rsid w:val="00927BF9"/>
    <w:rsid w:val="009302F6"/>
    <w:rsid w:val="00931769"/>
    <w:rsid w:val="0093292A"/>
    <w:rsid w:val="00932C47"/>
    <w:rsid w:val="00933637"/>
    <w:rsid w:val="00934920"/>
    <w:rsid w:val="009354C2"/>
    <w:rsid w:val="0093609E"/>
    <w:rsid w:val="00936692"/>
    <w:rsid w:val="009428F2"/>
    <w:rsid w:val="00942F6B"/>
    <w:rsid w:val="00943914"/>
    <w:rsid w:val="009464F0"/>
    <w:rsid w:val="00946514"/>
    <w:rsid w:val="00946E69"/>
    <w:rsid w:val="00947A19"/>
    <w:rsid w:val="00950EA5"/>
    <w:rsid w:val="00952700"/>
    <w:rsid w:val="009532A8"/>
    <w:rsid w:val="0095383A"/>
    <w:rsid w:val="009609C1"/>
    <w:rsid w:val="009611A6"/>
    <w:rsid w:val="00964543"/>
    <w:rsid w:val="00965036"/>
    <w:rsid w:val="00965220"/>
    <w:rsid w:val="00965B70"/>
    <w:rsid w:val="00966A7B"/>
    <w:rsid w:val="00972764"/>
    <w:rsid w:val="00973978"/>
    <w:rsid w:val="00974129"/>
    <w:rsid w:val="00975AEC"/>
    <w:rsid w:val="00977B62"/>
    <w:rsid w:val="00980034"/>
    <w:rsid w:val="00982BC4"/>
    <w:rsid w:val="0098401E"/>
    <w:rsid w:val="0098434A"/>
    <w:rsid w:val="00984575"/>
    <w:rsid w:val="00990453"/>
    <w:rsid w:val="00990ED0"/>
    <w:rsid w:val="00992799"/>
    <w:rsid w:val="00992E2E"/>
    <w:rsid w:val="00993F0E"/>
    <w:rsid w:val="009951CB"/>
    <w:rsid w:val="00995DFD"/>
    <w:rsid w:val="00996961"/>
    <w:rsid w:val="00996DDD"/>
    <w:rsid w:val="009A0347"/>
    <w:rsid w:val="009A0627"/>
    <w:rsid w:val="009A0B5E"/>
    <w:rsid w:val="009A0F14"/>
    <w:rsid w:val="009A11BB"/>
    <w:rsid w:val="009A7B73"/>
    <w:rsid w:val="009B030F"/>
    <w:rsid w:val="009B332E"/>
    <w:rsid w:val="009B70F4"/>
    <w:rsid w:val="009B7460"/>
    <w:rsid w:val="009C295B"/>
    <w:rsid w:val="009C4142"/>
    <w:rsid w:val="009C6BB5"/>
    <w:rsid w:val="009D1003"/>
    <w:rsid w:val="009D1646"/>
    <w:rsid w:val="009D4303"/>
    <w:rsid w:val="009E1449"/>
    <w:rsid w:val="009E39CB"/>
    <w:rsid w:val="009E40CC"/>
    <w:rsid w:val="009E5D5E"/>
    <w:rsid w:val="009E5FB4"/>
    <w:rsid w:val="009E69EB"/>
    <w:rsid w:val="009E6CA2"/>
    <w:rsid w:val="009E73A2"/>
    <w:rsid w:val="009F1F98"/>
    <w:rsid w:val="009F66F1"/>
    <w:rsid w:val="00A016C0"/>
    <w:rsid w:val="00A02537"/>
    <w:rsid w:val="00A03B57"/>
    <w:rsid w:val="00A04703"/>
    <w:rsid w:val="00A04DA3"/>
    <w:rsid w:val="00A0503E"/>
    <w:rsid w:val="00A0673D"/>
    <w:rsid w:val="00A11162"/>
    <w:rsid w:val="00A12AA2"/>
    <w:rsid w:val="00A139B8"/>
    <w:rsid w:val="00A15F99"/>
    <w:rsid w:val="00A21E7B"/>
    <w:rsid w:val="00A232D2"/>
    <w:rsid w:val="00A24850"/>
    <w:rsid w:val="00A24CE8"/>
    <w:rsid w:val="00A322A7"/>
    <w:rsid w:val="00A33BE0"/>
    <w:rsid w:val="00A34F8C"/>
    <w:rsid w:val="00A35054"/>
    <w:rsid w:val="00A37E66"/>
    <w:rsid w:val="00A43A1E"/>
    <w:rsid w:val="00A43EE0"/>
    <w:rsid w:val="00A50C21"/>
    <w:rsid w:val="00A51C72"/>
    <w:rsid w:val="00A51D3B"/>
    <w:rsid w:val="00A51D98"/>
    <w:rsid w:val="00A51F4C"/>
    <w:rsid w:val="00A524F6"/>
    <w:rsid w:val="00A5300C"/>
    <w:rsid w:val="00A53184"/>
    <w:rsid w:val="00A5442D"/>
    <w:rsid w:val="00A55188"/>
    <w:rsid w:val="00A56342"/>
    <w:rsid w:val="00A5782E"/>
    <w:rsid w:val="00A60F6D"/>
    <w:rsid w:val="00A6186B"/>
    <w:rsid w:val="00A622B4"/>
    <w:rsid w:val="00A623BB"/>
    <w:rsid w:val="00A624AD"/>
    <w:rsid w:val="00A6299A"/>
    <w:rsid w:val="00A6364A"/>
    <w:rsid w:val="00A67A62"/>
    <w:rsid w:val="00A70D8A"/>
    <w:rsid w:val="00A72BEF"/>
    <w:rsid w:val="00A77F65"/>
    <w:rsid w:val="00A80E10"/>
    <w:rsid w:val="00A839A6"/>
    <w:rsid w:val="00A852B9"/>
    <w:rsid w:val="00A86899"/>
    <w:rsid w:val="00A86A17"/>
    <w:rsid w:val="00A86D1A"/>
    <w:rsid w:val="00A87B96"/>
    <w:rsid w:val="00A902D4"/>
    <w:rsid w:val="00A915F0"/>
    <w:rsid w:val="00A92252"/>
    <w:rsid w:val="00A94437"/>
    <w:rsid w:val="00A970BD"/>
    <w:rsid w:val="00AA0847"/>
    <w:rsid w:val="00AA2045"/>
    <w:rsid w:val="00AA4B51"/>
    <w:rsid w:val="00AA68C3"/>
    <w:rsid w:val="00AB1181"/>
    <w:rsid w:val="00AB2340"/>
    <w:rsid w:val="00AB2F1C"/>
    <w:rsid w:val="00AB3F5D"/>
    <w:rsid w:val="00AB4F84"/>
    <w:rsid w:val="00AB507E"/>
    <w:rsid w:val="00AB5753"/>
    <w:rsid w:val="00AB6324"/>
    <w:rsid w:val="00AB7B4C"/>
    <w:rsid w:val="00AC2F79"/>
    <w:rsid w:val="00AC3D5C"/>
    <w:rsid w:val="00AC4485"/>
    <w:rsid w:val="00AC47AA"/>
    <w:rsid w:val="00AC48BA"/>
    <w:rsid w:val="00AC5EE3"/>
    <w:rsid w:val="00AC7895"/>
    <w:rsid w:val="00AC7BB7"/>
    <w:rsid w:val="00AD017F"/>
    <w:rsid w:val="00AD138C"/>
    <w:rsid w:val="00AD2B66"/>
    <w:rsid w:val="00AD5DA7"/>
    <w:rsid w:val="00AD6091"/>
    <w:rsid w:val="00AD66B3"/>
    <w:rsid w:val="00AE2285"/>
    <w:rsid w:val="00AE246C"/>
    <w:rsid w:val="00AE2F2F"/>
    <w:rsid w:val="00AE54CA"/>
    <w:rsid w:val="00AE5A1B"/>
    <w:rsid w:val="00AE62C1"/>
    <w:rsid w:val="00AE62D7"/>
    <w:rsid w:val="00AE63BA"/>
    <w:rsid w:val="00AE6E91"/>
    <w:rsid w:val="00AE7276"/>
    <w:rsid w:val="00AF1BA7"/>
    <w:rsid w:val="00AF1BB3"/>
    <w:rsid w:val="00AF24F5"/>
    <w:rsid w:val="00AF4D4F"/>
    <w:rsid w:val="00AF567F"/>
    <w:rsid w:val="00AF5855"/>
    <w:rsid w:val="00AF637D"/>
    <w:rsid w:val="00AF6B93"/>
    <w:rsid w:val="00AF748C"/>
    <w:rsid w:val="00B01B8B"/>
    <w:rsid w:val="00B01D9C"/>
    <w:rsid w:val="00B03794"/>
    <w:rsid w:val="00B05B51"/>
    <w:rsid w:val="00B063E2"/>
    <w:rsid w:val="00B07ACD"/>
    <w:rsid w:val="00B104E1"/>
    <w:rsid w:val="00B1588F"/>
    <w:rsid w:val="00B15A19"/>
    <w:rsid w:val="00B15DF8"/>
    <w:rsid w:val="00B164B8"/>
    <w:rsid w:val="00B214DA"/>
    <w:rsid w:val="00B218A2"/>
    <w:rsid w:val="00B21ED5"/>
    <w:rsid w:val="00B2267B"/>
    <w:rsid w:val="00B23754"/>
    <w:rsid w:val="00B23FFB"/>
    <w:rsid w:val="00B2485F"/>
    <w:rsid w:val="00B26D50"/>
    <w:rsid w:val="00B27CDD"/>
    <w:rsid w:val="00B3024F"/>
    <w:rsid w:val="00B3094A"/>
    <w:rsid w:val="00B33129"/>
    <w:rsid w:val="00B337A9"/>
    <w:rsid w:val="00B3489A"/>
    <w:rsid w:val="00B349E5"/>
    <w:rsid w:val="00B351AC"/>
    <w:rsid w:val="00B3560E"/>
    <w:rsid w:val="00B4228F"/>
    <w:rsid w:val="00B42CC4"/>
    <w:rsid w:val="00B438CD"/>
    <w:rsid w:val="00B44019"/>
    <w:rsid w:val="00B46B3A"/>
    <w:rsid w:val="00B47408"/>
    <w:rsid w:val="00B474FD"/>
    <w:rsid w:val="00B5072D"/>
    <w:rsid w:val="00B52965"/>
    <w:rsid w:val="00B54675"/>
    <w:rsid w:val="00B61875"/>
    <w:rsid w:val="00B63257"/>
    <w:rsid w:val="00B63A64"/>
    <w:rsid w:val="00B651A7"/>
    <w:rsid w:val="00B65A72"/>
    <w:rsid w:val="00B70EBB"/>
    <w:rsid w:val="00B71FC7"/>
    <w:rsid w:val="00B7414C"/>
    <w:rsid w:val="00B74400"/>
    <w:rsid w:val="00B755E3"/>
    <w:rsid w:val="00B8020E"/>
    <w:rsid w:val="00B80692"/>
    <w:rsid w:val="00B80804"/>
    <w:rsid w:val="00B80A98"/>
    <w:rsid w:val="00B81046"/>
    <w:rsid w:val="00B81803"/>
    <w:rsid w:val="00B82E1A"/>
    <w:rsid w:val="00B857D5"/>
    <w:rsid w:val="00B871F4"/>
    <w:rsid w:val="00B90EF4"/>
    <w:rsid w:val="00B9260E"/>
    <w:rsid w:val="00B92EEE"/>
    <w:rsid w:val="00BA1AC9"/>
    <w:rsid w:val="00BA2153"/>
    <w:rsid w:val="00BA2E56"/>
    <w:rsid w:val="00BA441C"/>
    <w:rsid w:val="00BA5890"/>
    <w:rsid w:val="00BA59C9"/>
    <w:rsid w:val="00BB0C9D"/>
    <w:rsid w:val="00BB1DEE"/>
    <w:rsid w:val="00BB3179"/>
    <w:rsid w:val="00BB44A3"/>
    <w:rsid w:val="00BC0491"/>
    <w:rsid w:val="00BC227C"/>
    <w:rsid w:val="00BC2E46"/>
    <w:rsid w:val="00BC34FD"/>
    <w:rsid w:val="00BC395F"/>
    <w:rsid w:val="00BC4E2A"/>
    <w:rsid w:val="00BC52A6"/>
    <w:rsid w:val="00BD24BB"/>
    <w:rsid w:val="00BD3901"/>
    <w:rsid w:val="00BD4867"/>
    <w:rsid w:val="00BD61F1"/>
    <w:rsid w:val="00BD75C3"/>
    <w:rsid w:val="00BE0AE2"/>
    <w:rsid w:val="00BE1D2D"/>
    <w:rsid w:val="00BE28A4"/>
    <w:rsid w:val="00BE3C22"/>
    <w:rsid w:val="00BE5A7A"/>
    <w:rsid w:val="00BE5F61"/>
    <w:rsid w:val="00BE6799"/>
    <w:rsid w:val="00BF1B9C"/>
    <w:rsid w:val="00BF34F1"/>
    <w:rsid w:val="00BF5E3B"/>
    <w:rsid w:val="00BF7825"/>
    <w:rsid w:val="00BF7FE9"/>
    <w:rsid w:val="00C016AC"/>
    <w:rsid w:val="00C021CC"/>
    <w:rsid w:val="00C032A0"/>
    <w:rsid w:val="00C04F29"/>
    <w:rsid w:val="00C059A3"/>
    <w:rsid w:val="00C06E26"/>
    <w:rsid w:val="00C1031C"/>
    <w:rsid w:val="00C1091C"/>
    <w:rsid w:val="00C13FBC"/>
    <w:rsid w:val="00C141F1"/>
    <w:rsid w:val="00C1420A"/>
    <w:rsid w:val="00C14B34"/>
    <w:rsid w:val="00C162C5"/>
    <w:rsid w:val="00C16D37"/>
    <w:rsid w:val="00C174DA"/>
    <w:rsid w:val="00C21CCE"/>
    <w:rsid w:val="00C2286F"/>
    <w:rsid w:val="00C2334D"/>
    <w:rsid w:val="00C26598"/>
    <w:rsid w:val="00C27346"/>
    <w:rsid w:val="00C30973"/>
    <w:rsid w:val="00C31162"/>
    <w:rsid w:val="00C31E0D"/>
    <w:rsid w:val="00C31E88"/>
    <w:rsid w:val="00C33C62"/>
    <w:rsid w:val="00C3778B"/>
    <w:rsid w:val="00C504B3"/>
    <w:rsid w:val="00C5163A"/>
    <w:rsid w:val="00C5259B"/>
    <w:rsid w:val="00C52823"/>
    <w:rsid w:val="00C541CD"/>
    <w:rsid w:val="00C54D7C"/>
    <w:rsid w:val="00C55337"/>
    <w:rsid w:val="00C57BD1"/>
    <w:rsid w:val="00C61FD5"/>
    <w:rsid w:val="00C62B01"/>
    <w:rsid w:val="00C65169"/>
    <w:rsid w:val="00C65393"/>
    <w:rsid w:val="00C67ACF"/>
    <w:rsid w:val="00C708DC"/>
    <w:rsid w:val="00C71146"/>
    <w:rsid w:val="00C71496"/>
    <w:rsid w:val="00C7149C"/>
    <w:rsid w:val="00C71EBB"/>
    <w:rsid w:val="00C72EF9"/>
    <w:rsid w:val="00C73B43"/>
    <w:rsid w:val="00C74E7E"/>
    <w:rsid w:val="00C77802"/>
    <w:rsid w:val="00C81575"/>
    <w:rsid w:val="00C81912"/>
    <w:rsid w:val="00C81E10"/>
    <w:rsid w:val="00C81EC5"/>
    <w:rsid w:val="00C836BC"/>
    <w:rsid w:val="00C85CD4"/>
    <w:rsid w:val="00C85DE8"/>
    <w:rsid w:val="00C903CB"/>
    <w:rsid w:val="00C912F3"/>
    <w:rsid w:val="00C922C8"/>
    <w:rsid w:val="00C92F1A"/>
    <w:rsid w:val="00C930C7"/>
    <w:rsid w:val="00C9339C"/>
    <w:rsid w:val="00C96B9B"/>
    <w:rsid w:val="00C977A5"/>
    <w:rsid w:val="00CA046A"/>
    <w:rsid w:val="00CA0EB3"/>
    <w:rsid w:val="00CA4256"/>
    <w:rsid w:val="00CA466E"/>
    <w:rsid w:val="00CA4F28"/>
    <w:rsid w:val="00CA5DCA"/>
    <w:rsid w:val="00CA7938"/>
    <w:rsid w:val="00CA7AFA"/>
    <w:rsid w:val="00CB453B"/>
    <w:rsid w:val="00CB5E68"/>
    <w:rsid w:val="00CB6760"/>
    <w:rsid w:val="00CC34A0"/>
    <w:rsid w:val="00CC4AB1"/>
    <w:rsid w:val="00CC61CB"/>
    <w:rsid w:val="00CC7029"/>
    <w:rsid w:val="00CC744E"/>
    <w:rsid w:val="00CD4DAF"/>
    <w:rsid w:val="00CD4E13"/>
    <w:rsid w:val="00CD558B"/>
    <w:rsid w:val="00CD5BDE"/>
    <w:rsid w:val="00CD7405"/>
    <w:rsid w:val="00CE06D9"/>
    <w:rsid w:val="00CE0FA9"/>
    <w:rsid w:val="00CE2A78"/>
    <w:rsid w:val="00CE6179"/>
    <w:rsid w:val="00CE75A6"/>
    <w:rsid w:val="00CF232F"/>
    <w:rsid w:val="00CF2A85"/>
    <w:rsid w:val="00CF46E0"/>
    <w:rsid w:val="00D00566"/>
    <w:rsid w:val="00D04112"/>
    <w:rsid w:val="00D04AA5"/>
    <w:rsid w:val="00D06494"/>
    <w:rsid w:val="00D06B30"/>
    <w:rsid w:val="00D077A8"/>
    <w:rsid w:val="00D10D01"/>
    <w:rsid w:val="00D119C3"/>
    <w:rsid w:val="00D16A3C"/>
    <w:rsid w:val="00D17996"/>
    <w:rsid w:val="00D21A7E"/>
    <w:rsid w:val="00D22DAA"/>
    <w:rsid w:val="00D22FDC"/>
    <w:rsid w:val="00D25B8C"/>
    <w:rsid w:val="00D27C24"/>
    <w:rsid w:val="00D3244D"/>
    <w:rsid w:val="00D3312C"/>
    <w:rsid w:val="00D349C6"/>
    <w:rsid w:val="00D3524F"/>
    <w:rsid w:val="00D35753"/>
    <w:rsid w:val="00D36660"/>
    <w:rsid w:val="00D36C66"/>
    <w:rsid w:val="00D41382"/>
    <w:rsid w:val="00D42075"/>
    <w:rsid w:val="00D42A4D"/>
    <w:rsid w:val="00D43A25"/>
    <w:rsid w:val="00D454FA"/>
    <w:rsid w:val="00D46AEC"/>
    <w:rsid w:val="00D51B35"/>
    <w:rsid w:val="00D53A6E"/>
    <w:rsid w:val="00D56898"/>
    <w:rsid w:val="00D5795B"/>
    <w:rsid w:val="00D57D63"/>
    <w:rsid w:val="00D652FA"/>
    <w:rsid w:val="00D65772"/>
    <w:rsid w:val="00D65C41"/>
    <w:rsid w:val="00D706CB"/>
    <w:rsid w:val="00D7153E"/>
    <w:rsid w:val="00D717E7"/>
    <w:rsid w:val="00D72459"/>
    <w:rsid w:val="00D73062"/>
    <w:rsid w:val="00D77F83"/>
    <w:rsid w:val="00D8197D"/>
    <w:rsid w:val="00D81F02"/>
    <w:rsid w:val="00D82AD3"/>
    <w:rsid w:val="00D83C54"/>
    <w:rsid w:val="00D844D6"/>
    <w:rsid w:val="00D8512A"/>
    <w:rsid w:val="00D875F4"/>
    <w:rsid w:val="00D90ED1"/>
    <w:rsid w:val="00D91C55"/>
    <w:rsid w:val="00D922DA"/>
    <w:rsid w:val="00D93150"/>
    <w:rsid w:val="00D94DF5"/>
    <w:rsid w:val="00D9514A"/>
    <w:rsid w:val="00D95EBA"/>
    <w:rsid w:val="00D9613B"/>
    <w:rsid w:val="00D96940"/>
    <w:rsid w:val="00D96A2B"/>
    <w:rsid w:val="00D973A2"/>
    <w:rsid w:val="00D97B48"/>
    <w:rsid w:val="00DA01C7"/>
    <w:rsid w:val="00DA2137"/>
    <w:rsid w:val="00DB0313"/>
    <w:rsid w:val="00DB0906"/>
    <w:rsid w:val="00DB347F"/>
    <w:rsid w:val="00DB369C"/>
    <w:rsid w:val="00DB38BE"/>
    <w:rsid w:val="00DB3A49"/>
    <w:rsid w:val="00DB44DE"/>
    <w:rsid w:val="00DB578F"/>
    <w:rsid w:val="00DB5FD3"/>
    <w:rsid w:val="00DB6265"/>
    <w:rsid w:val="00DB67F1"/>
    <w:rsid w:val="00DC1551"/>
    <w:rsid w:val="00DC2749"/>
    <w:rsid w:val="00DC36C1"/>
    <w:rsid w:val="00DC4CC0"/>
    <w:rsid w:val="00DC5536"/>
    <w:rsid w:val="00DC602A"/>
    <w:rsid w:val="00DC657A"/>
    <w:rsid w:val="00DD05B3"/>
    <w:rsid w:val="00DD08B1"/>
    <w:rsid w:val="00DD0AD5"/>
    <w:rsid w:val="00DD13A7"/>
    <w:rsid w:val="00DD1579"/>
    <w:rsid w:val="00DD3A4D"/>
    <w:rsid w:val="00DD5140"/>
    <w:rsid w:val="00DD53B5"/>
    <w:rsid w:val="00DD6BC8"/>
    <w:rsid w:val="00DD7A28"/>
    <w:rsid w:val="00DD7B53"/>
    <w:rsid w:val="00DE04C1"/>
    <w:rsid w:val="00DE0915"/>
    <w:rsid w:val="00DE0FB6"/>
    <w:rsid w:val="00DE418A"/>
    <w:rsid w:val="00DE6538"/>
    <w:rsid w:val="00DE72EE"/>
    <w:rsid w:val="00DE76C1"/>
    <w:rsid w:val="00DF3863"/>
    <w:rsid w:val="00DF450F"/>
    <w:rsid w:val="00DF5156"/>
    <w:rsid w:val="00DF7E15"/>
    <w:rsid w:val="00E02155"/>
    <w:rsid w:val="00E024FF"/>
    <w:rsid w:val="00E04D71"/>
    <w:rsid w:val="00E05CC3"/>
    <w:rsid w:val="00E071BC"/>
    <w:rsid w:val="00E108FB"/>
    <w:rsid w:val="00E12324"/>
    <w:rsid w:val="00E14D0D"/>
    <w:rsid w:val="00E16990"/>
    <w:rsid w:val="00E222FF"/>
    <w:rsid w:val="00E249BD"/>
    <w:rsid w:val="00E24C7B"/>
    <w:rsid w:val="00E24F14"/>
    <w:rsid w:val="00E25D78"/>
    <w:rsid w:val="00E2600A"/>
    <w:rsid w:val="00E27C04"/>
    <w:rsid w:val="00E30DBD"/>
    <w:rsid w:val="00E30E10"/>
    <w:rsid w:val="00E3275E"/>
    <w:rsid w:val="00E3314E"/>
    <w:rsid w:val="00E34F7F"/>
    <w:rsid w:val="00E400DA"/>
    <w:rsid w:val="00E414BB"/>
    <w:rsid w:val="00E42EC2"/>
    <w:rsid w:val="00E44161"/>
    <w:rsid w:val="00E44915"/>
    <w:rsid w:val="00E466CF"/>
    <w:rsid w:val="00E512AE"/>
    <w:rsid w:val="00E51B91"/>
    <w:rsid w:val="00E53083"/>
    <w:rsid w:val="00E54C63"/>
    <w:rsid w:val="00E54D84"/>
    <w:rsid w:val="00E56170"/>
    <w:rsid w:val="00E6036D"/>
    <w:rsid w:val="00E61747"/>
    <w:rsid w:val="00E617BC"/>
    <w:rsid w:val="00E61866"/>
    <w:rsid w:val="00E622D7"/>
    <w:rsid w:val="00E625DC"/>
    <w:rsid w:val="00E62813"/>
    <w:rsid w:val="00E62AD3"/>
    <w:rsid w:val="00E631F0"/>
    <w:rsid w:val="00E64C13"/>
    <w:rsid w:val="00E670A4"/>
    <w:rsid w:val="00E7077F"/>
    <w:rsid w:val="00E77800"/>
    <w:rsid w:val="00E77A13"/>
    <w:rsid w:val="00E857B3"/>
    <w:rsid w:val="00E86485"/>
    <w:rsid w:val="00E8710C"/>
    <w:rsid w:val="00E91C9E"/>
    <w:rsid w:val="00E925E2"/>
    <w:rsid w:val="00E92A35"/>
    <w:rsid w:val="00E97348"/>
    <w:rsid w:val="00EA4402"/>
    <w:rsid w:val="00EA47C7"/>
    <w:rsid w:val="00EA5AAA"/>
    <w:rsid w:val="00EB04FE"/>
    <w:rsid w:val="00EB0AFB"/>
    <w:rsid w:val="00EB3870"/>
    <w:rsid w:val="00EB417E"/>
    <w:rsid w:val="00EB41B3"/>
    <w:rsid w:val="00EB527B"/>
    <w:rsid w:val="00EB533C"/>
    <w:rsid w:val="00EB6EBC"/>
    <w:rsid w:val="00EC1730"/>
    <w:rsid w:val="00EC1D68"/>
    <w:rsid w:val="00EC2C3B"/>
    <w:rsid w:val="00EC2ED4"/>
    <w:rsid w:val="00EC30B5"/>
    <w:rsid w:val="00EC3F70"/>
    <w:rsid w:val="00EC4807"/>
    <w:rsid w:val="00EC4BA8"/>
    <w:rsid w:val="00EC6CEC"/>
    <w:rsid w:val="00ED094D"/>
    <w:rsid w:val="00ED10C2"/>
    <w:rsid w:val="00ED2887"/>
    <w:rsid w:val="00ED2B12"/>
    <w:rsid w:val="00ED3F7F"/>
    <w:rsid w:val="00ED5D68"/>
    <w:rsid w:val="00ED62A8"/>
    <w:rsid w:val="00ED79D2"/>
    <w:rsid w:val="00EE4EF4"/>
    <w:rsid w:val="00EE52E8"/>
    <w:rsid w:val="00EE7D08"/>
    <w:rsid w:val="00EF006B"/>
    <w:rsid w:val="00EF241A"/>
    <w:rsid w:val="00EF4384"/>
    <w:rsid w:val="00EF4650"/>
    <w:rsid w:val="00F00560"/>
    <w:rsid w:val="00F00D7D"/>
    <w:rsid w:val="00F02F12"/>
    <w:rsid w:val="00F03642"/>
    <w:rsid w:val="00F0480E"/>
    <w:rsid w:val="00F04A88"/>
    <w:rsid w:val="00F05D53"/>
    <w:rsid w:val="00F07544"/>
    <w:rsid w:val="00F100A5"/>
    <w:rsid w:val="00F10736"/>
    <w:rsid w:val="00F13413"/>
    <w:rsid w:val="00F147F9"/>
    <w:rsid w:val="00F14C35"/>
    <w:rsid w:val="00F15C32"/>
    <w:rsid w:val="00F16B14"/>
    <w:rsid w:val="00F17BCF"/>
    <w:rsid w:val="00F202E1"/>
    <w:rsid w:val="00F203E8"/>
    <w:rsid w:val="00F22295"/>
    <w:rsid w:val="00F22737"/>
    <w:rsid w:val="00F2357F"/>
    <w:rsid w:val="00F25B4B"/>
    <w:rsid w:val="00F2737D"/>
    <w:rsid w:val="00F3127C"/>
    <w:rsid w:val="00F3435B"/>
    <w:rsid w:val="00F3494F"/>
    <w:rsid w:val="00F3582E"/>
    <w:rsid w:val="00F3729D"/>
    <w:rsid w:val="00F37E03"/>
    <w:rsid w:val="00F40A4E"/>
    <w:rsid w:val="00F40C8F"/>
    <w:rsid w:val="00F41B9F"/>
    <w:rsid w:val="00F4454D"/>
    <w:rsid w:val="00F450C9"/>
    <w:rsid w:val="00F51F01"/>
    <w:rsid w:val="00F5718F"/>
    <w:rsid w:val="00F6134E"/>
    <w:rsid w:val="00F6318C"/>
    <w:rsid w:val="00F63726"/>
    <w:rsid w:val="00F6458E"/>
    <w:rsid w:val="00F64A8C"/>
    <w:rsid w:val="00F658F0"/>
    <w:rsid w:val="00F67920"/>
    <w:rsid w:val="00F713C4"/>
    <w:rsid w:val="00F72788"/>
    <w:rsid w:val="00F72B3C"/>
    <w:rsid w:val="00F73587"/>
    <w:rsid w:val="00F778C2"/>
    <w:rsid w:val="00F80041"/>
    <w:rsid w:val="00F8086D"/>
    <w:rsid w:val="00F80CF0"/>
    <w:rsid w:val="00F8251E"/>
    <w:rsid w:val="00F82F42"/>
    <w:rsid w:val="00F833A6"/>
    <w:rsid w:val="00F83B32"/>
    <w:rsid w:val="00F87A19"/>
    <w:rsid w:val="00F905F8"/>
    <w:rsid w:val="00F90F4C"/>
    <w:rsid w:val="00F914E5"/>
    <w:rsid w:val="00F92E1E"/>
    <w:rsid w:val="00F94468"/>
    <w:rsid w:val="00F946AE"/>
    <w:rsid w:val="00F96E63"/>
    <w:rsid w:val="00FA0C6A"/>
    <w:rsid w:val="00FA3DAE"/>
    <w:rsid w:val="00FA5086"/>
    <w:rsid w:val="00FA6B1E"/>
    <w:rsid w:val="00FA7107"/>
    <w:rsid w:val="00FB007D"/>
    <w:rsid w:val="00FB0885"/>
    <w:rsid w:val="00FB0974"/>
    <w:rsid w:val="00FB0FFD"/>
    <w:rsid w:val="00FB2BB6"/>
    <w:rsid w:val="00FB46C2"/>
    <w:rsid w:val="00FB4EAE"/>
    <w:rsid w:val="00FB5DAA"/>
    <w:rsid w:val="00FC1030"/>
    <w:rsid w:val="00FC2591"/>
    <w:rsid w:val="00FC454A"/>
    <w:rsid w:val="00FC520D"/>
    <w:rsid w:val="00FC68A4"/>
    <w:rsid w:val="00FC6F47"/>
    <w:rsid w:val="00FD4324"/>
    <w:rsid w:val="00FD62D1"/>
    <w:rsid w:val="00FD64DA"/>
    <w:rsid w:val="00FE0A91"/>
    <w:rsid w:val="00FE11F3"/>
    <w:rsid w:val="00FE1E54"/>
    <w:rsid w:val="00FE2076"/>
    <w:rsid w:val="00FE2719"/>
    <w:rsid w:val="00FE3F35"/>
    <w:rsid w:val="00FE5040"/>
    <w:rsid w:val="00FE5ECD"/>
    <w:rsid w:val="00FE5F0A"/>
    <w:rsid w:val="00FF3FCF"/>
    <w:rsid w:val="00FF40C2"/>
    <w:rsid w:val="00FF5A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8E33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4A"/>
    <w:pPr>
      <w:spacing w:after="240" w:line="260" w:lineRule="exact"/>
      <w:jc w:val="both"/>
    </w:pPr>
    <w:rPr>
      <w:rFonts w:ascii="Book Antiqua" w:hAnsi="Book Antiqua"/>
    </w:rPr>
  </w:style>
  <w:style w:type="paragraph" w:styleId="Heading1">
    <w:name w:val="heading 1"/>
    <w:basedOn w:val="HeadingBase"/>
    <w:next w:val="Normal"/>
    <w:link w:val="Heading1Char"/>
    <w:qFormat/>
    <w:rsid w:val="0068364A"/>
    <w:pPr>
      <w:spacing w:after="240"/>
      <w:jc w:val="center"/>
      <w:outlineLvl w:val="0"/>
    </w:pPr>
    <w:rPr>
      <w:b/>
      <w:smallCaps/>
      <w:kern w:val="34"/>
      <w:sz w:val="34"/>
    </w:rPr>
  </w:style>
  <w:style w:type="paragraph" w:styleId="Heading2">
    <w:name w:val="heading 2"/>
    <w:basedOn w:val="HeadingBase"/>
    <w:next w:val="Normal"/>
    <w:link w:val="Heading2Char"/>
    <w:qFormat/>
    <w:rsid w:val="0068364A"/>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68364A"/>
    <w:pPr>
      <w:spacing w:before="120" w:after="120"/>
      <w:outlineLvl w:val="2"/>
    </w:pPr>
    <w:rPr>
      <w:rFonts w:ascii="Arial Bold" w:hAnsi="Arial Bold"/>
      <w:b/>
      <w:sz w:val="22"/>
    </w:rPr>
  </w:style>
  <w:style w:type="paragraph" w:styleId="Heading4">
    <w:name w:val="heading 4"/>
    <w:basedOn w:val="HeadingBase"/>
    <w:next w:val="Normal"/>
    <w:link w:val="Heading4Char"/>
    <w:qFormat/>
    <w:rsid w:val="0068364A"/>
    <w:pPr>
      <w:spacing w:after="120"/>
      <w:outlineLvl w:val="3"/>
    </w:pPr>
    <w:rPr>
      <w:rFonts w:ascii="Arial Bold" w:hAnsi="Arial Bold"/>
      <w:b/>
      <w:sz w:val="20"/>
    </w:rPr>
  </w:style>
  <w:style w:type="paragraph" w:styleId="Heading5">
    <w:name w:val="heading 5"/>
    <w:basedOn w:val="HeadingBase"/>
    <w:next w:val="Normal"/>
    <w:link w:val="Heading5Char"/>
    <w:qFormat/>
    <w:rsid w:val="0068364A"/>
    <w:pPr>
      <w:spacing w:after="120"/>
      <w:outlineLvl w:val="4"/>
    </w:pPr>
    <w:rPr>
      <w:b/>
      <w:bCs/>
      <w:iCs/>
      <w:sz w:val="20"/>
      <w:szCs w:val="26"/>
    </w:rPr>
  </w:style>
  <w:style w:type="paragraph" w:styleId="Heading6">
    <w:name w:val="heading 6"/>
    <w:basedOn w:val="HeadingBase"/>
    <w:next w:val="Normal"/>
    <w:link w:val="Heading6Char"/>
    <w:rsid w:val="0068364A"/>
    <w:pPr>
      <w:spacing w:after="120"/>
      <w:outlineLvl w:val="5"/>
    </w:pPr>
    <w:rPr>
      <w:bCs/>
      <w:sz w:val="20"/>
      <w:szCs w:val="22"/>
    </w:rPr>
  </w:style>
  <w:style w:type="paragraph" w:styleId="Heading7">
    <w:name w:val="heading 7"/>
    <w:basedOn w:val="HeadingBase"/>
    <w:next w:val="Normal"/>
    <w:link w:val="Heading7Char"/>
    <w:rsid w:val="0068364A"/>
    <w:pPr>
      <w:spacing w:before="120"/>
      <w:outlineLvl w:val="6"/>
    </w:pPr>
    <w:rPr>
      <w:sz w:val="20"/>
      <w:szCs w:val="24"/>
    </w:rPr>
  </w:style>
  <w:style w:type="paragraph" w:styleId="Heading8">
    <w:name w:val="heading 8"/>
    <w:basedOn w:val="HeadingBase"/>
    <w:next w:val="Normal"/>
    <w:link w:val="Heading8Char"/>
    <w:rsid w:val="0068364A"/>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BoxText"/>
    <w:rsid w:val="0068364A"/>
    <w:pPr>
      <w:spacing w:before="120" w:after="120"/>
    </w:pPr>
    <w:rPr>
      <w:b/>
      <w:sz w:val="20"/>
    </w:rPr>
  </w:style>
  <w:style w:type="paragraph" w:customStyle="1" w:styleId="Bullet">
    <w:name w:val="Bullet"/>
    <w:basedOn w:val="Normal"/>
    <w:qFormat/>
    <w:rsid w:val="0068364A"/>
    <w:pPr>
      <w:numPr>
        <w:numId w:val="10"/>
      </w:numPr>
    </w:pPr>
  </w:style>
  <w:style w:type="paragraph" w:customStyle="1" w:styleId="ChartandTableFootnote">
    <w:name w:val="Chart and Table Footnote"/>
    <w:basedOn w:val="HeadingBase"/>
    <w:next w:val="Normal"/>
    <w:rsid w:val="0068364A"/>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68364A"/>
    <w:pPr>
      <w:keepNext w:val="0"/>
      <w:numPr>
        <w:numId w:val="24"/>
      </w:numPr>
      <w:jc w:val="both"/>
    </w:pPr>
    <w:rPr>
      <w:color w:val="000000"/>
      <w:sz w:val="16"/>
    </w:rPr>
  </w:style>
  <w:style w:type="paragraph" w:customStyle="1" w:styleId="ChartGraphic">
    <w:name w:val="Chart Graphic"/>
    <w:basedOn w:val="HeadingBase"/>
    <w:rsid w:val="0068364A"/>
    <w:pPr>
      <w:jc w:val="center"/>
    </w:pPr>
    <w:rPr>
      <w:sz w:val="20"/>
    </w:rPr>
  </w:style>
  <w:style w:type="paragraph" w:customStyle="1" w:styleId="ChartHeading">
    <w:name w:val="Chart Heading"/>
    <w:basedOn w:val="HeadingBase"/>
    <w:next w:val="ChartGraphic"/>
    <w:qFormat/>
    <w:rsid w:val="0068364A"/>
    <w:pPr>
      <w:spacing w:before="120" w:after="20"/>
      <w:jc w:val="center"/>
    </w:pPr>
    <w:rPr>
      <w:b/>
      <w:sz w:val="20"/>
    </w:rPr>
  </w:style>
  <w:style w:type="paragraph" w:customStyle="1" w:styleId="ChartSecondHeading">
    <w:name w:val="Chart Second Heading"/>
    <w:basedOn w:val="HeadingBase"/>
    <w:next w:val="ChartGraphic"/>
    <w:rsid w:val="0068364A"/>
    <w:pPr>
      <w:spacing w:before="60"/>
      <w:jc w:val="center"/>
    </w:pPr>
    <w:rPr>
      <w:sz w:val="20"/>
    </w:rPr>
  </w:style>
  <w:style w:type="paragraph" w:customStyle="1" w:styleId="Classification">
    <w:name w:val="Classification"/>
    <w:basedOn w:val="HeadingBase"/>
    <w:rsid w:val="0068364A"/>
    <w:pPr>
      <w:jc w:val="center"/>
    </w:pPr>
    <w:rPr>
      <w:b/>
      <w:smallCaps/>
    </w:rPr>
  </w:style>
  <w:style w:type="paragraph" w:customStyle="1" w:styleId="ContentsHeading">
    <w:name w:val="Contents Heading"/>
    <w:basedOn w:val="HeadingBase"/>
    <w:next w:val="Normal"/>
    <w:rsid w:val="0068364A"/>
    <w:pPr>
      <w:spacing w:after="720"/>
      <w:jc w:val="center"/>
    </w:pPr>
    <w:rPr>
      <w:b/>
      <w:smallCaps/>
      <w:sz w:val="34"/>
    </w:rPr>
  </w:style>
  <w:style w:type="paragraph" w:customStyle="1" w:styleId="ContentsSecondHeading">
    <w:name w:val="Contents Second Heading"/>
    <w:basedOn w:val="HeadingBase"/>
    <w:next w:val="Normal"/>
    <w:rsid w:val="003E36D9"/>
    <w:pPr>
      <w:spacing w:after="360"/>
      <w:jc w:val="center"/>
    </w:pPr>
    <w:rPr>
      <w:color w:val="000000"/>
      <w:sz w:val="30"/>
    </w:rPr>
  </w:style>
  <w:style w:type="paragraph" w:customStyle="1" w:styleId="Dash">
    <w:name w:val="Dash"/>
    <w:basedOn w:val="Normal"/>
    <w:qFormat/>
    <w:rsid w:val="0068364A"/>
    <w:pPr>
      <w:numPr>
        <w:ilvl w:val="1"/>
        <w:numId w:val="10"/>
      </w:numPr>
      <w:tabs>
        <w:tab w:val="left" w:pos="567"/>
      </w:tabs>
    </w:pPr>
  </w:style>
  <w:style w:type="paragraph" w:customStyle="1" w:styleId="DoubleDot">
    <w:name w:val="Double Dot"/>
    <w:basedOn w:val="Normal"/>
    <w:rsid w:val="0068364A"/>
    <w:pPr>
      <w:numPr>
        <w:ilvl w:val="2"/>
        <w:numId w:val="10"/>
      </w:numPr>
      <w:tabs>
        <w:tab w:val="clear" w:pos="850"/>
        <w:tab w:val="num" w:pos="360"/>
        <w:tab w:val="left" w:pos="851"/>
      </w:tabs>
    </w:pPr>
  </w:style>
  <w:style w:type="paragraph" w:customStyle="1" w:styleId="FileProperties">
    <w:name w:val="File Properties"/>
    <w:basedOn w:val="Normal"/>
    <w:rsid w:val="0068364A"/>
    <w:rPr>
      <w:i/>
    </w:rPr>
  </w:style>
  <w:style w:type="paragraph" w:customStyle="1" w:styleId="FooterBase">
    <w:name w:val="Footer Base"/>
    <w:rsid w:val="0068364A"/>
    <w:pPr>
      <w:jc w:val="center"/>
    </w:pPr>
    <w:rPr>
      <w:rFonts w:ascii="Arial" w:hAnsi="Arial"/>
    </w:rPr>
  </w:style>
  <w:style w:type="character" w:customStyle="1" w:styleId="FramedHeader">
    <w:name w:val="Framed Header"/>
    <w:basedOn w:val="DefaultParagraphFont"/>
    <w:rsid w:val="0068364A"/>
    <w:rPr>
      <w:rFonts w:ascii="Book Antiqua" w:hAnsi="Book Antiqua"/>
      <w:i/>
      <w:dstrike w:val="0"/>
      <w:color w:val="auto"/>
      <w:sz w:val="20"/>
      <w:vertAlign w:val="baseline"/>
    </w:rPr>
  </w:style>
  <w:style w:type="paragraph" w:customStyle="1" w:styleId="HeaderBase">
    <w:name w:val="Header Base"/>
    <w:rsid w:val="0068364A"/>
    <w:rPr>
      <w:rFonts w:ascii="Book Antiqua" w:hAnsi="Book Antiqua"/>
      <w:i/>
    </w:rPr>
  </w:style>
  <w:style w:type="paragraph" w:customStyle="1" w:styleId="HeaderEven">
    <w:name w:val="Header Even"/>
    <w:basedOn w:val="HeaderBase"/>
    <w:rsid w:val="0068364A"/>
  </w:style>
  <w:style w:type="paragraph" w:customStyle="1" w:styleId="HeaderOdd">
    <w:name w:val="Header Odd"/>
    <w:basedOn w:val="HeaderBase"/>
    <w:rsid w:val="0068364A"/>
    <w:pPr>
      <w:jc w:val="right"/>
    </w:pPr>
  </w:style>
  <w:style w:type="paragraph" w:customStyle="1" w:styleId="HeadingBase">
    <w:name w:val="Heading Base"/>
    <w:rsid w:val="0068364A"/>
    <w:pPr>
      <w:keepNext/>
    </w:pPr>
    <w:rPr>
      <w:rFonts w:ascii="Arial" w:hAnsi="Arial"/>
      <w:sz w:val="24"/>
    </w:rPr>
  </w:style>
  <w:style w:type="paragraph" w:customStyle="1" w:styleId="AppendixHeading">
    <w:name w:val="Appendix Heading"/>
    <w:basedOn w:val="HeadingBase"/>
    <w:rsid w:val="0068364A"/>
    <w:pPr>
      <w:spacing w:after="240"/>
      <w:jc w:val="center"/>
      <w:outlineLvl w:val="3"/>
    </w:pPr>
    <w:rPr>
      <w:b/>
      <w:smallCaps/>
      <w:sz w:val="30"/>
    </w:rPr>
  </w:style>
  <w:style w:type="paragraph" w:styleId="TOC5">
    <w:name w:val="toc 5"/>
    <w:basedOn w:val="Normal"/>
    <w:next w:val="Normal"/>
    <w:autoRedefine/>
    <w:uiPriority w:val="2"/>
    <w:semiHidden/>
    <w:rsid w:val="0068364A"/>
    <w:pPr>
      <w:tabs>
        <w:tab w:val="left" w:pos="851"/>
        <w:tab w:val="right" w:leader="dot" w:pos="7700"/>
      </w:tabs>
      <w:ind w:left="896" w:hanging="896"/>
    </w:pPr>
    <w:rPr>
      <w:rFonts w:ascii="Arial" w:hAnsi="Arial"/>
      <w:noProof/>
      <w:color w:val="002B54"/>
    </w:rPr>
  </w:style>
  <w:style w:type="paragraph" w:customStyle="1" w:styleId="TableGraphic">
    <w:name w:val="Table Graphic"/>
    <w:basedOn w:val="Normal"/>
    <w:next w:val="Normal"/>
    <w:rsid w:val="0068364A"/>
    <w:pPr>
      <w:spacing w:after="0" w:line="240" w:lineRule="auto"/>
      <w:ind w:right="-113"/>
    </w:pPr>
  </w:style>
  <w:style w:type="paragraph" w:customStyle="1" w:styleId="TableHeading">
    <w:name w:val="Table Heading"/>
    <w:basedOn w:val="HeadingBase"/>
    <w:next w:val="TableGraphic"/>
    <w:qFormat/>
    <w:rsid w:val="0068364A"/>
    <w:pPr>
      <w:spacing w:before="120" w:after="20"/>
    </w:pPr>
    <w:rPr>
      <w:b/>
      <w:sz w:val="20"/>
    </w:rPr>
  </w:style>
  <w:style w:type="paragraph" w:customStyle="1" w:styleId="TableHeadingcontinued">
    <w:name w:val="Table Heading continued"/>
    <w:basedOn w:val="HeadingBase"/>
    <w:next w:val="TableGraphic"/>
    <w:rsid w:val="0068364A"/>
    <w:pPr>
      <w:spacing w:before="120" w:after="20"/>
    </w:pPr>
    <w:rPr>
      <w:rFonts w:ascii="Arial Bold" w:hAnsi="Arial Bold"/>
      <w:b/>
      <w:sz w:val="20"/>
    </w:rPr>
  </w:style>
  <w:style w:type="paragraph" w:styleId="Footer">
    <w:name w:val="footer"/>
    <w:basedOn w:val="FooterBase"/>
    <w:link w:val="FooterChar"/>
    <w:rsid w:val="0068364A"/>
    <w:pPr>
      <w:tabs>
        <w:tab w:val="center" w:pos="4153"/>
        <w:tab w:val="right" w:pos="8306"/>
      </w:tabs>
    </w:pPr>
  </w:style>
  <w:style w:type="paragraph" w:styleId="Header">
    <w:name w:val="header"/>
    <w:basedOn w:val="HeaderBase"/>
    <w:link w:val="HeaderChar"/>
    <w:rsid w:val="0068364A"/>
    <w:pPr>
      <w:tabs>
        <w:tab w:val="center" w:pos="4153"/>
        <w:tab w:val="right" w:pos="8306"/>
      </w:tabs>
    </w:pPr>
  </w:style>
  <w:style w:type="character" w:styleId="PageNumber">
    <w:name w:val="page number"/>
    <w:basedOn w:val="DefaultParagraphFont"/>
    <w:rsid w:val="0068364A"/>
    <w:rPr>
      <w:rFonts w:ascii="Arial" w:hAnsi="Arial" w:cs="Arial"/>
    </w:rPr>
  </w:style>
  <w:style w:type="character" w:styleId="FootnoteReference">
    <w:name w:val="footnote reference"/>
    <w:basedOn w:val="DefaultParagraphFont"/>
    <w:rsid w:val="0068364A"/>
    <w:rPr>
      <w:vertAlign w:val="superscript"/>
    </w:rPr>
  </w:style>
  <w:style w:type="paragraph" w:styleId="FootnoteText">
    <w:name w:val="footnote text"/>
    <w:basedOn w:val="Normal"/>
    <w:link w:val="FootnoteTextChar"/>
    <w:rsid w:val="0068364A"/>
    <w:pPr>
      <w:tabs>
        <w:tab w:val="left" w:pos="284"/>
      </w:tabs>
      <w:spacing w:after="0" w:line="240" w:lineRule="auto"/>
      <w:ind w:left="284" w:hanging="284"/>
    </w:pPr>
    <w:rPr>
      <w:sz w:val="18"/>
    </w:rPr>
  </w:style>
  <w:style w:type="paragraph" w:styleId="Index1">
    <w:name w:val="index 1"/>
    <w:basedOn w:val="Normal"/>
    <w:next w:val="Normal"/>
    <w:rsid w:val="0068364A"/>
    <w:pPr>
      <w:ind w:left="200" w:hanging="200"/>
    </w:pPr>
  </w:style>
  <w:style w:type="paragraph" w:styleId="Index2">
    <w:name w:val="index 2"/>
    <w:basedOn w:val="Normal"/>
    <w:next w:val="Normal"/>
    <w:rsid w:val="0068364A"/>
    <w:pPr>
      <w:ind w:left="400" w:hanging="200"/>
    </w:pPr>
  </w:style>
  <w:style w:type="paragraph" w:styleId="Index3">
    <w:name w:val="index 3"/>
    <w:basedOn w:val="Normal"/>
    <w:next w:val="Normal"/>
    <w:rsid w:val="0068364A"/>
    <w:pPr>
      <w:ind w:left="600" w:hanging="200"/>
    </w:pPr>
  </w:style>
  <w:style w:type="paragraph" w:styleId="IndexHeading">
    <w:name w:val="index heading"/>
    <w:basedOn w:val="Normal"/>
    <w:next w:val="Index1"/>
    <w:rsid w:val="0068364A"/>
    <w:rPr>
      <w:rFonts w:ascii="Arial Bold" w:hAnsi="Arial Bold" w:cs="Arial"/>
      <w:b/>
      <w:bCs/>
      <w:color w:val="002B54"/>
    </w:rPr>
  </w:style>
  <w:style w:type="paragraph" w:styleId="TOC1">
    <w:name w:val="toc 1"/>
    <w:basedOn w:val="HeaderBase"/>
    <w:next w:val="Normal"/>
    <w:uiPriority w:val="2"/>
    <w:rsid w:val="0068364A"/>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68364A"/>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68364A"/>
    <w:pPr>
      <w:tabs>
        <w:tab w:val="right" w:leader="dot" w:pos="7700"/>
      </w:tabs>
      <w:spacing w:before="40"/>
      <w:ind w:right="851"/>
    </w:pPr>
    <w:rPr>
      <w:sz w:val="20"/>
    </w:rPr>
  </w:style>
  <w:style w:type="paragraph" w:styleId="TOC4">
    <w:name w:val="toc 4"/>
    <w:basedOn w:val="HeadingBase"/>
    <w:next w:val="Normal"/>
    <w:uiPriority w:val="2"/>
    <w:unhideWhenUsed/>
    <w:rsid w:val="0068364A"/>
    <w:pPr>
      <w:tabs>
        <w:tab w:val="right" w:leader="dot" w:pos="7700"/>
      </w:tabs>
      <w:spacing w:before="40"/>
      <w:ind w:right="851"/>
    </w:pPr>
    <w:rPr>
      <w:sz w:val="20"/>
    </w:rPr>
  </w:style>
  <w:style w:type="paragraph" w:styleId="TOC6">
    <w:name w:val="toc 6"/>
    <w:basedOn w:val="TOC4"/>
    <w:next w:val="Normal"/>
    <w:uiPriority w:val="2"/>
    <w:semiHidden/>
    <w:rsid w:val="0068364A"/>
    <w:pPr>
      <w:tabs>
        <w:tab w:val="left" w:pos="851"/>
      </w:tabs>
      <w:ind w:left="851" w:hanging="851"/>
    </w:pPr>
    <w:rPr>
      <w:color w:val="000000"/>
    </w:rPr>
  </w:style>
  <w:style w:type="paragraph" w:customStyle="1" w:styleId="SingleParagraph">
    <w:name w:val="Single Paragraph"/>
    <w:basedOn w:val="Normal"/>
    <w:rsid w:val="0068364A"/>
    <w:pPr>
      <w:spacing w:after="0"/>
    </w:pPr>
  </w:style>
  <w:style w:type="paragraph" w:styleId="TOC7">
    <w:name w:val="toc 7"/>
    <w:basedOn w:val="Normal"/>
    <w:next w:val="Normal"/>
    <w:autoRedefine/>
    <w:uiPriority w:val="2"/>
    <w:semiHidden/>
    <w:rsid w:val="0068364A"/>
    <w:pPr>
      <w:ind w:left="1200"/>
    </w:pPr>
  </w:style>
  <w:style w:type="paragraph" w:styleId="TOC8">
    <w:name w:val="toc 8"/>
    <w:basedOn w:val="Normal"/>
    <w:next w:val="Normal"/>
    <w:autoRedefine/>
    <w:uiPriority w:val="2"/>
    <w:semiHidden/>
    <w:rsid w:val="0068364A"/>
    <w:pPr>
      <w:ind w:left="1400"/>
    </w:pPr>
  </w:style>
  <w:style w:type="paragraph" w:styleId="ListBullet4">
    <w:name w:val="List Bullet 4"/>
    <w:basedOn w:val="Normal"/>
    <w:autoRedefine/>
    <w:rsid w:val="003E36D9"/>
    <w:pPr>
      <w:numPr>
        <w:numId w:val="1"/>
      </w:numPr>
    </w:pPr>
  </w:style>
  <w:style w:type="paragraph" w:customStyle="1" w:styleId="FigureHeading">
    <w:name w:val="Figure Heading"/>
    <w:basedOn w:val="HeadingBase"/>
    <w:next w:val="ChartGraphic"/>
    <w:rsid w:val="0068364A"/>
    <w:pPr>
      <w:spacing w:before="120" w:after="20"/>
    </w:pPr>
    <w:rPr>
      <w:b/>
      <w:sz w:val="20"/>
    </w:rPr>
  </w:style>
  <w:style w:type="paragraph" w:customStyle="1" w:styleId="NoteTableHeading">
    <w:name w:val="Note Table Heading"/>
    <w:basedOn w:val="HeadingBase"/>
    <w:next w:val="Normal"/>
    <w:rsid w:val="0068364A"/>
    <w:pPr>
      <w:spacing w:before="240"/>
    </w:pPr>
    <w:rPr>
      <w:b/>
      <w:sz w:val="20"/>
    </w:rPr>
  </w:style>
  <w:style w:type="paragraph" w:customStyle="1" w:styleId="ChartandTableFootnoteAlphaSmall">
    <w:name w:val="Chart and Table Footnote Alpha Small"/>
    <w:basedOn w:val="ChartandTableFootnoteAlpha"/>
    <w:rsid w:val="003E36D9"/>
    <w:pPr>
      <w:numPr>
        <w:numId w:val="2"/>
      </w:numPr>
    </w:pPr>
    <w:rPr>
      <w:sz w:val="15"/>
    </w:rPr>
  </w:style>
  <w:style w:type="paragraph" w:customStyle="1" w:styleId="ChartandTableFootnoteSmall">
    <w:name w:val="Chart and Table Footnote Small"/>
    <w:basedOn w:val="HeadingBase"/>
    <w:next w:val="Normal"/>
    <w:rsid w:val="0068364A"/>
    <w:pPr>
      <w:keepNext w:val="0"/>
      <w:tabs>
        <w:tab w:val="left" w:pos="284"/>
      </w:tabs>
      <w:jc w:val="both"/>
    </w:pPr>
    <w:rPr>
      <w:color w:val="000000"/>
      <w:sz w:val="15"/>
    </w:rPr>
  </w:style>
  <w:style w:type="paragraph" w:customStyle="1" w:styleId="Source">
    <w:name w:val="Source"/>
    <w:basedOn w:val="Normal"/>
    <w:rsid w:val="0068364A"/>
    <w:pPr>
      <w:tabs>
        <w:tab w:val="left" w:pos="284"/>
      </w:tabs>
      <w:spacing w:line="240" w:lineRule="auto"/>
    </w:pPr>
    <w:rPr>
      <w:rFonts w:ascii="Arial" w:hAnsi="Arial"/>
      <w:sz w:val="16"/>
    </w:rPr>
  </w:style>
  <w:style w:type="paragraph" w:customStyle="1" w:styleId="BlockedQuotation">
    <w:name w:val="Blocked Quotation"/>
    <w:basedOn w:val="Normal"/>
    <w:rsid w:val="0068364A"/>
    <w:pPr>
      <w:ind w:left="567"/>
    </w:pPr>
  </w:style>
  <w:style w:type="paragraph" w:customStyle="1" w:styleId="Exactly">
    <w:name w:val="Exactly"/>
    <w:basedOn w:val="Normal"/>
    <w:next w:val="Normal"/>
    <w:rsid w:val="003E36D9"/>
    <w:pPr>
      <w:spacing w:line="240" w:lineRule="auto"/>
    </w:pPr>
  </w:style>
  <w:style w:type="paragraph" w:customStyle="1" w:styleId="SingleParagraph0">
    <w:name w:val="SingleParagraph"/>
    <w:basedOn w:val="Normal"/>
    <w:next w:val="Normal"/>
    <w:rsid w:val="003E36D9"/>
    <w:pPr>
      <w:spacing w:after="0" w:line="240" w:lineRule="auto"/>
    </w:pPr>
    <w:rPr>
      <w:color w:val="000000"/>
    </w:rPr>
  </w:style>
  <w:style w:type="paragraph" w:customStyle="1" w:styleId="MeasureTableTextLeftAligned">
    <w:name w:val="Measure Table Text Left Aligned"/>
    <w:basedOn w:val="Normal"/>
    <w:rsid w:val="003E36D9"/>
    <w:pPr>
      <w:spacing w:before="60" w:after="60" w:line="240" w:lineRule="auto"/>
      <w:jc w:val="left"/>
    </w:pPr>
    <w:rPr>
      <w:rFonts w:ascii="Arial" w:hAnsi="Arial"/>
      <w:color w:val="000000"/>
      <w:sz w:val="16"/>
    </w:rPr>
  </w:style>
  <w:style w:type="paragraph" w:customStyle="1" w:styleId="MeasureTableTextRightAligned">
    <w:name w:val="Measure Table Text Right Aligned"/>
    <w:basedOn w:val="Normal"/>
    <w:rsid w:val="003E36D9"/>
    <w:pPr>
      <w:spacing w:before="60" w:after="60" w:line="240" w:lineRule="auto"/>
      <w:jc w:val="right"/>
    </w:pPr>
    <w:rPr>
      <w:rFonts w:ascii="Arial" w:hAnsi="Arial"/>
      <w:sz w:val="16"/>
    </w:rPr>
  </w:style>
  <w:style w:type="paragraph" w:customStyle="1" w:styleId="Attachmentheading">
    <w:name w:val="Attachment heading"/>
    <w:basedOn w:val="Normal"/>
    <w:next w:val="Normal"/>
    <w:rsid w:val="003E36D9"/>
    <w:pPr>
      <w:spacing w:line="240" w:lineRule="auto"/>
      <w:jc w:val="right"/>
    </w:pPr>
    <w:rPr>
      <w:rFonts w:ascii="Arial Bold" w:hAnsi="Arial Bold"/>
      <w:b/>
      <w:sz w:val="22"/>
    </w:rPr>
  </w:style>
  <w:style w:type="paragraph" w:customStyle="1" w:styleId="st11summarytableheading1">
    <w:name w:val="st 11 summary table heading 1"/>
    <w:basedOn w:val="Heading5"/>
    <w:rsid w:val="003E36D9"/>
    <w:pPr>
      <w:spacing w:before="60" w:after="60"/>
    </w:pPr>
    <w:rPr>
      <w:rFonts w:ascii="Arial Bold" w:hAnsi="Arial Bold"/>
      <w:sz w:val="18"/>
      <w:szCs w:val="18"/>
    </w:rPr>
  </w:style>
  <w:style w:type="paragraph" w:customStyle="1" w:styleId="St11summarytableheading2">
    <w:name w:val="St 11 summary table heading 2"/>
    <w:basedOn w:val="Heading7"/>
    <w:rsid w:val="003E36D9"/>
    <w:pPr>
      <w:spacing w:before="40"/>
    </w:pPr>
    <w:rPr>
      <w:rFonts w:ascii="Arial Bold" w:hAnsi="Arial Bold"/>
      <w:b/>
      <w:sz w:val="16"/>
      <w:szCs w:val="16"/>
    </w:rPr>
  </w:style>
  <w:style w:type="paragraph" w:customStyle="1" w:styleId="BoxText">
    <w:name w:val="Box Text"/>
    <w:basedOn w:val="Normal"/>
    <w:qFormat/>
    <w:rsid w:val="0068364A"/>
    <w:pPr>
      <w:spacing w:before="120" w:after="120" w:line="240" w:lineRule="auto"/>
    </w:pPr>
  </w:style>
  <w:style w:type="paragraph" w:customStyle="1" w:styleId="OverviewParagraph">
    <w:name w:val="Overview Paragraph"/>
    <w:basedOn w:val="Normal"/>
    <w:rsid w:val="0068364A"/>
    <w:pPr>
      <w:spacing w:before="120" w:after="120" w:line="240" w:lineRule="auto"/>
    </w:pPr>
  </w:style>
  <w:style w:type="paragraph" w:customStyle="1" w:styleId="MeasureTableHeading">
    <w:name w:val="Measure Table Heading"/>
    <w:basedOn w:val="Normal"/>
    <w:rsid w:val="003E36D9"/>
    <w:pPr>
      <w:keepNext/>
      <w:spacing w:after="0" w:line="240" w:lineRule="auto"/>
      <w:jc w:val="left"/>
    </w:pPr>
    <w:rPr>
      <w:rFonts w:ascii="Arial" w:hAnsi="Arial"/>
      <w:sz w:val="16"/>
      <w:szCs w:val="3276"/>
    </w:rPr>
  </w:style>
  <w:style w:type="paragraph" w:customStyle="1" w:styleId="AlphaParagraph">
    <w:name w:val="Alpha Paragraph"/>
    <w:basedOn w:val="Normal"/>
    <w:rsid w:val="0068364A"/>
    <w:pPr>
      <w:numPr>
        <w:numId w:val="22"/>
      </w:numPr>
      <w:tabs>
        <w:tab w:val="clear" w:pos="567"/>
        <w:tab w:val="num" w:pos="360"/>
      </w:tabs>
      <w:ind w:left="0" w:firstLine="0"/>
    </w:pPr>
  </w:style>
  <w:style w:type="paragraph" w:customStyle="1" w:styleId="Heading3noTOC">
    <w:name w:val="Heading 3 no TOC"/>
    <w:basedOn w:val="Heading3"/>
    <w:rsid w:val="0068364A"/>
    <w:pPr>
      <w:outlineLvl w:val="9"/>
    </w:pPr>
  </w:style>
  <w:style w:type="paragraph" w:customStyle="1" w:styleId="BoxBullet">
    <w:name w:val="Box Bullet"/>
    <w:basedOn w:val="BoxText"/>
    <w:rsid w:val="0068364A"/>
    <w:pPr>
      <w:numPr>
        <w:numId w:val="23"/>
      </w:numPr>
    </w:pPr>
  </w:style>
  <w:style w:type="paragraph" w:customStyle="1" w:styleId="BoxDash">
    <w:name w:val="Box Dash"/>
    <w:basedOn w:val="Normal"/>
    <w:rsid w:val="003E36D9"/>
    <w:pPr>
      <w:numPr>
        <w:ilvl w:val="1"/>
        <w:numId w:val="4"/>
      </w:numPr>
      <w:tabs>
        <w:tab w:val="clear" w:pos="567"/>
        <w:tab w:val="num" w:pos="283"/>
      </w:tabs>
      <w:ind w:left="283" w:hanging="283"/>
    </w:pPr>
    <w:rPr>
      <w:color w:val="000000"/>
    </w:rPr>
  </w:style>
  <w:style w:type="paragraph" w:customStyle="1" w:styleId="BoxDoubleDot">
    <w:name w:val="Box Double Dot"/>
    <w:basedOn w:val="BoxTextBase"/>
    <w:rsid w:val="003E36D9"/>
    <w:pPr>
      <w:numPr>
        <w:ilvl w:val="2"/>
        <w:numId w:val="4"/>
      </w:numPr>
      <w:tabs>
        <w:tab w:val="clear" w:pos="850"/>
        <w:tab w:val="num" w:pos="283"/>
      </w:tabs>
      <w:spacing w:before="120" w:after="120"/>
      <w:ind w:left="283"/>
    </w:pPr>
  </w:style>
  <w:style w:type="paragraph" w:customStyle="1" w:styleId="BoxTextBase">
    <w:name w:val="Box Text Base"/>
    <w:basedOn w:val="Normal"/>
    <w:rsid w:val="003E36D9"/>
    <w:pPr>
      <w:spacing w:line="240" w:lineRule="auto"/>
    </w:pPr>
    <w:rPr>
      <w:color w:val="000000"/>
    </w:rPr>
  </w:style>
  <w:style w:type="paragraph" w:customStyle="1" w:styleId="AppendixBBoxHeading">
    <w:name w:val="Appendix_B_Box_Heading"/>
    <w:basedOn w:val="Heading5"/>
    <w:rsid w:val="003E36D9"/>
    <w:pPr>
      <w:spacing w:before="120" w:after="80"/>
    </w:pPr>
  </w:style>
  <w:style w:type="paragraph" w:customStyle="1" w:styleId="OneLevelNumberedParagraph">
    <w:name w:val="One Level Numbered Paragraph"/>
    <w:basedOn w:val="Normal"/>
    <w:rsid w:val="003E36D9"/>
    <w:pPr>
      <w:numPr>
        <w:numId w:val="5"/>
      </w:numPr>
      <w:tabs>
        <w:tab w:val="clear" w:pos="567"/>
        <w:tab w:val="num" w:pos="360"/>
      </w:tabs>
      <w:ind w:left="0" w:firstLine="0"/>
    </w:pPr>
    <w:rPr>
      <w:color w:val="000000"/>
    </w:rPr>
  </w:style>
  <w:style w:type="paragraph" w:customStyle="1" w:styleId="OutlineNumbered1">
    <w:name w:val="Outline Numbered 1"/>
    <w:basedOn w:val="Normal"/>
    <w:rsid w:val="003E36D9"/>
    <w:pPr>
      <w:numPr>
        <w:numId w:val="6"/>
      </w:numPr>
      <w:tabs>
        <w:tab w:val="clear" w:pos="567"/>
        <w:tab w:val="num" w:pos="360"/>
      </w:tabs>
      <w:ind w:left="0" w:firstLine="0"/>
    </w:pPr>
    <w:rPr>
      <w:color w:val="000000"/>
    </w:rPr>
  </w:style>
  <w:style w:type="paragraph" w:customStyle="1" w:styleId="OutlineNumbered2">
    <w:name w:val="Outline Numbered 2"/>
    <w:basedOn w:val="Normal"/>
    <w:rsid w:val="003E36D9"/>
    <w:pPr>
      <w:numPr>
        <w:ilvl w:val="1"/>
        <w:numId w:val="6"/>
      </w:numPr>
      <w:tabs>
        <w:tab w:val="clear" w:pos="1134"/>
        <w:tab w:val="num" w:pos="360"/>
      </w:tabs>
      <w:ind w:left="0" w:firstLine="0"/>
    </w:pPr>
    <w:rPr>
      <w:color w:val="000000"/>
    </w:rPr>
  </w:style>
  <w:style w:type="paragraph" w:customStyle="1" w:styleId="OutlineNumbered3">
    <w:name w:val="Outline Numbered 3"/>
    <w:basedOn w:val="Normal"/>
    <w:rsid w:val="003E36D9"/>
    <w:pPr>
      <w:numPr>
        <w:ilvl w:val="2"/>
        <w:numId w:val="6"/>
      </w:numPr>
      <w:tabs>
        <w:tab w:val="clear" w:pos="1701"/>
        <w:tab w:val="num" w:pos="360"/>
      </w:tabs>
      <w:ind w:left="0" w:firstLine="0"/>
    </w:pPr>
    <w:rPr>
      <w:color w:val="000000"/>
    </w:rPr>
  </w:style>
  <w:style w:type="paragraph" w:styleId="Title">
    <w:name w:val="Title"/>
    <w:basedOn w:val="Normal"/>
    <w:qFormat/>
    <w:rsid w:val="003E36D9"/>
    <w:pPr>
      <w:spacing w:after="0" w:line="240" w:lineRule="auto"/>
      <w:jc w:val="center"/>
      <w:outlineLvl w:val="0"/>
    </w:pPr>
    <w:rPr>
      <w:b/>
      <w:kern w:val="28"/>
      <w:sz w:val="52"/>
    </w:rPr>
  </w:style>
  <w:style w:type="paragraph" w:customStyle="1" w:styleId="Title2ndLevel">
    <w:name w:val="Title 2nd Level"/>
    <w:basedOn w:val="Normal"/>
    <w:rsid w:val="003E36D9"/>
    <w:pPr>
      <w:spacing w:after="0" w:line="240" w:lineRule="auto"/>
      <w:jc w:val="center"/>
    </w:pPr>
    <w:rPr>
      <w:sz w:val="24"/>
    </w:rPr>
  </w:style>
  <w:style w:type="paragraph" w:customStyle="1" w:styleId="AppendixBBoxSubHeading">
    <w:name w:val="Appendix_B_Box_SubHeading"/>
    <w:basedOn w:val="Heading6"/>
    <w:rsid w:val="003E36D9"/>
    <w:pPr>
      <w:spacing w:before="80" w:after="80"/>
    </w:pPr>
  </w:style>
  <w:style w:type="paragraph" w:customStyle="1" w:styleId="TableColumnHeadingCentred">
    <w:name w:val="Table Column Heading Centred"/>
    <w:basedOn w:val="TableColumnHeadingBase"/>
    <w:next w:val="Normal"/>
    <w:rsid w:val="0068364A"/>
    <w:pPr>
      <w:jc w:val="center"/>
    </w:pPr>
  </w:style>
  <w:style w:type="paragraph" w:customStyle="1" w:styleId="TableColumnHeadingLeft">
    <w:name w:val="Table Column Heading Left"/>
    <w:basedOn w:val="TableColumnHeadingBase"/>
    <w:next w:val="Normal"/>
    <w:rsid w:val="0068364A"/>
  </w:style>
  <w:style w:type="paragraph" w:customStyle="1" w:styleId="TableColumnHeadingRight">
    <w:name w:val="Table Column Heading Right"/>
    <w:basedOn w:val="TableColumnHeadingBase"/>
    <w:next w:val="Normal"/>
    <w:rsid w:val="0068364A"/>
    <w:pPr>
      <w:jc w:val="right"/>
    </w:pPr>
  </w:style>
  <w:style w:type="paragraph" w:customStyle="1" w:styleId="TableTextCentred">
    <w:name w:val="Table Text Centred"/>
    <w:basedOn w:val="TableTextBase"/>
    <w:rsid w:val="0068364A"/>
    <w:pPr>
      <w:jc w:val="center"/>
    </w:pPr>
  </w:style>
  <w:style w:type="paragraph" w:customStyle="1" w:styleId="TableTextIndented">
    <w:name w:val="Table Text Indented"/>
    <w:basedOn w:val="TableTextBase"/>
    <w:rsid w:val="0068364A"/>
    <w:pPr>
      <w:ind w:left="284"/>
    </w:pPr>
  </w:style>
  <w:style w:type="paragraph" w:customStyle="1" w:styleId="TableTextLeft">
    <w:name w:val="Table Text Left"/>
    <w:basedOn w:val="TableTextBase"/>
    <w:rsid w:val="0068364A"/>
  </w:style>
  <w:style w:type="paragraph" w:customStyle="1" w:styleId="TableTextRight">
    <w:name w:val="Table Text Right"/>
    <w:basedOn w:val="TableTextBase"/>
    <w:rsid w:val="0068364A"/>
    <w:pPr>
      <w:jc w:val="right"/>
    </w:pPr>
  </w:style>
  <w:style w:type="paragraph" w:customStyle="1" w:styleId="Heading2noTOC">
    <w:name w:val="Heading 2 no TOC"/>
    <w:basedOn w:val="Heading2"/>
    <w:qFormat/>
    <w:rsid w:val="003E36D9"/>
  </w:style>
  <w:style w:type="character" w:customStyle="1" w:styleId="FooterChar">
    <w:name w:val="Footer Char"/>
    <w:basedOn w:val="DefaultParagraphFont"/>
    <w:link w:val="Footer"/>
    <w:rsid w:val="0068364A"/>
    <w:rPr>
      <w:rFonts w:ascii="Arial" w:hAnsi="Arial"/>
    </w:rPr>
  </w:style>
  <w:style w:type="paragraph" w:customStyle="1" w:styleId="fbo">
    <w:name w:val="fbo"/>
    <w:rsid w:val="003E36D9"/>
    <w:pPr>
      <w:spacing w:after="240" w:line="260" w:lineRule="exact"/>
      <w:jc w:val="both"/>
    </w:pPr>
    <w:rPr>
      <w:rFonts w:ascii="Book Antiqua" w:hAnsi="Book Antiqua"/>
      <w:szCs w:val="24"/>
      <w:lang w:eastAsia="en-US"/>
    </w:rPr>
  </w:style>
  <w:style w:type="paragraph" w:styleId="BalloonText">
    <w:name w:val="Balloon Text"/>
    <w:basedOn w:val="Normal"/>
    <w:link w:val="BalloonTextChar"/>
    <w:rsid w:val="0068364A"/>
    <w:rPr>
      <w:rFonts w:ascii="Tahoma" w:hAnsi="Tahoma" w:cs="Tahoma"/>
      <w:sz w:val="16"/>
      <w:szCs w:val="16"/>
    </w:rPr>
  </w:style>
  <w:style w:type="character" w:customStyle="1" w:styleId="BalloonTextChar">
    <w:name w:val="Balloon Text Char"/>
    <w:basedOn w:val="DefaultParagraphFont"/>
    <w:link w:val="BalloonText"/>
    <w:rsid w:val="0068364A"/>
    <w:rPr>
      <w:rFonts w:ascii="Tahoma" w:hAnsi="Tahoma" w:cs="Tahoma"/>
      <w:sz w:val="16"/>
      <w:szCs w:val="16"/>
    </w:rPr>
  </w:style>
  <w:style w:type="paragraph" w:customStyle="1" w:styleId="Default">
    <w:name w:val="Default"/>
    <w:rsid w:val="003639FF"/>
    <w:pPr>
      <w:autoSpaceDE w:val="0"/>
      <w:autoSpaceDN w:val="0"/>
      <w:adjustRightInd w:val="0"/>
    </w:pPr>
    <w:rPr>
      <w:rFonts w:ascii="Cambria" w:eastAsia="Calibri" w:hAnsi="Cambria" w:cs="Cambria"/>
      <w:color w:val="000000"/>
      <w:sz w:val="24"/>
      <w:szCs w:val="24"/>
      <w:lang w:eastAsia="en-US"/>
    </w:rPr>
  </w:style>
  <w:style w:type="paragraph" w:styleId="CommentText">
    <w:name w:val="annotation text"/>
    <w:basedOn w:val="Normal"/>
    <w:link w:val="CommentTextChar"/>
    <w:rsid w:val="0068364A"/>
  </w:style>
  <w:style w:type="character" w:customStyle="1" w:styleId="CommentTextChar">
    <w:name w:val="Comment Text Char"/>
    <w:basedOn w:val="DefaultParagraphFont"/>
    <w:link w:val="CommentText"/>
    <w:rsid w:val="0068364A"/>
    <w:rPr>
      <w:rFonts w:ascii="Book Antiqua" w:hAnsi="Book Antiqua"/>
    </w:rPr>
  </w:style>
  <w:style w:type="character" w:styleId="CommentReference">
    <w:name w:val="annotation reference"/>
    <w:basedOn w:val="DefaultParagraphFont"/>
    <w:rsid w:val="0068364A"/>
    <w:rPr>
      <w:sz w:val="16"/>
      <w:szCs w:val="16"/>
    </w:rPr>
  </w:style>
  <w:style w:type="paragraph" w:styleId="Revision">
    <w:name w:val="Revision"/>
    <w:hidden/>
    <w:uiPriority w:val="99"/>
    <w:semiHidden/>
    <w:rsid w:val="00D922DA"/>
    <w:rPr>
      <w:rFonts w:ascii="Book Antiqua" w:hAnsi="Book Antiqua"/>
      <w:szCs w:val="24"/>
      <w:lang w:eastAsia="en-US"/>
    </w:rPr>
  </w:style>
  <w:style w:type="paragraph" w:styleId="NormalWeb">
    <w:name w:val="Normal (Web)"/>
    <w:basedOn w:val="Normal"/>
    <w:uiPriority w:val="99"/>
    <w:rsid w:val="009E69EB"/>
    <w:rPr>
      <w:rFonts w:ascii="Times New Roman" w:hAnsi="Times New Roman"/>
      <w:sz w:val="24"/>
    </w:rPr>
  </w:style>
  <w:style w:type="paragraph" w:styleId="BodyText">
    <w:name w:val="Body Text"/>
    <w:basedOn w:val="Normal"/>
    <w:link w:val="BodyTextChar"/>
    <w:rsid w:val="002E3EE4"/>
    <w:pPr>
      <w:spacing w:before="160" w:after="200" w:line="240" w:lineRule="auto"/>
    </w:pPr>
    <w:rPr>
      <w:rFonts w:ascii="Tahoma" w:hAnsi="Tahoma"/>
      <w:sz w:val="22"/>
    </w:rPr>
  </w:style>
  <w:style w:type="character" w:customStyle="1" w:styleId="BodyTextChar">
    <w:name w:val="Body Text Char"/>
    <w:link w:val="BodyText"/>
    <w:rsid w:val="002E3EE4"/>
    <w:rPr>
      <w:rFonts w:ascii="Tahoma" w:hAnsi="Tahoma" w:cs="Arial"/>
      <w:sz w:val="22"/>
      <w:szCs w:val="24"/>
      <w:lang w:eastAsia="en-US"/>
    </w:rPr>
  </w:style>
  <w:style w:type="paragraph" w:customStyle="1" w:styleId="Heading1-Teal">
    <w:name w:val="Heading 1 - Teal"/>
    <w:basedOn w:val="Heading1"/>
    <w:rsid w:val="002E3EE4"/>
    <w:pPr>
      <w:spacing w:before="240" w:after="60"/>
      <w:jc w:val="left"/>
    </w:pPr>
    <w:rPr>
      <w:rFonts w:ascii="Tahoma" w:hAnsi="Tahoma"/>
      <w:smallCaps w:val="0"/>
      <w:color w:val="003C5B"/>
      <w:kern w:val="32"/>
      <w:sz w:val="22"/>
    </w:rPr>
  </w:style>
  <w:style w:type="paragraph" w:styleId="CommentSubject">
    <w:name w:val="annotation subject"/>
    <w:basedOn w:val="CommentText"/>
    <w:next w:val="CommentText"/>
    <w:link w:val="CommentSubjectChar"/>
    <w:rsid w:val="0068364A"/>
    <w:rPr>
      <w:b/>
      <w:bCs/>
    </w:rPr>
  </w:style>
  <w:style w:type="character" w:customStyle="1" w:styleId="CommentSubjectChar">
    <w:name w:val="Comment Subject Char"/>
    <w:basedOn w:val="CommentTextChar"/>
    <w:link w:val="CommentSubject"/>
    <w:rsid w:val="0068364A"/>
    <w:rPr>
      <w:rFonts w:ascii="Book Antiqua" w:hAnsi="Book Antiqua"/>
      <w:b/>
      <w:bCs/>
    </w:rPr>
  </w:style>
  <w:style w:type="table" w:styleId="TableGrid">
    <w:name w:val="Table Grid"/>
    <w:basedOn w:val="TableNormal"/>
    <w:rsid w:val="0068364A"/>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4437"/>
    <w:pPr>
      <w:spacing w:after="0" w:line="240" w:lineRule="auto"/>
      <w:ind w:left="720"/>
      <w:jc w:val="left"/>
    </w:pPr>
    <w:rPr>
      <w:rFonts w:ascii="Calibri" w:eastAsia="Calibri" w:hAnsi="Calibri"/>
      <w:sz w:val="22"/>
      <w:szCs w:val="22"/>
    </w:rPr>
  </w:style>
  <w:style w:type="paragraph" w:styleId="BodyText2">
    <w:name w:val="Body Text 2"/>
    <w:basedOn w:val="Normal"/>
    <w:link w:val="BodyText2Char"/>
    <w:rsid w:val="00D3524F"/>
    <w:pPr>
      <w:spacing w:after="120" w:line="480" w:lineRule="auto"/>
    </w:pPr>
  </w:style>
  <w:style w:type="character" w:customStyle="1" w:styleId="BodyText2Char">
    <w:name w:val="Body Text 2 Char"/>
    <w:link w:val="BodyText2"/>
    <w:rsid w:val="00D3524F"/>
    <w:rPr>
      <w:rFonts w:ascii="Book Antiqua" w:hAnsi="Book Antiqua"/>
      <w:szCs w:val="24"/>
      <w:lang w:eastAsia="en-US"/>
    </w:rPr>
  </w:style>
  <w:style w:type="character" w:styleId="Hyperlink">
    <w:name w:val="Hyperlink"/>
    <w:basedOn w:val="DefaultParagraphFont"/>
    <w:uiPriority w:val="99"/>
    <w:unhideWhenUsed/>
    <w:rsid w:val="0068364A"/>
    <w:rPr>
      <w:color w:val="0000FF"/>
      <w:u w:val="single"/>
    </w:rPr>
  </w:style>
  <w:style w:type="character" w:customStyle="1" w:styleId="Heading3Char">
    <w:name w:val="Heading 3 Char"/>
    <w:basedOn w:val="DefaultParagraphFont"/>
    <w:link w:val="Heading3"/>
    <w:rsid w:val="0068364A"/>
    <w:rPr>
      <w:rFonts w:ascii="Arial Bold" w:hAnsi="Arial Bold"/>
      <w:b/>
      <w:sz w:val="22"/>
    </w:rPr>
  </w:style>
  <w:style w:type="character" w:customStyle="1" w:styleId="Heading4Char">
    <w:name w:val="Heading 4 Char"/>
    <w:basedOn w:val="DefaultParagraphFont"/>
    <w:link w:val="Heading4"/>
    <w:rsid w:val="0068364A"/>
    <w:rPr>
      <w:rFonts w:ascii="Arial Bold" w:hAnsi="Arial Bold"/>
      <w:b/>
    </w:rPr>
  </w:style>
  <w:style w:type="paragraph" w:customStyle="1" w:styleId="TableColumnHeadingS118pt">
    <w:name w:val="Table Column Heading S11 8 pt"/>
    <w:basedOn w:val="TableColumnHeadingBase"/>
    <w:rsid w:val="0068364A"/>
    <w:pPr>
      <w:spacing w:after="0"/>
    </w:pPr>
    <w:rPr>
      <w:rFonts w:ascii="Arial" w:hAnsi="Arial"/>
    </w:rPr>
  </w:style>
  <w:style w:type="paragraph" w:styleId="Index8">
    <w:name w:val="index 8"/>
    <w:basedOn w:val="Normal"/>
    <w:next w:val="Normal"/>
    <w:autoRedefine/>
    <w:semiHidden/>
    <w:rsid w:val="0068364A"/>
    <w:pPr>
      <w:ind w:left="1600" w:hanging="200"/>
    </w:pPr>
  </w:style>
  <w:style w:type="paragraph" w:customStyle="1" w:styleId="Description">
    <w:name w:val="Description"/>
    <w:basedOn w:val="Normal"/>
    <w:link w:val="DescriptionChar"/>
    <w:qFormat/>
    <w:rsid w:val="000E4CB1"/>
    <w:pPr>
      <w:suppressAutoHyphens/>
      <w:spacing w:before="80" w:after="80" w:line="276" w:lineRule="auto"/>
      <w:jc w:val="left"/>
    </w:pPr>
    <w:rPr>
      <w:rFonts w:ascii="Arial" w:eastAsiaTheme="minorHAnsi" w:hAnsi="Arial" w:cstheme="minorBidi"/>
      <w:szCs w:val="22"/>
    </w:rPr>
  </w:style>
  <w:style w:type="character" w:customStyle="1" w:styleId="DescriptionChar">
    <w:name w:val="Description Char"/>
    <w:basedOn w:val="DefaultParagraphFont"/>
    <w:link w:val="Description"/>
    <w:rsid w:val="000E4CB1"/>
    <w:rPr>
      <w:rFonts w:ascii="Arial" w:eastAsiaTheme="minorHAnsi" w:hAnsi="Arial" w:cstheme="minorBidi"/>
      <w:szCs w:val="22"/>
      <w:lang w:eastAsia="en-US"/>
    </w:rPr>
  </w:style>
  <w:style w:type="character" w:customStyle="1" w:styleId="Heading8Char">
    <w:name w:val="Heading 8 Char"/>
    <w:basedOn w:val="DefaultParagraphFont"/>
    <w:link w:val="Heading8"/>
    <w:rsid w:val="0068364A"/>
    <w:rPr>
      <w:i/>
      <w:iCs/>
      <w:sz w:val="16"/>
      <w:szCs w:val="24"/>
    </w:rPr>
  </w:style>
  <w:style w:type="character" w:customStyle="1" w:styleId="HeaderChar">
    <w:name w:val="Header Char"/>
    <w:basedOn w:val="DefaultParagraphFont"/>
    <w:link w:val="Header"/>
    <w:rsid w:val="0068364A"/>
    <w:rPr>
      <w:rFonts w:ascii="Book Antiqua" w:hAnsi="Book Antiqua"/>
      <w:i/>
    </w:rPr>
  </w:style>
  <w:style w:type="paragraph" w:customStyle="1" w:styleId="SecurityClassificationHeader">
    <w:name w:val="Security Classification Header"/>
    <w:link w:val="SecurityClassificationHeaderChar"/>
    <w:rsid w:val="0068364A"/>
    <w:pPr>
      <w:spacing w:before="240" w:after="60" w:line="259" w:lineRule="auto"/>
      <w:jc w:val="center"/>
    </w:pPr>
    <w:rPr>
      <w:rFonts w:ascii="Calibri" w:eastAsiaTheme="minorHAnsi" w:hAnsi="Calibri" w:cs="Calibri"/>
      <w:b/>
      <w:caps/>
      <w:sz w:val="24"/>
      <w:szCs w:val="22"/>
      <w:lang w:eastAsia="en-US"/>
    </w:rPr>
  </w:style>
  <w:style w:type="character" w:customStyle="1" w:styleId="SecurityClassificationHeaderChar">
    <w:name w:val="Security Classification Header Char"/>
    <w:basedOn w:val="HeaderChar"/>
    <w:link w:val="SecurityClassificationHeader"/>
    <w:rsid w:val="0068364A"/>
    <w:rPr>
      <w:rFonts w:ascii="Calibri" w:eastAsiaTheme="minorHAnsi" w:hAnsi="Calibri" w:cs="Calibri"/>
      <w:b/>
      <w:i w:val="0"/>
      <w:caps/>
      <w:sz w:val="24"/>
      <w:szCs w:val="22"/>
      <w:lang w:eastAsia="en-US"/>
    </w:rPr>
  </w:style>
  <w:style w:type="paragraph" w:customStyle="1" w:styleId="SecurityClassificationFooter">
    <w:name w:val="Security Classification Footer"/>
    <w:link w:val="SecurityClassificationFooterChar"/>
    <w:rsid w:val="0068364A"/>
    <w:pPr>
      <w:spacing w:before="60" w:after="240" w:line="259" w:lineRule="auto"/>
      <w:jc w:val="center"/>
    </w:pPr>
    <w:rPr>
      <w:rFonts w:ascii="Calibri" w:eastAsiaTheme="minorHAnsi" w:hAnsi="Calibri" w:cs="Calibri"/>
      <w:b/>
      <w:caps/>
      <w:sz w:val="24"/>
      <w:szCs w:val="22"/>
      <w:lang w:eastAsia="en-US"/>
    </w:rPr>
  </w:style>
  <w:style w:type="character" w:customStyle="1" w:styleId="SecurityClassificationFooterChar">
    <w:name w:val="Security Classification Footer Char"/>
    <w:basedOn w:val="HeaderChar"/>
    <w:link w:val="SecurityClassificationFooter"/>
    <w:rsid w:val="0068364A"/>
    <w:rPr>
      <w:rFonts w:ascii="Calibri" w:eastAsiaTheme="minorHAnsi" w:hAnsi="Calibri" w:cs="Calibri"/>
      <w:b/>
      <w:i w:val="0"/>
      <w:caps/>
      <w:sz w:val="24"/>
      <w:szCs w:val="22"/>
      <w:lang w:eastAsia="en-US"/>
    </w:rPr>
  </w:style>
  <w:style w:type="paragraph" w:customStyle="1" w:styleId="DLMSecurityHeader">
    <w:name w:val="DLM Security Header"/>
    <w:link w:val="DLMSecurityHeaderChar"/>
    <w:rsid w:val="0068364A"/>
    <w:pPr>
      <w:spacing w:before="60" w:after="240" w:line="259" w:lineRule="auto"/>
      <w:jc w:val="center"/>
    </w:pPr>
    <w:rPr>
      <w:rFonts w:ascii="Calibri" w:eastAsiaTheme="minorHAnsi" w:hAnsi="Calibri" w:cs="Calibri"/>
      <w:b/>
      <w:caps/>
      <w:sz w:val="24"/>
      <w:szCs w:val="22"/>
      <w:lang w:eastAsia="en-US"/>
    </w:rPr>
  </w:style>
  <w:style w:type="character" w:customStyle="1" w:styleId="DLMSecurityHeaderChar">
    <w:name w:val="DLM Security Header Char"/>
    <w:basedOn w:val="HeaderChar"/>
    <w:link w:val="DLMSecurityHeader"/>
    <w:rsid w:val="0068364A"/>
    <w:rPr>
      <w:rFonts w:ascii="Calibri" w:eastAsiaTheme="minorHAnsi" w:hAnsi="Calibri" w:cs="Calibri"/>
      <w:b/>
      <w:i w:val="0"/>
      <w:caps/>
      <w:sz w:val="24"/>
      <w:szCs w:val="22"/>
      <w:lang w:eastAsia="en-US"/>
    </w:rPr>
  </w:style>
  <w:style w:type="paragraph" w:customStyle="1" w:styleId="DLMSecurityFooter">
    <w:name w:val="DLM Security Footer"/>
    <w:link w:val="DLMSecurityFooterChar"/>
    <w:rsid w:val="0068364A"/>
    <w:pPr>
      <w:spacing w:before="240" w:after="60" w:line="259" w:lineRule="auto"/>
      <w:jc w:val="center"/>
    </w:pPr>
    <w:rPr>
      <w:rFonts w:ascii="Calibri" w:eastAsiaTheme="minorHAnsi" w:hAnsi="Calibri" w:cs="Calibri"/>
      <w:b/>
      <w:caps/>
      <w:sz w:val="24"/>
      <w:szCs w:val="22"/>
      <w:lang w:eastAsia="en-US"/>
    </w:rPr>
  </w:style>
  <w:style w:type="character" w:customStyle="1" w:styleId="DLMSecurityFooterChar">
    <w:name w:val="DLM Security Footer Char"/>
    <w:basedOn w:val="HeaderChar"/>
    <w:link w:val="DLMSecurityFooter"/>
    <w:rsid w:val="0068364A"/>
    <w:rPr>
      <w:rFonts w:ascii="Calibri" w:eastAsiaTheme="minorHAnsi" w:hAnsi="Calibri" w:cs="Calibri"/>
      <w:b/>
      <w:i w:val="0"/>
      <w:caps/>
      <w:sz w:val="24"/>
      <w:szCs w:val="22"/>
      <w:lang w:eastAsia="en-US"/>
    </w:rPr>
  </w:style>
  <w:style w:type="character" w:customStyle="1" w:styleId="Heading6Char">
    <w:name w:val="Heading 6 Char"/>
    <w:basedOn w:val="DefaultParagraphFont"/>
    <w:link w:val="Heading6"/>
    <w:rsid w:val="0068364A"/>
    <w:rPr>
      <w:rFonts w:ascii="Arial" w:hAnsi="Arial"/>
      <w:bCs/>
      <w:szCs w:val="22"/>
    </w:rPr>
  </w:style>
  <w:style w:type="paragraph" w:customStyle="1" w:styleId="BoxSubHeading">
    <w:name w:val="Box Sub Heading"/>
    <w:basedOn w:val="Heading6"/>
    <w:rsid w:val="0068364A"/>
    <w:pPr>
      <w:spacing w:before="120" w:after="40"/>
    </w:pPr>
  </w:style>
  <w:style w:type="paragraph" w:styleId="Caption">
    <w:name w:val="caption"/>
    <w:basedOn w:val="Normal"/>
    <w:next w:val="Normal"/>
    <w:rsid w:val="0068364A"/>
    <w:rPr>
      <w:b/>
      <w:bCs/>
    </w:rPr>
  </w:style>
  <w:style w:type="paragraph" w:customStyle="1" w:styleId="ChartMainHeading">
    <w:name w:val="Chart Main Heading"/>
    <w:basedOn w:val="Normal"/>
    <w:next w:val="ChartGraphic"/>
    <w:rsid w:val="0068364A"/>
    <w:pPr>
      <w:keepNext/>
      <w:spacing w:before="120" w:after="20" w:line="240" w:lineRule="auto"/>
      <w:jc w:val="center"/>
    </w:pPr>
    <w:rPr>
      <w:rFonts w:ascii="Arial Bold" w:hAnsi="Arial Bold"/>
      <w:b/>
    </w:rPr>
  </w:style>
  <w:style w:type="paragraph" w:customStyle="1" w:styleId="ContentsnoToC">
    <w:name w:val="Contents no ToC"/>
    <w:basedOn w:val="ContentsHeading"/>
    <w:rsid w:val="0068364A"/>
  </w:style>
  <w:style w:type="paragraph" w:styleId="DocumentMap">
    <w:name w:val="Document Map"/>
    <w:basedOn w:val="Normal"/>
    <w:link w:val="DocumentMapChar"/>
    <w:semiHidden/>
    <w:rsid w:val="0068364A"/>
    <w:pPr>
      <w:shd w:val="clear" w:color="auto" w:fill="000080"/>
    </w:pPr>
    <w:rPr>
      <w:rFonts w:ascii="Tahoma" w:hAnsi="Tahoma" w:cs="Tahoma"/>
    </w:rPr>
  </w:style>
  <w:style w:type="character" w:customStyle="1" w:styleId="DocumentMapChar">
    <w:name w:val="Document Map Char"/>
    <w:basedOn w:val="DefaultParagraphFont"/>
    <w:link w:val="DocumentMap"/>
    <w:semiHidden/>
    <w:rsid w:val="0068364A"/>
    <w:rPr>
      <w:rFonts w:ascii="Tahoma" w:hAnsi="Tahoma" w:cs="Tahoma"/>
      <w:shd w:val="clear" w:color="auto" w:fill="000080"/>
    </w:rPr>
  </w:style>
  <w:style w:type="character" w:styleId="EndnoteReference">
    <w:name w:val="endnote reference"/>
    <w:basedOn w:val="DefaultParagraphFont"/>
    <w:unhideWhenUsed/>
    <w:rsid w:val="0068364A"/>
    <w:rPr>
      <w:vertAlign w:val="superscript"/>
    </w:rPr>
  </w:style>
  <w:style w:type="paragraph" w:styleId="EndnoteText">
    <w:name w:val="endnote text"/>
    <w:basedOn w:val="Normal"/>
    <w:link w:val="EndnoteTextChar"/>
    <w:unhideWhenUsed/>
    <w:rsid w:val="0068364A"/>
  </w:style>
  <w:style w:type="character" w:customStyle="1" w:styleId="EndnoteTextChar">
    <w:name w:val="Endnote Text Char"/>
    <w:basedOn w:val="DefaultParagraphFont"/>
    <w:link w:val="EndnoteText"/>
    <w:rsid w:val="0068364A"/>
    <w:rPr>
      <w:rFonts w:ascii="Book Antiqua" w:hAnsi="Book Antiqua"/>
    </w:rPr>
  </w:style>
  <w:style w:type="paragraph" w:customStyle="1" w:styleId="FooterEven">
    <w:name w:val="Footer Even"/>
    <w:basedOn w:val="Footer"/>
    <w:rsid w:val="0068364A"/>
    <w:pPr>
      <w:jc w:val="left"/>
    </w:pPr>
    <w:rPr>
      <w:sz w:val="18"/>
    </w:rPr>
  </w:style>
  <w:style w:type="paragraph" w:customStyle="1" w:styleId="FooterOdd">
    <w:name w:val="Footer Odd"/>
    <w:basedOn w:val="Footer"/>
    <w:rsid w:val="0068364A"/>
    <w:pPr>
      <w:jc w:val="right"/>
    </w:pPr>
    <w:rPr>
      <w:sz w:val="18"/>
    </w:rPr>
  </w:style>
  <w:style w:type="character" w:customStyle="1" w:styleId="FootnoteTextChar">
    <w:name w:val="Footnote Text Char"/>
    <w:basedOn w:val="DefaultParagraphFont"/>
    <w:link w:val="FootnoteText"/>
    <w:rsid w:val="0068364A"/>
    <w:rPr>
      <w:rFonts w:ascii="Book Antiqua" w:hAnsi="Book Antiqua"/>
      <w:sz w:val="18"/>
    </w:rPr>
  </w:style>
  <w:style w:type="character" w:customStyle="1" w:styleId="Heading1Char">
    <w:name w:val="Heading 1 Char"/>
    <w:basedOn w:val="DefaultParagraphFont"/>
    <w:link w:val="Heading1"/>
    <w:rsid w:val="0068364A"/>
    <w:rPr>
      <w:rFonts w:ascii="Arial" w:hAnsi="Arial"/>
      <w:b/>
      <w:smallCaps/>
      <w:kern w:val="34"/>
      <w:sz w:val="34"/>
    </w:rPr>
  </w:style>
  <w:style w:type="character" w:customStyle="1" w:styleId="Heading2Char">
    <w:name w:val="Heading 2 Char"/>
    <w:basedOn w:val="DefaultParagraphFont"/>
    <w:link w:val="Heading2"/>
    <w:rsid w:val="0068364A"/>
    <w:rPr>
      <w:rFonts w:ascii="Arial Bold" w:hAnsi="Arial Bold"/>
      <w:b/>
      <w:smallCaps/>
      <w:sz w:val="26"/>
    </w:rPr>
  </w:style>
  <w:style w:type="character" w:customStyle="1" w:styleId="Heading5Char">
    <w:name w:val="Heading 5 Char"/>
    <w:basedOn w:val="DefaultParagraphFont"/>
    <w:link w:val="Heading5"/>
    <w:rsid w:val="0068364A"/>
    <w:rPr>
      <w:rFonts w:ascii="Arial" w:hAnsi="Arial"/>
      <w:b/>
      <w:bCs/>
      <w:iCs/>
      <w:szCs w:val="26"/>
    </w:rPr>
  </w:style>
  <w:style w:type="character" w:customStyle="1" w:styleId="Heading7Char">
    <w:name w:val="Heading 7 Char"/>
    <w:basedOn w:val="DefaultParagraphFont"/>
    <w:link w:val="Heading7"/>
    <w:rsid w:val="0068364A"/>
    <w:rPr>
      <w:rFonts w:ascii="Arial" w:hAnsi="Arial"/>
      <w:szCs w:val="24"/>
    </w:rPr>
  </w:style>
  <w:style w:type="character" w:customStyle="1" w:styleId="HiddenSequenceCode">
    <w:name w:val="Hidden Sequence Code"/>
    <w:basedOn w:val="DefaultParagraphFont"/>
    <w:rsid w:val="0068364A"/>
    <w:rPr>
      <w:rFonts w:ascii="Times New Roman" w:hAnsi="Times New Roman"/>
      <w:vanish/>
      <w:sz w:val="16"/>
    </w:rPr>
  </w:style>
  <w:style w:type="paragraph" w:styleId="Index4">
    <w:name w:val="index 4"/>
    <w:basedOn w:val="Normal"/>
    <w:next w:val="Normal"/>
    <w:autoRedefine/>
    <w:semiHidden/>
    <w:rsid w:val="0068364A"/>
    <w:pPr>
      <w:ind w:left="800" w:hanging="200"/>
    </w:pPr>
  </w:style>
  <w:style w:type="paragraph" w:styleId="Index5">
    <w:name w:val="index 5"/>
    <w:basedOn w:val="Normal"/>
    <w:next w:val="Normal"/>
    <w:autoRedefine/>
    <w:semiHidden/>
    <w:rsid w:val="0068364A"/>
    <w:pPr>
      <w:ind w:left="1000" w:hanging="200"/>
    </w:pPr>
  </w:style>
  <w:style w:type="paragraph" w:styleId="Index6">
    <w:name w:val="index 6"/>
    <w:basedOn w:val="Normal"/>
    <w:next w:val="Normal"/>
    <w:autoRedefine/>
    <w:semiHidden/>
    <w:rsid w:val="0068364A"/>
    <w:pPr>
      <w:ind w:left="1200" w:hanging="200"/>
    </w:pPr>
  </w:style>
  <w:style w:type="paragraph" w:styleId="Index7">
    <w:name w:val="index 7"/>
    <w:basedOn w:val="Normal"/>
    <w:next w:val="Normal"/>
    <w:autoRedefine/>
    <w:semiHidden/>
    <w:rsid w:val="0068364A"/>
    <w:pPr>
      <w:ind w:left="1400" w:hanging="200"/>
    </w:pPr>
  </w:style>
  <w:style w:type="paragraph" w:styleId="Index9">
    <w:name w:val="index 9"/>
    <w:basedOn w:val="Normal"/>
    <w:next w:val="Normal"/>
    <w:autoRedefine/>
    <w:semiHidden/>
    <w:rsid w:val="0068364A"/>
    <w:pPr>
      <w:ind w:left="1800" w:hanging="200"/>
    </w:pPr>
  </w:style>
  <w:style w:type="paragraph" w:styleId="MacroText">
    <w:name w:val="macro"/>
    <w:link w:val="MacroTextChar"/>
    <w:unhideWhenUsed/>
    <w:rsid w:val="0068364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character" w:customStyle="1" w:styleId="MacroTextChar">
    <w:name w:val="Macro Text Char"/>
    <w:basedOn w:val="DefaultParagraphFont"/>
    <w:link w:val="MacroText"/>
    <w:rsid w:val="0068364A"/>
    <w:rPr>
      <w:rFonts w:ascii="Courier New" w:hAnsi="Courier New" w:cs="Courier New"/>
    </w:rPr>
  </w:style>
  <w:style w:type="paragraph" w:styleId="NormalIndent">
    <w:name w:val="Normal Indent"/>
    <w:basedOn w:val="Normal"/>
    <w:rsid w:val="0068364A"/>
    <w:pPr>
      <w:ind w:left="567"/>
    </w:pPr>
  </w:style>
  <w:style w:type="paragraph" w:customStyle="1" w:styleId="SourceBox">
    <w:name w:val="Source Box"/>
    <w:basedOn w:val="Source"/>
    <w:rsid w:val="0068364A"/>
    <w:pPr>
      <w:spacing w:after="120"/>
    </w:pPr>
  </w:style>
  <w:style w:type="paragraph" w:customStyle="1" w:styleId="TableColumnHeadingBase">
    <w:name w:val="Table Column Heading Base"/>
    <w:basedOn w:val="Normal"/>
    <w:rsid w:val="0068364A"/>
    <w:pPr>
      <w:spacing w:before="40" w:after="40" w:line="240" w:lineRule="auto"/>
      <w:jc w:val="left"/>
    </w:pPr>
    <w:rPr>
      <w:rFonts w:ascii="Arial Bold" w:hAnsi="Arial Bold"/>
      <w:b/>
      <w:sz w:val="16"/>
    </w:rPr>
  </w:style>
  <w:style w:type="paragraph" w:customStyle="1" w:styleId="TableColumnHeadingS119pt">
    <w:name w:val="Table Column Heading S11 9 pt"/>
    <w:basedOn w:val="TableColumnHeadingBase"/>
    <w:rsid w:val="0068364A"/>
    <w:pPr>
      <w:spacing w:before="60" w:after="60"/>
    </w:pPr>
    <w:rPr>
      <w:rFonts w:ascii="Arial" w:hAnsi="Arial"/>
      <w:sz w:val="18"/>
    </w:rPr>
  </w:style>
  <w:style w:type="paragraph" w:styleId="TableofAuthorities">
    <w:name w:val="table of authorities"/>
    <w:basedOn w:val="Normal"/>
    <w:next w:val="Normal"/>
    <w:rsid w:val="0068364A"/>
    <w:pPr>
      <w:ind w:left="200" w:hanging="200"/>
    </w:pPr>
  </w:style>
  <w:style w:type="paragraph" w:styleId="TableofFigures">
    <w:name w:val="table of figures"/>
    <w:basedOn w:val="Normal"/>
    <w:next w:val="Normal"/>
    <w:rsid w:val="0068364A"/>
  </w:style>
  <w:style w:type="paragraph" w:customStyle="1" w:styleId="TableTextBase">
    <w:name w:val="Table Text Base"/>
    <w:basedOn w:val="Normal"/>
    <w:rsid w:val="0068364A"/>
    <w:pPr>
      <w:spacing w:before="20" w:after="20" w:line="240" w:lineRule="auto"/>
      <w:jc w:val="left"/>
    </w:pPr>
    <w:rPr>
      <w:rFonts w:ascii="Arial" w:hAnsi="Arial"/>
      <w:sz w:val="16"/>
    </w:rPr>
  </w:style>
  <w:style w:type="paragraph" w:styleId="TOAHeading">
    <w:name w:val="toa heading"/>
    <w:basedOn w:val="Normal"/>
    <w:next w:val="Normal"/>
    <w:rsid w:val="0068364A"/>
    <w:pPr>
      <w:spacing w:before="120"/>
    </w:pPr>
    <w:rPr>
      <w:rFonts w:ascii="Arial" w:hAnsi="Arial" w:cs="Arial"/>
      <w:b/>
      <w:bCs/>
      <w:sz w:val="24"/>
      <w:szCs w:val="24"/>
    </w:rPr>
  </w:style>
  <w:style w:type="paragraph" w:styleId="TOC9">
    <w:name w:val="toc 9"/>
    <w:basedOn w:val="Normal"/>
    <w:next w:val="Normal"/>
    <w:autoRedefine/>
    <w:uiPriority w:val="2"/>
    <w:semiHidden/>
    <w:rsid w:val="0068364A"/>
    <w:pPr>
      <w:ind w:left="1600"/>
    </w:pPr>
  </w:style>
  <w:style w:type="paragraph" w:customStyle="1" w:styleId="TPHeading1">
    <w:name w:val="TP Heading 1"/>
    <w:basedOn w:val="HeadingBase"/>
    <w:semiHidden/>
    <w:rsid w:val="0068364A"/>
    <w:pPr>
      <w:spacing w:before="60" w:after="60"/>
      <w:ind w:left="1134"/>
    </w:pPr>
    <w:rPr>
      <w:rFonts w:ascii="Arial Bold" w:hAnsi="Arial Bold"/>
      <w:b/>
      <w:caps/>
      <w:spacing w:val="-10"/>
      <w:sz w:val="28"/>
    </w:rPr>
  </w:style>
  <w:style w:type="paragraph" w:customStyle="1" w:styleId="TPHeading2">
    <w:name w:val="TP Heading 2"/>
    <w:basedOn w:val="HeadingBase"/>
    <w:semiHidden/>
    <w:rsid w:val="0068364A"/>
    <w:pPr>
      <w:ind w:left="1134"/>
    </w:pPr>
    <w:rPr>
      <w:caps/>
      <w:spacing w:val="-10"/>
      <w:sz w:val="28"/>
    </w:rPr>
  </w:style>
  <w:style w:type="paragraph" w:customStyle="1" w:styleId="TPHeading3">
    <w:name w:val="TP Heading 3"/>
    <w:basedOn w:val="HeadingBase"/>
    <w:semiHidden/>
    <w:rsid w:val="0068364A"/>
    <w:pPr>
      <w:ind w:left="1134"/>
    </w:pPr>
    <w:rPr>
      <w:caps/>
      <w:spacing w:val="-10"/>
    </w:rPr>
  </w:style>
  <w:style w:type="paragraph" w:customStyle="1" w:styleId="TPHeading3bold">
    <w:name w:val="TP Heading 3 bold"/>
    <w:basedOn w:val="TPHeading3"/>
    <w:semiHidden/>
    <w:rsid w:val="0068364A"/>
    <w:rPr>
      <w:rFonts w:cs="Arial"/>
      <w:b/>
      <w:sz w:val="22"/>
      <w:szCs w:val="22"/>
    </w:rPr>
  </w:style>
  <w:style w:type="paragraph" w:customStyle="1" w:styleId="TPHEADING3boldspace">
    <w:name w:val="TP HEADING 3 bold space"/>
    <w:basedOn w:val="TPHeading3bold"/>
    <w:semiHidden/>
    <w:rsid w:val="0068364A"/>
    <w:pPr>
      <w:spacing w:after="120"/>
    </w:pPr>
  </w:style>
  <w:style w:type="paragraph" w:customStyle="1" w:styleId="TPHEADING3space">
    <w:name w:val="TP HEADING 3 space"/>
    <w:basedOn w:val="TPHeading3"/>
    <w:semiHidden/>
    <w:rsid w:val="0068364A"/>
    <w:pPr>
      <w:spacing w:before="120" w:after="120"/>
    </w:pPr>
    <w:rPr>
      <w:rFonts w:cs="Arial"/>
      <w:sz w:val="22"/>
      <w:szCs w:val="22"/>
    </w:rPr>
  </w:style>
  <w:style w:type="paragraph" w:customStyle="1" w:styleId="TPHeading4">
    <w:name w:val="TP Heading 4"/>
    <w:basedOn w:val="TPHeading3"/>
    <w:semiHidden/>
    <w:rsid w:val="0068364A"/>
    <w:rPr>
      <w:sz w:val="20"/>
    </w:rPr>
  </w:style>
  <w:style w:type="paragraph" w:customStyle="1" w:styleId="TPHEADING4space">
    <w:name w:val="TP HEADING 4 space"/>
    <w:basedOn w:val="TPHEADING3space"/>
    <w:semiHidden/>
    <w:rsid w:val="006836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64A"/>
    <w:pPr>
      <w:spacing w:after="240" w:line="260" w:lineRule="exact"/>
      <w:jc w:val="both"/>
    </w:pPr>
    <w:rPr>
      <w:rFonts w:ascii="Book Antiqua" w:hAnsi="Book Antiqua"/>
    </w:rPr>
  </w:style>
  <w:style w:type="paragraph" w:styleId="Heading1">
    <w:name w:val="heading 1"/>
    <w:basedOn w:val="HeadingBase"/>
    <w:next w:val="Normal"/>
    <w:link w:val="Heading1Char"/>
    <w:qFormat/>
    <w:rsid w:val="0068364A"/>
    <w:pPr>
      <w:spacing w:after="240"/>
      <w:jc w:val="center"/>
      <w:outlineLvl w:val="0"/>
    </w:pPr>
    <w:rPr>
      <w:b/>
      <w:smallCaps/>
      <w:kern w:val="34"/>
      <w:sz w:val="34"/>
    </w:rPr>
  </w:style>
  <w:style w:type="paragraph" w:styleId="Heading2">
    <w:name w:val="heading 2"/>
    <w:basedOn w:val="HeadingBase"/>
    <w:next w:val="Normal"/>
    <w:link w:val="Heading2Char"/>
    <w:qFormat/>
    <w:rsid w:val="0068364A"/>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68364A"/>
    <w:pPr>
      <w:spacing w:before="120" w:after="120"/>
      <w:outlineLvl w:val="2"/>
    </w:pPr>
    <w:rPr>
      <w:rFonts w:ascii="Arial Bold" w:hAnsi="Arial Bold"/>
      <w:b/>
      <w:sz w:val="22"/>
    </w:rPr>
  </w:style>
  <w:style w:type="paragraph" w:styleId="Heading4">
    <w:name w:val="heading 4"/>
    <w:basedOn w:val="HeadingBase"/>
    <w:next w:val="Normal"/>
    <w:link w:val="Heading4Char"/>
    <w:qFormat/>
    <w:rsid w:val="0068364A"/>
    <w:pPr>
      <w:spacing w:after="120"/>
      <w:outlineLvl w:val="3"/>
    </w:pPr>
    <w:rPr>
      <w:rFonts w:ascii="Arial Bold" w:hAnsi="Arial Bold"/>
      <w:b/>
      <w:sz w:val="20"/>
    </w:rPr>
  </w:style>
  <w:style w:type="paragraph" w:styleId="Heading5">
    <w:name w:val="heading 5"/>
    <w:basedOn w:val="HeadingBase"/>
    <w:next w:val="Normal"/>
    <w:link w:val="Heading5Char"/>
    <w:qFormat/>
    <w:rsid w:val="0068364A"/>
    <w:pPr>
      <w:spacing w:after="120"/>
      <w:outlineLvl w:val="4"/>
    </w:pPr>
    <w:rPr>
      <w:b/>
      <w:bCs/>
      <w:iCs/>
      <w:sz w:val="20"/>
      <w:szCs w:val="26"/>
    </w:rPr>
  </w:style>
  <w:style w:type="paragraph" w:styleId="Heading6">
    <w:name w:val="heading 6"/>
    <w:basedOn w:val="HeadingBase"/>
    <w:next w:val="Normal"/>
    <w:link w:val="Heading6Char"/>
    <w:rsid w:val="0068364A"/>
    <w:pPr>
      <w:spacing w:after="120"/>
      <w:outlineLvl w:val="5"/>
    </w:pPr>
    <w:rPr>
      <w:bCs/>
      <w:sz w:val="20"/>
      <w:szCs w:val="22"/>
    </w:rPr>
  </w:style>
  <w:style w:type="paragraph" w:styleId="Heading7">
    <w:name w:val="heading 7"/>
    <w:basedOn w:val="HeadingBase"/>
    <w:next w:val="Normal"/>
    <w:link w:val="Heading7Char"/>
    <w:rsid w:val="0068364A"/>
    <w:pPr>
      <w:spacing w:before="120"/>
      <w:outlineLvl w:val="6"/>
    </w:pPr>
    <w:rPr>
      <w:sz w:val="20"/>
      <w:szCs w:val="24"/>
    </w:rPr>
  </w:style>
  <w:style w:type="paragraph" w:styleId="Heading8">
    <w:name w:val="heading 8"/>
    <w:basedOn w:val="HeadingBase"/>
    <w:next w:val="Normal"/>
    <w:link w:val="Heading8Char"/>
    <w:rsid w:val="0068364A"/>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Heading">
    <w:name w:val="Box Heading"/>
    <w:basedOn w:val="HeadingBase"/>
    <w:next w:val="BoxText"/>
    <w:rsid w:val="0068364A"/>
    <w:pPr>
      <w:spacing w:before="120" w:after="120"/>
    </w:pPr>
    <w:rPr>
      <w:b/>
      <w:sz w:val="20"/>
    </w:rPr>
  </w:style>
  <w:style w:type="paragraph" w:customStyle="1" w:styleId="Bullet">
    <w:name w:val="Bullet"/>
    <w:basedOn w:val="Normal"/>
    <w:qFormat/>
    <w:rsid w:val="0068364A"/>
    <w:pPr>
      <w:numPr>
        <w:numId w:val="10"/>
      </w:numPr>
    </w:pPr>
  </w:style>
  <w:style w:type="paragraph" w:customStyle="1" w:styleId="ChartandTableFootnote">
    <w:name w:val="Chart and Table Footnote"/>
    <w:basedOn w:val="HeadingBase"/>
    <w:next w:val="Normal"/>
    <w:rsid w:val="0068364A"/>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68364A"/>
    <w:pPr>
      <w:keepNext w:val="0"/>
      <w:numPr>
        <w:numId w:val="24"/>
      </w:numPr>
      <w:jc w:val="both"/>
    </w:pPr>
    <w:rPr>
      <w:color w:val="000000"/>
      <w:sz w:val="16"/>
    </w:rPr>
  </w:style>
  <w:style w:type="paragraph" w:customStyle="1" w:styleId="ChartGraphic">
    <w:name w:val="Chart Graphic"/>
    <w:basedOn w:val="HeadingBase"/>
    <w:rsid w:val="0068364A"/>
    <w:pPr>
      <w:jc w:val="center"/>
    </w:pPr>
    <w:rPr>
      <w:sz w:val="20"/>
    </w:rPr>
  </w:style>
  <w:style w:type="paragraph" w:customStyle="1" w:styleId="ChartHeading">
    <w:name w:val="Chart Heading"/>
    <w:basedOn w:val="HeadingBase"/>
    <w:next w:val="ChartGraphic"/>
    <w:qFormat/>
    <w:rsid w:val="0068364A"/>
    <w:pPr>
      <w:spacing w:before="120" w:after="20"/>
      <w:jc w:val="center"/>
    </w:pPr>
    <w:rPr>
      <w:b/>
      <w:sz w:val="20"/>
    </w:rPr>
  </w:style>
  <w:style w:type="paragraph" w:customStyle="1" w:styleId="ChartSecondHeading">
    <w:name w:val="Chart Second Heading"/>
    <w:basedOn w:val="HeadingBase"/>
    <w:next w:val="ChartGraphic"/>
    <w:rsid w:val="0068364A"/>
    <w:pPr>
      <w:spacing w:before="60"/>
      <w:jc w:val="center"/>
    </w:pPr>
    <w:rPr>
      <w:sz w:val="20"/>
    </w:rPr>
  </w:style>
  <w:style w:type="paragraph" w:customStyle="1" w:styleId="Classification">
    <w:name w:val="Classification"/>
    <w:basedOn w:val="HeadingBase"/>
    <w:rsid w:val="0068364A"/>
    <w:pPr>
      <w:jc w:val="center"/>
    </w:pPr>
    <w:rPr>
      <w:b/>
      <w:smallCaps/>
    </w:rPr>
  </w:style>
  <w:style w:type="paragraph" w:customStyle="1" w:styleId="ContentsHeading">
    <w:name w:val="Contents Heading"/>
    <w:basedOn w:val="HeadingBase"/>
    <w:next w:val="Normal"/>
    <w:rsid w:val="0068364A"/>
    <w:pPr>
      <w:spacing w:after="720"/>
      <w:jc w:val="center"/>
    </w:pPr>
    <w:rPr>
      <w:b/>
      <w:smallCaps/>
      <w:sz w:val="34"/>
    </w:rPr>
  </w:style>
  <w:style w:type="paragraph" w:customStyle="1" w:styleId="ContentsSecondHeading">
    <w:name w:val="Contents Second Heading"/>
    <w:basedOn w:val="HeadingBase"/>
    <w:next w:val="Normal"/>
    <w:rsid w:val="003E36D9"/>
    <w:pPr>
      <w:spacing w:after="360"/>
      <w:jc w:val="center"/>
    </w:pPr>
    <w:rPr>
      <w:color w:val="000000"/>
      <w:sz w:val="30"/>
    </w:rPr>
  </w:style>
  <w:style w:type="paragraph" w:customStyle="1" w:styleId="Dash">
    <w:name w:val="Dash"/>
    <w:basedOn w:val="Normal"/>
    <w:qFormat/>
    <w:rsid w:val="0068364A"/>
    <w:pPr>
      <w:numPr>
        <w:ilvl w:val="1"/>
        <w:numId w:val="10"/>
      </w:numPr>
      <w:tabs>
        <w:tab w:val="left" w:pos="567"/>
      </w:tabs>
    </w:pPr>
  </w:style>
  <w:style w:type="paragraph" w:customStyle="1" w:styleId="DoubleDot">
    <w:name w:val="Double Dot"/>
    <w:basedOn w:val="Normal"/>
    <w:rsid w:val="0068364A"/>
    <w:pPr>
      <w:numPr>
        <w:ilvl w:val="2"/>
        <w:numId w:val="10"/>
      </w:numPr>
      <w:tabs>
        <w:tab w:val="clear" w:pos="850"/>
        <w:tab w:val="num" w:pos="360"/>
        <w:tab w:val="left" w:pos="851"/>
      </w:tabs>
    </w:pPr>
  </w:style>
  <w:style w:type="paragraph" w:customStyle="1" w:styleId="FileProperties">
    <w:name w:val="File Properties"/>
    <w:basedOn w:val="Normal"/>
    <w:rsid w:val="0068364A"/>
    <w:rPr>
      <w:i/>
    </w:rPr>
  </w:style>
  <w:style w:type="paragraph" w:customStyle="1" w:styleId="FooterBase">
    <w:name w:val="Footer Base"/>
    <w:rsid w:val="0068364A"/>
    <w:pPr>
      <w:jc w:val="center"/>
    </w:pPr>
    <w:rPr>
      <w:rFonts w:ascii="Arial" w:hAnsi="Arial"/>
    </w:rPr>
  </w:style>
  <w:style w:type="character" w:customStyle="1" w:styleId="FramedHeader">
    <w:name w:val="Framed Header"/>
    <w:basedOn w:val="DefaultParagraphFont"/>
    <w:rsid w:val="0068364A"/>
    <w:rPr>
      <w:rFonts w:ascii="Book Antiqua" w:hAnsi="Book Antiqua"/>
      <w:i/>
      <w:dstrike w:val="0"/>
      <w:color w:val="auto"/>
      <w:sz w:val="20"/>
      <w:vertAlign w:val="baseline"/>
    </w:rPr>
  </w:style>
  <w:style w:type="paragraph" w:customStyle="1" w:styleId="HeaderBase">
    <w:name w:val="Header Base"/>
    <w:rsid w:val="0068364A"/>
    <w:rPr>
      <w:rFonts w:ascii="Book Antiqua" w:hAnsi="Book Antiqua"/>
      <w:i/>
    </w:rPr>
  </w:style>
  <w:style w:type="paragraph" w:customStyle="1" w:styleId="HeaderEven">
    <w:name w:val="Header Even"/>
    <w:basedOn w:val="HeaderBase"/>
    <w:rsid w:val="0068364A"/>
  </w:style>
  <w:style w:type="paragraph" w:customStyle="1" w:styleId="HeaderOdd">
    <w:name w:val="Header Odd"/>
    <w:basedOn w:val="HeaderBase"/>
    <w:rsid w:val="0068364A"/>
    <w:pPr>
      <w:jc w:val="right"/>
    </w:pPr>
  </w:style>
  <w:style w:type="paragraph" w:customStyle="1" w:styleId="HeadingBase">
    <w:name w:val="Heading Base"/>
    <w:rsid w:val="0068364A"/>
    <w:pPr>
      <w:keepNext/>
    </w:pPr>
    <w:rPr>
      <w:rFonts w:ascii="Arial" w:hAnsi="Arial"/>
      <w:sz w:val="24"/>
    </w:rPr>
  </w:style>
  <w:style w:type="paragraph" w:customStyle="1" w:styleId="AppendixHeading">
    <w:name w:val="Appendix Heading"/>
    <w:basedOn w:val="HeadingBase"/>
    <w:rsid w:val="0068364A"/>
    <w:pPr>
      <w:spacing w:after="240"/>
      <w:jc w:val="center"/>
      <w:outlineLvl w:val="3"/>
    </w:pPr>
    <w:rPr>
      <w:b/>
      <w:smallCaps/>
      <w:sz w:val="30"/>
    </w:rPr>
  </w:style>
  <w:style w:type="paragraph" w:styleId="TOC5">
    <w:name w:val="toc 5"/>
    <w:basedOn w:val="Normal"/>
    <w:next w:val="Normal"/>
    <w:autoRedefine/>
    <w:uiPriority w:val="2"/>
    <w:semiHidden/>
    <w:rsid w:val="0068364A"/>
    <w:pPr>
      <w:tabs>
        <w:tab w:val="left" w:pos="851"/>
        <w:tab w:val="right" w:leader="dot" w:pos="7700"/>
      </w:tabs>
      <w:ind w:left="896" w:hanging="896"/>
    </w:pPr>
    <w:rPr>
      <w:rFonts w:ascii="Arial" w:hAnsi="Arial"/>
      <w:noProof/>
      <w:color w:val="002B54"/>
    </w:rPr>
  </w:style>
  <w:style w:type="paragraph" w:customStyle="1" w:styleId="TableGraphic">
    <w:name w:val="Table Graphic"/>
    <w:basedOn w:val="Normal"/>
    <w:next w:val="Normal"/>
    <w:rsid w:val="0068364A"/>
    <w:pPr>
      <w:spacing w:after="0" w:line="240" w:lineRule="auto"/>
      <w:ind w:right="-113"/>
    </w:pPr>
  </w:style>
  <w:style w:type="paragraph" w:customStyle="1" w:styleId="TableHeading">
    <w:name w:val="Table Heading"/>
    <w:basedOn w:val="HeadingBase"/>
    <w:next w:val="TableGraphic"/>
    <w:qFormat/>
    <w:rsid w:val="0068364A"/>
    <w:pPr>
      <w:spacing w:before="120" w:after="20"/>
    </w:pPr>
    <w:rPr>
      <w:b/>
      <w:sz w:val="20"/>
    </w:rPr>
  </w:style>
  <w:style w:type="paragraph" w:customStyle="1" w:styleId="TableHeadingcontinued">
    <w:name w:val="Table Heading continued"/>
    <w:basedOn w:val="HeadingBase"/>
    <w:next w:val="TableGraphic"/>
    <w:rsid w:val="0068364A"/>
    <w:pPr>
      <w:spacing w:before="120" w:after="20"/>
    </w:pPr>
    <w:rPr>
      <w:rFonts w:ascii="Arial Bold" w:hAnsi="Arial Bold"/>
      <w:b/>
      <w:sz w:val="20"/>
    </w:rPr>
  </w:style>
  <w:style w:type="paragraph" w:styleId="Footer">
    <w:name w:val="footer"/>
    <w:basedOn w:val="FooterBase"/>
    <w:link w:val="FooterChar"/>
    <w:rsid w:val="0068364A"/>
    <w:pPr>
      <w:tabs>
        <w:tab w:val="center" w:pos="4153"/>
        <w:tab w:val="right" w:pos="8306"/>
      </w:tabs>
    </w:pPr>
  </w:style>
  <w:style w:type="paragraph" w:styleId="Header">
    <w:name w:val="header"/>
    <w:basedOn w:val="HeaderBase"/>
    <w:link w:val="HeaderChar"/>
    <w:rsid w:val="0068364A"/>
    <w:pPr>
      <w:tabs>
        <w:tab w:val="center" w:pos="4153"/>
        <w:tab w:val="right" w:pos="8306"/>
      </w:tabs>
    </w:pPr>
  </w:style>
  <w:style w:type="character" w:styleId="PageNumber">
    <w:name w:val="page number"/>
    <w:basedOn w:val="DefaultParagraphFont"/>
    <w:rsid w:val="0068364A"/>
    <w:rPr>
      <w:rFonts w:ascii="Arial" w:hAnsi="Arial" w:cs="Arial"/>
    </w:rPr>
  </w:style>
  <w:style w:type="character" w:styleId="FootnoteReference">
    <w:name w:val="footnote reference"/>
    <w:basedOn w:val="DefaultParagraphFont"/>
    <w:rsid w:val="0068364A"/>
    <w:rPr>
      <w:vertAlign w:val="superscript"/>
    </w:rPr>
  </w:style>
  <w:style w:type="paragraph" w:styleId="FootnoteText">
    <w:name w:val="footnote text"/>
    <w:basedOn w:val="Normal"/>
    <w:link w:val="FootnoteTextChar"/>
    <w:rsid w:val="0068364A"/>
    <w:pPr>
      <w:tabs>
        <w:tab w:val="left" w:pos="284"/>
      </w:tabs>
      <w:spacing w:after="0" w:line="240" w:lineRule="auto"/>
      <w:ind w:left="284" w:hanging="284"/>
    </w:pPr>
    <w:rPr>
      <w:sz w:val="18"/>
    </w:rPr>
  </w:style>
  <w:style w:type="paragraph" w:styleId="Index1">
    <w:name w:val="index 1"/>
    <w:basedOn w:val="Normal"/>
    <w:next w:val="Normal"/>
    <w:rsid w:val="0068364A"/>
    <w:pPr>
      <w:ind w:left="200" w:hanging="200"/>
    </w:pPr>
  </w:style>
  <w:style w:type="paragraph" w:styleId="Index2">
    <w:name w:val="index 2"/>
    <w:basedOn w:val="Normal"/>
    <w:next w:val="Normal"/>
    <w:rsid w:val="0068364A"/>
    <w:pPr>
      <w:ind w:left="400" w:hanging="200"/>
    </w:pPr>
  </w:style>
  <w:style w:type="paragraph" w:styleId="Index3">
    <w:name w:val="index 3"/>
    <w:basedOn w:val="Normal"/>
    <w:next w:val="Normal"/>
    <w:rsid w:val="0068364A"/>
    <w:pPr>
      <w:ind w:left="600" w:hanging="200"/>
    </w:pPr>
  </w:style>
  <w:style w:type="paragraph" w:styleId="IndexHeading">
    <w:name w:val="index heading"/>
    <w:basedOn w:val="Normal"/>
    <w:next w:val="Index1"/>
    <w:rsid w:val="0068364A"/>
    <w:rPr>
      <w:rFonts w:ascii="Arial Bold" w:hAnsi="Arial Bold" w:cs="Arial"/>
      <w:b/>
      <w:bCs/>
      <w:color w:val="002B54"/>
    </w:rPr>
  </w:style>
  <w:style w:type="paragraph" w:styleId="TOC1">
    <w:name w:val="toc 1"/>
    <w:basedOn w:val="HeaderBase"/>
    <w:next w:val="Normal"/>
    <w:uiPriority w:val="2"/>
    <w:rsid w:val="0068364A"/>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68364A"/>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68364A"/>
    <w:pPr>
      <w:tabs>
        <w:tab w:val="right" w:leader="dot" w:pos="7700"/>
      </w:tabs>
      <w:spacing w:before="40"/>
      <w:ind w:right="851"/>
    </w:pPr>
    <w:rPr>
      <w:sz w:val="20"/>
    </w:rPr>
  </w:style>
  <w:style w:type="paragraph" w:styleId="TOC4">
    <w:name w:val="toc 4"/>
    <w:basedOn w:val="HeadingBase"/>
    <w:next w:val="Normal"/>
    <w:uiPriority w:val="2"/>
    <w:unhideWhenUsed/>
    <w:rsid w:val="0068364A"/>
    <w:pPr>
      <w:tabs>
        <w:tab w:val="right" w:leader="dot" w:pos="7700"/>
      </w:tabs>
      <w:spacing w:before="40"/>
      <w:ind w:right="851"/>
    </w:pPr>
    <w:rPr>
      <w:sz w:val="20"/>
    </w:rPr>
  </w:style>
  <w:style w:type="paragraph" w:styleId="TOC6">
    <w:name w:val="toc 6"/>
    <w:basedOn w:val="TOC4"/>
    <w:next w:val="Normal"/>
    <w:uiPriority w:val="2"/>
    <w:semiHidden/>
    <w:rsid w:val="0068364A"/>
    <w:pPr>
      <w:tabs>
        <w:tab w:val="left" w:pos="851"/>
      </w:tabs>
      <w:ind w:left="851" w:hanging="851"/>
    </w:pPr>
    <w:rPr>
      <w:color w:val="000000"/>
    </w:rPr>
  </w:style>
  <w:style w:type="paragraph" w:customStyle="1" w:styleId="SingleParagraph">
    <w:name w:val="Single Paragraph"/>
    <w:basedOn w:val="Normal"/>
    <w:rsid w:val="0068364A"/>
    <w:pPr>
      <w:spacing w:after="0"/>
    </w:pPr>
  </w:style>
  <w:style w:type="paragraph" w:styleId="TOC7">
    <w:name w:val="toc 7"/>
    <w:basedOn w:val="Normal"/>
    <w:next w:val="Normal"/>
    <w:autoRedefine/>
    <w:uiPriority w:val="2"/>
    <w:semiHidden/>
    <w:rsid w:val="0068364A"/>
    <w:pPr>
      <w:ind w:left="1200"/>
    </w:pPr>
  </w:style>
  <w:style w:type="paragraph" w:styleId="TOC8">
    <w:name w:val="toc 8"/>
    <w:basedOn w:val="Normal"/>
    <w:next w:val="Normal"/>
    <w:autoRedefine/>
    <w:uiPriority w:val="2"/>
    <w:semiHidden/>
    <w:rsid w:val="0068364A"/>
    <w:pPr>
      <w:ind w:left="1400"/>
    </w:pPr>
  </w:style>
  <w:style w:type="paragraph" w:styleId="ListBullet4">
    <w:name w:val="List Bullet 4"/>
    <w:basedOn w:val="Normal"/>
    <w:autoRedefine/>
    <w:rsid w:val="003E36D9"/>
    <w:pPr>
      <w:numPr>
        <w:numId w:val="1"/>
      </w:numPr>
    </w:pPr>
  </w:style>
  <w:style w:type="paragraph" w:customStyle="1" w:styleId="FigureHeading">
    <w:name w:val="Figure Heading"/>
    <w:basedOn w:val="HeadingBase"/>
    <w:next w:val="ChartGraphic"/>
    <w:rsid w:val="0068364A"/>
    <w:pPr>
      <w:spacing w:before="120" w:after="20"/>
    </w:pPr>
    <w:rPr>
      <w:b/>
      <w:sz w:val="20"/>
    </w:rPr>
  </w:style>
  <w:style w:type="paragraph" w:customStyle="1" w:styleId="NoteTableHeading">
    <w:name w:val="Note Table Heading"/>
    <w:basedOn w:val="HeadingBase"/>
    <w:next w:val="Normal"/>
    <w:rsid w:val="0068364A"/>
    <w:pPr>
      <w:spacing w:before="240"/>
    </w:pPr>
    <w:rPr>
      <w:b/>
      <w:sz w:val="20"/>
    </w:rPr>
  </w:style>
  <w:style w:type="paragraph" w:customStyle="1" w:styleId="ChartandTableFootnoteAlphaSmall">
    <w:name w:val="Chart and Table Footnote Alpha Small"/>
    <w:basedOn w:val="ChartandTableFootnoteAlpha"/>
    <w:rsid w:val="003E36D9"/>
    <w:pPr>
      <w:numPr>
        <w:numId w:val="2"/>
      </w:numPr>
    </w:pPr>
    <w:rPr>
      <w:sz w:val="15"/>
    </w:rPr>
  </w:style>
  <w:style w:type="paragraph" w:customStyle="1" w:styleId="ChartandTableFootnoteSmall">
    <w:name w:val="Chart and Table Footnote Small"/>
    <w:basedOn w:val="HeadingBase"/>
    <w:next w:val="Normal"/>
    <w:rsid w:val="0068364A"/>
    <w:pPr>
      <w:keepNext w:val="0"/>
      <w:tabs>
        <w:tab w:val="left" w:pos="284"/>
      </w:tabs>
      <w:jc w:val="both"/>
    </w:pPr>
    <w:rPr>
      <w:color w:val="000000"/>
      <w:sz w:val="15"/>
    </w:rPr>
  </w:style>
  <w:style w:type="paragraph" w:customStyle="1" w:styleId="Source">
    <w:name w:val="Source"/>
    <w:basedOn w:val="Normal"/>
    <w:rsid w:val="0068364A"/>
    <w:pPr>
      <w:tabs>
        <w:tab w:val="left" w:pos="284"/>
      </w:tabs>
      <w:spacing w:line="240" w:lineRule="auto"/>
    </w:pPr>
    <w:rPr>
      <w:rFonts w:ascii="Arial" w:hAnsi="Arial"/>
      <w:sz w:val="16"/>
    </w:rPr>
  </w:style>
  <w:style w:type="paragraph" w:customStyle="1" w:styleId="BlockedQuotation">
    <w:name w:val="Blocked Quotation"/>
    <w:basedOn w:val="Normal"/>
    <w:rsid w:val="0068364A"/>
    <w:pPr>
      <w:ind w:left="567"/>
    </w:pPr>
  </w:style>
  <w:style w:type="paragraph" w:customStyle="1" w:styleId="Exactly">
    <w:name w:val="Exactly"/>
    <w:basedOn w:val="Normal"/>
    <w:next w:val="Normal"/>
    <w:rsid w:val="003E36D9"/>
    <w:pPr>
      <w:spacing w:line="240" w:lineRule="auto"/>
    </w:pPr>
  </w:style>
  <w:style w:type="paragraph" w:customStyle="1" w:styleId="SingleParagraph0">
    <w:name w:val="SingleParagraph"/>
    <w:basedOn w:val="Normal"/>
    <w:next w:val="Normal"/>
    <w:rsid w:val="003E36D9"/>
    <w:pPr>
      <w:spacing w:after="0" w:line="240" w:lineRule="auto"/>
    </w:pPr>
    <w:rPr>
      <w:color w:val="000000"/>
    </w:rPr>
  </w:style>
  <w:style w:type="paragraph" w:customStyle="1" w:styleId="MeasureTableTextLeftAligned">
    <w:name w:val="Measure Table Text Left Aligned"/>
    <w:basedOn w:val="Normal"/>
    <w:rsid w:val="003E36D9"/>
    <w:pPr>
      <w:spacing w:before="60" w:after="60" w:line="240" w:lineRule="auto"/>
      <w:jc w:val="left"/>
    </w:pPr>
    <w:rPr>
      <w:rFonts w:ascii="Arial" w:hAnsi="Arial"/>
      <w:color w:val="000000"/>
      <w:sz w:val="16"/>
    </w:rPr>
  </w:style>
  <w:style w:type="paragraph" w:customStyle="1" w:styleId="MeasureTableTextRightAligned">
    <w:name w:val="Measure Table Text Right Aligned"/>
    <w:basedOn w:val="Normal"/>
    <w:rsid w:val="003E36D9"/>
    <w:pPr>
      <w:spacing w:before="60" w:after="60" w:line="240" w:lineRule="auto"/>
      <w:jc w:val="right"/>
    </w:pPr>
    <w:rPr>
      <w:rFonts w:ascii="Arial" w:hAnsi="Arial"/>
      <w:sz w:val="16"/>
    </w:rPr>
  </w:style>
  <w:style w:type="paragraph" w:customStyle="1" w:styleId="Attachmentheading">
    <w:name w:val="Attachment heading"/>
    <w:basedOn w:val="Normal"/>
    <w:next w:val="Normal"/>
    <w:rsid w:val="003E36D9"/>
    <w:pPr>
      <w:spacing w:line="240" w:lineRule="auto"/>
      <w:jc w:val="right"/>
    </w:pPr>
    <w:rPr>
      <w:rFonts w:ascii="Arial Bold" w:hAnsi="Arial Bold"/>
      <w:b/>
      <w:sz w:val="22"/>
    </w:rPr>
  </w:style>
  <w:style w:type="paragraph" w:customStyle="1" w:styleId="st11summarytableheading1">
    <w:name w:val="st 11 summary table heading 1"/>
    <w:basedOn w:val="Heading5"/>
    <w:rsid w:val="003E36D9"/>
    <w:pPr>
      <w:spacing w:before="60" w:after="60"/>
    </w:pPr>
    <w:rPr>
      <w:rFonts w:ascii="Arial Bold" w:hAnsi="Arial Bold"/>
      <w:sz w:val="18"/>
      <w:szCs w:val="18"/>
    </w:rPr>
  </w:style>
  <w:style w:type="paragraph" w:customStyle="1" w:styleId="St11summarytableheading2">
    <w:name w:val="St 11 summary table heading 2"/>
    <w:basedOn w:val="Heading7"/>
    <w:rsid w:val="003E36D9"/>
    <w:pPr>
      <w:spacing w:before="40"/>
    </w:pPr>
    <w:rPr>
      <w:rFonts w:ascii="Arial Bold" w:hAnsi="Arial Bold"/>
      <w:b/>
      <w:sz w:val="16"/>
      <w:szCs w:val="16"/>
    </w:rPr>
  </w:style>
  <w:style w:type="paragraph" w:customStyle="1" w:styleId="BoxText">
    <w:name w:val="Box Text"/>
    <w:basedOn w:val="Normal"/>
    <w:qFormat/>
    <w:rsid w:val="0068364A"/>
    <w:pPr>
      <w:spacing w:before="120" w:after="120" w:line="240" w:lineRule="auto"/>
    </w:pPr>
  </w:style>
  <w:style w:type="paragraph" w:customStyle="1" w:styleId="OverviewParagraph">
    <w:name w:val="Overview Paragraph"/>
    <w:basedOn w:val="Normal"/>
    <w:rsid w:val="0068364A"/>
    <w:pPr>
      <w:spacing w:before="120" w:after="120" w:line="240" w:lineRule="auto"/>
    </w:pPr>
  </w:style>
  <w:style w:type="paragraph" w:customStyle="1" w:styleId="MeasureTableHeading">
    <w:name w:val="Measure Table Heading"/>
    <w:basedOn w:val="Normal"/>
    <w:rsid w:val="003E36D9"/>
    <w:pPr>
      <w:keepNext/>
      <w:spacing w:after="0" w:line="240" w:lineRule="auto"/>
      <w:jc w:val="left"/>
    </w:pPr>
    <w:rPr>
      <w:rFonts w:ascii="Arial" w:hAnsi="Arial"/>
      <w:sz w:val="16"/>
      <w:szCs w:val="3276"/>
    </w:rPr>
  </w:style>
  <w:style w:type="paragraph" w:customStyle="1" w:styleId="AlphaParagraph">
    <w:name w:val="Alpha Paragraph"/>
    <w:basedOn w:val="Normal"/>
    <w:rsid w:val="0068364A"/>
    <w:pPr>
      <w:numPr>
        <w:numId w:val="22"/>
      </w:numPr>
      <w:tabs>
        <w:tab w:val="clear" w:pos="567"/>
        <w:tab w:val="num" w:pos="360"/>
      </w:tabs>
      <w:ind w:left="0" w:firstLine="0"/>
    </w:pPr>
  </w:style>
  <w:style w:type="paragraph" w:customStyle="1" w:styleId="Heading3noTOC">
    <w:name w:val="Heading 3 no TOC"/>
    <w:basedOn w:val="Heading3"/>
    <w:rsid w:val="0068364A"/>
    <w:pPr>
      <w:outlineLvl w:val="9"/>
    </w:pPr>
  </w:style>
  <w:style w:type="paragraph" w:customStyle="1" w:styleId="BoxBullet">
    <w:name w:val="Box Bullet"/>
    <w:basedOn w:val="BoxText"/>
    <w:rsid w:val="0068364A"/>
    <w:pPr>
      <w:numPr>
        <w:numId w:val="23"/>
      </w:numPr>
    </w:pPr>
  </w:style>
  <w:style w:type="paragraph" w:customStyle="1" w:styleId="BoxDash">
    <w:name w:val="Box Dash"/>
    <w:basedOn w:val="Normal"/>
    <w:rsid w:val="003E36D9"/>
    <w:pPr>
      <w:numPr>
        <w:ilvl w:val="1"/>
        <w:numId w:val="4"/>
      </w:numPr>
      <w:tabs>
        <w:tab w:val="clear" w:pos="567"/>
        <w:tab w:val="num" w:pos="283"/>
      </w:tabs>
      <w:ind w:left="283" w:hanging="283"/>
    </w:pPr>
    <w:rPr>
      <w:color w:val="000000"/>
    </w:rPr>
  </w:style>
  <w:style w:type="paragraph" w:customStyle="1" w:styleId="BoxDoubleDot">
    <w:name w:val="Box Double Dot"/>
    <w:basedOn w:val="BoxTextBase"/>
    <w:rsid w:val="003E36D9"/>
    <w:pPr>
      <w:numPr>
        <w:ilvl w:val="2"/>
        <w:numId w:val="4"/>
      </w:numPr>
      <w:tabs>
        <w:tab w:val="clear" w:pos="850"/>
        <w:tab w:val="num" w:pos="283"/>
      </w:tabs>
      <w:spacing w:before="120" w:after="120"/>
      <w:ind w:left="283"/>
    </w:pPr>
  </w:style>
  <w:style w:type="paragraph" w:customStyle="1" w:styleId="BoxTextBase">
    <w:name w:val="Box Text Base"/>
    <w:basedOn w:val="Normal"/>
    <w:rsid w:val="003E36D9"/>
    <w:pPr>
      <w:spacing w:line="240" w:lineRule="auto"/>
    </w:pPr>
    <w:rPr>
      <w:color w:val="000000"/>
    </w:rPr>
  </w:style>
  <w:style w:type="paragraph" w:customStyle="1" w:styleId="AppendixBBoxHeading">
    <w:name w:val="Appendix_B_Box_Heading"/>
    <w:basedOn w:val="Heading5"/>
    <w:rsid w:val="003E36D9"/>
    <w:pPr>
      <w:spacing w:before="120" w:after="80"/>
    </w:pPr>
  </w:style>
  <w:style w:type="paragraph" w:customStyle="1" w:styleId="OneLevelNumberedParagraph">
    <w:name w:val="One Level Numbered Paragraph"/>
    <w:basedOn w:val="Normal"/>
    <w:rsid w:val="003E36D9"/>
    <w:pPr>
      <w:numPr>
        <w:numId w:val="5"/>
      </w:numPr>
      <w:tabs>
        <w:tab w:val="clear" w:pos="567"/>
        <w:tab w:val="num" w:pos="360"/>
      </w:tabs>
      <w:ind w:left="0" w:firstLine="0"/>
    </w:pPr>
    <w:rPr>
      <w:color w:val="000000"/>
    </w:rPr>
  </w:style>
  <w:style w:type="paragraph" w:customStyle="1" w:styleId="OutlineNumbered1">
    <w:name w:val="Outline Numbered 1"/>
    <w:basedOn w:val="Normal"/>
    <w:rsid w:val="003E36D9"/>
    <w:pPr>
      <w:numPr>
        <w:numId w:val="6"/>
      </w:numPr>
      <w:tabs>
        <w:tab w:val="clear" w:pos="567"/>
        <w:tab w:val="num" w:pos="360"/>
      </w:tabs>
      <w:ind w:left="0" w:firstLine="0"/>
    </w:pPr>
    <w:rPr>
      <w:color w:val="000000"/>
    </w:rPr>
  </w:style>
  <w:style w:type="paragraph" w:customStyle="1" w:styleId="OutlineNumbered2">
    <w:name w:val="Outline Numbered 2"/>
    <w:basedOn w:val="Normal"/>
    <w:rsid w:val="003E36D9"/>
    <w:pPr>
      <w:numPr>
        <w:ilvl w:val="1"/>
        <w:numId w:val="6"/>
      </w:numPr>
      <w:tabs>
        <w:tab w:val="clear" w:pos="1134"/>
        <w:tab w:val="num" w:pos="360"/>
      </w:tabs>
      <w:ind w:left="0" w:firstLine="0"/>
    </w:pPr>
    <w:rPr>
      <w:color w:val="000000"/>
    </w:rPr>
  </w:style>
  <w:style w:type="paragraph" w:customStyle="1" w:styleId="OutlineNumbered3">
    <w:name w:val="Outline Numbered 3"/>
    <w:basedOn w:val="Normal"/>
    <w:rsid w:val="003E36D9"/>
    <w:pPr>
      <w:numPr>
        <w:ilvl w:val="2"/>
        <w:numId w:val="6"/>
      </w:numPr>
      <w:tabs>
        <w:tab w:val="clear" w:pos="1701"/>
        <w:tab w:val="num" w:pos="360"/>
      </w:tabs>
      <w:ind w:left="0" w:firstLine="0"/>
    </w:pPr>
    <w:rPr>
      <w:color w:val="000000"/>
    </w:rPr>
  </w:style>
  <w:style w:type="paragraph" w:styleId="Title">
    <w:name w:val="Title"/>
    <w:basedOn w:val="Normal"/>
    <w:qFormat/>
    <w:rsid w:val="003E36D9"/>
    <w:pPr>
      <w:spacing w:after="0" w:line="240" w:lineRule="auto"/>
      <w:jc w:val="center"/>
      <w:outlineLvl w:val="0"/>
    </w:pPr>
    <w:rPr>
      <w:b/>
      <w:kern w:val="28"/>
      <w:sz w:val="52"/>
    </w:rPr>
  </w:style>
  <w:style w:type="paragraph" w:customStyle="1" w:styleId="Title2ndLevel">
    <w:name w:val="Title 2nd Level"/>
    <w:basedOn w:val="Normal"/>
    <w:rsid w:val="003E36D9"/>
    <w:pPr>
      <w:spacing w:after="0" w:line="240" w:lineRule="auto"/>
      <w:jc w:val="center"/>
    </w:pPr>
    <w:rPr>
      <w:sz w:val="24"/>
    </w:rPr>
  </w:style>
  <w:style w:type="paragraph" w:customStyle="1" w:styleId="AppendixBBoxSubHeading">
    <w:name w:val="Appendix_B_Box_SubHeading"/>
    <w:basedOn w:val="Heading6"/>
    <w:rsid w:val="003E36D9"/>
    <w:pPr>
      <w:spacing w:before="80" w:after="80"/>
    </w:pPr>
  </w:style>
  <w:style w:type="paragraph" w:customStyle="1" w:styleId="TableColumnHeadingCentred">
    <w:name w:val="Table Column Heading Centred"/>
    <w:basedOn w:val="TableColumnHeadingBase"/>
    <w:next w:val="Normal"/>
    <w:rsid w:val="0068364A"/>
    <w:pPr>
      <w:jc w:val="center"/>
    </w:pPr>
  </w:style>
  <w:style w:type="paragraph" w:customStyle="1" w:styleId="TableColumnHeadingLeft">
    <w:name w:val="Table Column Heading Left"/>
    <w:basedOn w:val="TableColumnHeadingBase"/>
    <w:next w:val="Normal"/>
    <w:rsid w:val="0068364A"/>
  </w:style>
  <w:style w:type="paragraph" w:customStyle="1" w:styleId="TableColumnHeadingRight">
    <w:name w:val="Table Column Heading Right"/>
    <w:basedOn w:val="TableColumnHeadingBase"/>
    <w:next w:val="Normal"/>
    <w:rsid w:val="0068364A"/>
    <w:pPr>
      <w:jc w:val="right"/>
    </w:pPr>
  </w:style>
  <w:style w:type="paragraph" w:customStyle="1" w:styleId="TableTextCentred">
    <w:name w:val="Table Text Centred"/>
    <w:basedOn w:val="TableTextBase"/>
    <w:rsid w:val="0068364A"/>
    <w:pPr>
      <w:jc w:val="center"/>
    </w:pPr>
  </w:style>
  <w:style w:type="paragraph" w:customStyle="1" w:styleId="TableTextIndented">
    <w:name w:val="Table Text Indented"/>
    <w:basedOn w:val="TableTextBase"/>
    <w:rsid w:val="0068364A"/>
    <w:pPr>
      <w:ind w:left="284"/>
    </w:pPr>
  </w:style>
  <w:style w:type="paragraph" w:customStyle="1" w:styleId="TableTextLeft">
    <w:name w:val="Table Text Left"/>
    <w:basedOn w:val="TableTextBase"/>
    <w:rsid w:val="0068364A"/>
  </w:style>
  <w:style w:type="paragraph" w:customStyle="1" w:styleId="TableTextRight">
    <w:name w:val="Table Text Right"/>
    <w:basedOn w:val="TableTextBase"/>
    <w:rsid w:val="0068364A"/>
    <w:pPr>
      <w:jc w:val="right"/>
    </w:pPr>
  </w:style>
  <w:style w:type="paragraph" w:customStyle="1" w:styleId="Heading2noTOC">
    <w:name w:val="Heading 2 no TOC"/>
    <w:basedOn w:val="Heading2"/>
    <w:qFormat/>
    <w:rsid w:val="003E36D9"/>
  </w:style>
  <w:style w:type="character" w:customStyle="1" w:styleId="FooterChar">
    <w:name w:val="Footer Char"/>
    <w:basedOn w:val="DefaultParagraphFont"/>
    <w:link w:val="Footer"/>
    <w:rsid w:val="0068364A"/>
    <w:rPr>
      <w:rFonts w:ascii="Arial" w:hAnsi="Arial"/>
    </w:rPr>
  </w:style>
  <w:style w:type="paragraph" w:customStyle="1" w:styleId="fbo">
    <w:name w:val="fbo"/>
    <w:rsid w:val="003E36D9"/>
    <w:pPr>
      <w:spacing w:after="240" w:line="260" w:lineRule="exact"/>
      <w:jc w:val="both"/>
    </w:pPr>
    <w:rPr>
      <w:rFonts w:ascii="Book Antiqua" w:hAnsi="Book Antiqua"/>
      <w:szCs w:val="24"/>
      <w:lang w:eastAsia="en-US"/>
    </w:rPr>
  </w:style>
  <w:style w:type="paragraph" w:styleId="BalloonText">
    <w:name w:val="Balloon Text"/>
    <w:basedOn w:val="Normal"/>
    <w:link w:val="BalloonTextChar"/>
    <w:rsid w:val="0068364A"/>
    <w:rPr>
      <w:rFonts w:ascii="Tahoma" w:hAnsi="Tahoma" w:cs="Tahoma"/>
      <w:sz w:val="16"/>
      <w:szCs w:val="16"/>
    </w:rPr>
  </w:style>
  <w:style w:type="character" w:customStyle="1" w:styleId="BalloonTextChar">
    <w:name w:val="Balloon Text Char"/>
    <w:basedOn w:val="DefaultParagraphFont"/>
    <w:link w:val="BalloonText"/>
    <w:rsid w:val="0068364A"/>
    <w:rPr>
      <w:rFonts w:ascii="Tahoma" w:hAnsi="Tahoma" w:cs="Tahoma"/>
      <w:sz w:val="16"/>
      <w:szCs w:val="16"/>
    </w:rPr>
  </w:style>
  <w:style w:type="paragraph" w:customStyle="1" w:styleId="Default">
    <w:name w:val="Default"/>
    <w:rsid w:val="003639FF"/>
    <w:pPr>
      <w:autoSpaceDE w:val="0"/>
      <w:autoSpaceDN w:val="0"/>
      <w:adjustRightInd w:val="0"/>
    </w:pPr>
    <w:rPr>
      <w:rFonts w:ascii="Cambria" w:eastAsia="Calibri" w:hAnsi="Cambria" w:cs="Cambria"/>
      <w:color w:val="000000"/>
      <w:sz w:val="24"/>
      <w:szCs w:val="24"/>
      <w:lang w:eastAsia="en-US"/>
    </w:rPr>
  </w:style>
  <w:style w:type="paragraph" w:styleId="CommentText">
    <w:name w:val="annotation text"/>
    <w:basedOn w:val="Normal"/>
    <w:link w:val="CommentTextChar"/>
    <w:rsid w:val="0068364A"/>
  </w:style>
  <w:style w:type="character" w:customStyle="1" w:styleId="CommentTextChar">
    <w:name w:val="Comment Text Char"/>
    <w:basedOn w:val="DefaultParagraphFont"/>
    <w:link w:val="CommentText"/>
    <w:rsid w:val="0068364A"/>
    <w:rPr>
      <w:rFonts w:ascii="Book Antiqua" w:hAnsi="Book Antiqua"/>
    </w:rPr>
  </w:style>
  <w:style w:type="character" w:styleId="CommentReference">
    <w:name w:val="annotation reference"/>
    <w:basedOn w:val="DefaultParagraphFont"/>
    <w:rsid w:val="0068364A"/>
    <w:rPr>
      <w:sz w:val="16"/>
      <w:szCs w:val="16"/>
    </w:rPr>
  </w:style>
  <w:style w:type="paragraph" w:styleId="Revision">
    <w:name w:val="Revision"/>
    <w:hidden/>
    <w:uiPriority w:val="99"/>
    <w:semiHidden/>
    <w:rsid w:val="00D922DA"/>
    <w:rPr>
      <w:rFonts w:ascii="Book Antiqua" w:hAnsi="Book Antiqua"/>
      <w:szCs w:val="24"/>
      <w:lang w:eastAsia="en-US"/>
    </w:rPr>
  </w:style>
  <w:style w:type="paragraph" w:styleId="NormalWeb">
    <w:name w:val="Normal (Web)"/>
    <w:basedOn w:val="Normal"/>
    <w:uiPriority w:val="99"/>
    <w:rsid w:val="009E69EB"/>
    <w:rPr>
      <w:rFonts w:ascii="Times New Roman" w:hAnsi="Times New Roman"/>
      <w:sz w:val="24"/>
    </w:rPr>
  </w:style>
  <w:style w:type="paragraph" w:styleId="BodyText">
    <w:name w:val="Body Text"/>
    <w:basedOn w:val="Normal"/>
    <w:link w:val="BodyTextChar"/>
    <w:rsid w:val="002E3EE4"/>
    <w:pPr>
      <w:spacing w:before="160" w:after="200" w:line="240" w:lineRule="auto"/>
    </w:pPr>
    <w:rPr>
      <w:rFonts w:ascii="Tahoma" w:hAnsi="Tahoma"/>
      <w:sz w:val="22"/>
    </w:rPr>
  </w:style>
  <w:style w:type="character" w:customStyle="1" w:styleId="BodyTextChar">
    <w:name w:val="Body Text Char"/>
    <w:link w:val="BodyText"/>
    <w:rsid w:val="002E3EE4"/>
    <w:rPr>
      <w:rFonts w:ascii="Tahoma" w:hAnsi="Tahoma" w:cs="Arial"/>
      <w:sz w:val="22"/>
      <w:szCs w:val="24"/>
      <w:lang w:eastAsia="en-US"/>
    </w:rPr>
  </w:style>
  <w:style w:type="paragraph" w:customStyle="1" w:styleId="Heading1-Teal">
    <w:name w:val="Heading 1 - Teal"/>
    <w:basedOn w:val="Heading1"/>
    <w:rsid w:val="002E3EE4"/>
    <w:pPr>
      <w:spacing w:before="240" w:after="60"/>
      <w:jc w:val="left"/>
    </w:pPr>
    <w:rPr>
      <w:rFonts w:ascii="Tahoma" w:hAnsi="Tahoma"/>
      <w:smallCaps w:val="0"/>
      <w:color w:val="003C5B"/>
      <w:kern w:val="32"/>
      <w:sz w:val="22"/>
    </w:rPr>
  </w:style>
  <w:style w:type="paragraph" w:styleId="CommentSubject">
    <w:name w:val="annotation subject"/>
    <w:basedOn w:val="CommentText"/>
    <w:next w:val="CommentText"/>
    <w:link w:val="CommentSubjectChar"/>
    <w:rsid w:val="0068364A"/>
    <w:rPr>
      <w:b/>
      <w:bCs/>
    </w:rPr>
  </w:style>
  <w:style w:type="character" w:customStyle="1" w:styleId="CommentSubjectChar">
    <w:name w:val="Comment Subject Char"/>
    <w:basedOn w:val="CommentTextChar"/>
    <w:link w:val="CommentSubject"/>
    <w:rsid w:val="0068364A"/>
    <w:rPr>
      <w:rFonts w:ascii="Book Antiqua" w:hAnsi="Book Antiqua"/>
      <w:b/>
      <w:bCs/>
    </w:rPr>
  </w:style>
  <w:style w:type="table" w:styleId="TableGrid">
    <w:name w:val="Table Grid"/>
    <w:basedOn w:val="TableNormal"/>
    <w:rsid w:val="0068364A"/>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4437"/>
    <w:pPr>
      <w:spacing w:after="0" w:line="240" w:lineRule="auto"/>
      <w:ind w:left="720"/>
      <w:jc w:val="left"/>
    </w:pPr>
    <w:rPr>
      <w:rFonts w:ascii="Calibri" w:eastAsia="Calibri" w:hAnsi="Calibri"/>
      <w:sz w:val="22"/>
      <w:szCs w:val="22"/>
    </w:rPr>
  </w:style>
  <w:style w:type="paragraph" w:styleId="BodyText2">
    <w:name w:val="Body Text 2"/>
    <w:basedOn w:val="Normal"/>
    <w:link w:val="BodyText2Char"/>
    <w:rsid w:val="00D3524F"/>
    <w:pPr>
      <w:spacing w:after="120" w:line="480" w:lineRule="auto"/>
    </w:pPr>
  </w:style>
  <w:style w:type="character" w:customStyle="1" w:styleId="BodyText2Char">
    <w:name w:val="Body Text 2 Char"/>
    <w:link w:val="BodyText2"/>
    <w:rsid w:val="00D3524F"/>
    <w:rPr>
      <w:rFonts w:ascii="Book Antiqua" w:hAnsi="Book Antiqua"/>
      <w:szCs w:val="24"/>
      <w:lang w:eastAsia="en-US"/>
    </w:rPr>
  </w:style>
  <w:style w:type="character" w:styleId="Hyperlink">
    <w:name w:val="Hyperlink"/>
    <w:basedOn w:val="DefaultParagraphFont"/>
    <w:uiPriority w:val="99"/>
    <w:unhideWhenUsed/>
    <w:rsid w:val="0068364A"/>
    <w:rPr>
      <w:color w:val="0000FF"/>
      <w:u w:val="single"/>
    </w:rPr>
  </w:style>
  <w:style w:type="character" w:customStyle="1" w:styleId="Heading3Char">
    <w:name w:val="Heading 3 Char"/>
    <w:basedOn w:val="DefaultParagraphFont"/>
    <w:link w:val="Heading3"/>
    <w:rsid w:val="0068364A"/>
    <w:rPr>
      <w:rFonts w:ascii="Arial Bold" w:hAnsi="Arial Bold"/>
      <w:b/>
      <w:sz w:val="22"/>
    </w:rPr>
  </w:style>
  <w:style w:type="character" w:customStyle="1" w:styleId="Heading4Char">
    <w:name w:val="Heading 4 Char"/>
    <w:basedOn w:val="DefaultParagraphFont"/>
    <w:link w:val="Heading4"/>
    <w:rsid w:val="0068364A"/>
    <w:rPr>
      <w:rFonts w:ascii="Arial Bold" w:hAnsi="Arial Bold"/>
      <w:b/>
    </w:rPr>
  </w:style>
  <w:style w:type="paragraph" w:customStyle="1" w:styleId="TableColumnHeadingS118pt">
    <w:name w:val="Table Column Heading S11 8 pt"/>
    <w:basedOn w:val="TableColumnHeadingBase"/>
    <w:rsid w:val="0068364A"/>
    <w:pPr>
      <w:spacing w:after="0"/>
    </w:pPr>
    <w:rPr>
      <w:rFonts w:ascii="Arial" w:hAnsi="Arial"/>
    </w:rPr>
  </w:style>
  <w:style w:type="paragraph" w:styleId="Index8">
    <w:name w:val="index 8"/>
    <w:basedOn w:val="Normal"/>
    <w:next w:val="Normal"/>
    <w:autoRedefine/>
    <w:semiHidden/>
    <w:rsid w:val="0068364A"/>
    <w:pPr>
      <w:ind w:left="1600" w:hanging="200"/>
    </w:pPr>
  </w:style>
  <w:style w:type="paragraph" w:customStyle="1" w:styleId="Description">
    <w:name w:val="Description"/>
    <w:basedOn w:val="Normal"/>
    <w:link w:val="DescriptionChar"/>
    <w:qFormat/>
    <w:rsid w:val="000E4CB1"/>
    <w:pPr>
      <w:suppressAutoHyphens/>
      <w:spacing w:before="80" w:after="80" w:line="276" w:lineRule="auto"/>
      <w:jc w:val="left"/>
    </w:pPr>
    <w:rPr>
      <w:rFonts w:ascii="Arial" w:eastAsiaTheme="minorHAnsi" w:hAnsi="Arial" w:cstheme="minorBidi"/>
      <w:szCs w:val="22"/>
    </w:rPr>
  </w:style>
  <w:style w:type="character" w:customStyle="1" w:styleId="DescriptionChar">
    <w:name w:val="Description Char"/>
    <w:basedOn w:val="DefaultParagraphFont"/>
    <w:link w:val="Description"/>
    <w:rsid w:val="000E4CB1"/>
    <w:rPr>
      <w:rFonts w:ascii="Arial" w:eastAsiaTheme="minorHAnsi" w:hAnsi="Arial" w:cstheme="minorBidi"/>
      <w:szCs w:val="22"/>
      <w:lang w:eastAsia="en-US"/>
    </w:rPr>
  </w:style>
  <w:style w:type="character" w:customStyle="1" w:styleId="Heading8Char">
    <w:name w:val="Heading 8 Char"/>
    <w:basedOn w:val="DefaultParagraphFont"/>
    <w:link w:val="Heading8"/>
    <w:rsid w:val="0068364A"/>
    <w:rPr>
      <w:i/>
      <w:iCs/>
      <w:sz w:val="16"/>
      <w:szCs w:val="24"/>
    </w:rPr>
  </w:style>
  <w:style w:type="character" w:customStyle="1" w:styleId="HeaderChar">
    <w:name w:val="Header Char"/>
    <w:basedOn w:val="DefaultParagraphFont"/>
    <w:link w:val="Header"/>
    <w:rsid w:val="0068364A"/>
    <w:rPr>
      <w:rFonts w:ascii="Book Antiqua" w:hAnsi="Book Antiqua"/>
      <w:i/>
    </w:rPr>
  </w:style>
  <w:style w:type="paragraph" w:customStyle="1" w:styleId="SecurityClassificationHeader">
    <w:name w:val="Security Classification Header"/>
    <w:link w:val="SecurityClassificationHeaderChar"/>
    <w:rsid w:val="0068364A"/>
    <w:pPr>
      <w:spacing w:before="240" w:after="60" w:line="259" w:lineRule="auto"/>
      <w:jc w:val="center"/>
    </w:pPr>
    <w:rPr>
      <w:rFonts w:ascii="Calibri" w:eastAsiaTheme="minorHAnsi" w:hAnsi="Calibri" w:cs="Calibri"/>
      <w:b/>
      <w:caps/>
      <w:sz w:val="24"/>
      <w:szCs w:val="22"/>
      <w:lang w:eastAsia="en-US"/>
    </w:rPr>
  </w:style>
  <w:style w:type="character" w:customStyle="1" w:styleId="SecurityClassificationHeaderChar">
    <w:name w:val="Security Classification Header Char"/>
    <w:basedOn w:val="HeaderChar"/>
    <w:link w:val="SecurityClassificationHeader"/>
    <w:rsid w:val="0068364A"/>
    <w:rPr>
      <w:rFonts w:ascii="Calibri" w:eastAsiaTheme="minorHAnsi" w:hAnsi="Calibri" w:cs="Calibri"/>
      <w:b/>
      <w:i w:val="0"/>
      <w:caps/>
      <w:sz w:val="24"/>
      <w:szCs w:val="22"/>
      <w:lang w:eastAsia="en-US"/>
    </w:rPr>
  </w:style>
  <w:style w:type="paragraph" w:customStyle="1" w:styleId="SecurityClassificationFooter">
    <w:name w:val="Security Classification Footer"/>
    <w:link w:val="SecurityClassificationFooterChar"/>
    <w:rsid w:val="0068364A"/>
    <w:pPr>
      <w:spacing w:before="60" w:after="240" w:line="259" w:lineRule="auto"/>
      <w:jc w:val="center"/>
    </w:pPr>
    <w:rPr>
      <w:rFonts w:ascii="Calibri" w:eastAsiaTheme="minorHAnsi" w:hAnsi="Calibri" w:cs="Calibri"/>
      <w:b/>
      <w:caps/>
      <w:sz w:val="24"/>
      <w:szCs w:val="22"/>
      <w:lang w:eastAsia="en-US"/>
    </w:rPr>
  </w:style>
  <w:style w:type="character" w:customStyle="1" w:styleId="SecurityClassificationFooterChar">
    <w:name w:val="Security Classification Footer Char"/>
    <w:basedOn w:val="HeaderChar"/>
    <w:link w:val="SecurityClassificationFooter"/>
    <w:rsid w:val="0068364A"/>
    <w:rPr>
      <w:rFonts w:ascii="Calibri" w:eastAsiaTheme="minorHAnsi" w:hAnsi="Calibri" w:cs="Calibri"/>
      <w:b/>
      <w:i w:val="0"/>
      <w:caps/>
      <w:sz w:val="24"/>
      <w:szCs w:val="22"/>
      <w:lang w:eastAsia="en-US"/>
    </w:rPr>
  </w:style>
  <w:style w:type="paragraph" w:customStyle="1" w:styleId="DLMSecurityHeader">
    <w:name w:val="DLM Security Header"/>
    <w:link w:val="DLMSecurityHeaderChar"/>
    <w:rsid w:val="0068364A"/>
    <w:pPr>
      <w:spacing w:before="60" w:after="240" w:line="259" w:lineRule="auto"/>
      <w:jc w:val="center"/>
    </w:pPr>
    <w:rPr>
      <w:rFonts w:ascii="Calibri" w:eastAsiaTheme="minorHAnsi" w:hAnsi="Calibri" w:cs="Calibri"/>
      <w:b/>
      <w:caps/>
      <w:sz w:val="24"/>
      <w:szCs w:val="22"/>
      <w:lang w:eastAsia="en-US"/>
    </w:rPr>
  </w:style>
  <w:style w:type="character" w:customStyle="1" w:styleId="DLMSecurityHeaderChar">
    <w:name w:val="DLM Security Header Char"/>
    <w:basedOn w:val="HeaderChar"/>
    <w:link w:val="DLMSecurityHeader"/>
    <w:rsid w:val="0068364A"/>
    <w:rPr>
      <w:rFonts w:ascii="Calibri" w:eastAsiaTheme="minorHAnsi" w:hAnsi="Calibri" w:cs="Calibri"/>
      <w:b/>
      <w:i w:val="0"/>
      <w:caps/>
      <w:sz w:val="24"/>
      <w:szCs w:val="22"/>
      <w:lang w:eastAsia="en-US"/>
    </w:rPr>
  </w:style>
  <w:style w:type="paragraph" w:customStyle="1" w:styleId="DLMSecurityFooter">
    <w:name w:val="DLM Security Footer"/>
    <w:link w:val="DLMSecurityFooterChar"/>
    <w:rsid w:val="0068364A"/>
    <w:pPr>
      <w:spacing w:before="240" w:after="60" w:line="259" w:lineRule="auto"/>
      <w:jc w:val="center"/>
    </w:pPr>
    <w:rPr>
      <w:rFonts w:ascii="Calibri" w:eastAsiaTheme="minorHAnsi" w:hAnsi="Calibri" w:cs="Calibri"/>
      <w:b/>
      <w:caps/>
      <w:sz w:val="24"/>
      <w:szCs w:val="22"/>
      <w:lang w:eastAsia="en-US"/>
    </w:rPr>
  </w:style>
  <w:style w:type="character" w:customStyle="1" w:styleId="DLMSecurityFooterChar">
    <w:name w:val="DLM Security Footer Char"/>
    <w:basedOn w:val="HeaderChar"/>
    <w:link w:val="DLMSecurityFooter"/>
    <w:rsid w:val="0068364A"/>
    <w:rPr>
      <w:rFonts w:ascii="Calibri" w:eastAsiaTheme="minorHAnsi" w:hAnsi="Calibri" w:cs="Calibri"/>
      <w:b/>
      <w:i w:val="0"/>
      <w:caps/>
      <w:sz w:val="24"/>
      <w:szCs w:val="22"/>
      <w:lang w:eastAsia="en-US"/>
    </w:rPr>
  </w:style>
  <w:style w:type="character" w:customStyle="1" w:styleId="Heading6Char">
    <w:name w:val="Heading 6 Char"/>
    <w:basedOn w:val="DefaultParagraphFont"/>
    <w:link w:val="Heading6"/>
    <w:rsid w:val="0068364A"/>
    <w:rPr>
      <w:rFonts w:ascii="Arial" w:hAnsi="Arial"/>
      <w:bCs/>
      <w:szCs w:val="22"/>
    </w:rPr>
  </w:style>
  <w:style w:type="paragraph" w:customStyle="1" w:styleId="BoxSubHeading">
    <w:name w:val="Box Sub Heading"/>
    <w:basedOn w:val="Heading6"/>
    <w:rsid w:val="0068364A"/>
    <w:pPr>
      <w:spacing w:before="120" w:after="40"/>
    </w:pPr>
  </w:style>
  <w:style w:type="paragraph" w:styleId="Caption">
    <w:name w:val="caption"/>
    <w:basedOn w:val="Normal"/>
    <w:next w:val="Normal"/>
    <w:rsid w:val="0068364A"/>
    <w:rPr>
      <w:b/>
      <w:bCs/>
    </w:rPr>
  </w:style>
  <w:style w:type="paragraph" w:customStyle="1" w:styleId="ChartMainHeading">
    <w:name w:val="Chart Main Heading"/>
    <w:basedOn w:val="Normal"/>
    <w:next w:val="ChartGraphic"/>
    <w:rsid w:val="0068364A"/>
    <w:pPr>
      <w:keepNext/>
      <w:spacing w:before="120" w:after="20" w:line="240" w:lineRule="auto"/>
      <w:jc w:val="center"/>
    </w:pPr>
    <w:rPr>
      <w:rFonts w:ascii="Arial Bold" w:hAnsi="Arial Bold"/>
      <w:b/>
    </w:rPr>
  </w:style>
  <w:style w:type="paragraph" w:customStyle="1" w:styleId="ContentsnoToC">
    <w:name w:val="Contents no ToC"/>
    <w:basedOn w:val="ContentsHeading"/>
    <w:rsid w:val="0068364A"/>
  </w:style>
  <w:style w:type="paragraph" w:styleId="DocumentMap">
    <w:name w:val="Document Map"/>
    <w:basedOn w:val="Normal"/>
    <w:link w:val="DocumentMapChar"/>
    <w:semiHidden/>
    <w:rsid w:val="0068364A"/>
    <w:pPr>
      <w:shd w:val="clear" w:color="auto" w:fill="000080"/>
    </w:pPr>
    <w:rPr>
      <w:rFonts w:ascii="Tahoma" w:hAnsi="Tahoma" w:cs="Tahoma"/>
    </w:rPr>
  </w:style>
  <w:style w:type="character" w:customStyle="1" w:styleId="DocumentMapChar">
    <w:name w:val="Document Map Char"/>
    <w:basedOn w:val="DefaultParagraphFont"/>
    <w:link w:val="DocumentMap"/>
    <w:semiHidden/>
    <w:rsid w:val="0068364A"/>
    <w:rPr>
      <w:rFonts w:ascii="Tahoma" w:hAnsi="Tahoma" w:cs="Tahoma"/>
      <w:shd w:val="clear" w:color="auto" w:fill="000080"/>
    </w:rPr>
  </w:style>
  <w:style w:type="character" w:styleId="EndnoteReference">
    <w:name w:val="endnote reference"/>
    <w:basedOn w:val="DefaultParagraphFont"/>
    <w:unhideWhenUsed/>
    <w:rsid w:val="0068364A"/>
    <w:rPr>
      <w:vertAlign w:val="superscript"/>
    </w:rPr>
  </w:style>
  <w:style w:type="paragraph" w:styleId="EndnoteText">
    <w:name w:val="endnote text"/>
    <w:basedOn w:val="Normal"/>
    <w:link w:val="EndnoteTextChar"/>
    <w:unhideWhenUsed/>
    <w:rsid w:val="0068364A"/>
  </w:style>
  <w:style w:type="character" w:customStyle="1" w:styleId="EndnoteTextChar">
    <w:name w:val="Endnote Text Char"/>
    <w:basedOn w:val="DefaultParagraphFont"/>
    <w:link w:val="EndnoteText"/>
    <w:rsid w:val="0068364A"/>
    <w:rPr>
      <w:rFonts w:ascii="Book Antiqua" w:hAnsi="Book Antiqua"/>
    </w:rPr>
  </w:style>
  <w:style w:type="paragraph" w:customStyle="1" w:styleId="FooterEven">
    <w:name w:val="Footer Even"/>
    <w:basedOn w:val="Footer"/>
    <w:rsid w:val="0068364A"/>
    <w:pPr>
      <w:jc w:val="left"/>
    </w:pPr>
    <w:rPr>
      <w:sz w:val="18"/>
    </w:rPr>
  </w:style>
  <w:style w:type="paragraph" w:customStyle="1" w:styleId="FooterOdd">
    <w:name w:val="Footer Odd"/>
    <w:basedOn w:val="Footer"/>
    <w:rsid w:val="0068364A"/>
    <w:pPr>
      <w:jc w:val="right"/>
    </w:pPr>
    <w:rPr>
      <w:sz w:val="18"/>
    </w:rPr>
  </w:style>
  <w:style w:type="character" w:customStyle="1" w:styleId="FootnoteTextChar">
    <w:name w:val="Footnote Text Char"/>
    <w:basedOn w:val="DefaultParagraphFont"/>
    <w:link w:val="FootnoteText"/>
    <w:rsid w:val="0068364A"/>
    <w:rPr>
      <w:rFonts w:ascii="Book Antiqua" w:hAnsi="Book Antiqua"/>
      <w:sz w:val="18"/>
    </w:rPr>
  </w:style>
  <w:style w:type="character" w:customStyle="1" w:styleId="Heading1Char">
    <w:name w:val="Heading 1 Char"/>
    <w:basedOn w:val="DefaultParagraphFont"/>
    <w:link w:val="Heading1"/>
    <w:rsid w:val="0068364A"/>
    <w:rPr>
      <w:rFonts w:ascii="Arial" w:hAnsi="Arial"/>
      <w:b/>
      <w:smallCaps/>
      <w:kern w:val="34"/>
      <w:sz w:val="34"/>
    </w:rPr>
  </w:style>
  <w:style w:type="character" w:customStyle="1" w:styleId="Heading2Char">
    <w:name w:val="Heading 2 Char"/>
    <w:basedOn w:val="DefaultParagraphFont"/>
    <w:link w:val="Heading2"/>
    <w:rsid w:val="0068364A"/>
    <w:rPr>
      <w:rFonts w:ascii="Arial Bold" w:hAnsi="Arial Bold"/>
      <w:b/>
      <w:smallCaps/>
      <w:sz w:val="26"/>
    </w:rPr>
  </w:style>
  <w:style w:type="character" w:customStyle="1" w:styleId="Heading5Char">
    <w:name w:val="Heading 5 Char"/>
    <w:basedOn w:val="DefaultParagraphFont"/>
    <w:link w:val="Heading5"/>
    <w:rsid w:val="0068364A"/>
    <w:rPr>
      <w:rFonts w:ascii="Arial" w:hAnsi="Arial"/>
      <w:b/>
      <w:bCs/>
      <w:iCs/>
      <w:szCs w:val="26"/>
    </w:rPr>
  </w:style>
  <w:style w:type="character" w:customStyle="1" w:styleId="Heading7Char">
    <w:name w:val="Heading 7 Char"/>
    <w:basedOn w:val="DefaultParagraphFont"/>
    <w:link w:val="Heading7"/>
    <w:rsid w:val="0068364A"/>
    <w:rPr>
      <w:rFonts w:ascii="Arial" w:hAnsi="Arial"/>
      <w:szCs w:val="24"/>
    </w:rPr>
  </w:style>
  <w:style w:type="character" w:customStyle="1" w:styleId="HiddenSequenceCode">
    <w:name w:val="Hidden Sequence Code"/>
    <w:basedOn w:val="DefaultParagraphFont"/>
    <w:rsid w:val="0068364A"/>
    <w:rPr>
      <w:rFonts w:ascii="Times New Roman" w:hAnsi="Times New Roman"/>
      <w:vanish/>
      <w:sz w:val="16"/>
    </w:rPr>
  </w:style>
  <w:style w:type="paragraph" w:styleId="Index4">
    <w:name w:val="index 4"/>
    <w:basedOn w:val="Normal"/>
    <w:next w:val="Normal"/>
    <w:autoRedefine/>
    <w:semiHidden/>
    <w:rsid w:val="0068364A"/>
    <w:pPr>
      <w:ind w:left="800" w:hanging="200"/>
    </w:pPr>
  </w:style>
  <w:style w:type="paragraph" w:styleId="Index5">
    <w:name w:val="index 5"/>
    <w:basedOn w:val="Normal"/>
    <w:next w:val="Normal"/>
    <w:autoRedefine/>
    <w:semiHidden/>
    <w:rsid w:val="0068364A"/>
    <w:pPr>
      <w:ind w:left="1000" w:hanging="200"/>
    </w:pPr>
  </w:style>
  <w:style w:type="paragraph" w:styleId="Index6">
    <w:name w:val="index 6"/>
    <w:basedOn w:val="Normal"/>
    <w:next w:val="Normal"/>
    <w:autoRedefine/>
    <w:semiHidden/>
    <w:rsid w:val="0068364A"/>
    <w:pPr>
      <w:ind w:left="1200" w:hanging="200"/>
    </w:pPr>
  </w:style>
  <w:style w:type="paragraph" w:styleId="Index7">
    <w:name w:val="index 7"/>
    <w:basedOn w:val="Normal"/>
    <w:next w:val="Normal"/>
    <w:autoRedefine/>
    <w:semiHidden/>
    <w:rsid w:val="0068364A"/>
    <w:pPr>
      <w:ind w:left="1400" w:hanging="200"/>
    </w:pPr>
  </w:style>
  <w:style w:type="paragraph" w:styleId="Index9">
    <w:name w:val="index 9"/>
    <w:basedOn w:val="Normal"/>
    <w:next w:val="Normal"/>
    <w:autoRedefine/>
    <w:semiHidden/>
    <w:rsid w:val="0068364A"/>
    <w:pPr>
      <w:ind w:left="1800" w:hanging="200"/>
    </w:pPr>
  </w:style>
  <w:style w:type="paragraph" w:styleId="MacroText">
    <w:name w:val="macro"/>
    <w:link w:val="MacroTextChar"/>
    <w:unhideWhenUsed/>
    <w:rsid w:val="0068364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character" w:customStyle="1" w:styleId="MacroTextChar">
    <w:name w:val="Macro Text Char"/>
    <w:basedOn w:val="DefaultParagraphFont"/>
    <w:link w:val="MacroText"/>
    <w:rsid w:val="0068364A"/>
    <w:rPr>
      <w:rFonts w:ascii="Courier New" w:hAnsi="Courier New" w:cs="Courier New"/>
    </w:rPr>
  </w:style>
  <w:style w:type="paragraph" w:styleId="NormalIndent">
    <w:name w:val="Normal Indent"/>
    <w:basedOn w:val="Normal"/>
    <w:rsid w:val="0068364A"/>
    <w:pPr>
      <w:ind w:left="567"/>
    </w:pPr>
  </w:style>
  <w:style w:type="paragraph" w:customStyle="1" w:styleId="SourceBox">
    <w:name w:val="Source Box"/>
    <w:basedOn w:val="Source"/>
    <w:rsid w:val="0068364A"/>
    <w:pPr>
      <w:spacing w:after="120"/>
    </w:pPr>
  </w:style>
  <w:style w:type="paragraph" w:customStyle="1" w:styleId="TableColumnHeadingBase">
    <w:name w:val="Table Column Heading Base"/>
    <w:basedOn w:val="Normal"/>
    <w:rsid w:val="0068364A"/>
    <w:pPr>
      <w:spacing w:before="40" w:after="40" w:line="240" w:lineRule="auto"/>
      <w:jc w:val="left"/>
    </w:pPr>
    <w:rPr>
      <w:rFonts w:ascii="Arial Bold" w:hAnsi="Arial Bold"/>
      <w:b/>
      <w:sz w:val="16"/>
    </w:rPr>
  </w:style>
  <w:style w:type="paragraph" w:customStyle="1" w:styleId="TableColumnHeadingS119pt">
    <w:name w:val="Table Column Heading S11 9 pt"/>
    <w:basedOn w:val="TableColumnHeadingBase"/>
    <w:rsid w:val="0068364A"/>
    <w:pPr>
      <w:spacing w:before="60" w:after="60"/>
    </w:pPr>
    <w:rPr>
      <w:rFonts w:ascii="Arial" w:hAnsi="Arial"/>
      <w:sz w:val="18"/>
    </w:rPr>
  </w:style>
  <w:style w:type="paragraph" w:styleId="TableofAuthorities">
    <w:name w:val="table of authorities"/>
    <w:basedOn w:val="Normal"/>
    <w:next w:val="Normal"/>
    <w:rsid w:val="0068364A"/>
    <w:pPr>
      <w:ind w:left="200" w:hanging="200"/>
    </w:pPr>
  </w:style>
  <w:style w:type="paragraph" w:styleId="TableofFigures">
    <w:name w:val="table of figures"/>
    <w:basedOn w:val="Normal"/>
    <w:next w:val="Normal"/>
    <w:rsid w:val="0068364A"/>
  </w:style>
  <w:style w:type="paragraph" w:customStyle="1" w:styleId="TableTextBase">
    <w:name w:val="Table Text Base"/>
    <w:basedOn w:val="Normal"/>
    <w:rsid w:val="0068364A"/>
    <w:pPr>
      <w:spacing w:before="20" w:after="20" w:line="240" w:lineRule="auto"/>
      <w:jc w:val="left"/>
    </w:pPr>
    <w:rPr>
      <w:rFonts w:ascii="Arial" w:hAnsi="Arial"/>
      <w:sz w:val="16"/>
    </w:rPr>
  </w:style>
  <w:style w:type="paragraph" w:styleId="TOAHeading">
    <w:name w:val="toa heading"/>
    <w:basedOn w:val="Normal"/>
    <w:next w:val="Normal"/>
    <w:rsid w:val="0068364A"/>
    <w:pPr>
      <w:spacing w:before="120"/>
    </w:pPr>
    <w:rPr>
      <w:rFonts w:ascii="Arial" w:hAnsi="Arial" w:cs="Arial"/>
      <w:b/>
      <w:bCs/>
      <w:sz w:val="24"/>
      <w:szCs w:val="24"/>
    </w:rPr>
  </w:style>
  <w:style w:type="paragraph" w:styleId="TOC9">
    <w:name w:val="toc 9"/>
    <w:basedOn w:val="Normal"/>
    <w:next w:val="Normal"/>
    <w:autoRedefine/>
    <w:uiPriority w:val="2"/>
    <w:semiHidden/>
    <w:rsid w:val="0068364A"/>
    <w:pPr>
      <w:ind w:left="1600"/>
    </w:pPr>
  </w:style>
  <w:style w:type="paragraph" w:customStyle="1" w:styleId="TPHeading1">
    <w:name w:val="TP Heading 1"/>
    <w:basedOn w:val="HeadingBase"/>
    <w:semiHidden/>
    <w:rsid w:val="0068364A"/>
    <w:pPr>
      <w:spacing w:before="60" w:after="60"/>
      <w:ind w:left="1134"/>
    </w:pPr>
    <w:rPr>
      <w:rFonts w:ascii="Arial Bold" w:hAnsi="Arial Bold"/>
      <w:b/>
      <w:caps/>
      <w:spacing w:val="-10"/>
      <w:sz w:val="28"/>
    </w:rPr>
  </w:style>
  <w:style w:type="paragraph" w:customStyle="1" w:styleId="TPHeading2">
    <w:name w:val="TP Heading 2"/>
    <w:basedOn w:val="HeadingBase"/>
    <w:semiHidden/>
    <w:rsid w:val="0068364A"/>
    <w:pPr>
      <w:ind w:left="1134"/>
    </w:pPr>
    <w:rPr>
      <w:caps/>
      <w:spacing w:val="-10"/>
      <w:sz w:val="28"/>
    </w:rPr>
  </w:style>
  <w:style w:type="paragraph" w:customStyle="1" w:styleId="TPHeading3">
    <w:name w:val="TP Heading 3"/>
    <w:basedOn w:val="HeadingBase"/>
    <w:semiHidden/>
    <w:rsid w:val="0068364A"/>
    <w:pPr>
      <w:ind w:left="1134"/>
    </w:pPr>
    <w:rPr>
      <w:caps/>
      <w:spacing w:val="-10"/>
    </w:rPr>
  </w:style>
  <w:style w:type="paragraph" w:customStyle="1" w:styleId="TPHeading3bold">
    <w:name w:val="TP Heading 3 bold"/>
    <w:basedOn w:val="TPHeading3"/>
    <w:semiHidden/>
    <w:rsid w:val="0068364A"/>
    <w:rPr>
      <w:rFonts w:cs="Arial"/>
      <w:b/>
      <w:sz w:val="22"/>
      <w:szCs w:val="22"/>
    </w:rPr>
  </w:style>
  <w:style w:type="paragraph" w:customStyle="1" w:styleId="TPHEADING3boldspace">
    <w:name w:val="TP HEADING 3 bold space"/>
    <w:basedOn w:val="TPHeading3bold"/>
    <w:semiHidden/>
    <w:rsid w:val="0068364A"/>
    <w:pPr>
      <w:spacing w:after="120"/>
    </w:pPr>
  </w:style>
  <w:style w:type="paragraph" w:customStyle="1" w:styleId="TPHEADING3space">
    <w:name w:val="TP HEADING 3 space"/>
    <w:basedOn w:val="TPHeading3"/>
    <w:semiHidden/>
    <w:rsid w:val="0068364A"/>
    <w:pPr>
      <w:spacing w:before="120" w:after="120"/>
    </w:pPr>
    <w:rPr>
      <w:rFonts w:cs="Arial"/>
      <w:sz w:val="22"/>
      <w:szCs w:val="22"/>
    </w:rPr>
  </w:style>
  <w:style w:type="paragraph" w:customStyle="1" w:styleId="TPHeading4">
    <w:name w:val="TP Heading 4"/>
    <w:basedOn w:val="TPHeading3"/>
    <w:semiHidden/>
    <w:rsid w:val="0068364A"/>
    <w:rPr>
      <w:sz w:val="20"/>
    </w:rPr>
  </w:style>
  <w:style w:type="paragraph" w:customStyle="1" w:styleId="TPHEADING4space">
    <w:name w:val="TP HEADING 4 space"/>
    <w:basedOn w:val="TPHEADING3space"/>
    <w:semiHidden/>
    <w:rsid w:val="00683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9071">
      <w:bodyDiv w:val="1"/>
      <w:marLeft w:val="0"/>
      <w:marRight w:val="0"/>
      <w:marTop w:val="0"/>
      <w:marBottom w:val="0"/>
      <w:divBdr>
        <w:top w:val="none" w:sz="0" w:space="0" w:color="auto"/>
        <w:left w:val="none" w:sz="0" w:space="0" w:color="auto"/>
        <w:bottom w:val="none" w:sz="0" w:space="0" w:color="auto"/>
        <w:right w:val="none" w:sz="0" w:space="0" w:color="auto"/>
      </w:divBdr>
    </w:div>
    <w:div w:id="137379582">
      <w:bodyDiv w:val="1"/>
      <w:marLeft w:val="0"/>
      <w:marRight w:val="0"/>
      <w:marTop w:val="0"/>
      <w:marBottom w:val="0"/>
      <w:divBdr>
        <w:top w:val="none" w:sz="0" w:space="0" w:color="auto"/>
        <w:left w:val="none" w:sz="0" w:space="0" w:color="auto"/>
        <w:bottom w:val="none" w:sz="0" w:space="0" w:color="auto"/>
        <w:right w:val="none" w:sz="0" w:space="0" w:color="auto"/>
      </w:divBdr>
    </w:div>
    <w:div w:id="231082615">
      <w:bodyDiv w:val="1"/>
      <w:marLeft w:val="0"/>
      <w:marRight w:val="0"/>
      <w:marTop w:val="0"/>
      <w:marBottom w:val="0"/>
      <w:divBdr>
        <w:top w:val="none" w:sz="0" w:space="0" w:color="auto"/>
        <w:left w:val="none" w:sz="0" w:space="0" w:color="auto"/>
        <w:bottom w:val="none" w:sz="0" w:space="0" w:color="auto"/>
        <w:right w:val="none" w:sz="0" w:space="0" w:color="auto"/>
      </w:divBdr>
    </w:div>
    <w:div w:id="415132454">
      <w:bodyDiv w:val="1"/>
      <w:marLeft w:val="0"/>
      <w:marRight w:val="0"/>
      <w:marTop w:val="0"/>
      <w:marBottom w:val="0"/>
      <w:divBdr>
        <w:top w:val="none" w:sz="0" w:space="0" w:color="auto"/>
        <w:left w:val="none" w:sz="0" w:space="0" w:color="auto"/>
        <w:bottom w:val="none" w:sz="0" w:space="0" w:color="auto"/>
        <w:right w:val="none" w:sz="0" w:space="0" w:color="auto"/>
      </w:divBdr>
    </w:div>
    <w:div w:id="418410196">
      <w:bodyDiv w:val="1"/>
      <w:marLeft w:val="0"/>
      <w:marRight w:val="0"/>
      <w:marTop w:val="0"/>
      <w:marBottom w:val="0"/>
      <w:divBdr>
        <w:top w:val="none" w:sz="0" w:space="0" w:color="auto"/>
        <w:left w:val="none" w:sz="0" w:space="0" w:color="auto"/>
        <w:bottom w:val="none" w:sz="0" w:space="0" w:color="auto"/>
        <w:right w:val="none" w:sz="0" w:space="0" w:color="auto"/>
      </w:divBdr>
      <w:divsChild>
        <w:div w:id="1671711766">
          <w:marLeft w:val="0"/>
          <w:marRight w:val="0"/>
          <w:marTop w:val="0"/>
          <w:marBottom w:val="0"/>
          <w:divBdr>
            <w:top w:val="none" w:sz="0" w:space="0" w:color="auto"/>
            <w:left w:val="none" w:sz="0" w:space="0" w:color="auto"/>
            <w:bottom w:val="none" w:sz="0" w:space="0" w:color="auto"/>
            <w:right w:val="none" w:sz="0" w:space="0" w:color="auto"/>
          </w:divBdr>
          <w:divsChild>
            <w:div w:id="1123691372">
              <w:marLeft w:val="0"/>
              <w:marRight w:val="0"/>
              <w:marTop w:val="0"/>
              <w:marBottom w:val="0"/>
              <w:divBdr>
                <w:top w:val="none" w:sz="0" w:space="0" w:color="auto"/>
                <w:left w:val="none" w:sz="0" w:space="0" w:color="auto"/>
                <w:bottom w:val="none" w:sz="0" w:space="0" w:color="auto"/>
                <w:right w:val="none" w:sz="0" w:space="0" w:color="auto"/>
              </w:divBdr>
              <w:divsChild>
                <w:div w:id="1879276751">
                  <w:marLeft w:val="-225"/>
                  <w:marRight w:val="-225"/>
                  <w:marTop w:val="0"/>
                  <w:marBottom w:val="0"/>
                  <w:divBdr>
                    <w:top w:val="none" w:sz="0" w:space="0" w:color="auto"/>
                    <w:left w:val="none" w:sz="0" w:space="0" w:color="auto"/>
                    <w:bottom w:val="none" w:sz="0" w:space="0" w:color="auto"/>
                    <w:right w:val="none" w:sz="0" w:space="0" w:color="auto"/>
                  </w:divBdr>
                  <w:divsChild>
                    <w:div w:id="682635330">
                      <w:marLeft w:val="0"/>
                      <w:marRight w:val="0"/>
                      <w:marTop w:val="0"/>
                      <w:marBottom w:val="0"/>
                      <w:divBdr>
                        <w:top w:val="none" w:sz="0" w:space="0" w:color="auto"/>
                        <w:left w:val="none" w:sz="0" w:space="0" w:color="auto"/>
                        <w:bottom w:val="none" w:sz="0" w:space="0" w:color="auto"/>
                        <w:right w:val="none" w:sz="0" w:space="0" w:color="auto"/>
                      </w:divBdr>
                      <w:divsChild>
                        <w:div w:id="313871046">
                          <w:marLeft w:val="0"/>
                          <w:marRight w:val="0"/>
                          <w:marTop w:val="0"/>
                          <w:marBottom w:val="0"/>
                          <w:divBdr>
                            <w:top w:val="single" w:sz="6" w:space="15" w:color="869CA6"/>
                            <w:left w:val="none" w:sz="0" w:space="0" w:color="auto"/>
                            <w:bottom w:val="none" w:sz="0" w:space="0" w:color="auto"/>
                            <w:right w:val="none" w:sz="0" w:space="0" w:color="auto"/>
                          </w:divBdr>
                        </w:div>
                      </w:divsChild>
                    </w:div>
                  </w:divsChild>
                </w:div>
              </w:divsChild>
            </w:div>
          </w:divsChild>
        </w:div>
      </w:divsChild>
    </w:div>
    <w:div w:id="432434926">
      <w:bodyDiv w:val="1"/>
      <w:marLeft w:val="0"/>
      <w:marRight w:val="0"/>
      <w:marTop w:val="0"/>
      <w:marBottom w:val="0"/>
      <w:divBdr>
        <w:top w:val="none" w:sz="0" w:space="0" w:color="auto"/>
        <w:left w:val="none" w:sz="0" w:space="0" w:color="auto"/>
        <w:bottom w:val="none" w:sz="0" w:space="0" w:color="auto"/>
        <w:right w:val="none" w:sz="0" w:space="0" w:color="auto"/>
      </w:divBdr>
    </w:div>
    <w:div w:id="451288168">
      <w:bodyDiv w:val="1"/>
      <w:marLeft w:val="0"/>
      <w:marRight w:val="0"/>
      <w:marTop w:val="0"/>
      <w:marBottom w:val="0"/>
      <w:divBdr>
        <w:top w:val="none" w:sz="0" w:space="0" w:color="auto"/>
        <w:left w:val="none" w:sz="0" w:space="0" w:color="auto"/>
        <w:bottom w:val="none" w:sz="0" w:space="0" w:color="auto"/>
        <w:right w:val="none" w:sz="0" w:space="0" w:color="auto"/>
      </w:divBdr>
    </w:div>
    <w:div w:id="492257960">
      <w:bodyDiv w:val="1"/>
      <w:marLeft w:val="0"/>
      <w:marRight w:val="0"/>
      <w:marTop w:val="0"/>
      <w:marBottom w:val="0"/>
      <w:divBdr>
        <w:top w:val="none" w:sz="0" w:space="0" w:color="auto"/>
        <w:left w:val="none" w:sz="0" w:space="0" w:color="auto"/>
        <w:bottom w:val="none" w:sz="0" w:space="0" w:color="auto"/>
        <w:right w:val="none" w:sz="0" w:space="0" w:color="auto"/>
      </w:divBdr>
    </w:div>
    <w:div w:id="505480250">
      <w:bodyDiv w:val="1"/>
      <w:marLeft w:val="0"/>
      <w:marRight w:val="0"/>
      <w:marTop w:val="0"/>
      <w:marBottom w:val="0"/>
      <w:divBdr>
        <w:top w:val="none" w:sz="0" w:space="0" w:color="auto"/>
        <w:left w:val="none" w:sz="0" w:space="0" w:color="auto"/>
        <w:bottom w:val="none" w:sz="0" w:space="0" w:color="auto"/>
        <w:right w:val="none" w:sz="0" w:space="0" w:color="auto"/>
      </w:divBdr>
    </w:div>
    <w:div w:id="668486698">
      <w:bodyDiv w:val="1"/>
      <w:marLeft w:val="0"/>
      <w:marRight w:val="0"/>
      <w:marTop w:val="0"/>
      <w:marBottom w:val="0"/>
      <w:divBdr>
        <w:top w:val="none" w:sz="0" w:space="0" w:color="auto"/>
        <w:left w:val="none" w:sz="0" w:space="0" w:color="auto"/>
        <w:bottom w:val="none" w:sz="0" w:space="0" w:color="auto"/>
        <w:right w:val="none" w:sz="0" w:space="0" w:color="auto"/>
      </w:divBdr>
      <w:divsChild>
        <w:div w:id="1579291754">
          <w:marLeft w:val="0"/>
          <w:marRight w:val="0"/>
          <w:marTop w:val="0"/>
          <w:marBottom w:val="0"/>
          <w:divBdr>
            <w:top w:val="none" w:sz="0" w:space="0" w:color="auto"/>
            <w:left w:val="none" w:sz="0" w:space="0" w:color="auto"/>
            <w:bottom w:val="none" w:sz="0" w:space="0" w:color="auto"/>
            <w:right w:val="none" w:sz="0" w:space="0" w:color="auto"/>
          </w:divBdr>
          <w:divsChild>
            <w:div w:id="1178933669">
              <w:marLeft w:val="0"/>
              <w:marRight w:val="0"/>
              <w:marTop w:val="0"/>
              <w:marBottom w:val="0"/>
              <w:divBdr>
                <w:top w:val="none" w:sz="0" w:space="0" w:color="auto"/>
                <w:left w:val="none" w:sz="0" w:space="0" w:color="auto"/>
                <w:bottom w:val="none" w:sz="0" w:space="0" w:color="auto"/>
                <w:right w:val="none" w:sz="0" w:space="0" w:color="auto"/>
              </w:divBdr>
              <w:divsChild>
                <w:div w:id="1080102177">
                  <w:marLeft w:val="-225"/>
                  <w:marRight w:val="-225"/>
                  <w:marTop w:val="0"/>
                  <w:marBottom w:val="0"/>
                  <w:divBdr>
                    <w:top w:val="none" w:sz="0" w:space="0" w:color="auto"/>
                    <w:left w:val="none" w:sz="0" w:space="0" w:color="auto"/>
                    <w:bottom w:val="none" w:sz="0" w:space="0" w:color="auto"/>
                    <w:right w:val="none" w:sz="0" w:space="0" w:color="auto"/>
                  </w:divBdr>
                  <w:divsChild>
                    <w:div w:id="1131216911">
                      <w:marLeft w:val="0"/>
                      <w:marRight w:val="0"/>
                      <w:marTop w:val="0"/>
                      <w:marBottom w:val="0"/>
                      <w:divBdr>
                        <w:top w:val="none" w:sz="0" w:space="0" w:color="auto"/>
                        <w:left w:val="none" w:sz="0" w:space="0" w:color="auto"/>
                        <w:bottom w:val="none" w:sz="0" w:space="0" w:color="auto"/>
                        <w:right w:val="none" w:sz="0" w:space="0" w:color="auto"/>
                      </w:divBdr>
                      <w:divsChild>
                        <w:div w:id="1402019237">
                          <w:marLeft w:val="0"/>
                          <w:marRight w:val="0"/>
                          <w:marTop w:val="0"/>
                          <w:marBottom w:val="0"/>
                          <w:divBdr>
                            <w:top w:val="single" w:sz="6" w:space="15" w:color="869CA6"/>
                            <w:left w:val="none" w:sz="0" w:space="0" w:color="auto"/>
                            <w:bottom w:val="none" w:sz="0" w:space="0" w:color="auto"/>
                            <w:right w:val="none" w:sz="0" w:space="0" w:color="auto"/>
                          </w:divBdr>
                        </w:div>
                      </w:divsChild>
                    </w:div>
                  </w:divsChild>
                </w:div>
              </w:divsChild>
            </w:div>
          </w:divsChild>
        </w:div>
      </w:divsChild>
    </w:div>
    <w:div w:id="700397783">
      <w:bodyDiv w:val="1"/>
      <w:marLeft w:val="0"/>
      <w:marRight w:val="0"/>
      <w:marTop w:val="0"/>
      <w:marBottom w:val="0"/>
      <w:divBdr>
        <w:top w:val="none" w:sz="0" w:space="0" w:color="auto"/>
        <w:left w:val="none" w:sz="0" w:space="0" w:color="auto"/>
        <w:bottom w:val="none" w:sz="0" w:space="0" w:color="auto"/>
        <w:right w:val="none" w:sz="0" w:space="0" w:color="auto"/>
      </w:divBdr>
    </w:div>
    <w:div w:id="719983946">
      <w:bodyDiv w:val="1"/>
      <w:marLeft w:val="0"/>
      <w:marRight w:val="0"/>
      <w:marTop w:val="0"/>
      <w:marBottom w:val="0"/>
      <w:divBdr>
        <w:top w:val="none" w:sz="0" w:space="0" w:color="auto"/>
        <w:left w:val="none" w:sz="0" w:space="0" w:color="auto"/>
        <w:bottom w:val="none" w:sz="0" w:space="0" w:color="auto"/>
        <w:right w:val="none" w:sz="0" w:space="0" w:color="auto"/>
      </w:divBdr>
    </w:div>
    <w:div w:id="759568217">
      <w:bodyDiv w:val="1"/>
      <w:marLeft w:val="0"/>
      <w:marRight w:val="0"/>
      <w:marTop w:val="0"/>
      <w:marBottom w:val="0"/>
      <w:divBdr>
        <w:top w:val="none" w:sz="0" w:space="0" w:color="auto"/>
        <w:left w:val="none" w:sz="0" w:space="0" w:color="auto"/>
        <w:bottom w:val="none" w:sz="0" w:space="0" w:color="auto"/>
        <w:right w:val="none" w:sz="0" w:space="0" w:color="auto"/>
      </w:divBdr>
    </w:div>
    <w:div w:id="788360095">
      <w:bodyDiv w:val="1"/>
      <w:marLeft w:val="0"/>
      <w:marRight w:val="0"/>
      <w:marTop w:val="0"/>
      <w:marBottom w:val="0"/>
      <w:divBdr>
        <w:top w:val="none" w:sz="0" w:space="0" w:color="auto"/>
        <w:left w:val="none" w:sz="0" w:space="0" w:color="auto"/>
        <w:bottom w:val="none" w:sz="0" w:space="0" w:color="auto"/>
        <w:right w:val="none" w:sz="0" w:space="0" w:color="auto"/>
      </w:divBdr>
    </w:div>
    <w:div w:id="834688616">
      <w:bodyDiv w:val="1"/>
      <w:marLeft w:val="0"/>
      <w:marRight w:val="0"/>
      <w:marTop w:val="0"/>
      <w:marBottom w:val="0"/>
      <w:divBdr>
        <w:top w:val="none" w:sz="0" w:space="0" w:color="auto"/>
        <w:left w:val="none" w:sz="0" w:space="0" w:color="auto"/>
        <w:bottom w:val="none" w:sz="0" w:space="0" w:color="auto"/>
        <w:right w:val="none" w:sz="0" w:space="0" w:color="auto"/>
      </w:divBdr>
      <w:divsChild>
        <w:div w:id="509871883">
          <w:marLeft w:val="0"/>
          <w:marRight w:val="0"/>
          <w:marTop w:val="0"/>
          <w:marBottom w:val="0"/>
          <w:divBdr>
            <w:top w:val="none" w:sz="0" w:space="0" w:color="auto"/>
            <w:left w:val="none" w:sz="0" w:space="0" w:color="auto"/>
            <w:bottom w:val="none" w:sz="0" w:space="0" w:color="auto"/>
            <w:right w:val="none" w:sz="0" w:space="0" w:color="auto"/>
          </w:divBdr>
          <w:divsChild>
            <w:div w:id="436561374">
              <w:marLeft w:val="0"/>
              <w:marRight w:val="0"/>
              <w:marTop w:val="0"/>
              <w:marBottom w:val="0"/>
              <w:divBdr>
                <w:top w:val="none" w:sz="0" w:space="0" w:color="auto"/>
                <w:left w:val="none" w:sz="0" w:space="0" w:color="auto"/>
                <w:bottom w:val="none" w:sz="0" w:space="0" w:color="auto"/>
                <w:right w:val="none" w:sz="0" w:space="0" w:color="auto"/>
              </w:divBdr>
              <w:divsChild>
                <w:div w:id="1956516339">
                  <w:marLeft w:val="-225"/>
                  <w:marRight w:val="-225"/>
                  <w:marTop w:val="0"/>
                  <w:marBottom w:val="0"/>
                  <w:divBdr>
                    <w:top w:val="none" w:sz="0" w:space="0" w:color="auto"/>
                    <w:left w:val="none" w:sz="0" w:space="0" w:color="auto"/>
                    <w:bottom w:val="none" w:sz="0" w:space="0" w:color="auto"/>
                    <w:right w:val="none" w:sz="0" w:space="0" w:color="auto"/>
                  </w:divBdr>
                  <w:divsChild>
                    <w:div w:id="613485989">
                      <w:marLeft w:val="0"/>
                      <w:marRight w:val="0"/>
                      <w:marTop w:val="0"/>
                      <w:marBottom w:val="0"/>
                      <w:divBdr>
                        <w:top w:val="none" w:sz="0" w:space="0" w:color="auto"/>
                        <w:left w:val="none" w:sz="0" w:space="0" w:color="auto"/>
                        <w:bottom w:val="none" w:sz="0" w:space="0" w:color="auto"/>
                        <w:right w:val="none" w:sz="0" w:space="0" w:color="auto"/>
                      </w:divBdr>
                      <w:divsChild>
                        <w:div w:id="6250557">
                          <w:marLeft w:val="0"/>
                          <w:marRight w:val="0"/>
                          <w:marTop w:val="0"/>
                          <w:marBottom w:val="0"/>
                          <w:divBdr>
                            <w:top w:val="single" w:sz="6" w:space="15" w:color="869CA6"/>
                            <w:left w:val="none" w:sz="0" w:space="0" w:color="auto"/>
                            <w:bottom w:val="none" w:sz="0" w:space="0" w:color="auto"/>
                            <w:right w:val="none" w:sz="0" w:space="0" w:color="auto"/>
                          </w:divBdr>
                        </w:div>
                      </w:divsChild>
                    </w:div>
                  </w:divsChild>
                </w:div>
              </w:divsChild>
            </w:div>
          </w:divsChild>
        </w:div>
      </w:divsChild>
    </w:div>
    <w:div w:id="881866509">
      <w:bodyDiv w:val="1"/>
      <w:marLeft w:val="0"/>
      <w:marRight w:val="0"/>
      <w:marTop w:val="0"/>
      <w:marBottom w:val="0"/>
      <w:divBdr>
        <w:top w:val="none" w:sz="0" w:space="0" w:color="auto"/>
        <w:left w:val="none" w:sz="0" w:space="0" w:color="auto"/>
        <w:bottom w:val="none" w:sz="0" w:space="0" w:color="auto"/>
        <w:right w:val="none" w:sz="0" w:space="0" w:color="auto"/>
      </w:divBdr>
    </w:div>
    <w:div w:id="883829403">
      <w:bodyDiv w:val="1"/>
      <w:marLeft w:val="0"/>
      <w:marRight w:val="0"/>
      <w:marTop w:val="0"/>
      <w:marBottom w:val="0"/>
      <w:divBdr>
        <w:top w:val="none" w:sz="0" w:space="0" w:color="auto"/>
        <w:left w:val="none" w:sz="0" w:space="0" w:color="auto"/>
        <w:bottom w:val="none" w:sz="0" w:space="0" w:color="auto"/>
        <w:right w:val="none" w:sz="0" w:space="0" w:color="auto"/>
      </w:divBdr>
    </w:div>
    <w:div w:id="898907433">
      <w:bodyDiv w:val="1"/>
      <w:marLeft w:val="0"/>
      <w:marRight w:val="0"/>
      <w:marTop w:val="0"/>
      <w:marBottom w:val="0"/>
      <w:divBdr>
        <w:top w:val="none" w:sz="0" w:space="0" w:color="auto"/>
        <w:left w:val="none" w:sz="0" w:space="0" w:color="auto"/>
        <w:bottom w:val="none" w:sz="0" w:space="0" w:color="auto"/>
        <w:right w:val="none" w:sz="0" w:space="0" w:color="auto"/>
      </w:divBdr>
    </w:div>
    <w:div w:id="971445885">
      <w:bodyDiv w:val="1"/>
      <w:marLeft w:val="0"/>
      <w:marRight w:val="0"/>
      <w:marTop w:val="0"/>
      <w:marBottom w:val="0"/>
      <w:divBdr>
        <w:top w:val="none" w:sz="0" w:space="0" w:color="auto"/>
        <w:left w:val="none" w:sz="0" w:space="0" w:color="auto"/>
        <w:bottom w:val="none" w:sz="0" w:space="0" w:color="auto"/>
        <w:right w:val="none" w:sz="0" w:space="0" w:color="auto"/>
      </w:divBdr>
    </w:div>
    <w:div w:id="989214624">
      <w:bodyDiv w:val="1"/>
      <w:marLeft w:val="0"/>
      <w:marRight w:val="0"/>
      <w:marTop w:val="0"/>
      <w:marBottom w:val="0"/>
      <w:divBdr>
        <w:top w:val="none" w:sz="0" w:space="0" w:color="auto"/>
        <w:left w:val="none" w:sz="0" w:space="0" w:color="auto"/>
        <w:bottom w:val="none" w:sz="0" w:space="0" w:color="auto"/>
        <w:right w:val="none" w:sz="0" w:space="0" w:color="auto"/>
      </w:divBdr>
    </w:div>
    <w:div w:id="1094059500">
      <w:bodyDiv w:val="1"/>
      <w:marLeft w:val="0"/>
      <w:marRight w:val="0"/>
      <w:marTop w:val="0"/>
      <w:marBottom w:val="0"/>
      <w:divBdr>
        <w:top w:val="none" w:sz="0" w:space="0" w:color="auto"/>
        <w:left w:val="none" w:sz="0" w:space="0" w:color="auto"/>
        <w:bottom w:val="none" w:sz="0" w:space="0" w:color="auto"/>
        <w:right w:val="none" w:sz="0" w:space="0" w:color="auto"/>
      </w:divBdr>
      <w:divsChild>
        <w:div w:id="249773669">
          <w:marLeft w:val="0"/>
          <w:marRight w:val="0"/>
          <w:marTop w:val="0"/>
          <w:marBottom w:val="0"/>
          <w:divBdr>
            <w:top w:val="none" w:sz="0" w:space="0" w:color="auto"/>
            <w:left w:val="none" w:sz="0" w:space="0" w:color="auto"/>
            <w:bottom w:val="none" w:sz="0" w:space="0" w:color="auto"/>
            <w:right w:val="none" w:sz="0" w:space="0" w:color="auto"/>
          </w:divBdr>
          <w:divsChild>
            <w:div w:id="1088498518">
              <w:marLeft w:val="0"/>
              <w:marRight w:val="0"/>
              <w:marTop w:val="0"/>
              <w:marBottom w:val="0"/>
              <w:divBdr>
                <w:top w:val="none" w:sz="0" w:space="0" w:color="auto"/>
                <w:left w:val="none" w:sz="0" w:space="0" w:color="auto"/>
                <w:bottom w:val="none" w:sz="0" w:space="0" w:color="auto"/>
                <w:right w:val="none" w:sz="0" w:space="0" w:color="auto"/>
              </w:divBdr>
              <w:divsChild>
                <w:div w:id="1318923639">
                  <w:marLeft w:val="-225"/>
                  <w:marRight w:val="-225"/>
                  <w:marTop w:val="0"/>
                  <w:marBottom w:val="0"/>
                  <w:divBdr>
                    <w:top w:val="none" w:sz="0" w:space="0" w:color="auto"/>
                    <w:left w:val="none" w:sz="0" w:space="0" w:color="auto"/>
                    <w:bottom w:val="none" w:sz="0" w:space="0" w:color="auto"/>
                    <w:right w:val="none" w:sz="0" w:space="0" w:color="auto"/>
                  </w:divBdr>
                  <w:divsChild>
                    <w:div w:id="1885556396">
                      <w:marLeft w:val="0"/>
                      <w:marRight w:val="0"/>
                      <w:marTop w:val="0"/>
                      <w:marBottom w:val="0"/>
                      <w:divBdr>
                        <w:top w:val="none" w:sz="0" w:space="0" w:color="auto"/>
                        <w:left w:val="none" w:sz="0" w:space="0" w:color="auto"/>
                        <w:bottom w:val="none" w:sz="0" w:space="0" w:color="auto"/>
                        <w:right w:val="none" w:sz="0" w:space="0" w:color="auto"/>
                      </w:divBdr>
                      <w:divsChild>
                        <w:div w:id="245654204">
                          <w:marLeft w:val="0"/>
                          <w:marRight w:val="0"/>
                          <w:marTop w:val="0"/>
                          <w:marBottom w:val="0"/>
                          <w:divBdr>
                            <w:top w:val="single" w:sz="6" w:space="15" w:color="869CA6"/>
                            <w:left w:val="none" w:sz="0" w:space="0" w:color="auto"/>
                            <w:bottom w:val="none" w:sz="0" w:space="0" w:color="auto"/>
                            <w:right w:val="none" w:sz="0" w:space="0" w:color="auto"/>
                          </w:divBdr>
                        </w:div>
                      </w:divsChild>
                    </w:div>
                  </w:divsChild>
                </w:div>
              </w:divsChild>
            </w:div>
          </w:divsChild>
        </w:div>
      </w:divsChild>
    </w:div>
    <w:div w:id="1106074739">
      <w:bodyDiv w:val="1"/>
      <w:marLeft w:val="0"/>
      <w:marRight w:val="0"/>
      <w:marTop w:val="0"/>
      <w:marBottom w:val="0"/>
      <w:divBdr>
        <w:top w:val="none" w:sz="0" w:space="0" w:color="auto"/>
        <w:left w:val="none" w:sz="0" w:space="0" w:color="auto"/>
        <w:bottom w:val="none" w:sz="0" w:space="0" w:color="auto"/>
        <w:right w:val="none" w:sz="0" w:space="0" w:color="auto"/>
      </w:divBdr>
    </w:div>
    <w:div w:id="1178888685">
      <w:bodyDiv w:val="1"/>
      <w:marLeft w:val="0"/>
      <w:marRight w:val="0"/>
      <w:marTop w:val="0"/>
      <w:marBottom w:val="0"/>
      <w:divBdr>
        <w:top w:val="none" w:sz="0" w:space="0" w:color="auto"/>
        <w:left w:val="none" w:sz="0" w:space="0" w:color="auto"/>
        <w:bottom w:val="none" w:sz="0" w:space="0" w:color="auto"/>
        <w:right w:val="none" w:sz="0" w:space="0" w:color="auto"/>
      </w:divBdr>
    </w:div>
    <w:div w:id="1237668348">
      <w:bodyDiv w:val="1"/>
      <w:marLeft w:val="0"/>
      <w:marRight w:val="0"/>
      <w:marTop w:val="0"/>
      <w:marBottom w:val="0"/>
      <w:divBdr>
        <w:top w:val="none" w:sz="0" w:space="0" w:color="auto"/>
        <w:left w:val="none" w:sz="0" w:space="0" w:color="auto"/>
        <w:bottom w:val="none" w:sz="0" w:space="0" w:color="auto"/>
        <w:right w:val="none" w:sz="0" w:space="0" w:color="auto"/>
      </w:divBdr>
    </w:div>
    <w:div w:id="1263026710">
      <w:bodyDiv w:val="1"/>
      <w:marLeft w:val="0"/>
      <w:marRight w:val="0"/>
      <w:marTop w:val="0"/>
      <w:marBottom w:val="0"/>
      <w:divBdr>
        <w:top w:val="none" w:sz="0" w:space="0" w:color="auto"/>
        <w:left w:val="none" w:sz="0" w:space="0" w:color="auto"/>
        <w:bottom w:val="none" w:sz="0" w:space="0" w:color="auto"/>
        <w:right w:val="none" w:sz="0" w:space="0" w:color="auto"/>
      </w:divBdr>
    </w:div>
    <w:div w:id="1278295484">
      <w:bodyDiv w:val="1"/>
      <w:marLeft w:val="0"/>
      <w:marRight w:val="0"/>
      <w:marTop w:val="0"/>
      <w:marBottom w:val="0"/>
      <w:divBdr>
        <w:top w:val="none" w:sz="0" w:space="0" w:color="auto"/>
        <w:left w:val="none" w:sz="0" w:space="0" w:color="auto"/>
        <w:bottom w:val="none" w:sz="0" w:space="0" w:color="auto"/>
        <w:right w:val="none" w:sz="0" w:space="0" w:color="auto"/>
      </w:divBdr>
    </w:div>
    <w:div w:id="1295478256">
      <w:bodyDiv w:val="1"/>
      <w:marLeft w:val="0"/>
      <w:marRight w:val="0"/>
      <w:marTop w:val="0"/>
      <w:marBottom w:val="0"/>
      <w:divBdr>
        <w:top w:val="none" w:sz="0" w:space="0" w:color="auto"/>
        <w:left w:val="none" w:sz="0" w:space="0" w:color="auto"/>
        <w:bottom w:val="none" w:sz="0" w:space="0" w:color="auto"/>
        <w:right w:val="none" w:sz="0" w:space="0" w:color="auto"/>
      </w:divBdr>
    </w:div>
    <w:div w:id="1343507912">
      <w:bodyDiv w:val="1"/>
      <w:marLeft w:val="0"/>
      <w:marRight w:val="0"/>
      <w:marTop w:val="0"/>
      <w:marBottom w:val="0"/>
      <w:divBdr>
        <w:top w:val="none" w:sz="0" w:space="0" w:color="auto"/>
        <w:left w:val="none" w:sz="0" w:space="0" w:color="auto"/>
        <w:bottom w:val="none" w:sz="0" w:space="0" w:color="auto"/>
        <w:right w:val="none" w:sz="0" w:space="0" w:color="auto"/>
      </w:divBdr>
    </w:div>
    <w:div w:id="1387412791">
      <w:bodyDiv w:val="1"/>
      <w:marLeft w:val="0"/>
      <w:marRight w:val="0"/>
      <w:marTop w:val="0"/>
      <w:marBottom w:val="0"/>
      <w:divBdr>
        <w:top w:val="none" w:sz="0" w:space="0" w:color="auto"/>
        <w:left w:val="none" w:sz="0" w:space="0" w:color="auto"/>
        <w:bottom w:val="none" w:sz="0" w:space="0" w:color="auto"/>
        <w:right w:val="none" w:sz="0" w:space="0" w:color="auto"/>
      </w:divBdr>
    </w:div>
    <w:div w:id="1393307092">
      <w:bodyDiv w:val="1"/>
      <w:marLeft w:val="0"/>
      <w:marRight w:val="0"/>
      <w:marTop w:val="0"/>
      <w:marBottom w:val="0"/>
      <w:divBdr>
        <w:top w:val="none" w:sz="0" w:space="0" w:color="auto"/>
        <w:left w:val="none" w:sz="0" w:space="0" w:color="auto"/>
        <w:bottom w:val="none" w:sz="0" w:space="0" w:color="auto"/>
        <w:right w:val="none" w:sz="0" w:space="0" w:color="auto"/>
      </w:divBdr>
    </w:div>
    <w:div w:id="1498226714">
      <w:bodyDiv w:val="1"/>
      <w:marLeft w:val="0"/>
      <w:marRight w:val="0"/>
      <w:marTop w:val="0"/>
      <w:marBottom w:val="0"/>
      <w:divBdr>
        <w:top w:val="none" w:sz="0" w:space="0" w:color="auto"/>
        <w:left w:val="none" w:sz="0" w:space="0" w:color="auto"/>
        <w:bottom w:val="none" w:sz="0" w:space="0" w:color="auto"/>
        <w:right w:val="none" w:sz="0" w:space="0" w:color="auto"/>
      </w:divBdr>
    </w:div>
    <w:div w:id="1523669753">
      <w:bodyDiv w:val="1"/>
      <w:marLeft w:val="0"/>
      <w:marRight w:val="0"/>
      <w:marTop w:val="0"/>
      <w:marBottom w:val="0"/>
      <w:divBdr>
        <w:top w:val="none" w:sz="0" w:space="0" w:color="auto"/>
        <w:left w:val="none" w:sz="0" w:space="0" w:color="auto"/>
        <w:bottom w:val="none" w:sz="0" w:space="0" w:color="auto"/>
        <w:right w:val="none" w:sz="0" w:space="0" w:color="auto"/>
      </w:divBdr>
    </w:div>
    <w:div w:id="1538080517">
      <w:bodyDiv w:val="1"/>
      <w:marLeft w:val="0"/>
      <w:marRight w:val="0"/>
      <w:marTop w:val="0"/>
      <w:marBottom w:val="0"/>
      <w:divBdr>
        <w:top w:val="none" w:sz="0" w:space="0" w:color="auto"/>
        <w:left w:val="none" w:sz="0" w:space="0" w:color="auto"/>
        <w:bottom w:val="none" w:sz="0" w:space="0" w:color="auto"/>
        <w:right w:val="none" w:sz="0" w:space="0" w:color="auto"/>
      </w:divBdr>
    </w:div>
    <w:div w:id="1675231463">
      <w:bodyDiv w:val="1"/>
      <w:marLeft w:val="0"/>
      <w:marRight w:val="0"/>
      <w:marTop w:val="0"/>
      <w:marBottom w:val="0"/>
      <w:divBdr>
        <w:top w:val="none" w:sz="0" w:space="0" w:color="auto"/>
        <w:left w:val="none" w:sz="0" w:space="0" w:color="auto"/>
        <w:bottom w:val="none" w:sz="0" w:space="0" w:color="auto"/>
        <w:right w:val="none" w:sz="0" w:space="0" w:color="auto"/>
      </w:divBdr>
    </w:div>
    <w:div w:id="1777676243">
      <w:bodyDiv w:val="1"/>
      <w:marLeft w:val="0"/>
      <w:marRight w:val="0"/>
      <w:marTop w:val="0"/>
      <w:marBottom w:val="0"/>
      <w:divBdr>
        <w:top w:val="none" w:sz="0" w:space="0" w:color="auto"/>
        <w:left w:val="none" w:sz="0" w:space="0" w:color="auto"/>
        <w:bottom w:val="none" w:sz="0" w:space="0" w:color="auto"/>
        <w:right w:val="none" w:sz="0" w:space="0" w:color="auto"/>
      </w:divBdr>
    </w:div>
    <w:div w:id="1852648925">
      <w:bodyDiv w:val="1"/>
      <w:marLeft w:val="0"/>
      <w:marRight w:val="0"/>
      <w:marTop w:val="0"/>
      <w:marBottom w:val="0"/>
      <w:divBdr>
        <w:top w:val="none" w:sz="0" w:space="0" w:color="auto"/>
        <w:left w:val="none" w:sz="0" w:space="0" w:color="auto"/>
        <w:bottom w:val="none" w:sz="0" w:space="0" w:color="auto"/>
        <w:right w:val="none" w:sz="0" w:space="0" w:color="auto"/>
      </w:divBdr>
    </w:div>
    <w:div w:id="1877497132">
      <w:bodyDiv w:val="1"/>
      <w:marLeft w:val="0"/>
      <w:marRight w:val="0"/>
      <w:marTop w:val="0"/>
      <w:marBottom w:val="0"/>
      <w:divBdr>
        <w:top w:val="none" w:sz="0" w:space="0" w:color="auto"/>
        <w:left w:val="none" w:sz="0" w:space="0" w:color="auto"/>
        <w:bottom w:val="none" w:sz="0" w:space="0" w:color="auto"/>
        <w:right w:val="none" w:sz="0" w:space="0" w:color="auto"/>
      </w:divBdr>
      <w:divsChild>
        <w:div w:id="1416710375">
          <w:marLeft w:val="0"/>
          <w:marRight w:val="0"/>
          <w:marTop w:val="0"/>
          <w:marBottom w:val="0"/>
          <w:divBdr>
            <w:top w:val="none" w:sz="0" w:space="0" w:color="auto"/>
            <w:left w:val="none" w:sz="0" w:space="0" w:color="auto"/>
            <w:bottom w:val="none" w:sz="0" w:space="0" w:color="auto"/>
            <w:right w:val="none" w:sz="0" w:space="0" w:color="auto"/>
          </w:divBdr>
        </w:div>
      </w:divsChild>
    </w:div>
    <w:div w:id="1886407756">
      <w:bodyDiv w:val="1"/>
      <w:marLeft w:val="0"/>
      <w:marRight w:val="0"/>
      <w:marTop w:val="0"/>
      <w:marBottom w:val="0"/>
      <w:divBdr>
        <w:top w:val="none" w:sz="0" w:space="0" w:color="auto"/>
        <w:left w:val="none" w:sz="0" w:space="0" w:color="auto"/>
        <w:bottom w:val="none" w:sz="0" w:space="0" w:color="auto"/>
        <w:right w:val="none" w:sz="0" w:space="0" w:color="auto"/>
      </w:divBdr>
      <w:divsChild>
        <w:div w:id="128938442">
          <w:marLeft w:val="0"/>
          <w:marRight w:val="0"/>
          <w:marTop w:val="0"/>
          <w:marBottom w:val="0"/>
          <w:divBdr>
            <w:top w:val="none" w:sz="0" w:space="0" w:color="auto"/>
            <w:left w:val="none" w:sz="0" w:space="0" w:color="auto"/>
            <w:bottom w:val="none" w:sz="0" w:space="0" w:color="auto"/>
            <w:right w:val="none" w:sz="0" w:space="0" w:color="auto"/>
          </w:divBdr>
        </w:div>
      </w:divsChild>
    </w:div>
    <w:div w:id="1887788087">
      <w:bodyDiv w:val="1"/>
      <w:marLeft w:val="0"/>
      <w:marRight w:val="0"/>
      <w:marTop w:val="0"/>
      <w:marBottom w:val="0"/>
      <w:divBdr>
        <w:top w:val="none" w:sz="0" w:space="0" w:color="auto"/>
        <w:left w:val="none" w:sz="0" w:space="0" w:color="auto"/>
        <w:bottom w:val="none" w:sz="0" w:space="0" w:color="auto"/>
        <w:right w:val="none" w:sz="0" w:space="0" w:color="auto"/>
      </w:divBdr>
    </w:div>
    <w:div w:id="1902012240">
      <w:bodyDiv w:val="1"/>
      <w:marLeft w:val="0"/>
      <w:marRight w:val="0"/>
      <w:marTop w:val="0"/>
      <w:marBottom w:val="0"/>
      <w:divBdr>
        <w:top w:val="none" w:sz="0" w:space="0" w:color="auto"/>
        <w:left w:val="none" w:sz="0" w:space="0" w:color="auto"/>
        <w:bottom w:val="none" w:sz="0" w:space="0" w:color="auto"/>
        <w:right w:val="none" w:sz="0" w:space="0" w:color="auto"/>
      </w:divBdr>
    </w:div>
    <w:div w:id="1937639600">
      <w:bodyDiv w:val="1"/>
      <w:marLeft w:val="0"/>
      <w:marRight w:val="0"/>
      <w:marTop w:val="0"/>
      <w:marBottom w:val="0"/>
      <w:divBdr>
        <w:top w:val="none" w:sz="0" w:space="0" w:color="auto"/>
        <w:left w:val="none" w:sz="0" w:space="0" w:color="auto"/>
        <w:bottom w:val="none" w:sz="0" w:space="0" w:color="auto"/>
        <w:right w:val="none" w:sz="0" w:space="0" w:color="auto"/>
      </w:divBdr>
      <w:divsChild>
        <w:div w:id="833186926">
          <w:marLeft w:val="0"/>
          <w:marRight w:val="0"/>
          <w:marTop w:val="0"/>
          <w:marBottom w:val="0"/>
          <w:divBdr>
            <w:top w:val="none" w:sz="0" w:space="0" w:color="auto"/>
            <w:left w:val="none" w:sz="0" w:space="0" w:color="auto"/>
            <w:bottom w:val="none" w:sz="0" w:space="0" w:color="auto"/>
            <w:right w:val="none" w:sz="0" w:space="0" w:color="auto"/>
          </w:divBdr>
          <w:divsChild>
            <w:div w:id="1796099172">
              <w:marLeft w:val="0"/>
              <w:marRight w:val="0"/>
              <w:marTop w:val="0"/>
              <w:marBottom w:val="0"/>
              <w:divBdr>
                <w:top w:val="none" w:sz="0" w:space="0" w:color="auto"/>
                <w:left w:val="none" w:sz="0" w:space="0" w:color="auto"/>
                <w:bottom w:val="none" w:sz="0" w:space="0" w:color="auto"/>
                <w:right w:val="none" w:sz="0" w:space="0" w:color="auto"/>
              </w:divBdr>
              <w:divsChild>
                <w:div w:id="967856870">
                  <w:marLeft w:val="-225"/>
                  <w:marRight w:val="-225"/>
                  <w:marTop w:val="0"/>
                  <w:marBottom w:val="0"/>
                  <w:divBdr>
                    <w:top w:val="none" w:sz="0" w:space="0" w:color="auto"/>
                    <w:left w:val="none" w:sz="0" w:space="0" w:color="auto"/>
                    <w:bottom w:val="none" w:sz="0" w:space="0" w:color="auto"/>
                    <w:right w:val="none" w:sz="0" w:space="0" w:color="auto"/>
                  </w:divBdr>
                  <w:divsChild>
                    <w:div w:id="961613523">
                      <w:marLeft w:val="0"/>
                      <w:marRight w:val="0"/>
                      <w:marTop w:val="0"/>
                      <w:marBottom w:val="0"/>
                      <w:divBdr>
                        <w:top w:val="none" w:sz="0" w:space="0" w:color="auto"/>
                        <w:left w:val="none" w:sz="0" w:space="0" w:color="auto"/>
                        <w:bottom w:val="none" w:sz="0" w:space="0" w:color="auto"/>
                        <w:right w:val="none" w:sz="0" w:space="0" w:color="auto"/>
                      </w:divBdr>
                      <w:divsChild>
                        <w:div w:id="761032353">
                          <w:marLeft w:val="0"/>
                          <w:marRight w:val="0"/>
                          <w:marTop w:val="0"/>
                          <w:marBottom w:val="0"/>
                          <w:divBdr>
                            <w:top w:val="single" w:sz="6" w:space="15" w:color="869CA6"/>
                            <w:left w:val="none" w:sz="0" w:space="0" w:color="auto"/>
                            <w:bottom w:val="none" w:sz="0" w:space="0" w:color="auto"/>
                            <w:right w:val="none" w:sz="0" w:space="0" w:color="auto"/>
                          </w:divBdr>
                        </w:div>
                      </w:divsChild>
                    </w:div>
                  </w:divsChild>
                </w:div>
              </w:divsChild>
            </w:div>
          </w:divsChild>
        </w:div>
      </w:divsChild>
    </w:div>
    <w:div w:id="2023626073">
      <w:bodyDiv w:val="1"/>
      <w:marLeft w:val="0"/>
      <w:marRight w:val="0"/>
      <w:marTop w:val="0"/>
      <w:marBottom w:val="0"/>
      <w:divBdr>
        <w:top w:val="none" w:sz="0" w:space="0" w:color="auto"/>
        <w:left w:val="none" w:sz="0" w:space="0" w:color="auto"/>
        <w:bottom w:val="none" w:sz="0" w:space="0" w:color="auto"/>
        <w:right w:val="none" w:sz="0" w:space="0" w:color="auto"/>
      </w:divBdr>
      <w:divsChild>
        <w:div w:id="1465269475">
          <w:marLeft w:val="0"/>
          <w:marRight w:val="0"/>
          <w:marTop w:val="0"/>
          <w:marBottom w:val="0"/>
          <w:divBdr>
            <w:top w:val="none" w:sz="0" w:space="0" w:color="auto"/>
            <w:left w:val="none" w:sz="0" w:space="0" w:color="auto"/>
            <w:bottom w:val="none" w:sz="0" w:space="0" w:color="auto"/>
            <w:right w:val="none" w:sz="0" w:space="0" w:color="auto"/>
          </w:divBdr>
          <w:divsChild>
            <w:div w:id="1526216797">
              <w:marLeft w:val="0"/>
              <w:marRight w:val="0"/>
              <w:marTop w:val="0"/>
              <w:marBottom w:val="0"/>
              <w:divBdr>
                <w:top w:val="none" w:sz="0" w:space="0" w:color="auto"/>
                <w:left w:val="none" w:sz="0" w:space="0" w:color="auto"/>
                <w:bottom w:val="none" w:sz="0" w:space="0" w:color="auto"/>
                <w:right w:val="none" w:sz="0" w:space="0" w:color="auto"/>
              </w:divBdr>
              <w:divsChild>
                <w:div w:id="43451434">
                  <w:marLeft w:val="-204"/>
                  <w:marRight w:val="-204"/>
                  <w:marTop w:val="0"/>
                  <w:marBottom w:val="0"/>
                  <w:divBdr>
                    <w:top w:val="none" w:sz="0" w:space="0" w:color="auto"/>
                    <w:left w:val="none" w:sz="0" w:space="0" w:color="auto"/>
                    <w:bottom w:val="none" w:sz="0" w:space="0" w:color="auto"/>
                    <w:right w:val="none" w:sz="0" w:space="0" w:color="auto"/>
                  </w:divBdr>
                  <w:divsChild>
                    <w:div w:id="631666773">
                      <w:marLeft w:val="0"/>
                      <w:marRight w:val="0"/>
                      <w:marTop w:val="0"/>
                      <w:marBottom w:val="0"/>
                      <w:divBdr>
                        <w:top w:val="none" w:sz="0" w:space="0" w:color="auto"/>
                        <w:left w:val="none" w:sz="0" w:space="0" w:color="auto"/>
                        <w:bottom w:val="none" w:sz="0" w:space="0" w:color="auto"/>
                        <w:right w:val="none" w:sz="0" w:space="0" w:color="auto"/>
                      </w:divBdr>
                      <w:divsChild>
                        <w:div w:id="1714650352">
                          <w:marLeft w:val="0"/>
                          <w:marRight w:val="0"/>
                          <w:marTop w:val="0"/>
                          <w:marBottom w:val="0"/>
                          <w:divBdr>
                            <w:top w:val="single" w:sz="6" w:space="14" w:color="869CA6"/>
                            <w:left w:val="none" w:sz="0" w:space="0" w:color="auto"/>
                            <w:bottom w:val="none" w:sz="0" w:space="0" w:color="auto"/>
                            <w:right w:val="none" w:sz="0" w:space="0" w:color="auto"/>
                          </w:divBdr>
                        </w:div>
                      </w:divsChild>
                    </w:div>
                  </w:divsChild>
                </w:div>
              </w:divsChild>
            </w:div>
          </w:divsChild>
        </w:div>
      </w:divsChild>
    </w:div>
    <w:div w:id="2042313838">
      <w:bodyDiv w:val="1"/>
      <w:marLeft w:val="0"/>
      <w:marRight w:val="0"/>
      <w:marTop w:val="0"/>
      <w:marBottom w:val="0"/>
      <w:divBdr>
        <w:top w:val="none" w:sz="0" w:space="0" w:color="auto"/>
        <w:left w:val="none" w:sz="0" w:space="0" w:color="auto"/>
        <w:bottom w:val="none" w:sz="0" w:space="0" w:color="auto"/>
        <w:right w:val="none" w:sz="0" w:space="0" w:color="auto"/>
      </w:divBdr>
    </w:div>
    <w:div w:id="2059887807">
      <w:bodyDiv w:val="1"/>
      <w:marLeft w:val="0"/>
      <w:marRight w:val="0"/>
      <w:marTop w:val="0"/>
      <w:marBottom w:val="0"/>
      <w:divBdr>
        <w:top w:val="none" w:sz="0" w:space="0" w:color="auto"/>
        <w:left w:val="none" w:sz="0" w:space="0" w:color="auto"/>
        <w:bottom w:val="none" w:sz="0" w:space="0" w:color="auto"/>
        <w:right w:val="none" w:sz="0" w:space="0" w:color="auto"/>
      </w:divBdr>
      <w:divsChild>
        <w:div w:id="638732730">
          <w:marLeft w:val="0"/>
          <w:marRight w:val="0"/>
          <w:marTop w:val="0"/>
          <w:marBottom w:val="0"/>
          <w:divBdr>
            <w:top w:val="none" w:sz="0" w:space="0" w:color="auto"/>
            <w:left w:val="none" w:sz="0" w:space="0" w:color="auto"/>
            <w:bottom w:val="none" w:sz="0" w:space="0" w:color="auto"/>
            <w:right w:val="none" w:sz="0" w:space="0" w:color="auto"/>
          </w:divBdr>
          <w:divsChild>
            <w:div w:id="1640571163">
              <w:marLeft w:val="0"/>
              <w:marRight w:val="0"/>
              <w:marTop w:val="0"/>
              <w:marBottom w:val="0"/>
              <w:divBdr>
                <w:top w:val="none" w:sz="0" w:space="0" w:color="auto"/>
                <w:left w:val="none" w:sz="0" w:space="0" w:color="auto"/>
                <w:bottom w:val="none" w:sz="0" w:space="0" w:color="auto"/>
                <w:right w:val="none" w:sz="0" w:space="0" w:color="auto"/>
              </w:divBdr>
              <w:divsChild>
                <w:div w:id="1917401378">
                  <w:marLeft w:val="-225"/>
                  <w:marRight w:val="-225"/>
                  <w:marTop w:val="0"/>
                  <w:marBottom w:val="0"/>
                  <w:divBdr>
                    <w:top w:val="none" w:sz="0" w:space="0" w:color="auto"/>
                    <w:left w:val="none" w:sz="0" w:space="0" w:color="auto"/>
                    <w:bottom w:val="none" w:sz="0" w:space="0" w:color="auto"/>
                    <w:right w:val="none" w:sz="0" w:space="0" w:color="auto"/>
                  </w:divBdr>
                  <w:divsChild>
                    <w:div w:id="183135326">
                      <w:marLeft w:val="0"/>
                      <w:marRight w:val="0"/>
                      <w:marTop w:val="0"/>
                      <w:marBottom w:val="0"/>
                      <w:divBdr>
                        <w:top w:val="none" w:sz="0" w:space="0" w:color="auto"/>
                        <w:left w:val="none" w:sz="0" w:space="0" w:color="auto"/>
                        <w:bottom w:val="none" w:sz="0" w:space="0" w:color="auto"/>
                        <w:right w:val="none" w:sz="0" w:space="0" w:color="auto"/>
                      </w:divBdr>
                      <w:divsChild>
                        <w:div w:id="161094555">
                          <w:marLeft w:val="0"/>
                          <w:marRight w:val="0"/>
                          <w:marTop w:val="0"/>
                          <w:marBottom w:val="0"/>
                          <w:divBdr>
                            <w:top w:val="single" w:sz="6" w:space="15" w:color="869CA6"/>
                            <w:left w:val="none" w:sz="0" w:space="0" w:color="auto"/>
                            <w:bottom w:val="none" w:sz="0" w:space="0" w:color="auto"/>
                            <w:right w:val="none" w:sz="0" w:space="0" w:color="auto"/>
                          </w:divBdr>
                        </w:div>
                      </w:divsChild>
                    </w:div>
                  </w:divsChild>
                </w:div>
              </w:divsChild>
            </w:div>
          </w:divsChild>
        </w:div>
      </w:divsChild>
    </w:div>
    <w:div w:id="208734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3843A8-2BBC-4718-9254-C13D46E80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1232</TotalTime>
  <Pages>22</Pages>
  <Words>7799</Words>
  <Characters>44990</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52684</CharactersWithSpaces>
  <SharedDoc>false</SharedDoc>
  <HLinks>
    <vt:vector size="6" baseType="variant">
      <vt:variant>
        <vt:i4>7602250</vt:i4>
      </vt:variant>
      <vt:variant>
        <vt:i4>0</vt:i4>
      </vt:variant>
      <vt:variant>
        <vt:i4>0</vt:i4>
      </vt:variant>
      <vt:variant>
        <vt:i4>5</vt:i4>
      </vt:variant>
      <vt:variant>
        <vt:lpwstr>http://www.budget.gov.au/2016-17/content/bp2/html/bp2_expense-20.htm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12: Appendix C - Statement of risks</dc:subject>
  <dc:creator>The Treasury</dc:creator>
  <cp:lastModifiedBy>Thomas, Deborah</cp:lastModifiedBy>
  <cp:revision>55</cp:revision>
  <cp:lastPrinted>2017-12-11T07:28:00Z</cp:lastPrinted>
  <dcterms:created xsi:type="dcterms:W3CDTF">2017-12-04T08:22:00Z</dcterms:created>
  <dcterms:modified xsi:type="dcterms:W3CDTF">2017-12-17T21:45:00Z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ked">
    <vt:bool>false</vt:bool>
  </property>
  <property fmtid="{D5CDD505-2E9C-101B-9397-08002B2CF9AE}" pid="3" name="SecurityClassification">
    <vt:lpwstr>Protected</vt:lpwstr>
  </property>
  <property fmtid="{D5CDD505-2E9C-101B-9397-08002B2CF9AE}" pid="4" name="DLMSecurityClassification">
    <vt:lpwstr>Sensitive:  Cabinet</vt:lpwstr>
  </property>
  <property fmtid="{D5CDD505-2E9C-101B-9397-08002B2CF9AE}" pid="5" name="Language">
    <vt:lpwstr>English</vt:lpwstr>
  </property>
  <property fmtid="{D5CDD505-2E9C-101B-9397-08002B2CF9AE}" pid="6" name="_NewReviewCycle">
    <vt:lpwstr/>
  </property>
  <property fmtid="{D5CDD505-2E9C-101B-9397-08002B2CF9AE}" pid="7" name="metadataUpdateName">
    <vt:lpwstr>Mid-Year Economic and Fiscal Outlook</vt:lpwstr>
  </property>
  <property fmtid="{D5CDD505-2E9C-101B-9397-08002B2CF9AE}" pid="8" name="metadataStatementName">
    <vt:lpwstr>Statement of Risks</vt:lpwstr>
  </property>
  <property fmtid="{D5CDD505-2E9C-101B-9397-08002B2CF9AE}" pid="9" name="metadataCoordinator">
    <vt:lpwstr>Brendan O'Connell (x3652)</vt:lpwstr>
  </property>
  <property fmtid="{D5CDD505-2E9C-101B-9397-08002B2CF9AE}" pid="10" name="GlobalLastAccountabilityID">
    <vt:lpwstr>BPCD_DD1</vt:lpwstr>
  </property>
</Properties>
</file>