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37020" w14:textId="03027AFC" w:rsidR="00733707" w:rsidRPr="00B96121" w:rsidRDefault="00DD0AA4" w:rsidP="004D1419">
      <w:pPr>
        <w:pStyle w:val="ContentsHeading"/>
      </w:pPr>
      <w:r>
        <w:t xml:space="preserve">Budget </w:t>
      </w:r>
      <w:r w:rsidR="00733707" w:rsidRPr="00B96121">
        <w:t>Statement 2: Economic Outlook</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733707" w:rsidRPr="00B96121" w14:paraId="03363B1F" w14:textId="77777777" w:rsidTr="002E7B71">
        <w:trPr>
          <w:cantSplit/>
        </w:trPr>
        <w:tc>
          <w:tcPr>
            <w:tcW w:w="5000" w:type="pct"/>
            <w:shd w:val="clear" w:color="auto" w:fill="F2F9FC"/>
          </w:tcPr>
          <w:p w14:paraId="283137CB" w14:textId="77777777" w:rsidR="00733707" w:rsidRPr="00B96121" w:rsidRDefault="00733707" w:rsidP="00456E4F">
            <w:pPr>
              <w:pStyle w:val="BoxText"/>
            </w:pPr>
            <w:r w:rsidRPr="00B96121">
              <w:t>This Statement presents the economic forecasts that underlie the Budget estimates.</w:t>
            </w:r>
          </w:p>
        </w:tc>
      </w:tr>
    </w:tbl>
    <w:p w14:paraId="5286B59B" w14:textId="040D6B4D" w:rsidR="00733707" w:rsidRPr="00B96121" w:rsidRDefault="00733707" w:rsidP="00733707">
      <w:pPr>
        <w:pStyle w:val="SingleParagraph"/>
      </w:pPr>
    </w:p>
    <w:p w14:paraId="14F1CEA2" w14:textId="77777777" w:rsidR="00733707" w:rsidRPr="00B96121" w:rsidRDefault="00733707" w:rsidP="00733707">
      <w:pPr>
        <w:pStyle w:val="ContentsHeading"/>
      </w:pPr>
      <w:r w:rsidRPr="00B96121">
        <w:t>Contents</w:t>
      </w:r>
    </w:p>
    <w:p w14:paraId="2A852DA1" w14:textId="7D0ACA4C" w:rsidR="000E11EC" w:rsidRDefault="005B0068">
      <w:pPr>
        <w:pStyle w:val="TOC1"/>
        <w:rPr>
          <w:rFonts w:asciiTheme="minorHAnsi" w:eastAsiaTheme="minorEastAsia" w:hAnsiTheme="minorHAnsi" w:cstheme="minorBidi"/>
          <w:b w:val="0"/>
          <w:noProof/>
          <w:szCs w:val="22"/>
        </w:rPr>
      </w:pPr>
      <w:r>
        <w:rPr>
          <w:b w:val="0"/>
          <w:i/>
        </w:rPr>
        <w:fldChar w:fldCharType="begin"/>
      </w:r>
      <w:r>
        <w:rPr>
          <w:b w:val="0"/>
          <w:i/>
        </w:rPr>
        <w:instrText xml:space="preserve"> TOC \h \z \u \t "Heading 2,1,Heading 3,2" </w:instrText>
      </w:r>
      <w:r>
        <w:rPr>
          <w:b w:val="0"/>
          <w:i/>
        </w:rPr>
        <w:fldChar w:fldCharType="separate"/>
      </w:r>
      <w:hyperlink w:anchor="_Toc99064352" w:history="1">
        <w:r w:rsidR="000E11EC" w:rsidRPr="009B7778">
          <w:rPr>
            <w:rStyle w:val="Hyperlink"/>
            <w:noProof/>
          </w:rPr>
          <w:t>Overview</w:t>
        </w:r>
        <w:r w:rsidR="000E11EC">
          <w:rPr>
            <w:noProof/>
            <w:webHidden/>
          </w:rPr>
          <w:tab/>
        </w:r>
        <w:r w:rsidR="000E11EC">
          <w:rPr>
            <w:noProof/>
            <w:webHidden/>
          </w:rPr>
          <w:fldChar w:fldCharType="begin"/>
        </w:r>
        <w:r w:rsidR="000E11EC">
          <w:rPr>
            <w:noProof/>
            <w:webHidden/>
          </w:rPr>
          <w:instrText xml:space="preserve"> PAGEREF _Toc99064352 \h </w:instrText>
        </w:r>
        <w:r w:rsidR="000E11EC">
          <w:rPr>
            <w:noProof/>
            <w:webHidden/>
          </w:rPr>
        </w:r>
        <w:r w:rsidR="000E11EC">
          <w:rPr>
            <w:noProof/>
            <w:webHidden/>
          </w:rPr>
          <w:fldChar w:fldCharType="separate"/>
        </w:r>
        <w:r w:rsidR="00FC47AC">
          <w:rPr>
            <w:noProof/>
            <w:webHidden/>
          </w:rPr>
          <w:t>31</w:t>
        </w:r>
        <w:r w:rsidR="000E11EC">
          <w:rPr>
            <w:noProof/>
            <w:webHidden/>
          </w:rPr>
          <w:fldChar w:fldCharType="end"/>
        </w:r>
      </w:hyperlink>
    </w:p>
    <w:p w14:paraId="52343CFF" w14:textId="40BDD66D" w:rsidR="000E11EC" w:rsidRDefault="00C757EF">
      <w:pPr>
        <w:pStyle w:val="TOC1"/>
        <w:rPr>
          <w:rFonts w:asciiTheme="minorHAnsi" w:eastAsiaTheme="minorEastAsia" w:hAnsiTheme="minorHAnsi" w:cstheme="minorBidi"/>
          <w:b w:val="0"/>
          <w:noProof/>
          <w:szCs w:val="22"/>
        </w:rPr>
      </w:pPr>
      <w:hyperlink w:anchor="_Toc99064353" w:history="1">
        <w:r w:rsidR="000E11EC" w:rsidRPr="009B7778">
          <w:rPr>
            <w:rStyle w:val="Hyperlink"/>
            <w:noProof/>
          </w:rPr>
          <w:t>Outlook for the international economy</w:t>
        </w:r>
        <w:r w:rsidR="000E11EC">
          <w:rPr>
            <w:noProof/>
            <w:webHidden/>
          </w:rPr>
          <w:tab/>
        </w:r>
        <w:r w:rsidR="000E11EC">
          <w:rPr>
            <w:noProof/>
            <w:webHidden/>
          </w:rPr>
          <w:fldChar w:fldCharType="begin"/>
        </w:r>
        <w:r w:rsidR="000E11EC">
          <w:rPr>
            <w:noProof/>
            <w:webHidden/>
          </w:rPr>
          <w:instrText xml:space="preserve"> PAGEREF _Toc99064353 \h </w:instrText>
        </w:r>
        <w:r w:rsidR="000E11EC">
          <w:rPr>
            <w:noProof/>
            <w:webHidden/>
          </w:rPr>
        </w:r>
        <w:r w:rsidR="000E11EC">
          <w:rPr>
            <w:noProof/>
            <w:webHidden/>
          </w:rPr>
          <w:fldChar w:fldCharType="separate"/>
        </w:r>
        <w:r w:rsidR="00FC47AC">
          <w:rPr>
            <w:noProof/>
            <w:webHidden/>
          </w:rPr>
          <w:t>38</w:t>
        </w:r>
        <w:r w:rsidR="000E11EC">
          <w:rPr>
            <w:noProof/>
            <w:webHidden/>
          </w:rPr>
          <w:fldChar w:fldCharType="end"/>
        </w:r>
      </w:hyperlink>
    </w:p>
    <w:p w14:paraId="3914F5BA" w14:textId="7088CA2D" w:rsidR="000E11EC" w:rsidRDefault="00C757EF">
      <w:pPr>
        <w:pStyle w:val="TOC1"/>
        <w:rPr>
          <w:rFonts w:asciiTheme="minorHAnsi" w:eastAsiaTheme="minorEastAsia" w:hAnsiTheme="minorHAnsi" w:cstheme="minorBidi"/>
          <w:b w:val="0"/>
          <w:noProof/>
          <w:szCs w:val="22"/>
        </w:rPr>
      </w:pPr>
      <w:hyperlink w:anchor="_Toc99064354" w:history="1">
        <w:r w:rsidR="000E11EC" w:rsidRPr="009B7778">
          <w:rPr>
            <w:rStyle w:val="Hyperlink"/>
            <w:noProof/>
          </w:rPr>
          <w:t>Outlook for the domestic economy</w:t>
        </w:r>
        <w:r w:rsidR="000E11EC">
          <w:rPr>
            <w:noProof/>
            <w:webHidden/>
          </w:rPr>
          <w:tab/>
        </w:r>
        <w:r w:rsidR="000E11EC">
          <w:rPr>
            <w:noProof/>
            <w:webHidden/>
          </w:rPr>
          <w:fldChar w:fldCharType="begin"/>
        </w:r>
        <w:r w:rsidR="000E11EC">
          <w:rPr>
            <w:noProof/>
            <w:webHidden/>
          </w:rPr>
          <w:instrText xml:space="preserve"> PAGEREF _Toc99064354 \h </w:instrText>
        </w:r>
        <w:r w:rsidR="000E11EC">
          <w:rPr>
            <w:noProof/>
            <w:webHidden/>
          </w:rPr>
        </w:r>
        <w:r w:rsidR="000E11EC">
          <w:rPr>
            <w:noProof/>
            <w:webHidden/>
          </w:rPr>
          <w:fldChar w:fldCharType="separate"/>
        </w:r>
        <w:r w:rsidR="00FC47AC">
          <w:rPr>
            <w:noProof/>
            <w:webHidden/>
          </w:rPr>
          <w:t>45</w:t>
        </w:r>
        <w:r w:rsidR="000E11EC">
          <w:rPr>
            <w:noProof/>
            <w:webHidden/>
          </w:rPr>
          <w:fldChar w:fldCharType="end"/>
        </w:r>
      </w:hyperlink>
    </w:p>
    <w:p w14:paraId="7423BA68" w14:textId="6A5E9D2F" w:rsidR="000E11EC" w:rsidRDefault="00C757EF">
      <w:pPr>
        <w:pStyle w:val="TOC2"/>
        <w:rPr>
          <w:rFonts w:asciiTheme="minorHAnsi" w:eastAsiaTheme="minorEastAsia" w:hAnsiTheme="minorHAnsi" w:cstheme="minorBidi"/>
          <w:noProof/>
          <w:sz w:val="22"/>
          <w:szCs w:val="22"/>
        </w:rPr>
      </w:pPr>
      <w:hyperlink w:anchor="_Toc99064355" w:history="1">
        <w:r w:rsidR="000E11EC" w:rsidRPr="009B7778">
          <w:rPr>
            <w:rStyle w:val="Hyperlink"/>
            <w:noProof/>
          </w:rPr>
          <w:t>Outlook for real GDP growth</w:t>
        </w:r>
        <w:r w:rsidR="000E11EC">
          <w:rPr>
            <w:noProof/>
            <w:webHidden/>
          </w:rPr>
          <w:tab/>
        </w:r>
        <w:r w:rsidR="000E11EC">
          <w:rPr>
            <w:noProof/>
            <w:webHidden/>
          </w:rPr>
          <w:fldChar w:fldCharType="begin"/>
        </w:r>
        <w:r w:rsidR="000E11EC">
          <w:rPr>
            <w:noProof/>
            <w:webHidden/>
          </w:rPr>
          <w:instrText xml:space="preserve"> PAGEREF _Toc99064355 \h </w:instrText>
        </w:r>
        <w:r w:rsidR="000E11EC">
          <w:rPr>
            <w:noProof/>
            <w:webHidden/>
          </w:rPr>
        </w:r>
        <w:r w:rsidR="000E11EC">
          <w:rPr>
            <w:noProof/>
            <w:webHidden/>
          </w:rPr>
          <w:fldChar w:fldCharType="separate"/>
        </w:r>
        <w:r w:rsidR="00FC47AC">
          <w:rPr>
            <w:noProof/>
            <w:webHidden/>
          </w:rPr>
          <w:t>45</w:t>
        </w:r>
        <w:r w:rsidR="000E11EC">
          <w:rPr>
            <w:noProof/>
            <w:webHidden/>
          </w:rPr>
          <w:fldChar w:fldCharType="end"/>
        </w:r>
      </w:hyperlink>
    </w:p>
    <w:p w14:paraId="19B31FD2" w14:textId="671D940C" w:rsidR="000E11EC" w:rsidRDefault="00C757EF">
      <w:pPr>
        <w:pStyle w:val="TOC2"/>
        <w:rPr>
          <w:rFonts w:asciiTheme="minorHAnsi" w:eastAsiaTheme="minorEastAsia" w:hAnsiTheme="minorHAnsi" w:cstheme="minorBidi"/>
          <w:noProof/>
          <w:sz w:val="22"/>
          <w:szCs w:val="22"/>
        </w:rPr>
      </w:pPr>
      <w:hyperlink w:anchor="_Toc99064356" w:history="1">
        <w:r w:rsidR="000E11EC" w:rsidRPr="009B7778">
          <w:rPr>
            <w:rStyle w:val="Hyperlink"/>
            <w:noProof/>
          </w:rPr>
          <w:t>Households</w:t>
        </w:r>
        <w:r w:rsidR="000E11EC">
          <w:rPr>
            <w:noProof/>
            <w:webHidden/>
          </w:rPr>
          <w:tab/>
        </w:r>
        <w:r w:rsidR="000E11EC">
          <w:rPr>
            <w:noProof/>
            <w:webHidden/>
          </w:rPr>
          <w:fldChar w:fldCharType="begin"/>
        </w:r>
        <w:r w:rsidR="000E11EC">
          <w:rPr>
            <w:noProof/>
            <w:webHidden/>
          </w:rPr>
          <w:instrText xml:space="preserve"> PAGEREF _Toc99064356 \h </w:instrText>
        </w:r>
        <w:r w:rsidR="000E11EC">
          <w:rPr>
            <w:noProof/>
            <w:webHidden/>
          </w:rPr>
        </w:r>
        <w:r w:rsidR="000E11EC">
          <w:rPr>
            <w:noProof/>
            <w:webHidden/>
          </w:rPr>
          <w:fldChar w:fldCharType="separate"/>
        </w:r>
        <w:r w:rsidR="00FC47AC">
          <w:rPr>
            <w:noProof/>
            <w:webHidden/>
          </w:rPr>
          <w:t>49</w:t>
        </w:r>
        <w:r w:rsidR="000E11EC">
          <w:rPr>
            <w:noProof/>
            <w:webHidden/>
          </w:rPr>
          <w:fldChar w:fldCharType="end"/>
        </w:r>
      </w:hyperlink>
    </w:p>
    <w:p w14:paraId="07D86E78" w14:textId="58452D22" w:rsidR="000E11EC" w:rsidRDefault="00C757EF">
      <w:pPr>
        <w:pStyle w:val="TOC2"/>
        <w:rPr>
          <w:rFonts w:asciiTheme="minorHAnsi" w:eastAsiaTheme="minorEastAsia" w:hAnsiTheme="minorHAnsi" w:cstheme="minorBidi"/>
          <w:noProof/>
          <w:sz w:val="22"/>
          <w:szCs w:val="22"/>
        </w:rPr>
      </w:pPr>
      <w:hyperlink w:anchor="_Toc99064357" w:history="1">
        <w:r w:rsidR="000E11EC" w:rsidRPr="009B7778">
          <w:rPr>
            <w:rStyle w:val="Hyperlink"/>
            <w:noProof/>
          </w:rPr>
          <w:t>Business investment</w:t>
        </w:r>
        <w:r w:rsidR="000E11EC">
          <w:rPr>
            <w:noProof/>
            <w:webHidden/>
          </w:rPr>
          <w:tab/>
        </w:r>
        <w:r w:rsidR="000E11EC">
          <w:rPr>
            <w:noProof/>
            <w:webHidden/>
          </w:rPr>
          <w:fldChar w:fldCharType="begin"/>
        </w:r>
        <w:r w:rsidR="000E11EC">
          <w:rPr>
            <w:noProof/>
            <w:webHidden/>
          </w:rPr>
          <w:instrText xml:space="preserve"> PAGEREF _Toc99064357 \h </w:instrText>
        </w:r>
        <w:r w:rsidR="000E11EC">
          <w:rPr>
            <w:noProof/>
            <w:webHidden/>
          </w:rPr>
        </w:r>
        <w:r w:rsidR="000E11EC">
          <w:rPr>
            <w:noProof/>
            <w:webHidden/>
          </w:rPr>
          <w:fldChar w:fldCharType="separate"/>
        </w:r>
        <w:r w:rsidR="00FC47AC">
          <w:rPr>
            <w:noProof/>
            <w:webHidden/>
          </w:rPr>
          <w:t>51</w:t>
        </w:r>
        <w:r w:rsidR="000E11EC">
          <w:rPr>
            <w:noProof/>
            <w:webHidden/>
          </w:rPr>
          <w:fldChar w:fldCharType="end"/>
        </w:r>
      </w:hyperlink>
    </w:p>
    <w:p w14:paraId="1512A765" w14:textId="0F5059FE" w:rsidR="000E11EC" w:rsidRDefault="00C757EF">
      <w:pPr>
        <w:pStyle w:val="TOC2"/>
        <w:rPr>
          <w:rFonts w:asciiTheme="minorHAnsi" w:eastAsiaTheme="minorEastAsia" w:hAnsiTheme="minorHAnsi" w:cstheme="minorBidi"/>
          <w:noProof/>
          <w:sz w:val="22"/>
          <w:szCs w:val="22"/>
        </w:rPr>
      </w:pPr>
      <w:hyperlink w:anchor="_Toc99064358" w:history="1">
        <w:r w:rsidR="000E11EC" w:rsidRPr="009B7778">
          <w:rPr>
            <w:rStyle w:val="Hyperlink"/>
            <w:noProof/>
          </w:rPr>
          <w:t>Public final demand</w:t>
        </w:r>
        <w:r w:rsidR="000E11EC">
          <w:rPr>
            <w:noProof/>
            <w:webHidden/>
          </w:rPr>
          <w:tab/>
        </w:r>
        <w:r w:rsidR="000E11EC">
          <w:rPr>
            <w:noProof/>
            <w:webHidden/>
          </w:rPr>
          <w:fldChar w:fldCharType="begin"/>
        </w:r>
        <w:r w:rsidR="000E11EC">
          <w:rPr>
            <w:noProof/>
            <w:webHidden/>
          </w:rPr>
          <w:instrText xml:space="preserve"> PAGEREF _Toc99064358 \h </w:instrText>
        </w:r>
        <w:r w:rsidR="000E11EC">
          <w:rPr>
            <w:noProof/>
            <w:webHidden/>
          </w:rPr>
        </w:r>
        <w:r w:rsidR="000E11EC">
          <w:rPr>
            <w:noProof/>
            <w:webHidden/>
          </w:rPr>
          <w:fldChar w:fldCharType="separate"/>
        </w:r>
        <w:r w:rsidR="00FC47AC">
          <w:rPr>
            <w:noProof/>
            <w:webHidden/>
          </w:rPr>
          <w:t>53</w:t>
        </w:r>
        <w:r w:rsidR="000E11EC">
          <w:rPr>
            <w:noProof/>
            <w:webHidden/>
          </w:rPr>
          <w:fldChar w:fldCharType="end"/>
        </w:r>
      </w:hyperlink>
    </w:p>
    <w:p w14:paraId="07AC9135" w14:textId="441DD202" w:rsidR="000E11EC" w:rsidRDefault="00C757EF">
      <w:pPr>
        <w:pStyle w:val="TOC2"/>
        <w:rPr>
          <w:rFonts w:asciiTheme="minorHAnsi" w:eastAsiaTheme="minorEastAsia" w:hAnsiTheme="minorHAnsi" w:cstheme="minorBidi"/>
          <w:noProof/>
          <w:sz w:val="22"/>
          <w:szCs w:val="22"/>
        </w:rPr>
      </w:pPr>
      <w:hyperlink w:anchor="_Toc99064359" w:history="1">
        <w:r w:rsidR="000E11EC" w:rsidRPr="009B7778">
          <w:rPr>
            <w:rStyle w:val="Hyperlink"/>
            <w:noProof/>
          </w:rPr>
          <w:t>Net exports</w:t>
        </w:r>
        <w:r w:rsidR="000E11EC">
          <w:rPr>
            <w:noProof/>
            <w:webHidden/>
          </w:rPr>
          <w:tab/>
        </w:r>
        <w:r w:rsidR="000E11EC">
          <w:rPr>
            <w:noProof/>
            <w:webHidden/>
          </w:rPr>
          <w:fldChar w:fldCharType="begin"/>
        </w:r>
        <w:r w:rsidR="000E11EC">
          <w:rPr>
            <w:noProof/>
            <w:webHidden/>
          </w:rPr>
          <w:instrText xml:space="preserve"> PAGEREF _Toc99064359 \h </w:instrText>
        </w:r>
        <w:r w:rsidR="000E11EC">
          <w:rPr>
            <w:noProof/>
            <w:webHidden/>
          </w:rPr>
        </w:r>
        <w:r w:rsidR="000E11EC">
          <w:rPr>
            <w:noProof/>
            <w:webHidden/>
          </w:rPr>
          <w:fldChar w:fldCharType="separate"/>
        </w:r>
        <w:r w:rsidR="00FC47AC">
          <w:rPr>
            <w:noProof/>
            <w:webHidden/>
          </w:rPr>
          <w:t>53</w:t>
        </w:r>
        <w:r w:rsidR="000E11EC">
          <w:rPr>
            <w:noProof/>
            <w:webHidden/>
          </w:rPr>
          <w:fldChar w:fldCharType="end"/>
        </w:r>
      </w:hyperlink>
    </w:p>
    <w:p w14:paraId="024B449F" w14:textId="10CA734C" w:rsidR="000E11EC" w:rsidRDefault="00C757EF">
      <w:pPr>
        <w:pStyle w:val="TOC2"/>
        <w:rPr>
          <w:rFonts w:asciiTheme="minorHAnsi" w:eastAsiaTheme="minorEastAsia" w:hAnsiTheme="minorHAnsi" w:cstheme="minorBidi"/>
          <w:noProof/>
          <w:sz w:val="22"/>
          <w:szCs w:val="22"/>
        </w:rPr>
      </w:pPr>
      <w:hyperlink w:anchor="_Toc99064360" w:history="1">
        <w:r w:rsidR="000E11EC" w:rsidRPr="009B7778">
          <w:rPr>
            <w:rStyle w:val="Hyperlink"/>
            <w:noProof/>
          </w:rPr>
          <w:t>The labour market</w:t>
        </w:r>
        <w:r w:rsidR="000E11EC">
          <w:rPr>
            <w:noProof/>
            <w:webHidden/>
          </w:rPr>
          <w:tab/>
        </w:r>
        <w:r w:rsidR="000E11EC">
          <w:rPr>
            <w:noProof/>
            <w:webHidden/>
          </w:rPr>
          <w:fldChar w:fldCharType="begin"/>
        </w:r>
        <w:r w:rsidR="000E11EC">
          <w:rPr>
            <w:noProof/>
            <w:webHidden/>
          </w:rPr>
          <w:instrText xml:space="preserve"> PAGEREF _Toc99064360 \h </w:instrText>
        </w:r>
        <w:r w:rsidR="000E11EC">
          <w:rPr>
            <w:noProof/>
            <w:webHidden/>
          </w:rPr>
        </w:r>
        <w:r w:rsidR="000E11EC">
          <w:rPr>
            <w:noProof/>
            <w:webHidden/>
          </w:rPr>
          <w:fldChar w:fldCharType="separate"/>
        </w:r>
        <w:r w:rsidR="00FC47AC">
          <w:rPr>
            <w:noProof/>
            <w:webHidden/>
          </w:rPr>
          <w:t>55</w:t>
        </w:r>
        <w:r w:rsidR="000E11EC">
          <w:rPr>
            <w:noProof/>
            <w:webHidden/>
          </w:rPr>
          <w:fldChar w:fldCharType="end"/>
        </w:r>
      </w:hyperlink>
    </w:p>
    <w:p w14:paraId="1C943B3D" w14:textId="7BC7A49F" w:rsidR="000E11EC" w:rsidRDefault="00C757EF">
      <w:pPr>
        <w:pStyle w:val="TOC2"/>
        <w:rPr>
          <w:rFonts w:asciiTheme="minorHAnsi" w:eastAsiaTheme="minorEastAsia" w:hAnsiTheme="minorHAnsi" w:cstheme="minorBidi"/>
          <w:noProof/>
          <w:sz w:val="22"/>
          <w:szCs w:val="22"/>
        </w:rPr>
      </w:pPr>
      <w:hyperlink w:anchor="_Toc99064361" w:history="1">
        <w:r w:rsidR="000E11EC" w:rsidRPr="009B7778">
          <w:rPr>
            <w:rStyle w:val="Hyperlink"/>
            <w:noProof/>
          </w:rPr>
          <w:t>Outlook for nominal GDP growth and the terms of trade</w:t>
        </w:r>
        <w:r w:rsidR="000E11EC">
          <w:rPr>
            <w:noProof/>
            <w:webHidden/>
          </w:rPr>
          <w:tab/>
        </w:r>
        <w:r w:rsidR="000E11EC">
          <w:rPr>
            <w:noProof/>
            <w:webHidden/>
          </w:rPr>
          <w:fldChar w:fldCharType="begin"/>
        </w:r>
        <w:r w:rsidR="000E11EC">
          <w:rPr>
            <w:noProof/>
            <w:webHidden/>
          </w:rPr>
          <w:instrText xml:space="preserve"> PAGEREF _Toc99064361 \h </w:instrText>
        </w:r>
        <w:r w:rsidR="000E11EC">
          <w:rPr>
            <w:noProof/>
            <w:webHidden/>
          </w:rPr>
        </w:r>
        <w:r w:rsidR="000E11EC">
          <w:rPr>
            <w:noProof/>
            <w:webHidden/>
          </w:rPr>
          <w:fldChar w:fldCharType="separate"/>
        </w:r>
        <w:r w:rsidR="00FC47AC">
          <w:rPr>
            <w:noProof/>
            <w:webHidden/>
          </w:rPr>
          <w:t>63</w:t>
        </w:r>
        <w:r w:rsidR="000E11EC">
          <w:rPr>
            <w:noProof/>
            <w:webHidden/>
          </w:rPr>
          <w:fldChar w:fldCharType="end"/>
        </w:r>
      </w:hyperlink>
    </w:p>
    <w:p w14:paraId="7DB164D5" w14:textId="5FE8F2C4" w:rsidR="000E11EC" w:rsidRDefault="00C757EF">
      <w:pPr>
        <w:pStyle w:val="TOC1"/>
        <w:rPr>
          <w:rFonts w:asciiTheme="minorHAnsi" w:eastAsiaTheme="minorEastAsia" w:hAnsiTheme="minorHAnsi" w:cstheme="minorBidi"/>
          <w:b w:val="0"/>
          <w:noProof/>
          <w:szCs w:val="22"/>
        </w:rPr>
      </w:pPr>
      <w:hyperlink w:anchor="_Toc99064362" w:history="1">
        <w:r w:rsidR="000E11EC" w:rsidRPr="009B7778">
          <w:rPr>
            <w:rStyle w:val="Hyperlink"/>
            <w:noProof/>
          </w:rPr>
          <w:t>Medium</w:t>
        </w:r>
        <w:r w:rsidR="00111A07">
          <w:rPr>
            <w:rStyle w:val="Hyperlink"/>
            <w:noProof/>
          </w:rPr>
          <w:noBreakHyphen/>
        </w:r>
        <w:r w:rsidR="000E11EC" w:rsidRPr="009B7778">
          <w:rPr>
            <w:rStyle w:val="Hyperlink"/>
            <w:noProof/>
          </w:rPr>
          <w:t>term projections</w:t>
        </w:r>
        <w:r w:rsidR="000E11EC">
          <w:rPr>
            <w:noProof/>
            <w:webHidden/>
          </w:rPr>
          <w:tab/>
        </w:r>
        <w:r w:rsidR="000E11EC">
          <w:rPr>
            <w:noProof/>
            <w:webHidden/>
          </w:rPr>
          <w:fldChar w:fldCharType="begin"/>
        </w:r>
        <w:r w:rsidR="000E11EC">
          <w:rPr>
            <w:noProof/>
            <w:webHidden/>
          </w:rPr>
          <w:instrText xml:space="preserve"> PAGEREF _Toc99064362 \h </w:instrText>
        </w:r>
        <w:r w:rsidR="000E11EC">
          <w:rPr>
            <w:noProof/>
            <w:webHidden/>
          </w:rPr>
        </w:r>
        <w:r w:rsidR="000E11EC">
          <w:rPr>
            <w:noProof/>
            <w:webHidden/>
          </w:rPr>
          <w:fldChar w:fldCharType="separate"/>
        </w:r>
        <w:r w:rsidR="00FC47AC">
          <w:rPr>
            <w:noProof/>
            <w:webHidden/>
          </w:rPr>
          <w:t>66</w:t>
        </w:r>
        <w:r w:rsidR="000E11EC">
          <w:rPr>
            <w:noProof/>
            <w:webHidden/>
          </w:rPr>
          <w:fldChar w:fldCharType="end"/>
        </w:r>
      </w:hyperlink>
    </w:p>
    <w:p w14:paraId="18723D74" w14:textId="2A7FAAC4" w:rsidR="00B40E69" w:rsidRDefault="005B0068" w:rsidP="00C52E6C">
      <w:pPr>
        <w:rPr>
          <w:rFonts w:ascii="Arial Bold" w:hAnsi="Arial Bold"/>
          <w:b/>
          <w:i/>
          <w:sz w:val="22"/>
        </w:rPr>
      </w:pPr>
      <w:r>
        <w:rPr>
          <w:rFonts w:ascii="Arial Bold" w:hAnsi="Arial Bold"/>
          <w:b/>
          <w:i/>
          <w:sz w:val="22"/>
        </w:rPr>
        <w:fldChar w:fldCharType="end"/>
      </w:r>
    </w:p>
    <w:p w14:paraId="50458209" w14:textId="6A64B109" w:rsidR="00733707" w:rsidRPr="00B96121" w:rsidRDefault="00733707" w:rsidP="00B40E69">
      <w:pPr>
        <w:tabs>
          <w:tab w:val="left" w:pos="5805"/>
        </w:tabs>
        <w:sectPr w:rsidR="00733707" w:rsidRPr="00B96121" w:rsidSect="004D1419">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29"/>
          <w:cols w:space="708"/>
          <w:titlePg/>
          <w:docGrid w:linePitch="360"/>
        </w:sectPr>
      </w:pPr>
    </w:p>
    <w:p w14:paraId="159A82FE" w14:textId="77777777" w:rsidR="00733707" w:rsidRPr="00B96121" w:rsidRDefault="00733707" w:rsidP="00733707">
      <w:pPr>
        <w:pStyle w:val="Heading1"/>
      </w:pPr>
      <w:r w:rsidRPr="00B96121">
        <w:lastRenderedPageBreak/>
        <w:t>Statement 2: Economic Outlook</w:t>
      </w:r>
    </w:p>
    <w:p w14:paraId="639FF714" w14:textId="3B5C020B" w:rsidR="0043446D" w:rsidRPr="0043446D" w:rsidRDefault="00733707" w:rsidP="0043446D">
      <w:pPr>
        <w:pStyle w:val="Heading2"/>
      </w:pPr>
      <w:bookmarkStart w:id="0" w:name="_Toc99064352"/>
      <w:r w:rsidRPr="00B96121">
        <w:t>Overview</w:t>
      </w:r>
      <w:bookmarkEnd w:id="0"/>
    </w:p>
    <w:p w14:paraId="53D68DCE" w14:textId="45308911" w:rsidR="005B53A0" w:rsidRPr="00EC7DC9" w:rsidRDefault="00E14955" w:rsidP="005B53A0">
      <w:bookmarkStart w:id="1" w:name="_Hlk69814219"/>
      <w:r w:rsidRPr="00EC7DC9">
        <w:t xml:space="preserve">The Australian economy has proved </w:t>
      </w:r>
      <w:r w:rsidR="00C74364" w:rsidRPr="00EC7DC9">
        <w:t xml:space="preserve">remarkably </w:t>
      </w:r>
      <w:r w:rsidRPr="00EC7DC9">
        <w:t xml:space="preserve">resilient to the ongoing impacts of the pandemic, consistently outperforming expectations and </w:t>
      </w:r>
      <w:r w:rsidR="00C74364" w:rsidRPr="00EC7DC9">
        <w:t>all</w:t>
      </w:r>
      <w:r w:rsidR="00C71E82" w:rsidRPr="00EC7DC9">
        <w:t xml:space="preserve"> </w:t>
      </w:r>
      <w:r w:rsidRPr="00EC7DC9">
        <w:t xml:space="preserve">major advanced </w:t>
      </w:r>
      <w:r w:rsidR="009E5129" w:rsidRPr="00EC7DC9">
        <w:t>economies</w:t>
      </w:r>
      <w:r w:rsidR="00111A07">
        <w:t xml:space="preserve">. </w:t>
      </w:r>
      <w:r w:rsidR="00E168CB" w:rsidRPr="00EC7DC9">
        <w:t>Forecasts for e</w:t>
      </w:r>
      <w:r w:rsidR="002A0960" w:rsidRPr="00EC7DC9">
        <w:t xml:space="preserve">conomic </w:t>
      </w:r>
      <w:r w:rsidR="006105F1" w:rsidRPr="00EC7DC9">
        <w:t>activity</w:t>
      </w:r>
      <w:r w:rsidR="002A0960" w:rsidRPr="00EC7DC9">
        <w:t xml:space="preserve"> </w:t>
      </w:r>
      <w:r w:rsidR="00E168CB" w:rsidRPr="00EC7DC9">
        <w:t>have</w:t>
      </w:r>
      <w:r w:rsidR="002A0960" w:rsidRPr="00EC7DC9">
        <w:t xml:space="preserve"> </w:t>
      </w:r>
      <w:r w:rsidR="002A0960" w:rsidRPr="00EC7DC9" w:rsidDel="00D6655B">
        <w:t xml:space="preserve">been </w:t>
      </w:r>
      <w:r w:rsidR="002A0960" w:rsidRPr="00EC7DC9">
        <w:t>revised up</w:t>
      </w:r>
      <w:r w:rsidR="00FC7EFB">
        <w:t xml:space="preserve"> significantly</w:t>
      </w:r>
      <w:r w:rsidR="002A0960" w:rsidRPr="00EC7DC9">
        <w:t xml:space="preserve">, </w:t>
      </w:r>
      <w:r w:rsidR="00663701">
        <w:t>r</w:t>
      </w:r>
      <w:r w:rsidR="005B53A0">
        <w:t xml:space="preserve">eflecting </w:t>
      </w:r>
      <w:r w:rsidR="005B53A0" w:rsidRPr="00EC7DC9">
        <w:t>stronger</w:t>
      </w:r>
      <w:r w:rsidR="00111A07">
        <w:noBreakHyphen/>
      </w:r>
      <w:r w:rsidR="005B53A0" w:rsidRPr="00EC7DC9">
        <w:t>than</w:t>
      </w:r>
      <w:r w:rsidR="00111A07">
        <w:noBreakHyphen/>
      </w:r>
      <w:r w:rsidR="005B53A0" w:rsidRPr="00EC7DC9">
        <w:t>expected momentum in the labour market and consumer spending.</w:t>
      </w:r>
    </w:p>
    <w:p w14:paraId="12B80697" w14:textId="15404A7B" w:rsidR="007D1A56" w:rsidRDefault="00544A52" w:rsidP="00090F97">
      <w:r>
        <w:t>A</w:t>
      </w:r>
      <w:r w:rsidR="0019232C" w:rsidRPr="00EC7DC9">
        <w:t xml:space="preserve"> </w:t>
      </w:r>
      <w:r w:rsidR="009501EC" w:rsidRPr="00EC7DC9">
        <w:t>strong economic recovery is well underway</w:t>
      </w:r>
      <w:r>
        <w:t xml:space="preserve"> with a</w:t>
      </w:r>
      <w:r w:rsidR="0019232C" w:rsidRPr="00EC7DC9">
        <w:t xml:space="preserve"> </w:t>
      </w:r>
      <w:r w:rsidR="007E09ED" w:rsidRPr="00EC7DC9">
        <w:t xml:space="preserve">record </w:t>
      </w:r>
      <w:r w:rsidR="00AF42C2">
        <w:t>proportion</w:t>
      </w:r>
      <w:r w:rsidR="00AF42C2" w:rsidRPr="00EC7DC9">
        <w:t xml:space="preserve"> </w:t>
      </w:r>
      <w:r w:rsidR="007E09ED" w:rsidRPr="00EC7DC9">
        <w:t>of Australians in work</w:t>
      </w:r>
      <w:r w:rsidR="00111A07">
        <w:t xml:space="preserve">. </w:t>
      </w:r>
      <w:r w:rsidR="00F92EA8" w:rsidRPr="00EC7DC9">
        <w:t xml:space="preserve">The recovery </w:t>
      </w:r>
      <w:r w:rsidR="009501EC" w:rsidRPr="00EC7DC9">
        <w:t xml:space="preserve">is forecast to continue </w:t>
      </w:r>
      <w:r w:rsidR="00F41082">
        <w:t>and to drive</w:t>
      </w:r>
      <w:r w:rsidR="007B018C">
        <w:t xml:space="preserve"> </w:t>
      </w:r>
      <w:r w:rsidR="0024706F">
        <w:t>further</w:t>
      </w:r>
      <w:r w:rsidR="007B018C">
        <w:t xml:space="preserve"> employment</w:t>
      </w:r>
      <w:r w:rsidR="0024706F">
        <w:t xml:space="preserve"> growth</w:t>
      </w:r>
      <w:r w:rsidR="00111A07">
        <w:t xml:space="preserve">. </w:t>
      </w:r>
      <w:r w:rsidR="00660AB4">
        <w:t>The</w:t>
      </w:r>
      <w:r w:rsidR="009B09B2" w:rsidRPr="00EC7DC9">
        <w:t xml:space="preserve"> unemployment rate </w:t>
      </w:r>
      <w:r w:rsidR="00C256F5">
        <w:t>is</w:t>
      </w:r>
      <w:r w:rsidR="00D93B48">
        <w:t xml:space="preserve"> </w:t>
      </w:r>
      <w:r w:rsidR="00C256F5">
        <w:t>now</w:t>
      </w:r>
      <w:r w:rsidR="009B09B2" w:rsidRPr="00EC7DC9">
        <w:t xml:space="preserve"> </w:t>
      </w:r>
      <w:r w:rsidR="00596A25">
        <w:t>forecast</w:t>
      </w:r>
      <w:r w:rsidR="00596A25" w:rsidRPr="00EC7DC9">
        <w:t xml:space="preserve"> </w:t>
      </w:r>
      <w:r w:rsidR="000B3245" w:rsidRPr="00EC7DC9">
        <w:t xml:space="preserve">to reach </w:t>
      </w:r>
      <w:r w:rsidR="009B09B2" w:rsidRPr="00EC7DC9">
        <w:t>3¾</w:t>
      </w:r>
      <w:r w:rsidR="00EE45DC" w:rsidRPr="00943DC6">
        <w:t> </w:t>
      </w:r>
      <w:r w:rsidR="009B09B2" w:rsidRPr="00EC7DC9">
        <w:t>per</w:t>
      </w:r>
      <w:r w:rsidR="00EE45DC" w:rsidRPr="00943DC6">
        <w:t> </w:t>
      </w:r>
      <w:r w:rsidR="009B09B2" w:rsidRPr="00EC7DC9">
        <w:t>cent in</w:t>
      </w:r>
      <w:r w:rsidR="007F3F7D">
        <w:t xml:space="preserve"> the September quarter of</w:t>
      </w:r>
      <w:r w:rsidR="009B09B2" w:rsidRPr="00EC7DC9">
        <w:t xml:space="preserve"> 2022</w:t>
      </w:r>
      <w:r w:rsidR="002D189D" w:rsidRPr="00EC7DC9">
        <w:t>,</w:t>
      </w:r>
      <w:r w:rsidR="002A54F1" w:rsidRPr="00EC7DC9">
        <w:t xml:space="preserve"> nearly 3 percentage points below the </w:t>
      </w:r>
      <w:r w:rsidR="000B3245" w:rsidRPr="00EC7DC9">
        <w:t xml:space="preserve">Budget </w:t>
      </w:r>
      <w:r w:rsidR="002A54F1" w:rsidRPr="00EC7DC9">
        <w:t xml:space="preserve">forecast from </w:t>
      </w:r>
      <w:r w:rsidR="006D0391">
        <w:t>2</w:t>
      </w:r>
      <w:r w:rsidR="00275352" w:rsidRPr="00EC7DC9">
        <w:t xml:space="preserve"> years ago</w:t>
      </w:r>
      <w:r w:rsidR="00F83397" w:rsidRPr="00EC7DC9">
        <w:t xml:space="preserve"> and the lowest </w:t>
      </w:r>
      <w:r w:rsidR="00B35842">
        <w:t>rate</w:t>
      </w:r>
      <w:r w:rsidR="00B35842" w:rsidRPr="00EC7DC9">
        <w:t xml:space="preserve"> </w:t>
      </w:r>
      <w:r w:rsidR="00F83397" w:rsidRPr="00EC7DC9">
        <w:t>in</w:t>
      </w:r>
      <w:r w:rsidR="00411AEB" w:rsidRPr="00EC7DC9">
        <w:t xml:space="preserve"> close to</w:t>
      </w:r>
      <w:r w:rsidR="00F83397" w:rsidRPr="00EC7DC9">
        <w:t xml:space="preserve"> 50 years</w:t>
      </w:r>
      <w:r w:rsidR="00111A07">
        <w:t xml:space="preserve">. </w:t>
      </w:r>
      <w:r w:rsidR="00A73909">
        <w:t xml:space="preserve">The strong labour market is expected to see wages growth accelerate to its fastest pace in </w:t>
      </w:r>
      <w:r w:rsidR="00C9767E">
        <w:t>almost</w:t>
      </w:r>
      <w:r w:rsidR="00A73909">
        <w:t xml:space="preserve"> a decade.</w:t>
      </w:r>
    </w:p>
    <w:p w14:paraId="631226C3" w14:textId="00C63AB9" w:rsidR="00BD421B" w:rsidRPr="005A02EC" w:rsidRDefault="009D2E4B" w:rsidP="009252A5">
      <w:r w:rsidRPr="005A02EC">
        <w:t>Real GDP is forecast to grow by 4¼ per cent in 2021</w:t>
      </w:r>
      <w:r w:rsidR="00111A07">
        <w:noBreakHyphen/>
      </w:r>
      <w:r w:rsidRPr="005A02EC">
        <w:t>22</w:t>
      </w:r>
      <w:r w:rsidR="00111A07">
        <w:t xml:space="preserve">. </w:t>
      </w:r>
      <w:r w:rsidR="006C7A0E">
        <w:t>S</w:t>
      </w:r>
      <w:r w:rsidRPr="005A02EC">
        <w:t>tronger</w:t>
      </w:r>
      <w:r w:rsidR="00111A07">
        <w:noBreakHyphen/>
      </w:r>
      <w:r w:rsidRPr="005A02EC">
        <w:t>than</w:t>
      </w:r>
      <w:r w:rsidR="00111A07">
        <w:noBreakHyphen/>
      </w:r>
      <w:r w:rsidRPr="005A02EC">
        <w:t xml:space="preserve">expected </w:t>
      </w:r>
      <w:r>
        <w:t>consumer spending and employment</w:t>
      </w:r>
      <w:r w:rsidR="00376A7D">
        <w:t xml:space="preserve"> outcomes have </w:t>
      </w:r>
      <w:r w:rsidRPr="005A02EC">
        <w:t xml:space="preserve">led to an upgrade to growth </w:t>
      </w:r>
      <w:r w:rsidR="00C60E58">
        <w:t>since</w:t>
      </w:r>
      <w:r w:rsidRPr="005A02EC">
        <w:t xml:space="preserve"> </w:t>
      </w:r>
      <w:r w:rsidR="007B0515">
        <w:t>the</w:t>
      </w:r>
      <w:r w:rsidRPr="005A02EC">
        <w:t xml:space="preserve"> </w:t>
      </w:r>
      <w:r w:rsidR="00FC172F">
        <w:t>2021</w:t>
      </w:r>
      <w:r w:rsidR="00111A07">
        <w:noBreakHyphen/>
      </w:r>
      <w:r w:rsidR="00FC172F">
        <w:t xml:space="preserve">22 </w:t>
      </w:r>
      <w:r w:rsidRPr="005A02EC">
        <w:t>MYEFO</w:t>
      </w:r>
      <w:r w:rsidR="00C60E58">
        <w:t xml:space="preserve">, </w:t>
      </w:r>
      <w:r w:rsidR="00C60E58" w:rsidRPr="00943DC6">
        <w:t xml:space="preserve">laying the </w:t>
      </w:r>
      <w:r w:rsidR="001A61F9" w:rsidRPr="00943DC6">
        <w:t>foundations</w:t>
      </w:r>
      <w:r w:rsidR="00C60E58" w:rsidRPr="00943DC6">
        <w:t xml:space="preserve"> for </w:t>
      </w:r>
      <w:r w:rsidR="00231208">
        <w:t>further</w:t>
      </w:r>
      <w:r w:rsidR="00C60E58" w:rsidRPr="00943DC6">
        <w:t xml:space="preserve"> strong growth over the forecast period</w:t>
      </w:r>
      <w:r w:rsidR="00111A07">
        <w:t xml:space="preserve">. </w:t>
      </w:r>
      <w:r w:rsidRPr="005A02EC">
        <w:t>Real GDP is forecast to grow by 3½ per cent in 2022</w:t>
      </w:r>
      <w:r w:rsidR="00111A07">
        <w:noBreakHyphen/>
      </w:r>
      <w:r w:rsidRPr="005A02EC">
        <w:t>23 and 2½</w:t>
      </w:r>
      <w:r w:rsidR="005024ED">
        <w:t> </w:t>
      </w:r>
      <w:r w:rsidRPr="005A02EC">
        <w:t>per</w:t>
      </w:r>
      <w:r w:rsidR="005024ED">
        <w:t> </w:t>
      </w:r>
      <w:r w:rsidRPr="005A02EC">
        <w:t>cent in</w:t>
      </w:r>
      <w:r w:rsidR="00E859FB">
        <w:t> </w:t>
      </w:r>
      <w:r w:rsidRPr="005A02EC">
        <w:t>2023</w:t>
      </w:r>
      <w:r w:rsidR="00111A07">
        <w:noBreakHyphen/>
      </w:r>
      <w:r w:rsidRPr="005A02EC">
        <w:t>24</w:t>
      </w:r>
      <w:r w:rsidR="0024706F">
        <w:t>,</w:t>
      </w:r>
      <w:r w:rsidRPr="005A02EC">
        <w:t xml:space="preserve"> </w:t>
      </w:r>
      <w:r w:rsidR="009D76F0">
        <w:t>with broad based growth in</w:t>
      </w:r>
      <w:r>
        <w:t xml:space="preserve"> consumption</w:t>
      </w:r>
      <w:r w:rsidR="009D76F0">
        <w:t>, business investment and exports</w:t>
      </w:r>
      <w:r w:rsidR="00111A07">
        <w:t xml:space="preserve">. </w:t>
      </w:r>
      <w:r w:rsidRPr="005A02EC">
        <w:t xml:space="preserve">Real GDP is forecast to remain </w:t>
      </w:r>
      <w:r w:rsidR="00BD421B" w:rsidRPr="007E389E">
        <w:t>above the 2021</w:t>
      </w:r>
      <w:r w:rsidR="00111A07">
        <w:noBreakHyphen/>
      </w:r>
      <w:r w:rsidR="00BD421B" w:rsidRPr="007E389E">
        <w:t xml:space="preserve">22 MYEFO </w:t>
      </w:r>
      <w:r w:rsidR="0024706F">
        <w:t>profile</w:t>
      </w:r>
      <w:r w:rsidR="00BD421B" w:rsidRPr="007E389E">
        <w:t xml:space="preserve"> over the </w:t>
      </w:r>
      <w:r w:rsidR="00BD421B">
        <w:t>forecast period, growing by 2½ per cent in 2024</w:t>
      </w:r>
      <w:r w:rsidR="00111A07">
        <w:noBreakHyphen/>
      </w:r>
      <w:r w:rsidR="00BD421B">
        <w:t>25 and 2025</w:t>
      </w:r>
      <w:r w:rsidR="00111A07">
        <w:noBreakHyphen/>
      </w:r>
      <w:r w:rsidR="00BD421B">
        <w:t>26.</w:t>
      </w:r>
    </w:p>
    <w:p w14:paraId="06EF6208" w14:textId="645B4E4B" w:rsidR="009501EC" w:rsidRDefault="0092563E" w:rsidP="00CC0A38">
      <w:r>
        <w:t xml:space="preserve">The </w:t>
      </w:r>
      <w:r w:rsidR="009531EA" w:rsidRPr="002E0168">
        <w:t>ongoing pandemic</w:t>
      </w:r>
      <w:r w:rsidR="009531EA">
        <w:t xml:space="preserve">, </w:t>
      </w:r>
      <w:r>
        <w:t>Russian</w:t>
      </w:r>
      <w:r w:rsidR="009501EC" w:rsidRPr="002E0168">
        <w:t xml:space="preserve"> invasion of Ukraine, </w:t>
      </w:r>
      <w:r w:rsidR="0087753A">
        <w:t xml:space="preserve">strained </w:t>
      </w:r>
      <w:r w:rsidR="009C062E">
        <w:t>supply chain</w:t>
      </w:r>
      <w:r w:rsidR="00C068C9">
        <w:t>s</w:t>
      </w:r>
      <w:r w:rsidR="009C062E">
        <w:t xml:space="preserve"> </w:t>
      </w:r>
      <w:r w:rsidR="009501EC" w:rsidRPr="002E0168">
        <w:t xml:space="preserve">and </w:t>
      </w:r>
      <w:r w:rsidR="00C068C9">
        <w:t xml:space="preserve">rising </w:t>
      </w:r>
      <w:r w:rsidR="009501EC" w:rsidRPr="002E0168">
        <w:t>inflation</w:t>
      </w:r>
      <w:r w:rsidR="00C068C9">
        <w:t>ary</w:t>
      </w:r>
      <w:r w:rsidR="009501EC" w:rsidRPr="002E0168">
        <w:t xml:space="preserve"> pressures </w:t>
      </w:r>
      <w:r w:rsidR="005553EC">
        <w:t>all</w:t>
      </w:r>
      <w:r w:rsidR="009501EC" w:rsidRPr="002E0168">
        <w:t xml:space="preserve"> present risks to the global and domestic outlooks</w:t>
      </w:r>
      <w:r w:rsidR="00111A07">
        <w:t xml:space="preserve">. </w:t>
      </w:r>
      <w:r w:rsidR="004E4237">
        <w:t xml:space="preserve">Nonetheless, the resilience of the Australian economy throughout the pandemic demonstrates </w:t>
      </w:r>
      <w:r w:rsidR="009C1590">
        <w:t xml:space="preserve">that the economy is well placed to </w:t>
      </w:r>
      <w:r w:rsidR="004C3071">
        <w:t xml:space="preserve">adapt </w:t>
      </w:r>
      <w:r w:rsidR="009C1590">
        <w:t xml:space="preserve">to </w:t>
      </w:r>
      <w:r w:rsidR="00313428">
        <w:t xml:space="preserve">these </w:t>
      </w:r>
      <w:r w:rsidR="009C1590">
        <w:t>new developments.</w:t>
      </w:r>
    </w:p>
    <w:p w14:paraId="79E6A35D" w14:textId="0092E989" w:rsidR="00CC0A38" w:rsidRDefault="00CC0A38" w:rsidP="00CC0A38">
      <w:r>
        <w:t xml:space="preserve">The economy rebounded </w:t>
      </w:r>
      <w:r w:rsidR="005427F1">
        <w:t>swiftly</w:t>
      </w:r>
      <w:r>
        <w:t xml:space="preserve"> following the Delta outbreaks, </w:t>
      </w:r>
      <w:r w:rsidR="00B40D78">
        <w:t>demonstra</w:t>
      </w:r>
      <w:r w:rsidR="00205620">
        <w:t xml:space="preserve">ting its resilience by </w:t>
      </w:r>
      <w:r>
        <w:t>achieving the equal</w:t>
      </w:r>
      <w:r w:rsidR="00AF4853">
        <w:t xml:space="preserve"> </w:t>
      </w:r>
      <w:r>
        <w:t>best quarter of growth in 46 years</w:t>
      </w:r>
      <w:r w:rsidRPr="00AD796A">
        <w:t xml:space="preserve"> </w:t>
      </w:r>
      <w:r>
        <w:t>in the December</w:t>
      </w:r>
      <w:r w:rsidR="00E859FB">
        <w:t> </w:t>
      </w:r>
      <w:r>
        <w:t>quarter</w:t>
      </w:r>
      <w:r w:rsidR="00111A07">
        <w:t xml:space="preserve">. </w:t>
      </w:r>
      <w:r w:rsidR="00D55740" w:rsidRPr="00943DC6">
        <w:t>More</w:t>
      </w:r>
      <w:r w:rsidR="00D55740">
        <w:t xml:space="preserve"> recent</w:t>
      </w:r>
      <w:r>
        <w:t xml:space="preserve"> indicators suggest the Omicron outbreak in early 2022 has not derailed this strong momentum, despite considerable disruption to activity because of high case numbers and worker absenteeism</w:t>
      </w:r>
      <w:r w:rsidR="00111A07">
        <w:t xml:space="preserve">. </w:t>
      </w:r>
    </w:p>
    <w:p w14:paraId="7F0C408B" w14:textId="12F01FE2" w:rsidR="001F03E2" w:rsidRDefault="001F03E2" w:rsidP="001F03E2">
      <w:r>
        <w:t>The strong recovery has been underpinned by the Government</w:t>
      </w:r>
      <w:r w:rsidR="00111A07">
        <w:t>’</w:t>
      </w:r>
      <w:r>
        <w:t>s economic plan which has seen h</w:t>
      </w:r>
      <w:r w:rsidRPr="00EC7DC9">
        <w:t xml:space="preserve">ousehold disposable income increase </w:t>
      </w:r>
      <w:r w:rsidR="00444A1A">
        <w:t xml:space="preserve">by around </w:t>
      </w:r>
      <w:r w:rsidRPr="00EC7DC9">
        <w:t>1</w:t>
      </w:r>
      <w:r>
        <w:t>1</w:t>
      </w:r>
      <w:r w:rsidRPr="00EC7DC9">
        <w:t xml:space="preserve"> per cent since the start of the pandemic</w:t>
      </w:r>
      <w:r w:rsidR="00111A07">
        <w:t xml:space="preserve">. </w:t>
      </w:r>
      <w:r w:rsidRPr="004F3156">
        <w:t xml:space="preserve">The </w:t>
      </w:r>
      <w:proofErr w:type="gramStart"/>
      <w:r w:rsidRPr="004F3156">
        <w:t>cost of living</w:t>
      </w:r>
      <w:proofErr w:type="gramEnd"/>
      <w:r w:rsidRPr="004F3156">
        <w:t xml:space="preserve"> </w:t>
      </w:r>
      <w:r w:rsidRPr="005D4F86">
        <w:t>package announced at this Budget builds on the $314</w:t>
      </w:r>
      <w:r w:rsidR="000566E2">
        <w:t> </w:t>
      </w:r>
      <w:r w:rsidRPr="005D4F86">
        <w:t xml:space="preserve">billion in direct economic support </w:t>
      </w:r>
      <w:r w:rsidR="00625C70">
        <w:t>provided</w:t>
      </w:r>
      <w:r w:rsidRPr="005D4F86">
        <w:t xml:space="preserve"> through</w:t>
      </w:r>
      <w:r w:rsidR="00760EA1">
        <w:t>out</w:t>
      </w:r>
      <w:r w:rsidRPr="005D4F86">
        <w:t xml:space="preserve"> the pandemic</w:t>
      </w:r>
      <w:r w:rsidR="00F05E1F">
        <w:t xml:space="preserve"> that</w:t>
      </w:r>
      <w:r w:rsidRPr="00AE4DA6">
        <w:t xml:space="preserve"> has </w:t>
      </w:r>
      <w:r w:rsidR="00625C70">
        <w:t>effectively supported</w:t>
      </w:r>
      <w:r w:rsidRPr="00AE4DA6">
        <w:t xml:space="preserve"> household and small business incomes, </w:t>
      </w:r>
      <w:r w:rsidR="00625C70">
        <w:t>and sustained</w:t>
      </w:r>
      <w:r w:rsidRPr="00AE4DA6">
        <w:t xml:space="preserve"> labour market connections</w:t>
      </w:r>
      <w:r w:rsidR="00111A07">
        <w:t xml:space="preserve">. </w:t>
      </w:r>
      <w:r w:rsidRPr="00AE4DA6">
        <w:t>B</w:t>
      </w:r>
      <w:r w:rsidRPr="00EC7DC9">
        <w:t>usiness and household cash savings are now $182</w:t>
      </w:r>
      <w:r>
        <w:t> </w:t>
      </w:r>
      <w:r w:rsidRPr="00EC7DC9">
        <w:t>billion and $251</w:t>
      </w:r>
      <w:r>
        <w:t> </w:t>
      </w:r>
      <w:r w:rsidRPr="00EC7DC9">
        <w:t>billion higher than at the start of the pandemic</w:t>
      </w:r>
      <w:r w:rsidR="00111A07">
        <w:t xml:space="preserve">. </w:t>
      </w:r>
    </w:p>
    <w:p w14:paraId="3E7E61EF" w14:textId="2D49690E" w:rsidR="00F20353" w:rsidRPr="005A02EC" w:rsidRDefault="00F20353" w:rsidP="009252A5">
      <w:r w:rsidRPr="19864912">
        <w:lastRenderedPageBreak/>
        <w:t xml:space="preserve">Now that </w:t>
      </w:r>
      <w:r w:rsidR="00961D9C">
        <w:t>pandemic</w:t>
      </w:r>
      <w:r w:rsidR="00111A07">
        <w:noBreakHyphen/>
      </w:r>
      <w:r w:rsidR="00961D9C">
        <w:t xml:space="preserve">related </w:t>
      </w:r>
      <w:r>
        <w:t>activity restrictions have been wound back</w:t>
      </w:r>
      <w:r w:rsidR="008A5A07">
        <w:t xml:space="preserve"> and </w:t>
      </w:r>
      <w:r w:rsidRPr="19864912">
        <w:t>vaccination</w:t>
      </w:r>
      <w:r w:rsidR="008A5A07">
        <w:t xml:space="preserve">, along with </w:t>
      </w:r>
      <w:r w:rsidR="001676E7">
        <w:t>improved treatment options</w:t>
      </w:r>
      <w:r w:rsidR="008A5A07">
        <w:t>,</w:t>
      </w:r>
      <w:r w:rsidR="005119A3">
        <w:t xml:space="preserve"> </w:t>
      </w:r>
      <w:r w:rsidR="004E2005">
        <w:t xml:space="preserve">are </w:t>
      </w:r>
      <w:r w:rsidRPr="19864912">
        <w:t>the primary tool</w:t>
      </w:r>
      <w:r w:rsidR="001D5919">
        <w:t>s</w:t>
      </w:r>
      <w:r w:rsidRPr="19864912">
        <w:t xml:space="preserve"> for managing the virus, the conditions </w:t>
      </w:r>
      <w:r>
        <w:t xml:space="preserve">are in place </w:t>
      </w:r>
      <w:r w:rsidRPr="19864912">
        <w:t xml:space="preserve">for a sustained economic </w:t>
      </w:r>
      <w:r w:rsidR="00BD7692">
        <w:t>recovery</w:t>
      </w:r>
      <w:r w:rsidR="00111A07">
        <w:t xml:space="preserve">. </w:t>
      </w:r>
      <w:r w:rsidR="0006248F">
        <w:t>While COVID</w:t>
      </w:r>
      <w:r w:rsidR="00111A07">
        <w:noBreakHyphen/>
      </w:r>
      <w:r w:rsidR="0006248F">
        <w:t>19 remains a risk to the outlook, the</w:t>
      </w:r>
      <w:r w:rsidR="006228F3">
        <w:t xml:space="preserve"> economic</w:t>
      </w:r>
      <w:r w:rsidR="0006248F">
        <w:t xml:space="preserve"> impact of outbreaks has continued to moderate over time due to Australia</w:t>
      </w:r>
      <w:r w:rsidR="00111A07">
        <w:t>’</w:t>
      </w:r>
      <w:r w:rsidR="0006248F">
        <w:t>s high vaccination rates</w:t>
      </w:r>
      <w:r w:rsidR="009942A8">
        <w:t>, more effective treatment options</w:t>
      </w:r>
      <w:r w:rsidR="0006248F">
        <w:t xml:space="preserve"> and the adaptation of consumers and businesses to ongoing community transmission.</w:t>
      </w:r>
    </w:p>
    <w:p w14:paraId="04C33CE7" w14:textId="73808A8B" w:rsidR="00106BE5" w:rsidRPr="005A02EC" w:rsidRDefault="00106BE5" w:rsidP="009252A5">
      <w:r w:rsidRPr="005A02EC">
        <w:t xml:space="preserve">As </w:t>
      </w:r>
      <w:r>
        <w:t>pandemic</w:t>
      </w:r>
      <w:r w:rsidR="00111A07">
        <w:noBreakHyphen/>
      </w:r>
      <w:r>
        <w:t xml:space="preserve">related </w:t>
      </w:r>
      <w:r w:rsidRPr="005A02EC">
        <w:t xml:space="preserve">policy support </w:t>
      </w:r>
      <w:r>
        <w:t xml:space="preserve">continues to </w:t>
      </w:r>
      <w:r w:rsidR="00C86FAD">
        <w:t>taper</w:t>
      </w:r>
      <w:r w:rsidRPr="005A02EC">
        <w:t xml:space="preserve">, </w:t>
      </w:r>
      <w:r w:rsidR="009D6539">
        <w:t>the</w:t>
      </w:r>
      <w:r w:rsidRPr="005A02EC">
        <w:t xml:space="preserve"> private sector </w:t>
      </w:r>
      <w:r>
        <w:t xml:space="preserve">is </w:t>
      </w:r>
      <w:r w:rsidRPr="005A02EC">
        <w:t xml:space="preserve">expected to </w:t>
      </w:r>
      <w:r w:rsidR="00F51066">
        <w:t xml:space="preserve">be the main </w:t>
      </w:r>
      <w:r w:rsidR="00A479A8">
        <w:t>drive</w:t>
      </w:r>
      <w:r w:rsidR="00F51066">
        <w:t>r of</w:t>
      </w:r>
      <w:r w:rsidR="004050DC">
        <w:t xml:space="preserve"> </w:t>
      </w:r>
      <w:r>
        <w:t>growth</w:t>
      </w:r>
      <w:r w:rsidR="00111A07">
        <w:t xml:space="preserve">. </w:t>
      </w:r>
      <w:r w:rsidR="00624576" w:rsidRPr="001C5716">
        <w:t>S</w:t>
      </w:r>
      <w:r w:rsidRPr="001C5716">
        <w:t xml:space="preserve">trong labour market </w:t>
      </w:r>
      <w:r w:rsidR="4ECB6E1C" w:rsidRPr="001C5716">
        <w:t xml:space="preserve">conditions </w:t>
      </w:r>
      <w:r w:rsidRPr="001C5716">
        <w:t xml:space="preserve">combined with </w:t>
      </w:r>
      <w:r w:rsidR="00F3204F" w:rsidRPr="001C5716">
        <w:t xml:space="preserve">personal </w:t>
      </w:r>
      <w:r w:rsidRPr="001C5716">
        <w:t xml:space="preserve">income tax </w:t>
      </w:r>
      <w:r w:rsidR="00F3204F" w:rsidRPr="001C5716">
        <w:t>relief</w:t>
      </w:r>
      <w:r w:rsidR="008C0A5F" w:rsidRPr="001C5716">
        <w:t xml:space="preserve">, </w:t>
      </w:r>
      <w:r w:rsidR="00913470" w:rsidRPr="001C5716">
        <w:t>totalling</w:t>
      </w:r>
      <w:r w:rsidR="008C0A5F" w:rsidRPr="001C5716">
        <w:t xml:space="preserve"> $40 billion </w:t>
      </w:r>
      <w:r w:rsidR="00F3204F" w:rsidRPr="001C5716">
        <w:t>since the start of the pandemic</w:t>
      </w:r>
      <w:r w:rsidR="008C0A5F" w:rsidRPr="001C5716">
        <w:t>,</w:t>
      </w:r>
      <w:r w:rsidRPr="001C5716">
        <w:t xml:space="preserve"> </w:t>
      </w:r>
      <w:r w:rsidR="00624576" w:rsidRPr="001C5716">
        <w:t>will</w:t>
      </w:r>
      <w:r w:rsidRPr="00114B30">
        <w:t xml:space="preserve"> </w:t>
      </w:r>
      <w:r w:rsidR="00C624EB" w:rsidRPr="00114B30">
        <w:t xml:space="preserve">underpin </w:t>
      </w:r>
      <w:r w:rsidR="00882108" w:rsidRPr="00114B30">
        <w:t>robust</w:t>
      </w:r>
      <w:r w:rsidRPr="00114B30">
        <w:t xml:space="preserve"> growth in household disposable incomes and </w:t>
      </w:r>
      <w:r w:rsidR="00E92213" w:rsidRPr="00114B30">
        <w:t xml:space="preserve">strengthen </w:t>
      </w:r>
      <w:r w:rsidRPr="00114B30">
        <w:t>consumer spending</w:t>
      </w:r>
      <w:r w:rsidR="00E92213" w:rsidRPr="00114B30">
        <w:t xml:space="preserve"> as the saving</w:t>
      </w:r>
      <w:r w:rsidR="00073E67">
        <w:t>s</w:t>
      </w:r>
      <w:r w:rsidR="00E92213" w:rsidRPr="00114B30">
        <w:t xml:space="preserve"> rate returns to more normal levels</w:t>
      </w:r>
      <w:r w:rsidR="00111A07">
        <w:t xml:space="preserve">. </w:t>
      </w:r>
      <w:r w:rsidR="0060637A" w:rsidRPr="003C4F27">
        <w:t>The record pipeline of work</w:t>
      </w:r>
      <w:r w:rsidR="00535DBF" w:rsidRPr="003C4F27">
        <w:t xml:space="preserve"> </w:t>
      </w:r>
      <w:r w:rsidR="0060637A" w:rsidRPr="003C4F27">
        <w:t xml:space="preserve">in the </w:t>
      </w:r>
      <w:r w:rsidR="00D84963" w:rsidRPr="003C4F27">
        <w:t>residential construction sector</w:t>
      </w:r>
      <w:r w:rsidR="00535DBF" w:rsidRPr="003C4F27">
        <w:t xml:space="preserve"> </w:t>
      </w:r>
      <w:r w:rsidR="00D84963" w:rsidRPr="003C4F27">
        <w:t xml:space="preserve">will support </w:t>
      </w:r>
      <w:r w:rsidR="003C4F27" w:rsidRPr="003C4F27">
        <w:t>strong</w:t>
      </w:r>
      <w:r w:rsidR="00D84963" w:rsidRPr="003C4F27">
        <w:t xml:space="preserve"> dwelling investment</w:t>
      </w:r>
      <w:r w:rsidR="008D052B">
        <w:t xml:space="preserve">. </w:t>
      </w:r>
      <w:r w:rsidR="00DA087C">
        <w:t>B</w:t>
      </w:r>
      <w:r w:rsidRPr="005A02EC">
        <w:t xml:space="preserve">usiness investment has been boosted by </w:t>
      </w:r>
      <w:r>
        <w:t xml:space="preserve">temporary </w:t>
      </w:r>
      <w:r w:rsidRPr="005A02EC">
        <w:t>business tax incentives</w:t>
      </w:r>
      <w:r w:rsidR="006F12DB">
        <w:t xml:space="preserve"> and investment intentions remain strong</w:t>
      </w:r>
      <w:r w:rsidR="00111A07">
        <w:t xml:space="preserve">. </w:t>
      </w:r>
    </w:p>
    <w:p w14:paraId="23CE1894" w14:textId="1AC506D2" w:rsidR="00305341" w:rsidRDefault="00305341" w:rsidP="00305341">
      <w:r w:rsidRPr="00374726">
        <w:t>The Government</w:t>
      </w:r>
      <w:r w:rsidR="00111A07">
        <w:t>’</w:t>
      </w:r>
      <w:r w:rsidRPr="00374726">
        <w:t xml:space="preserve">s targeted policy support will help address the </w:t>
      </w:r>
      <w:r w:rsidR="006362A1" w:rsidRPr="00374726">
        <w:t xml:space="preserve">economic </w:t>
      </w:r>
      <w:r w:rsidRPr="00374726">
        <w:t xml:space="preserve">impacts of </w:t>
      </w:r>
      <w:r w:rsidR="006362A1" w:rsidRPr="00374726">
        <w:t>the</w:t>
      </w:r>
      <w:r w:rsidRPr="00374726">
        <w:t xml:space="preserve"> floods in Queensland and New South Wales</w:t>
      </w:r>
      <w:r w:rsidR="00111A07">
        <w:t xml:space="preserve">. </w:t>
      </w:r>
      <w:r w:rsidR="00E208DE">
        <w:t xml:space="preserve">While the floods have had a devastating impact on affected </w:t>
      </w:r>
      <w:r w:rsidRPr="00374726">
        <w:t>communities</w:t>
      </w:r>
      <w:r w:rsidR="00E208DE">
        <w:t>, t</w:t>
      </w:r>
      <w:r w:rsidRPr="00374726">
        <w:t xml:space="preserve">he direct impact on the national economy in the March quarter </w:t>
      </w:r>
      <w:r w:rsidR="000D24D8">
        <w:t>of 2022</w:t>
      </w:r>
      <w:r w:rsidRPr="00374726">
        <w:t xml:space="preserve"> is expected to be small</w:t>
      </w:r>
      <w:r w:rsidR="00111A07">
        <w:t xml:space="preserve">. </w:t>
      </w:r>
      <w:r w:rsidR="002701F5">
        <w:t>Over the next few years,</w:t>
      </w:r>
      <w:r w:rsidR="00DF5CBC">
        <w:t xml:space="preserve"> the</w:t>
      </w:r>
      <w:r w:rsidR="002701F5">
        <w:t xml:space="preserve"> </w:t>
      </w:r>
      <w:r w:rsidRPr="00374726">
        <w:t xml:space="preserve">recovery and rebuilding </w:t>
      </w:r>
      <w:r w:rsidR="00F05E1F">
        <w:t>process is</w:t>
      </w:r>
      <w:r w:rsidR="00D71534">
        <w:t xml:space="preserve"> expected to </w:t>
      </w:r>
      <w:r w:rsidR="00A2214E">
        <w:t>contribute to growth</w:t>
      </w:r>
      <w:r w:rsidR="00111A07">
        <w:t xml:space="preserve">. </w:t>
      </w:r>
      <w:r w:rsidRPr="00374726">
        <w:t>The economic impacts of the floods are discussed in Box 2.3.</w:t>
      </w:r>
    </w:p>
    <w:p w14:paraId="687AD33E" w14:textId="283A7FFB" w:rsidR="009A28F2" w:rsidRDefault="00AA7B82" w:rsidP="009252A5">
      <w:r>
        <w:t xml:space="preserve">The reopening of international borders will </w:t>
      </w:r>
      <w:r w:rsidR="00F51F41">
        <w:t>see</w:t>
      </w:r>
      <w:r w:rsidR="004005CE">
        <w:t xml:space="preserve"> </w:t>
      </w:r>
      <w:r w:rsidR="00301428">
        <w:t xml:space="preserve">the return of migrants and </w:t>
      </w:r>
      <w:r w:rsidR="00E55D31">
        <w:t xml:space="preserve">international </w:t>
      </w:r>
      <w:r w:rsidR="00301428">
        <w:t>students</w:t>
      </w:r>
      <w:r w:rsidR="007F0AB0">
        <w:t xml:space="preserve">, supporting </w:t>
      </w:r>
      <w:r w:rsidR="009E2432">
        <w:t>growth in consumption and education exports</w:t>
      </w:r>
      <w:r w:rsidR="00850245">
        <w:t xml:space="preserve"> and assist</w:t>
      </w:r>
      <w:r w:rsidR="003C272C">
        <w:t>ing</w:t>
      </w:r>
      <w:r w:rsidR="00850245">
        <w:t xml:space="preserve"> in filling skill gaps</w:t>
      </w:r>
      <w:r w:rsidR="00111A07">
        <w:t xml:space="preserve">. </w:t>
      </w:r>
      <w:r w:rsidR="00BB64B5">
        <w:t>A</w:t>
      </w:r>
      <w:r w:rsidR="007E0896">
        <w:t xml:space="preserve">s </w:t>
      </w:r>
      <w:r w:rsidR="009A28F2">
        <w:t xml:space="preserve">international tourism </w:t>
      </w:r>
      <w:r w:rsidR="007E0896">
        <w:t xml:space="preserve">returns, </w:t>
      </w:r>
      <w:r w:rsidR="00122490">
        <w:t xml:space="preserve">a recovery in </w:t>
      </w:r>
      <w:r w:rsidR="007F2ED0">
        <w:t xml:space="preserve">spending from </w:t>
      </w:r>
      <w:r w:rsidR="005F0502">
        <w:t>foreign</w:t>
      </w:r>
      <w:r w:rsidR="007F2ED0">
        <w:t xml:space="preserve"> tourists </w:t>
      </w:r>
      <w:r w:rsidR="00122490">
        <w:t xml:space="preserve">will be </w:t>
      </w:r>
      <w:r w:rsidR="007F2ED0">
        <w:t xml:space="preserve">more than offset by </w:t>
      </w:r>
      <w:r w:rsidR="00122490">
        <w:t xml:space="preserve">tourism imports as </w:t>
      </w:r>
      <w:r w:rsidR="007F2ED0">
        <w:t>Australian</w:t>
      </w:r>
      <w:r w:rsidR="002875F9">
        <w:t>s</w:t>
      </w:r>
      <w:r w:rsidR="007F2ED0">
        <w:t xml:space="preserve"> </w:t>
      </w:r>
      <w:r w:rsidR="00122490">
        <w:t xml:space="preserve">return </w:t>
      </w:r>
      <w:r w:rsidR="0067174C">
        <w:t>to</w:t>
      </w:r>
      <w:r w:rsidR="007F2ED0">
        <w:t xml:space="preserve"> </w:t>
      </w:r>
      <w:r w:rsidR="00122490">
        <w:t>travell</w:t>
      </w:r>
      <w:r w:rsidR="00435B50">
        <w:t>i</w:t>
      </w:r>
      <w:r w:rsidR="00122490">
        <w:t>ng</w:t>
      </w:r>
      <w:r w:rsidR="007F2ED0">
        <w:t xml:space="preserve"> overseas</w:t>
      </w:r>
      <w:r w:rsidR="0067174C">
        <w:t>.</w:t>
      </w:r>
    </w:p>
    <w:p w14:paraId="226E5FBC" w14:textId="0019C2F0" w:rsidR="00582365" w:rsidRPr="005A02EC" w:rsidDel="00A01B4F" w:rsidRDefault="00FD7387" w:rsidP="009252A5">
      <w:r>
        <w:t xml:space="preserve">Commodity prices are </w:t>
      </w:r>
      <w:r w:rsidR="00BE3C59">
        <w:t xml:space="preserve">near </w:t>
      </w:r>
      <w:r w:rsidR="004D7769">
        <w:t>record high</w:t>
      </w:r>
      <w:r>
        <w:t xml:space="preserve"> levels,</w:t>
      </w:r>
      <w:r w:rsidR="00DD1F7F">
        <w:t xml:space="preserve"> </w:t>
      </w:r>
      <w:r w:rsidR="00935EC6">
        <w:t xml:space="preserve">in </w:t>
      </w:r>
      <w:r w:rsidR="00DD1F7F">
        <w:t>part due to the Russian invasion of Ukraine</w:t>
      </w:r>
      <w:r w:rsidR="00111A07">
        <w:t xml:space="preserve">. </w:t>
      </w:r>
      <w:r w:rsidR="005F3D06">
        <w:t xml:space="preserve">Metallurgical </w:t>
      </w:r>
      <w:r w:rsidR="00E478E6">
        <w:t xml:space="preserve">and </w:t>
      </w:r>
      <w:r w:rsidR="008C73B5">
        <w:t xml:space="preserve">thermal </w:t>
      </w:r>
      <w:r w:rsidR="001635C0">
        <w:t xml:space="preserve">coal </w:t>
      </w:r>
      <w:r w:rsidR="00E478E6">
        <w:t xml:space="preserve">spot </w:t>
      </w:r>
      <w:r w:rsidR="001635C0">
        <w:t>prices</w:t>
      </w:r>
      <w:r w:rsidR="00222EAE">
        <w:t xml:space="preserve"> </w:t>
      </w:r>
      <w:r w:rsidR="0038200A">
        <w:t xml:space="preserve">have recently </w:t>
      </w:r>
      <w:r w:rsidR="005B0A75">
        <w:t xml:space="preserve">reached highs </w:t>
      </w:r>
      <w:r w:rsidR="0061236A">
        <w:t xml:space="preserve">that are </w:t>
      </w:r>
      <w:r w:rsidR="001A3039">
        <w:t>62</w:t>
      </w:r>
      <w:r w:rsidR="00876D0B">
        <w:t> </w:t>
      </w:r>
      <w:r w:rsidR="00222EAE">
        <w:t>per</w:t>
      </w:r>
      <w:r w:rsidR="00876D0B">
        <w:t> </w:t>
      </w:r>
      <w:r w:rsidR="00222EAE">
        <w:t xml:space="preserve">cent and </w:t>
      </w:r>
      <w:r w:rsidR="009814FA">
        <w:t>53</w:t>
      </w:r>
      <w:r w:rsidR="00222EAE">
        <w:t xml:space="preserve"> per cent</w:t>
      </w:r>
      <w:r w:rsidR="001635C0">
        <w:t xml:space="preserve"> above previous </w:t>
      </w:r>
      <w:r w:rsidR="00135A20">
        <w:t>peaks</w:t>
      </w:r>
      <w:r w:rsidR="00111A07">
        <w:t xml:space="preserve">. </w:t>
      </w:r>
      <w:r w:rsidR="00357B3F">
        <w:t xml:space="preserve">In line with </w:t>
      </w:r>
      <w:r w:rsidR="00F76517">
        <w:t>past</w:t>
      </w:r>
      <w:r w:rsidR="00357B3F">
        <w:t xml:space="preserve"> practice, e</w:t>
      </w:r>
      <w:r w:rsidR="00D129F6">
        <w:t>levated</w:t>
      </w:r>
      <w:r w:rsidR="00DF61C8">
        <w:t xml:space="preserve"> </w:t>
      </w:r>
      <w:r w:rsidR="001A3040">
        <w:t>coal, iron ore and metals</w:t>
      </w:r>
      <w:r w:rsidR="00D129F6">
        <w:t xml:space="preserve"> </w:t>
      </w:r>
      <w:r w:rsidR="00DF61C8">
        <w:t xml:space="preserve">prices </w:t>
      </w:r>
      <w:r w:rsidR="000041D7">
        <w:t xml:space="preserve">are </w:t>
      </w:r>
      <w:r w:rsidR="006E5C14">
        <w:t xml:space="preserve">assumed to </w:t>
      </w:r>
      <w:r w:rsidR="001A3040">
        <w:t>return</w:t>
      </w:r>
      <w:r w:rsidR="00A52CA7">
        <w:t xml:space="preserve"> to </w:t>
      </w:r>
      <w:r w:rsidR="00A52CA7" w:rsidDel="00DA5575">
        <w:t xml:space="preserve">levels </w:t>
      </w:r>
      <w:r w:rsidR="00DA5575">
        <w:t>consistent</w:t>
      </w:r>
      <w:r w:rsidR="00A52CA7">
        <w:t xml:space="preserve"> with</w:t>
      </w:r>
      <w:r w:rsidR="00FA1DD1">
        <w:t xml:space="preserve"> long</w:t>
      </w:r>
      <w:r w:rsidR="00111A07">
        <w:noBreakHyphen/>
      </w:r>
      <w:r w:rsidR="0059387A">
        <w:t>run</w:t>
      </w:r>
      <w:r w:rsidR="00A52CA7">
        <w:t xml:space="preserve"> market fundamentals by the end of the September quarter</w:t>
      </w:r>
      <w:r w:rsidR="007B760A">
        <w:t xml:space="preserve"> of 2022</w:t>
      </w:r>
      <w:r w:rsidR="00111A07">
        <w:t xml:space="preserve">. </w:t>
      </w:r>
      <w:r w:rsidR="00BE320C">
        <w:t>Nonetheless,</w:t>
      </w:r>
      <w:r w:rsidR="00176983">
        <w:t xml:space="preserve"> </w:t>
      </w:r>
      <w:r w:rsidR="00EF3B9D">
        <w:t>the recent s</w:t>
      </w:r>
      <w:r w:rsidR="00172DB0">
        <w:t>trength in</w:t>
      </w:r>
      <w:r w:rsidR="005134C8">
        <w:t xml:space="preserve"> </w:t>
      </w:r>
      <w:r w:rsidR="00B23F30">
        <w:t xml:space="preserve">export </w:t>
      </w:r>
      <w:r w:rsidR="0057413A">
        <w:t>price</w:t>
      </w:r>
      <w:r w:rsidR="001B3111">
        <w:t>s</w:t>
      </w:r>
      <w:r w:rsidR="0057413A">
        <w:t xml:space="preserve"> </w:t>
      </w:r>
      <w:r w:rsidR="003E4945">
        <w:t>will still</w:t>
      </w:r>
      <w:r w:rsidR="00E140F4">
        <w:t xml:space="preserve"> see </w:t>
      </w:r>
      <w:r w:rsidR="00202AB5">
        <w:t>Australia</w:t>
      </w:r>
      <w:r w:rsidR="00111A07">
        <w:t>’</w:t>
      </w:r>
      <w:r w:rsidR="00202AB5">
        <w:t>s terms of trade</w:t>
      </w:r>
      <w:r w:rsidR="00B86022">
        <w:t xml:space="preserve"> </w:t>
      </w:r>
      <w:r w:rsidR="00D273A0">
        <w:t xml:space="preserve">reach a </w:t>
      </w:r>
      <w:r w:rsidR="00B86022">
        <w:t xml:space="preserve">record high in </w:t>
      </w:r>
      <w:r w:rsidR="00272319">
        <w:t>2021</w:t>
      </w:r>
      <w:r w:rsidR="00111A07">
        <w:noBreakHyphen/>
      </w:r>
      <w:r w:rsidR="00272319">
        <w:t>22</w:t>
      </w:r>
      <w:r w:rsidR="00111A07">
        <w:t xml:space="preserve">. </w:t>
      </w:r>
      <w:r w:rsidR="00A01B4F">
        <w:t xml:space="preserve">This will support </w:t>
      </w:r>
      <w:r w:rsidR="00954FC8">
        <w:t>strong</w:t>
      </w:r>
      <w:r w:rsidR="00A01B4F">
        <w:t xml:space="preserve"> </w:t>
      </w:r>
      <w:r w:rsidR="00A01B4F" w:rsidRPr="0921F61A">
        <w:t xml:space="preserve">profitability in the mining </w:t>
      </w:r>
      <w:r w:rsidR="00A01B4F">
        <w:t>and agricultural sectors</w:t>
      </w:r>
      <w:r w:rsidR="00A01B4F" w:rsidRPr="0921F61A">
        <w:t xml:space="preserve">, </w:t>
      </w:r>
      <w:r w:rsidR="00A01B4F">
        <w:t xml:space="preserve">with </w:t>
      </w:r>
      <w:r w:rsidR="00954FC8">
        <w:t xml:space="preserve">some </w:t>
      </w:r>
      <w:r w:rsidR="00A01B4F">
        <w:t xml:space="preserve">positive </w:t>
      </w:r>
      <w:r w:rsidR="00A01B4F" w:rsidRPr="0921F61A">
        <w:t>flow through to the broader economy</w:t>
      </w:r>
      <w:r w:rsidR="0004137A">
        <w:t xml:space="preserve"> and to revenue</w:t>
      </w:r>
      <w:r w:rsidR="00111A07">
        <w:t xml:space="preserve">. </w:t>
      </w:r>
    </w:p>
    <w:p w14:paraId="4DF1B5C9" w14:textId="24D98C02" w:rsidR="00924102" w:rsidRDefault="005A02EC" w:rsidP="009252A5">
      <w:r w:rsidRPr="005A02EC">
        <w:t>The labour market</w:t>
      </w:r>
      <w:r w:rsidR="002C657B">
        <w:t xml:space="preserve"> has shown remarkable</w:t>
      </w:r>
      <w:r w:rsidR="00B214F3">
        <w:t xml:space="preserve"> strength and</w:t>
      </w:r>
      <w:r w:rsidR="002C657B">
        <w:t xml:space="preserve"> resilience</w:t>
      </w:r>
      <w:r w:rsidR="002D76E2">
        <w:t xml:space="preserve">, with </w:t>
      </w:r>
      <w:r w:rsidR="00727CF8">
        <w:t>c</w:t>
      </w:r>
      <w:r w:rsidR="00E0397B">
        <w:t>onditions</w:t>
      </w:r>
      <w:r w:rsidRPr="005A02EC">
        <w:t xml:space="preserve"> bounc</w:t>
      </w:r>
      <w:r w:rsidR="000C1900">
        <w:t>ing</w:t>
      </w:r>
      <w:r w:rsidRPr="005A02EC">
        <w:t xml:space="preserve"> back swiftly from the Delta and Omicron outbreaks</w:t>
      </w:r>
      <w:r w:rsidR="00111A07">
        <w:t xml:space="preserve">. </w:t>
      </w:r>
      <w:r w:rsidR="00927CDD">
        <w:t>In February, t</w:t>
      </w:r>
      <w:r w:rsidRPr="005A02EC">
        <w:t>he unemployment rate reach</w:t>
      </w:r>
      <w:r w:rsidR="000739FF">
        <w:t>ed</w:t>
      </w:r>
      <w:r w:rsidR="00922D5C">
        <w:t xml:space="preserve"> 4.0 per cent</w:t>
      </w:r>
      <w:r w:rsidR="007F114D">
        <w:t xml:space="preserve"> </w:t>
      </w:r>
      <w:r w:rsidRPr="005A02EC">
        <w:t xml:space="preserve">and the </w:t>
      </w:r>
      <w:r w:rsidR="0091681F">
        <w:t>participation rate</w:t>
      </w:r>
      <w:r w:rsidRPr="005A02EC">
        <w:t xml:space="preserve"> </w:t>
      </w:r>
      <w:r w:rsidR="00927CDD">
        <w:t>reached</w:t>
      </w:r>
      <w:r w:rsidRPr="005A02EC">
        <w:t xml:space="preserve"> a record high of 6</w:t>
      </w:r>
      <w:r w:rsidR="0091681F">
        <w:t>6</w:t>
      </w:r>
      <w:r w:rsidRPr="005A02EC">
        <w:t>.</w:t>
      </w:r>
      <w:r w:rsidR="00695B86">
        <w:t>4</w:t>
      </w:r>
      <w:r w:rsidR="00695B86" w:rsidRPr="005A02EC">
        <w:t xml:space="preserve"> </w:t>
      </w:r>
      <w:r w:rsidRPr="005A02EC">
        <w:t>per cent</w:t>
      </w:r>
      <w:r w:rsidR="00111A07">
        <w:t xml:space="preserve">. </w:t>
      </w:r>
      <w:r w:rsidRPr="005A02EC">
        <w:t xml:space="preserve">The continued </w:t>
      </w:r>
      <w:r w:rsidR="00BD7692">
        <w:t>recovery</w:t>
      </w:r>
      <w:r w:rsidRPr="005A02EC">
        <w:t xml:space="preserve"> in economic activity is expected to </w:t>
      </w:r>
      <w:r w:rsidR="00800DB9">
        <w:t xml:space="preserve">see </w:t>
      </w:r>
      <w:r w:rsidRPr="005A02EC">
        <w:t>the unemployment rate</w:t>
      </w:r>
      <w:r w:rsidR="00601AEF">
        <w:t xml:space="preserve"> fall </w:t>
      </w:r>
      <w:r w:rsidR="00DC4C6A">
        <w:t>to</w:t>
      </w:r>
      <w:r w:rsidR="007C3471">
        <w:t xml:space="preserve"> </w:t>
      </w:r>
      <w:r w:rsidRPr="005A02EC">
        <w:t xml:space="preserve">3¾ per cent </w:t>
      </w:r>
      <w:r w:rsidR="00924102">
        <w:t xml:space="preserve">in </w:t>
      </w:r>
      <w:r w:rsidR="001877EC">
        <w:t>the September quarter of</w:t>
      </w:r>
      <w:r w:rsidR="00924102">
        <w:t xml:space="preserve"> 2022 and remain at that level </w:t>
      </w:r>
      <w:r w:rsidR="0037197D">
        <w:t>until the end of</w:t>
      </w:r>
      <w:r w:rsidR="00D50FD9">
        <w:t xml:space="preserve"> </w:t>
      </w:r>
      <w:r w:rsidR="00F5388B">
        <w:t>2024</w:t>
      </w:r>
      <w:r w:rsidR="00111A07">
        <w:noBreakHyphen/>
      </w:r>
      <w:r w:rsidR="00C11F7F">
        <w:t>25</w:t>
      </w:r>
      <w:r w:rsidR="00111A07">
        <w:t xml:space="preserve">. </w:t>
      </w:r>
      <w:r w:rsidR="00924102">
        <w:t xml:space="preserve">From </w:t>
      </w:r>
      <w:r w:rsidR="00CB1020">
        <w:t>that</w:t>
      </w:r>
      <w:r w:rsidR="00924102">
        <w:t xml:space="preserve"> point, the unemployment rate is assumed </w:t>
      </w:r>
      <w:r w:rsidR="00924102">
        <w:lastRenderedPageBreak/>
        <w:t xml:space="preserve">to steadily transition to the </w:t>
      </w:r>
      <w:r w:rsidR="00FF75B3">
        <w:t>assumed</w:t>
      </w:r>
      <w:r w:rsidR="00924102">
        <w:t xml:space="preserve"> non</w:t>
      </w:r>
      <w:r w:rsidR="00111A07">
        <w:noBreakHyphen/>
      </w:r>
      <w:r w:rsidR="00924102">
        <w:t xml:space="preserve">accelerating </w:t>
      </w:r>
      <w:r w:rsidR="00673B11">
        <w:t xml:space="preserve">inflation </w:t>
      </w:r>
      <w:r w:rsidR="00924102">
        <w:t>rate of unemployment (NAIRU)</w:t>
      </w:r>
      <w:r w:rsidR="001068FF">
        <w:t xml:space="preserve"> of 4¼ per cent</w:t>
      </w:r>
      <w:r w:rsidR="00111A07">
        <w:t xml:space="preserve">. </w:t>
      </w:r>
    </w:p>
    <w:p w14:paraId="7F1D94A1" w14:textId="13C64A31" w:rsidR="00562DEF" w:rsidRDefault="00562DEF" w:rsidP="009252A5">
      <w:r w:rsidRPr="005A02EC">
        <w:t>The strong</w:t>
      </w:r>
      <w:r>
        <w:t xml:space="preserve"> outlook for the</w:t>
      </w:r>
      <w:r w:rsidRPr="005A02EC">
        <w:t xml:space="preserve"> labour market is expected to result in </w:t>
      </w:r>
      <w:r>
        <w:t>strengthening</w:t>
      </w:r>
      <w:r w:rsidRPr="005A02EC">
        <w:t xml:space="preserve"> wage growth</w:t>
      </w:r>
      <w:r w:rsidR="00111A07">
        <w:t xml:space="preserve">. </w:t>
      </w:r>
      <w:bookmarkStart w:id="2" w:name="_Hlk97822185"/>
      <w:r w:rsidR="00881483">
        <w:t>T</w:t>
      </w:r>
      <w:r>
        <w:t>he</w:t>
      </w:r>
      <w:r w:rsidR="001712A7">
        <w:t xml:space="preserve"> Wage Price Index</w:t>
      </w:r>
      <w:r w:rsidR="00D16E21">
        <w:t xml:space="preserve"> (WPI)</w:t>
      </w:r>
      <w:r>
        <w:t xml:space="preserve"> </w:t>
      </w:r>
      <w:r w:rsidRPr="005A02EC">
        <w:t xml:space="preserve">is forecast to increase from 2¾ per cent </w:t>
      </w:r>
      <w:r w:rsidR="00E93EDC">
        <w:t>through the year to</w:t>
      </w:r>
      <w:r w:rsidRPr="005A02EC">
        <w:t xml:space="preserve"> </w:t>
      </w:r>
      <w:r>
        <w:t>the June quarter of 20</w:t>
      </w:r>
      <w:r w:rsidRPr="005A02EC">
        <w:t xml:space="preserve">22 to 3¼ per cent </w:t>
      </w:r>
      <w:r w:rsidR="008F274B">
        <w:t>through the year to the</w:t>
      </w:r>
      <w:r w:rsidRPr="005A02EC">
        <w:t xml:space="preserve"> </w:t>
      </w:r>
      <w:r>
        <w:t xml:space="preserve">June </w:t>
      </w:r>
      <w:r w:rsidR="00D95B63">
        <w:t>q</w:t>
      </w:r>
      <w:r w:rsidR="0054745D">
        <w:t xml:space="preserve">uarter of </w:t>
      </w:r>
      <w:r>
        <w:t>202</w:t>
      </w:r>
      <w:r w:rsidR="00543399">
        <w:t>3</w:t>
      </w:r>
      <w:r w:rsidR="00111A07">
        <w:t xml:space="preserve">. </w:t>
      </w:r>
      <w:r w:rsidR="008F1BA1">
        <w:t xml:space="preserve">The </w:t>
      </w:r>
      <w:r w:rsidR="00243922">
        <w:t xml:space="preserve">national accounts </w:t>
      </w:r>
      <w:r w:rsidR="009F1F38">
        <w:t>measure of wages and labour in</w:t>
      </w:r>
      <w:r w:rsidR="006873C8">
        <w:t xml:space="preserve">come </w:t>
      </w:r>
      <w:r w:rsidR="001A2356">
        <w:t>is</w:t>
      </w:r>
      <w:r w:rsidR="008B256F">
        <w:t xml:space="preserve"> expected to </w:t>
      </w:r>
      <w:r w:rsidR="0007088E">
        <w:t>grow faster than the WPI measure</w:t>
      </w:r>
      <w:r w:rsidR="00243922">
        <w:t>,</w:t>
      </w:r>
      <w:r w:rsidR="0007088E">
        <w:t xml:space="preserve"> </w:t>
      </w:r>
      <w:r w:rsidR="004A1A71">
        <w:t xml:space="preserve">as it captures </w:t>
      </w:r>
      <w:r w:rsidR="0030705A">
        <w:t xml:space="preserve">broader </w:t>
      </w:r>
      <w:r w:rsidRPr="380F7F97">
        <w:t>wage pressures</w:t>
      </w:r>
      <w:r w:rsidR="00F57D0F">
        <w:t xml:space="preserve"> </w:t>
      </w:r>
      <w:r w:rsidR="0053355B">
        <w:t>resulting from</w:t>
      </w:r>
      <w:r w:rsidR="00592837">
        <w:t xml:space="preserve"> </w:t>
      </w:r>
      <w:r w:rsidR="00095C81">
        <w:t xml:space="preserve">a tight </w:t>
      </w:r>
      <w:r w:rsidR="00403276">
        <w:t>labour market</w:t>
      </w:r>
      <w:r w:rsidR="00111A07">
        <w:t xml:space="preserve">. </w:t>
      </w:r>
      <w:r w:rsidR="0030705A">
        <w:t>These broader factors include</w:t>
      </w:r>
      <w:r>
        <w:t xml:space="preserve"> bonuses and the effect of </w:t>
      </w:r>
      <w:r w:rsidR="00057AEE">
        <w:t xml:space="preserve">workers </w:t>
      </w:r>
      <w:r w:rsidRPr="380F7F97">
        <w:t xml:space="preserve">gaining promotions or </w:t>
      </w:r>
      <w:r>
        <w:t xml:space="preserve">changing jobs </w:t>
      </w:r>
      <w:r w:rsidR="00057AEE">
        <w:t>as they take advantage of</w:t>
      </w:r>
      <w:r w:rsidR="00396823">
        <w:t xml:space="preserve"> tight labour market </w:t>
      </w:r>
      <w:r w:rsidR="718F2446" w:rsidRPr="04BFE16D">
        <w:t>conditions</w:t>
      </w:r>
      <w:r w:rsidR="00111A07">
        <w:t xml:space="preserve">. </w:t>
      </w:r>
      <w:r w:rsidR="008D6FAB">
        <w:t>Growth in the national accounts wage measure</w:t>
      </w:r>
      <w:r>
        <w:t xml:space="preserve"> </w:t>
      </w:r>
      <w:r w:rsidR="007169FE">
        <w:t xml:space="preserve">on an hourly basis </w:t>
      </w:r>
      <w:r>
        <w:t xml:space="preserve">has </w:t>
      </w:r>
      <w:r w:rsidR="008C6B7B">
        <w:t xml:space="preserve">already </w:t>
      </w:r>
      <w:r>
        <w:t>picked up</w:t>
      </w:r>
      <w:r w:rsidR="008C6B7B">
        <w:t>, reaching</w:t>
      </w:r>
      <w:r>
        <w:t xml:space="preserve"> 3.</w:t>
      </w:r>
      <w:r w:rsidR="0087156F">
        <w:t>5</w:t>
      </w:r>
      <w:r w:rsidR="00C56C76">
        <w:t> </w:t>
      </w:r>
      <w:r>
        <w:t>per</w:t>
      </w:r>
      <w:r w:rsidR="00C56C76">
        <w:t> </w:t>
      </w:r>
      <w:r>
        <w:t xml:space="preserve">cent </w:t>
      </w:r>
      <w:r w:rsidR="0077309D">
        <w:t>through</w:t>
      </w:r>
      <w:r>
        <w:t xml:space="preserve"> the year to the December quarter of 2021</w:t>
      </w:r>
      <w:r w:rsidR="00111A07">
        <w:t xml:space="preserve">. </w:t>
      </w:r>
      <w:r w:rsidR="005C56F3">
        <w:t>It</w:t>
      </w:r>
      <w:r>
        <w:t xml:space="preserve"> is expected to </w:t>
      </w:r>
      <w:r w:rsidR="00F63534" w:rsidRPr="38CB551D">
        <w:t xml:space="preserve">grow by 5 per cent </w:t>
      </w:r>
      <w:r w:rsidR="00C6568D">
        <w:t>through</w:t>
      </w:r>
      <w:r w:rsidR="00F63534" w:rsidRPr="38CB551D">
        <w:t xml:space="preserve"> the year to</w:t>
      </w:r>
      <w:r w:rsidR="00DF5CBC">
        <w:t xml:space="preserve"> the</w:t>
      </w:r>
      <w:r w:rsidR="00F63534" w:rsidRPr="38CB551D">
        <w:t xml:space="preserve"> June </w:t>
      </w:r>
      <w:r w:rsidR="007B77F5">
        <w:t xml:space="preserve">quarter of </w:t>
      </w:r>
      <w:r w:rsidR="00F63534" w:rsidRPr="38CB551D">
        <w:t>2022, 3½ per cent to June</w:t>
      </w:r>
      <w:r w:rsidR="007814E7">
        <w:t> </w:t>
      </w:r>
      <w:r w:rsidR="007B77F5">
        <w:t>quarter of</w:t>
      </w:r>
      <w:r w:rsidR="009252A5">
        <w:t> </w:t>
      </w:r>
      <w:r w:rsidR="00F63534" w:rsidRPr="38CB551D">
        <w:t>2023 and 3¾ per</w:t>
      </w:r>
      <w:r w:rsidR="001A7576">
        <w:t> </w:t>
      </w:r>
      <w:r w:rsidR="00F63534" w:rsidRPr="38CB551D">
        <w:t xml:space="preserve">cent to June </w:t>
      </w:r>
      <w:r w:rsidR="0054745D">
        <w:t xml:space="preserve">quarter of </w:t>
      </w:r>
      <w:r w:rsidR="00F63534" w:rsidRPr="38CB551D">
        <w:t>2024</w:t>
      </w:r>
      <w:r w:rsidR="00111A07">
        <w:t xml:space="preserve">. </w:t>
      </w:r>
    </w:p>
    <w:p w14:paraId="180067AB" w14:textId="0D05C673" w:rsidR="00E75765" w:rsidRDefault="006228F3" w:rsidP="009252A5">
      <w:r>
        <w:t>T</w:t>
      </w:r>
      <w:r w:rsidR="00E75765">
        <w:t>here is</w:t>
      </w:r>
      <w:r w:rsidR="00F94A11">
        <w:t>, however,</w:t>
      </w:r>
      <w:r w:rsidR="00E75765">
        <w:t xml:space="preserve"> </w:t>
      </w:r>
      <w:r w:rsidR="00E21444">
        <w:t xml:space="preserve">significant </w:t>
      </w:r>
      <w:r w:rsidR="00E75765">
        <w:t>uncertainty around the pace at which wages growth will accelerate</w:t>
      </w:r>
      <w:r w:rsidR="00E75765" w:rsidRPr="380F7F97">
        <w:t>,</w:t>
      </w:r>
      <w:r w:rsidR="00E75765">
        <w:t xml:space="preserve"> given the unemployment rate is at a historically low level</w:t>
      </w:r>
      <w:r w:rsidR="00111A07">
        <w:t xml:space="preserve">. </w:t>
      </w:r>
      <w:r w:rsidR="00E75765" w:rsidRPr="005A02EC">
        <w:t>Box 2.</w:t>
      </w:r>
      <w:r w:rsidR="00AF5505">
        <w:t>5</w:t>
      </w:r>
      <w:r w:rsidR="00E75765" w:rsidRPr="005A02EC">
        <w:t xml:space="preserve"> explores </w:t>
      </w:r>
      <w:r w:rsidR="00E75765">
        <w:t xml:space="preserve">the sensitivity of wage forecasts to alternative </w:t>
      </w:r>
      <w:r w:rsidR="00E75765" w:rsidRPr="005A02EC">
        <w:t>NAIRU</w:t>
      </w:r>
      <w:r w:rsidR="00E75765">
        <w:t xml:space="preserve"> assumptions</w:t>
      </w:r>
      <w:r w:rsidR="00E75765" w:rsidRPr="005A02EC">
        <w:t>.</w:t>
      </w:r>
    </w:p>
    <w:bookmarkEnd w:id="2"/>
    <w:p w14:paraId="552470DE" w14:textId="12A88DCC" w:rsidR="00DD2A0B" w:rsidRPr="00374726" w:rsidRDefault="00DD2A0B" w:rsidP="009252A5">
      <w:r w:rsidRPr="00C22C0E">
        <w:t xml:space="preserve">A </w:t>
      </w:r>
      <w:r w:rsidR="00450EF1" w:rsidRPr="00C22C0E">
        <w:t xml:space="preserve">range of factors </w:t>
      </w:r>
      <w:r w:rsidR="004353C9">
        <w:t>are driving up global inflationary pressures</w:t>
      </w:r>
      <w:r w:rsidR="00111A07">
        <w:t xml:space="preserve">. </w:t>
      </w:r>
      <w:r w:rsidR="00450EF1" w:rsidRPr="00C22C0E">
        <w:t>Elevated demand for goods, particularly in the United States, has strai</w:t>
      </w:r>
      <w:r w:rsidR="004353C9">
        <w:t>ned</w:t>
      </w:r>
      <w:r w:rsidR="00450EF1" w:rsidRPr="00C22C0E">
        <w:t xml:space="preserve"> international supply chains and </w:t>
      </w:r>
      <w:r w:rsidR="004353C9">
        <w:t xml:space="preserve">put </w:t>
      </w:r>
      <w:r w:rsidR="00450EF1" w:rsidRPr="00C22C0E">
        <w:t>upwards pressure on goods prices</w:t>
      </w:r>
      <w:r w:rsidR="00111A07">
        <w:t xml:space="preserve">. </w:t>
      </w:r>
      <w:r w:rsidR="00450EF1" w:rsidRPr="00C22C0E">
        <w:t xml:space="preserve">At the same time, there has been a sustained period of </w:t>
      </w:r>
      <w:r w:rsidR="00F67F86" w:rsidRPr="00C22C0E">
        <w:t>near</w:t>
      </w:r>
      <w:r w:rsidR="00111A07">
        <w:noBreakHyphen/>
      </w:r>
      <w:r w:rsidR="00F67F86" w:rsidRPr="00C22C0E">
        <w:t xml:space="preserve">record </w:t>
      </w:r>
      <w:r w:rsidR="007136A8">
        <w:t xml:space="preserve">global </w:t>
      </w:r>
      <w:r w:rsidR="00F67F86" w:rsidRPr="00C22C0E">
        <w:t xml:space="preserve">energy </w:t>
      </w:r>
      <w:r w:rsidR="00C05745">
        <w:t xml:space="preserve">and </w:t>
      </w:r>
      <w:r w:rsidR="00723C5D">
        <w:t>agricultural</w:t>
      </w:r>
      <w:r w:rsidR="00303551">
        <w:t xml:space="preserve"> </w:t>
      </w:r>
      <w:r w:rsidR="00F67F86" w:rsidRPr="00C22C0E">
        <w:t>prices</w:t>
      </w:r>
      <w:r w:rsidR="00111A07">
        <w:t xml:space="preserve">. </w:t>
      </w:r>
      <w:r w:rsidR="004415D6" w:rsidRPr="00C22C0E">
        <w:t xml:space="preserve">As a result, inflation in many advanced </w:t>
      </w:r>
      <w:r w:rsidR="004D4EB1" w:rsidRPr="00C22C0E">
        <w:t>economies</w:t>
      </w:r>
      <w:r w:rsidR="004415D6" w:rsidRPr="00C22C0E">
        <w:t xml:space="preserve"> has increased rapidly</w:t>
      </w:r>
      <w:r w:rsidR="005C0F33" w:rsidRPr="00C22C0E">
        <w:t xml:space="preserve"> and there is </w:t>
      </w:r>
      <w:r w:rsidR="004353C9">
        <w:t xml:space="preserve">some </w:t>
      </w:r>
      <w:r w:rsidR="005C0F33" w:rsidRPr="00C22C0E">
        <w:t>evidence of inflation pressures broadening</w:t>
      </w:r>
      <w:r w:rsidR="00285583" w:rsidRPr="00C22C0E">
        <w:t xml:space="preserve"> </w:t>
      </w:r>
      <w:r w:rsidR="002E36F7">
        <w:t>from goods</w:t>
      </w:r>
      <w:r w:rsidR="00285583" w:rsidRPr="00C22C0E">
        <w:t xml:space="preserve"> to services</w:t>
      </w:r>
      <w:r w:rsidR="00111A07">
        <w:t xml:space="preserve">. </w:t>
      </w:r>
      <w:r w:rsidR="00F67F86" w:rsidRPr="00C22C0E">
        <w:t>Annual inflation in the United</w:t>
      </w:r>
      <w:r w:rsidR="009252A5">
        <w:t> </w:t>
      </w:r>
      <w:r w:rsidR="00F67F86" w:rsidRPr="00C22C0E">
        <w:t xml:space="preserve">States </w:t>
      </w:r>
      <w:r w:rsidR="00FD44A9" w:rsidRPr="00374726">
        <w:t>reached</w:t>
      </w:r>
      <w:r w:rsidR="00F67F86" w:rsidRPr="00374726">
        <w:t xml:space="preserve"> 7.9 per</w:t>
      </w:r>
      <w:r w:rsidR="009503CB">
        <w:t> </w:t>
      </w:r>
      <w:r w:rsidR="00F67F86" w:rsidRPr="00374726">
        <w:t>cent in February, the fastest pace of price growth since the early 1980s</w:t>
      </w:r>
      <w:r w:rsidR="004415D6" w:rsidRPr="00374726">
        <w:t xml:space="preserve">, </w:t>
      </w:r>
      <w:r w:rsidR="00364125">
        <w:t>and</w:t>
      </w:r>
      <w:r w:rsidR="00364125" w:rsidRPr="00374726">
        <w:t xml:space="preserve"> </w:t>
      </w:r>
      <w:r w:rsidR="00FD44A9" w:rsidRPr="00374726">
        <w:t xml:space="preserve">the rate in the </w:t>
      </w:r>
      <w:r w:rsidR="005124B0" w:rsidRPr="00374726">
        <w:t>e</w:t>
      </w:r>
      <w:r w:rsidR="00FD44A9" w:rsidRPr="00374726">
        <w:t>uro area was 5.9 per cent</w:t>
      </w:r>
      <w:r w:rsidR="00111A07">
        <w:t xml:space="preserve">. </w:t>
      </w:r>
      <w:r w:rsidR="00D76578">
        <w:t>T</w:t>
      </w:r>
      <w:r w:rsidR="00D76578" w:rsidRPr="00C22C0E">
        <w:t xml:space="preserve">he Russian invasion of Ukraine, which is not yet </w:t>
      </w:r>
      <w:r w:rsidR="00114B30" w:rsidRPr="00114B30">
        <w:t xml:space="preserve">fully </w:t>
      </w:r>
      <w:r w:rsidR="00D76578" w:rsidRPr="00C22C0E">
        <w:t>reflected in inflation data</w:t>
      </w:r>
      <w:r w:rsidR="00D76578">
        <w:t xml:space="preserve"> but is evident in </w:t>
      </w:r>
      <w:r w:rsidR="00F44FC4">
        <w:t xml:space="preserve">energy and </w:t>
      </w:r>
      <w:r w:rsidR="00364125">
        <w:t>agricultural</w:t>
      </w:r>
      <w:r w:rsidR="00D76578">
        <w:t xml:space="preserve"> prices</w:t>
      </w:r>
      <w:r w:rsidR="00B11C0A">
        <w:t>,</w:t>
      </w:r>
      <w:r w:rsidR="00884484">
        <w:t xml:space="preserve"> will add further to global inflationary pressures</w:t>
      </w:r>
      <w:r w:rsidR="00D76578" w:rsidRPr="00C22C0E">
        <w:t>.</w:t>
      </w:r>
    </w:p>
    <w:p w14:paraId="304A52B8" w14:textId="53D858C9" w:rsidR="0077653E" w:rsidRPr="000B2ED5" w:rsidRDefault="005C0F33" w:rsidP="009252A5">
      <w:r w:rsidRPr="00C22C0E">
        <w:t>Australia has been affected by these</w:t>
      </w:r>
      <w:r w:rsidR="00632504" w:rsidRPr="00C22C0E">
        <w:t xml:space="preserve"> global </w:t>
      </w:r>
      <w:r w:rsidRPr="00C22C0E">
        <w:t>factors</w:t>
      </w:r>
      <w:r w:rsidR="006D415E">
        <w:t>,</w:t>
      </w:r>
      <w:r w:rsidR="0016577B">
        <w:t xml:space="preserve"> </w:t>
      </w:r>
      <w:r w:rsidRPr="00C22C0E" w:rsidDel="0016577B">
        <w:t xml:space="preserve">but </w:t>
      </w:r>
      <w:r w:rsidR="00632504" w:rsidRPr="00C22C0E">
        <w:t xml:space="preserve">domestic </w:t>
      </w:r>
      <w:r w:rsidRPr="00C22C0E">
        <w:t>inflationary pressures are more moderate</w:t>
      </w:r>
      <w:r w:rsidR="00111A07">
        <w:t xml:space="preserve">. </w:t>
      </w:r>
      <w:r w:rsidR="00CA4322" w:rsidRPr="0081387F">
        <w:t>Headline i</w:t>
      </w:r>
      <w:r w:rsidR="0077653E" w:rsidRPr="0081387F">
        <w:t>nflation in Australia picked up in 2021 to be 3.5</w:t>
      </w:r>
      <w:r w:rsidR="009252A5">
        <w:t> </w:t>
      </w:r>
      <w:r w:rsidR="0077653E" w:rsidRPr="0081387F">
        <w:t>per</w:t>
      </w:r>
      <w:r w:rsidR="009252A5">
        <w:t> </w:t>
      </w:r>
      <w:r w:rsidR="0077653E" w:rsidRPr="0081387F">
        <w:t xml:space="preserve">cent </w:t>
      </w:r>
      <w:r w:rsidR="002D461E" w:rsidRPr="0081387F">
        <w:t>over the year to</w:t>
      </w:r>
      <w:r w:rsidR="0077653E" w:rsidRPr="0081387F">
        <w:t xml:space="preserve"> the December quarter, </w:t>
      </w:r>
      <w:r w:rsidR="00452DAF" w:rsidRPr="0081387F">
        <w:t>with</w:t>
      </w:r>
      <w:r w:rsidR="003E7284" w:rsidRPr="0081387F">
        <w:t xml:space="preserve"> underlying inflation</w:t>
      </w:r>
      <w:r w:rsidR="00880CA5" w:rsidRPr="0081387F">
        <w:t xml:space="preserve"> </w:t>
      </w:r>
      <w:r w:rsidR="008F07EE" w:rsidRPr="0081387F">
        <w:t>now</w:t>
      </w:r>
      <w:r w:rsidR="00880CA5" w:rsidRPr="0081387F">
        <w:t xml:space="preserve"> </w:t>
      </w:r>
      <w:r w:rsidR="00A376DE" w:rsidRPr="00192493">
        <w:t>2.6 per cent over</w:t>
      </w:r>
      <w:r w:rsidR="00A376DE" w:rsidRPr="006362CF">
        <w:t xml:space="preserve"> the </w:t>
      </w:r>
      <w:r w:rsidR="00A376DE" w:rsidRPr="00192493">
        <w:t>year to the December quarter</w:t>
      </w:r>
      <w:r w:rsidR="00A376DE">
        <w:t xml:space="preserve"> of 2021</w:t>
      </w:r>
      <w:r w:rsidR="00111A07">
        <w:t xml:space="preserve">. </w:t>
      </w:r>
    </w:p>
    <w:p w14:paraId="67FFC83C" w14:textId="7CF3E328" w:rsidR="00DA0FDB" w:rsidRDefault="002F4D40" w:rsidP="009252A5">
      <w:r w:rsidRPr="00C22C0E">
        <w:t>The outlook remains for Australian inflation to peak well below tha</w:t>
      </w:r>
      <w:r>
        <w:t>t</w:t>
      </w:r>
      <w:r w:rsidRPr="00C22C0E">
        <w:t xml:space="preserve"> in most other advanced economies</w:t>
      </w:r>
      <w:r w:rsidR="00365975">
        <w:t xml:space="preserve">, with </w:t>
      </w:r>
      <w:r w:rsidR="0085025E" w:rsidRPr="00460D46">
        <w:t>i</w:t>
      </w:r>
      <w:r w:rsidR="005A02EC" w:rsidRPr="00460D46">
        <w:t xml:space="preserve">nflation </w:t>
      </w:r>
      <w:r w:rsidR="005A02EC" w:rsidRPr="005A02EC">
        <w:t xml:space="preserve">expected to </w:t>
      </w:r>
      <w:r w:rsidR="008A2719">
        <w:t xml:space="preserve">rise to </w:t>
      </w:r>
      <w:r w:rsidR="0030366C">
        <w:t>4¼</w:t>
      </w:r>
      <w:r w:rsidR="005A02EC" w:rsidRPr="005A02EC">
        <w:t xml:space="preserve"> per cent </w:t>
      </w:r>
      <w:r w:rsidR="002D0DAF">
        <w:t>through the year to the June quarter of 20</w:t>
      </w:r>
      <w:r w:rsidR="00996AD9">
        <w:t>2</w:t>
      </w:r>
      <w:r w:rsidR="005A02EC" w:rsidRPr="005A02EC">
        <w:t>2</w:t>
      </w:r>
      <w:r w:rsidR="00111A07">
        <w:t xml:space="preserve">. </w:t>
      </w:r>
      <w:r w:rsidR="00F661E1">
        <w:t>This r</w:t>
      </w:r>
      <w:r w:rsidR="004353C9">
        <w:t>eflect</w:t>
      </w:r>
      <w:r w:rsidR="00F661E1">
        <w:t>s</w:t>
      </w:r>
      <w:r w:rsidR="004353C9">
        <w:t xml:space="preserve"> higher global oil prices and </w:t>
      </w:r>
      <w:r w:rsidR="00365975">
        <w:t xml:space="preserve">ongoing </w:t>
      </w:r>
      <w:r w:rsidR="004353C9">
        <w:t>supply chain pressures</w:t>
      </w:r>
      <w:r w:rsidR="00F661E1">
        <w:t xml:space="preserve"> as well as p</w:t>
      </w:r>
      <w:r w:rsidR="00707F33">
        <w:t>rice pressures in the housing construction sector</w:t>
      </w:r>
      <w:r w:rsidR="00111A07">
        <w:t xml:space="preserve">. </w:t>
      </w:r>
      <w:r w:rsidR="003E1E4F" w:rsidRPr="00460D46">
        <w:t>In the near</w:t>
      </w:r>
      <w:r w:rsidR="00D530E7">
        <w:t xml:space="preserve"> </w:t>
      </w:r>
      <w:r w:rsidR="003E1E4F" w:rsidRPr="00460D46">
        <w:t xml:space="preserve">term the recent rise in oil prices to above </w:t>
      </w:r>
      <w:r w:rsidR="00920178">
        <w:t>US$</w:t>
      </w:r>
      <w:r w:rsidR="003E1E4F" w:rsidRPr="00460D46">
        <w:t>1</w:t>
      </w:r>
      <w:r w:rsidR="00724F91">
        <w:t>25</w:t>
      </w:r>
      <w:r w:rsidR="003E1E4F" w:rsidRPr="00460D46">
        <w:t xml:space="preserve"> </w:t>
      </w:r>
      <w:r w:rsidR="00920178">
        <w:t>per barrel</w:t>
      </w:r>
      <w:r w:rsidR="003E1E4F" w:rsidRPr="00460D46">
        <w:t xml:space="preserve"> will quickly flow through to higher fuel prices for consumers</w:t>
      </w:r>
      <w:r w:rsidR="00111A07">
        <w:t xml:space="preserve">. </w:t>
      </w:r>
      <w:r w:rsidR="00922D5C">
        <w:t>T</w:t>
      </w:r>
      <w:r w:rsidR="003E1E4F" w:rsidRPr="00460D46">
        <w:t>he average pump price for petrol in Australia has already risen from $1.79</w:t>
      </w:r>
      <w:r w:rsidR="00A0287C">
        <w:t xml:space="preserve"> per </w:t>
      </w:r>
      <w:r w:rsidR="003E1E4F" w:rsidRPr="00460D46">
        <w:t xml:space="preserve">litre </w:t>
      </w:r>
      <w:r w:rsidR="00CE0F25" w:rsidRPr="00460D46">
        <w:t>in ear</w:t>
      </w:r>
      <w:r w:rsidR="0019567D" w:rsidRPr="00460D46">
        <w:t xml:space="preserve">ly February </w:t>
      </w:r>
      <w:r w:rsidR="003E1E4F" w:rsidRPr="00460D46">
        <w:t>to $</w:t>
      </w:r>
      <w:r w:rsidR="000E1A44">
        <w:t>2.13</w:t>
      </w:r>
      <w:r w:rsidR="00A0287C">
        <w:t xml:space="preserve"> per </w:t>
      </w:r>
      <w:r w:rsidR="003E1E4F" w:rsidRPr="00460D46">
        <w:t>litre</w:t>
      </w:r>
      <w:r w:rsidR="0019567D" w:rsidRPr="00460D46">
        <w:t xml:space="preserve"> in </w:t>
      </w:r>
      <w:r w:rsidR="00F43C56" w:rsidRPr="00460D46">
        <w:t>mid</w:t>
      </w:r>
      <w:r w:rsidR="00111A07">
        <w:noBreakHyphen/>
      </w:r>
      <w:r w:rsidR="00F43C56" w:rsidRPr="00460D46">
        <w:t>March</w:t>
      </w:r>
      <w:r w:rsidR="00111A07">
        <w:t xml:space="preserve">. </w:t>
      </w:r>
      <w:r w:rsidR="00707F33" w:rsidRPr="00114B30">
        <w:t>The</w:t>
      </w:r>
      <w:r w:rsidR="00C66644">
        <w:t> </w:t>
      </w:r>
      <w:r w:rsidR="00707F33" w:rsidRPr="00114B30">
        <w:t xml:space="preserve">fuel excise reduction is expected to reduce headline inflation by ¼ of a percentage </w:t>
      </w:r>
      <w:r w:rsidR="00707F33" w:rsidRPr="00114B30">
        <w:lastRenderedPageBreak/>
        <w:t>point in the June quarter of 2022, before being withdrawn in late 2022 as oil prices are expected to moderate</w:t>
      </w:r>
      <w:r w:rsidR="00111A07">
        <w:t xml:space="preserve">. </w:t>
      </w:r>
    </w:p>
    <w:p w14:paraId="6A390F5C" w14:textId="6785DE34" w:rsidR="005A02EC" w:rsidRPr="005A02EC" w:rsidRDefault="00570C49" w:rsidP="00B9056C">
      <w:r w:rsidRPr="00500A24">
        <w:t>Given</w:t>
      </w:r>
      <w:r w:rsidR="005A02EC" w:rsidRPr="00500A24">
        <w:t xml:space="preserve"> </w:t>
      </w:r>
      <w:r w:rsidR="00364125">
        <w:t>that</w:t>
      </w:r>
      <w:r w:rsidR="005A02EC" w:rsidRPr="00500A24">
        <w:t xml:space="preserve"> inflation pressures in Australia</w:t>
      </w:r>
      <w:r w:rsidR="00364125">
        <w:t xml:space="preserve"> are less than in many other countries</w:t>
      </w:r>
      <w:r w:rsidR="005A02EC" w:rsidRPr="00500A24">
        <w:t xml:space="preserve">, </w:t>
      </w:r>
      <w:r w:rsidR="0028583B" w:rsidRPr="00500A24">
        <w:t xml:space="preserve">financial markets expect </w:t>
      </w:r>
      <w:r w:rsidR="005A02EC" w:rsidRPr="00500A24">
        <w:t xml:space="preserve">the </w:t>
      </w:r>
      <w:r w:rsidR="00C03CAC" w:rsidRPr="00500A24">
        <w:t>RBA</w:t>
      </w:r>
      <w:r w:rsidR="00111A07">
        <w:t>’</w:t>
      </w:r>
      <w:r w:rsidR="00C03CAC" w:rsidRPr="00500A24">
        <w:t>s</w:t>
      </w:r>
      <w:r w:rsidR="005A02EC" w:rsidRPr="00500A24">
        <w:t xml:space="preserve"> monetary policy normalisation to </w:t>
      </w:r>
      <w:proofErr w:type="gramStart"/>
      <w:r w:rsidR="005A02EC" w:rsidRPr="00500A24">
        <w:t xml:space="preserve">lag </w:t>
      </w:r>
      <w:r w:rsidR="00CA5E13">
        <w:t>behind</w:t>
      </w:r>
      <w:proofErr w:type="gramEnd"/>
      <w:r w:rsidR="00CA5E13">
        <w:t xml:space="preserve"> </w:t>
      </w:r>
      <w:r w:rsidR="005A02EC" w:rsidRPr="00500A24">
        <w:t>other central banks such as the Federal Reserve, Bank of England and Reserve Bank of New</w:t>
      </w:r>
      <w:r w:rsidR="00111A07">
        <w:t> </w:t>
      </w:r>
      <w:r w:rsidR="005A02EC" w:rsidRPr="00500A24">
        <w:t>Zealand</w:t>
      </w:r>
      <w:r w:rsidR="00956CFA">
        <w:t>,</w:t>
      </w:r>
      <w:r w:rsidR="005A02EC" w:rsidRPr="00500A24">
        <w:t xml:space="preserve"> who have already started to raise policy interest rates</w:t>
      </w:r>
      <w:r w:rsidR="00111A07">
        <w:t xml:space="preserve">. </w:t>
      </w:r>
      <w:r w:rsidR="00CC1365" w:rsidRPr="00374726">
        <w:t xml:space="preserve">Nonetheless, </w:t>
      </w:r>
      <w:r w:rsidR="0043523A" w:rsidRPr="00374726">
        <w:t>monetary policy is expected to begin to normalise</w:t>
      </w:r>
      <w:r w:rsidR="00984A0A" w:rsidRPr="00374726">
        <w:t xml:space="preserve"> </w:t>
      </w:r>
      <w:r w:rsidR="00DC485C">
        <w:t>from historically low levels</w:t>
      </w:r>
      <w:r w:rsidR="00A768F7" w:rsidRPr="00374726">
        <w:t xml:space="preserve"> </w:t>
      </w:r>
      <w:r w:rsidR="00984A0A" w:rsidRPr="00374726">
        <w:t>in Australia</w:t>
      </w:r>
      <w:r w:rsidR="00D530E7">
        <w:t>,</w:t>
      </w:r>
      <w:r w:rsidR="0043523A" w:rsidRPr="00374726">
        <w:t xml:space="preserve"> with </w:t>
      </w:r>
      <w:r w:rsidR="00A768F7" w:rsidRPr="00374726">
        <w:t>the market</w:t>
      </w:r>
      <w:r w:rsidR="0043523A" w:rsidRPr="00374726">
        <w:t xml:space="preserve"> pricing in </w:t>
      </w:r>
      <w:r w:rsidR="00A768F7" w:rsidRPr="00374726">
        <w:t xml:space="preserve">a tightening cycle from </w:t>
      </w:r>
      <w:r w:rsidR="00364125">
        <w:t>mid</w:t>
      </w:r>
      <w:r w:rsidR="00111A07">
        <w:noBreakHyphen/>
      </w:r>
      <w:r w:rsidR="00500A24" w:rsidRPr="00374726">
        <w:t>2022</w:t>
      </w:r>
      <w:r w:rsidR="00A768F7" w:rsidRPr="00374726">
        <w:t xml:space="preserve"> </w:t>
      </w:r>
      <w:r w:rsidR="008872AE">
        <w:t>until</w:t>
      </w:r>
      <w:r w:rsidR="00A768F7" w:rsidRPr="00374726">
        <w:t xml:space="preserve"> 2024.</w:t>
      </w:r>
    </w:p>
    <w:bookmarkEnd w:id="1"/>
    <w:p w14:paraId="375CD7DF" w14:textId="1A6C9231" w:rsidR="006B3A72" w:rsidRDefault="00364125" w:rsidP="00B9056C">
      <w:r w:rsidRPr="00750BD3">
        <w:t>The</w:t>
      </w:r>
      <w:r w:rsidR="005A02EC" w:rsidRPr="00750BD3">
        <w:t xml:space="preserve"> Australia</w:t>
      </w:r>
      <w:r w:rsidRPr="00750BD3">
        <w:t>n economy is forecast to experience</w:t>
      </w:r>
      <w:r w:rsidR="005A02EC" w:rsidRPr="00750BD3">
        <w:t xml:space="preserve"> </w:t>
      </w:r>
      <w:r w:rsidR="00E045AB" w:rsidRPr="00750BD3">
        <w:t>a sustained period of</w:t>
      </w:r>
      <w:r w:rsidR="005A02EC" w:rsidRPr="00750BD3">
        <w:t xml:space="preserve"> </w:t>
      </w:r>
      <w:r w:rsidR="0043523A" w:rsidRPr="00750BD3">
        <w:t>strong economic growth,</w:t>
      </w:r>
      <w:r w:rsidR="005A02EC" w:rsidRPr="00750BD3">
        <w:t xml:space="preserve"> </w:t>
      </w:r>
      <w:r w:rsidR="003B41E8" w:rsidRPr="00750BD3">
        <w:t>low un</w:t>
      </w:r>
      <w:r w:rsidR="005A02EC" w:rsidRPr="00750BD3">
        <w:t>employment</w:t>
      </w:r>
      <w:r w:rsidR="00054958" w:rsidRPr="00750BD3">
        <w:t>,</w:t>
      </w:r>
      <w:r w:rsidR="0043523A" w:rsidRPr="00750BD3">
        <w:t xml:space="preserve"> and rising wages growth</w:t>
      </w:r>
      <w:r w:rsidR="00111A07">
        <w:t xml:space="preserve">. </w:t>
      </w:r>
      <w:r w:rsidR="005A02EC" w:rsidRPr="00750BD3">
        <w:t xml:space="preserve">However, there are a range of </w:t>
      </w:r>
      <w:r w:rsidR="007157FB" w:rsidRPr="00750BD3">
        <w:t xml:space="preserve">domestic and international </w:t>
      </w:r>
      <w:r w:rsidR="00D507B6" w:rsidRPr="00750BD3">
        <w:t>factors</w:t>
      </w:r>
      <w:r w:rsidR="005A02EC" w:rsidRPr="00750BD3">
        <w:t xml:space="preserve"> </w:t>
      </w:r>
      <w:r w:rsidR="007157FB" w:rsidRPr="00750BD3">
        <w:t xml:space="preserve">that pose </w:t>
      </w:r>
      <w:r w:rsidR="005A02EC" w:rsidRPr="00750BD3">
        <w:t>risks</w:t>
      </w:r>
      <w:r w:rsidR="00422BF8">
        <w:t xml:space="preserve"> to the outlook</w:t>
      </w:r>
      <w:r w:rsidR="00111A07">
        <w:t xml:space="preserve">. </w:t>
      </w:r>
    </w:p>
    <w:p w14:paraId="1448A38E" w14:textId="6BF14F23" w:rsidR="00F1652C" w:rsidRDefault="006B3A72" w:rsidP="00B9056C">
      <w:r>
        <w:t>On the</w:t>
      </w:r>
      <w:r w:rsidR="00F1652C">
        <w:t xml:space="preserve"> health </w:t>
      </w:r>
      <w:r w:rsidR="009D2FAD">
        <w:t xml:space="preserve">front, the pandemic will continue to pose </w:t>
      </w:r>
      <w:r w:rsidR="00D507B6">
        <w:t xml:space="preserve">a </w:t>
      </w:r>
      <w:r w:rsidR="00C46680">
        <w:t>risk to the outlook for some time</w:t>
      </w:r>
      <w:r w:rsidR="00111A07">
        <w:t xml:space="preserve">. </w:t>
      </w:r>
      <w:r w:rsidR="00F1652C">
        <w:t xml:space="preserve">The potential </w:t>
      </w:r>
      <w:r w:rsidR="000644E5">
        <w:t>emergence of</w:t>
      </w:r>
      <w:r w:rsidR="00F1652C">
        <w:t xml:space="preserve"> new, more virulent or vaccine</w:t>
      </w:r>
      <w:r w:rsidR="00111A07">
        <w:noBreakHyphen/>
      </w:r>
      <w:r w:rsidR="00F1652C">
        <w:t>resistant variant</w:t>
      </w:r>
      <w:r w:rsidR="00771D7D">
        <w:t>s</w:t>
      </w:r>
      <w:r w:rsidR="00F1652C">
        <w:t xml:space="preserve"> of COVID</w:t>
      </w:r>
      <w:r w:rsidR="00111A07">
        <w:noBreakHyphen/>
      </w:r>
      <w:r w:rsidR="00F1652C">
        <w:t>19 is still a substantial downside risk</w:t>
      </w:r>
      <w:r w:rsidR="00CC32C5">
        <w:t xml:space="preserve"> to the domestic economy</w:t>
      </w:r>
      <w:r w:rsidR="00111A07">
        <w:t xml:space="preserve">. </w:t>
      </w:r>
      <w:r w:rsidR="0050556D" w:rsidRPr="0037129C">
        <w:t>Conversely</w:t>
      </w:r>
      <w:r w:rsidR="0037129C" w:rsidRPr="0037129C">
        <w:t>, high</w:t>
      </w:r>
      <w:r w:rsidR="000644E5">
        <w:t xml:space="preserve"> vaccination rates and </w:t>
      </w:r>
      <w:r w:rsidR="00BE383A">
        <w:t>increased</w:t>
      </w:r>
      <w:r w:rsidR="000644E5">
        <w:t xml:space="preserve"> immunity do provide </w:t>
      </w:r>
      <w:r w:rsidR="009E6F89">
        <w:t>substantial protection</w:t>
      </w:r>
      <w:r w:rsidR="008D052B">
        <w:t xml:space="preserve">. </w:t>
      </w:r>
      <w:r w:rsidR="00D507B6">
        <w:t>This</w:t>
      </w:r>
      <w:r w:rsidR="00111A07">
        <w:t> </w:t>
      </w:r>
      <w:r w:rsidR="009E6F89">
        <w:t>could</w:t>
      </w:r>
      <w:r w:rsidR="00F94A11">
        <w:t xml:space="preserve"> add to consumer confidence and</w:t>
      </w:r>
      <w:r w:rsidR="009E6F89">
        <w:t xml:space="preserve"> see</w:t>
      </w:r>
      <w:r w:rsidR="0048636E">
        <w:t xml:space="preserve"> </w:t>
      </w:r>
      <w:r w:rsidR="0096666D">
        <w:t xml:space="preserve">the </w:t>
      </w:r>
      <w:r w:rsidR="0048636E">
        <w:t xml:space="preserve">household </w:t>
      </w:r>
      <w:r w:rsidR="0096666D">
        <w:t>savings rat</w:t>
      </w:r>
      <w:r w:rsidR="000A6840">
        <w:t>e</w:t>
      </w:r>
      <w:r w:rsidR="0096666D">
        <w:t xml:space="preserve"> return to pre</w:t>
      </w:r>
      <w:r w:rsidR="00111A07">
        <w:noBreakHyphen/>
      </w:r>
      <w:r w:rsidR="0096666D">
        <w:t xml:space="preserve">pandemic levels </w:t>
      </w:r>
      <w:r w:rsidR="0048636E">
        <w:t>more quickly than expected</w:t>
      </w:r>
      <w:r w:rsidR="0057443B">
        <w:t>, boosting consumption growth</w:t>
      </w:r>
      <w:r w:rsidR="00111A07">
        <w:t xml:space="preserve">. </w:t>
      </w:r>
      <w:r w:rsidR="0048636E">
        <w:t>These</w:t>
      </w:r>
      <w:r w:rsidR="00111A07">
        <w:t> </w:t>
      </w:r>
      <w:r w:rsidR="0048636E">
        <w:t xml:space="preserve">risks are discussed </w:t>
      </w:r>
      <w:r w:rsidR="00905D10">
        <w:t>further</w:t>
      </w:r>
      <w:r w:rsidR="0048636E">
        <w:t xml:space="preserve"> in Box 2.</w:t>
      </w:r>
      <w:r w:rsidR="00392F47">
        <w:t>4</w:t>
      </w:r>
      <w:r w:rsidR="00111A07">
        <w:t xml:space="preserve">. </w:t>
      </w:r>
    </w:p>
    <w:p w14:paraId="4A043D9C" w14:textId="17D3DC5A" w:rsidR="00AC010D" w:rsidRDefault="00AC010D" w:rsidP="00B9056C">
      <w:r w:rsidRPr="008C38CE">
        <w:t xml:space="preserve">Global </w:t>
      </w:r>
      <w:r w:rsidR="00813268">
        <w:t xml:space="preserve">supply and </w:t>
      </w:r>
      <w:r w:rsidRPr="008C38CE">
        <w:t xml:space="preserve">demand </w:t>
      </w:r>
      <w:r w:rsidR="00813268">
        <w:t>are</w:t>
      </w:r>
      <w:r w:rsidRPr="008C38CE">
        <w:t xml:space="preserve"> also vulnerable to </w:t>
      </w:r>
      <w:r w:rsidR="00A56028">
        <w:t xml:space="preserve">health </w:t>
      </w:r>
      <w:r w:rsidRPr="008C38CE">
        <w:t>developments in China</w:t>
      </w:r>
      <w:r w:rsidR="00111A07">
        <w:t xml:space="preserve">. </w:t>
      </w:r>
      <w:r w:rsidRPr="008C38CE">
        <w:t>While most countries have adapted to living with the virus, China has not yet experienced widespread community transmission</w:t>
      </w:r>
      <w:r w:rsidR="00111A07">
        <w:t xml:space="preserve">. </w:t>
      </w:r>
      <w:r w:rsidRPr="008C38CE">
        <w:t>Recent COVID</w:t>
      </w:r>
      <w:r w:rsidR="00111A07">
        <w:noBreakHyphen/>
      </w:r>
      <w:r w:rsidRPr="008C38CE">
        <w:t>19 outbreaks in China</w:t>
      </w:r>
      <w:r w:rsidR="00111A07">
        <w:t>’</w:t>
      </w:r>
      <w:r w:rsidRPr="008C38CE">
        <w:t>s port cities and manufacturing regions have demonstrated these risks associated with more widespread transmission, which would also add further pressure to already strained global supply chains.</w:t>
      </w:r>
    </w:p>
    <w:p w14:paraId="4FAC657E" w14:textId="483F696B" w:rsidR="001F0944" w:rsidRDefault="001F0944" w:rsidP="00331659">
      <w:r>
        <w:t xml:space="preserve">The combination of higher global inflation and a historically tight labour market suggests that </w:t>
      </w:r>
      <w:r w:rsidR="00A131F8">
        <w:t xml:space="preserve">domestic </w:t>
      </w:r>
      <w:r>
        <w:t>inflation risks are tilted to the upside</w:t>
      </w:r>
      <w:r w:rsidR="00111A07">
        <w:t xml:space="preserve">. </w:t>
      </w:r>
      <w:r>
        <w:t>Higher</w:t>
      </w:r>
      <w:r w:rsidR="00111A07">
        <w:noBreakHyphen/>
      </w:r>
      <w:r>
        <w:t>than</w:t>
      </w:r>
      <w:r w:rsidR="00111A07">
        <w:noBreakHyphen/>
      </w:r>
      <w:r>
        <w:t xml:space="preserve">expected inflation would </w:t>
      </w:r>
      <w:r w:rsidR="00C326EF">
        <w:t>likely see</w:t>
      </w:r>
      <w:r w:rsidR="00CA0DC2">
        <w:t xml:space="preserve"> monetary policy </w:t>
      </w:r>
      <w:r w:rsidR="00C326EF">
        <w:t xml:space="preserve">tighten further, with the potential </w:t>
      </w:r>
      <w:r w:rsidR="00F66CE2">
        <w:t xml:space="preserve">to </w:t>
      </w:r>
      <w:r w:rsidR="00CA0DC2">
        <w:t>slow economic activity.</w:t>
      </w:r>
    </w:p>
    <w:p w14:paraId="23BE7DB3" w14:textId="68BA8020" w:rsidR="0048636E" w:rsidRDefault="00A26329" w:rsidP="00B9056C">
      <w:r w:rsidRPr="005A02EC">
        <w:t xml:space="preserve">The </w:t>
      </w:r>
      <w:r>
        <w:t xml:space="preserve">Russian invasion of Ukraine poses significant risks for global </w:t>
      </w:r>
      <w:r w:rsidR="001938B2">
        <w:t>prices and activity</w:t>
      </w:r>
      <w:r w:rsidR="00111A07">
        <w:t xml:space="preserve">. </w:t>
      </w:r>
      <w:r w:rsidRPr="005A02EC">
        <w:t xml:space="preserve">The </w:t>
      </w:r>
      <w:r>
        <w:t xml:space="preserve">invasion is </w:t>
      </w:r>
      <w:r w:rsidR="00EB4D1C">
        <w:t xml:space="preserve">already </w:t>
      </w:r>
      <w:r>
        <w:t>having devastating social and economic impacts in Ukraine and sanctions will cause a sharp economic contraction in Russia</w:t>
      </w:r>
      <w:r w:rsidR="00111A07">
        <w:t xml:space="preserve">. </w:t>
      </w:r>
      <w:r w:rsidR="008D3530">
        <w:t xml:space="preserve">There will be significant </w:t>
      </w:r>
      <w:proofErr w:type="spellStart"/>
      <w:r w:rsidR="008D3530">
        <w:t>spillover</w:t>
      </w:r>
      <w:proofErr w:type="spellEnd"/>
      <w:r w:rsidR="008D3530">
        <w:t xml:space="preserve"> effects globally, with risks to commodity trade generating sharply higher energy and </w:t>
      </w:r>
      <w:r w:rsidR="008404CA">
        <w:t>agricultural</w:t>
      </w:r>
      <w:r w:rsidR="008D3530">
        <w:t xml:space="preserve"> prices and further strain </w:t>
      </w:r>
      <w:r w:rsidR="006D0A00">
        <w:t xml:space="preserve">on </w:t>
      </w:r>
      <w:r w:rsidR="008D3530">
        <w:t>global supply chains</w:t>
      </w:r>
      <w:r w:rsidR="00111A07">
        <w:t xml:space="preserve">. </w:t>
      </w:r>
      <w:r w:rsidR="00B076BF">
        <w:t>This will add to existing global inflationary pressures on households, dampen investor and business sentiment,</w:t>
      </w:r>
      <w:r w:rsidR="00752A3E">
        <w:t xml:space="preserve"> interrupt supply chains</w:t>
      </w:r>
      <w:r w:rsidR="00B076BF">
        <w:t xml:space="preserve"> and</w:t>
      </w:r>
      <w:r w:rsidR="00017E2A">
        <w:t xml:space="preserve"> production and</w:t>
      </w:r>
      <w:r w:rsidR="00B076BF">
        <w:t xml:space="preserve"> ultimately drag on global growth</w:t>
      </w:r>
      <w:r w:rsidR="00111A07">
        <w:t xml:space="preserve">. </w:t>
      </w:r>
    </w:p>
    <w:p w14:paraId="5DE8F738" w14:textId="4DF9B5CD" w:rsidR="00A802D5" w:rsidRDefault="00A802D5" w:rsidP="00A802D5">
      <w:r>
        <w:lastRenderedPageBreak/>
        <w:t xml:space="preserve">As an energy and food exporter with very limited direct trade exposure to Russia, Australia is better placed than most countries to absorb the economic effects of the </w:t>
      </w:r>
      <w:r w:rsidRPr="00374726">
        <w:t>conflict and associated disruptions</w:t>
      </w:r>
      <w:r w:rsidR="00111A07">
        <w:t xml:space="preserve">. </w:t>
      </w:r>
      <w:r w:rsidRPr="00374726">
        <w:t xml:space="preserve">Higher fuel and other prices will negatively </w:t>
      </w:r>
      <w:r>
        <w:t>affect</w:t>
      </w:r>
      <w:r w:rsidRPr="00374726">
        <w:t xml:space="preserve"> consumers and dampen consumption growth, but higher commodity prices will provide a positive boost to national income through higher export earnings</w:t>
      </w:r>
      <w:r w:rsidR="00111A07">
        <w:t xml:space="preserve">. </w:t>
      </w:r>
      <w:r>
        <w:t>Nonetheless, an extended conflict</w:t>
      </w:r>
      <w:r w:rsidR="00696195">
        <w:t xml:space="preserve"> or an </w:t>
      </w:r>
      <w:r w:rsidR="00890C74">
        <w:t>escalation</w:t>
      </w:r>
      <w:r>
        <w:t xml:space="preserve"> that more significantly impacts global energy supply and global growth, is a downside risk to Australia</w:t>
      </w:r>
      <w:r w:rsidR="00111A07">
        <w:t xml:space="preserve">. </w:t>
      </w:r>
      <w:r w:rsidR="001567DE">
        <w:t>Box 2.</w:t>
      </w:r>
      <w:r w:rsidR="003161CD">
        <w:t>2</w:t>
      </w:r>
      <w:r w:rsidR="00F2673C">
        <w:t xml:space="preserve"> and 2.</w:t>
      </w:r>
      <w:r w:rsidR="00A3172D">
        <w:t>6</w:t>
      </w:r>
      <w:r w:rsidR="001567DE">
        <w:t xml:space="preserve"> further explores the potential impacts of the conflict and associated sanctions on the global and Australian economies</w:t>
      </w:r>
      <w:r w:rsidR="001567DE" w:rsidRPr="004628C3">
        <w:t xml:space="preserve"> </w:t>
      </w:r>
      <w:r w:rsidR="001567DE">
        <w:t>including the risk of a protracted disruption to the supply of oil.</w:t>
      </w:r>
    </w:p>
    <w:p w14:paraId="1F1E70E6" w14:textId="10646496" w:rsidR="001F0944" w:rsidRDefault="001F0944" w:rsidP="00331659">
      <w:r>
        <w:t>Russia</w:t>
      </w:r>
      <w:r w:rsidR="00111A07">
        <w:t>’</w:t>
      </w:r>
      <w:r>
        <w:t xml:space="preserve">s actions have </w:t>
      </w:r>
      <w:r w:rsidR="00696195">
        <w:t xml:space="preserve">also </w:t>
      </w:r>
      <w:r>
        <w:t xml:space="preserve">exacerbated existing risk factors around </w:t>
      </w:r>
      <w:r w:rsidR="00245AD6">
        <w:t>global</w:t>
      </w:r>
      <w:r>
        <w:t xml:space="preserve"> inflation</w:t>
      </w:r>
      <w:r w:rsidR="00111A07">
        <w:t xml:space="preserve">. </w:t>
      </w:r>
      <w:r w:rsidR="00245AD6">
        <w:t>This</w:t>
      </w:r>
      <w:r w:rsidR="001F247F">
        <w:t> </w:t>
      </w:r>
      <w:r w:rsidR="00245AD6">
        <w:t>increases</w:t>
      </w:r>
      <w:r w:rsidRPr="00A55164">
        <w:t xml:space="preserve"> the possibility that inflation expectations become unanchored, </w:t>
      </w:r>
      <w:r w:rsidR="00B40AD1">
        <w:t>making it difficult for</w:t>
      </w:r>
      <w:r w:rsidRPr="00A55164">
        <w:t xml:space="preserve"> central banks to contain inflation while avoiding a policy induced </w:t>
      </w:r>
      <w:r w:rsidR="00111A07">
        <w:t>‘</w:t>
      </w:r>
      <w:r w:rsidRPr="00A55164">
        <w:t>hard landing</w:t>
      </w:r>
      <w:r w:rsidR="00111A07">
        <w:t xml:space="preserve">’. </w:t>
      </w:r>
      <w:r w:rsidR="00B40AD1">
        <w:t xml:space="preserve">More </w:t>
      </w:r>
      <w:r w:rsidR="008D67CC">
        <w:t>rapid</w:t>
      </w:r>
      <w:r w:rsidR="00EA067D">
        <w:t xml:space="preserve"> monetary policy</w:t>
      </w:r>
      <w:r w:rsidRPr="00A55164">
        <w:t xml:space="preserve"> </w:t>
      </w:r>
      <w:r w:rsidR="00EA067D">
        <w:t xml:space="preserve">normalisation </w:t>
      </w:r>
      <w:r w:rsidR="00DA6055">
        <w:t xml:space="preserve">or a higher peak in policy rates </w:t>
      </w:r>
      <w:r w:rsidRPr="00A55164">
        <w:t xml:space="preserve">could </w:t>
      </w:r>
      <w:r w:rsidR="008D67CC">
        <w:t>also</w:t>
      </w:r>
      <w:r w:rsidRPr="00A55164">
        <w:t xml:space="preserve"> </w:t>
      </w:r>
      <w:r w:rsidR="009E20D7">
        <w:t>trigger other</w:t>
      </w:r>
      <w:r w:rsidRPr="00A55164">
        <w:t xml:space="preserve"> vulnerabilities in the global economy</w:t>
      </w:r>
      <w:r w:rsidR="00245AD6">
        <w:t>,</w:t>
      </w:r>
      <w:r w:rsidRPr="00A55164">
        <w:t xml:space="preserve"> especially among emerging market economies </w:t>
      </w:r>
      <w:r w:rsidR="005808BE">
        <w:t xml:space="preserve">with elevated debt levels and </w:t>
      </w:r>
      <w:r w:rsidR="003E2204">
        <w:t>those</w:t>
      </w:r>
      <w:r w:rsidRPr="00A55164">
        <w:t xml:space="preserve"> exposed to rising and volatile commodity prices</w:t>
      </w:r>
      <w:r w:rsidR="00111A07">
        <w:t xml:space="preserve">. </w:t>
      </w:r>
    </w:p>
    <w:p w14:paraId="340D9F7B" w14:textId="0D2B0AB1" w:rsidR="00724F91" w:rsidRDefault="00724F91" w:rsidP="00724F91"/>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B9056C" w14:paraId="65FA4DA6" w14:textId="77777777" w:rsidTr="002E7B71">
        <w:trPr>
          <w:cantSplit/>
        </w:trPr>
        <w:tc>
          <w:tcPr>
            <w:tcW w:w="5000" w:type="pct"/>
            <w:shd w:val="clear" w:color="auto" w:fill="F2F9FC"/>
          </w:tcPr>
          <w:p w14:paraId="1A4C1B68" w14:textId="6DE1F56A" w:rsidR="00B9056C" w:rsidRDefault="00B9056C" w:rsidP="00B84D59">
            <w:pPr>
              <w:pStyle w:val="BoxHeading"/>
              <w:keepNext w:val="0"/>
              <w:spacing w:before="0" w:after="240"/>
            </w:pPr>
            <w:r w:rsidRPr="00B9056C">
              <w:lastRenderedPageBreak/>
              <w:t>Box 2.1: Key COVID</w:t>
            </w:r>
            <w:r w:rsidR="00111A07">
              <w:noBreakHyphen/>
            </w:r>
            <w:r w:rsidRPr="00B9056C">
              <w:t>19</w:t>
            </w:r>
            <w:r w:rsidR="00111A07">
              <w:noBreakHyphen/>
            </w:r>
            <w:r w:rsidRPr="00B9056C">
              <w:t>related assumptions underpinning the economic forecasts</w:t>
            </w:r>
          </w:p>
          <w:p w14:paraId="3000DC3B" w14:textId="26FC4EA6" w:rsidR="00B9056C" w:rsidRDefault="00B9056C" w:rsidP="00B84D59">
            <w:pPr>
              <w:pStyle w:val="BoxText"/>
              <w:spacing w:after="240"/>
            </w:pPr>
            <w:r>
              <w:t>The key COVID</w:t>
            </w:r>
            <w:r w:rsidR="00111A07">
              <w:noBreakHyphen/>
            </w:r>
            <w:r>
              <w:t>19</w:t>
            </w:r>
            <w:r w:rsidR="00111A07">
              <w:noBreakHyphen/>
            </w:r>
            <w:r>
              <w:t>related assumptions that underpin the economic forecasts are set out below</w:t>
            </w:r>
            <w:r w:rsidR="00111A07">
              <w:t xml:space="preserve">. </w:t>
            </w:r>
          </w:p>
          <w:p w14:paraId="2C0DA1D8" w14:textId="21A294B0" w:rsidR="00B9056C" w:rsidRDefault="00B9056C" w:rsidP="00B84D59">
            <w:pPr>
              <w:pStyle w:val="BoxBullet"/>
              <w:tabs>
                <w:tab w:val="clear" w:pos="720"/>
                <w:tab w:val="num" w:pos="283"/>
              </w:tabs>
              <w:spacing w:after="240"/>
            </w:pPr>
            <w:r>
              <w:t>Community transmission of COVID</w:t>
            </w:r>
            <w:r w:rsidR="00111A07">
              <w:noBreakHyphen/>
            </w:r>
            <w:r>
              <w:t>19 will continue to occur</w:t>
            </w:r>
            <w:r w:rsidR="00111A07">
              <w:t xml:space="preserve">. </w:t>
            </w:r>
          </w:p>
          <w:p w14:paraId="2206B037" w14:textId="2E570108" w:rsidR="00B9056C" w:rsidRDefault="00B9056C" w:rsidP="00B84D59">
            <w:pPr>
              <w:pStyle w:val="BoxBullet"/>
              <w:tabs>
                <w:tab w:val="clear" w:pos="720"/>
                <w:tab w:val="num" w:pos="283"/>
              </w:tabs>
              <w:spacing w:after="240"/>
            </w:pPr>
            <w:r>
              <w:t>A further Omicron wave is assumed to occur over winter 2022, which may again see elevated rates of absenteeism and pressure on supply chains</w:t>
            </w:r>
            <w:r w:rsidR="00111A07">
              <w:t xml:space="preserve">. </w:t>
            </w:r>
          </w:p>
          <w:p w14:paraId="75A2F22A" w14:textId="0A52D961" w:rsidR="00B9056C" w:rsidRDefault="00B9056C" w:rsidP="00B84D59">
            <w:pPr>
              <w:pStyle w:val="BoxBullet"/>
              <w:tabs>
                <w:tab w:val="clear" w:pos="720"/>
                <w:tab w:val="num" w:pos="283"/>
              </w:tabs>
              <w:spacing w:after="240"/>
            </w:pPr>
            <w:r>
              <w:t>Beyond winter, it is assumed that Australia will continue to experience intermittent, localised waves of Omicron, or other new COVID</w:t>
            </w:r>
            <w:r w:rsidR="00111A07">
              <w:noBreakHyphen/>
            </w:r>
            <w:r>
              <w:t>19 variants</w:t>
            </w:r>
            <w:r w:rsidR="00111A07">
              <w:t xml:space="preserve">. </w:t>
            </w:r>
            <w:r>
              <w:t>However, it is assumed that high vaccination rates and improved medical treatments, together with continued community adaptation to COVID</w:t>
            </w:r>
            <w:r w:rsidR="00111A07">
              <w:noBreakHyphen/>
            </w:r>
            <w:r>
              <w:t>19, will see the economic impact of future outbreaks continue to moderate</w:t>
            </w:r>
            <w:r w:rsidR="00111A07">
              <w:t xml:space="preserve">. </w:t>
            </w:r>
            <w:r>
              <w:t xml:space="preserve">Box </w:t>
            </w:r>
            <w:r w:rsidR="007B5E1A">
              <w:t>2.4</w:t>
            </w:r>
            <w:r>
              <w:t xml:space="preserve"> considers a scenario where a new COVID</w:t>
            </w:r>
            <w:r w:rsidR="00111A07">
              <w:noBreakHyphen/>
            </w:r>
            <w:r>
              <w:t>19 variant of concern poses greater downside risks to the economic forecasts</w:t>
            </w:r>
            <w:r w:rsidR="00111A07">
              <w:t xml:space="preserve">. </w:t>
            </w:r>
          </w:p>
          <w:p w14:paraId="07311A57" w14:textId="2DFF4B15" w:rsidR="00B9056C" w:rsidRDefault="00B9056C" w:rsidP="00B84D59">
            <w:pPr>
              <w:pStyle w:val="BoxBullet"/>
              <w:tabs>
                <w:tab w:val="clear" w:pos="720"/>
                <w:tab w:val="num" w:pos="283"/>
              </w:tabs>
              <w:spacing w:after="240"/>
            </w:pPr>
            <w:r>
              <w:t>It is assumed that public health measures such as physical distancing and density restrictions are phased down, but reimposed in a targeted way in response to future COVID</w:t>
            </w:r>
            <w:r w:rsidR="00111A07">
              <w:noBreakHyphen/>
            </w:r>
            <w:r>
              <w:t>19 outbreaks</w:t>
            </w:r>
            <w:r w:rsidR="00111A07">
              <w:t xml:space="preserve">. </w:t>
            </w:r>
            <w:r>
              <w:t>These public health measures are not expected to materially affect the economic forecasts</w:t>
            </w:r>
            <w:r w:rsidR="00111A07">
              <w:t xml:space="preserve">. </w:t>
            </w:r>
          </w:p>
          <w:p w14:paraId="1D371A57" w14:textId="709D25D1" w:rsidR="00B9056C" w:rsidRDefault="00B9056C" w:rsidP="00B84D59">
            <w:pPr>
              <w:pStyle w:val="BoxBullet"/>
              <w:tabs>
                <w:tab w:val="clear" w:pos="720"/>
                <w:tab w:val="num" w:pos="283"/>
              </w:tabs>
              <w:spacing w:after="240"/>
            </w:pPr>
            <w:r>
              <w:t>Australia</w:t>
            </w:r>
            <w:r w:rsidR="00111A07">
              <w:t>’</w:t>
            </w:r>
            <w:r>
              <w:t>s international borders are assumed to be open to migrants and fully vaccinated tourists.</w:t>
            </w:r>
          </w:p>
        </w:tc>
      </w:tr>
    </w:tbl>
    <w:p w14:paraId="7387BBC1" w14:textId="2A964433" w:rsidR="005B0CF8" w:rsidRPr="006070C3" w:rsidRDefault="00733707" w:rsidP="005B0CF8">
      <w:pPr>
        <w:pStyle w:val="TableHeading"/>
        <w:pageBreakBefore/>
        <w:spacing w:before="0"/>
        <w:rPr>
          <w:rFonts w:asciiTheme="minorHAnsi" w:eastAsiaTheme="minorHAnsi" w:hAnsiTheme="minorHAnsi" w:cstheme="minorBidi"/>
          <w:sz w:val="22"/>
          <w:szCs w:val="22"/>
          <w:vertAlign w:val="superscript"/>
          <w:lang w:eastAsia="en-US"/>
        </w:rPr>
      </w:pPr>
      <w:r w:rsidRPr="00B96121">
        <w:lastRenderedPageBreak/>
        <w:t xml:space="preserve">Table 2.1: Domestic economy </w:t>
      </w:r>
      <w:r w:rsidR="005B0068">
        <w:t>–</w:t>
      </w:r>
      <w:r w:rsidRPr="00B96121">
        <w:t xml:space="preserve"> detailed forecasts</w:t>
      </w:r>
      <w:r w:rsidR="006070C3">
        <w:rPr>
          <w:vertAlign w:val="superscript"/>
        </w:rPr>
        <w:t>(a)</w:t>
      </w:r>
    </w:p>
    <w:tbl>
      <w:tblPr>
        <w:tblW w:w="5000" w:type="pct"/>
        <w:tblLook w:val="04A0" w:firstRow="1" w:lastRow="0" w:firstColumn="1" w:lastColumn="0" w:noHBand="0" w:noVBand="1"/>
      </w:tblPr>
      <w:tblGrid>
        <w:gridCol w:w="3618"/>
        <w:gridCol w:w="966"/>
        <w:gridCol w:w="1042"/>
        <w:gridCol w:w="1042"/>
        <w:gridCol w:w="1042"/>
      </w:tblGrid>
      <w:tr w:rsidR="008E2FB5" w:rsidRPr="005B0CF8" w14:paraId="3EABC1D1" w14:textId="77777777" w:rsidTr="008E2FB5">
        <w:trPr>
          <w:trHeight w:val="315"/>
        </w:trPr>
        <w:tc>
          <w:tcPr>
            <w:tcW w:w="3618" w:type="dxa"/>
            <w:tcBorders>
              <w:top w:val="single" w:sz="4" w:space="0" w:color="auto"/>
              <w:left w:val="nil"/>
              <w:bottom w:val="nil"/>
              <w:right w:val="nil"/>
            </w:tcBorders>
            <w:shd w:val="clear" w:color="auto" w:fill="auto"/>
            <w:noWrap/>
            <w:vAlign w:val="center"/>
            <w:hideMark/>
          </w:tcPr>
          <w:p w14:paraId="0004A27C" w14:textId="566ECBA7" w:rsidR="008E2FB5" w:rsidRPr="005B0CF8" w:rsidRDefault="008E2FB5" w:rsidP="005B0CF8">
            <w:pPr>
              <w:spacing w:after="0" w:line="240" w:lineRule="auto"/>
              <w:jc w:val="left"/>
              <w:rPr>
                <w:rFonts w:ascii="Arial" w:hAnsi="Arial" w:cs="Arial"/>
                <w:sz w:val="16"/>
                <w:szCs w:val="16"/>
              </w:rPr>
            </w:pPr>
            <w:r w:rsidRPr="005B0CF8">
              <w:rPr>
                <w:rFonts w:ascii="Arial" w:hAnsi="Arial" w:cs="Arial"/>
                <w:sz w:val="16"/>
                <w:szCs w:val="16"/>
              </w:rPr>
              <w:t> </w:t>
            </w:r>
          </w:p>
        </w:tc>
        <w:tc>
          <w:tcPr>
            <w:tcW w:w="966" w:type="dxa"/>
            <w:tcBorders>
              <w:top w:val="single" w:sz="4" w:space="0" w:color="auto"/>
              <w:left w:val="nil"/>
              <w:bottom w:val="nil"/>
              <w:right w:val="nil"/>
            </w:tcBorders>
            <w:shd w:val="clear" w:color="auto" w:fill="auto"/>
            <w:noWrap/>
            <w:vAlign w:val="center"/>
            <w:hideMark/>
          </w:tcPr>
          <w:p w14:paraId="4CDA2D76" w14:textId="77777777" w:rsidR="008E2FB5" w:rsidRPr="005B0CF8" w:rsidRDefault="008E2FB5" w:rsidP="005B0CF8">
            <w:pPr>
              <w:spacing w:after="0" w:line="240" w:lineRule="auto"/>
              <w:jc w:val="center"/>
              <w:rPr>
                <w:rFonts w:ascii="Arial" w:hAnsi="Arial" w:cs="Arial"/>
                <w:sz w:val="16"/>
                <w:szCs w:val="16"/>
              </w:rPr>
            </w:pPr>
            <w:r w:rsidRPr="005B0CF8">
              <w:rPr>
                <w:rFonts w:ascii="Arial" w:hAnsi="Arial" w:cs="Arial"/>
                <w:sz w:val="16"/>
                <w:szCs w:val="16"/>
              </w:rPr>
              <w:t>Outcomes</w:t>
            </w:r>
          </w:p>
        </w:tc>
        <w:tc>
          <w:tcPr>
            <w:tcW w:w="3126" w:type="dxa"/>
            <w:gridSpan w:val="3"/>
            <w:tcBorders>
              <w:top w:val="single" w:sz="4" w:space="0" w:color="auto"/>
              <w:left w:val="nil"/>
              <w:bottom w:val="single" w:sz="4" w:space="0" w:color="000000"/>
              <w:right w:val="nil"/>
            </w:tcBorders>
            <w:shd w:val="clear" w:color="000000" w:fill="F2F9FC"/>
            <w:noWrap/>
            <w:vAlign w:val="center"/>
            <w:hideMark/>
          </w:tcPr>
          <w:p w14:paraId="61741DE5" w14:textId="6A9B0D79" w:rsidR="008E2FB5" w:rsidRPr="005B0CF8" w:rsidRDefault="008E2FB5" w:rsidP="001F36C4">
            <w:pPr>
              <w:spacing w:after="0" w:line="240" w:lineRule="auto"/>
              <w:jc w:val="center"/>
              <w:rPr>
                <w:rFonts w:ascii="Arial" w:hAnsi="Arial" w:cs="Arial"/>
                <w:sz w:val="16"/>
                <w:szCs w:val="16"/>
              </w:rPr>
            </w:pPr>
            <w:r w:rsidRPr="005B0CF8">
              <w:rPr>
                <w:rFonts w:ascii="Arial" w:hAnsi="Arial" w:cs="Arial"/>
                <w:sz w:val="16"/>
                <w:szCs w:val="16"/>
              </w:rPr>
              <w:t>Forecasts</w:t>
            </w:r>
          </w:p>
        </w:tc>
      </w:tr>
      <w:tr w:rsidR="005B0CF8" w:rsidRPr="005B0CF8" w14:paraId="2BF03973" w14:textId="77777777" w:rsidTr="008E2FB5">
        <w:trPr>
          <w:trHeight w:val="237"/>
        </w:trPr>
        <w:tc>
          <w:tcPr>
            <w:tcW w:w="3618" w:type="dxa"/>
            <w:tcBorders>
              <w:top w:val="nil"/>
              <w:left w:val="nil"/>
              <w:bottom w:val="nil"/>
              <w:right w:val="nil"/>
            </w:tcBorders>
            <w:shd w:val="clear" w:color="auto" w:fill="auto"/>
            <w:noWrap/>
            <w:vAlign w:val="center"/>
            <w:hideMark/>
          </w:tcPr>
          <w:p w14:paraId="5E3750C8" w14:textId="77777777" w:rsidR="005B0CF8" w:rsidRPr="005B0CF8" w:rsidRDefault="005B0CF8" w:rsidP="005B0CF8">
            <w:pPr>
              <w:spacing w:after="0" w:line="240" w:lineRule="auto"/>
              <w:jc w:val="right"/>
              <w:rPr>
                <w:rFonts w:ascii="Arial" w:hAnsi="Arial" w:cs="Arial"/>
                <w:sz w:val="16"/>
                <w:szCs w:val="16"/>
              </w:rPr>
            </w:pPr>
          </w:p>
        </w:tc>
        <w:tc>
          <w:tcPr>
            <w:tcW w:w="966" w:type="dxa"/>
            <w:tcBorders>
              <w:top w:val="single" w:sz="4" w:space="0" w:color="000000"/>
              <w:left w:val="nil"/>
              <w:bottom w:val="single" w:sz="4" w:space="0" w:color="000000"/>
              <w:right w:val="nil"/>
            </w:tcBorders>
            <w:shd w:val="clear" w:color="auto" w:fill="auto"/>
            <w:noWrap/>
            <w:vAlign w:val="center"/>
            <w:hideMark/>
          </w:tcPr>
          <w:p w14:paraId="0B22EB0A" w14:textId="77777777" w:rsidR="005B0CF8" w:rsidRPr="005B0CF8" w:rsidRDefault="005B0CF8" w:rsidP="005B0CF8">
            <w:pPr>
              <w:spacing w:after="0" w:line="240" w:lineRule="auto"/>
              <w:jc w:val="right"/>
              <w:rPr>
                <w:rFonts w:ascii="Arial" w:hAnsi="Arial" w:cs="Arial"/>
                <w:sz w:val="16"/>
                <w:szCs w:val="16"/>
              </w:rPr>
            </w:pPr>
            <w:r w:rsidRPr="005B0CF8">
              <w:rPr>
                <w:rFonts w:ascii="Arial" w:hAnsi="Arial" w:cs="Arial"/>
                <w:sz w:val="16"/>
                <w:szCs w:val="16"/>
              </w:rPr>
              <w:t>2020-21</w:t>
            </w:r>
          </w:p>
        </w:tc>
        <w:tc>
          <w:tcPr>
            <w:tcW w:w="1042" w:type="dxa"/>
            <w:tcBorders>
              <w:top w:val="nil"/>
              <w:left w:val="nil"/>
              <w:bottom w:val="single" w:sz="4" w:space="0" w:color="000000"/>
              <w:right w:val="nil"/>
            </w:tcBorders>
            <w:shd w:val="clear" w:color="000000" w:fill="F2F9FC"/>
            <w:noWrap/>
            <w:vAlign w:val="center"/>
            <w:hideMark/>
          </w:tcPr>
          <w:p w14:paraId="559FA510" w14:textId="77777777" w:rsidR="005B0CF8" w:rsidRPr="005B0CF8" w:rsidRDefault="005B0CF8" w:rsidP="005B0CF8">
            <w:pPr>
              <w:spacing w:after="0" w:line="240" w:lineRule="auto"/>
              <w:jc w:val="right"/>
              <w:rPr>
                <w:rFonts w:ascii="Arial" w:hAnsi="Arial" w:cs="Arial"/>
                <w:sz w:val="16"/>
                <w:szCs w:val="16"/>
              </w:rPr>
            </w:pPr>
            <w:r w:rsidRPr="005B0CF8">
              <w:rPr>
                <w:rFonts w:ascii="Arial" w:hAnsi="Arial" w:cs="Arial"/>
                <w:sz w:val="16"/>
                <w:szCs w:val="16"/>
              </w:rPr>
              <w:t>2021-22</w:t>
            </w:r>
          </w:p>
        </w:tc>
        <w:tc>
          <w:tcPr>
            <w:tcW w:w="1042" w:type="dxa"/>
            <w:tcBorders>
              <w:top w:val="nil"/>
              <w:left w:val="nil"/>
              <w:bottom w:val="single" w:sz="4" w:space="0" w:color="000000"/>
              <w:right w:val="nil"/>
            </w:tcBorders>
            <w:shd w:val="clear" w:color="000000" w:fill="F2F9FC"/>
            <w:noWrap/>
            <w:vAlign w:val="center"/>
            <w:hideMark/>
          </w:tcPr>
          <w:p w14:paraId="688C4D1F" w14:textId="77777777" w:rsidR="005B0CF8" w:rsidRPr="005B0CF8" w:rsidRDefault="005B0CF8" w:rsidP="005B0CF8">
            <w:pPr>
              <w:spacing w:after="0" w:line="240" w:lineRule="auto"/>
              <w:jc w:val="right"/>
              <w:rPr>
                <w:rFonts w:ascii="Arial" w:hAnsi="Arial" w:cs="Arial"/>
                <w:sz w:val="16"/>
                <w:szCs w:val="16"/>
              </w:rPr>
            </w:pPr>
            <w:r w:rsidRPr="005B0CF8">
              <w:rPr>
                <w:rFonts w:ascii="Arial" w:hAnsi="Arial" w:cs="Arial"/>
                <w:sz w:val="16"/>
                <w:szCs w:val="16"/>
              </w:rPr>
              <w:t>2022-23</w:t>
            </w:r>
          </w:p>
        </w:tc>
        <w:tc>
          <w:tcPr>
            <w:tcW w:w="1042" w:type="dxa"/>
            <w:tcBorders>
              <w:top w:val="nil"/>
              <w:left w:val="nil"/>
              <w:bottom w:val="single" w:sz="4" w:space="0" w:color="000000"/>
              <w:right w:val="nil"/>
            </w:tcBorders>
            <w:shd w:val="clear" w:color="000000" w:fill="F2F9FC"/>
            <w:noWrap/>
            <w:vAlign w:val="center"/>
            <w:hideMark/>
          </w:tcPr>
          <w:p w14:paraId="69779732" w14:textId="77777777" w:rsidR="005B0CF8" w:rsidRPr="005B0CF8" w:rsidRDefault="005B0CF8" w:rsidP="005B0CF8">
            <w:pPr>
              <w:spacing w:after="0" w:line="240" w:lineRule="auto"/>
              <w:jc w:val="right"/>
              <w:rPr>
                <w:rFonts w:ascii="Arial" w:hAnsi="Arial" w:cs="Arial"/>
                <w:sz w:val="16"/>
                <w:szCs w:val="16"/>
              </w:rPr>
            </w:pPr>
            <w:r w:rsidRPr="005B0CF8">
              <w:rPr>
                <w:rFonts w:ascii="Arial" w:hAnsi="Arial" w:cs="Arial"/>
                <w:sz w:val="16"/>
                <w:szCs w:val="16"/>
              </w:rPr>
              <w:t>2023-24</w:t>
            </w:r>
          </w:p>
        </w:tc>
      </w:tr>
      <w:tr w:rsidR="005B0CF8" w:rsidRPr="005B0CF8" w14:paraId="443660A0" w14:textId="77777777" w:rsidTr="008E2FB5">
        <w:trPr>
          <w:trHeight w:val="237"/>
        </w:trPr>
        <w:tc>
          <w:tcPr>
            <w:tcW w:w="3618" w:type="dxa"/>
            <w:tcBorders>
              <w:top w:val="nil"/>
              <w:left w:val="nil"/>
              <w:bottom w:val="nil"/>
              <w:right w:val="nil"/>
            </w:tcBorders>
            <w:shd w:val="clear" w:color="auto" w:fill="auto"/>
            <w:noWrap/>
            <w:vAlign w:val="center"/>
            <w:hideMark/>
          </w:tcPr>
          <w:p w14:paraId="39D8B3EA" w14:textId="77777777" w:rsidR="005B0CF8" w:rsidRPr="005B0CF8" w:rsidRDefault="005B0CF8" w:rsidP="005B0CF8">
            <w:pPr>
              <w:spacing w:after="0" w:line="240" w:lineRule="auto"/>
              <w:jc w:val="left"/>
              <w:rPr>
                <w:rFonts w:ascii="Arial" w:hAnsi="Arial" w:cs="Arial"/>
                <w:b/>
                <w:bCs/>
                <w:sz w:val="16"/>
                <w:szCs w:val="16"/>
              </w:rPr>
            </w:pPr>
            <w:r w:rsidRPr="005B0CF8">
              <w:rPr>
                <w:rFonts w:ascii="Arial" w:hAnsi="Arial" w:cs="Arial"/>
                <w:b/>
                <w:bCs/>
                <w:sz w:val="16"/>
                <w:szCs w:val="16"/>
              </w:rPr>
              <w:t>Real gross domestic product</w:t>
            </w:r>
          </w:p>
        </w:tc>
        <w:tc>
          <w:tcPr>
            <w:tcW w:w="966" w:type="dxa"/>
            <w:tcBorders>
              <w:top w:val="nil"/>
              <w:left w:val="nil"/>
              <w:bottom w:val="nil"/>
              <w:right w:val="nil"/>
            </w:tcBorders>
            <w:shd w:val="clear" w:color="auto" w:fill="auto"/>
            <w:noWrap/>
            <w:vAlign w:val="center"/>
            <w:hideMark/>
          </w:tcPr>
          <w:p w14:paraId="497AE841" w14:textId="77777777" w:rsidR="005B0CF8" w:rsidRPr="005B0CF8" w:rsidRDefault="005B0CF8" w:rsidP="005B0CF8">
            <w:pPr>
              <w:spacing w:after="0" w:line="240" w:lineRule="auto"/>
              <w:jc w:val="right"/>
              <w:rPr>
                <w:rFonts w:ascii="Arial" w:hAnsi="Arial" w:cs="Arial"/>
                <w:b/>
                <w:bCs/>
                <w:color w:val="000000"/>
                <w:sz w:val="16"/>
                <w:szCs w:val="16"/>
              </w:rPr>
            </w:pPr>
            <w:r w:rsidRPr="005B0CF8">
              <w:rPr>
                <w:rFonts w:ascii="Arial" w:hAnsi="Arial" w:cs="Arial"/>
                <w:b/>
                <w:bCs/>
                <w:color w:val="000000"/>
                <w:sz w:val="16"/>
                <w:szCs w:val="16"/>
              </w:rPr>
              <w:t>1.5</w:t>
            </w:r>
          </w:p>
        </w:tc>
        <w:tc>
          <w:tcPr>
            <w:tcW w:w="1042" w:type="dxa"/>
            <w:tcBorders>
              <w:top w:val="nil"/>
              <w:left w:val="nil"/>
              <w:bottom w:val="nil"/>
              <w:right w:val="nil"/>
            </w:tcBorders>
            <w:shd w:val="clear" w:color="000000" w:fill="F2F9FC"/>
            <w:noWrap/>
            <w:vAlign w:val="center"/>
            <w:hideMark/>
          </w:tcPr>
          <w:p w14:paraId="0B2CF410" w14:textId="77777777" w:rsidR="005B0CF8" w:rsidRPr="005B0CF8" w:rsidRDefault="005B0CF8" w:rsidP="005B0CF8">
            <w:pPr>
              <w:spacing w:after="0" w:line="240" w:lineRule="auto"/>
              <w:jc w:val="right"/>
              <w:rPr>
                <w:rFonts w:ascii="Arial" w:hAnsi="Arial" w:cs="Arial"/>
                <w:b/>
                <w:bCs/>
                <w:color w:val="000000"/>
                <w:sz w:val="16"/>
                <w:szCs w:val="16"/>
              </w:rPr>
            </w:pPr>
            <w:r w:rsidRPr="005B0CF8">
              <w:rPr>
                <w:rFonts w:ascii="Arial" w:hAnsi="Arial" w:cs="Arial"/>
                <w:b/>
                <w:bCs/>
                <w:color w:val="000000"/>
                <w:sz w:val="16"/>
                <w:szCs w:val="16"/>
              </w:rPr>
              <w:t>4 1/4</w:t>
            </w:r>
          </w:p>
        </w:tc>
        <w:tc>
          <w:tcPr>
            <w:tcW w:w="1042" w:type="dxa"/>
            <w:tcBorders>
              <w:top w:val="nil"/>
              <w:left w:val="nil"/>
              <w:bottom w:val="nil"/>
              <w:right w:val="nil"/>
            </w:tcBorders>
            <w:shd w:val="clear" w:color="000000" w:fill="F2F9FC"/>
            <w:noWrap/>
            <w:vAlign w:val="center"/>
            <w:hideMark/>
          </w:tcPr>
          <w:p w14:paraId="569BB33F" w14:textId="77777777" w:rsidR="005B0CF8" w:rsidRPr="005B0CF8" w:rsidRDefault="005B0CF8" w:rsidP="005B0CF8">
            <w:pPr>
              <w:spacing w:after="0" w:line="240" w:lineRule="auto"/>
              <w:jc w:val="right"/>
              <w:rPr>
                <w:rFonts w:ascii="Arial" w:hAnsi="Arial" w:cs="Arial"/>
                <w:b/>
                <w:bCs/>
                <w:color w:val="000000"/>
                <w:sz w:val="16"/>
                <w:szCs w:val="16"/>
              </w:rPr>
            </w:pPr>
            <w:r w:rsidRPr="005B0CF8">
              <w:rPr>
                <w:rFonts w:ascii="Arial" w:hAnsi="Arial" w:cs="Arial"/>
                <w:b/>
                <w:bCs/>
                <w:color w:val="000000"/>
                <w:sz w:val="16"/>
                <w:szCs w:val="16"/>
              </w:rPr>
              <w:t>3 1/2</w:t>
            </w:r>
          </w:p>
        </w:tc>
        <w:tc>
          <w:tcPr>
            <w:tcW w:w="1042" w:type="dxa"/>
            <w:tcBorders>
              <w:top w:val="nil"/>
              <w:left w:val="nil"/>
              <w:bottom w:val="nil"/>
              <w:right w:val="nil"/>
            </w:tcBorders>
            <w:shd w:val="clear" w:color="000000" w:fill="F2F9FC"/>
            <w:noWrap/>
            <w:vAlign w:val="center"/>
            <w:hideMark/>
          </w:tcPr>
          <w:p w14:paraId="2E3862E3" w14:textId="77777777" w:rsidR="005B0CF8" w:rsidRPr="005B0CF8" w:rsidRDefault="005B0CF8" w:rsidP="005B0CF8">
            <w:pPr>
              <w:spacing w:after="0" w:line="240" w:lineRule="auto"/>
              <w:jc w:val="right"/>
              <w:rPr>
                <w:rFonts w:ascii="Arial" w:hAnsi="Arial" w:cs="Arial"/>
                <w:b/>
                <w:bCs/>
                <w:color w:val="000000"/>
                <w:sz w:val="16"/>
                <w:szCs w:val="16"/>
              </w:rPr>
            </w:pPr>
            <w:r w:rsidRPr="005B0CF8">
              <w:rPr>
                <w:rFonts w:ascii="Arial" w:hAnsi="Arial" w:cs="Arial"/>
                <w:b/>
                <w:bCs/>
                <w:color w:val="000000"/>
                <w:sz w:val="16"/>
                <w:szCs w:val="16"/>
              </w:rPr>
              <w:t>2 1/2</w:t>
            </w:r>
          </w:p>
        </w:tc>
      </w:tr>
      <w:tr w:rsidR="005B0CF8" w:rsidRPr="005B0CF8" w14:paraId="55194742" w14:textId="77777777" w:rsidTr="008E2FB5">
        <w:trPr>
          <w:trHeight w:val="237"/>
        </w:trPr>
        <w:tc>
          <w:tcPr>
            <w:tcW w:w="3618" w:type="dxa"/>
            <w:tcBorders>
              <w:top w:val="nil"/>
              <w:left w:val="nil"/>
              <w:bottom w:val="nil"/>
              <w:right w:val="nil"/>
            </w:tcBorders>
            <w:shd w:val="clear" w:color="auto" w:fill="auto"/>
            <w:noWrap/>
            <w:vAlign w:val="center"/>
            <w:hideMark/>
          </w:tcPr>
          <w:p w14:paraId="7525C2DF"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Household consumption</w:t>
            </w:r>
          </w:p>
        </w:tc>
        <w:tc>
          <w:tcPr>
            <w:tcW w:w="966" w:type="dxa"/>
            <w:tcBorders>
              <w:top w:val="nil"/>
              <w:left w:val="nil"/>
              <w:bottom w:val="nil"/>
              <w:right w:val="nil"/>
            </w:tcBorders>
            <w:shd w:val="clear" w:color="auto" w:fill="auto"/>
            <w:noWrap/>
            <w:vAlign w:val="center"/>
            <w:hideMark/>
          </w:tcPr>
          <w:p w14:paraId="44B1E2A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1.0</w:t>
            </w:r>
          </w:p>
        </w:tc>
        <w:tc>
          <w:tcPr>
            <w:tcW w:w="1042" w:type="dxa"/>
            <w:tcBorders>
              <w:top w:val="nil"/>
              <w:left w:val="nil"/>
              <w:bottom w:val="nil"/>
              <w:right w:val="nil"/>
            </w:tcBorders>
            <w:shd w:val="clear" w:color="000000" w:fill="F2F9FC"/>
            <w:noWrap/>
            <w:vAlign w:val="center"/>
            <w:hideMark/>
          </w:tcPr>
          <w:p w14:paraId="7751851F"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1/2</w:t>
            </w:r>
          </w:p>
        </w:tc>
        <w:tc>
          <w:tcPr>
            <w:tcW w:w="1042" w:type="dxa"/>
            <w:tcBorders>
              <w:top w:val="nil"/>
              <w:left w:val="nil"/>
              <w:bottom w:val="nil"/>
              <w:right w:val="nil"/>
            </w:tcBorders>
            <w:shd w:val="clear" w:color="000000" w:fill="F2F9FC"/>
            <w:noWrap/>
            <w:vAlign w:val="center"/>
            <w:hideMark/>
          </w:tcPr>
          <w:p w14:paraId="0D6CEFA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5 3/4</w:t>
            </w:r>
          </w:p>
        </w:tc>
        <w:tc>
          <w:tcPr>
            <w:tcW w:w="1042" w:type="dxa"/>
            <w:tcBorders>
              <w:top w:val="nil"/>
              <w:left w:val="nil"/>
              <w:bottom w:val="nil"/>
              <w:right w:val="nil"/>
            </w:tcBorders>
            <w:shd w:val="clear" w:color="000000" w:fill="F2F9FC"/>
            <w:noWrap/>
            <w:vAlign w:val="center"/>
            <w:hideMark/>
          </w:tcPr>
          <w:p w14:paraId="273270A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3/4</w:t>
            </w:r>
          </w:p>
        </w:tc>
      </w:tr>
      <w:tr w:rsidR="005B0CF8" w:rsidRPr="005B0CF8" w14:paraId="3EDF7DAA" w14:textId="77777777" w:rsidTr="008E2FB5">
        <w:trPr>
          <w:trHeight w:val="237"/>
        </w:trPr>
        <w:tc>
          <w:tcPr>
            <w:tcW w:w="3618" w:type="dxa"/>
            <w:tcBorders>
              <w:top w:val="nil"/>
              <w:left w:val="nil"/>
              <w:bottom w:val="nil"/>
              <w:right w:val="nil"/>
            </w:tcBorders>
            <w:shd w:val="clear" w:color="auto" w:fill="auto"/>
            <w:noWrap/>
            <w:vAlign w:val="center"/>
            <w:hideMark/>
          </w:tcPr>
          <w:p w14:paraId="45CF8179"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Dwelling investment</w:t>
            </w:r>
          </w:p>
        </w:tc>
        <w:tc>
          <w:tcPr>
            <w:tcW w:w="966" w:type="dxa"/>
            <w:tcBorders>
              <w:top w:val="nil"/>
              <w:left w:val="nil"/>
              <w:bottom w:val="nil"/>
              <w:right w:val="nil"/>
            </w:tcBorders>
            <w:shd w:val="clear" w:color="auto" w:fill="auto"/>
            <w:noWrap/>
            <w:vAlign w:val="center"/>
            <w:hideMark/>
          </w:tcPr>
          <w:p w14:paraId="44A6D84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3.2</w:t>
            </w:r>
          </w:p>
        </w:tc>
        <w:tc>
          <w:tcPr>
            <w:tcW w:w="1042" w:type="dxa"/>
            <w:tcBorders>
              <w:top w:val="nil"/>
              <w:left w:val="nil"/>
              <w:bottom w:val="nil"/>
              <w:right w:val="nil"/>
            </w:tcBorders>
            <w:shd w:val="clear" w:color="000000" w:fill="F2F9FC"/>
            <w:noWrap/>
            <w:vAlign w:val="center"/>
            <w:hideMark/>
          </w:tcPr>
          <w:p w14:paraId="4FC3BCB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5    </w:t>
            </w:r>
          </w:p>
        </w:tc>
        <w:tc>
          <w:tcPr>
            <w:tcW w:w="1042" w:type="dxa"/>
            <w:tcBorders>
              <w:top w:val="nil"/>
              <w:left w:val="nil"/>
              <w:bottom w:val="nil"/>
              <w:right w:val="nil"/>
            </w:tcBorders>
            <w:shd w:val="clear" w:color="000000" w:fill="F2F9FC"/>
            <w:noWrap/>
            <w:vAlign w:val="center"/>
            <w:hideMark/>
          </w:tcPr>
          <w:p w14:paraId="232A7BD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1/2</w:t>
            </w:r>
          </w:p>
        </w:tc>
        <w:tc>
          <w:tcPr>
            <w:tcW w:w="1042" w:type="dxa"/>
            <w:tcBorders>
              <w:top w:val="nil"/>
              <w:left w:val="nil"/>
              <w:bottom w:val="nil"/>
              <w:right w:val="nil"/>
            </w:tcBorders>
            <w:shd w:val="clear" w:color="000000" w:fill="F2F9FC"/>
            <w:noWrap/>
            <w:vAlign w:val="center"/>
            <w:hideMark/>
          </w:tcPr>
          <w:p w14:paraId="2FDCA62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- 1/2</w:t>
            </w:r>
          </w:p>
        </w:tc>
      </w:tr>
      <w:tr w:rsidR="005B0CF8" w:rsidRPr="005B0CF8" w14:paraId="5F946B77" w14:textId="77777777" w:rsidTr="008E2FB5">
        <w:trPr>
          <w:trHeight w:val="237"/>
        </w:trPr>
        <w:tc>
          <w:tcPr>
            <w:tcW w:w="3618" w:type="dxa"/>
            <w:tcBorders>
              <w:top w:val="nil"/>
              <w:left w:val="nil"/>
              <w:bottom w:val="nil"/>
              <w:right w:val="nil"/>
            </w:tcBorders>
            <w:shd w:val="clear" w:color="auto" w:fill="auto"/>
            <w:noWrap/>
            <w:vAlign w:val="center"/>
            <w:hideMark/>
          </w:tcPr>
          <w:p w14:paraId="1EE4A585"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Total business investment</w:t>
            </w:r>
            <w:r w:rsidRPr="005B0CF8">
              <w:rPr>
                <w:rFonts w:ascii="Arial" w:hAnsi="Arial" w:cs="Arial"/>
                <w:sz w:val="16"/>
                <w:szCs w:val="16"/>
                <w:vertAlign w:val="superscript"/>
              </w:rPr>
              <w:t>(b)</w:t>
            </w:r>
          </w:p>
        </w:tc>
        <w:tc>
          <w:tcPr>
            <w:tcW w:w="966" w:type="dxa"/>
            <w:tcBorders>
              <w:top w:val="nil"/>
              <w:left w:val="nil"/>
              <w:bottom w:val="nil"/>
              <w:right w:val="nil"/>
            </w:tcBorders>
            <w:shd w:val="clear" w:color="auto" w:fill="auto"/>
            <w:noWrap/>
            <w:vAlign w:val="center"/>
            <w:hideMark/>
          </w:tcPr>
          <w:p w14:paraId="44AEB31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-1.5</w:t>
            </w:r>
          </w:p>
        </w:tc>
        <w:tc>
          <w:tcPr>
            <w:tcW w:w="1042" w:type="dxa"/>
            <w:tcBorders>
              <w:top w:val="nil"/>
              <w:left w:val="nil"/>
              <w:bottom w:val="nil"/>
              <w:right w:val="nil"/>
            </w:tcBorders>
            <w:shd w:val="clear" w:color="000000" w:fill="F2F9FC"/>
            <w:noWrap/>
            <w:vAlign w:val="center"/>
            <w:hideMark/>
          </w:tcPr>
          <w:p w14:paraId="7D192FAD"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5 1/2</w:t>
            </w:r>
          </w:p>
        </w:tc>
        <w:tc>
          <w:tcPr>
            <w:tcW w:w="1042" w:type="dxa"/>
            <w:tcBorders>
              <w:top w:val="nil"/>
              <w:left w:val="nil"/>
              <w:bottom w:val="nil"/>
              <w:right w:val="nil"/>
            </w:tcBorders>
            <w:shd w:val="clear" w:color="000000" w:fill="F2F9FC"/>
            <w:noWrap/>
            <w:vAlign w:val="center"/>
            <w:hideMark/>
          </w:tcPr>
          <w:p w14:paraId="4A46F423"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9    </w:t>
            </w:r>
          </w:p>
        </w:tc>
        <w:tc>
          <w:tcPr>
            <w:tcW w:w="1042" w:type="dxa"/>
            <w:tcBorders>
              <w:top w:val="nil"/>
              <w:left w:val="nil"/>
              <w:bottom w:val="nil"/>
              <w:right w:val="nil"/>
            </w:tcBorders>
            <w:shd w:val="clear" w:color="000000" w:fill="F2F9FC"/>
            <w:noWrap/>
            <w:vAlign w:val="center"/>
            <w:hideMark/>
          </w:tcPr>
          <w:p w14:paraId="1F10B8F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1    </w:t>
            </w:r>
          </w:p>
        </w:tc>
      </w:tr>
      <w:tr w:rsidR="005B0CF8" w:rsidRPr="005B0CF8" w14:paraId="70D574A2" w14:textId="77777777" w:rsidTr="008E2FB5">
        <w:trPr>
          <w:trHeight w:val="225"/>
        </w:trPr>
        <w:tc>
          <w:tcPr>
            <w:tcW w:w="3618" w:type="dxa"/>
            <w:tcBorders>
              <w:top w:val="nil"/>
              <w:left w:val="nil"/>
              <w:bottom w:val="nil"/>
              <w:right w:val="nil"/>
            </w:tcBorders>
            <w:shd w:val="clear" w:color="auto" w:fill="auto"/>
            <w:noWrap/>
            <w:vAlign w:val="center"/>
            <w:hideMark/>
          </w:tcPr>
          <w:p w14:paraId="5BEB939D" w14:textId="77777777" w:rsidR="005B0CF8" w:rsidRPr="005B0CF8" w:rsidRDefault="005B0CF8" w:rsidP="005B0CF8">
            <w:pPr>
              <w:spacing w:after="0" w:line="240" w:lineRule="auto"/>
              <w:ind w:firstLineChars="100" w:firstLine="160"/>
              <w:jc w:val="left"/>
              <w:rPr>
                <w:rFonts w:ascii="Arial" w:hAnsi="Arial" w:cs="Arial"/>
                <w:i/>
                <w:iCs/>
                <w:sz w:val="16"/>
                <w:szCs w:val="16"/>
              </w:rPr>
            </w:pPr>
            <w:r w:rsidRPr="005B0CF8">
              <w:rPr>
                <w:rFonts w:ascii="Arial" w:hAnsi="Arial" w:cs="Arial"/>
                <w:i/>
                <w:iCs/>
                <w:sz w:val="16"/>
                <w:szCs w:val="16"/>
              </w:rPr>
              <w:t>By industry</w:t>
            </w:r>
          </w:p>
        </w:tc>
        <w:tc>
          <w:tcPr>
            <w:tcW w:w="966" w:type="dxa"/>
            <w:tcBorders>
              <w:top w:val="nil"/>
              <w:left w:val="nil"/>
              <w:bottom w:val="nil"/>
              <w:right w:val="nil"/>
            </w:tcBorders>
            <w:shd w:val="clear" w:color="auto" w:fill="auto"/>
            <w:noWrap/>
            <w:vAlign w:val="center"/>
            <w:hideMark/>
          </w:tcPr>
          <w:p w14:paraId="778AD0A3" w14:textId="77777777" w:rsidR="005B0CF8" w:rsidRPr="005B0CF8" w:rsidRDefault="005B0CF8" w:rsidP="005B0CF8">
            <w:pPr>
              <w:spacing w:after="0" w:line="240" w:lineRule="auto"/>
              <w:ind w:firstLineChars="100" w:firstLine="160"/>
              <w:jc w:val="left"/>
              <w:rPr>
                <w:rFonts w:ascii="Arial" w:hAnsi="Arial" w:cs="Arial"/>
                <w:i/>
                <w:iCs/>
                <w:sz w:val="16"/>
                <w:szCs w:val="16"/>
              </w:rPr>
            </w:pPr>
          </w:p>
        </w:tc>
        <w:tc>
          <w:tcPr>
            <w:tcW w:w="1042" w:type="dxa"/>
            <w:tcBorders>
              <w:top w:val="nil"/>
              <w:left w:val="nil"/>
              <w:bottom w:val="nil"/>
              <w:right w:val="nil"/>
            </w:tcBorders>
            <w:shd w:val="clear" w:color="000000" w:fill="F2F9FC"/>
            <w:noWrap/>
            <w:vAlign w:val="center"/>
            <w:hideMark/>
          </w:tcPr>
          <w:p w14:paraId="2372FEE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0DAA4109"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578DAA92"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r>
      <w:tr w:rsidR="005B0CF8" w:rsidRPr="005B0CF8" w14:paraId="701D793A" w14:textId="77777777" w:rsidTr="008E2FB5">
        <w:trPr>
          <w:trHeight w:val="237"/>
        </w:trPr>
        <w:tc>
          <w:tcPr>
            <w:tcW w:w="3618" w:type="dxa"/>
            <w:tcBorders>
              <w:top w:val="nil"/>
              <w:left w:val="nil"/>
              <w:bottom w:val="nil"/>
              <w:right w:val="nil"/>
            </w:tcBorders>
            <w:shd w:val="clear" w:color="auto" w:fill="auto"/>
            <w:noWrap/>
            <w:vAlign w:val="center"/>
            <w:hideMark/>
          </w:tcPr>
          <w:p w14:paraId="47E863A3" w14:textId="77777777" w:rsidR="005B0CF8" w:rsidRPr="005B0CF8" w:rsidRDefault="005B0CF8" w:rsidP="005B0CF8">
            <w:pPr>
              <w:spacing w:after="0" w:line="240" w:lineRule="auto"/>
              <w:ind w:firstLineChars="200" w:firstLine="320"/>
              <w:jc w:val="left"/>
              <w:rPr>
                <w:rFonts w:ascii="Arial" w:hAnsi="Arial" w:cs="Arial"/>
                <w:sz w:val="16"/>
                <w:szCs w:val="16"/>
              </w:rPr>
            </w:pPr>
            <w:r w:rsidRPr="005B0CF8">
              <w:rPr>
                <w:rFonts w:ascii="Arial" w:hAnsi="Arial" w:cs="Arial"/>
                <w:sz w:val="16"/>
                <w:szCs w:val="16"/>
              </w:rPr>
              <w:t>Mining investment</w:t>
            </w:r>
          </w:p>
        </w:tc>
        <w:tc>
          <w:tcPr>
            <w:tcW w:w="966" w:type="dxa"/>
            <w:tcBorders>
              <w:top w:val="nil"/>
              <w:left w:val="nil"/>
              <w:bottom w:val="nil"/>
              <w:right w:val="nil"/>
            </w:tcBorders>
            <w:shd w:val="clear" w:color="auto" w:fill="auto"/>
            <w:noWrap/>
            <w:vAlign w:val="center"/>
            <w:hideMark/>
          </w:tcPr>
          <w:p w14:paraId="3943369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-1.4</w:t>
            </w:r>
          </w:p>
        </w:tc>
        <w:tc>
          <w:tcPr>
            <w:tcW w:w="1042" w:type="dxa"/>
            <w:tcBorders>
              <w:top w:val="nil"/>
              <w:left w:val="nil"/>
              <w:bottom w:val="nil"/>
              <w:right w:val="nil"/>
            </w:tcBorders>
            <w:shd w:val="clear" w:color="000000" w:fill="F2F9FC"/>
            <w:noWrap/>
            <w:vAlign w:val="center"/>
            <w:hideMark/>
          </w:tcPr>
          <w:p w14:paraId="6290FDB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 1/2</w:t>
            </w:r>
          </w:p>
        </w:tc>
        <w:tc>
          <w:tcPr>
            <w:tcW w:w="1042" w:type="dxa"/>
            <w:tcBorders>
              <w:top w:val="nil"/>
              <w:left w:val="nil"/>
              <w:bottom w:val="nil"/>
              <w:right w:val="nil"/>
            </w:tcBorders>
            <w:shd w:val="clear" w:color="000000" w:fill="F2F9FC"/>
            <w:noWrap/>
            <w:vAlign w:val="center"/>
            <w:hideMark/>
          </w:tcPr>
          <w:p w14:paraId="6F613EC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9 1/2</w:t>
            </w:r>
          </w:p>
        </w:tc>
        <w:tc>
          <w:tcPr>
            <w:tcW w:w="1042" w:type="dxa"/>
            <w:tcBorders>
              <w:top w:val="nil"/>
              <w:left w:val="nil"/>
              <w:bottom w:val="nil"/>
              <w:right w:val="nil"/>
            </w:tcBorders>
            <w:shd w:val="clear" w:color="000000" w:fill="F2F9FC"/>
            <w:noWrap/>
            <w:vAlign w:val="center"/>
            <w:hideMark/>
          </w:tcPr>
          <w:p w14:paraId="00B30D9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 1/2</w:t>
            </w:r>
          </w:p>
        </w:tc>
      </w:tr>
      <w:tr w:rsidR="005B0CF8" w:rsidRPr="005B0CF8" w14:paraId="3421D2CA" w14:textId="77777777" w:rsidTr="008E2FB5">
        <w:trPr>
          <w:trHeight w:val="237"/>
        </w:trPr>
        <w:tc>
          <w:tcPr>
            <w:tcW w:w="3618" w:type="dxa"/>
            <w:tcBorders>
              <w:top w:val="nil"/>
              <w:left w:val="nil"/>
              <w:bottom w:val="nil"/>
              <w:right w:val="nil"/>
            </w:tcBorders>
            <w:shd w:val="clear" w:color="auto" w:fill="auto"/>
            <w:noWrap/>
            <w:vAlign w:val="center"/>
            <w:hideMark/>
          </w:tcPr>
          <w:p w14:paraId="35C08D53" w14:textId="77777777" w:rsidR="005B0CF8" w:rsidRPr="005B0CF8" w:rsidRDefault="005B0CF8" w:rsidP="005B0CF8">
            <w:pPr>
              <w:spacing w:after="0" w:line="240" w:lineRule="auto"/>
              <w:ind w:firstLineChars="200" w:firstLine="320"/>
              <w:jc w:val="left"/>
              <w:rPr>
                <w:rFonts w:ascii="Arial" w:hAnsi="Arial" w:cs="Arial"/>
                <w:sz w:val="16"/>
                <w:szCs w:val="16"/>
              </w:rPr>
            </w:pPr>
            <w:r w:rsidRPr="005B0CF8">
              <w:rPr>
                <w:rFonts w:ascii="Arial" w:hAnsi="Arial" w:cs="Arial"/>
                <w:sz w:val="16"/>
                <w:szCs w:val="16"/>
              </w:rPr>
              <w:t>Non-mining investment</w:t>
            </w:r>
          </w:p>
        </w:tc>
        <w:tc>
          <w:tcPr>
            <w:tcW w:w="966" w:type="dxa"/>
            <w:tcBorders>
              <w:top w:val="nil"/>
              <w:left w:val="nil"/>
              <w:bottom w:val="nil"/>
              <w:right w:val="nil"/>
            </w:tcBorders>
            <w:shd w:val="clear" w:color="auto" w:fill="auto"/>
            <w:noWrap/>
            <w:vAlign w:val="center"/>
            <w:hideMark/>
          </w:tcPr>
          <w:p w14:paraId="36FA73B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-1.5</w:t>
            </w:r>
          </w:p>
        </w:tc>
        <w:tc>
          <w:tcPr>
            <w:tcW w:w="1042" w:type="dxa"/>
            <w:tcBorders>
              <w:top w:val="nil"/>
              <w:left w:val="nil"/>
              <w:bottom w:val="nil"/>
              <w:right w:val="nil"/>
            </w:tcBorders>
            <w:shd w:val="clear" w:color="000000" w:fill="F2F9FC"/>
            <w:noWrap/>
            <w:vAlign w:val="center"/>
            <w:hideMark/>
          </w:tcPr>
          <w:p w14:paraId="4135B654"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7    </w:t>
            </w:r>
          </w:p>
        </w:tc>
        <w:tc>
          <w:tcPr>
            <w:tcW w:w="1042" w:type="dxa"/>
            <w:tcBorders>
              <w:top w:val="nil"/>
              <w:left w:val="nil"/>
              <w:bottom w:val="nil"/>
              <w:right w:val="nil"/>
            </w:tcBorders>
            <w:shd w:val="clear" w:color="000000" w:fill="F2F9FC"/>
            <w:noWrap/>
            <w:vAlign w:val="center"/>
            <w:hideMark/>
          </w:tcPr>
          <w:p w14:paraId="44A08A9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9    </w:t>
            </w:r>
          </w:p>
        </w:tc>
        <w:tc>
          <w:tcPr>
            <w:tcW w:w="1042" w:type="dxa"/>
            <w:tcBorders>
              <w:top w:val="nil"/>
              <w:left w:val="nil"/>
              <w:bottom w:val="nil"/>
              <w:right w:val="nil"/>
            </w:tcBorders>
            <w:shd w:val="clear" w:color="000000" w:fill="F2F9FC"/>
            <w:noWrap/>
            <w:vAlign w:val="center"/>
            <w:hideMark/>
          </w:tcPr>
          <w:p w14:paraId="5DF25132"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1    </w:t>
            </w:r>
          </w:p>
        </w:tc>
      </w:tr>
      <w:tr w:rsidR="005B0CF8" w:rsidRPr="005B0CF8" w14:paraId="4F9F31C3" w14:textId="77777777" w:rsidTr="008E2FB5">
        <w:trPr>
          <w:trHeight w:val="237"/>
        </w:trPr>
        <w:tc>
          <w:tcPr>
            <w:tcW w:w="3618" w:type="dxa"/>
            <w:tcBorders>
              <w:top w:val="nil"/>
              <w:left w:val="nil"/>
              <w:bottom w:val="nil"/>
              <w:right w:val="nil"/>
            </w:tcBorders>
            <w:shd w:val="clear" w:color="auto" w:fill="auto"/>
            <w:noWrap/>
            <w:vAlign w:val="center"/>
            <w:hideMark/>
          </w:tcPr>
          <w:p w14:paraId="10A0713E"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Private final demand</w:t>
            </w:r>
            <w:r w:rsidRPr="005B0CF8">
              <w:rPr>
                <w:rFonts w:ascii="Arial" w:hAnsi="Arial" w:cs="Arial"/>
                <w:sz w:val="16"/>
                <w:szCs w:val="16"/>
                <w:vertAlign w:val="superscript"/>
              </w:rPr>
              <w:t>(b)</w:t>
            </w:r>
          </w:p>
        </w:tc>
        <w:tc>
          <w:tcPr>
            <w:tcW w:w="966" w:type="dxa"/>
            <w:tcBorders>
              <w:top w:val="nil"/>
              <w:left w:val="nil"/>
              <w:bottom w:val="nil"/>
              <w:right w:val="nil"/>
            </w:tcBorders>
            <w:shd w:val="clear" w:color="auto" w:fill="auto"/>
            <w:noWrap/>
            <w:vAlign w:val="center"/>
            <w:hideMark/>
          </w:tcPr>
          <w:p w14:paraId="7625138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1.2</w:t>
            </w:r>
          </w:p>
        </w:tc>
        <w:tc>
          <w:tcPr>
            <w:tcW w:w="1042" w:type="dxa"/>
            <w:tcBorders>
              <w:top w:val="nil"/>
              <w:left w:val="nil"/>
              <w:bottom w:val="nil"/>
              <w:right w:val="nil"/>
            </w:tcBorders>
            <w:shd w:val="clear" w:color="000000" w:fill="F2F9FC"/>
            <w:noWrap/>
            <w:vAlign w:val="center"/>
            <w:hideMark/>
          </w:tcPr>
          <w:p w14:paraId="076B81EF"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4 1/4</w:t>
            </w:r>
          </w:p>
        </w:tc>
        <w:tc>
          <w:tcPr>
            <w:tcW w:w="1042" w:type="dxa"/>
            <w:tcBorders>
              <w:top w:val="nil"/>
              <w:left w:val="nil"/>
              <w:bottom w:val="nil"/>
              <w:right w:val="nil"/>
            </w:tcBorders>
            <w:shd w:val="clear" w:color="000000" w:fill="F2F9FC"/>
            <w:noWrap/>
            <w:vAlign w:val="center"/>
            <w:hideMark/>
          </w:tcPr>
          <w:p w14:paraId="42645769"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5 3/4</w:t>
            </w:r>
          </w:p>
        </w:tc>
        <w:tc>
          <w:tcPr>
            <w:tcW w:w="1042" w:type="dxa"/>
            <w:tcBorders>
              <w:top w:val="nil"/>
              <w:left w:val="nil"/>
              <w:bottom w:val="nil"/>
              <w:right w:val="nil"/>
            </w:tcBorders>
            <w:shd w:val="clear" w:color="000000" w:fill="F2F9FC"/>
            <w:noWrap/>
            <w:vAlign w:val="center"/>
            <w:hideMark/>
          </w:tcPr>
          <w:p w14:paraId="1E7A29B8"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 3/4</w:t>
            </w:r>
          </w:p>
        </w:tc>
      </w:tr>
      <w:tr w:rsidR="005B0CF8" w:rsidRPr="005B0CF8" w14:paraId="78237089" w14:textId="77777777" w:rsidTr="008E2FB5">
        <w:trPr>
          <w:trHeight w:val="237"/>
        </w:trPr>
        <w:tc>
          <w:tcPr>
            <w:tcW w:w="3618" w:type="dxa"/>
            <w:tcBorders>
              <w:top w:val="nil"/>
              <w:left w:val="nil"/>
              <w:bottom w:val="nil"/>
              <w:right w:val="nil"/>
            </w:tcBorders>
            <w:shd w:val="clear" w:color="auto" w:fill="auto"/>
            <w:noWrap/>
            <w:vAlign w:val="center"/>
            <w:hideMark/>
          </w:tcPr>
          <w:p w14:paraId="2944EF57"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Public final demand</w:t>
            </w:r>
            <w:r w:rsidRPr="005B0CF8">
              <w:rPr>
                <w:rFonts w:ascii="Arial" w:hAnsi="Arial" w:cs="Arial"/>
                <w:sz w:val="16"/>
                <w:szCs w:val="16"/>
                <w:vertAlign w:val="superscript"/>
              </w:rPr>
              <w:t xml:space="preserve">(b) </w:t>
            </w:r>
          </w:p>
        </w:tc>
        <w:tc>
          <w:tcPr>
            <w:tcW w:w="966" w:type="dxa"/>
            <w:tcBorders>
              <w:top w:val="nil"/>
              <w:left w:val="nil"/>
              <w:bottom w:val="nil"/>
              <w:right w:val="nil"/>
            </w:tcBorders>
            <w:shd w:val="clear" w:color="auto" w:fill="auto"/>
            <w:noWrap/>
            <w:vAlign w:val="center"/>
            <w:hideMark/>
          </w:tcPr>
          <w:p w14:paraId="549EACD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5.8</w:t>
            </w:r>
          </w:p>
        </w:tc>
        <w:tc>
          <w:tcPr>
            <w:tcW w:w="1042" w:type="dxa"/>
            <w:tcBorders>
              <w:top w:val="nil"/>
              <w:left w:val="nil"/>
              <w:bottom w:val="nil"/>
              <w:right w:val="nil"/>
            </w:tcBorders>
            <w:shd w:val="clear" w:color="000000" w:fill="F2F9FC"/>
            <w:noWrap/>
            <w:vAlign w:val="center"/>
            <w:hideMark/>
          </w:tcPr>
          <w:p w14:paraId="665A15A3"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7 1/4</w:t>
            </w:r>
          </w:p>
        </w:tc>
        <w:tc>
          <w:tcPr>
            <w:tcW w:w="1042" w:type="dxa"/>
            <w:tcBorders>
              <w:top w:val="nil"/>
              <w:left w:val="nil"/>
              <w:bottom w:val="nil"/>
              <w:right w:val="nil"/>
            </w:tcBorders>
            <w:shd w:val="clear" w:color="000000" w:fill="F2F9FC"/>
            <w:noWrap/>
            <w:vAlign w:val="center"/>
            <w:hideMark/>
          </w:tcPr>
          <w:p w14:paraId="28FD0461"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 1/4</w:t>
            </w:r>
          </w:p>
        </w:tc>
        <w:tc>
          <w:tcPr>
            <w:tcW w:w="1042" w:type="dxa"/>
            <w:tcBorders>
              <w:top w:val="nil"/>
              <w:left w:val="nil"/>
              <w:bottom w:val="nil"/>
              <w:right w:val="nil"/>
            </w:tcBorders>
            <w:shd w:val="clear" w:color="000000" w:fill="F2F9FC"/>
            <w:noWrap/>
            <w:vAlign w:val="center"/>
            <w:hideMark/>
          </w:tcPr>
          <w:p w14:paraId="0D9DC1E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 1/2</w:t>
            </w:r>
          </w:p>
        </w:tc>
      </w:tr>
      <w:tr w:rsidR="005B0CF8" w:rsidRPr="005B0CF8" w14:paraId="2AE6E9DF" w14:textId="77777777" w:rsidTr="008E2FB5">
        <w:trPr>
          <w:trHeight w:val="237"/>
        </w:trPr>
        <w:tc>
          <w:tcPr>
            <w:tcW w:w="3618" w:type="dxa"/>
            <w:tcBorders>
              <w:top w:val="nil"/>
              <w:left w:val="nil"/>
              <w:bottom w:val="nil"/>
              <w:right w:val="nil"/>
            </w:tcBorders>
            <w:shd w:val="clear" w:color="auto" w:fill="auto"/>
            <w:noWrap/>
            <w:vAlign w:val="center"/>
            <w:hideMark/>
          </w:tcPr>
          <w:p w14:paraId="02A12086"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Change in inventories</w:t>
            </w:r>
            <w:r w:rsidRPr="005B0CF8">
              <w:rPr>
                <w:rFonts w:ascii="Arial" w:hAnsi="Arial" w:cs="Arial"/>
                <w:sz w:val="16"/>
                <w:szCs w:val="16"/>
                <w:vertAlign w:val="superscript"/>
              </w:rPr>
              <w:t>(c)</w:t>
            </w:r>
          </w:p>
        </w:tc>
        <w:tc>
          <w:tcPr>
            <w:tcW w:w="966" w:type="dxa"/>
            <w:tcBorders>
              <w:top w:val="nil"/>
              <w:left w:val="nil"/>
              <w:bottom w:val="nil"/>
              <w:right w:val="nil"/>
            </w:tcBorders>
            <w:shd w:val="clear" w:color="auto" w:fill="auto"/>
            <w:noWrap/>
            <w:vAlign w:val="center"/>
            <w:hideMark/>
          </w:tcPr>
          <w:p w14:paraId="7A6965C1"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0.7</w:t>
            </w:r>
          </w:p>
        </w:tc>
        <w:tc>
          <w:tcPr>
            <w:tcW w:w="1042" w:type="dxa"/>
            <w:tcBorders>
              <w:top w:val="nil"/>
              <w:left w:val="nil"/>
              <w:bottom w:val="nil"/>
              <w:right w:val="nil"/>
            </w:tcBorders>
            <w:shd w:val="clear" w:color="000000" w:fill="F2F9FC"/>
            <w:noWrap/>
            <w:vAlign w:val="center"/>
            <w:hideMark/>
          </w:tcPr>
          <w:p w14:paraId="38719C58"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- 1/2</w:t>
            </w:r>
          </w:p>
        </w:tc>
        <w:tc>
          <w:tcPr>
            <w:tcW w:w="1042" w:type="dxa"/>
            <w:tcBorders>
              <w:top w:val="nil"/>
              <w:left w:val="nil"/>
              <w:bottom w:val="nil"/>
              <w:right w:val="nil"/>
            </w:tcBorders>
            <w:shd w:val="clear" w:color="000000" w:fill="F2F9FC"/>
            <w:noWrap/>
            <w:vAlign w:val="center"/>
            <w:hideMark/>
          </w:tcPr>
          <w:p w14:paraId="7987B6D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 1/2</w:t>
            </w:r>
          </w:p>
        </w:tc>
        <w:tc>
          <w:tcPr>
            <w:tcW w:w="1042" w:type="dxa"/>
            <w:tcBorders>
              <w:top w:val="nil"/>
              <w:left w:val="nil"/>
              <w:bottom w:val="nil"/>
              <w:right w:val="nil"/>
            </w:tcBorders>
            <w:shd w:val="clear" w:color="000000" w:fill="F2F9FC"/>
            <w:noWrap/>
            <w:vAlign w:val="center"/>
            <w:hideMark/>
          </w:tcPr>
          <w:p w14:paraId="667ED60F"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 1/4</w:t>
            </w:r>
          </w:p>
        </w:tc>
      </w:tr>
      <w:tr w:rsidR="005B0CF8" w:rsidRPr="005B0CF8" w14:paraId="7C22A50D" w14:textId="77777777" w:rsidTr="008E2FB5">
        <w:trPr>
          <w:trHeight w:val="237"/>
        </w:trPr>
        <w:tc>
          <w:tcPr>
            <w:tcW w:w="3618" w:type="dxa"/>
            <w:tcBorders>
              <w:top w:val="nil"/>
              <w:left w:val="nil"/>
              <w:bottom w:val="nil"/>
              <w:right w:val="nil"/>
            </w:tcBorders>
            <w:shd w:val="clear" w:color="auto" w:fill="auto"/>
            <w:noWrap/>
            <w:vAlign w:val="center"/>
            <w:hideMark/>
          </w:tcPr>
          <w:p w14:paraId="77A6E37B"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Gross national expenditure</w:t>
            </w:r>
          </w:p>
        </w:tc>
        <w:tc>
          <w:tcPr>
            <w:tcW w:w="966" w:type="dxa"/>
            <w:tcBorders>
              <w:top w:val="nil"/>
              <w:left w:val="nil"/>
              <w:bottom w:val="nil"/>
              <w:right w:val="nil"/>
            </w:tcBorders>
            <w:shd w:val="clear" w:color="auto" w:fill="auto"/>
            <w:noWrap/>
            <w:vAlign w:val="center"/>
            <w:hideMark/>
          </w:tcPr>
          <w:p w14:paraId="5871CCD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3.2</w:t>
            </w:r>
          </w:p>
        </w:tc>
        <w:tc>
          <w:tcPr>
            <w:tcW w:w="1042" w:type="dxa"/>
            <w:tcBorders>
              <w:top w:val="nil"/>
              <w:left w:val="nil"/>
              <w:bottom w:val="nil"/>
              <w:right w:val="nil"/>
            </w:tcBorders>
            <w:shd w:val="clear" w:color="000000" w:fill="F2F9FC"/>
            <w:noWrap/>
            <w:vAlign w:val="center"/>
            <w:hideMark/>
          </w:tcPr>
          <w:p w14:paraId="20CCF269"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4 1/2</w:t>
            </w:r>
          </w:p>
        </w:tc>
        <w:tc>
          <w:tcPr>
            <w:tcW w:w="1042" w:type="dxa"/>
            <w:tcBorders>
              <w:top w:val="nil"/>
              <w:left w:val="nil"/>
              <w:bottom w:val="nil"/>
              <w:right w:val="nil"/>
            </w:tcBorders>
            <w:shd w:val="clear" w:color="000000" w:fill="F2F9FC"/>
            <w:noWrap/>
            <w:vAlign w:val="center"/>
            <w:hideMark/>
          </w:tcPr>
          <w:p w14:paraId="717C5B7E"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5    </w:t>
            </w:r>
          </w:p>
        </w:tc>
        <w:tc>
          <w:tcPr>
            <w:tcW w:w="1042" w:type="dxa"/>
            <w:tcBorders>
              <w:top w:val="nil"/>
              <w:left w:val="nil"/>
              <w:bottom w:val="nil"/>
              <w:right w:val="nil"/>
            </w:tcBorders>
            <w:shd w:val="clear" w:color="000000" w:fill="F2F9FC"/>
            <w:noWrap/>
            <w:vAlign w:val="center"/>
            <w:hideMark/>
          </w:tcPr>
          <w:p w14:paraId="4ACED733"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 3/4</w:t>
            </w:r>
          </w:p>
        </w:tc>
      </w:tr>
      <w:tr w:rsidR="005B0CF8" w:rsidRPr="005B0CF8" w14:paraId="0B8D2943" w14:textId="77777777" w:rsidTr="008E2FB5">
        <w:trPr>
          <w:trHeight w:val="237"/>
        </w:trPr>
        <w:tc>
          <w:tcPr>
            <w:tcW w:w="3618" w:type="dxa"/>
            <w:tcBorders>
              <w:top w:val="nil"/>
              <w:left w:val="nil"/>
              <w:bottom w:val="nil"/>
              <w:right w:val="nil"/>
            </w:tcBorders>
            <w:shd w:val="clear" w:color="auto" w:fill="auto"/>
            <w:noWrap/>
            <w:vAlign w:val="center"/>
            <w:hideMark/>
          </w:tcPr>
          <w:p w14:paraId="5822E8A5"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Exports of goods and services</w:t>
            </w:r>
          </w:p>
        </w:tc>
        <w:tc>
          <w:tcPr>
            <w:tcW w:w="966" w:type="dxa"/>
            <w:tcBorders>
              <w:top w:val="nil"/>
              <w:left w:val="nil"/>
              <w:bottom w:val="nil"/>
              <w:right w:val="nil"/>
            </w:tcBorders>
            <w:shd w:val="clear" w:color="auto" w:fill="auto"/>
            <w:noWrap/>
            <w:vAlign w:val="center"/>
            <w:hideMark/>
          </w:tcPr>
          <w:p w14:paraId="4E43E4C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-8.3</w:t>
            </w:r>
          </w:p>
        </w:tc>
        <w:tc>
          <w:tcPr>
            <w:tcW w:w="1042" w:type="dxa"/>
            <w:tcBorders>
              <w:top w:val="nil"/>
              <w:left w:val="nil"/>
              <w:bottom w:val="nil"/>
              <w:right w:val="nil"/>
            </w:tcBorders>
            <w:shd w:val="clear" w:color="000000" w:fill="F2F9FC"/>
            <w:noWrap/>
            <w:vAlign w:val="center"/>
            <w:hideMark/>
          </w:tcPr>
          <w:p w14:paraId="1DAC49D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2    </w:t>
            </w:r>
          </w:p>
        </w:tc>
        <w:tc>
          <w:tcPr>
            <w:tcW w:w="1042" w:type="dxa"/>
            <w:tcBorders>
              <w:top w:val="nil"/>
              <w:left w:val="nil"/>
              <w:bottom w:val="nil"/>
              <w:right w:val="nil"/>
            </w:tcBorders>
            <w:shd w:val="clear" w:color="000000" w:fill="F2F9FC"/>
            <w:noWrap/>
            <w:vAlign w:val="center"/>
            <w:hideMark/>
          </w:tcPr>
          <w:p w14:paraId="759867C8"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5    </w:t>
            </w:r>
          </w:p>
        </w:tc>
        <w:tc>
          <w:tcPr>
            <w:tcW w:w="1042" w:type="dxa"/>
            <w:tcBorders>
              <w:top w:val="nil"/>
              <w:left w:val="nil"/>
              <w:bottom w:val="nil"/>
              <w:right w:val="nil"/>
            </w:tcBorders>
            <w:shd w:val="clear" w:color="000000" w:fill="F2F9FC"/>
            <w:noWrap/>
            <w:vAlign w:val="center"/>
            <w:hideMark/>
          </w:tcPr>
          <w:p w14:paraId="72D25ED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6    </w:t>
            </w:r>
          </w:p>
        </w:tc>
      </w:tr>
      <w:tr w:rsidR="005B0CF8" w:rsidRPr="005B0CF8" w14:paraId="7F4F4395" w14:textId="77777777" w:rsidTr="008E2FB5">
        <w:trPr>
          <w:trHeight w:val="237"/>
        </w:trPr>
        <w:tc>
          <w:tcPr>
            <w:tcW w:w="3618" w:type="dxa"/>
            <w:tcBorders>
              <w:top w:val="nil"/>
              <w:left w:val="nil"/>
              <w:bottom w:val="nil"/>
              <w:right w:val="nil"/>
            </w:tcBorders>
            <w:shd w:val="clear" w:color="auto" w:fill="auto"/>
            <w:noWrap/>
            <w:vAlign w:val="center"/>
            <w:hideMark/>
          </w:tcPr>
          <w:p w14:paraId="4174AA02"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Imports of goods and services</w:t>
            </w:r>
          </w:p>
        </w:tc>
        <w:tc>
          <w:tcPr>
            <w:tcW w:w="966" w:type="dxa"/>
            <w:tcBorders>
              <w:top w:val="nil"/>
              <w:left w:val="nil"/>
              <w:bottom w:val="nil"/>
              <w:right w:val="nil"/>
            </w:tcBorders>
            <w:shd w:val="clear" w:color="auto" w:fill="auto"/>
            <w:noWrap/>
            <w:vAlign w:val="center"/>
            <w:hideMark/>
          </w:tcPr>
          <w:p w14:paraId="33AAF12F"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-2.8</w:t>
            </w:r>
          </w:p>
        </w:tc>
        <w:tc>
          <w:tcPr>
            <w:tcW w:w="1042" w:type="dxa"/>
            <w:tcBorders>
              <w:top w:val="nil"/>
              <w:left w:val="nil"/>
              <w:bottom w:val="nil"/>
              <w:right w:val="nil"/>
            </w:tcBorders>
            <w:shd w:val="clear" w:color="000000" w:fill="F2F9FC"/>
            <w:noWrap/>
            <w:vAlign w:val="center"/>
            <w:hideMark/>
          </w:tcPr>
          <w:p w14:paraId="3FF3657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4 1/2</w:t>
            </w:r>
          </w:p>
        </w:tc>
        <w:tc>
          <w:tcPr>
            <w:tcW w:w="1042" w:type="dxa"/>
            <w:tcBorders>
              <w:top w:val="nil"/>
              <w:left w:val="nil"/>
              <w:bottom w:val="nil"/>
              <w:right w:val="nil"/>
            </w:tcBorders>
            <w:shd w:val="clear" w:color="000000" w:fill="F2F9FC"/>
            <w:noWrap/>
            <w:vAlign w:val="center"/>
            <w:hideMark/>
          </w:tcPr>
          <w:p w14:paraId="7788C52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12 1/2</w:t>
            </w:r>
          </w:p>
        </w:tc>
        <w:tc>
          <w:tcPr>
            <w:tcW w:w="1042" w:type="dxa"/>
            <w:tcBorders>
              <w:top w:val="nil"/>
              <w:left w:val="nil"/>
              <w:bottom w:val="nil"/>
              <w:right w:val="nil"/>
            </w:tcBorders>
            <w:shd w:val="clear" w:color="000000" w:fill="F2F9FC"/>
            <w:noWrap/>
            <w:vAlign w:val="center"/>
            <w:hideMark/>
          </w:tcPr>
          <w:p w14:paraId="550015C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7    </w:t>
            </w:r>
          </w:p>
        </w:tc>
      </w:tr>
      <w:tr w:rsidR="005B0CF8" w:rsidRPr="005B0CF8" w14:paraId="29FDBBE9" w14:textId="77777777" w:rsidTr="008E2FB5">
        <w:trPr>
          <w:trHeight w:val="237"/>
        </w:trPr>
        <w:tc>
          <w:tcPr>
            <w:tcW w:w="3618" w:type="dxa"/>
            <w:tcBorders>
              <w:top w:val="nil"/>
              <w:left w:val="nil"/>
              <w:bottom w:val="nil"/>
              <w:right w:val="nil"/>
            </w:tcBorders>
            <w:shd w:val="clear" w:color="auto" w:fill="auto"/>
            <w:noWrap/>
            <w:vAlign w:val="center"/>
            <w:hideMark/>
          </w:tcPr>
          <w:p w14:paraId="1EE0AD5B"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Net exports</w:t>
            </w:r>
            <w:r w:rsidRPr="005B0CF8">
              <w:rPr>
                <w:rFonts w:ascii="Arial" w:hAnsi="Arial" w:cs="Arial"/>
                <w:sz w:val="16"/>
                <w:szCs w:val="16"/>
                <w:vertAlign w:val="superscript"/>
              </w:rPr>
              <w:t>(c)</w:t>
            </w:r>
          </w:p>
        </w:tc>
        <w:tc>
          <w:tcPr>
            <w:tcW w:w="966" w:type="dxa"/>
            <w:tcBorders>
              <w:top w:val="nil"/>
              <w:left w:val="nil"/>
              <w:bottom w:val="nil"/>
              <w:right w:val="nil"/>
            </w:tcBorders>
            <w:shd w:val="clear" w:color="auto" w:fill="auto"/>
            <w:noWrap/>
            <w:vAlign w:val="center"/>
            <w:hideMark/>
          </w:tcPr>
          <w:p w14:paraId="2C674A3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-1.4</w:t>
            </w:r>
          </w:p>
        </w:tc>
        <w:tc>
          <w:tcPr>
            <w:tcW w:w="1042" w:type="dxa"/>
            <w:tcBorders>
              <w:top w:val="nil"/>
              <w:left w:val="nil"/>
              <w:bottom w:val="nil"/>
              <w:right w:val="nil"/>
            </w:tcBorders>
            <w:shd w:val="clear" w:color="000000" w:fill="F2F9FC"/>
            <w:noWrap/>
            <w:vAlign w:val="center"/>
            <w:hideMark/>
          </w:tcPr>
          <w:p w14:paraId="1196BE68"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- 1/2</w:t>
            </w:r>
          </w:p>
        </w:tc>
        <w:tc>
          <w:tcPr>
            <w:tcW w:w="1042" w:type="dxa"/>
            <w:tcBorders>
              <w:top w:val="nil"/>
              <w:left w:val="nil"/>
              <w:bottom w:val="nil"/>
              <w:right w:val="nil"/>
            </w:tcBorders>
            <w:shd w:val="clear" w:color="000000" w:fill="F2F9FC"/>
            <w:noWrap/>
            <w:vAlign w:val="center"/>
            <w:hideMark/>
          </w:tcPr>
          <w:p w14:paraId="5F134584"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 1/2</w:t>
            </w:r>
          </w:p>
        </w:tc>
        <w:tc>
          <w:tcPr>
            <w:tcW w:w="1042" w:type="dxa"/>
            <w:tcBorders>
              <w:top w:val="nil"/>
              <w:left w:val="nil"/>
              <w:bottom w:val="nil"/>
              <w:right w:val="nil"/>
            </w:tcBorders>
            <w:shd w:val="clear" w:color="000000" w:fill="F2F9FC"/>
            <w:noWrap/>
            <w:vAlign w:val="center"/>
            <w:hideMark/>
          </w:tcPr>
          <w:p w14:paraId="015EB977"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- 1/4</w:t>
            </w:r>
          </w:p>
        </w:tc>
      </w:tr>
      <w:tr w:rsidR="005B0CF8" w:rsidRPr="005B0CF8" w14:paraId="73228968" w14:textId="77777777" w:rsidTr="008E2FB5">
        <w:trPr>
          <w:trHeight w:val="237"/>
        </w:trPr>
        <w:tc>
          <w:tcPr>
            <w:tcW w:w="3618" w:type="dxa"/>
            <w:tcBorders>
              <w:top w:val="nil"/>
              <w:left w:val="nil"/>
              <w:bottom w:val="nil"/>
              <w:right w:val="nil"/>
            </w:tcBorders>
            <w:shd w:val="clear" w:color="auto" w:fill="auto"/>
            <w:noWrap/>
            <w:vAlign w:val="center"/>
            <w:hideMark/>
          </w:tcPr>
          <w:p w14:paraId="061E9D89"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Nominal gross domestic product</w:t>
            </w:r>
          </w:p>
        </w:tc>
        <w:tc>
          <w:tcPr>
            <w:tcW w:w="966" w:type="dxa"/>
            <w:tcBorders>
              <w:top w:val="nil"/>
              <w:left w:val="nil"/>
              <w:bottom w:val="nil"/>
              <w:right w:val="nil"/>
            </w:tcBorders>
            <w:shd w:val="clear" w:color="auto" w:fill="auto"/>
            <w:noWrap/>
            <w:vAlign w:val="center"/>
            <w:hideMark/>
          </w:tcPr>
          <w:p w14:paraId="5F8E3F1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4.4</w:t>
            </w:r>
          </w:p>
        </w:tc>
        <w:tc>
          <w:tcPr>
            <w:tcW w:w="1042" w:type="dxa"/>
            <w:tcBorders>
              <w:top w:val="nil"/>
              <w:left w:val="nil"/>
              <w:bottom w:val="nil"/>
              <w:right w:val="nil"/>
            </w:tcBorders>
            <w:shd w:val="clear" w:color="000000" w:fill="F2F9FC"/>
            <w:noWrap/>
            <w:vAlign w:val="center"/>
            <w:hideMark/>
          </w:tcPr>
          <w:p w14:paraId="6F180F6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10 3/4</w:t>
            </w:r>
          </w:p>
        </w:tc>
        <w:tc>
          <w:tcPr>
            <w:tcW w:w="1042" w:type="dxa"/>
            <w:tcBorders>
              <w:top w:val="nil"/>
              <w:left w:val="nil"/>
              <w:bottom w:val="nil"/>
              <w:right w:val="nil"/>
            </w:tcBorders>
            <w:shd w:val="clear" w:color="000000" w:fill="F2F9FC"/>
            <w:noWrap/>
            <w:vAlign w:val="center"/>
            <w:hideMark/>
          </w:tcPr>
          <w:p w14:paraId="09144FC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 1/2</w:t>
            </w:r>
          </w:p>
        </w:tc>
        <w:tc>
          <w:tcPr>
            <w:tcW w:w="1042" w:type="dxa"/>
            <w:tcBorders>
              <w:top w:val="nil"/>
              <w:left w:val="nil"/>
              <w:bottom w:val="nil"/>
              <w:right w:val="nil"/>
            </w:tcBorders>
            <w:shd w:val="clear" w:color="000000" w:fill="F2F9FC"/>
            <w:noWrap/>
            <w:vAlign w:val="center"/>
            <w:hideMark/>
          </w:tcPr>
          <w:p w14:paraId="6B45E301"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3    </w:t>
            </w:r>
          </w:p>
        </w:tc>
      </w:tr>
      <w:tr w:rsidR="005B0CF8" w:rsidRPr="005B0CF8" w14:paraId="352EAF0A" w14:textId="77777777" w:rsidTr="008E2FB5">
        <w:trPr>
          <w:trHeight w:val="237"/>
        </w:trPr>
        <w:tc>
          <w:tcPr>
            <w:tcW w:w="3618" w:type="dxa"/>
            <w:tcBorders>
              <w:top w:val="nil"/>
              <w:left w:val="nil"/>
              <w:bottom w:val="nil"/>
              <w:right w:val="nil"/>
            </w:tcBorders>
            <w:shd w:val="clear" w:color="auto" w:fill="auto"/>
            <w:noWrap/>
            <w:vAlign w:val="center"/>
            <w:hideMark/>
          </w:tcPr>
          <w:p w14:paraId="0EFE584A"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Prices and wages</w:t>
            </w:r>
          </w:p>
        </w:tc>
        <w:tc>
          <w:tcPr>
            <w:tcW w:w="966" w:type="dxa"/>
            <w:tcBorders>
              <w:top w:val="nil"/>
              <w:left w:val="nil"/>
              <w:bottom w:val="nil"/>
              <w:right w:val="nil"/>
            </w:tcBorders>
            <w:shd w:val="clear" w:color="auto" w:fill="auto"/>
            <w:noWrap/>
            <w:vAlign w:val="center"/>
            <w:hideMark/>
          </w:tcPr>
          <w:p w14:paraId="4E8DCBF3" w14:textId="77777777" w:rsidR="005B0CF8" w:rsidRPr="005B0CF8" w:rsidRDefault="005B0CF8" w:rsidP="005B0CF8">
            <w:pPr>
              <w:spacing w:after="0" w:line="240" w:lineRule="auto"/>
              <w:jc w:val="left"/>
              <w:rPr>
                <w:rFonts w:ascii="Arial" w:hAnsi="Arial" w:cs="Arial"/>
                <w:sz w:val="16"/>
                <w:szCs w:val="16"/>
              </w:rPr>
            </w:pPr>
          </w:p>
        </w:tc>
        <w:tc>
          <w:tcPr>
            <w:tcW w:w="1042" w:type="dxa"/>
            <w:tcBorders>
              <w:top w:val="nil"/>
              <w:left w:val="nil"/>
              <w:bottom w:val="nil"/>
              <w:right w:val="nil"/>
            </w:tcBorders>
            <w:shd w:val="clear" w:color="000000" w:fill="F2F9FC"/>
            <w:noWrap/>
            <w:vAlign w:val="center"/>
            <w:hideMark/>
          </w:tcPr>
          <w:p w14:paraId="30D6048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1D79051E"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46C6015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r>
      <w:tr w:rsidR="005B0CF8" w:rsidRPr="005B0CF8" w14:paraId="6894B73A" w14:textId="77777777" w:rsidTr="008E2FB5">
        <w:trPr>
          <w:trHeight w:val="237"/>
        </w:trPr>
        <w:tc>
          <w:tcPr>
            <w:tcW w:w="3618" w:type="dxa"/>
            <w:tcBorders>
              <w:top w:val="nil"/>
              <w:left w:val="nil"/>
              <w:bottom w:val="nil"/>
              <w:right w:val="nil"/>
            </w:tcBorders>
            <w:shd w:val="clear" w:color="auto" w:fill="auto"/>
            <w:noWrap/>
            <w:vAlign w:val="center"/>
            <w:hideMark/>
          </w:tcPr>
          <w:p w14:paraId="5AFDE833"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Consumer price index</w:t>
            </w:r>
            <w:r w:rsidRPr="005B0CF8">
              <w:rPr>
                <w:rFonts w:ascii="Arial" w:hAnsi="Arial" w:cs="Arial"/>
                <w:sz w:val="16"/>
                <w:szCs w:val="16"/>
                <w:vertAlign w:val="superscript"/>
              </w:rPr>
              <w:t>(d)</w:t>
            </w:r>
          </w:p>
        </w:tc>
        <w:tc>
          <w:tcPr>
            <w:tcW w:w="966" w:type="dxa"/>
            <w:tcBorders>
              <w:top w:val="nil"/>
              <w:left w:val="nil"/>
              <w:bottom w:val="nil"/>
              <w:right w:val="nil"/>
            </w:tcBorders>
            <w:shd w:val="clear" w:color="auto" w:fill="auto"/>
            <w:noWrap/>
            <w:vAlign w:val="center"/>
            <w:hideMark/>
          </w:tcPr>
          <w:p w14:paraId="59C1D70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3.8</w:t>
            </w:r>
          </w:p>
        </w:tc>
        <w:tc>
          <w:tcPr>
            <w:tcW w:w="1042" w:type="dxa"/>
            <w:tcBorders>
              <w:top w:val="nil"/>
              <w:left w:val="nil"/>
              <w:bottom w:val="nil"/>
              <w:right w:val="nil"/>
            </w:tcBorders>
            <w:shd w:val="clear" w:color="000000" w:fill="F2F9FC"/>
            <w:noWrap/>
            <w:vAlign w:val="center"/>
            <w:hideMark/>
          </w:tcPr>
          <w:p w14:paraId="7C61F91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4 1/4</w:t>
            </w:r>
          </w:p>
        </w:tc>
        <w:tc>
          <w:tcPr>
            <w:tcW w:w="1042" w:type="dxa"/>
            <w:tcBorders>
              <w:top w:val="nil"/>
              <w:left w:val="nil"/>
              <w:bottom w:val="nil"/>
              <w:right w:val="nil"/>
            </w:tcBorders>
            <w:shd w:val="clear" w:color="000000" w:fill="F2F9FC"/>
            <w:noWrap/>
            <w:vAlign w:val="center"/>
            <w:hideMark/>
          </w:tcPr>
          <w:p w14:paraId="559E8668"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3    </w:t>
            </w:r>
          </w:p>
        </w:tc>
        <w:tc>
          <w:tcPr>
            <w:tcW w:w="1042" w:type="dxa"/>
            <w:tcBorders>
              <w:top w:val="nil"/>
              <w:left w:val="nil"/>
              <w:bottom w:val="nil"/>
              <w:right w:val="nil"/>
            </w:tcBorders>
            <w:shd w:val="clear" w:color="000000" w:fill="F2F9FC"/>
            <w:noWrap/>
            <w:vAlign w:val="center"/>
            <w:hideMark/>
          </w:tcPr>
          <w:p w14:paraId="3D971887"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 3/4</w:t>
            </w:r>
          </w:p>
        </w:tc>
      </w:tr>
      <w:tr w:rsidR="005B0CF8" w:rsidRPr="005B0CF8" w14:paraId="5FCFBDAD" w14:textId="77777777" w:rsidTr="008E2FB5">
        <w:trPr>
          <w:trHeight w:val="237"/>
        </w:trPr>
        <w:tc>
          <w:tcPr>
            <w:tcW w:w="3618" w:type="dxa"/>
            <w:tcBorders>
              <w:top w:val="nil"/>
              <w:left w:val="nil"/>
              <w:bottom w:val="nil"/>
              <w:right w:val="nil"/>
            </w:tcBorders>
            <w:shd w:val="clear" w:color="auto" w:fill="auto"/>
            <w:noWrap/>
            <w:vAlign w:val="center"/>
            <w:hideMark/>
          </w:tcPr>
          <w:p w14:paraId="2C461126"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Wage price index</w:t>
            </w:r>
            <w:r w:rsidRPr="005B0CF8">
              <w:rPr>
                <w:rFonts w:ascii="Arial" w:hAnsi="Arial" w:cs="Arial"/>
                <w:sz w:val="16"/>
                <w:szCs w:val="16"/>
                <w:vertAlign w:val="superscript"/>
              </w:rPr>
              <w:t>(d)</w:t>
            </w:r>
          </w:p>
        </w:tc>
        <w:tc>
          <w:tcPr>
            <w:tcW w:w="966" w:type="dxa"/>
            <w:tcBorders>
              <w:top w:val="nil"/>
              <w:left w:val="nil"/>
              <w:bottom w:val="nil"/>
              <w:right w:val="nil"/>
            </w:tcBorders>
            <w:shd w:val="clear" w:color="auto" w:fill="auto"/>
            <w:noWrap/>
            <w:vAlign w:val="center"/>
            <w:hideMark/>
          </w:tcPr>
          <w:p w14:paraId="170CB9E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1.7</w:t>
            </w:r>
          </w:p>
        </w:tc>
        <w:tc>
          <w:tcPr>
            <w:tcW w:w="1042" w:type="dxa"/>
            <w:tcBorders>
              <w:top w:val="nil"/>
              <w:left w:val="nil"/>
              <w:bottom w:val="nil"/>
              <w:right w:val="nil"/>
            </w:tcBorders>
            <w:shd w:val="clear" w:color="000000" w:fill="F2F9FC"/>
            <w:noWrap/>
            <w:vAlign w:val="center"/>
            <w:hideMark/>
          </w:tcPr>
          <w:p w14:paraId="5E45416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 3/4</w:t>
            </w:r>
          </w:p>
        </w:tc>
        <w:tc>
          <w:tcPr>
            <w:tcW w:w="1042" w:type="dxa"/>
            <w:tcBorders>
              <w:top w:val="nil"/>
              <w:left w:val="nil"/>
              <w:bottom w:val="nil"/>
              <w:right w:val="nil"/>
            </w:tcBorders>
            <w:shd w:val="clear" w:color="000000" w:fill="F2F9FC"/>
            <w:noWrap/>
            <w:vAlign w:val="center"/>
            <w:hideMark/>
          </w:tcPr>
          <w:p w14:paraId="21EB5F91"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1/4</w:t>
            </w:r>
          </w:p>
        </w:tc>
        <w:tc>
          <w:tcPr>
            <w:tcW w:w="1042" w:type="dxa"/>
            <w:tcBorders>
              <w:top w:val="nil"/>
              <w:left w:val="nil"/>
              <w:bottom w:val="nil"/>
              <w:right w:val="nil"/>
            </w:tcBorders>
            <w:shd w:val="clear" w:color="000000" w:fill="F2F9FC"/>
            <w:noWrap/>
            <w:vAlign w:val="center"/>
            <w:hideMark/>
          </w:tcPr>
          <w:p w14:paraId="5DBE124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1/4</w:t>
            </w:r>
          </w:p>
        </w:tc>
      </w:tr>
      <w:tr w:rsidR="005B0CF8" w:rsidRPr="005B0CF8" w14:paraId="13808EB2" w14:textId="77777777" w:rsidTr="008E2FB5">
        <w:trPr>
          <w:trHeight w:val="237"/>
        </w:trPr>
        <w:tc>
          <w:tcPr>
            <w:tcW w:w="3618" w:type="dxa"/>
            <w:tcBorders>
              <w:top w:val="nil"/>
              <w:left w:val="nil"/>
              <w:bottom w:val="nil"/>
              <w:right w:val="nil"/>
            </w:tcBorders>
            <w:shd w:val="clear" w:color="auto" w:fill="auto"/>
            <w:noWrap/>
            <w:vAlign w:val="center"/>
            <w:hideMark/>
          </w:tcPr>
          <w:p w14:paraId="3FAC832B"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GDP deflator</w:t>
            </w:r>
          </w:p>
        </w:tc>
        <w:tc>
          <w:tcPr>
            <w:tcW w:w="966" w:type="dxa"/>
            <w:tcBorders>
              <w:top w:val="nil"/>
              <w:left w:val="nil"/>
              <w:bottom w:val="nil"/>
              <w:right w:val="nil"/>
            </w:tcBorders>
            <w:shd w:val="clear" w:color="auto" w:fill="auto"/>
            <w:noWrap/>
            <w:vAlign w:val="center"/>
            <w:hideMark/>
          </w:tcPr>
          <w:p w14:paraId="5830E2F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2.9</w:t>
            </w:r>
          </w:p>
        </w:tc>
        <w:tc>
          <w:tcPr>
            <w:tcW w:w="1042" w:type="dxa"/>
            <w:tcBorders>
              <w:top w:val="nil"/>
              <w:left w:val="nil"/>
              <w:bottom w:val="nil"/>
              <w:right w:val="nil"/>
            </w:tcBorders>
            <w:shd w:val="clear" w:color="000000" w:fill="F2F9FC"/>
            <w:noWrap/>
            <w:vAlign w:val="center"/>
            <w:hideMark/>
          </w:tcPr>
          <w:p w14:paraId="6680B9A2"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6 1/2</w:t>
            </w:r>
          </w:p>
        </w:tc>
        <w:tc>
          <w:tcPr>
            <w:tcW w:w="1042" w:type="dxa"/>
            <w:tcBorders>
              <w:top w:val="nil"/>
              <w:left w:val="nil"/>
              <w:bottom w:val="nil"/>
              <w:right w:val="nil"/>
            </w:tcBorders>
            <w:shd w:val="clear" w:color="000000" w:fill="F2F9FC"/>
            <w:noWrap/>
            <w:vAlign w:val="center"/>
            <w:hideMark/>
          </w:tcPr>
          <w:p w14:paraId="735E5EC1"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-3    </w:t>
            </w:r>
          </w:p>
        </w:tc>
        <w:tc>
          <w:tcPr>
            <w:tcW w:w="1042" w:type="dxa"/>
            <w:tcBorders>
              <w:top w:val="nil"/>
              <w:left w:val="nil"/>
              <w:bottom w:val="nil"/>
              <w:right w:val="nil"/>
            </w:tcBorders>
            <w:shd w:val="clear" w:color="000000" w:fill="F2F9FC"/>
            <w:noWrap/>
            <w:vAlign w:val="center"/>
            <w:hideMark/>
          </w:tcPr>
          <w:p w14:paraId="06660954"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 1/2</w:t>
            </w:r>
          </w:p>
        </w:tc>
      </w:tr>
      <w:tr w:rsidR="005B0CF8" w:rsidRPr="005B0CF8" w14:paraId="4D325E6F" w14:textId="77777777" w:rsidTr="008E2FB5">
        <w:trPr>
          <w:trHeight w:val="237"/>
        </w:trPr>
        <w:tc>
          <w:tcPr>
            <w:tcW w:w="3618" w:type="dxa"/>
            <w:tcBorders>
              <w:top w:val="nil"/>
              <w:left w:val="nil"/>
              <w:bottom w:val="nil"/>
              <w:right w:val="nil"/>
            </w:tcBorders>
            <w:shd w:val="clear" w:color="auto" w:fill="auto"/>
            <w:noWrap/>
            <w:vAlign w:val="center"/>
            <w:hideMark/>
          </w:tcPr>
          <w:p w14:paraId="45EEF876"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Labour market</w:t>
            </w:r>
          </w:p>
        </w:tc>
        <w:tc>
          <w:tcPr>
            <w:tcW w:w="966" w:type="dxa"/>
            <w:tcBorders>
              <w:top w:val="nil"/>
              <w:left w:val="nil"/>
              <w:bottom w:val="nil"/>
              <w:right w:val="nil"/>
            </w:tcBorders>
            <w:shd w:val="clear" w:color="auto" w:fill="auto"/>
            <w:noWrap/>
            <w:vAlign w:val="center"/>
            <w:hideMark/>
          </w:tcPr>
          <w:p w14:paraId="7BBEB0BD" w14:textId="77777777" w:rsidR="005B0CF8" w:rsidRPr="005B0CF8" w:rsidRDefault="005B0CF8" w:rsidP="005B0CF8">
            <w:pPr>
              <w:spacing w:after="0" w:line="240" w:lineRule="auto"/>
              <w:jc w:val="left"/>
              <w:rPr>
                <w:rFonts w:ascii="Arial" w:hAnsi="Arial" w:cs="Arial"/>
                <w:sz w:val="16"/>
                <w:szCs w:val="16"/>
              </w:rPr>
            </w:pPr>
          </w:p>
        </w:tc>
        <w:tc>
          <w:tcPr>
            <w:tcW w:w="1042" w:type="dxa"/>
            <w:tcBorders>
              <w:top w:val="nil"/>
              <w:left w:val="nil"/>
              <w:bottom w:val="nil"/>
              <w:right w:val="nil"/>
            </w:tcBorders>
            <w:shd w:val="clear" w:color="000000" w:fill="F2F9FC"/>
            <w:noWrap/>
            <w:vAlign w:val="center"/>
            <w:hideMark/>
          </w:tcPr>
          <w:p w14:paraId="5D8F35C0"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5A0DE096"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616DD287"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r>
      <w:tr w:rsidR="005B0CF8" w:rsidRPr="005B0CF8" w14:paraId="23C64B43" w14:textId="77777777" w:rsidTr="008E2FB5">
        <w:trPr>
          <w:trHeight w:val="237"/>
        </w:trPr>
        <w:tc>
          <w:tcPr>
            <w:tcW w:w="3618" w:type="dxa"/>
            <w:tcBorders>
              <w:top w:val="nil"/>
              <w:left w:val="nil"/>
              <w:bottom w:val="nil"/>
              <w:right w:val="nil"/>
            </w:tcBorders>
            <w:shd w:val="clear" w:color="auto" w:fill="auto"/>
            <w:noWrap/>
            <w:vAlign w:val="center"/>
            <w:hideMark/>
          </w:tcPr>
          <w:p w14:paraId="205D968D"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Participation rate (per cent)</w:t>
            </w:r>
            <w:r w:rsidRPr="005B0CF8">
              <w:rPr>
                <w:rFonts w:ascii="Arial" w:hAnsi="Arial" w:cs="Arial"/>
                <w:sz w:val="16"/>
                <w:szCs w:val="16"/>
                <w:vertAlign w:val="superscript"/>
              </w:rPr>
              <w:t>(e)</w:t>
            </w:r>
          </w:p>
        </w:tc>
        <w:tc>
          <w:tcPr>
            <w:tcW w:w="966" w:type="dxa"/>
            <w:tcBorders>
              <w:top w:val="nil"/>
              <w:left w:val="nil"/>
              <w:bottom w:val="nil"/>
              <w:right w:val="nil"/>
            </w:tcBorders>
            <w:shd w:val="clear" w:color="auto" w:fill="auto"/>
            <w:noWrap/>
            <w:vAlign w:val="center"/>
            <w:hideMark/>
          </w:tcPr>
          <w:p w14:paraId="41656AFA"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66.2</w:t>
            </w:r>
          </w:p>
        </w:tc>
        <w:tc>
          <w:tcPr>
            <w:tcW w:w="1042" w:type="dxa"/>
            <w:tcBorders>
              <w:top w:val="nil"/>
              <w:left w:val="nil"/>
              <w:bottom w:val="nil"/>
              <w:right w:val="nil"/>
            </w:tcBorders>
            <w:shd w:val="clear" w:color="000000" w:fill="F2F9FC"/>
            <w:noWrap/>
            <w:vAlign w:val="center"/>
            <w:hideMark/>
          </w:tcPr>
          <w:p w14:paraId="6AC5C4C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66 1/2</w:t>
            </w:r>
          </w:p>
        </w:tc>
        <w:tc>
          <w:tcPr>
            <w:tcW w:w="1042" w:type="dxa"/>
            <w:tcBorders>
              <w:top w:val="nil"/>
              <w:left w:val="nil"/>
              <w:bottom w:val="nil"/>
              <w:right w:val="nil"/>
            </w:tcBorders>
            <w:shd w:val="clear" w:color="000000" w:fill="F2F9FC"/>
            <w:noWrap/>
            <w:vAlign w:val="center"/>
            <w:hideMark/>
          </w:tcPr>
          <w:p w14:paraId="401BA6FE"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66 1/2</w:t>
            </w:r>
          </w:p>
        </w:tc>
        <w:tc>
          <w:tcPr>
            <w:tcW w:w="1042" w:type="dxa"/>
            <w:tcBorders>
              <w:top w:val="nil"/>
              <w:left w:val="nil"/>
              <w:bottom w:val="nil"/>
              <w:right w:val="nil"/>
            </w:tcBorders>
            <w:shd w:val="clear" w:color="000000" w:fill="F2F9FC"/>
            <w:noWrap/>
            <w:vAlign w:val="center"/>
            <w:hideMark/>
          </w:tcPr>
          <w:p w14:paraId="7FE232DD"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66 1/2</w:t>
            </w:r>
          </w:p>
        </w:tc>
      </w:tr>
      <w:tr w:rsidR="005B0CF8" w:rsidRPr="005B0CF8" w14:paraId="5406722B" w14:textId="77777777" w:rsidTr="008E2FB5">
        <w:trPr>
          <w:trHeight w:val="237"/>
        </w:trPr>
        <w:tc>
          <w:tcPr>
            <w:tcW w:w="3618" w:type="dxa"/>
            <w:tcBorders>
              <w:top w:val="nil"/>
              <w:left w:val="nil"/>
              <w:bottom w:val="nil"/>
              <w:right w:val="nil"/>
            </w:tcBorders>
            <w:shd w:val="clear" w:color="auto" w:fill="auto"/>
            <w:noWrap/>
            <w:vAlign w:val="center"/>
            <w:hideMark/>
          </w:tcPr>
          <w:p w14:paraId="0942104D"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Employment</w:t>
            </w:r>
            <w:r w:rsidRPr="005B0CF8">
              <w:rPr>
                <w:rFonts w:ascii="Arial" w:hAnsi="Arial" w:cs="Arial"/>
                <w:sz w:val="16"/>
                <w:szCs w:val="16"/>
                <w:vertAlign w:val="superscript"/>
              </w:rPr>
              <w:t>(d)</w:t>
            </w:r>
          </w:p>
        </w:tc>
        <w:tc>
          <w:tcPr>
            <w:tcW w:w="966" w:type="dxa"/>
            <w:tcBorders>
              <w:top w:val="nil"/>
              <w:left w:val="nil"/>
              <w:bottom w:val="nil"/>
              <w:right w:val="nil"/>
            </w:tcBorders>
            <w:shd w:val="clear" w:color="auto" w:fill="auto"/>
            <w:noWrap/>
            <w:vAlign w:val="center"/>
            <w:hideMark/>
          </w:tcPr>
          <w:p w14:paraId="46780DF9"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6.5</w:t>
            </w:r>
          </w:p>
        </w:tc>
        <w:tc>
          <w:tcPr>
            <w:tcW w:w="1042" w:type="dxa"/>
            <w:tcBorders>
              <w:top w:val="nil"/>
              <w:left w:val="nil"/>
              <w:bottom w:val="nil"/>
              <w:right w:val="nil"/>
            </w:tcBorders>
            <w:shd w:val="clear" w:color="000000" w:fill="F2F9FC"/>
            <w:noWrap/>
            <w:vAlign w:val="center"/>
            <w:hideMark/>
          </w:tcPr>
          <w:p w14:paraId="06BCE58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 3/4</w:t>
            </w:r>
          </w:p>
        </w:tc>
        <w:tc>
          <w:tcPr>
            <w:tcW w:w="1042" w:type="dxa"/>
            <w:tcBorders>
              <w:top w:val="nil"/>
              <w:left w:val="nil"/>
              <w:bottom w:val="nil"/>
              <w:right w:val="nil"/>
            </w:tcBorders>
            <w:shd w:val="clear" w:color="000000" w:fill="F2F9FC"/>
            <w:noWrap/>
            <w:vAlign w:val="center"/>
            <w:hideMark/>
          </w:tcPr>
          <w:p w14:paraId="17BEE867"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 1/2</w:t>
            </w:r>
          </w:p>
        </w:tc>
        <w:tc>
          <w:tcPr>
            <w:tcW w:w="1042" w:type="dxa"/>
            <w:tcBorders>
              <w:top w:val="nil"/>
              <w:left w:val="nil"/>
              <w:bottom w:val="nil"/>
              <w:right w:val="nil"/>
            </w:tcBorders>
            <w:shd w:val="clear" w:color="000000" w:fill="F2F9FC"/>
            <w:noWrap/>
            <w:vAlign w:val="center"/>
            <w:hideMark/>
          </w:tcPr>
          <w:p w14:paraId="11E6884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 1/2</w:t>
            </w:r>
          </w:p>
        </w:tc>
      </w:tr>
      <w:tr w:rsidR="005B0CF8" w:rsidRPr="005B0CF8" w14:paraId="7C54670B" w14:textId="77777777" w:rsidTr="008E2FB5">
        <w:trPr>
          <w:trHeight w:val="229"/>
        </w:trPr>
        <w:tc>
          <w:tcPr>
            <w:tcW w:w="3618" w:type="dxa"/>
            <w:tcBorders>
              <w:top w:val="nil"/>
              <w:left w:val="nil"/>
              <w:bottom w:val="nil"/>
              <w:right w:val="nil"/>
            </w:tcBorders>
            <w:shd w:val="clear" w:color="auto" w:fill="auto"/>
            <w:noWrap/>
            <w:vAlign w:val="center"/>
            <w:hideMark/>
          </w:tcPr>
          <w:p w14:paraId="1656B0D1"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Unemployment rate (per cent)</w:t>
            </w:r>
            <w:r w:rsidRPr="005B0CF8">
              <w:rPr>
                <w:rFonts w:ascii="Arial" w:hAnsi="Arial" w:cs="Arial"/>
                <w:sz w:val="16"/>
                <w:szCs w:val="16"/>
                <w:vertAlign w:val="superscript"/>
              </w:rPr>
              <w:t>(e)</w:t>
            </w:r>
          </w:p>
        </w:tc>
        <w:tc>
          <w:tcPr>
            <w:tcW w:w="966" w:type="dxa"/>
            <w:tcBorders>
              <w:top w:val="nil"/>
              <w:left w:val="nil"/>
              <w:bottom w:val="nil"/>
              <w:right w:val="nil"/>
            </w:tcBorders>
            <w:shd w:val="clear" w:color="auto" w:fill="auto"/>
            <w:noWrap/>
            <w:vAlign w:val="center"/>
            <w:hideMark/>
          </w:tcPr>
          <w:p w14:paraId="16CA098F"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5.1</w:t>
            </w:r>
          </w:p>
        </w:tc>
        <w:tc>
          <w:tcPr>
            <w:tcW w:w="1042" w:type="dxa"/>
            <w:tcBorders>
              <w:top w:val="nil"/>
              <w:left w:val="nil"/>
              <w:bottom w:val="nil"/>
              <w:right w:val="nil"/>
            </w:tcBorders>
            <w:shd w:val="clear" w:color="000000" w:fill="F2F9FC"/>
            <w:noWrap/>
            <w:vAlign w:val="center"/>
            <w:hideMark/>
          </w:tcPr>
          <w:p w14:paraId="5FDD7F4D"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4    </w:t>
            </w:r>
          </w:p>
        </w:tc>
        <w:tc>
          <w:tcPr>
            <w:tcW w:w="1042" w:type="dxa"/>
            <w:tcBorders>
              <w:top w:val="nil"/>
              <w:left w:val="nil"/>
              <w:bottom w:val="nil"/>
              <w:right w:val="nil"/>
            </w:tcBorders>
            <w:shd w:val="clear" w:color="000000" w:fill="F2F9FC"/>
            <w:noWrap/>
            <w:vAlign w:val="center"/>
            <w:hideMark/>
          </w:tcPr>
          <w:p w14:paraId="4F698A5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3/4</w:t>
            </w:r>
          </w:p>
        </w:tc>
        <w:tc>
          <w:tcPr>
            <w:tcW w:w="1042" w:type="dxa"/>
            <w:tcBorders>
              <w:top w:val="nil"/>
              <w:left w:val="nil"/>
              <w:bottom w:val="nil"/>
              <w:right w:val="nil"/>
            </w:tcBorders>
            <w:shd w:val="clear" w:color="000000" w:fill="F2F9FC"/>
            <w:noWrap/>
            <w:vAlign w:val="center"/>
            <w:hideMark/>
          </w:tcPr>
          <w:p w14:paraId="1EECC529"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3/4</w:t>
            </w:r>
          </w:p>
        </w:tc>
      </w:tr>
      <w:tr w:rsidR="005B0CF8" w:rsidRPr="005B0CF8" w14:paraId="7727151A" w14:textId="77777777" w:rsidTr="008E2FB5">
        <w:trPr>
          <w:trHeight w:val="237"/>
        </w:trPr>
        <w:tc>
          <w:tcPr>
            <w:tcW w:w="3618" w:type="dxa"/>
            <w:tcBorders>
              <w:top w:val="nil"/>
              <w:left w:val="nil"/>
              <w:bottom w:val="nil"/>
              <w:right w:val="nil"/>
            </w:tcBorders>
            <w:shd w:val="clear" w:color="auto" w:fill="auto"/>
            <w:noWrap/>
            <w:vAlign w:val="center"/>
            <w:hideMark/>
          </w:tcPr>
          <w:p w14:paraId="4D021731" w14:textId="77777777" w:rsidR="005B0CF8" w:rsidRPr="005B0CF8" w:rsidRDefault="005B0CF8" w:rsidP="005B0CF8">
            <w:pPr>
              <w:spacing w:after="0" w:line="240" w:lineRule="auto"/>
              <w:jc w:val="left"/>
              <w:rPr>
                <w:rFonts w:ascii="Arial" w:hAnsi="Arial" w:cs="Arial"/>
                <w:sz w:val="16"/>
                <w:szCs w:val="16"/>
              </w:rPr>
            </w:pPr>
            <w:r w:rsidRPr="005B0CF8">
              <w:rPr>
                <w:rFonts w:ascii="Arial" w:hAnsi="Arial" w:cs="Arial"/>
                <w:sz w:val="16"/>
                <w:szCs w:val="16"/>
              </w:rPr>
              <w:t>Balance of payments</w:t>
            </w:r>
          </w:p>
        </w:tc>
        <w:tc>
          <w:tcPr>
            <w:tcW w:w="966" w:type="dxa"/>
            <w:tcBorders>
              <w:top w:val="nil"/>
              <w:left w:val="nil"/>
              <w:bottom w:val="nil"/>
              <w:right w:val="nil"/>
            </w:tcBorders>
            <w:shd w:val="clear" w:color="auto" w:fill="auto"/>
            <w:noWrap/>
            <w:vAlign w:val="center"/>
            <w:hideMark/>
          </w:tcPr>
          <w:p w14:paraId="644098ED" w14:textId="77777777" w:rsidR="005B0CF8" w:rsidRPr="005B0CF8" w:rsidRDefault="005B0CF8" w:rsidP="005B0CF8">
            <w:pPr>
              <w:spacing w:after="0" w:line="240" w:lineRule="auto"/>
              <w:jc w:val="left"/>
              <w:rPr>
                <w:rFonts w:ascii="Arial" w:hAnsi="Arial" w:cs="Arial"/>
                <w:sz w:val="16"/>
                <w:szCs w:val="16"/>
              </w:rPr>
            </w:pPr>
          </w:p>
        </w:tc>
        <w:tc>
          <w:tcPr>
            <w:tcW w:w="1042" w:type="dxa"/>
            <w:tcBorders>
              <w:top w:val="nil"/>
              <w:left w:val="nil"/>
              <w:bottom w:val="nil"/>
              <w:right w:val="nil"/>
            </w:tcBorders>
            <w:shd w:val="clear" w:color="000000" w:fill="F2F9FC"/>
            <w:noWrap/>
            <w:vAlign w:val="center"/>
            <w:hideMark/>
          </w:tcPr>
          <w:p w14:paraId="1D37AC0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7BCFE3B4"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c>
          <w:tcPr>
            <w:tcW w:w="1042" w:type="dxa"/>
            <w:tcBorders>
              <w:top w:val="nil"/>
              <w:left w:val="nil"/>
              <w:bottom w:val="nil"/>
              <w:right w:val="nil"/>
            </w:tcBorders>
            <w:shd w:val="clear" w:color="000000" w:fill="F2F9FC"/>
            <w:noWrap/>
            <w:vAlign w:val="center"/>
            <w:hideMark/>
          </w:tcPr>
          <w:p w14:paraId="715F7C0E"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w:t>
            </w:r>
          </w:p>
        </w:tc>
      </w:tr>
      <w:tr w:rsidR="005B0CF8" w:rsidRPr="005B0CF8" w14:paraId="6D5B3DAE" w14:textId="77777777" w:rsidTr="008E2FB5">
        <w:trPr>
          <w:trHeight w:val="237"/>
        </w:trPr>
        <w:tc>
          <w:tcPr>
            <w:tcW w:w="3618" w:type="dxa"/>
            <w:tcBorders>
              <w:top w:val="nil"/>
              <w:left w:val="nil"/>
              <w:bottom w:val="nil"/>
              <w:right w:val="nil"/>
            </w:tcBorders>
            <w:shd w:val="clear" w:color="auto" w:fill="auto"/>
            <w:noWrap/>
            <w:vAlign w:val="center"/>
            <w:hideMark/>
          </w:tcPr>
          <w:p w14:paraId="31617591"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Terms of trade</w:t>
            </w:r>
            <w:r w:rsidRPr="005B0CF8">
              <w:rPr>
                <w:rFonts w:ascii="Arial" w:hAnsi="Arial" w:cs="Arial"/>
                <w:sz w:val="16"/>
                <w:szCs w:val="16"/>
                <w:vertAlign w:val="superscript"/>
              </w:rPr>
              <w:t>(f)</w:t>
            </w:r>
          </w:p>
        </w:tc>
        <w:tc>
          <w:tcPr>
            <w:tcW w:w="966" w:type="dxa"/>
            <w:tcBorders>
              <w:top w:val="nil"/>
              <w:left w:val="nil"/>
              <w:bottom w:val="nil"/>
              <w:right w:val="nil"/>
            </w:tcBorders>
            <w:shd w:val="clear" w:color="auto" w:fill="auto"/>
            <w:noWrap/>
            <w:vAlign w:val="center"/>
            <w:hideMark/>
          </w:tcPr>
          <w:p w14:paraId="02E7FD8B"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10.4</w:t>
            </w:r>
          </w:p>
        </w:tc>
        <w:tc>
          <w:tcPr>
            <w:tcW w:w="1042" w:type="dxa"/>
            <w:tcBorders>
              <w:top w:val="nil"/>
              <w:left w:val="nil"/>
              <w:bottom w:val="nil"/>
              <w:right w:val="nil"/>
            </w:tcBorders>
            <w:shd w:val="clear" w:color="000000" w:fill="F2F9FC"/>
            <w:noWrap/>
            <w:vAlign w:val="center"/>
            <w:hideMark/>
          </w:tcPr>
          <w:p w14:paraId="18F66403"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11    </w:t>
            </w:r>
          </w:p>
        </w:tc>
        <w:tc>
          <w:tcPr>
            <w:tcW w:w="1042" w:type="dxa"/>
            <w:tcBorders>
              <w:top w:val="nil"/>
              <w:left w:val="nil"/>
              <w:bottom w:val="nil"/>
              <w:right w:val="nil"/>
            </w:tcBorders>
            <w:shd w:val="clear" w:color="000000" w:fill="F2F9FC"/>
            <w:noWrap/>
            <w:vAlign w:val="center"/>
            <w:hideMark/>
          </w:tcPr>
          <w:p w14:paraId="3F678881"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-21 1/4</w:t>
            </w:r>
          </w:p>
        </w:tc>
        <w:tc>
          <w:tcPr>
            <w:tcW w:w="1042" w:type="dxa"/>
            <w:tcBorders>
              <w:top w:val="nil"/>
              <w:left w:val="nil"/>
              <w:bottom w:val="nil"/>
              <w:right w:val="nil"/>
            </w:tcBorders>
            <w:shd w:val="clear" w:color="000000" w:fill="F2F9FC"/>
            <w:noWrap/>
            <w:vAlign w:val="center"/>
            <w:hideMark/>
          </w:tcPr>
          <w:p w14:paraId="01EC9D4D"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-8 3/4</w:t>
            </w:r>
          </w:p>
        </w:tc>
      </w:tr>
      <w:tr w:rsidR="005B0CF8" w:rsidRPr="005B0CF8" w14:paraId="4FACA178" w14:textId="77777777" w:rsidTr="008E2FB5">
        <w:trPr>
          <w:trHeight w:val="237"/>
        </w:trPr>
        <w:tc>
          <w:tcPr>
            <w:tcW w:w="3618" w:type="dxa"/>
            <w:tcBorders>
              <w:top w:val="nil"/>
              <w:left w:val="nil"/>
              <w:bottom w:val="nil"/>
              <w:right w:val="nil"/>
            </w:tcBorders>
            <w:shd w:val="clear" w:color="auto" w:fill="auto"/>
            <w:noWrap/>
            <w:vAlign w:val="center"/>
            <w:hideMark/>
          </w:tcPr>
          <w:p w14:paraId="605A2A95" w14:textId="77777777" w:rsidR="005B0CF8" w:rsidRPr="005B0CF8" w:rsidRDefault="005B0CF8" w:rsidP="005B0CF8">
            <w:pPr>
              <w:spacing w:after="0" w:line="240" w:lineRule="auto"/>
              <w:ind w:firstLineChars="100" w:firstLine="160"/>
              <w:jc w:val="left"/>
              <w:rPr>
                <w:rFonts w:ascii="Arial" w:hAnsi="Arial" w:cs="Arial"/>
                <w:sz w:val="16"/>
                <w:szCs w:val="16"/>
              </w:rPr>
            </w:pPr>
            <w:r w:rsidRPr="005B0CF8">
              <w:rPr>
                <w:rFonts w:ascii="Arial" w:hAnsi="Arial" w:cs="Arial"/>
                <w:sz w:val="16"/>
                <w:szCs w:val="16"/>
              </w:rPr>
              <w:t xml:space="preserve">Current account balance (per cent of GDP) </w:t>
            </w:r>
          </w:p>
        </w:tc>
        <w:tc>
          <w:tcPr>
            <w:tcW w:w="966" w:type="dxa"/>
            <w:tcBorders>
              <w:top w:val="nil"/>
              <w:left w:val="nil"/>
              <w:bottom w:val="nil"/>
              <w:right w:val="nil"/>
            </w:tcBorders>
            <w:shd w:val="clear" w:color="auto" w:fill="auto"/>
            <w:noWrap/>
            <w:vAlign w:val="center"/>
            <w:hideMark/>
          </w:tcPr>
          <w:p w14:paraId="7E2075F5"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3.3</w:t>
            </w:r>
          </w:p>
        </w:tc>
        <w:tc>
          <w:tcPr>
            <w:tcW w:w="1042" w:type="dxa"/>
            <w:tcBorders>
              <w:top w:val="nil"/>
              <w:left w:val="nil"/>
              <w:bottom w:val="nil"/>
              <w:right w:val="nil"/>
            </w:tcBorders>
            <w:shd w:val="clear" w:color="000000" w:fill="F2F9FC"/>
            <w:noWrap/>
            <w:vAlign w:val="center"/>
            <w:hideMark/>
          </w:tcPr>
          <w:p w14:paraId="3E5A446C"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3/4</w:t>
            </w:r>
          </w:p>
        </w:tc>
        <w:tc>
          <w:tcPr>
            <w:tcW w:w="1042" w:type="dxa"/>
            <w:tcBorders>
              <w:top w:val="nil"/>
              <w:left w:val="nil"/>
              <w:bottom w:val="nil"/>
              <w:right w:val="nil"/>
            </w:tcBorders>
            <w:shd w:val="clear" w:color="000000" w:fill="F2F9FC"/>
            <w:noWrap/>
            <w:vAlign w:val="center"/>
            <w:hideMark/>
          </w:tcPr>
          <w:p w14:paraId="27FFA5FF"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-3 1/4</w:t>
            </w:r>
          </w:p>
        </w:tc>
        <w:tc>
          <w:tcPr>
            <w:tcW w:w="1042" w:type="dxa"/>
            <w:tcBorders>
              <w:top w:val="nil"/>
              <w:left w:val="nil"/>
              <w:bottom w:val="nil"/>
              <w:right w:val="nil"/>
            </w:tcBorders>
            <w:shd w:val="clear" w:color="000000" w:fill="F2F9FC"/>
            <w:noWrap/>
            <w:vAlign w:val="center"/>
            <w:hideMark/>
          </w:tcPr>
          <w:p w14:paraId="158FFB69" w14:textId="77777777"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 xml:space="preserve">-6    </w:t>
            </w:r>
          </w:p>
        </w:tc>
      </w:tr>
      <w:tr w:rsidR="005B0CF8" w:rsidRPr="005B0CF8" w14:paraId="16421B84" w14:textId="77777777" w:rsidTr="008E2FB5">
        <w:trPr>
          <w:trHeight w:val="237"/>
        </w:trPr>
        <w:tc>
          <w:tcPr>
            <w:tcW w:w="3618" w:type="dxa"/>
            <w:tcBorders>
              <w:top w:val="nil"/>
              <w:left w:val="nil"/>
              <w:bottom w:val="single" w:sz="4" w:space="0" w:color="auto"/>
              <w:right w:val="nil"/>
            </w:tcBorders>
            <w:shd w:val="clear" w:color="auto" w:fill="auto"/>
            <w:noWrap/>
            <w:vAlign w:val="center"/>
            <w:hideMark/>
          </w:tcPr>
          <w:p w14:paraId="2CBB4685" w14:textId="77777777" w:rsidR="005B0CF8" w:rsidRPr="005B0CF8" w:rsidRDefault="005B0CF8" w:rsidP="00A1238F">
            <w:pPr>
              <w:spacing w:after="0" w:line="240" w:lineRule="auto"/>
              <w:jc w:val="left"/>
              <w:rPr>
                <w:rFonts w:ascii="Arial" w:hAnsi="Arial" w:cs="Arial"/>
                <w:sz w:val="16"/>
                <w:szCs w:val="16"/>
              </w:rPr>
            </w:pPr>
            <w:r w:rsidRPr="005B0CF8">
              <w:rPr>
                <w:rFonts w:ascii="Arial" w:hAnsi="Arial" w:cs="Arial"/>
                <w:sz w:val="16"/>
                <w:szCs w:val="16"/>
              </w:rPr>
              <w:t>Net Overseas Migration</w:t>
            </w:r>
            <w:r w:rsidRPr="005B0CF8">
              <w:rPr>
                <w:rFonts w:ascii="Arial" w:hAnsi="Arial" w:cs="Arial"/>
                <w:sz w:val="16"/>
                <w:szCs w:val="16"/>
                <w:vertAlign w:val="superscript"/>
              </w:rPr>
              <w:t>(g)</w:t>
            </w:r>
            <w:r w:rsidRPr="005B0CF8">
              <w:rPr>
                <w:rFonts w:ascii="Arial" w:hAnsi="Arial" w:cs="Arial"/>
                <w:sz w:val="16"/>
                <w:szCs w:val="16"/>
              </w:rPr>
              <w:t xml:space="preserve"> </w:t>
            </w:r>
          </w:p>
        </w:tc>
        <w:tc>
          <w:tcPr>
            <w:tcW w:w="966" w:type="dxa"/>
            <w:tcBorders>
              <w:top w:val="nil"/>
              <w:left w:val="nil"/>
              <w:bottom w:val="single" w:sz="4" w:space="0" w:color="auto"/>
              <w:right w:val="nil"/>
            </w:tcBorders>
            <w:shd w:val="clear" w:color="auto" w:fill="auto"/>
            <w:noWrap/>
            <w:vAlign w:val="center"/>
            <w:hideMark/>
          </w:tcPr>
          <w:p w14:paraId="278D3290" w14:textId="22C81BCE"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-89</w:t>
            </w:r>
            <w:r w:rsidR="00844544">
              <w:rPr>
                <w:rFonts w:ascii="Arial" w:hAnsi="Arial" w:cs="Arial"/>
                <w:color w:val="000000"/>
                <w:sz w:val="16"/>
                <w:szCs w:val="16"/>
              </w:rPr>
              <w:t>,</w:t>
            </w:r>
            <w:r w:rsidRPr="005B0CF8">
              <w:rPr>
                <w:rFonts w:ascii="Arial" w:hAnsi="Arial" w:cs="Arial"/>
                <w:color w:val="000000"/>
                <w:sz w:val="16"/>
                <w:szCs w:val="16"/>
              </w:rPr>
              <w:t>900</w:t>
            </w:r>
          </w:p>
        </w:tc>
        <w:tc>
          <w:tcPr>
            <w:tcW w:w="1042" w:type="dxa"/>
            <w:tcBorders>
              <w:top w:val="nil"/>
              <w:left w:val="nil"/>
              <w:bottom w:val="single" w:sz="4" w:space="0" w:color="auto"/>
              <w:right w:val="nil"/>
            </w:tcBorders>
            <w:shd w:val="clear" w:color="000000" w:fill="F2F9FC"/>
            <w:noWrap/>
            <w:vAlign w:val="center"/>
            <w:hideMark/>
          </w:tcPr>
          <w:p w14:paraId="6ED97468" w14:textId="78DBF4C1"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41</w:t>
            </w:r>
            <w:r w:rsidR="00844544">
              <w:rPr>
                <w:rFonts w:ascii="Arial" w:hAnsi="Arial" w:cs="Arial"/>
                <w:color w:val="000000"/>
                <w:sz w:val="16"/>
                <w:szCs w:val="16"/>
              </w:rPr>
              <w:t>,</w:t>
            </w:r>
            <w:r w:rsidRPr="005B0CF8">
              <w:rPr>
                <w:rFonts w:ascii="Arial" w:hAnsi="Arial" w:cs="Arial"/>
                <w:color w:val="000000"/>
                <w:sz w:val="16"/>
                <w:szCs w:val="16"/>
              </w:rPr>
              <w:t xml:space="preserve">000    </w:t>
            </w:r>
          </w:p>
        </w:tc>
        <w:tc>
          <w:tcPr>
            <w:tcW w:w="1042" w:type="dxa"/>
            <w:tcBorders>
              <w:top w:val="nil"/>
              <w:left w:val="nil"/>
              <w:bottom w:val="single" w:sz="4" w:space="0" w:color="auto"/>
              <w:right w:val="nil"/>
            </w:tcBorders>
            <w:shd w:val="clear" w:color="000000" w:fill="F2F9FC"/>
            <w:noWrap/>
            <w:vAlign w:val="center"/>
            <w:hideMark/>
          </w:tcPr>
          <w:p w14:paraId="2753BF88" w14:textId="29499530"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180</w:t>
            </w:r>
            <w:r w:rsidR="00844544">
              <w:rPr>
                <w:rFonts w:ascii="Arial" w:hAnsi="Arial" w:cs="Arial"/>
                <w:color w:val="000000"/>
                <w:sz w:val="16"/>
                <w:szCs w:val="16"/>
              </w:rPr>
              <w:t>,</w:t>
            </w:r>
            <w:r w:rsidRPr="005B0CF8">
              <w:rPr>
                <w:rFonts w:ascii="Arial" w:hAnsi="Arial" w:cs="Arial"/>
                <w:color w:val="000000"/>
                <w:sz w:val="16"/>
                <w:szCs w:val="16"/>
              </w:rPr>
              <w:t xml:space="preserve">000    </w:t>
            </w:r>
          </w:p>
        </w:tc>
        <w:tc>
          <w:tcPr>
            <w:tcW w:w="1042" w:type="dxa"/>
            <w:tcBorders>
              <w:top w:val="nil"/>
              <w:left w:val="nil"/>
              <w:bottom w:val="single" w:sz="4" w:space="0" w:color="auto"/>
              <w:right w:val="nil"/>
            </w:tcBorders>
            <w:shd w:val="clear" w:color="000000" w:fill="F2F9FC"/>
            <w:noWrap/>
            <w:vAlign w:val="center"/>
            <w:hideMark/>
          </w:tcPr>
          <w:p w14:paraId="52E780B9" w14:textId="06ED1CB2" w:rsidR="005B0CF8" w:rsidRPr="005B0CF8" w:rsidRDefault="005B0CF8" w:rsidP="005B0CF8">
            <w:pPr>
              <w:spacing w:after="0" w:line="240" w:lineRule="auto"/>
              <w:jc w:val="right"/>
              <w:rPr>
                <w:rFonts w:ascii="Arial" w:hAnsi="Arial" w:cs="Arial"/>
                <w:color w:val="000000"/>
                <w:sz w:val="16"/>
                <w:szCs w:val="16"/>
              </w:rPr>
            </w:pPr>
            <w:r w:rsidRPr="005B0CF8">
              <w:rPr>
                <w:rFonts w:ascii="Arial" w:hAnsi="Arial" w:cs="Arial"/>
                <w:color w:val="000000"/>
                <w:sz w:val="16"/>
                <w:szCs w:val="16"/>
              </w:rPr>
              <w:t>213</w:t>
            </w:r>
            <w:r w:rsidR="00844544">
              <w:rPr>
                <w:rFonts w:ascii="Arial" w:hAnsi="Arial" w:cs="Arial"/>
                <w:color w:val="000000"/>
                <w:sz w:val="16"/>
                <w:szCs w:val="16"/>
              </w:rPr>
              <w:t>,</w:t>
            </w:r>
            <w:r w:rsidRPr="005B0CF8">
              <w:rPr>
                <w:rFonts w:ascii="Arial" w:hAnsi="Arial" w:cs="Arial"/>
                <w:color w:val="000000"/>
                <w:sz w:val="16"/>
                <w:szCs w:val="16"/>
              </w:rPr>
              <w:t xml:space="preserve">000    </w:t>
            </w:r>
          </w:p>
        </w:tc>
      </w:tr>
    </w:tbl>
    <w:p w14:paraId="55162461" w14:textId="4579DE50" w:rsidR="00733707" w:rsidRPr="00B96121" w:rsidRDefault="00733707" w:rsidP="00C84652">
      <w:pPr>
        <w:pStyle w:val="ChartandTableFootnoteAlpha"/>
      </w:pPr>
      <w:r w:rsidRPr="00B96121">
        <w:t>Percentage change on preceding year unless otherwise indicated.</w:t>
      </w:r>
    </w:p>
    <w:p w14:paraId="4D7E8683" w14:textId="77777777" w:rsidR="00733707" w:rsidRPr="00B96121" w:rsidRDefault="00733707" w:rsidP="00733707">
      <w:pPr>
        <w:pStyle w:val="ChartandTableFootnoteAlpha"/>
      </w:pPr>
      <w:r w:rsidRPr="00B96121">
        <w:t>Excluding second</w:t>
      </w:r>
      <w:r w:rsidRPr="00B96121">
        <w:rPr>
          <w:rFonts w:ascii="Times New Roman" w:hAnsi="Times New Roman"/>
        </w:rPr>
        <w:t>‑</w:t>
      </w:r>
      <w:r w:rsidRPr="00B96121">
        <w:t>hand asset sales between the public and private sector.</w:t>
      </w:r>
    </w:p>
    <w:p w14:paraId="2F046C23" w14:textId="2B0A0830" w:rsidR="00314641" w:rsidRDefault="00733707" w:rsidP="00327939">
      <w:pPr>
        <w:pStyle w:val="ChartandTableFootnoteAlpha"/>
      </w:pPr>
      <w:r w:rsidRPr="00B96121">
        <w:t>Percentage point contribution to growth in GDP</w:t>
      </w:r>
      <w:r w:rsidR="00111A07">
        <w:t xml:space="preserve">. </w:t>
      </w:r>
    </w:p>
    <w:p w14:paraId="23453816" w14:textId="140643D3" w:rsidR="00314641" w:rsidRPr="00314641" w:rsidRDefault="00733707" w:rsidP="004818F6">
      <w:pPr>
        <w:pStyle w:val="ChartandTableFootnoteAlpha"/>
      </w:pPr>
      <w:r w:rsidRPr="00B96121">
        <w:t>Through</w:t>
      </w:r>
      <w:r w:rsidR="00111A07">
        <w:noBreakHyphen/>
      </w:r>
      <w:r w:rsidRPr="00B96121">
        <w:t>the</w:t>
      </w:r>
      <w:r w:rsidR="00111A07">
        <w:noBreakHyphen/>
      </w:r>
      <w:r w:rsidRPr="00B96121">
        <w:t>year growth rate to the June quarter.</w:t>
      </w:r>
    </w:p>
    <w:p w14:paraId="5F259F04" w14:textId="7DAC4984" w:rsidR="00314641" w:rsidRPr="00314641" w:rsidRDefault="00733707" w:rsidP="00CE768B">
      <w:pPr>
        <w:pStyle w:val="ChartandTableFootnoteAlpha"/>
      </w:pPr>
      <w:r w:rsidRPr="00B96121">
        <w:t>Seasonally adjusted rate for the June quarter.</w:t>
      </w:r>
    </w:p>
    <w:p w14:paraId="2BD69868" w14:textId="1109D32C" w:rsidR="00314641" w:rsidRPr="00314641" w:rsidRDefault="00880708" w:rsidP="00761430">
      <w:pPr>
        <w:pStyle w:val="ChartandTableFootnoteAlpha"/>
      </w:pPr>
      <w:r>
        <w:t>K</w:t>
      </w:r>
      <w:r w:rsidR="00733707" w:rsidRPr="00B96121">
        <w:t>ey commodit</w:t>
      </w:r>
      <w:r>
        <w:t xml:space="preserve">y prices </w:t>
      </w:r>
      <w:r w:rsidR="00733707" w:rsidRPr="00B96121">
        <w:t xml:space="preserve">are </w:t>
      </w:r>
      <w:r>
        <w:t>assumed to decline from current</w:t>
      </w:r>
      <w:r w:rsidR="00F25311">
        <w:t xml:space="preserve"> </w:t>
      </w:r>
      <w:r>
        <w:t xml:space="preserve">elevated levels </w:t>
      </w:r>
      <w:r w:rsidR="008D219E">
        <w:t>by the end of the September quarter 2022</w:t>
      </w:r>
      <w:r w:rsidR="00733707" w:rsidRPr="00B96121">
        <w:t xml:space="preserve">: </w:t>
      </w:r>
      <w:r w:rsidR="00FD31D5">
        <w:t>the i</w:t>
      </w:r>
      <w:r w:rsidR="00FD31D5" w:rsidRPr="00B96121">
        <w:t>ron</w:t>
      </w:r>
      <w:r w:rsidR="00733707" w:rsidRPr="00B96121">
        <w:t xml:space="preserve"> ore spot price </w:t>
      </w:r>
      <w:r w:rsidR="007D5021">
        <w:t>is</w:t>
      </w:r>
      <w:r w:rsidR="00733707" w:rsidRPr="00B96121">
        <w:t xml:space="preserve"> assumed to decline </w:t>
      </w:r>
      <w:r w:rsidR="00092287">
        <w:t>from US$134/tonne</w:t>
      </w:r>
      <w:r w:rsidR="00733707" w:rsidRPr="00B96121">
        <w:t xml:space="preserve"> to </w:t>
      </w:r>
      <w:r w:rsidR="00733707" w:rsidRPr="00726D72">
        <w:t xml:space="preserve">US$55/tonne </w:t>
      </w:r>
      <w:r w:rsidR="00273AE4" w:rsidRPr="00726D72">
        <w:t>free on board (FOB</w:t>
      </w:r>
      <w:r w:rsidR="009A0B92" w:rsidRPr="00726D72">
        <w:t>)</w:t>
      </w:r>
      <w:r w:rsidR="00733707" w:rsidRPr="00726D72">
        <w:t xml:space="preserve">; </w:t>
      </w:r>
      <w:r w:rsidR="00A34A5A">
        <w:t>the</w:t>
      </w:r>
      <w:r w:rsidR="00733707" w:rsidRPr="00726D72">
        <w:t xml:space="preserve"> metallurgical coal spot price </w:t>
      </w:r>
      <w:r w:rsidR="007D5021">
        <w:t>is</w:t>
      </w:r>
      <w:r w:rsidR="00733707" w:rsidRPr="00726D72">
        <w:t xml:space="preserve"> assumed to </w:t>
      </w:r>
      <w:r w:rsidR="009A771B" w:rsidRPr="00726D72">
        <w:t>dec</w:t>
      </w:r>
      <w:r w:rsidR="00C178ED" w:rsidRPr="00726D72">
        <w:t>l</w:t>
      </w:r>
      <w:r w:rsidR="009A771B" w:rsidRPr="00726D72">
        <w:t>in</w:t>
      </w:r>
      <w:r w:rsidR="00C178ED" w:rsidRPr="00726D72">
        <w:t>e</w:t>
      </w:r>
      <w:r w:rsidR="009A771B" w:rsidRPr="00726D72">
        <w:t xml:space="preserve"> </w:t>
      </w:r>
      <w:r w:rsidR="00092287">
        <w:t xml:space="preserve">from </w:t>
      </w:r>
      <w:r w:rsidR="00273AE4">
        <w:t xml:space="preserve">US$512/tonne </w:t>
      </w:r>
      <w:r w:rsidR="00C178ED" w:rsidRPr="00726D72">
        <w:t>to</w:t>
      </w:r>
      <w:r w:rsidR="00733707" w:rsidRPr="00726D72">
        <w:t xml:space="preserve"> US$</w:t>
      </w:r>
      <w:r w:rsidR="00425915" w:rsidRPr="00726D72">
        <w:t>130</w:t>
      </w:r>
      <w:r w:rsidR="00733707" w:rsidRPr="00726D72">
        <w:t xml:space="preserve">/tonne FOB; </w:t>
      </w:r>
      <w:r w:rsidR="00A34A5A">
        <w:t>the</w:t>
      </w:r>
      <w:r w:rsidR="00733707" w:rsidRPr="00726D72">
        <w:t xml:space="preserve"> thermal coal spot price </w:t>
      </w:r>
      <w:r w:rsidR="007D5021">
        <w:t>is</w:t>
      </w:r>
      <w:r w:rsidR="00733707" w:rsidRPr="00726D72">
        <w:t xml:space="preserve"> assumed to </w:t>
      </w:r>
      <w:r w:rsidR="002A5028" w:rsidRPr="00726D72">
        <w:t>decline</w:t>
      </w:r>
      <w:r w:rsidR="00733707" w:rsidRPr="00726D72">
        <w:t xml:space="preserve"> </w:t>
      </w:r>
      <w:r w:rsidR="00273AE4">
        <w:t xml:space="preserve">from US$320/tonne </w:t>
      </w:r>
      <w:r w:rsidR="00AA6C52" w:rsidRPr="00726D72">
        <w:t>to</w:t>
      </w:r>
      <w:r w:rsidR="00733707" w:rsidRPr="00726D72">
        <w:t xml:space="preserve"> US$</w:t>
      </w:r>
      <w:r w:rsidR="00AA6C52" w:rsidRPr="00726D72">
        <w:t>60</w:t>
      </w:r>
      <w:r w:rsidR="00733707" w:rsidRPr="00726D72">
        <w:t>/tonne FOB</w:t>
      </w:r>
      <w:r w:rsidR="00F471BD">
        <w:t xml:space="preserve">; </w:t>
      </w:r>
      <w:r w:rsidR="00766C77">
        <w:t xml:space="preserve">and </w:t>
      </w:r>
      <w:r w:rsidR="00F471BD">
        <w:t>oil prices (TAPIS) are assumed to decline from US$</w:t>
      </w:r>
      <w:r w:rsidR="00766C77">
        <w:t>114</w:t>
      </w:r>
      <w:r w:rsidR="00F471BD">
        <w:t xml:space="preserve">/barrel to </w:t>
      </w:r>
      <w:r w:rsidR="00EE125F">
        <w:t xml:space="preserve">around </w:t>
      </w:r>
      <w:r w:rsidR="00F471BD">
        <w:t>US$10</w:t>
      </w:r>
      <w:r w:rsidR="00EE125F">
        <w:t>0</w:t>
      </w:r>
      <w:r w:rsidR="00F471BD">
        <w:t>/barrel</w:t>
      </w:r>
      <w:r w:rsidR="00111A07">
        <w:t xml:space="preserve">. </w:t>
      </w:r>
    </w:p>
    <w:p w14:paraId="60A2404A" w14:textId="66260CB9" w:rsidR="00314641" w:rsidRDefault="009764BB" w:rsidP="00327939">
      <w:pPr>
        <w:pStyle w:val="ChartandTableFootnoteAlpha"/>
      </w:pPr>
      <w:r>
        <w:t>The figure for 2020</w:t>
      </w:r>
      <w:r w:rsidR="00111A07">
        <w:noBreakHyphen/>
      </w:r>
      <w:r>
        <w:t>21 is a preliminary outcome</w:t>
      </w:r>
      <w:r w:rsidR="00111A07">
        <w:t xml:space="preserve">. </w:t>
      </w:r>
    </w:p>
    <w:p w14:paraId="56038904" w14:textId="5539801E" w:rsidR="00733707" w:rsidRPr="00B96121" w:rsidRDefault="00733707" w:rsidP="00EF364D">
      <w:pPr>
        <w:pStyle w:val="ChartandTableFootnote"/>
      </w:pPr>
      <w:bookmarkStart w:id="3" w:name="_Hlk71390510"/>
      <w:r w:rsidRPr="00B96121">
        <w:t xml:space="preserve">Note: </w:t>
      </w:r>
      <w:r w:rsidR="00EF364D">
        <w:tab/>
      </w:r>
      <w:r w:rsidRPr="00B96121">
        <w:t xml:space="preserve">The exchange rate is assumed to remain around its recent average level </w:t>
      </w:r>
      <w:r w:rsidR="005B0068">
        <w:t>–</w:t>
      </w:r>
      <w:r w:rsidRPr="00B96121">
        <w:t xml:space="preserve"> </w:t>
      </w:r>
      <w:r w:rsidRPr="00726D72">
        <w:t>a trade</w:t>
      </w:r>
      <w:r w:rsidRPr="00726D72">
        <w:rPr>
          <w:rFonts w:ascii="Times New Roman" w:hAnsi="Times New Roman"/>
        </w:rPr>
        <w:t>‑</w:t>
      </w:r>
      <w:r w:rsidRPr="00726D72">
        <w:t xml:space="preserve">weighted index of around </w:t>
      </w:r>
      <w:r w:rsidR="00934893" w:rsidRPr="00726D72">
        <w:t xml:space="preserve">60 </w:t>
      </w:r>
      <w:r w:rsidRPr="00726D72">
        <w:t xml:space="preserve">and a $US exchange rate of around </w:t>
      </w:r>
      <w:r w:rsidR="00934893" w:rsidRPr="00726D72">
        <w:t xml:space="preserve">72 </w:t>
      </w:r>
      <w:r w:rsidRPr="00726D72">
        <w:t>US cents</w:t>
      </w:r>
      <w:r w:rsidR="00111A07">
        <w:t xml:space="preserve">. </w:t>
      </w:r>
      <w:r w:rsidRPr="00726D72">
        <w:t>Interest rates are assumed to move broadly in line with market expectations</w:t>
      </w:r>
      <w:r w:rsidR="00111A07">
        <w:t xml:space="preserve">. </w:t>
      </w:r>
      <w:bookmarkStart w:id="4" w:name="_Hlk71390883"/>
      <w:r w:rsidRPr="00726D72">
        <w:t xml:space="preserve">Population growth is </w:t>
      </w:r>
      <w:r>
        <w:t xml:space="preserve">forecast to be </w:t>
      </w:r>
      <w:r w:rsidRPr="00726D72">
        <w:t>0.</w:t>
      </w:r>
      <w:r>
        <w:t>7</w:t>
      </w:r>
      <w:r w:rsidRPr="00726D72">
        <w:t xml:space="preserve"> per cent in </w:t>
      </w:r>
      <w:r>
        <w:t>2021</w:t>
      </w:r>
      <w:r w:rsidR="00111A07">
        <w:noBreakHyphen/>
      </w:r>
      <w:r>
        <w:t>22</w:t>
      </w:r>
      <w:r w:rsidR="000119B9">
        <w:t>,</w:t>
      </w:r>
      <w:r w:rsidRPr="00726D72">
        <w:t xml:space="preserve"> </w:t>
      </w:r>
      <w:r>
        <w:t>1.2</w:t>
      </w:r>
      <w:r w:rsidRPr="00726D72">
        <w:t xml:space="preserve"> per cent in </w:t>
      </w:r>
      <w:r>
        <w:t>2022</w:t>
      </w:r>
      <w:r w:rsidR="00111A07">
        <w:noBreakHyphen/>
      </w:r>
      <w:r>
        <w:t>23</w:t>
      </w:r>
      <w:r w:rsidR="000119B9">
        <w:t xml:space="preserve"> and 1.3</w:t>
      </w:r>
      <w:r w:rsidR="002C1767">
        <w:t> </w:t>
      </w:r>
      <w:r w:rsidR="000119B9">
        <w:t>per</w:t>
      </w:r>
      <w:r w:rsidR="002C1767">
        <w:t> </w:t>
      </w:r>
      <w:r w:rsidR="000119B9">
        <w:t>cent in 2023</w:t>
      </w:r>
      <w:r w:rsidR="00111A07">
        <w:noBreakHyphen/>
      </w:r>
      <w:r w:rsidR="000119B9">
        <w:t>24</w:t>
      </w:r>
      <w:r w:rsidRPr="00726D72">
        <w:t>.</w:t>
      </w:r>
      <w:bookmarkEnd w:id="4"/>
    </w:p>
    <w:bookmarkEnd w:id="3"/>
    <w:p w14:paraId="77279B8A" w14:textId="2E65A000" w:rsidR="00362D24" w:rsidRPr="001A7576" w:rsidRDefault="00733707" w:rsidP="002273C0">
      <w:pPr>
        <w:pStyle w:val="Source"/>
      </w:pPr>
      <w:r w:rsidRPr="00B96121">
        <w:t xml:space="preserve">Source: </w:t>
      </w:r>
      <w:r w:rsidRPr="00B96121">
        <w:tab/>
        <w:t>ABS Australian National Accounts: National Income, Expenditure and Product; Balance of Payments and International Investment Position</w:t>
      </w:r>
      <w:r w:rsidR="002E5735">
        <w:t>, Australia</w:t>
      </w:r>
      <w:r w:rsidRPr="00B96121">
        <w:t xml:space="preserve">; </w:t>
      </w:r>
      <w:r w:rsidR="00B0328B">
        <w:t>National State and Territory Population</w:t>
      </w:r>
      <w:r w:rsidRPr="00B96121">
        <w:t>; Labour Force</w:t>
      </w:r>
      <w:r w:rsidR="002E5735">
        <w:t>, Australia</w:t>
      </w:r>
      <w:r w:rsidRPr="00B96121">
        <w:t>; Wage Price Index, Australia; Consumer Price Index, Australia; unpublished ABS data and Treasury.</w:t>
      </w:r>
    </w:p>
    <w:p w14:paraId="4BC1725B" w14:textId="63229826" w:rsidR="00733707" w:rsidRPr="00B96121" w:rsidRDefault="00733707" w:rsidP="00733707">
      <w:pPr>
        <w:pStyle w:val="Heading2"/>
      </w:pPr>
      <w:bookmarkStart w:id="5" w:name="_Toc99064353"/>
      <w:r w:rsidRPr="00B96121">
        <w:lastRenderedPageBreak/>
        <w:t>Outlook for the international economy</w:t>
      </w:r>
      <w:bookmarkEnd w:id="5"/>
    </w:p>
    <w:p w14:paraId="36C35873" w14:textId="1589C316" w:rsidR="00877712" w:rsidRDefault="0058139F" w:rsidP="002C761D">
      <w:pPr>
        <w:spacing w:after="120"/>
        <w:rPr>
          <w:color w:val="000000" w:themeColor="text1"/>
        </w:rPr>
      </w:pPr>
      <w:r>
        <w:rPr>
          <w:color w:val="000000" w:themeColor="text1"/>
        </w:rPr>
        <w:t xml:space="preserve">The global recovery </w:t>
      </w:r>
      <w:r w:rsidR="0057364A">
        <w:rPr>
          <w:color w:val="000000" w:themeColor="text1"/>
        </w:rPr>
        <w:t xml:space="preserve">gained </w:t>
      </w:r>
      <w:r>
        <w:rPr>
          <w:color w:val="000000" w:themeColor="text1"/>
        </w:rPr>
        <w:t xml:space="preserve">traction </w:t>
      </w:r>
      <w:r w:rsidR="00C20EEF">
        <w:rPr>
          <w:color w:val="000000" w:themeColor="text1"/>
        </w:rPr>
        <w:t xml:space="preserve">through 2021 </w:t>
      </w:r>
      <w:r w:rsidR="000913B6" w:rsidRPr="00F13CB3">
        <w:rPr>
          <w:color w:val="000000" w:themeColor="text1"/>
        </w:rPr>
        <w:t xml:space="preserve">and into </w:t>
      </w:r>
      <w:r w:rsidR="000913B6">
        <w:rPr>
          <w:color w:val="000000" w:themeColor="text1"/>
        </w:rPr>
        <w:t xml:space="preserve">the early part of </w:t>
      </w:r>
      <w:r w:rsidR="000913B6" w:rsidRPr="00F13CB3">
        <w:rPr>
          <w:color w:val="000000" w:themeColor="text1"/>
        </w:rPr>
        <w:t>2022</w:t>
      </w:r>
      <w:r w:rsidR="00F13F4A">
        <w:rPr>
          <w:color w:val="000000" w:themeColor="text1"/>
        </w:rPr>
        <w:t>,</w:t>
      </w:r>
      <w:r w:rsidR="000913B6">
        <w:rPr>
          <w:color w:val="000000" w:themeColor="text1"/>
        </w:rPr>
        <w:t xml:space="preserve"> </w:t>
      </w:r>
      <w:r w:rsidR="000913B6" w:rsidRPr="00F13CB3">
        <w:rPr>
          <w:color w:val="000000" w:themeColor="text1"/>
        </w:rPr>
        <w:t>despite significant COVID</w:t>
      </w:r>
      <w:r w:rsidR="00111A07">
        <w:rPr>
          <w:color w:val="000000" w:themeColor="text1"/>
        </w:rPr>
        <w:noBreakHyphen/>
      </w:r>
      <w:r w:rsidR="000913B6" w:rsidRPr="00F13CB3">
        <w:rPr>
          <w:color w:val="000000" w:themeColor="text1"/>
        </w:rPr>
        <w:t>19 outbreaks</w:t>
      </w:r>
      <w:r w:rsidR="00F13F4A">
        <w:rPr>
          <w:color w:val="000000" w:themeColor="text1"/>
        </w:rPr>
        <w:t>,</w:t>
      </w:r>
      <w:r w:rsidR="000913B6" w:rsidRPr="00F13CB3">
        <w:rPr>
          <w:color w:val="000000" w:themeColor="text1"/>
        </w:rPr>
        <w:t xml:space="preserve"> </w:t>
      </w:r>
      <w:r w:rsidR="00395B1F">
        <w:rPr>
          <w:color w:val="000000" w:themeColor="text1"/>
        </w:rPr>
        <w:t xml:space="preserve">as </w:t>
      </w:r>
      <w:r w:rsidR="00C34476">
        <w:rPr>
          <w:color w:val="000000" w:themeColor="text1"/>
        </w:rPr>
        <w:t xml:space="preserve">most economies continued to adapt to </w:t>
      </w:r>
      <w:r w:rsidR="00CA4D1E">
        <w:rPr>
          <w:color w:val="000000" w:themeColor="text1"/>
        </w:rPr>
        <w:t>the pandemic</w:t>
      </w:r>
      <w:r w:rsidR="00111A07">
        <w:rPr>
          <w:color w:val="000000" w:themeColor="text1"/>
        </w:rPr>
        <w:t xml:space="preserve">. </w:t>
      </w:r>
      <w:r w:rsidR="000806FB">
        <w:rPr>
          <w:color w:val="000000" w:themeColor="text1"/>
        </w:rPr>
        <w:t xml:space="preserve">This </w:t>
      </w:r>
      <w:r w:rsidR="00526EB1">
        <w:rPr>
          <w:color w:val="000000" w:themeColor="text1"/>
        </w:rPr>
        <w:t>momentum</w:t>
      </w:r>
      <w:r w:rsidR="000806FB">
        <w:rPr>
          <w:color w:val="000000" w:themeColor="text1"/>
        </w:rPr>
        <w:t xml:space="preserve"> is expected to </w:t>
      </w:r>
      <w:r w:rsidR="00191825">
        <w:rPr>
          <w:color w:val="000000" w:themeColor="text1"/>
        </w:rPr>
        <w:t xml:space="preserve">drive </w:t>
      </w:r>
      <w:r w:rsidR="00A4235A">
        <w:rPr>
          <w:color w:val="000000" w:themeColor="text1"/>
        </w:rPr>
        <w:t>con</w:t>
      </w:r>
      <w:r w:rsidR="00BD309C">
        <w:rPr>
          <w:color w:val="000000" w:themeColor="text1"/>
        </w:rPr>
        <w:t xml:space="preserve">tinued </w:t>
      </w:r>
      <w:r w:rsidR="349E2882" w:rsidRPr="255ED7C8">
        <w:rPr>
          <w:color w:val="000000" w:themeColor="text1"/>
        </w:rPr>
        <w:t xml:space="preserve">growth </w:t>
      </w:r>
      <w:r w:rsidR="000806FB">
        <w:rPr>
          <w:color w:val="000000" w:themeColor="text1"/>
        </w:rPr>
        <w:t>through 2022 and 2023</w:t>
      </w:r>
      <w:r w:rsidR="00111A07">
        <w:rPr>
          <w:color w:val="000000" w:themeColor="text1"/>
        </w:rPr>
        <w:t xml:space="preserve">. </w:t>
      </w:r>
      <w:r w:rsidR="00191825">
        <w:rPr>
          <w:color w:val="000000" w:themeColor="text1"/>
        </w:rPr>
        <w:t>At this stage</w:t>
      </w:r>
      <w:r w:rsidR="00DD4D33">
        <w:rPr>
          <w:color w:val="000000" w:themeColor="text1"/>
        </w:rPr>
        <w:t>,</w:t>
      </w:r>
      <w:r w:rsidR="00191825">
        <w:rPr>
          <w:color w:val="000000" w:themeColor="text1"/>
        </w:rPr>
        <w:t xml:space="preserve"> headwinds from the </w:t>
      </w:r>
      <w:proofErr w:type="spellStart"/>
      <w:r w:rsidR="009263DC">
        <w:rPr>
          <w:color w:val="000000" w:themeColor="text1"/>
        </w:rPr>
        <w:t>spillover</w:t>
      </w:r>
      <w:proofErr w:type="spellEnd"/>
      <w:r w:rsidR="009263DC">
        <w:rPr>
          <w:color w:val="000000" w:themeColor="text1"/>
        </w:rPr>
        <w:t xml:space="preserve"> effects of </w:t>
      </w:r>
      <w:r w:rsidR="00C53A27">
        <w:rPr>
          <w:color w:val="000000" w:themeColor="text1"/>
        </w:rPr>
        <w:t>Russia</w:t>
      </w:r>
      <w:r w:rsidR="00111A07">
        <w:rPr>
          <w:color w:val="000000" w:themeColor="text1"/>
        </w:rPr>
        <w:t>’</w:t>
      </w:r>
      <w:r w:rsidR="00C53A27">
        <w:rPr>
          <w:color w:val="000000" w:themeColor="text1"/>
        </w:rPr>
        <w:t xml:space="preserve">s </w:t>
      </w:r>
      <w:r w:rsidR="008D15BB">
        <w:rPr>
          <w:color w:val="000000" w:themeColor="text1"/>
        </w:rPr>
        <w:t xml:space="preserve">invasion of </w:t>
      </w:r>
      <w:r w:rsidR="00E601C5">
        <w:rPr>
          <w:color w:val="000000" w:themeColor="text1"/>
        </w:rPr>
        <w:t>Ukraine</w:t>
      </w:r>
      <w:r w:rsidR="00CA4D1E">
        <w:rPr>
          <w:color w:val="000000" w:themeColor="text1"/>
        </w:rPr>
        <w:t xml:space="preserve"> </w:t>
      </w:r>
      <w:r w:rsidR="00BD309C">
        <w:rPr>
          <w:color w:val="000000" w:themeColor="text1"/>
        </w:rPr>
        <w:t xml:space="preserve">are expected to </w:t>
      </w:r>
      <w:r w:rsidR="4544883C" w:rsidRPr="7E35A6A4">
        <w:rPr>
          <w:color w:val="000000" w:themeColor="text1"/>
        </w:rPr>
        <w:t>weigh</w:t>
      </w:r>
      <w:r w:rsidR="00BD309C">
        <w:rPr>
          <w:color w:val="000000" w:themeColor="text1"/>
        </w:rPr>
        <w:t xml:space="preserve"> on global growth </w:t>
      </w:r>
      <w:r w:rsidR="00623F0E">
        <w:rPr>
          <w:color w:val="000000" w:themeColor="text1"/>
        </w:rPr>
        <w:t>but not derail the recovery</w:t>
      </w:r>
      <w:r w:rsidR="00111A07">
        <w:rPr>
          <w:color w:val="000000" w:themeColor="text1"/>
        </w:rPr>
        <w:t xml:space="preserve">. </w:t>
      </w:r>
      <w:r w:rsidR="00CD085C" w:rsidRPr="008C38CE">
        <w:rPr>
          <w:color w:val="000000" w:themeColor="text1"/>
        </w:rPr>
        <w:t xml:space="preserve">However, this impact </w:t>
      </w:r>
      <w:r w:rsidR="00F139CB" w:rsidRPr="008C38CE">
        <w:rPr>
          <w:color w:val="000000" w:themeColor="text1"/>
        </w:rPr>
        <w:t xml:space="preserve">is </w:t>
      </w:r>
      <w:r w:rsidR="00CD085C" w:rsidRPr="008C38CE">
        <w:rPr>
          <w:color w:val="000000" w:themeColor="text1"/>
        </w:rPr>
        <w:t>highly uncertain and will depend on a range of factors including the duration of the conflict</w:t>
      </w:r>
      <w:r w:rsidR="00BC0EF4" w:rsidRPr="008C38CE">
        <w:rPr>
          <w:color w:val="000000" w:themeColor="text1"/>
        </w:rPr>
        <w:t xml:space="preserve"> </w:t>
      </w:r>
      <w:r w:rsidR="0078393C" w:rsidRPr="008C38CE">
        <w:rPr>
          <w:color w:val="000000" w:themeColor="text1"/>
        </w:rPr>
        <w:t xml:space="preserve">and </w:t>
      </w:r>
      <w:r w:rsidR="00B4644F" w:rsidRPr="008C38CE">
        <w:rPr>
          <w:color w:val="000000" w:themeColor="text1"/>
        </w:rPr>
        <w:t xml:space="preserve">the </w:t>
      </w:r>
      <w:r w:rsidR="0F8CB019" w:rsidRPr="008C38CE">
        <w:rPr>
          <w:color w:val="000000" w:themeColor="text1"/>
        </w:rPr>
        <w:t xml:space="preserve">extent of </w:t>
      </w:r>
      <w:r w:rsidR="00ED0566" w:rsidRPr="008C38CE">
        <w:rPr>
          <w:color w:val="000000" w:themeColor="text1"/>
        </w:rPr>
        <w:t>energy, commodity and</w:t>
      </w:r>
      <w:r w:rsidR="0F8CB019" w:rsidRPr="008C38CE">
        <w:rPr>
          <w:color w:val="000000" w:themeColor="text1"/>
        </w:rPr>
        <w:t xml:space="preserve"> trade disruptions</w:t>
      </w:r>
      <w:r w:rsidR="50EE7D3C">
        <w:rPr>
          <w:color w:val="000000" w:themeColor="text1"/>
        </w:rPr>
        <w:t>.</w:t>
      </w:r>
    </w:p>
    <w:p w14:paraId="3989F578" w14:textId="7F98A6FF" w:rsidR="00462CFA" w:rsidRDefault="00E849D3" w:rsidP="00845D9F">
      <w:pPr>
        <w:spacing w:before="240"/>
        <w:rPr>
          <w:color w:val="000000" w:themeColor="text1"/>
        </w:rPr>
      </w:pPr>
      <w:r>
        <w:rPr>
          <w:color w:val="000000" w:themeColor="text1"/>
        </w:rPr>
        <w:t xml:space="preserve">Sound private sector fundamentals are expected to drive </w:t>
      </w:r>
      <w:r w:rsidR="009A1938">
        <w:rPr>
          <w:color w:val="000000" w:themeColor="text1"/>
        </w:rPr>
        <w:t xml:space="preserve">robust </w:t>
      </w:r>
      <w:r>
        <w:rPr>
          <w:color w:val="000000" w:themeColor="text1"/>
        </w:rPr>
        <w:t>growth in advanced economies through 2022</w:t>
      </w:r>
      <w:r w:rsidR="00111A07">
        <w:rPr>
          <w:color w:val="000000" w:themeColor="text1"/>
        </w:rPr>
        <w:t xml:space="preserve">. </w:t>
      </w:r>
      <w:r w:rsidRPr="0E31F09A" w:rsidDel="00462CFA">
        <w:rPr>
          <w:color w:val="000000" w:themeColor="text1"/>
        </w:rPr>
        <w:t>As at the end of 2021, many</w:t>
      </w:r>
      <w:r w:rsidDel="00462CFA">
        <w:rPr>
          <w:color w:val="000000" w:themeColor="text1"/>
        </w:rPr>
        <w:t xml:space="preserve"> major advanced economies </w:t>
      </w:r>
      <w:r w:rsidRPr="0E31F09A" w:rsidDel="00462CFA">
        <w:rPr>
          <w:color w:val="000000" w:themeColor="text1"/>
        </w:rPr>
        <w:t>were</w:t>
      </w:r>
      <w:r w:rsidDel="00462CFA">
        <w:rPr>
          <w:color w:val="000000" w:themeColor="text1"/>
        </w:rPr>
        <w:t xml:space="preserve"> still below their </w:t>
      </w:r>
      <w:r w:rsidRPr="0E31F09A" w:rsidDel="00462CFA">
        <w:rPr>
          <w:color w:val="000000" w:themeColor="text1"/>
        </w:rPr>
        <w:t>pre</w:t>
      </w:r>
      <w:r w:rsidR="00111A07">
        <w:rPr>
          <w:color w:val="000000" w:themeColor="text1"/>
        </w:rPr>
        <w:noBreakHyphen/>
      </w:r>
      <w:r w:rsidRPr="0E31F09A" w:rsidDel="00462CFA">
        <w:rPr>
          <w:color w:val="000000" w:themeColor="text1"/>
        </w:rPr>
        <w:t>pandemic</w:t>
      </w:r>
      <w:r w:rsidDel="00462CFA">
        <w:rPr>
          <w:color w:val="000000" w:themeColor="text1"/>
        </w:rPr>
        <w:t xml:space="preserve"> level </w:t>
      </w:r>
      <w:r w:rsidRPr="6D59E25A" w:rsidDel="00462CFA">
        <w:rPr>
          <w:color w:val="000000" w:themeColor="text1"/>
        </w:rPr>
        <w:t xml:space="preserve">of </w:t>
      </w:r>
      <w:r w:rsidRPr="6FAEF6E9" w:rsidDel="00462CFA">
        <w:rPr>
          <w:color w:val="000000" w:themeColor="text1"/>
        </w:rPr>
        <w:t xml:space="preserve">production and are expected to experience above trend growth </w:t>
      </w:r>
      <w:r w:rsidRPr="0E31F09A" w:rsidDel="00462CFA">
        <w:rPr>
          <w:color w:val="000000" w:themeColor="text1"/>
        </w:rPr>
        <w:t>in 2022</w:t>
      </w:r>
      <w:r w:rsidR="00F33FB6">
        <w:rPr>
          <w:color w:val="000000" w:themeColor="text1"/>
        </w:rPr>
        <w:t xml:space="preserve"> as they continue to recover</w:t>
      </w:r>
      <w:r>
        <w:rPr>
          <w:color w:val="000000" w:themeColor="text1"/>
        </w:rPr>
        <w:t>, although higher energy prices will create some drag</w:t>
      </w:r>
      <w:r w:rsidR="00111A07">
        <w:rPr>
          <w:color w:val="000000" w:themeColor="text1"/>
        </w:rPr>
        <w:t xml:space="preserve">. </w:t>
      </w:r>
    </w:p>
    <w:p w14:paraId="4B190402" w14:textId="565BCFDB" w:rsidR="00A3573A" w:rsidRDefault="00DD2FC9" w:rsidP="00DC2285">
      <w:pPr>
        <w:spacing w:before="240"/>
        <w:rPr>
          <w:color w:val="000000" w:themeColor="text1"/>
        </w:rPr>
      </w:pPr>
      <w:r>
        <w:rPr>
          <w:color w:val="000000" w:themeColor="text1"/>
        </w:rPr>
        <w:t>Emerging market</w:t>
      </w:r>
      <w:r w:rsidR="00C87E9E">
        <w:rPr>
          <w:color w:val="000000" w:themeColor="text1"/>
        </w:rPr>
        <w:t xml:space="preserve"> economies</w:t>
      </w:r>
      <w:r>
        <w:rPr>
          <w:color w:val="000000" w:themeColor="text1"/>
        </w:rPr>
        <w:t xml:space="preserve"> are expected to grow more rapidly than advanced economies</w:t>
      </w:r>
      <w:r w:rsidR="00FD7E6F">
        <w:rPr>
          <w:color w:val="000000" w:themeColor="text1"/>
        </w:rPr>
        <w:t xml:space="preserve"> as they recover closer to trend growth rates</w:t>
      </w:r>
      <w:r w:rsidDel="005B1A68">
        <w:rPr>
          <w:color w:val="000000" w:themeColor="text1"/>
        </w:rPr>
        <w:t xml:space="preserve">, but </w:t>
      </w:r>
      <w:r w:rsidR="00D65186">
        <w:rPr>
          <w:color w:val="000000" w:themeColor="text1"/>
        </w:rPr>
        <w:t>their</w:t>
      </w:r>
      <w:r>
        <w:rPr>
          <w:color w:val="000000" w:themeColor="text1"/>
        </w:rPr>
        <w:t xml:space="preserve"> outlook </w:t>
      </w:r>
      <w:r w:rsidR="0060436A">
        <w:rPr>
          <w:color w:val="000000" w:themeColor="text1"/>
        </w:rPr>
        <w:t xml:space="preserve">is at greater risk </w:t>
      </w:r>
      <w:r w:rsidR="0056743A">
        <w:rPr>
          <w:color w:val="000000" w:themeColor="text1"/>
        </w:rPr>
        <w:t>from</w:t>
      </w:r>
      <w:r w:rsidR="00401CAC">
        <w:rPr>
          <w:color w:val="000000" w:themeColor="text1"/>
        </w:rPr>
        <w:t xml:space="preserve"> </w:t>
      </w:r>
      <w:r w:rsidR="00401CAC" w:rsidRPr="11F9A451">
        <w:rPr>
          <w:color w:val="000000" w:themeColor="text1"/>
        </w:rPr>
        <w:t xml:space="preserve">the </w:t>
      </w:r>
      <w:r w:rsidR="00401CAC" w:rsidRPr="3430EE30">
        <w:rPr>
          <w:color w:val="000000" w:themeColor="text1"/>
        </w:rPr>
        <w:t>effects of</w:t>
      </w:r>
      <w:r w:rsidR="00401CAC" w:rsidRPr="11F9A451">
        <w:rPr>
          <w:color w:val="000000" w:themeColor="text1"/>
        </w:rPr>
        <w:t xml:space="preserve"> </w:t>
      </w:r>
      <w:r w:rsidR="00401CAC">
        <w:rPr>
          <w:color w:val="000000" w:themeColor="text1"/>
        </w:rPr>
        <w:t>an extended conflict in Ukraine</w:t>
      </w:r>
      <w:r w:rsidR="00FA7B81">
        <w:rPr>
          <w:color w:val="000000" w:themeColor="text1"/>
        </w:rPr>
        <w:t xml:space="preserve"> given typically high exposure to </w:t>
      </w:r>
      <w:r w:rsidRPr="008C38CE">
        <w:rPr>
          <w:color w:val="000000" w:themeColor="text1"/>
        </w:rPr>
        <w:t xml:space="preserve">rising fuel and </w:t>
      </w:r>
      <w:r w:rsidR="002B01E2" w:rsidRPr="008C38CE">
        <w:rPr>
          <w:color w:val="000000" w:themeColor="text1"/>
        </w:rPr>
        <w:t>agricultur</w:t>
      </w:r>
      <w:r w:rsidR="002931E6" w:rsidRPr="008C38CE">
        <w:rPr>
          <w:color w:val="000000" w:themeColor="text1"/>
        </w:rPr>
        <w:t>al</w:t>
      </w:r>
      <w:r w:rsidRPr="008C38CE">
        <w:rPr>
          <w:color w:val="000000" w:themeColor="text1"/>
        </w:rPr>
        <w:t xml:space="preserve"> prices</w:t>
      </w:r>
      <w:r w:rsidR="0056743A" w:rsidRPr="008C38CE">
        <w:rPr>
          <w:color w:val="000000" w:themeColor="text1"/>
        </w:rPr>
        <w:t>, as well as being more</w:t>
      </w:r>
      <w:r w:rsidR="00C66DB4" w:rsidRPr="008C38CE">
        <w:rPr>
          <w:color w:val="000000" w:themeColor="text1"/>
        </w:rPr>
        <w:t xml:space="preserve"> </w:t>
      </w:r>
      <w:r w:rsidRPr="008C38CE">
        <w:rPr>
          <w:color w:val="000000" w:themeColor="text1"/>
        </w:rPr>
        <w:t xml:space="preserve">vulnerable to any tightening in </w:t>
      </w:r>
      <w:r w:rsidR="00315396" w:rsidRPr="008C38CE">
        <w:rPr>
          <w:color w:val="000000" w:themeColor="text1"/>
        </w:rPr>
        <w:t>global</w:t>
      </w:r>
      <w:r w:rsidRPr="008C38CE">
        <w:rPr>
          <w:color w:val="000000" w:themeColor="text1"/>
        </w:rPr>
        <w:t xml:space="preserve"> financial conditions.</w:t>
      </w:r>
    </w:p>
    <w:p w14:paraId="4163A253" w14:textId="3AA1A75C" w:rsidR="009A1938" w:rsidRDefault="009A1938" w:rsidP="00DC2285">
      <w:pPr>
        <w:spacing w:before="240"/>
        <w:rPr>
          <w:color w:val="000000" w:themeColor="text1"/>
        </w:rPr>
      </w:pPr>
      <w:r>
        <w:rPr>
          <w:color w:val="000000" w:themeColor="text1"/>
        </w:rPr>
        <w:t>Most e</w:t>
      </w:r>
      <w:r w:rsidRPr="00F13CB3">
        <w:rPr>
          <w:color w:val="000000" w:themeColor="text1"/>
        </w:rPr>
        <w:t>conomies are increasingly resilient to pandemic</w:t>
      </w:r>
      <w:r w:rsidR="00111A07">
        <w:rPr>
          <w:color w:val="000000" w:themeColor="text1"/>
        </w:rPr>
        <w:noBreakHyphen/>
      </w:r>
      <w:r w:rsidRPr="00F13CB3">
        <w:rPr>
          <w:color w:val="000000" w:themeColor="text1"/>
        </w:rPr>
        <w:t>related disruptions</w:t>
      </w:r>
      <w:r>
        <w:rPr>
          <w:color w:val="000000" w:themeColor="text1"/>
        </w:rPr>
        <w:t xml:space="preserve"> as rising access to </w:t>
      </w:r>
      <w:r w:rsidRPr="00F13CB3">
        <w:rPr>
          <w:color w:val="000000" w:themeColor="text1"/>
        </w:rPr>
        <w:t xml:space="preserve">vaccination has allowed governments to rely less </w:t>
      </w:r>
      <w:r w:rsidRPr="00F13CB3" w:rsidDel="002E3504">
        <w:rPr>
          <w:color w:val="000000" w:themeColor="text1"/>
        </w:rPr>
        <w:t>on</w:t>
      </w:r>
      <w:r w:rsidRPr="00F13CB3">
        <w:rPr>
          <w:color w:val="000000" w:themeColor="text1"/>
        </w:rPr>
        <w:t xml:space="preserve"> widespread lockdowns and other restrictions to manage COVID</w:t>
      </w:r>
      <w:r w:rsidR="00111A07">
        <w:rPr>
          <w:color w:val="000000" w:themeColor="text1"/>
        </w:rPr>
        <w:noBreakHyphen/>
      </w:r>
      <w:r w:rsidRPr="00F13CB3">
        <w:rPr>
          <w:color w:val="000000" w:themeColor="text1"/>
        </w:rPr>
        <w:t>19 outbreaks</w:t>
      </w:r>
      <w:r w:rsidR="00111A07">
        <w:rPr>
          <w:color w:val="000000" w:themeColor="text1"/>
        </w:rPr>
        <w:t xml:space="preserve">. </w:t>
      </w:r>
      <w:r>
        <w:rPr>
          <w:color w:val="000000" w:themeColor="text1"/>
        </w:rPr>
        <w:t>China remains a potential outlier given that it has not yet transitioned to living with the virus</w:t>
      </w:r>
      <w:r w:rsidR="00111A07">
        <w:rPr>
          <w:color w:val="000000" w:themeColor="text1"/>
        </w:rPr>
        <w:t xml:space="preserve">. </w:t>
      </w:r>
      <w:r w:rsidR="008E28F7" w:rsidRPr="008C38CE">
        <w:rPr>
          <w:color w:val="000000" w:themeColor="text1"/>
        </w:rPr>
        <w:t>Recent</w:t>
      </w:r>
      <w:r w:rsidRPr="008C38CE">
        <w:rPr>
          <w:color w:val="000000" w:themeColor="text1"/>
        </w:rPr>
        <w:t xml:space="preserve"> outbreak</w:t>
      </w:r>
      <w:r w:rsidR="008E28F7" w:rsidRPr="008C38CE">
        <w:rPr>
          <w:color w:val="000000" w:themeColor="text1"/>
        </w:rPr>
        <w:t>s</w:t>
      </w:r>
      <w:r w:rsidRPr="008C38CE">
        <w:rPr>
          <w:color w:val="000000" w:themeColor="text1"/>
        </w:rPr>
        <w:t xml:space="preserve"> suggests that economic activity in China could be more affected by the pandemic</w:t>
      </w:r>
      <w:r w:rsidRPr="008C38CE" w:rsidDel="00335536">
        <w:rPr>
          <w:color w:val="000000" w:themeColor="text1"/>
        </w:rPr>
        <w:t xml:space="preserve"> </w:t>
      </w:r>
      <w:r w:rsidRPr="008C38CE">
        <w:rPr>
          <w:color w:val="000000" w:themeColor="text1"/>
        </w:rPr>
        <w:t>in 2022 than in 2021.</w:t>
      </w:r>
    </w:p>
    <w:p w14:paraId="4ABD5D4A" w14:textId="7409B8BB" w:rsidR="00803B11" w:rsidRDefault="77CEBD9B" w:rsidP="45C86BA2">
      <w:pPr>
        <w:rPr>
          <w:color w:val="000000" w:themeColor="text1"/>
        </w:rPr>
      </w:pPr>
      <w:r w:rsidRPr="19136D2A">
        <w:rPr>
          <w:color w:val="000000" w:themeColor="text1"/>
        </w:rPr>
        <w:t>T</w:t>
      </w:r>
      <w:r w:rsidR="1F3446A3" w:rsidRPr="19136D2A">
        <w:rPr>
          <w:color w:val="000000" w:themeColor="text1"/>
        </w:rPr>
        <w:t xml:space="preserve">he </w:t>
      </w:r>
      <w:r w:rsidR="008F73E7">
        <w:rPr>
          <w:color w:val="000000" w:themeColor="text1"/>
        </w:rPr>
        <w:t xml:space="preserve">Russian invasion </w:t>
      </w:r>
      <w:r w:rsidR="008F73E7" w:rsidRPr="6CE5E4AF">
        <w:rPr>
          <w:color w:val="000000" w:themeColor="text1"/>
        </w:rPr>
        <w:t xml:space="preserve">of Ukraine </w:t>
      </w:r>
      <w:r w:rsidR="009E49C7">
        <w:rPr>
          <w:color w:val="000000" w:themeColor="text1"/>
        </w:rPr>
        <w:t xml:space="preserve">is expected to generate </w:t>
      </w:r>
      <w:r w:rsidR="009E49C7" w:rsidRPr="0C0D614B">
        <w:rPr>
          <w:color w:val="000000" w:themeColor="text1"/>
        </w:rPr>
        <w:t xml:space="preserve">around </w:t>
      </w:r>
      <w:r w:rsidR="005D72B7">
        <w:rPr>
          <w:color w:val="000000" w:themeColor="text1"/>
        </w:rPr>
        <w:t>¾</w:t>
      </w:r>
      <w:r w:rsidR="28E99233" w:rsidRPr="28E99233">
        <w:rPr>
          <w:color w:val="000000" w:themeColor="text1"/>
        </w:rPr>
        <w:t xml:space="preserve"> </w:t>
      </w:r>
      <w:r w:rsidR="004A0E50">
        <w:rPr>
          <w:color w:val="000000" w:themeColor="text1"/>
        </w:rPr>
        <w:t xml:space="preserve">of a </w:t>
      </w:r>
      <w:r w:rsidR="28E99233" w:rsidRPr="28E99233">
        <w:rPr>
          <w:color w:val="000000" w:themeColor="text1"/>
        </w:rPr>
        <w:t xml:space="preserve">percentage point drag on </w:t>
      </w:r>
      <w:r w:rsidR="005D72B7">
        <w:rPr>
          <w:color w:val="000000" w:themeColor="text1"/>
        </w:rPr>
        <w:t>global</w:t>
      </w:r>
      <w:r w:rsidR="28E99233" w:rsidRPr="28E99233">
        <w:rPr>
          <w:color w:val="000000" w:themeColor="text1"/>
        </w:rPr>
        <w:t xml:space="preserve"> growth</w:t>
      </w:r>
      <w:r w:rsidR="009E49C7">
        <w:rPr>
          <w:color w:val="000000" w:themeColor="text1"/>
        </w:rPr>
        <w:t xml:space="preserve"> </w:t>
      </w:r>
      <w:r w:rsidR="00531D46">
        <w:rPr>
          <w:color w:val="000000" w:themeColor="text1"/>
        </w:rPr>
        <w:t>in 2022</w:t>
      </w:r>
      <w:r w:rsidR="28E99233" w:rsidRPr="28E99233">
        <w:rPr>
          <w:color w:val="000000" w:themeColor="text1"/>
        </w:rPr>
        <w:t xml:space="preserve"> and increase </w:t>
      </w:r>
      <w:r w:rsidR="00E601C5">
        <w:rPr>
          <w:color w:val="000000" w:themeColor="text1"/>
        </w:rPr>
        <w:t xml:space="preserve">global </w:t>
      </w:r>
      <w:r w:rsidR="28E99233" w:rsidRPr="28E99233">
        <w:rPr>
          <w:color w:val="000000" w:themeColor="text1"/>
        </w:rPr>
        <w:t>inflation by around 1</w:t>
      </w:r>
      <w:r w:rsidR="00E268FE">
        <w:rPr>
          <w:color w:val="000000" w:themeColor="text1"/>
        </w:rPr>
        <w:t>½</w:t>
      </w:r>
      <w:r w:rsidR="28E99233" w:rsidRPr="28E99233">
        <w:rPr>
          <w:color w:val="000000" w:themeColor="text1"/>
        </w:rPr>
        <w:t xml:space="preserve"> percentage points, primarily </w:t>
      </w:r>
      <w:r w:rsidR="00AD244B">
        <w:rPr>
          <w:color w:val="000000" w:themeColor="text1"/>
        </w:rPr>
        <w:t>through</w:t>
      </w:r>
      <w:r w:rsidR="28E99233" w:rsidRPr="43A1E31A">
        <w:rPr>
          <w:color w:val="000000" w:themeColor="text1"/>
        </w:rPr>
        <w:t xml:space="preserve"> </w:t>
      </w:r>
      <w:r w:rsidR="28E99233" w:rsidRPr="28E99233">
        <w:rPr>
          <w:color w:val="000000" w:themeColor="text1"/>
        </w:rPr>
        <w:t>higher oil, gas</w:t>
      </w:r>
      <w:r w:rsidR="0093329B">
        <w:rPr>
          <w:color w:val="000000" w:themeColor="text1"/>
        </w:rPr>
        <w:t xml:space="preserve"> </w:t>
      </w:r>
      <w:r w:rsidR="28E99233" w:rsidRPr="28E99233">
        <w:rPr>
          <w:color w:val="000000" w:themeColor="text1"/>
        </w:rPr>
        <w:t>and wheat prices</w:t>
      </w:r>
      <w:r w:rsidR="00111A07">
        <w:rPr>
          <w:color w:val="000000" w:themeColor="text1"/>
        </w:rPr>
        <w:t xml:space="preserve">. </w:t>
      </w:r>
      <w:r w:rsidR="28E99233" w:rsidRPr="28E99233">
        <w:rPr>
          <w:color w:val="000000" w:themeColor="text1"/>
        </w:rPr>
        <w:t xml:space="preserve">Impacts will vary by country, depending on </w:t>
      </w:r>
      <w:r w:rsidR="378CC35D" w:rsidRPr="6851B7C4">
        <w:rPr>
          <w:color w:val="000000" w:themeColor="text1"/>
        </w:rPr>
        <w:t>the</w:t>
      </w:r>
      <w:r w:rsidR="7141ECB6" w:rsidRPr="6851B7C4">
        <w:rPr>
          <w:color w:val="000000" w:themeColor="text1"/>
        </w:rPr>
        <w:t>ir</w:t>
      </w:r>
      <w:r w:rsidR="28E99233" w:rsidRPr="28E99233">
        <w:rPr>
          <w:color w:val="000000" w:themeColor="text1"/>
        </w:rPr>
        <w:t xml:space="preserve"> reliance o</w:t>
      </w:r>
      <w:r w:rsidR="00E32D7D">
        <w:rPr>
          <w:color w:val="000000" w:themeColor="text1"/>
        </w:rPr>
        <w:t>n</w:t>
      </w:r>
      <w:r w:rsidR="28E99233" w:rsidRPr="28E99233">
        <w:rPr>
          <w:color w:val="000000" w:themeColor="text1"/>
        </w:rPr>
        <w:t xml:space="preserve"> energy imports and exposure to trade with Russia</w:t>
      </w:r>
      <w:r w:rsidR="00111A07">
        <w:rPr>
          <w:color w:val="000000" w:themeColor="text1"/>
        </w:rPr>
        <w:t xml:space="preserve">. </w:t>
      </w:r>
      <w:r w:rsidR="28E99233" w:rsidRPr="008C38CE">
        <w:rPr>
          <w:color w:val="000000" w:themeColor="text1"/>
        </w:rPr>
        <w:t xml:space="preserve">Europe </w:t>
      </w:r>
      <w:r w:rsidR="008E28F7" w:rsidRPr="008C38CE">
        <w:rPr>
          <w:color w:val="000000" w:themeColor="text1"/>
        </w:rPr>
        <w:t>is expected to be</w:t>
      </w:r>
      <w:r w:rsidR="28E99233" w:rsidRPr="008C38CE">
        <w:rPr>
          <w:color w:val="000000" w:themeColor="text1"/>
        </w:rPr>
        <w:t xml:space="preserve"> more exposed</w:t>
      </w:r>
      <w:r w:rsidR="00DA6A0A" w:rsidRPr="008C38CE">
        <w:rPr>
          <w:color w:val="000000" w:themeColor="text1"/>
        </w:rPr>
        <w:t>, while</w:t>
      </w:r>
      <w:r w:rsidR="28E99233" w:rsidRPr="008C38CE">
        <w:rPr>
          <w:color w:val="000000" w:themeColor="text1"/>
        </w:rPr>
        <w:t xml:space="preserve"> </w:t>
      </w:r>
      <w:r w:rsidR="002C25F2" w:rsidRPr="008C38CE">
        <w:rPr>
          <w:color w:val="000000" w:themeColor="text1"/>
        </w:rPr>
        <w:t xml:space="preserve">net </w:t>
      </w:r>
      <w:r w:rsidR="28E99233" w:rsidRPr="008C38CE">
        <w:rPr>
          <w:color w:val="000000" w:themeColor="text1"/>
        </w:rPr>
        <w:t xml:space="preserve">commodity exporters such as Australia relatively less </w:t>
      </w:r>
      <w:r w:rsidR="00DA6A0A" w:rsidRPr="008C38CE">
        <w:rPr>
          <w:color w:val="000000" w:themeColor="text1"/>
        </w:rPr>
        <w:t>so</w:t>
      </w:r>
      <w:r w:rsidR="00111A07">
        <w:rPr>
          <w:color w:val="000000" w:themeColor="text1"/>
        </w:rPr>
        <w:t xml:space="preserve">. </w:t>
      </w:r>
      <w:r w:rsidR="008F73E7" w:rsidRPr="008C38CE">
        <w:rPr>
          <w:color w:val="000000" w:themeColor="text1"/>
        </w:rPr>
        <w:t>The</w:t>
      </w:r>
      <w:r w:rsidR="008F73E7" w:rsidRPr="1C39B70E">
        <w:rPr>
          <w:color w:val="000000" w:themeColor="text1"/>
        </w:rPr>
        <w:t xml:space="preserve"> potential for an extended</w:t>
      </w:r>
      <w:r w:rsidR="00590F90">
        <w:rPr>
          <w:color w:val="000000" w:themeColor="text1"/>
        </w:rPr>
        <w:t xml:space="preserve"> or</w:t>
      </w:r>
      <w:r w:rsidR="008F73E7" w:rsidRPr="1C39B70E">
        <w:rPr>
          <w:color w:val="000000" w:themeColor="text1"/>
        </w:rPr>
        <w:t xml:space="preserve"> </w:t>
      </w:r>
      <w:r w:rsidR="00C66DB4">
        <w:rPr>
          <w:color w:val="000000" w:themeColor="text1"/>
        </w:rPr>
        <w:t>escalated</w:t>
      </w:r>
      <w:r w:rsidR="008F73E7" w:rsidRPr="1C39B70E">
        <w:rPr>
          <w:color w:val="000000" w:themeColor="text1"/>
        </w:rPr>
        <w:t xml:space="preserve"> conflict to generate more significant disruptions is </w:t>
      </w:r>
      <w:r w:rsidR="00531D46">
        <w:rPr>
          <w:color w:val="000000" w:themeColor="text1"/>
        </w:rPr>
        <w:t>a</w:t>
      </w:r>
      <w:r w:rsidR="008F73E7" w:rsidRPr="1C39B70E">
        <w:rPr>
          <w:color w:val="000000" w:themeColor="text1"/>
        </w:rPr>
        <w:t xml:space="preserve"> key downside risk for the global economy</w:t>
      </w:r>
      <w:r w:rsidR="00111A07">
        <w:rPr>
          <w:color w:val="000000" w:themeColor="text1"/>
        </w:rPr>
        <w:t xml:space="preserve">. </w:t>
      </w:r>
      <w:r w:rsidR="008F73E7" w:rsidRPr="1C39B70E">
        <w:rPr>
          <w:color w:val="000000" w:themeColor="text1"/>
        </w:rPr>
        <w:t>Box</w:t>
      </w:r>
      <w:r w:rsidR="008D79D5">
        <w:rPr>
          <w:color w:val="000000" w:themeColor="text1"/>
        </w:rPr>
        <w:t> </w:t>
      </w:r>
      <w:r w:rsidR="008F73E7" w:rsidRPr="1C39B70E">
        <w:rPr>
          <w:color w:val="000000" w:themeColor="text1"/>
        </w:rPr>
        <w:t>2.</w:t>
      </w:r>
      <w:r w:rsidR="007B5E1A">
        <w:rPr>
          <w:color w:val="000000" w:themeColor="text1"/>
        </w:rPr>
        <w:t>2</w:t>
      </w:r>
      <w:r w:rsidR="008F73E7">
        <w:rPr>
          <w:color w:val="000000" w:themeColor="text1"/>
        </w:rPr>
        <w:t xml:space="preserve"> further</w:t>
      </w:r>
      <w:r w:rsidR="008F73E7" w:rsidRPr="1C39B70E">
        <w:rPr>
          <w:color w:val="000000" w:themeColor="text1"/>
        </w:rPr>
        <w:t xml:space="preserve"> </w:t>
      </w:r>
      <w:r w:rsidR="007B5E1A">
        <w:rPr>
          <w:color w:val="000000" w:themeColor="text1"/>
        </w:rPr>
        <w:t>explores</w:t>
      </w:r>
      <w:r w:rsidR="008F73E7" w:rsidRPr="1C39B70E">
        <w:rPr>
          <w:color w:val="000000" w:themeColor="text1"/>
        </w:rPr>
        <w:t xml:space="preserve"> the </w:t>
      </w:r>
      <w:r w:rsidR="00B86F0C">
        <w:rPr>
          <w:color w:val="000000" w:themeColor="text1"/>
        </w:rPr>
        <w:t xml:space="preserve">global </w:t>
      </w:r>
      <w:r w:rsidR="008F73E7" w:rsidRPr="1C39B70E">
        <w:rPr>
          <w:color w:val="000000" w:themeColor="text1"/>
        </w:rPr>
        <w:t>economic impacts of the conflict.</w:t>
      </w:r>
    </w:p>
    <w:p w14:paraId="1872C6A1" w14:textId="6EDA7DDF" w:rsidR="008F73E7" w:rsidRDefault="00DF06BA" w:rsidP="008F73E7">
      <w:pPr>
        <w:rPr>
          <w:color w:val="000000" w:themeColor="text1"/>
        </w:rPr>
      </w:pPr>
      <w:r>
        <w:rPr>
          <w:color w:val="000000" w:themeColor="text1"/>
        </w:rPr>
        <w:t>G</w:t>
      </w:r>
      <w:r w:rsidRPr="12A624DF">
        <w:rPr>
          <w:color w:val="000000" w:themeColor="text1"/>
        </w:rPr>
        <w:t xml:space="preserve">lobal </w:t>
      </w:r>
      <w:r w:rsidR="5F831880" w:rsidRPr="12A624DF">
        <w:rPr>
          <w:color w:val="000000" w:themeColor="text1"/>
        </w:rPr>
        <w:t>growth is expected to be 3¾ per cent in 2022, 3¾ per cent in 2023, and 3½ per cent in 2024</w:t>
      </w:r>
      <w:r w:rsidR="00111A07">
        <w:rPr>
          <w:color w:val="000000" w:themeColor="text1"/>
        </w:rPr>
        <w:t xml:space="preserve">. </w:t>
      </w:r>
      <w:r w:rsidR="5F831880" w:rsidRPr="12A624DF">
        <w:rPr>
          <w:color w:val="000000" w:themeColor="text1"/>
        </w:rPr>
        <w:t>Growth in Australia</w:t>
      </w:r>
      <w:r w:rsidR="00111A07">
        <w:rPr>
          <w:color w:val="000000" w:themeColor="text1"/>
        </w:rPr>
        <w:t>’</w:t>
      </w:r>
      <w:r w:rsidR="5F831880" w:rsidRPr="12A624DF">
        <w:rPr>
          <w:color w:val="000000" w:themeColor="text1"/>
        </w:rPr>
        <w:t xml:space="preserve">s major trading partners is forecast to be </w:t>
      </w:r>
      <w:r w:rsidR="00335536">
        <w:rPr>
          <w:color w:val="000000" w:themeColor="text1"/>
        </w:rPr>
        <w:t>slightly</w:t>
      </w:r>
      <w:r w:rsidR="00335536" w:rsidRPr="12A624DF">
        <w:rPr>
          <w:color w:val="000000" w:themeColor="text1"/>
        </w:rPr>
        <w:t xml:space="preserve"> </w:t>
      </w:r>
      <w:r w:rsidR="5F831880" w:rsidRPr="12A624DF">
        <w:rPr>
          <w:color w:val="000000" w:themeColor="text1"/>
        </w:rPr>
        <w:t>higher than global growth, at 4¼ per cent in 2022, 4 per cent in 2023 and 3¾ per cent in 2024</w:t>
      </w:r>
      <w:r w:rsidR="00111A07">
        <w:rPr>
          <w:color w:val="000000" w:themeColor="text1"/>
        </w:rPr>
        <w:t xml:space="preserve">. </w:t>
      </w:r>
    </w:p>
    <w:p w14:paraId="1C83583D" w14:textId="5EBAB9B7" w:rsidR="0057473D" w:rsidRPr="00A55164" w:rsidRDefault="009F6DF0" w:rsidP="00EB5726">
      <w:bookmarkStart w:id="6" w:name="_Hlk98835092"/>
      <w:r w:rsidRPr="00A55164">
        <w:t xml:space="preserve">Many advanced economies have experienced </w:t>
      </w:r>
      <w:r w:rsidR="008C0951">
        <w:t>m</w:t>
      </w:r>
      <w:r w:rsidR="00E04346">
        <w:t>ore significant inflationary pressures</w:t>
      </w:r>
      <w:r w:rsidR="00D622EF">
        <w:t xml:space="preserve"> than seen in Australia</w:t>
      </w:r>
      <w:r w:rsidRPr="00A55164">
        <w:t>, including the United States</w:t>
      </w:r>
      <w:r w:rsidRPr="00A64FFA">
        <w:t xml:space="preserve"> wh</w:t>
      </w:r>
      <w:r w:rsidRPr="002B5DE9">
        <w:t xml:space="preserve">ere inflation reached a </w:t>
      </w:r>
      <w:r w:rsidR="272AF13D">
        <w:t>40</w:t>
      </w:r>
      <w:r w:rsidR="00111A07">
        <w:noBreakHyphen/>
      </w:r>
      <w:r w:rsidR="272AF13D">
        <w:t>year</w:t>
      </w:r>
      <w:r w:rsidRPr="002B5DE9">
        <w:t xml:space="preserve"> </w:t>
      </w:r>
      <w:r w:rsidRPr="002B5DE9">
        <w:lastRenderedPageBreak/>
        <w:t>high of 7.9 per cent in February</w:t>
      </w:r>
      <w:r w:rsidR="00FE12C4" w:rsidRPr="00DA540D">
        <w:t xml:space="preserve"> (Chart 2.1)</w:t>
      </w:r>
      <w:r w:rsidR="00111A07">
        <w:t xml:space="preserve">. </w:t>
      </w:r>
      <w:r w:rsidRPr="00DA540D">
        <w:t>The</w:t>
      </w:r>
      <w:r w:rsidR="00CD1DB9" w:rsidRPr="00A55164">
        <w:t xml:space="preserve"> impact of the</w:t>
      </w:r>
      <w:r w:rsidRPr="00A55164">
        <w:t xml:space="preserve"> </w:t>
      </w:r>
      <w:r w:rsidR="00FD63BB">
        <w:t>Ukraine conflict</w:t>
      </w:r>
      <w:r w:rsidR="0057473D" w:rsidRPr="00A55164">
        <w:t xml:space="preserve"> </w:t>
      </w:r>
      <w:r w:rsidR="00CD1DB9" w:rsidRPr="00A55164">
        <w:t xml:space="preserve">is not yet </w:t>
      </w:r>
      <w:r w:rsidR="005F233E">
        <w:t xml:space="preserve">fully </w:t>
      </w:r>
      <w:r w:rsidR="00CD1DB9" w:rsidRPr="00A55164">
        <w:t xml:space="preserve">reflected in official data but </w:t>
      </w:r>
      <w:r w:rsidR="0057473D" w:rsidRPr="00A55164">
        <w:t xml:space="preserve">will </w:t>
      </w:r>
      <w:r w:rsidRPr="00A55164">
        <w:t xml:space="preserve">further </w:t>
      </w:r>
      <w:r w:rsidR="0057473D" w:rsidRPr="00A55164">
        <w:t xml:space="preserve">add to </w:t>
      </w:r>
      <w:r w:rsidR="00B32B83" w:rsidRPr="00A55164">
        <w:t xml:space="preserve">global </w:t>
      </w:r>
      <w:r w:rsidR="0057473D" w:rsidRPr="00A55164">
        <w:t xml:space="preserve">inflationary pressures </w:t>
      </w:r>
      <w:r w:rsidR="00B32B83" w:rsidRPr="00A55164">
        <w:t>this year</w:t>
      </w:r>
      <w:r w:rsidR="00111A07">
        <w:t xml:space="preserve">. </w:t>
      </w:r>
      <w:r w:rsidR="00B51A1F" w:rsidRPr="00A55164">
        <w:t xml:space="preserve">Higher global </w:t>
      </w:r>
      <w:r w:rsidR="00163219" w:rsidRPr="00A55164">
        <w:t>energy prices</w:t>
      </w:r>
      <w:r w:rsidR="00B51A1F" w:rsidRPr="00A55164">
        <w:t xml:space="preserve"> will weigh on real incomes and dampen private demand</w:t>
      </w:r>
      <w:r w:rsidR="00111A07">
        <w:t xml:space="preserve">. </w:t>
      </w:r>
      <w:r w:rsidR="00A07DDD" w:rsidRPr="008C38CE">
        <w:t>Even before the conflict, higher energy prices directly accounted for more than half of headline inflation in some advanced economies, even though energy typically accounts for less than 10 per cent of the consumption basket</w:t>
      </w:r>
      <w:r w:rsidR="00111A07">
        <w:t xml:space="preserve">. </w:t>
      </w:r>
    </w:p>
    <w:p w14:paraId="2A7991D5" w14:textId="151DDE2E" w:rsidR="00333E3F" w:rsidRPr="00A55164" w:rsidRDefault="006D0DAC" w:rsidP="00993F84">
      <w:pPr>
        <w:spacing w:before="240"/>
      </w:pPr>
      <w:r w:rsidRPr="00A55164">
        <w:t>A significant tightening in l</w:t>
      </w:r>
      <w:r w:rsidR="00770079" w:rsidRPr="00A55164">
        <w:t xml:space="preserve">abour markets </w:t>
      </w:r>
      <w:r w:rsidR="00FB540C" w:rsidRPr="00A55164">
        <w:t>is also</w:t>
      </w:r>
      <w:r w:rsidR="00FB540C" w:rsidRPr="00577226">
        <w:t xml:space="preserve"> </w:t>
      </w:r>
      <w:r w:rsidR="483E2426" w:rsidRPr="00577226">
        <w:t>contribut</w:t>
      </w:r>
      <w:r w:rsidR="00AF314B" w:rsidRPr="00A55164">
        <w:t>ing</w:t>
      </w:r>
      <w:r w:rsidR="00FB540C" w:rsidRPr="00A55164">
        <w:t xml:space="preserve"> to inflationary </w:t>
      </w:r>
      <w:r w:rsidR="00D5638C" w:rsidRPr="00A55164">
        <w:t xml:space="preserve">wage </w:t>
      </w:r>
      <w:r w:rsidR="00FB540C" w:rsidRPr="00A55164">
        <w:t xml:space="preserve">pressure in </w:t>
      </w:r>
      <w:r w:rsidR="002C4E96">
        <w:t xml:space="preserve">some </w:t>
      </w:r>
      <w:r w:rsidR="00FB540C" w:rsidRPr="00A55164">
        <w:t>advanced economies</w:t>
      </w:r>
      <w:r w:rsidR="00111A07">
        <w:t xml:space="preserve">. </w:t>
      </w:r>
      <w:r w:rsidR="00B8204B" w:rsidRPr="00A55164">
        <w:t>I</w:t>
      </w:r>
      <w:r w:rsidR="009A5CEB" w:rsidRPr="00A55164">
        <w:t>n</w:t>
      </w:r>
      <w:r w:rsidR="00584781" w:rsidRPr="00A55164">
        <w:t xml:space="preserve"> the UK and </w:t>
      </w:r>
      <w:r w:rsidR="00584781" w:rsidRPr="00577226">
        <w:t>US</w:t>
      </w:r>
      <w:r w:rsidR="001F1CEF" w:rsidRPr="00A55164">
        <w:t>,</w:t>
      </w:r>
      <w:r w:rsidR="009A5CEB" w:rsidRPr="00A55164">
        <w:t xml:space="preserve"> employment remains below pre</w:t>
      </w:r>
      <w:r w:rsidR="00111A07">
        <w:noBreakHyphen/>
      </w:r>
      <w:r w:rsidR="009A5CEB" w:rsidRPr="00A55164">
        <w:t xml:space="preserve">pandemic levels </w:t>
      </w:r>
      <w:r w:rsidR="008E4632" w:rsidRPr="00A55164">
        <w:t>and participation rates have fallen</w:t>
      </w:r>
      <w:r w:rsidR="0F626214" w:rsidRPr="0057125C">
        <w:t xml:space="preserve"> despite </w:t>
      </w:r>
      <w:r w:rsidR="2EA6F6C2" w:rsidRPr="0057125C">
        <w:t xml:space="preserve">strong </w:t>
      </w:r>
      <w:r w:rsidR="2EA6F6C2" w:rsidRPr="008C38CE">
        <w:t>demand</w:t>
      </w:r>
      <w:r w:rsidR="00111A07">
        <w:t xml:space="preserve">. </w:t>
      </w:r>
      <w:r w:rsidR="00DA6A0A" w:rsidRPr="008C38CE">
        <w:t>This</w:t>
      </w:r>
      <w:r w:rsidR="00B258D7">
        <w:t> </w:t>
      </w:r>
      <w:r w:rsidR="00DA6A0A" w:rsidRPr="008C38CE">
        <w:t>suggests</w:t>
      </w:r>
      <w:r w:rsidR="002841C5" w:rsidRPr="008C38CE">
        <w:t xml:space="preserve"> a degree of labour market scarring from the pandemic </w:t>
      </w:r>
      <w:r w:rsidR="00F775AE" w:rsidRPr="008C38CE">
        <w:t>i</w:t>
      </w:r>
      <w:r w:rsidR="005B08D0" w:rsidRPr="008C38CE">
        <w:t>s</w:t>
      </w:r>
      <w:r w:rsidR="00F775AE" w:rsidRPr="008C38CE">
        <w:t xml:space="preserve"> constraining labour</w:t>
      </w:r>
      <w:r w:rsidR="00F775AE" w:rsidRPr="00DA540D">
        <w:t xml:space="preserve"> supply</w:t>
      </w:r>
      <w:r w:rsidR="00E11A60" w:rsidRPr="00DA540D">
        <w:t> (Chart 2.2)</w:t>
      </w:r>
      <w:r w:rsidR="00111A07">
        <w:t xml:space="preserve">. </w:t>
      </w:r>
      <w:r w:rsidR="00D81400">
        <w:t>In contrast, in Australia</w:t>
      </w:r>
      <w:r w:rsidR="00F62AF8">
        <w:t>,</w:t>
      </w:r>
      <w:r w:rsidR="00D81400">
        <w:t xml:space="preserve"> employment has fully recovered with a record </w:t>
      </w:r>
      <w:r w:rsidR="00B578AB">
        <w:t>proportion</w:t>
      </w:r>
      <w:r w:rsidR="00D81400">
        <w:t xml:space="preserve"> of people in work and the participation rate </w:t>
      </w:r>
      <w:r w:rsidR="00817084">
        <w:t>at</w:t>
      </w:r>
      <w:r w:rsidR="00D81400">
        <w:t xml:space="preserve"> a record high of</w:t>
      </w:r>
      <w:r w:rsidR="00B258D7">
        <w:t xml:space="preserve"> </w:t>
      </w:r>
      <w:r w:rsidR="00D81400">
        <w:t>66.4 per cent.</w:t>
      </w:r>
    </w:p>
    <w:tbl>
      <w:tblPr>
        <w:tblStyle w:val="TableGrid"/>
        <w:tblW w:w="0" w:type="auto"/>
        <w:tblLook w:val="04A0" w:firstRow="1" w:lastRow="0" w:firstColumn="1" w:lastColumn="0" w:noHBand="0" w:noVBand="1"/>
      </w:tblPr>
      <w:tblGrid>
        <w:gridCol w:w="3859"/>
        <w:gridCol w:w="3851"/>
      </w:tblGrid>
      <w:tr w:rsidR="00731FB2" w:rsidRPr="00A55164" w14:paraId="1E7B0C59" w14:textId="77777777" w:rsidTr="009546CD">
        <w:trPr>
          <w:trHeight w:val="375"/>
        </w:trPr>
        <w:tc>
          <w:tcPr>
            <w:tcW w:w="3859" w:type="dxa"/>
            <w:tcBorders>
              <w:top w:val="nil"/>
              <w:left w:val="nil"/>
              <w:bottom w:val="nil"/>
              <w:right w:val="nil"/>
            </w:tcBorders>
            <w:hideMark/>
          </w:tcPr>
          <w:p w14:paraId="54005BE6" w14:textId="5269110E" w:rsidR="00731FB2" w:rsidRPr="00A55164" w:rsidRDefault="00731FB2" w:rsidP="00D12556">
            <w:pPr>
              <w:pStyle w:val="ChartHeading"/>
              <w:spacing w:line="260" w:lineRule="exact"/>
            </w:pPr>
            <w:r w:rsidRPr="00CB65C1">
              <w:rPr>
                <w:rFonts w:cs="Arial"/>
              </w:rPr>
              <w:t xml:space="preserve">Chart </w:t>
            </w:r>
            <w:r w:rsidR="00E11A60">
              <w:rPr>
                <w:rFonts w:cs="Arial"/>
              </w:rPr>
              <w:t>2.1</w:t>
            </w:r>
            <w:r w:rsidRPr="00CB65C1">
              <w:rPr>
                <w:rFonts w:cs="Arial"/>
              </w:rPr>
              <w:t xml:space="preserve"> </w:t>
            </w:r>
            <w:r w:rsidR="005B08D0">
              <w:rPr>
                <w:rFonts w:cs="Arial"/>
              </w:rPr>
              <w:t>Annual h</w:t>
            </w:r>
            <w:r w:rsidR="006C406B">
              <w:rPr>
                <w:rFonts w:cs="Arial"/>
              </w:rPr>
              <w:t>eadline c</w:t>
            </w:r>
            <w:r w:rsidR="008D79D5">
              <w:rPr>
                <w:rFonts w:cs="Arial"/>
              </w:rPr>
              <w:t xml:space="preserve">onsumer </w:t>
            </w:r>
            <w:r w:rsidR="006C406B">
              <w:rPr>
                <w:rFonts w:cs="Arial"/>
              </w:rPr>
              <w:t>p</w:t>
            </w:r>
            <w:r w:rsidR="008D79D5">
              <w:rPr>
                <w:rFonts w:cs="Arial"/>
              </w:rPr>
              <w:t xml:space="preserve">rice </w:t>
            </w:r>
            <w:r w:rsidR="006C406B">
              <w:rPr>
                <w:rFonts w:cs="Arial"/>
              </w:rPr>
              <w:t>i</w:t>
            </w:r>
            <w:r w:rsidR="008D79D5">
              <w:rPr>
                <w:rFonts w:cs="Arial"/>
              </w:rPr>
              <w:t>nflation</w:t>
            </w:r>
          </w:p>
        </w:tc>
        <w:tc>
          <w:tcPr>
            <w:tcW w:w="3851" w:type="dxa"/>
            <w:tcBorders>
              <w:top w:val="nil"/>
              <w:left w:val="nil"/>
              <w:bottom w:val="nil"/>
              <w:right w:val="nil"/>
            </w:tcBorders>
          </w:tcPr>
          <w:p w14:paraId="2CD2650A" w14:textId="014B60C2" w:rsidR="00731FB2" w:rsidRPr="00A55164" w:rsidRDefault="00731FB2" w:rsidP="00D12556">
            <w:pPr>
              <w:pStyle w:val="ChartHeading"/>
              <w:spacing w:line="260" w:lineRule="exact"/>
            </w:pPr>
            <w:r w:rsidRPr="00374726">
              <w:rPr>
                <w:rFonts w:cs="Arial"/>
              </w:rPr>
              <w:t xml:space="preserve">Chart </w:t>
            </w:r>
            <w:r w:rsidR="00E11A60" w:rsidRPr="00374726">
              <w:rPr>
                <w:rFonts w:cs="Arial"/>
              </w:rPr>
              <w:t>2.2</w:t>
            </w:r>
            <w:r w:rsidRPr="00374726">
              <w:rPr>
                <w:rFonts w:cs="Arial"/>
              </w:rPr>
              <w:t xml:space="preserve"> </w:t>
            </w:r>
            <w:r w:rsidR="35F006CE" w:rsidRPr="00374726">
              <w:rPr>
                <w:rFonts w:cs="Arial"/>
              </w:rPr>
              <w:t>Change</w:t>
            </w:r>
            <w:r w:rsidR="009546CD">
              <w:rPr>
                <w:rFonts w:cs="Arial"/>
              </w:rPr>
              <w:t xml:space="preserve"> </w:t>
            </w:r>
            <w:r w:rsidR="35F006CE" w:rsidRPr="4D1D932C">
              <w:rPr>
                <w:rFonts w:cs="Arial"/>
              </w:rPr>
              <w:t>in participation</w:t>
            </w:r>
            <w:r w:rsidR="001674D1" w:rsidRPr="00374726">
              <w:rPr>
                <w:rFonts w:cs="Arial"/>
              </w:rPr>
              <w:t xml:space="preserve"> rate</w:t>
            </w:r>
            <w:r w:rsidR="009546CD" w:rsidRPr="00374726">
              <w:rPr>
                <w:rFonts w:cs="Arial"/>
              </w:rPr>
              <w:t xml:space="preserve"> </w:t>
            </w:r>
            <w:r w:rsidR="35F006CE" w:rsidRPr="4D1D932C">
              <w:rPr>
                <w:rFonts w:cs="Arial"/>
              </w:rPr>
              <w:t>relative to</w:t>
            </w:r>
            <w:r w:rsidR="009546CD" w:rsidRPr="00374726">
              <w:rPr>
                <w:rFonts w:cs="Arial"/>
              </w:rPr>
              <w:t xml:space="preserve"> pre</w:t>
            </w:r>
            <w:r w:rsidR="00111A07">
              <w:rPr>
                <w:rFonts w:cs="Arial"/>
              </w:rPr>
              <w:noBreakHyphen/>
            </w:r>
            <w:r w:rsidR="009546CD" w:rsidRPr="00374726">
              <w:rPr>
                <w:rFonts w:cs="Arial"/>
              </w:rPr>
              <w:t xml:space="preserve">pandemic </w:t>
            </w:r>
          </w:p>
        </w:tc>
      </w:tr>
      <w:tr w:rsidR="00731FB2" w:rsidRPr="00A55164" w14:paraId="2750ED86" w14:textId="77777777" w:rsidTr="009546CD">
        <w:trPr>
          <w:trHeight w:val="3285"/>
        </w:trPr>
        <w:tc>
          <w:tcPr>
            <w:tcW w:w="3859" w:type="dxa"/>
            <w:tcBorders>
              <w:top w:val="nil"/>
              <w:left w:val="nil"/>
              <w:bottom w:val="nil"/>
              <w:right w:val="nil"/>
            </w:tcBorders>
            <w:hideMark/>
          </w:tcPr>
          <w:p w14:paraId="49067C77" w14:textId="37542BB4" w:rsidR="00731FB2" w:rsidRPr="00A55164" w:rsidRDefault="00CA09A0" w:rsidP="00A14F86">
            <w:pPr>
              <w:pStyle w:val="ChartGraphic"/>
            </w:pPr>
            <w:r w:rsidRPr="00CA09A0">
              <w:rPr>
                <w:noProof/>
              </w:rPr>
              <w:drawing>
                <wp:inline distT="0" distB="0" distL="0" distR="0" wp14:anchorId="5F22D4E4" wp14:editId="7102CDDB">
                  <wp:extent cx="2312035" cy="2303145"/>
                  <wp:effectExtent l="0" t="0" r="0" b="1905"/>
                  <wp:docPr id="1" name="Picture 1" descr="This chart shows the most recent headline inflation outcome for Australia and selected advanced econom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chart shows the most recent headline inflation outcome for Australia and selected advanced economi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2035" cy="2303145"/>
                          </a:xfrm>
                          <a:prstGeom prst="rect">
                            <a:avLst/>
                          </a:prstGeom>
                          <a:noFill/>
                          <a:ln>
                            <a:noFill/>
                          </a:ln>
                        </pic:spPr>
                      </pic:pic>
                    </a:graphicData>
                  </a:graphic>
                </wp:inline>
              </w:drawing>
            </w:r>
          </w:p>
        </w:tc>
        <w:tc>
          <w:tcPr>
            <w:tcW w:w="3851" w:type="dxa"/>
            <w:tcBorders>
              <w:top w:val="nil"/>
              <w:left w:val="nil"/>
              <w:bottom w:val="nil"/>
              <w:right w:val="nil"/>
            </w:tcBorders>
            <w:hideMark/>
          </w:tcPr>
          <w:p w14:paraId="18E1BE5E" w14:textId="65FC1193" w:rsidR="00731FB2" w:rsidRPr="00A55164" w:rsidRDefault="00FF68B6" w:rsidP="00D12556">
            <w:pPr>
              <w:pStyle w:val="ChartGraphic"/>
            </w:pPr>
            <w:r w:rsidRPr="00FF68B6">
              <w:rPr>
                <w:noProof/>
              </w:rPr>
              <w:drawing>
                <wp:inline distT="0" distB="0" distL="0" distR="0" wp14:anchorId="07833072" wp14:editId="3BDD7E9F">
                  <wp:extent cx="2305050" cy="2305050"/>
                  <wp:effectExtent l="0" t="0" r="0" b="0"/>
                  <wp:docPr id="2" name="Picture 2" descr="This chart shows the change in the labour force participation rate for 15-64 year olds relative to pre-pandemic in Australia, the euro area, the US and UK. Australia's labour force participation has increased over 1 percentage point, while participation has declined in the US and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chart shows the change in the labour force participation rate for 15-64 year olds relative to pre-pandemic in Australia, the euro area, the US and UK. Australia's labour force participation has increased over 1 percentage point, while participation has declined in the US and U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inline>
              </w:drawing>
            </w:r>
            <w:r w:rsidR="00B74D99" w:rsidRPr="00B74D99" w:rsidDel="00B74D99">
              <w:t xml:space="preserve"> </w:t>
            </w:r>
          </w:p>
        </w:tc>
      </w:tr>
      <w:tr w:rsidR="00731FB2" w:rsidRPr="00A55164" w14:paraId="01C74AA2" w14:textId="77777777" w:rsidTr="001D3CA7">
        <w:trPr>
          <w:trHeight w:val="218"/>
        </w:trPr>
        <w:tc>
          <w:tcPr>
            <w:tcW w:w="3859" w:type="dxa"/>
            <w:tcBorders>
              <w:top w:val="nil"/>
              <w:left w:val="nil"/>
              <w:bottom w:val="nil"/>
              <w:right w:val="nil"/>
            </w:tcBorders>
          </w:tcPr>
          <w:p w14:paraId="66B4EB32" w14:textId="2ED24BA9" w:rsidR="00731FB2" w:rsidRPr="00A55164" w:rsidRDefault="00731FB2" w:rsidP="00D12556">
            <w:pPr>
              <w:pStyle w:val="OutlineNumbered1"/>
              <w:keepNext/>
              <w:tabs>
                <w:tab w:val="clear" w:pos="520"/>
                <w:tab w:val="left" w:pos="720"/>
              </w:tabs>
              <w:spacing w:after="0" w:line="240" w:lineRule="auto"/>
              <w:jc w:val="both"/>
              <w:rPr>
                <w:rFonts w:ascii="Arial" w:hAnsi="Arial" w:cs="Arial"/>
                <w:sz w:val="16"/>
                <w:szCs w:val="16"/>
              </w:rPr>
            </w:pPr>
            <w:r w:rsidRPr="00A55164">
              <w:rPr>
                <w:rFonts w:ascii="Arial" w:hAnsi="Arial" w:cs="Arial"/>
                <w:sz w:val="16"/>
                <w:szCs w:val="16"/>
              </w:rPr>
              <w:t xml:space="preserve">Source: </w:t>
            </w:r>
            <w:r w:rsidR="00A14F86" w:rsidRPr="00A55164">
              <w:rPr>
                <w:rFonts w:ascii="Arial" w:hAnsi="Arial" w:cs="Arial"/>
                <w:sz w:val="16"/>
                <w:szCs w:val="16"/>
              </w:rPr>
              <w:tab/>
            </w:r>
            <w:r w:rsidRPr="00A55164">
              <w:rPr>
                <w:rFonts w:ascii="Arial" w:hAnsi="Arial" w:cs="Arial"/>
                <w:sz w:val="16"/>
                <w:szCs w:val="16"/>
              </w:rPr>
              <w:t>Refinitiv, national statistical agencies</w:t>
            </w:r>
            <w:r w:rsidR="00013B2B">
              <w:rPr>
                <w:rFonts w:ascii="Arial" w:hAnsi="Arial" w:cs="Arial"/>
                <w:sz w:val="16"/>
                <w:szCs w:val="16"/>
              </w:rPr>
              <w:t>.</w:t>
            </w:r>
          </w:p>
        </w:tc>
        <w:tc>
          <w:tcPr>
            <w:tcW w:w="3851" w:type="dxa"/>
            <w:tcBorders>
              <w:top w:val="nil"/>
              <w:left w:val="nil"/>
              <w:bottom w:val="nil"/>
              <w:right w:val="nil"/>
            </w:tcBorders>
            <w:hideMark/>
          </w:tcPr>
          <w:p w14:paraId="6F710BFD" w14:textId="54AD6B8F" w:rsidR="00731FB2" w:rsidRDefault="00731FB2" w:rsidP="00D12556">
            <w:pPr>
              <w:pStyle w:val="OutlineNumbered1"/>
              <w:keepNext/>
              <w:tabs>
                <w:tab w:val="clear" w:pos="520"/>
                <w:tab w:val="left" w:pos="720"/>
              </w:tabs>
              <w:spacing w:after="0" w:line="240" w:lineRule="auto"/>
              <w:ind w:left="567" w:hanging="567"/>
              <w:rPr>
                <w:rFonts w:ascii="Arial" w:hAnsi="Arial" w:cs="Arial"/>
                <w:sz w:val="16"/>
                <w:szCs w:val="16"/>
              </w:rPr>
            </w:pPr>
            <w:r w:rsidRPr="00A55164">
              <w:rPr>
                <w:rFonts w:ascii="Arial" w:hAnsi="Arial" w:cs="Arial"/>
                <w:sz w:val="16"/>
                <w:szCs w:val="16"/>
              </w:rPr>
              <w:t xml:space="preserve">Source: </w:t>
            </w:r>
            <w:r w:rsidR="00A14F86" w:rsidRPr="00A55164">
              <w:rPr>
                <w:rFonts w:ascii="Arial" w:hAnsi="Arial" w:cs="Arial"/>
                <w:sz w:val="16"/>
                <w:szCs w:val="16"/>
              </w:rPr>
              <w:tab/>
            </w:r>
            <w:r w:rsidR="009546CD" w:rsidRPr="00A55164">
              <w:rPr>
                <w:rFonts w:ascii="Arial" w:hAnsi="Arial" w:cs="Arial"/>
                <w:sz w:val="16"/>
                <w:szCs w:val="16"/>
              </w:rPr>
              <w:t>Refinitiv, national statistical agencies</w:t>
            </w:r>
            <w:r w:rsidR="00013B2B">
              <w:rPr>
                <w:rFonts w:ascii="Arial" w:hAnsi="Arial" w:cs="Arial"/>
                <w:sz w:val="16"/>
                <w:szCs w:val="16"/>
              </w:rPr>
              <w:t>.</w:t>
            </w:r>
          </w:p>
          <w:p w14:paraId="45AFBBE0" w14:textId="3E737C36" w:rsidR="00731FB2" w:rsidRPr="00A55164" w:rsidRDefault="00731FB2" w:rsidP="00D12556">
            <w:pPr>
              <w:pStyle w:val="OutlineNumbered1"/>
              <w:keepNext/>
              <w:tabs>
                <w:tab w:val="clear" w:pos="520"/>
                <w:tab w:val="left" w:pos="720"/>
              </w:tabs>
              <w:spacing w:after="0" w:line="240" w:lineRule="auto"/>
              <w:ind w:left="567" w:hanging="567"/>
              <w:rPr>
                <w:rFonts w:ascii="Arial" w:hAnsi="Arial" w:cs="Arial"/>
                <w:sz w:val="16"/>
                <w:szCs w:val="16"/>
              </w:rPr>
            </w:pPr>
          </w:p>
        </w:tc>
      </w:tr>
    </w:tbl>
    <w:p w14:paraId="596CADB6" w14:textId="1D9CE34B" w:rsidR="004A275E" w:rsidRPr="00A55164" w:rsidRDefault="003A1374" w:rsidP="00EB2BE4">
      <w:pPr>
        <w:spacing w:before="160"/>
      </w:pPr>
      <w:r w:rsidRPr="00A64FFA">
        <w:t xml:space="preserve">Financial markets </w:t>
      </w:r>
      <w:r w:rsidR="00163219" w:rsidRPr="00DA540D">
        <w:t xml:space="preserve">and policy makers </w:t>
      </w:r>
      <w:r w:rsidRPr="00DA540D">
        <w:t xml:space="preserve">have </w:t>
      </w:r>
      <w:r w:rsidR="006E2CBF" w:rsidRPr="00A55164">
        <w:t xml:space="preserve">revised up near term inflation </w:t>
      </w:r>
      <w:r w:rsidR="00883655" w:rsidRPr="00A55164">
        <w:t>projections</w:t>
      </w:r>
      <w:r w:rsidR="006E2CBF" w:rsidRPr="00A55164">
        <w:t xml:space="preserve"> </w:t>
      </w:r>
      <w:r w:rsidR="00B10CFC" w:rsidRPr="00A55164">
        <w:t xml:space="preserve">in response to </w:t>
      </w:r>
      <w:r w:rsidR="00F81473">
        <w:t>higher</w:t>
      </w:r>
      <w:r w:rsidR="00111A07">
        <w:noBreakHyphen/>
      </w:r>
      <w:r w:rsidR="00F81473">
        <w:t>than</w:t>
      </w:r>
      <w:r w:rsidR="00111A07">
        <w:noBreakHyphen/>
      </w:r>
      <w:r w:rsidR="00F81473">
        <w:t>expected</w:t>
      </w:r>
      <w:r w:rsidR="00B10CFC" w:rsidRPr="00A55164">
        <w:t xml:space="preserve"> </w:t>
      </w:r>
      <w:r w:rsidR="00163219" w:rsidRPr="00A55164">
        <w:t xml:space="preserve">inflation and </w:t>
      </w:r>
      <w:r w:rsidR="00262AA9">
        <w:t xml:space="preserve">the </w:t>
      </w:r>
      <w:r w:rsidR="00B10CFC" w:rsidRPr="00A55164">
        <w:t xml:space="preserve">sharp </w:t>
      </w:r>
      <w:r w:rsidR="00B50160" w:rsidRPr="00A55164">
        <w:t>increase</w:t>
      </w:r>
      <w:r w:rsidR="00B10CFC" w:rsidRPr="00A55164">
        <w:t xml:space="preserve"> in commodity prices</w:t>
      </w:r>
      <w:r w:rsidR="00111A07">
        <w:t xml:space="preserve">. </w:t>
      </w:r>
      <w:r w:rsidR="00D9455C" w:rsidRPr="00A55164">
        <w:t>Inflation last year overshot the Federal Reserve</w:t>
      </w:r>
      <w:r w:rsidR="00111A07">
        <w:t>’</w:t>
      </w:r>
      <w:r w:rsidR="00D9455C" w:rsidRPr="00A55164">
        <w:t xml:space="preserve">s </w:t>
      </w:r>
      <w:proofErr w:type="gramStart"/>
      <w:r w:rsidR="00D9455C" w:rsidRPr="008C38CE">
        <w:t>projection</w:t>
      </w:r>
      <w:proofErr w:type="gramEnd"/>
      <w:r w:rsidR="00D9455C" w:rsidRPr="00A55164">
        <w:t xml:space="preserve"> and</w:t>
      </w:r>
      <w:r w:rsidR="00EB61AC">
        <w:t>,</w:t>
      </w:r>
      <w:r w:rsidR="00D9455C" w:rsidRPr="00A55164">
        <w:t xml:space="preserve"> at its March meeting</w:t>
      </w:r>
      <w:r w:rsidR="00EB61AC">
        <w:t>,</w:t>
      </w:r>
      <w:r w:rsidR="00D9455C" w:rsidRPr="00A55164">
        <w:t xml:space="preserve"> </w:t>
      </w:r>
      <w:r w:rsidR="00262AA9">
        <w:t>the Federal Reserve</w:t>
      </w:r>
      <w:r w:rsidR="00D9455C" w:rsidRPr="00A55164">
        <w:t xml:space="preserve"> si</w:t>
      </w:r>
      <w:r w:rsidR="00E03A07" w:rsidRPr="00A55164">
        <w:t>gnificantly increased its inflation projections for 2022 and 2023</w:t>
      </w:r>
      <w:r w:rsidR="00FF5A2A" w:rsidRPr="00A55164">
        <w:t xml:space="preserve"> (Chart</w:t>
      </w:r>
      <w:r w:rsidR="00E35132">
        <w:t> </w:t>
      </w:r>
      <w:r w:rsidR="00FF5A2A" w:rsidRPr="00A55164">
        <w:t>2.3)</w:t>
      </w:r>
      <w:r w:rsidR="00111A07">
        <w:t xml:space="preserve">. </w:t>
      </w:r>
      <w:r w:rsidR="002441AC" w:rsidRPr="00A55164">
        <w:t xml:space="preserve">Market implied inflation expectations are broadly in line with the </w:t>
      </w:r>
      <w:r w:rsidR="0049578C">
        <w:t>Federal Reserve</w:t>
      </w:r>
      <w:r w:rsidR="00111A07">
        <w:t>’</w:t>
      </w:r>
      <w:r w:rsidR="0049578C">
        <w:t>s</w:t>
      </w:r>
      <w:r w:rsidR="002441AC" w:rsidRPr="00A55164">
        <w:t xml:space="preserve"> projection that inflation </w:t>
      </w:r>
      <w:r w:rsidR="006E2CBF" w:rsidRPr="00A55164">
        <w:t xml:space="preserve">will </w:t>
      </w:r>
      <w:r w:rsidR="002441AC" w:rsidRPr="00A55164">
        <w:t>return</w:t>
      </w:r>
      <w:r w:rsidR="00CA38E0" w:rsidRPr="00A55164">
        <w:t xml:space="preserve"> to target </w:t>
      </w:r>
      <w:r w:rsidR="00B71E5E" w:rsidRPr="00A55164">
        <w:t xml:space="preserve">around the end of </w:t>
      </w:r>
      <w:r w:rsidR="006C7D74" w:rsidRPr="00A55164">
        <w:t>202</w:t>
      </w:r>
      <w:r w:rsidR="00B71E5E" w:rsidRPr="00A55164">
        <w:t>4</w:t>
      </w:r>
      <w:r w:rsidR="00111A07">
        <w:t xml:space="preserve">. </w:t>
      </w:r>
      <w:r w:rsidR="005250F3" w:rsidRPr="00A55164">
        <w:t>This</w:t>
      </w:r>
      <w:r w:rsidR="00B258D7">
        <w:t> </w:t>
      </w:r>
      <w:r w:rsidR="005250F3" w:rsidRPr="00A55164">
        <w:t>suggest</w:t>
      </w:r>
      <w:r w:rsidR="00B50160" w:rsidRPr="00A55164">
        <w:t>s</w:t>
      </w:r>
      <w:r w:rsidR="006C7D74" w:rsidRPr="00A55164">
        <w:t xml:space="preserve"> </w:t>
      </w:r>
      <w:r w:rsidR="005152BA" w:rsidRPr="00A55164">
        <w:t>longer</w:t>
      </w:r>
      <w:r w:rsidR="00111A07">
        <w:noBreakHyphen/>
      </w:r>
      <w:r w:rsidR="005152BA" w:rsidRPr="00A55164">
        <w:t xml:space="preserve">term </w:t>
      </w:r>
      <w:r w:rsidR="006C7D74" w:rsidRPr="00A55164">
        <w:t xml:space="preserve">inflation </w:t>
      </w:r>
      <w:r w:rsidR="005250F3" w:rsidRPr="00A55164">
        <w:t>expe</w:t>
      </w:r>
      <w:r w:rsidR="005152BA" w:rsidRPr="00A55164">
        <w:t>ctations remain anchored.</w:t>
      </w:r>
    </w:p>
    <w:p w14:paraId="3951058B" w14:textId="5A403C71" w:rsidR="004A275E" w:rsidRPr="0072320A" w:rsidRDefault="004A275E" w:rsidP="004A275E">
      <w:pPr>
        <w:spacing w:before="240"/>
      </w:pPr>
      <w:r w:rsidRPr="002B5DE9">
        <w:rPr>
          <w:color w:val="000000" w:themeColor="text1"/>
        </w:rPr>
        <w:t>The</w:t>
      </w:r>
      <w:r w:rsidRPr="0072320A">
        <w:rPr>
          <w:color w:val="000000" w:themeColor="text1"/>
        </w:rPr>
        <w:t xml:space="preserve"> </w:t>
      </w:r>
      <w:r w:rsidRPr="002B5DE9">
        <w:rPr>
          <w:color w:val="000000" w:themeColor="text1"/>
        </w:rPr>
        <w:t>Federal Reserve and other central banks have responded to hi</w:t>
      </w:r>
      <w:r w:rsidRPr="00DA540D">
        <w:rPr>
          <w:color w:val="000000" w:themeColor="text1"/>
        </w:rPr>
        <w:t>gher inflation and tighter labour markets by bringing forward monetary policy normalisation</w:t>
      </w:r>
      <w:r w:rsidR="00111A07">
        <w:rPr>
          <w:color w:val="000000" w:themeColor="text1"/>
        </w:rPr>
        <w:t xml:space="preserve">. </w:t>
      </w:r>
      <w:r w:rsidRPr="00DA540D">
        <w:rPr>
          <w:color w:val="000000" w:themeColor="text1"/>
        </w:rPr>
        <w:t>T</w:t>
      </w:r>
      <w:r w:rsidRPr="00DA540D">
        <w:t xml:space="preserve">he Federal Reserve raised its policy interest rate by 25 basis points in March and has </w:t>
      </w:r>
      <w:r w:rsidRPr="0072320A">
        <w:t xml:space="preserve">signalled </w:t>
      </w:r>
      <w:r w:rsidRPr="0072320A">
        <w:lastRenderedPageBreak/>
        <w:t>additional</w:t>
      </w:r>
      <w:r w:rsidRPr="00A55164">
        <w:t xml:space="preserve"> </w:t>
      </w:r>
      <w:r w:rsidR="4AED1159" w:rsidRPr="00A55164">
        <w:t>increases</w:t>
      </w:r>
      <w:r w:rsidR="00A64FFA">
        <w:t xml:space="preserve"> </w:t>
      </w:r>
      <w:r w:rsidRPr="0072320A">
        <w:t>over</w:t>
      </w:r>
      <w:r w:rsidR="1BEE3566" w:rsidRPr="00A55164">
        <w:t xml:space="preserve"> the course</w:t>
      </w:r>
      <w:r w:rsidRPr="00A55164">
        <w:t xml:space="preserve"> o</w:t>
      </w:r>
      <w:r w:rsidRPr="0072320A">
        <w:t>f 2022</w:t>
      </w:r>
      <w:r w:rsidR="00111A07">
        <w:t xml:space="preserve">. </w:t>
      </w:r>
      <w:r w:rsidR="00F42B8C">
        <w:t>M</w:t>
      </w:r>
      <w:r w:rsidR="00F96DF9" w:rsidRPr="0072320A">
        <w:t>arkets</w:t>
      </w:r>
      <w:r w:rsidR="00F96DF9" w:rsidRPr="00A64FFA">
        <w:t xml:space="preserve"> </w:t>
      </w:r>
      <w:r w:rsidR="00F96DF9" w:rsidRPr="002B5DE9">
        <w:t xml:space="preserve">expect a </w:t>
      </w:r>
      <w:r w:rsidR="006157CB" w:rsidRPr="0072320A">
        <w:t>faster pace of</w:t>
      </w:r>
      <w:r w:rsidR="00F96DF9" w:rsidRPr="00A64FFA">
        <w:t xml:space="preserve"> </w:t>
      </w:r>
      <w:r w:rsidR="00F96DF9" w:rsidRPr="002B5DE9">
        <w:t xml:space="preserve">US monetary policy normalisation </w:t>
      </w:r>
      <w:r w:rsidR="006157CB" w:rsidRPr="0072320A">
        <w:t xml:space="preserve">than in the previous tightening cycle </w:t>
      </w:r>
      <w:r w:rsidR="00F96DF9" w:rsidRPr="00A64FFA">
        <w:t>(Chart</w:t>
      </w:r>
      <w:r w:rsidR="00F96DF9" w:rsidRPr="002B5DE9">
        <w:t> 2.4</w:t>
      </w:r>
      <w:r w:rsidR="00F96DF9" w:rsidRPr="0057125C">
        <w:t>)</w:t>
      </w:r>
      <w:r w:rsidR="00111A07">
        <w:t xml:space="preserve">. </w:t>
      </w:r>
      <w:r w:rsidR="00D5730B" w:rsidRPr="0072320A">
        <w:t>Other central banks</w:t>
      </w:r>
      <w:r w:rsidR="00817084">
        <w:t>,</w:t>
      </w:r>
      <w:r w:rsidRPr="0072320A" w:rsidDel="00D5730B">
        <w:t xml:space="preserve"> </w:t>
      </w:r>
      <w:r w:rsidR="00D5730B" w:rsidRPr="0072320A">
        <w:t>including the</w:t>
      </w:r>
      <w:r w:rsidRPr="0072320A">
        <w:t xml:space="preserve"> Bank of England and </w:t>
      </w:r>
      <w:r w:rsidR="00EB61AC">
        <w:t>the</w:t>
      </w:r>
      <w:r w:rsidRPr="0072320A">
        <w:t xml:space="preserve"> Reserve Bank of New Zealand</w:t>
      </w:r>
      <w:r w:rsidR="00817084">
        <w:t>,</w:t>
      </w:r>
      <w:r w:rsidRPr="0072320A">
        <w:t xml:space="preserve"> have also started to raise policy rates</w:t>
      </w:r>
      <w:r w:rsidR="00111A07">
        <w:t xml:space="preserve">. </w:t>
      </w:r>
    </w:p>
    <w:tbl>
      <w:tblPr>
        <w:tblStyle w:val="TableGrid"/>
        <w:tblW w:w="0" w:type="auto"/>
        <w:tblInd w:w="5" w:type="dxa"/>
        <w:tblLook w:val="04A0" w:firstRow="1" w:lastRow="0" w:firstColumn="1" w:lastColumn="0" w:noHBand="0" w:noVBand="1"/>
      </w:tblPr>
      <w:tblGrid>
        <w:gridCol w:w="3859"/>
        <w:gridCol w:w="3846"/>
      </w:tblGrid>
      <w:tr w:rsidR="00435A53" w14:paraId="56975810" w14:textId="77777777" w:rsidTr="00135644">
        <w:trPr>
          <w:trHeight w:val="375"/>
        </w:trPr>
        <w:tc>
          <w:tcPr>
            <w:tcW w:w="3859" w:type="dxa"/>
            <w:tcBorders>
              <w:top w:val="nil"/>
              <w:left w:val="nil"/>
              <w:bottom w:val="nil"/>
              <w:right w:val="nil"/>
            </w:tcBorders>
            <w:hideMark/>
          </w:tcPr>
          <w:bookmarkEnd w:id="6"/>
          <w:p w14:paraId="32A569A8" w14:textId="1843E20E" w:rsidR="00435A53" w:rsidRPr="0072320A" w:rsidRDefault="00435A53" w:rsidP="00435A53">
            <w:pPr>
              <w:pStyle w:val="ChartHeading"/>
              <w:spacing w:line="260" w:lineRule="exact"/>
            </w:pPr>
            <w:r w:rsidRPr="00CB65C1">
              <w:rPr>
                <w:rFonts w:cs="Arial"/>
              </w:rPr>
              <w:t xml:space="preserve">Chart </w:t>
            </w:r>
            <w:r w:rsidR="00E11A60">
              <w:rPr>
                <w:rFonts w:cs="Arial"/>
              </w:rPr>
              <w:t>2.3</w:t>
            </w:r>
            <w:r w:rsidRPr="00CB65C1">
              <w:rPr>
                <w:rFonts w:cs="Arial"/>
              </w:rPr>
              <w:t xml:space="preserve"> </w:t>
            </w:r>
            <w:r w:rsidR="00E54174">
              <w:rPr>
                <w:rFonts w:cs="Arial"/>
              </w:rPr>
              <w:t xml:space="preserve">US </w:t>
            </w:r>
            <w:r w:rsidR="009546CD">
              <w:rPr>
                <w:rFonts w:cs="Arial"/>
              </w:rPr>
              <w:t xml:space="preserve">Federal Reserve inflation </w:t>
            </w:r>
            <w:r w:rsidR="00D470E9">
              <w:rPr>
                <w:rFonts w:cs="Arial"/>
              </w:rPr>
              <w:t>projections</w:t>
            </w:r>
          </w:p>
        </w:tc>
        <w:tc>
          <w:tcPr>
            <w:tcW w:w="3846" w:type="dxa"/>
            <w:tcBorders>
              <w:top w:val="nil"/>
              <w:left w:val="nil"/>
              <w:bottom w:val="nil"/>
              <w:right w:val="nil"/>
            </w:tcBorders>
          </w:tcPr>
          <w:p w14:paraId="0ED32DF9" w14:textId="151949C8" w:rsidR="00435A53" w:rsidRPr="002679F6" w:rsidRDefault="00435A53" w:rsidP="00435A53">
            <w:pPr>
              <w:pStyle w:val="ChartHeading"/>
              <w:spacing w:line="260" w:lineRule="exact"/>
            </w:pPr>
            <w:r w:rsidRPr="002679F6">
              <w:rPr>
                <w:rFonts w:cs="Arial"/>
              </w:rPr>
              <w:t xml:space="preserve">Chart </w:t>
            </w:r>
            <w:r w:rsidR="00E11A60">
              <w:rPr>
                <w:rFonts w:cs="Arial"/>
              </w:rPr>
              <w:t>2.4</w:t>
            </w:r>
            <w:r w:rsidRPr="002679F6">
              <w:rPr>
                <w:rFonts w:cs="Arial"/>
              </w:rPr>
              <w:t xml:space="preserve"> Market</w:t>
            </w:r>
            <w:r w:rsidR="00111A07">
              <w:rPr>
                <w:rFonts w:cs="Arial"/>
              </w:rPr>
              <w:noBreakHyphen/>
            </w:r>
            <w:r w:rsidRPr="002679F6">
              <w:rPr>
                <w:rFonts w:cs="Arial"/>
              </w:rPr>
              <w:t>implied US policy rate expectations</w:t>
            </w:r>
          </w:p>
        </w:tc>
      </w:tr>
      <w:tr w:rsidR="00435A53" w14:paraId="5A4686A9" w14:textId="77777777" w:rsidTr="00135644">
        <w:trPr>
          <w:trHeight w:val="3285"/>
        </w:trPr>
        <w:tc>
          <w:tcPr>
            <w:tcW w:w="3859" w:type="dxa"/>
            <w:tcBorders>
              <w:top w:val="nil"/>
              <w:left w:val="nil"/>
              <w:bottom w:val="nil"/>
              <w:right w:val="nil"/>
            </w:tcBorders>
            <w:hideMark/>
          </w:tcPr>
          <w:p w14:paraId="20CDAC78" w14:textId="5512BA3E" w:rsidR="00435A53" w:rsidRDefault="00313F83" w:rsidP="00A14F86">
            <w:pPr>
              <w:pStyle w:val="ChartGraphic"/>
            </w:pPr>
            <w:r w:rsidRPr="00313F83">
              <w:rPr>
                <w:noProof/>
              </w:rPr>
              <w:drawing>
                <wp:inline distT="0" distB="0" distL="0" distR="0" wp14:anchorId="64F9D75F" wp14:editId="1FA51925">
                  <wp:extent cx="2305050" cy="2428875"/>
                  <wp:effectExtent l="0" t="0" r="0" b="0"/>
                  <wp:docPr id="1342296272" name="Picture 1342296272" descr="This chart shows the changes in the US Federal Reserve Open Market Committee median expectations for annual inflation at the time of their meetings in 2021 and early 2022. Outcomes for inflation in 2021 were higher than previously expected, and the Federal Reserve's expectations for inflation, have increased since early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96272" name="Picture 1342296272" descr="This chart shows the changes in the US Federal Reserve Open Market Committee median expectations for annual inflation at the time of their meetings in 2021 and early 2022. Outcomes for inflation in 2021 were higher than previously expected, and the Federal Reserve's expectations for inflation, have increased since early 2021.&#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05050" cy="2428875"/>
                          </a:xfrm>
                          <a:prstGeom prst="rect">
                            <a:avLst/>
                          </a:prstGeom>
                          <a:noFill/>
                          <a:ln>
                            <a:noFill/>
                          </a:ln>
                        </pic:spPr>
                      </pic:pic>
                    </a:graphicData>
                  </a:graphic>
                </wp:inline>
              </w:drawing>
            </w:r>
          </w:p>
        </w:tc>
        <w:tc>
          <w:tcPr>
            <w:tcW w:w="3846" w:type="dxa"/>
            <w:tcBorders>
              <w:top w:val="nil"/>
              <w:left w:val="nil"/>
              <w:bottom w:val="nil"/>
              <w:right w:val="nil"/>
            </w:tcBorders>
            <w:hideMark/>
          </w:tcPr>
          <w:p w14:paraId="16C68E1C" w14:textId="17921DA6" w:rsidR="00435A53" w:rsidRPr="00084209" w:rsidRDefault="00CF30DF" w:rsidP="0091786D">
            <w:pPr>
              <w:pStyle w:val="ChartGraphic"/>
            </w:pPr>
            <w:r w:rsidRPr="00CF30DF">
              <w:rPr>
                <w:noProof/>
              </w:rPr>
              <w:drawing>
                <wp:inline distT="0" distB="0" distL="0" distR="0" wp14:anchorId="41846D74" wp14:editId="3E1850D8">
                  <wp:extent cx="2305050" cy="2386940"/>
                  <wp:effectExtent l="0" t="0" r="0" b="0"/>
                  <wp:docPr id="1516925111" name="Picture 1516925111" descr="The chart shows the US Fed Funds Rate from January 2015 to present; it then shows the market expected path for this rate as at 1 January 2022 and 24 March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25111" name="Picture 1516925111" descr="The chart shows the US Fed Funds Rate from January 2015 to present; it then shows the market expected path for this rate as at 1 January 2022 and 24 March 2022.&#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0097" cy="2392166"/>
                          </a:xfrm>
                          <a:prstGeom prst="rect">
                            <a:avLst/>
                          </a:prstGeom>
                          <a:noFill/>
                          <a:ln>
                            <a:noFill/>
                          </a:ln>
                        </pic:spPr>
                      </pic:pic>
                    </a:graphicData>
                  </a:graphic>
                </wp:inline>
              </w:drawing>
            </w:r>
          </w:p>
        </w:tc>
      </w:tr>
      <w:tr w:rsidR="00435A53" w14:paraId="73545229" w14:textId="77777777" w:rsidTr="00135644">
        <w:trPr>
          <w:trHeight w:val="241"/>
        </w:trPr>
        <w:tc>
          <w:tcPr>
            <w:tcW w:w="3859" w:type="dxa"/>
            <w:tcBorders>
              <w:top w:val="nil"/>
              <w:left w:val="nil"/>
              <w:bottom w:val="nil"/>
              <w:right w:val="nil"/>
            </w:tcBorders>
          </w:tcPr>
          <w:p w14:paraId="507E4245" w14:textId="5C4D4F3D" w:rsidR="00435A53" w:rsidRPr="0068207E" w:rsidRDefault="00435A53" w:rsidP="00380AF9">
            <w:pPr>
              <w:pStyle w:val="OutlineNumbered1"/>
              <w:keepNext/>
              <w:tabs>
                <w:tab w:val="clear" w:pos="520"/>
                <w:tab w:val="left" w:pos="720"/>
              </w:tabs>
              <w:spacing w:after="0" w:line="240" w:lineRule="auto"/>
              <w:ind w:left="624" w:hanging="624"/>
              <w:jc w:val="both"/>
              <w:rPr>
                <w:rFonts w:ascii="Arial" w:hAnsi="Arial" w:cs="Arial"/>
                <w:sz w:val="16"/>
                <w:szCs w:val="16"/>
              </w:rPr>
            </w:pPr>
            <w:r>
              <w:rPr>
                <w:rFonts w:ascii="Arial" w:hAnsi="Arial" w:cs="Arial"/>
                <w:sz w:val="16"/>
                <w:szCs w:val="16"/>
              </w:rPr>
              <w:t xml:space="preserve">Source: </w:t>
            </w:r>
            <w:r w:rsidR="009546CD">
              <w:rPr>
                <w:rFonts w:ascii="Arial" w:hAnsi="Arial" w:cs="Arial"/>
                <w:sz w:val="16"/>
                <w:szCs w:val="16"/>
              </w:rPr>
              <w:t>US Federal Reserve</w:t>
            </w:r>
            <w:r w:rsidR="00EC5457">
              <w:rPr>
                <w:rFonts w:ascii="Arial" w:hAnsi="Arial" w:cs="Arial"/>
                <w:sz w:val="16"/>
                <w:szCs w:val="16"/>
              </w:rPr>
              <w:t>.</w:t>
            </w:r>
          </w:p>
          <w:p w14:paraId="40CB63A6" w14:textId="3661B1FA" w:rsidR="00435A53" w:rsidRPr="0068207E" w:rsidRDefault="22CF3ABE" w:rsidP="0068207E">
            <w:pPr>
              <w:pStyle w:val="OutlineNumbered1"/>
              <w:keepNext/>
              <w:tabs>
                <w:tab w:val="clear" w:pos="520"/>
                <w:tab w:val="left" w:pos="720"/>
              </w:tabs>
              <w:spacing w:after="0" w:line="240" w:lineRule="auto"/>
              <w:jc w:val="both"/>
              <w:rPr>
                <w:rFonts w:ascii="Arial" w:hAnsi="Arial" w:cs="Arial"/>
              </w:rPr>
            </w:pPr>
            <w:r w:rsidRPr="22CF3ABE">
              <w:rPr>
                <w:rFonts w:ascii="Arial" w:hAnsi="Arial" w:cs="Arial"/>
                <w:sz w:val="16"/>
                <w:szCs w:val="16"/>
              </w:rPr>
              <w:t xml:space="preserve">Note: Projection of annual inflation for December </w:t>
            </w:r>
            <w:r w:rsidR="00380AF9">
              <w:rPr>
                <w:rFonts w:ascii="Arial" w:hAnsi="Arial" w:cs="Arial"/>
                <w:sz w:val="16"/>
                <w:szCs w:val="16"/>
              </w:rPr>
              <w:br/>
            </w:r>
            <w:r w:rsidRPr="22CF3ABE">
              <w:rPr>
                <w:rFonts w:ascii="Arial" w:hAnsi="Arial" w:cs="Arial"/>
                <w:sz w:val="16"/>
                <w:szCs w:val="16"/>
              </w:rPr>
              <w:t>of the given year</w:t>
            </w:r>
            <w:r w:rsidR="00EC5457">
              <w:rPr>
                <w:rFonts w:ascii="Arial" w:hAnsi="Arial" w:cs="Arial"/>
                <w:sz w:val="16"/>
                <w:szCs w:val="16"/>
              </w:rPr>
              <w:t>.</w:t>
            </w:r>
          </w:p>
        </w:tc>
        <w:tc>
          <w:tcPr>
            <w:tcW w:w="3846" w:type="dxa"/>
            <w:tcBorders>
              <w:top w:val="nil"/>
              <w:left w:val="nil"/>
              <w:bottom w:val="nil"/>
              <w:right w:val="nil"/>
            </w:tcBorders>
            <w:hideMark/>
          </w:tcPr>
          <w:p w14:paraId="76F6C0EE" w14:textId="1CE5B1D3" w:rsidR="00435A53" w:rsidRDefault="0068207E" w:rsidP="0091786D">
            <w:pPr>
              <w:pStyle w:val="OutlineNumbered1"/>
              <w:keepNext/>
              <w:tabs>
                <w:tab w:val="clear" w:pos="520"/>
                <w:tab w:val="left" w:pos="720"/>
              </w:tabs>
              <w:spacing w:after="0" w:line="240" w:lineRule="auto"/>
              <w:ind w:left="567" w:hanging="567"/>
              <w:rPr>
                <w:rFonts w:ascii="Arial" w:hAnsi="Arial" w:cs="Arial"/>
                <w:sz w:val="16"/>
                <w:szCs w:val="16"/>
              </w:rPr>
            </w:pPr>
            <w:r>
              <w:rPr>
                <w:rFonts w:ascii="Arial" w:hAnsi="Arial" w:cs="Arial"/>
                <w:sz w:val="16"/>
                <w:szCs w:val="16"/>
              </w:rPr>
              <w:t>Source: Bloomberg</w:t>
            </w:r>
            <w:r w:rsidR="00EC5457">
              <w:rPr>
                <w:rFonts w:ascii="Arial" w:hAnsi="Arial" w:cs="Arial"/>
                <w:sz w:val="16"/>
                <w:szCs w:val="16"/>
              </w:rPr>
              <w:t>.</w:t>
            </w:r>
          </w:p>
        </w:tc>
      </w:tr>
    </w:tbl>
    <w:p w14:paraId="1797084D" w14:textId="77777777" w:rsidR="00135644" w:rsidRPr="0072320A" w:rsidRDefault="00135644" w:rsidP="00B9056C">
      <w:pPr>
        <w:pStyle w:val="SingleParagraph"/>
      </w:pPr>
    </w:p>
    <w:p w14:paraId="0554E5AF" w14:textId="48A51C1A" w:rsidR="00135644" w:rsidRDefault="00F42B8C" w:rsidP="008D052B">
      <w:r w:rsidRPr="00F92BCC">
        <w:t>Intensifying</w:t>
      </w:r>
      <w:r w:rsidR="00135644" w:rsidRPr="00F92BCC">
        <w:t xml:space="preserve"> inflationary </w:t>
      </w:r>
      <w:r w:rsidR="00E93340">
        <w:t>risks</w:t>
      </w:r>
      <w:r w:rsidR="00135644" w:rsidRPr="00F92BCC">
        <w:t xml:space="preserve"> </w:t>
      </w:r>
      <w:r w:rsidRPr="00F92BCC">
        <w:t>increase</w:t>
      </w:r>
      <w:r w:rsidR="00135644" w:rsidRPr="00F92BCC">
        <w:t xml:space="preserve"> the </w:t>
      </w:r>
      <w:r w:rsidR="00E93340">
        <w:t>possibility</w:t>
      </w:r>
      <w:r w:rsidR="00135644" w:rsidRPr="00F92BCC">
        <w:t xml:space="preserve"> </w:t>
      </w:r>
      <w:r w:rsidR="00D00DC2" w:rsidRPr="00F92BCC">
        <w:t>that</w:t>
      </w:r>
      <w:r w:rsidR="00135644" w:rsidRPr="00F92BCC">
        <w:t xml:space="preserve"> central banks </w:t>
      </w:r>
      <w:r w:rsidR="00D00DC2" w:rsidRPr="00F92BCC">
        <w:t xml:space="preserve">will </w:t>
      </w:r>
      <w:r w:rsidR="00135644" w:rsidRPr="00F92BCC">
        <w:t xml:space="preserve">need </w:t>
      </w:r>
      <w:r w:rsidR="00D00DC2" w:rsidRPr="00F92BCC">
        <w:t>to tighten</w:t>
      </w:r>
      <w:r w:rsidR="00135644" w:rsidRPr="00F92BCC">
        <w:t xml:space="preserve"> policy </w:t>
      </w:r>
      <w:r w:rsidR="00113F1E" w:rsidRPr="00F92BCC">
        <w:t>more</w:t>
      </w:r>
      <w:r w:rsidR="00135644" w:rsidRPr="00F92BCC">
        <w:t xml:space="preserve"> </w:t>
      </w:r>
      <w:r w:rsidR="00785EA0" w:rsidRPr="00F92BCC">
        <w:t xml:space="preserve">aggressively to </w:t>
      </w:r>
      <w:r w:rsidR="00135644" w:rsidRPr="00F92BCC">
        <w:t>manage inflation</w:t>
      </w:r>
      <w:r w:rsidR="00111A07">
        <w:t xml:space="preserve">. </w:t>
      </w:r>
      <w:r w:rsidR="00292182" w:rsidRPr="00F92BCC">
        <w:t>This could</w:t>
      </w:r>
      <w:r w:rsidR="00400FA9" w:rsidRPr="00F92BCC">
        <w:t xml:space="preserve"> potentially</w:t>
      </w:r>
      <w:r w:rsidR="00327F48" w:rsidRPr="00F92BCC">
        <w:t xml:space="preserve"> </w:t>
      </w:r>
      <w:r w:rsidR="00292182" w:rsidRPr="00F92BCC">
        <w:t>see</w:t>
      </w:r>
      <w:r w:rsidR="00327F48" w:rsidRPr="00F92BCC">
        <w:t xml:space="preserve"> </w:t>
      </w:r>
      <w:r w:rsidR="00F06AE6" w:rsidRPr="00F92BCC">
        <w:t xml:space="preserve">policy rates </w:t>
      </w:r>
      <w:r w:rsidR="00292182" w:rsidRPr="00F92BCC">
        <w:t>rise</w:t>
      </w:r>
      <w:r w:rsidR="00F06AE6" w:rsidRPr="00F92BCC">
        <w:t xml:space="preserve"> </w:t>
      </w:r>
      <w:r w:rsidR="00640538" w:rsidRPr="00F92BCC">
        <w:t>higher</w:t>
      </w:r>
      <w:r w:rsidR="00F06AE6" w:rsidRPr="00F92BCC">
        <w:t xml:space="preserve"> than currently expected</w:t>
      </w:r>
      <w:r w:rsidR="00400FA9" w:rsidRPr="00F92BCC">
        <w:t xml:space="preserve"> by markets</w:t>
      </w:r>
      <w:r w:rsidR="00A3265E" w:rsidRPr="00F92BCC">
        <w:t>, with a</w:t>
      </w:r>
      <w:r w:rsidR="00135644" w:rsidRPr="00F92BCC">
        <w:t xml:space="preserve"> </w:t>
      </w:r>
      <w:r w:rsidR="0005474C" w:rsidRPr="00F92BCC">
        <w:t>delayed policy action</w:t>
      </w:r>
      <w:r w:rsidR="00135644" w:rsidRPr="00F92BCC">
        <w:t xml:space="preserve"> </w:t>
      </w:r>
      <w:r w:rsidR="00A3265E" w:rsidRPr="00F92BCC">
        <w:t xml:space="preserve">increasing the </w:t>
      </w:r>
      <w:r w:rsidR="00135644" w:rsidRPr="00F92BCC">
        <w:t xml:space="preserve">risk </w:t>
      </w:r>
      <w:r w:rsidR="00A37CDD" w:rsidRPr="00F92BCC">
        <w:t xml:space="preserve">that </w:t>
      </w:r>
      <w:r w:rsidR="00135644" w:rsidRPr="00F92BCC">
        <w:t xml:space="preserve">higher inflation </w:t>
      </w:r>
      <w:r w:rsidR="00A37CDD" w:rsidRPr="00F92BCC">
        <w:t xml:space="preserve">becomes </w:t>
      </w:r>
      <w:r w:rsidR="00135644" w:rsidRPr="00F92BCC">
        <w:t>embedded</w:t>
      </w:r>
      <w:r w:rsidR="00577226" w:rsidRPr="00F92BCC">
        <w:t xml:space="preserve"> in expectations</w:t>
      </w:r>
      <w:r w:rsidR="00111A07">
        <w:t xml:space="preserve">. </w:t>
      </w:r>
      <w:r w:rsidR="0005474C" w:rsidRPr="00F92BCC">
        <w:t>Tighter</w:t>
      </w:r>
      <w:r w:rsidR="00135644" w:rsidRPr="0072320A">
        <w:t xml:space="preserve"> financial conditions </w:t>
      </w:r>
      <w:r w:rsidR="006C406B" w:rsidRPr="0072320A">
        <w:t>associated with</w:t>
      </w:r>
      <w:r w:rsidR="00577226" w:rsidRPr="0072320A">
        <w:t xml:space="preserve"> monetary policy normalisation</w:t>
      </w:r>
      <w:r w:rsidR="0005474C">
        <w:t xml:space="preserve"> may also increase the already</w:t>
      </w:r>
      <w:r w:rsidR="00111A07">
        <w:noBreakHyphen/>
      </w:r>
      <w:r w:rsidR="0005474C">
        <w:t>high levels of v</w:t>
      </w:r>
      <w:r w:rsidR="00135644" w:rsidRPr="0072320A">
        <w:t>olatility in commodity and financial markets</w:t>
      </w:r>
      <w:r w:rsidR="00111A07">
        <w:t xml:space="preserve">. </w:t>
      </w:r>
      <w:r w:rsidR="00113F1E" w:rsidRPr="008C38CE">
        <w:t>A</w:t>
      </w:r>
      <w:r w:rsidR="00A90C06">
        <w:t> </w:t>
      </w:r>
      <w:r w:rsidR="00D6471F">
        <w:t>larger</w:t>
      </w:r>
      <w:r w:rsidR="00111A07">
        <w:noBreakHyphen/>
      </w:r>
      <w:r w:rsidR="00113F1E" w:rsidRPr="008C38CE">
        <w:t>than</w:t>
      </w:r>
      <w:r w:rsidR="00111A07">
        <w:noBreakHyphen/>
      </w:r>
      <w:r w:rsidR="00113F1E" w:rsidRPr="008C38CE">
        <w:t>expected tightening of monetary policy could</w:t>
      </w:r>
      <w:r w:rsidR="00135644" w:rsidRPr="008C38CE">
        <w:t xml:space="preserve"> generate pockets of stress in the financial </w:t>
      </w:r>
      <w:r w:rsidR="00B071DE" w:rsidRPr="008C38CE">
        <w:t xml:space="preserve">and </w:t>
      </w:r>
      <w:r w:rsidR="00135644" w:rsidRPr="008C38CE">
        <w:t>corporate sectors</w:t>
      </w:r>
      <w:r w:rsidR="00B5225C" w:rsidRPr="008C38CE">
        <w:t xml:space="preserve">, </w:t>
      </w:r>
      <w:r w:rsidR="00113F1E" w:rsidRPr="008C38CE">
        <w:t>especially</w:t>
      </w:r>
      <w:r w:rsidR="00B071DE" w:rsidRPr="008C38CE">
        <w:t xml:space="preserve"> </w:t>
      </w:r>
      <w:r w:rsidR="00B5225C" w:rsidRPr="008C38CE">
        <w:t xml:space="preserve">among emerging </w:t>
      </w:r>
      <w:r w:rsidR="003C68D8" w:rsidRPr="008C38CE">
        <w:t>market</w:t>
      </w:r>
      <w:r w:rsidR="00B5225C" w:rsidRPr="008C38CE">
        <w:t xml:space="preserve"> </w:t>
      </w:r>
      <w:r w:rsidR="00656C24" w:rsidRPr="008C38CE">
        <w:t>economies</w:t>
      </w:r>
      <w:r w:rsidR="00B5225C" w:rsidRPr="008C38CE">
        <w:t>,</w:t>
      </w:r>
      <w:r w:rsidR="00577226" w:rsidRPr="008C38CE">
        <w:t xml:space="preserve"> and </w:t>
      </w:r>
      <w:r w:rsidR="006C406B" w:rsidRPr="008C38CE">
        <w:t>act to slow global growth</w:t>
      </w:r>
      <w:r w:rsidR="00135644" w:rsidRPr="008C38CE">
        <w:t>.</w:t>
      </w:r>
    </w:p>
    <w:p w14:paraId="5A9EC932" w14:textId="6961F95D" w:rsidR="00040CA1" w:rsidRPr="008D0CF8" w:rsidRDefault="00040CA1" w:rsidP="008D052B">
      <w:r w:rsidRPr="008D0CF8">
        <w:rPr>
          <w:b/>
        </w:rPr>
        <w:t>China</w:t>
      </w:r>
      <w:r w:rsidR="00111A07">
        <w:rPr>
          <w:b/>
        </w:rPr>
        <w:t>’</w:t>
      </w:r>
      <w:r w:rsidRPr="008D0CF8">
        <w:rPr>
          <w:b/>
        </w:rPr>
        <w:t>s</w:t>
      </w:r>
      <w:r w:rsidRPr="008D0CF8">
        <w:t xml:space="preserve"> economy is forecast to grow by </w:t>
      </w:r>
      <w:r w:rsidR="00937361">
        <w:t>4¾</w:t>
      </w:r>
      <w:r w:rsidRPr="008D0CF8">
        <w:t xml:space="preserve"> per cent in 2022, 5¼ per cent in 2023 and 5</w:t>
      </w:r>
      <w:r w:rsidR="00C87098">
        <w:t> </w:t>
      </w:r>
      <w:r w:rsidRPr="008D0CF8">
        <w:t>per cent in 2024</w:t>
      </w:r>
      <w:r w:rsidR="00111A07">
        <w:t xml:space="preserve">. </w:t>
      </w:r>
      <w:r w:rsidR="00F041E3">
        <w:t>Chinese</w:t>
      </w:r>
      <w:r w:rsidR="00821E8D">
        <w:t xml:space="preserve"> growth is expected to </w:t>
      </w:r>
      <w:r w:rsidR="00240AB2">
        <w:t>be</w:t>
      </w:r>
      <w:r w:rsidR="00821E8D">
        <w:t xml:space="preserve"> </w:t>
      </w:r>
      <w:r w:rsidR="009E64D8">
        <w:t xml:space="preserve">hampered this year by challenges managing the pandemic, higher </w:t>
      </w:r>
      <w:r w:rsidR="006B0063">
        <w:t>prices for</w:t>
      </w:r>
      <w:r w:rsidR="009E64D8">
        <w:t xml:space="preserve"> energy </w:t>
      </w:r>
      <w:r w:rsidR="006B0063">
        <w:t>imports</w:t>
      </w:r>
      <w:r w:rsidR="009E64D8">
        <w:t xml:space="preserve"> and </w:t>
      </w:r>
      <w:r w:rsidR="62030A59">
        <w:t>an</w:t>
      </w:r>
      <w:r w:rsidR="007867F9">
        <w:t xml:space="preserve"> </w:t>
      </w:r>
      <w:r w:rsidR="009E64D8">
        <w:t>already slowing property sector</w:t>
      </w:r>
      <w:r w:rsidR="00111A07">
        <w:t xml:space="preserve">. </w:t>
      </w:r>
      <w:r w:rsidRPr="5D7D6E5C">
        <w:t xml:space="preserve">China is </w:t>
      </w:r>
      <w:r w:rsidR="00B72A37">
        <w:t>likely to experience</w:t>
      </w:r>
      <w:r w:rsidRPr="17171600">
        <w:t xml:space="preserve"> more frequent </w:t>
      </w:r>
      <w:r w:rsidR="00B72A37">
        <w:t xml:space="preserve">and </w:t>
      </w:r>
      <w:r w:rsidRPr="17171600">
        <w:t xml:space="preserve">severe </w:t>
      </w:r>
      <w:r w:rsidR="00155C14">
        <w:t>COVID</w:t>
      </w:r>
      <w:r w:rsidR="00111A07">
        <w:noBreakHyphen/>
      </w:r>
      <w:r w:rsidR="00155C14">
        <w:t>19</w:t>
      </w:r>
      <w:r w:rsidR="00B72A37">
        <w:t xml:space="preserve"> </w:t>
      </w:r>
      <w:r w:rsidRPr="17171600">
        <w:t xml:space="preserve">outbreaks </w:t>
      </w:r>
      <w:r w:rsidR="00B72A37">
        <w:t>this year</w:t>
      </w:r>
      <w:r w:rsidR="00CA47DB">
        <w:t xml:space="preserve"> than in 2021</w:t>
      </w:r>
      <w:r w:rsidR="00B72A37">
        <w:t>, with a continuation of i</w:t>
      </w:r>
      <w:r w:rsidR="00977D28">
        <w:t>ts</w:t>
      </w:r>
      <w:r w:rsidRPr="431C1984">
        <w:t xml:space="preserve"> aggressive suppression approach </w:t>
      </w:r>
      <w:r w:rsidRPr="17171600">
        <w:t xml:space="preserve">to managing the virus </w:t>
      </w:r>
      <w:r w:rsidRPr="431C1984">
        <w:t xml:space="preserve">likely to </w:t>
      </w:r>
      <w:r w:rsidRPr="17171600">
        <w:t xml:space="preserve">lead to </w:t>
      </w:r>
      <w:r w:rsidR="00933D48">
        <w:t xml:space="preserve">more </w:t>
      </w:r>
      <w:r w:rsidR="00CA47DB">
        <w:t xml:space="preserve">frequent lockdowns and </w:t>
      </w:r>
      <w:r w:rsidRPr="17171600">
        <w:t xml:space="preserve">disruptions to industrial production and </w:t>
      </w:r>
      <w:r w:rsidR="00933D48">
        <w:t>normal</w:t>
      </w:r>
      <w:r w:rsidRPr="75EA26BF">
        <w:t xml:space="preserve"> </w:t>
      </w:r>
      <w:r w:rsidRPr="0D24198E">
        <w:t>consumption</w:t>
      </w:r>
      <w:r w:rsidR="00933D48">
        <w:t xml:space="preserve"> patterns</w:t>
      </w:r>
      <w:r w:rsidR="00111A07">
        <w:t xml:space="preserve">. </w:t>
      </w:r>
      <w:r w:rsidR="0080745C">
        <w:t>These headwinds will be partly offset by more supportive macroeconomic policy settings</w:t>
      </w:r>
      <w:r w:rsidR="00F67DB7">
        <w:t xml:space="preserve"> </w:t>
      </w:r>
      <w:r w:rsidR="00D86B50">
        <w:t xml:space="preserve">as </w:t>
      </w:r>
      <w:r w:rsidR="00F67DB7">
        <w:lastRenderedPageBreak/>
        <w:t>central authorities have signalled a</w:t>
      </w:r>
      <w:r w:rsidR="00CC145A">
        <w:t>n increasing</w:t>
      </w:r>
      <w:r w:rsidR="00F67DB7">
        <w:t xml:space="preserve"> willingness to </w:t>
      </w:r>
      <w:r w:rsidR="40A8F9FB" w:rsidRPr="17171600">
        <w:t xml:space="preserve">act </w:t>
      </w:r>
      <w:r w:rsidR="005E2D4D">
        <w:t>to</w:t>
      </w:r>
      <w:r w:rsidR="40A8F9FB" w:rsidRPr="17171600">
        <w:t xml:space="preserve"> </w:t>
      </w:r>
      <w:r w:rsidR="00F67DB7">
        <w:t xml:space="preserve">support </w:t>
      </w:r>
      <w:r w:rsidR="40A8F9FB" w:rsidRPr="0F14EDC0">
        <w:t xml:space="preserve">their </w:t>
      </w:r>
      <w:r w:rsidR="40A8F9FB" w:rsidRPr="0D24198E">
        <w:t xml:space="preserve">ambitious </w:t>
      </w:r>
      <w:r w:rsidR="00F67DB7">
        <w:t xml:space="preserve">growth </w:t>
      </w:r>
      <w:r w:rsidR="40A8F9FB" w:rsidRPr="0F14EDC0">
        <w:t xml:space="preserve">target </w:t>
      </w:r>
      <w:r w:rsidR="00CC145A">
        <w:t xml:space="preserve">over other policy objectives </w:t>
      </w:r>
      <w:r w:rsidR="00F67DB7">
        <w:t>in the near term</w:t>
      </w:r>
      <w:r w:rsidR="00F52C4D">
        <w:t>.</w:t>
      </w:r>
    </w:p>
    <w:p w14:paraId="04B4A34D" w14:textId="177AAC8C" w:rsidR="00BE7FE9" w:rsidRDefault="00040CA1" w:rsidP="008D052B">
      <w:r w:rsidRPr="008D0CF8">
        <w:t xml:space="preserve">The </w:t>
      </w:r>
      <w:r w:rsidRPr="008D0CF8">
        <w:rPr>
          <w:b/>
        </w:rPr>
        <w:t>United States</w:t>
      </w:r>
      <w:r w:rsidR="00111A07">
        <w:rPr>
          <w:b/>
        </w:rPr>
        <w:t>’</w:t>
      </w:r>
      <w:r w:rsidRPr="008D0CF8">
        <w:t xml:space="preserve"> economy </w:t>
      </w:r>
      <w:r w:rsidR="009F20BA">
        <w:t xml:space="preserve">rebounded strongly in 2021 and </w:t>
      </w:r>
      <w:r w:rsidRPr="008D0CF8">
        <w:t>is forecast to grow by 3</w:t>
      </w:r>
      <w:r w:rsidR="00376C52">
        <w:t>½</w:t>
      </w:r>
      <w:r w:rsidR="00BB42A1">
        <w:t> </w:t>
      </w:r>
      <w:r w:rsidRPr="008D0CF8">
        <w:t xml:space="preserve">per cent </w:t>
      </w:r>
      <w:r w:rsidR="007534AA">
        <w:t>in</w:t>
      </w:r>
      <w:r w:rsidR="007534AA" w:rsidRPr="008D0CF8">
        <w:t xml:space="preserve"> </w:t>
      </w:r>
      <w:r w:rsidRPr="008D0CF8">
        <w:t xml:space="preserve">2022, 2½ per cent </w:t>
      </w:r>
      <w:r w:rsidR="007534AA">
        <w:t>in</w:t>
      </w:r>
      <w:r w:rsidR="007534AA" w:rsidRPr="008D0CF8">
        <w:t xml:space="preserve"> </w:t>
      </w:r>
      <w:r w:rsidRPr="008D0CF8">
        <w:t>2023 and 2 per cent in 2024</w:t>
      </w:r>
      <w:r w:rsidR="00111A07">
        <w:t xml:space="preserve">. </w:t>
      </w:r>
      <w:r w:rsidR="00465C04">
        <w:t>G</w:t>
      </w:r>
      <w:r w:rsidRPr="008D0CF8">
        <w:t xml:space="preserve">rowth is expected to moderate </w:t>
      </w:r>
      <w:r w:rsidR="3A88995E">
        <w:t xml:space="preserve">as </w:t>
      </w:r>
      <w:r w:rsidR="00486ED2">
        <w:t>private demand slows due to</w:t>
      </w:r>
      <w:r w:rsidR="00982020">
        <w:t xml:space="preserve"> </w:t>
      </w:r>
      <w:r w:rsidR="3A88995E">
        <w:t>energy and other price pressures, declining</w:t>
      </w:r>
      <w:r w:rsidR="001E5165">
        <w:t xml:space="preserve"> levels of fiscal support and </w:t>
      </w:r>
      <w:r w:rsidR="3A88995E">
        <w:t xml:space="preserve">the </w:t>
      </w:r>
      <w:r w:rsidR="001E5165">
        <w:t>normalisation</w:t>
      </w:r>
      <w:r w:rsidR="00F00C76">
        <w:t xml:space="preserve"> of monetary policy</w:t>
      </w:r>
      <w:r w:rsidR="00111A07">
        <w:t xml:space="preserve">. </w:t>
      </w:r>
      <w:r w:rsidR="0000168E">
        <w:t>A</w:t>
      </w:r>
      <w:r w:rsidR="00966BCC">
        <w:t xml:space="preserve"> very tight labour market </w:t>
      </w:r>
      <w:r w:rsidR="0000168E">
        <w:t xml:space="preserve">will support stronger </w:t>
      </w:r>
      <w:r w:rsidR="4A0F7B27">
        <w:t xml:space="preserve">nominal </w:t>
      </w:r>
      <w:r w:rsidR="0000168E">
        <w:t xml:space="preserve">wage </w:t>
      </w:r>
      <w:r w:rsidR="00E22D99">
        <w:t>increases</w:t>
      </w:r>
      <w:r w:rsidR="00BE7FE9">
        <w:t>,</w:t>
      </w:r>
      <w:r w:rsidR="0000168E">
        <w:t xml:space="preserve"> but</w:t>
      </w:r>
      <w:r w:rsidR="00966BCC">
        <w:t xml:space="preserve"> high inflation</w:t>
      </w:r>
      <w:r w:rsidR="00BE7FE9">
        <w:t xml:space="preserve"> will limit real wage growth</w:t>
      </w:r>
      <w:r w:rsidR="00F040B6">
        <w:t xml:space="preserve"> in the near term</w:t>
      </w:r>
      <w:r w:rsidR="00111A07">
        <w:t xml:space="preserve">. </w:t>
      </w:r>
      <w:r w:rsidR="00BE7FE9">
        <w:t xml:space="preserve">Upside risks to inflation from higher energy prices pose a further downside risk to real wages and consumption, </w:t>
      </w:r>
      <w:r w:rsidR="00391420">
        <w:t xml:space="preserve">but as </w:t>
      </w:r>
      <w:r w:rsidR="130DE21F">
        <w:t>the world</w:t>
      </w:r>
      <w:r w:rsidR="00111A07">
        <w:t>’</w:t>
      </w:r>
      <w:r w:rsidR="130DE21F">
        <w:t>s largest</w:t>
      </w:r>
      <w:r w:rsidR="00391420">
        <w:t xml:space="preserve"> oil </w:t>
      </w:r>
      <w:r w:rsidR="130DE21F">
        <w:t xml:space="preserve">producer </w:t>
      </w:r>
      <w:r w:rsidR="00391420">
        <w:t>with capacity to expand production</w:t>
      </w:r>
      <w:r w:rsidR="00092277">
        <w:t>,</w:t>
      </w:r>
      <w:r w:rsidR="00391420">
        <w:t xml:space="preserve"> the US </w:t>
      </w:r>
      <w:r w:rsidR="00C745FE">
        <w:t xml:space="preserve">economy </w:t>
      </w:r>
      <w:r w:rsidR="00391420">
        <w:t xml:space="preserve">will </w:t>
      </w:r>
      <w:r w:rsidR="000B5298">
        <w:t>be partially insulated</w:t>
      </w:r>
      <w:r w:rsidR="00391420">
        <w:t xml:space="preserve"> </w:t>
      </w:r>
      <w:r w:rsidR="00C745FE">
        <w:t xml:space="preserve">the impact of </w:t>
      </w:r>
      <w:r w:rsidR="5F699D94">
        <w:t>from</w:t>
      </w:r>
      <w:r w:rsidR="006846AE">
        <w:t xml:space="preserve"> higher oil prices.</w:t>
      </w:r>
    </w:p>
    <w:p w14:paraId="7B589BF1" w14:textId="1C00CC19" w:rsidR="00800189" w:rsidRDefault="76448072" w:rsidP="00040CA1">
      <w:r w:rsidRPr="00093BCD">
        <w:t>The</w:t>
      </w:r>
      <w:r w:rsidRPr="034A7252">
        <w:rPr>
          <w:b/>
          <w:bCs/>
        </w:rPr>
        <w:t xml:space="preserve"> </w:t>
      </w:r>
      <w:r w:rsidR="00CA1AC6">
        <w:rPr>
          <w:b/>
          <w:bCs/>
        </w:rPr>
        <w:t>e</w:t>
      </w:r>
      <w:r w:rsidR="00E86BE4" w:rsidRPr="00AF297B">
        <w:rPr>
          <w:b/>
          <w:bCs/>
        </w:rPr>
        <w:t xml:space="preserve">uro </w:t>
      </w:r>
      <w:r w:rsidRPr="034A7252">
        <w:rPr>
          <w:b/>
          <w:bCs/>
        </w:rPr>
        <w:t>area</w:t>
      </w:r>
      <w:r>
        <w:t xml:space="preserve"> economy</w:t>
      </w:r>
      <w:r w:rsidR="00E86BE4" w:rsidRPr="00AF297B">
        <w:t xml:space="preserve"> is forecast to grow by 3</w:t>
      </w:r>
      <w:r w:rsidR="006F7EE9">
        <w:t>½</w:t>
      </w:r>
      <w:r w:rsidR="00E86BE4" w:rsidRPr="00AF297B">
        <w:t xml:space="preserve"> per cent in 2022, 2¼ per cent in 2023 and 1½</w:t>
      </w:r>
      <w:r w:rsidR="0012059B" w:rsidRPr="00AF297B">
        <w:t> </w:t>
      </w:r>
      <w:r w:rsidR="00E86BE4" w:rsidRPr="00AF297B">
        <w:t>per cent in 2024</w:t>
      </w:r>
      <w:r w:rsidR="00111A07">
        <w:t xml:space="preserve">. </w:t>
      </w:r>
      <w:r w:rsidR="00800189">
        <w:t>This represents a downgrade</w:t>
      </w:r>
      <w:r w:rsidR="00B53C44">
        <w:t xml:space="preserve"> to 2022 growth of </w:t>
      </w:r>
      <w:r w:rsidR="006F7EE9">
        <w:t xml:space="preserve">¾ </w:t>
      </w:r>
      <w:r w:rsidR="00E35B25">
        <w:t>of</w:t>
      </w:r>
      <w:r w:rsidR="339BF31F">
        <w:t xml:space="preserve"> a </w:t>
      </w:r>
      <w:r w:rsidR="00E35B25">
        <w:t>percentage point</w:t>
      </w:r>
      <w:r w:rsidR="006F7EE9">
        <w:t xml:space="preserve"> </w:t>
      </w:r>
      <w:r w:rsidR="00EB0F24">
        <w:t xml:space="preserve">mainly </w:t>
      </w:r>
      <w:r w:rsidR="006F7EE9">
        <w:t>due to the conflict in Ukraine</w:t>
      </w:r>
      <w:r w:rsidR="00111A07">
        <w:t xml:space="preserve">. </w:t>
      </w:r>
      <w:r w:rsidR="00B53C44">
        <w:t xml:space="preserve">Growth </w:t>
      </w:r>
      <w:r w:rsidR="006F7EE9">
        <w:t>had already</w:t>
      </w:r>
      <w:r w:rsidR="00B53C44">
        <w:t xml:space="preserve"> moderated significantly at the end of 2021 due to supply constraints and significant energy price inflation</w:t>
      </w:r>
      <w:r w:rsidR="00111A07">
        <w:t xml:space="preserve">. </w:t>
      </w:r>
      <w:r w:rsidR="00DC27EC">
        <w:t>T</w:t>
      </w:r>
      <w:r w:rsidR="00B53C44">
        <w:t xml:space="preserve">he </w:t>
      </w:r>
      <w:r w:rsidR="001420F8">
        <w:t>Ukraine</w:t>
      </w:r>
      <w:r w:rsidR="00B53C44" w:rsidDel="00DC746B">
        <w:t xml:space="preserve"> </w:t>
      </w:r>
      <w:r w:rsidR="00DC746B">
        <w:t>invasion</w:t>
      </w:r>
      <w:r w:rsidR="00B53C44">
        <w:t xml:space="preserve"> will exacerbate these </w:t>
      </w:r>
      <w:r w:rsidR="00DC27EC">
        <w:t xml:space="preserve">inflationary pressures, </w:t>
      </w:r>
      <w:r w:rsidR="00175DDF">
        <w:t>as</w:t>
      </w:r>
      <w:r w:rsidR="00DC27EC">
        <w:t xml:space="preserve"> Europe is a large importer of Russian energy</w:t>
      </w:r>
      <w:r w:rsidR="0087606C">
        <w:t xml:space="preserve"> exports</w:t>
      </w:r>
      <w:r w:rsidR="00DC27EC">
        <w:t xml:space="preserve">, and persistent high prices will </w:t>
      </w:r>
      <w:r w:rsidR="006F7EE9">
        <w:t xml:space="preserve">significantly </w:t>
      </w:r>
      <w:r w:rsidR="00B53C44">
        <w:t>dampen the underlying momentum in private demand</w:t>
      </w:r>
      <w:r w:rsidR="00111A07">
        <w:t xml:space="preserve">. </w:t>
      </w:r>
      <w:r w:rsidR="5B92BDDE">
        <w:t xml:space="preserve">More severe disruptions to the supply of Russian energy or other raw materials would </w:t>
      </w:r>
      <w:r w:rsidR="00C745FE">
        <w:t>further</w:t>
      </w:r>
      <w:r w:rsidR="5B92BDDE">
        <w:t xml:space="preserve"> </w:t>
      </w:r>
      <w:r w:rsidR="005855F9">
        <w:t>constrain</w:t>
      </w:r>
      <w:r w:rsidR="5B92BDDE">
        <w:t xml:space="preserve"> growth.</w:t>
      </w:r>
    </w:p>
    <w:p w14:paraId="2A7ACAD6" w14:textId="72917336" w:rsidR="004B0B59" w:rsidRDefault="00040CA1" w:rsidP="007B6312">
      <w:pPr>
        <w:spacing w:after="160" w:line="259" w:lineRule="auto"/>
        <w:rPr>
          <w:b/>
        </w:rPr>
      </w:pPr>
      <w:r w:rsidRPr="00AF297B">
        <w:rPr>
          <w:b/>
          <w:bCs/>
        </w:rPr>
        <w:t>Japan</w:t>
      </w:r>
      <w:r w:rsidR="00111A07">
        <w:rPr>
          <w:b/>
          <w:bCs/>
        </w:rPr>
        <w:t>’</w:t>
      </w:r>
      <w:r w:rsidRPr="00AF297B">
        <w:rPr>
          <w:b/>
          <w:bCs/>
        </w:rPr>
        <w:t>s</w:t>
      </w:r>
      <w:r w:rsidRPr="0097176A">
        <w:rPr>
          <w:b/>
        </w:rPr>
        <w:t xml:space="preserve"> </w:t>
      </w:r>
      <w:r>
        <w:t>economy</w:t>
      </w:r>
      <w:r w:rsidRPr="00AF297B">
        <w:t xml:space="preserve"> is forecast to grow by 2½ per cent in 2022 and 1½ per cent in 2023</w:t>
      </w:r>
      <w:r w:rsidR="00111A07">
        <w:t xml:space="preserve">. </w:t>
      </w:r>
      <w:r w:rsidR="00926A09" w:rsidRPr="00AF297B">
        <w:t>Japan is expected to recover to its pre</w:t>
      </w:r>
      <w:r w:rsidR="00111A07">
        <w:noBreakHyphen/>
      </w:r>
      <w:r w:rsidR="00926A09" w:rsidRPr="00AF297B">
        <w:t>pandemic level of GDP towards the end of 2022, with some growth catch</w:t>
      </w:r>
      <w:r w:rsidR="0097176A" w:rsidRPr="0097176A">
        <w:t xml:space="preserve"> </w:t>
      </w:r>
      <w:r w:rsidR="00926A09" w:rsidRPr="00AF297B">
        <w:t>up spilling into 2023</w:t>
      </w:r>
      <w:r w:rsidR="00111A07">
        <w:t xml:space="preserve">. </w:t>
      </w:r>
      <w:r w:rsidR="003654FB">
        <w:t>G</w:t>
      </w:r>
      <w:r w:rsidR="00DC27EC">
        <w:t>rowth</w:t>
      </w:r>
      <w:r w:rsidR="00926A09" w:rsidRPr="00AF297B" w:rsidDel="004B0B59">
        <w:t xml:space="preserve"> is</w:t>
      </w:r>
      <w:r w:rsidR="00DC27EC">
        <w:t xml:space="preserve"> then</w:t>
      </w:r>
      <w:r w:rsidR="00926A09" w:rsidRPr="00AF297B" w:rsidDel="004B0B59">
        <w:t xml:space="preserve"> expected to slow to its long</w:t>
      </w:r>
      <w:r w:rsidR="00111A07">
        <w:noBreakHyphen/>
      </w:r>
      <w:r w:rsidR="00926A09" w:rsidRPr="00AF297B" w:rsidDel="004B0B59">
        <w:t>term trend</w:t>
      </w:r>
      <w:r w:rsidR="0097176A" w:rsidRPr="0097176A">
        <w:t xml:space="preserve"> of ½ per cent</w:t>
      </w:r>
      <w:r w:rsidR="003654FB">
        <w:t xml:space="preserve"> </w:t>
      </w:r>
      <w:r w:rsidR="00771A19">
        <w:t>in 2024</w:t>
      </w:r>
      <w:r w:rsidR="0097176A" w:rsidRPr="0097176A">
        <w:t>, much</w:t>
      </w:r>
      <w:r w:rsidR="00926A09" w:rsidRPr="00AF297B" w:rsidDel="004B0B59">
        <w:t xml:space="preserve"> lower than other advanced economies</w:t>
      </w:r>
      <w:r w:rsidR="00926A09" w:rsidRPr="00AF297B">
        <w:t xml:space="preserve"> </w:t>
      </w:r>
      <w:r w:rsidR="00771A19">
        <w:t xml:space="preserve">due to </w:t>
      </w:r>
      <w:r w:rsidR="00FE2208">
        <w:t>Japan</w:t>
      </w:r>
      <w:r w:rsidR="00111A07">
        <w:t>’</w:t>
      </w:r>
      <w:r w:rsidR="00FE2208">
        <w:t>s</w:t>
      </w:r>
      <w:r w:rsidR="00926A09" w:rsidRPr="00AF297B" w:rsidDel="004B0B59">
        <w:t xml:space="preserve"> declining working</w:t>
      </w:r>
      <w:r w:rsidR="00926A09" w:rsidRPr="00AF297B">
        <w:t xml:space="preserve"> </w:t>
      </w:r>
      <w:r w:rsidR="00926A09" w:rsidRPr="00AF297B" w:rsidDel="004B0B59">
        <w:t>age population</w:t>
      </w:r>
      <w:r w:rsidR="00111A07">
        <w:t xml:space="preserve">. </w:t>
      </w:r>
      <w:r w:rsidR="00771A19">
        <w:t>The</w:t>
      </w:r>
      <w:r w:rsidR="0097176A" w:rsidRPr="0097176A">
        <w:t xml:space="preserve"> economy </w:t>
      </w:r>
      <w:r w:rsidR="00771A19">
        <w:t xml:space="preserve">also </w:t>
      </w:r>
      <w:r w:rsidR="000C4809" w:rsidRPr="00AF297B">
        <w:t>remains vulnerable to further COVID</w:t>
      </w:r>
      <w:r w:rsidR="00111A07">
        <w:noBreakHyphen/>
      </w:r>
      <w:r w:rsidR="000C4809">
        <w:t>19</w:t>
      </w:r>
      <w:r w:rsidR="000C4809" w:rsidRPr="00AF297B">
        <w:t xml:space="preserve"> </w:t>
      </w:r>
      <w:r w:rsidR="00771A19">
        <w:t xml:space="preserve">outbreaks as evident by their </w:t>
      </w:r>
      <w:r w:rsidR="00DC1BC0" w:rsidRPr="00DC1BC0">
        <w:t>precautionary</w:t>
      </w:r>
      <w:r w:rsidR="0097176A" w:rsidRPr="0097176A">
        <w:t xml:space="preserve"> </w:t>
      </w:r>
      <w:r w:rsidR="00771A19">
        <w:t>health response</w:t>
      </w:r>
      <w:r w:rsidR="00111A07">
        <w:t xml:space="preserve">. </w:t>
      </w:r>
    </w:p>
    <w:p w14:paraId="659983F1" w14:textId="10349841" w:rsidR="00F55261" w:rsidRDefault="77D68B0E" w:rsidP="007B6312">
      <w:pPr>
        <w:spacing w:after="160" w:line="259" w:lineRule="auto"/>
      </w:pPr>
      <w:r>
        <w:t xml:space="preserve">Growth </w:t>
      </w:r>
      <w:r w:rsidR="00F55261">
        <w:t xml:space="preserve">in </w:t>
      </w:r>
      <w:r w:rsidR="008220E3">
        <w:rPr>
          <w:b/>
        </w:rPr>
        <w:t>O</w:t>
      </w:r>
      <w:r w:rsidR="00F55261" w:rsidRPr="00D12556">
        <w:rPr>
          <w:b/>
        </w:rPr>
        <w:t>ther East Asia</w:t>
      </w:r>
      <w:r w:rsidR="00F55261">
        <w:t xml:space="preserve"> is forecast to </w:t>
      </w:r>
      <w:r w:rsidR="5081F665">
        <w:t>be</w:t>
      </w:r>
      <w:r w:rsidR="00F55261">
        <w:t xml:space="preserve"> 4¼ per cent in 2022, 4½ per cent in 2023 and 4 per cent in 2024</w:t>
      </w:r>
      <w:r w:rsidR="00111A07">
        <w:t xml:space="preserve">. </w:t>
      </w:r>
      <w:r w:rsidR="00F55261">
        <w:t>Growth is expected to remain solid in 2022, supported by a strong rebound in manufacturing production and commodity exports</w:t>
      </w:r>
      <w:r w:rsidR="00111A07">
        <w:t xml:space="preserve">. </w:t>
      </w:r>
      <w:r w:rsidR="00F55261">
        <w:t xml:space="preserve">Easing restrictions </w:t>
      </w:r>
      <w:r w:rsidR="004C1C32">
        <w:t>and</w:t>
      </w:r>
      <w:r w:rsidR="00F55261">
        <w:t xml:space="preserve"> higher </w:t>
      </w:r>
      <w:r w:rsidR="00B70265">
        <w:t>vaccine coverage</w:t>
      </w:r>
      <w:r w:rsidR="004C1C32">
        <w:t xml:space="preserve"> across the region</w:t>
      </w:r>
      <w:r w:rsidR="00F55261">
        <w:t xml:space="preserve"> </w:t>
      </w:r>
      <w:r w:rsidR="00765B59">
        <w:t>should</w:t>
      </w:r>
      <w:r w:rsidR="00F55261">
        <w:t xml:space="preserve"> </w:t>
      </w:r>
      <w:r w:rsidR="00057E3B">
        <w:t xml:space="preserve">help </w:t>
      </w:r>
      <w:r w:rsidR="00F55261">
        <w:t xml:space="preserve">bolster private consumption and service industries, </w:t>
      </w:r>
      <w:r w:rsidR="004C1C32">
        <w:t>though</w:t>
      </w:r>
      <w:r w:rsidR="00F55261">
        <w:t xml:space="preserve"> the extent of </w:t>
      </w:r>
      <w:r w:rsidR="004B254F">
        <w:t>the</w:t>
      </w:r>
      <w:r w:rsidR="00F55261">
        <w:t xml:space="preserve"> recovery will </w:t>
      </w:r>
      <w:r w:rsidR="090DA9E7">
        <w:t>vary by</w:t>
      </w:r>
      <w:r w:rsidR="00F55261">
        <w:t xml:space="preserve"> country</w:t>
      </w:r>
      <w:r w:rsidR="00111A07">
        <w:t xml:space="preserve">. </w:t>
      </w:r>
      <w:r w:rsidR="00F55261">
        <w:t xml:space="preserve">Global </w:t>
      </w:r>
      <w:r w:rsidR="002931E6">
        <w:t>agricultural</w:t>
      </w:r>
      <w:r w:rsidR="00F55261">
        <w:t xml:space="preserve"> and energy price shocks will have varied impacts, with </w:t>
      </w:r>
      <w:r w:rsidR="00A269AE">
        <w:t xml:space="preserve">some </w:t>
      </w:r>
      <w:r w:rsidR="00F55261">
        <w:t>countries more reliant on i</w:t>
      </w:r>
      <w:r w:rsidR="090DA9E7">
        <w:t>mports</w:t>
      </w:r>
      <w:r w:rsidR="00F55261">
        <w:t xml:space="preserve"> </w:t>
      </w:r>
      <w:r w:rsidR="009140CA">
        <w:t xml:space="preserve">and </w:t>
      </w:r>
      <w:r w:rsidR="00F55261">
        <w:t xml:space="preserve">exposed to inflationary pressures, whilst commodity and energy </w:t>
      </w:r>
      <w:r w:rsidR="00F93E87">
        <w:t>exporters</w:t>
      </w:r>
      <w:r w:rsidR="00F55261">
        <w:t xml:space="preserve"> will see some benefits </w:t>
      </w:r>
      <w:r w:rsidR="00BC3323">
        <w:t>from higher export prices</w:t>
      </w:r>
      <w:r w:rsidR="00F55261">
        <w:t>.</w:t>
      </w:r>
    </w:p>
    <w:p w14:paraId="193FF640" w14:textId="02988368" w:rsidR="00B706ED" w:rsidRDefault="00040CA1" w:rsidP="00C225C4">
      <w:pPr>
        <w:spacing w:after="160" w:line="259" w:lineRule="auto"/>
      </w:pPr>
      <w:r w:rsidRPr="00C225C4">
        <w:rPr>
          <w:b/>
        </w:rPr>
        <w:t>India</w:t>
      </w:r>
      <w:r w:rsidR="00111A07">
        <w:rPr>
          <w:b/>
        </w:rPr>
        <w:t>’</w:t>
      </w:r>
      <w:r w:rsidRPr="00C225C4">
        <w:rPr>
          <w:b/>
        </w:rPr>
        <w:t>s</w:t>
      </w:r>
      <w:r>
        <w:t xml:space="preserve"> economy </w:t>
      </w:r>
      <w:r w:rsidR="00D05703">
        <w:t xml:space="preserve">is forecast to grow by </w:t>
      </w:r>
      <w:r>
        <w:t>8</w:t>
      </w:r>
      <w:r w:rsidR="00B92AD8">
        <w:t>¼</w:t>
      </w:r>
      <w:r w:rsidR="00D05703">
        <w:t xml:space="preserve"> </w:t>
      </w:r>
      <w:r>
        <w:t>per cent in 2022, followed by 6½ per cent in 2023 and 7¼ per cent in 2024</w:t>
      </w:r>
      <w:r w:rsidR="00111A07">
        <w:t xml:space="preserve">. </w:t>
      </w:r>
      <w:r w:rsidR="001420DF">
        <w:t>A</w:t>
      </w:r>
      <w:r>
        <w:t xml:space="preserve"> strong rebound in private consumption underpinned by </w:t>
      </w:r>
      <w:r w:rsidR="00BB3F5C">
        <w:t>a recovery in</w:t>
      </w:r>
      <w:r>
        <w:t xml:space="preserve"> domestic confidence</w:t>
      </w:r>
      <w:r w:rsidR="00FA085E">
        <w:t xml:space="preserve"> </w:t>
      </w:r>
      <w:r w:rsidR="00E42B3A">
        <w:t>is expected to drive growth</w:t>
      </w:r>
      <w:r w:rsidR="00111A07">
        <w:t xml:space="preserve">. </w:t>
      </w:r>
      <w:r w:rsidR="005C1492">
        <w:t>However</w:t>
      </w:r>
      <w:r w:rsidR="00681DA0">
        <w:t xml:space="preserve">, </w:t>
      </w:r>
      <w:r w:rsidR="005C1492">
        <w:t>India</w:t>
      </w:r>
      <w:r w:rsidR="00111A07">
        <w:t>’</w:t>
      </w:r>
      <w:r w:rsidR="005C1492">
        <w:t>s high exposure to oil and other commodities</w:t>
      </w:r>
      <w:r w:rsidR="00950DB6">
        <w:t xml:space="preserve"> imp</w:t>
      </w:r>
      <w:r w:rsidR="00434B73">
        <w:t>or</w:t>
      </w:r>
      <w:r w:rsidR="00950DB6">
        <w:t>ts</w:t>
      </w:r>
      <w:r w:rsidR="005C1492">
        <w:t xml:space="preserve"> </w:t>
      </w:r>
      <w:r w:rsidR="00681DA0">
        <w:t>presents</w:t>
      </w:r>
      <w:r w:rsidR="005C1492">
        <w:t xml:space="preserve"> a key risk to growth</w:t>
      </w:r>
      <w:r w:rsidR="00111A07">
        <w:t xml:space="preserve">. </w:t>
      </w:r>
    </w:p>
    <w:p w14:paraId="1E86F256" w14:textId="49F866A9" w:rsidR="00FE3487" w:rsidRDefault="00D02134" w:rsidP="00FE3487">
      <w:pPr>
        <w:pStyle w:val="TableHeading"/>
        <w:rPr>
          <w:rFonts w:asciiTheme="minorHAnsi" w:eastAsiaTheme="minorHAnsi" w:hAnsiTheme="minorHAnsi" w:cstheme="minorBidi"/>
          <w:sz w:val="22"/>
          <w:szCs w:val="22"/>
          <w:lang w:eastAsia="en-US"/>
        </w:rPr>
      </w:pPr>
      <w:r>
        <w:lastRenderedPageBreak/>
        <w:t>T</w:t>
      </w:r>
      <w:r w:rsidRPr="00B96121">
        <w:t>able 2.</w:t>
      </w:r>
      <w:r w:rsidR="00DE6F56">
        <w:t>2</w:t>
      </w:r>
      <w:r w:rsidRPr="00B96121">
        <w:t xml:space="preserve">: </w:t>
      </w:r>
      <w:r w:rsidR="00DE6F56">
        <w:t>International GDP growth</w:t>
      </w:r>
      <w:r w:rsidRPr="00B96121">
        <w:t xml:space="preserve"> forecasts</w:t>
      </w:r>
      <w:r w:rsidRPr="00B96121">
        <w:rPr>
          <w:vertAlign w:val="superscript"/>
        </w:rPr>
        <w:t>(a)</w:t>
      </w:r>
      <w:r w:rsidR="006E2776">
        <w:t xml:space="preserve"> </w:t>
      </w:r>
    </w:p>
    <w:tbl>
      <w:tblPr>
        <w:tblW w:w="5000" w:type="pct"/>
        <w:tblLook w:val="04A0" w:firstRow="1" w:lastRow="0" w:firstColumn="1" w:lastColumn="0" w:noHBand="0" w:noVBand="1"/>
      </w:tblPr>
      <w:tblGrid>
        <w:gridCol w:w="2362"/>
        <w:gridCol w:w="1337"/>
        <w:gridCol w:w="1337"/>
        <w:gridCol w:w="1337"/>
        <w:gridCol w:w="1337"/>
      </w:tblGrid>
      <w:tr w:rsidR="00FE3487" w:rsidRPr="00FE3487" w14:paraId="306EB21E" w14:textId="77777777" w:rsidTr="00CC2165">
        <w:trPr>
          <w:trHeight w:val="225"/>
        </w:trPr>
        <w:tc>
          <w:tcPr>
            <w:tcW w:w="2260" w:type="dxa"/>
            <w:tcBorders>
              <w:top w:val="single" w:sz="4" w:space="0" w:color="000000"/>
              <w:left w:val="nil"/>
              <w:bottom w:val="nil"/>
              <w:right w:val="nil"/>
            </w:tcBorders>
            <w:shd w:val="clear" w:color="000000" w:fill="FFFFFF"/>
            <w:vAlign w:val="bottom"/>
            <w:hideMark/>
          </w:tcPr>
          <w:p w14:paraId="12B0623A" w14:textId="26C2E990" w:rsidR="00FE3487" w:rsidRPr="00FE3487" w:rsidRDefault="00FE3487" w:rsidP="00FE3487">
            <w:pPr>
              <w:spacing w:after="0" w:line="240" w:lineRule="auto"/>
              <w:jc w:val="left"/>
              <w:rPr>
                <w:rFonts w:ascii="Arial" w:hAnsi="Arial" w:cs="Arial"/>
                <w:color w:val="434244"/>
                <w:sz w:val="16"/>
                <w:szCs w:val="16"/>
              </w:rPr>
            </w:pPr>
            <w:r w:rsidRPr="00FE3487">
              <w:rPr>
                <w:rFonts w:ascii="Arial" w:hAnsi="Arial" w:cs="Arial"/>
                <w:color w:val="434244"/>
                <w:sz w:val="16"/>
                <w:szCs w:val="16"/>
              </w:rPr>
              <w:t> </w:t>
            </w:r>
          </w:p>
        </w:tc>
        <w:tc>
          <w:tcPr>
            <w:tcW w:w="1280" w:type="dxa"/>
            <w:tcBorders>
              <w:top w:val="single" w:sz="4" w:space="0" w:color="000000"/>
              <w:left w:val="nil"/>
              <w:bottom w:val="nil"/>
              <w:right w:val="nil"/>
            </w:tcBorders>
            <w:shd w:val="clear" w:color="000000" w:fill="FFFFFF"/>
            <w:noWrap/>
            <w:vAlign w:val="center"/>
            <w:hideMark/>
          </w:tcPr>
          <w:p w14:paraId="13B510D5"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Outcome</w:t>
            </w:r>
          </w:p>
        </w:tc>
        <w:tc>
          <w:tcPr>
            <w:tcW w:w="3840" w:type="dxa"/>
            <w:gridSpan w:val="3"/>
            <w:tcBorders>
              <w:top w:val="single" w:sz="4" w:space="0" w:color="000000"/>
              <w:left w:val="nil"/>
              <w:bottom w:val="nil"/>
              <w:right w:val="nil"/>
            </w:tcBorders>
            <w:shd w:val="clear" w:color="000000" w:fill="F2F9FC"/>
            <w:vAlign w:val="center"/>
            <w:hideMark/>
          </w:tcPr>
          <w:p w14:paraId="245372FA" w14:textId="77777777" w:rsidR="00FE3487" w:rsidRPr="00FE3487" w:rsidRDefault="00FE3487" w:rsidP="00FE3487">
            <w:pPr>
              <w:spacing w:after="0" w:line="240" w:lineRule="auto"/>
              <w:jc w:val="center"/>
              <w:rPr>
                <w:rFonts w:ascii="Arial" w:hAnsi="Arial" w:cs="Arial"/>
                <w:sz w:val="16"/>
                <w:szCs w:val="16"/>
              </w:rPr>
            </w:pPr>
            <w:r w:rsidRPr="00FE3487">
              <w:rPr>
                <w:rFonts w:ascii="Arial" w:hAnsi="Arial" w:cs="Arial"/>
                <w:sz w:val="16"/>
                <w:szCs w:val="16"/>
              </w:rPr>
              <w:t>Forecasts (Calendar Years)</w:t>
            </w:r>
          </w:p>
        </w:tc>
      </w:tr>
      <w:tr w:rsidR="00FE3487" w:rsidRPr="00FE3487" w14:paraId="34DC0124" w14:textId="77777777" w:rsidTr="00CC2165">
        <w:trPr>
          <w:trHeight w:val="225"/>
        </w:trPr>
        <w:tc>
          <w:tcPr>
            <w:tcW w:w="2260" w:type="dxa"/>
            <w:tcBorders>
              <w:top w:val="nil"/>
              <w:left w:val="nil"/>
              <w:bottom w:val="nil"/>
              <w:right w:val="nil"/>
            </w:tcBorders>
            <w:shd w:val="clear" w:color="000000" w:fill="FFFFFF"/>
            <w:vAlign w:val="bottom"/>
            <w:hideMark/>
          </w:tcPr>
          <w:p w14:paraId="21B405D0" w14:textId="77777777" w:rsidR="00FE3487" w:rsidRPr="00FE3487" w:rsidRDefault="00FE3487" w:rsidP="00FE3487">
            <w:pPr>
              <w:spacing w:after="0" w:line="240" w:lineRule="auto"/>
              <w:jc w:val="left"/>
              <w:rPr>
                <w:rFonts w:ascii="Arial" w:hAnsi="Arial" w:cs="Arial"/>
                <w:color w:val="434244"/>
                <w:sz w:val="16"/>
                <w:szCs w:val="16"/>
              </w:rPr>
            </w:pPr>
            <w:r w:rsidRPr="00FE3487">
              <w:rPr>
                <w:rFonts w:ascii="Arial" w:hAnsi="Arial" w:cs="Arial"/>
                <w:color w:val="434244"/>
                <w:sz w:val="16"/>
                <w:szCs w:val="16"/>
              </w:rPr>
              <w:t> </w:t>
            </w:r>
          </w:p>
        </w:tc>
        <w:tc>
          <w:tcPr>
            <w:tcW w:w="1280" w:type="dxa"/>
            <w:tcBorders>
              <w:top w:val="single" w:sz="4" w:space="0" w:color="000000"/>
              <w:left w:val="nil"/>
              <w:bottom w:val="single" w:sz="4" w:space="0" w:color="000000"/>
              <w:right w:val="nil"/>
            </w:tcBorders>
            <w:shd w:val="clear" w:color="000000" w:fill="FFFFFF"/>
            <w:vAlign w:val="center"/>
            <w:hideMark/>
          </w:tcPr>
          <w:p w14:paraId="124FB908"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2021</w:t>
            </w:r>
          </w:p>
        </w:tc>
        <w:tc>
          <w:tcPr>
            <w:tcW w:w="1280" w:type="dxa"/>
            <w:tcBorders>
              <w:top w:val="single" w:sz="4" w:space="0" w:color="000000"/>
              <w:left w:val="nil"/>
              <w:bottom w:val="single" w:sz="4" w:space="0" w:color="000000"/>
              <w:right w:val="nil"/>
            </w:tcBorders>
            <w:shd w:val="clear" w:color="000000" w:fill="F2F9FC"/>
            <w:vAlign w:val="center"/>
            <w:hideMark/>
          </w:tcPr>
          <w:p w14:paraId="177A31CA"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2022</w:t>
            </w:r>
          </w:p>
        </w:tc>
        <w:tc>
          <w:tcPr>
            <w:tcW w:w="1280" w:type="dxa"/>
            <w:tcBorders>
              <w:top w:val="single" w:sz="4" w:space="0" w:color="000000"/>
              <w:left w:val="nil"/>
              <w:bottom w:val="single" w:sz="4" w:space="0" w:color="000000"/>
              <w:right w:val="nil"/>
            </w:tcBorders>
            <w:shd w:val="clear" w:color="000000" w:fill="F2F9FC"/>
            <w:vAlign w:val="center"/>
            <w:hideMark/>
          </w:tcPr>
          <w:p w14:paraId="45D4C99B"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2023</w:t>
            </w:r>
          </w:p>
        </w:tc>
        <w:tc>
          <w:tcPr>
            <w:tcW w:w="1280" w:type="dxa"/>
            <w:tcBorders>
              <w:top w:val="single" w:sz="4" w:space="0" w:color="000000"/>
              <w:left w:val="nil"/>
              <w:bottom w:val="single" w:sz="4" w:space="0" w:color="000000"/>
              <w:right w:val="nil"/>
            </w:tcBorders>
            <w:shd w:val="clear" w:color="000000" w:fill="F2F9FC"/>
            <w:vAlign w:val="center"/>
            <w:hideMark/>
          </w:tcPr>
          <w:p w14:paraId="0F471421"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2024</w:t>
            </w:r>
          </w:p>
        </w:tc>
      </w:tr>
      <w:tr w:rsidR="00FE3487" w:rsidRPr="00FE3487" w14:paraId="12BA05E2" w14:textId="77777777" w:rsidTr="00CC2165">
        <w:trPr>
          <w:trHeight w:val="225"/>
        </w:trPr>
        <w:tc>
          <w:tcPr>
            <w:tcW w:w="2260" w:type="dxa"/>
            <w:tcBorders>
              <w:top w:val="nil"/>
              <w:left w:val="nil"/>
              <w:bottom w:val="nil"/>
              <w:right w:val="nil"/>
            </w:tcBorders>
            <w:shd w:val="clear" w:color="000000" w:fill="FFFFFF"/>
            <w:vAlign w:val="bottom"/>
            <w:hideMark/>
          </w:tcPr>
          <w:p w14:paraId="7724A308" w14:textId="77777777" w:rsidR="00FE3487" w:rsidRPr="00FE3487" w:rsidRDefault="00FE3487" w:rsidP="00FE3487">
            <w:pPr>
              <w:spacing w:after="0" w:line="240" w:lineRule="auto"/>
              <w:jc w:val="left"/>
              <w:rPr>
                <w:rFonts w:ascii="Arial" w:hAnsi="Arial" w:cs="Arial"/>
                <w:color w:val="000000"/>
                <w:sz w:val="16"/>
                <w:szCs w:val="16"/>
              </w:rPr>
            </w:pPr>
            <w:r w:rsidRPr="00FE3487">
              <w:rPr>
                <w:rFonts w:ascii="Arial" w:hAnsi="Arial" w:cs="Arial"/>
                <w:color w:val="000000"/>
                <w:sz w:val="16"/>
                <w:szCs w:val="16"/>
              </w:rPr>
              <w:t>Australia</w:t>
            </w:r>
          </w:p>
        </w:tc>
        <w:tc>
          <w:tcPr>
            <w:tcW w:w="1280" w:type="dxa"/>
            <w:tcBorders>
              <w:top w:val="nil"/>
              <w:left w:val="nil"/>
              <w:bottom w:val="nil"/>
              <w:right w:val="nil"/>
            </w:tcBorders>
            <w:shd w:val="clear" w:color="000000" w:fill="FFFFFF"/>
            <w:vAlign w:val="center"/>
            <w:hideMark/>
          </w:tcPr>
          <w:p w14:paraId="538F6BC2"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4.2</w:t>
            </w:r>
          </w:p>
        </w:tc>
        <w:tc>
          <w:tcPr>
            <w:tcW w:w="1280" w:type="dxa"/>
            <w:tcBorders>
              <w:top w:val="nil"/>
              <w:left w:val="nil"/>
              <w:bottom w:val="nil"/>
              <w:right w:val="nil"/>
            </w:tcBorders>
            <w:shd w:val="clear" w:color="000000" w:fill="F2F9FC"/>
            <w:vAlign w:val="center"/>
            <w:hideMark/>
          </w:tcPr>
          <w:p w14:paraId="4025C313"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4 3/4</w:t>
            </w:r>
          </w:p>
        </w:tc>
        <w:tc>
          <w:tcPr>
            <w:tcW w:w="1280" w:type="dxa"/>
            <w:tcBorders>
              <w:top w:val="nil"/>
              <w:left w:val="nil"/>
              <w:bottom w:val="nil"/>
              <w:right w:val="nil"/>
            </w:tcBorders>
            <w:shd w:val="clear" w:color="000000" w:fill="F2F9FC"/>
            <w:vAlign w:val="center"/>
            <w:hideMark/>
          </w:tcPr>
          <w:p w14:paraId="03B98254"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 xml:space="preserve">2    </w:t>
            </w:r>
          </w:p>
        </w:tc>
        <w:tc>
          <w:tcPr>
            <w:tcW w:w="1280" w:type="dxa"/>
            <w:tcBorders>
              <w:top w:val="nil"/>
              <w:left w:val="nil"/>
              <w:bottom w:val="nil"/>
              <w:right w:val="nil"/>
            </w:tcBorders>
            <w:shd w:val="clear" w:color="000000" w:fill="F2F9FC"/>
            <w:vAlign w:val="center"/>
            <w:hideMark/>
          </w:tcPr>
          <w:p w14:paraId="7EC97C7F"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2 1/2</w:t>
            </w:r>
          </w:p>
        </w:tc>
      </w:tr>
      <w:tr w:rsidR="00FE3487" w:rsidRPr="00FE3487" w14:paraId="5BE05CBE" w14:textId="77777777" w:rsidTr="00CC2165">
        <w:trPr>
          <w:trHeight w:val="225"/>
        </w:trPr>
        <w:tc>
          <w:tcPr>
            <w:tcW w:w="2260" w:type="dxa"/>
            <w:tcBorders>
              <w:top w:val="nil"/>
              <w:left w:val="nil"/>
              <w:bottom w:val="nil"/>
              <w:right w:val="nil"/>
            </w:tcBorders>
            <w:shd w:val="clear" w:color="000000" w:fill="FFFFFF"/>
            <w:vAlign w:val="center"/>
            <w:hideMark/>
          </w:tcPr>
          <w:p w14:paraId="05805864"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 xml:space="preserve">China </w:t>
            </w:r>
          </w:p>
        </w:tc>
        <w:tc>
          <w:tcPr>
            <w:tcW w:w="1280" w:type="dxa"/>
            <w:tcBorders>
              <w:top w:val="nil"/>
              <w:left w:val="nil"/>
              <w:bottom w:val="nil"/>
              <w:right w:val="nil"/>
            </w:tcBorders>
            <w:shd w:val="clear" w:color="000000" w:fill="FFFFFF"/>
            <w:vAlign w:val="center"/>
            <w:hideMark/>
          </w:tcPr>
          <w:p w14:paraId="27CBAB07"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8.5</w:t>
            </w:r>
          </w:p>
        </w:tc>
        <w:tc>
          <w:tcPr>
            <w:tcW w:w="1280" w:type="dxa"/>
            <w:tcBorders>
              <w:top w:val="nil"/>
              <w:left w:val="nil"/>
              <w:bottom w:val="nil"/>
              <w:right w:val="nil"/>
            </w:tcBorders>
            <w:shd w:val="clear" w:color="000000" w:fill="F2F9FC"/>
            <w:vAlign w:val="center"/>
            <w:hideMark/>
          </w:tcPr>
          <w:p w14:paraId="4B6CF5F2"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4 3/4</w:t>
            </w:r>
          </w:p>
        </w:tc>
        <w:tc>
          <w:tcPr>
            <w:tcW w:w="1280" w:type="dxa"/>
            <w:tcBorders>
              <w:top w:val="nil"/>
              <w:left w:val="nil"/>
              <w:bottom w:val="nil"/>
              <w:right w:val="nil"/>
            </w:tcBorders>
            <w:shd w:val="clear" w:color="000000" w:fill="F2F9FC"/>
            <w:vAlign w:val="center"/>
            <w:hideMark/>
          </w:tcPr>
          <w:p w14:paraId="2E242CEA"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5 1/4</w:t>
            </w:r>
          </w:p>
        </w:tc>
        <w:tc>
          <w:tcPr>
            <w:tcW w:w="1280" w:type="dxa"/>
            <w:tcBorders>
              <w:top w:val="nil"/>
              <w:left w:val="nil"/>
              <w:bottom w:val="nil"/>
              <w:right w:val="nil"/>
            </w:tcBorders>
            <w:shd w:val="clear" w:color="000000" w:fill="F2F9FC"/>
            <w:vAlign w:val="center"/>
            <w:hideMark/>
          </w:tcPr>
          <w:p w14:paraId="3CDBEB58"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 xml:space="preserve">5    </w:t>
            </w:r>
          </w:p>
        </w:tc>
      </w:tr>
      <w:tr w:rsidR="00FE3487" w:rsidRPr="00FE3487" w14:paraId="79695B55" w14:textId="77777777" w:rsidTr="00CC2165">
        <w:trPr>
          <w:trHeight w:val="225"/>
        </w:trPr>
        <w:tc>
          <w:tcPr>
            <w:tcW w:w="2260" w:type="dxa"/>
            <w:tcBorders>
              <w:top w:val="nil"/>
              <w:left w:val="nil"/>
              <w:bottom w:val="nil"/>
              <w:right w:val="nil"/>
            </w:tcBorders>
            <w:shd w:val="clear" w:color="000000" w:fill="FFFFFF"/>
            <w:vAlign w:val="center"/>
            <w:hideMark/>
          </w:tcPr>
          <w:p w14:paraId="4952D3B1"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India</w:t>
            </w:r>
          </w:p>
        </w:tc>
        <w:tc>
          <w:tcPr>
            <w:tcW w:w="1280" w:type="dxa"/>
            <w:tcBorders>
              <w:top w:val="nil"/>
              <w:left w:val="nil"/>
              <w:bottom w:val="nil"/>
              <w:right w:val="nil"/>
            </w:tcBorders>
            <w:shd w:val="clear" w:color="000000" w:fill="FFFFFF"/>
            <w:vAlign w:val="center"/>
            <w:hideMark/>
          </w:tcPr>
          <w:p w14:paraId="09901202"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8.2</w:t>
            </w:r>
          </w:p>
        </w:tc>
        <w:tc>
          <w:tcPr>
            <w:tcW w:w="1280" w:type="dxa"/>
            <w:tcBorders>
              <w:top w:val="nil"/>
              <w:left w:val="nil"/>
              <w:bottom w:val="nil"/>
              <w:right w:val="nil"/>
            </w:tcBorders>
            <w:shd w:val="clear" w:color="000000" w:fill="F2F9FC"/>
            <w:vAlign w:val="center"/>
            <w:hideMark/>
          </w:tcPr>
          <w:p w14:paraId="770F8EFF"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8 1/4</w:t>
            </w:r>
          </w:p>
        </w:tc>
        <w:tc>
          <w:tcPr>
            <w:tcW w:w="1280" w:type="dxa"/>
            <w:tcBorders>
              <w:top w:val="nil"/>
              <w:left w:val="nil"/>
              <w:bottom w:val="nil"/>
              <w:right w:val="nil"/>
            </w:tcBorders>
            <w:shd w:val="clear" w:color="000000" w:fill="F2F9FC"/>
            <w:vAlign w:val="center"/>
            <w:hideMark/>
          </w:tcPr>
          <w:p w14:paraId="2AEDB64A"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6 1/2</w:t>
            </w:r>
          </w:p>
        </w:tc>
        <w:tc>
          <w:tcPr>
            <w:tcW w:w="1280" w:type="dxa"/>
            <w:tcBorders>
              <w:top w:val="nil"/>
              <w:left w:val="nil"/>
              <w:bottom w:val="nil"/>
              <w:right w:val="nil"/>
            </w:tcBorders>
            <w:shd w:val="clear" w:color="000000" w:fill="F2F9FC"/>
            <w:vAlign w:val="center"/>
            <w:hideMark/>
          </w:tcPr>
          <w:p w14:paraId="7C76ECDA"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7 1/4</w:t>
            </w:r>
          </w:p>
        </w:tc>
      </w:tr>
      <w:tr w:rsidR="00FE3487" w:rsidRPr="00FE3487" w14:paraId="5A7F8585" w14:textId="77777777" w:rsidTr="00CC2165">
        <w:trPr>
          <w:trHeight w:val="225"/>
        </w:trPr>
        <w:tc>
          <w:tcPr>
            <w:tcW w:w="2260" w:type="dxa"/>
            <w:tcBorders>
              <w:top w:val="nil"/>
              <w:left w:val="nil"/>
              <w:bottom w:val="nil"/>
              <w:right w:val="nil"/>
            </w:tcBorders>
            <w:shd w:val="clear" w:color="000000" w:fill="FFFFFF"/>
            <w:vAlign w:val="center"/>
            <w:hideMark/>
          </w:tcPr>
          <w:p w14:paraId="59E1BAB2"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Japan</w:t>
            </w:r>
          </w:p>
        </w:tc>
        <w:tc>
          <w:tcPr>
            <w:tcW w:w="1280" w:type="dxa"/>
            <w:tcBorders>
              <w:top w:val="nil"/>
              <w:left w:val="nil"/>
              <w:bottom w:val="nil"/>
              <w:right w:val="nil"/>
            </w:tcBorders>
            <w:shd w:val="clear" w:color="000000" w:fill="FFFFFF"/>
            <w:vAlign w:val="center"/>
            <w:hideMark/>
          </w:tcPr>
          <w:p w14:paraId="43C43161"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1.7</w:t>
            </w:r>
          </w:p>
        </w:tc>
        <w:tc>
          <w:tcPr>
            <w:tcW w:w="1280" w:type="dxa"/>
            <w:tcBorders>
              <w:top w:val="nil"/>
              <w:left w:val="nil"/>
              <w:bottom w:val="nil"/>
              <w:right w:val="nil"/>
            </w:tcBorders>
            <w:shd w:val="clear" w:color="000000" w:fill="F2F9FC"/>
            <w:vAlign w:val="center"/>
            <w:hideMark/>
          </w:tcPr>
          <w:p w14:paraId="58A73399"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2 1/2</w:t>
            </w:r>
          </w:p>
        </w:tc>
        <w:tc>
          <w:tcPr>
            <w:tcW w:w="1280" w:type="dxa"/>
            <w:tcBorders>
              <w:top w:val="nil"/>
              <w:left w:val="nil"/>
              <w:bottom w:val="nil"/>
              <w:right w:val="nil"/>
            </w:tcBorders>
            <w:shd w:val="clear" w:color="000000" w:fill="F2F9FC"/>
            <w:vAlign w:val="center"/>
            <w:hideMark/>
          </w:tcPr>
          <w:p w14:paraId="21735ADD"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1 1/2</w:t>
            </w:r>
          </w:p>
        </w:tc>
        <w:tc>
          <w:tcPr>
            <w:tcW w:w="1280" w:type="dxa"/>
            <w:tcBorders>
              <w:top w:val="nil"/>
              <w:left w:val="nil"/>
              <w:bottom w:val="nil"/>
              <w:right w:val="nil"/>
            </w:tcBorders>
            <w:shd w:val="clear" w:color="000000" w:fill="F2F9FC"/>
            <w:vAlign w:val="center"/>
            <w:hideMark/>
          </w:tcPr>
          <w:p w14:paraId="61718170"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 xml:space="preserve"> 1/2</w:t>
            </w:r>
          </w:p>
        </w:tc>
      </w:tr>
      <w:tr w:rsidR="00FE3487" w:rsidRPr="00FE3487" w14:paraId="658338C9" w14:textId="77777777" w:rsidTr="00CC2165">
        <w:trPr>
          <w:trHeight w:val="225"/>
        </w:trPr>
        <w:tc>
          <w:tcPr>
            <w:tcW w:w="2260" w:type="dxa"/>
            <w:tcBorders>
              <w:top w:val="nil"/>
              <w:left w:val="nil"/>
              <w:bottom w:val="nil"/>
              <w:right w:val="nil"/>
            </w:tcBorders>
            <w:shd w:val="clear" w:color="000000" w:fill="FFFFFF"/>
            <w:vAlign w:val="center"/>
            <w:hideMark/>
          </w:tcPr>
          <w:p w14:paraId="6932255E"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United States</w:t>
            </w:r>
          </w:p>
        </w:tc>
        <w:tc>
          <w:tcPr>
            <w:tcW w:w="1280" w:type="dxa"/>
            <w:tcBorders>
              <w:top w:val="nil"/>
              <w:left w:val="nil"/>
              <w:bottom w:val="nil"/>
              <w:right w:val="nil"/>
            </w:tcBorders>
            <w:shd w:val="clear" w:color="000000" w:fill="FFFFFF"/>
            <w:vAlign w:val="center"/>
            <w:hideMark/>
          </w:tcPr>
          <w:p w14:paraId="43D07020"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5.7</w:t>
            </w:r>
          </w:p>
        </w:tc>
        <w:tc>
          <w:tcPr>
            <w:tcW w:w="1280" w:type="dxa"/>
            <w:tcBorders>
              <w:top w:val="nil"/>
              <w:left w:val="nil"/>
              <w:bottom w:val="nil"/>
              <w:right w:val="nil"/>
            </w:tcBorders>
            <w:shd w:val="clear" w:color="000000" w:fill="F2F9FC"/>
            <w:vAlign w:val="center"/>
            <w:hideMark/>
          </w:tcPr>
          <w:p w14:paraId="2E6A4176"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3 1/2</w:t>
            </w:r>
          </w:p>
        </w:tc>
        <w:tc>
          <w:tcPr>
            <w:tcW w:w="1280" w:type="dxa"/>
            <w:tcBorders>
              <w:top w:val="nil"/>
              <w:left w:val="nil"/>
              <w:bottom w:val="nil"/>
              <w:right w:val="nil"/>
            </w:tcBorders>
            <w:shd w:val="clear" w:color="000000" w:fill="F2F9FC"/>
            <w:vAlign w:val="center"/>
            <w:hideMark/>
          </w:tcPr>
          <w:p w14:paraId="3D5E0A6F"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2 1/2</w:t>
            </w:r>
          </w:p>
        </w:tc>
        <w:tc>
          <w:tcPr>
            <w:tcW w:w="1280" w:type="dxa"/>
            <w:tcBorders>
              <w:top w:val="nil"/>
              <w:left w:val="nil"/>
              <w:bottom w:val="nil"/>
              <w:right w:val="nil"/>
            </w:tcBorders>
            <w:shd w:val="clear" w:color="000000" w:fill="F2F9FC"/>
            <w:vAlign w:val="center"/>
            <w:hideMark/>
          </w:tcPr>
          <w:p w14:paraId="5BC31180"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 xml:space="preserve">2    </w:t>
            </w:r>
          </w:p>
        </w:tc>
      </w:tr>
      <w:tr w:rsidR="00FE3487" w:rsidRPr="00FE3487" w14:paraId="5C3984DD" w14:textId="77777777" w:rsidTr="00CC2165">
        <w:trPr>
          <w:trHeight w:val="225"/>
        </w:trPr>
        <w:tc>
          <w:tcPr>
            <w:tcW w:w="2260" w:type="dxa"/>
            <w:tcBorders>
              <w:top w:val="nil"/>
              <w:left w:val="nil"/>
              <w:bottom w:val="nil"/>
              <w:right w:val="nil"/>
            </w:tcBorders>
            <w:shd w:val="clear" w:color="000000" w:fill="FFFFFF"/>
            <w:vAlign w:val="center"/>
            <w:hideMark/>
          </w:tcPr>
          <w:p w14:paraId="76265653"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Euro area</w:t>
            </w:r>
          </w:p>
        </w:tc>
        <w:tc>
          <w:tcPr>
            <w:tcW w:w="1280" w:type="dxa"/>
            <w:tcBorders>
              <w:top w:val="nil"/>
              <w:left w:val="nil"/>
              <w:bottom w:val="nil"/>
              <w:right w:val="nil"/>
            </w:tcBorders>
            <w:shd w:val="clear" w:color="000000" w:fill="FFFFFF"/>
            <w:vAlign w:val="center"/>
            <w:hideMark/>
          </w:tcPr>
          <w:p w14:paraId="37CAB027"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5.3</w:t>
            </w:r>
          </w:p>
        </w:tc>
        <w:tc>
          <w:tcPr>
            <w:tcW w:w="1280" w:type="dxa"/>
            <w:tcBorders>
              <w:top w:val="nil"/>
              <w:left w:val="nil"/>
              <w:bottom w:val="nil"/>
              <w:right w:val="nil"/>
            </w:tcBorders>
            <w:shd w:val="clear" w:color="000000" w:fill="F2F9FC"/>
            <w:vAlign w:val="center"/>
            <w:hideMark/>
          </w:tcPr>
          <w:p w14:paraId="75D4A7B3"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3 1/2</w:t>
            </w:r>
          </w:p>
        </w:tc>
        <w:tc>
          <w:tcPr>
            <w:tcW w:w="1280" w:type="dxa"/>
            <w:tcBorders>
              <w:top w:val="nil"/>
              <w:left w:val="nil"/>
              <w:bottom w:val="nil"/>
              <w:right w:val="nil"/>
            </w:tcBorders>
            <w:shd w:val="clear" w:color="000000" w:fill="F2F9FC"/>
            <w:vAlign w:val="center"/>
            <w:hideMark/>
          </w:tcPr>
          <w:p w14:paraId="7A326E91"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2 1/4</w:t>
            </w:r>
          </w:p>
        </w:tc>
        <w:tc>
          <w:tcPr>
            <w:tcW w:w="1280" w:type="dxa"/>
            <w:tcBorders>
              <w:top w:val="nil"/>
              <w:left w:val="nil"/>
              <w:bottom w:val="nil"/>
              <w:right w:val="nil"/>
            </w:tcBorders>
            <w:shd w:val="clear" w:color="000000" w:fill="F2F9FC"/>
            <w:vAlign w:val="center"/>
            <w:hideMark/>
          </w:tcPr>
          <w:p w14:paraId="7BC8AA48"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1 1/2</w:t>
            </w:r>
          </w:p>
        </w:tc>
      </w:tr>
      <w:tr w:rsidR="00FE3487" w:rsidRPr="00FE3487" w14:paraId="5F93B0B0" w14:textId="77777777" w:rsidTr="00CC2165">
        <w:trPr>
          <w:trHeight w:val="225"/>
        </w:trPr>
        <w:tc>
          <w:tcPr>
            <w:tcW w:w="2260" w:type="dxa"/>
            <w:tcBorders>
              <w:top w:val="nil"/>
              <w:left w:val="nil"/>
              <w:bottom w:val="nil"/>
              <w:right w:val="nil"/>
            </w:tcBorders>
            <w:shd w:val="clear" w:color="000000" w:fill="FFFFFF"/>
            <w:vAlign w:val="center"/>
            <w:hideMark/>
          </w:tcPr>
          <w:p w14:paraId="25AB041A"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Other East Asia (b)</w:t>
            </w:r>
          </w:p>
        </w:tc>
        <w:tc>
          <w:tcPr>
            <w:tcW w:w="1280" w:type="dxa"/>
            <w:tcBorders>
              <w:top w:val="nil"/>
              <w:left w:val="nil"/>
              <w:bottom w:val="nil"/>
              <w:right w:val="nil"/>
            </w:tcBorders>
            <w:shd w:val="clear" w:color="auto" w:fill="auto"/>
            <w:vAlign w:val="center"/>
            <w:hideMark/>
          </w:tcPr>
          <w:p w14:paraId="2CC92FEA"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3.9</w:t>
            </w:r>
          </w:p>
        </w:tc>
        <w:tc>
          <w:tcPr>
            <w:tcW w:w="1280" w:type="dxa"/>
            <w:tcBorders>
              <w:top w:val="nil"/>
              <w:left w:val="nil"/>
              <w:bottom w:val="nil"/>
              <w:right w:val="nil"/>
            </w:tcBorders>
            <w:shd w:val="clear" w:color="000000" w:fill="F2F9FC"/>
            <w:vAlign w:val="center"/>
            <w:hideMark/>
          </w:tcPr>
          <w:p w14:paraId="3D3FEF03"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4 1/4</w:t>
            </w:r>
          </w:p>
        </w:tc>
        <w:tc>
          <w:tcPr>
            <w:tcW w:w="1280" w:type="dxa"/>
            <w:tcBorders>
              <w:top w:val="nil"/>
              <w:left w:val="nil"/>
              <w:bottom w:val="nil"/>
              <w:right w:val="nil"/>
            </w:tcBorders>
            <w:shd w:val="clear" w:color="000000" w:fill="F2F9FC"/>
            <w:vAlign w:val="center"/>
            <w:hideMark/>
          </w:tcPr>
          <w:p w14:paraId="58C1191C"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4 1/2</w:t>
            </w:r>
          </w:p>
        </w:tc>
        <w:tc>
          <w:tcPr>
            <w:tcW w:w="1280" w:type="dxa"/>
            <w:tcBorders>
              <w:top w:val="nil"/>
              <w:left w:val="nil"/>
              <w:bottom w:val="nil"/>
              <w:right w:val="nil"/>
            </w:tcBorders>
            <w:shd w:val="clear" w:color="000000" w:fill="F2F9FC"/>
            <w:vAlign w:val="center"/>
            <w:hideMark/>
          </w:tcPr>
          <w:p w14:paraId="02ED2AE8"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 xml:space="preserve">4    </w:t>
            </w:r>
          </w:p>
        </w:tc>
      </w:tr>
      <w:tr w:rsidR="00FE3487" w:rsidRPr="00FE3487" w14:paraId="680B3FC8" w14:textId="77777777" w:rsidTr="00CC2165">
        <w:trPr>
          <w:trHeight w:val="225"/>
        </w:trPr>
        <w:tc>
          <w:tcPr>
            <w:tcW w:w="2260" w:type="dxa"/>
            <w:tcBorders>
              <w:top w:val="nil"/>
              <w:left w:val="nil"/>
              <w:bottom w:val="nil"/>
              <w:right w:val="nil"/>
            </w:tcBorders>
            <w:shd w:val="clear" w:color="000000" w:fill="FFFFFF"/>
            <w:vAlign w:val="center"/>
            <w:hideMark/>
          </w:tcPr>
          <w:p w14:paraId="3FEE48CD"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Major trading partners</w:t>
            </w:r>
          </w:p>
        </w:tc>
        <w:tc>
          <w:tcPr>
            <w:tcW w:w="1280" w:type="dxa"/>
            <w:tcBorders>
              <w:top w:val="nil"/>
              <w:left w:val="nil"/>
              <w:bottom w:val="nil"/>
              <w:right w:val="nil"/>
            </w:tcBorders>
            <w:shd w:val="clear" w:color="auto" w:fill="auto"/>
            <w:vAlign w:val="center"/>
            <w:hideMark/>
          </w:tcPr>
          <w:p w14:paraId="336BAA6E"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6.1</w:t>
            </w:r>
          </w:p>
        </w:tc>
        <w:tc>
          <w:tcPr>
            <w:tcW w:w="1280" w:type="dxa"/>
            <w:tcBorders>
              <w:top w:val="nil"/>
              <w:left w:val="nil"/>
              <w:bottom w:val="nil"/>
              <w:right w:val="nil"/>
            </w:tcBorders>
            <w:shd w:val="clear" w:color="000000" w:fill="F2F9FC"/>
            <w:vAlign w:val="center"/>
            <w:hideMark/>
          </w:tcPr>
          <w:p w14:paraId="4475FC27"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4 1/4</w:t>
            </w:r>
          </w:p>
        </w:tc>
        <w:tc>
          <w:tcPr>
            <w:tcW w:w="1280" w:type="dxa"/>
            <w:tcBorders>
              <w:top w:val="nil"/>
              <w:left w:val="nil"/>
              <w:bottom w:val="nil"/>
              <w:right w:val="nil"/>
            </w:tcBorders>
            <w:shd w:val="clear" w:color="000000" w:fill="F2F9FC"/>
            <w:vAlign w:val="center"/>
            <w:hideMark/>
          </w:tcPr>
          <w:p w14:paraId="7D5734DD"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 xml:space="preserve">4    </w:t>
            </w:r>
          </w:p>
        </w:tc>
        <w:tc>
          <w:tcPr>
            <w:tcW w:w="1280" w:type="dxa"/>
            <w:tcBorders>
              <w:top w:val="nil"/>
              <w:left w:val="nil"/>
              <w:bottom w:val="nil"/>
              <w:right w:val="nil"/>
            </w:tcBorders>
            <w:shd w:val="clear" w:color="000000" w:fill="F2F9FC"/>
            <w:vAlign w:val="center"/>
            <w:hideMark/>
          </w:tcPr>
          <w:p w14:paraId="1593F42E" w14:textId="77777777" w:rsidR="00FE3487" w:rsidRPr="00FE3487" w:rsidRDefault="00FE3487" w:rsidP="00FE3487">
            <w:pPr>
              <w:spacing w:after="0" w:line="240" w:lineRule="auto"/>
              <w:jc w:val="right"/>
              <w:rPr>
                <w:rFonts w:ascii="Arial" w:hAnsi="Arial" w:cs="Arial"/>
                <w:color w:val="000000"/>
                <w:sz w:val="16"/>
                <w:szCs w:val="16"/>
              </w:rPr>
            </w:pPr>
            <w:r w:rsidRPr="00FE3487">
              <w:rPr>
                <w:rFonts w:ascii="Arial" w:hAnsi="Arial" w:cs="Arial"/>
                <w:color w:val="000000"/>
                <w:sz w:val="16"/>
                <w:szCs w:val="16"/>
              </w:rPr>
              <w:t>3 3/4</w:t>
            </w:r>
          </w:p>
        </w:tc>
      </w:tr>
      <w:tr w:rsidR="00FE3487" w:rsidRPr="00FE3487" w14:paraId="0EA6F080" w14:textId="77777777" w:rsidTr="00CC2165">
        <w:trPr>
          <w:trHeight w:val="225"/>
        </w:trPr>
        <w:tc>
          <w:tcPr>
            <w:tcW w:w="2260" w:type="dxa"/>
            <w:tcBorders>
              <w:top w:val="nil"/>
              <w:left w:val="nil"/>
              <w:bottom w:val="single" w:sz="4" w:space="0" w:color="000000"/>
              <w:right w:val="nil"/>
            </w:tcBorders>
            <w:shd w:val="clear" w:color="000000" w:fill="FFFFFF"/>
            <w:vAlign w:val="center"/>
            <w:hideMark/>
          </w:tcPr>
          <w:p w14:paraId="129AC8E8" w14:textId="77777777" w:rsidR="00FE3487" w:rsidRPr="00FE3487" w:rsidRDefault="00FE3487" w:rsidP="00FE3487">
            <w:pPr>
              <w:spacing w:after="0" w:line="240" w:lineRule="auto"/>
              <w:jc w:val="left"/>
              <w:rPr>
                <w:rFonts w:ascii="Arial" w:hAnsi="Arial" w:cs="Arial"/>
                <w:sz w:val="16"/>
                <w:szCs w:val="16"/>
              </w:rPr>
            </w:pPr>
            <w:r w:rsidRPr="00FE3487">
              <w:rPr>
                <w:rFonts w:ascii="Arial" w:hAnsi="Arial" w:cs="Arial"/>
                <w:sz w:val="16"/>
                <w:szCs w:val="16"/>
              </w:rPr>
              <w:t>World</w:t>
            </w:r>
          </w:p>
        </w:tc>
        <w:tc>
          <w:tcPr>
            <w:tcW w:w="1280" w:type="dxa"/>
            <w:tcBorders>
              <w:top w:val="nil"/>
              <w:left w:val="nil"/>
              <w:bottom w:val="single" w:sz="4" w:space="0" w:color="000000"/>
              <w:right w:val="nil"/>
            </w:tcBorders>
            <w:shd w:val="clear" w:color="000000" w:fill="FFFFFF"/>
            <w:vAlign w:val="center"/>
            <w:hideMark/>
          </w:tcPr>
          <w:p w14:paraId="571A1950" w14:textId="62E0B9B5"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6</w:t>
            </w:r>
            <w:r w:rsidR="00770056">
              <w:rPr>
                <w:rFonts w:ascii="Arial" w:hAnsi="Arial" w:cs="Arial"/>
                <w:sz w:val="16"/>
                <w:szCs w:val="16"/>
              </w:rPr>
              <w:t>.0</w:t>
            </w:r>
          </w:p>
        </w:tc>
        <w:tc>
          <w:tcPr>
            <w:tcW w:w="1280" w:type="dxa"/>
            <w:tcBorders>
              <w:top w:val="nil"/>
              <w:left w:val="nil"/>
              <w:bottom w:val="single" w:sz="4" w:space="0" w:color="000000"/>
              <w:right w:val="nil"/>
            </w:tcBorders>
            <w:shd w:val="clear" w:color="000000" w:fill="F2F9FC"/>
            <w:vAlign w:val="center"/>
            <w:hideMark/>
          </w:tcPr>
          <w:p w14:paraId="1F49F246"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3 3/4</w:t>
            </w:r>
          </w:p>
        </w:tc>
        <w:tc>
          <w:tcPr>
            <w:tcW w:w="1280" w:type="dxa"/>
            <w:tcBorders>
              <w:top w:val="nil"/>
              <w:left w:val="nil"/>
              <w:bottom w:val="single" w:sz="4" w:space="0" w:color="000000"/>
              <w:right w:val="nil"/>
            </w:tcBorders>
            <w:shd w:val="clear" w:color="000000" w:fill="F2F9FC"/>
            <w:vAlign w:val="center"/>
            <w:hideMark/>
          </w:tcPr>
          <w:p w14:paraId="72E02398"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3 3/4</w:t>
            </w:r>
          </w:p>
        </w:tc>
        <w:tc>
          <w:tcPr>
            <w:tcW w:w="1280" w:type="dxa"/>
            <w:tcBorders>
              <w:top w:val="nil"/>
              <w:left w:val="nil"/>
              <w:bottom w:val="single" w:sz="4" w:space="0" w:color="000000"/>
              <w:right w:val="nil"/>
            </w:tcBorders>
            <w:shd w:val="clear" w:color="000000" w:fill="F2F9FC"/>
            <w:vAlign w:val="center"/>
            <w:hideMark/>
          </w:tcPr>
          <w:p w14:paraId="1BC278F4" w14:textId="77777777" w:rsidR="00FE3487" w:rsidRPr="00FE3487" w:rsidRDefault="00FE3487" w:rsidP="00FE3487">
            <w:pPr>
              <w:spacing w:after="0" w:line="240" w:lineRule="auto"/>
              <w:jc w:val="right"/>
              <w:rPr>
                <w:rFonts w:ascii="Arial" w:hAnsi="Arial" w:cs="Arial"/>
                <w:sz w:val="16"/>
                <w:szCs w:val="16"/>
              </w:rPr>
            </w:pPr>
            <w:r w:rsidRPr="00FE3487">
              <w:rPr>
                <w:rFonts w:ascii="Arial" w:hAnsi="Arial" w:cs="Arial"/>
                <w:sz w:val="16"/>
                <w:szCs w:val="16"/>
              </w:rPr>
              <w:t>3 1/2</w:t>
            </w:r>
          </w:p>
        </w:tc>
      </w:tr>
    </w:tbl>
    <w:p w14:paraId="4ABDB203" w14:textId="40735DD2" w:rsidR="00BE2ACC" w:rsidRDefault="005D0752" w:rsidP="003D2126">
      <w:pPr>
        <w:pStyle w:val="ChartandTableFootnoteAlpha"/>
        <w:numPr>
          <w:ilvl w:val="0"/>
          <w:numId w:val="10"/>
        </w:numPr>
      </w:pPr>
      <w:r w:rsidRPr="005D0752">
        <w:t>World and other East Asia growth rates are calculated using GDP weights based on purchasing power parity (PPP), while growth rates for major trading partners are calculated using goods and services export trade weights.</w:t>
      </w:r>
    </w:p>
    <w:p w14:paraId="731DCD25" w14:textId="306F1F2F" w:rsidR="0041057C" w:rsidRDefault="0041057C" w:rsidP="0041057C">
      <w:pPr>
        <w:pStyle w:val="ChartandTableFootnoteAlpha"/>
      </w:pPr>
      <w:r w:rsidRPr="0041057C">
        <w:t xml:space="preserve">Other East Asia comprises the Association of Southeast Asian Nations group of </w:t>
      </w:r>
      <w:r w:rsidR="00450D69">
        <w:t>5</w:t>
      </w:r>
      <w:r w:rsidRPr="0041057C">
        <w:t xml:space="preserve"> (ASEAN</w:t>
      </w:r>
      <w:r w:rsidRPr="0041057C">
        <w:rPr>
          <w:rFonts w:ascii="Times New Roman" w:hAnsi="Times New Roman"/>
        </w:rPr>
        <w:t>‑</w:t>
      </w:r>
      <w:r w:rsidRPr="0041057C">
        <w:t>5), comprising Indonesia, Malaysia, the Philippines, Thailand and Singapore, along with Hong Kong, South Korea, Vietnam and Taiwan.</w:t>
      </w:r>
    </w:p>
    <w:p w14:paraId="70EDCEB2" w14:textId="60EB74ED" w:rsidR="0087148C" w:rsidRPr="0087148C" w:rsidRDefault="0087148C" w:rsidP="0087148C">
      <w:pPr>
        <w:pStyle w:val="Source"/>
      </w:pPr>
      <w:r w:rsidRPr="0087148C">
        <w:t>Source: National statistical agencies, Refinitiv and Treasury.</w:t>
      </w:r>
    </w:p>
    <w:p w14:paraId="460E5797" w14:textId="77777777" w:rsidR="005D0752" w:rsidRPr="005D0752" w:rsidRDefault="005D0752" w:rsidP="005D0752"/>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7E04A6" w:rsidRPr="00436F9A" w14:paraId="249E37C9" w14:textId="77777777" w:rsidTr="00B1022B">
        <w:trPr>
          <w:cantSplit/>
          <w:trHeight w:val="3958"/>
        </w:trPr>
        <w:tc>
          <w:tcPr>
            <w:tcW w:w="9026" w:type="dxa"/>
            <w:shd w:val="clear" w:color="auto" w:fill="F2F9FC"/>
          </w:tcPr>
          <w:p w14:paraId="44C23E27" w14:textId="0CAB5BCF" w:rsidR="007E04A6" w:rsidRDefault="007E04A6" w:rsidP="00F251AA">
            <w:pPr>
              <w:pStyle w:val="Heading4"/>
            </w:pPr>
            <w:r w:rsidRPr="2727FE3B">
              <w:lastRenderedPageBreak/>
              <w:t>Box 2.</w:t>
            </w:r>
            <w:r>
              <w:t>2</w:t>
            </w:r>
            <w:r w:rsidRPr="2727FE3B">
              <w:t xml:space="preserve">: </w:t>
            </w:r>
            <w:r>
              <w:t xml:space="preserve">Economic </w:t>
            </w:r>
            <w:r w:rsidR="0099235A">
              <w:t>i</w:t>
            </w:r>
            <w:r w:rsidRPr="2727FE3B">
              <w:t xml:space="preserve">mplications of the </w:t>
            </w:r>
            <w:r>
              <w:t xml:space="preserve">Russian invasion of </w:t>
            </w:r>
            <w:r w:rsidRPr="2727FE3B">
              <w:t xml:space="preserve">Ukraine </w:t>
            </w:r>
          </w:p>
          <w:p w14:paraId="6AD73F1F" w14:textId="2C6C17DD" w:rsidR="007E04A6" w:rsidRDefault="007E04A6" w:rsidP="00F251AA">
            <w:pPr>
              <w:pStyle w:val="BoxText"/>
            </w:pPr>
            <w:r>
              <w:t>The Russian invasion of Ukraine, and the swift international response, has significantly affected the global economic outlook</w:t>
            </w:r>
            <w:r w:rsidR="00111A07">
              <w:t xml:space="preserve">. </w:t>
            </w:r>
            <w:r>
              <w:t>The invasion has caused substantial disruption in global commodity markets</w:t>
            </w:r>
            <w:r w:rsidR="00304313">
              <w:t xml:space="preserve"> and </w:t>
            </w:r>
            <w:r>
              <w:t>has the potential to significantly raise inflation and lower global growth</w:t>
            </w:r>
            <w:r w:rsidR="00111A07">
              <w:t xml:space="preserve">. </w:t>
            </w:r>
          </w:p>
          <w:p w14:paraId="0B1D86C7" w14:textId="7DB514B7" w:rsidR="007E04A6" w:rsidRDefault="007E04A6" w:rsidP="00F251AA">
            <w:pPr>
              <w:pStyle w:val="BoxText"/>
            </w:pPr>
            <w:r w:rsidRPr="003919FF">
              <w:t xml:space="preserve">The </w:t>
            </w:r>
            <w:r w:rsidRPr="009E06B8">
              <w:t xml:space="preserve">Russian and Ukrainian economies </w:t>
            </w:r>
            <w:r>
              <w:t xml:space="preserve">combined comprise </w:t>
            </w:r>
            <w:r w:rsidRPr="009E06B8">
              <w:t xml:space="preserve">less than </w:t>
            </w:r>
            <w:r>
              <w:t>3</w:t>
            </w:r>
            <w:r w:rsidRPr="009E06B8">
              <w:t xml:space="preserve"> per cent of global GDP and less than 2</w:t>
            </w:r>
            <w:r>
              <w:t xml:space="preserve">½ </w:t>
            </w:r>
            <w:r w:rsidRPr="009E06B8">
              <w:t xml:space="preserve">per cent of global </w:t>
            </w:r>
            <w:r>
              <w:t>trade</w:t>
            </w:r>
            <w:r w:rsidR="00111A07">
              <w:t xml:space="preserve">. </w:t>
            </w:r>
            <w:r>
              <w:t>F</w:t>
            </w:r>
            <w:r w:rsidRPr="003919FF">
              <w:t>oreign financial exposures to Russia are small</w:t>
            </w:r>
            <w:r w:rsidR="006E4D28">
              <w:t>,</w:t>
            </w:r>
            <w:r w:rsidRPr="003919FF">
              <w:t xml:space="preserve"> and the IMF has assessed that a sovereign or bank default </w:t>
            </w:r>
            <w:r>
              <w:t>is</w:t>
            </w:r>
            <w:r w:rsidRPr="003919FF">
              <w:t xml:space="preserve"> not a systemic risk to global financial stability</w:t>
            </w:r>
            <w:r w:rsidR="00111A07">
              <w:t xml:space="preserve">. </w:t>
            </w:r>
          </w:p>
          <w:p w14:paraId="06C82C48" w14:textId="66D3730A" w:rsidR="007E04A6" w:rsidRPr="003919FF" w:rsidRDefault="007E04A6" w:rsidP="00F251AA">
            <w:pPr>
              <w:pStyle w:val="BoxText"/>
            </w:pPr>
            <w:r w:rsidRPr="008C38CE">
              <w:t>Russia is, however, an important global commodity supplier</w:t>
            </w:r>
            <w:r w:rsidR="00111A07">
              <w:t xml:space="preserve">. </w:t>
            </w:r>
            <w:r w:rsidRPr="008C38CE">
              <w:t>Russia produces 1</w:t>
            </w:r>
            <w:r w:rsidR="007C14DC">
              <w:t>8</w:t>
            </w:r>
            <w:r w:rsidRPr="008C38CE">
              <w:t xml:space="preserve"> per cent </w:t>
            </w:r>
            <w:r w:rsidR="006E4D28" w:rsidRPr="008C38CE">
              <w:t xml:space="preserve">of </w:t>
            </w:r>
            <w:r w:rsidR="003E02FC" w:rsidRPr="008C38CE">
              <w:t>the world</w:t>
            </w:r>
            <w:r w:rsidR="00111A07">
              <w:t>’</w:t>
            </w:r>
            <w:r w:rsidR="003E02FC" w:rsidRPr="008C38CE">
              <w:t>s</w:t>
            </w:r>
            <w:r w:rsidR="006E4D28" w:rsidRPr="008C38CE">
              <w:t xml:space="preserve"> gas</w:t>
            </w:r>
            <w:r w:rsidRPr="008C38CE">
              <w:t xml:space="preserve"> and 1</w:t>
            </w:r>
            <w:r w:rsidR="003C6A6B">
              <w:t>2</w:t>
            </w:r>
            <w:r w:rsidRPr="008C38CE">
              <w:t xml:space="preserve"> per cent </w:t>
            </w:r>
            <w:r w:rsidR="006E4D28" w:rsidRPr="008C38CE">
              <w:t xml:space="preserve">of </w:t>
            </w:r>
            <w:r w:rsidR="003E02FC" w:rsidRPr="008C38CE">
              <w:t>world</w:t>
            </w:r>
            <w:r w:rsidR="00111A07">
              <w:t>’</w:t>
            </w:r>
            <w:r w:rsidR="003E02FC" w:rsidRPr="008C38CE">
              <w:t>s</w:t>
            </w:r>
            <w:r w:rsidR="006E4D28" w:rsidRPr="008C38CE">
              <w:t xml:space="preserve"> </w:t>
            </w:r>
            <w:r w:rsidRPr="008C38CE">
              <w:t>oil</w:t>
            </w:r>
            <w:r w:rsidRPr="003919FF">
              <w:t xml:space="preserve"> </w:t>
            </w:r>
            <w:r>
              <w:t>supply</w:t>
            </w:r>
            <w:r w:rsidR="005E4B37">
              <w:t xml:space="preserve"> and, t</w:t>
            </w:r>
            <w:r w:rsidRPr="003919FF">
              <w:t xml:space="preserve">ogether with Ukraine, </w:t>
            </w:r>
            <w:r w:rsidR="005E4B37">
              <w:t xml:space="preserve">accounts for </w:t>
            </w:r>
            <w:r w:rsidR="0059155F">
              <w:t>around</w:t>
            </w:r>
            <w:r w:rsidRPr="003919FF">
              <w:t xml:space="preserve"> 25 per cent of world wheat exports (Chart 2.5)</w:t>
            </w:r>
            <w:r w:rsidR="00111A07">
              <w:t xml:space="preserve">. </w:t>
            </w:r>
            <w:r w:rsidRPr="003919FF">
              <w:t>The invasion has</w:t>
            </w:r>
            <w:r>
              <w:t xml:space="preserve"> increased the risk of supply disruptions, </w:t>
            </w:r>
            <w:r w:rsidRPr="003919FF">
              <w:t xml:space="preserve">pushing up energy, </w:t>
            </w:r>
            <w:r>
              <w:t>agricultural</w:t>
            </w:r>
            <w:r w:rsidRPr="003919FF">
              <w:t xml:space="preserve"> and metals prices</w:t>
            </w:r>
            <w:r w:rsidR="00111A07">
              <w:t xml:space="preserve">. </w:t>
            </w:r>
            <w:r w:rsidR="00625F7E">
              <w:t>Global supply chains are also reliant on Russian metals exports, especially palladium, so significant supply disruption could have flow</w:t>
            </w:r>
            <w:r w:rsidR="00111A07">
              <w:noBreakHyphen/>
            </w:r>
            <w:r w:rsidR="00625F7E">
              <w:t>on effects</w:t>
            </w:r>
            <w:r w:rsidR="005E4B37">
              <w:t xml:space="preserve"> for global manufacturing supply chains</w:t>
            </w:r>
            <w:r w:rsidR="00111A07">
              <w:t xml:space="preserve">. </w:t>
            </w:r>
          </w:p>
          <w:p w14:paraId="45E645CA" w14:textId="5C088DBA" w:rsidR="008E6AD5" w:rsidRPr="007778BE" w:rsidRDefault="007E04A6" w:rsidP="0032550A">
            <w:pPr>
              <w:pStyle w:val="BoxText"/>
            </w:pPr>
            <w:r>
              <w:t xml:space="preserve">All economies will be affected by the </w:t>
            </w:r>
            <w:proofErr w:type="spellStart"/>
            <w:r>
              <w:t>spillover</w:t>
            </w:r>
            <w:proofErr w:type="spellEnd"/>
            <w:r>
              <w:t xml:space="preserve"> impact on global commodity prices, but the extent of the impact will depend on each economy</w:t>
            </w:r>
            <w:r w:rsidR="00111A07">
              <w:t>’</w:t>
            </w:r>
            <w:r>
              <w:t>s reliance on energy and food imports</w:t>
            </w:r>
            <w:r w:rsidR="00111A07">
              <w:t xml:space="preserve">. </w:t>
            </w:r>
            <w:r>
              <w:t xml:space="preserve">Among developed economies, European and </w:t>
            </w:r>
            <w:r w:rsidR="0011000F">
              <w:t>N</w:t>
            </w:r>
            <w:r>
              <w:t>orth</w:t>
            </w:r>
            <w:r w:rsidR="00AE7FDF">
              <w:t> </w:t>
            </w:r>
            <w:r>
              <w:t>Asian economies are highly dependent on energy imports (Chart 2.6)</w:t>
            </w:r>
            <w:r w:rsidR="00111A07">
              <w:t xml:space="preserve">. </w:t>
            </w:r>
            <w:r>
              <w:t>Among large emerging market economies</w:t>
            </w:r>
            <w:r w:rsidR="00D4087A">
              <w:t>,</w:t>
            </w:r>
            <w:r>
              <w:t xml:space="preserve"> China and India are dependent on energy imports and many countries in the Middle East and North Africa are major food importers</w:t>
            </w:r>
            <w:r w:rsidR="00111A07">
              <w:t xml:space="preserve">. </w:t>
            </w:r>
            <w:r>
              <w:t>These countries will suffer a negative terms of trade shock because of the increase in commodity prices</w:t>
            </w:r>
            <w:r w:rsidR="00111A07">
              <w:t xml:space="preserve">. </w:t>
            </w:r>
          </w:p>
          <w:tbl>
            <w:tblPr>
              <w:tblW w:w="5000" w:type="pct"/>
              <w:tblCellMar>
                <w:left w:w="0" w:type="dxa"/>
                <w:right w:w="0" w:type="dxa"/>
              </w:tblCellMar>
              <w:tblLook w:val="0000" w:firstRow="0" w:lastRow="0" w:firstColumn="0" w:lastColumn="0" w:noHBand="0" w:noVBand="0"/>
            </w:tblPr>
            <w:tblGrid>
              <w:gridCol w:w="3570"/>
              <w:gridCol w:w="3572"/>
            </w:tblGrid>
            <w:tr w:rsidR="007E04A6" w14:paraId="17AC6BD1" w14:textId="77777777" w:rsidTr="00F251AA">
              <w:trPr>
                <w:cantSplit/>
              </w:trPr>
              <w:tc>
                <w:tcPr>
                  <w:tcW w:w="2564" w:type="pct"/>
                </w:tcPr>
                <w:p w14:paraId="7E17D22B" w14:textId="77777777" w:rsidR="007E04A6" w:rsidRDefault="007E04A6" w:rsidP="00F251AA">
                  <w:pPr>
                    <w:pStyle w:val="ChartMainHeading"/>
                  </w:pPr>
                  <w:r w:rsidRPr="00E516AE">
                    <w:t xml:space="preserve">Chart </w:t>
                  </w:r>
                  <w:r>
                    <w:t>2.5</w:t>
                  </w:r>
                  <w:r w:rsidRPr="00E516AE">
                    <w:t xml:space="preserve"> </w:t>
                  </w:r>
                  <w:r w:rsidRPr="00E516AE">
                    <w:rPr>
                      <w:bCs/>
                    </w:rPr>
                    <w:t>Contribution to</w:t>
                  </w:r>
                  <w:r w:rsidRPr="00E516AE">
                    <w:t xml:space="preserve"> </w:t>
                  </w:r>
                  <w:r w:rsidRPr="00E516AE">
                    <w:rPr>
                      <w:bCs/>
                    </w:rPr>
                    <w:t>global</w:t>
                  </w:r>
                  <w:r w:rsidRPr="00E516AE">
                    <w:t xml:space="preserve"> GDP and exports of selected commodities</w:t>
                  </w:r>
                </w:p>
              </w:tc>
              <w:tc>
                <w:tcPr>
                  <w:tcW w:w="2436" w:type="pct"/>
                </w:tcPr>
                <w:p w14:paraId="72E6B4A1" w14:textId="59B39212" w:rsidR="007E04A6" w:rsidRDefault="007E04A6" w:rsidP="00F251AA">
                  <w:pPr>
                    <w:pStyle w:val="ChartMainHeading"/>
                  </w:pPr>
                  <w:r w:rsidRPr="00E516AE">
                    <w:t xml:space="preserve">Chart </w:t>
                  </w:r>
                  <w:r>
                    <w:t>2.6</w:t>
                  </w:r>
                  <w:r w:rsidRPr="00E516AE">
                    <w:t xml:space="preserve"> Net energy </w:t>
                  </w:r>
                  <w:r w:rsidR="00260887">
                    <w:t>ex</w:t>
                  </w:r>
                  <w:r w:rsidRPr="00E516AE">
                    <w:t xml:space="preserve">ports as a </w:t>
                  </w:r>
                  <w:r>
                    <w:t>proportion</w:t>
                  </w:r>
                  <w:r w:rsidRPr="00E516AE">
                    <w:t xml:space="preserve"> of </w:t>
                  </w:r>
                  <w:r>
                    <w:t>domestic energy use</w:t>
                  </w:r>
                </w:p>
              </w:tc>
            </w:tr>
            <w:tr w:rsidR="007E04A6" w14:paraId="656781A1" w14:textId="77777777" w:rsidTr="00F251AA">
              <w:trPr>
                <w:cantSplit/>
              </w:trPr>
              <w:tc>
                <w:tcPr>
                  <w:tcW w:w="2564" w:type="pct"/>
                </w:tcPr>
                <w:p w14:paraId="4CB0F6FC" w14:textId="49A8055F" w:rsidR="007E04A6" w:rsidRDefault="00EA1F8C" w:rsidP="00F251AA">
                  <w:pPr>
                    <w:pStyle w:val="ChartGraphic"/>
                    <w:jc w:val="left"/>
                  </w:pPr>
                  <w:r w:rsidRPr="00EA1F8C">
                    <w:rPr>
                      <w:noProof/>
                    </w:rPr>
                    <w:drawing>
                      <wp:inline distT="0" distB="0" distL="0" distR="0" wp14:anchorId="13F889D3" wp14:editId="33B7C9E6">
                        <wp:extent cx="2260600" cy="2197100"/>
                        <wp:effectExtent l="0" t="0" r="6350" b="0"/>
                        <wp:docPr id="8" name="Picture 8" descr="This chart shows the contribution of Russia and Ukraine to global nominal GDP, international trade, and to trade in selected commodities. While only accounting for a small share of global GDP and world trade, Russia and Ukraine account for a large share of certain commodities, notably oil, wheat, and 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chart shows the contribution of Russia and Ukraine to global nominal GDP, international trade, and to trade in selected commodities. While only accounting for a small share of global GDP and world trade, Russia and Ukraine account for a large share of certain commodities, notably oil, wheat, and gas."/>
                                <pic:cNvPicPr>
                                  <a:picLocks noChangeAspect="1" noChangeArrowheads="1"/>
                                </pic:cNvPicPr>
                              </pic:nvPicPr>
                              <pic:blipFill rotWithShape="1">
                                <a:blip r:embed="rId20">
                                  <a:extLst>
                                    <a:ext uri="{28A0092B-C50C-407E-A947-70E740481C1C}">
                                      <a14:useLocalDpi xmlns:a14="http://schemas.microsoft.com/office/drawing/2010/main" val="0"/>
                                    </a:ext>
                                  </a:extLst>
                                </a:blip>
                                <a:srcRect l="2466" t="4683"/>
                                <a:stretch/>
                              </pic:blipFill>
                              <pic:spPr bwMode="auto">
                                <a:xfrm>
                                  <a:off x="0" y="0"/>
                                  <a:ext cx="2260600" cy="21971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36" w:type="pct"/>
                </w:tcPr>
                <w:p w14:paraId="3BFFF504" w14:textId="13DAB724" w:rsidR="007E04A6" w:rsidRDefault="00DB5832" w:rsidP="00F251AA">
                  <w:pPr>
                    <w:pStyle w:val="ChartGraphic"/>
                    <w:jc w:val="both"/>
                  </w:pPr>
                  <w:r w:rsidRPr="00DB5832">
                    <w:rPr>
                      <w:noProof/>
                    </w:rPr>
                    <w:drawing>
                      <wp:inline distT="0" distB="0" distL="0" distR="0" wp14:anchorId="3800003E" wp14:editId="61C161C7">
                        <wp:extent cx="2268784" cy="2143125"/>
                        <wp:effectExtent l="0" t="0" r="0" b="0"/>
                        <wp:docPr id="12" name="Picture 12" descr="This chart shows the net energy exports for selected countries. Australia is a large net energy exporter. With the exception of Canada, other countries shown are net energy importers, particularly for oil and gas - notably Japan, South Korea, and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is chart shows the net energy exports for selected countries. Australia is a large net energy exporter. With the exception of Canada, other countries shown are net energy importers, particularly for oil and gas - notably Japan, South Korea, and China."/>
                                <pic:cNvPicPr>
                                  <a:picLocks noChangeAspect="1" noChangeArrowheads="1"/>
                                </pic:cNvPicPr>
                              </pic:nvPicPr>
                              <pic:blipFill rotWithShape="1">
                                <a:blip r:embed="rId21">
                                  <a:extLst>
                                    <a:ext uri="{28A0092B-C50C-407E-A947-70E740481C1C}">
                                      <a14:useLocalDpi xmlns:a14="http://schemas.microsoft.com/office/drawing/2010/main" val="0"/>
                                    </a:ext>
                                  </a:extLst>
                                </a:blip>
                                <a:srcRect t="4124" b="1415"/>
                                <a:stretch/>
                              </pic:blipFill>
                              <pic:spPr bwMode="auto">
                                <a:xfrm>
                                  <a:off x="0" y="0"/>
                                  <a:ext cx="2269731" cy="21440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04A6" w14:paraId="4CEDDD28" w14:textId="77777777" w:rsidTr="00F251AA">
              <w:trPr>
                <w:cantSplit/>
              </w:trPr>
              <w:tc>
                <w:tcPr>
                  <w:tcW w:w="2564" w:type="pct"/>
                </w:tcPr>
                <w:p w14:paraId="4EE4DBE6" w14:textId="5F43FBD6" w:rsidR="007E04A6" w:rsidRPr="00E516AE" w:rsidRDefault="007E04A6" w:rsidP="00F251AA">
                  <w:pPr>
                    <w:pStyle w:val="ChartGraphic"/>
                    <w:jc w:val="left"/>
                    <w:rPr>
                      <w:rFonts w:cs="Arial"/>
                      <w:noProof/>
                      <w:sz w:val="16"/>
                      <w:szCs w:val="16"/>
                    </w:rPr>
                  </w:pPr>
                  <w:r w:rsidRPr="00E516AE">
                    <w:rPr>
                      <w:rFonts w:cs="Arial"/>
                      <w:sz w:val="16"/>
                      <w:szCs w:val="16"/>
                    </w:rPr>
                    <w:t>Source:</w:t>
                  </w:r>
                  <w:r>
                    <w:t xml:space="preserve"> </w:t>
                  </w:r>
                  <w:r w:rsidRPr="00E516AE">
                    <w:rPr>
                      <w:rFonts w:cs="Arial"/>
                      <w:sz w:val="16"/>
                      <w:szCs w:val="16"/>
                    </w:rPr>
                    <w:t xml:space="preserve">UN </w:t>
                  </w:r>
                  <w:proofErr w:type="spellStart"/>
                  <w:r w:rsidRPr="00E516AE">
                    <w:rPr>
                      <w:rFonts w:cs="Arial"/>
                      <w:sz w:val="16"/>
                      <w:szCs w:val="16"/>
                    </w:rPr>
                    <w:t>Comtrade</w:t>
                  </w:r>
                  <w:proofErr w:type="spellEnd"/>
                  <w:r w:rsidRPr="00E516AE">
                    <w:rPr>
                      <w:rFonts w:cs="Arial"/>
                      <w:sz w:val="16"/>
                      <w:szCs w:val="16"/>
                    </w:rPr>
                    <w:t>, Treasury.</w:t>
                  </w:r>
                </w:p>
              </w:tc>
              <w:tc>
                <w:tcPr>
                  <w:tcW w:w="2436" w:type="pct"/>
                </w:tcPr>
                <w:p w14:paraId="3CD4DB4D" w14:textId="3624CF04" w:rsidR="007E04A6" w:rsidRPr="00E516AE" w:rsidRDefault="007E04A6" w:rsidP="00F251AA">
                  <w:pPr>
                    <w:pStyle w:val="SourceBox"/>
                    <w:rPr>
                      <w:noProof/>
                    </w:rPr>
                  </w:pPr>
                  <w:r w:rsidRPr="00E516AE">
                    <w:t>Source:</w:t>
                  </w:r>
                  <w:r>
                    <w:t xml:space="preserve"> </w:t>
                  </w:r>
                  <w:r w:rsidR="00C82195">
                    <w:t>International Energy Agency</w:t>
                  </w:r>
                  <w:r w:rsidR="00111A07">
                    <w:t xml:space="preserve"> </w:t>
                  </w:r>
                </w:p>
              </w:tc>
            </w:tr>
          </w:tbl>
          <w:p w14:paraId="5A985F4B" w14:textId="021066CB" w:rsidR="0032550A" w:rsidRDefault="0032550A" w:rsidP="0032550A">
            <w:pPr>
              <w:pStyle w:val="Heading4"/>
            </w:pPr>
            <w:r w:rsidRPr="2727FE3B">
              <w:lastRenderedPageBreak/>
              <w:t>Box 2.</w:t>
            </w:r>
            <w:r>
              <w:t>2</w:t>
            </w:r>
            <w:r w:rsidRPr="2727FE3B">
              <w:t xml:space="preserve">: </w:t>
            </w:r>
            <w:r>
              <w:t xml:space="preserve">Economic </w:t>
            </w:r>
            <w:r w:rsidRPr="2727FE3B">
              <w:t xml:space="preserve">Implications of the </w:t>
            </w:r>
            <w:r>
              <w:t xml:space="preserve">Russian invasion of </w:t>
            </w:r>
            <w:r w:rsidRPr="2727FE3B">
              <w:t xml:space="preserve">Ukraine </w:t>
            </w:r>
            <w:r>
              <w:t>(continued)</w:t>
            </w:r>
          </w:p>
          <w:p w14:paraId="0DAC4037" w14:textId="56E8AB99" w:rsidR="0032550A" w:rsidRDefault="0032550A" w:rsidP="0032550A">
            <w:r>
              <w:t xml:space="preserve">A smaller set of </w:t>
            </w:r>
            <w:r w:rsidR="0011000F">
              <w:t xml:space="preserve">net </w:t>
            </w:r>
            <w:proofErr w:type="gramStart"/>
            <w:r>
              <w:t>commodity</w:t>
            </w:r>
            <w:proofErr w:type="gramEnd"/>
            <w:r w:rsidR="00111A07">
              <w:noBreakHyphen/>
            </w:r>
            <w:r>
              <w:t xml:space="preserve">exporting countries, like Australia and Canada, will be somewhat </w:t>
            </w:r>
            <w:r w:rsidR="003C7BAC">
              <w:t>protected</w:t>
            </w:r>
            <w:r>
              <w:t xml:space="preserve"> from the inflation impacts </w:t>
            </w:r>
            <w:r w:rsidR="003C7BAC">
              <w:t>of higher energy prices</w:t>
            </w:r>
            <w:r w:rsidR="00923309">
              <w:t>, and will</w:t>
            </w:r>
            <w:r>
              <w:t xml:space="preserve"> potentially benefit from a positive terms of trade shock </w:t>
            </w:r>
            <w:r w:rsidR="00923309">
              <w:t>as export prices</w:t>
            </w:r>
            <w:r>
              <w:t xml:space="preserve"> rise</w:t>
            </w:r>
            <w:r w:rsidR="00111A07">
              <w:t xml:space="preserve">. </w:t>
            </w:r>
          </w:p>
          <w:p w14:paraId="5C4A2C9C" w14:textId="6A1D1174" w:rsidR="007E04A6" w:rsidRPr="00482D50" w:rsidRDefault="003E02FC" w:rsidP="003E02FC">
            <w:pPr>
              <w:pStyle w:val="BoxText"/>
            </w:pPr>
            <w:r w:rsidRPr="008C38CE">
              <w:t>It is estimated</w:t>
            </w:r>
            <w:r w:rsidR="0032550A" w:rsidRPr="008C38CE">
              <w:t xml:space="preserve"> that the conflict will cause </w:t>
            </w:r>
            <w:r w:rsidRPr="008C38CE">
              <w:t>a</w:t>
            </w:r>
            <w:r w:rsidR="0032550A" w:rsidRPr="008C38CE">
              <w:t xml:space="preserve"> ¾ of a percentage point drag on global growth and increase global inflation by around 1½ percentage points</w:t>
            </w:r>
            <w:r w:rsidR="00111A07">
              <w:t xml:space="preserve">. </w:t>
            </w:r>
            <w:r w:rsidR="0032550A" w:rsidRPr="008C38CE">
              <w:t>The</w:t>
            </w:r>
            <w:r w:rsidR="00AE7FDF">
              <w:t> </w:t>
            </w:r>
            <w:r w:rsidR="0032550A" w:rsidRPr="008C38CE">
              <w:t xml:space="preserve">economic impacts of the conflict are highly uncertain and will depend on the extent of the disruption to global commodity </w:t>
            </w:r>
            <w:r w:rsidRPr="008C38CE">
              <w:t xml:space="preserve">and energy </w:t>
            </w:r>
            <w:r w:rsidR="0032550A" w:rsidRPr="008C38CE">
              <w:t>supply</w:t>
            </w:r>
            <w:r w:rsidR="00111A07">
              <w:t xml:space="preserve">. </w:t>
            </w:r>
            <w:r w:rsidR="0032550A" w:rsidRPr="008C38CE">
              <w:t xml:space="preserve">If the conflict </w:t>
            </w:r>
            <w:r w:rsidRPr="008C38CE">
              <w:t>has a larger</w:t>
            </w:r>
            <w:r w:rsidR="0088324C">
              <w:t>-</w:t>
            </w:r>
            <w:r w:rsidRPr="008C38CE">
              <w:t>than</w:t>
            </w:r>
            <w:r w:rsidR="0088324C">
              <w:t>-</w:t>
            </w:r>
            <w:r w:rsidRPr="008C38CE">
              <w:t>expected</w:t>
            </w:r>
            <w:r w:rsidR="0032550A" w:rsidRPr="008C38CE">
              <w:t xml:space="preserve"> impact </w:t>
            </w:r>
            <w:r w:rsidR="00891F22">
              <w:t xml:space="preserve">on </w:t>
            </w:r>
            <w:r w:rsidR="0032550A" w:rsidRPr="008C38CE">
              <w:t>global energy</w:t>
            </w:r>
            <w:r w:rsidR="0088324C">
              <w:t xml:space="preserve"> supply</w:t>
            </w:r>
            <w:r w:rsidRPr="008C38CE">
              <w:t xml:space="preserve">, such as a cessation of gas supplies to Europe, this </w:t>
            </w:r>
            <w:proofErr w:type="gramStart"/>
            <w:r w:rsidRPr="008C38CE">
              <w:t>would</w:t>
            </w:r>
            <w:proofErr w:type="gramEnd"/>
            <w:r w:rsidRPr="008C38CE">
              <w:t xml:space="preserve"> weigh more heavily on global growth and inflation</w:t>
            </w:r>
            <w:r w:rsidR="00111A07">
              <w:t xml:space="preserve">. </w:t>
            </w:r>
          </w:p>
        </w:tc>
      </w:tr>
    </w:tbl>
    <w:p w14:paraId="71B618DE" w14:textId="77777777" w:rsidR="007E04A6" w:rsidRDefault="007E04A6" w:rsidP="007E04A6"/>
    <w:p w14:paraId="533CA0C4" w14:textId="4C42F45C" w:rsidR="00BE2ACC" w:rsidRDefault="00BE2ACC" w:rsidP="007E04A6">
      <w:pPr>
        <w:spacing w:after="160" w:line="259" w:lineRule="auto"/>
        <w:jc w:val="left"/>
      </w:pPr>
      <w:r>
        <w:rPr>
          <w:b/>
        </w:rPr>
        <w:br w:type="page"/>
      </w:r>
    </w:p>
    <w:p w14:paraId="00D0CA69" w14:textId="2AC7DB11" w:rsidR="00733707" w:rsidRPr="00B96121" w:rsidRDefault="00733707" w:rsidP="00733707">
      <w:pPr>
        <w:pStyle w:val="Heading2"/>
      </w:pPr>
      <w:bookmarkStart w:id="7" w:name="_Toc99064354"/>
      <w:r w:rsidRPr="00B96121">
        <w:lastRenderedPageBreak/>
        <w:t>Outlook for the domestic economy</w:t>
      </w:r>
      <w:bookmarkEnd w:id="7"/>
    </w:p>
    <w:p w14:paraId="6DB4232D" w14:textId="5438404F" w:rsidR="00AF5C6A" w:rsidRPr="00B96121" w:rsidRDefault="00AF5C6A" w:rsidP="001C31F0">
      <w:pPr>
        <w:pStyle w:val="Heading3"/>
        <w:spacing w:after="240"/>
      </w:pPr>
      <w:bookmarkStart w:id="8" w:name="_Toc99064355"/>
      <w:r w:rsidRPr="00B96121">
        <w:t xml:space="preserve">Outlook for </w:t>
      </w:r>
      <w:r>
        <w:t>real GDP growth</w:t>
      </w:r>
      <w:bookmarkEnd w:id="8"/>
    </w:p>
    <w:p w14:paraId="0DF43517" w14:textId="58238FE2" w:rsidR="00ED422D" w:rsidRPr="0076346E" w:rsidRDefault="00ED422D" w:rsidP="00ED422D">
      <w:pPr>
        <w:pStyle w:val="ChartHeading"/>
        <w:spacing w:before="0" w:after="240"/>
        <w:jc w:val="both"/>
        <w:rPr>
          <w:rFonts w:ascii="Book Antiqua" w:hAnsi="Book Antiqua"/>
          <w:b w:val="0"/>
          <w:bCs/>
        </w:rPr>
      </w:pPr>
      <w:r w:rsidRPr="0076346E">
        <w:rPr>
          <w:rFonts w:ascii="Book Antiqua" w:hAnsi="Book Antiqua"/>
          <w:b w:val="0"/>
          <w:bCs/>
        </w:rPr>
        <w:t xml:space="preserve">The Australian economy has proved </w:t>
      </w:r>
      <w:r w:rsidR="003855EF">
        <w:rPr>
          <w:rFonts w:ascii="Book Antiqua" w:hAnsi="Book Antiqua"/>
          <w:b w:val="0"/>
          <w:bCs/>
        </w:rPr>
        <w:t xml:space="preserve">remarkably </w:t>
      </w:r>
      <w:r w:rsidRPr="0076346E">
        <w:rPr>
          <w:rFonts w:ascii="Book Antiqua" w:hAnsi="Book Antiqua"/>
          <w:b w:val="0"/>
          <w:bCs/>
        </w:rPr>
        <w:t xml:space="preserve">resilient to the ongoing impacts of the pandemic, </w:t>
      </w:r>
      <w:r w:rsidR="007F67A6">
        <w:rPr>
          <w:rFonts w:ascii="Book Antiqua" w:hAnsi="Book Antiqua"/>
          <w:b w:val="0"/>
          <w:bCs/>
        </w:rPr>
        <w:t xml:space="preserve">outperforming </w:t>
      </w:r>
      <w:r w:rsidR="007F67A6" w:rsidDel="000E5243">
        <w:rPr>
          <w:rFonts w:ascii="Book Antiqua" w:hAnsi="Book Antiqua"/>
          <w:b w:val="0"/>
          <w:bCs/>
        </w:rPr>
        <w:t>all</w:t>
      </w:r>
      <w:r w:rsidRPr="0076346E" w:rsidDel="000E5243">
        <w:rPr>
          <w:rFonts w:ascii="Book Antiqua" w:hAnsi="Book Antiqua"/>
          <w:b w:val="0"/>
          <w:bCs/>
        </w:rPr>
        <w:t xml:space="preserve"> </w:t>
      </w:r>
      <w:r w:rsidRPr="0076346E">
        <w:rPr>
          <w:rFonts w:ascii="Book Antiqua" w:hAnsi="Book Antiqua"/>
          <w:b w:val="0"/>
          <w:bCs/>
        </w:rPr>
        <w:t>major advanced economies</w:t>
      </w:r>
      <w:r w:rsidR="00111A07">
        <w:rPr>
          <w:rFonts w:ascii="Book Antiqua" w:hAnsi="Book Antiqua"/>
          <w:b w:val="0"/>
          <w:bCs/>
        </w:rPr>
        <w:t xml:space="preserve">. </w:t>
      </w:r>
    </w:p>
    <w:p w14:paraId="6CA5651B" w14:textId="115E5F61" w:rsidR="00ED422D" w:rsidRPr="00C31BB6" w:rsidRDefault="00ED422D" w:rsidP="00ED422D">
      <w:pPr>
        <w:rPr>
          <w:bCs/>
        </w:rPr>
      </w:pPr>
      <w:r w:rsidRPr="00E75C38">
        <w:t xml:space="preserve">The economy grew by 3.4 per cent in the December quarter </w:t>
      </w:r>
      <w:r w:rsidR="00531205">
        <w:t>of</w:t>
      </w:r>
      <w:r w:rsidRPr="00E75C38">
        <w:t xml:space="preserve"> 2021, the equal </w:t>
      </w:r>
      <w:r w:rsidR="00FA2355" w:rsidRPr="00E75C38">
        <w:t>highest</w:t>
      </w:r>
      <w:r w:rsidRPr="00E75C38">
        <w:t xml:space="preserve"> growth rate in 46 years</w:t>
      </w:r>
      <w:r w:rsidR="00233242" w:rsidRPr="00E75C38">
        <w:t>,</w:t>
      </w:r>
      <w:r w:rsidR="00CF4FA6" w:rsidRPr="00E75C38">
        <w:t xml:space="preserve"> as </w:t>
      </w:r>
      <w:r w:rsidR="000943AB" w:rsidRPr="00E75C38">
        <w:t xml:space="preserve">consumer </w:t>
      </w:r>
      <w:r w:rsidRPr="00E75C38">
        <w:t xml:space="preserve">demand for discretionary goods and services </w:t>
      </w:r>
      <w:r w:rsidR="000E76DB" w:rsidRPr="00E75C38">
        <w:t xml:space="preserve">rebounded </w:t>
      </w:r>
      <w:r w:rsidRPr="00E75C38">
        <w:t>following the easing of Delta restrictions</w:t>
      </w:r>
      <w:r w:rsidR="00111A07">
        <w:t xml:space="preserve">. </w:t>
      </w:r>
    </w:p>
    <w:p w14:paraId="10CD9A9F" w14:textId="61FA87B8" w:rsidR="00FA5B2D" w:rsidRDefault="000D0D41" w:rsidP="00C17F10">
      <w:pPr>
        <w:rPr>
          <w:b/>
        </w:rPr>
      </w:pPr>
      <w:r w:rsidRPr="00E75C38">
        <w:t>As has been the case throughout the pandemic, t</w:t>
      </w:r>
      <w:r w:rsidR="000943AB" w:rsidRPr="00E75C38">
        <w:t>h</w:t>
      </w:r>
      <w:r w:rsidR="00FA2355" w:rsidRPr="00E75C38">
        <w:t>is</w:t>
      </w:r>
      <w:r w:rsidR="000943AB" w:rsidRPr="00E75C38">
        <w:t xml:space="preserve"> swift recovery in consumption was due </w:t>
      </w:r>
      <w:r w:rsidR="009E1DD7" w:rsidRPr="00E75C38">
        <w:t xml:space="preserve">in part </w:t>
      </w:r>
      <w:r w:rsidR="00ED422D" w:rsidRPr="00E75C38">
        <w:t xml:space="preserve">to the effectiveness of Government support </w:t>
      </w:r>
      <w:r w:rsidR="000943AB" w:rsidRPr="00E75C38">
        <w:t>in</w:t>
      </w:r>
      <w:r w:rsidR="00ED422D" w:rsidRPr="00E75C38">
        <w:t xml:space="preserve"> sustaining household incomes and labour market connections</w:t>
      </w:r>
      <w:r w:rsidR="00111A07">
        <w:t xml:space="preserve">. </w:t>
      </w:r>
      <w:r w:rsidR="00FA5B2D">
        <w:t>Going forward, t</w:t>
      </w:r>
      <w:r w:rsidR="00ED422D" w:rsidRPr="00E75C38">
        <w:t>he private sector recovery is expected to become self</w:t>
      </w:r>
      <w:r w:rsidR="00111A07">
        <w:noBreakHyphen/>
      </w:r>
      <w:r w:rsidR="00ED422D" w:rsidRPr="00E75C38">
        <w:t xml:space="preserve">sustaining </w:t>
      </w:r>
      <w:r w:rsidR="007637BE" w:rsidRPr="00E75C38" w:rsidDel="00A1500E">
        <w:t>and drive growth</w:t>
      </w:r>
      <w:r w:rsidR="00ED422D" w:rsidRPr="00E75C38" w:rsidDel="00A1500E">
        <w:t xml:space="preserve"> </w:t>
      </w:r>
      <w:r w:rsidR="00ED422D" w:rsidRPr="00E75C38">
        <w:t xml:space="preserve">as </w:t>
      </w:r>
      <w:r w:rsidR="00C6485B" w:rsidRPr="00E75C38">
        <w:t xml:space="preserve">the need for </w:t>
      </w:r>
      <w:r w:rsidR="00E447EA">
        <w:t>activity</w:t>
      </w:r>
      <w:r w:rsidR="00C6485B" w:rsidRPr="00E75C38">
        <w:t xml:space="preserve"> restrictions and</w:t>
      </w:r>
      <w:r w:rsidR="000943AB" w:rsidRPr="00E75C38">
        <w:t xml:space="preserve"> related policy support </w:t>
      </w:r>
      <w:r w:rsidR="005766D8">
        <w:t>lessens</w:t>
      </w:r>
      <w:r w:rsidR="00673B14">
        <w:t>.</w:t>
      </w:r>
    </w:p>
    <w:p w14:paraId="2024AE07" w14:textId="17C40927" w:rsidR="00ED422D" w:rsidRPr="00DB07CA" w:rsidRDefault="00EC07A8" w:rsidP="00C17F10">
      <w:pPr>
        <w:rPr>
          <w:b/>
        </w:rPr>
      </w:pPr>
      <w:r w:rsidRPr="00F84151">
        <w:t xml:space="preserve">The labour market has continued to </w:t>
      </w:r>
      <w:r w:rsidR="007D16CB">
        <w:t>exceed</w:t>
      </w:r>
      <w:r w:rsidR="007D16CB" w:rsidRPr="00F84151">
        <w:t xml:space="preserve"> </w:t>
      </w:r>
      <w:r w:rsidRPr="00F84151">
        <w:t>expectations</w:t>
      </w:r>
      <w:r w:rsidR="00111A07">
        <w:t xml:space="preserve">. </w:t>
      </w:r>
      <w:r w:rsidR="0031523A" w:rsidRPr="00F84151">
        <w:t>E</w:t>
      </w:r>
      <w:r w:rsidRPr="00F84151">
        <w:t xml:space="preserve">mployment </w:t>
      </w:r>
      <w:r w:rsidR="0031523A" w:rsidRPr="00F84151">
        <w:t>has recovered</w:t>
      </w:r>
      <w:r w:rsidRPr="00F84151">
        <w:t xml:space="preserve"> to pre</w:t>
      </w:r>
      <w:r w:rsidR="00111A07">
        <w:noBreakHyphen/>
      </w:r>
      <w:r w:rsidRPr="00F84151">
        <w:t xml:space="preserve">pandemic levels faster than in any major advanced economy and the unemployment rate </w:t>
      </w:r>
      <w:r w:rsidR="0031523A" w:rsidRPr="00F84151">
        <w:t xml:space="preserve">reached </w:t>
      </w:r>
      <w:r w:rsidR="00DE7EAE">
        <w:rPr>
          <w:bCs/>
        </w:rPr>
        <w:t xml:space="preserve">the equal lowest </w:t>
      </w:r>
      <w:r w:rsidR="001B346B">
        <w:rPr>
          <w:bCs/>
        </w:rPr>
        <w:t>rate</w:t>
      </w:r>
      <w:r w:rsidR="00DE7EAE">
        <w:rPr>
          <w:bCs/>
        </w:rPr>
        <w:t xml:space="preserve"> in </w:t>
      </w:r>
      <w:r w:rsidR="005B7410">
        <w:rPr>
          <w:bCs/>
        </w:rPr>
        <w:t xml:space="preserve">almost </w:t>
      </w:r>
      <w:r w:rsidR="00DE7EAE">
        <w:rPr>
          <w:bCs/>
        </w:rPr>
        <w:t>50 years</w:t>
      </w:r>
      <w:r w:rsidRPr="00F84151">
        <w:t xml:space="preserve"> in February 2022</w:t>
      </w:r>
      <w:r w:rsidR="00111A07">
        <w:t xml:space="preserve">. </w:t>
      </w:r>
      <w:r w:rsidRPr="00F84151">
        <w:t>S</w:t>
      </w:r>
      <w:r w:rsidR="43C9745A" w:rsidRPr="00F84151">
        <w:t>trong</w:t>
      </w:r>
      <w:r w:rsidR="00657081" w:rsidRPr="00F84151">
        <w:t xml:space="preserve"> </w:t>
      </w:r>
      <w:r w:rsidR="43C9745A" w:rsidRPr="00F84151">
        <w:t>demand for</w:t>
      </w:r>
      <w:r w:rsidR="00657081" w:rsidRPr="00F84151">
        <w:t xml:space="preserve"> labour </w:t>
      </w:r>
      <w:r w:rsidR="43C9745A">
        <w:t>is</w:t>
      </w:r>
      <w:r w:rsidR="00DB07CA" w:rsidRPr="00F84151">
        <w:t xml:space="preserve"> expected to </w:t>
      </w:r>
      <w:r w:rsidR="00C42986">
        <w:t xml:space="preserve">continue </w:t>
      </w:r>
      <w:r w:rsidR="00C42986" w:rsidRPr="00C42986">
        <w:t xml:space="preserve">to </w:t>
      </w:r>
      <w:r w:rsidR="006F1112" w:rsidRPr="00F84151">
        <w:t>absorb</w:t>
      </w:r>
      <w:r w:rsidR="1393AB1A" w:rsidRPr="00F84151">
        <w:t xml:space="preserve"> spare capacity</w:t>
      </w:r>
      <w:r w:rsidR="008414E6">
        <w:t>,</w:t>
      </w:r>
      <w:r w:rsidR="1393AB1A" w:rsidRPr="63BBF19D">
        <w:t xml:space="preserve"> </w:t>
      </w:r>
      <w:r w:rsidR="00DB07CA">
        <w:t>support</w:t>
      </w:r>
      <w:r w:rsidR="008414E6">
        <w:t>ing</w:t>
      </w:r>
      <w:r w:rsidR="00DB07CA">
        <w:t xml:space="preserve"> </w:t>
      </w:r>
      <w:r w:rsidR="00811377" w:rsidRPr="00C42986">
        <w:t>solid</w:t>
      </w:r>
      <w:r w:rsidR="77655B7F" w:rsidRPr="00C42986">
        <w:t xml:space="preserve"> growth in</w:t>
      </w:r>
      <w:r w:rsidR="00657081" w:rsidRPr="00C42986">
        <w:t xml:space="preserve"> employment and wages</w:t>
      </w:r>
      <w:r w:rsidR="00111A07">
        <w:t xml:space="preserve">. </w:t>
      </w:r>
      <w:r w:rsidR="008414E6" w:rsidRPr="00C42986">
        <w:t>This will</w:t>
      </w:r>
      <w:r w:rsidR="00657081" w:rsidRPr="00C42986">
        <w:t xml:space="preserve"> </w:t>
      </w:r>
      <w:r w:rsidR="742CEE13" w:rsidRPr="00C42986">
        <w:t>underpin</w:t>
      </w:r>
      <w:r w:rsidR="00657081" w:rsidRPr="00C42986">
        <w:t xml:space="preserve"> robust growth in household disposable income and consumer spending</w:t>
      </w:r>
      <w:r w:rsidR="00111A07">
        <w:t xml:space="preserve">. </w:t>
      </w:r>
    </w:p>
    <w:p w14:paraId="38EC45A4" w14:textId="7844FF8F" w:rsidR="00C92DB8" w:rsidRDefault="00E2153B" w:rsidP="00C17F10">
      <w:r w:rsidRPr="005929E2">
        <w:t>The</w:t>
      </w:r>
      <w:r w:rsidRPr="00F84151">
        <w:t xml:space="preserve"> outlook for real GDP has strengthened in the near term</w:t>
      </w:r>
      <w:r w:rsidR="00C7372E">
        <w:t xml:space="preserve">, with growth </w:t>
      </w:r>
      <w:r w:rsidRPr="00F84151">
        <w:t xml:space="preserve">forecast </w:t>
      </w:r>
      <w:r w:rsidR="00007E6A">
        <w:t xml:space="preserve">to </w:t>
      </w:r>
      <w:r w:rsidR="00344111">
        <w:t>be</w:t>
      </w:r>
      <w:r w:rsidRPr="00F84151">
        <w:t xml:space="preserve"> 4¼</w:t>
      </w:r>
      <w:r w:rsidR="00D528C6">
        <w:t> </w:t>
      </w:r>
      <w:r w:rsidRPr="00F84151">
        <w:t>per cent in 2021</w:t>
      </w:r>
      <w:r w:rsidR="00111A07">
        <w:noBreakHyphen/>
      </w:r>
      <w:r w:rsidRPr="00F84151">
        <w:t>22</w:t>
      </w:r>
      <w:r w:rsidR="003C2ED7" w:rsidRPr="00F84151">
        <w:t xml:space="preserve"> and </w:t>
      </w:r>
      <w:r w:rsidRPr="00F84151">
        <w:t xml:space="preserve">3½ per cent </w:t>
      </w:r>
      <w:r w:rsidR="003C2ED7" w:rsidRPr="00F84151">
        <w:t>i</w:t>
      </w:r>
      <w:r w:rsidRPr="00F84151">
        <w:t>n 2022</w:t>
      </w:r>
      <w:r w:rsidR="00111A07">
        <w:noBreakHyphen/>
      </w:r>
      <w:r w:rsidRPr="00F84151">
        <w:t xml:space="preserve">23, before moderating to 2½ per </w:t>
      </w:r>
      <w:r w:rsidR="248AB16D" w:rsidRPr="005929E2">
        <w:t>cent</w:t>
      </w:r>
      <w:r w:rsidRPr="00F84151">
        <w:t xml:space="preserve"> in 2023</w:t>
      </w:r>
      <w:r w:rsidR="00111A07">
        <w:noBreakHyphen/>
      </w:r>
      <w:r w:rsidRPr="00F84151">
        <w:t>24</w:t>
      </w:r>
      <w:r w:rsidR="00111A07">
        <w:t xml:space="preserve">. </w:t>
      </w:r>
      <w:r w:rsidR="000B43CE" w:rsidRPr="00F84151">
        <w:t xml:space="preserve">The economic recovery has </w:t>
      </w:r>
      <w:r w:rsidR="00B43D8F" w:rsidRPr="00F84151">
        <w:t>been</w:t>
      </w:r>
      <w:r w:rsidR="000B43CE" w:rsidRPr="00F84151">
        <w:t xml:space="preserve"> stronger than </w:t>
      </w:r>
      <w:r w:rsidR="00B43D8F" w:rsidRPr="00F84151">
        <w:t>expected</w:t>
      </w:r>
      <w:r w:rsidR="00111A07">
        <w:t xml:space="preserve">. </w:t>
      </w:r>
      <w:r w:rsidR="003F141E">
        <w:t>A</w:t>
      </w:r>
      <w:r w:rsidR="000B43CE" w:rsidRPr="00F84151">
        <w:t>ctivity levels</w:t>
      </w:r>
      <w:r w:rsidR="00297D2E">
        <w:t xml:space="preserve"> have been</w:t>
      </w:r>
      <w:r w:rsidR="000B43CE" w:rsidRPr="00F84151">
        <w:t xml:space="preserve"> revised up over successive Budgets</w:t>
      </w:r>
      <w:r w:rsidR="005F52D5" w:rsidRPr="00F84151">
        <w:t xml:space="preserve"> since the onset of COVID</w:t>
      </w:r>
      <w:r w:rsidR="00111A07">
        <w:noBreakHyphen/>
      </w:r>
      <w:r w:rsidR="005F52D5" w:rsidRPr="00F84151">
        <w:t>19</w:t>
      </w:r>
      <w:r w:rsidR="00FF696F" w:rsidRPr="00F84151">
        <w:t xml:space="preserve"> </w:t>
      </w:r>
      <w:r w:rsidR="00AE3F82">
        <w:t xml:space="preserve">as the effect of policy support, </w:t>
      </w:r>
      <w:r w:rsidR="005702F2" w:rsidRPr="008C38CE">
        <w:t>ongoing</w:t>
      </w:r>
      <w:r w:rsidR="00AE3F82">
        <w:t xml:space="preserve"> adaptation to COVID</w:t>
      </w:r>
      <w:r w:rsidR="00111A07">
        <w:noBreakHyphen/>
      </w:r>
      <w:r w:rsidR="00AE3F82">
        <w:t xml:space="preserve">19 and the </w:t>
      </w:r>
      <w:r w:rsidR="0071778F">
        <w:t>resilience of the labour market became apparent</w:t>
      </w:r>
      <w:r w:rsidR="00C13C27">
        <w:t> </w:t>
      </w:r>
      <w:r w:rsidR="00FF696F" w:rsidRPr="00F84151">
        <w:t>(C</w:t>
      </w:r>
      <w:r w:rsidR="00FF696F">
        <w:t>hart</w:t>
      </w:r>
      <w:r w:rsidR="00C13C27">
        <w:t> </w:t>
      </w:r>
      <w:r w:rsidR="00FF696F">
        <w:t>2.</w:t>
      </w:r>
      <w:r w:rsidR="00893EDB">
        <w:t>7</w:t>
      </w:r>
      <w:r w:rsidR="00C13C27">
        <w:t>)</w:t>
      </w:r>
      <w:r w:rsidR="00111A07">
        <w:t xml:space="preserve">. </w:t>
      </w:r>
      <w:r w:rsidR="00376F7B">
        <w:t>This Budget</w:t>
      </w:r>
      <w:r w:rsidR="00AD0848">
        <w:t xml:space="preserve"> </w:t>
      </w:r>
      <w:r w:rsidR="005702F2" w:rsidRPr="008C38CE">
        <w:t>predicts</w:t>
      </w:r>
      <w:r w:rsidR="003A0FC6">
        <w:t xml:space="preserve"> real GDP per capita </w:t>
      </w:r>
      <w:r w:rsidR="00376F7B">
        <w:t>over the forecast period</w:t>
      </w:r>
      <w:r w:rsidR="003A0FC6">
        <w:t xml:space="preserve"> to be higher </w:t>
      </w:r>
      <w:r w:rsidR="00C1415C">
        <w:t xml:space="preserve">than </w:t>
      </w:r>
      <w:r w:rsidR="00EA76F1">
        <w:t>was</w:t>
      </w:r>
      <w:r w:rsidR="00C1415C">
        <w:t xml:space="preserve"> forecast </w:t>
      </w:r>
      <w:r w:rsidR="002B54A0">
        <w:t>prior to the pandemic</w:t>
      </w:r>
      <w:r w:rsidR="00C1415C">
        <w:t xml:space="preserve"> in</w:t>
      </w:r>
      <w:r w:rsidR="003A0FC6" w:rsidRPr="003A0FC6">
        <w:t xml:space="preserve"> the 2019</w:t>
      </w:r>
      <w:r w:rsidR="00111A07">
        <w:noBreakHyphen/>
      </w:r>
      <w:r w:rsidR="003A0FC6" w:rsidRPr="003A0FC6">
        <w:t>20 MYEFO</w:t>
      </w:r>
      <w:r w:rsidR="003A0FC6">
        <w:t>.</w:t>
      </w:r>
    </w:p>
    <w:p w14:paraId="75E9C0BB" w14:textId="68CD4E05" w:rsidR="001C31F0" w:rsidRPr="00AE7FDF" w:rsidRDefault="001C31F0" w:rsidP="00C17F10">
      <w:pPr>
        <w:rPr>
          <w:b/>
        </w:rPr>
      </w:pPr>
      <w:r>
        <w:t>Over the remainder of 2021</w:t>
      </w:r>
      <w:r w:rsidR="00111A07">
        <w:noBreakHyphen/>
      </w:r>
      <w:r>
        <w:t>22,</w:t>
      </w:r>
      <w:r w:rsidRPr="00F84151">
        <w:t xml:space="preserve"> strength in real GDP is </w:t>
      </w:r>
      <w:r w:rsidR="00DF7087">
        <w:t xml:space="preserve">expected to </w:t>
      </w:r>
      <w:r>
        <w:t>be</w:t>
      </w:r>
      <w:r w:rsidRPr="00F84151">
        <w:t xml:space="preserve"> </w:t>
      </w:r>
      <w:r w:rsidR="00746C51">
        <w:t>broad</w:t>
      </w:r>
      <w:r w:rsidR="00111A07">
        <w:noBreakHyphen/>
      </w:r>
      <w:r w:rsidR="00746C51">
        <w:t xml:space="preserve">based but particularly </w:t>
      </w:r>
      <w:r w:rsidRPr="00F84151">
        <w:t>driven by household consumption</w:t>
      </w:r>
      <w:r w:rsidR="00111A07">
        <w:t xml:space="preserve">. </w:t>
      </w:r>
      <w:r w:rsidRPr="00F84151">
        <w:t>Both business and dwelling investment are expected to pick up, following lockdowns and temporary supply chain disruptions weighing on activity in late 2021</w:t>
      </w:r>
      <w:r w:rsidR="00111A07">
        <w:t xml:space="preserve">. </w:t>
      </w:r>
      <w:r w:rsidRPr="00F84151">
        <w:t>Public consumption is also expected to support activity, primarily driven by elevated COVID</w:t>
      </w:r>
      <w:r w:rsidR="00111A07">
        <w:noBreakHyphen/>
      </w:r>
      <w:r w:rsidRPr="00F84151">
        <w:t>19</w:t>
      </w:r>
      <w:r w:rsidR="00111A07">
        <w:noBreakHyphen/>
      </w:r>
      <w:r w:rsidRPr="00B74283">
        <w:t>related health expenditures</w:t>
      </w:r>
      <w:r w:rsidR="00111A07">
        <w:t xml:space="preserve">. </w:t>
      </w:r>
    </w:p>
    <w:p w14:paraId="52D9149E" w14:textId="7A5B9D65" w:rsidR="00C17F10" w:rsidRDefault="00C17F10" w:rsidP="00C17F10">
      <w:pPr>
        <w:pStyle w:val="ChartHeading"/>
      </w:pPr>
      <w:r>
        <w:lastRenderedPageBreak/>
        <w:t>Chart 2.</w:t>
      </w:r>
      <w:r w:rsidR="00015C4A">
        <w:t>7</w:t>
      </w:r>
      <w:r>
        <w:t>: Real GDP</w:t>
      </w:r>
    </w:p>
    <w:p w14:paraId="326D6434" w14:textId="517C7E70" w:rsidR="00C17F10" w:rsidRDefault="00897E4E" w:rsidP="00C17F10">
      <w:pPr>
        <w:pStyle w:val="ChartGraphic"/>
      </w:pPr>
      <w:r w:rsidRPr="00897E4E">
        <w:t xml:space="preserve"> </w:t>
      </w:r>
      <w:r w:rsidR="00864196" w:rsidRPr="00864196">
        <w:rPr>
          <w:noProof/>
        </w:rPr>
        <w:drawing>
          <wp:inline distT="0" distB="0" distL="0" distR="0" wp14:anchorId="7CC54A5C" wp14:editId="3E5973ED">
            <wp:extent cx="4684395" cy="2527300"/>
            <wp:effectExtent l="0" t="0" r="1905" b="0"/>
            <wp:docPr id="1342296256" name="Picture 1342296256" descr="This chart shows real GDP levels for the 2022-23 Budget, 2021-22 Budget, 2020-21 Budget and 2019-2020 MYEFO, indexed to the December quarter of 2019. The chart shows that real GDP outcomes were below the 2019-20 MYEFO forecasts, with downturns in economic activity seen in the March and June quarter of 2020 and September quarter of 2021. Activity levels have been revised up over successive Budgets since the onset of COVID-19. In this Budget, real GDP is forecast to increase from 3.4% above pre-pandemic levels in the December quarter of 2021 to around 11% above pre-pandemic levels by the June quarter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96256" name="Picture 1342296256" descr="This chart shows real GDP levels for the 2022-23 Budget, 2021-22 Budget, 2020-21 Budget and 2019-2020 MYEFO, indexed to the December quarter of 2019. The chart shows that real GDP outcomes were below the 2019-20 MYEFO forecasts, with downturns in economic activity seen in the March and June quarter of 2020 and September quarter of 2021. Activity levels have been revised up over successive Budgets since the onset of COVID-19. In this Budget, real GDP is forecast to increase from 3.4% above pre-pandemic levels in the December quarter of 2021 to around 11% above pre-pandemic levels by the June quarter 2024.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4395" cy="2527300"/>
                    </a:xfrm>
                    <a:prstGeom prst="rect">
                      <a:avLst/>
                    </a:prstGeom>
                    <a:noFill/>
                    <a:ln>
                      <a:noFill/>
                    </a:ln>
                  </pic:spPr>
                </pic:pic>
              </a:graphicData>
            </a:graphic>
          </wp:inline>
        </w:drawing>
      </w:r>
    </w:p>
    <w:p w14:paraId="07EDAAF6" w14:textId="1EB45126" w:rsidR="00C17F10" w:rsidRPr="00C17F10" w:rsidRDefault="00C17F10" w:rsidP="00C17F10">
      <w:pPr>
        <w:pStyle w:val="Source"/>
      </w:pPr>
      <w:r w:rsidRPr="005C7338">
        <w:t>Source:</w:t>
      </w:r>
      <w:r w:rsidRPr="005360DC">
        <w:rPr>
          <w:b/>
        </w:rPr>
        <w:t xml:space="preserve"> </w:t>
      </w:r>
      <w:r>
        <w:rPr>
          <w:b/>
        </w:rPr>
        <w:tab/>
      </w:r>
      <w:r w:rsidRPr="00395A44">
        <w:t>ABS</w:t>
      </w:r>
      <w:r>
        <w:t xml:space="preserve"> Australian National Accounts: National Income, Expenditure and Product</w:t>
      </w:r>
      <w:r w:rsidR="002276E5">
        <w:t>,</w:t>
      </w:r>
      <w:r w:rsidR="00DB4DB4">
        <w:t xml:space="preserve"> </w:t>
      </w:r>
      <w:r>
        <w:t>and Treasury.</w:t>
      </w:r>
    </w:p>
    <w:p w14:paraId="464F5A8B" w14:textId="27EF6BA1" w:rsidR="00EE79AF" w:rsidRPr="005C7338" w:rsidRDefault="009B095B" w:rsidP="00C17F10">
      <w:r>
        <w:t>Household consumption growth is expected to remain strong in 2022</w:t>
      </w:r>
      <w:r w:rsidR="00111A07">
        <w:noBreakHyphen/>
      </w:r>
      <w:r>
        <w:t>23</w:t>
      </w:r>
      <w:r w:rsidR="00A77454">
        <w:t xml:space="preserve"> and 2023</w:t>
      </w:r>
      <w:r w:rsidR="00111A07">
        <w:noBreakHyphen/>
      </w:r>
      <w:r w:rsidR="00A77454">
        <w:t>24</w:t>
      </w:r>
      <w:r>
        <w:t xml:space="preserve">, supported by </w:t>
      </w:r>
      <w:r w:rsidR="00D87CFD">
        <w:t xml:space="preserve">higher </w:t>
      </w:r>
      <w:r>
        <w:t>household income</w:t>
      </w:r>
      <w:r w:rsidR="00C967B2">
        <w:t>s</w:t>
      </w:r>
      <w:r>
        <w:t xml:space="preserve"> as employment increases and wage growth strengthens</w:t>
      </w:r>
      <w:r w:rsidR="00111A07">
        <w:t xml:space="preserve">. </w:t>
      </w:r>
      <w:r w:rsidR="00B07B69">
        <w:t>Companies are expected to rebuild inventor</w:t>
      </w:r>
      <w:r w:rsidR="00250F6D">
        <w:t>ies</w:t>
      </w:r>
      <w:r w:rsidR="00B07B69">
        <w:t xml:space="preserve"> that have been run down through the pandemic</w:t>
      </w:r>
      <w:r w:rsidR="00250F6D">
        <w:t>, contributing</w:t>
      </w:r>
      <w:r w:rsidR="00B07B69">
        <w:t xml:space="preserve"> to growth</w:t>
      </w:r>
      <w:r w:rsidR="00111A07">
        <w:t xml:space="preserve">. </w:t>
      </w:r>
      <w:r w:rsidR="00036A6E">
        <w:t>In contrast, n</w:t>
      </w:r>
      <w:r w:rsidR="00E2153B" w:rsidRPr="005929E2">
        <w:t xml:space="preserve">et exports </w:t>
      </w:r>
      <w:r w:rsidR="000E2C83">
        <w:t>are</w:t>
      </w:r>
      <w:r w:rsidR="00E2153B" w:rsidRPr="005929E2">
        <w:t xml:space="preserve"> expected to weigh </w:t>
      </w:r>
      <w:r w:rsidR="00D06F52">
        <w:t>on growth,</w:t>
      </w:r>
      <w:r w:rsidR="00E2153B" w:rsidRPr="005929E2">
        <w:t xml:space="preserve"> </w:t>
      </w:r>
      <w:r w:rsidR="00BD0621" w:rsidRPr="005929E2">
        <w:t>particularly in 2022</w:t>
      </w:r>
      <w:r w:rsidR="00111A07">
        <w:noBreakHyphen/>
      </w:r>
      <w:r w:rsidR="00BD0621" w:rsidRPr="005929E2">
        <w:t xml:space="preserve">23 </w:t>
      </w:r>
      <w:r w:rsidR="00CC6375">
        <w:t>as</w:t>
      </w:r>
      <w:r w:rsidR="00BD0621" w:rsidRPr="005929E2">
        <w:t xml:space="preserve"> outbound tourism </w:t>
      </w:r>
      <w:r w:rsidR="0035557A" w:rsidRPr="0035557A">
        <w:t>more than offset</w:t>
      </w:r>
      <w:r w:rsidR="00CC6375">
        <w:t>s</w:t>
      </w:r>
      <w:r w:rsidR="00C949E7" w:rsidRPr="005929E2">
        <w:t xml:space="preserve"> inbound tourism</w:t>
      </w:r>
      <w:r w:rsidR="0035557A" w:rsidRPr="0035557A">
        <w:t xml:space="preserve"> </w:t>
      </w:r>
      <w:r w:rsidR="0035557A" w:rsidRPr="005C7338">
        <w:t>and goods imports grow faster than goods exports</w:t>
      </w:r>
      <w:r w:rsidR="00111A07">
        <w:t xml:space="preserve">. </w:t>
      </w:r>
    </w:p>
    <w:p w14:paraId="4E9AC2AE" w14:textId="70D658EE" w:rsidR="0051538C" w:rsidRPr="00B80440" w:rsidRDefault="0051538C" w:rsidP="0051538C">
      <w:r w:rsidRPr="00B80440">
        <w:t xml:space="preserve">The reopening of international borders is expected to generate a return to positive net overseas migration and higher population growth, which will support higher </w:t>
      </w:r>
      <w:r w:rsidR="00662FA2">
        <w:t>consumption</w:t>
      </w:r>
      <w:r w:rsidRPr="00B80440">
        <w:t xml:space="preserve"> growth</w:t>
      </w:r>
      <w:r w:rsidR="00111A07">
        <w:t xml:space="preserve">. </w:t>
      </w:r>
      <w:r w:rsidRPr="00B80440">
        <w:t xml:space="preserve">Net overseas migration is forecast to increase from </w:t>
      </w:r>
      <w:r w:rsidR="00111A07">
        <w:noBreakHyphen/>
      </w:r>
      <w:r w:rsidRPr="00B80440">
        <w:t>8</w:t>
      </w:r>
      <w:r>
        <w:t>9</w:t>
      </w:r>
      <w:r w:rsidRPr="00B80440">
        <w:t>,</w:t>
      </w:r>
      <w:r>
        <w:t>9</w:t>
      </w:r>
      <w:r w:rsidRPr="00B80440">
        <w:t>00 persons in 2020</w:t>
      </w:r>
      <w:r w:rsidR="00111A07">
        <w:noBreakHyphen/>
      </w:r>
      <w:r w:rsidRPr="00B80440">
        <w:t>21 to 41,000 persons in 2021</w:t>
      </w:r>
      <w:r w:rsidR="00111A07">
        <w:noBreakHyphen/>
      </w:r>
      <w:r w:rsidRPr="00B80440">
        <w:t>22</w:t>
      </w:r>
      <w:r w:rsidR="002276E5">
        <w:t>,</w:t>
      </w:r>
      <w:r w:rsidRPr="00B80440">
        <w:t xml:space="preserve"> before increasing to 235,000</w:t>
      </w:r>
      <w:r>
        <w:t> </w:t>
      </w:r>
      <w:r w:rsidRPr="00B80440">
        <w:t>persons in 2024</w:t>
      </w:r>
      <w:r w:rsidR="00111A07">
        <w:noBreakHyphen/>
      </w:r>
      <w:r w:rsidRPr="00B80440">
        <w:t>25 and 2025</w:t>
      </w:r>
      <w:r w:rsidR="00111A07">
        <w:noBreakHyphen/>
      </w:r>
      <w:r w:rsidRPr="00B80440">
        <w:t>26</w:t>
      </w:r>
      <w:r w:rsidR="00111A07">
        <w:t xml:space="preserve">. </w:t>
      </w:r>
    </w:p>
    <w:p w14:paraId="6D15CE58" w14:textId="2FD4D990" w:rsidR="00FF0BEA" w:rsidRDefault="00D22A38" w:rsidP="006808C3">
      <w:r w:rsidRPr="007812AB">
        <w:t>Beyond 2023</w:t>
      </w:r>
      <w:r w:rsidR="00111A07">
        <w:noBreakHyphen/>
      </w:r>
      <w:r w:rsidRPr="007812AB">
        <w:t xml:space="preserve">24, activity is </w:t>
      </w:r>
      <w:r>
        <w:t xml:space="preserve">assumed </w:t>
      </w:r>
      <w:r w:rsidRPr="007812AB">
        <w:t xml:space="preserve">to </w:t>
      </w:r>
      <w:r w:rsidR="00C60D5F">
        <w:t>transition</w:t>
      </w:r>
      <w:r w:rsidRPr="007812AB">
        <w:t xml:space="preserve"> to </w:t>
      </w:r>
      <w:r>
        <w:t>its potential level while the unemployment rate gradually returns to the NAIRU</w:t>
      </w:r>
      <w:r w:rsidR="00111A07">
        <w:t xml:space="preserve">. </w:t>
      </w:r>
      <w:r>
        <w:rPr>
          <w:bCs/>
        </w:rPr>
        <w:t xml:space="preserve">These assumptions lead to </w:t>
      </w:r>
      <w:r w:rsidR="00C06943">
        <w:rPr>
          <w:bCs/>
        </w:rPr>
        <w:t xml:space="preserve">stable </w:t>
      </w:r>
      <w:r w:rsidR="009F274E">
        <w:rPr>
          <w:bCs/>
        </w:rPr>
        <w:t xml:space="preserve">real GDP </w:t>
      </w:r>
      <w:r w:rsidR="00CC6375">
        <w:rPr>
          <w:bCs/>
        </w:rPr>
        <w:t xml:space="preserve">growth </w:t>
      </w:r>
      <w:r w:rsidR="009F274E">
        <w:rPr>
          <w:bCs/>
        </w:rPr>
        <w:t>of</w:t>
      </w:r>
      <w:r>
        <w:rPr>
          <w:bCs/>
        </w:rPr>
        <w:t xml:space="preserve"> 2½</w:t>
      </w:r>
      <w:r w:rsidR="009F274E">
        <w:rPr>
          <w:bCs/>
        </w:rPr>
        <w:t> </w:t>
      </w:r>
      <w:r>
        <w:rPr>
          <w:bCs/>
        </w:rPr>
        <w:t>per cent in 2024</w:t>
      </w:r>
      <w:r w:rsidR="00111A07">
        <w:rPr>
          <w:bCs/>
        </w:rPr>
        <w:noBreakHyphen/>
      </w:r>
      <w:r>
        <w:rPr>
          <w:bCs/>
        </w:rPr>
        <w:t>25 and 2025</w:t>
      </w:r>
      <w:r w:rsidR="00111A07">
        <w:rPr>
          <w:bCs/>
        </w:rPr>
        <w:noBreakHyphen/>
      </w:r>
      <w:r>
        <w:rPr>
          <w:bCs/>
        </w:rPr>
        <w:t>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FF0BEA" w:rsidRPr="00436F9A" w14:paraId="02E12913" w14:textId="77777777" w:rsidTr="00FF0BEA">
        <w:trPr>
          <w:cantSplit/>
          <w:trHeight w:val="6521"/>
        </w:trPr>
        <w:tc>
          <w:tcPr>
            <w:tcW w:w="5000" w:type="pct"/>
            <w:tcBorders>
              <w:top w:val="nil"/>
              <w:left w:val="nil"/>
              <w:bottom w:val="nil"/>
              <w:right w:val="nil"/>
            </w:tcBorders>
            <w:shd w:val="clear" w:color="auto" w:fill="F2F9FC"/>
          </w:tcPr>
          <w:p w14:paraId="4A273B3E" w14:textId="77777777" w:rsidR="00FF0BEA" w:rsidRDefault="00FF0BEA" w:rsidP="00FF0BEA">
            <w:pPr>
              <w:pStyle w:val="Heading4"/>
            </w:pPr>
            <w:r>
              <w:lastRenderedPageBreak/>
              <w:t>Box 2.3</w:t>
            </w:r>
            <w:r w:rsidRPr="002716DC">
              <w:t xml:space="preserve">: Economic impact of the </w:t>
            </w:r>
            <w:r>
              <w:t>February</w:t>
            </w:r>
            <w:r w:rsidRPr="002716DC">
              <w:t xml:space="preserve"> 2022 floods</w:t>
            </w:r>
            <w:r>
              <w:t xml:space="preserve"> </w:t>
            </w:r>
          </w:p>
          <w:p w14:paraId="5E18A8A4" w14:textId="43F9E759" w:rsidR="00FF0BEA" w:rsidRDefault="00FF0BEA" w:rsidP="00FF0BEA">
            <w:pPr>
              <w:pStyle w:val="BoxText"/>
            </w:pPr>
            <w:r>
              <w:t>In late February and early March, severe flooding affected many parts of South</w:t>
            </w:r>
            <w:r w:rsidR="00111A07">
              <w:noBreakHyphen/>
            </w:r>
            <w:r>
              <w:t>East Queensland and New South Wales</w:t>
            </w:r>
            <w:r w:rsidR="00111A07">
              <w:t xml:space="preserve">. </w:t>
            </w:r>
            <w:r>
              <w:t>Many individuals and communities affected by the floods face temporary displacement, uninsured losses and a long road to recovery</w:t>
            </w:r>
            <w:r w:rsidR="00111A07">
              <w:t xml:space="preserve">. </w:t>
            </w:r>
            <w:r w:rsidRPr="002D026C">
              <w:t>The physical damage has not yet been fully assessed</w:t>
            </w:r>
            <w:r>
              <w:t xml:space="preserve"> and uncertainty </w:t>
            </w:r>
            <w:r w:rsidRPr="002D026C">
              <w:t>remains</w:t>
            </w:r>
            <w:r>
              <w:t xml:space="preserve"> about the full extent and timing of the impact on economic activity</w:t>
            </w:r>
            <w:r w:rsidR="00111A07">
              <w:t xml:space="preserve">. </w:t>
            </w:r>
          </w:p>
          <w:p w14:paraId="730A83BA" w14:textId="09DA6FA3" w:rsidR="00FF0BEA" w:rsidRDefault="00FF0BEA" w:rsidP="00FF0BEA">
            <w:pPr>
              <w:pStyle w:val="BoxText"/>
            </w:pPr>
            <w:r>
              <w:t>The direct economic cost of the floods</w:t>
            </w:r>
            <w:r w:rsidDel="00EC6107">
              <w:t xml:space="preserve"> </w:t>
            </w:r>
            <w:r>
              <w:t xml:space="preserve">is </w:t>
            </w:r>
            <w:r w:rsidDel="00B5441A">
              <w:t xml:space="preserve">expected to generate </w:t>
            </w:r>
            <w:r>
              <w:t xml:space="preserve">a drag on real GDP growth of around </w:t>
            </w:r>
            <w:r w:rsidRPr="00F26C8C">
              <w:t>½</w:t>
            </w:r>
            <w:r>
              <w:t xml:space="preserve"> a percentage point in the March quarter, largely </w:t>
            </w:r>
            <w:r w:rsidRPr="00F26C8C">
              <w:t>due</w:t>
            </w:r>
            <w:r>
              <w:t xml:space="preserve"> to reduced activity in the mining, agriculture, accommodation and food services, retail trade and construction industries</w:t>
            </w:r>
            <w:r w:rsidR="00111A07">
              <w:t xml:space="preserve">. </w:t>
            </w:r>
            <w:r>
              <w:t>This overstates the net impact of the floods on real GDP over the longer term as this direct cost</w:t>
            </w:r>
            <w:r w:rsidRPr="000F4A82">
              <w:t xml:space="preserve"> will be </w:t>
            </w:r>
            <w:r>
              <w:t>partially</w:t>
            </w:r>
            <w:r w:rsidRPr="000F4A82">
              <w:t xml:space="preserve"> offset by </w:t>
            </w:r>
            <w:r>
              <w:t>increased</w:t>
            </w:r>
            <w:r w:rsidRPr="000F4A82">
              <w:t xml:space="preserve"> </w:t>
            </w:r>
            <w:r>
              <w:t>investment</w:t>
            </w:r>
            <w:r w:rsidRPr="000F4A82">
              <w:t xml:space="preserve"> to replace </w:t>
            </w:r>
            <w:r>
              <w:t xml:space="preserve">and rebuild </w:t>
            </w:r>
            <w:r w:rsidRPr="000F4A82">
              <w:t xml:space="preserve">damaged </w:t>
            </w:r>
            <w:r>
              <w:t>housing,</w:t>
            </w:r>
            <w:r w:rsidRPr="000F4A82">
              <w:t xml:space="preserve"> </w:t>
            </w:r>
            <w:r>
              <w:t>infrastructure and household goods</w:t>
            </w:r>
            <w:r w:rsidR="00111A07">
              <w:t xml:space="preserve">. </w:t>
            </w:r>
            <w:r>
              <w:t>Federal government support will assist in funding the recovery through direct financial support to affected households</w:t>
            </w:r>
            <w:r w:rsidR="00B82631">
              <w:t>,</w:t>
            </w:r>
            <w:r>
              <w:t xml:space="preserve"> as well as contributing to local and state governments</w:t>
            </w:r>
            <w:r w:rsidR="00111A07">
              <w:t>’</w:t>
            </w:r>
            <w:r>
              <w:t xml:space="preserve"> recovery efforts (see also Budget</w:t>
            </w:r>
            <w:r w:rsidR="00AE7FDF">
              <w:t> </w:t>
            </w:r>
            <w:r>
              <w:t xml:space="preserve">Paper </w:t>
            </w:r>
            <w:r w:rsidR="008D052B">
              <w:t xml:space="preserve">No. </w:t>
            </w:r>
            <w:r>
              <w:t>1, Statement 3)</w:t>
            </w:r>
            <w:r w:rsidR="00111A07">
              <w:t xml:space="preserve">. </w:t>
            </w:r>
          </w:p>
          <w:p w14:paraId="756C62D7" w14:textId="1214DEC0" w:rsidR="00FF0BEA" w:rsidRDefault="00FF0BEA" w:rsidP="00FF0BEA">
            <w:pPr>
              <w:pStyle w:val="BoxText"/>
            </w:pPr>
            <w:r>
              <w:t>Subdued coal exports are expected in the March quarter, with weather</w:t>
            </w:r>
            <w:r w:rsidR="00111A07">
              <w:noBreakHyphen/>
            </w:r>
            <w:r>
              <w:t>related disruptions weighing on production</w:t>
            </w:r>
            <w:r w:rsidR="00111A07">
              <w:t xml:space="preserve">. </w:t>
            </w:r>
            <w:r>
              <w:t xml:space="preserve">However, the impact of the floods on coal </w:t>
            </w:r>
            <w:r w:rsidRPr="00802F34">
              <w:t>mining</w:t>
            </w:r>
            <w:r>
              <w:t xml:space="preserve"> is expected to be smaller than previous major weather events, such as the floods and Tropical Cyclone Yasi in 2010</w:t>
            </w:r>
            <w:r w:rsidR="00111A07">
              <w:noBreakHyphen/>
            </w:r>
            <w:r>
              <w:t>11, which caused coal exports to fall by around 7 per cent in 2011</w:t>
            </w:r>
            <w:r w:rsidR="00111A07">
              <w:t xml:space="preserve">. </w:t>
            </w:r>
            <w:r>
              <w:t>There will likely be significant localised impacts in the agriculture sector, but the impact on national production quantities and aggregate exports is likely to be limited</w:t>
            </w:r>
            <w:r w:rsidR="00111A07">
              <w:t xml:space="preserve">. </w:t>
            </w:r>
          </w:p>
          <w:p w14:paraId="5A18BE13" w14:textId="6074B59D" w:rsidR="00FF0BEA" w:rsidRDefault="00FF0BEA" w:rsidP="00FF0BEA">
            <w:pPr>
              <w:pStyle w:val="BoxText"/>
            </w:pPr>
            <w:r>
              <w:t>While Treasury analysis of bank data showed that the floods had a negative impact on spending in parts of Queensland and New South Wales in late February and early March, spending has since recovered</w:t>
            </w:r>
            <w:r w:rsidR="00111A07">
              <w:t xml:space="preserve">. </w:t>
            </w:r>
            <w:r w:rsidRPr="00555F8C" w:rsidDel="00ED0FEC">
              <w:t>Labour market impacts</w:t>
            </w:r>
            <w:r w:rsidDel="00ED0FEC">
              <w:t xml:space="preserve"> </w:t>
            </w:r>
            <w:r w:rsidRPr="00802F34" w:rsidDel="00ED0FEC">
              <w:t xml:space="preserve">will </w:t>
            </w:r>
            <w:r w:rsidDel="00ED0FEC">
              <w:t xml:space="preserve">also </w:t>
            </w:r>
            <w:r w:rsidRPr="00802F34" w:rsidDel="00ED0FEC">
              <w:t xml:space="preserve">be largely </w:t>
            </w:r>
            <w:r>
              <w:t>seen through an initial reduction in hours worked</w:t>
            </w:r>
            <w:r w:rsidRPr="00802F34" w:rsidDel="00ED0FEC">
              <w:t>, with employers expected to retain workers through a temporary period of disruption</w:t>
            </w:r>
            <w:r w:rsidR="00111A07">
              <w:t xml:space="preserve">. </w:t>
            </w:r>
          </w:p>
          <w:p w14:paraId="3BCB574E" w14:textId="510D3BD6" w:rsidR="00FF0BEA" w:rsidRPr="2727FE3B" w:rsidRDefault="00FF0BEA" w:rsidP="00736164">
            <w:pPr>
              <w:pStyle w:val="Heading4"/>
              <w:jc w:val="both"/>
            </w:pPr>
            <w:r w:rsidRPr="0077634C">
              <w:rPr>
                <w:rFonts w:ascii="Book Antiqua" w:hAnsi="Book Antiqua"/>
                <w:b w:val="0"/>
              </w:rPr>
              <w:t>Rebuilding activity following the floods is expected to add to real GDP growth over the next few years, consistent with the experiences following previous natural disasters</w:t>
            </w:r>
            <w:r w:rsidR="00111A07">
              <w:rPr>
                <w:rFonts w:ascii="Book Antiqua" w:hAnsi="Book Antiqua"/>
                <w:b w:val="0"/>
              </w:rPr>
              <w:t xml:space="preserve">. </w:t>
            </w:r>
            <w:r w:rsidRPr="0077634C">
              <w:rPr>
                <w:rFonts w:ascii="Book Antiqua" w:hAnsi="Book Antiqua"/>
                <w:b w:val="0"/>
              </w:rPr>
              <w:t>However, the scale and timing of this is uncertain, and the rebuilding efforts will place additional pressure on the already strained supply of building materials and labour in the construction sector.</w:t>
            </w:r>
          </w:p>
        </w:tc>
      </w:tr>
      <w:tr w:rsidR="00EC79DA" w:rsidRPr="00436F9A" w14:paraId="25E19E9C" w14:textId="77777777" w:rsidTr="006808C3">
        <w:trPr>
          <w:cantSplit/>
          <w:trHeight w:val="6521"/>
        </w:trPr>
        <w:tc>
          <w:tcPr>
            <w:tcW w:w="5000" w:type="pct"/>
            <w:tcBorders>
              <w:top w:val="nil"/>
              <w:left w:val="nil"/>
              <w:bottom w:val="nil"/>
              <w:right w:val="nil"/>
            </w:tcBorders>
            <w:shd w:val="clear" w:color="auto" w:fill="F2F9FC"/>
          </w:tcPr>
          <w:p w14:paraId="79E90212" w14:textId="4E6F7F41" w:rsidR="00EC79DA" w:rsidRDefault="00EC79DA" w:rsidP="003417C2">
            <w:pPr>
              <w:pStyle w:val="Heading4"/>
            </w:pPr>
            <w:r>
              <w:lastRenderedPageBreak/>
              <w:t>Box 2.</w:t>
            </w:r>
            <w:r w:rsidR="00640A3D">
              <w:t>4</w:t>
            </w:r>
            <w:r>
              <w:t>: COVID</w:t>
            </w:r>
            <w:r w:rsidR="00111A07">
              <w:noBreakHyphen/>
            </w:r>
            <w:r w:rsidR="00E753FE">
              <w:t>19</w:t>
            </w:r>
            <w:r w:rsidR="00111A07">
              <w:noBreakHyphen/>
            </w:r>
            <w:r>
              <w:t>related uncertainty about the economic outlook</w:t>
            </w:r>
          </w:p>
          <w:p w14:paraId="7B016FF6" w14:textId="6E283766" w:rsidR="00EC79DA" w:rsidRPr="00EB7F56" w:rsidRDefault="00B17D77" w:rsidP="006808C3">
            <w:pPr>
              <w:pStyle w:val="BoxText"/>
            </w:pPr>
            <w:r>
              <w:t>T</w:t>
            </w:r>
            <w:r w:rsidR="00EC79DA">
              <w:t>he economic forecast</w:t>
            </w:r>
            <w:r w:rsidR="00785594">
              <w:t>s</w:t>
            </w:r>
            <w:r w:rsidR="00EC79DA">
              <w:t xml:space="preserve"> assume that further waves of COVID</w:t>
            </w:r>
            <w:r w:rsidR="00111A07">
              <w:noBreakHyphen/>
            </w:r>
            <w:r w:rsidR="00EC79DA">
              <w:t xml:space="preserve">19 occur, </w:t>
            </w:r>
            <w:r w:rsidR="00757608">
              <w:t xml:space="preserve">but </w:t>
            </w:r>
            <w:r w:rsidR="00EC79DA">
              <w:t xml:space="preserve">that public health </w:t>
            </w:r>
            <w:r w:rsidR="00801041">
              <w:t xml:space="preserve">measures </w:t>
            </w:r>
            <w:r w:rsidR="00757608">
              <w:t xml:space="preserve">imposed </w:t>
            </w:r>
            <w:r w:rsidR="00801041">
              <w:t xml:space="preserve">to manage future outbreaks </w:t>
            </w:r>
            <w:r w:rsidR="00EC79DA">
              <w:t>do not have material impacts on economic activity</w:t>
            </w:r>
            <w:r>
              <w:t xml:space="preserve"> (Box 2.1)</w:t>
            </w:r>
            <w:r w:rsidR="00111A07">
              <w:t xml:space="preserve">. </w:t>
            </w:r>
            <w:r w:rsidR="00EC22D1">
              <w:t>Nonetheless, as</w:t>
            </w:r>
            <w:r w:rsidR="005E311F">
              <w:t xml:space="preserve"> there is uncertainty around the health outlook, Treasury has considered </w:t>
            </w:r>
            <w:r w:rsidR="00D339DE">
              <w:t>2</w:t>
            </w:r>
            <w:r w:rsidR="00673FB1">
              <w:t xml:space="preserve"> </w:t>
            </w:r>
            <w:r w:rsidR="005E311F">
              <w:t>alternative COVID</w:t>
            </w:r>
            <w:r w:rsidR="00111A07">
              <w:noBreakHyphen/>
            </w:r>
            <w:r w:rsidR="005E311F">
              <w:t>19 scenarios</w:t>
            </w:r>
            <w:r w:rsidR="00111A07">
              <w:t xml:space="preserve">. </w:t>
            </w:r>
            <w:r w:rsidR="00EC79DA" w:rsidRPr="008C1EE4">
              <w:t>The first captures the downside risk to the economic outlook</w:t>
            </w:r>
            <w:r w:rsidR="00EC79DA">
              <w:t xml:space="preserve"> associated with a more challenging</w:t>
            </w:r>
            <w:r w:rsidR="00111A07">
              <w:noBreakHyphen/>
            </w:r>
            <w:r w:rsidR="00EC79DA">
              <w:t>than</w:t>
            </w:r>
            <w:r w:rsidR="00111A07">
              <w:noBreakHyphen/>
            </w:r>
            <w:r w:rsidR="00EC79DA">
              <w:t xml:space="preserve">expected health environment due to the arrival of </w:t>
            </w:r>
            <w:r w:rsidR="00EC79DA" w:rsidRPr="00E8495E">
              <w:t>a new variant of concern</w:t>
            </w:r>
            <w:r w:rsidR="00111A07">
              <w:t xml:space="preserve">. </w:t>
            </w:r>
            <w:r w:rsidR="00EC79DA" w:rsidRPr="00D90E23">
              <w:t xml:space="preserve">The second scenario captures the upside risk to the economic forecasts from a faster improvement in the health environment compared </w:t>
            </w:r>
            <w:r w:rsidR="00A35006">
              <w:t>with</w:t>
            </w:r>
            <w:r w:rsidR="00EC79DA" w:rsidRPr="00D90E23">
              <w:t xml:space="preserve"> the </w:t>
            </w:r>
            <w:r w:rsidR="00EC79DA">
              <w:t>COVID</w:t>
            </w:r>
            <w:r w:rsidR="00111A07">
              <w:noBreakHyphen/>
            </w:r>
            <w:r w:rsidR="00EC79DA">
              <w:t>19</w:t>
            </w:r>
            <w:r w:rsidR="00EC79DA" w:rsidRPr="00D90E23">
              <w:t xml:space="preserve"> Budget assumption</w:t>
            </w:r>
            <w:r w:rsidR="00EC79DA">
              <w:t>s (Box 2.1)</w:t>
            </w:r>
            <w:r w:rsidR="00EC79DA" w:rsidRPr="003D0181">
              <w:t>.</w:t>
            </w:r>
          </w:p>
          <w:p w14:paraId="0131214A" w14:textId="3998C048" w:rsidR="00EC79DA" w:rsidRPr="003A0819" w:rsidRDefault="00EC79DA" w:rsidP="006808C3">
            <w:pPr>
              <w:pStyle w:val="BoxSubHeading"/>
              <w:rPr>
                <w:rFonts w:ascii="Book Antiqua" w:hAnsi="Book Antiqua"/>
                <w:b/>
              </w:rPr>
            </w:pPr>
            <w:r w:rsidRPr="003A0819">
              <w:rPr>
                <w:rFonts w:ascii="Book Antiqua" w:hAnsi="Book Antiqua"/>
                <w:b/>
              </w:rPr>
              <w:t>Scenario 1: A new COVID</w:t>
            </w:r>
            <w:r w:rsidR="00111A07">
              <w:rPr>
                <w:rFonts w:ascii="Book Antiqua" w:hAnsi="Book Antiqua"/>
                <w:b/>
              </w:rPr>
              <w:noBreakHyphen/>
            </w:r>
            <w:r w:rsidRPr="003A0819">
              <w:rPr>
                <w:rFonts w:ascii="Book Antiqua" w:hAnsi="Book Antiqua"/>
                <w:b/>
              </w:rPr>
              <w:t xml:space="preserve">19 variant of concern poses a more challenging health </w:t>
            </w:r>
            <w:r w:rsidR="00DD3269">
              <w:rPr>
                <w:rFonts w:ascii="Book Antiqua" w:hAnsi="Book Antiqua"/>
                <w:b/>
              </w:rPr>
              <w:t>environment</w:t>
            </w:r>
            <w:r w:rsidRPr="003A0819">
              <w:rPr>
                <w:rFonts w:ascii="Book Antiqua" w:hAnsi="Book Antiqua"/>
                <w:b/>
              </w:rPr>
              <w:t xml:space="preserve"> </w:t>
            </w:r>
          </w:p>
          <w:p w14:paraId="54D6BD2B" w14:textId="20827015" w:rsidR="00EC79DA" w:rsidRDefault="002E48DA" w:rsidP="006808C3">
            <w:pPr>
              <w:pStyle w:val="BoxText"/>
            </w:pPr>
            <w:r>
              <w:t>In</w:t>
            </w:r>
            <w:r w:rsidR="00EC79DA">
              <w:t xml:space="preserve"> this scenario,</w:t>
            </w:r>
            <w:r w:rsidR="00EC79DA" w:rsidDel="004B1837">
              <w:t xml:space="preserve"> </w:t>
            </w:r>
            <w:r w:rsidR="00EC79DA">
              <w:t>a</w:t>
            </w:r>
            <w:r>
              <w:t xml:space="preserve"> more virulent</w:t>
            </w:r>
            <w:r w:rsidR="00EC79DA">
              <w:t xml:space="preserve"> variant of concern emerges in the </w:t>
            </w:r>
            <w:r w:rsidR="00C717F4">
              <w:t xml:space="preserve">middle </w:t>
            </w:r>
            <w:r w:rsidR="00EC79DA">
              <w:t>of 2022</w:t>
            </w:r>
            <w:r w:rsidR="00111A07">
              <w:t xml:space="preserve">. </w:t>
            </w:r>
            <w:r w:rsidR="0082079A">
              <w:t>This outbreak coincides with</w:t>
            </w:r>
            <w:r w:rsidR="00FB6A96">
              <w:t xml:space="preserve"> the</w:t>
            </w:r>
            <w:r w:rsidR="00EC79DA">
              <w:t xml:space="preserve"> winter flu season</w:t>
            </w:r>
            <w:r w:rsidR="0082079A">
              <w:t xml:space="preserve"> and</w:t>
            </w:r>
            <w:r w:rsidR="00EC79DA">
              <w:t xml:space="preserve"> is assumed to lead to higher numbers </w:t>
            </w:r>
            <w:r w:rsidR="3985BFA5">
              <w:t xml:space="preserve">of cases </w:t>
            </w:r>
            <w:r w:rsidR="002119A3">
              <w:t>for a longer duration</w:t>
            </w:r>
            <w:r w:rsidR="3985BFA5">
              <w:t xml:space="preserve"> </w:t>
            </w:r>
            <w:r w:rsidR="00EC79DA">
              <w:t xml:space="preserve">and </w:t>
            </w:r>
            <w:r w:rsidR="006E0048">
              <w:t xml:space="preserve">more </w:t>
            </w:r>
            <w:r w:rsidR="00EC79DA">
              <w:t>severe illness</w:t>
            </w:r>
            <w:r w:rsidR="003E6E6B">
              <w:t xml:space="preserve"> than the initial Omicron wave</w:t>
            </w:r>
            <w:r w:rsidR="00111A07">
              <w:t xml:space="preserve">. </w:t>
            </w:r>
            <w:r w:rsidR="00EC79DA">
              <w:t xml:space="preserve">As a result, </w:t>
            </w:r>
            <w:r w:rsidR="003143D6">
              <w:t>at the</w:t>
            </w:r>
            <w:r w:rsidR="00A1527F">
              <w:t xml:space="preserve"> peak</w:t>
            </w:r>
            <w:r w:rsidR="00BB0E86">
              <w:t xml:space="preserve"> of the outbreak</w:t>
            </w:r>
            <w:r w:rsidR="00EC79DA">
              <w:t xml:space="preserve">, workforce absenteeism </w:t>
            </w:r>
            <w:r w:rsidR="00757608">
              <w:t>returns to</w:t>
            </w:r>
            <w:r w:rsidR="005E018B">
              <w:t xml:space="preserve"> levels</w:t>
            </w:r>
            <w:r w:rsidR="00EC79DA">
              <w:t xml:space="preserve"> </w:t>
            </w:r>
            <w:proofErr w:type="gramStart"/>
            <w:r w:rsidR="00EC79DA">
              <w:t xml:space="preserve">similar </w:t>
            </w:r>
            <w:r w:rsidR="005A3AAA">
              <w:t>to</w:t>
            </w:r>
            <w:proofErr w:type="gramEnd"/>
            <w:r w:rsidR="005A3AAA">
              <w:t xml:space="preserve"> </w:t>
            </w:r>
            <w:r w:rsidR="00F4518E">
              <w:t>those</w:t>
            </w:r>
            <w:r w:rsidR="00EC79DA">
              <w:t xml:space="preserve"> experienced </w:t>
            </w:r>
            <w:r w:rsidR="00A4194C">
              <w:t xml:space="preserve">in </w:t>
            </w:r>
            <w:r w:rsidR="00F03587">
              <w:t>January</w:t>
            </w:r>
            <w:r w:rsidR="00EC79DA">
              <w:t xml:space="preserve"> 2022</w:t>
            </w:r>
            <w:r w:rsidR="00111A07">
              <w:t xml:space="preserve">. </w:t>
            </w:r>
          </w:p>
          <w:p w14:paraId="4D23F7AF" w14:textId="7D63BC12" w:rsidR="00EC79DA" w:rsidRDefault="00EC79DA" w:rsidP="006808C3">
            <w:pPr>
              <w:pStyle w:val="BoxText"/>
            </w:pPr>
            <w:r>
              <w:t>It is assumed that baseline public health measures such as physical distancing and density limits are imposed nationally</w:t>
            </w:r>
            <w:r w:rsidDel="00D15D11">
              <w:t xml:space="preserve"> </w:t>
            </w:r>
            <w:r>
              <w:t>to manage the increased health risks for the duration of the outbreak</w:t>
            </w:r>
            <w:r w:rsidR="00111A07">
              <w:t xml:space="preserve">. </w:t>
            </w:r>
            <w:r>
              <w:t>Precautionary behaviour</w:t>
            </w:r>
            <w:r w:rsidR="439E1C54">
              <w:t>,</w:t>
            </w:r>
            <w:r>
              <w:t xml:space="preserve"> such as reduced social mixing</w:t>
            </w:r>
            <w:r w:rsidR="439E1C54">
              <w:t>,</w:t>
            </w:r>
            <w:r>
              <w:t xml:space="preserve"> and the direct impact of activity restrictions would result in weaker consumption and higher household savings than in the forecasts</w:t>
            </w:r>
            <w:r w:rsidR="00111A07">
              <w:t xml:space="preserve">. </w:t>
            </w:r>
            <w:r>
              <w:t xml:space="preserve">However, consumption rebounds quickly once </w:t>
            </w:r>
            <w:r w:rsidR="00B455A8">
              <w:t xml:space="preserve">the </w:t>
            </w:r>
            <w:r>
              <w:t>outbreak pass</w:t>
            </w:r>
            <w:r w:rsidR="00B455A8">
              <w:t>es</w:t>
            </w:r>
            <w:r>
              <w:t xml:space="preserve">, consistent with strong recoveries seen </w:t>
            </w:r>
            <w:r w:rsidR="004C2B64">
              <w:t>after</w:t>
            </w:r>
            <w:r>
              <w:t xml:space="preserve"> previous </w:t>
            </w:r>
            <w:r w:rsidR="008C262F">
              <w:t xml:space="preserve">outbreaks </w:t>
            </w:r>
            <w:r>
              <w:t>when spending activity typically increased sharply following the easing of restrictions</w:t>
            </w:r>
            <w:r w:rsidR="00111A07">
              <w:t xml:space="preserve">. </w:t>
            </w:r>
          </w:p>
          <w:p w14:paraId="352A0DC7" w14:textId="4AEA7923" w:rsidR="00EC79DA" w:rsidRDefault="006A4A40" w:rsidP="00837E89">
            <w:pPr>
              <w:pStyle w:val="BoxText"/>
            </w:pPr>
            <w:r>
              <w:t>In</w:t>
            </w:r>
            <w:r w:rsidR="00EC79DA">
              <w:t xml:space="preserve"> this scenario, economic activity </w:t>
            </w:r>
            <w:r>
              <w:t>is</w:t>
            </w:r>
            <w:r w:rsidR="00EC79DA">
              <w:t xml:space="preserve"> around $1</w:t>
            </w:r>
            <w:r w:rsidR="00DB0F03">
              <w:t>1</w:t>
            </w:r>
            <w:r w:rsidR="00EC79DA">
              <w:t xml:space="preserve"> billion lower in 2022</w:t>
            </w:r>
            <w:r w:rsidR="00111A07">
              <w:noBreakHyphen/>
            </w:r>
            <w:r w:rsidR="00EC79DA">
              <w:t>23</w:t>
            </w:r>
            <w:r>
              <w:t xml:space="preserve"> than in the forecast</w:t>
            </w:r>
            <w:r w:rsidR="00C504CA">
              <w:t>s</w:t>
            </w:r>
            <w:r>
              <w:t xml:space="preserve">, </w:t>
            </w:r>
            <w:r w:rsidR="00836D92">
              <w:t>a detract</w:t>
            </w:r>
            <w:r w:rsidR="0074250B">
              <w:t>ion</w:t>
            </w:r>
            <w:r w:rsidR="00B41D46">
              <w:t xml:space="preserve"> </w:t>
            </w:r>
            <w:r w:rsidR="00E813FA">
              <w:t xml:space="preserve">of </w:t>
            </w:r>
            <w:r w:rsidR="00EC79DA">
              <w:t xml:space="preserve">½ </w:t>
            </w:r>
            <w:r w:rsidR="00E813FA">
              <w:t xml:space="preserve">of a </w:t>
            </w:r>
            <w:r w:rsidR="00EC79DA">
              <w:t xml:space="preserve">percentage </w:t>
            </w:r>
            <w:r w:rsidR="007703B5">
              <w:t>point</w:t>
            </w:r>
            <w:r w:rsidR="009E5FA7">
              <w:t xml:space="preserve"> (Chart 2.8)</w:t>
            </w:r>
            <w:r w:rsidR="00111A07">
              <w:t xml:space="preserve">. </w:t>
            </w:r>
            <w:r w:rsidR="00EC79DA">
              <w:t xml:space="preserve">Unemployment </w:t>
            </w:r>
            <w:r w:rsidR="005A3AAA">
              <w:t>would</w:t>
            </w:r>
            <w:r w:rsidR="00EC79DA">
              <w:t xml:space="preserve"> be </w:t>
            </w:r>
            <w:r w:rsidR="008C262F">
              <w:t>up to</w:t>
            </w:r>
            <w:r w:rsidR="00EC79DA">
              <w:t xml:space="preserve"> </w:t>
            </w:r>
            <w:r w:rsidR="00EC79DA">
              <w:rPr>
                <w:color w:val="000000" w:themeColor="text1"/>
              </w:rPr>
              <w:t>¼</w:t>
            </w:r>
            <w:r w:rsidR="00EC79DA">
              <w:t xml:space="preserve"> </w:t>
            </w:r>
            <w:r w:rsidR="008C262F">
              <w:t>of a</w:t>
            </w:r>
            <w:r w:rsidR="00EC79DA">
              <w:t xml:space="preserve"> percentage point higher in 2022</w:t>
            </w:r>
            <w:r w:rsidR="00111A07">
              <w:noBreakHyphen/>
            </w:r>
            <w:r w:rsidR="00EC79DA">
              <w:t>23 compared with the forecasts</w:t>
            </w:r>
            <w:r w:rsidR="00111A07">
              <w:t xml:space="preserve">. </w:t>
            </w:r>
            <w:r w:rsidR="00EC79DA">
              <w:t xml:space="preserve">As the health situation improves, economic activity rebounds, returning to levels close </w:t>
            </w:r>
            <w:r w:rsidR="00EC79DA" w:rsidDel="00230A82">
              <w:t xml:space="preserve">to </w:t>
            </w:r>
            <w:r w:rsidR="00EC79DA">
              <w:t>those assumed in the forecasts by the first quarter of 2023</w:t>
            </w:r>
            <w:r w:rsidR="00111A07">
              <w:t xml:space="preserve">. </w:t>
            </w:r>
            <w:r w:rsidR="00EC79DA">
              <w:t>Economic activity remains slightly lower than forecast through to the end of 2023</w:t>
            </w:r>
            <w:r w:rsidR="00111A07">
              <w:noBreakHyphen/>
            </w:r>
            <w:r w:rsidR="00EC79DA">
              <w:t>24</w:t>
            </w:r>
            <w:r w:rsidR="00111A07">
              <w:t xml:space="preserve">. </w:t>
            </w:r>
          </w:p>
          <w:p w14:paraId="295F49EF" w14:textId="77777777" w:rsidR="00397D44" w:rsidRPr="0057125C" w:rsidRDefault="00397D44" w:rsidP="00397D44">
            <w:pPr>
              <w:pStyle w:val="BoxSubHeading"/>
              <w:rPr>
                <w:rFonts w:ascii="Book Antiqua" w:hAnsi="Book Antiqua"/>
                <w:b/>
              </w:rPr>
            </w:pPr>
            <w:r w:rsidRPr="0057125C">
              <w:rPr>
                <w:rFonts w:ascii="Book Antiqua" w:hAnsi="Book Antiqua"/>
                <w:b/>
              </w:rPr>
              <w:t>Scenario 2: An improved health situation delivers a boost to confidence</w:t>
            </w:r>
          </w:p>
          <w:p w14:paraId="538163E1" w14:textId="0BCAEE96" w:rsidR="00EC79DA" w:rsidRPr="00837E89" w:rsidRDefault="00397D44" w:rsidP="00837E89">
            <w:pPr>
              <w:pStyle w:val="BoxText"/>
            </w:pPr>
            <w:r>
              <w:t>In this scenario, it is assumed that</w:t>
            </w:r>
            <w:r w:rsidDel="00877802">
              <w:t xml:space="preserve"> </w:t>
            </w:r>
            <w:r>
              <w:t>vaccines, new treatments and rising levels of immunity result in fewer cases and</w:t>
            </w:r>
            <w:r>
              <w:rPr>
                <w:bCs/>
                <w:szCs w:val="24"/>
              </w:rPr>
              <w:t xml:space="preserve"> a more </w:t>
            </w:r>
            <w:r w:rsidRPr="002715EF">
              <w:rPr>
                <w:bCs/>
                <w:szCs w:val="24"/>
              </w:rPr>
              <w:t>stable health environment</w:t>
            </w:r>
            <w:r>
              <w:rPr>
                <w:bCs/>
                <w:szCs w:val="24"/>
              </w:rPr>
              <w:t xml:space="preserve"> than assumed in the forecasts</w:t>
            </w:r>
            <w:r w:rsidR="00111A07">
              <w:rPr>
                <w:bCs/>
                <w:szCs w:val="24"/>
              </w:rPr>
              <w:t xml:space="preserve">. </w:t>
            </w:r>
            <w:r>
              <w:t>A more benign health outlook increases consumer confidence, and the household savings rate returns to pre</w:t>
            </w:r>
            <w:r w:rsidR="00111A07">
              <w:noBreakHyphen/>
            </w:r>
            <w:r>
              <w:t xml:space="preserve">pandemic levels around </w:t>
            </w:r>
            <w:r w:rsidR="00057205">
              <w:t>3</w:t>
            </w:r>
            <w:r>
              <w:t xml:space="preserve"> months earlier than in the forecasts</w:t>
            </w:r>
            <w:r w:rsidR="00111A07">
              <w:t xml:space="preserve">. </w:t>
            </w:r>
            <w:r>
              <w:t>Slightly higher spending is sustained through to 2023</w:t>
            </w:r>
            <w:r w:rsidR="00111A07">
              <w:noBreakHyphen/>
            </w:r>
            <w:r>
              <w:t>24, reflecting the continued impacts of improved confidence.</w:t>
            </w:r>
          </w:p>
        </w:tc>
      </w:tr>
      <w:tr w:rsidR="00837E89" w:rsidRPr="00436F9A" w14:paraId="22AFC183" w14:textId="77777777" w:rsidTr="006808C3">
        <w:trPr>
          <w:cantSplit/>
          <w:trHeight w:val="6521"/>
        </w:trPr>
        <w:tc>
          <w:tcPr>
            <w:tcW w:w="5000" w:type="pct"/>
            <w:tcBorders>
              <w:top w:val="nil"/>
              <w:left w:val="nil"/>
              <w:bottom w:val="nil"/>
              <w:right w:val="nil"/>
            </w:tcBorders>
            <w:shd w:val="clear" w:color="auto" w:fill="F2F9FC"/>
          </w:tcPr>
          <w:p w14:paraId="0DB1CBC2" w14:textId="5AF8C5A7" w:rsidR="00837E89" w:rsidRDefault="00837E89" w:rsidP="00837E89">
            <w:pPr>
              <w:pStyle w:val="BoxHeading"/>
            </w:pPr>
            <w:r>
              <w:lastRenderedPageBreak/>
              <w:t>Box 2.</w:t>
            </w:r>
            <w:r w:rsidR="00434128">
              <w:t>4</w:t>
            </w:r>
            <w:r>
              <w:t>: COVID</w:t>
            </w:r>
            <w:r w:rsidR="00111A07">
              <w:noBreakHyphen/>
            </w:r>
            <w:r>
              <w:t>19</w:t>
            </w:r>
            <w:r w:rsidR="00111A07">
              <w:noBreakHyphen/>
            </w:r>
            <w:r>
              <w:t>related uncertainty about the economic outlook (continued)</w:t>
            </w:r>
          </w:p>
          <w:p w14:paraId="6A2AF45D" w14:textId="2BDD37C2" w:rsidR="00837E89" w:rsidRDefault="00837E89" w:rsidP="00AF4232">
            <w:pPr>
              <w:pStyle w:val="BoxText"/>
              <w:spacing w:after="240"/>
            </w:pPr>
            <w:r>
              <w:t>Under this scenario, economic activity will be around $16 billion higher in 2022</w:t>
            </w:r>
            <w:r w:rsidR="00111A07">
              <w:noBreakHyphen/>
            </w:r>
            <w:r>
              <w:t xml:space="preserve">23, an increase of around </w:t>
            </w:r>
            <w:r>
              <w:rPr>
                <w:color w:val="000000" w:themeColor="text1"/>
              </w:rPr>
              <w:t>¾</w:t>
            </w:r>
            <w:r>
              <w:t xml:space="preserve"> </w:t>
            </w:r>
            <w:r w:rsidR="004359E6">
              <w:t xml:space="preserve">of a </w:t>
            </w:r>
            <w:r>
              <w:t xml:space="preserve">percentage point compared </w:t>
            </w:r>
            <w:r w:rsidR="001C0F7B">
              <w:t>to</w:t>
            </w:r>
            <w:r>
              <w:t xml:space="preserve"> the forecasts</w:t>
            </w:r>
            <w:r w:rsidR="00111A07">
              <w:t xml:space="preserve">. </w:t>
            </w:r>
            <w:r>
              <w:t xml:space="preserve">The impact on </w:t>
            </w:r>
            <w:r w:rsidR="00006B37">
              <w:t xml:space="preserve">the </w:t>
            </w:r>
            <w:r>
              <w:t>unemployment</w:t>
            </w:r>
            <w:r w:rsidR="00006B37">
              <w:t xml:space="preserve"> rate</w:t>
            </w:r>
            <w:r>
              <w:t xml:space="preserve"> is likely to be small </w:t>
            </w:r>
            <w:r w:rsidR="002221D4">
              <w:t>in this scenario</w:t>
            </w:r>
            <w:r w:rsidR="00111A07">
              <w:t xml:space="preserve">. </w:t>
            </w:r>
            <w:r w:rsidR="001C0F7B">
              <w:t>W</w:t>
            </w:r>
            <w:r w:rsidR="002221D4">
              <w:t>hile</w:t>
            </w:r>
            <w:r w:rsidR="00F45368">
              <w:t xml:space="preserve"> employment</w:t>
            </w:r>
            <w:r w:rsidR="002221D4">
              <w:t xml:space="preserve"> is stronger, putting downward pressure on </w:t>
            </w:r>
            <w:r w:rsidR="00006B37">
              <w:t xml:space="preserve">the </w:t>
            </w:r>
            <w:r w:rsidR="002221D4">
              <w:t>unemployment</w:t>
            </w:r>
            <w:r w:rsidR="00006B37">
              <w:t xml:space="preserve"> rate</w:t>
            </w:r>
            <w:r w:rsidR="002221D4">
              <w:t>,</w:t>
            </w:r>
            <w:r w:rsidR="00BF3F36">
              <w:t xml:space="preserve"> it would also encourage stronger participation</w:t>
            </w:r>
            <w:r w:rsidR="00111A07">
              <w:t xml:space="preserve">. </w:t>
            </w:r>
          </w:p>
          <w:p w14:paraId="0CED9544" w14:textId="743E49B8" w:rsidR="00837E89" w:rsidRDefault="00837E89" w:rsidP="00837E89">
            <w:pPr>
              <w:pStyle w:val="ChartHeading"/>
            </w:pPr>
            <w:r>
              <w:t>Chart 2.</w:t>
            </w:r>
            <w:r w:rsidR="009E1E19">
              <w:t>8</w:t>
            </w:r>
            <w:r>
              <w:t>: Real GDP stylised scenarios</w:t>
            </w:r>
          </w:p>
          <w:p w14:paraId="11840063" w14:textId="61B5919C" w:rsidR="00837E89" w:rsidRDefault="00E14661" w:rsidP="00837E89">
            <w:pPr>
              <w:pStyle w:val="ChartGraphic"/>
            </w:pPr>
            <w:r w:rsidRPr="00E14661">
              <w:rPr>
                <w:noProof/>
              </w:rPr>
              <w:drawing>
                <wp:inline distT="0" distB="0" distL="0" distR="0" wp14:anchorId="4B2B5A06" wp14:editId="7FDEE007">
                  <wp:extent cx="4619625" cy="2514600"/>
                  <wp:effectExtent l="0" t="0" r="0" b="0"/>
                  <wp:docPr id="16" name="Picture 16" descr="This chart shows an index of real GDP actuals from December 2020 to December 2021. The chart includes the 2022-23 Budget forecasts of the index of real GDP to June 2024, as well as two alternative stylised scenarios. In Scenario 1, the index of real GDP dips below the Budget forecasts in June 2022, but then returns to levels close to those assumed in the Budget forecasts for the remainder of the forecast period. In Scenario 2, the index of real GDP rises slightly above the Budget forecasts from June 2022 to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chart shows an index of real GDP actuals from December 2020 to December 2021. The chart includes the 2022-23 Budget forecasts of the index of real GDP to June 2024, as well as two alternative stylised scenarios. In Scenario 1, the index of real GDP dips below the Budget forecasts in June 2022, but then returns to levels close to those assumed in the Budget forecasts for the remainder of the forecast period. In Scenario 2, the index of real GDP rises slightly above the Budget forecasts from June 2022 to June 2024."/>
                          <pic:cNvPicPr>
                            <a:picLocks noChangeAspect="1" noChangeArrowheads="1"/>
                          </pic:cNvPicPr>
                        </pic:nvPicPr>
                        <pic:blipFill rotWithShape="1">
                          <a:blip r:embed="rId23">
                            <a:extLst>
                              <a:ext uri="{28A0092B-C50C-407E-A947-70E740481C1C}">
                                <a14:useLocalDpi xmlns:a14="http://schemas.microsoft.com/office/drawing/2010/main" val="0"/>
                              </a:ext>
                            </a:extLst>
                          </a:blip>
                          <a:srcRect l="1623"/>
                          <a:stretch/>
                        </pic:blipFill>
                        <pic:spPr bwMode="auto">
                          <a:xfrm>
                            <a:off x="0" y="0"/>
                            <a:ext cx="4619625" cy="2514600"/>
                          </a:xfrm>
                          <a:prstGeom prst="rect">
                            <a:avLst/>
                          </a:prstGeom>
                          <a:noFill/>
                          <a:ln>
                            <a:noFill/>
                          </a:ln>
                          <a:extLst>
                            <a:ext uri="{53640926-AAD7-44D8-BBD7-CCE9431645EC}">
                              <a14:shadowObscured xmlns:a14="http://schemas.microsoft.com/office/drawing/2010/main"/>
                            </a:ext>
                          </a:extLst>
                        </pic:spPr>
                      </pic:pic>
                    </a:graphicData>
                  </a:graphic>
                </wp:inline>
              </w:drawing>
            </w:r>
          </w:p>
          <w:p w14:paraId="576A4396" w14:textId="4192A08E" w:rsidR="00837E89" w:rsidRDefault="00837E89" w:rsidP="009A574F">
            <w:pPr>
              <w:pStyle w:val="Source"/>
              <w:spacing w:before="120"/>
            </w:pPr>
            <w:r>
              <w:t>Source:</w:t>
            </w:r>
            <w:r>
              <w:rPr>
                <w:b/>
                <w:bCs/>
              </w:rPr>
              <w:t xml:space="preserve"> </w:t>
            </w:r>
            <w:r w:rsidRPr="00837E89">
              <w:rPr>
                <w:b/>
                <w:bCs/>
              </w:rPr>
              <w:tab/>
            </w:r>
            <w:r>
              <w:t>ABS National Accounts: National Income, Expenditure and Product</w:t>
            </w:r>
            <w:r w:rsidR="00D109E6">
              <w:t>,</w:t>
            </w:r>
            <w:r>
              <w:t xml:space="preserve"> and Treasury.</w:t>
            </w:r>
          </w:p>
        </w:tc>
      </w:tr>
    </w:tbl>
    <w:p w14:paraId="7A8D4CC8" w14:textId="77777777" w:rsidR="007C2A1B" w:rsidRDefault="007C2A1B" w:rsidP="007C2A1B">
      <w:pPr>
        <w:pStyle w:val="SingleParagraph"/>
      </w:pPr>
    </w:p>
    <w:p w14:paraId="6D2F7D09" w14:textId="11CDF38E" w:rsidR="00733707" w:rsidRPr="00B96121" w:rsidRDefault="00733707" w:rsidP="006B7C64">
      <w:pPr>
        <w:pStyle w:val="Heading3"/>
        <w:keepNext w:val="0"/>
      </w:pPr>
      <w:bookmarkStart w:id="9" w:name="_Toc99064356"/>
      <w:r w:rsidRPr="00B96121">
        <w:t>Households</w:t>
      </w:r>
      <w:bookmarkEnd w:id="9"/>
      <w:r w:rsidR="00837E89">
        <w:t xml:space="preserve"> </w:t>
      </w:r>
    </w:p>
    <w:p w14:paraId="51DCB2E3" w14:textId="6F7881BB" w:rsidR="26CE5EC2" w:rsidRPr="00F13CB3" w:rsidRDefault="00F83814" w:rsidP="008A41C0">
      <w:r w:rsidRPr="00F83814">
        <w:rPr>
          <w:b/>
          <w:bCs/>
        </w:rPr>
        <w:t>Household consumption</w:t>
      </w:r>
      <w:r w:rsidRPr="00F83814">
        <w:t xml:space="preserve"> </w:t>
      </w:r>
      <w:r w:rsidR="391D4CA2" w:rsidRPr="02299D2E">
        <w:t>rebounded</w:t>
      </w:r>
      <w:r w:rsidR="391D4CA2" w:rsidRPr="7C2EADFA">
        <w:t xml:space="preserve"> </w:t>
      </w:r>
      <w:r w:rsidR="00687AB2">
        <w:t>by 6.3 per cent</w:t>
      </w:r>
      <w:r w:rsidR="00687AB2" w:rsidRPr="14A09062">
        <w:t xml:space="preserve"> </w:t>
      </w:r>
      <w:r w:rsidR="391D4CA2" w:rsidRPr="7C2EADFA">
        <w:t xml:space="preserve">in the December </w:t>
      </w:r>
      <w:r w:rsidR="00AD231A">
        <w:t>quarter of</w:t>
      </w:r>
      <w:r w:rsidR="391D4CA2" w:rsidRPr="7C2EADFA">
        <w:t xml:space="preserve"> </w:t>
      </w:r>
      <w:r w:rsidR="00687AB2">
        <w:t>2021</w:t>
      </w:r>
      <w:r w:rsidR="391D4CA2" w:rsidRPr="14A09062">
        <w:t xml:space="preserve"> </w:t>
      </w:r>
      <w:r w:rsidR="006F3593">
        <w:t xml:space="preserve">to </w:t>
      </w:r>
      <w:r w:rsidR="006569A5">
        <w:t>exceed</w:t>
      </w:r>
      <w:r w:rsidR="007934C5">
        <w:t xml:space="preserve"> </w:t>
      </w:r>
      <w:r w:rsidR="75657172" w:rsidRPr="00B363A8">
        <w:t>pre</w:t>
      </w:r>
      <w:r w:rsidR="00111A07">
        <w:noBreakHyphen/>
      </w:r>
      <w:r w:rsidR="75657172" w:rsidRPr="00B363A8">
        <w:t>pandemic</w:t>
      </w:r>
      <w:r w:rsidR="75657172" w:rsidRPr="27B27A75">
        <w:t xml:space="preserve"> </w:t>
      </w:r>
      <w:r w:rsidR="675EA611" w:rsidRPr="675EA611">
        <w:t>level</w:t>
      </w:r>
      <w:r w:rsidR="006F3593">
        <w:t>s</w:t>
      </w:r>
      <w:r w:rsidR="27B27A75" w:rsidRPr="27B27A75">
        <w:t xml:space="preserve"> </w:t>
      </w:r>
      <w:r w:rsidR="00F96251">
        <w:t>for</w:t>
      </w:r>
      <w:r w:rsidR="675EA611" w:rsidRPr="675EA611">
        <w:t xml:space="preserve"> </w:t>
      </w:r>
      <w:r w:rsidR="27B27A75" w:rsidRPr="27B27A75">
        <w:t xml:space="preserve">the </w:t>
      </w:r>
      <w:r w:rsidR="2E02D220" w:rsidRPr="2E02D220">
        <w:t xml:space="preserve">first </w:t>
      </w:r>
      <w:r w:rsidR="2E02D220" w:rsidRPr="5AC3DF75">
        <w:t>time</w:t>
      </w:r>
      <w:r w:rsidR="00111A07">
        <w:t xml:space="preserve">. </w:t>
      </w:r>
      <w:r w:rsidR="00280789">
        <w:t>This</w:t>
      </w:r>
      <w:r w:rsidR="006569A5">
        <w:t xml:space="preserve"> </w:t>
      </w:r>
      <w:r w:rsidR="00687AB2">
        <w:t>result</w:t>
      </w:r>
      <w:r w:rsidR="00DF097B">
        <w:t xml:space="preserve"> </w:t>
      </w:r>
      <w:r w:rsidR="00DF097B" w:rsidRPr="20E145CF">
        <w:t>reflect</w:t>
      </w:r>
      <w:r w:rsidR="00687AB2">
        <w:t>s</w:t>
      </w:r>
      <w:r w:rsidR="00DF097B" w:rsidRPr="20E145CF">
        <w:t xml:space="preserve"> pent</w:t>
      </w:r>
      <w:r w:rsidR="00111A07">
        <w:noBreakHyphen/>
      </w:r>
      <w:r w:rsidR="00DF097B" w:rsidRPr="20E145CF">
        <w:t>up demand</w:t>
      </w:r>
      <w:r w:rsidR="00DF097B">
        <w:t xml:space="preserve"> for discretionary goods and services</w:t>
      </w:r>
      <w:r w:rsidR="00F802D9">
        <w:t xml:space="preserve"> following the easing of Delta restrictions</w:t>
      </w:r>
      <w:r w:rsidR="00111A07">
        <w:t xml:space="preserve">. </w:t>
      </w:r>
    </w:p>
    <w:p w14:paraId="2A4CEA46" w14:textId="23966BC8" w:rsidR="00F52C17" w:rsidRDefault="12E36EAB" w:rsidP="008A41C0">
      <w:r w:rsidRPr="12E36EAB">
        <w:t xml:space="preserve">Household consumption is forecast to grow by </w:t>
      </w:r>
      <w:r w:rsidR="006E7EBE">
        <w:t>3½</w:t>
      </w:r>
      <w:r w:rsidR="006F3593">
        <w:t xml:space="preserve"> </w:t>
      </w:r>
      <w:r w:rsidR="00697BD7">
        <w:t xml:space="preserve">per cent </w:t>
      </w:r>
      <w:r w:rsidR="006F3593">
        <w:t>in 2021</w:t>
      </w:r>
      <w:r w:rsidR="00111A07">
        <w:noBreakHyphen/>
      </w:r>
      <w:r w:rsidR="006F3593">
        <w:t>22,</w:t>
      </w:r>
      <w:r w:rsidRPr="12E36EAB">
        <w:t xml:space="preserve"> </w:t>
      </w:r>
      <w:r w:rsidRPr="0C7DBDC2">
        <w:t xml:space="preserve">5¾ </w:t>
      </w:r>
      <w:r w:rsidRPr="12E36EAB">
        <w:t xml:space="preserve">per cent in </w:t>
      </w:r>
      <w:r w:rsidR="6B1F3797" w:rsidRPr="6B1F3797">
        <w:t>2022</w:t>
      </w:r>
      <w:r w:rsidR="00111A07">
        <w:noBreakHyphen/>
      </w:r>
      <w:r w:rsidR="6B1F3797" w:rsidRPr="6B1F3797">
        <w:t xml:space="preserve">23 and </w:t>
      </w:r>
      <w:r w:rsidR="006F3593">
        <w:t>a further</w:t>
      </w:r>
      <w:r w:rsidR="6B1F3797" w:rsidRPr="6B1F3797">
        <w:t xml:space="preserve"> </w:t>
      </w:r>
      <w:r w:rsidR="6FA629E7" w:rsidRPr="0C7DBDC2">
        <w:t>3¾</w:t>
      </w:r>
      <w:r w:rsidR="6B1F3797" w:rsidRPr="6B1F3797">
        <w:t xml:space="preserve"> per cent in 2023</w:t>
      </w:r>
      <w:r w:rsidR="00111A07">
        <w:noBreakHyphen/>
      </w:r>
      <w:r w:rsidR="6B1F3797" w:rsidRPr="6B1F3797">
        <w:t>24</w:t>
      </w:r>
      <w:r w:rsidR="00111A07">
        <w:t xml:space="preserve">. </w:t>
      </w:r>
      <w:r w:rsidR="00946EEE">
        <w:t>C</w:t>
      </w:r>
      <w:r w:rsidR="0091157B">
        <w:t>onsumption</w:t>
      </w:r>
      <w:r w:rsidR="00D12088">
        <w:t xml:space="preserve"> </w:t>
      </w:r>
      <w:r w:rsidR="00B01ADC">
        <w:t xml:space="preserve">growth </w:t>
      </w:r>
      <w:r w:rsidR="003F7DFA">
        <w:t xml:space="preserve">will be </w:t>
      </w:r>
      <w:r w:rsidR="00A67F78">
        <w:t>driven</w:t>
      </w:r>
      <w:r w:rsidR="003F7DFA">
        <w:t xml:space="preserve"> by </w:t>
      </w:r>
      <w:r w:rsidR="00687AB2">
        <w:t>increase</w:t>
      </w:r>
      <w:r w:rsidR="004B1A03">
        <w:t>d</w:t>
      </w:r>
      <w:r w:rsidR="00571789">
        <w:t xml:space="preserve"> </w:t>
      </w:r>
      <w:r w:rsidR="00305D65">
        <w:t>services</w:t>
      </w:r>
      <w:r w:rsidR="00B553C4">
        <w:t xml:space="preserve"> </w:t>
      </w:r>
      <w:r w:rsidR="00F83FEA">
        <w:t xml:space="preserve">demand </w:t>
      </w:r>
      <w:r w:rsidR="00B553C4">
        <w:t xml:space="preserve">as </w:t>
      </w:r>
      <w:r w:rsidR="00D435E8">
        <w:t xml:space="preserve">household </w:t>
      </w:r>
      <w:r w:rsidR="00B553C4">
        <w:t>spending behaviour normalises</w:t>
      </w:r>
      <w:r w:rsidR="00D435E8">
        <w:t xml:space="preserve"> and the savings rate declines</w:t>
      </w:r>
      <w:r w:rsidR="00111A07">
        <w:t xml:space="preserve">. </w:t>
      </w:r>
      <w:r w:rsidR="00F52C17">
        <w:t>Household balance sheets are in a strong position relative to the pre</w:t>
      </w:r>
      <w:r w:rsidR="00111A07">
        <w:noBreakHyphen/>
      </w:r>
      <w:r w:rsidR="00F52C17">
        <w:t>pandemic period</w:t>
      </w:r>
      <w:r w:rsidR="00C227A0">
        <w:t xml:space="preserve"> </w:t>
      </w:r>
      <w:r w:rsidR="00167230">
        <w:t xml:space="preserve">because of </w:t>
      </w:r>
      <w:r w:rsidR="002808DB">
        <w:t xml:space="preserve">economic </w:t>
      </w:r>
      <w:r w:rsidR="00C82F06">
        <w:t>support</w:t>
      </w:r>
      <w:r w:rsidR="00031CCF">
        <w:t xml:space="preserve"> measures</w:t>
      </w:r>
      <w:r w:rsidR="00C227A0">
        <w:t xml:space="preserve"> </w:t>
      </w:r>
      <w:r w:rsidR="00167230">
        <w:t xml:space="preserve">and restricted consumption options during </w:t>
      </w:r>
      <w:r w:rsidR="00C82F06">
        <w:t>lockdowns</w:t>
      </w:r>
      <w:r w:rsidR="00111A07">
        <w:t xml:space="preserve">. </w:t>
      </w:r>
      <w:r w:rsidR="00F52C17">
        <w:t xml:space="preserve">This </w:t>
      </w:r>
      <w:r w:rsidR="00E94D68">
        <w:t>strong financial position</w:t>
      </w:r>
      <w:r w:rsidR="00F52C17">
        <w:t xml:space="preserve"> is expected to allow</w:t>
      </w:r>
      <w:r w:rsidR="00507F75">
        <w:t xml:space="preserve"> households </w:t>
      </w:r>
      <w:r w:rsidR="00F52C17">
        <w:t xml:space="preserve">to comfortably normalise </w:t>
      </w:r>
      <w:r w:rsidR="00D13465">
        <w:t>the</w:t>
      </w:r>
      <w:r w:rsidR="00031CCF">
        <w:t xml:space="preserve"> household</w:t>
      </w:r>
      <w:r w:rsidR="00D13465">
        <w:t xml:space="preserve"> </w:t>
      </w:r>
      <w:r w:rsidR="00167230">
        <w:t>savings</w:t>
      </w:r>
      <w:r w:rsidR="00D13465">
        <w:t xml:space="preserve"> rate</w:t>
      </w:r>
      <w:r w:rsidR="00F52C17">
        <w:t xml:space="preserve"> toward</w:t>
      </w:r>
      <w:r w:rsidR="000234D4">
        <w:t>s</w:t>
      </w:r>
      <w:r w:rsidR="00F52C17">
        <w:t xml:space="preserve"> the lower end of the range experienced </w:t>
      </w:r>
      <w:r w:rsidR="00893EDB">
        <w:t>over</w:t>
      </w:r>
      <w:r w:rsidR="00F52C17">
        <w:t xml:space="preserve"> the previous 10 years</w:t>
      </w:r>
      <w:r w:rsidR="00C13C27">
        <w:t> </w:t>
      </w:r>
      <w:r w:rsidR="00F52C17">
        <w:t>(Chart</w:t>
      </w:r>
      <w:r w:rsidR="00C13C27">
        <w:t> </w:t>
      </w:r>
      <w:r w:rsidR="00F52C17">
        <w:t>2.</w:t>
      </w:r>
      <w:r w:rsidR="00F64C74">
        <w:t>9</w:t>
      </w:r>
      <w:r w:rsidR="00C13C27">
        <w:t>).</w:t>
      </w:r>
    </w:p>
    <w:p w14:paraId="1AC7889B" w14:textId="461BEBE5" w:rsidR="00552E2B" w:rsidRDefault="00D13465" w:rsidP="008A41C0">
      <w:r>
        <w:lastRenderedPageBreak/>
        <w:t xml:space="preserve">In the </w:t>
      </w:r>
      <w:r w:rsidR="00A741EC">
        <w:t>March quarter</w:t>
      </w:r>
      <w:r w:rsidR="00F64C74">
        <w:t xml:space="preserve"> of 2022</w:t>
      </w:r>
      <w:r>
        <w:t xml:space="preserve">, the </w:t>
      </w:r>
      <w:r w:rsidR="00A741EC">
        <w:t xml:space="preserve">Omicron wave, the </w:t>
      </w:r>
      <w:r w:rsidR="0018577D" w:rsidRPr="0018577D">
        <w:t>recent floods in Queensland and New</w:t>
      </w:r>
      <w:r w:rsidR="00EC237B">
        <w:t> </w:t>
      </w:r>
      <w:r w:rsidR="0018577D" w:rsidRPr="0018577D">
        <w:t>South</w:t>
      </w:r>
      <w:r w:rsidR="00EC237B">
        <w:t> </w:t>
      </w:r>
      <w:r w:rsidR="0018577D" w:rsidRPr="0018577D">
        <w:t>Wales</w:t>
      </w:r>
      <w:r w:rsidR="00A741EC">
        <w:t xml:space="preserve"> and</w:t>
      </w:r>
      <w:r w:rsidR="004322F1">
        <w:t xml:space="preserve"> </w:t>
      </w:r>
      <w:r w:rsidR="00B553C4">
        <w:t xml:space="preserve">the recent large increase in </w:t>
      </w:r>
      <w:r w:rsidR="007A558A">
        <w:t>fuel</w:t>
      </w:r>
      <w:r w:rsidR="004322F1">
        <w:t xml:space="preserve"> prices will dampen </w:t>
      </w:r>
      <w:r w:rsidR="006569A5">
        <w:t>consumption</w:t>
      </w:r>
      <w:r w:rsidR="00EC4784">
        <w:t>,</w:t>
      </w:r>
      <w:r>
        <w:t xml:space="preserve"> </w:t>
      </w:r>
      <w:r w:rsidR="008B203D">
        <w:t>but</w:t>
      </w:r>
      <w:r w:rsidR="00402840">
        <w:t xml:space="preserve"> </w:t>
      </w:r>
      <w:r w:rsidR="00A741EC">
        <w:t>the</w:t>
      </w:r>
      <w:r w:rsidR="008B203D">
        <w:t>se</w:t>
      </w:r>
      <w:r w:rsidR="00A741EC">
        <w:t xml:space="preserve"> effect</w:t>
      </w:r>
      <w:r w:rsidR="008B203D">
        <w:t>s</w:t>
      </w:r>
      <w:r w:rsidR="00A741EC">
        <w:t xml:space="preserve"> </w:t>
      </w:r>
      <w:r w:rsidR="008B203D">
        <w:t xml:space="preserve">are expected to </w:t>
      </w:r>
      <w:r w:rsidR="00A741EC">
        <w:t>recede</w:t>
      </w:r>
      <w:r w:rsidR="00111A07">
        <w:t xml:space="preserve">. </w:t>
      </w:r>
      <w:r w:rsidR="00A741EC">
        <w:t>R</w:t>
      </w:r>
      <w:r w:rsidR="004B1A03">
        <w:t>eal</w:t>
      </w:r>
      <w:r w:rsidR="00111A07">
        <w:noBreakHyphen/>
      </w:r>
      <w:r w:rsidR="004B1A03">
        <w:t>time</w:t>
      </w:r>
      <w:r w:rsidR="004B1A03" w:rsidRPr="4C27492F">
        <w:t xml:space="preserve"> </w:t>
      </w:r>
      <w:r w:rsidR="003E6C72" w:rsidRPr="4C27492F">
        <w:t xml:space="preserve">indicators suggest that </w:t>
      </w:r>
      <w:r w:rsidR="003E6C72" w:rsidRPr="566DB4E0">
        <w:t xml:space="preserve">the impact of the Omicron </w:t>
      </w:r>
      <w:r w:rsidR="004B1A03">
        <w:t>wave</w:t>
      </w:r>
      <w:r w:rsidR="004B1A03" w:rsidRPr="360DB134">
        <w:t xml:space="preserve"> </w:t>
      </w:r>
      <w:r w:rsidR="008B203D">
        <w:t xml:space="preserve">on consumption </w:t>
      </w:r>
      <w:r w:rsidR="003E6C72">
        <w:t xml:space="preserve">has been </w:t>
      </w:r>
      <w:r w:rsidR="008B203D">
        <w:t>temporary and</w:t>
      </w:r>
      <w:r w:rsidR="003E6C72">
        <w:t xml:space="preserve"> </w:t>
      </w:r>
      <w:r w:rsidR="003E6C72" w:rsidRPr="360DB134">
        <w:t>muted</w:t>
      </w:r>
      <w:r w:rsidR="003E6C72">
        <w:t xml:space="preserve"> compared to previous waves</w:t>
      </w:r>
      <w:r w:rsidR="00111A07">
        <w:t xml:space="preserve">. </w:t>
      </w:r>
    </w:p>
    <w:p w14:paraId="3CCB429B" w14:textId="1F18495F" w:rsidR="004C54E8" w:rsidRDefault="00B01681" w:rsidP="008A41C0">
      <w:r>
        <w:t>In 2022</w:t>
      </w:r>
      <w:r w:rsidR="00111A07">
        <w:noBreakHyphen/>
      </w:r>
      <w:r>
        <w:t>23 and 2023</w:t>
      </w:r>
      <w:r w:rsidR="00111A07">
        <w:noBreakHyphen/>
      </w:r>
      <w:r>
        <w:t>24</w:t>
      </w:r>
      <w:r w:rsidR="00C01362">
        <w:t xml:space="preserve">, </w:t>
      </w:r>
      <w:r w:rsidR="001A12C5">
        <w:t xml:space="preserve">the </w:t>
      </w:r>
      <w:r w:rsidR="00997954">
        <w:t xml:space="preserve">key driver of the </w:t>
      </w:r>
      <w:r w:rsidR="001A12C5">
        <w:t xml:space="preserve">consumption outlook is </w:t>
      </w:r>
      <w:r w:rsidR="00A2713A">
        <w:t>robust</w:t>
      </w:r>
      <w:r w:rsidR="2DCDE718" w:rsidRPr="2DCDE718">
        <w:t xml:space="preserve"> </w:t>
      </w:r>
      <w:r w:rsidR="001206F4">
        <w:t xml:space="preserve">growth in </w:t>
      </w:r>
      <w:r w:rsidR="002449EF">
        <w:t>disposable</w:t>
      </w:r>
      <w:r w:rsidR="4E5C1736" w:rsidRPr="22D09007">
        <w:t xml:space="preserve"> </w:t>
      </w:r>
      <w:r w:rsidR="2DCDE718" w:rsidRPr="2DCDE718">
        <w:t>income</w:t>
      </w:r>
      <w:r w:rsidR="001A684A">
        <w:t xml:space="preserve"> </w:t>
      </w:r>
      <w:r w:rsidR="001A12C5">
        <w:t xml:space="preserve">due to </w:t>
      </w:r>
      <w:r w:rsidR="001A684A">
        <w:t xml:space="preserve">strong labour market </w:t>
      </w:r>
      <w:r w:rsidR="001A684A" w:rsidRPr="64F4D495">
        <w:t xml:space="preserve">conditions </w:t>
      </w:r>
      <w:r w:rsidR="001A684A">
        <w:t>and wages growth</w:t>
      </w:r>
      <w:r w:rsidR="004D3710">
        <w:t> </w:t>
      </w:r>
      <w:r w:rsidR="002449EF">
        <w:t>(Chart</w:t>
      </w:r>
      <w:r w:rsidR="00EC4784">
        <w:t> </w:t>
      </w:r>
      <w:r w:rsidR="002449EF">
        <w:t>2.</w:t>
      </w:r>
      <w:r w:rsidR="00F64C74">
        <w:t>9</w:t>
      </w:r>
      <w:r w:rsidR="002449EF">
        <w:t>)</w:t>
      </w:r>
      <w:r w:rsidR="00111A07">
        <w:t xml:space="preserve">. </w:t>
      </w:r>
      <w:r w:rsidR="007B6F09">
        <w:t xml:space="preserve">Rising interest rates </w:t>
      </w:r>
      <w:r w:rsidR="008119D1">
        <w:t xml:space="preserve">and weaker housing price growth </w:t>
      </w:r>
      <w:r w:rsidR="007B6F09">
        <w:t>are expected to</w:t>
      </w:r>
      <w:r w:rsidR="00121C78">
        <w:t xml:space="preserve"> </w:t>
      </w:r>
      <w:r w:rsidR="00F974F3">
        <w:t xml:space="preserve">temper consumption growth </w:t>
      </w:r>
      <w:r w:rsidR="005A58AB">
        <w:t xml:space="preserve">slightly </w:t>
      </w:r>
      <w:r w:rsidR="005B6B15">
        <w:t xml:space="preserve">in </w:t>
      </w:r>
      <w:r w:rsidR="004A3B73">
        <w:t>these years</w:t>
      </w:r>
      <w:r w:rsidR="00B168C9">
        <w:t xml:space="preserve">, </w:t>
      </w:r>
      <w:bookmarkStart w:id="10" w:name="_Hlk99018872"/>
      <w:r w:rsidR="00782BA4">
        <w:t xml:space="preserve">and </w:t>
      </w:r>
      <w:r w:rsidR="00B168C9">
        <w:t xml:space="preserve">there is a risk </w:t>
      </w:r>
      <w:r w:rsidR="009654A9">
        <w:t xml:space="preserve">that the normalisation of monetary policy </w:t>
      </w:r>
      <w:r w:rsidR="00D45DB1">
        <w:t xml:space="preserve">has </w:t>
      </w:r>
      <w:r w:rsidR="00B7503B">
        <w:t xml:space="preserve">a </w:t>
      </w:r>
      <w:r w:rsidR="00D45DB1">
        <w:t xml:space="preserve">more material </w:t>
      </w:r>
      <w:r w:rsidR="00782BA4">
        <w:t>negative</w:t>
      </w:r>
      <w:r w:rsidR="00D45DB1">
        <w:t xml:space="preserve"> impact on consumption</w:t>
      </w:r>
      <w:bookmarkEnd w:id="10"/>
      <w:r w:rsidR="00111A07">
        <w:t xml:space="preserve">. </w:t>
      </w:r>
      <w:r w:rsidR="00EA5C2E" w:rsidRPr="00EA5C2E">
        <w:t>However, government support and the increase in savings during the pandemic are helping ensure household balance sheets remain in a strong position</w:t>
      </w:r>
      <w:r w:rsidR="00111A07">
        <w:t xml:space="preserve">. </w:t>
      </w:r>
    </w:p>
    <w:p w14:paraId="153CB4FD" w14:textId="036DB32E" w:rsidR="007C2A1B" w:rsidRPr="001801BA" w:rsidRDefault="007C2A1B" w:rsidP="009B5D1F">
      <w:pPr>
        <w:pStyle w:val="ChartHeading"/>
        <w:rPr>
          <w:rFonts w:cs="Arial"/>
        </w:rPr>
      </w:pPr>
      <w:r w:rsidRPr="001801BA">
        <w:t>Chart 2.</w:t>
      </w:r>
      <w:r w:rsidR="00F64C74" w:rsidRPr="001801BA">
        <w:rPr>
          <w:rFonts w:cs="Arial"/>
        </w:rPr>
        <w:t>9</w:t>
      </w:r>
      <w:r w:rsidRPr="001801BA">
        <w:rPr>
          <w:rFonts w:cs="Arial"/>
        </w:rPr>
        <w:t>: Household consumption, disposable income and saving</w:t>
      </w:r>
      <w:r w:rsidR="005E0FC7" w:rsidRPr="001801BA">
        <w:rPr>
          <w:rFonts w:cs="Arial"/>
        </w:rPr>
        <w:t>s rate</w:t>
      </w:r>
    </w:p>
    <w:p w14:paraId="1F5165AF" w14:textId="56D28F8A" w:rsidR="007C2A1B" w:rsidRDefault="00577CA4" w:rsidP="00F26C48">
      <w:pPr>
        <w:pStyle w:val="ChartGraphic"/>
        <w:rPr>
          <w:rFonts w:ascii="Book Antiqua" w:hAnsi="Book Antiqua"/>
        </w:rPr>
      </w:pPr>
      <w:r w:rsidRPr="00577CA4">
        <w:t xml:space="preserve"> </w:t>
      </w:r>
      <w:r w:rsidR="005E4250" w:rsidRPr="005E4250">
        <w:rPr>
          <w:noProof/>
        </w:rPr>
        <w:drawing>
          <wp:inline distT="0" distB="0" distL="0" distR="0" wp14:anchorId="45ED6C3E" wp14:editId="3D36F829">
            <wp:extent cx="4686300" cy="2222500"/>
            <wp:effectExtent l="0" t="0" r="0" b="0"/>
            <wp:docPr id="1516925091" name="Picture 1516925091" descr="This chart shows nominal gross household disposable income, household consumption and the household savings rate from June 2015 to December 2021, as measured by the Australian Bureau of Statistics (ABS). It also contains Treasury's forecast for these three variables from March 2022 to June 2024. This chart illustrates that from December quarter 2021 to June quarter 2024 gross household disposable income is expected to increase from $360 billion to $388 billion, household consumption is expected to increase from $282 billion to $336 billion and the household savings rate is expected to fall from 13.6 per cent to 4.3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25091" name="Picture 1516925091" descr="This chart shows nominal gross household disposable income, household consumption and the household savings rate from June 2015 to December 2021, as measured by the Australian Bureau of Statistics (ABS). It also contains Treasury's forecast for these three variables from March 2022 to June 2024. This chart illustrates that from December quarter 2021 to June quarter 2024 gross household disposable income is expected to increase from $360 billion to $388 billion, household consumption is expected to increase from $282 billion to $336 billion and the household savings rate is expected to fall from 13.6 per cent to 4.3 per c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6300" cy="2222500"/>
                    </a:xfrm>
                    <a:prstGeom prst="rect">
                      <a:avLst/>
                    </a:prstGeom>
                    <a:noFill/>
                    <a:ln>
                      <a:noFill/>
                    </a:ln>
                  </pic:spPr>
                </pic:pic>
              </a:graphicData>
            </a:graphic>
          </wp:inline>
        </w:drawing>
      </w:r>
    </w:p>
    <w:p w14:paraId="3FDCBB0C" w14:textId="1EE66592" w:rsidR="007C2A1B" w:rsidRDefault="007C2A1B" w:rsidP="007C2A1B">
      <w:pPr>
        <w:pStyle w:val="ChartandTableFootnote"/>
      </w:pPr>
      <w:r>
        <w:t xml:space="preserve">Note: </w:t>
      </w:r>
      <w:r>
        <w:tab/>
        <w:t xml:space="preserve">Data are </w:t>
      </w:r>
      <w:r w:rsidR="00BE6BC7">
        <w:t>nominal.</w:t>
      </w:r>
    </w:p>
    <w:p w14:paraId="267ABC8B" w14:textId="40ADD424" w:rsidR="007C2A1B" w:rsidRDefault="007C2A1B" w:rsidP="007C2A1B">
      <w:pPr>
        <w:pStyle w:val="Source"/>
      </w:pPr>
      <w:r>
        <w:t xml:space="preserve">Source: </w:t>
      </w:r>
      <w:r>
        <w:tab/>
        <w:t>ABS National Accounts: National Income, Expenditure and Product and Treasury.</w:t>
      </w:r>
    </w:p>
    <w:p w14:paraId="47C03639" w14:textId="5B350A20" w:rsidR="00B574BA" w:rsidRPr="00240459" w:rsidRDefault="00B574BA" w:rsidP="006F1EF4">
      <w:r w:rsidRPr="00240459">
        <w:rPr>
          <w:b/>
          <w:bCs/>
        </w:rPr>
        <w:t>Dwelling investment</w:t>
      </w:r>
      <w:r w:rsidRPr="00240459">
        <w:t xml:space="preserve"> is forecast to grow by </w:t>
      </w:r>
      <w:r w:rsidR="005221FF">
        <w:t>5</w:t>
      </w:r>
      <w:r w:rsidRPr="00240459">
        <w:t xml:space="preserve"> per cent in 2021</w:t>
      </w:r>
      <w:r w:rsidR="00111A07">
        <w:noBreakHyphen/>
      </w:r>
      <w:r w:rsidRPr="00240459">
        <w:t xml:space="preserve">22 and a further </w:t>
      </w:r>
      <w:r w:rsidR="005221FF">
        <w:t>3½</w:t>
      </w:r>
      <w:r w:rsidR="007746C0">
        <w:t> </w:t>
      </w:r>
      <w:r w:rsidRPr="00240459">
        <w:t>per</w:t>
      </w:r>
      <w:r w:rsidR="007746C0">
        <w:t> </w:t>
      </w:r>
      <w:r w:rsidRPr="00240459">
        <w:t>cent in 2022</w:t>
      </w:r>
      <w:r w:rsidR="00111A07">
        <w:noBreakHyphen/>
      </w:r>
      <w:r w:rsidRPr="00240459">
        <w:t>23</w:t>
      </w:r>
      <w:r w:rsidR="00111A07">
        <w:t xml:space="preserve">. </w:t>
      </w:r>
      <w:r w:rsidR="00BF0709">
        <w:t xml:space="preserve">Low interest rates, rising </w:t>
      </w:r>
      <w:r w:rsidR="007972C6">
        <w:t xml:space="preserve">housing </w:t>
      </w:r>
      <w:r w:rsidR="00BF0709">
        <w:t>prices and government incentives</w:t>
      </w:r>
      <w:r w:rsidR="003B3EA4">
        <w:t>, such as</w:t>
      </w:r>
      <w:r w:rsidR="00BF0709">
        <w:t xml:space="preserve"> the </w:t>
      </w:r>
      <w:proofErr w:type="spellStart"/>
      <w:r w:rsidR="00BF0709">
        <w:t>HomeBuilder</w:t>
      </w:r>
      <w:proofErr w:type="spellEnd"/>
      <w:r w:rsidR="00BF0709">
        <w:t xml:space="preserve"> program</w:t>
      </w:r>
      <w:r w:rsidR="003B3EA4">
        <w:t>,</w:t>
      </w:r>
      <w:r w:rsidR="00BF0709">
        <w:t xml:space="preserve"> have </w:t>
      </w:r>
      <w:r w:rsidR="003005F7">
        <w:t xml:space="preserve">contributed </w:t>
      </w:r>
      <w:r w:rsidR="00865D73">
        <w:t xml:space="preserve">to </w:t>
      </w:r>
      <w:r w:rsidR="003005F7">
        <w:t xml:space="preserve">a record pipeline of work </w:t>
      </w:r>
      <w:r w:rsidR="006B246C">
        <w:t xml:space="preserve">yet to be done </w:t>
      </w:r>
      <w:r w:rsidR="003B3EA4">
        <w:t>in the sector</w:t>
      </w:r>
      <w:r w:rsidR="004D3710">
        <w:t> (</w:t>
      </w:r>
      <w:r w:rsidRPr="00240459">
        <w:t>Chart</w:t>
      </w:r>
      <w:r w:rsidR="004D3710">
        <w:t> 2.1</w:t>
      </w:r>
      <w:r w:rsidR="00F633BA">
        <w:t>0</w:t>
      </w:r>
      <w:r w:rsidR="003005F7">
        <w:t>).</w:t>
      </w:r>
    </w:p>
    <w:p w14:paraId="28D4B5E8" w14:textId="12224608" w:rsidR="00A5690E" w:rsidRDefault="001F2B41" w:rsidP="006F1EF4">
      <w:r>
        <w:t>Building m</w:t>
      </w:r>
      <w:r w:rsidR="007972C6">
        <w:t>aterial and labour shortages</w:t>
      </w:r>
      <w:r w:rsidR="00043BC1">
        <w:t>, along with COVID</w:t>
      </w:r>
      <w:r w:rsidR="00111A07">
        <w:noBreakHyphen/>
      </w:r>
      <w:r w:rsidR="00932D77">
        <w:t>19</w:t>
      </w:r>
      <w:r w:rsidR="00043BC1">
        <w:t xml:space="preserve"> outbreaks and related </w:t>
      </w:r>
      <w:r w:rsidR="00AC30BF">
        <w:t>restrictions</w:t>
      </w:r>
      <w:r w:rsidR="00043BC1">
        <w:t xml:space="preserve"> on activity,</w:t>
      </w:r>
      <w:r w:rsidR="007972C6">
        <w:t xml:space="preserve"> have increased construction costs and completion times</w:t>
      </w:r>
      <w:r w:rsidR="00043BC1">
        <w:t xml:space="preserve"> for new dwelling</w:t>
      </w:r>
      <w:r w:rsidR="007A2248">
        <w:t>s</w:t>
      </w:r>
      <w:r w:rsidR="00111A07">
        <w:t xml:space="preserve">. </w:t>
      </w:r>
      <w:r w:rsidR="006A588B">
        <w:t xml:space="preserve">These </w:t>
      </w:r>
      <w:r>
        <w:t>supply</w:t>
      </w:r>
      <w:r w:rsidR="00111A07">
        <w:noBreakHyphen/>
      </w:r>
      <w:r>
        <w:t xml:space="preserve">side </w:t>
      </w:r>
      <w:r w:rsidR="004F574A">
        <w:t>pressures</w:t>
      </w:r>
      <w:r w:rsidR="006A588B">
        <w:t xml:space="preserve"> have</w:t>
      </w:r>
      <w:r w:rsidR="007742E7">
        <w:t xml:space="preserve"> constrained dwelling investment</w:t>
      </w:r>
      <w:r w:rsidR="006C7C78">
        <w:t xml:space="preserve"> in recent quarters</w:t>
      </w:r>
      <w:r w:rsidR="007742E7">
        <w:t xml:space="preserve">, particularly </w:t>
      </w:r>
      <w:r w:rsidR="007972C6">
        <w:t xml:space="preserve">for detached </w:t>
      </w:r>
      <w:r w:rsidR="00F82611">
        <w:t>houses</w:t>
      </w:r>
      <w:r w:rsidR="006A588B">
        <w:t>,</w:t>
      </w:r>
      <w:r w:rsidR="00C416B1">
        <w:t xml:space="preserve"> </w:t>
      </w:r>
      <w:r w:rsidR="006C7C78">
        <w:t>despite</w:t>
      </w:r>
      <w:r w:rsidR="00C416B1">
        <w:t xml:space="preserve"> a record number of detached </w:t>
      </w:r>
      <w:r w:rsidR="00F82611">
        <w:t>houses</w:t>
      </w:r>
      <w:r w:rsidR="00C416B1">
        <w:t xml:space="preserve"> under con</w:t>
      </w:r>
      <w:r w:rsidR="00F82611">
        <w:t>struction</w:t>
      </w:r>
      <w:r w:rsidR="004D3710">
        <w:t> </w:t>
      </w:r>
      <w:r w:rsidR="00D642E4">
        <w:t>(Chart</w:t>
      </w:r>
      <w:r w:rsidR="004D3710">
        <w:t> </w:t>
      </w:r>
      <w:r w:rsidR="00D642E4">
        <w:t>2.</w:t>
      </w:r>
      <w:r w:rsidR="004D3710">
        <w:t>1</w:t>
      </w:r>
      <w:r w:rsidR="00F633BA">
        <w:t>1</w:t>
      </w:r>
      <w:r w:rsidR="00D642E4">
        <w:t>)</w:t>
      </w:r>
      <w:r w:rsidR="00111A07">
        <w:t xml:space="preserve">. </w:t>
      </w:r>
      <w:r w:rsidR="007123C7">
        <w:t>Additional risks have emerged which may further exacerbate capacity constrain</w:t>
      </w:r>
      <w:r w:rsidR="00D07348">
        <w:t>t</w:t>
      </w:r>
      <w:r w:rsidR="007123C7">
        <w:t>s in the near term</w:t>
      </w:r>
      <w:r w:rsidR="00111A07">
        <w:t xml:space="preserve">. </w:t>
      </w:r>
      <w:r w:rsidR="007123C7">
        <w:t xml:space="preserve">This includes </w:t>
      </w:r>
      <w:r w:rsidR="00EA044B">
        <w:t xml:space="preserve">the </w:t>
      </w:r>
      <w:r w:rsidR="0018577D" w:rsidRPr="0018577D">
        <w:t>recent</w:t>
      </w:r>
      <w:r w:rsidR="00EA044B">
        <w:t xml:space="preserve"> </w:t>
      </w:r>
      <w:r w:rsidR="00E54C1C">
        <w:t>flood</w:t>
      </w:r>
      <w:r w:rsidR="00EA044B">
        <w:t>s</w:t>
      </w:r>
      <w:r w:rsidR="0018577D" w:rsidRPr="0018577D">
        <w:t xml:space="preserve"> in Queensland and New South Wales</w:t>
      </w:r>
      <w:r w:rsidR="005F0F15">
        <w:t xml:space="preserve">, as well as the </w:t>
      </w:r>
      <w:r w:rsidR="00EA044B">
        <w:t xml:space="preserve">Russian invasion of </w:t>
      </w:r>
      <w:r w:rsidR="005F0F15">
        <w:t xml:space="preserve">Ukraine </w:t>
      </w:r>
      <w:r w:rsidR="00DC33E6">
        <w:lastRenderedPageBreak/>
        <w:t xml:space="preserve">disrupting </w:t>
      </w:r>
      <w:r w:rsidR="00426FC8">
        <w:t xml:space="preserve">global </w:t>
      </w:r>
      <w:r w:rsidR="00E94D68">
        <w:t xml:space="preserve">building material </w:t>
      </w:r>
      <w:r w:rsidR="00426FC8">
        <w:t>supply chains</w:t>
      </w:r>
      <w:r w:rsidR="00111A07">
        <w:t xml:space="preserve">. </w:t>
      </w:r>
      <w:r w:rsidR="005F0F15">
        <w:t>Nevertheless, capacity constraints are expected to slowly alleviate</w:t>
      </w:r>
      <w:r w:rsidR="00EC22D1">
        <w:t xml:space="preserve"> and </w:t>
      </w:r>
      <w:r w:rsidR="00892537">
        <w:t xml:space="preserve">support </w:t>
      </w:r>
      <w:r w:rsidR="005F0F15">
        <w:t>growth in dwelling investment in 2022</w:t>
      </w:r>
      <w:r w:rsidR="00111A07">
        <w:noBreakHyphen/>
      </w:r>
      <w:r w:rsidR="005F0F15">
        <w:t>23</w:t>
      </w:r>
      <w:r w:rsidR="00111A07">
        <w:t xml:space="preserve">. </w:t>
      </w:r>
    </w:p>
    <w:p w14:paraId="3ED966EB" w14:textId="3C431337" w:rsidR="00393610" w:rsidRDefault="00F76672" w:rsidP="006F1EF4">
      <w:r>
        <w:t>Rising interest rates</w:t>
      </w:r>
      <w:r w:rsidR="004448EE">
        <w:t xml:space="preserve"> </w:t>
      </w:r>
      <w:r w:rsidR="00090AAB">
        <w:t>will increase</w:t>
      </w:r>
      <w:r w:rsidR="00485D77" w:rsidDel="00090AAB">
        <w:t xml:space="preserve"> </w:t>
      </w:r>
      <w:r w:rsidR="00485D77">
        <w:t>the</w:t>
      </w:r>
      <w:r w:rsidR="008679D9" w:rsidRPr="008679D9">
        <w:t xml:space="preserve"> cost of</w:t>
      </w:r>
      <w:r w:rsidR="008679D9" w:rsidRPr="008679D9" w:rsidDel="00507B34">
        <w:t xml:space="preserve"> </w:t>
      </w:r>
      <w:r w:rsidR="00507B34">
        <w:t>borrowing</w:t>
      </w:r>
      <w:r w:rsidR="008679D9" w:rsidRPr="008679D9">
        <w:t xml:space="preserve">, </w:t>
      </w:r>
      <w:r w:rsidR="00197CB7" w:rsidRPr="008679D9">
        <w:t xml:space="preserve">placing downward pressure on housing prices </w:t>
      </w:r>
      <w:r w:rsidR="00197CB7">
        <w:t xml:space="preserve">and </w:t>
      </w:r>
      <w:r w:rsidR="00B67FA4">
        <w:t>softening</w:t>
      </w:r>
      <w:r w:rsidR="00B67FA4" w:rsidRPr="008679D9">
        <w:t xml:space="preserve"> </w:t>
      </w:r>
      <w:r w:rsidR="008679D9" w:rsidRPr="008679D9">
        <w:t>demand</w:t>
      </w:r>
      <w:r w:rsidR="00386114">
        <w:t xml:space="preserve"> for </w:t>
      </w:r>
      <w:r w:rsidR="00197CB7">
        <w:t xml:space="preserve">investment in </w:t>
      </w:r>
      <w:r w:rsidR="00386114">
        <w:t xml:space="preserve">new </w:t>
      </w:r>
      <w:r w:rsidR="00120923">
        <w:t>housing</w:t>
      </w:r>
      <w:r w:rsidR="00111A07">
        <w:t xml:space="preserve">. </w:t>
      </w:r>
      <w:r w:rsidR="00226C6E">
        <w:t>While this</w:t>
      </w:r>
      <w:r w:rsidR="00537776">
        <w:t xml:space="preserve"> </w:t>
      </w:r>
      <w:r w:rsidR="00DF2B18">
        <w:t xml:space="preserve">is expected to </w:t>
      </w:r>
      <w:r w:rsidR="00537776">
        <w:t xml:space="preserve">weigh on dwelling investment and </w:t>
      </w:r>
      <w:r w:rsidR="00DF2B18">
        <w:t>contribute to</w:t>
      </w:r>
      <w:r w:rsidR="00DF2B18" w:rsidDel="00507194">
        <w:t xml:space="preserve"> </w:t>
      </w:r>
      <w:r w:rsidR="00537776" w:rsidDel="00507194">
        <w:t>a</w:t>
      </w:r>
      <w:r w:rsidR="00537776">
        <w:t xml:space="preserve"> </w:t>
      </w:r>
      <w:r w:rsidR="00B70601">
        <w:t>½</w:t>
      </w:r>
      <w:r w:rsidR="00537776">
        <w:t xml:space="preserve"> per cent fall in 2023</w:t>
      </w:r>
      <w:r w:rsidR="00111A07">
        <w:noBreakHyphen/>
      </w:r>
      <w:r w:rsidR="00537776">
        <w:t>24, the existing pipeline of work will support investment to remain at elevated levels</w:t>
      </w:r>
      <w:r w:rsidR="00111A07">
        <w:t xml:space="preserve">. </w:t>
      </w:r>
      <w:r w:rsidR="001748F8">
        <w:t>Moreover</w:t>
      </w:r>
      <w:r w:rsidR="005B03C4">
        <w:t>,</w:t>
      </w:r>
      <w:r w:rsidR="0012768F">
        <w:t xml:space="preserve"> </w:t>
      </w:r>
      <w:r w:rsidR="000C7DB4">
        <w:t xml:space="preserve">the </w:t>
      </w:r>
      <w:r w:rsidR="00FB577E">
        <w:t xml:space="preserve">expected </w:t>
      </w:r>
      <w:r w:rsidR="00272BC8">
        <w:t>pick up in</w:t>
      </w:r>
      <w:r w:rsidR="00FB577E">
        <w:t xml:space="preserve"> </w:t>
      </w:r>
      <w:r w:rsidR="000C7DB4">
        <w:t xml:space="preserve">net overseas migration following the </w:t>
      </w:r>
      <w:r w:rsidR="0018312D">
        <w:t>reopening of</w:t>
      </w:r>
      <w:r w:rsidR="000C7DB4">
        <w:t xml:space="preserve"> </w:t>
      </w:r>
      <w:r w:rsidR="00475CBF">
        <w:t xml:space="preserve">international </w:t>
      </w:r>
      <w:r w:rsidR="000C7DB4">
        <w:t>border</w:t>
      </w:r>
      <w:r w:rsidR="0018312D">
        <w:t>s</w:t>
      </w:r>
      <w:r w:rsidR="000C7DB4">
        <w:t xml:space="preserve"> </w:t>
      </w:r>
      <w:r w:rsidR="001748F8">
        <w:t xml:space="preserve">will provide </w:t>
      </w:r>
      <w:r w:rsidR="00EC22D1">
        <w:t xml:space="preserve">ongoing </w:t>
      </w:r>
      <w:r w:rsidR="001748F8">
        <w:t xml:space="preserve">support </w:t>
      </w:r>
      <w:r w:rsidR="00EC22D1">
        <w:t>for</w:t>
      </w:r>
      <w:r w:rsidR="001748F8">
        <w:t xml:space="preserve"> </w:t>
      </w:r>
      <w:r w:rsidR="00B2121D">
        <w:t>dwelling investment</w:t>
      </w:r>
      <w:r w:rsidR="00111A07">
        <w:t xml:space="preserve">. </w:t>
      </w:r>
    </w:p>
    <w:p w14:paraId="7DF45291" w14:textId="31CDA1D4" w:rsidR="00DE42E3" w:rsidRPr="00DE42E3" w:rsidRDefault="00EA5C2E" w:rsidP="006F1EF4">
      <w:r w:rsidRPr="00EA5C2E">
        <w:t>Households remain well placed to service existing debt, assisted by increased</w:t>
      </w:r>
      <w:r w:rsidR="00DE42E3" w:rsidRPr="00F91FE2">
        <w:t xml:space="preserve"> savings and mortgage prepayments made during the pandemic</w:t>
      </w:r>
      <w:r w:rsidR="00111A07">
        <w:t xml:space="preserve">. </w:t>
      </w:r>
      <w:r w:rsidR="00DE42E3" w:rsidRPr="00F91FE2">
        <w:t xml:space="preserve">Serviceability buffers should ensure that most </w:t>
      </w:r>
      <w:r w:rsidR="00E94D68">
        <w:t>existing borrowers</w:t>
      </w:r>
      <w:r w:rsidR="00DE42E3" w:rsidRPr="00F91FE2">
        <w:t xml:space="preserve"> are </w:t>
      </w:r>
      <w:proofErr w:type="gramStart"/>
      <w:r w:rsidR="00DE42E3" w:rsidRPr="00F91FE2">
        <w:t>in a position</w:t>
      </w:r>
      <w:proofErr w:type="gramEnd"/>
      <w:r w:rsidR="00DE42E3" w:rsidRPr="00F91FE2">
        <w:t xml:space="preserve"> to handle mortgage repayments</w:t>
      </w:r>
      <w:r w:rsidR="00F477E4">
        <w:t xml:space="preserve"> as </w:t>
      </w:r>
      <w:r w:rsidR="00DE42E3" w:rsidRPr="00F91FE2">
        <w:t>interest rates rise.</w:t>
      </w: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6"/>
        <w:gridCol w:w="3844"/>
      </w:tblGrid>
      <w:tr w:rsidR="00DD3208" w14:paraId="27335DB8" w14:textId="77777777" w:rsidTr="00D72FAE">
        <w:trPr>
          <w:trHeight w:val="375"/>
        </w:trPr>
        <w:tc>
          <w:tcPr>
            <w:tcW w:w="3913" w:type="dxa"/>
            <w:hideMark/>
          </w:tcPr>
          <w:p w14:paraId="1CAAD958" w14:textId="66E46C42" w:rsidR="00073D17" w:rsidRDefault="00073D17">
            <w:pPr>
              <w:pStyle w:val="ChartHeading"/>
              <w:spacing w:line="260" w:lineRule="exact"/>
            </w:pPr>
            <w:r>
              <w:t>Chart 2.</w:t>
            </w:r>
            <w:r w:rsidR="004D3710">
              <w:t>1</w:t>
            </w:r>
            <w:r w:rsidR="00E54ECE">
              <w:t>0</w:t>
            </w:r>
            <w:r>
              <w:t xml:space="preserve">: Pipeline of private </w:t>
            </w:r>
            <w:r>
              <w:br/>
              <w:t xml:space="preserve">work yet to be done </w:t>
            </w:r>
          </w:p>
        </w:tc>
        <w:tc>
          <w:tcPr>
            <w:tcW w:w="3864" w:type="dxa"/>
          </w:tcPr>
          <w:p w14:paraId="4EFEFCC1" w14:textId="0CB6822D" w:rsidR="00073D17" w:rsidRDefault="00073D17">
            <w:pPr>
              <w:pStyle w:val="ChartHeading"/>
              <w:spacing w:line="260" w:lineRule="exact"/>
            </w:pPr>
            <w:r>
              <w:t>Chart 2.</w:t>
            </w:r>
            <w:r w:rsidR="004D3710">
              <w:t>1</w:t>
            </w:r>
            <w:r w:rsidR="00E54ECE">
              <w:t>1</w:t>
            </w:r>
            <w:r>
              <w:t xml:space="preserve">: Private detached </w:t>
            </w:r>
            <w:r w:rsidR="00F82611">
              <w:t xml:space="preserve">house </w:t>
            </w:r>
            <w:r>
              <w:t>construction</w:t>
            </w:r>
          </w:p>
        </w:tc>
      </w:tr>
      <w:tr w:rsidR="00DD3208" w14:paraId="341DA55A" w14:textId="77777777" w:rsidTr="00D72FAE">
        <w:trPr>
          <w:trHeight w:val="3285"/>
        </w:trPr>
        <w:tc>
          <w:tcPr>
            <w:tcW w:w="3913" w:type="dxa"/>
            <w:hideMark/>
          </w:tcPr>
          <w:p w14:paraId="789F1B01" w14:textId="5E638025" w:rsidR="00073D17" w:rsidRDefault="00EF73F2" w:rsidP="00F26C48">
            <w:pPr>
              <w:pStyle w:val="ChartGraphic"/>
            </w:pPr>
            <w:r w:rsidRPr="00EF73F2">
              <w:rPr>
                <w:noProof/>
              </w:rPr>
              <w:drawing>
                <wp:inline distT="0" distB="0" distL="0" distR="0" wp14:anchorId="04048AA1" wp14:editId="455CCEF4">
                  <wp:extent cx="2303145" cy="2342515"/>
                  <wp:effectExtent l="0" t="0" r="0" b="0"/>
                  <wp:docPr id="1516925101" name="Picture 1516925101" descr="&quot;This chart shows the value of private work yet to be done for total new housing from September 2006 to September 2021 (in quarterly intervals). The chart also shows the value of private work yet to be done for the two component series - detached houses and higher-density housing - over the same period. &#10;&#10;The value of private work yet to be done for total new housing increased rapidly from $32.5 billion in the September quarter 2020 to a new record high of $47.3 billion in the September quarter 2021. The chart shows that this was driven by an almost doubling of the detached houses series from $10.6 billion to $19.7 billion over the same period and a more recent rise in the higher-density housing series from $22.3 billion in the March quarter 2021 to $27.6 billion in the September quarter 202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25101" name="Picture 1516925101" descr="&quot;This chart shows the value of private work yet to be done for total new housing from September 2006 to September 2021 (in quarterly intervals). The chart also shows the value of private work yet to be done for the two component series - detached houses and higher-density housing - over the same period. &#10;&#10;The value of private work yet to be done for total new housing increased rapidly from $32.5 billion in the September quarter 2020 to a new record high of $47.3 billion in the September quarter 2021. The chart shows that this was driven by an almost doubling of the detached houses series from $10.6 billion to $19.7 billion over the same period and a more recent rise in the higher-density housing series from $22.3 billion in the March quarter 2021 to $27.6 billion in the September quarter 2021.&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3145" cy="2342515"/>
                          </a:xfrm>
                          <a:prstGeom prst="rect">
                            <a:avLst/>
                          </a:prstGeom>
                          <a:noFill/>
                          <a:ln>
                            <a:noFill/>
                          </a:ln>
                        </pic:spPr>
                      </pic:pic>
                    </a:graphicData>
                  </a:graphic>
                </wp:inline>
              </w:drawing>
            </w:r>
          </w:p>
        </w:tc>
        <w:tc>
          <w:tcPr>
            <w:tcW w:w="3864" w:type="dxa"/>
            <w:hideMark/>
          </w:tcPr>
          <w:p w14:paraId="0ADBFA4A" w14:textId="13370871" w:rsidR="00073D17" w:rsidRPr="00084209" w:rsidRDefault="005151D4" w:rsidP="00DB1332">
            <w:pPr>
              <w:pStyle w:val="ChartGraphic"/>
              <w:jc w:val="both"/>
            </w:pPr>
            <w:r>
              <w:rPr>
                <w:noProof/>
              </w:rPr>
              <w:drawing>
                <wp:inline distT="0" distB="0" distL="0" distR="0" wp14:anchorId="2D5CB6EB" wp14:editId="11DD05B5">
                  <wp:extent cx="2298065" cy="2337435"/>
                  <wp:effectExtent l="0" t="0" r="0" b="0"/>
                  <wp:docPr id="1342296268" name="Picture 1342296268" descr="This chart shows the number of private detached houses under construction from December 2006 to September 2021 (in quarterly intervals) and the volume of private detached house investment from December 2006 to December 2021. The two series have similar cycles over the prior to mid 2020, when both series began to increase quickly.  The number of detached houses under construction increased rapidly from a recent low of 55,495 in the June quarter 2020 to a new record high of 97,319 in the September quarter 2021 (the most recent data point available). The volume of detached house investment has increased by proportionately less, from a recent low of $8.9 billion in the June quarter 2020 to a near-record high of $10.6 billion in the September quarter 2021, and then declined to $10.3 billion in the December quarter 202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96268" name="Picture 1342296268" descr="This chart shows the number of private detached houses under construction from December 2006 to September 2021 (in quarterly intervals) and the volume of private detached house investment from December 2006 to December 2021. The two series have similar cycles over the prior to mid 2020, when both series began to increase quickly.  The number of detached houses under construction increased rapidly from a recent low of 55,495 in the June quarter 2020 to a new record high of 97,319 in the September quarter 2021 (the most recent data point available). The volume of detached house investment has increased by proportionately less, from a recent low of $8.9 billion in the June quarter 2020 to a near-record high of $10.6 billion in the September quarter 2021, and then declined to $10.3 billion in the December quarter 2021. &#10;"/>
                          <pic:cNvPicPr/>
                        </pic:nvPicPr>
                        <pic:blipFill>
                          <a:blip r:embed="rId26">
                            <a:extLst>
                              <a:ext uri="{28A0092B-C50C-407E-A947-70E740481C1C}">
                                <a14:useLocalDpi xmlns:a14="http://schemas.microsoft.com/office/drawing/2010/main" val="0"/>
                              </a:ext>
                            </a:extLst>
                          </a:blip>
                          <a:stretch>
                            <a:fillRect/>
                          </a:stretch>
                        </pic:blipFill>
                        <pic:spPr>
                          <a:xfrm>
                            <a:off x="0" y="0"/>
                            <a:ext cx="2298065" cy="2337435"/>
                          </a:xfrm>
                          <a:prstGeom prst="rect">
                            <a:avLst/>
                          </a:prstGeom>
                        </pic:spPr>
                      </pic:pic>
                    </a:graphicData>
                  </a:graphic>
                </wp:inline>
              </w:drawing>
            </w:r>
          </w:p>
        </w:tc>
      </w:tr>
      <w:tr w:rsidR="00DD3208" w14:paraId="12946FF8" w14:textId="77777777" w:rsidTr="00D72FAE">
        <w:trPr>
          <w:trHeight w:val="241"/>
        </w:trPr>
        <w:tc>
          <w:tcPr>
            <w:tcW w:w="3913" w:type="dxa"/>
          </w:tcPr>
          <w:p w14:paraId="705D3792" w14:textId="4BD0D95A" w:rsidR="00073D17" w:rsidRDefault="00073D17" w:rsidP="00CE76D1">
            <w:pPr>
              <w:pStyle w:val="ChartandTableFootnote"/>
            </w:pPr>
            <w:r>
              <w:t xml:space="preserve">Note: </w:t>
            </w:r>
            <w:r w:rsidR="00CE76D1" w:rsidRPr="00CE76D1">
              <w:tab/>
            </w:r>
            <w:r w:rsidR="00D77AB7">
              <w:t>Data are in original terms.</w:t>
            </w:r>
          </w:p>
          <w:p w14:paraId="3882C1CE" w14:textId="08169C73" w:rsidR="00073D17" w:rsidRDefault="00073D17" w:rsidP="007C2A1B">
            <w:pPr>
              <w:pStyle w:val="OutlineNumbered1"/>
              <w:keepNext/>
              <w:tabs>
                <w:tab w:val="clear" w:pos="520"/>
                <w:tab w:val="left" w:pos="720"/>
              </w:tabs>
              <w:spacing w:after="0" w:line="240" w:lineRule="auto"/>
              <w:jc w:val="both"/>
            </w:pPr>
            <w:r>
              <w:rPr>
                <w:rFonts w:ascii="Arial" w:hAnsi="Arial" w:cs="Arial"/>
                <w:sz w:val="16"/>
                <w:szCs w:val="16"/>
              </w:rPr>
              <w:t xml:space="preserve">Source: </w:t>
            </w:r>
            <w:r w:rsidR="00CE76D1" w:rsidRPr="00CE76D1">
              <w:rPr>
                <w:rFonts w:ascii="Arial" w:hAnsi="Arial" w:cs="Arial"/>
                <w:sz w:val="16"/>
                <w:szCs w:val="16"/>
              </w:rPr>
              <w:tab/>
            </w:r>
            <w:r>
              <w:rPr>
                <w:rFonts w:ascii="Arial" w:hAnsi="Arial" w:cs="Arial"/>
                <w:sz w:val="16"/>
                <w:szCs w:val="16"/>
              </w:rPr>
              <w:t>ABS Building Activity</w:t>
            </w:r>
            <w:r w:rsidR="00111A07">
              <w:rPr>
                <w:rFonts w:ascii="Arial" w:hAnsi="Arial" w:cs="Arial"/>
                <w:sz w:val="16"/>
                <w:szCs w:val="16"/>
              </w:rPr>
              <w:t xml:space="preserve">. </w:t>
            </w:r>
          </w:p>
        </w:tc>
        <w:tc>
          <w:tcPr>
            <w:tcW w:w="3864" w:type="dxa"/>
            <w:hideMark/>
          </w:tcPr>
          <w:p w14:paraId="0B51CDF6" w14:textId="063CCE24" w:rsidR="00073D17" w:rsidRDefault="00073D17" w:rsidP="00CE76D1">
            <w:pPr>
              <w:pStyle w:val="ChartandTableFootnote"/>
            </w:pPr>
            <w:r>
              <w:t xml:space="preserve">Note: </w:t>
            </w:r>
            <w:r w:rsidR="00CE76D1" w:rsidRPr="00CE76D1">
              <w:tab/>
            </w:r>
            <w:r>
              <w:t xml:space="preserve">Detached </w:t>
            </w:r>
            <w:r w:rsidR="00F82611">
              <w:t>house</w:t>
            </w:r>
            <w:r w:rsidR="00DD744F">
              <w:t>s</w:t>
            </w:r>
            <w:r w:rsidR="00F82611">
              <w:t xml:space="preserve"> </w:t>
            </w:r>
            <w:r>
              <w:t xml:space="preserve">under construction data </w:t>
            </w:r>
            <w:r w:rsidR="004907EB">
              <w:t xml:space="preserve">are </w:t>
            </w:r>
            <w:r>
              <w:t>in original terms.</w:t>
            </w:r>
          </w:p>
          <w:p w14:paraId="5C570CD7" w14:textId="354A9943" w:rsidR="00073D17" w:rsidRDefault="00073D17" w:rsidP="00CE76D1">
            <w:pPr>
              <w:pStyle w:val="Source"/>
            </w:pPr>
            <w:r>
              <w:t xml:space="preserve">Source: </w:t>
            </w:r>
            <w:r w:rsidR="00CE76D1" w:rsidRPr="00CE76D1">
              <w:tab/>
            </w:r>
            <w:r>
              <w:t>Unpublished ABS data; ABS Building Activity.</w:t>
            </w:r>
          </w:p>
        </w:tc>
      </w:tr>
    </w:tbl>
    <w:p w14:paraId="2CAEB26C" w14:textId="5B2A522E" w:rsidR="00733707" w:rsidRPr="00B96121" w:rsidRDefault="00733707" w:rsidP="00733707">
      <w:pPr>
        <w:pStyle w:val="Heading3"/>
      </w:pPr>
      <w:bookmarkStart w:id="11" w:name="_Toc99064357"/>
      <w:r w:rsidRPr="00B96121">
        <w:t>Business investment</w:t>
      </w:r>
      <w:bookmarkEnd w:id="11"/>
    </w:p>
    <w:p w14:paraId="073906A6" w14:textId="315A9A54" w:rsidR="003C5223" w:rsidRPr="00217123" w:rsidRDefault="003C5223" w:rsidP="00D05509">
      <w:r w:rsidRPr="00217123">
        <w:t xml:space="preserve">The outlook for </w:t>
      </w:r>
      <w:r w:rsidRPr="006864A5">
        <w:rPr>
          <w:b/>
        </w:rPr>
        <w:t>business investment</w:t>
      </w:r>
      <w:r w:rsidRPr="00217123">
        <w:t xml:space="preserve"> </w:t>
      </w:r>
      <w:r w:rsidR="00CF1C02">
        <w:t>is</w:t>
      </w:r>
      <w:r w:rsidR="00CF1C02" w:rsidRPr="00217123">
        <w:t xml:space="preserve"> </w:t>
      </w:r>
      <w:r w:rsidRPr="00217123">
        <w:t>strong</w:t>
      </w:r>
      <w:r w:rsidR="00111A07">
        <w:t xml:space="preserve">. </w:t>
      </w:r>
      <w:r w:rsidR="003D3925">
        <w:t xml:space="preserve">In </w:t>
      </w:r>
      <w:r w:rsidR="00A5529B">
        <w:t>2021</w:t>
      </w:r>
      <w:r w:rsidR="00111A07">
        <w:noBreakHyphen/>
      </w:r>
      <w:r w:rsidR="00A5529B">
        <w:t>22 and 2022</w:t>
      </w:r>
      <w:r w:rsidR="00111A07">
        <w:noBreakHyphen/>
      </w:r>
      <w:r w:rsidR="00A5529B">
        <w:t>23</w:t>
      </w:r>
      <w:r w:rsidR="003D3925">
        <w:t xml:space="preserve">, investment </w:t>
      </w:r>
      <w:r w:rsidR="004746C8">
        <w:t>will be</w:t>
      </w:r>
      <w:r w:rsidRPr="00217123">
        <w:t xml:space="preserve"> supported by </w:t>
      </w:r>
      <w:r w:rsidR="004746C8">
        <w:t>further</w:t>
      </w:r>
      <w:r w:rsidRPr="00217123">
        <w:t xml:space="preserve"> recovery in the domestic economy, temporary business tax incentives and strong business balance sheets</w:t>
      </w:r>
      <w:r w:rsidR="00111A07">
        <w:t xml:space="preserve">. </w:t>
      </w:r>
      <w:r w:rsidR="00E647B1">
        <w:t>New b</w:t>
      </w:r>
      <w:r w:rsidRPr="00217123">
        <w:t xml:space="preserve">usiness investment is forecast to </w:t>
      </w:r>
      <w:r w:rsidR="00E647B1">
        <w:t>grow by</w:t>
      </w:r>
      <w:r w:rsidRPr="00217123">
        <w:t xml:space="preserve"> </w:t>
      </w:r>
      <w:r w:rsidR="0040626B">
        <w:t>5</w:t>
      </w:r>
      <w:r w:rsidRPr="00217123">
        <w:t>½ per cent in 2021</w:t>
      </w:r>
      <w:r w:rsidR="00111A07">
        <w:noBreakHyphen/>
      </w:r>
      <w:r w:rsidRPr="00217123">
        <w:t xml:space="preserve">22, </w:t>
      </w:r>
      <w:r w:rsidR="0040626B">
        <w:t>9</w:t>
      </w:r>
      <w:r w:rsidR="00082CBD">
        <w:t> </w:t>
      </w:r>
      <w:r w:rsidRPr="00217123">
        <w:t>per</w:t>
      </w:r>
      <w:r w:rsidR="00082CBD">
        <w:t> </w:t>
      </w:r>
      <w:r w:rsidRPr="00217123">
        <w:t>cent in 2022</w:t>
      </w:r>
      <w:r w:rsidR="00111A07">
        <w:noBreakHyphen/>
      </w:r>
      <w:r w:rsidRPr="00217123">
        <w:t xml:space="preserve">23 and </w:t>
      </w:r>
      <w:r w:rsidR="002565CD">
        <w:t>one</w:t>
      </w:r>
      <w:r w:rsidR="002B1C67">
        <w:t> </w:t>
      </w:r>
      <w:r w:rsidRPr="00217123">
        <w:t>per</w:t>
      </w:r>
      <w:r w:rsidR="002B1C67">
        <w:t> </w:t>
      </w:r>
      <w:r w:rsidRPr="00217123">
        <w:t>cent in 2023</w:t>
      </w:r>
      <w:r w:rsidR="00111A07">
        <w:noBreakHyphen/>
      </w:r>
      <w:r w:rsidRPr="00217123">
        <w:t>24</w:t>
      </w:r>
      <w:r w:rsidR="00111A07">
        <w:t xml:space="preserve">. </w:t>
      </w:r>
    </w:p>
    <w:p w14:paraId="2EE074DE" w14:textId="00DAFD7E" w:rsidR="006B1C34" w:rsidRDefault="0046762F" w:rsidP="006B1C34">
      <w:r>
        <w:t>Non</w:t>
      </w:r>
      <w:r w:rsidR="00111A07">
        <w:noBreakHyphen/>
      </w:r>
      <w:r>
        <w:t xml:space="preserve">mining business investment is expected to drive growth in overall business investment over the next </w:t>
      </w:r>
      <w:r w:rsidR="002565CD">
        <w:t>2</w:t>
      </w:r>
      <w:r>
        <w:t xml:space="preserve"> years</w:t>
      </w:r>
      <w:r w:rsidR="00111A07">
        <w:t xml:space="preserve">. </w:t>
      </w:r>
      <w:r w:rsidR="006B1C34" w:rsidRPr="00B96121">
        <w:t>Non</w:t>
      </w:r>
      <w:r w:rsidR="00111A07">
        <w:noBreakHyphen/>
      </w:r>
      <w:r w:rsidR="006B1C34" w:rsidRPr="00B96121">
        <w:t>mining business investmen</w:t>
      </w:r>
      <w:r w:rsidR="006B1C34">
        <w:t xml:space="preserve">t is forecast to rise by </w:t>
      </w:r>
      <w:r w:rsidR="006B1C34">
        <w:lastRenderedPageBreak/>
        <w:t>7 per cent in 2021</w:t>
      </w:r>
      <w:r w:rsidR="00111A07">
        <w:noBreakHyphen/>
      </w:r>
      <w:r w:rsidR="006B1C34">
        <w:t>22 and 9 per cent in 2022</w:t>
      </w:r>
      <w:r w:rsidR="00111A07">
        <w:noBreakHyphen/>
      </w:r>
      <w:r w:rsidR="006B1C34">
        <w:t xml:space="preserve">23, to reach its highest </w:t>
      </w:r>
      <w:r w:rsidR="0043280B">
        <w:t xml:space="preserve">quarterly </w:t>
      </w:r>
      <w:r w:rsidR="006B1C34">
        <w:t xml:space="preserve">share of the economy since </w:t>
      </w:r>
      <w:r w:rsidR="001317B2">
        <w:t>2011</w:t>
      </w:r>
      <w:r w:rsidR="00A71245">
        <w:t xml:space="preserve"> in the June quarter of 2023</w:t>
      </w:r>
      <w:r w:rsidR="00111A07">
        <w:t xml:space="preserve">. </w:t>
      </w:r>
      <w:r w:rsidR="006B1C34">
        <w:t xml:space="preserve">Growth is then expected to slow to around </w:t>
      </w:r>
      <w:r w:rsidR="005F1D64">
        <w:t>one</w:t>
      </w:r>
      <w:r w:rsidR="006B1C34">
        <w:t> per cent in 2023</w:t>
      </w:r>
      <w:r w:rsidR="00111A07">
        <w:noBreakHyphen/>
      </w:r>
      <w:r w:rsidR="006B1C34">
        <w:t xml:space="preserve">24 </w:t>
      </w:r>
      <w:r w:rsidR="00EC22D1">
        <w:t>with investment activity remaining at</w:t>
      </w:r>
      <w:r w:rsidR="005F68A7">
        <w:t xml:space="preserve"> elevated levels</w:t>
      </w:r>
      <w:r w:rsidR="005E2D7F">
        <w:t xml:space="preserve"> (Chart 2.</w:t>
      </w:r>
      <w:r w:rsidR="00ED4BB3">
        <w:t>12</w:t>
      </w:r>
      <w:r w:rsidR="005E2D7F">
        <w:t>)</w:t>
      </w:r>
      <w:r w:rsidR="005F68A7">
        <w:t>.</w:t>
      </w:r>
    </w:p>
    <w:p w14:paraId="3AE0C7D2" w14:textId="2ED4B329" w:rsidR="00786A7F" w:rsidRPr="00217123" w:rsidRDefault="006B1C34" w:rsidP="00B77F20">
      <w:r>
        <w:t>The Delta lockdowns</w:t>
      </w:r>
      <w:r w:rsidR="00591D7A">
        <w:t xml:space="preserve"> and</w:t>
      </w:r>
      <w:r>
        <w:t xml:space="preserve"> ongoing supply disruptions for capital goods such as motor vehicles have weighed on growth of non</w:t>
      </w:r>
      <w:r w:rsidR="00111A07">
        <w:noBreakHyphen/>
      </w:r>
      <w:r>
        <w:t>mining business investment in recent quarters</w:t>
      </w:r>
      <w:r w:rsidR="00111A07">
        <w:t xml:space="preserve">. </w:t>
      </w:r>
      <w:r>
        <w:t xml:space="preserve">However, </w:t>
      </w:r>
      <w:r w:rsidR="00B11A49">
        <w:t>leading indicators suggest that</w:t>
      </w:r>
      <w:r>
        <w:t xml:space="preserve"> these factors </w:t>
      </w:r>
      <w:r w:rsidR="005568C1">
        <w:t>have begun</w:t>
      </w:r>
      <w:r w:rsidR="00B11A49">
        <w:t xml:space="preserve"> to</w:t>
      </w:r>
      <w:r>
        <w:t xml:space="preserve"> ease</w:t>
      </w:r>
      <w:r w:rsidR="00111A07">
        <w:t xml:space="preserve">. </w:t>
      </w:r>
      <w:r>
        <w:t>The</w:t>
      </w:r>
      <w:r w:rsidR="00AE7FDF">
        <w:t> </w:t>
      </w:r>
      <w:r>
        <w:t>Omicron</w:t>
      </w:r>
      <w:r w:rsidR="00ED4BB3">
        <w:t> </w:t>
      </w:r>
      <w:r w:rsidR="00C20B3F">
        <w:t>wave</w:t>
      </w:r>
      <w:r>
        <w:t xml:space="preserve"> is not anticipated to have a significant impact on investment, with business confidence returning quickly </w:t>
      </w:r>
      <w:r w:rsidR="0059401F">
        <w:t>after</w:t>
      </w:r>
      <w:r>
        <w:t xml:space="preserve"> </w:t>
      </w:r>
      <w:r w:rsidR="00C20B3F">
        <w:t xml:space="preserve">case numbers </w:t>
      </w:r>
      <w:r>
        <w:t>peaked</w:t>
      </w:r>
      <w:r w:rsidR="00111A07">
        <w:t xml:space="preserve">. </w:t>
      </w:r>
      <w:r>
        <w:t xml:space="preserve">ABS investment expectations </w:t>
      </w:r>
      <w:r w:rsidR="007C7DCA">
        <w:t xml:space="preserve">from </w:t>
      </w:r>
      <w:r w:rsidR="001E1B8A">
        <w:t xml:space="preserve">January and </w:t>
      </w:r>
      <w:r w:rsidR="00137A38">
        <w:t>February</w:t>
      </w:r>
      <w:r>
        <w:t xml:space="preserve"> suggest record high investment intentions for both 2021</w:t>
      </w:r>
      <w:r w:rsidR="00111A07">
        <w:noBreakHyphen/>
      </w:r>
      <w:r>
        <w:t>22 and 2022</w:t>
      </w:r>
      <w:r w:rsidR="00111A07">
        <w:noBreakHyphen/>
      </w:r>
      <w:r>
        <w:t>23</w:t>
      </w:r>
      <w:r w:rsidR="004D3710">
        <w:t> </w:t>
      </w:r>
      <w:r>
        <w:t>(Chart</w:t>
      </w:r>
      <w:r w:rsidR="00CE76D1">
        <w:t> </w:t>
      </w:r>
      <w:r w:rsidR="00F31918">
        <w:t>2</w:t>
      </w:r>
      <w:r>
        <w:t>.</w:t>
      </w:r>
      <w:r w:rsidR="00ED4BB3">
        <w:t>13</w:t>
      </w:r>
      <w:r>
        <w:t>)</w:t>
      </w:r>
      <w:r w:rsidR="00111A07">
        <w:t xml:space="preserve">. </w:t>
      </w:r>
      <w:r w:rsidR="002943E7">
        <w:t>The</w:t>
      </w:r>
      <w:r w:rsidR="00210FE1">
        <w:t xml:space="preserve"> invasion of Ukraine </w:t>
      </w:r>
      <w:r w:rsidR="002943E7">
        <w:t xml:space="preserve">poses a downside risk to </w:t>
      </w:r>
      <w:r w:rsidR="00B14FB6">
        <w:t>investment</w:t>
      </w:r>
      <w:r w:rsidR="002943E7">
        <w:t xml:space="preserve"> intentions</w:t>
      </w:r>
      <w:r w:rsidR="0041471C">
        <w:t xml:space="preserve">, as increasing producer prices </w:t>
      </w:r>
      <w:r w:rsidR="00E15B75">
        <w:t>could</w:t>
      </w:r>
      <w:r w:rsidR="0041471C">
        <w:t xml:space="preserve"> reduce profit margins and </w:t>
      </w:r>
      <w:r w:rsidR="007122C1">
        <w:t>weigh on</w:t>
      </w:r>
      <w:r w:rsidR="0041471C">
        <w:t xml:space="preserve"> investment</w:t>
      </w:r>
      <w:r w:rsidR="00B14FB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4"/>
        <w:gridCol w:w="3716"/>
      </w:tblGrid>
      <w:tr w:rsidR="00282A81" w14:paraId="692C465A" w14:textId="77777777" w:rsidTr="00DA3B72">
        <w:tc>
          <w:tcPr>
            <w:tcW w:w="4390" w:type="dxa"/>
            <w:hideMark/>
          </w:tcPr>
          <w:p w14:paraId="580074E3" w14:textId="5B9397E0" w:rsidR="00282A81" w:rsidRDefault="00282A81" w:rsidP="00EE0011">
            <w:pPr>
              <w:pStyle w:val="ChartHeading"/>
            </w:pPr>
            <w:r>
              <w:t xml:space="preserve">Chart </w:t>
            </w:r>
            <w:r w:rsidR="00F31918">
              <w:t>2.</w:t>
            </w:r>
            <w:r w:rsidR="00ED4BB3">
              <w:t>12</w:t>
            </w:r>
            <w:r>
              <w:t>: Non</w:t>
            </w:r>
            <w:r w:rsidR="00111A07">
              <w:noBreakHyphen/>
            </w:r>
            <w:r>
              <w:t>mining business</w:t>
            </w:r>
            <w:r w:rsidR="001F1585">
              <w:t xml:space="preserve"> </w:t>
            </w:r>
            <w:r>
              <w:t>investment</w:t>
            </w:r>
          </w:p>
        </w:tc>
        <w:tc>
          <w:tcPr>
            <w:tcW w:w="3310" w:type="dxa"/>
            <w:hideMark/>
          </w:tcPr>
          <w:p w14:paraId="2490FC50" w14:textId="6724A726" w:rsidR="00282A81" w:rsidRDefault="00282A81" w:rsidP="00EE0011">
            <w:pPr>
              <w:pStyle w:val="ChartHeading"/>
            </w:pPr>
            <w:r>
              <w:t xml:space="preserve">Chart </w:t>
            </w:r>
            <w:r w:rsidR="00F31918">
              <w:t>2.</w:t>
            </w:r>
            <w:r w:rsidR="00ED4BB3">
              <w:t>13</w:t>
            </w:r>
            <w:r>
              <w:t>: Non</w:t>
            </w:r>
            <w:r w:rsidR="00111A07">
              <w:noBreakHyphen/>
            </w:r>
            <w:r>
              <w:t>mining CAPEX expectations</w:t>
            </w:r>
          </w:p>
        </w:tc>
      </w:tr>
      <w:tr w:rsidR="00282A81" w14:paraId="012144DD" w14:textId="77777777" w:rsidTr="00DA3B72">
        <w:trPr>
          <w:trHeight w:val="3714"/>
        </w:trPr>
        <w:tc>
          <w:tcPr>
            <w:tcW w:w="4390" w:type="dxa"/>
            <w:hideMark/>
          </w:tcPr>
          <w:p w14:paraId="6293DADC" w14:textId="205A75DE" w:rsidR="00282A81" w:rsidRDefault="00520885" w:rsidP="00F26C48">
            <w:pPr>
              <w:pStyle w:val="ChartGraphic"/>
            </w:pPr>
            <w:r w:rsidRPr="00520885">
              <w:rPr>
                <w:noProof/>
              </w:rPr>
              <w:drawing>
                <wp:inline distT="0" distB="0" distL="0" distR="0" wp14:anchorId="52847200" wp14:editId="65F3FA63">
                  <wp:extent cx="2416928" cy="2304000"/>
                  <wp:effectExtent l="0" t="0" r="2540" b="0"/>
                  <wp:docPr id="1516925104" name="Picture 1516925104" descr="&quot;This chart shows the level of non-mining business investment from 2003-04 to 2020-21, as measured by the Australian Bureau of Statistics (ABS), and forecasts from 2021-22 to 2023-24 as published by Treasury.&#10;&#10;The chart shows that non-mining business investment has generally trended upward since 2003-04. It increased from $112 billion in 2003-04 to $149 billion in 2007-08, declined to $140 billion in 2012-13 and then trended up to be $181 billion in 2018-19. Non-mining business investment declined over the pandemic years, but is forecast to increase from $171 billion in 2020-21 to $202 billion in 2023-24.&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25104" name="Picture 1516925104" descr="&quot;This chart shows the level of non-mining business investment from 2003-04 to 2020-21, as measured by the Australian Bureau of Statistics (ABS), and forecasts from 2021-22 to 2023-24 as published by Treasury.&#10;&#10;The chart shows that non-mining business investment has generally trended upward since 2003-04. It increased from $112 billion in 2003-04 to $149 billion in 2007-08, declined to $140 billion in 2012-13 and then trended up to be $181 billion in 2018-19. Non-mining business investment declined over the pandemic years, but is forecast to increase from $171 billion in 2020-21 to $202 billion in 2023-24.&quo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6928" cy="2304000"/>
                          </a:xfrm>
                          <a:prstGeom prst="rect">
                            <a:avLst/>
                          </a:prstGeom>
                          <a:noFill/>
                          <a:ln>
                            <a:noFill/>
                          </a:ln>
                        </pic:spPr>
                      </pic:pic>
                    </a:graphicData>
                  </a:graphic>
                </wp:inline>
              </w:drawing>
            </w:r>
          </w:p>
        </w:tc>
        <w:tc>
          <w:tcPr>
            <w:tcW w:w="3310" w:type="dxa"/>
            <w:hideMark/>
          </w:tcPr>
          <w:p w14:paraId="5D4026E7" w14:textId="1BB7B3FC" w:rsidR="00282A81" w:rsidRDefault="00282A81" w:rsidP="00F26C48">
            <w:pPr>
              <w:pStyle w:val="ChartGraphic"/>
              <w:rPr>
                <w:rFonts w:cs="Arial"/>
                <w:sz w:val="16"/>
                <w:szCs w:val="16"/>
              </w:rPr>
            </w:pPr>
            <w:r>
              <w:rPr>
                <w:noProof/>
              </w:rPr>
              <w:drawing>
                <wp:inline distT="0" distB="0" distL="0" distR="0" wp14:anchorId="4749098E" wp14:editId="0834FF22">
                  <wp:extent cx="2238375" cy="2305050"/>
                  <wp:effectExtent l="0" t="0" r="3175" b="0"/>
                  <wp:docPr id="61" name="Picture 61" descr="This chart shows non-mining capital investment outcomes from 2012-13 to 2020-21 and non-mining capital investment expectations (adjusted using long-run realisation ratios) from 2021-22 to 2022-23, as measured by the Australian Bureau of Statistics (ABS). It shows that capital investment outcomes have trended up over the past decade, from $73 billion in 2012-13 to $100 billion in 2018-19. Investment intentions declined over the next two years to $90 billion in 2020-21. The chart shows an improvement in capital investment expectations in 2021-22 and 2022-23 to reach record levels of $106 billion in 2022-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his chart shows non-mining capital investment outcomes from 2012-13 to 2020-21 and non-mining capital investment expectations (adjusted using long-run realisation ratios) from 2021-22 to 2022-23, as measured by the Australian Bureau of Statistics (ABS). It shows that capital investment outcomes have trended up over the past decade, from $73 billion in 2012-13 to $100 billion in 2018-19. Investment intentions declined over the next two years to $90 billion in 2020-21. The chart shows an improvement in capital investment expectations in 2021-22 and 2022-23 to reach record levels of $106 billion in 2022-23.&#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8375" cy="2305050"/>
                          </a:xfrm>
                          <a:prstGeom prst="rect">
                            <a:avLst/>
                          </a:prstGeom>
                          <a:noFill/>
                          <a:ln>
                            <a:noFill/>
                          </a:ln>
                        </pic:spPr>
                      </pic:pic>
                    </a:graphicData>
                  </a:graphic>
                </wp:inline>
              </w:drawing>
            </w:r>
          </w:p>
        </w:tc>
      </w:tr>
      <w:tr w:rsidR="00282A81" w14:paraId="6B02C3AE" w14:textId="77777777" w:rsidTr="00DA3B72">
        <w:tc>
          <w:tcPr>
            <w:tcW w:w="4390" w:type="dxa"/>
            <w:hideMark/>
          </w:tcPr>
          <w:p w14:paraId="745B76B3" w14:textId="7B1FF008" w:rsidR="00282A81" w:rsidRDefault="00282A81" w:rsidP="00CE76D1">
            <w:pPr>
              <w:pStyle w:val="Source"/>
              <w:rPr>
                <w:noProof/>
              </w:rPr>
            </w:pPr>
            <w:r>
              <w:t xml:space="preserve">Source: </w:t>
            </w:r>
            <w:r w:rsidR="00CE76D1" w:rsidRPr="00CE76D1">
              <w:tab/>
            </w:r>
            <w:r>
              <w:t>ABS National Accounts: National Income, Expenditure and Product and Treasury.</w:t>
            </w:r>
          </w:p>
        </w:tc>
        <w:tc>
          <w:tcPr>
            <w:tcW w:w="3310" w:type="dxa"/>
            <w:hideMark/>
          </w:tcPr>
          <w:p w14:paraId="73E59581" w14:textId="574B15F4" w:rsidR="00282A81" w:rsidRDefault="00282A81" w:rsidP="00CE76D1">
            <w:pPr>
              <w:pStyle w:val="ChartandTableFootnote"/>
              <w:rPr>
                <w:rFonts w:cs="Arial"/>
                <w:szCs w:val="16"/>
              </w:rPr>
            </w:pPr>
            <w:r>
              <w:t xml:space="preserve">Note: </w:t>
            </w:r>
            <w:r w:rsidR="00CE76D1" w:rsidRPr="00CE76D1">
              <w:tab/>
            </w:r>
            <w:r w:rsidR="00085643">
              <w:t>Data are nominal</w:t>
            </w:r>
            <w:r w:rsidR="00111A07">
              <w:t xml:space="preserve">. </w:t>
            </w:r>
            <w:proofErr w:type="gramStart"/>
            <w:r>
              <w:t>Expectations</w:t>
            </w:r>
            <w:proofErr w:type="gramEnd"/>
            <w:r>
              <w:t xml:space="preserve"> data have been adjusted using long</w:t>
            </w:r>
            <w:r w:rsidR="00111A07">
              <w:noBreakHyphen/>
            </w:r>
            <w:r>
              <w:t>r</w:t>
            </w:r>
            <w:r>
              <w:rPr>
                <w:rFonts w:cs="Arial"/>
                <w:szCs w:val="16"/>
              </w:rPr>
              <w:t>un realisation ratios.</w:t>
            </w:r>
          </w:p>
          <w:p w14:paraId="49A57192" w14:textId="74739449" w:rsidR="00282A81" w:rsidRDefault="00282A81" w:rsidP="00CE76D1">
            <w:pPr>
              <w:pStyle w:val="Source"/>
              <w:rPr>
                <w:noProof/>
              </w:rPr>
            </w:pPr>
            <w:r>
              <w:t xml:space="preserve">Source: </w:t>
            </w:r>
            <w:r w:rsidR="00CE76D1" w:rsidRPr="00CE76D1">
              <w:tab/>
            </w:r>
            <w:r>
              <w:t>ABS Private New Capital Expenditure, Expected Expenditure and Treasury</w:t>
            </w:r>
            <w:r w:rsidR="0030576E">
              <w:t>.</w:t>
            </w:r>
          </w:p>
        </w:tc>
      </w:tr>
    </w:tbl>
    <w:p w14:paraId="47597EFB" w14:textId="46B6223A" w:rsidR="000662DD" w:rsidRDefault="00733707" w:rsidP="005D4EDD">
      <w:pPr>
        <w:spacing w:after="160" w:line="259" w:lineRule="auto"/>
      </w:pPr>
      <w:r w:rsidRPr="00B96121">
        <w:t>Mining investme</w:t>
      </w:r>
      <w:r w:rsidR="00A05479">
        <w:t xml:space="preserve">nt is forecast to rise by </w:t>
      </w:r>
      <w:r w:rsidR="00D037E9">
        <w:t>½</w:t>
      </w:r>
      <w:r w:rsidR="00A05479">
        <w:t xml:space="preserve"> per cent in 2021</w:t>
      </w:r>
      <w:r w:rsidR="00111A07">
        <w:noBreakHyphen/>
      </w:r>
      <w:r w:rsidR="00A05479">
        <w:t xml:space="preserve">22, </w:t>
      </w:r>
      <w:r w:rsidR="009827E4">
        <w:t>9½</w:t>
      </w:r>
      <w:r w:rsidR="00A05479">
        <w:t xml:space="preserve"> per cent in 2022</w:t>
      </w:r>
      <w:r w:rsidR="00111A07">
        <w:noBreakHyphen/>
      </w:r>
      <w:r w:rsidR="00A05479">
        <w:t>23</w:t>
      </w:r>
      <w:r w:rsidR="009827E4">
        <w:t xml:space="preserve"> and by 1½</w:t>
      </w:r>
      <w:r w:rsidR="00A05479">
        <w:t xml:space="preserve"> per cent in 2023</w:t>
      </w:r>
      <w:r w:rsidR="00111A07">
        <w:noBreakHyphen/>
      </w:r>
      <w:r w:rsidR="00A05479">
        <w:t>24</w:t>
      </w:r>
      <w:r w:rsidR="00111A07">
        <w:t xml:space="preserve">. </w:t>
      </w:r>
      <w:r w:rsidR="008E0B0C">
        <w:t xml:space="preserve">Iron ore investment is continuing, </w:t>
      </w:r>
      <w:r w:rsidR="00036A6E">
        <w:t>largely</w:t>
      </w:r>
      <w:r w:rsidR="008E0B0C">
        <w:t xml:space="preserve"> reflecting investments to maintain production capacity</w:t>
      </w:r>
      <w:r w:rsidR="00111A07">
        <w:t xml:space="preserve">. </w:t>
      </w:r>
      <w:r w:rsidR="008C5D68">
        <w:t>Liqu</w:t>
      </w:r>
      <w:r w:rsidR="006403FC">
        <w:t>efied Natural Gas (</w:t>
      </w:r>
      <w:r w:rsidR="00327087">
        <w:t>LNG</w:t>
      </w:r>
      <w:r w:rsidR="006403FC">
        <w:t>)</w:t>
      </w:r>
      <w:r w:rsidR="00327087">
        <w:t xml:space="preserve"> investment is expected to </w:t>
      </w:r>
      <w:r w:rsidR="00C344A3">
        <w:t>lift</w:t>
      </w:r>
      <w:r w:rsidR="00250668">
        <w:t xml:space="preserve"> over</w:t>
      </w:r>
      <w:r w:rsidR="00152BDA">
        <w:t xml:space="preserve"> </w:t>
      </w:r>
      <w:r w:rsidR="004B68AB">
        <w:t>coming</w:t>
      </w:r>
      <w:r w:rsidR="00C304C5">
        <w:t xml:space="preserve"> quarters</w:t>
      </w:r>
      <w:r w:rsidR="00FB56D9">
        <w:t xml:space="preserve"> </w:t>
      </w:r>
      <w:r w:rsidR="003E0C94">
        <w:t xml:space="preserve">as </w:t>
      </w:r>
      <w:r w:rsidR="00455736">
        <w:t>construction work on recent</w:t>
      </w:r>
      <w:r w:rsidR="00BF521B">
        <w:t>ly</w:t>
      </w:r>
      <w:r w:rsidR="00455736">
        <w:t xml:space="preserve"> </w:t>
      </w:r>
      <w:r w:rsidR="003E0C94">
        <w:t>announce</w:t>
      </w:r>
      <w:r w:rsidR="00BF521B">
        <w:t>d projects</w:t>
      </w:r>
      <w:r w:rsidR="003E0C94">
        <w:t xml:space="preserve"> commence</w:t>
      </w:r>
      <w:r w:rsidR="00C70F63">
        <w:t>s</w:t>
      </w:r>
      <w:r w:rsidR="00111A07">
        <w:t xml:space="preserve">. </w:t>
      </w:r>
      <w:r w:rsidR="000D42AA">
        <w:t>More broadly,</w:t>
      </w:r>
      <w:r w:rsidR="0079129A">
        <w:t xml:space="preserve"> ABS investment expectations </w:t>
      </w:r>
      <w:r w:rsidR="000D42AA">
        <w:t xml:space="preserve">for the mining sector </w:t>
      </w:r>
      <w:r w:rsidR="00D33A72">
        <w:t>indicate</w:t>
      </w:r>
      <w:r w:rsidR="00B86990">
        <w:t xml:space="preserve"> robust growth </w:t>
      </w:r>
      <w:r w:rsidR="00D33A72">
        <w:t>in</w:t>
      </w:r>
      <w:r w:rsidR="00B86990">
        <w:t xml:space="preserve"> mining investment </w:t>
      </w:r>
      <w:r w:rsidR="00E96996">
        <w:t>in 2021</w:t>
      </w:r>
      <w:r w:rsidR="00111A07">
        <w:noBreakHyphen/>
      </w:r>
      <w:r w:rsidR="00E96996">
        <w:t>22 and 2022</w:t>
      </w:r>
      <w:r w:rsidR="00111A07">
        <w:noBreakHyphen/>
      </w:r>
      <w:r w:rsidR="00E96996">
        <w:t>23</w:t>
      </w:r>
      <w:r w:rsidR="000D42AA">
        <w:t xml:space="preserve"> and </w:t>
      </w:r>
      <w:r w:rsidR="00E52D6D">
        <w:t>the highest level of investment since 2015</w:t>
      </w:r>
      <w:r w:rsidR="00111A07">
        <w:noBreakHyphen/>
      </w:r>
      <w:r w:rsidR="00E52D6D">
        <w:t>16</w:t>
      </w:r>
      <w:r w:rsidR="00111A07">
        <w:t xml:space="preserve">. </w:t>
      </w:r>
      <w:r w:rsidR="00222CB7">
        <w:t xml:space="preserve">This outlook reflects a limited </w:t>
      </w:r>
      <w:r w:rsidR="00996DC5" w:rsidRPr="0032450C">
        <w:t xml:space="preserve">investment response to </w:t>
      </w:r>
      <w:r w:rsidR="00222CB7">
        <w:lastRenderedPageBreak/>
        <w:t>the recent rise</w:t>
      </w:r>
      <w:r w:rsidR="00384F77">
        <w:t xml:space="preserve"> </w:t>
      </w:r>
      <w:r w:rsidR="001F5620">
        <w:t xml:space="preserve">in commodity prices </w:t>
      </w:r>
      <w:r w:rsidR="006403FC">
        <w:t>following</w:t>
      </w:r>
      <w:r w:rsidR="001F5620">
        <w:t xml:space="preserve"> Russia</w:t>
      </w:r>
      <w:r w:rsidR="00111A07">
        <w:t>’</w:t>
      </w:r>
      <w:r w:rsidR="001F5620">
        <w:t>s invasion of Ukraine</w:t>
      </w:r>
      <w:r w:rsidR="00996DC5" w:rsidRPr="001E1298">
        <w:t>,</w:t>
      </w:r>
      <w:r w:rsidR="00996DC5" w:rsidRPr="0032450C">
        <w:t xml:space="preserve"> as elevated prices are expected to be temporary</w:t>
      </w:r>
      <w:r w:rsidR="00111A07">
        <w:t xml:space="preserve">. </w:t>
      </w:r>
    </w:p>
    <w:p w14:paraId="323A6199" w14:textId="12841327" w:rsidR="008A2FB4" w:rsidRDefault="008A2FB4" w:rsidP="00F26DB4">
      <w:pPr>
        <w:pStyle w:val="Heading3"/>
      </w:pPr>
      <w:bookmarkStart w:id="12" w:name="_Toc99064358"/>
      <w:r>
        <w:t>Public final demand</w:t>
      </w:r>
      <w:bookmarkEnd w:id="12"/>
    </w:p>
    <w:p w14:paraId="07B55442" w14:textId="46A37426" w:rsidR="00733707" w:rsidRPr="00B96121" w:rsidRDefault="008A2FB4" w:rsidP="00070A43">
      <w:r>
        <w:rPr>
          <w:b/>
          <w:bCs/>
        </w:rPr>
        <w:t>N</w:t>
      </w:r>
      <w:r w:rsidR="007028BD" w:rsidRPr="00070A43">
        <w:rPr>
          <w:b/>
        </w:rPr>
        <w:t>ew public final demand</w:t>
      </w:r>
      <w:r w:rsidR="007028BD">
        <w:t xml:space="preserve"> </w:t>
      </w:r>
      <w:r w:rsidR="00870163" w:rsidRPr="00331AE1">
        <w:t>is forecast to rise by 7¼ per cent in 2021</w:t>
      </w:r>
      <w:r w:rsidR="00111A07">
        <w:noBreakHyphen/>
      </w:r>
      <w:r w:rsidR="00870163" w:rsidRPr="00331AE1">
        <w:t>22, 1¼ per cent in 2022</w:t>
      </w:r>
      <w:r w:rsidR="00111A07">
        <w:noBreakHyphen/>
      </w:r>
      <w:r w:rsidR="00870163" w:rsidRPr="00331AE1">
        <w:t xml:space="preserve">23 and </w:t>
      </w:r>
      <w:r w:rsidR="00766350" w:rsidRPr="00331AE1">
        <w:t>by a further</w:t>
      </w:r>
      <w:r w:rsidR="00870163" w:rsidRPr="009E759D">
        <w:t xml:space="preserve"> 1½ per </w:t>
      </w:r>
      <w:r w:rsidR="00870163" w:rsidRPr="000209F8">
        <w:t>cent</w:t>
      </w:r>
      <w:r w:rsidR="00766350" w:rsidRPr="00431ABC">
        <w:t xml:space="preserve"> in 2023</w:t>
      </w:r>
      <w:r w:rsidR="00111A07">
        <w:noBreakHyphen/>
      </w:r>
      <w:r w:rsidR="00766350" w:rsidRPr="00431ABC">
        <w:t>24</w:t>
      </w:r>
      <w:r w:rsidR="00111A07">
        <w:t xml:space="preserve">. </w:t>
      </w:r>
      <w:r w:rsidR="00B31EEB">
        <w:t>The strong increase in 2021</w:t>
      </w:r>
      <w:r w:rsidR="00111A07">
        <w:noBreakHyphen/>
      </w:r>
      <w:r w:rsidR="00B31EEB">
        <w:t>22 is primarily driven by elevated COVID</w:t>
      </w:r>
      <w:r w:rsidR="00111A07">
        <w:noBreakHyphen/>
      </w:r>
      <w:r w:rsidR="00B31EEB">
        <w:t>19</w:t>
      </w:r>
      <w:r w:rsidR="00111A07">
        <w:noBreakHyphen/>
      </w:r>
      <w:r w:rsidR="00B31EEB">
        <w:t>related expenditures on public health</w:t>
      </w:r>
      <w:r w:rsidR="0032635D">
        <w:t xml:space="preserve"> </w:t>
      </w:r>
      <w:r w:rsidR="0032635D" w:rsidRPr="00AB3D3D">
        <w:t>including treatment of COVID</w:t>
      </w:r>
      <w:r w:rsidR="00111A07">
        <w:noBreakHyphen/>
      </w:r>
      <w:r w:rsidR="0032635D" w:rsidRPr="00AB3D3D">
        <w:t>19 positive patients, the provision of vaccines, as well as the purchase of personal protective equipment (PPE) and rapid antigen tests (RATs</w:t>
      </w:r>
      <w:r w:rsidR="0032635D">
        <w:t>)</w:t>
      </w:r>
      <w:r w:rsidR="00111A07">
        <w:t xml:space="preserve">. </w:t>
      </w:r>
      <w:r w:rsidR="0032635D">
        <w:t>Growth is expected to slow in 2022</w:t>
      </w:r>
      <w:r w:rsidR="00111A07">
        <w:noBreakHyphen/>
      </w:r>
      <w:r w:rsidR="0032635D">
        <w:t>23</w:t>
      </w:r>
      <w:r w:rsidR="00E45813">
        <w:t xml:space="preserve"> </w:t>
      </w:r>
      <w:r w:rsidR="007E1AB2">
        <w:t>and 2023</w:t>
      </w:r>
      <w:r w:rsidR="00111A07">
        <w:noBreakHyphen/>
      </w:r>
      <w:r w:rsidR="007E1AB2">
        <w:t>24</w:t>
      </w:r>
      <w:r w:rsidR="00E45813">
        <w:t xml:space="preserve"> as COVID</w:t>
      </w:r>
      <w:r w:rsidR="00111A07">
        <w:noBreakHyphen/>
      </w:r>
      <w:r w:rsidR="00E52EB0">
        <w:t>19</w:t>
      </w:r>
      <w:r w:rsidR="00111A07">
        <w:noBreakHyphen/>
      </w:r>
      <w:r w:rsidR="00E45813">
        <w:t>related expenditure</w:t>
      </w:r>
      <w:r w:rsidR="00FD5EB5">
        <w:t>s</w:t>
      </w:r>
      <w:r w:rsidR="00E45813">
        <w:t xml:space="preserve"> </w:t>
      </w:r>
      <w:r w:rsidR="00E45813" w:rsidRPr="00AB3D3D">
        <w:t>fall as immunity increases and the virus becomes endemic in the community.</w:t>
      </w:r>
      <w:r w:rsidR="003949BF">
        <w:t xml:space="preserve"> </w:t>
      </w:r>
    </w:p>
    <w:p w14:paraId="6A738F12" w14:textId="4BAA35D9" w:rsidR="001C4E23" w:rsidRDefault="001C4E23" w:rsidP="00070A43">
      <w:pPr>
        <w:pStyle w:val="Heading3"/>
      </w:pPr>
      <w:bookmarkStart w:id="13" w:name="_Toc99064359"/>
      <w:r>
        <w:t>Net exports</w:t>
      </w:r>
      <w:bookmarkEnd w:id="13"/>
    </w:p>
    <w:p w14:paraId="04832317" w14:textId="49FD6A37" w:rsidR="00B64807" w:rsidRDefault="0041651A" w:rsidP="003C4E3C">
      <w:r w:rsidRPr="003D34B6">
        <w:rPr>
          <w:b/>
          <w:bCs/>
        </w:rPr>
        <w:t>Net exports</w:t>
      </w:r>
      <w:r>
        <w:t xml:space="preserve"> are expected to detract </w:t>
      </w:r>
      <w:r w:rsidR="00C4426F">
        <w:t>½</w:t>
      </w:r>
      <w:r>
        <w:t xml:space="preserve"> of a percentage point from GDP growth in 2021</w:t>
      </w:r>
      <w:r w:rsidR="00111A07">
        <w:noBreakHyphen/>
      </w:r>
      <w:r>
        <w:t xml:space="preserve">22 as growth in goods </w:t>
      </w:r>
      <w:r w:rsidR="004D4225">
        <w:t>and tourism</w:t>
      </w:r>
      <w:r w:rsidR="005771C5">
        <w:t xml:space="preserve"> exports</w:t>
      </w:r>
      <w:r>
        <w:t xml:space="preserve"> is </w:t>
      </w:r>
      <w:r w:rsidR="00AE2545">
        <w:t xml:space="preserve">more than </w:t>
      </w:r>
      <w:r>
        <w:t>offset by strong goods imports</w:t>
      </w:r>
      <w:r w:rsidR="009D366D">
        <w:t>,</w:t>
      </w:r>
      <w:r w:rsidR="00085E0E">
        <w:t xml:space="preserve"> </w:t>
      </w:r>
      <w:r w:rsidR="004D4225">
        <w:t xml:space="preserve">while education exports remain depressed </w:t>
      </w:r>
      <w:r w:rsidR="00085E0E">
        <w:t>(Chart 2.</w:t>
      </w:r>
      <w:r w:rsidR="00AF4232">
        <w:t>1</w:t>
      </w:r>
      <w:r w:rsidR="005D3AF4">
        <w:t>4</w:t>
      </w:r>
      <w:r w:rsidR="00085E0E">
        <w:t>)</w:t>
      </w:r>
      <w:r w:rsidR="00111A07">
        <w:t xml:space="preserve">. </w:t>
      </w:r>
      <w:r w:rsidR="003B24E9">
        <w:t>Th</w:t>
      </w:r>
      <w:r w:rsidR="007F2543">
        <w:t>e</w:t>
      </w:r>
      <w:r w:rsidR="003B24E9">
        <w:t xml:space="preserve"> drag on growth </w:t>
      </w:r>
      <w:r>
        <w:t>is expected to increase to 1</w:t>
      </w:r>
      <w:r w:rsidR="00D467A4">
        <w:t>½</w:t>
      </w:r>
      <w:r>
        <w:t xml:space="preserve"> percentage points in 2022</w:t>
      </w:r>
      <w:r w:rsidR="00111A07">
        <w:noBreakHyphen/>
      </w:r>
      <w:r>
        <w:t>23</w:t>
      </w:r>
      <w:r w:rsidR="00171220">
        <w:t xml:space="preserve"> as </w:t>
      </w:r>
      <w:r>
        <w:t xml:space="preserve">outbound tourism more than </w:t>
      </w:r>
      <w:r w:rsidR="00171220">
        <w:t xml:space="preserve">offsets </w:t>
      </w:r>
      <w:r>
        <w:t>inbound tourism, consistent with pre</w:t>
      </w:r>
      <w:r w:rsidR="00111A07">
        <w:noBreakHyphen/>
      </w:r>
      <w:r>
        <w:t xml:space="preserve">pandemic travel patterns, and </w:t>
      </w:r>
      <w:r w:rsidR="009923F5">
        <w:t xml:space="preserve">as </w:t>
      </w:r>
      <w:r>
        <w:t xml:space="preserve">goods imports </w:t>
      </w:r>
      <w:r w:rsidR="005B47F1">
        <w:t xml:space="preserve">grow </w:t>
      </w:r>
      <w:r>
        <w:t>faster than goods exports</w:t>
      </w:r>
      <w:r w:rsidR="00111A07">
        <w:t xml:space="preserve">. </w:t>
      </w:r>
      <w:r>
        <w:t xml:space="preserve">The </w:t>
      </w:r>
      <w:r w:rsidR="00706964">
        <w:t>drag on</w:t>
      </w:r>
      <w:r>
        <w:t xml:space="preserve"> growth moderates in 2023</w:t>
      </w:r>
      <w:r w:rsidR="00111A07">
        <w:noBreakHyphen/>
      </w:r>
      <w:r>
        <w:t xml:space="preserve">24 to </w:t>
      </w:r>
      <w:r w:rsidR="00E839BD">
        <w:t>¼</w:t>
      </w:r>
      <w:r w:rsidR="008A12EF">
        <w:t> </w:t>
      </w:r>
      <w:r w:rsidR="008A7219">
        <w:t xml:space="preserve">of a </w:t>
      </w:r>
      <w:r>
        <w:t xml:space="preserve">percentage point, as continued strength in goods and services imports is </w:t>
      </w:r>
      <w:r w:rsidR="003E4D22">
        <w:t xml:space="preserve">partially </w:t>
      </w:r>
      <w:r>
        <w:t xml:space="preserve">offset by strengthening services exports, as the recovery in tourism and education gathers </w:t>
      </w:r>
      <w:r w:rsidRPr="00F72D95">
        <w:t>pace</w:t>
      </w:r>
      <w:r>
        <w:t>.</w:t>
      </w: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3852"/>
      </w:tblGrid>
      <w:tr w:rsidR="00DD3208" w14:paraId="4B2A2CEF" w14:textId="77777777" w:rsidTr="002775EA">
        <w:trPr>
          <w:trHeight w:val="375"/>
        </w:trPr>
        <w:tc>
          <w:tcPr>
            <w:tcW w:w="3888" w:type="dxa"/>
            <w:hideMark/>
          </w:tcPr>
          <w:p w14:paraId="7D9AAF9E" w14:textId="5DED18F4" w:rsidR="00E772E6" w:rsidRDefault="00E772E6" w:rsidP="00560C8B">
            <w:pPr>
              <w:pStyle w:val="ChartHeading"/>
              <w:spacing w:before="0" w:after="0" w:line="260" w:lineRule="exact"/>
            </w:pPr>
            <w:r>
              <w:t>Chart 2.</w:t>
            </w:r>
            <w:r w:rsidR="004D3710">
              <w:t>1</w:t>
            </w:r>
            <w:r w:rsidR="005D3AF4">
              <w:t>4</w:t>
            </w:r>
            <w:r>
              <w:t xml:space="preserve">: Net exports contribution to GDP growth </w:t>
            </w:r>
          </w:p>
        </w:tc>
        <w:tc>
          <w:tcPr>
            <w:tcW w:w="3822" w:type="dxa"/>
          </w:tcPr>
          <w:p w14:paraId="32503C68" w14:textId="5FCF761D" w:rsidR="00E772E6" w:rsidRDefault="00E772E6" w:rsidP="00560C8B">
            <w:pPr>
              <w:pStyle w:val="ChartHeading"/>
              <w:spacing w:before="0" w:line="260" w:lineRule="exact"/>
            </w:pPr>
            <w:r>
              <w:t>Chart 2.</w:t>
            </w:r>
            <w:r w:rsidR="004D3710">
              <w:t>1</w:t>
            </w:r>
            <w:r w:rsidR="005D3AF4">
              <w:t>5</w:t>
            </w:r>
            <w:r>
              <w:t xml:space="preserve">: </w:t>
            </w:r>
            <w:r w:rsidR="00D33F86">
              <w:t>International tourism and education</w:t>
            </w:r>
          </w:p>
        </w:tc>
      </w:tr>
      <w:tr w:rsidR="00DD3208" w:rsidRPr="00084209" w14:paraId="07062E92" w14:textId="77777777" w:rsidTr="002775EA">
        <w:trPr>
          <w:trHeight w:val="3285"/>
        </w:trPr>
        <w:tc>
          <w:tcPr>
            <w:tcW w:w="3888" w:type="dxa"/>
            <w:hideMark/>
          </w:tcPr>
          <w:p w14:paraId="56F1D70D" w14:textId="557084AD" w:rsidR="00E772E6" w:rsidRDefault="00CB2259" w:rsidP="00F26C48">
            <w:pPr>
              <w:pStyle w:val="ChartGraphic"/>
            </w:pPr>
            <w:r w:rsidRPr="00CB2259">
              <w:rPr>
                <w:rStyle w:val="CommentReference"/>
                <w:noProof/>
                <w:sz w:val="20"/>
                <w:szCs w:val="20"/>
              </w:rPr>
              <w:drawing>
                <wp:inline distT="0" distB="0" distL="0" distR="0" wp14:anchorId="0128FACB" wp14:editId="3FFE71DB">
                  <wp:extent cx="2306320" cy="2326640"/>
                  <wp:effectExtent l="0" t="0" r="0" b="0"/>
                  <wp:docPr id="13" name="Picture 13" descr="This chart shows the forecast contribution of net exports to GDP growth over the detailed forecast period, splitting out the contribution of total imports and exports. Net exports are expected to detract 1/2 of a percentage point from GDP growth in 2021-22. The detraction from GDP growth from net exports is expected to increase to 1 1/2 percentage points in 2022-23, before moderationg to a 1/4 percentage point detraction in 2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chart shows the forecast contribution of net exports to GDP growth over the detailed forecast period, splitting out the contribution of total imports and exports. Net exports are expected to detract 1/2 of a percentage point from GDP growth in 2021-22. The detraction from GDP growth from net exports is expected to increase to 1 1/2 percentage points in 2022-23, before moderationg to a 1/4 percentage point detraction in 2023-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06320" cy="2326640"/>
                          </a:xfrm>
                          <a:prstGeom prst="rect">
                            <a:avLst/>
                          </a:prstGeom>
                          <a:noFill/>
                          <a:ln>
                            <a:noFill/>
                          </a:ln>
                        </pic:spPr>
                      </pic:pic>
                    </a:graphicData>
                  </a:graphic>
                </wp:inline>
              </w:drawing>
            </w:r>
            <w:r w:rsidR="00913730" w:rsidRPr="00913730">
              <w:rPr>
                <w:rStyle w:val="CommentReference"/>
                <w:sz w:val="20"/>
                <w:szCs w:val="20"/>
              </w:rPr>
              <w:t xml:space="preserve"> </w:t>
            </w:r>
          </w:p>
        </w:tc>
        <w:tc>
          <w:tcPr>
            <w:tcW w:w="3822" w:type="dxa"/>
            <w:hideMark/>
          </w:tcPr>
          <w:p w14:paraId="43E6C451" w14:textId="719B8F60" w:rsidR="00E772E6" w:rsidRPr="00084209" w:rsidRDefault="002347C0" w:rsidP="00F26C48">
            <w:pPr>
              <w:pStyle w:val="ChartGraphic"/>
            </w:pPr>
            <w:r w:rsidRPr="002347C0">
              <w:rPr>
                <w:noProof/>
              </w:rPr>
              <w:drawing>
                <wp:inline distT="0" distB="0" distL="0" distR="0" wp14:anchorId="0027F0BF" wp14:editId="10DDAF3E">
                  <wp:extent cx="2308941" cy="2340000"/>
                  <wp:effectExtent l="0" t="0" r="0" b="0"/>
                  <wp:docPr id="11" name="Picture 11" descr="This chart shows the forecast recovery in international education and tourism. Tourism exports and imports are expected to grow strongly in the near term. In 2024, tourism imports are expected to recover to pre-pandemic levels, while tourism exports are expected to remain below pre-pandemic levels due to a slower recovery rate. Growth in education exports will initially be muted before growing strongly later in the detailed forecast period, although it will remain below pre-pandemic levels in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chart shows the forecast recovery in international education and tourism. Tourism exports and imports are expected to grow strongly in the near term. In 2024, tourism imports are expected to recover to pre-pandemic levels, while tourism exports are expected to remain below pre-pandemic levels due to a slower recovery rate. Growth in education exports will initially be muted before growing strongly later in the detailed forecast period, although it will remain below pre-pandemic levels in 2024.&#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8941" cy="2340000"/>
                          </a:xfrm>
                          <a:prstGeom prst="rect">
                            <a:avLst/>
                          </a:prstGeom>
                          <a:noFill/>
                          <a:ln>
                            <a:noFill/>
                          </a:ln>
                        </pic:spPr>
                      </pic:pic>
                    </a:graphicData>
                  </a:graphic>
                </wp:inline>
              </w:drawing>
            </w:r>
          </w:p>
        </w:tc>
      </w:tr>
      <w:tr w:rsidR="00DD3208" w14:paraId="5CDE1253" w14:textId="77777777" w:rsidTr="002775EA">
        <w:trPr>
          <w:trHeight w:val="449"/>
        </w:trPr>
        <w:tc>
          <w:tcPr>
            <w:tcW w:w="3888" w:type="dxa"/>
          </w:tcPr>
          <w:p w14:paraId="241A0AA1" w14:textId="4AFAC839" w:rsidR="00E772E6" w:rsidRPr="00F26DB4" w:rsidRDefault="00E772E6" w:rsidP="00150235">
            <w:pPr>
              <w:pStyle w:val="Source"/>
              <w:spacing w:after="0"/>
              <w:jc w:val="left"/>
            </w:pPr>
            <w:r>
              <w:t xml:space="preserve">Source: </w:t>
            </w:r>
            <w:r w:rsidR="00CE76D1" w:rsidRPr="00CE76D1">
              <w:tab/>
            </w:r>
            <w:r w:rsidR="00F91151">
              <w:t>ABS Balance of Payments and International Investment Position, Australia and Treasury</w:t>
            </w:r>
            <w:r w:rsidR="0030576E">
              <w:t>.</w:t>
            </w:r>
          </w:p>
        </w:tc>
        <w:tc>
          <w:tcPr>
            <w:tcW w:w="3822" w:type="dxa"/>
            <w:hideMark/>
          </w:tcPr>
          <w:p w14:paraId="18FCFD8E" w14:textId="164BA3C7" w:rsidR="00D33F86" w:rsidRPr="007B2CDD" w:rsidRDefault="00D33F86" w:rsidP="00265E98">
            <w:pPr>
              <w:pStyle w:val="Source"/>
              <w:spacing w:after="0"/>
              <w:jc w:val="left"/>
            </w:pPr>
            <w:r w:rsidRPr="00D33F86">
              <w:t xml:space="preserve">Note: </w:t>
            </w:r>
            <w:r w:rsidR="00CE76D1" w:rsidRPr="00CE76D1">
              <w:tab/>
            </w:r>
            <w:r w:rsidR="007F2543">
              <w:t xml:space="preserve">Tourism imports includes </w:t>
            </w:r>
            <w:r w:rsidR="00D54C7E">
              <w:t>education imports (</w:t>
            </w:r>
            <w:proofErr w:type="gramStart"/>
            <w:r w:rsidR="00D54C7E">
              <w:t>i.e</w:t>
            </w:r>
            <w:r w:rsidR="00111A07">
              <w:t>.</w:t>
            </w:r>
            <w:proofErr w:type="gramEnd"/>
            <w:r w:rsidR="00111A07">
              <w:t xml:space="preserve"> </w:t>
            </w:r>
            <w:r w:rsidR="007F2543">
              <w:t>Australians studying overseas</w:t>
            </w:r>
            <w:r w:rsidR="00D54C7E">
              <w:t>)</w:t>
            </w:r>
            <w:r w:rsidR="0030576E">
              <w:t>.</w:t>
            </w:r>
          </w:p>
          <w:p w14:paraId="7C1C1853" w14:textId="59823D39" w:rsidR="00E772E6" w:rsidRDefault="00D33F86" w:rsidP="00B64807">
            <w:pPr>
              <w:pStyle w:val="Source"/>
              <w:spacing w:after="120"/>
              <w:jc w:val="left"/>
            </w:pPr>
            <w:r>
              <w:t xml:space="preserve">Source: </w:t>
            </w:r>
            <w:r w:rsidR="00CE76D1" w:rsidRPr="00CE76D1">
              <w:tab/>
            </w:r>
            <w:r>
              <w:t>ABS Balance of Payments and International Investment Position, Australia and Treasury</w:t>
            </w:r>
            <w:r w:rsidR="0030576E">
              <w:t>.</w:t>
            </w:r>
          </w:p>
        </w:tc>
      </w:tr>
    </w:tbl>
    <w:p w14:paraId="587FC476" w14:textId="0E711D28" w:rsidR="0041651A" w:rsidRDefault="0041651A" w:rsidP="00F26C48">
      <w:r w:rsidRPr="003D34B6">
        <w:rPr>
          <w:b/>
          <w:bCs/>
        </w:rPr>
        <w:lastRenderedPageBreak/>
        <w:t>Exports</w:t>
      </w:r>
      <w:r>
        <w:t xml:space="preserve"> are forecast to </w:t>
      </w:r>
      <w:r w:rsidR="007F0523">
        <w:t>grow</w:t>
      </w:r>
      <w:r>
        <w:t xml:space="preserve"> by 2 per cent in 2021</w:t>
      </w:r>
      <w:r w:rsidR="00111A07">
        <w:noBreakHyphen/>
      </w:r>
      <w:r>
        <w:t>22, 5 per cent in 2022</w:t>
      </w:r>
      <w:r w:rsidR="00111A07">
        <w:noBreakHyphen/>
      </w:r>
      <w:r>
        <w:t xml:space="preserve">23 and </w:t>
      </w:r>
      <w:r w:rsidR="00262346">
        <w:t>6</w:t>
      </w:r>
      <w:r>
        <w:t xml:space="preserve"> per cent in 2023</w:t>
      </w:r>
      <w:r w:rsidR="00111A07">
        <w:noBreakHyphen/>
      </w:r>
      <w:r>
        <w:t>24</w:t>
      </w:r>
      <w:r w:rsidR="00111A07">
        <w:t xml:space="preserve">. </w:t>
      </w:r>
      <w:r w:rsidR="00DF6B4D">
        <w:t>S</w:t>
      </w:r>
      <w:r>
        <w:t>trong rural production</w:t>
      </w:r>
      <w:r w:rsidR="00370B3E">
        <w:t>,</w:t>
      </w:r>
      <w:r>
        <w:t xml:space="preserve"> owing to good seasonal conditions, is expected to drive growth in exports in 2021</w:t>
      </w:r>
      <w:r w:rsidR="00111A07">
        <w:noBreakHyphen/>
      </w:r>
      <w:r>
        <w:t>22</w:t>
      </w:r>
      <w:r w:rsidR="00111A07">
        <w:t xml:space="preserve">. </w:t>
      </w:r>
      <w:r w:rsidR="008D47CB">
        <w:t>A strong increase in tourism exports, as well as a</w:t>
      </w:r>
      <w:r>
        <w:t xml:space="preserve"> </w:t>
      </w:r>
      <w:r w:rsidR="00DF6B4D">
        <w:t>rebound in mining production</w:t>
      </w:r>
      <w:r w:rsidR="003531D6">
        <w:t xml:space="preserve"> </w:t>
      </w:r>
      <w:r>
        <w:t>is expected to drive growth in 2022</w:t>
      </w:r>
      <w:r w:rsidR="00111A07">
        <w:noBreakHyphen/>
      </w:r>
      <w:r>
        <w:t>23 and 2023</w:t>
      </w:r>
      <w:r w:rsidR="00111A07">
        <w:noBreakHyphen/>
      </w:r>
      <w:r>
        <w:t>24</w:t>
      </w:r>
      <w:r w:rsidR="00111A07">
        <w:t xml:space="preserve">. </w:t>
      </w:r>
    </w:p>
    <w:p w14:paraId="38A0C686" w14:textId="0F1A1C9C" w:rsidR="0041651A" w:rsidRDefault="0041651A" w:rsidP="00F26C48">
      <w:r w:rsidRPr="00EC336B">
        <w:rPr>
          <w:b/>
          <w:bCs/>
        </w:rPr>
        <w:t>Mining exports</w:t>
      </w:r>
      <w:r>
        <w:t xml:space="preserve"> are expected to increase by </w:t>
      </w:r>
      <w:r w:rsidR="00070567">
        <w:t>one</w:t>
      </w:r>
      <w:r>
        <w:t xml:space="preserve"> per cent in 2021</w:t>
      </w:r>
      <w:r w:rsidR="00111A07">
        <w:noBreakHyphen/>
      </w:r>
      <w:r>
        <w:t>22</w:t>
      </w:r>
      <w:r w:rsidR="00E36FD9">
        <w:t>,</w:t>
      </w:r>
      <w:r>
        <w:t xml:space="preserve"> </w:t>
      </w:r>
      <w:r w:rsidR="0090436B">
        <w:t xml:space="preserve">weighed down </w:t>
      </w:r>
      <w:r>
        <w:t xml:space="preserve">by temporary production </w:t>
      </w:r>
      <w:r w:rsidR="004210BF">
        <w:t>disruptions</w:t>
      </w:r>
      <w:r w:rsidR="00E36FD9">
        <w:t xml:space="preserve">, including </w:t>
      </w:r>
      <w:r w:rsidR="00266B65">
        <w:t xml:space="preserve">from </w:t>
      </w:r>
      <w:r w:rsidR="00E36FD9">
        <w:t>wet weather, operational disruptions and maintenance</w:t>
      </w:r>
      <w:r w:rsidR="00111A07">
        <w:t xml:space="preserve">. </w:t>
      </w:r>
      <w:r>
        <w:t xml:space="preserve">Mining exports </w:t>
      </w:r>
      <w:r w:rsidR="00FC7577">
        <w:t xml:space="preserve">growth is </w:t>
      </w:r>
      <w:r>
        <w:t xml:space="preserve">expected to </w:t>
      </w:r>
      <w:r w:rsidR="00FC7577">
        <w:t>pick up</w:t>
      </w:r>
      <w:r>
        <w:t xml:space="preserve"> in 2022</w:t>
      </w:r>
      <w:r w:rsidR="00111A07">
        <w:noBreakHyphen/>
      </w:r>
      <w:r>
        <w:t xml:space="preserve">23 to 5 per cent </w:t>
      </w:r>
      <w:r w:rsidR="00FC7577">
        <w:t xml:space="preserve">as production disruptions ease and </w:t>
      </w:r>
      <w:r>
        <w:t xml:space="preserve">production </w:t>
      </w:r>
      <w:r w:rsidR="000B0DEA">
        <w:t>increases</w:t>
      </w:r>
      <w:r>
        <w:t xml:space="preserve"> </w:t>
      </w:r>
      <w:r w:rsidR="00807A93">
        <w:t>at</w:t>
      </w:r>
      <w:r>
        <w:t xml:space="preserve"> new </w:t>
      </w:r>
      <w:r w:rsidR="00807A93">
        <w:t xml:space="preserve">iron ore </w:t>
      </w:r>
      <w:r>
        <w:t>mines, such as BHP</w:t>
      </w:r>
      <w:r w:rsidR="00111A07">
        <w:t>’</w:t>
      </w:r>
      <w:r>
        <w:t>s South Flank</w:t>
      </w:r>
      <w:r w:rsidR="00E34859">
        <w:t xml:space="preserve">, </w:t>
      </w:r>
      <w:r>
        <w:t>Rio Tinto</w:t>
      </w:r>
      <w:r w:rsidR="00111A07">
        <w:t>’</w:t>
      </w:r>
      <w:r>
        <w:t xml:space="preserve">s </w:t>
      </w:r>
      <w:proofErr w:type="spellStart"/>
      <w:r>
        <w:t>Gudai</w:t>
      </w:r>
      <w:proofErr w:type="spellEnd"/>
      <w:r>
        <w:t xml:space="preserve"> </w:t>
      </w:r>
      <w:proofErr w:type="spellStart"/>
      <w:r>
        <w:t>Darri</w:t>
      </w:r>
      <w:proofErr w:type="spellEnd"/>
      <w:r w:rsidR="00E34859">
        <w:t xml:space="preserve"> and </w:t>
      </w:r>
      <w:r w:rsidR="00324683">
        <w:t>Fortescue Metals Group</w:t>
      </w:r>
      <w:r w:rsidR="00111A07">
        <w:t>’</w:t>
      </w:r>
      <w:r w:rsidR="00445841">
        <w:t xml:space="preserve">s </w:t>
      </w:r>
      <w:proofErr w:type="spellStart"/>
      <w:r w:rsidR="00445841">
        <w:t>Eliwana</w:t>
      </w:r>
      <w:proofErr w:type="spellEnd"/>
      <w:r>
        <w:t xml:space="preserve"> projects</w:t>
      </w:r>
      <w:r w:rsidR="00111A07">
        <w:t xml:space="preserve">. </w:t>
      </w:r>
      <w:r>
        <w:t xml:space="preserve">Mining exports growth is then expected to slow to </w:t>
      </w:r>
      <w:r w:rsidR="0025024D">
        <w:t>2</w:t>
      </w:r>
      <w:r>
        <w:t xml:space="preserve">½ </w:t>
      </w:r>
      <w:r w:rsidR="00807A93">
        <w:t xml:space="preserve">per cent </w:t>
      </w:r>
      <w:r>
        <w:t>in 2023</w:t>
      </w:r>
      <w:r w:rsidR="00111A07">
        <w:noBreakHyphen/>
      </w:r>
      <w:r>
        <w:t>24 consistent with the slow</w:t>
      </w:r>
      <w:r w:rsidR="00111A07">
        <w:noBreakHyphen/>
      </w:r>
      <w:r>
        <w:t>down in productive capacity</w:t>
      </w:r>
      <w:r w:rsidR="00512933">
        <w:t xml:space="preserve"> growth</w:t>
      </w:r>
      <w:r>
        <w:t>.</w:t>
      </w:r>
    </w:p>
    <w:p w14:paraId="546DCCB2" w14:textId="6CD1F1B2" w:rsidR="00265B5A" w:rsidRPr="00265B5A" w:rsidRDefault="0075156E" w:rsidP="00265B5A">
      <w:pPr>
        <w:rPr>
          <w:rFonts w:eastAsia="Book Antiqua" w:cs="Book Antiqua"/>
        </w:rPr>
      </w:pPr>
      <w:r>
        <w:rPr>
          <w:rFonts w:eastAsia="Book Antiqua" w:cs="Book Antiqua"/>
          <w:b/>
          <w:bCs/>
        </w:rPr>
        <w:t xml:space="preserve">Service </w:t>
      </w:r>
      <w:r w:rsidRPr="00B1318D">
        <w:rPr>
          <w:rFonts w:eastAsia="Book Antiqua" w:cs="Book Antiqua"/>
          <w:b/>
          <w:bCs/>
        </w:rPr>
        <w:t>exports</w:t>
      </w:r>
      <w:r>
        <w:rPr>
          <w:rFonts w:eastAsia="Book Antiqua" w:cs="Book Antiqua"/>
        </w:rPr>
        <w:t xml:space="preserve"> are expected to fall</w:t>
      </w:r>
      <w:r w:rsidR="000F1985">
        <w:rPr>
          <w:rFonts w:eastAsia="Book Antiqua" w:cs="Book Antiqua"/>
        </w:rPr>
        <w:t xml:space="preserve"> in </w:t>
      </w:r>
      <w:r w:rsidR="008646C0">
        <w:rPr>
          <w:rFonts w:eastAsia="Book Antiqua" w:cs="Book Antiqua"/>
        </w:rPr>
        <w:t>2021</w:t>
      </w:r>
      <w:r w:rsidR="00111A07">
        <w:rPr>
          <w:rFonts w:eastAsia="Book Antiqua" w:cs="Book Antiqua"/>
        </w:rPr>
        <w:noBreakHyphen/>
      </w:r>
      <w:r w:rsidR="008646C0">
        <w:rPr>
          <w:rFonts w:eastAsia="Book Antiqua" w:cs="Book Antiqua"/>
        </w:rPr>
        <w:t>22</w:t>
      </w:r>
      <w:r w:rsidR="000F1985">
        <w:rPr>
          <w:rFonts w:eastAsia="Book Antiqua" w:cs="Book Antiqua"/>
        </w:rPr>
        <w:t xml:space="preserve"> before growing strongly in </w:t>
      </w:r>
      <w:r w:rsidR="008646C0">
        <w:rPr>
          <w:rFonts w:eastAsia="Book Antiqua" w:cs="Book Antiqua"/>
        </w:rPr>
        <w:t>2022</w:t>
      </w:r>
      <w:r w:rsidR="00111A07">
        <w:rPr>
          <w:rFonts w:eastAsia="Book Antiqua" w:cs="Book Antiqua"/>
        </w:rPr>
        <w:noBreakHyphen/>
      </w:r>
      <w:r w:rsidR="008646C0">
        <w:rPr>
          <w:rFonts w:eastAsia="Book Antiqua" w:cs="Book Antiqua"/>
        </w:rPr>
        <w:t>23 and 2023</w:t>
      </w:r>
      <w:r w:rsidR="00111A07">
        <w:rPr>
          <w:rFonts w:eastAsia="Book Antiqua" w:cs="Book Antiqua"/>
        </w:rPr>
        <w:noBreakHyphen/>
      </w:r>
      <w:r w:rsidR="008646C0">
        <w:rPr>
          <w:rFonts w:eastAsia="Book Antiqua" w:cs="Book Antiqua"/>
        </w:rPr>
        <w:t>24</w:t>
      </w:r>
      <w:r w:rsidR="00111A07">
        <w:rPr>
          <w:rFonts w:eastAsia="Book Antiqua" w:cs="Book Antiqua"/>
        </w:rPr>
        <w:t xml:space="preserve">. </w:t>
      </w:r>
      <w:r w:rsidR="009A2227">
        <w:rPr>
          <w:rFonts w:eastAsia="Book Antiqua" w:cs="Book Antiqua"/>
        </w:rPr>
        <w:t xml:space="preserve">The movements in services exports </w:t>
      </w:r>
      <w:r w:rsidR="0009479E">
        <w:rPr>
          <w:rFonts w:eastAsia="Book Antiqua" w:cs="Book Antiqua"/>
        </w:rPr>
        <w:t>reflect</w:t>
      </w:r>
      <w:r w:rsidR="009A2227">
        <w:rPr>
          <w:rFonts w:eastAsia="Book Antiqua" w:cs="Book Antiqua"/>
        </w:rPr>
        <w:t xml:space="preserve"> </w:t>
      </w:r>
      <w:r w:rsidR="00325023">
        <w:rPr>
          <w:rFonts w:eastAsia="Book Antiqua" w:cs="Book Antiqua"/>
        </w:rPr>
        <w:t xml:space="preserve">changes to </w:t>
      </w:r>
      <w:r w:rsidR="00AF7DDE" w:rsidRPr="13898AC3">
        <w:rPr>
          <w:rFonts w:eastAsia="Book Antiqua" w:cs="Book Antiqua"/>
        </w:rPr>
        <w:t>Australia</w:t>
      </w:r>
      <w:r w:rsidR="00111A07">
        <w:rPr>
          <w:rFonts w:eastAsia="Book Antiqua" w:cs="Book Antiqua"/>
        </w:rPr>
        <w:t>’</w:t>
      </w:r>
      <w:r w:rsidR="00AF7DDE" w:rsidRPr="13898AC3">
        <w:rPr>
          <w:rFonts w:eastAsia="Book Antiqua" w:cs="Book Antiqua"/>
        </w:rPr>
        <w:t>s international borders</w:t>
      </w:r>
      <w:r w:rsidR="00956BCB">
        <w:rPr>
          <w:rFonts w:eastAsia="Book Antiqua" w:cs="Book Antiqua"/>
        </w:rPr>
        <w:t>, wh</w:t>
      </w:r>
      <w:r w:rsidR="006A5378">
        <w:rPr>
          <w:rFonts w:eastAsia="Book Antiqua" w:cs="Book Antiqua"/>
        </w:rPr>
        <w:t>i</w:t>
      </w:r>
      <w:r w:rsidR="00956BCB">
        <w:rPr>
          <w:rFonts w:eastAsia="Book Antiqua" w:cs="Book Antiqua"/>
        </w:rPr>
        <w:t>ch</w:t>
      </w:r>
      <w:r w:rsidR="00AF7DDE" w:rsidRPr="13898AC3">
        <w:rPr>
          <w:rFonts w:eastAsia="Book Antiqua" w:cs="Book Antiqua"/>
        </w:rPr>
        <w:t xml:space="preserve"> began a </w:t>
      </w:r>
      <w:r w:rsidR="00297D07" w:rsidRPr="13898AC3">
        <w:rPr>
          <w:rFonts w:eastAsia="Book Antiqua" w:cs="Book Antiqua"/>
        </w:rPr>
        <w:t>progressive</w:t>
      </w:r>
      <w:r w:rsidR="00AF7DDE" w:rsidRPr="13898AC3">
        <w:rPr>
          <w:rFonts w:eastAsia="Book Antiqua" w:cs="Book Antiqua"/>
        </w:rPr>
        <w:t xml:space="preserve"> reopening in November 2021</w:t>
      </w:r>
      <w:r w:rsidR="00BD2C38" w:rsidRPr="13898AC3">
        <w:rPr>
          <w:rFonts w:eastAsia="Book Antiqua" w:cs="Book Antiqua"/>
        </w:rPr>
        <w:t xml:space="preserve"> and are now open</w:t>
      </w:r>
      <w:r w:rsidR="00F615E9" w:rsidRPr="13898AC3">
        <w:rPr>
          <w:rFonts w:eastAsia="Book Antiqua" w:cs="Book Antiqua"/>
        </w:rPr>
        <w:t xml:space="preserve"> to all vaccinated persons</w:t>
      </w:r>
      <w:r w:rsidR="00111A07">
        <w:rPr>
          <w:rFonts w:eastAsia="Book Antiqua" w:cs="Book Antiqua"/>
        </w:rPr>
        <w:t xml:space="preserve">. </w:t>
      </w:r>
      <w:r w:rsidR="00AF7DDE" w:rsidRPr="13898AC3">
        <w:rPr>
          <w:rFonts w:eastAsia="Book Antiqua" w:cs="Book Antiqua"/>
        </w:rPr>
        <w:t xml:space="preserve">The reopening of international borders has supported a strong pick up </w:t>
      </w:r>
      <w:r w:rsidR="00F10149" w:rsidRPr="13898AC3">
        <w:rPr>
          <w:rFonts w:eastAsia="Book Antiqua" w:cs="Book Antiqua"/>
        </w:rPr>
        <w:t xml:space="preserve">in </w:t>
      </w:r>
      <w:r w:rsidR="00AF7DDE" w:rsidRPr="13898AC3">
        <w:rPr>
          <w:rFonts w:eastAsia="Book Antiqua" w:cs="Book Antiqua"/>
        </w:rPr>
        <w:t>international t</w:t>
      </w:r>
      <w:r w:rsidR="00F90855" w:rsidRPr="13898AC3">
        <w:rPr>
          <w:rFonts w:eastAsia="Book Antiqua" w:cs="Book Antiqua"/>
        </w:rPr>
        <w:t>ravel</w:t>
      </w:r>
      <w:r w:rsidR="00BD5D1A">
        <w:rPr>
          <w:rFonts w:eastAsia="Book Antiqua" w:cs="Book Antiqua"/>
        </w:rPr>
        <w:t>, with</w:t>
      </w:r>
      <w:r w:rsidR="00265B5A" w:rsidRPr="00265B5A">
        <w:rPr>
          <w:rFonts w:eastAsia="Book Antiqua" w:cs="Book Antiqua"/>
        </w:rPr>
        <w:t xml:space="preserve"> more than 130,000 student arrivals and 190,000</w:t>
      </w:r>
      <w:r w:rsidR="004B075E">
        <w:rPr>
          <w:rFonts w:eastAsia="Book Antiqua" w:cs="Book Antiqua"/>
        </w:rPr>
        <w:t> </w:t>
      </w:r>
      <w:r w:rsidR="00E6066A">
        <w:rPr>
          <w:rFonts w:eastAsia="Book Antiqua" w:cs="Book Antiqua"/>
        </w:rPr>
        <w:t>tourist</w:t>
      </w:r>
      <w:r w:rsidR="00265B5A" w:rsidRPr="00265B5A">
        <w:rPr>
          <w:rFonts w:eastAsia="Book Antiqua" w:cs="Book Antiqua"/>
        </w:rPr>
        <w:t xml:space="preserve"> arrivals since November 2021.</w:t>
      </w:r>
    </w:p>
    <w:p w14:paraId="5CB76655" w14:textId="7C2436CA" w:rsidR="002D24E2" w:rsidRDefault="00BD5D1A" w:rsidP="00611F64">
      <w:r>
        <w:rPr>
          <w:rFonts w:eastAsia="Book Antiqua" w:cs="Book Antiqua"/>
        </w:rPr>
        <w:t>The</w:t>
      </w:r>
      <w:r w:rsidR="00445625" w:rsidRPr="7A221F00">
        <w:rPr>
          <w:rFonts w:eastAsia="Book Antiqua" w:cs="Book Antiqua"/>
        </w:rPr>
        <w:t xml:space="preserve"> pace of the recovery for both international education and tourism is uncertain</w:t>
      </w:r>
      <w:r w:rsidR="00B439C2" w:rsidRPr="7A221F00">
        <w:rPr>
          <w:rFonts w:eastAsia="Book Antiqua" w:cs="Book Antiqua"/>
        </w:rPr>
        <w:t>,</w:t>
      </w:r>
      <w:r w:rsidR="00445625" w:rsidRPr="7A221F00">
        <w:rPr>
          <w:rFonts w:eastAsia="Book Antiqua" w:cs="Book Antiqua"/>
        </w:rPr>
        <w:t xml:space="preserve"> and it is expected to take </w:t>
      </w:r>
      <w:r>
        <w:rPr>
          <w:rFonts w:eastAsia="Book Antiqua" w:cs="Book Antiqua"/>
        </w:rPr>
        <w:t>multiple</w:t>
      </w:r>
      <w:r w:rsidR="13898AC3" w:rsidRPr="7A221F00">
        <w:rPr>
          <w:rFonts w:eastAsia="Book Antiqua" w:cs="Book Antiqua"/>
        </w:rPr>
        <w:t xml:space="preserve"> </w:t>
      </w:r>
      <w:r w:rsidR="00EA5697">
        <w:rPr>
          <w:rFonts w:eastAsia="Book Antiqua" w:cs="Book Antiqua"/>
        </w:rPr>
        <w:t>years</w:t>
      </w:r>
      <w:r w:rsidR="13898AC3" w:rsidRPr="7A221F00">
        <w:rPr>
          <w:rFonts w:eastAsia="Book Antiqua" w:cs="Book Antiqua"/>
        </w:rPr>
        <w:t xml:space="preserve"> for both sectors to return to pre</w:t>
      </w:r>
      <w:r w:rsidR="00111A07">
        <w:rPr>
          <w:rFonts w:eastAsia="Book Antiqua" w:cs="Book Antiqua"/>
        </w:rPr>
        <w:noBreakHyphen/>
      </w:r>
      <w:r w:rsidR="13898AC3" w:rsidRPr="7A221F00">
        <w:rPr>
          <w:rFonts w:eastAsia="Book Antiqua" w:cs="Book Antiqua"/>
        </w:rPr>
        <w:t>pandemic levels (Chart</w:t>
      </w:r>
      <w:r w:rsidR="00AE7FDF">
        <w:rPr>
          <w:rFonts w:eastAsia="Book Antiqua" w:cs="Book Antiqua"/>
        </w:rPr>
        <w:t> </w:t>
      </w:r>
      <w:r w:rsidR="00085E0E">
        <w:rPr>
          <w:rFonts w:eastAsia="Book Antiqua" w:cs="Book Antiqua"/>
        </w:rPr>
        <w:t>2.</w:t>
      </w:r>
      <w:r w:rsidR="00AF4232">
        <w:rPr>
          <w:rFonts w:eastAsia="Book Antiqua" w:cs="Book Antiqua"/>
        </w:rPr>
        <w:t>1</w:t>
      </w:r>
      <w:r w:rsidR="0030576E">
        <w:rPr>
          <w:rFonts w:eastAsia="Book Antiqua" w:cs="Book Antiqua"/>
        </w:rPr>
        <w:t>5</w:t>
      </w:r>
      <w:r w:rsidR="13898AC3" w:rsidRPr="7A221F00">
        <w:rPr>
          <w:rFonts w:eastAsia="Book Antiqua" w:cs="Book Antiqua"/>
        </w:rPr>
        <w:t>)</w:t>
      </w:r>
      <w:r w:rsidR="00111A07">
        <w:rPr>
          <w:rFonts w:eastAsia="Book Antiqua" w:cs="Book Antiqua"/>
        </w:rPr>
        <w:t xml:space="preserve">. </w:t>
      </w:r>
      <w:r w:rsidR="00BD4275">
        <w:t>Consumer hesitancy</w:t>
      </w:r>
      <w:r w:rsidR="00E41F03">
        <w:t>,</w:t>
      </w:r>
      <w:r w:rsidR="00BD4275">
        <w:t xml:space="preserve"> from COVID</w:t>
      </w:r>
      <w:r w:rsidR="00111A07">
        <w:noBreakHyphen/>
      </w:r>
      <w:r w:rsidR="00BD4275">
        <w:t>related health risks</w:t>
      </w:r>
      <w:r w:rsidR="00E41F03">
        <w:t>,</w:t>
      </w:r>
      <w:r w:rsidR="00BD4275">
        <w:t xml:space="preserve"> </w:t>
      </w:r>
      <w:r w:rsidR="002D24E2">
        <w:t xml:space="preserve">and a </w:t>
      </w:r>
      <w:r w:rsidR="000E2CB8">
        <w:t>slow</w:t>
      </w:r>
      <w:r w:rsidR="002D24E2">
        <w:t xml:space="preserve"> reopening of China</w:t>
      </w:r>
      <w:r w:rsidR="00111A07">
        <w:t>’</w:t>
      </w:r>
      <w:r w:rsidR="002D24E2">
        <w:t>s international borders</w:t>
      </w:r>
      <w:r w:rsidR="0057737C">
        <w:t xml:space="preserve"> </w:t>
      </w:r>
      <w:r w:rsidR="00E41F03">
        <w:t>will</w:t>
      </w:r>
      <w:r w:rsidR="002D24E2">
        <w:t xml:space="preserve"> constrain international travel</w:t>
      </w:r>
      <w:r w:rsidR="002D3056">
        <w:t xml:space="preserve"> in</w:t>
      </w:r>
      <w:r w:rsidR="005C146A">
        <w:t xml:space="preserve"> the </w:t>
      </w:r>
      <w:r w:rsidR="002D3056">
        <w:t>near term</w:t>
      </w:r>
      <w:r w:rsidR="002D24E2">
        <w:t>.</w:t>
      </w:r>
    </w:p>
    <w:p w14:paraId="3B6AC433" w14:textId="4BD306A8" w:rsidR="13898AC3" w:rsidRDefault="13898AC3" w:rsidP="00611F64">
      <w:pPr>
        <w:rPr>
          <w:rFonts w:eastAsiaTheme="minorEastAsia"/>
        </w:rPr>
      </w:pPr>
      <w:r w:rsidRPr="0B49292F">
        <w:rPr>
          <w:rFonts w:eastAsia="Book Antiqua" w:cs="Book Antiqua"/>
        </w:rPr>
        <w:t xml:space="preserve">Outbound tourism (imports) is expected to recover </w:t>
      </w:r>
      <w:r w:rsidR="00FA1FE2">
        <w:rPr>
          <w:rFonts w:eastAsia="Book Antiqua" w:cs="Book Antiqua"/>
        </w:rPr>
        <w:t>to pre</w:t>
      </w:r>
      <w:r w:rsidR="00111A07">
        <w:rPr>
          <w:rFonts w:eastAsia="Book Antiqua" w:cs="Book Antiqua"/>
        </w:rPr>
        <w:noBreakHyphen/>
      </w:r>
      <w:r w:rsidR="00FA1FE2">
        <w:rPr>
          <w:rFonts w:eastAsia="Book Antiqua" w:cs="Book Antiqua"/>
        </w:rPr>
        <w:t xml:space="preserve">pandemic levels </w:t>
      </w:r>
      <w:r w:rsidRPr="0B49292F">
        <w:rPr>
          <w:rFonts w:eastAsia="Book Antiqua" w:cs="Book Antiqua"/>
        </w:rPr>
        <w:t>faster</w:t>
      </w:r>
      <w:r w:rsidR="00FA1FE2">
        <w:rPr>
          <w:rFonts w:eastAsia="Book Antiqua" w:cs="Book Antiqua"/>
        </w:rPr>
        <w:t xml:space="preserve"> </w:t>
      </w:r>
      <w:r w:rsidRPr="0B49292F">
        <w:rPr>
          <w:rFonts w:eastAsia="Book Antiqua" w:cs="Book Antiqua"/>
        </w:rPr>
        <w:t>than inbound tourism (</w:t>
      </w:r>
      <w:r w:rsidR="0075418E">
        <w:rPr>
          <w:rFonts w:eastAsia="Book Antiqua" w:cs="Book Antiqua"/>
        </w:rPr>
        <w:t>ex</w:t>
      </w:r>
      <w:r w:rsidRPr="0B49292F">
        <w:rPr>
          <w:rFonts w:eastAsia="Book Antiqua" w:cs="Book Antiqua"/>
        </w:rPr>
        <w:t>port</w:t>
      </w:r>
      <w:r w:rsidRPr="13898AC3">
        <w:rPr>
          <w:rFonts w:eastAsia="Book Antiqua" w:cs="Book Antiqua"/>
        </w:rPr>
        <w:t xml:space="preserve">s) </w:t>
      </w:r>
      <w:r w:rsidR="00C044A3">
        <w:rPr>
          <w:rFonts w:eastAsia="Book Antiqua" w:cs="Book Antiqua"/>
        </w:rPr>
        <w:t>due to China</w:t>
      </w:r>
      <w:r w:rsidR="00111A07">
        <w:rPr>
          <w:rFonts w:eastAsia="Book Antiqua" w:cs="Book Antiqua"/>
        </w:rPr>
        <w:t>’</w:t>
      </w:r>
      <w:r w:rsidR="00C044A3">
        <w:rPr>
          <w:rFonts w:eastAsia="Book Antiqua" w:cs="Book Antiqua"/>
        </w:rPr>
        <w:t>s delayed reopening</w:t>
      </w:r>
      <w:r w:rsidR="00FE25E7">
        <w:rPr>
          <w:rFonts w:eastAsia="Book Antiqua" w:cs="Book Antiqua"/>
        </w:rPr>
        <w:t xml:space="preserve"> and the</w:t>
      </w:r>
      <w:r w:rsidRPr="13898AC3">
        <w:rPr>
          <w:rFonts w:eastAsia="Book Antiqua" w:cs="Book Antiqua"/>
        </w:rPr>
        <w:t xml:space="preserve"> likely strong demand from Australians to travel overseas following the</w:t>
      </w:r>
      <w:r w:rsidR="00500562">
        <w:rPr>
          <w:rFonts w:eastAsia="Book Antiqua" w:cs="Book Antiqua"/>
        </w:rPr>
        <w:t xml:space="preserve"> extended</w:t>
      </w:r>
      <w:r w:rsidRPr="13898AC3">
        <w:rPr>
          <w:rFonts w:eastAsia="Book Antiqua" w:cs="Book Antiqua"/>
        </w:rPr>
        <w:t xml:space="preserve"> closure of Australia</w:t>
      </w:r>
      <w:r w:rsidR="00111A07">
        <w:rPr>
          <w:rFonts w:eastAsia="Book Antiqua" w:cs="Book Antiqua"/>
        </w:rPr>
        <w:t>’</w:t>
      </w:r>
      <w:r w:rsidRPr="13898AC3">
        <w:rPr>
          <w:rFonts w:eastAsia="Book Antiqua" w:cs="Book Antiqua"/>
        </w:rPr>
        <w:t>s borders</w:t>
      </w:r>
      <w:r w:rsidR="00111A07">
        <w:rPr>
          <w:rFonts w:eastAsia="Book Antiqua" w:cs="Book Antiqua"/>
        </w:rPr>
        <w:t xml:space="preserve">. </w:t>
      </w:r>
      <w:r w:rsidRPr="13898AC3">
        <w:rPr>
          <w:rFonts w:eastAsia="Book Antiqua" w:cs="Book Antiqua"/>
        </w:rPr>
        <w:t xml:space="preserve">This </w:t>
      </w:r>
      <w:r w:rsidRPr="13898AC3" w:rsidDel="00F21533">
        <w:rPr>
          <w:rFonts w:eastAsia="Book Antiqua" w:cs="Book Antiqua"/>
        </w:rPr>
        <w:t>faster recovery in outbound tourism, along with outbound tourism exceeding inbound tourism pre</w:t>
      </w:r>
      <w:r w:rsidR="00111A07">
        <w:rPr>
          <w:rFonts w:eastAsia="Book Antiqua" w:cs="Book Antiqua"/>
        </w:rPr>
        <w:noBreakHyphen/>
      </w:r>
      <w:r w:rsidRPr="13898AC3" w:rsidDel="00F21533">
        <w:rPr>
          <w:rFonts w:eastAsia="Book Antiqua" w:cs="Book Antiqua"/>
        </w:rPr>
        <w:t xml:space="preserve">pandemic, </w:t>
      </w:r>
      <w:r w:rsidRPr="13898AC3">
        <w:rPr>
          <w:rFonts w:eastAsia="Book Antiqua" w:cs="Book Antiqua"/>
        </w:rPr>
        <w:t xml:space="preserve">means international tourism will drag on </w:t>
      </w:r>
      <w:r w:rsidR="00D20755">
        <w:rPr>
          <w:rFonts w:eastAsia="Book Antiqua" w:cs="Book Antiqua"/>
        </w:rPr>
        <w:t xml:space="preserve">the </w:t>
      </w:r>
      <w:r w:rsidR="00E50AB3">
        <w:rPr>
          <w:rFonts w:eastAsia="Book Antiqua" w:cs="Book Antiqua"/>
        </w:rPr>
        <w:t>growth of</w:t>
      </w:r>
      <w:r w:rsidRPr="13898AC3">
        <w:rPr>
          <w:rFonts w:eastAsia="Book Antiqua" w:cs="Book Antiqua"/>
        </w:rPr>
        <w:t xml:space="preserve"> net exports in the near term</w:t>
      </w:r>
      <w:r w:rsidR="00111A07">
        <w:rPr>
          <w:rFonts w:eastAsia="Book Antiqua" w:cs="Book Antiqua"/>
        </w:rPr>
        <w:t xml:space="preserve">. </w:t>
      </w:r>
    </w:p>
    <w:p w14:paraId="3907A7BF" w14:textId="04ACDA77" w:rsidR="00445625" w:rsidRDefault="00445625" w:rsidP="00F26C48">
      <w:pPr>
        <w:rPr>
          <w:rFonts w:eastAsiaTheme="minorEastAsia"/>
        </w:rPr>
      </w:pPr>
      <w:r w:rsidRPr="002E686C">
        <w:rPr>
          <w:rFonts w:eastAsia="Book Antiqua" w:cs="Book Antiqua"/>
        </w:rPr>
        <w:t>Even though student arrivals have picked up significantly</w:t>
      </w:r>
      <w:r w:rsidRPr="13898AC3">
        <w:rPr>
          <w:rFonts w:eastAsia="Book Antiqua" w:cs="Book Antiqua"/>
        </w:rPr>
        <w:t xml:space="preserve">, education exports are </w:t>
      </w:r>
      <w:r w:rsidR="000E2CB8">
        <w:rPr>
          <w:rFonts w:eastAsia="Book Antiqua" w:cs="Book Antiqua"/>
        </w:rPr>
        <w:t xml:space="preserve">still </w:t>
      </w:r>
      <w:r w:rsidRPr="13898AC3">
        <w:rPr>
          <w:rFonts w:eastAsia="Book Antiqua" w:cs="Book Antiqua"/>
        </w:rPr>
        <w:t>expected to fall in 2021</w:t>
      </w:r>
      <w:r w:rsidR="00111A07">
        <w:rPr>
          <w:rFonts w:eastAsia="Book Antiqua" w:cs="Book Antiqua"/>
        </w:rPr>
        <w:noBreakHyphen/>
      </w:r>
      <w:r w:rsidRPr="13898AC3">
        <w:rPr>
          <w:rFonts w:eastAsia="Book Antiqua" w:cs="Book Antiqua"/>
        </w:rPr>
        <w:t>22 as the number of students completing their studies exceeds new student commencements</w:t>
      </w:r>
      <w:r w:rsidR="00111A07">
        <w:rPr>
          <w:rFonts w:eastAsia="Book Antiqua" w:cs="Book Antiqua"/>
        </w:rPr>
        <w:t xml:space="preserve">. </w:t>
      </w:r>
      <w:r w:rsidRPr="13898AC3">
        <w:rPr>
          <w:rFonts w:eastAsia="Book Antiqua" w:cs="Book Antiqua"/>
        </w:rPr>
        <w:t>This will drive a 5</w:t>
      </w:r>
      <w:r w:rsidR="091A78A7" w:rsidRPr="00374726">
        <w:rPr>
          <w:rFonts w:eastAsia="Book Antiqua" w:cs="Book Antiqua"/>
        </w:rPr>
        <w:t>½</w:t>
      </w:r>
      <w:r w:rsidRPr="13898AC3">
        <w:rPr>
          <w:rFonts w:eastAsia="Book Antiqua" w:cs="Book Antiqua"/>
        </w:rPr>
        <w:t xml:space="preserve"> per cent fall in services exports in 2021</w:t>
      </w:r>
      <w:r w:rsidR="00111A07">
        <w:rPr>
          <w:rFonts w:eastAsia="Book Antiqua" w:cs="Book Antiqua"/>
        </w:rPr>
        <w:noBreakHyphen/>
      </w:r>
      <w:r w:rsidRPr="13898AC3">
        <w:rPr>
          <w:rFonts w:eastAsia="Book Antiqua" w:cs="Book Antiqua"/>
        </w:rPr>
        <w:t>22</w:t>
      </w:r>
      <w:r w:rsidR="00111A07">
        <w:rPr>
          <w:rFonts w:eastAsia="Book Antiqua" w:cs="Book Antiqua"/>
        </w:rPr>
        <w:t xml:space="preserve">. </w:t>
      </w:r>
      <w:r w:rsidRPr="13898AC3">
        <w:rPr>
          <w:rFonts w:eastAsia="Book Antiqua" w:cs="Book Antiqua"/>
        </w:rPr>
        <w:t>By 2022</w:t>
      </w:r>
      <w:r w:rsidR="00111A07">
        <w:rPr>
          <w:rFonts w:eastAsia="Book Antiqua" w:cs="Book Antiqua"/>
        </w:rPr>
        <w:noBreakHyphen/>
      </w:r>
      <w:r w:rsidRPr="13898AC3">
        <w:rPr>
          <w:rFonts w:eastAsia="Book Antiqua" w:cs="Book Antiqua"/>
        </w:rPr>
        <w:t>23 a continued recovery in the number of foreign tourist and international student arrivals is expected to see a strong turnaround with services exports expected to increase by 12 per cent</w:t>
      </w:r>
      <w:r w:rsidR="00111A07">
        <w:rPr>
          <w:rFonts w:eastAsia="Book Antiqua" w:cs="Book Antiqua"/>
        </w:rPr>
        <w:t xml:space="preserve">. </w:t>
      </w:r>
      <w:r w:rsidRPr="13898AC3">
        <w:rPr>
          <w:rFonts w:eastAsia="Book Antiqua" w:cs="Book Antiqua"/>
        </w:rPr>
        <w:t>This recovery is expected to strengthen in 2023</w:t>
      </w:r>
      <w:r w:rsidR="00111A07">
        <w:rPr>
          <w:rFonts w:eastAsia="Book Antiqua" w:cs="Book Antiqua"/>
        </w:rPr>
        <w:noBreakHyphen/>
      </w:r>
      <w:r w:rsidRPr="13898AC3">
        <w:rPr>
          <w:rFonts w:eastAsia="Book Antiqua" w:cs="Book Antiqua"/>
        </w:rPr>
        <w:t xml:space="preserve">24, with services exports expected to grow by </w:t>
      </w:r>
      <w:r w:rsidRPr="07BAB590">
        <w:rPr>
          <w:rFonts w:eastAsia="Book Antiqua" w:cs="Book Antiqua"/>
        </w:rPr>
        <w:t>29</w:t>
      </w:r>
      <w:r w:rsidRPr="13898AC3">
        <w:rPr>
          <w:rFonts w:eastAsia="Book Antiqua" w:cs="Book Antiqua"/>
        </w:rPr>
        <w:t xml:space="preserve"> per cent.</w:t>
      </w:r>
    </w:p>
    <w:p w14:paraId="396D87AA" w14:textId="4A1369DB" w:rsidR="0041651A" w:rsidRDefault="0041651A" w:rsidP="00F26C48">
      <w:r w:rsidRPr="00EC336B">
        <w:rPr>
          <w:b/>
          <w:bCs/>
        </w:rPr>
        <w:t>Rural exports</w:t>
      </w:r>
      <w:r>
        <w:rPr>
          <w:b/>
          <w:bCs/>
        </w:rPr>
        <w:t xml:space="preserve"> </w:t>
      </w:r>
      <w:r>
        <w:t>are forecast to increase by 23</w:t>
      </w:r>
      <w:r w:rsidR="00E9424B">
        <w:t>½</w:t>
      </w:r>
      <w:r>
        <w:t xml:space="preserve"> per cent in 2021</w:t>
      </w:r>
      <w:r w:rsidR="00111A07">
        <w:noBreakHyphen/>
      </w:r>
      <w:r>
        <w:t>22</w:t>
      </w:r>
      <w:r w:rsidR="0091456A">
        <w:t xml:space="preserve"> largely due to </w:t>
      </w:r>
      <w:r w:rsidR="002565CD">
        <w:t>2</w:t>
      </w:r>
      <w:r w:rsidR="00EE0011">
        <w:t> </w:t>
      </w:r>
      <w:r w:rsidR="0091456A">
        <w:t>consecutive years of very large grain harvests</w:t>
      </w:r>
      <w:r w:rsidR="00111A07">
        <w:t xml:space="preserve">. </w:t>
      </w:r>
      <w:r w:rsidR="00DB6349">
        <w:t xml:space="preserve">The </w:t>
      </w:r>
      <w:r w:rsidR="00760571">
        <w:t>r</w:t>
      </w:r>
      <w:r w:rsidR="00C4541F">
        <w:t>ecent</w:t>
      </w:r>
      <w:r w:rsidR="00DB6349">
        <w:t xml:space="preserve"> </w:t>
      </w:r>
      <w:r w:rsidR="00C4541F">
        <w:t xml:space="preserve">floods in </w:t>
      </w:r>
      <w:r w:rsidR="0018577D" w:rsidRPr="0018577D">
        <w:t xml:space="preserve">Queensland </w:t>
      </w:r>
      <w:r w:rsidR="00C4541F">
        <w:t xml:space="preserve">and </w:t>
      </w:r>
      <w:r w:rsidR="0018577D" w:rsidRPr="0018577D">
        <w:t>New</w:t>
      </w:r>
      <w:r w:rsidR="00F26C48">
        <w:t> </w:t>
      </w:r>
      <w:r w:rsidR="0018577D" w:rsidRPr="0018577D">
        <w:t>South Wales</w:t>
      </w:r>
      <w:r w:rsidR="00C4541F">
        <w:t xml:space="preserve"> </w:t>
      </w:r>
      <w:r w:rsidR="0073148E">
        <w:t xml:space="preserve">have destroyed crops and </w:t>
      </w:r>
      <w:r w:rsidR="000617D7">
        <w:t xml:space="preserve">impacted </w:t>
      </w:r>
      <w:r w:rsidR="00DB6349">
        <w:t>herds</w:t>
      </w:r>
      <w:r w:rsidR="000617D7">
        <w:t xml:space="preserve">, posing some </w:t>
      </w:r>
      <w:r w:rsidR="00DB0537">
        <w:t>downside</w:t>
      </w:r>
      <w:r w:rsidR="008B1774">
        <w:t xml:space="preserve"> </w:t>
      </w:r>
      <w:r w:rsidR="008B1774">
        <w:lastRenderedPageBreak/>
        <w:t>risk to e</w:t>
      </w:r>
      <w:r w:rsidR="00DB0537">
        <w:t>x</w:t>
      </w:r>
      <w:r w:rsidR="008B1774">
        <w:t>ports in the short term</w:t>
      </w:r>
      <w:r w:rsidR="00111A07">
        <w:t xml:space="preserve">. </w:t>
      </w:r>
      <w:r w:rsidR="00BF2761">
        <w:t>In 2022</w:t>
      </w:r>
      <w:r w:rsidR="00111A07">
        <w:noBreakHyphen/>
      </w:r>
      <w:r w:rsidR="00BF2761">
        <w:t>23 e</w:t>
      </w:r>
      <w:r w:rsidR="00FF32E4">
        <w:t>xports</w:t>
      </w:r>
      <w:r>
        <w:t xml:space="preserve"> are forecast to</w:t>
      </w:r>
      <w:r w:rsidR="00321755">
        <w:t xml:space="preserve"> </w:t>
      </w:r>
      <w:r w:rsidR="00D76E2C">
        <w:t xml:space="preserve">fall slightly by </w:t>
      </w:r>
      <w:r w:rsidR="00E41F03">
        <w:t>one</w:t>
      </w:r>
      <w:r w:rsidR="00C34ADC">
        <w:t> </w:t>
      </w:r>
      <w:r w:rsidR="00D76E2C">
        <w:t>per</w:t>
      </w:r>
      <w:r w:rsidR="00AB6B37">
        <w:t> </w:t>
      </w:r>
      <w:r w:rsidR="00D76E2C">
        <w:t>cent and again by 1½ per cent in 2023</w:t>
      </w:r>
      <w:r w:rsidR="00111A07">
        <w:noBreakHyphen/>
      </w:r>
      <w:r w:rsidR="00D76E2C">
        <w:t>24</w:t>
      </w:r>
      <w:r w:rsidR="00111A07">
        <w:t xml:space="preserve">. </w:t>
      </w:r>
      <w:r w:rsidR="00E50AB3">
        <w:t>Nevertheless, this would see exports</w:t>
      </w:r>
      <w:r w:rsidR="00321755">
        <w:t xml:space="preserve"> </w:t>
      </w:r>
      <w:r w:rsidR="00FF32E4">
        <w:t>remain</w:t>
      </w:r>
      <w:r w:rsidR="00BF2761">
        <w:t xml:space="preserve"> </w:t>
      </w:r>
      <w:r w:rsidR="000D331D">
        <w:t xml:space="preserve">at elevated levels and </w:t>
      </w:r>
      <w:r w:rsidR="00D76E2C">
        <w:t xml:space="preserve">above </w:t>
      </w:r>
      <w:r w:rsidR="00B218E7">
        <w:t>the</w:t>
      </w:r>
      <w:r w:rsidR="00E50AB3">
        <w:t xml:space="preserve"> </w:t>
      </w:r>
      <w:r w:rsidR="003736B4">
        <w:t>long</w:t>
      </w:r>
      <w:r w:rsidR="00111A07">
        <w:noBreakHyphen/>
      </w:r>
      <w:r w:rsidR="003736B4">
        <w:t>run</w:t>
      </w:r>
      <w:r w:rsidR="00D76E2C">
        <w:t xml:space="preserve"> </w:t>
      </w:r>
      <w:r w:rsidR="00E50AB3">
        <w:t>average</w:t>
      </w:r>
      <w:r w:rsidR="003736B4">
        <w:t xml:space="preserve"> </w:t>
      </w:r>
      <w:r w:rsidR="00C8088E">
        <w:t>over 202</w:t>
      </w:r>
      <w:r w:rsidR="00C26DE8">
        <w:t>2</w:t>
      </w:r>
      <w:r w:rsidR="00111A07">
        <w:noBreakHyphen/>
      </w:r>
      <w:r w:rsidR="00C8088E">
        <w:t>2</w:t>
      </w:r>
      <w:r w:rsidR="00C26DE8">
        <w:t>3</w:t>
      </w:r>
      <w:r w:rsidR="00C8088E">
        <w:t xml:space="preserve"> and 202</w:t>
      </w:r>
      <w:r w:rsidR="00C26DE8">
        <w:t>3</w:t>
      </w:r>
      <w:r w:rsidR="00111A07">
        <w:noBreakHyphen/>
      </w:r>
      <w:r w:rsidR="00C8088E">
        <w:t>2</w:t>
      </w:r>
      <w:r w:rsidR="00C26DE8">
        <w:t>4</w:t>
      </w:r>
      <w:r>
        <w:t xml:space="preserve"> </w:t>
      </w:r>
      <w:r w:rsidR="008B5BC5">
        <w:t xml:space="preserve">due to </w:t>
      </w:r>
      <w:r w:rsidR="00FD3C54">
        <w:t>replenished</w:t>
      </w:r>
      <w:r w:rsidR="008B5BC5">
        <w:t xml:space="preserve"> grain stocks</w:t>
      </w:r>
      <w:r w:rsidR="00BF7B1F">
        <w:t xml:space="preserve"> and </w:t>
      </w:r>
      <w:r w:rsidR="00537F35">
        <w:t>greater sheep and cattle availability</w:t>
      </w:r>
      <w:r w:rsidR="00D81C4B">
        <w:t xml:space="preserve"> </w:t>
      </w:r>
      <w:r w:rsidR="00095A4B">
        <w:t xml:space="preserve">from </w:t>
      </w:r>
      <w:r w:rsidR="002565CD">
        <w:t>2</w:t>
      </w:r>
      <w:r w:rsidR="00095A4B">
        <w:t xml:space="preserve"> years of herd rebuilding</w:t>
      </w:r>
      <w:r w:rsidR="00B56737">
        <w:t>.</w:t>
      </w:r>
    </w:p>
    <w:p w14:paraId="6701AA1F" w14:textId="494EF5A7" w:rsidR="004B3FE8" w:rsidRDefault="0041651A" w:rsidP="004B3FE8">
      <w:r w:rsidRPr="003D34B6">
        <w:rPr>
          <w:b/>
          <w:bCs/>
        </w:rPr>
        <w:t>Imports</w:t>
      </w:r>
      <w:r>
        <w:t xml:space="preserve"> are forecast to</w:t>
      </w:r>
      <w:r w:rsidR="00DF3F23">
        <w:t xml:space="preserve"> grow strongly in coming years, by 4½ per cent in 2021</w:t>
      </w:r>
      <w:r w:rsidR="00111A07">
        <w:noBreakHyphen/>
      </w:r>
      <w:r w:rsidR="00DF3F23">
        <w:t>22, 12½</w:t>
      </w:r>
      <w:r w:rsidR="0031776B">
        <w:t> </w:t>
      </w:r>
      <w:r w:rsidR="00DF3F23">
        <w:t>per cent in 2022</w:t>
      </w:r>
      <w:r w:rsidR="00111A07">
        <w:noBreakHyphen/>
      </w:r>
      <w:r w:rsidR="00DF3F23">
        <w:t>23 and 7 per cent in 2023</w:t>
      </w:r>
      <w:r w:rsidR="00111A07">
        <w:noBreakHyphen/>
      </w:r>
      <w:r w:rsidR="00DF3F23">
        <w:t>24</w:t>
      </w:r>
      <w:r w:rsidR="00111A07">
        <w:t xml:space="preserve">. </w:t>
      </w:r>
      <w:r w:rsidR="00396DBD">
        <w:t xml:space="preserve">The strong growth is driven by the easing </w:t>
      </w:r>
      <w:r w:rsidR="00E85A1D">
        <w:t xml:space="preserve">of </w:t>
      </w:r>
      <w:r w:rsidR="00396DBD">
        <w:t xml:space="preserve">travel restrictions supporting a recovery in tourism imports and the </w:t>
      </w:r>
      <w:r w:rsidR="00EE05B0">
        <w:t>continued recovery</w:t>
      </w:r>
      <w:r w:rsidR="00396DBD">
        <w:t xml:space="preserve"> of the domestic economy generating robust goods imports growth.</w:t>
      </w:r>
    </w:p>
    <w:p w14:paraId="58DEA8B0" w14:textId="13622D2D" w:rsidR="00733707" w:rsidRPr="00B96121" w:rsidRDefault="00733707" w:rsidP="00733707">
      <w:pPr>
        <w:pStyle w:val="Heading3"/>
      </w:pPr>
      <w:bookmarkStart w:id="14" w:name="_Toc99064360"/>
      <w:r w:rsidRPr="00B96121">
        <w:t xml:space="preserve">The labour </w:t>
      </w:r>
      <w:proofErr w:type="gramStart"/>
      <w:r w:rsidRPr="00B96121">
        <w:t>market</w:t>
      </w:r>
      <w:bookmarkEnd w:id="14"/>
      <w:proofErr w:type="gramEnd"/>
    </w:p>
    <w:p w14:paraId="4DF3CC7C" w14:textId="44949F72" w:rsidR="004E4C41" w:rsidRDefault="004E4C41" w:rsidP="004E4C41">
      <w:r>
        <w:t>The labour market has displayed resilience through the pandemic and has again recovered strongly in recent months</w:t>
      </w:r>
      <w:r w:rsidR="00111A07">
        <w:t xml:space="preserve">. </w:t>
      </w:r>
      <w:r>
        <w:t>Employment reached a then</w:t>
      </w:r>
      <w:r w:rsidR="00111A07">
        <w:noBreakHyphen/>
      </w:r>
      <w:r>
        <w:t xml:space="preserve">record high in November 2021 and continued employment growth since </w:t>
      </w:r>
      <w:r w:rsidR="00121953">
        <w:t>then</w:t>
      </w:r>
      <w:r>
        <w:t xml:space="preserve"> has seen the unemployment rate fall to just 4.0 per cent</w:t>
      </w:r>
      <w:r w:rsidR="00036E3B">
        <w:t xml:space="preserve"> – the </w:t>
      </w:r>
      <w:r w:rsidR="00B923F1">
        <w:t>equal lowest outcome since 1974.</w:t>
      </w:r>
      <w:r w:rsidR="00576E0D">
        <w:t xml:space="preserve"> </w:t>
      </w:r>
      <w:r>
        <w:t>The employment</w:t>
      </w:r>
      <w:r w:rsidR="00111A07">
        <w:noBreakHyphen/>
      </w:r>
      <w:r>
        <w:t>to</w:t>
      </w:r>
      <w:r w:rsidR="00111A07">
        <w:noBreakHyphen/>
      </w:r>
      <w:r>
        <w:t>population ratio reached a new record high of 63.8 per cent in February 2022, with the participation rate also at a record high of 66.4</w:t>
      </w:r>
      <w:r w:rsidR="006F39D6">
        <w:t> </w:t>
      </w:r>
      <w:r>
        <w:t>per</w:t>
      </w:r>
      <w:r w:rsidR="006F39D6">
        <w:t> </w:t>
      </w:r>
      <w:r>
        <w:t>cent.</w:t>
      </w:r>
    </w:p>
    <w:p w14:paraId="0D65CBC8" w14:textId="7493307D" w:rsidR="0086414E" w:rsidRDefault="002105C8" w:rsidP="006F1EF4">
      <w:r>
        <w:t xml:space="preserve">Hours worked fell sharply in January </w:t>
      </w:r>
      <w:r w:rsidR="00C20EE1">
        <w:t>reflecting</w:t>
      </w:r>
      <w:r w:rsidR="00D31756">
        <w:t xml:space="preserve"> unseasonably high levels of annual leave, as well as the Omicron outbreak leading to around </w:t>
      </w:r>
      <w:r w:rsidR="00057205">
        <w:t>3</w:t>
      </w:r>
      <w:r w:rsidR="00D31756">
        <w:t xml:space="preserve"> times as many people as usual </w:t>
      </w:r>
      <w:r w:rsidR="00C20EE1">
        <w:t xml:space="preserve">having </w:t>
      </w:r>
      <w:r w:rsidR="00D31756">
        <w:t xml:space="preserve">worked less hours </w:t>
      </w:r>
      <w:r w:rsidR="00D20755">
        <w:t>due to</w:t>
      </w:r>
      <w:r w:rsidR="00D31756">
        <w:t xml:space="preserve"> illness or sick leave</w:t>
      </w:r>
      <w:r w:rsidR="00111A07">
        <w:t xml:space="preserve">. </w:t>
      </w:r>
      <w:r w:rsidR="00D31756">
        <w:t xml:space="preserve">During the peak of the Omicron outbreak, </w:t>
      </w:r>
      <w:r w:rsidR="00D31756" w:rsidRPr="008C331F">
        <w:t xml:space="preserve">absenteeism rates </w:t>
      </w:r>
      <w:r w:rsidR="00C20EE1">
        <w:t>from</w:t>
      </w:r>
      <w:r w:rsidR="00D31756" w:rsidRPr="008C331F">
        <w:t xml:space="preserve"> COVID</w:t>
      </w:r>
      <w:r w:rsidR="00111A07">
        <w:noBreakHyphen/>
      </w:r>
      <w:r w:rsidR="00D31756" w:rsidRPr="008C331F">
        <w:t xml:space="preserve">19 </w:t>
      </w:r>
      <w:r w:rsidR="00D31756">
        <w:t xml:space="preserve">are </w:t>
      </w:r>
      <w:r w:rsidR="00D31756" w:rsidRPr="008C331F">
        <w:t>estimated to have reached around 6 per cent</w:t>
      </w:r>
      <w:r w:rsidR="00FC22E8">
        <w:t xml:space="preserve"> nationally</w:t>
      </w:r>
      <w:r w:rsidR="00111A07">
        <w:t xml:space="preserve">. </w:t>
      </w:r>
    </w:p>
    <w:p w14:paraId="65B11CF6" w14:textId="65FC4BAC" w:rsidR="002105C8" w:rsidRDefault="00D31756" w:rsidP="006F1EF4">
      <w:r>
        <w:t>The</w:t>
      </w:r>
      <w:r w:rsidRPr="008C331F">
        <w:t xml:space="preserve"> Omicron</w:t>
      </w:r>
      <w:r>
        <w:t xml:space="preserve"> wave had a short</w:t>
      </w:r>
      <w:r w:rsidR="00111A07">
        <w:noBreakHyphen/>
      </w:r>
      <w:r>
        <w:t>lived impact on the labour market compared with previous outbreaks, with hours worked returning to just 0.5 per cent below their December level in February</w:t>
      </w:r>
      <w:r w:rsidR="00111A07">
        <w:t xml:space="preserve">. </w:t>
      </w:r>
      <w:r>
        <w:t xml:space="preserve">However, there remained around 50 per cent more people than usual working reduced hours </w:t>
      </w:r>
      <w:r w:rsidR="00D7192F">
        <w:t>because</w:t>
      </w:r>
      <w:r w:rsidR="000252E6">
        <w:t xml:space="preserve"> of</w:t>
      </w:r>
      <w:r>
        <w:t xml:space="preserve"> illness or sick leave</w:t>
      </w:r>
      <w:r w:rsidR="0086414E">
        <w:t>.</w:t>
      </w:r>
    </w:p>
    <w:p w14:paraId="664428B0" w14:textId="38D1D458" w:rsidR="00C93E57" w:rsidRDefault="00096940" w:rsidP="00733707">
      <w:r>
        <w:t>The</w:t>
      </w:r>
      <w:r w:rsidR="00251783">
        <w:t xml:space="preserve"> </w:t>
      </w:r>
      <w:r w:rsidR="002A05A0">
        <w:t xml:space="preserve">recovery in </w:t>
      </w:r>
      <w:r w:rsidR="00A30D00">
        <w:t>the labour market</w:t>
      </w:r>
      <w:r w:rsidR="002F26E1">
        <w:t xml:space="preserve"> in recent months </w:t>
      </w:r>
      <w:r>
        <w:t>reflect</w:t>
      </w:r>
      <w:r w:rsidR="002F26E1">
        <w:t>s</w:t>
      </w:r>
      <w:r>
        <w:t xml:space="preserve"> </w:t>
      </w:r>
      <w:r w:rsidR="00157E98">
        <w:t>growth</w:t>
      </w:r>
      <w:r w:rsidR="002A05A0">
        <w:t xml:space="preserve"> in </w:t>
      </w:r>
      <w:r w:rsidR="00A17F2A">
        <w:t>private consumption</w:t>
      </w:r>
      <w:r w:rsidR="00C306AD">
        <w:t xml:space="preserve"> supporting</w:t>
      </w:r>
      <w:r>
        <w:t xml:space="preserve"> strong labour demand</w:t>
      </w:r>
      <w:r w:rsidR="00111A07">
        <w:t xml:space="preserve">. </w:t>
      </w:r>
      <w:r w:rsidR="00114858">
        <w:t xml:space="preserve">The number of unemployed people per vacancy, a key measure of labour market tightness, </w:t>
      </w:r>
      <w:r w:rsidR="00CE379B">
        <w:t xml:space="preserve">fell to </w:t>
      </w:r>
      <w:r w:rsidR="00A1347E">
        <w:t>just 1.6 in November</w:t>
      </w:r>
      <w:r w:rsidR="00111A07">
        <w:t xml:space="preserve">. </w:t>
      </w:r>
      <w:r w:rsidR="00A1347E">
        <w:t xml:space="preserve">This is the lowest value on record and </w:t>
      </w:r>
      <w:r w:rsidR="00A13F92">
        <w:t>around</w:t>
      </w:r>
      <w:r w:rsidR="00A1347E">
        <w:t xml:space="preserve"> half the pre</w:t>
      </w:r>
      <w:r w:rsidR="00111A07">
        <w:noBreakHyphen/>
      </w:r>
      <w:r w:rsidR="00A1347E">
        <w:t>pandemic level</w:t>
      </w:r>
      <w:r w:rsidR="00A05E46">
        <w:t xml:space="preserve"> (Chart </w:t>
      </w:r>
      <w:r w:rsidR="00E23BD5">
        <w:t>2.1</w:t>
      </w:r>
      <w:r w:rsidR="0030576E">
        <w:t>6</w:t>
      </w:r>
      <w:r w:rsidR="00A05E46">
        <w:t>)</w:t>
      </w:r>
      <w:r w:rsidR="00111A07">
        <w:t xml:space="preserve">. </w:t>
      </w:r>
      <w:r w:rsidR="00416F23">
        <w:t>The</w:t>
      </w:r>
      <w:r w:rsidR="00AE7FDF">
        <w:t> </w:t>
      </w:r>
      <w:r w:rsidR="00416F23">
        <w:t>underemployment rate has also fallen</w:t>
      </w:r>
      <w:r w:rsidR="00A1347E">
        <w:t xml:space="preserve"> </w:t>
      </w:r>
      <w:r w:rsidR="00416F23">
        <w:t>sharply</w:t>
      </w:r>
      <w:r w:rsidR="007B3B29">
        <w:t xml:space="preserve"> to 6.6 per cent</w:t>
      </w:r>
      <w:r w:rsidR="00416F23">
        <w:t xml:space="preserve"> in recent months, </w:t>
      </w:r>
      <w:r w:rsidR="007B3B29">
        <w:t>2.2</w:t>
      </w:r>
      <w:r w:rsidR="0030576E">
        <w:t> </w:t>
      </w:r>
      <w:r w:rsidR="007B3B29">
        <w:t>percentage points lower than it was in March 2020</w:t>
      </w:r>
      <w:r w:rsidR="00111A07">
        <w:t xml:space="preserve">. </w:t>
      </w:r>
      <w:r w:rsidR="00C2236B">
        <w:t xml:space="preserve">Strong labour demand has allowed more than </w:t>
      </w:r>
      <w:r w:rsidR="00982674">
        <w:t>one</w:t>
      </w:r>
      <w:r w:rsidR="00C2236B">
        <w:t xml:space="preserve"> million workers to start a new job in the </w:t>
      </w:r>
      <w:r w:rsidR="007E3FFB">
        <w:t>3</w:t>
      </w:r>
      <w:r w:rsidR="00C2236B">
        <w:t xml:space="preserve"> months to November 2021, an increase of 65 per cent from the low experienced in 2020</w:t>
      </w:r>
      <w:r w:rsidR="00111A07">
        <w:t xml:space="preserve">. </w:t>
      </w:r>
      <w:r w:rsidR="00C2236B">
        <w:t>As a share of employment, the rate at which people are taking up new jobs is around its highest level in nearly a decade</w:t>
      </w:r>
      <w:r w:rsidR="00A05E46">
        <w:t xml:space="preserve"> (Chart </w:t>
      </w:r>
      <w:r w:rsidR="0370D905">
        <w:t>2.1</w:t>
      </w:r>
      <w:r w:rsidR="0030576E">
        <w:t>7</w:t>
      </w:r>
      <w:r w:rsidR="00A05E46">
        <w:t>)</w:t>
      </w:r>
      <w:r w:rsidR="00CC44E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3846"/>
      </w:tblGrid>
      <w:tr w:rsidR="00A06C48" w14:paraId="5C05CBB6" w14:textId="3878D3E2" w:rsidTr="00D72FAE">
        <w:tc>
          <w:tcPr>
            <w:tcW w:w="3864" w:type="dxa"/>
            <w:hideMark/>
          </w:tcPr>
          <w:p w14:paraId="56601D04" w14:textId="4C76041E" w:rsidR="00A06C48" w:rsidRDefault="00A06C48" w:rsidP="00F26C48">
            <w:pPr>
              <w:pStyle w:val="ChartHeading"/>
            </w:pPr>
            <w:r>
              <w:lastRenderedPageBreak/>
              <w:t xml:space="preserve">Chart </w:t>
            </w:r>
            <w:r w:rsidR="00AF4232">
              <w:t>2.1</w:t>
            </w:r>
            <w:r w:rsidR="0030576E">
              <w:t>6</w:t>
            </w:r>
            <w:r>
              <w:t>: Ratio of unemployed to vacancies and advertisements</w:t>
            </w:r>
          </w:p>
        </w:tc>
        <w:tc>
          <w:tcPr>
            <w:tcW w:w="3846" w:type="dxa"/>
            <w:hideMark/>
          </w:tcPr>
          <w:p w14:paraId="404617A4" w14:textId="6688C4A5" w:rsidR="00A06C48" w:rsidRDefault="00A06C48" w:rsidP="00F26C48">
            <w:pPr>
              <w:pStyle w:val="ChartHeading"/>
            </w:pPr>
            <w:r>
              <w:t xml:space="preserve">Chart </w:t>
            </w:r>
            <w:r w:rsidR="00AF4232">
              <w:t>2.1</w:t>
            </w:r>
            <w:r w:rsidR="0030576E">
              <w:t>7</w:t>
            </w:r>
            <w:r>
              <w:t>: Workers with a new job</w:t>
            </w:r>
          </w:p>
        </w:tc>
      </w:tr>
      <w:tr w:rsidR="00A06C48" w14:paraId="6C2C869C" w14:textId="6A289F1E" w:rsidTr="00D72FAE">
        <w:trPr>
          <w:trHeight w:val="3714"/>
        </w:trPr>
        <w:tc>
          <w:tcPr>
            <w:tcW w:w="3864" w:type="dxa"/>
            <w:hideMark/>
          </w:tcPr>
          <w:p w14:paraId="6564FCDA" w14:textId="0069DF5A" w:rsidR="00A06C48" w:rsidRDefault="003D7B54" w:rsidP="00F26C48">
            <w:pPr>
              <w:pStyle w:val="ChartGraphic"/>
              <w:rPr>
                <w:rFonts w:cs="Arial"/>
                <w:sz w:val="16"/>
                <w:szCs w:val="16"/>
              </w:rPr>
            </w:pPr>
            <w:r w:rsidRPr="003D7B54">
              <w:rPr>
                <w:rFonts w:cs="Arial"/>
                <w:noProof/>
                <w:sz w:val="16"/>
                <w:szCs w:val="16"/>
              </w:rPr>
              <w:drawing>
                <wp:inline distT="0" distB="0" distL="0" distR="0" wp14:anchorId="6E2A8C59" wp14:editId="0F40E808">
                  <wp:extent cx="2305685" cy="2305685"/>
                  <wp:effectExtent l="0" t="0" r="0" b="0"/>
                  <wp:docPr id="17" name="Picture 17" descr="This chart shows a comparison of ratios of unemployed people per vacancy from February 2012 to February 2022, using three different measures, ABS job vacancies, ANZ job advertisements and the National Skills Commission Internet vacancy Index. It shows that the ratio of all three measures to the number of unemployed people have tracked reasonably closely over time, fluctuating between 3 to 6 for most of this period, before spiking significantly in the early stages of the pandemic in early 2020. All three have since recovered significantly to be below pre-pandemic levels. The ABS job vacancy ratio peaked at around 7.0 in May 2020 and has fallen to 1.6 in November 2022. Similarly, the ANZ ratio peaked at around 14.4 in May 2020 and has recovered to 2.5 in February 2022, while the National Skills Commission ratio peaked at 12.2 in April 2020 and has recovered to 2.2 in February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is chart shows a comparison of ratios of unemployed people per vacancy from February 2012 to February 2022, using three different measures, ABS job vacancies, ANZ job advertisements and the National Skills Commission Internet vacancy Index. It shows that the ratio of all three measures to the number of unemployed people have tracked reasonably closely over time, fluctuating between 3 to 6 for most of this period, before spiking significantly in the early stages of the pandemic in early 2020. All three have since recovered significantly to be below pre-pandemic levels. The ABS job vacancy ratio peaked at around 7.0 in May 2020 and has fallen to 1.6 in November 2022. Similarly, the ANZ ratio peaked at around 14.4 in May 2020 and has recovered to 2.5 in February 2022, while the National Skills Commission ratio peaked at 12.2 in April 2020 and has recovered to 2.2 in February 2022.&#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05685" cy="2305685"/>
                          </a:xfrm>
                          <a:prstGeom prst="rect">
                            <a:avLst/>
                          </a:prstGeom>
                          <a:noFill/>
                          <a:ln>
                            <a:noFill/>
                          </a:ln>
                        </pic:spPr>
                      </pic:pic>
                    </a:graphicData>
                  </a:graphic>
                </wp:inline>
              </w:drawing>
            </w:r>
          </w:p>
        </w:tc>
        <w:tc>
          <w:tcPr>
            <w:tcW w:w="3846" w:type="dxa"/>
            <w:hideMark/>
          </w:tcPr>
          <w:p w14:paraId="6E451B12" w14:textId="7549F2E0" w:rsidR="00A06C48" w:rsidRDefault="003B2FD0" w:rsidP="00F26C48">
            <w:pPr>
              <w:pStyle w:val="ChartGraphic"/>
            </w:pPr>
            <w:r w:rsidRPr="003B2FD0">
              <w:rPr>
                <w:noProof/>
              </w:rPr>
              <w:drawing>
                <wp:inline distT="0" distB="0" distL="0" distR="0" wp14:anchorId="49E5B7D4" wp14:editId="2379E3E9">
                  <wp:extent cx="2304415" cy="2304415"/>
                  <wp:effectExtent l="0" t="0" r="0" b="635"/>
                  <wp:docPr id="27" name="Picture 27" descr="Line chart showing percentage of employed people that are in new jobs, which shows that this metric fell steeply in 2020 before rising drastically to a level much higher than 2019 levels but similar to pre-2008 leve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ine chart showing percentage of employed people that are in new jobs, which shows that this metric fell steeply in 2020 before rising drastically to a level much higher than 2019 levels but similar to pre-2008 levels.&#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04415" cy="2304415"/>
                          </a:xfrm>
                          <a:prstGeom prst="rect">
                            <a:avLst/>
                          </a:prstGeom>
                          <a:noFill/>
                          <a:ln>
                            <a:noFill/>
                          </a:ln>
                        </pic:spPr>
                      </pic:pic>
                    </a:graphicData>
                  </a:graphic>
                </wp:inline>
              </w:drawing>
            </w:r>
          </w:p>
        </w:tc>
      </w:tr>
      <w:tr w:rsidR="00A06C48" w14:paraId="6665715D" w14:textId="0E4C09F2" w:rsidTr="00D72FAE">
        <w:trPr>
          <w:trHeight w:val="563"/>
        </w:trPr>
        <w:tc>
          <w:tcPr>
            <w:tcW w:w="3864" w:type="dxa"/>
            <w:hideMark/>
          </w:tcPr>
          <w:p w14:paraId="0334FF4B" w14:textId="77777777" w:rsidR="00A06C48" w:rsidRDefault="00A06C48" w:rsidP="0009754B">
            <w:pPr>
              <w:pStyle w:val="Source"/>
              <w:spacing w:after="0"/>
              <w:jc w:val="left"/>
            </w:pPr>
            <w:r>
              <w:t>Source:</w:t>
            </w:r>
            <w:r>
              <w:tab/>
              <w:t>ABS Labour Force, ABS Job Vacancies, National Skills Commission Internet Vacancy Index and ANZ Job Ads.</w:t>
            </w:r>
          </w:p>
        </w:tc>
        <w:tc>
          <w:tcPr>
            <w:tcW w:w="3846" w:type="dxa"/>
            <w:hideMark/>
          </w:tcPr>
          <w:p w14:paraId="23329406" w14:textId="721CB3BC" w:rsidR="00A06C48" w:rsidRDefault="00A06C48" w:rsidP="00F26C48">
            <w:pPr>
              <w:pStyle w:val="Source"/>
              <w:rPr>
                <w:noProof/>
              </w:rPr>
            </w:pPr>
            <w:r>
              <w:t xml:space="preserve">Source: </w:t>
            </w:r>
            <w:r w:rsidR="00F26C48">
              <w:tab/>
            </w:r>
            <w:r>
              <w:t>Treasury analysis of ABS Labour Force microdata.</w:t>
            </w:r>
          </w:p>
        </w:tc>
      </w:tr>
    </w:tbl>
    <w:p w14:paraId="22B6D385" w14:textId="43AE7A3E" w:rsidR="008207F1" w:rsidRPr="00B96121" w:rsidRDefault="007D202F" w:rsidP="004B3FE8">
      <w:pPr>
        <w:spacing w:before="160"/>
      </w:pPr>
      <w:r w:rsidRPr="000D07AE">
        <w:t xml:space="preserve">The </w:t>
      </w:r>
      <w:r w:rsidR="00555E93">
        <w:t xml:space="preserve">continued </w:t>
      </w:r>
      <w:r w:rsidR="00EE05B0">
        <w:t>recovery</w:t>
      </w:r>
      <w:r w:rsidR="00BA5783" w:rsidRPr="000D07AE">
        <w:t xml:space="preserve"> in the domestic economy is expected to see</w:t>
      </w:r>
      <w:r w:rsidR="00BA5783">
        <w:rPr>
          <w:b/>
          <w:bCs/>
        </w:rPr>
        <w:t xml:space="preserve"> e</w:t>
      </w:r>
      <w:r w:rsidR="008207F1" w:rsidRPr="00B96121">
        <w:rPr>
          <w:b/>
          <w:bCs/>
        </w:rPr>
        <w:t>mployment</w:t>
      </w:r>
      <w:r w:rsidR="008207F1" w:rsidRPr="00B96121">
        <w:t xml:space="preserve"> </w:t>
      </w:r>
      <w:r w:rsidR="00223D4F">
        <w:t>increase by 2</w:t>
      </w:r>
      <w:r w:rsidR="00FF2580">
        <w:t xml:space="preserve">¾ </w:t>
      </w:r>
      <w:r w:rsidR="00223D4F">
        <w:t>per cent through</w:t>
      </w:r>
      <w:r w:rsidR="00B1022B">
        <w:t xml:space="preserve"> </w:t>
      </w:r>
      <w:r w:rsidR="00223D4F">
        <w:t>the</w:t>
      </w:r>
      <w:r w:rsidR="00B1022B">
        <w:t xml:space="preserve"> </w:t>
      </w:r>
      <w:r w:rsidR="00223D4F">
        <w:t xml:space="preserve">year to </w:t>
      </w:r>
      <w:r w:rsidR="00FD0D04">
        <w:t xml:space="preserve">the </w:t>
      </w:r>
      <w:r w:rsidR="00223D4F">
        <w:t xml:space="preserve">June </w:t>
      </w:r>
      <w:r w:rsidR="00FD0D04">
        <w:t>quarter of</w:t>
      </w:r>
      <w:r w:rsidR="00223D4F">
        <w:t xml:space="preserve"> 2022, before growing by 1</w:t>
      </w:r>
      <w:r w:rsidR="00FF2580">
        <w:t>½</w:t>
      </w:r>
      <w:r w:rsidR="00656AE0">
        <w:t> </w:t>
      </w:r>
      <w:r w:rsidR="00223D4F">
        <w:t xml:space="preserve">per cent through the year to the June </w:t>
      </w:r>
      <w:r w:rsidR="00FD0D04">
        <w:t>quarter</w:t>
      </w:r>
      <w:r w:rsidR="00C53CAD">
        <w:t>s</w:t>
      </w:r>
      <w:r w:rsidR="00FD0D04">
        <w:t xml:space="preserve"> of</w:t>
      </w:r>
      <w:r w:rsidR="00223D4F">
        <w:t xml:space="preserve"> 2023 and 2024</w:t>
      </w:r>
      <w:r w:rsidR="00871AAC">
        <w:t xml:space="preserve"> (Chart 2.1</w:t>
      </w:r>
      <w:r w:rsidR="00EB7FC7">
        <w:t>8</w:t>
      </w:r>
      <w:r w:rsidR="00871AAC">
        <w:t>)</w:t>
      </w:r>
      <w:r w:rsidR="00111A07">
        <w:t xml:space="preserve">. </w:t>
      </w:r>
      <w:r w:rsidR="00223D4F">
        <w:t>This</w:t>
      </w:r>
      <w:r w:rsidR="00AE7FDF">
        <w:t> </w:t>
      </w:r>
      <w:r w:rsidR="00223D4F">
        <w:t>would see the employment</w:t>
      </w:r>
      <w:r w:rsidR="00111A07">
        <w:noBreakHyphen/>
      </w:r>
      <w:r w:rsidR="00223D4F">
        <w:t>to</w:t>
      </w:r>
      <w:r w:rsidR="00111A07">
        <w:noBreakHyphen/>
      </w:r>
      <w:r w:rsidR="00223D4F">
        <w:t xml:space="preserve">population ratio </w:t>
      </w:r>
      <w:r w:rsidR="006A2EFB">
        <w:t>at an unprecedented high across this period</w:t>
      </w:r>
      <w:r w:rsidR="00A27623">
        <w:t xml:space="preserve">, </w:t>
      </w:r>
      <w:r w:rsidR="003421F9">
        <w:t>indicating</w:t>
      </w:r>
      <w:r w:rsidR="00F755DF">
        <w:t xml:space="preserve"> that there </w:t>
      </w:r>
      <w:r w:rsidR="00B30173">
        <w:t>has</w:t>
      </w:r>
      <w:r w:rsidR="00F755DF">
        <w:t xml:space="preserve"> been </w:t>
      </w:r>
      <w:proofErr w:type="gramStart"/>
      <w:r w:rsidR="00F755DF">
        <w:t>no</w:t>
      </w:r>
      <w:proofErr w:type="gramEnd"/>
      <w:r w:rsidR="00F755DF">
        <w:t xml:space="preserve"> long</w:t>
      </w:r>
      <w:r w:rsidR="00111A07">
        <w:noBreakHyphen/>
      </w:r>
      <w:r w:rsidR="00F755DF">
        <w:t xml:space="preserve">term scarring impacts </w:t>
      </w:r>
      <w:r w:rsidR="008F218E">
        <w:t>from the</w:t>
      </w:r>
      <w:r w:rsidR="00F755DF">
        <w:t xml:space="preserve"> pandemic.</w:t>
      </w:r>
    </w:p>
    <w:p w14:paraId="65E38603" w14:textId="6988A582" w:rsidR="00354F2E" w:rsidRPr="00B96121" w:rsidRDefault="00354F2E" w:rsidP="00354F2E">
      <w:r w:rsidRPr="00AE4018">
        <w:t xml:space="preserve">The </w:t>
      </w:r>
      <w:r w:rsidRPr="00AE4018">
        <w:rPr>
          <w:b/>
        </w:rPr>
        <w:t xml:space="preserve">unemployment rate </w:t>
      </w:r>
      <w:r w:rsidRPr="00AE4018">
        <w:t xml:space="preserve">is expected to continue to fall </w:t>
      </w:r>
      <w:r w:rsidR="002E239C">
        <w:t>over the next few quarters</w:t>
      </w:r>
      <w:r w:rsidR="000C075C">
        <w:t>,</w:t>
      </w:r>
      <w:r w:rsidR="002E239C">
        <w:t xml:space="preserve"> </w:t>
      </w:r>
      <w:r w:rsidR="00E7488B">
        <w:t>reflecting</w:t>
      </w:r>
      <w:r w:rsidR="00BA5783">
        <w:t xml:space="preserve"> strong growth in the domestic econom</w:t>
      </w:r>
      <w:r w:rsidR="00D36387">
        <w:t>y</w:t>
      </w:r>
      <w:r w:rsidR="00111A07">
        <w:t xml:space="preserve">. </w:t>
      </w:r>
      <w:r w:rsidR="007B2A05">
        <w:t>Unemployment is forecast to fall to 3¾ </w:t>
      </w:r>
      <w:r w:rsidR="00D36387">
        <w:t xml:space="preserve">per cent in </w:t>
      </w:r>
      <w:r w:rsidR="002504BD">
        <w:t>the September quarter of 2022</w:t>
      </w:r>
      <w:r w:rsidR="00D36387">
        <w:t xml:space="preserve"> </w:t>
      </w:r>
      <w:r w:rsidR="00871AAC">
        <w:t>(Chart 2.</w:t>
      </w:r>
      <w:r w:rsidR="00EB7FC7">
        <w:t>19</w:t>
      </w:r>
      <w:r w:rsidR="00871AAC">
        <w:t>)</w:t>
      </w:r>
      <w:r w:rsidR="004F5CF2">
        <w:t xml:space="preserve"> and remain </w:t>
      </w:r>
      <w:r w:rsidR="003D60F8">
        <w:t>there until 2024</w:t>
      </w:r>
      <w:r w:rsidR="00111A07">
        <w:noBreakHyphen/>
      </w:r>
      <w:r w:rsidR="003D60F8">
        <w:t>25</w:t>
      </w:r>
      <w:r w:rsidR="00111A07">
        <w:t xml:space="preserve">. </w:t>
      </w:r>
      <w:r w:rsidRPr="00AE4018">
        <w:t xml:space="preserve">This </w:t>
      </w:r>
      <w:r w:rsidR="00465B56" w:rsidRPr="00AE4018">
        <w:t>would be the first time since the early 1970s the unemployment rate has averaged below 4</w:t>
      </w:r>
      <w:r w:rsidR="006B5168">
        <w:t> </w:t>
      </w:r>
      <w:r w:rsidR="00465B56" w:rsidRPr="00AE4018">
        <w:t>per</w:t>
      </w:r>
      <w:r w:rsidR="006B5168">
        <w:t> </w:t>
      </w:r>
      <w:r w:rsidR="00465B56" w:rsidRPr="00AE4018">
        <w:t xml:space="preserve">cent </w:t>
      </w:r>
      <w:r w:rsidR="00EB774C">
        <w:t xml:space="preserve">and </w:t>
      </w:r>
      <w:r w:rsidRPr="00AE4018">
        <w:t xml:space="preserve">would see the unemployment rate lie below </w:t>
      </w:r>
      <w:r w:rsidR="006A535D">
        <w:t xml:space="preserve">the </w:t>
      </w:r>
      <w:r w:rsidRPr="00AE4018">
        <w:t>NAIRU</w:t>
      </w:r>
      <w:r w:rsidR="000A646A">
        <w:t xml:space="preserve"> </w:t>
      </w:r>
      <w:r w:rsidR="00481A46">
        <w:t>assumption</w:t>
      </w:r>
      <w:r w:rsidRPr="00AE4018">
        <w:t xml:space="preserve"> </w:t>
      </w:r>
      <w:r w:rsidR="00434128">
        <w:t>(</w:t>
      </w:r>
      <w:r w:rsidR="00E5216B">
        <w:t xml:space="preserve">as discussed in </w:t>
      </w:r>
      <w:r w:rsidRPr="00AE4018">
        <w:t>Box 2.</w:t>
      </w:r>
      <w:r w:rsidR="00AF5505">
        <w:t>5</w:t>
      </w:r>
      <w:r w:rsidR="00434128">
        <w:t>)</w:t>
      </w:r>
      <w:r w:rsidR="00111A07">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1"/>
        <w:gridCol w:w="3839"/>
      </w:tblGrid>
      <w:tr w:rsidR="002F5E31" w14:paraId="48318327" w14:textId="77777777" w:rsidTr="00D72FAE">
        <w:trPr>
          <w:trHeight w:val="248"/>
        </w:trPr>
        <w:tc>
          <w:tcPr>
            <w:tcW w:w="3930" w:type="dxa"/>
            <w:hideMark/>
          </w:tcPr>
          <w:p w14:paraId="2192C4C9" w14:textId="7861A6CC" w:rsidR="002F5E31" w:rsidRDefault="002F5E31" w:rsidP="00906A84">
            <w:pPr>
              <w:pStyle w:val="ChartHeading"/>
            </w:pPr>
            <w:r>
              <w:lastRenderedPageBreak/>
              <w:t xml:space="preserve">Chart </w:t>
            </w:r>
            <w:r w:rsidR="00AF4232">
              <w:t>2.1</w:t>
            </w:r>
            <w:r w:rsidR="00EB7FC7">
              <w:t>8</w:t>
            </w:r>
            <w:r>
              <w:t xml:space="preserve">: Employment </w:t>
            </w:r>
          </w:p>
        </w:tc>
        <w:tc>
          <w:tcPr>
            <w:tcW w:w="3899" w:type="dxa"/>
            <w:hideMark/>
          </w:tcPr>
          <w:p w14:paraId="16940932" w14:textId="5548D3DF" w:rsidR="002F5E31" w:rsidRDefault="002F5E31" w:rsidP="00906A84">
            <w:pPr>
              <w:pStyle w:val="ChartHeading"/>
            </w:pPr>
            <w:r>
              <w:t xml:space="preserve">Chart </w:t>
            </w:r>
            <w:r w:rsidR="00AF4232">
              <w:t>2.</w:t>
            </w:r>
            <w:r w:rsidR="00EB7FC7">
              <w:t>19</w:t>
            </w:r>
            <w:r>
              <w:t>: Unemployment rate</w:t>
            </w:r>
          </w:p>
        </w:tc>
      </w:tr>
      <w:tr w:rsidR="002F5E31" w14:paraId="4F028626" w14:textId="77777777" w:rsidTr="00D72FAE">
        <w:trPr>
          <w:trHeight w:val="3565"/>
        </w:trPr>
        <w:tc>
          <w:tcPr>
            <w:tcW w:w="3930" w:type="dxa"/>
          </w:tcPr>
          <w:p w14:paraId="21B12949" w14:textId="10F9F0C7" w:rsidR="002F5E31" w:rsidRDefault="00AC0528" w:rsidP="00906A84">
            <w:pPr>
              <w:pStyle w:val="ChartGraphic"/>
            </w:pPr>
            <w:r w:rsidRPr="00AC0528">
              <w:rPr>
                <w:noProof/>
              </w:rPr>
              <w:drawing>
                <wp:inline distT="0" distB="0" distL="0" distR="0" wp14:anchorId="55F4D36E" wp14:editId="25804030">
                  <wp:extent cx="2317750" cy="2300497"/>
                  <wp:effectExtent l="0" t="0" r="6350" b="0"/>
                  <wp:docPr id="15" name="Picture 15" descr="This chart shows the level of employment from the June quarter of 2008 until the end of the detailed forecast period in Jun 2024, with forecasts from this 2022-23 Budget compared to the 2021-22 Budget. It shows that employment has been steadily increasing from around 10.7 million in the June quarter of 2008 to 12.8 million in the December quarter of 2021. It is forecast to rise to 13.8 million by the June quarter of 2024, which is an upgrade from the 2021-22 Budget forecast of 13.5 million by the June quarter of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s chart shows the level of employment from the June quarter of 2008 until the end of the detailed forecast period in Jun 2024, with forecasts from this 2022-23 Budget compared to the 2021-22 Budget. It shows that employment has been steadily increasing from around 10.7 million in the June quarter of 2008 to 12.8 million in the December quarter of 2021. It is forecast to rise to 13.8 million by the June quarter of 2024, which is an upgrade from the 2021-22 Budget forecast of 13.5 million by the June quarter of 2024.&#10;"/>
                          <pic:cNvPicPr>
                            <a:picLocks noChangeAspect="1" noChangeArrowheads="1"/>
                          </pic:cNvPicPr>
                        </pic:nvPicPr>
                        <pic:blipFill rotWithShape="1">
                          <a:blip r:embed="rId33">
                            <a:extLst>
                              <a:ext uri="{28A0092B-C50C-407E-A947-70E740481C1C}">
                                <a14:useLocalDpi xmlns:a14="http://schemas.microsoft.com/office/drawing/2010/main" val="0"/>
                              </a:ext>
                            </a:extLst>
                          </a:blip>
                          <a:srcRect t="744"/>
                          <a:stretch/>
                        </pic:blipFill>
                        <pic:spPr bwMode="auto">
                          <a:xfrm>
                            <a:off x="0" y="0"/>
                            <a:ext cx="2317750" cy="2300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99" w:type="dxa"/>
            <w:hideMark/>
          </w:tcPr>
          <w:p w14:paraId="2489A16D" w14:textId="30D3A4F8" w:rsidR="002F5E31" w:rsidRDefault="0029261A" w:rsidP="00906A84">
            <w:pPr>
              <w:pStyle w:val="ChartGraphic"/>
            </w:pPr>
            <w:r w:rsidRPr="0029261A">
              <w:rPr>
                <w:noProof/>
              </w:rPr>
              <w:drawing>
                <wp:inline distT="0" distB="0" distL="0" distR="0" wp14:anchorId="762E0150" wp14:editId="389DBA83">
                  <wp:extent cx="2303145" cy="2303145"/>
                  <wp:effectExtent l="0" t="0" r="0" b="0"/>
                  <wp:docPr id="25" name="Picture 25" descr="This chart shows the unemployment rate from Jun 2008. It shows that the rate had fluctuated around 5-6 per cent for most of this time before increasing drastically from the onset of the pandemic, peaking at 7.4 per cent in July 2020, and then recovering quickly back to around 5 per cent by mid-2021. It is then forecast to fall further with the unemployment rate expected to be just 3 and three quarters of a per cent by the June quarter of 2023, compared with the 4 and three quarters of a per cent forecast in the 2021-22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is chart shows the unemployment rate from Jun 2008. It shows that the rate had fluctuated around 5-6 per cent for most of this time before increasing drastically from the onset of the pandemic, peaking at 7.4 per cent in July 2020, and then recovering quickly back to around 5 per cent by mid-2021. It is then forecast to fall further with the unemployment rate expected to be just 3 and three quarters of a per cent by the June quarter of 2023, compared with the 4 and three quarters of a per cent forecast in the 2021-22 Budge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03145" cy="2303145"/>
                          </a:xfrm>
                          <a:prstGeom prst="rect">
                            <a:avLst/>
                          </a:prstGeom>
                          <a:noFill/>
                          <a:ln>
                            <a:noFill/>
                          </a:ln>
                        </pic:spPr>
                      </pic:pic>
                    </a:graphicData>
                  </a:graphic>
                </wp:inline>
              </w:drawing>
            </w:r>
          </w:p>
        </w:tc>
      </w:tr>
      <w:tr w:rsidR="002F5E31" w14:paraId="42EE022D" w14:textId="77777777" w:rsidTr="00D72FAE">
        <w:trPr>
          <w:trHeight w:val="175"/>
        </w:trPr>
        <w:tc>
          <w:tcPr>
            <w:tcW w:w="3930" w:type="dxa"/>
            <w:hideMark/>
          </w:tcPr>
          <w:p w14:paraId="2EE13872" w14:textId="3E32A62A" w:rsidR="002F5E31" w:rsidRDefault="002F5E31" w:rsidP="00906A84">
            <w:pPr>
              <w:pStyle w:val="Source"/>
            </w:pPr>
            <w:r>
              <w:t>Source: ABS Labour Force and Treasury.</w:t>
            </w:r>
          </w:p>
        </w:tc>
        <w:tc>
          <w:tcPr>
            <w:tcW w:w="3899" w:type="dxa"/>
            <w:hideMark/>
          </w:tcPr>
          <w:p w14:paraId="113F42B0" w14:textId="2243DD0B" w:rsidR="002F5E31" w:rsidRDefault="002F5E31" w:rsidP="00906A84">
            <w:pPr>
              <w:pStyle w:val="Source"/>
            </w:pPr>
            <w:r>
              <w:t>Source: ABS Labour Force and Treasury.</w:t>
            </w:r>
          </w:p>
        </w:tc>
      </w:tr>
    </w:tbl>
    <w:p w14:paraId="1871AC95" w14:textId="1F364E9E" w:rsidR="00691DC6" w:rsidRPr="009E70C0" w:rsidRDefault="00733707" w:rsidP="00F030FB">
      <w:pPr>
        <w:spacing w:before="240"/>
        <w:rPr>
          <w:b/>
        </w:rPr>
      </w:pPr>
      <w:r w:rsidRPr="00B96121">
        <w:t xml:space="preserve">The </w:t>
      </w:r>
      <w:r w:rsidR="00373BE4">
        <w:t xml:space="preserve">strength in the labour market is expected to continue to encourage </w:t>
      </w:r>
      <w:r w:rsidRPr="00CF4731">
        <w:t>participation</w:t>
      </w:r>
      <w:r w:rsidR="000C617D">
        <w:rPr>
          <w:bCs/>
        </w:rPr>
        <w:t xml:space="preserve"> </w:t>
      </w:r>
      <w:r w:rsidR="00112F3B">
        <w:rPr>
          <w:bCs/>
        </w:rPr>
        <w:t xml:space="preserve">as employment growth and </w:t>
      </w:r>
      <w:r w:rsidR="00C92513">
        <w:rPr>
          <w:bCs/>
        </w:rPr>
        <w:t>higher</w:t>
      </w:r>
      <w:r w:rsidR="00112F3B">
        <w:rPr>
          <w:bCs/>
        </w:rPr>
        <w:t xml:space="preserve"> wages draw people into the labour market</w:t>
      </w:r>
      <w:r w:rsidR="0013767B">
        <w:rPr>
          <w:bCs/>
        </w:rPr>
        <w:t>, providing more labour supply in response to strong demand</w:t>
      </w:r>
      <w:r w:rsidR="00111A07">
        <w:rPr>
          <w:bCs/>
        </w:rPr>
        <w:t xml:space="preserve">. </w:t>
      </w:r>
      <w:r w:rsidR="00C172DE">
        <w:rPr>
          <w:bCs/>
        </w:rPr>
        <w:t xml:space="preserve">The </w:t>
      </w:r>
      <w:r w:rsidR="00C172DE" w:rsidRPr="002E4C8F">
        <w:rPr>
          <w:b/>
        </w:rPr>
        <w:t>participation rate</w:t>
      </w:r>
      <w:r w:rsidR="00C172DE">
        <w:rPr>
          <w:bCs/>
        </w:rPr>
        <w:t xml:space="preserve"> reached a new record high of 66.4 per cent in February 2022, recovering more quickly than was expected in late 2021</w:t>
      </w:r>
      <w:r w:rsidR="00111A07">
        <w:rPr>
          <w:bCs/>
        </w:rPr>
        <w:t xml:space="preserve">. </w:t>
      </w:r>
      <w:r w:rsidR="00C262EC">
        <w:rPr>
          <w:bCs/>
        </w:rPr>
        <w:t>T</w:t>
      </w:r>
      <w:r w:rsidR="000C617D">
        <w:rPr>
          <w:bCs/>
        </w:rPr>
        <w:t xml:space="preserve">he </w:t>
      </w:r>
      <w:r w:rsidR="000C617D" w:rsidRPr="002E4C8F">
        <w:t>participation rate</w:t>
      </w:r>
      <w:r w:rsidR="000C617D">
        <w:rPr>
          <w:bCs/>
        </w:rPr>
        <w:t xml:space="preserve"> </w:t>
      </w:r>
      <w:r w:rsidR="000C617D">
        <w:t xml:space="preserve">is </w:t>
      </w:r>
      <w:r w:rsidR="000C617D">
        <w:rPr>
          <w:bCs/>
        </w:rPr>
        <w:t xml:space="preserve">forecast to </w:t>
      </w:r>
      <w:r w:rsidR="0014724C">
        <w:rPr>
          <w:bCs/>
        </w:rPr>
        <w:t xml:space="preserve">be at </w:t>
      </w:r>
      <w:r w:rsidR="000C617D">
        <w:rPr>
          <w:bCs/>
        </w:rPr>
        <w:t xml:space="preserve">a record high of </w:t>
      </w:r>
      <w:r w:rsidR="006C7E59">
        <w:rPr>
          <w:bCs/>
        </w:rPr>
        <w:t>66½</w:t>
      </w:r>
      <w:r w:rsidR="00150012">
        <w:rPr>
          <w:bCs/>
        </w:rPr>
        <w:t> </w:t>
      </w:r>
      <w:r w:rsidR="006C7E59">
        <w:rPr>
          <w:bCs/>
        </w:rPr>
        <w:t>per</w:t>
      </w:r>
      <w:r w:rsidR="00150012">
        <w:rPr>
          <w:bCs/>
        </w:rPr>
        <w:t> </w:t>
      </w:r>
      <w:r w:rsidR="006C7E59">
        <w:rPr>
          <w:bCs/>
        </w:rPr>
        <w:t xml:space="preserve">cent </w:t>
      </w:r>
      <w:r w:rsidR="004D000B">
        <w:rPr>
          <w:bCs/>
        </w:rPr>
        <w:t xml:space="preserve">by </w:t>
      </w:r>
      <w:r w:rsidR="000C617D">
        <w:rPr>
          <w:bCs/>
        </w:rPr>
        <w:t xml:space="preserve">the </w:t>
      </w:r>
      <w:r w:rsidR="006C7E59">
        <w:rPr>
          <w:bCs/>
        </w:rPr>
        <w:t>June</w:t>
      </w:r>
      <w:r w:rsidR="0098307C">
        <w:rPr>
          <w:bCs/>
        </w:rPr>
        <w:t> </w:t>
      </w:r>
      <w:r w:rsidR="006C7E59">
        <w:rPr>
          <w:bCs/>
        </w:rPr>
        <w:t xml:space="preserve">quarter of 2022 and remain there </w:t>
      </w:r>
      <w:r w:rsidR="009F6FB7">
        <w:rPr>
          <w:bCs/>
        </w:rPr>
        <w:t>through 2023</w:t>
      </w:r>
      <w:r w:rsidR="00111A07">
        <w:rPr>
          <w:bCs/>
        </w:rPr>
        <w:noBreakHyphen/>
      </w:r>
      <w:r w:rsidR="009F6FB7">
        <w:rPr>
          <w:bCs/>
        </w:rPr>
        <w:t>24</w:t>
      </w:r>
      <w:r w:rsidR="00C9295C">
        <w:rPr>
          <w:bCs/>
        </w:rPr>
        <w:t xml:space="preserve">, with </w:t>
      </w:r>
      <w:r w:rsidR="00B87B30">
        <w:rPr>
          <w:bCs/>
        </w:rPr>
        <w:t>population ag</w:t>
      </w:r>
      <w:r w:rsidR="006A535D">
        <w:rPr>
          <w:bCs/>
        </w:rPr>
        <w:t>e</w:t>
      </w:r>
      <w:r w:rsidR="00B87B30">
        <w:rPr>
          <w:bCs/>
        </w:rPr>
        <w:t xml:space="preserve">ing dragging against </w:t>
      </w:r>
      <w:r w:rsidR="00A376D5">
        <w:rPr>
          <w:bCs/>
        </w:rPr>
        <w:t xml:space="preserve">the </w:t>
      </w:r>
      <w:r w:rsidR="00B87B30">
        <w:rPr>
          <w:bCs/>
        </w:rPr>
        <w:t>strength</w:t>
      </w:r>
      <w:r w:rsidR="00A376D5">
        <w:rPr>
          <w:bCs/>
        </w:rPr>
        <w:t xml:space="preserve"> in the labour market</w:t>
      </w:r>
      <w:r w:rsidR="00B87B30">
        <w:rPr>
          <w:bCs/>
        </w:rPr>
        <w:t xml:space="preserve"> and limiting further </w:t>
      </w:r>
      <w:r w:rsidR="00A376D5">
        <w:rPr>
          <w:bCs/>
        </w:rPr>
        <w:t>increases</w:t>
      </w:r>
      <w:r w:rsidR="00111A07">
        <w:rPr>
          <w:bCs/>
        </w:rPr>
        <w:t xml:space="preserve">. </w:t>
      </w:r>
    </w:p>
    <w:p w14:paraId="75A63C74" w14:textId="37456BAC" w:rsidR="006D3B2D" w:rsidRDefault="00AA17C7" w:rsidP="00DB56C1">
      <w:pPr>
        <w:rPr>
          <w:rFonts w:asciiTheme="minorHAnsi" w:eastAsiaTheme="minorEastAsia" w:hAnsiTheme="minorHAnsi" w:cstheme="minorBidi"/>
        </w:rPr>
      </w:pPr>
      <w:r>
        <w:rPr>
          <w:b/>
          <w:bCs/>
        </w:rPr>
        <w:t>W</w:t>
      </w:r>
      <w:r w:rsidR="0020561E" w:rsidRPr="0020561E">
        <w:rPr>
          <w:b/>
          <w:bCs/>
        </w:rPr>
        <w:t>age growth</w:t>
      </w:r>
      <w:r w:rsidR="0020561E" w:rsidRPr="004364FB">
        <w:t xml:space="preserve"> </w:t>
      </w:r>
      <w:r w:rsidR="0020561E">
        <w:t xml:space="preserve">is </w:t>
      </w:r>
      <w:r w:rsidR="0020561E" w:rsidRPr="004364FB">
        <w:t xml:space="preserve">expected to </w:t>
      </w:r>
      <w:r w:rsidR="0020561E">
        <w:t xml:space="preserve">build across </w:t>
      </w:r>
      <w:r w:rsidR="006D3B2D">
        <w:t>the forecast period</w:t>
      </w:r>
      <w:r w:rsidR="00A17529">
        <w:t xml:space="preserve"> as the </w:t>
      </w:r>
      <w:r w:rsidR="008F218E">
        <w:t xml:space="preserve">labour market remains tight and the </w:t>
      </w:r>
      <w:r w:rsidR="00A17529">
        <w:t xml:space="preserve">unemployment rate remains below the </w:t>
      </w:r>
      <w:r w:rsidR="000E25E8">
        <w:t>NAIRU</w:t>
      </w:r>
      <w:r w:rsidR="00111A07">
        <w:t xml:space="preserve">. </w:t>
      </w:r>
      <w:r w:rsidR="00D63A93">
        <w:t>Wage growth</w:t>
      </w:r>
      <w:r w:rsidR="00E71B4E">
        <w:t xml:space="preserve">, as measured by the </w:t>
      </w:r>
      <w:r w:rsidR="00157DDC">
        <w:t>Wage Price Index (WPI)</w:t>
      </w:r>
      <w:r w:rsidR="00E71B4E">
        <w:t>,</w:t>
      </w:r>
      <w:r w:rsidR="00D63A93">
        <w:t xml:space="preserve"> </w:t>
      </w:r>
      <w:r w:rsidR="00157DDC">
        <w:t>increased to 2.3 per cent through the year to</w:t>
      </w:r>
      <w:r w:rsidR="00AE7FDF">
        <w:t> </w:t>
      </w:r>
      <w:r w:rsidR="00157DDC">
        <w:t>the December quarter of 2021</w:t>
      </w:r>
      <w:r w:rsidR="7E8710AF">
        <w:t xml:space="preserve"> and </w:t>
      </w:r>
      <w:r w:rsidR="00D63A93">
        <w:t xml:space="preserve">is forecast to </w:t>
      </w:r>
      <w:r w:rsidR="0078626D">
        <w:t>rise to</w:t>
      </w:r>
      <w:r w:rsidR="00D63A93">
        <w:t xml:space="preserve"> 2¾ per cent through the year to the June quarter of 2022</w:t>
      </w:r>
      <w:r w:rsidR="00B35036">
        <w:t xml:space="preserve"> and</w:t>
      </w:r>
      <w:r w:rsidR="00D63A93">
        <w:t xml:space="preserve"> 3</w:t>
      </w:r>
      <w:r w:rsidR="00B35036">
        <w:t>¼</w:t>
      </w:r>
      <w:r w:rsidR="0098307C">
        <w:t> </w:t>
      </w:r>
      <w:r w:rsidR="00D63A93">
        <w:t>per cent through the year to the June quarter</w:t>
      </w:r>
      <w:r w:rsidR="00F61C86">
        <w:t>s</w:t>
      </w:r>
      <w:r w:rsidR="00D63A93">
        <w:t xml:space="preserve"> of 2023</w:t>
      </w:r>
      <w:r w:rsidR="00B35036">
        <w:t xml:space="preserve"> </w:t>
      </w:r>
      <w:r w:rsidR="00D63A93">
        <w:t>and 2024</w:t>
      </w:r>
      <w:r w:rsidR="004C3817">
        <w:t>, which would be the fastest pace in a</w:t>
      </w:r>
      <w:r w:rsidR="00295B57">
        <w:t xml:space="preserve">lmost </w:t>
      </w:r>
      <w:r w:rsidR="004C3817">
        <w:t>a decade</w:t>
      </w:r>
      <w:r w:rsidR="00111A07">
        <w:t xml:space="preserve">. </w:t>
      </w:r>
    </w:p>
    <w:p w14:paraId="49ECF1F4" w14:textId="78E01D87" w:rsidR="00D87A87" w:rsidRDefault="00157DDC" w:rsidP="00DB56C1">
      <w:r>
        <w:t xml:space="preserve">The outlook is even stronger based on </w:t>
      </w:r>
      <w:r w:rsidR="2206C226">
        <w:t xml:space="preserve">the </w:t>
      </w:r>
      <w:r w:rsidR="47CBBC2A">
        <w:t>broader</w:t>
      </w:r>
      <w:r w:rsidR="2206C226">
        <w:t xml:space="preserve"> National Accounts measure of</w:t>
      </w:r>
      <w:r w:rsidR="0747BFB4">
        <w:t xml:space="preserve"> average earnings</w:t>
      </w:r>
      <w:r w:rsidR="00CA4198">
        <w:t xml:space="preserve"> (AENA)</w:t>
      </w:r>
      <w:r w:rsidR="0747BFB4">
        <w:t xml:space="preserve">, </w:t>
      </w:r>
      <w:r w:rsidR="00B8517D">
        <w:t xml:space="preserve">which captures </w:t>
      </w:r>
      <w:r w:rsidR="00956DD3">
        <w:t xml:space="preserve">total renumeration including bonuses, overtime </w:t>
      </w:r>
      <w:r w:rsidR="00B45B92">
        <w:t>and allowances</w:t>
      </w:r>
      <w:r w:rsidR="002F5356">
        <w:t>,</w:t>
      </w:r>
      <w:r w:rsidR="00870688">
        <w:t xml:space="preserve"> as well as the effect of workers gaining promotions or changing jobs as they take advantage of tight labour market conditions</w:t>
      </w:r>
      <w:r w:rsidR="00111A07">
        <w:t xml:space="preserve">. </w:t>
      </w:r>
      <w:r w:rsidR="00B8517D">
        <w:t>A</w:t>
      </w:r>
      <w:r w:rsidR="00EF5F84">
        <w:t xml:space="preserve">t </w:t>
      </w:r>
      <w:r w:rsidR="005E3596">
        <w:t>a</w:t>
      </w:r>
      <w:r w:rsidR="00EF5F84">
        <w:t xml:space="preserve"> time of high mobility and tightness in the labour market, </w:t>
      </w:r>
      <w:r w:rsidR="009F0528">
        <w:t xml:space="preserve">AENA </w:t>
      </w:r>
      <w:r w:rsidR="00EF5F84">
        <w:t xml:space="preserve">presents a </w:t>
      </w:r>
      <w:r w:rsidR="00AD7639">
        <w:t xml:space="preserve">more representative </w:t>
      </w:r>
      <w:r w:rsidR="00EF5F84">
        <w:t xml:space="preserve">measure of </w:t>
      </w:r>
      <w:r w:rsidR="006D475F">
        <w:t>wages</w:t>
      </w:r>
      <w:r w:rsidR="00111A07">
        <w:t xml:space="preserve">. </w:t>
      </w:r>
      <w:r w:rsidR="007B5420">
        <w:t>Wages including bonus</w:t>
      </w:r>
      <w:r w:rsidR="00115868">
        <w:t>es</w:t>
      </w:r>
      <w:r w:rsidR="007B5420">
        <w:t xml:space="preserve"> have picked up in recent quarters and </w:t>
      </w:r>
      <w:r w:rsidR="006D475F">
        <w:t>Single Touch Payroll data shows that workers who moved jobs in mid</w:t>
      </w:r>
      <w:r w:rsidR="00111A07">
        <w:noBreakHyphen/>
      </w:r>
      <w:r w:rsidR="006D475F">
        <w:t>2021 typically experienced pay increases of between 8</w:t>
      </w:r>
      <w:r w:rsidR="00111A07">
        <w:noBreakHyphen/>
      </w:r>
      <w:r w:rsidR="006D475F">
        <w:t>10 per cent</w:t>
      </w:r>
      <w:r w:rsidR="00111A07">
        <w:t xml:space="preserve">. </w:t>
      </w:r>
    </w:p>
    <w:p w14:paraId="0BC93C48" w14:textId="7DE0DE28" w:rsidR="002A1BDB" w:rsidRDefault="00895CB2" w:rsidP="00DB56C1">
      <w:r>
        <w:lastRenderedPageBreak/>
        <w:t>AENA</w:t>
      </w:r>
      <w:r w:rsidR="008413BF">
        <w:t xml:space="preserve"> on an hourly basis</w:t>
      </w:r>
      <w:r w:rsidR="47CBBC2A">
        <w:t xml:space="preserve"> </w:t>
      </w:r>
      <w:r w:rsidR="0747BFB4">
        <w:t>has</w:t>
      </w:r>
      <w:r w:rsidR="47CBBC2A">
        <w:t xml:space="preserve"> grown much faster than </w:t>
      </w:r>
      <w:r w:rsidR="00F61C86">
        <w:t xml:space="preserve">the </w:t>
      </w:r>
      <w:r w:rsidR="47CBBC2A">
        <w:t>WPI,</w:t>
      </w:r>
      <w:r w:rsidR="28E20BF9">
        <w:t xml:space="preserve"> </w:t>
      </w:r>
      <w:r w:rsidR="47CBBC2A">
        <w:t xml:space="preserve">at </w:t>
      </w:r>
      <w:r w:rsidR="28E20BF9">
        <w:t>3</w:t>
      </w:r>
      <w:r w:rsidR="47CBBC2A">
        <w:t>.</w:t>
      </w:r>
      <w:r w:rsidR="00FE02A9">
        <w:t>5</w:t>
      </w:r>
      <w:r w:rsidR="0085588A">
        <w:t> </w:t>
      </w:r>
      <w:r w:rsidR="47CBBC2A">
        <w:t xml:space="preserve">per cent through the year to </w:t>
      </w:r>
      <w:r w:rsidR="002D5873">
        <w:t xml:space="preserve">the </w:t>
      </w:r>
      <w:r w:rsidR="47CBBC2A">
        <w:t>December quarter of 2021,</w:t>
      </w:r>
      <w:r w:rsidR="0747BFB4">
        <w:t xml:space="preserve"> which</w:t>
      </w:r>
      <w:r w:rsidR="00157DDC" w:rsidDel="47CBBC2A">
        <w:t xml:space="preserve"> </w:t>
      </w:r>
      <w:r w:rsidR="28E20BF9">
        <w:t>aligns</w:t>
      </w:r>
      <w:r w:rsidR="47CBBC2A">
        <w:t xml:space="preserve"> with business liaison reports</w:t>
      </w:r>
      <w:r w:rsidR="00157DDC" w:rsidDel="47CBBC2A">
        <w:t xml:space="preserve"> </w:t>
      </w:r>
      <w:r w:rsidR="47CBBC2A">
        <w:t>that many firms are paying non</w:t>
      </w:r>
      <w:r w:rsidR="00111A07">
        <w:noBreakHyphen/>
      </w:r>
      <w:r w:rsidR="47CBBC2A">
        <w:t>wage benefits to attract and retain staff</w:t>
      </w:r>
      <w:r w:rsidR="00111A07">
        <w:t xml:space="preserve">. </w:t>
      </w:r>
      <w:r w:rsidR="002A1BDB">
        <w:t xml:space="preserve">The difference between these </w:t>
      </w:r>
      <w:r w:rsidR="00D339DE">
        <w:t>2</w:t>
      </w:r>
      <w:r w:rsidR="002A1BDB">
        <w:t xml:space="preserve"> measures of wages</w:t>
      </w:r>
      <w:r w:rsidR="00B35036">
        <w:t xml:space="preserve"> is </w:t>
      </w:r>
      <w:r w:rsidR="002A1BDB">
        <w:t xml:space="preserve">expected to persist </w:t>
      </w:r>
      <w:r w:rsidR="00583D1A">
        <w:t>over</w:t>
      </w:r>
      <w:r w:rsidR="002A1BDB">
        <w:t xml:space="preserve"> the </w:t>
      </w:r>
      <w:r w:rsidR="00CA2C2D">
        <w:t xml:space="preserve">forecast </w:t>
      </w:r>
      <w:r w:rsidR="002A1BDB">
        <w:t>period</w:t>
      </w:r>
      <w:r w:rsidR="00111A07">
        <w:t xml:space="preserve">. </w:t>
      </w:r>
      <w:r w:rsidR="002A1BDB">
        <w:t xml:space="preserve">Historical evidence shows that AENA is much more responsive </w:t>
      </w:r>
      <w:r w:rsidR="00CA2C2D">
        <w:t xml:space="preserve">to </w:t>
      </w:r>
      <w:r w:rsidR="002A1BDB">
        <w:t>economic fluctuations, and the gap between AENA and WPI is often sustained for several years (Chart 2.</w:t>
      </w:r>
      <w:r w:rsidR="00E23BD5">
        <w:t>2</w:t>
      </w:r>
      <w:r w:rsidR="00EB7FC7">
        <w:t>0</w:t>
      </w:r>
      <w:r w:rsidR="002A1BDB">
        <w:t>)</w:t>
      </w:r>
      <w:r w:rsidR="00F92744">
        <w:t>.</w:t>
      </w:r>
    </w:p>
    <w:p w14:paraId="28D4976F" w14:textId="43A48159" w:rsidR="00157DDC" w:rsidRDefault="00CA4198" w:rsidP="00DB56C1">
      <w:r>
        <w:t>A</w:t>
      </w:r>
      <w:r w:rsidR="00F61C86">
        <w:t>ENA</w:t>
      </w:r>
      <w:r w:rsidR="00585697">
        <w:t xml:space="preserve"> per hour</w:t>
      </w:r>
      <w:r w:rsidR="00B35036">
        <w:t xml:space="preserve"> is </w:t>
      </w:r>
      <w:r w:rsidR="00CA2C2D">
        <w:t xml:space="preserve">forecast to </w:t>
      </w:r>
      <w:r w:rsidR="0078626D">
        <w:t>grow by</w:t>
      </w:r>
      <w:r w:rsidR="00CA2C2D">
        <w:t xml:space="preserve"> 5 per cent through the year to the June quarter of </w:t>
      </w:r>
      <w:r w:rsidR="0078626D">
        <w:t>2022</w:t>
      </w:r>
      <w:r w:rsidR="00CA2C2D">
        <w:t>, 3</w:t>
      </w:r>
      <w:r w:rsidR="00E24CA0">
        <w:t>½</w:t>
      </w:r>
      <w:r w:rsidR="0098307C">
        <w:t> </w:t>
      </w:r>
      <w:r w:rsidR="00CA2C2D">
        <w:t xml:space="preserve">per cent through the year to June quarter of 2023 and </w:t>
      </w:r>
      <w:r w:rsidR="00D37F8A">
        <w:t xml:space="preserve">3¾ per cent through the year to </w:t>
      </w:r>
      <w:r w:rsidR="006F7038">
        <w:t xml:space="preserve">the </w:t>
      </w:r>
      <w:r w:rsidR="00D37F8A">
        <w:t>June quarter of 2024</w:t>
      </w:r>
      <w:r w:rsidR="00111A07">
        <w:t xml:space="preserve">. </w:t>
      </w:r>
    </w:p>
    <w:p w14:paraId="3E677824" w14:textId="2278CD08" w:rsidR="00E91D3D" w:rsidRDefault="00E91D3D" w:rsidP="00DB56C1">
      <w:r>
        <w:rPr>
          <w:b/>
        </w:rPr>
        <w:t>R</w:t>
      </w:r>
      <w:r w:rsidRPr="00F9600A">
        <w:rPr>
          <w:b/>
        </w:rPr>
        <w:t>eal wages</w:t>
      </w:r>
      <w:r w:rsidRPr="00DA4913">
        <w:rPr>
          <w:bCs/>
        </w:rPr>
        <w:t>,</w:t>
      </w:r>
      <w:r>
        <w:t xml:space="preserve"> based on the broader measure of wages, AENA </w:t>
      </w:r>
      <w:r w:rsidRPr="00DA4913">
        <w:rPr>
          <w:bCs/>
        </w:rPr>
        <w:t xml:space="preserve">per hour, </w:t>
      </w:r>
      <w:r>
        <w:t>are forecast to increase across every year of the forecast period</w:t>
      </w:r>
      <w:r>
        <w:rPr>
          <w:bCs/>
        </w:rPr>
        <w:t>.</w:t>
      </w:r>
    </w:p>
    <w:p w14:paraId="3D61AC72" w14:textId="3E3FAEC8" w:rsidR="0098307C" w:rsidRDefault="0098307C" w:rsidP="0098307C">
      <w:pPr>
        <w:pStyle w:val="ChartHeading"/>
      </w:pPr>
      <w:r>
        <w:t>Chart 2.</w:t>
      </w:r>
      <w:r w:rsidR="00AF4232">
        <w:t>2</w:t>
      </w:r>
      <w:r w:rsidR="00EB7FC7">
        <w:t>0</w:t>
      </w:r>
      <w:r>
        <w:t xml:space="preserve">: AENA </w:t>
      </w:r>
      <w:r w:rsidR="00474483">
        <w:t xml:space="preserve">per hour </w:t>
      </w:r>
      <w:r>
        <w:t>and WPI</w:t>
      </w:r>
    </w:p>
    <w:p w14:paraId="04B2AB5A" w14:textId="093E275D" w:rsidR="0098307C" w:rsidRDefault="00510051" w:rsidP="0098307C">
      <w:pPr>
        <w:pStyle w:val="ChartGraphic"/>
      </w:pPr>
      <w:r w:rsidRPr="00510051">
        <w:rPr>
          <w:noProof/>
        </w:rPr>
        <w:drawing>
          <wp:inline distT="0" distB="0" distL="0" distR="0" wp14:anchorId="306CFDC7" wp14:editId="33AC41B3">
            <wp:extent cx="4686300" cy="2647950"/>
            <wp:effectExtent l="0" t="0" r="0" b="0"/>
            <wp:docPr id="1342296273" name="Picture 1342296273" descr="This chart compares the historical and Budget forecasts for through-the-year growth rates for the AENA per hour series and the WPI series. It shows that  for AENA per hours series will outpace the WPI series over the forecasts, and this is not unique in histor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96273" name="Picture 1342296273" descr="This chart compares the historical and Budget forecasts for through-the-year growth rates for the AENA per hour series and the WPI series. It shows that  for AENA per hours series will outpace the WPI series over the forecasts, and this is not unique in history.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86300" cy="2647950"/>
                    </a:xfrm>
                    <a:prstGeom prst="rect">
                      <a:avLst/>
                    </a:prstGeom>
                    <a:noFill/>
                    <a:ln>
                      <a:noFill/>
                    </a:ln>
                  </pic:spPr>
                </pic:pic>
              </a:graphicData>
            </a:graphic>
          </wp:inline>
        </w:drawing>
      </w:r>
    </w:p>
    <w:p w14:paraId="08E8ECBE" w14:textId="7B11C1B4" w:rsidR="0098307C" w:rsidRPr="0098307C" w:rsidRDefault="0098307C" w:rsidP="0098307C">
      <w:pPr>
        <w:pStyle w:val="Source"/>
      </w:pPr>
      <w:r>
        <w:t xml:space="preserve">Source: </w:t>
      </w:r>
      <w:r w:rsidR="004762C9">
        <w:t>ABS National Accounts: National Income, Expenditure and Product,</w:t>
      </w:r>
      <w:r>
        <w:t xml:space="preserve"> </w:t>
      </w:r>
      <w:r w:rsidR="006B3796">
        <w:t>ABS Labour Force and Wage Price Index</w:t>
      </w:r>
      <w:r w:rsidR="004762C9">
        <w:t>, and Treasury.</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0B75B8" w14:paraId="3FA1FAD5" w14:textId="77777777" w:rsidTr="007E11C4">
        <w:trPr>
          <w:cantSplit/>
        </w:trPr>
        <w:tc>
          <w:tcPr>
            <w:tcW w:w="5000" w:type="pct"/>
            <w:shd w:val="clear" w:color="auto" w:fill="F2F9FC"/>
          </w:tcPr>
          <w:p w14:paraId="37DA2B83" w14:textId="17D490DD" w:rsidR="000B75B8" w:rsidRDefault="000B75B8" w:rsidP="007E11C4">
            <w:pPr>
              <w:pStyle w:val="BoxHeading"/>
            </w:pPr>
            <w:r>
              <w:lastRenderedPageBreak/>
              <w:t>Box 2</w:t>
            </w:r>
            <w:r w:rsidRPr="001312A9">
              <w:t>.</w:t>
            </w:r>
            <w:r w:rsidR="00015A7B">
              <w:t>5</w:t>
            </w:r>
            <w:r w:rsidDel="00370AEB">
              <w:t>:</w:t>
            </w:r>
            <w:r>
              <w:t xml:space="preserve"> Sensitivity of the economic forecasts to the NAIRU </w:t>
            </w:r>
          </w:p>
          <w:p w14:paraId="47C40CCB" w14:textId="34698604" w:rsidR="000B75B8" w:rsidRDefault="000B75B8" w:rsidP="007E11C4">
            <w:pPr>
              <w:pStyle w:val="BoxText"/>
            </w:pPr>
            <w:r>
              <w:t>The NAIRU represents the level of the unemployment rate associated with stable growth in wages and prices</w:t>
            </w:r>
            <w:r w:rsidR="00111A07">
              <w:t xml:space="preserve">. </w:t>
            </w:r>
            <w:r>
              <w:t>The difference between the NAIRU and the unemployment rate is one measure of how much spare capacity there is in the labour market and economy</w:t>
            </w:r>
            <w:r w:rsidR="00111A07">
              <w:t xml:space="preserve">. </w:t>
            </w:r>
            <w:r>
              <w:t>The NAIRU</w:t>
            </w:r>
            <w:r w:rsidDel="00815521">
              <w:t xml:space="preserve"> assumption underpinning the economic forecasts </w:t>
            </w:r>
            <w:r>
              <w:t>in this Budget is 4¼ per cent.</w:t>
            </w:r>
          </w:p>
          <w:p w14:paraId="472B972C" w14:textId="72A7BC06" w:rsidR="000B75B8" w:rsidRDefault="000B75B8" w:rsidP="007E11C4">
            <w:pPr>
              <w:pStyle w:val="BoxText"/>
            </w:pPr>
            <w:r>
              <w:t>Treasury has previously assumed the NAIRU to be 4¾ per cent, based on historical economic data and econometric analysis.</w:t>
            </w:r>
            <w:r>
              <w:rPr>
                <w:rStyle w:val="FootnoteReference"/>
              </w:rPr>
              <w:footnoteReference w:id="2"/>
            </w:r>
            <w:r>
              <w:t xml:space="preserve"> However,</w:t>
            </w:r>
            <w:r w:rsidDel="00A00AB7">
              <w:t xml:space="preserve"> the unemployment rate </w:t>
            </w:r>
            <w:r>
              <w:t>has fallen faster and lower than previously expected, without generating substantial wage increases</w:t>
            </w:r>
            <w:r w:rsidR="00111A07">
              <w:t xml:space="preserve">. </w:t>
            </w:r>
          </w:p>
          <w:p w14:paraId="6E533B23" w14:textId="64500C22" w:rsidR="000B75B8" w:rsidRDefault="000B75B8" w:rsidP="007E11C4">
            <w:pPr>
              <w:pStyle w:val="BoxText"/>
            </w:pPr>
            <w:r>
              <w:t>The underlying level of spare capacity and underemployment present in the economy may not have been captured in the previous NAIRU assumption</w:t>
            </w:r>
            <w:r w:rsidR="00111A07">
              <w:t xml:space="preserve">. </w:t>
            </w:r>
            <w:r>
              <w:t>Additionally, structural changes may have altered the wage and price setting dynamics in a way which was not fully reflected in earlier estimates</w:t>
            </w:r>
            <w:r w:rsidR="00111A07">
              <w:t xml:space="preserve">. </w:t>
            </w:r>
          </w:p>
          <w:p w14:paraId="0A10AAD9" w14:textId="2BCF2271" w:rsidR="000B75B8" w:rsidRDefault="000B75B8" w:rsidP="007E11C4">
            <w:pPr>
              <w:pStyle w:val="BoxText"/>
            </w:pPr>
            <w:r w:rsidRPr="00692FC8">
              <w:t>Australia</w:t>
            </w:r>
            <w:r w:rsidR="00111A07">
              <w:t>’</w:t>
            </w:r>
            <w:r w:rsidRPr="00692FC8">
              <w:t xml:space="preserve">s experience of </w:t>
            </w:r>
            <w:r>
              <w:t>low unemployment and wage growth is not unique</w:t>
            </w:r>
            <w:r w:rsidR="00111A07">
              <w:t xml:space="preserve">. </w:t>
            </w:r>
            <w:r>
              <w:t>M</w:t>
            </w:r>
            <w:r w:rsidRPr="00374726">
              <w:t>any</w:t>
            </w:r>
            <w:r w:rsidRPr="00692FC8">
              <w:t xml:space="preserve"> major economies </w:t>
            </w:r>
            <w:r w:rsidRPr="00692FC8" w:rsidDel="00E9587B">
              <w:t>including the United States, Japan and the United</w:t>
            </w:r>
            <w:r w:rsidR="00AE7FDF">
              <w:t> </w:t>
            </w:r>
            <w:r w:rsidRPr="00692FC8" w:rsidDel="00E9587B">
              <w:t xml:space="preserve">Kingdom </w:t>
            </w:r>
            <w:r>
              <w:t>experienced</w:t>
            </w:r>
            <w:r w:rsidRPr="00692FC8">
              <w:t xml:space="preserve"> decade low unemployment rates prior to COVID</w:t>
            </w:r>
            <w:r w:rsidR="00111A07">
              <w:noBreakHyphen/>
            </w:r>
            <w:r w:rsidRPr="00692FC8">
              <w:t xml:space="preserve">19 </w:t>
            </w:r>
            <w:r>
              <w:t>with</w:t>
            </w:r>
            <w:r w:rsidRPr="00374726">
              <w:t xml:space="preserve"> </w:t>
            </w:r>
            <w:r w:rsidRPr="00692FC8">
              <w:t>little wage pressure</w:t>
            </w:r>
            <w:r w:rsidR="00111A07">
              <w:t xml:space="preserve">. </w:t>
            </w:r>
          </w:p>
          <w:p w14:paraId="3C77077F" w14:textId="07651453" w:rsidR="000B75B8" w:rsidRDefault="000B75B8" w:rsidP="007E11C4">
            <w:pPr>
              <w:pStyle w:val="BoxText"/>
            </w:pPr>
            <w:r>
              <w:t xml:space="preserve">One way to understand the influence of the NAIRU </w:t>
            </w:r>
            <w:r w:rsidDel="00E9587B">
              <w:t xml:space="preserve">on the forecasts </w:t>
            </w:r>
            <w:r>
              <w:t>is through a concept known as the Phillips curve</w:t>
            </w:r>
            <w:r w:rsidR="00111A07">
              <w:t xml:space="preserve">. </w:t>
            </w:r>
            <w:r>
              <w:t>It</w:t>
            </w:r>
            <w:r w:rsidDel="00D27AC8">
              <w:t xml:space="preserve"> </w:t>
            </w:r>
            <w:r>
              <w:t>explains the trade</w:t>
            </w:r>
            <w:r w:rsidR="00111A07">
              <w:noBreakHyphen/>
            </w:r>
            <w:r>
              <w:t>off between the unemployment rate and stable wages or inflation</w:t>
            </w:r>
            <w:r w:rsidR="00111A07">
              <w:t xml:space="preserve">. </w:t>
            </w:r>
            <w:r>
              <w:t xml:space="preserve">An unemployment rate below the NAIRU </w:t>
            </w:r>
            <w:r w:rsidDel="00E9587B">
              <w:t>is associated with</w:t>
            </w:r>
            <w:r>
              <w:t xml:space="preserve"> higher wage and price growth, while an unemployment rate above the NAIRU </w:t>
            </w:r>
            <w:r w:rsidDel="00E9587B">
              <w:t>is associated with</w:t>
            </w:r>
            <w:r>
              <w:t xml:space="preserve"> lower wage and price growth</w:t>
            </w:r>
            <w:r w:rsidR="00111A07">
              <w:t xml:space="preserve">. </w:t>
            </w:r>
          </w:p>
          <w:p w14:paraId="3D67639C" w14:textId="0E10B1A9" w:rsidR="000B75B8" w:rsidRDefault="000B75B8" w:rsidP="007E11C4">
            <w:pPr>
              <w:pStyle w:val="BoxText"/>
            </w:pPr>
            <w:r>
              <w:t>T</w:t>
            </w:r>
            <w:r w:rsidRPr="00374726">
              <w:t>his box presents scenarios</w:t>
            </w:r>
            <w:r>
              <w:t xml:space="preserve"> t</w:t>
            </w:r>
            <w:r w:rsidRPr="00374726">
              <w:t>o</w:t>
            </w:r>
            <w:r>
              <w:t xml:space="preserve"> illustrate the impact the NAIRU assumption has on the forecasts</w:t>
            </w:r>
            <w:r w:rsidR="00111A07">
              <w:t xml:space="preserve">. </w:t>
            </w:r>
            <w:r>
              <w:t>One scenario has a higher NAIRU of 4¾ per cent and the other a lower NAIRU of 3¾ per cent (Chart 2.</w:t>
            </w:r>
            <w:r w:rsidRPr="008C38CE">
              <w:t>2</w:t>
            </w:r>
            <w:r w:rsidR="00F204BF">
              <w:t>1</w:t>
            </w:r>
            <w:r>
              <w:t>)</w:t>
            </w:r>
            <w:r w:rsidR="00111A07">
              <w:t xml:space="preserve">. </w:t>
            </w:r>
            <w:r>
              <w:t>The scenarios hold the unemployment rate at the Budget forecast to illustrate the impact on wages and prices</w:t>
            </w:r>
            <w:r w:rsidR="00111A07">
              <w:t xml:space="preserve">. </w:t>
            </w:r>
            <w:r>
              <w:t>As</w:t>
            </w:r>
            <w:r w:rsidR="00AE7FDF">
              <w:t> </w:t>
            </w:r>
            <w:r>
              <w:t>illustrative scenarios, these results assume there is no change in monetary policy that would offset some of these price changes.</w:t>
            </w:r>
          </w:p>
          <w:p w14:paraId="426534A8" w14:textId="7356636B" w:rsidR="000B75B8" w:rsidRDefault="000B75B8" w:rsidP="007E11C4">
            <w:pPr>
              <w:pStyle w:val="BoxText"/>
            </w:pPr>
            <w:r>
              <w:t>With the lower NAIRU assumption of 3¾ per cent, there is more spare capacity in the labour market compared to the Budget forecast</w:t>
            </w:r>
            <w:r w:rsidR="00111A07">
              <w:t xml:space="preserve">. </w:t>
            </w:r>
            <w:r>
              <w:t xml:space="preserve">This reduces annual wages growth to be ½ </w:t>
            </w:r>
            <w:r w:rsidR="00303FF0">
              <w:t xml:space="preserve">of a </w:t>
            </w:r>
            <w:r>
              <w:t>percentage point lower in 2022</w:t>
            </w:r>
            <w:r w:rsidR="00111A07">
              <w:noBreakHyphen/>
            </w:r>
            <w:r>
              <w:t xml:space="preserve">23 and ¾ </w:t>
            </w:r>
            <w:r w:rsidR="00925C4F">
              <w:t xml:space="preserve">of a </w:t>
            </w:r>
            <w:r>
              <w:t>percentage point lower in 2023</w:t>
            </w:r>
            <w:r w:rsidR="00111A07">
              <w:noBreakHyphen/>
            </w:r>
            <w:r>
              <w:t>24.</w:t>
            </w:r>
          </w:p>
        </w:tc>
      </w:tr>
      <w:tr w:rsidR="000B75B8" w:rsidRPr="00B96121" w14:paraId="50DC563D" w14:textId="77777777" w:rsidTr="00DB516C">
        <w:tblPrEx>
          <w:shd w:val="clear" w:color="auto" w:fill="F4FEFE"/>
        </w:tblPrEx>
        <w:trPr>
          <w:cantSplit/>
          <w:trHeight w:val="9641"/>
        </w:trPr>
        <w:tc>
          <w:tcPr>
            <w:tcW w:w="5000" w:type="pct"/>
            <w:shd w:val="clear" w:color="auto" w:fill="F2F9FC"/>
          </w:tcPr>
          <w:p w14:paraId="44208323" w14:textId="601A98B2" w:rsidR="000B75B8" w:rsidRDefault="000B75B8" w:rsidP="007E11C4">
            <w:pPr>
              <w:pStyle w:val="BoxHeading"/>
            </w:pPr>
            <w:r>
              <w:lastRenderedPageBreak/>
              <w:t xml:space="preserve"> Box 2</w:t>
            </w:r>
            <w:r w:rsidRPr="001312A9">
              <w:t>.</w:t>
            </w:r>
            <w:r w:rsidR="00015A7B">
              <w:t>5</w:t>
            </w:r>
            <w:r>
              <w:t>: Sensitivity of the economic forecasts to the NAIRU (continued)</w:t>
            </w:r>
          </w:p>
          <w:p w14:paraId="2E53B3AD" w14:textId="711D0E51" w:rsidR="000B75B8" w:rsidRDefault="000B75B8" w:rsidP="007E11C4">
            <w:pPr>
              <w:pStyle w:val="BoxText"/>
            </w:pPr>
            <w:r w:rsidRPr="00AA535D">
              <w:t xml:space="preserve">Over time lower wages growth leads to lower </w:t>
            </w:r>
            <w:r>
              <w:t xml:space="preserve">consumer price </w:t>
            </w:r>
            <w:r w:rsidRPr="00AA535D">
              <w:t>inflation, as firm costs are passed on to consumer prices</w:t>
            </w:r>
            <w:r w:rsidR="00111A07">
              <w:t xml:space="preserve">. </w:t>
            </w:r>
            <w:r>
              <w:t>CPI growth in the scenario is ¼ of a percentage point lower in 2022</w:t>
            </w:r>
            <w:r w:rsidR="00111A07">
              <w:noBreakHyphen/>
            </w:r>
            <w:r>
              <w:t>23 and ½ of a percentage point lower in 2023</w:t>
            </w:r>
            <w:r w:rsidR="00111A07">
              <w:noBreakHyphen/>
            </w:r>
            <w:r>
              <w:t>24</w:t>
            </w:r>
            <w:r w:rsidR="00111A07">
              <w:t xml:space="preserve">. </w:t>
            </w:r>
            <w:r>
              <w:t>In the June quarter of 2024, through the year growth in both wages and CPI is 2½</w:t>
            </w:r>
            <w:r w:rsidR="00674ED1">
              <w:t> </w:t>
            </w:r>
            <w:r>
              <w:t>per cent</w:t>
            </w:r>
            <w:r w:rsidR="00111A07">
              <w:t xml:space="preserve">. </w:t>
            </w:r>
          </w:p>
          <w:p w14:paraId="5C20C525" w14:textId="3EAD53D8" w:rsidR="000B75B8" w:rsidRDefault="000B75B8" w:rsidP="007E11C4">
            <w:pPr>
              <w:pStyle w:val="BoxText"/>
            </w:pPr>
            <w:r>
              <w:t>A higher NAIRU of 4¾ per cent results in an opposite impact, with through the year wages growth of 4 per cent in the June quarters of 2023 and 2024, and through the year CPI growth of 3¼ per cent in the June quarter 2024.</w:t>
            </w:r>
          </w:p>
          <w:p w14:paraId="7037F95A" w14:textId="74D6A635" w:rsidR="000B75B8" w:rsidRDefault="000B75B8" w:rsidP="007E11C4">
            <w:pPr>
              <w:pStyle w:val="BoxText"/>
            </w:pPr>
            <w:r w:rsidRPr="0093372F">
              <w:t>There is limited recent experience in Australia with an unemployment rate below 5</w:t>
            </w:r>
            <w:r>
              <w:t> </w:t>
            </w:r>
            <w:r w:rsidRPr="0093372F">
              <w:t>per</w:t>
            </w:r>
            <w:r>
              <w:t> </w:t>
            </w:r>
            <w:r w:rsidRPr="0093372F">
              <w:t xml:space="preserve">cent, adding to uncertainty around how wages respond in </w:t>
            </w:r>
            <w:r>
              <w:t>such an</w:t>
            </w:r>
            <w:r w:rsidRPr="0093372F">
              <w:t xml:space="preserve"> environment</w:t>
            </w:r>
            <w:r w:rsidR="00111A07">
              <w:t xml:space="preserve">. </w:t>
            </w:r>
            <w:r>
              <w:t>Regardless of the NAIRU assumption, it will take time for tightening labour market conditions to become a key driver of inflation</w:t>
            </w:r>
            <w:r w:rsidR="00111A07">
              <w:t xml:space="preserve">. </w:t>
            </w:r>
          </w:p>
          <w:p w14:paraId="2E65D487" w14:textId="7749084D" w:rsidR="000B75B8" w:rsidRDefault="000B75B8" w:rsidP="007E11C4">
            <w:pPr>
              <w:pStyle w:val="BoxText"/>
            </w:pPr>
            <w:r>
              <w:t>The large degree of uncertainty around technical estimates of the NAIRU suggests a degree of caution is required in framing fiscal and monetary policy</w:t>
            </w:r>
            <w:r w:rsidR="00111A07">
              <w:t xml:space="preserve">. </w:t>
            </w:r>
            <w:r>
              <w:t>Overestimating the NAIRU could see policy tighten prematurely and prevent Australia from attaining the goal of full employment</w:t>
            </w:r>
            <w:r w:rsidR="00111A07">
              <w:t xml:space="preserve">. </w:t>
            </w:r>
            <w:r w:rsidRPr="00692FC8">
              <w:t xml:space="preserve">Treasury </w:t>
            </w:r>
            <w:r>
              <w:t>will</w:t>
            </w:r>
            <w:r w:rsidRPr="00692FC8">
              <w:t xml:space="preserve"> </w:t>
            </w:r>
            <w:r>
              <w:t>continue</w:t>
            </w:r>
            <w:r w:rsidRPr="00692FC8">
              <w:t xml:space="preserve"> to review and assess </w:t>
            </w:r>
            <w:r>
              <w:t>the</w:t>
            </w:r>
            <w:r w:rsidRPr="00692FC8">
              <w:t xml:space="preserve"> NAIRU </w:t>
            </w:r>
            <w:r>
              <w:t>assumption</w:t>
            </w:r>
            <w:r w:rsidRPr="00692FC8">
              <w:t xml:space="preserve"> as more information comes to light.</w:t>
            </w:r>
          </w:p>
          <w:tbl>
            <w:tblPr>
              <w:tblW w:w="5000" w:type="pct"/>
              <w:tblCellMar>
                <w:left w:w="0" w:type="dxa"/>
                <w:right w:w="0" w:type="dxa"/>
              </w:tblCellMar>
              <w:tblLook w:val="0000" w:firstRow="0" w:lastRow="0" w:firstColumn="0" w:lastColumn="0" w:noHBand="0" w:noVBand="0"/>
            </w:tblPr>
            <w:tblGrid>
              <w:gridCol w:w="3556"/>
              <w:gridCol w:w="3586"/>
            </w:tblGrid>
            <w:tr w:rsidR="00E056E9" w14:paraId="6D680E14" w14:textId="77777777" w:rsidTr="00E056E9">
              <w:trPr>
                <w:cantSplit/>
              </w:trPr>
              <w:tc>
                <w:tcPr>
                  <w:tcW w:w="5000" w:type="pct"/>
                  <w:gridSpan w:val="2"/>
                </w:tcPr>
                <w:p w14:paraId="202959D5" w14:textId="4B6BA00F" w:rsidR="00E056E9" w:rsidRDefault="00E056E9" w:rsidP="006C24AA">
                  <w:pPr>
                    <w:pStyle w:val="ChartMainHeading"/>
                    <w:spacing w:after="120"/>
                  </w:pPr>
                  <w:r w:rsidRPr="00E516AE">
                    <w:t xml:space="preserve">Chart </w:t>
                  </w:r>
                  <w:r>
                    <w:t>2.21:</w:t>
                  </w:r>
                  <w:r w:rsidRPr="00E516AE">
                    <w:t xml:space="preserve"> </w:t>
                  </w:r>
                  <w:r>
                    <w:rPr>
                      <w:bCs/>
                    </w:rPr>
                    <w:t>Implications of the NAIRU assumption</w:t>
                  </w:r>
                </w:p>
              </w:tc>
            </w:tr>
            <w:tr w:rsidR="00E056E9" w14:paraId="738EBDD8" w14:textId="77777777" w:rsidTr="00E056E9">
              <w:trPr>
                <w:cantSplit/>
              </w:trPr>
              <w:tc>
                <w:tcPr>
                  <w:tcW w:w="2531" w:type="pct"/>
                </w:tcPr>
                <w:p w14:paraId="4BF0FCF7" w14:textId="204763B6" w:rsidR="00E056E9" w:rsidRDefault="00E832A4" w:rsidP="00E056E9">
                  <w:pPr>
                    <w:pStyle w:val="ChartGraphic"/>
                    <w:jc w:val="left"/>
                  </w:pPr>
                  <w:r w:rsidRPr="00E832A4">
                    <w:rPr>
                      <w:noProof/>
                    </w:rPr>
                    <w:drawing>
                      <wp:inline distT="0" distB="0" distL="0" distR="0" wp14:anchorId="0A5634A1" wp14:editId="76FA885E">
                        <wp:extent cx="2285785" cy="2320290"/>
                        <wp:effectExtent l="0" t="0" r="635" b="0"/>
                        <wp:docPr id="6" name="Picture 6" descr="This chart shows the 2022-23 Budget forecast for through-the-year growth in wages, as measured by the Wage Price Index, as well as two scenarios with alternative NAIRU assumptions. With a NAIRU of 4¾ per cent, wages growth is 4 per cent through-the-year to the June quarters of 2023 and 2024. With a NAIRU of 3¾ per cent, wages growth is 2¼ per cent through-the-year to the June quarter of 2023 and 2½ per cent through-the-year to the June quarter of 2024.&#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chart shows the 2022-23 Budget forecast for through-the-year growth in wages, as measured by the Wage Price Index, as well as two scenarios with alternative NAIRU assumptions. With a NAIRU of 4¾ per cent, wages growth is 4 per cent through-the-year to the June quarters of 2023 and 2024. With a NAIRU of 3¾ per cent, wages growth is 2¼ per cent through-the-year to the June quarter of 2023 and 2½ per cent through-the-year to the June quarter of 2024.&#10;&#10;"/>
                                <pic:cNvPicPr>
                                  <a:picLocks noChangeAspect="1" noChangeArrowheads="1"/>
                                </pic:cNvPicPr>
                              </pic:nvPicPr>
                              <pic:blipFill rotWithShape="1">
                                <a:blip r:embed="rId36">
                                  <a:extLst>
                                    <a:ext uri="{28A0092B-C50C-407E-A947-70E740481C1C}">
                                      <a14:useLocalDpi xmlns:a14="http://schemas.microsoft.com/office/drawing/2010/main" val="0"/>
                                    </a:ext>
                                  </a:extLst>
                                </a:blip>
                                <a:srcRect l="1488"/>
                                <a:stretch/>
                              </pic:blipFill>
                              <pic:spPr bwMode="auto">
                                <a:xfrm>
                                  <a:off x="0" y="0"/>
                                  <a:ext cx="2285785" cy="23202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69" w:type="pct"/>
                </w:tcPr>
                <w:p w14:paraId="7725788D" w14:textId="2FEFF3BD" w:rsidR="00E056E9" w:rsidRDefault="00BC22A6" w:rsidP="00E056E9">
                  <w:pPr>
                    <w:pStyle w:val="ChartGraphic"/>
                    <w:jc w:val="both"/>
                  </w:pPr>
                  <w:r w:rsidRPr="00BC22A6">
                    <w:rPr>
                      <w:noProof/>
                    </w:rPr>
                    <w:drawing>
                      <wp:inline distT="0" distB="0" distL="0" distR="0" wp14:anchorId="7C4D4FD5" wp14:editId="4C57D485">
                        <wp:extent cx="2303360" cy="2312850"/>
                        <wp:effectExtent l="0" t="0" r="1905" b="0"/>
                        <wp:docPr id="4" name="Picture 4" descr="This chart shows the 2022-23 Budget forecast for through-the-year growth in consumer prices, as measured by the Consumer Price Index, as well as two scenarios with alternative NAIRU assumptions. With a NAIRU of 4¾ per cent, growth in consumer prices is 3½ per cent through-the-year to the June quarter of 2023 and 3¼ per cent through-the-year to the June quarter of 2024. With a NAIRU of 3¾ per cent, growth in consumer prices is 2¾ per cent through-the-year to the June quarter of 2023 and 2½ per cent through-the-year to the June quarter of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chart shows the 2022-23 Budget forecast for through-the-year growth in consumer prices, as measured by the Consumer Price Index, as well as two scenarios with alternative NAIRU assumptions. With a NAIRU of 4¾ per cent, growth in consumer prices is 3½ per cent through-the-year to the June quarter of 2023 and 3¼ per cent through-the-year to the June quarter of 2024. With a NAIRU of 3¾ per cent, growth in consumer prices is 2¾ per cent through-the-year to the June quarter of 2023 and 2½ per cent through-the-year to the June quarter of 2024.&#10;"/>
                                <pic:cNvPicPr>
                                  <a:picLocks noChangeAspect="1" noChangeArrowheads="1"/>
                                </pic:cNvPicPr>
                              </pic:nvPicPr>
                              <pic:blipFill rotWithShape="1">
                                <a:blip r:embed="rId37">
                                  <a:extLst>
                                    <a:ext uri="{28A0092B-C50C-407E-A947-70E740481C1C}">
                                      <a14:useLocalDpi xmlns:a14="http://schemas.microsoft.com/office/drawing/2010/main" val="0"/>
                                    </a:ext>
                                  </a:extLst>
                                </a:blip>
                                <a:srcRect l="665" t="256" b="1"/>
                                <a:stretch/>
                              </pic:blipFill>
                              <pic:spPr bwMode="auto">
                                <a:xfrm>
                                  <a:off x="0" y="0"/>
                                  <a:ext cx="2304853" cy="23143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056E9" w14:paraId="28D13259" w14:textId="77777777" w:rsidTr="00E056E9">
              <w:trPr>
                <w:cantSplit/>
              </w:trPr>
              <w:tc>
                <w:tcPr>
                  <w:tcW w:w="2531" w:type="pct"/>
                </w:tcPr>
                <w:p w14:paraId="4615F4CA" w14:textId="6AB8A826" w:rsidR="00E056E9" w:rsidRPr="00E516AE" w:rsidRDefault="00E056E9" w:rsidP="00E056E9">
                  <w:pPr>
                    <w:pStyle w:val="ChartGraphic"/>
                    <w:ind w:left="708" w:hanging="708"/>
                    <w:jc w:val="left"/>
                    <w:rPr>
                      <w:rFonts w:cs="Arial"/>
                      <w:noProof/>
                      <w:sz w:val="16"/>
                      <w:szCs w:val="16"/>
                    </w:rPr>
                  </w:pPr>
                  <w:r w:rsidRPr="00E516AE">
                    <w:rPr>
                      <w:rFonts w:cs="Arial"/>
                      <w:sz w:val="16"/>
                      <w:szCs w:val="16"/>
                    </w:rPr>
                    <w:t>Source:</w:t>
                  </w:r>
                  <w:r>
                    <w:t xml:space="preserve"> </w:t>
                  </w:r>
                  <w:r w:rsidRPr="00E056E9">
                    <w:rPr>
                      <w:rFonts w:cs="Arial"/>
                      <w:sz w:val="16"/>
                      <w:szCs w:val="16"/>
                    </w:rPr>
                    <w:t xml:space="preserve">ABS Wage Price Index, Australia </w:t>
                  </w:r>
                  <w:r w:rsidR="008C3B9D">
                    <w:rPr>
                      <w:rFonts w:cs="Arial"/>
                      <w:sz w:val="16"/>
                      <w:szCs w:val="16"/>
                    </w:rPr>
                    <w:br/>
                  </w:r>
                  <w:r w:rsidRPr="00E056E9">
                    <w:rPr>
                      <w:rFonts w:cs="Arial"/>
                      <w:sz w:val="16"/>
                      <w:szCs w:val="16"/>
                    </w:rPr>
                    <w:t>and Treasury.</w:t>
                  </w:r>
                </w:p>
              </w:tc>
              <w:tc>
                <w:tcPr>
                  <w:tcW w:w="2469" w:type="pct"/>
                </w:tcPr>
                <w:p w14:paraId="535CC3D2" w14:textId="4917B836" w:rsidR="00E056E9" w:rsidRPr="00E516AE" w:rsidRDefault="00E056E9" w:rsidP="00E056E9">
                  <w:pPr>
                    <w:pStyle w:val="SourceBox"/>
                    <w:rPr>
                      <w:noProof/>
                    </w:rPr>
                  </w:pPr>
                  <w:r w:rsidRPr="00E516AE">
                    <w:t>Source:</w:t>
                  </w:r>
                  <w:r>
                    <w:t xml:space="preserve"> ABS</w:t>
                  </w:r>
                  <w:r w:rsidRPr="00B96121">
                    <w:t xml:space="preserve"> Consumer Price Index, Australia</w:t>
                  </w:r>
                  <w:r>
                    <w:t xml:space="preserve"> </w:t>
                  </w:r>
                  <w:r w:rsidR="008C3B9D">
                    <w:br/>
                  </w:r>
                  <w:r>
                    <w:t>and Treasury.</w:t>
                  </w:r>
                </w:p>
              </w:tc>
            </w:tr>
          </w:tbl>
          <w:p w14:paraId="14B3CD6C" w14:textId="77777777" w:rsidR="000B75B8" w:rsidRDefault="000B75B8" w:rsidP="007E11C4">
            <w:pPr>
              <w:pStyle w:val="BoxText"/>
            </w:pPr>
          </w:p>
        </w:tc>
      </w:tr>
    </w:tbl>
    <w:p w14:paraId="68653253" w14:textId="58DC404F" w:rsidR="00AE7FDF" w:rsidRDefault="00AE7FDF" w:rsidP="0098307C">
      <w:pPr>
        <w:rPr>
          <w:b/>
        </w:rPr>
      </w:pPr>
    </w:p>
    <w:p w14:paraId="149BFB42" w14:textId="77777777" w:rsidR="00AE7FDF" w:rsidRDefault="00AE7FDF">
      <w:pPr>
        <w:spacing w:after="160" w:line="259" w:lineRule="auto"/>
        <w:jc w:val="left"/>
        <w:rPr>
          <w:b/>
        </w:rPr>
      </w:pPr>
      <w:r>
        <w:rPr>
          <w:b/>
        </w:rPr>
        <w:br w:type="page"/>
      </w:r>
    </w:p>
    <w:p w14:paraId="2080E18B" w14:textId="6850DE31" w:rsidR="007F69C2" w:rsidRDefault="007F69C2" w:rsidP="0098307C">
      <w:r w:rsidRPr="00883F77">
        <w:rPr>
          <w:b/>
        </w:rPr>
        <w:lastRenderedPageBreak/>
        <w:t>Consumer price i</w:t>
      </w:r>
      <w:r w:rsidRPr="00883F77" w:rsidDel="00CB2C2F">
        <w:rPr>
          <w:b/>
        </w:rPr>
        <w:t>nflation</w:t>
      </w:r>
      <w:r w:rsidDel="00CB2C2F">
        <w:t xml:space="preserve"> is expected to remain </w:t>
      </w:r>
      <w:r w:rsidR="00AE4018">
        <w:t>elevated</w:t>
      </w:r>
      <w:r w:rsidDel="00CB2C2F">
        <w:t xml:space="preserve"> in the near</w:t>
      </w:r>
      <w:r w:rsidR="00111A07">
        <w:noBreakHyphen/>
      </w:r>
      <w:r w:rsidDel="00CB2C2F">
        <w:t>term</w:t>
      </w:r>
      <w:r w:rsidR="00590A72">
        <w:t xml:space="preserve"> </w:t>
      </w:r>
      <w:r w:rsidR="003F1EDA">
        <w:t>reflecting</w:t>
      </w:r>
      <w:r>
        <w:t xml:space="preserve"> price </w:t>
      </w:r>
      <w:r w:rsidR="00590A72">
        <w:t>pressures from</w:t>
      </w:r>
      <w:r w:rsidR="004D01DB">
        <w:t xml:space="preserve"> </w:t>
      </w:r>
      <w:r>
        <w:t>automotive fuel</w:t>
      </w:r>
      <w:r w:rsidR="00FB58ED">
        <w:t xml:space="preserve"> </w:t>
      </w:r>
      <w:proofErr w:type="gramStart"/>
      <w:r w:rsidR="00A34D5E">
        <w:t>as a result of</w:t>
      </w:r>
      <w:proofErr w:type="gramEnd"/>
      <w:r w:rsidR="00FB58ED">
        <w:t xml:space="preserve"> higher global oil prices</w:t>
      </w:r>
      <w:r w:rsidR="00CE6C7C">
        <w:t>, new dwelling purchases</w:t>
      </w:r>
      <w:r w:rsidR="00590A72">
        <w:t xml:space="preserve"> and tradeable</w:t>
      </w:r>
      <w:r>
        <w:t xml:space="preserve"> goods</w:t>
      </w:r>
      <w:r w:rsidR="00111A07">
        <w:t xml:space="preserve">. </w:t>
      </w:r>
      <w:r>
        <w:t xml:space="preserve">Beyond the near term, </w:t>
      </w:r>
      <w:r w:rsidR="00385233">
        <w:t>i</w:t>
      </w:r>
      <w:r w:rsidR="00FB58ED">
        <w:t xml:space="preserve">nflation is expected to </w:t>
      </w:r>
      <w:r w:rsidR="00411F3D">
        <w:t>moderate</w:t>
      </w:r>
      <w:r w:rsidR="00B9300C">
        <w:t>,</w:t>
      </w:r>
      <w:r w:rsidR="00674ED1">
        <w:t xml:space="preserve"> with inflation largely reflecting domestic labour market conditions</w:t>
      </w:r>
      <w:r w:rsidR="00111A07">
        <w:t xml:space="preserve">. </w:t>
      </w:r>
    </w:p>
    <w:p w14:paraId="7F110301" w14:textId="3D8D9796" w:rsidR="007B6312" w:rsidRDefault="007F69C2" w:rsidP="0098307C">
      <w:r>
        <w:t xml:space="preserve">Underlying inflation </w:t>
      </w:r>
      <w:r w:rsidR="00A36835">
        <w:t xml:space="preserve">has </w:t>
      </w:r>
      <w:r>
        <w:t>increased</w:t>
      </w:r>
      <w:r w:rsidR="00A36835">
        <w:t xml:space="preserve"> in recent </w:t>
      </w:r>
      <w:r w:rsidR="00C0433B">
        <w:t>quarters</w:t>
      </w:r>
      <w:r w:rsidR="00111A07">
        <w:t xml:space="preserve">. </w:t>
      </w:r>
      <w:r w:rsidR="00A36835">
        <w:t>T</w:t>
      </w:r>
      <w:r>
        <w:t xml:space="preserve">he trimmed mean measure </w:t>
      </w:r>
      <w:r w:rsidR="00F52B2F">
        <w:t>rose</w:t>
      </w:r>
      <w:r>
        <w:t xml:space="preserve"> 2.6 per cent through</w:t>
      </w:r>
      <w:r w:rsidR="00231568">
        <w:t xml:space="preserve"> </w:t>
      </w:r>
      <w:r>
        <w:t>the</w:t>
      </w:r>
      <w:r w:rsidR="00231568">
        <w:t xml:space="preserve"> </w:t>
      </w:r>
      <w:r>
        <w:t>year</w:t>
      </w:r>
      <w:r w:rsidR="00A36835">
        <w:t xml:space="preserve"> to</w:t>
      </w:r>
      <w:r w:rsidR="00231568">
        <w:t xml:space="preserve"> the</w:t>
      </w:r>
      <w:r w:rsidR="00A36835">
        <w:t xml:space="preserve"> December</w:t>
      </w:r>
      <w:r w:rsidR="00DF5CBC">
        <w:t xml:space="preserve"> </w:t>
      </w:r>
      <w:r w:rsidR="00231568">
        <w:t xml:space="preserve">quarter of </w:t>
      </w:r>
      <w:r w:rsidR="00A36835">
        <w:t>2021</w:t>
      </w:r>
      <w:r>
        <w:t xml:space="preserve">, </w:t>
      </w:r>
      <w:r w:rsidR="00EB30C8">
        <w:t xml:space="preserve">its </w:t>
      </w:r>
      <w:r>
        <w:t>largest annual rise since 2014</w:t>
      </w:r>
      <w:r w:rsidR="00111A07">
        <w:t xml:space="preserve">. </w:t>
      </w:r>
      <w:r>
        <w:t>The pick</w:t>
      </w:r>
      <w:r w:rsidR="00111A07">
        <w:noBreakHyphen/>
      </w:r>
      <w:r>
        <w:t>up in underlying inflation signalled broadening price pressures in the economy, particularly for goods</w:t>
      </w:r>
      <w:r w:rsidR="00111A07">
        <w:t xml:space="preserve">. </w:t>
      </w:r>
    </w:p>
    <w:p w14:paraId="639BE4C7" w14:textId="2B838321" w:rsidR="007F69C2" w:rsidRDefault="007B6312" w:rsidP="0098307C">
      <w:r>
        <w:t xml:space="preserve">Petrol prices have increased further in 2022 and business liaison indicates businesses face ongoing cost pressures </w:t>
      </w:r>
      <w:r w:rsidR="00CB3E1E">
        <w:t>from</w:t>
      </w:r>
      <w:r>
        <w:t xml:space="preserve"> supply chain disruptions, particularly in the construction, goods retailing and hospitality sectors</w:t>
      </w:r>
      <w:r w:rsidR="00111A07">
        <w:t xml:space="preserve">. </w:t>
      </w:r>
      <w:r w:rsidR="00E27169" w:rsidRPr="00FF52A8">
        <w:t xml:space="preserve">The </w:t>
      </w:r>
      <w:r w:rsidR="00AD493B" w:rsidRPr="00FF52A8">
        <w:t xml:space="preserve">fuel excise </w:t>
      </w:r>
      <w:r w:rsidR="00F253C9" w:rsidRPr="00FF52A8">
        <w:t>reduction</w:t>
      </w:r>
      <w:r w:rsidR="00D90202" w:rsidRPr="00FF52A8">
        <w:t xml:space="preserve"> </w:t>
      </w:r>
      <w:r w:rsidR="00E27169" w:rsidRPr="00FF52A8">
        <w:t xml:space="preserve">is expected to </w:t>
      </w:r>
      <w:r w:rsidR="00F253C9" w:rsidRPr="00FF52A8">
        <w:t xml:space="preserve">reduce headline inflation by </w:t>
      </w:r>
      <w:r w:rsidR="00AD493B" w:rsidRPr="00FF52A8">
        <w:t>¼</w:t>
      </w:r>
      <w:r w:rsidR="008E7648" w:rsidRPr="00FF52A8">
        <w:t xml:space="preserve"> of </w:t>
      </w:r>
      <w:r w:rsidR="00F253C9" w:rsidRPr="00FF52A8">
        <w:t>a percentage point</w:t>
      </w:r>
      <w:r w:rsidR="008E7648" w:rsidRPr="00FF52A8">
        <w:t xml:space="preserve"> in the </w:t>
      </w:r>
      <w:r w:rsidR="00F253C9" w:rsidRPr="00FF52A8">
        <w:t>June quarter of</w:t>
      </w:r>
      <w:r w:rsidR="00AE7FDF">
        <w:t> </w:t>
      </w:r>
      <w:r w:rsidR="00F253C9" w:rsidRPr="00FF52A8">
        <w:t>2022</w:t>
      </w:r>
      <w:r w:rsidR="008E7648" w:rsidRPr="00FF52A8">
        <w:t xml:space="preserve">, before </w:t>
      </w:r>
      <w:r w:rsidR="00F253C9" w:rsidRPr="00FF52A8">
        <w:t>being withdrawn</w:t>
      </w:r>
      <w:r w:rsidR="008E7648" w:rsidRPr="00FF52A8">
        <w:t xml:space="preserve"> in late 2022</w:t>
      </w:r>
      <w:r w:rsidR="003F5D22" w:rsidRPr="00FF52A8">
        <w:t xml:space="preserve"> </w:t>
      </w:r>
      <w:r w:rsidR="00D11304" w:rsidRPr="00FF52A8">
        <w:t xml:space="preserve">as </w:t>
      </w:r>
      <w:r w:rsidR="003F5D22" w:rsidRPr="00FF52A8">
        <w:t>oil prices</w:t>
      </w:r>
      <w:r w:rsidR="0031210F" w:rsidRPr="00FF52A8">
        <w:t xml:space="preserve"> are expected to </w:t>
      </w:r>
      <w:r w:rsidR="009D0AB2" w:rsidRPr="00FF52A8">
        <w:t>moderate</w:t>
      </w:r>
      <w:r w:rsidR="00111A07">
        <w:t xml:space="preserve">. </w:t>
      </w:r>
    </w:p>
    <w:p w14:paraId="3B18E464" w14:textId="252FA7D6" w:rsidR="007F69C2" w:rsidRDefault="007F69C2" w:rsidP="0098307C">
      <w:r>
        <w:t xml:space="preserve">These factors inform </w:t>
      </w:r>
      <w:r w:rsidR="00FB1E78">
        <w:t>a stronger</w:t>
      </w:r>
      <w:r>
        <w:t xml:space="preserve"> </w:t>
      </w:r>
      <w:r w:rsidR="00D44282">
        <w:t>price</w:t>
      </w:r>
      <w:r w:rsidR="00F171B7">
        <w:t xml:space="preserve"> </w:t>
      </w:r>
      <w:r>
        <w:t>outlook in the near term</w:t>
      </w:r>
      <w:r w:rsidR="00F171B7">
        <w:t>, albeit lower than what has been observed in other countries</w:t>
      </w:r>
      <w:r w:rsidR="00111A07">
        <w:t xml:space="preserve">. </w:t>
      </w:r>
      <w:r>
        <w:t xml:space="preserve">CPI </w:t>
      </w:r>
      <w:r w:rsidR="00090912">
        <w:t>is</w:t>
      </w:r>
      <w:r>
        <w:t xml:space="preserve"> expected to grow </w:t>
      </w:r>
      <w:r w:rsidR="000C2536">
        <w:t xml:space="preserve">by </w:t>
      </w:r>
      <w:r w:rsidR="00000255">
        <w:t>4¼</w:t>
      </w:r>
      <w:r w:rsidR="000C2536">
        <w:t> </w:t>
      </w:r>
      <w:r>
        <w:t>per cent through the year to the June quarter of 2022</w:t>
      </w:r>
      <w:r w:rsidR="00111A07">
        <w:t xml:space="preserve">. </w:t>
      </w:r>
      <w:r w:rsidR="006529B6">
        <w:t>H</w:t>
      </w:r>
      <w:r>
        <w:t xml:space="preserve">eadline inflation is </w:t>
      </w:r>
      <w:r w:rsidR="00FA7BE9">
        <w:t>then</w:t>
      </w:r>
      <w:r>
        <w:t xml:space="preserve"> expected to </w:t>
      </w:r>
      <w:r w:rsidR="002F45B6">
        <w:t>moderate to</w:t>
      </w:r>
      <w:r w:rsidR="006529B6">
        <w:t xml:space="preserve"> 3 per </w:t>
      </w:r>
      <w:r w:rsidR="002F45B6">
        <w:t>cent through the year to the June quarter of 2023</w:t>
      </w:r>
      <w:r w:rsidR="00232B0A">
        <w:t>, reflecting some continued inflationary pressure from</w:t>
      </w:r>
      <w:r>
        <w:t xml:space="preserve"> </w:t>
      </w:r>
      <w:r w:rsidR="00F9600A">
        <w:t xml:space="preserve">global </w:t>
      </w:r>
      <w:r>
        <w:t>supply chain issues</w:t>
      </w:r>
      <w:r w:rsidR="00111A07">
        <w:t xml:space="preserve">. </w:t>
      </w:r>
      <w:r w:rsidR="00D21907" w:rsidRPr="00D21907">
        <w:t>Towards the en</w:t>
      </w:r>
      <w:r w:rsidR="00D21907">
        <w:t>d</w:t>
      </w:r>
      <w:r w:rsidR="00D21907" w:rsidRPr="00D21907">
        <w:t xml:space="preserve"> of the detailed forecast</w:t>
      </w:r>
      <w:r w:rsidR="002A70E1">
        <w:t xml:space="preserve"> period</w:t>
      </w:r>
      <w:r w:rsidR="00D21907" w:rsidRPr="00D21907">
        <w:t>, the</w:t>
      </w:r>
      <w:r>
        <w:t xml:space="preserve"> tight labour market and resulting </w:t>
      </w:r>
      <w:r w:rsidR="000B3F5B">
        <w:t>wage</w:t>
      </w:r>
      <w:r w:rsidR="00EF3916" w:rsidDel="000B3F5B">
        <w:t xml:space="preserve"> growth</w:t>
      </w:r>
      <w:r>
        <w:t xml:space="preserve"> </w:t>
      </w:r>
      <w:r w:rsidR="00F9600A">
        <w:t xml:space="preserve">will </w:t>
      </w:r>
      <w:r w:rsidR="00970FDC">
        <w:t xml:space="preserve">generate </w:t>
      </w:r>
      <w:r>
        <w:t xml:space="preserve">inflation </w:t>
      </w:r>
      <w:r w:rsidR="004A7125">
        <w:t xml:space="preserve">of </w:t>
      </w:r>
      <w:r w:rsidR="000F22E6">
        <w:t>2¾</w:t>
      </w:r>
      <w:r>
        <w:t xml:space="preserve"> per cent </w:t>
      </w:r>
      <w:r w:rsidR="00E40B9F">
        <w:t xml:space="preserve">through the year to </w:t>
      </w:r>
      <w:r>
        <w:t xml:space="preserve">the June quarter of </w:t>
      </w:r>
      <w:r w:rsidRPr="00D21907">
        <w:t>202</w:t>
      </w:r>
      <w:r w:rsidR="00D21907" w:rsidRPr="00D21907">
        <w:t>4.</w:t>
      </w:r>
    </w:p>
    <w:p w14:paraId="6AEC7ACA" w14:textId="6DB5868F" w:rsidR="005B5BCF" w:rsidRDefault="005B5BCF" w:rsidP="005B5BCF">
      <w:r>
        <w:t>Russia</w:t>
      </w:r>
      <w:r w:rsidR="00111A07">
        <w:t>’</w:t>
      </w:r>
      <w:r>
        <w:t xml:space="preserve">s invasion of Ukraine presents </w:t>
      </w:r>
      <w:r w:rsidR="00D322C9">
        <w:t>a</w:t>
      </w:r>
      <w:r>
        <w:t xml:space="preserve"> risk to the near</w:t>
      </w:r>
      <w:r w:rsidR="00111A07">
        <w:noBreakHyphen/>
      </w:r>
      <w:r>
        <w:t xml:space="preserve">term outlook for inflation, given its potential to </w:t>
      </w:r>
      <w:r w:rsidR="009B030D">
        <w:t xml:space="preserve">further </w:t>
      </w:r>
      <w:r>
        <w:t>increase energy prices, especially for automotive fuel (Box 2.</w:t>
      </w:r>
      <w:r w:rsidR="00015A7B">
        <w:t>6</w:t>
      </w:r>
      <w:r>
        <w:t>)</w:t>
      </w:r>
      <w:r w:rsidR="00111A07">
        <w:t xml:space="preserve">. </w:t>
      </w:r>
      <w:r>
        <w:t>Prolonged supply chain issues</w:t>
      </w:r>
      <w:r w:rsidR="0085375F">
        <w:t>,</w:t>
      </w:r>
      <w:r>
        <w:t xml:space="preserve"> associated with the current or future widespread COVID</w:t>
      </w:r>
      <w:r w:rsidR="00111A07">
        <w:noBreakHyphen/>
      </w:r>
      <w:r>
        <w:t>19 outbreaks in China</w:t>
      </w:r>
      <w:r w:rsidR="0085375F">
        <w:t>,</w:t>
      </w:r>
      <w:r>
        <w:t xml:space="preserve"> present </w:t>
      </w:r>
      <w:r w:rsidR="00097418">
        <w:t>risk</w:t>
      </w:r>
      <w:r w:rsidR="00F90A33">
        <w:t>s</w:t>
      </w:r>
      <w:r>
        <w:t xml:space="preserve"> to inflation </w:t>
      </w:r>
      <w:r w:rsidR="00097418">
        <w:t>that may persist through 2022 and 2023</w:t>
      </w:r>
      <w:r w:rsidR="00111A07">
        <w:t xml:space="preserve">. </w:t>
      </w:r>
      <w:r>
        <w:t xml:space="preserve">The </w:t>
      </w:r>
      <w:r w:rsidRPr="0018577D">
        <w:t>recent floods in Queensland</w:t>
      </w:r>
      <w:r>
        <w:t xml:space="preserve"> and </w:t>
      </w:r>
      <w:r w:rsidRPr="0018577D">
        <w:t>New South Wales</w:t>
      </w:r>
      <w:r>
        <w:t xml:space="preserve"> may also impact food prices and add to existing </w:t>
      </w:r>
      <w:r w:rsidR="00FF0437">
        <w:t>challenges</w:t>
      </w:r>
      <w:r w:rsidDel="00FF0437">
        <w:t xml:space="preserve"> </w:t>
      </w:r>
      <w:r>
        <w:t>on the supply of construction materials and labour</w:t>
      </w:r>
      <w:r w:rsidR="00111A07">
        <w:t xml:space="preserve">. </w:t>
      </w:r>
    </w:p>
    <w:p w14:paraId="2B5F4684" w14:textId="144F5F9F" w:rsidR="000B7F01" w:rsidRPr="0010057F" w:rsidRDefault="000B7F01" w:rsidP="0010057F"/>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B46FE6" w:rsidRPr="00436F9A" w14:paraId="76A6E0B3" w14:textId="77777777" w:rsidTr="00B46FE6">
        <w:trPr>
          <w:cantSplit/>
        </w:trPr>
        <w:tc>
          <w:tcPr>
            <w:tcW w:w="5000" w:type="pct"/>
            <w:shd w:val="clear" w:color="auto" w:fill="F2F9FC"/>
          </w:tcPr>
          <w:p w14:paraId="77B3AB4C" w14:textId="12C4296B" w:rsidR="00B46FE6" w:rsidRPr="009F774D" w:rsidRDefault="00370AEB" w:rsidP="00B46FE6">
            <w:pPr>
              <w:pStyle w:val="BoxHeading"/>
            </w:pPr>
            <w:r>
              <w:lastRenderedPageBreak/>
              <w:t>Box 2.</w:t>
            </w:r>
            <w:r w:rsidR="00015A7B">
              <w:t>6</w:t>
            </w:r>
            <w:r>
              <w:t xml:space="preserve"> </w:t>
            </w:r>
            <w:r w:rsidR="00B46FE6" w:rsidRPr="009F774D">
              <w:t xml:space="preserve">Inflation impact </w:t>
            </w:r>
            <w:r w:rsidR="004A4816">
              <w:t>of</w:t>
            </w:r>
            <w:r w:rsidR="00B46FE6" w:rsidRPr="009F774D">
              <w:t xml:space="preserve"> a higher </w:t>
            </w:r>
            <w:r w:rsidR="00B46FE6">
              <w:t xml:space="preserve">global </w:t>
            </w:r>
            <w:r w:rsidR="00B46FE6" w:rsidRPr="009F774D">
              <w:t>oil price</w:t>
            </w:r>
          </w:p>
          <w:p w14:paraId="42BF7C38" w14:textId="3CA3E909" w:rsidR="00B46FE6" w:rsidRDefault="00B46FE6" w:rsidP="00432B3E">
            <w:pPr>
              <w:pStyle w:val="BoxText"/>
            </w:pPr>
            <w:r>
              <w:t xml:space="preserve">Oil prices </w:t>
            </w:r>
            <w:r w:rsidR="00862720">
              <w:t>rose strongly in late 2021 and have been volatile in</w:t>
            </w:r>
            <w:r>
              <w:t xml:space="preserve"> early 2022, </w:t>
            </w:r>
            <w:r w:rsidR="00853067">
              <w:t xml:space="preserve">spiking to over </w:t>
            </w:r>
            <w:r w:rsidR="004424EA">
              <w:t>US$</w:t>
            </w:r>
            <w:r w:rsidR="00853067">
              <w:t>1</w:t>
            </w:r>
            <w:r w:rsidR="00596C46">
              <w:t>25</w:t>
            </w:r>
            <w:r w:rsidR="004424EA">
              <w:t xml:space="preserve"> per barrel</w:t>
            </w:r>
            <w:r w:rsidR="00111A07">
              <w:t xml:space="preserve">. </w:t>
            </w:r>
            <w:r w:rsidR="00853067">
              <w:t>C</w:t>
            </w:r>
            <w:r>
              <w:t>ontinued volatility in the oil price is a key risk to the domestic outlook</w:t>
            </w:r>
            <w:r w:rsidR="00111A07">
              <w:t xml:space="preserve">. </w:t>
            </w:r>
            <w:r w:rsidR="001306AC">
              <w:t xml:space="preserve">Higher global oil prices feed through to </w:t>
            </w:r>
            <w:r w:rsidR="00E80673">
              <w:t>A</w:t>
            </w:r>
            <w:r w:rsidR="00853067">
              <w:t>ustralian a</w:t>
            </w:r>
            <w:r>
              <w:t>utomotive fuel prices within around 3 weeks and, over a more protracted period, indirectly feed through to higher costs for producers and other CPI components</w:t>
            </w:r>
            <w:r w:rsidR="00111A07">
              <w:t xml:space="preserve">. </w:t>
            </w:r>
          </w:p>
          <w:p w14:paraId="470D42B1" w14:textId="7A9E8DBF" w:rsidR="00B46FE6" w:rsidRDefault="00B46FE6" w:rsidP="00432B3E">
            <w:pPr>
              <w:pStyle w:val="BoxText"/>
            </w:pPr>
            <w:r w:rsidRPr="00B1022B">
              <w:t xml:space="preserve">The economic forecasts assume that the </w:t>
            </w:r>
            <w:r w:rsidR="000069D6" w:rsidRPr="00B1022B">
              <w:t>global oil price subsides from the recent</w:t>
            </w:r>
            <w:r w:rsidRPr="00B1022B">
              <w:t xml:space="preserve"> spike </w:t>
            </w:r>
            <w:r w:rsidR="000069D6" w:rsidRPr="00B1022B">
              <w:t>but remains above pre</w:t>
            </w:r>
            <w:r w:rsidR="00111A07">
              <w:noBreakHyphen/>
            </w:r>
            <w:r w:rsidR="000069D6" w:rsidRPr="00B1022B">
              <w:t>invasion levels</w:t>
            </w:r>
            <w:r w:rsidR="005A2DC3">
              <w:t xml:space="preserve"> at around US$100</w:t>
            </w:r>
            <w:r w:rsidR="000718AA">
              <w:t xml:space="preserve"> per barrel</w:t>
            </w:r>
            <w:r w:rsidR="00BC32F2">
              <w:t xml:space="preserve"> (Chart 2.22)</w:t>
            </w:r>
            <w:r w:rsidR="00111A07">
              <w:t xml:space="preserve">. </w:t>
            </w:r>
            <w:r w:rsidR="000608A4">
              <w:t>This is consistent with a scenario in which ongoing uncertainty keeps prices elevated but there is minimal disruption to Russian oil supplies</w:t>
            </w:r>
            <w:r w:rsidR="00111A07">
              <w:t xml:space="preserve">. </w:t>
            </w:r>
            <w:r w:rsidRPr="00B1022B">
              <w:t>Of the</w:t>
            </w:r>
            <w:r w:rsidR="009B0ABE">
              <w:t xml:space="preserve"> </w:t>
            </w:r>
            <w:r w:rsidRPr="00B1022B">
              <w:t>4</w:t>
            </w:r>
            <w:r w:rsidR="000069D6" w:rsidRPr="00B1022B">
              <w:t>¼</w:t>
            </w:r>
            <w:r w:rsidR="007C7C83">
              <w:t> </w:t>
            </w:r>
            <w:r w:rsidR="006C59C4" w:rsidRPr="00B1022B">
              <w:t>per cent</w:t>
            </w:r>
            <w:r w:rsidR="006C59C4">
              <w:t xml:space="preserve"> </w:t>
            </w:r>
            <w:r w:rsidR="009B0ABE">
              <w:t>inflation forecast</w:t>
            </w:r>
            <w:r w:rsidRPr="00B1022B">
              <w:t xml:space="preserve"> </w:t>
            </w:r>
            <w:r w:rsidRPr="007C3854">
              <w:t xml:space="preserve">through the year </w:t>
            </w:r>
            <w:r w:rsidR="0011334C">
              <w:t>to</w:t>
            </w:r>
            <w:r w:rsidRPr="007C3854">
              <w:t xml:space="preserve"> </w:t>
            </w:r>
            <w:r w:rsidR="00D5508E">
              <w:t>June</w:t>
            </w:r>
            <w:r w:rsidR="0011334C">
              <w:t xml:space="preserve"> 2022</w:t>
            </w:r>
            <w:r w:rsidRPr="007C3854">
              <w:t xml:space="preserve">, around </w:t>
            </w:r>
            <w:r w:rsidR="00F92BCC">
              <w:t>one</w:t>
            </w:r>
            <w:r w:rsidR="00D80218">
              <w:t xml:space="preserve"> </w:t>
            </w:r>
            <w:r w:rsidRPr="007C3854">
              <w:t xml:space="preserve">percentage point is due to the direct effect of higher oil prices on fuel, </w:t>
            </w:r>
            <w:r w:rsidR="00D80218">
              <w:t>offset by</w:t>
            </w:r>
            <w:r w:rsidR="00B76A6F">
              <w:t xml:space="preserve"> ¼</w:t>
            </w:r>
            <w:r w:rsidR="00D80218">
              <w:t xml:space="preserve"> of a</w:t>
            </w:r>
            <w:r w:rsidR="00B76A6F">
              <w:t xml:space="preserve"> percentage point </w:t>
            </w:r>
            <w:r w:rsidR="00D80218">
              <w:t>by</w:t>
            </w:r>
            <w:r w:rsidRPr="007C3854">
              <w:t xml:space="preserve"> the temporary reduction in excise taxes.</w:t>
            </w:r>
          </w:p>
          <w:p w14:paraId="62C44BAD" w14:textId="16D33F0C" w:rsidR="00B46FE6" w:rsidRPr="00B46FE6" w:rsidRDefault="00B46FE6" w:rsidP="00597060">
            <w:pPr>
              <w:pStyle w:val="BoxText"/>
              <w:spacing w:after="240"/>
              <w:rPr>
                <w:b/>
              </w:rPr>
            </w:pPr>
            <w:r>
              <w:t>Treasury has also assessed the impact of a more acute shock to global oil markets on domestic inflation</w:t>
            </w:r>
            <w:r w:rsidR="00111A07">
              <w:t xml:space="preserve">. </w:t>
            </w:r>
            <w:r w:rsidR="00C861F0">
              <w:t>In this scenario,</w:t>
            </w:r>
            <w:r w:rsidR="00B730A4">
              <w:t xml:space="preserve"> disruptions to Russian</w:t>
            </w:r>
            <w:r w:rsidR="00542480">
              <w:t xml:space="preserve"> oil </w:t>
            </w:r>
            <w:r w:rsidR="00B730A4">
              <w:t xml:space="preserve">exports lead to global shortages and </w:t>
            </w:r>
            <w:r w:rsidR="00542480">
              <w:t xml:space="preserve">prices </w:t>
            </w:r>
            <w:r w:rsidR="000E3464">
              <w:t xml:space="preserve">remain </w:t>
            </w:r>
            <w:r w:rsidR="00542480">
              <w:t>around US$</w:t>
            </w:r>
            <w:r w:rsidR="00614314">
              <w:t>130</w:t>
            </w:r>
            <w:r w:rsidR="00542480">
              <w:t xml:space="preserve"> per barrel </w:t>
            </w:r>
            <w:r w:rsidR="00B730A4">
              <w:t>until alternative sources of supply come online</w:t>
            </w:r>
            <w:r w:rsidR="00111A07">
              <w:t xml:space="preserve">. </w:t>
            </w:r>
            <w:r>
              <w:t xml:space="preserve">In this scenario, higher </w:t>
            </w:r>
            <w:r w:rsidRPr="009F774D">
              <w:t>oil prices</w:t>
            </w:r>
            <w:r w:rsidRPr="007C3854">
              <w:t xml:space="preserve"> would add a further ¼ </w:t>
            </w:r>
            <w:r w:rsidR="00270CB4">
              <w:t xml:space="preserve">of a </w:t>
            </w:r>
            <w:r w:rsidRPr="007C3854">
              <w:t xml:space="preserve">percentage point </w:t>
            </w:r>
            <w:r w:rsidR="00806587">
              <w:t xml:space="preserve">to </w:t>
            </w:r>
            <w:r w:rsidR="00E87B41">
              <w:t>annual</w:t>
            </w:r>
            <w:r w:rsidR="00A25368">
              <w:t xml:space="preserve"> inflation to June 2022</w:t>
            </w:r>
            <w:r w:rsidR="00111A07">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tblGrid>
            <w:tr w:rsidR="00B46FE6" w14:paraId="2A52123E" w14:textId="77777777" w:rsidTr="00F251AA">
              <w:tc>
                <w:tcPr>
                  <w:tcW w:w="7142" w:type="dxa"/>
                </w:tcPr>
                <w:p w14:paraId="1F9821B6" w14:textId="7BBEC667" w:rsidR="00B46FE6" w:rsidRPr="0052707F" w:rsidRDefault="00B46FE6" w:rsidP="006A3EBD">
                  <w:pPr>
                    <w:spacing w:after="0"/>
                    <w:jc w:val="center"/>
                    <w:rPr>
                      <w:color w:val="000000"/>
                    </w:rPr>
                  </w:pPr>
                  <w:r w:rsidRPr="007C5633">
                    <w:rPr>
                      <w:rFonts w:ascii="Arial" w:hAnsi="Arial" w:cs="Arial"/>
                      <w:b/>
                    </w:rPr>
                    <w:t xml:space="preserve">Chart </w:t>
                  </w:r>
                  <w:r>
                    <w:rPr>
                      <w:rFonts w:ascii="Arial" w:hAnsi="Arial" w:cs="Arial"/>
                      <w:b/>
                    </w:rPr>
                    <w:t>2.</w:t>
                  </w:r>
                  <w:r w:rsidR="004D427B" w:rsidRPr="008C38CE">
                    <w:rPr>
                      <w:rFonts w:ascii="Arial" w:hAnsi="Arial" w:cs="Arial"/>
                      <w:b/>
                    </w:rPr>
                    <w:t>2</w:t>
                  </w:r>
                  <w:r w:rsidR="00015A7B">
                    <w:rPr>
                      <w:rFonts w:ascii="Arial" w:hAnsi="Arial" w:cs="Arial"/>
                      <w:b/>
                    </w:rPr>
                    <w:t>2</w:t>
                  </w:r>
                  <w:r w:rsidRPr="007C5633">
                    <w:rPr>
                      <w:rFonts w:ascii="Arial" w:hAnsi="Arial" w:cs="Arial"/>
                      <w:b/>
                    </w:rPr>
                    <w:t xml:space="preserve"> Global oil price scenarios</w:t>
                  </w:r>
                </w:p>
              </w:tc>
            </w:tr>
            <w:tr w:rsidR="00B46FE6" w14:paraId="4B0E3012" w14:textId="77777777" w:rsidTr="00BA050E">
              <w:trPr>
                <w:trHeight w:val="3820"/>
              </w:trPr>
              <w:tc>
                <w:tcPr>
                  <w:tcW w:w="7142" w:type="dxa"/>
                  <w:shd w:val="clear" w:color="auto" w:fill="auto"/>
                </w:tcPr>
                <w:p w14:paraId="52B56764" w14:textId="428AB52F" w:rsidR="00B46FE6" w:rsidRPr="00341390" w:rsidRDefault="00FF26F1" w:rsidP="00F251AA">
                  <w:pPr>
                    <w:pStyle w:val="BoxText"/>
                    <w:rPr>
                      <w:b/>
                      <w:sz w:val="18"/>
                      <w:szCs w:val="18"/>
                    </w:rPr>
                  </w:pPr>
                  <w:r w:rsidRPr="00FF26F1">
                    <w:rPr>
                      <w:b/>
                      <w:noProof/>
                      <w:sz w:val="18"/>
                      <w:szCs w:val="18"/>
                    </w:rPr>
                    <w:drawing>
                      <wp:inline distT="0" distB="0" distL="0" distR="0" wp14:anchorId="7DEF3097" wp14:editId="0A802C01">
                        <wp:extent cx="4412538" cy="2373088"/>
                        <wp:effectExtent l="0" t="0" r="7620" b="8255"/>
                        <wp:docPr id="31" name="Picture 31" descr="The oil price has trended upward since a pandemic low in 2022 and has recently spiked due to the Russian invasion of Ukraine. The economic forecasts assume that the global oil price subsides from the recent spike but remains above pre-invasion levels at around US$100 per barrel over the detailed forecast period. Treasury has also assessed the impact of a more acute shock to global oil markets on domestic inflation. In this scenario, disruptions to Russian oil exports lead to global shortages and prices remain around US$130 per barrel until alternative sources of supply come online, at which the price then immediately falls to US$100 per barrel at the end of the September quarter of 2022 (in line with baseline assump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 oil price has trended upward since a pandemic low in 2022 and has recently spiked due to the Russian invasion of Ukraine. The economic forecasts assume that the global oil price subsides from the recent spike but remains above pre-invasion levels at around US$100 per barrel over the detailed forecast period. Treasury has also assessed the impact of a more acute shock to global oil markets on domestic inflation. In this scenario, disruptions to Russian oil exports lead to global shortages and prices remain around US$130 per barrel until alternative sources of supply come online, at which the price then immediately falls to US$100 per barrel at the end of the September quarter of 2022 (in line with baseline assumption).&#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9101" cy="2376618"/>
                                </a:xfrm>
                                <a:prstGeom prst="rect">
                                  <a:avLst/>
                                </a:prstGeom>
                                <a:noFill/>
                                <a:ln>
                                  <a:noFill/>
                                </a:ln>
                              </pic:spPr>
                            </pic:pic>
                          </a:graphicData>
                        </a:graphic>
                      </wp:inline>
                    </w:drawing>
                  </w:r>
                </w:p>
                <w:p w14:paraId="144C3807" w14:textId="6E1505E9" w:rsidR="00B46FE6" w:rsidRDefault="00B46FE6" w:rsidP="00F251AA">
                  <w:pPr>
                    <w:spacing w:after="0"/>
                  </w:pPr>
                  <w:r w:rsidRPr="002273C0">
                    <w:rPr>
                      <w:rFonts w:ascii="Arial" w:hAnsi="Arial" w:cs="Arial"/>
                      <w:sz w:val="16"/>
                      <w:szCs w:val="16"/>
                    </w:rPr>
                    <w:t xml:space="preserve">Source: </w:t>
                  </w:r>
                  <w:r w:rsidR="00427945">
                    <w:rPr>
                      <w:rFonts w:ascii="Arial" w:hAnsi="Arial" w:cs="Arial"/>
                      <w:sz w:val="16"/>
                      <w:szCs w:val="16"/>
                    </w:rPr>
                    <w:t>Bloomberg</w:t>
                  </w:r>
                  <w:r w:rsidRPr="009C0CC1">
                    <w:rPr>
                      <w:rFonts w:ascii="Arial" w:hAnsi="Arial" w:cs="Arial"/>
                      <w:sz w:val="16"/>
                      <w:szCs w:val="16"/>
                    </w:rPr>
                    <w:t xml:space="preserve"> and</w:t>
                  </w:r>
                  <w:r>
                    <w:rPr>
                      <w:rFonts w:cs="Arial"/>
                    </w:rPr>
                    <w:t xml:space="preserve"> </w:t>
                  </w:r>
                  <w:r w:rsidRPr="002273C0">
                    <w:rPr>
                      <w:rFonts w:ascii="Arial" w:hAnsi="Arial" w:cs="Arial"/>
                      <w:sz w:val="16"/>
                      <w:szCs w:val="16"/>
                    </w:rPr>
                    <w:t>Treasur</w:t>
                  </w:r>
                  <w:r>
                    <w:rPr>
                      <w:rFonts w:ascii="Arial" w:hAnsi="Arial" w:cs="Arial"/>
                      <w:sz w:val="16"/>
                      <w:szCs w:val="16"/>
                    </w:rPr>
                    <w:t>y.</w:t>
                  </w:r>
                </w:p>
              </w:tc>
            </w:tr>
          </w:tbl>
          <w:p w14:paraId="7A56FFF9" w14:textId="77777777" w:rsidR="00B46FE6" w:rsidRPr="2727FE3B" w:rsidRDefault="00B46FE6" w:rsidP="00B46FE6">
            <w:pPr>
              <w:pStyle w:val="BoxHeading"/>
            </w:pPr>
          </w:p>
        </w:tc>
      </w:tr>
    </w:tbl>
    <w:p w14:paraId="584866F4" w14:textId="77777777" w:rsidR="000B75B8" w:rsidRDefault="000B75B8"/>
    <w:p w14:paraId="18BFDBC3" w14:textId="0764D13A" w:rsidR="00733707" w:rsidRPr="00B96121" w:rsidRDefault="00733707" w:rsidP="00B70648">
      <w:pPr>
        <w:pStyle w:val="Heading3"/>
        <w:pageBreakBefore/>
      </w:pPr>
      <w:bookmarkStart w:id="15" w:name="_Toc99064361"/>
      <w:r w:rsidRPr="00B96121">
        <w:lastRenderedPageBreak/>
        <w:t>Outlook for nominal GDP growth</w:t>
      </w:r>
      <w:r w:rsidR="009C5FA3">
        <w:t xml:space="preserve"> and </w:t>
      </w:r>
      <w:r w:rsidR="00D566D2">
        <w:t xml:space="preserve">the </w:t>
      </w:r>
      <w:r w:rsidR="00AF2F13">
        <w:t>terms of trade</w:t>
      </w:r>
      <w:bookmarkEnd w:id="15"/>
    </w:p>
    <w:p w14:paraId="55E61FE7" w14:textId="5449F031" w:rsidR="00D92155" w:rsidRDefault="70C39E91" w:rsidP="0098307C">
      <w:r>
        <w:t>Nominal</w:t>
      </w:r>
      <w:r w:rsidR="008A33FB" w:rsidRPr="008A33FB">
        <w:t xml:space="preserve"> GDP is forecast to grow by </w:t>
      </w:r>
      <w:r w:rsidR="00E41298">
        <w:t>10</w:t>
      </w:r>
      <w:r w:rsidR="00B77A9E">
        <w:t>¾</w:t>
      </w:r>
      <w:r w:rsidR="008A33FB" w:rsidRPr="008A33FB">
        <w:t xml:space="preserve"> per cent in 202</w:t>
      </w:r>
      <w:r w:rsidR="00E41298">
        <w:t>1</w:t>
      </w:r>
      <w:r w:rsidR="00111A07">
        <w:noBreakHyphen/>
      </w:r>
      <w:r w:rsidR="008A33FB" w:rsidRPr="008A33FB">
        <w:t>2</w:t>
      </w:r>
      <w:r w:rsidR="00E41298">
        <w:t>2</w:t>
      </w:r>
      <w:r w:rsidR="00FE6A7F">
        <w:t xml:space="preserve"> compared to 6½ per cent at </w:t>
      </w:r>
      <w:r w:rsidR="00711CA5">
        <w:t>2021</w:t>
      </w:r>
      <w:r w:rsidR="00111A07">
        <w:noBreakHyphen/>
      </w:r>
      <w:r w:rsidR="00711CA5">
        <w:t xml:space="preserve">22 </w:t>
      </w:r>
      <w:r w:rsidR="00FE6A7F">
        <w:t>MYEFO</w:t>
      </w:r>
      <w:r w:rsidR="00111A07">
        <w:t xml:space="preserve">. </w:t>
      </w:r>
      <w:r w:rsidR="008A33FB" w:rsidRPr="008A33FB">
        <w:t>The</w:t>
      </w:r>
      <w:r w:rsidR="00281391">
        <w:t xml:space="preserve"> </w:t>
      </w:r>
      <w:r w:rsidR="00D5522D">
        <w:t>upgrade</w:t>
      </w:r>
      <w:r w:rsidR="008A33FB" w:rsidRPr="008A33FB">
        <w:t xml:space="preserve"> </w:t>
      </w:r>
      <w:r w:rsidR="005E0034">
        <w:t>to</w:t>
      </w:r>
      <w:r w:rsidR="008A33FB" w:rsidRPr="008A33FB">
        <w:t xml:space="preserve"> nominal GDP</w:t>
      </w:r>
      <w:r w:rsidR="00D5522D">
        <w:t xml:space="preserve"> growth</w:t>
      </w:r>
      <w:r w:rsidR="008A33FB" w:rsidRPr="008A33FB">
        <w:t xml:space="preserve"> </w:t>
      </w:r>
      <w:r w:rsidR="00D5522D">
        <w:t>in</w:t>
      </w:r>
      <w:r w:rsidR="008A33FB" w:rsidRPr="008A33FB">
        <w:t xml:space="preserve"> 2021</w:t>
      </w:r>
      <w:r w:rsidR="00111A07">
        <w:noBreakHyphen/>
      </w:r>
      <w:r w:rsidR="008A33FB" w:rsidRPr="008A33FB">
        <w:t xml:space="preserve">22 </w:t>
      </w:r>
      <w:r w:rsidR="0082664D">
        <w:t xml:space="preserve">is largely driven by </w:t>
      </w:r>
      <w:r w:rsidR="000931BF">
        <w:t xml:space="preserve">higher </w:t>
      </w:r>
      <w:r w:rsidR="003A4341">
        <w:t xml:space="preserve">commodity </w:t>
      </w:r>
      <w:r w:rsidR="00D92155">
        <w:t>prices, with non</w:t>
      </w:r>
      <w:r w:rsidR="00111A07">
        <w:noBreakHyphen/>
      </w:r>
      <w:r w:rsidR="00D92155">
        <w:t xml:space="preserve">rural commodity export values $5.6 billion higher in the December quarter </w:t>
      </w:r>
      <w:r w:rsidR="001E0B39">
        <w:t xml:space="preserve">of </w:t>
      </w:r>
      <w:r w:rsidR="00D92155">
        <w:t>2021 than forecast</w:t>
      </w:r>
      <w:r w:rsidR="00A57D83">
        <w:t xml:space="preserve"> </w:t>
      </w:r>
      <w:r w:rsidR="00C67ED5">
        <w:t>at</w:t>
      </w:r>
      <w:r w:rsidR="001E0B39">
        <w:t xml:space="preserve"> the</w:t>
      </w:r>
      <w:r w:rsidR="00A57D83">
        <w:t xml:space="preserve"> </w:t>
      </w:r>
      <w:r w:rsidR="00711CA5">
        <w:t>2021</w:t>
      </w:r>
      <w:r w:rsidR="00111A07">
        <w:noBreakHyphen/>
      </w:r>
      <w:r w:rsidR="00711CA5">
        <w:t xml:space="preserve">22 </w:t>
      </w:r>
      <w:r w:rsidR="00A57D83">
        <w:t>MYEFO</w:t>
      </w:r>
      <w:r w:rsidR="00111A07">
        <w:t xml:space="preserve">. </w:t>
      </w:r>
      <w:r w:rsidR="00D92155">
        <w:t>The</w:t>
      </w:r>
      <w:r w:rsidR="00AE7FDF">
        <w:t> </w:t>
      </w:r>
      <w:r w:rsidR="00D92155">
        <w:t>higher</w:t>
      </w:r>
      <w:r w:rsidR="00111A07">
        <w:noBreakHyphen/>
      </w:r>
      <w:r w:rsidR="00D92155">
        <w:t>than</w:t>
      </w:r>
      <w:r w:rsidR="00111A07">
        <w:noBreakHyphen/>
      </w:r>
      <w:r w:rsidR="00D92155">
        <w:t xml:space="preserve">expected export values are expected to </w:t>
      </w:r>
      <w:r w:rsidR="00D5522D">
        <w:t>provide additional support to the Australian economy</w:t>
      </w:r>
      <w:r w:rsidR="00E73CEF">
        <w:t xml:space="preserve"> through higher profits and government revenue</w:t>
      </w:r>
      <w:r w:rsidR="00111A07">
        <w:t xml:space="preserve">. </w:t>
      </w:r>
    </w:p>
    <w:p w14:paraId="511786ED" w14:textId="0FFE46BB" w:rsidR="00456C43" w:rsidRDefault="000F1C96" w:rsidP="00B335ED">
      <w:r>
        <w:t xml:space="preserve">Nominal GDP is expected to grow by </w:t>
      </w:r>
      <w:r w:rsidRPr="008A33FB">
        <w:t xml:space="preserve">½ </w:t>
      </w:r>
      <w:r>
        <w:t xml:space="preserve">of a </w:t>
      </w:r>
      <w:r w:rsidRPr="008A33FB">
        <w:t>per cent in</w:t>
      </w:r>
      <w:r>
        <w:t xml:space="preserve"> </w:t>
      </w:r>
      <w:r w:rsidRPr="008A33FB">
        <w:t>202</w:t>
      </w:r>
      <w:r>
        <w:t>2</w:t>
      </w:r>
      <w:r w:rsidR="00111A07">
        <w:noBreakHyphen/>
      </w:r>
      <w:r w:rsidRPr="008A33FB">
        <w:t>2</w:t>
      </w:r>
      <w:r>
        <w:t>3</w:t>
      </w:r>
      <w:r w:rsidRPr="008A33FB">
        <w:t xml:space="preserve"> and by </w:t>
      </w:r>
      <w:r>
        <w:t xml:space="preserve">3 </w:t>
      </w:r>
      <w:r w:rsidRPr="008A33FB">
        <w:t>per cent in 202</w:t>
      </w:r>
      <w:r>
        <w:t>3</w:t>
      </w:r>
      <w:r w:rsidR="00111A07">
        <w:noBreakHyphen/>
      </w:r>
      <w:r w:rsidRPr="008A33FB">
        <w:t>2</w:t>
      </w:r>
      <w:r>
        <w:t>4</w:t>
      </w:r>
      <w:r w:rsidR="00111A07">
        <w:t xml:space="preserve">. </w:t>
      </w:r>
      <w:r w:rsidR="00C26DB2">
        <w:t xml:space="preserve">The subdued growth across these years </w:t>
      </w:r>
      <w:r w:rsidR="00A102C3">
        <w:t>reflects</w:t>
      </w:r>
      <w:r>
        <w:t xml:space="preserve"> </w:t>
      </w:r>
      <w:r w:rsidR="001A16AC">
        <w:t xml:space="preserve">a </w:t>
      </w:r>
      <w:r w:rsidR="00B36779">
        <w:t xml:space="preserve">sharply </w:t>
      </w:r>
      <w:r w:rsidR="001A16AC">
        <w:t xml:space="preserve">falling terms of trade due to an assumed </w:t>
      </w:r>
      <w:r w:rsidR="008C27C8">
        <w:t>decrease</w:t>
      </w:r>
      <w:r w:rsidR="002D437D">
        <w:t xml:space="preserve"> </w:t>
      </w:r>
      <w:r w:rsidR="001A16AC">
        <w:t xml:space="preserve">in </w:t>
      </w:r>
      <w:r>
        <w:t>commodity prices</w:t>
      </w:r>
      <w:r w:rsidR="004C7EEB">
        <w:t xml:space="preserve"> </w:t>
      </w:r>
      <w:r w:rsidR="00B36779">
        <w:t>to levels more consistent with long</w:t>
      </w:r>
      <w:r w:rsidR="00111A07">
        <w:noBreakHyphen/>
      </w:r>
      <w:r w:rsidR="00B36779">
        <w:t>term fundamentals</w:t>
      </w:r>
      <w:r w:rsidR="004C7EEB">
        <w:t xml:space="preserve"> (</w:t>
      </w:r>
      <w:r w:rsidR="00ED6166">
        <w:t>C</w:t>
      </w:r>
      <w:r w:rsidR="004C7EEB">
        <w:t>hart 2.</w:t>
      </w:r>
      <w:r w:rsidR="00E23BD5">
        <w:t>2</w:t>
      </w:r>
      <w:r w:rsidR="0016132E">
        <w:t>3</w:t>
      </w:r>
      <w:r w:rsidR="004C7EEB">
        <w:t>)</w:t>
      </w:r>
      <w:r w:rsidR="00111A07">
        <w:t xml:space="preserve">. </w:t>
      </w:r>
      <w:r w:rsidR="00A176DE">
        <w:t xml:space="preserve">This will be partly offset by a tight labour market </w:t>
      </w:r>
      <w:r w:rsidR="0070419B">
        <w:t>that</w:t>
      </w:r>
      <w:r w:rsidR="00A176DE">
        <w:t xml:space="preserve"> </w:t>
      </w:r>
      <w:r w:rsidR="0070419B">
        <w:t>increases</w:t>
      </w:r>
      <w:r w:rsidR="00B741BA">
        <w:t xml:space="preserve"> output </w:t>
      </w:r>
      <w:r w:rsidR="0070419B">
        <w:t>and</w:t>
      </w:r>
      <w:r w:rsidR="00A176DE">
        <w:t xml:space="preserve"> </w:t>
      </w:r>
      <w:r w:rsidR="0070419B">
        <w:t>generates</w:t>
      </w:r>
      <w:r w:rsidR="00A176DE">
        <w:t xml:space="preserve"> robust income and consumption growth</w:t>
      </w:r>
      <w:r w:rsidR="00111A07">
        <w:t xml:space="preserve">. </w:t>
      </w:r>
      <w:r w:rsidR="00C339F5">
        <w:t xml:space="preserve">Additionally, rising wage growth is expected to lead to </w:t>
      </w:r>
      <w:r w:rsidR="001418CE" w:rsidRPr="001418CE">
        <w:t>a permanent increase</w:t>
      </w:r>
      <w:r w:rsidR="00C339F5">
        <w:t xml:space="preserve"> in </w:t>
      </w:r>
      <w:r w:rsidR="001418CE" w:rsidRPr="001418CE">
        <w:t>the labour share of income.</w:t>
      </w:r>
    </w:p>
    <w:p w14:paraId="2A3E2083" w14:textId="7AC9A18C" w:rsidR="00A102C3" w:rsidRDefault="00446DF3" w:rsidP="0098307C">
      <w:r>
        <w:t>Overall,</w:t>
      </w:r>
      <w:r w:rsidR="00D255F2">
        <w:t xml:space="preserve"> </w:t>
      </w:r>
      <w:r w:rsidR="00A102C3">
        <w:t xml:space="preserve">the level of </w:t>
      </w:r>
      <w:r w:rsidR="00D255F2">
        <w:t xml:space="preserve">nominal GDP </w:t>
      </w:r>
      <w:r>
        <w:t>is</w:t>
      </w:r>
      <w:r w:rsidR="00D255F2">
        <w:t xml:space="preserve"> </w:t>
      </w:r>
      <w:r w:rsidR="00902EA8">
        <w:t xml:space="preserve">around </w:t>
      </w:r>
      <w:r w:rsidR="006675FF">
        <w:t>$</w:t>
      </w:r>
      <w:r w:rsidR="00902EA8">
        <w:t>300 billion</w:t>
      </w:r>
      <w:r w:rsidR="004E3A8E">
        <w:t xml:space="preserve"> </w:t>
      </w:r>
      <w:r w:rsidR="00D255F2">
        <w:t>higher</w:t>
      </w:r>
      <w:r w:rsidR="006675FF">
        <w:t xml:space="preserve"> over the </w:t>
      </w:r>
      <w:r w:rsidR="00E139FC">
        <w:t>5</w:t>
      </w:r>
      <w:r w:rsidR="0014416A">
        <w:t xml:space="preserve"> years to 2025</w:t>
      </w:r>
      <w:r w:rsidR="00111A07">
        <w:noBreakHyphen/>
      </w:r>
      <w:r w:rsidR="0014416A">
        <w:t>26</w:t>
      </w:r>
      <w:r w:rsidR="00880BB0">
        <w:t xml:space="preserve"> compared with </w:t>
      </w:r>
      <w:r w:rsidR="005E0034">
        <w:t xml:space="preserve">the </w:t>
      </w:r>
      <w:r w:rsidR="00880BB0">
        <w:t>2021</w:t>
      </w:r>
      <w:r w:rsidR="00111A07">
        <w:noBreakHyphen/>
      </w:r>
      <w:r w:rsidR="00880BB0">
        <w:t>22 MYEFO</w:t>
      </w:r>
      <w:r w:rsidR="00111A07">
        <w:t xml:space="preserve">. </w:t>
      </w:r>
      <w:r w:rsidR="004409A1">
        <w:t>In 2021</w:t>
      </w:r>
      <w:r w:rsidR="00111A07">
        <w:noBreakHyphen/>
      </w:r>
      <w:r w:rsidR="004409A1">
        <w:t>22</w:t>
      </w:r>
      <w:r w:rsidR="00880BB0">
        <w:t>,</w:t>
      </w:r>
      <w:r w:rsidR="004409A1">
        <w:t xml:space="preserve"> this largely reflects stronger non</w:t>
      </w:r>
      <w:r w:rsidR="00111A07">
        <w:noBreakHyphen/>
      </w:r>
      <w:r w:rsidR="004409A1">
        <w:t xml:space="preserve">rural commodity prices and </w:t>
      </w:r>
      <w:r w:rsidR="0095004D">
        <w:t>in</w:t>
      </w:r>
      <w:r w:rsidR="00AB4F7D">
        <w:t xml:space="preserve"> subsequent years it</w:t>
      </w:r>
      <w:r w:rsidR="004409A1">
        <w:t xml:space="preserve"> reflects stronger output and </w:t>
      </w:r>
      <w:r w:rsidR="009055BC">
        <w:t>a</w:t>
      </w:r>
      <w:r w:rsidR="004409A1">
        <w:t xml:space="preserve"> higher domestic price level</w:t>
      </w:r>
      <w:r w:rsidR="0013440C" w:rsidDel="0027333D">
        <w:t>.</w:t>
      </w:r>
    </w:p>
    <w:p w14:paraId="1F3C4DF1" w14:textId="35ADD443" w:rsidR="0098307C" w:rsidRDefault="0098307C" w:rsidP="009416E5">
      <w:pPr>
        <w:pStyle w:val="ChartHeading"/>
      </w:pPr>
      <w:r>
        <w:t>Chart 2.</w:t>
      </w:r>
      <w:r w:rsidR="00AF4232">
        <w:t>2</w:t>
      </w:r>
      <w:r w:rsidR="00F53F3E">
        <w:t>3</w:t>
      </w:r>
      <w:r>
        <w:t>: Australia</w:t>
      </w:r>
      <w:r w:rsidR="00111A07">
        <w:t>’</w:t>
      </w:r>
      <w:r>
        <w:t>s terms of trade</w:t>
      </w:r>
    </w:p>
    <w:p w14:paraId="2A22D222" w14:textId="4DA867C7" w:rsidR="00BD2D72" w:rsidRDefault="00171BBD" w:rsidP="009B1673">
      <w:pPr>
        <w:pStyle w:val="ChartGraphic"/>
      </w:pPr>
      <w:r w:rsidRPr="00171BBD">
        <w:rPr>
          <w:noProof/>
        </w:rPr>
        <w:drawing>
          <wp:inline distT="0" distB="0" distL="0" distR="0" wp14:anchorId="29D7AAC6" wp14:editId="2BE7FF82">
            <wp:extent cx="4707255" cy="2520315"/>
            <wp:effectExtent l="0" t="0" r="0" b="0"/>
            <wp:docPr id="20" name="Picture 20" descr="The terms of trade is forecast to increase by 11 per cent to a record high in 2021-22. This record high is slightly above the previous peak in the early 2010s and well above levels experienced in the 1980s and 1990s. The terms of trade is forecast to decline 21 1/4 per cent in 2022-23 and 8 3/4 per cent in 2023-24 due to an assumed decrease in commodity prices to levels more consistent with long term fundamenta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e terms of trade is forecast to increase by 11 per cent to a record high in 2021-22. This record high is slightly above the previous peak in the early 2010s and well above levels experienced in the 1980s and 1990s. The terms of trade is forecast to decline 21 1/4 per cent in 2022-23 and 8 3/4 per cent in 2023-24 due to an assumed decrease in commodity prices to levels more consistent with long term fundamentals.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07255" cy="2520315"/>
                    </a:xfrm>
                    <a:prstGeom prst="rect">
                      <a:avLst/>
                    </a:prstGeom>
                    <a:noFill/>
                    <a:ln>
                      <a:noFill/>
                    </a:ln>
                  </pic:spPr>
                </pic:pic>
              </a:graphicData>
            </a:graphic>
          </wp:inline>
        </w:drawing>
      </w:r>
    </w:p>
    <w:p w14:paraId="47635D76" w14:textId="7EC5A544" w:rsidR="009B1673" w:rsidRDefault="009B1673" w:rsidP="009B1673">
      <w:pPr>
        <w:pStyle w:val="Source"/>
      </w:pPr>
      <w:r>
        <w:t xml:space="preserve">Source: </w:t>
      </w:r>
      <w:r>
        <w:tab/>
        <w:t>ABS Australian National Accounts: National Income, Expenditure and Product and Treasury</w:t>
      </w:r>
      <w:r w:rsidR="00F8286B">
        <w:t>.</w:t>
      </w:r>
    </w:p>
    <w:p w14:paraId="5FE8AC93" w14:textId="461B3572" w:rsidR="009849DE" w:rsidRDefault="004F0DB2" w:rsidP="009B1673">
      <w:r>
        <w:t xml:space="preserve">The </w:t>
      </w:r>
      <w:r w:rsidR="00DD00C1">
        <w:t>near</w:t>
      </w:r>
      <w:r w:rsidR="00111A07">
        <w:noBreakHyphen/>
      </w:r>
      <w:r w:rsidR="00DD00C1">
        <w:t>term</w:t>
      </w:r>
      <w:r>
        <w:t xml:space="preserve"> forecasts capture </w:t>
      </w:r>
      <w:r w:rsidR="00DD00C1">
        <w:t>much of</w:t>
      </w:r>
      <w:r>
        <w:t xml:space="preserve"> the </w:t>
      </w:r>
      <w:r w:rsidR="00061C95">
        <w:t xml:space="preserve">recent increases </w:t>
      </w:r>
      <w:r>
        <w:t xml:space="preserve">in commodity </w:t>
      </w:r>
      <w:r w:rsidR="00DD00C1">
        <w:t>prices</w:t>
      </w:r>
      <w:r w:rsidR="00F939DE">
        <w:t xml:space="preserve"> </w:t>
      </w:r>
      <w:r>
        <w:t>but</w:t>
      </w:r>
      <w:r w:rsidR="00F76DD4">
        <w:t>,</w:t>
      </w:r>
      <w:r>
        <w:t xml:space="preserve"> given the </w:t>
      </w:r>
      <w:r w:rsidR="00F76DD4">
        <w:t>current high</w:t>
      </w:r>
      <w:r w:rsidR="00111A07">
        <w:noBreakHyphen/>
      </w:r>
      <w:r w:rsidR="00F76DD4">
        <w:t xml:space="preserve">level of </w:t>
      </w:r>
      <w:r w:rsidR="00061C95">
        <w:t xml:space="preserve">volatility and </w:t>
      </w:r>
      <w:r>
        <w:t>uncertainty</w:t>
      </w:r>
      <w:r w:rsidR="00F76DD4">
        <w:t>,</w:t>
      </w:r>
      <w:r>
        <w:t xml:space="preserve"> </w:t>
      </w:r>
      <w:r w:rsidR="00DD00C1">
        <w:t xml:space="preserve">conservative </w:t>
      </w:r>
      <w:r w:rsidR="001E1531">
        <w:t xml:space="preserve">export commodity price </w:t>
      </w:r>
      <w:r w:rsidR="00DD00C1">
        <w:t>assumptions have been adopted</w:t>
      </w:r>
      <w:r w:rsidR="00111A07">
        <w:t xml:space="preserve">. </w:t>
      </w:r>
      <w:r w:rsidR="00DD00C1">
        <w:t>E</w:t>
      </w:r>
      <w:r w:rsidR="00F76DD4">
        <w:t>levated</w:t>
      </w:r>
      <w:r>
        <w:t xml:space="preserve"> </w:t>
      </w:r>
      <w:r w:rsidR="00461ED9">
        <w:t>coal, iron ore</w:t>
      </w:r>
      <w:r w:rsidR="0099767B">
        <w:t>,</w:t>
      </w:r>
      <w:r w:rsidR="00461ED9">
        <w:t xml:space="preserve"> metals </w:t>
      </w:r>
      <w:r w:rsidR="00454420">
        <w:t xml:space="preserve">and </w:t>
      </w:r>
      <w:r w:rsidR="0099767B">
        <w:t xml:space="preserve">other </w:t>
      </w:r>
      <w:r w:rsidR="00454420">
        <w:t xml:space="preserve">ores </w:t>
      </w:r>
      <w:r>
        <w:t xml:space="preserve">prices are unwound over </w:t>
      </w:r>
      <w:r w:rsidR="006D0391">
        <w:t>2</w:t>
      </w:r>
      <w:r>
        <w:t xml:space="preserve"> quarters </w:t>
      </w:r>
      <w:r w:rsidR="002B14EB">
        <w:t>(</w:t>
      </w:r>
      <w:r w:rsidR="008721F7">
        <w:t>that is,</w:t>
      </w:r>
      <w:r w:rsidR="002B14EB">
        <w:t xml:space="preserve"> by the end of the September</w:t>
      </w:r>
      <w:r w:rsidR="00AE7FDF">
        <w:t> </w:t>
      </w:r>
      <w:r w:rsidR="002B14EB">
        <w:t>quarter</w:t>
      </w:r>
      <w:r w:rsidR="006A20B1">
        <w:t xml:space="preserve"> of</w:t>
      </w:r>
      <w:r w:rsidR="002B14EB">
        <w:t xml:space="preserve"> 2022) </w:t>
      </w:r>
      <w:r>
        <w:t>to levels consistent with long</w:t>
      </w:r>
      <w:r w:rsidR="00111A07">
        <w:noBreakHyphen/>
      </w:r>
      <w:r>
        <w:t>term fundamentals</w:t>
      </w:r>
      <w:r w:rsidR="00111A07">
        <w:t xml:space="preserve">. </w:t>
      </w:r>
      <w:r w:rsidR="0012126E">
        <w:t xml:space="preserve">For iron </w:t>
      </w:r>
      <w:r w:rsidR="0012126E">
        <w:lastRenderedPageBreak/>
        <w:t>ore and coal, this is one quarter later than was assumed in the 2021</w:t>
      </w:r>
      <w:r w:rsidR="00111A07">
        <w:noBreakHyphen/>
      </w:r>
      <w:r w:rsidR="0012126E">
        <w:t>22 MYEFO</w:t>
      </w:r>
      <w:r w:rsidR="00111A07">
        <w:t xml:space="preserve">. </w:t>
      </w:r>
      <w:r w:rsidR="00894754">
        <w:t xml:space="preserve">This approach ensures that </w:t>
      </w:r>
      <w:r w:rsidR="00826031">
        <w:t>economic and</w:t>
      </w:r>
      <w:r w:rsidR="00894754">
        <w:t xml:space="preserve"> </w:t>
      </w:r>
      <w:r w:rsidR="000434EA">
        <w:t xml:space="preserve">fiscal parameters are grounded in </w:t>
      </w:r>
      <w:r w:rsidR="00903FE7">
        <w:t>long</w:t>
      </w:r>
      <w:r w:rsidR="00111A07">
        <w:noBreakHyphen/>
      </w:r>
      <w:r w:rsidR="00903FE7">
        <w:t xml:space="preserve">term </w:t>
      </w:r>
      <w:r w:rsidR="00B77AA4">
        <w:t>economic</w:t>
      </w:r>
      <w:r w:rsidR="000434EA">
        <w:t xml:space="preserve"> fundamentals and </w:t>
      </w:r>
      <w:r w:rsidR="00826031">
        <w:t xml:space="preserve">are not </w:t>
      </w:r>
      <w:r w:rsidR="00BC7BA4">
        <w:t>unduly</w:t>
      </w:r>
      <w:r w:rsidR="00826031">
        <w:t xml:space="preserve"> influenced by </w:t>
      </w:r>
      <w:r w:rsidR="00915A22">
        <w:t>short</w:t>
      </w:r>
      <w:r w:rsidR="00111A07">
        <w:noBreakHyphen/>
      </w:r>
      <w:r w:rsidR="00915A22">
        <w:t>term volatility</w:t>
      </w:r>
      <w:r w:rsidR="00111A07">
        <w:t xml:space="preserve">. </w:t>
      </w:r>
    </w:p>
    <w:p w14:paraId="79E5CB70" w14:textId="3F7C103A" w:rsidR="001F684E" w:rsidRPr="00A87549" w:rsidRDefault="00045D24" w:rsidP="009B1673">
      <w:r w:rsidRPr="00A87549">
        <w:t>The price assumptions for key commodities are:</w:t>
      </w:r>
    </w:p>
    <w:p w14:paraId="06736E5E" w14:textId="33CDFB19" w:rsidR="0024657A" w:rsidRDefault="0099005F" w:rsidP="0024657A">
      <w:pPr>
        <w:pStyle w:val="Bullet"/>
      </w:pPr>
      <w:bookmarkStart w:id="16" w:name="_Hlk97639398"/>
      <w:r>
        <w:t xml:space="preserve">The iron ore price is assumed to decline </w:t>
      </w:r>
      <w:r w:rsidR="00347C45">
        <w:t xml:space="preserve">from US$134 </w:t>
      </w:r>
      <w:r>
        <w:t xml:space="preserve">to US$55 per tonne </w:t>
      </w:r>
      <w:r w:rsidR="008721F7">
        <w:t>free on board</w:t>
      </w:r>
      <w:r>
        <w:t xml:space="preserve"> </w:t>
      </w:r>
      <w:r w:rsidR="008721F7">
        <w:t>(</w:t>
      </w:r>
      <w:r>
        <w:t>FOB</w:t>
      </w:r>
      <w:r w:rsidR="008721F7">
        <w:t>)</w:t>
      </w:r>
      <w:r>
        <w:t>.</w:t>
      </w:r>
    </w:p>
    <w:p w14:paraId="2F815D65" w14:textId="4B1FD146" w:rsidR="0024657A" w:rsidRDefault="000577D7" w:rsidP="0024657A">
      <w:pPr>
        <w:pStyle w:val="Bullet"/>
      </w:pPr>
      <w:r>
        <w:t>M</w:t>
      </w:r>
      <w:r w:rsidR="0099005F">
        <w:t xml:space="preserve">etallurgical and thermal coal prices are assumed to decline </w:t>
      </w:r>
      <w:r w:rsidR="00347C45">
        <w:t xml:space="preserve">from US$512 </w:t>
      </w:r>
      <w:r w:rsidR="0099005F">
        <w:t xml:space="preserve">to US$130 </w:t>
      </w:r>
      <w:r w:rsidR="00045460">
        <w:t>per tonne</w:t>
      </w:r>
      <w:r w:rsidR="009934E7">
        <w:t xml:space="preserve"> FOB</w:t>
      </w:r>
      <w:r w:rsidR="0099005F" w:rsidRPr="009B1673">
        <w:t xml:space="preserve"> </w:t>
      </w:r>
      <w:r w:rsidR="0099005F">
        <w:t>and US$</w:t>
      </w:r>
      <w:r w:rsidR="00347C45">
        <w:t xml:space="preserve">320 to </w:t>
      </w:r>
      <w:r w:rsidR="0099005F">
        <w:t>US$60</w:t>
      </w:r>
      <w:r w:rsidR="009934E7">
        <w:t xml:space="preserve"> </w:t>
      </w:r>
      <w:r w:rsidR="00045460">
        <w:t>per tonne</w:t>
      </w:r>
      <w:r w:rsidR="009934E7">
        <w:t xml:space="preserve"> FOB</w:t>
      </w:r>
      <w:r w:rsidR="0099005F">
        <w:t>, respectively</w:t>
      </w:r>
      <w:r w:rsidR="00111A07">
        <w:t xml:space="preserve">. </w:t>
      </w:r>
    </w:p>
    <w:p w14:paraId="2D5B4B51" w14:textId="345DD4CD" w:rsidR="0086359E" w:rsidRDefault="0086359E" w:rsidP="00FF4009">
      <w:pPr>
        <w:pStyle w:val="Bullet"/>
        <w:numPr>
          <w:ilvl w:val="0"/>
          <w:numId w:val="6"/>
        </w:numPr>
      </w:pPr>
      <w:r>
        <w:t xml:space="preserve">Given </w:t>
      </w:r>
      <w:r w:rsidR="00B24F26">
        <w:t>the</w:t>
      </w:r>
      <w:r w:rsidRPr="009B1673">
        <w:t xml:space="preserve"> </w:t>
      </w:r>
      <w:r>
        <w:t xml:space="preserve">substantial </w:t>
      </w:r>
      <w:r w:rsidRPr="009B1673">
        <w:t>increase</w:t>
      </w:r>
      <w:r>
        <w:t xml:space="preserve"> in </w:t>
      </w:r>
      <w:r w:rsidR="00B24F26">
        <w:t>metals and ores (excluding iron ore) prices</w:t>
      </w:r>
      <w:r w:rsidRPr="009B1673">
        <w:t xml:space="preserve"> </w:t>
      </w:r>
      <w:r>
        <w:t>since the 2021</w:t>
      </w:r>
      <w:r w:rsidR="00111A07">
        <w:noBreakHyphen/>
      </w:r>
      <w:r>
        <w:t>22 MYEFO</w:t>
      </w:r>
      <w:r w:rsidR="00B24F26">
        <w:t xml:space="preserve">, </w:t>
      </w:r>
      <w:r>
        <w:t>the prices for these commodities</w:t>
      </w:r>
      <w:r w:rsidR="00061C95">
        <w:t xml:space="preserve">, such as </w:t>
      </w:r>
      <w:r w:rsidR="00D37356">
        <w:t xml:space="preserve">gold, </w:t>
      </w:r>
      <w:r w:rsidR="00F939DE">
        <w:t>aluminium</w:t>
      </w:r>
      <w:r w:rsidR="00D37356">
        <w:t xml:space="preserve"> and nickel</w:t>
      </w:r>
      <w:r w:rsidR="00061C95">
        <w:t>,</w:t>
      </w:r>
      <w:r>
        <w:t xml:space="preserve"> are assumed to decline to their long</w:t>
      </w:r>
      <w:r w:rsidR="00111A07">
        <w:noBreakHyphen/>
      </w:r>
      <w:r>
        <w:t>term levels</w:t>
      </w:r>
      <w:r w:rsidR="00B24F26">
        <w:t xml:space="preserve"> by the end of the September</w:t>
      </w:r>
      <w:r w:rsidR="00B74598">
        <w:t> </w:t>
      </w:r>
      <w:r w:rsidR="00B24F26">
        <w:t>quarter</w:t>
      </w:r>
      <w:r w:rsidR="006A20B1">
        <w:t xml:space="preserve"> of</w:t>
      </w:r>
      <w:r w:rsidR="00B24F26">
        <w:t xml:space="preserve"> 2022</w:t>
      </w:r>
      <w:r>
        <w:t>.</w:t>
      </w:r>
    </w:p>
    <w:p w14:paraId="241ACACC" w14:textId="44420E4E" w:rsidR="002B14EB" w:rsidRDefault="002B14EB" w:rsidP="000A3742">
      <w:pPr>
        <w:pStyle w:val="Bullet"/>
      </w:pPr>
      <w:r>
        <w:t>Tapis o</w:t>
      </w:r>
      <w:r w:rsidR="001F684E">
        <w:t xml:space="preserve">il prices are assumed to decline </w:t>
      </w:r>
      <w:r w:rsidR="00347C45">
        <w:t xml:space="preserve">from US$114 </w:t>
      </w:r>
      <w:r>
        <w:t xml:space="preserve">to </w:t>
      </w:r>
      <w:r w:rsidR="00C965A7">
        <w:t>around US$100</w:t>
      </w:r>
      <w:r w:rsidR="001C139C">
        <w:t xml:space="preserve"> per barrel</w:t>
      </w:r>
      <w:r w:rsidR="00111A07">
        <w:t xml:space="preserve">. </w:t>
      </w:r>
      <w:r>
        <w:t>The end</w:t>
      </w:r>
      <w:r w:rsidR="00111A07">
        <w:noBreakHyphen/>
      </w:r>
      <w:r>
        <w:t xml:space="preserve">point is based on the average </w:t>
      </w:r>
      <w:r w:rsidR="00157253">
        <w:t>price</w:t>
      </w:r>
      <w:r>
        <w:t xml:space="preserve"> </w:t>
      </w:r>
      <w:r w:rsidR="00764D68">
        <w:t>over February</w:t>
      </w:r>
      <w:r w:rsidR="009643B0">
        <w:t xml:space="preserve"> </w:t>
      </w:r>
      <w:r w:rsidR="00F76DD4">
        <w:t xml:space="preserve">rather than </w:t>
      </w:r>
      <w:r w:rsidR="00DC05F1">
        <w:t xml:space="preserve">assessments of </w:t>
      </w:r>
      <w:r w:rsidR="00F76DD4">
        <w:t>long</w:t>
      </w:r>
      <w:r w:rsidR="00111A07">
        <w:noBreakHyphen/>
      </w:r>
      <w:r w:rsidR="00F76DD4">
        <w:t xml:space="preserve">term fundamentals, </w:t>
      </w:r>
      <w:r w:rsidR="00764D68">
        <w:t xml:space="preserve">reflecting </w:t>
      </w:r>
      <w:r w:rsidR="00577F1C">
        <w:t xml:space="preserve">the </w:t>
      </w:r>
      <w:r w:rsidR="00DC05F1">
        <w:t xml:space="preserve">increased risks </w:t>
      </w:r>
      <w:r w:rsidR="002E4E2D">
        <w:t>around</w:t>
      </w:r>
      <w:r w:rsidR="00577F1C">
        <w:t xml:space="preserve"> </w:t>
      </w:r>
      <w:r w:rsidR="00DC05F1">
        <w:t xml:space="preserve">oil </w:t>
      </w:r>
      <w:r w:rsidR="002E4E2D">
        <w:t xml:space="preserve">supply </w:t>
      </w:r>
      <w:r w:rsidR="00DC05F1">
        <w:t xml:space="preserve">and the possibility that a large risk premium </w:t>
      </w:r>
      <w:r w:rsidR="002412B4">
        <w:t xml:space="preserve">sees </w:t>
      </w:r>
      <w:r w:rsidR="00764D68">
        <w:t xml:space="preserve">oil prices </w:t>
      </w:r>
      <w:r w:rsidR="002412B4">
        <w:t>remain</w:t>
      </w:r>
      <w:r w:rsidR="00577F1C">
        <w:t xml:space="preserve"> </w:t>
      </w:r>
      <w:r w:rsidR="00764D68">
        <w:t>elevated for some time</w:t>
      </w:r>
      <w:r>
        <w:t>.</w:t>
      </w:r>
    </w:p>
    <w:p w14:paraId="140A7421" w14:textId="7D9E1101" w:rsidR="00587E9D" w:rsidRDefault="004B72F4" w:rsidP="009B1673">
      <w:r>
        <w:t xml:space="preserve">The potential for further disruptions to commodity supply from </w:t>
      </w:r>
      <w:r w:rsidR="00E607BE">
        <w:t>Russia poses an upside risk</w:t>
      </w:r>
      <w:r w:rsidR="0099005F">
        <w:t xml:space="preserve"> to the </w:t>
      </w:r>
      <w:r w:rsidR="00E607BE">
        <w:t>terms of trade forecasts</w:t>
      </w:r>
      <w:r w:rsidR="00111A07">
        <w:t xml:space="preserve">. </w:t>
      </w:r>
      <w:r w:rsidR="00B80E62">
        <w:t xml:space="preserve">This would see the </w:t>
      </w:r>
      <w:r w:rsidR="00CA12F2">
        <w:t xml:space="preserve">prices of </w:t>
      </w:r>
      <w:r w:rsidR="00551C31">
        <w:t>some of</w:t>
      </w:r>
      <w:r w:rsidR="00CA12F2">
        <w:t xml:space="preserve"> Australia</w:t>
      </w:r>
      <w:r w:rsidR="00111A07">
        <w:t>’</w:t>
      </w:r>
      <w:r w:rsidR="00CA12F2">
        <w:t xml:space="preserve">s key </w:t>
      </w:r>
      <w:r w:rsidR="0099005F">
        <w:t xml:space="preserve">commodity </w:t>
      </w:r>
      <w:r w:rsidR="00CA12F2">
        <w:t>exports</w:t>
      </w:r>
      <w:r w:rsidR="00E607BE">
        <w:t xml:space="preserve"> </w:t>
      </w:r>
      <w:r w:rsidR="00D46FC6">
        <w:t>remaining elevated for longer than under</w:t>
      </w:r>
      <w:r w:rsidR="00A60ACF">
        <w:t xml:space="preserve"> </w:t>
      </w:r>
      <w:r w:rsidR="0099666B">
        <w:t>the 202</w:t>
      </w:r>
      <w:r w:rsidR="002A6605">
        <w:t>2</w:t>
      </w:r>
      <w:r w:rsidR="00111A07">
        <w:noBreakHyphen/>
      </w:r>
      <w:r w:rsidR="0099666B">
        <w:t>2</w:t>
      </w:r>
      <w:r w:rsidR="002A6605">
        <w:t>3</w:t>
      </w:r>
      <w:r w:rsidR="0099666B">
        <w:t xml:space="preserve"> Budget assumptions</w:t>
      </w:r>
      <w:r w:rsidR="00111A07">
        <w:t xml:space="preserve">. </w:t>
      </w:r>
      <w:r>
        <w:t>These disruptions could</w:t>
      </w:r>
      <w:r w:rsidR="002C41E9">
        <w:t xml:space="preserve"> </w:t>
      </w:r>
      <w:r w:rsidR="00061C95">
        <w:t xml:space="preserve">also </w:t>
      </w:r>
      <w:r w:rsidR="00081152">
        <w:t xml:space="preserve">support </w:t>
      </w:r>
      <w:r w:rsidR="00061C95">
        <w:t>higher</w:t>
      </w:r>
      <w:r w:rsidR="00111A07">
        <w:noBreakHyphen/>
      </w:r>
      <w:r w:rsidR="00061C95">
        <w:t>than</w:t>
      </w:r>
      <w:r w:rsidR="00111A07">
        <w:noBreakHyphen/>
      </w:r>
      <w:r w:rsidR="00061C95">
        <w:t>expected</w:t>
      </w:r>
      <w:r w:rsidR="00081152">
        <w:t xml:space="preserve"> </w:t>
      </w:r>
      <w:r w:rsidR="002C41E9">
        <w:t xml:space="preserve">energy commodity </w:t>
      </w:r>
      <w:r w:rsidR="00081152">
        <w:t>prices</w:t>
      </w:r>
      <w:r w:rsidR="009A0B05">
        <w:t xml:space="preserve">, as well </w:t>
      </w:r>
      <w:r w:rsidR="00B078BD">
        <w:t xml:space="preserve">as </w:t>
      </w:r>
      <w:r w:rsidR="009228C7">
        <w:t>other key commodities exported by Russia, such as metallurgical coal and wheat</w:t>
      </w:r>
      <w:r w:rsidR="002C41E9">
        <w:t>.</w:t>
      </w:r>
    </w:p>
    <w:p w14:paraId="09AFAA7E" w14:textId="607083AC" w:rsidR="00B078BD" w:rsidRDefault="00B078BD" w:rsidP="009B1673">
      <w:r>
        <w:t>This would have a material impact on tax receipts</w:t>
      </w:r>
      <w:r w:rsidR="0065619D">
        <w:t xml:space="preserve"> over the forecast period</w:t>
      </w:r>
      <w:r w:rsidR="00111A07">
        <w:t xml:space="preserve">. </w:t>
      </w:r>
      <w:r>
        <w:t xml:space="preserve">For example, if iron ore, thermal coal and metallurgical coal prices remained at </w:t>
      </w:r>
      <w:r w:rsidR="0065619D">
        <w:t>elevated levels</w:t>
      </w:r>
      <w:r>
        <w:t xml:space="preserve"> until the end of the September quarter</w:t>
      </w:r>
      <w:r w:rsidR="00842525">
        <w:t xml:space="preserve"> of</w:t>
      </w:r>
      <w:r>
        <w:t xml:space="preserve"> 2022, before declining to their long</w:t>
      </w:r>
      <w:r w:rsidR="00111A07">
        <w:noBreakHyphen/>
      </w:r>
      <w:r>
        <w:t xml:space="preserve">run levels by the end of </w:t>
      </w:r>
      <w:r w:rsidR="000577D7">
        <w:t xml:space="preserve">the </w:t>
      </w:r>
      <w:r>
        <w:t xml:space="preserve">March quarter </w:t>
      </w:r>
      <w:r w:rsidR="00DA5AC8">
        <w:t xml:space="preserve">of </w:t>
      </w:r>
      <w:r>
        <w:t>2023 (Chart 2.</w:t>
      </w:r>
      <w:r w:rsidR="00A572F7">
        <w:t>2</w:t>
      </w:r>
      <w:r w:rsidR="00FF5542">
        <w:t>4</w:t>
      </w:r>
      <w:r>
        <w:t xml:space="preserve"> and 2.</w:t>
      </w:r>
      <w:r w:rsidR="00A572F7">
        <w:t>2</w:t>
      </w:r>
      <w:r w:rsidR="00FF5542">
        <w:t>5</w:t>
      </w:r>
      <w:r>
        <w:t>), the value of nominal GDP would be $</w:t>
      </w:r>
      <w:r w:rsidR="003A64DE">
        <w:t xml:space="preserve">135.2 billion higher over </w:t>
      </w:r>
      <w:r w:rsidR="00CA20A6">
        <w:t>2021</w:t>
      </w:r>
      <w:r w:rsidR="00111A07">
        <w:noBreakHyphen/>
      </w:r>
      <w:r w:rsidR="00CA20A6">
        <w:t>22 to 2024</w:t>
      </w:r>
      <w:r w:rsidR="00111A07">
        <w:noBreakHyphen/>
      </w:r>
      <w:r w:rsidR="00CA20A6">
        <w:t>25</w:t>
      </w:r>
      <w:r w:rsidR="006627FD">
        <w:t xml:space="preserve">, </w:t>
      </w:r>
      <w:r w:rsidR="00CA20A6">
        <w:t>and</w:t>
      </w:r>
      <w:r w:rsidR="006627FD">
        <w:t xml:space="preserve"> tax receipts would be $29.5 billion higher </w:t>
      </w:r>
      <w:r w:rsidR="00CA20A6">
        <w:t>over the same period</w:t>
      </w:r>
      <w:r w:rsidR="006627FD">
        <w:t xml:space="preserve"> (Table 2.3)</w:t>
      </w:r>
      <w:r w:rsidR="00111A07">
        <w:t xml:space="preserve">. </w:t>
      </w:r>
      <w:r>
        <w:t>Unlike the</w:t>
      </w:r>
      <w:r w:rsidR="007A08E3">
        <w:t xml:space="preserve"> analysis in</w:t>
      </w:r>
      <w:r>
        <w:t xml:space="preserve"> </w:t>
      </w:r>
      <w:r w:rsidR="00DF6D1C" w:rsidRPr="00DF6D1C">
        <w:rPr>
          <w:i/>
          <w:iCs/>
        </w:rPr>
        <w:t>Budget Statement</w:t>
      </w:r>
      <w:r w:rsidR="00B45252" w:rsidRPr="00DF6D1C">
        <w:rPr>
          <w:i/>
          <w:iCs/>
        </w:rPr>
        <w:t xml:space="preserve"> </w:t>
      </w:r>
      <w:r w:rsidR="00B45252">
        <w:rPr>
          <w:i/>
          <w:iCs/>
        </w:rPr>
        <w:t>7</w:t>
      </w:r>
      <w:r w:rsidR="00B45252" w:rsidRPr="00DF6D1C">
        <w:rPr>
          <w:i/>
          <w:iCs/>
        </w:rPr>
        <w:t xml:space="preserve">: </w:t>
      </w:r>
      <w:r w:rsidR="00DF6D1C" w:rsidRPr="00DF6D1C">
        <w:rPr>
          <w:i/>
          <w:iCs/>
        </w:rPr>
        <w:t>Forecasting Performance and S</w:t>
      </w:r>
      <w:r w:rsidR="003C5862">
        <w:rPr>
          <w:i/>
          <w:iCs/>
        </w:rPr>
        <w:t>ensitivity</w:t>
      </w:r>
      <w:r w:rsidRPr="00DF6D1C">
        <w:rPr>
          <w:i/>
          <w:iCs/>
        </w:rPr>
        <w:t xml:space="preserve"> Analysis</w:t>
      </w:r>
      <w:r>
        <w:t>, these estimates do not account for the second</w:t>
      </w:r>
      <w:r w:rsidR="00111A07">
        <w:noBreakHyphen/>
      </w:r>
      <w:r>
        <w:t xml:space="preserve">round effects of </w:t>
      </w:r>
      <w:r w:rsidR="00C91D44">
        <w:t>permane</w:t>
      </w:r>
      <w:r w:rsidR="00981FA7">
        <w:t xml:space="preserve">ntly </w:t>
      </w:r>
      <w:r>
        <w:t>higher commodity export prices, such as a higher exchange rate</w:t>
      </w:r>
      <w:r w:rsidR="00111A07">
        <w:t xml:space="preserve">. </w:t>
      </w:r>
      <w:r>
        <w:t xml:space="preserve">This is consistent with prices being </w:t>
      </w:r>
      <w:r w:rsidR="00CF2106">
        <w:t>temporarily</w:t>
      </w:r>
      <w:r w:rsidRPr="00F830A7">
        <w:t xml:space="preserve">, not </w:t>
      </w:r>
      <w:r w:rsidR="00CF2106">
        <w:t>permanently</w:t>
      </w:r>
      <w:r w:rsidR="00933D73">
        <w:t>, higher</w:t>
      </w:r>
      <w:r w:rsidR="0065619D">
        <w:t>.</w:t>
      </w:r>
    </w:p>
    <w:p w14:paraId="74325BC7" w14:textId="62169760" w:rsidR="0033000C" w:rsidRDefault="009E0CE0" w:rsidP="009B1673">
      <w:r>
        <w:t>The Chinese economy poses a</w:t>
      </w:r>
      <w:r w:rsidR="001B2519">
        <w:t>nother key uncertainty</w:t>
      </w:r>
      <w:r>
        <w:t xml:space="preserve"> for the terms of trade</w:t>
      </w:r>
      <w:r w:rsidR="00111A07">
        <w:t xml:space="preserve">. </w:t>
      </w:r>
      <w:r w:rsidR="001B2519">
        <w:t>Strength in fixed asset investment in China, spurred by loosening fiscal and monetary policy may mean iron ore prices stay higher for longer than expected</w:t>
      </w:r>
      <w:r w:rsidR="00111A07">
        <w:t xml:space="preserve">. </w:t>
      </w:r>
      <w:r w:rsidR="005441E4">
        <w:t>O</w:t>
      </w:r>
      <w:r w:rsidR="001B2519">
        <w:t>n</w:t>
      </w:r>
      <w:r w:rsidR="00081152">
        <w:t xml:space="preserve"> the other hand, a faster</w:t>
      </w:r>
      <w:r w:rsidR="00111A07">
        <w:noBreakHyphen/>
      </w:r>
      <w:r w:rsidR="00081152">
        <w:t>than</w:t>
      </w:r>
      <w:r w:rsidR="00111A07">
        <w:noBreakHyphen/>
      </w:r>
      <w:r w:rsidR="00081152">
        <w:t xml:space="preserve">expected slowdown in the Chinese </w:t>
      </w:r>
      <w:r w:rsidR="00B80E62">
        <w:t>economy</w:t>
      </w:r>
      <w:r w:rsidR="001C139C">
        <w:t>, such as</w:t>
      </w:r>
      <w:r w:rsidR="00840233">
        <w:t xml:space="preserve"> due to</w:t>
      </w:r>
      <w:r w:rsidR="00F04039">
        <w:t xml:space="preserve"> </w:t>
      </w:r>
      <w:r w:rsidR="00E56DCA">
        <w:t xml:space="preserve">economic disruptions from a widespread </w:t>
      </w:r>
      <w:r w:rsidR="00AC71FF">
        <w:t>COVID</w:t>
      </w:r>
      <w:r w:rsidR="00111A07">
        <w:noBreakHyphen/>
      </w:r>
      <w:r w:rsidR="00AC71FF">
        <w:t>19</w:t>
      </w:r>
      <w:r w:rsidR="00F04039">
        <w:t xml:space="preserve"> outbreak</w:t>
      </w:r>
      <w:r w:rsidR="001C139C">
        <w:t>,</w:t>
      </w:r>
      <w:r w:rsidR="00081152">
        <w:t xml:space="preserve"> could push the prices of Australia</w:t>
      </w:r>
      <w:r w:rsidR="00111A07">
        <w:t>’</w:t>
      </w:r>
      <w:r w:rsidR="00081152">
        <w:t xml:space="preserve">s </w:t>
      </w:r>
      <w:r w:rsidR="00081152">
        <w:lastRenderedPageBreak/>
        <w:t>key exports lower than assumed</w:t>
      </w:r>
      <w:bookmarkEnd w:id="16"/>
      <w:r w:rsidR="00111A07">
        <w:t xml:space="preserve">. </w:t>
      </w:r>
      <w:r w:rsidR="00B45252">
        <w:t xml:space="preserve">Further information on the sensitivity of the economy to permanent changes in the iron ore price can be found in </w:t>
      </w:r>
      <w:r w:rsidR="00DF6D1C" w:rsidRPr="00DF6D1C">
        <w:rPr>
          <w:i/>
          <w:iCs/>
        </w:rPr>
        <w:t>Budget Statement</w:t>
      </w:r>
      <w:r w:rsidR="003C5862">
        <w:rPr>
          <w:i/>
          <w:iCs/>
        </w:rPr>
        <w:t> </w:t>
      </w:r>
      <w:r w:rsidR="00DF6D1C">
        <w:rPr>
          <w:i/>
          <w:iCs/>
        </w:rPr>
        <w:t>7</w:t>
      </w:r>
      <w:r w:rsidR="00DF6D1C" w:rsidRPr="00DF6D1C">
        <w:rPr>
          <w:i/>
          <w:iCs/>
        </w:rPr>
        <w:t>: Forecasting Performance and S</w:t>
      </w:r>
      <w:r w:rsidR="003C5862">
        <w:rPr>
          <w:i/>
          <w:iCs/>
        </w:rPr>
        <w:t>ensitivity</w:t>
      </w:r>
      <w:r w:rsidR="00DF6D1C" w:rsidRPr="00DF6D1C">
        <w:rPr>
          <w:i/>
          <w:iCs/>
        </w:rPr>
        <w:t xml:space="preserve"> Analysis</w:t>
      </w:r>
      <w:r w:rsidR="00B45252">
        <w:t>.</w:t>
      </w:r>
    </w:p>
    <w:tbl>
      <w:tblPr>
        <w:tblStyle w:val="TableGrid"/>
        <w:tblW w:w="5000" w:type="pct"/>
        <w:tblLook w:val="04A0" w:firstRow="1" w:lastRow="0" w:firstColumn="1" w:lastColumn="0" w:noHBand="0" w:noVBand="1"/>
      </w:tblPr>
      <w:tblGrid>
        <w:gridCol w:w="3842"/>
        <w:gridCol w:w="3868"/>
      </w:tblGrid>
      <w:tr w:rsidR="000209F8" w14:paraId="2F67312B" w14:textId="77777777" w:rsidTr="009C1CCD">
        <w:tc>
          <w:tcPr>
            <w:tcW w:w="3964" w:type="dxa"/>
            <w:tcBorders>
              <w:top w:val="nil"/>
              <w:left w:val="nil"/>
              <w:bottom w:val="nil"/>
              <w:right w:val="nil"/>
            </w:tcBorders>
            <w:hideMark/>
          </w:tcPr>
          <w:p w14:paraId="4DD19125" w14:textId="054D0BB6" w:rsidR="000209F8" w:rsidRDefault="000209F8" w:rsidP="003C4748">
            <w:pPr>
              <w:pStyle w:val="ChartHeading"/>
              <w:spacing w:after="120"/>
            </w:pPr>
            <w:r>
              <w:t xml:space="preserve">Chart </w:t>
            </w:r>
            <w:r w:rsidR="00812504">
              <w:t>2.</w:t>
            </w:r>
            <w:r w:rsidR="00AF4232">
              <w:t>2</w:t>
            </w:r>
            <w:r w:rsidR="00F53F3E">
              <w:t>4</w:t>
            </w:r>
            <w:r>
              <w:t xml:space="preserve">: </w:t>
            </w:r>
            <w:r w:rsidR="00726B35">
              <w:t>Iron ore spot price</w:t>
            </w:r>
          </w:p>
        </w:tc>
        <w:tc>
          <w:tcPr>
            <w:tcW w:w="4118" w:type="dxa"/>
            <w:tcBorders>
              <w:top w:val="nil"/>
              <w:left w:val="nil"/>
              <w:bottom w:val="nil"/>
              <w:right w:val="nil"/>
            </w:tcBorders>
            <w:hideMark/>
          </w:tcPr>
          <w:p w14:paraId="7BBA2696" w14:textId="77C701CE" w:rsidR="000209F8" w:rsidRDefault="000209F8" w:rsidP="009B1673">
            <w:pPr>
              <w:pStyle w:val="ChartHeading"/>
            </w:pPr>
            <w:r>
              <w:t xml:space="preserve">Chart </w:t>
            </w:r>
            <w:r w:rsidR="00812504">
              <w:t>2.</w:t>
            </w:r>
            <w:r w:rsidR="00AF4232">
              <w:t>2</w:t>
            </w:r>
            <w:r w:rsidR="00F53F3E">
              <w:t>5</w:t>
            </w:r>
            <w:r>
              <w:t xml:space="preserve">: </w:t>
            </w:r>
            <w:r w:rsidR="00726B35">
              <w:t>Coal spot price</w:t>
            </w:r>
          </w:p>
        </w:tc>
      </w:tr>
      <w:tr w:rsidR="000209F8" w14:paraId="195EC14D" w14:textId="77777777" w:rsidTr="009C1CCD">
        <w:trPr>
          <w:trHeight w:val="3714"/>
        </w:trPr>
        <w:tc>
          <w:tcPr>
            <w:tcW w:w="3964" w:type="dxa"/>
            <w:tcBorders>
              <w:top w:val="nil"/>
              <w:left w:val="nil"/>
              <w:bottom w:val="nil"/>
              <w:right w:val="nil"/>
            </w:tcBorders>
            <w:hideMark/>
          </w:tcPr>
          <w:p w14:paraId="24D60F05" w14:textId="1916482C" w:rsidR="000209F8" w:rsidRDefault="00A21D30" w:rsidP="009B1673">
            <w:pPr>
              <w:pStyle w:val="ChartGraphic"/>
            </w:pPr>
            <w:r w:rsidRPr="00A21D30">
              <w:rPr>
                <w:noProof/>
              </w:rPr>
              <w:drawing>
                <wp:inline distT="0" distB="0" distL="0" distR="0" wp14:anchorId="68826F66" wp14:editId="67AD0AD8">
                  <wp:extent cx="2295525" cy="2247900"/>
                  <wp:effectExtent l="0" t="0" r="0" b="0"/>
                  <wp:docPr id="28" name="Picture 28" descr="The charts present historical iron ore and coal spot prices and the baseline assumptions over the detailed forecast period.  In the baseline assumptions, prices fall from a recent elevated levels to their long-run levels by the end of the September quarter of 2022. The charts also present an alternative upside scenario in which iron ore and coal prices remain elevated until the end of the September quarter of 2022, before falling to long-run levels by the end of the March quarter of 202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charts present historical iron ore and coal spot prices and the baseline assumptions over the detailed forecast period.  In the baseline assumptions, prices fall from a recent elevated levels to their long-run levels by the end of the September quarter of 2022. The charts also present an alternative upside scenario in which iron ore and coal prices remain elevated until the end of the September quarter of 2022, before falling to long-run levels by the end of the March quarter of 2023.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95525" cy="2247900"/>
                          </a:xfrm>
                          <a:prstGeom prst="rect">
                            <a:avLst/>
                          </a:prstGeom>
                          <a:noFill/>
                          <a:ln>
                            <a:noFill/>
                          </a:ln>
                        </pic:spPr>
                      </pic:pic>
                    </a:graphicData>
                  </a:graphic>
                </wp:inline>
              </w:drawing>
            </w:r>
          </w:p>
        </w:tc>
        <w:tc>
          <w:tcPr>
            <w:tcW w:w="4118" w:type="dxa"/>
            <w:tcBorders>
              <w:top w:val="nil"/>
              <w:left w:val="nil"/>
              <w:bottom w:val="nil"/>
              <w:right w:val="nil"/>
            </w:tcBorders>
            <w:hideMark/>
          </w:tcPr>
          <w:p w14:paraId="430B08D6" w14:textId="11093A30" w:rsidR="000209F8" w:rsidRDefault="00A21D30" w:rsidP="009B1673">
            <w:pPr>
              <w:pStyle w:val="ChartGraphic"/>
            </w:pPr>
            <w:r w:rsidRPr="00A21D30">
              <w:rPr>
                <w:noProof/>
              </w:rPr>
              <w:drawing>
                <wp:inline distT="0" distB="0" distL="0" distR="0" wp14:anchorId="77ADA872" wp14:editId="3F96A373">
                  <wp:extent cx="2305050" cy="2238375"/>
                  <wp:effectExtent l="0" t="0" r="0" b="0"/>
                  <wp:docPr id="1516925088" name="Picture 151692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05050" cy="2238375"/>
                          </a:xfrm>
                          <a:prstGeom prst="rect">
                            <a:avLst/>
                          </a:prstGeom>
                          <a:noFill/>
                          <a:ln>
                            <a:noFill/>
                          </a:ln>
                        </pic:spPr>
                      </pic:pic>
                    </a:graphicData>
                  </a:graphic>
                </wp:inline>
              </w:drawing>
            </w:r>
          </w:p>
        </w:tc>
      </w:tr>
      <w:tr w:rsidR="000209F8" w14:paraId="2566540A" w14:textId="77777777" w:rsidTr="009C1CCD">
        <w:trPr>
          <w:trHeight w:val="201"/>
        </w:trPr>
        <w:tc>
          <w:tcPr>
            <w:tcW w:w="3964" w:type="dxa"/>
            <w:tcBorders>
              <w:top w:val="nil"/>
              <w:left w:val="nil"/>
              <w:bottom w:val="nil"/>
              <w:right w:val="nil"/>
            </w:tcBorders>
            <w:hideMark/>
          </w:tcPr>
          <w:p w14:paraId="632A6C5B" w14:textId="1124BE0C" w:rsidR="000209F8" w:rsidRDefault="000209F8" w:rsidP="00F76DB8">
            <w:pPr>
              <w:pStyle w:val="Source"/>
              <w:spacing w:after="0"/>
            </w:pPr>
            <w:r>
              <w:t>Source:</w:t>
            </w:r>
            <w:r>
              <w:tab/>
            </w:r>
            <w:r w:rsidR="00726B35">
              <w:t>Argus Media and Treasury</w:t>
            </w:r>
            <w:r w:rsidR="00F8286B">
              <w:t>.</w:t>
            </w:r>
          </w:p>
        </w:tc>
        <w:tc>
          <w:tcPr>
            <w:tcW w:w="4118" w:type="dxa"/>
            <w:tcBorders>
              <w:top w:val="nil"/>
              <w:left w:val="nil"/>
              <w:bottom w:val="nil"/>
              <w:right w:val="nil"/>
            </w:tcBorders>
            <w:hideMark/>
          </w:tcPr>
          <w:p w14:paraId="6D8BC08A" w14:textId="2BD749CE" w:rsidR="000209F8" w:rsidRDefault="000209F8" w:rsidP="00F76DB8">
            <w:pPr>
              <w:pStyle w:val="Source"/>
              <w:spacing w:after="0"/>
              <w:rPr>
                <w:noProof/>
              </w:rPr>
            </w:pPr>
            <w:r>
              <w:rPr>
                <w:rFonts w:cs="Arial"/>
                <w:szCs w:val="16"/>
              </w:rPr>
              <w:t>Source:</w:t>
            </w:r>
            <w:r>
              <w:t xml:space="preserve"> </w:t>
            </w:r>
            <w:r w:rsidR="009B1673">
              <w:tab/>
            </w:r>
            <w:r w:rsidR="00726B35">
              <w:rPr>
                <w:rFonts w:cs="Arial"/>
                <w:szCs w:val="16"/>
              </w:rPr>
              <w:t>Argus Media and Treasury</w:t>
            </w:r>
            <w:r>
              <w:rPr>
                <w:rFonts w:cs="Arial"/>
                <w:szCs w:val="16"/>
              </w:rPr>
              <w:t>.</w:t>
            </w:r>
          </w:p>
        </w:tc>
      </w:tr>
      <w:tr w:rsidR="00F84621" w14:paraId="795E91D0" w14:textId="77777777" w:rsidTr="009C1CCD">
        <w:trPr>
          <w:trHeight w:val="201"/>
        </w:trPr>
        <w:tc>
          <w:tcPr>
            <w:tcW w:w="8082" w:type="dxa"/>
            <w:gridSpan w:val="2"/>
            <w:tcBorders>
              <w:top w:val="nil"/>
              <w:left w:val="nil"/>
              <w:bottom w:val="nil"/>
              <w:right w:val="nil"/>
            </w:tcBorders>
          </w:tcPr>
          <w:p w14:paraId="275B6C82" w14:textId="416051DA" w:rsidR="00F84621" w:rsidRDefault="00F84621" w:rsidP="009B1673">
            <w:pPr>
              <w:pStyle w:val="ChartandTableFootnote"/>
            </w:pPr>
            <w:r>
              <w:t xml:space="preserve">Note: </w:t>
            </w:r>
            <w:r w:rsidR="009B1673">
              <w:tab/>
            </w:r>
            <w:r w:rsidRPr="008B7414">
              <w:t>Spot price data are presented as a 5</w:t>
            </w:r>
            <w:r w:rsidR="00111A07">
              <w:noBreakHyphen/>
            </w:r>
            <w:r w:rsidRPr="008B7414">
              <w:t>day moving average and are expressed in Free on Board</w:t>
            </w:r>
            <w:r w:rsidR="009A02CF">
              <w:t xml:space="preserve"> (FOB)</w:t>
            </w:r>
            <w:r w:rsidRPr="008B7414">
              <w:t xml:space="preserve"> terms, which exclude the cost of freight</w:t>
            </w:r>
            <w:r w:rsidR="00111A07">
              <w:t xml:space="preserve">. </w:t>
            </w:r>
            <w:r w:rsidRPr="008B7414">
              <w:t>Iron ore and coal spot price assumptions were finalised on 14</w:t>
            </w:r>
            <w:r w:rsidR="009B1673">
              <w:t> </w:t>
            </w:r>
            <w:r w:rsidRPr="008B7414">
              <w:t>March</w:t>
            </w:r>
            <w:r w:rsidR="009B1673">
              <w:t> </w:t>
            </w:r>
            <w:r w:rsidRPr="008B7414">
              <w:t>2022</w:t>
            </w:r>
            <w:r w:rsidR="00111A07">
              <w:t xml:space="preserve">. </w:t>
            </w:r>
            <w:r w:rsidRPr="008B7414">
              <w:t xml:space="preserve">Calculations made by Treasury </w:t>
            </w:r>
            <w:r w:rsidR="00573AFF">
              <w:t xml:space="preserve">are </w:t>
            </w:r>
            <w:r w:rsidRPr="008B7414">
              <w:t>based on confidential proprietary data from Argus Media under licence</w:t>
            </w:r>
            <w:r w:rsidR="00111A07">
              <w:t xml:space="preserve">. </w:t>
            </w:r>
            <w:r w:rsidRPr="008B7414">
              <w:t>Argus Media shall not be liable for any loss or damage arising from any party</w:t>
            </w:r>
            <w:r w:rsidR="00111A07">
              <w:t>’</w:t>
            </w:r>
            <w:r w:rsidRPr="008B7414">
              <w:t>s reliance on, or use of, the data provided or the Treasury</w:t>
            </w:r>
            <w:r w:rsidR="00111A07">
              <w:t>’</w:t>
            </w:r>
            <w:r w:rsidRPr="008B7414">
              <w:t>s calculations.</w:t>
            </w:r>
          </w:p>
        </w:tc>
      </w:tr>
      <w:tr w:rsidR="009B1673" w14:paraId="17D0512E" w14:textId="77777777" w:rsidTr="00D72FAE">
        <w:trPr>
          <w:trHeight w:val="201"/>
        </w:trPr>
        <w:tc>
          <w:tcPr>
            <w:tcW w:w="8082" w:type="dxa"/>
            <w:gridSpan w:val="2"/>
            <w:tcBorders>
              <w:top w:val="nil"/>
              <w:left w:val="nil"/>
              <w:bottom w:val="nil"/>
              <w:right w:val="nil"/>
            </w:tcBorders>
          </w:tcPr>
          <w:p w14:paraId="3AD8520B" w14:textId="77777777" w:rsidR="009B1673" w:rsidRDefault="009B1673" w:rsidP="009B1673">
            <w:pPr>
              <w:pStyle w:val="ChartandTableFootnote"/>
            </w:pPr>
          </w:p>
        </w:tc>
      </w:tr>
    </w:tbl>
    <w:p w14:paraId="14590790" w14:textId="1FAFF960" w:rsidR="00F824F6" w:rsidRDefault="00F276A8" w:rsidP="00F824F6">
      <w:pPr>
        <w:pStyle w:val="TableHeading"/>
        <w:rPr>
          <w:rFonts w:asciiTheme="minorHAnsi" w:eastAsiaTheme="minorHAnsi" w:hAnsiTheme="minorHAnsi" w:cstheme="minorBidi"/>
          <w:sz w:val="22"/>
          <w:szCs w:val="22"/>
          <w:lang w:eastAsia="en-US"/>
        </w:rPr>
      </w:pPr>
      <w:r w:rsidRPr="00070A43">
        <w:t xml:space="preserve">Table </w:t>
      </w:r>
      <w:r w:rsidR="00157253" w:rsidRPr="005B23D0">
        <w:rPr>
          <w:rFonts w:cs="Arial"/>
        </w:rPr>
        <w:t>2.</w:t>
      </w:r>
      <w:r w:rsidR="005B23D0" w:rsidRPr="005B23D0">
        <w:rPr>
          <w:rFonts w:cs="Arial"/>
        </w:rPr>
        <w:t>3</w:t>
      </w:r>
      <w:r w:rsidR="00987105" w:rsidRPr="005B23D0">
        <w:rPr>
          <w:rFonts w:cs="Arial"/>
        </w:rPr>
        <w:t xml:space="preserve"> Sensitivity analysis of a later fall in coal and iron ore spot prices</w:t>
      </w:r>
      <w:bookmarkStart w:id="17" w:name="_1709783349"/>
      <w:bookmarkStart w:id="18" w:name="_1709729949"/>
      <w:bookmarkStart w:id="19" w:name="_1709656591"/>
      <w:bookmarkStart w:id="20" w:name="_1709709928"/>
      <w:bookmarkStart w:id="21" w:name="_1709715830"/>
      <w:bookmarkStart w:id="22" w:name="_1709719799"/>
      <w:bookmarkStart w:id="23" w:name="_1709639310"/>
      <w:bookmarkStart w:id="24" w:name="_1709640311"/>
      <w:bookmarkStart w:id="25" w:name="_1709637359"/>
      <w:bookmarkStart w:id="26" w:name="_1709730562"/>
      <w:bookmarkStart w:id="27" w:name="_1709736080"/>
      <w:bookmarkStart w:id="28" w:name="_1709735108"/>
      <w:bookmarkStart w:id="29" w:name="_1709735375"/>
      <w:bookmarkEnd w:id="17"/>
      <w:bookmarkEnd w:id="18"/>
      <w:bookmarkEnd w:id="19"/>
      <w:bookmarkEnd w:id="20"/>
      <w:bookmarkEnd w:id="21"/>
      <w:bookmarkEnd w:id="22"/>
      <w:bookmarkEnd w:id="23"/>
      <w:bookmarkEnd w:id="24"/>
      <w:bookmarkEnd w:id="25"/>
      <w:bookmarkEnd w:id="26"/>
      <w:bookmarkEnd w:id="27"/>
      <w:bookmarkEnd w:id="28"/>
      <w:bookmarkEnd w:id="29"/>
    </w:p>
    <w:tbl>
      <w:tblPr>
        <w:tblW w:w="5000" w:type="pct"/>
        <w:tblCellMar>
          <w:left w:w="0" w:type="dxa"/>
          <w:right w:w="28" w:type="dxa"/>
        </w:tblCellMar>
        <w:tblLook w:val="04A0" w:firstRow="1" w:lastRow="0" w:firstColumn="1" w:lastColumn="0" w:noHBand="0" w:noVBand="1"/>
      </w:tblPr>
      <w:tblGrid>
        <w:gridCol w:w="2720"/>
        <w:gridCol w:w="998"/>
        <w:gridCol w:w="998"/>
        <w:gridCol w:w="998"/>
        <w:gridCol w:w="998"/>
        <w:gridCol w:w="998"/>
      </w:tblGrid>
      <w:tr w:rsidR="00F824F6" w:rsidRPr="00F824F6" w14:paraId="5635EDA8" w14:textId="77777777" w:rsidTr="003A77FB">
        <w:trPr>
          <w:trHeight w:hRule="exact" w:val="230"/>
        </w:trPr>
        <w:tc>
          <w:tcPr>
            <w:tcW w:w="1764" w:type="pct"/>
            <w:tcBorders>
              <w:top w:val="single" w:sz="4" w:space="0" w:color="auto"/>
              <w:left w:val="nil"/>
              <w:bottom w:val="single" w:sz="4" w:space="0" w:color="auto"/>
              <w:right w:val="nil"/>
            </w:tcBorders>
            <w:shd w:val="clear" w:color="000000" w:fill="FFFFFF"/>
            <w:noWrap/>
            <w:vAlign w:val="bottom"/>
            <w:hideMark/>
          </w:tcPr>
          <w:p w14:paraId="1800600E" w14:textId="575288DA" w:rsidR="00F824F6" w:rsidRPr="00F824F6" w:rsidRDefault="00F824F6" w:rsidP="00F824F6">
            <w:pPr>
              <w:spacing w:after="0" w:line="240" w:lineRule="auto"/>
              <w:jc w:val="right"/>
              <w:rPr>
                <w:rFonts w:ascii="Arial" w:hAnsi="Arial" w:cs="Arial"/>
                <w:color w:val="000000"/>
                <w:sz w:val="16"/>
                <w:szCs w:val="16"/>
              </w:rPr>
            </w:pPr>
            <w:r w:rsidRPr="00F824F6">
              <w:rPr>
                <w:rFonts w:ascii="Arial" w:hAnsi="Arial" w:cs="Arial"/>
                <w:color w:val="000000"/>
                <w:sz w:val="16"/>
                <w:szCs w:val="16"/>
              </w:rPr>
              <w:t> </w:t>
            </w:r>
          </w:p>
        </w:tc>
        <w:tc>
          <w:tcPr>
            <w:tcW w:w="647" w:type="pct"/>
            <w:tcBorders>
              <w:top w:val="single" w:sz="4" w:space="0" w:color="auto"/>
              <w:left w:val="nil"/>
              <w:bottom w:val="single" w:sz="4" w:space="0" w:color="auto"/>
              <w:right w:val="nil"/>
            </w:tcBorders>
            <w:shd w:val="clear" w:color="000000" w:fill="F2F9FC"/>
            <w:noWrap/>
            <w:vAlign w:val="bottom"/>
            <w:hideMark/>
          </w:tcPr>
          <w:p w14:paraId="6171AAB0" w14:textId="6A8F2386" w:rsidR="00F824F6" w:rsidRPr="00F824F6" w:rsidRDefault="00F824F6" w:rsidP="00F824F6">
            <w:pPr>
              <w:spacing w:after="0" w:line="240" w:lineRule="auto"/>
              <w:jc w:val="right"/>
              <w:rPr>
                <w:rFonts w:ascii="Arial" w:hAnsi="Arial" w:cs="Arial"/>
                <w:color w:val="000000"/>
                <w:sz w:val="16"/>
                <w:szCs w:val="16"/>
              </w:rPr>
            </w:pPr>
            <w:r w:rsidRPr="00F824F6">
              <w:rPr>
                <w:rFonts w:ascii="Arial" w:hAnsi="Arial" w:cs="Arial"/>
                <w:color w:val="000000"/>
                <w:sz w:val="16"/>
                <w:szCs w:val="16"/>
              </w:rPr>
              <w:t>2021</w:t>
            </w:r>
            <w:r w:rsidR="00111A07">
              <w:rPr>
                <w:rFonts w:ascii="Arial" w:hAnsi="Arial" w:cs="Arial"/>
                <w:color w:val="000000"/>
                <w:sz w:val="16"/>
                <w:szCs w:val="16"/>
              </w:rPr>
              <w:noBreakHyphen/>
            </w:r>
            <w:r w:rsidRPr="00F824F6">
              <w:rPr>
                <w:rFonts w:ascii="Arial" w:hAnsi="Arial" w:cs="Arial"/>
                <w:color w:val="000000"/>
                <w:sz w:val="16"/>
                <w:szCs w:val="16"/>
              </w:rPr>
              <w:t>22</w:t>
            </w:r>
          </w:p>
        </w:tc>
        <w:tc>
          <w:tcPr>
            <w:tcW w:w="647" w:type="pct"/>
            <w:tcBorders>
              <w:top w:val="single" w:sz="4" w:space="0" w:color="auto"/>
              <w:left w:val="nil"/>
              <w:bottom w:val="single" w:sz="4" w:space="0" w:color="auto"/>
              <w:right w:val="nil"/>
            </w:tcBorders>
            <w:shd w:val="clear" w:color="000000" w:fill="F2F9FC"/>
            <w:noWrap/>
            <w:vAlign w:val="bottom"/>
            <w:hideMark/>
          </w:tcPr>
          <w:p w14:paraId="60AE0537" w14:textId="50BB2D6C" w:rsidR="00F824F6" w:rsidRPr="00F824F6" w:rsidRDefault="00F824F6" w:rsidP="00F824F6">
            <w:pPr>
              <w:spacing w:after="0" w:line="240" w:lineRule="auto"/>
              <w:jc w:val="right"/>
              <w:rPr>
                <w:rFonts w:ascii="Arial" w:hAnsi="Arial" w:cs="Arial"/>
                <w:color w:val="000000"/>
                <w:sz w:val="16"/>
                <w:szCs w:val="16"/>
              </w:rPr>
            </w:pPr>
            <w:r w:rsidRPr="00F824F6">
              <w:rPr>
                <w:rFonts w:ascii="Arial" w:hAnsi="Arial" w:cs="Arial"/>
                <w:color w:val="000000"/>
                <w:sz w:val="16"/>
                <w:szCs w:val="16"/>
              </w:rPr>
              <w:t>2022</w:t>
            </w:r>
            <w:r w:rsidR="00111A07">
              <w:rPr>
                <w:rFonts w:ascii="Arial" w:hAnsi="Arial" w:cs="Arial"/>
                <w:color w:val="000000"/>
                <w:sz w:val="16"/>
                <w:szCs w:val="16"/>
              </w:rPr>
              <w:noBreakHyphen/>
            </w:r>
            <w:r w:rsidRPr="00F824F6">
              <w:rPr>
                <w:rFonts w:ascii="Arial" w:hAnsi="Arial" w:cs="Arial"/>
                <w:color w:val="000000"/>
                <w:sz w:val="16"/>
                <w:szCs w:val="16"/>
              </w:rPr>
              <w:t>23</w:t>
            </w:r>
          </w:p>
        </w:tc>
        <w:tc>
          <w:tcPr>
            <w:tcW w:w="647" w:type="pct"/>
            <w:tcBorders>
              <w:top w:val="single" w:sz="4" w:space="0" w:color="auto"/>
              <w:left w:val="nil"/>
              <w:bottom w:val="single" w:sz="4" w:space="0" w:color="auto"/>
              <w:right w:val="nil"/>
            </w:tcBorders>
            <w:shd w:val="clear" w:color="000000" w:fill="F2F9FC"/>
            <w:noWrap/>
            <w:vAlign w:val="bottom"/>
            <w:hideMark/>
          </w:tcPr>
          <w:p w14:paraId="0F0B02AC" w14:textId="6CB386F5" w:rsidR="00F824F6" w:rsidRPr="00F824F6" w:rsidRDefault="00F824F6" w:rsidP="00F824F6">
            <w:pPr>
              <w:spacing w:after="0" w:line="240" w:lineRule="auto"/>
              <w:jc w:val="right"/>
              <w:rPr>
                <w:rFonts w:ascii="Arial" w:hAnsi="Arial" w:cs="Arial"/>
                <w:color w:val="000000"/>
                <w:sz w:val="16"/>
                <w:szCs w:val="16"/>
              </w:rPr>
            </w:pPr>
            <w:r w:rsidRPr="00F824F6">
              <w:rPr>
                <w:rFonts w:ascii="Arial" w:hAnsi="Arial" w:cs="Arial"/>
                <w:color w:val="000000"/>
                <w:sz w:val="16"/>
                <w:szCs w:val="16"/>
              </w:rPr>
              <w:t>2023</w:t>
            </w:r>
            <w:r w:rsidR="00111A07">
              <w:rPr>
                <w:rFonts w:ascii="Arial" w:hAnsi="Arial" w:cs="Arial"/>
                <w:color w:val="000000"/>
                <w:sz w:val="16"/>
                <w:szCs w:val="16"/>
              </w:rPr>
              <w:noBreakHyphen/>
            </w:r>
            <w:r w:rsidRPr="00F824F6">
              <w:rPr>
                <w:rFonts w:ascii="Arial" w:hAnsi="Arial" w:cs="Arial"/>
                <w:color w:val="000000"/>
                <w:sz w:val="16"/>
                <w:szCs w:val="16"/>
              </w:rPr>
              <w:t>24</w:t>
            </w:r>
          </w:p>
        </w:tc>
        <w:tc>
          <w:tcPr>
            <w:tcW w:w="647" w:type="pct"/>
            <w:tcBorders>
              <w:top w:val="single" w:sz="4" w:space="0" w:color="auto"/>
              <w:left w:val="nil"/>
              <w:bottom w:val="single" w:sz="4" w:space="0" w:color="auto"/>
              <w:right w:val="nil"/>
            </w:tcBorders>
            <w:shd w:val="clear" w:color="000000" w:fill="F2F9FC"/>
            <w:noWrap/>
            <w:vAlign w:val="bottom"/>
            <w:hideMark/>
          </w:tcPr>
          <w:p w14:paraId="34724558" w14:textId="36ACBC8E" w:rsidR="00F824F6" w:rsidRPr="00F824F6" w:rsidRDefault="00F824F6" w:rsidP="00F824F6">
            <w:pPr>
              <w:spacing w:after="0" w:line="240" w:lineRule="auto"/>
              <w:jc w:val="right"/>
              <w:rPr>
                <w:rFonts w:ascii="Arial" w:hAnsi="Arial" w:cs="Arial"/>
                <w:color w:val="000000"/>
                <w:sz w:val="16"/>
                <w:szCs w:val="16"/>
              </w:rPr>
            </w:pPr>
            <w:r w:rsidRPr="00F824F6">
              <w:rPr>
                <w:rFonts w:ascii="Arial" w:hAnsi="Arial" w:cs="Arial"/>
                <w:color w:val="000000"/>
                <w:sz w:val="16"/>
                <w:szCs w:val="16"/>
              </w:rPr>
              <w:t>2024</w:t>
            </w:r>
            <w:r w:rsidR="00111A07">
              <w:rPr>
                <w:rFonts w:ascii="Arial" w:hAnsi="Arial" w:cs="Arial"/>
                <w:color w:val="000000"/>
                <w:sz w:val="16"/>
                <w:szCs w:val="16"/>
              </w:rPr>
              <w:noBreakHyphen/>
            </w:r>
            <w:r w:rsidRPr="00F824F6">
              <w:rPr>
                <w:rFonts w:ascii="Arial" w:hAnsi="Arial" w:cs="Arial"/>
                <w:color w:val="000000"/>
                <w:sz w:val="16"/>
                <w:szCs w:val="16"/>
              </w:rPr>
              <w:t>25</w:t>
            </w:r>
          </w:p>
        </w:tc>
        <w:tc>
          <w:tcPr>
            <w:tcW w:w="647" w:type="pct"/>
            <w:tcBorders>
              <w:top w:val="single" w:sz="4" w:space="0" w:color="auto"/>
              <w:left w:val="nil"/>
              <w:bottom w:val="single" w:sz="4" w:space="0" w:color="auto"/>
              <w:right w:val="nil"/>
            </w:tcBorders>
            <w:shd w:val="clear" w:color="000000" w:fill="F2F9FC"/>
            <w:noWrap/>
            <w:vAlign w:val="bottom"/>
            <w:hideMark/>
          </w:tcPr>
          <w:p w14:paraId="1EDB180A"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Total</w:t>
            </w:r>
          </w:p>
        </w:tc>
      </w:tr>
      <w:tr w:rsidR="00F824F6" w:rsidRPr="00F824F6" w14:paraId="1BEC39AA" w14:textId="77777777" w:rsidTr="003A77FB">
        <w:trPr>
          <w:trHeight w:hRule="exact" w:val="230"/>
        </w:trPr>
        <w:tc>
          <w:tcPr>
            <w:tcW w:w="1764" w:type="pct"/>
            <w:tcBorders>
              <w:top w:val="nil"/>
              <w:left w:val="nil"/>
              <w:bottom w:val="nil"/>
              <w:right w:val="nil"/>
            </w:tcBorders>
            <w:shd w:val="clear" w:color="auto" w:fill="auto"/>
            <w:noWrap/>
            <w:vAlign w:val="bottom"/>
            <w:hideMark/>
          </w:tcPr>
          <w:p w14:paraId="6DEB1E72" w14:textId="77777777" w:rsidR="00F824F6" w:rsidRPr="00F824F6" w:rsidRDefault="00F824F6" w:rsidP="00F824F6">
            <w:pPr>
              <w:spacing w:after="0" w:line="240" w:lineRule="auto"/>
              <w:jc w:val="left"/>
              <w:rPr>
                <w:rFonts w:ascii="Arial" w:hAnsi="Arial" w:cs="Arial"/>
                <w:color w:val="000000"/>
                <w:sz w:val="16"/>
                <w:szCs w:val="16"/>
              </w:rPr>
            </w:pPr>
            <w:r w:rsidRPr="00F824F6">
              <w:rPr>
                <w:rFonts w:ascii="Arial" w:hAnsi="Arial" w:cs="Arial"/>
                <w:color w:val="000000"/>
                <w:sz w:val="16"/>
                <w:szCs w:val="16"/>
              </w:rPr>
              <w:t>Nominal GDP ($billion)</w:t>
            </w:r>
          </w:p>
        </w:tc>
        <w:tc>
          <w:tcPr>
            <w:tcW w:w="647" w:type="pct"/>
            <w:tcBorders>
              <w:top w:val="nil"/>
              <w:left w:val="nil"/>
              <w:bottom w:val="nil"/>
              <w:right w:val="nil"/>
            </w:tcBorders>
            <w:shd w:val="clear" w:color="000000" w:fill="F2F9FC"/>
            <w:noWrap/>
            <w:vAlign w:val="bottom"/>
            <w:hideMark/>
          </w:tcPr>
          <w:p w14:paraId="6FFBE223"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9.9</w:t>
            </w:r>
          </w:p>
        </w:tc>
        <w:tc>
          <w:tcPr>
            <w:tcW w:w="647" w:type="pct"/>
            <w:tcBorders>
              <w:top w:val="nil"/>
              <w:left w:val="nil"/>
              <w:bottom w:val="nil"/>
              <w:right w:val="nil"/>
            </w:tcBorders>
            <w:shd w:val="clear" w:color="000000" w:fill="F2F9FC"/>
            <w:noWrap/>
            <w:vAlign w:val="bottom"/>
            <w:hideMark/>
          </w:tcPr>
          <w:p w14:paraId="2D1F5A1E"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123.7</w:t>
            </w:r>
          </w:p>
        </w:tc>
        <w:tc>
          <w:tcPr>
            <w:tcW w:w="647" w:type="pct"/>
            <w:tcBorders>
              <w:top w:val="nil"/>
              <w:left w:val="nil"/>
              <w:bottom w:val="nil"/>
              <w:right w:val="nil"/>
            </w:tcBorders>
            <w:shd w:val="clear" w:color="000000" w:fill="F2F9FC"/>
            <w:noWrap/>
            <w:vAlign w:val="bottom"/>
            <w:hideMark/>
          </w:tcPr>
          <w:p w14:paraId="26D0FF0D"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1.6</w:t>
            </w:r>
          </w:p>
        </w:tc>
        <w:tc>
          <w:tcPr>
            <w:tcW w:w="647" w:type="pct"/>
            <w:tcBorders>
              <w:top w:val="nil"/>
              <w:left w:val="nil"/>
              <w:bottom w:val="nil"/>
              <w:right w:val="nil"/>
            </w:tcBorders>
            <w:shd w:val="clear" w:color="000000" w:fill="F2F9FC"/>
            <w:noWrap/>
            <w:vAlign w:val="bottom"/>
            <w:hideMark/>
          </w:tcPr>
          <w:p w14:paraId="3AD55A82"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0.0</w:t>
            </w:r>
          </w:p>
        </w:tc>
        <w:tc>
          <w:tcPr>
            <w:tcW w:w="647" w:type="pct"/>
            <w:tcBorders>
              <w:top w:val="nil"/>
              <w:left w:val="nil"/>
              <w:bottom w:val="nil"/>
              <w:right w:val="nil"/>
            </w:tcBorders>
            <w:shd w:val="clear" w:color="000000" w:fill="F2F9FC"/>
            <w:noWrap/>
            <w:vAlign w:val="bottom"/>
            <w:hideMark/>
          </w:tcPr>
          <w:p w14:paraId="25FDFD54"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135.2</w:t>
            </w:r>
          </w:p>
        </w:tc>
      </w:tr>
      <w:tr w:rsidR="00F824F6" w:rsidRPr="00F824F6" w14:paraId="3F157670" w14:textId="77777777" w:rsidTr="003A77FB">
        <w:trPr>
          <w:trHeight w:hRule="exact" w:val="230"/>
        </w:trPr>
        <w:tc>
          <w:tcPr>
            <w:tcW w:w="1764" w:type="pct"/>
            <w:tcBorders>
              <w:top w:val="nil"/>
              <w:left w:val="nil"/>
              <w:bottom w:val="single" w:sz="4" w:space="0" w:color="auto"/>
              <w:right w:val="nil"/>
            </w:tcBorders>
            <w:shd w:val="clear" w:color="auto" w:fill="auto"/>
            <w:noWrap/>
            <w:vAlign w:val="bottom"/>
            <w:hideMark/>
          </w:tcPr>
          <w:p w14:paraId="506CE06F" w14:textId="77777777" w:rsidR="00F824F6" w:rsidRPr="00F824F6" w:rsidRDefault="00F824F6" w:rsidP="00F824F6">
            <w:pPr>
              <w:spacing w:after="0" w:line="240" w:lineRule="auto"/>
              <w:jc w:val="left"/>
              <w:rPr>
                <w:rFonts w:ascii="Arial" w:hAnsi="Arial" w:cs="Arial"/>
                <w:color w:val="000000"/>
                <w:sz w:val="16"/>
                <w:szCs w:val="16"/>
              </w:rPr>
            </w:pPr>
            <w:r w:rsidRPr="00F824F6">
              <w:rPr>
                <w:rFonts w:ascii="Arial" w:hAnsi="Arial" w:cs="Arial"/>
                <w:color w:val="000000"/>
                <w:sz w:val="16"/>
                <w:szCs w:val="16"/>
              </w:rPr>
              <w:t>Tax receipts ($billion)</w:t>
            </w:r>
          </w:p>
        </w:tc>
        <w:tc>
          <w:tcPr>
            <w:tcW w:w="647" w:type="pct"/>
            <w:tcBorders>
              <w:top w:val="single" w:sz="4" w:space="0" w:color="auto"/>
              <w:left w:val="nil"/>
              <w:bottom w:val="single" w:sz="4" w:space="0" w:color="auto"/>
              <w:right w:val="nil"/>
            </w:tcBorders>
            <w:shd w:val="clear" w:color="000000" w:fill="F2F9FC"/>
            <w:noWrap/>
            <w:vAlign w:val="bottom"/>
            <w:hideMark/>
          </w:tcPr>
          <w:p w14:paraId="7BEAEC92"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0.7</w:t>
            </w:r>
          </w:p>
        </w:tc>
        <w:tc>
          <w:tcPr>
            <w:tcW w:w="647" w:type="pct"/>
            <w:tcBorders>
              <w:top w:val="single" w:sz="4" w:space="0" w:color="auto"/>
              <w:left w:val="nil"/>
              <w:bottom w:val="single" w:sz="4" w:space="0" w:color="auto"/>
              <w:right w:val="nil"/>
            </w:tcBorders>
            <w:shd w:val="clear" w:color="000000" w:fill="F2F9FC"/>
            <w:noWrap/>
            <w:vAlign w:val="bottom"/>
            <w:hideMark/>
          </w:tcPr>
          <w:p w14:paraId="7E828C9B"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17.7</w:t>
            </w:r>
          </w:p>
        </w:tc>
        <w:tc>
          <w:tcPr>
            <w:tcW w:w="647" w:type="pct"/>
            <w:tcBorders>
              <w:top w:val="single" w:sz="4" w:space="0" w:color="auto"/>
              <w:left w:val="nil"/>
              <w:bottom w:val="single" w:sz="4" w:space="0" w:color="auto"/>
              <w:right w:val="nil"/>
            </w:tcBorders>
            <w:shd w:val="clear" w:color="000000" w:fill="F2F9FC"/>
            <w:noWrap/>
            <w:vAlign w:val="bottom"/>
            <w:hideMark/>
          </w:tcPr>
          <w:p w14:paraId="715901FA"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10.8</w:t>
            </w:r>
          </w:p>
        </w:tc>
        <w:tc>
          <w:tcPr>
            <w:tcW w:w="647" w:type="pct"/>
            <w:tcBorders>
              <w:top w:val="single" w:sz="4" w:space="0" w:color="auto"/>
              <w:left w:val="nil"/>
              <w:bottom w:val="single" w:sz="4" w:space="0" w:color="auto"/>
              <w:right w:val="nil"/>
            </w:tcBorders>
            <w:shd w:val="clear" w:color="000000" w:fill="F2F9FC"/>
            <w:noWrap/>
            <w:vAlign w:val="bottom"/>
            <w:hideMark/>
          </w:tcPr>
          <w:p w14:paraId="7EADD4C5"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0.2</w:t>
            </w:r>
          </w:p>
        </w:tc>
        <w:tc>
          <w:tcPr>
            <w:tcW w:w="647" w:type="pct"/>
            <w:tcBorders>
              <w:top w:val="single" w:sz="4" w:space="0" w:color="auto"/>
              <w:left w:val="nil"/>
              <w:bottom w:val="single" w:sz="4" w:space="0" w:color="auto"/>
              <w:right w:val="nil"/>
            </w:tcBorders>
            <w:shd w:val="clear" w:color="000000" w:fill="F2F9FC"/>
            <w:noWrap/>
            <w:vAlign w:val="bottom"/>
            <w:hideMark/>
          </w:tcPr>
          <w:p w14:paraId="6DC87AA1" w14:textId="77777777" w:rsidR="00F824F6" w:rsidRPr="00F824F6" w:rsidRDefault="00F824F6" w:rsidP="00F824F6">
            <w:pPr>
              <w:spacing w:after="0" w:line="240" w:lineRule="auto"/>
              <w:jc w:val="center"/>
              <w:rPr>
                <w:rFonts w:ascii="Arial" w:hAnsi="Arial" w:cs="Arial"/>
                <w:color w:val="000000"/>
                <w:sz w:val="16"/>
                <w:szCs w:val="16"/>
              </w:rPr>
            </w:pPr>
            <w:r w:rsidRPr="00F824F6">
              <w:rPr>
                <w:rFonts w:ascii="Arial" w:hAnsi="Arial" w:cs="Arial"/>
                <w:color w:val="000000"/>
                <w:sz w:val="16"/>
                <w:szCs w:val="16"/>
              </w:rPr>
              <w:t>29.5</w:t>
            </w:r>
          </w:p>
        </w:tc>
      </w:tr>
    </w:tbl>
    <w:p w14:paraId="30447F81" w14:textId="6ACEEEE7" w:rsidR="0033000C" w:rsidRPr="00F824F6" w:rsidRDefault="0025608B" w:rsidP="00B5683A">
      <w:pPr>
        <w:pStyle w:val="Source"/>
        <w:rPr>
          <w:rFonts w:cs="Arial"/>
          <w:szCs w:val="16"/>
        </w:rPr>
      </w:pPr>
      <w:r w:rsidRPr="00F824F6">
        <w:t>Source: Treasury</w:t>
      </w:r>
      <w:r w:rsidR="00EE628C">
        <w:rPr>
          <w:rFonts w:cs="Arial"/>
          <w:szCs w:val="16"/>
        </w:rPr>
        <w:t>.</w:t>
      </w:r>
    </w:p>
    <w:p w14:paraId="4FBEC9D5" w14:textId="094EC35E" w:rsidR="00733707" w:rsidRPr="00B96121" w:rsidRDefault="00733707" w:rsidP="00733707">
      <w:pPr>
        <w:spacing w:after="160" w:line="259" w:lineRule="auto"/>
        <w:jc w:val="left"/>
        <w:rPr>
          <w:rFonts w:ascii="Arial Bold" w:hAnsi="Arial Bold"/>
          <w:b/>
          <w:sz w:val="26"/>
          <w:szCs w:val="26"/>
        </w:rPr>
      </w:pPr>
      <w:r w:rsidRPr="00B96121">
        <w:br w:type="page"/>
      </w:r>
    </w:p>
    <w:p w14:paraId="6551BE27" w14:textId="3FAF61F3" w:rsidR="00733707" w:rsidRPr="00B96121" w:rsidRDefault="00733707" w:rsidP="00733707">
      <w:pPr>
        <w:pStyle w:val="Heading2"/>
      </w:pPr>
      <w:bookmarkStart w:id="30" w:name="_Toc99064362"/>
      <w:r w:rsidRPr="00B96121">
        <w:lastRenderedPageBreak/>
        <w:t>Medium</w:t>
      </w:r>
      <w:r w:rsidR="00111A07">
        <w:noBreakHyphen/>
      </w:r>
      <w:r w:rsidRPr="00B96121">
        <w:t>term projections</w:t>
      </w:r>
      <w:bookmarkEnd w:id="30"/>
    </w:p>
    <w:p w14:paraId="73C023C6" w14:textId="677A5AAF" w:rsidR="003907E6" w:rsidRDefault="00500F5F" w:rsidP="003C2B54">
      <w:r w:rsidRPr="00DA72B6">
        <w:t xml:space="preserve">The fiscal aggregates in </w:t>
      </w:r>
      <w:r w:rsidR="00A52A22">
        <w:t>the</w:t>
      </w:r>
      <w:r w:rsidRPr="00DA72B6">
        <w:t xml:space="preserve"> Budget are underpinned by forecasts of economic activity over the Budget estimates </w:t>
      </w:r>
      <w:r w:rsidR="00D6108C">
        <w:t xml:space="preserve">period </w:t>
      </w:r>
      <w:r w:rsidRPr="00DA72B6">
        <w:t>and projections over the medium term (Chart</w:t>
      </w:r>
      <w:r w:rsidR="003C2B54">
        <w:t> </w:t>
      </w:r>
      <w:r w:rsidR="00FB6D1C">
        <w:t>2</w:t>
      </w:r>
      <w:r w:rsidRPr="00DA72B6">
        <w:t>.</w:t>
      </w:r>
      <w:r w:rsidR="00D7220A">
        <w:t>2</w:t>
      </w:r>
      <w:r w:rsidR="00EE628C">
        <w:t>6</w:t>
      </w:r>
      <w:r w:rsidRPr="00DA72B6">
        <w:t>)</w:t>
      </w:r>
      <w:r w:rsidR="00111A07">
        <w:t xml:space="preserve">. </w:t>
      </w:r>
    </w:p>
    <w:p w14:paraId="2D296AED" w14:textId="6B4DBD0E" w:rsidR="003907E6" w:rsidRDefault="003907E6" w:rsidP="00CA5180">
      <w:pPr>
        <w:pStyle w:val="ChartHeading"/>
        <w:spacing w:after="120"/>
      </w:pPr>
      <w:r>
        <w:t>Chart 2.</w:t>
      </w:r>
      <w:r w:rsidR="00D7220A">
        <w:t>2</w:t>
      </w:r>
      <w:r w:rsidR="009F3BFB">
        <w:t>6</w:t>
      </w:r>
      <w:r>
        <w:t>: Medium</w:t>
      </w:r>
      <w:r w:rsidR="00111A07">
        <w:noBreakHyphen/>
      </w:r>
      <w:r>
        <w:t>term projection period</w:t>
      </w:r>
    </w:p>
    <w:p w14:paraId="438C5595" w14:textId="3226936C" w:rsidR="003D2126" w:rsidRDefault="00B75FD2" w:rsidP="007500BC">
      <w:pPr>
        <w:pStyle w:val="ChartGraphic"/>
        <w:rPr>
          <w:rFonts w:asciiTheme="minorHAnsi" w:eastAsiaTheme="minorHAnsi" w:hAnsiTheme="minorHAnsi" w:cstheme="minorBidi"/>
          <w:sz w:val="22"/>
          <w:szCs w:val="22"/>
          <w:lang w:eastAsia="en-US"/>
        </w:rPr>
      </w:pPr>
      <w:r w:rsidRPr="00B75FD2">
        <w:rPr>
          <w:noProof/>
        </w:rPr>
        <w:drawing>
          <wp:inline distT="0" distB="0" distL="0" distR="0" wp14:anchorId="0C9C507E" wp14:editId="0AA62882">
            <wp:extent cx="4769292" cy="1209675"/>
            <wp:effectExtent l="0" t="0" r="0" b="0"/>
            <wp:docPr id="3" name="Picture 3" descr="This chart shows the breakdown of the economic forecast and the economic medium-term projection periods for this Budget. It shows that the economic forecast period runs from 2021-22 to 2025-26, with the detailed forecasts period defined from 2021-22 to 2023-24. The economic medium-term projection period runs from 2026-27 out to 2032-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chart shows the breakdown of the economic forecast and the economic medium-term projection periods for this Budget. It shows that the economic forecast period runs from 2021-22 to 2025-26, with the detailed forecasts period defined from 2021-22 to 2023-24. The economic medium-term projection period runs from 2026-27 out to 2032-33.&#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5979" cy="1211371"/>
                    </a:xfrm>
                    <a:prstGeom prst="rect">
                      <a:avLst/>
                    </a:prstGeom>
                    <a:noFill/>
                    <a:ln>
                      <a:noFill/>
                    </a:ln>
                  </pic:spPr>
                </pic:pic>
              </a:graphicData>
            </a:graphic>
          </wp:inline>
        </w:drawing>
      </w:r>
    </w:p>
    <w:p w14:paraId="467F6112" w14:textId="577627EE" w:rsidR="003907E6" w:rsidRDefault="003907E6" w:rsidP="00FC3AE5">
      <w:pPr>
        <w:pStyle w:val="Source"/>
        <w:spacing w:after="120"/>
        <w:ind w:left="0" w:firstLine="0"/>
      </w:pPr>
      <w:r>
        <w:t>Source: Treasury.</w:t>
      </w:r>
    </w:p>
    <w:p w14:paraId="5F4CC3C9" w14:textId="67C99FC5" w:rsidR="00500F5F" w:rsidRPr="00DA72B6" w:rsidRDefault="00500F5F" w:rsidP="003C2B54">
      <w:r w:rsidRPr="00DA72B6">
        <w:t>In the current financial year</w:t>
      </w:r>
      <w:r w:rsidR="00F036AB">
        <w:t xml:space="preserve"> (2021</w:t>
      </w:r>
      <w:r w:rsidR="00111A07">
        <w:noBreakHyphen/>
      </w:r>
      <w:r w:rsidR="00F036AB">
        <w:t>22)</w:t>
      </w:r>
      <w:r w:rsidRPr="00374726">
        <w:t>,</w:t>
      </w:r>
      <w:r w:rsidRPr="00DA72B6">
        <w:t xml:space="preserve"> the Budget year </w:t>
      </w:r>
      <w:r w:rsidR="00F036AB">
        <w:t>(2022</w:t>
      </w:r>
      <w:r w:rsidR="00111A07">
        <w:noBreakHyphen/>
      </w:r>
      <w:r w:rsidR="00F036AB">
        <w:t xml:space="preserve">23) </w:t>
      </w:r>
      <w:r w:rsidRPr="00DA72B6">
        <w:t>and the subsequent financial year</w:t>
      </w:r>
      <w:r w:rsidR="00F036AB">
        <w:t xml:space="preserve"> (2023</w:t>
      </w:r>
      <w:r w:rsidR="00111A07">
        <w:noBreakHyphen/>
      </w:r>
      <w:r w:rsidR="00F036AB">
        <w:t>24)</w:t>
      </w:r>
      <w:r w:rsidRPr="00374726">
        <w:t>,</w:t>
      </w:r>
      <w:r w:rsidRPr="00DA72B6">
        <w:t xml:space="preserve"> emphasis is placed on detailed forecasts of the expenditure components of economic activity</w:t>
      </w:r>
      <w:r w:rsidR="00111A07">
        <w:t xml:space="preserve">. </w:t>
      </w:r>
      <w:r w:rsidRPr="00DA72B6">
        <w:t>Beyond this period, estimates are based on expectations for the level of potential output and modelling of the path by which output converges back to this potential level</w:t>
      </w:r>
      <w:r w:rsidR="00111A07">
        <w:t xml:space="preserve">. </w:t>
      </w:r>
      <w:r w:rsidRPr="00DA72B6">
        <w:t xml:space="preserve">An output gap exists if actual output is </w:t>
      </w:r>
      <w:r>
        <w:t>not equal to</w:t>
      </w:r>
      <w:r w:rsidRPr="00DA72B6">
        <w:t xml:space="preserve"> potential.</w:t>
      </w:r>
    </w:p>
    <w:p w14:paraId="1EFFE9DC" w14:textId="404553AC" w:rsidR="00500F5F" w:rsidRPr="00DA72B6" w:rsidRDefault="00500F5F" w:rsidP="003C2B54">
      <w:r w:rsidRPr="00DA72B6">
        <w:t xml:space="preserve">A </w:t>
      </w:r>
      <w:proofErr w:type="spellStart"/>
      <w:r w:rsidRPr="00DA72B6">
        <w:t>macroeconometric</w:t>
      </w:r>
      <w:proofErr w:type="spellEnd"/>
      <w:r w:rsidRPr="00DA72B6">
        <w:t xml:space="preserve"> model of the Australian economy is used to inform the path that the economy takes to close the output gap</w:t>
      </w:r>
      <w:r w:rsidR="00111A07">
        <w:t xml:space="preserve">. </w:t>
      </w:r>
      <w:r w:rsidR="007136D4">
        <w:t xml:space="preserve">This model </w:t>
      </w:r>
      <w:r w:rsidR="00681F12">
        <w:t>accounts</w:t>
      </w:r>
      <w:r w:rsidRPr="00DA72B6">
        <w:t xml:space="preserve"> for factors such as the nature and level of spare capacity in the economy, the drivers of potential output growth, and the expected path of international trade prices</w:t>
      </w:r>
      <w:r w:rsidR="00111A07">
        <w:t xml:space="preserve">. </w:t>
      </w:r>
      <w:r w:rsidRPr="00DA72B6">
        <w:t xml:space="preserve">The model allows for a considered assessment of the path of output beyond </w:t>
      </w:r>
      <w:r w:rsidR="0046334C">
        <w:t>2023</w:t>
      </w:r>
      <w:r w:rsidR="00111A07">
        <w:noBreakHyphen/>
      </w:r>
      <w:r w:rsidR="0046334C">
        <w:t>24</w:t>
      </w:r>
      <w:r w:rsidRPr="00DA72B6">
        <w:t>.</w:t>
      </w:r>
    </w:p>
    <w:p w14:paraId="39237886" w14:textId="1D8E0040" w:rsidR="007136D4" w:rsidRDefault="006B6CE2" w:rsidP="006B6CE2">
      <w:r w:rsidRPr="00DA72B6">
        <w:t>Potential GDP is estimated based on an analysis of trends for population, productivity, and participation</w:t>
      </w:r>
      <w:r w:rsidR="00111A07">
        <w:t xml:space="preserve">. </w:t>
      </w:r>
      <w:r w:rsidRPr="00DA72B6">
        <w:t>As</w:t>
      </w:r>
      <w:r>
        <w:t xml:space="preserve"> excess activity in the economy moderates and </w:t>
      </w:r>
      <w:r w:rsidRPr="00DA72B6">
        <w:t xml:space="preserve">the output gap closes, real GDP </w:t>
      </w:r>
      <w:r>
        <w:t>is assumed to converge</w:t>
      </w:r>
      <w:r w:rsidRPr="00DA72B6">
        <w:t xml:space="preserve"> towards its potential level and the unemployment rate converges towards the NAIRU</w:t>
      </w:r>
      <w:r>
        <w:t xml:space="preserve"> assumption</w:t>
      </w:r>
      <w:r w:rsidR="00111A07">
        <w:t xml:space="preserve">. </w:t>
      </w:r>
      <w:r w:rsidRPr="00DA72B6">
        <w:t>On the nominal side, key non</w:t>
      </w:r>
      <w:r w:rsidR="00111A07">
        <w:noBreakHyphen/>
      </w:r>
      <w:r w:rsidRPr="00DA72B6">
        <w:t>rural commodity export prices are projected based on cost curve analysis</w:t>
      </w:r>
      <w:r w:rsidR="00111A07">
        <w:t xml:space="preserve">. </w:t>
      </w:r>
      <w:r w:rsidRPr="00DA72B6">
        <w:t>Domestic prices return over time to the midpoint of the RBA</w:t>
      </w:r>
      <w:r w:rsidR="00111A07">
        <w:t>’</w:t>
      </w:r>
      <w:r w:rsidRPr="00DA72B6">
        <w:t>s inflation target band</w:t>
      </w:r>
      <w:r w:rsidR="00111A07">
        <w:t xml:space="preserve">. </w:t>
      </w:r>
    </w:p>
    <w:p w14:paraId="53240484" w14:textId="0F4F6097" w:rsidR="006B6CE2" w:rsidRPr="008812CE" w:rsidRDefault="006B6CE2" w:rsidP="006B6CE2">
      <w:r>
        <w:t>Potential GDP grows</w:t>
      </w:r>
      <w:r w:rsidRPr="00DA72B6">
        <w:t xml:space="preserve"> at an </w:t>
      </w:r>
      <w:r>
        <w:t>annual</w:t>
      </w:r>
      <w:r w:rsidRPr="008812CE">
        <w:t xml:space="preserve"> </w:t>
      </w:r>
      <w:r>
        <w:t>average of around</w:t>
      </w:r>
      <w:r w:rsidRPr="008812CE">
        <w:t xml:space="preserve"> </w:t>
      </w:r>
      <w:r>
        <w:t>2½ </w:t>
      </w:r>
      <w:r w:rsidRPr="008812CE">
        <w:t xml:space="preserve">per cent per annum </w:t>
      </w:r>
      <w:r>
        <w:t>to 2025</w:t>
      </w:r>
      <w:r w:rsidR="00111A07">
        <w:noBreakHyphen/>
      </w:r>
      <w:r>
        <w:t>26</w:t>
      </w:r>
      <w:r w:rsidRPr="008812CE">
        <w:t xml:space="preserve"> before </w:t>
      </w:r>
      <w:r>
        <w:t>increasing</w:t>
      </w:r>
      <w:r w:rsidRPr="008812CE">
        <w:t xml:space="preserve"> to </w:t>
      </w:r>
      <w:r>
        <w:t xml:space="preserve">an annual </w:t>
      </w:r>
      <w:r w:rsidRPr="008812CE">
        <w:t xml:space="preserve">average of around </w:t>
      </w:r>
      <w:r>
        <w:t>2¾</w:t>
      </w:r>
      <w:r w:rsidRPr="008812CE">
        <w:t xml:space="preserve"> per cent per annum over the medium term to 2032</w:t>
      </w:r>
      <w:r w:rsidR="00111A07">
        <w:noBreakHyphen/>
      </w:r>
      <w:r w:rsidRPr="008812CE">
        <w:t>33</w:t>
      </w:r>
      <w:r w:rsidR="00111A07">
        <w:t xml:space="preserve">. </w:t>
      </w:r>
      <w:r w:rsidRPr="00DA72B6">
        <w:t xml:space="preserve">The terms of trade </w:t>
      </w:r>
      <w:r w:rsidR="6A63650B" w:rsidRPr="00DA72B6">
        <w:t>are</w:t>
      </w:r>
      <w:r w:rsidRPr="00DA72B6">
        <w:t xml:space="preserve"> projected to return to </w:t>
      </w:r>
      <w:r w:rsidR="6A63650B" w:rsidRPr="00DA72B6">
        <w:t>around their</w:t>
      </w:r>
      <w:r w:rsidRPr="00DA72B6">
        <w:t xml:space="preserve"> 2006</w:t>
      </w:r>
      <w:r w:rsidR="00111A07">
        <w:noBreakHyphen/>
      </w:r>
      <w:r w:rsidRPr="00DA72B6">
        <w:t xml:space="preserve">07 level from </w:t>
      </w:r>
      <w:r w:rsidR="6A63650B">
        <w:t>2023</w:t>
      </w:r>
      <w:r w:rsidR="00111A07">
        <w:noBreakHyphen/>
      </w:r>
      <w:r w:rsidR="6A63650B">
        <w:t>24</w:t>
      </w:r>
      <w:r>
        <w:t xml:space="preserve"> and remain </w:t>
      </w:r>
      <w:r w:rsidR="6A63650B">
        <w:t>around</w:t>
      </w:r>
      <w:r>
        <w:t xml:space="preserve"> this level over the medium term</w:t>
      </w:r>
      <w:r w:rsidRPr="00DA72B6">
        <w:t>.</w:t>
      </w:r>
    </w:p>
    <w:p w14:paraId="61699428" w14:textId="598D681D" w:rsidR="00A572F7" w:rsidRDefault="006B6CE2" w:rsidP="006B6CE2">
      <w:r>
        <w:t>Overall, the level of nominal GDP over the medium</w:t>
      </w:r>
      <w:r w:rsidR="00111A07">
        <w:noBreakHyphen/>
      </w:r>
      <w:r>
        <w:t xml:space="preserve">term projection period is permanently higher compared to </w:t>
      </w:r>
      <w:r w:rsidR="006A7CC4">
        <w:t xml:space="preserve">the </w:t>
      </w:r>
      <w:r>
        <w:t>2021</w:t>
      </w:r>
      <w:r w:rsidR="00111A07">
        <w:noBreakHyphen/>
      </w:r>
      <w:r>
        <w:t>22 MYEFO (Chart 2.</w:t>
      </w:r>
      <w:r w:rsidR="00A572F7">
        <w:t>2</w:t>
      </w:r>
      <w:r w:rsidR="00EE628C">
        <w:t>7</w:t>
      </w:r>
      <w:r>
        <w:t>)</w:t>
      </w:r>
      <w:r w:rsidR="00111A07">
        <w:t xml:space="preserve">. </w:t>
      </w:r>
      <w:r>
        <w:t>In 2021</w:t>
      </w:r>
      <w:r w:rsidR="00111A07">
        <w:noBreakHyphen/>
      </w:r>
      <w:r>
        <w:t>22 this largely reflects stronger non</w:t>
      </w:r>
      <w:r w:rsidR="00111A07">
        <w:noBreakHyphen/>
      </w:r>
      <w:r>
        <w:t xml:space="preserve">rural commodity prices and </w:t>
      </w:r>
      <w:r w:rsidR="00C03438">
        <w:t>in later years it</w:t>
      </w:r>
      <w:r>
        <w:t xml:space="preserve"> reflects stronger output </w:t>
      </w:r>
      <w:r w:rsidR="00604183">
        <w:t xml:space="preserve">and </w:t>
      </w:r>
      <w:r>
        <w:t>a higher domestic price level</w:t>
      </w:r>
      <w:r w:rsidR="00111A07">
        <w:t xml:space="preserve">. </w:t>
      </w:r>
      <w:r>
        <w:t xml:space="preserve">The tight labour market is expected to lead to rising </w:t>
      </w:r>
      <w:r>
        <w:lastRenderedPageBreak/>
        <w:t xml:space="preserve">wage growth and a permanent increase in </w:t>
      </w:r>
      <w:r w:rsidR="00C03438">
        <w:t xml:space="preserve">the </w:t>
      </w:r>
      <w:r w:rsidRPr="00374726">
        <w:t>labour</w:t>
      </w:r>
      <w:r>
        <w:t xml:space="preserve"> share of income</w:t>
      </w:r>
      <w:r w:rsidR="00111A07">
        <w:t xml:space="preserve">. </w:t>
      </w:r>
      <w:r>
        <w:t>It also leads to an increase in domestic price pressures</w:t>
      </w:r>
      <w:r w:rsidR="00111A07">
        <w:t xml:space="preserve">. </w:t>
      </w:r>
      <w:r>
        <w:t xml:space="preserve">While inflation returns to the midpoint of the RBA target band by </w:t>
      </w:r>
      <w:r w:rsidR="002F7AD7">
        <w:t xml:space="preserve">the </w:t>
      </w:r>
      <w:r w:rsidR="6A63650B">
        <w:t>June</w:t>
      </w:r>
      <w:r w:rsidR="002F7AD7">
        <w:t xml:space="preserve"> quarter of</w:t>
      </w:r>
      <w:r w:rsidR="6A63650B">
        <w:t xml:space="preserve"> 2026</w:t>
      </w:r>
      <w:r>
        <w:t>, this increase in the domestic price level is expected to be sustained</w:t>
      </w:r>
      <w:r w:rsidR="00111A07">
        <w:t xml:space="preserve">. </w:t>
      </w:r>
      <w:r>
        <w:t>Nominal GDP over the medium</w:t>
      </w:r>
      <w:r w:rsidR="00D6108C">
        <w:t xml:space="preserve"> </w:t>
      </w:r>
      <w:r>
        <w:t>term is also supported by higher potential output</w:t>
      </w:r>
      <w:r w:rsidR="00111A07">
        <w:t xml:space="preserve">. </w:t>
      </w:r>
      <w:r>
        <w:t>Higher potential output largely reflects an increase in the size of the productive workforce associated with a permanently lower unemployment rate.</w:t>
      </w:r>
    </w:p>
    <w:p w14:paraId="26C26E75" w14:textId="34097EC0" w:rsidR="006B6CE2" w:rsidRDefault="006B6CE2" w:rsidP="006B6CE2">
      <w:r>
        <w:t xml:space="preserve">Since </w:t>
      </w:r>
      <w:r w:rsidR="002F7AD7">
        <w:t xml:space="preserve">the </w:t>
      </w:r>
      <w:r>
        <w:t>2021</w:t>
      </w:r>
      <w:r w:rsidR="00111A07">
        <w:noBreakHyphen/>
      </w:r>
      <w:r>
        <w:t>22 MYEFO, the NAIRU assumption has been revised down to 4¼ per cent resulting in a higher level of potential GDP by the end of the medium term (Box 2.</w:t>
      </w:r>
      <w:r w:rsidR="00AF5505">
        <w:t>5</w:t>
      </w:r>
      <w:r>
        <w:t>)</w:t>
      </w:r>
      <w:r w:rsidR="00111A07">
        <w:t xml:space="preserve">. </w:t>
      </w:r>
      <w:r w:rsidR="4E1FE07D">
        <w:t>Trend projections</w:t>
      </w:r>
      <w:r>
        <w:t xml:space="preserve"> for the population</w:t>
      </w:r>
      <w:r w:rsidR="00C9649F">
        <w:t xml:space="preserve"> level</w:t>
      </w:r>
      <w:r>
        <w:t xml:space="preserve"> and average hours are slightly higher while the </w:t>
      </w:r>
      <w:r w:rsidR="4E1FE07D">
        <w:t xml:space="preserve">trend </w:t>
      </w:r>
      <w:r>
        <w:t>participation rate is unchanged</w:t>
      </w:r>
      <w:r w:rsidR="00111A07">
        <w:t xml:space="preserve">. </w:t>
      </w:r>
      <w:r>
        <w:t>The changes to the NAIRU, population and average hours, imply that there is a larger workforce available to produce goods and services over the medium term</w:t>
      </w:r>
      <w:r w:rsidR="00111A07">
        <w:t xml:space="preserve">. </w:t>
      </w:r>
      <w:r w:rsidR="0010681F">
        <w:t>The medium</w:t>
      </w:r>
      <w:r w:rsidR="00111A07">
        <w:noBreakHyphen/>
      </w:r>
      <w:r w:rsidR="0010681F">
        <w:t>term outlook for</w:t>
      </w:r>
      <w:r>
        <w:t xml:space="preserve"> underlying </w:t>
      </w:r>
      <w:r w:rsidR="00C9649F">
        <w:t xml:space="preserve">labour </w:t>
      </w:r>
      <w:r>
        <w:t>productivity growth is unchanged</w:t>
      </w:r>
      <w:r w:rsidR="00111A07">
        <w:t xml:space="preserve">. </w:t>
      </w:r>
      <w:r w:rsidR="0010681F">
        <w:t>C</w:t>
      </w:r>
      <w:r w:rsidRPr="00374726">
        <w:t>onsistent</w:t>
      </w:r>
      <w:r>
        <w:t xml:space="preserve"> with </w:t>
      </w:r>
      <w:r w:rsidR="002F7AD7">
        <w:t xml:space="preserve">the </w:t>
      </w:r>
      <w:r>
        <w:t>2021</w:t>
      </w:r>
      <w:r w:rsidR="00111A07">
        <w:noBreakHyphen/>
      </w:r>
      <w:r>
        <w:t xml:space="preserve">22 MYEFO, </w:t>
      </w:r>
      <w:r w:rsidR="4E1FE07D">
        <w:t xml:space="preserve">underlying </w:t>
      </w:r>
      <w:r w:rsidR="5F1DC71E">
        <w:t>labour</w:t>
      </w:r>
      <w:r w:rsidR="0010681F">
        <w:t xml:space="preserve"> productivity </w:t>
      </w:r>
      <w:r>
        <w:t>is assumed to converge over a 10</w:t>
      </w:r>
      <w:r w:rsidR="00111A07">
        <w:noBreakHyphen/>
      </w:r>
      <w:r>
        <w:t xml:space="preserve">year period to the average growth rate </w:t>
      </w:r>
      <w:r w:rsidR="7144F902" w:rsidRPr="7144F902">
        <w:rPr>
          <w:rFonts w:eastAsia="Book Antiqua" w:cs="Book Antiqua"/>
        </w:rPr>
        <w:t>in labour productivity</w:t>
      </w:r>
      <w:r w:rsidR="7144F902">
        <w:t xml:space="preserve"> </w:t>
      </w:r>
      <w:r>
        <w:t>over the 30 years to 2018</w:t>
      </w:r>
      <w:r w:rsidR="00111A07">
        <w:noBreakHyphen/>
      </w:r>
      <w:r>
        <w:t>19 of 1.5 per cent per annum</w:t>
      </w:r>
      <w:r w:rsidR="00111A07">
        <w:t xml:space="preserve">. </w:t>
      </w:r>
    </w:p>
    <w:p w14:paraId="0C143DD2" w14:textId="20DE4ED7" w:rsidR="006B6CE2" w:rsidRPr="00BD101C" w:rsidRDefault="006B6CE2" w:rsidP="006B6CE2">
      <w:pPr>
        <w:pStyle w:val="ChartHeading"/>
        <w:spacing w:before="0" w:after="0"/>
        <w:rPr>
          <w:b w:val="0"/>
          <w:sz w:val="18"/>
          <w:szCs w:val="18"/>
        </w:rPr>
      </w:pPr>
      <w:r w:rsidRPr="00067287">
        <w:t>Chart 2.</w:t>
      </w:r>
      <w:r w:rsidR="00AF4232">
        <w:t>2</w:t>
      </w:r>
      <w:r w:rsidR="00B13370">
        <w:t>7</w:t>
      </w:r>
      <w:r w:rsidRPr="00067287">
        <w:t xml:space="preserve">: </w:t>
      </w:r>
      <w:r>
        <w:t>Projected</w:t>
      </w:r>
      <w:r w:rsidRPr="00067287">
        <w:t xml:space="preserve"> nominal GDP</w:t>
      </w:r>
    </w:p>
    <w:p w14:paraId="7B5074AB" w14:textId="5710C886" w:rsidR="006B6CE2" w:rsidRDefault="00E54B92" w:rsidP="006B6CE2">
      <w:pPr>
        <w:pStyle w:val="ChartGraphic"/>
      </w:pPr>
      <w:r w:rsidRPr="00E54B92">
        <w:t xml:space="preserve">  </w:t>
      </w:r>
      <w:r w:rsidR="006B6CE2" w:rsidRPr="004B1A04">
        <w:t xml:space="preserve"> </w:t>
      </w:r>
      <w:r w:rsidR="007F0CE2">
        <w:rPr>
          <w:noProof/>
        </w:rPr>
        <w:drawing>
          <wp:inline distT="0" distB="0" distL="0" distR="0" wp14:anchorId="0BA53ACA" wp14:editId="3C60CC9D">
            <wp:extent cx="4664075" cy="2524125"/>
            <wp:effectExtent l="0" t="0" r="0" b="9525"/>
            <wp:docPr id="1516925114" name="Picture 1516925114" descr="This chart shows the 2022-23 Budget and the 2021-22 MYEFO projections for the level of nominal GDP. In particular, the chart shows that the 2022-23 Budget projection for the level of nominal GDP is higher than the 2021-22 MYEFO projection over both the Budget estimates period and medium-term projection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25114" name="Picture 1516925114" descr="This chart shows the 2022-23 Budget and the 2021-22 MYEFO projections for the level of nominal GDP. In particular, the chart shows that the 2022-23 Budget projection for the level of nominal GDP is higher than the 2021-22 MYEFO projection over both the Budget estimates period and medium-term projections.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4075" cy="2524125"/>
                    </a:xfrm>
                    <a:prstGeom prst="rect">
                      <a:avLst/>
                    </a:prstGeom>
                    <a:noFill/>
                  </pic:spPr>
                </pic:pic>
              </a:graphicData>
            </a:graphic>
          </wp:inline>
        </w:drawing>
      </w:r>
      <w:r w:rsidR="006B6CE2" w:rsidRPr="004B1A04">
        <w:t xml:space="preserve"> </w:t>
      </w:r>
      <w:r w:rsidR="006B6CE2" w:rsidRPr="00806F86">
        <w:t xml:space="preserve"> </w:t>
      </w:r>
      <w:r w:rsidR="006B6CE2" w:rsidRPr="00BE5FA6">
        <w:t xml:space="preserve"> </w:t>
      </w:r>
    </w:p>
    <w:p w14:paraId="7EE659FE" w14:textId="186B0BA8" w:rsidR="008C0CB5" w:rsidRPr="008812CE" w:rsidRDefault="00CD2DAB" w:rsidP="002206F5">
      <w:pPr>
        <w:pStyle w:val="Source"/>
        <w:ind w:left="0" w:firstLine="0"/>
      </w:pPr>
      <w:r>
        <w:t xml:space="preserve">Source: </w:t>
      </w:r>
      <w:r w:rsidR="003C2B54">
        <w:tab/>
      </w:r>
      <w:r>
        <w:t>ABS Australian National Accounts: National Income, Expenditure and Product and Treasury.</w:t>
      </w:r>
    </w:p>
    <w:p w14:paraId="6EBE013C" w14:textId="7331AEA9" w:rsidR="009345C5" w:rsidRPr="006568AA" w:rsidRDefault="009345C5" w:rsidP="00084209"/>
    <w:sectPr w:rsidR="009345C5" w:rsidRPr="006568AA" w:rsidSect="00A3630B">
      <w:headerReference w:type="first" r:id="rId44"/>
      <w:footerReference w:type="first" r:id="rId45"/>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4B866" w14:textId="77777777" w:rsidR="00C757EF" w:rsidRDefault="00C757EF" w:rsidP="00E40261">
      <w:pPr>
        <w:spacing w:after="0" w:line="240" w:lineRule="auto"/>
      </w:pPr>
      <w:r>
        <w:separator/>
      </w:r>
    </w:p>
  </w:endnote>
  <w:endnote w:type="continuationSeparator" w:id="0">
    <w:p w14:paraId="0CE8330E" w14:textId="77777777" w:rsidR="00C757EF" w:rsidRDefault="00C757EF" w:rsidP="00E40261">
      <w:pPr>
        <w:spacing w:after="0" w:line="240" w:lineRule="auto"/>
      </w:pPr>
      <w:r>
        <w:continuationSeparator/>
      </w:r>
    </w:p>
  </w:endnote>
  <w:endnote w:type="continuationNotice" w:id="1">
    <w:p w14:paraId="418A6CE9" w14:textId="77777777" w:rsidR="00C757EF" w:rsidRDefault="00C757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9DCD" w14:textId="0688608E" w:rsidR="00502361" w:rsidRDefault="00502361" w:rsidP="000262FE">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FC47AC">
        <w:t>Statement 2: Economic Outlook</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BDE92" w14:textId="70D66F68" w:rsidR="00502361" w:rsidRDefault="00C757EF" w:rsidP="00C60F8C">
    <w:pPr>
      <w:pStyle w:val="FooterOdd"/>
    </w:pPr>
    <w:fldSimple w:instr=" SUBJECT   \* MERGEFORMAT ">
      <w:r w:rsidR="00FC47AC">
        <w:t>Statement 2: Economic Outlook</w:t>
      </w:r>
    </w:fldSimple>
    <w:r w:rsidR="00A3630B" w:rsidRPr="00B3705D">
      <w:t xml:space="preserve">  |  </w:t>
    </w:r>
    <w:r w:rsidR="00A3630B" w:rsidRPr="00B3705D">
      <w:rPr>
        <w:b/>
        <w:bCs/>
      </w:rPr>
      <w:t xml:space="preserve">Page </w:t>
    </w:r>
    <w:r w:rsidR="00A3630B" w:rsidRPr="00B3705D">
      <w:rPr>
        <w:b/>
        <w:bCs/>
      </w:rPr>
      <w:fldChar w:fldCharType="begin"/>
    </w:r>
    <w:r w:rsidR="00A3630B" w:rsidRPr="00B3705D">
      <w:rPr>
        <w:b/>
        <w:bCs/>
      </w:rPr>
      <w:instrText xml:space="preserve"> PAGE  \* Arabic  \* MERGEFORMAT </w:instrText>
    </w:r>
    <w:r w:rsidR="00A3630B" w:rsidRPr="00B3705D">
      <w:rPr>
        <w:b/>
        <w:bCs/>
      </w:rPr>
      <w:fldChar w:fldCharType="separate"/>
    </w:r>
    <w:r w:rsidR="00A3630B">
      <w:rPr>
        <w:b/>
        <w:bCs/>
      </w:rPr>
      <w:t>1</w:t>
    </w:r>
    <w:r w:rsidR="00A3630B"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608B" w14:textId="689064EB" w:rsidR="00502361" w:rsidRPr="00502361" w:rsidRDefault="00C757EF" w:rsidP="00A3630B">
    <w:pPr>
      <w:pStyle w:val="FooterOdd"/>
    </w:pPr>
    <w:fldSimple w:instr=" SUBJECT   \* MERGEFORMAT ">
      <w:r w:rsidR="00FC47AC">
        <w:t>Statement 2: Economic Outlook</w:t>
      </w:r>
    </w:fldSimple>
    <w:r w:rsidR="00502361" w:rsidRPr="00B3705D">
      <w:t xml:space="preserve">  |  </w:t>
    </w:r>
    <w:r w:rsidR="00502361" w:rsidRPr="00B3705D">
      <w:rPr>
        <w:b/>
        <w:bCs/>
      </w:rPr>
      <w:t xml:space="preserve">Page </w:t>
    </w:r>
    <w:r w:rsidR="00502361" w:rsidRPr="00B3705D">
      <w:rPr>
        <w:b/>
        <w:bCs/>
      </w:rPr>
      <w:fldChar w:fldCharType="begin"/>
    </w:r>
    <w:r w:rsidR="00502361" w:rsidRPr="00B3705D">
      <w:rPr>
        <w:b/>
        <w:bCs/>
      </w:rPr>
      <w:instrText xml:space="preserve"> PAGE  \* Arabic  \* MERGEFORMAT </w:instrText>
    </w:r>
    <w:r w:rsidR="00502361" w:rsidRPr="00B3705D">
      <w:rPr>
        <w:b/>
        <w:bCs/>
      </w:rPr>
      <w:fldChar w:fldCharType="separate"/>
    </w:r>
    <w:r w:rsidR="00502361">
      <w:rPr>
        <w:b/>
        <w:bCs/>
      </w:rPr>
      <w:t>1</w:t>
    </w:r>
    <w:r w:rsidR="00502361"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1A7D9" w14:textId="72D55A24" w:rsidR="00502361" w:rsidRPr="00502361" w:rsidRDefault="00C757EF" w:rsidP="00A3630B">
    <w:pPr>
      <w:pStyle w:val="FooterOdd"/>
    </w:pPr>
    <w:fldSimple w:instr=" SUBJECT   \* MERGEFORMAT ">
      <w:r w:rsidR="00FC47AC">
        <w:t>Statement 2: Economic Outlook</w:t>
      </w:r>
    </w:fldSimple>
    <w:r w:rsidR="00502361" w:rsidRPr="00B3705D">
      <w:t xml:space="preserve">  |  </w:t>
    </w:r>
    <w:r w:rsidR="00502361" w:rsidRPr="00B3705D">
      <w:rPr>
        <w:b/>
        <w:bCs/>
      </w:rPr>
      <w:t xml:space="preserve">Page </w:t>
    </w:r>
    <w:r w:rsidR="00502361" w:rsidRPr="00B3705D">
      <w:rPr>
        <w:b/>
        <w:bCs/>
      </w:rPr>
      <w:fldChar w:fldCharType="begin"/>
    </w:r>
    <w:r w:rsidR="00502361" w:rsidRPr="00B3705D">
      <w:rPr>
        <w:b/>
        <w:bCs/>
      </w:rPr>
      <w:instrText xml:space="preserve"> PAGE  \* Arabic  \* MERGEFORMAT </w:instrText>
    </w:r>
    <w:r w:rsidR="00502361" w:rsidRPr="00B3705D">
      <w:rPr>
        <w:b/>
        <w:bCs/>
      </w:rPr>
      <w:fldChar w:fldCharType="separate"/>
    </w:r>
    <w:r w:rsidR="00502361">
      <w:rPr>
        <w:b/>
        <w:bCs/>
      </w:rPr>
      <w:t>1</w:t>
    </w:r>
    <w:r w:rsidR="0050236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92E0E" w14:textId="77777777" w:rsidR="00C757EF" w:rsidRDefault="00C757EF" w:rsidP="00E40261">
      <w:pPr>
        <w:spacing w:after="0" w:line="240" w:lineRule="auto"/>
      </w:pPr>
      <w:r>
        <w:separator/>
      </w:r>
    </w:p>
  </w:footnote>
  <w:footnote w:type="continuationSeparator" w:id="0">
    <w:p w14:paraId="23F3A852" w14:textId="77777777" w:rsidR="00C757EF" w:rsidRDefault="00C757EF" w:rsidP="00E40261">
      <w:pPr>
        <w:spacing w:after="0" w:line="240" w:lineRule="auto"/>
      </w:pPr>
      <w:r>
        <w:continuationSeparator/>
      </w:r>
    </w:p>
  </w:footnote>
  <w:footnote w:type="continuationNotice" w:id="1">
    <w:p w14:paraId="1FF87D64" w14:textId="77777777" w:rsidR="00C757EF" w:rsidRDefault="00C757EF">
      <w:pPr>
        <w:spacing w:after="0" w:line="240" w:lineRule="auto"/>
      </w:pPr>
    </w:p>
  </w:footnote>
  <w:footnote w:id="2">
    <w:p w14:paraId="73417053" w14:textId="2272745F" w:rsidR="000B75B8" w:rsidRDefault="000B75B8" w:rsidP="000B75B8">
      <w:pPr>
        <w:pStyle w:val="FootnoteText"/>
        <w:keepLines/>
      </w:pPr>
      <w:r w:rsidRPr="003C2B54">
        <w:rPr>
          <w:rStyle w:val="FootnoteReference"/>
          <w:vertAlign w:val="baseline"/>
        </w:rPr>
        <w:footnoteRef/>
      </w:r>
      <w:r>
        <w:t xml:space="preserve"> </w:t>
      </w:r>
      <w:r>
        <w:tab/>
      </w:r>
      <w:r w:rsidRPr="00F0775A">
        <w:t xml:space="preserve">Ruberl H, Ball M, Lucas L and Williamson T (2021), </w:t>
      </w:r>
      <w:r w:rsidR="00111A07">
        <w:t>‘</w:t>
      </w:r>
      <w:r w:rsidRPr="00F0775A">
        <w:t>Estimating the NAIRU in Australia</w:t>
      </w:r>
      <w:r w:rsidR="00111A07">
        <w:t>’</w:t>
      </w:r>
      <w:r w:rsidRPr="00F0775A">
        <w:t>, Treasury Working Paper 2021</w:t>
      </w:r>
      <w:r w:rsidR="00111A07">
        <w:noBreakHyphen/>
      </w:r>
      <w:r w:rsidRPr="00F0775A">
        <w:t>01, 29 April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233C59" w14:paraId="4D7A17A5" w14:textId="77777777" w:rsidTr="002A6A16">
      <w:trPr>
        <w:trHeight w:hRule="exact" w:val="340"/>
      </w:trPr>
      <w:tc>
        <w:tcPr>
          <w:tcW w:w="7797" w:type="dxa"/>
        </w:tcPr>
        <w:p w14:paraId="7CF49160" w14:textId="4366251F" w:rsidR="00233C59" w:rsidRDefault="00233C59" w:rsidP="008F55F8">
          <w:pPr>
            <w:pStyle w:val="HeaderEven"/>
            <w:ind w:left="-113"/>
          </w:pPr>
          <w:r w:rsidRPr="000635BE">
            <w:rPr>
              <w:rFonts w:ascii="Arial Bold" w:hAnsi="Arial Bold"/>
              <w:b/>
              <w:bCs/>
              <w:noProof/>
              <w:position w:val="-10"/>
            </w:rPr>
            <w:drawing>
              <wp:inline distT="0" distB="0" distL="0" distR="0" wp14:anchorId="2D3DB789" wp14:editId="33B6D079">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FC47AC">
              <w:t>Budget Paper No. 1</w:t>
            </w:r>
          </w:fldSimple>
        </w:p>
      </w:tc>
    </w:tr>
  </w:tbl>
  <w:p w14:paraId="7AA97AD8" w14:textId="18DAEC25" w:rsidR="00733707" w:rsidRDefault="00733707">
    <w:pPr>
      <w:pStyle w:val="Header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560023" w14:paraId="524C1463" w14:textId="77777777" w:rsidTr="002A6A16">
      <w:trPr>
        <w:trHeight w:hRule="exact" w:val="340"/>
      </w:trPr>
      <w:tc>
        <w:tcPr>
          <w:tcW w:w="7797" w:type="dxa"/>
        </w:tcPr>
        <w:p w14:paraId="6B345920" w14:textId="78260E7C" w:rsidR="00560023" w:rsidRDefault="00C757EF" w:rsidP="000635BE">
          <w:pPr>
            <w:pStyle w:val="HeaderOdd"/>
          </w:pPr>
          <w:fldSimple w:instr=" TITLE   \* MERGEFORMAT ">
            <w:r w:rsidR="00FC47AC">
              <w:t>Budget Paper No. 1</w:t>
            </w:r>
          </w:fldSimple>
          <w:r w:rsidR="00560023">
            <w:t xml:space="preserve">  |  </w:t>
          </w:r>
          <w:r w:rsidR="00560023" w:rsidRPr="000635BE">
            <w:rPr>
              <w:rFonts w:ascii="Arial Bold" w:hAnsi="Arial Bold"/>
              <w:b/>
              <w:bCs/>
              <w:noProof/>
              <w:position w:val="-10"/>
            </w:rPr>
            <w:drawing>
              <wp:inline distT="0" distB="0" distL="0" distR="0" wp14:anchorId="4BB70C3B" wp14:editId="485D0D59">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43B8469C" w14:textId="77777777" w:rsidR="00560023" w:rsidRDefault="005600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1C40" w14:textId="1FD26FE9" w:rsidR="00DC3062" w:rsidRDefault="00DC3062" w:rsidP="00E765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B7B7F1E"/>
    <w:multiLevelType w:val="hybridMultilevel"/>
    <w:tmpl w:val="099E71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15:restartNumberingAfterBreak="0">
    <w:nsid w:val="74D55DA4"/>
    <w:multiLevelType w:val="hybridMultilevel"/>
    <w:tmpl w:val="23AA8B28"/>
    <w:lvl w:ilvl="0" w:tplc="1272DEEE">
      <w:start w:val="1"/>
      <w:numFmt w:val="bullet"/>
      <w:lvlText w:val="•"/>
      <w:lvlJc w:val="left"/>
      <w:pPr>
        <w:tabs>
          <w:tab w:val="num" w:pos="567"/>
        </w:tabs>
        <w:ind w:left="567" w:hanging="567"/>
      </w:pPr>
      <w:rPr>
        <w:rFonts w:ascii="Times New Roman" w:hAnsi="Times New Roman" w:cs="Times New Roman"/>
      </w:rPr>
    </w:lvl>
    <w:lvl w:ilvl="1" w:tplc="0A1E79D6">
      <w:start w:val="1"/>
      <w:numFmt w:val="bullet"/>
      <w:lvlText w:val="–"/>
      <w:lvlJc w:val="left"/>
      <w:pPr>
        <w:tabs>
          <w:tab w:val="num" w:pos="1087"/>
        </w:tabs>
        <w:ind w:left="1087" w:hanging="520"/>
      </w:pPr>
      <w:rPr>
        <w:rFonts w:ascii="Times New Roman" w:hAnsi="Times New Roman" w:cs="Times New Roman"/>
      </w:rPr>
    </w:lvl>
    <w:lvl w:ilvl="2" w:tplc="669A8E8A">
      <w:start w:val="1"/>
      <w:numFmt w:val="bullet"/>
      <w:lvlText w:val=":"/>
      <w:lvlJc w:val="left"/>
      <w:pPr>
        <w:tabs>
          <w:tab w:val="num" w:pos="1607"/>
        </w:tabs>
        <w:ind w:left="1607" w:hanging="520"/>
      </w:pPr>
      <w:rPr>
        <w:rFonts w:ascii="Times New Roman" w:hAnsi="Times New Roman" w:cs="Times New Roman"/>
      </w:rPr>
    </w:lvl>
    <w:lvl w:ilvl="3" w:tplc="B8E83CAE">
      <w:start w:val="1"/>
      <w:numFmt w:val="decimal"/>
      <w:lvlText w:val="(%4)"/>
      <w:lvlJc w:val="left"/>
      <w:pPr>
        <w:ind w:left="1440" w:hanging="360"/>
      </w:pPr>
    </w:lvl>
    <w:lvl w:ilvl="4" w:tplc="5B4AA0C0">
      <w:start w:val="1"/>
      <w:numFmt w:val="lowerLetter"/>
      <w:lvlText w:val="(%5)"/>
      <w:lvlJc w:val="left"/>
      <w:pPr>
        <w:ind w:left="1800" w:hanging="360"/>
      </w:pPr>
    </w:lvl>
    <w:lvl w:ilvl="5" w:tplc="519E85A0">
      <w:start w:val="1"/>
      <w:numFmt w:val="lowerRoman"/>
      <w:lvlText w:val="(%6)"/>
      <w:lvlJc w:val="left"/>
      <w:pPr>
        <w:ind w:left="2160" w:hanging="360"/>
      </w:pPr>
    </w:lvl>
    <w:lvl w:ilvl="6" w:tplc="E0940CBA">
      <w:start w:val="1"/>
      <w:numFmt w:val="decimal"/>
      <w:lvlText w:val="%7."/>
      <w:lvlJc w:val="left"/>
      <w:pPr>
        <w:ind w:left="2520" w:hanging="360"/>
      </w:pPr>
    </w:lvl>
    <w:lvl w:ilvl="7" w:tplc="7780E0C8">
      <w:start w:val="1"/>
      <w:numFmt w:val="lowerLetter"/>
      <w:lvlText w:val="%8."/>
      <w:lvlJc w:val="left"/>
      <w:pPr>
        <w:ind w:left="2880" w:hanging="360"/>
      </w:pPr>
    </w:lvl>
    <w:lvl w:ilvl="8" w:tplc="DF9E2E9C">
      <w:start w:val="1"/>
      <w:numFmt w:val="lowerRoman"/>
      <w:lvlText w:val="%9."/>
      <w:lvlJc w:val="left"/>
      <w:pPr>
        <w:ind w:left="3240" w:hanging="360"/>
      </w:pPr>
    </w:lvl>
  </w:abstractNum>
  <w:abstractNum w:abstractNumId="6" w15:restartNumberingAfterBreak="0">
    <w:nsid w:val="7C947E32"/>
    <w:multiLevelType w:val="multilevel"/>
    <w:tmpl w:val="39B8C0C2"/>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3"/>
    <w:lvlOverride w:ilvl="0">
      <w:startOverride w:val="1"/>
    </w:lvlOverride>
  </w:num>
  <w:num w:numId="4">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ocumentProtection w:edit="comments" w:enforcement="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33707"/>
    <w:rsid w:val="00000099"/>
    <w:rsid w:val="0000019A"/>
    <w:rsid w:val="00000255"/>
    <w:rsid w:val="000002AB"/>
    <w:rsid w:val="0000038A"/>
    <w:rsid w:val="000003E8"/>
    <w:rsid w:val="0000044F"/>
    <w:rsid w:val="0000047D"/>
    <w:rsid w:val="000004C9"/>
    <w:rsid w:val="000004F0"/>
    <w:rsid w:val="00000725"/>
    <w:rsid w:val="000007A7"/>
    <w:rsid w:val="00000B6D"/>
    <w:rsid w:val="00000CD5"/>
    <w:rsid w:val="00000D55"/>
    <w:rsid w:val="00000DE5"/>
    <w:rsid w:val="00000EA6"/>
    <w:rsid w:val="00000F34"/>
    <w:rsid w:val="00000FAA"/>
    <w:rsid w:val="00001098"/>
    <w:rsid w:val="000010EC"/>
    <w:rsid w:val="0000111F"/>
    <w:rsid w:val="0000118F"/>
    <w:rsid w:val="000011FC"/>
    <w:rsid w:val="0000137C"/>
    <w:rsid w:val="000015D3"/>
    <w:rsid w:val="0000168E"/>
    <w:rsid w:val="000017C0"/>
    <w:rsid w:val="0000182D"/>
    <w:rsid w:val="000018D4"/>
    <w:rsid w:val="00001A6B"/>
    <w:rsid w:val="00001AAA"/>
    <w:rsid w:val="00001CD2"/>
    <w:rsid w:val="00001CE9"/>
    <w:rsid w:val="00001DC4"/>
    <w:rsid w:val="00001E37"/>
    <w:rsid w:val="00001E79"/>
    <w:rsid w:val="00001E9D"/>
    <w:rsid w:val="00001EA1"/>
    <w:rsid w:val="00001EBE"/>
    <w:rsid w:val="00001F49"/>
    <w:rsid w:val="0000212C"/>
    <w:rsid w:val="0000224C"/>
    <w:rsid w:val="00002314"/>
    <w:rsid w:val="0000238C"/>
    <w:rsid w:val="0000249E"/>
    <w:rsid w:val="00002544"/>
    <w:rsid w:val="000025B0"/>
    <w:rsid w:val="0000283B"/>
    <w:rsid w:val="00002906"/>
    <w:rsid w:val="0000298E"/>
    <w:rsid w:val="000029BF"/>
    <w:rsid w:val="00002B71"/>
    <w:rsid w:val="00002C0E"/>
    <w:rsid w:val="00002FA5"/>
    <w:rsid w:val="0000308F"/>
    <w:rsid w:val="00003094"/>
    <w:rsid w:val="000030EA"/>
    <w:rsid w:val="000031CC"/>
    <w:rsid w:val="00003646"/>
    <w:rsid w:val="0000369F"/>
    <w:rsid w:val="00003739"/>
    <w:rsid w:val="00003830"/>
    <w:rsid w:val="00003A59"/>
    <w:rsid w:val="00003ABA"/>
    <w:rsid w:val="00003B61"/>
    <w:rsid w:val="00004075"/>
    <w:rsid w:val="0000407C"/>
    <w:rsid w:val="000040E4"/>
    <w:rsid w:val="00004164"/>
    <w:rsid w:val="000041B1"/>
    <w:rsid w:val="000041D7"/>
    <w:rsid w:val="000042B9"/>
    <w:rsid w:val="0000480D"/>
    <w:rsid w:val="0000494D"/>
    <w:rsid w:val="000049A4"/>
    <w:rsid w:val="000049D0"/>
    <w:rsid w:val="00004AC6"/>
    <w:rsid w:val="00004AE5"/>
    <w:rsid w:val="00004B62"/>
    <w:rsid w:val="00004BB4"/>
    <w:rsid w:val="00004C6B"/>
    <w:rsid w:val="00004CEF"/>
    <w:rsid w:val="00004D53"/>
    <w:rsid w:val="00004E86"/>
    <w:rsid w:val="00004F7B"/>
    <w:rsid w:val="00005095"/>
    <w:rsid w:val="00005191"/>
    <w:rsid w:val="00005427"/>
    <w:rsid w:val="000054C8"/>
    <w:rsid w:val="0000554C"/>
    <w:rsid w:val="00005551"/>
    <w:rsid w:val="000055B7"/>
    <w:rsid w:val="000055FC"/>
    <w:rsid w:val="00005983"/>
    <w:rsid w:val="00005B2F"/>
    <w:rsid w:val="00005B9B"/>
    <w:rsid w:val="00005D1F"/>
    <w:rsid w:val="00005DAF"/>
    <w:rsid w:val="00006034"/>
    <w:rsid w:val="0000614D"/>
    <w:rsid w:val="00006242"/>
    <w:rsid w:val="00006423"/>
    <w:rsid w:val="000064E4"/>
    <w:rsid w:val="00006547"/>
    <w:rsid w:val="000066C3"/>
    <w:rsid w:val="0000675C"/>
    <w:rsid w:val="000067C7"/>
    <w:rsid w:val="000067CF"/>
    <w:rsid w:val="000069D6"/>
    <w:rsid w:val="00006B37"/>
    <w:rsid w:val="00006C5D"/>
    <w:rsid w:val="00006CEE"/>
    <w:rsid w:val="00006DCA"/>
    <w:rsid w:val="00006DCF"/>
    <w:rsid w:val="00006DF4"/>
    <w:rsid w:val="00006E6F"/>
    <w:rsid w:val="00006F02"/>
    <w:rsid w:val="00006F5A"/>
    <w:rsid w:val="00007290"/>
    <w:rsid w:val="000072B7"/>
    <w:rsid w:val="00007522"/>
    <w:rsid w:val="00007530"/>
    <w:rsid w:val="0000759C"/>
    <w:rsid w:val="000075F4"/>
    <w:rsid w:val="00007649"/>
    <w:rsid w:val="00007709"/>
    <w:rsid w:val="000078D1"/>
    <w:rsid w:val="00007921"/>
    <w:rsid w:val="00007922"/>
    <w:rsid w:val="00007943"/>
    <w:rsid w:val="00007991"/>
    <w:rsid w:val="000079DC"/>
    <w:rsid w:val="00007ADA"/>
    <w:rsid w:val="00007B6B"/>
    <w:rsid w:val="00007C3F"/>
    <w:rsid w:val="00007C78"/>
    <w:rsid w:val="00007E6A"/>
    <w:rsid w:val="00007EF4"/>
    <w:rsid w:val="0001001D"/>
    <w:rsid w:val="000100DD"/>
    <w:rsid w:val="000100FB"/>
    <w:rsid w:val="00010139"/>
    <w:rsid w:val="000101A0"/>
    <w:rsid w:val="000101E7"/>
    <w:rsid w:val="00010256"/>
    <w:rsid w:val="000103AC"/>
    <w:rsid w:val="00010459"/>
    <w:rsid w:val="00010497"/>
    <w:rsid w:val="00010547"/>
    <w:rsid w:val="00010686"/>
    <w:rsid w:val="000106E6"/>
    <w:rsid w:val="00010741"/>
    <w:rsid w:val="000108BC"/>
    <w:rsid w:val="00010A63"/>
    <w:rsid w:val="00010D2C"/>
    <w:rsid w:val="00010D90"/>
    <w:rsid w:val="00010EFE"/>
    <w:rsid w:val="0001100E"/>
    <w:rsid w:val="00011013"/>
    <w:rsid w:val="0001108A"/>
    <w:rsid w:val="0001109E"/>
    <w:rsid w:val="000111C2"/>
    <w:rsid w:val="000111CB"/>
    <w:rsid w:val="0001120E"/>
    <w:rsid w:val="000112FC"/>
    <w:rsid w:val="000118AB"/>
    <w:rsid w:val="000118E4"/>
    <w:rsid w:val="000119B9"/>
    <w:rsid w:val="00011A47"/>
    <w:rsid w:val="00011BF3"/>
    <w:rsid w:val="00011C02"/>
    <w:rsid w:val="00011D21"/>
    <w:rsid w:val="00011D5A"/>
    <w:rsid w:val="00011DBB"/>
    <w:rsid w:val="00011DEB"/>
    <w:rsid w:val="00011E19"/>
    <w:rsid w:val="00011E62"/>
    <w:rsid w:val="00011EE2"/>
    <w:rsid w:val="00011FCA"/>
    <w:rsid w:val="0001205F"/>
    <w:rsid w:val="00012113"/>
    <w:rsid w:val="00012196"/>
    <w:rsid w:val="000121E0"/>
    <w:rsid w:val="0001227E"/>
    <w:rsid w:val="000122DB"/>
    <w:rsid w:val="000122DF"/>
    <w:rsid w:val="000124F9"/>
    <w:rsid w:val="000126B3"/>
    <w:rsid w:val="000127AF"/>
    <w:rsid w:val="000127F3"/>
    <w:rsid w:val="00012A34"/>
    <w:rsid w:val="00012AEF"/>
    <w:rsid w:val="00012B88"/>
    <w:rsid w:val="00012C36"/>
    <w:rsid w:val="00012D36"/>
    <w:rsid w:val="00012EC3"/>
    <w:rsid w:val="00012F28"/>
    <w:rsid w:val="00012FA7"/>
    <w:rsid w:val="00012FB8"/>
    <w:rsid w:val="0001317A"/>
    <w:rsid w:val="0001323C"/>
    <w:rsid w:val="00013303"/>
    <w:rsid w:val="0001333E"/>
    <w:rsid w:val="0001334E"/>
    <w:rsid w:val="00013477"/>
    <w:rsid w:val="000134DF"/>
    <w:rsid w:val="0001360A"/>
    <w:rsid w:val="0001368B"/>
    <w:rsid w:val="000136BE"/>
    <w:rsid w:val="000136C7"/>
    <w:rsid w:val="00013784"/>
    <w:rsid w:val="000137DC"/>
    <w:rsid w:val="000138AE"/>
    <w:rsid w:val="00013912"/>
    <w:rsid w:val="00013975"/>
    <w:rsid w:val="00013A4D"/>
    <w:rsid w:val="00013A9A"/>
    <w:rsid w:val="00013AD3"/>
    <w:rsid w:val="00013B2B"/>
    <w:rsid w:val="00013B3C"/>
    <w:rsid w:val="00013D2B"/>
    <w:rsid w:val="00013D43"/>
    <w:rsid w:val="00013EA8"/>
    <w:rsid w:val="00013F8D"/>
    <w:rsid w:val="00014085"/>
    <w:rsid w:val="00014126"/>
    <w:rsid w:val="0001417C"/>
    <w:rsid w:val="00014183"/>
    <w:rsid w:val="0001427F"/>
    <w:rsid w:val="0001432E"/>
    <w:rsid w:val="000143B8"/>
    <w:rsid w:val="00014645"/>
    <w:rsid w:val="0001466A"/>
    <w:rsid w:val="0001477B"/>
    <w:rsid w:val="00014827"/>
    <w:rsid w:val="0001485E"/>
    <w:rsid w:val="00014932"/>
    <w:rsid w:val="00014952"/>
    <w:rsid w:val="00014A8C"/>
    <w:rsid w:val="00014AE3"/>
    <w:rsid w:val="00014AE8"/>
    <w:rsid w:val="00014C66"/>
    <w:rsid w:val="00014CDA"/>
    <w:rsid w:val="00014D0E"/>
    <w:rsid w:val="00014EFE"/>
    <w:rsid w:val="00014F42"/>
    <w:rsid w:val="00014FF5"/>
    <w:rsid w:val="00015202"/>
    <w:rsid w:val="0001520E"/>
    <w:rsid w:val="00015233"/>
    <w:rsid w:val="000152D6"/>
    <w:rsid w:val="000152F1"/>
    <w:rsid w:val="0001530A"/>
    <w:rsid w:val="000153A2"/>
    <w:rsid w:val="00015403"/>
    <w:rsid w:val="00015434"/>
    <w:rsid w:val="000156FB"/>
    <w:rsid w:val="00015790"/>
    <w:rsid w:val="000158A9"/>
    <w:rsid w:val="00015959"/>
    <w:rsid w:val="00015A5A"/>
    <w:rsid w:val="00015A7B"/>
    <w:rsid w:val="00015A80"/>
    <w:rsid w:val="00015BA2"/>
    <w:rsid w:val="00015C4A"/>
    <w:rsid w:val="00015CBE"/>
    <w:rsid w:val="00015DC0"/>
    <w:rsid w:val="00015DE2"/>
    <w:rsid w:val="00016129"/>
    <w:rsid w:val="0001613E"/>
    <w:rsid w:val="00016262"/>
    <w:rsid w:val="000162A8"/>
    <w:rsid w:val="0001652F"/>
    <w:rsid w:val="00016572"/>
    <w:rsid w:val="000166E0"/>
    <w:rsid w:val="000166E5"/>
    <w:rsid w:val="0001671F"/>
    <w:rsid w:val="0001683B"/>
    <w:rsid w:val="00016A78"/>
    <w:rsid w:val="00016ABB"/>
    <w:rsid w:val="00016BF9"/>
    <w:rsid w:val="00016CC6"/>
    <w:rsid w:val="00016DAF"/>
    <w:rsid w:val="00016DCA"/>
    <w:rsid w:val="00016E0A"/>
    <w:rsid w:val="00016FD4"/>
    <w:rsid w:val="0001702D"/>
    <w:rsid w:val="000170C7"/>
    <w:rsid w:val="00017179"/>
    <w:rsid w:val="000171DB"/>
    <w:rsid w:val="0001735D"/>
    <w:rsid w:val="0001737C"/>
    <w:rsid w:val="000173B4"/>
    <w:rsid w:val="0001745B"/>
    <w:rsid w:val="0001745E"/>
    <w:rsid w:val="00017474"/>
    <w:rsid w:val="00017551"/>
    <w:rsid w:val="000175C7"/>
    <w:rsid w:val="000175F6"/>
    <w:rsid w:val="00017647"/>
    <w:rsid w:val="0001769A"/>
    <w:rsid w:val="00017883"/>
    <w:rsid w:val="00017C8B"/>
    <w:rsid w:val="00017E11"/>
    <w:rsid w:val="00017E29"/>
    <w:rsid w:val="00017E2A"/>
    <w:rsid w:val="00020023"/>
    <w:rsid w:val="00020180"/>
    <w:rsid w:val="0002023E"/>
    <w:rsid w:val="00020685"/>
    <w:rsid w:val="00020713"/>
    <w:rsid w:val="000207E8"/>
    <w:rsid w:val="000208BD"/>
    <w:rsid w:val="000208EC"/>
    <w:rsid w:val="0002091E"/>
    <w:rsid w:val="00020937"/>
    <w:rsid w:val="000209F8"/>
    <w:rsid w:val="00020A55"/>
    <w:rsid w:val="00020AF9"/>
    <w:rsid w:val="00020C06"/>
    <w:rsid w:val="00020C34"/>
    <w:rsid w:val="00020CB8"/>
    <w:rsid w:val="00020D1C"/>
    <w:rsid w:val="00020D30"/>
    <w:rsid w:val="00020E00"/>
    <w:rsid w:val="00020F53"/>
    <w:rsid w:val="000210B1"/>
    <w:rsid w:val="00021166"/>
    <w:rsid w:val="00021172"/>
    <w:rsid w:val="00021189"/>
    <w:rsid w:val="000211D6"/>
    <w:rsid w:val="000212B5"/>
    <w:rsid w:val="000212EE"/>
    <w:rsid w:val="0002132E"/>
    <w:rsid w:val="00021411"/>
    <w:rsid w:val="00021491"/>
    <w:rsid w:val="00021544"/>
    <w:rsid w:val="00021599"/>
    <w:rsid w:val="0002169C"/>
    <w:rsid w:val="00021868"/>
    <w:rsid w:val="0002191F"/>
    <w:rsid w:val="00021A34"/>
    <w:rsid w:val="00021ACC"/>
    <w:rsid w:val="00021B8B"/>
    <w:rsid w:val="00021BB7"/>
    <w:rsid w:val="00021F20"/>
    <w:rsid w:val="0002200C"/>
    <w:rsid w:val="000220EF"/>
    <w:rsid w:val="00022311"/>
    <w:rsid w:val="000223E4"/>
    <w:rsid w:val="00022436"/>
    <w:rsid w:val="0002246D"/>
    <w:rsid w:val="0002275B"/>
    <w:rsid w:val="00022760"/>
    <w:rsid w:val="0002277A"/>
    <w:rsid w:val="00022794"/>
    <w:rsid w:val="0002280E"/>
    <w:rsid w:val="00022928"/>
    <w:rsid w:val="00022984"/>
    <w:rsid w:val="00022C54"/>
    <w:rsid w:val="00022D99"/>
    <w:rsid w:val="00022E27"/>
    <w:rsid w:val="00022E3E"/>
    <w:rsid w:val="00022E99"/>
    <w:rsid w:val="00022FD9"/>
    <w:rsid w:val="00022FFD"/>
    <w:rsid w:val="000230DE"/>
    <w:rsid w:val="0002331F"/>
    <w:rsid w:val="00023411"/>
    <w:rsid w:val="000234D4"/>
    <w:rsid w:val="00023696"/>
    <w:rsid w:val="000236A5"/>
    <w:rsid w:val="000237D2"/>
    <w:rsid w:val="000237DD"/>
    <w:rsid w:val="000238A1"/>
    <w:rsid w:val="00023904"/>
    <w:rsid w:val="00023937"/>
    <w:rsid w:val="000239B3"/>
    <w:rsid w:val="00023A0C"/>
    <w:rsid w:val="00023F6D"/>
    <w:rsid w:val="00023F9A"/>
    <w:rsid w:val="00023F9B"/>
    <w:rsid w:val="00023FD8"/>
    <w:rsid w:val="00023FE0"/>
    <w:rsid w:val="00023FF2"/>
    <w:rsid w:val="00024129"/>
    <w:rsid w:val="00024139"/>
    <w:rsid w:val="00024251"/>
    <w:rsid w:val="000243A9"/>
    <w:rsid w:val="000244B9"/>
    <w:rsid w:val="000244D6"/>
    <w:rsid w:val="00024505"/>
    <w:rsid w:val="00024509"/>
    <w:rsid w:val="0002454E"/>
    <w:rsid w:val="0002456C"/>
    <w:rsid w:val="00024593"/>
    <w:rsid w:val="000245E9"/>
    <w:rsid w:val="000245F8"/>
    <w:rsid w:val="00024646"/>
    <w:rsid w:val="00024672"/>
    <w:rsid w:val="0002468B"/>
    <w:rsid w:val="0002475E"/>
    <w:rsid w:val="000248AD"/>
    <w:rsid w:val="00024954"/>
    <w:rsid w:val="00024973"/>
    <w:rsid w:val="000249D1"/>
    <w:rsid w:val="00024B20"/>
    <w:rsid w:val="00024B74"/>
    <w:rsid w:val="00024C27"/>
    <w:rsid w:val="00024D1D"/>
    <w:rsid w:val="00024D27"/>
    <w:rsid w:val="00025130"/>
    <w:rsid w:val="000251A5"/>
    <w:rsid w:val="000252E6"/>
    <w:rsid w:val="000254E3"/>
    <w:rsid w:val="0002560E"/>
    <w:rsid w:val="000256C8"/>
    <w:rsid w:val="0002578B"/>
    <w:rsid w:val="0002580F"/>
    <w:rsid w:val="00025953"/>
    <w:rsid w:val="00025AB1"/>
    <w:rsid w:val="00025B18"/>
    <w:rsid w:val="00025B31"/>
    <w:rsid w:val="00025E2A"/>
    <w:rsid w:val="00025EDA"/>
    <w:rsid w:val="00025EFB"/>
    <w:rsid w:val="00025F40"/>
    <w:rsid w:val="0002608E"/>
    <w:rsid w:val="000260C7"/>
    <w:rsid w:val="000261E0"/>
    <w:rsid w:val="000262FE"/>
    <w:rsid w:val="00026356"/>
    <w:rsid w:val="00026421"/>
    <w:rsid w:val="00026514"/>
    <w:rsid w:val="0002655A"/>
    <w:rsid w:val="00026598"/>
    <w:rsid w:val="000265B1"/>
    <w:rsid w:val="000266ED"/>
    <w:rsid w:val="00026730"/>
    <w:rsid w:val="00026817"/>
    <w:rsid w:val="00026914"/>
    <w:rsid w:val="0002693C"/>
    <w:rsid w:val="00026979"/>
    <w:rsid w:val="00026A72"/>
    <w:rsid w:val="00026B1B"/>
    <w:rsid w:val="00026B30"/>
    <w:rsid w:val="00026B83"/>
    <w:rsid w:val="00026B8B"/>
    <w:rsid w:val="00026CCB"/>
    <w:rsid w:val="00026CED"/>
    <w:rsid w:val="00026E37"/>
    <w:rsid w:val="00026EB9"/>
    <w:rsid w:val="000270CB"/>
    <w:rsid w:val="000271B9"/>
    <w:rsid w:val="000271BD"/>
    <w:rsid w:val="00027290"/>
    <w:rsid w:val="000272A7"/>
    <w:rsid w:val="0002743F"/>
    <w:rsid w:val="00027622"/>
    <w:rsid w:val="000276DA"/>
    <w:rsid w:val="000277CE"/>
    <w:rsid w:val="0002782F"/>
    <w:rsid w:val="00027A33"/>
    <w:rsid w:val="00027A38"/>
    <w:rsid w:val="00027AD1"/>
    <w:rsid w:val="00027B53"/>
    <w:rsid w:val="00027C5C"/>
    <w:rsid w:val="00027D68"/>
    <w:rsid w:val="00027DF8"/>
    <w:rsid w:val="00030003"/>
    <w:rsid w:val="0003000F"/>
    <w:rsid w:val="00030097"/>
    <w:rsid w:val="000302D3"/>
    <w:rsid w:val="00030367"/>
    <w:rsid w:val="000303AF"/>
    <w:rsid w:val="0003043F"/>
    <w:rsid w:val="0003049B"/>
    <w:rsid w:val="000304B6"/>
    <w:rsid w:val="00030568"/>
    <w:rsid w:val="00030585"/>
    <w:rsid w:val="000305DA"/>
    <w:rsid w:val="000305EC"/>
    <w:rsid w:val="000306EE"/>
    <w:rsid w:val="0003082F"/>
    <w:rsid w:val="00030A07"/>
    <w:rsid w:val="00030B31"/>
    <w:rsid w:val="00030B69"/>
    <w:rsid w:val="00030BE2"/>
    <w:rsid w:val="00030C14"/>
    <w:rsid w:val="00030CAE"/>
    <w:rsid w:val="00030D32"/>
    <w:rsid w:val="00030E40"/>
    <w:rsid w:val="00030E50"/>
    <w:rsid w:val="00030E9D"/>
    <w:rsid w:val="00030F3F"/>
    <w:rsid w:val="0003100F"/>
    <w:rsid w:val="00031062"/>
    <w:rsid w:val="000311C2"/>
    <w:rsid w:val="00031238"/>
    <w:rsid w:val="00031296"/>
    <w:rsid w:val="00031301"/>
    <w:rsid w:val="00031340"/>
    <w:rsid w:val="000313C4"/>
    <w:rsid w:val="000314B0"/>
    <w:rsid w:val="000314DD"/>
    <w:rsid w:val="00031541"/>
    <w:rsid w:val="000316FD"/>
    <w:rsid w:val="00031757"/>
    <w:rsid w:val="00031887"/>
    <w:rsid w:val="00031991"/>
    <w:rsid w:val="00031BE1"/>
    <w:rsid w:val="00031CCF"/>
    <w:rsid w:val="00031D8C"/>
    <w:rsid w:val="00031E28"/>
    <w:rsid w:val="00031EAB"/>
    <w:rsid w:val="00031F24"/>
    <w:rsid w:val="0003208A"/>
    <w:rsid w:val="000320D2"/>
    <w:rsid w:val="000322BF"/>
    <w:rsid w:val="00032373"/>
    <w:rsid w:val="000323A0"/>
    <w:rsid w:val="000323D1"/>
    <w:rsid w:val="000323D7"/>
    <w:rsid w:val="00032481"/>
    <w:rsid w:val="000325EF"/>
    <w:rsid w:val="000326A7"/>
    <w:rsid w:val="0003271B"/>
    <w:rsid w:val="00032782"/>
    <w:rsid w:val="00032835"/>
    <w:rsid w:val="000328AE"/>
    <w:rsid w:val="00032950"/>
    <w:rsid w:val="00032A5C"/>
    <w:rsid w:val="00032BE2"/>
    <w:rsid w:val="00032C02"/>
    <w:rsid w:val="00032D1D"/>
    <w:rsid w:val="00032D91"/>
    <w:rsid w:val="00032ED3"/>
    <w:rsid w:val="00032F25"/>
    <w:rsid w:val="00032F3B"/>
    <w:rsid w:val="00032F47"/>
    <w:rsid w:val="00032F9C"/>
    <w:rsid w:val="00033041"/>
    <w:rsid w:val="0003305D"/>
    <w:rsid w:val="00033135"/>
    <w:rsid w:val="0003318D"/>
    <w:rsid w:val="000331FD"/>
    <w:rsid w:val="000332B1"/>
    <w:rsid w:val="0003335B"/>
    <w:rsid w:val="000333B0"/>
    <w:rsid w:val="00033594"/>
    <w:rsid w:val="000336A8"/>
    <w:rsid w:val="0003387E"/>
    <w:rsid w:val="00033956"/>
    <w:rsid w:val="00033995"/>
    <w:rsid w:val="00033ABA"/>
    <w:rsid w:val="00033C49"/>
    <w:rsid w:val="00033C7F"/>
    <w:rsid w:val="00033D7B"/>
    <w:rsid w:val="00033EAB"/>
    <w:rsid w:val="00033EB1"/>
    <w:rsid w:val="00033F50"/>
    <w:rsid w:val="0003424F"/>
    <w:rsid w:val="000342D0"/>
    <w:rsid w:val="00034342"/>
    <w:rsid w:val="0003436F"/>
    <w:rsid w:val="000343C6"/>
    <w:rsid w:val="00034602"/>
    <w:rsid w:val="00034615"/>
    <w:rsid w:val="0003461F"/>
    <w:rsid w:val="00034629"/>
    <w:rsid w:val="000346EA"/>
    <w:rsid w:val="000347AE"/>
    <w:rsid w:val="00034840"/>
    <w:rsid w:val="000348AD"/>
    <w:rsid w:val="000348C2"/>
    <w:rsid w:val="00034BE7"/>
    <w:rsid w:val="00034C2B"/>
    <w:rsid w:val="00034CD6"/>
    <w:rsid w:val="00034D55"/>
    <w:rsid w:val="00034D97"/>
    <w:rsid w:val="00034E82"/>
    <w:rsid w:val="00034F65"/>
    <w:rsid w:val="00034FAE"/>
    <w:rsid w:val="000350C6"/>
    <w:rsid w:val="00035383"/>
    <w:rsid w:val="0003553F"/>
    <w:rsid w:val="00035586"/>
    <w:rsid w:val="0003560F"/>
    <w:rsid w:val="00035628"/>
    <w:rsid w:val="000357A9"/>
    <w:rsid w:val="00035812"/>
    <w:rsid w:val="0003582E"/>
    <w:rsid w:val="0003598E"/>
    <w:rsid w:val="0003598F"/>
    <w:rsid w:val="00035B08"/>
    <w:rsid w:val="00035B14"/>
    <w:rsid w:val="00035BDB"/>
    <w:rsid w:val="00035D29"/>
    <w:rsid w:val="00035D8D"/>
    <w:rsid w:val="00035E8E"/>
    <w:rsid w:val="00035FCE"/>
    <w:rsid w:val="00036276"/>
    <w:rsid w:val="000362FC"/>
    <w:rsid w:val="000364F9"/>
    <w:rsid w:val="00036581"/>
    <w:rsid w:val="000365E0"/>
    <w:rsid w:val="00036643"/>
    <w:rsid w:val="00036646"/>
    <w:rsid w:val="0003680C"/>
    <w:rsid w:val="00036951"/>
    <w:rsid w:val="000369F0"/>
    <w:rsid w:val="00036A6E"/>
    <w:rsid w:val="00036B1A"/>
    <w:rsid w:val="00036B5E"/>
    <w:rsid w:val="00036BAE"/>
    <w:rsid w:val="00036D15"/>
    <w:rsid w:val="00036D95"/>
    <w:rsid w:val="00036E3B"/>
    <w:rsid w:val="00036E63"/>
    <w:rsid w:val="00036EB5"/>
    <w:rsid w:val="000370F0"/>
    <w:rsid w:val="00037148"/>
    <w:rsid w:val="00037260"/>
    <w:rsid w:val="00037286"/>
    <w:rsid w:val="00037380"/>
    <w:rsid w:val="00037449"/>
    <w:rsid w:val="0003748B"/>
    <w:rsid w:val="0003760E"/>
    <w:rsid w:val="000376BE"/>
    <w:rsid w:val="000376F8"/>
    <w:rsid w:val="000378D6"/>
    <w:rsid w:val="000379EB"/>
    <w:rsid w:val="00037A8D"/>
    <w:rsid w:val="00037AA9"/>
    <w:rsid w:val="00037B16"/>
    <w:rsid w:val="00037CAD"/>
    <w:rsid w:val="00037D27"/>
    <w:rsid w:val="00037D70"/>
    <w:rsid w:val="00037DF1"/>
    <w:rsid w:val="00037EED"/>
    <w:rsid w:val="00037F96"/>
    <w:rsid w:val="00040099"/>
    <w:rsid w:val="00040160"/>
    <w:rsid w:val="000401FC"/>
    <w:rsid w:val="0004020B"/>
    <w:rsid w:val="0004032D"/>
    <w:rsid w:val="0004034A"/>
    <w:rsid w:val="000403D8"/>
    <w:rsid w:val="00040519"/>
    <w:rsid w:val="00040581"/>
    <w:rsid w:val="00040735"/>
    <w:rsid w:val="000407F8"/>
    <w:rsid w:val="00040941"/>
    <w:rsid w:val="00040993"/>
    <w:rsid w:val="00040A75"/>
    <w:rsid w:val="00040B85"/>
    <w:rsid w:val="00040CA1"/>
    <w:rsid w:val="00040CBE"/>
    <w:rsid w:val="00040E2A"/>
    <w:rsid w:val="00040E5B"/>
    <w:rsid w:val="00040F19"/>
    <w:rsid w:val="00040F3F"/>
    <w:rsid w:val="00041124"/>
    <w:rsid w:val="0004118D"/>
    <w:rsid w:val="000411C7"/>
    <w:rsid w:val="0004137A"/>
    <w:rsid w:val="00041395"/>
    <w:rsid w:val="0004139B"/>
    <w:rsid w:val="000413A1"/>
    <w:rsid w:val="0004154D"/>
    <w:rsid w:val="000415E2"/>
    <w:rsid w:val="00041660"/>
    <w:rsid w:val="000418DB"/>
    <w:rsid w:val="0004199D"/>
    <w:rsid w:val="000419A4"/>
    <w:rsid w:val="000419A7"/>
    <w:rsid w:val="00041B2B"/>
    <w:rsid w:val="00041B6F"/>
    <w:rsid w:val="00041BE1"/>
    <w:rsid w:val="00041C28"/>
    <w:rsid w:val="00041E90"/>
    <w:rsid w:val="00042024"/>
    <w:rsid w:val="0004203E"/>
    <w:rsid w:val="00042071"/>
    <w:rsid w:val="000420C9"/>
    <w:rsid w:val="000420FF"/>
    <w:rsid w:val="000422AF"/>
    <w:rsid w:val="0004233F"/>
    <w:rsid w:val="000424B8"/>
    <w:rsid w:val="000426CA"/>
    <w:rsid w:val="000428CB"/>
    <w:rsid w:val="000428F6"/>
    <w:rsid w:val="00042A14"/>
    <w:rsid w:val="00042B31"/>
    <w:rsid w:val="00042B79"/>
    <w:rsid w:val="00042BB9"/>
    <w:rsid w:val="00042C21"/>
    <w:rsid w:val="00042CA2"/>
    <w:rsid w:val="00042DB5"/>
    <w:rsid w:val="00042EC2"/>
    <w:rsid w:val="00042EC4"/>
    <w:rsid w:val="00042FAF"/>
    <w:rsid w:val="00043038"/>
    <w:rsid w:val="000430F6"/>
    <w:rsid w:val="0004316F"/>
    <w:rsid w:val="000431AE"/>
    <w:rsid w:val="000433B1"/>
    <w:rsid w:val="000434EA"/>
    <w:rsid w:val="00043592"/>
    <w:rsid w:val="00043706"/>
    <w:rsid w:val="0004370E"/>
    <w:rsid w:val="00043730"/>
    <w:rsid w:val="00043811"/>
    <w:rsid w:val="00043836"/>
    <w:rsid w:val="00043AC3"/>
    <w:rsid w:val="00043B2F"/>
    <w:rsid w:val="00043B73"/>
    <w:rsid w:val="00043BC1"/>
    <w:rsid w:val="00043C57"/>
    <w:rsid w:val="00043E21"/>
    <w:rsid w:val="00043E68"/>
    <w:rsid w:val="00043F3D"/>
    <w:rsid w:val="00043FEA"/>
    <w:rsid w:val="00044000"/>
    <w:rsid w:val="00044081"/>
    <w:rsid w:val="0004412B"/>
    <w:rsid w:val="000441AD"/>
    <w:rsid w:val="00044209"/>
    <w:rsid w:val="000444BF"/>
    <w:rsid w:val="0004450C"/>
    <w:rsid w:val="0004451C"/>
    <w:rsid w:val="00044526"/>
    <w:rsid w:val="0004453A"/>
    <w:rsid w:val="000445A3"/>
    <w:rsid w:val="0004463F"/>
    <w:rsid w:val="000446BE"/>
    <w:rsid w:val="000447D6"/>
    <w:rsid w:val="000448C2"/>
    <w:rsid w:val="0004497E"/>
    <w:rsid w:val="000449E0"/>
    <w:rsid w:val="00044A81"/>
    <w:rsid w:val="00044A92"/>
    <w:rsid w:val="00044B8F"/>
    <w:rsid w:val="00044BB2"/>
    <w:rsid w:val="00044C51"/>
    <w:rsid w:val="00044D9D"/>
    <w:rsid w:val="00044E2C"/>
    <w:rsid w:val="00044E7A"/>
    <w:rsid w:val="00044F03"/>
    <w:rsid w:val="00045017"/>
    <w:rsid w:val="00045024"/>
    <w:rsid w:val="00045243"/>
    <w:rsid w:val="000453B7"/>
    <w:rsid w:val="00045460"/>
    <w:rsid w:val="000454D1"/>
    <w:rsid w:val="00045559"/>
    <w:rsid w:val="00045562"/>
    <w:rsid w:val="00045589"/>
    <w:rsid w:val="000457D6"/>
    <w:rsid w:val="00045828"/>
    <w:rsid w:val="00045979"/>
    <w:rsid w:val="00045A57"/>
    <w:rsid w:val="00045A73"/>
    <w:rsid w:val="00045AA7"/>
    <w:rsid w:val="00045B2F"/>
    <w:rsid w:val="00045B5E"/>
    <w:rsid w:val="00045BF2"/>
    <w:rsid w:val="00045CBB"/>
    <w:rsid w:val="00045D24"/>
    <w:rsid w:val="00045D6B"/>
    <w:rsid w:val="00045DCD"/>
    <w:rsid w:val="00045EAF"/>
    <w:rsid w:val="00045F78"/>
    <w:rsid w:val="00045FED"/>
    <w:rsid w:val="00046042"/>
    <w:rsid w:val="0004638B"/>
    <w:rsid w:val="000463B1"/>
    <w:rsid w:val="000463DA"/>
    <w:rsid w:val="00046430"/>
    <w:rsid w:val="0004645C"/>
    <w:rsid w:val="00046526"/>
    <w:rsid w:val="000465CA"/>
    <w:rsid w:val="000467E6"/>
    <w:rsid w:val="00046812"/>
    <w:rsid w:val="00046870"/>
    <w:rsid w:val="000468ED"/>
    <w:rsid w:val="00046904"/>
    <w:rsid w:val="00046963"/>
    <w:rsid w:val="0004696B"/>
    <w:rsid w:val="000469D1"/>
    <w:rsid w:val="000469FD"/>
    <w:rsid w:val="00046B99"/>
    <w:rsid w:val="00046F51"/>
    <w:rsid w:val="0004706F"/>
    <w:rsid w:val="00047073"/>
    <w:rsid w:val="00047185"/>
    <w:rsid w:val="00047198"/>
    <w:rsid w:val="000471CF"/>
    <w:rsid w:val="00047257"/>
    <w:rsid w:val="00047269"/>
    <w:rsid w:val="0004737C"/>
    <w:rsid w:val="000474D7"/>
    <w:rsid w:val="000474DC"/>
    <w:rsid w:val="00047610"/>
    <w:rsid w:val="000476A6"/>
    <w:rsid w:val="0004772D"/>
    <w:rsid w:val="00047829"/>
    <w:rsid w:val="00047A0A"/>
    <w:rsid w:val="00047CF7"/>
    <w:rsid w:val="00047D04"/>
    <w:rsid w:val="00047E8B"/>
    <w:rsid w:val="0005007B"/>
    <w:rsid w:val="0005012F"/>
    <w:rsid w:val="000501A4"/>
    <w:rsid w:val="00050329"/>
    <w:rsid w:val="00050387"/>
    <w:rsid w:val="000503FB"/>
    <w:rsid w:val="00050405"/>
    <w:rsid w:val="00050597"/>
    <w:rsid w:val="000505FA"/>
    <w:rsid w:val="000506E5"/>
    <w:rsid w:val="000506F5"/>
    <w:rsid w:val="000507A1"/>
    <w:rsid w:val="0005093F"/>
    <w:rsid w:val="00050A99"/>
    <w:rsid w:val="00050B60"/>
    <w:rsid w:val="00050B61"/>
    <w:rsid w:val="00050B79"/>
    <w:rsid w:val="00050E2B"/>
    <w:rsid w:val="000510E0"/>
    <w:rsid w:val="0005116F"/>
    <w:rsid w:val="00051176"/>
    <w:rsid w:val="0005120B"/>
    <w:rsid w:val="0005135B"/>
    <w:rsid w:val="00051404"/>
    <w:rsid w:val="00051410"/>
    <w:rsid w:val="0005147F"/>
    <w:rsid w:val="0005150A"/>
    <w:rsid w:val="0005163C"/>
    <w:rsid w:val="00051692"/>
    <w:rsid w:val="0005181A"/>
    <w:rsid w:val="0005193A"/>
    <w:rsid w:val="00051976"/>
    <w:rsid w:val="0005199E"/>
    <w:rsid w:val="000519C3"/>
    <w:rsid w:val="00051AA8"/>
    <w:rsid w:val="00051AAF"/>
    <w:rsid w:val="00051BAA"/>
    <w:rsid w:val="00051DA4"/>
    <w:rsid w:val="00051DE5"/>
    <w:rsid w:val="00051E41"/>
    <w:rsid w:val="00051F98"/>
    <w:rsid w:val="00052145"/>
    <w:rsid w:val="00052146"/>
    <w:rsid w:val="000522F7"/>
    <w:rsid w:val="000523F6"/>
    <w:rsid w:val="0005261A"/>
    <w:rsid w:val="00052631"/>
    <w:rsid w:val="000527A1"/>
    <w:rsid w:val="000527F8"/>
    <w:rsid w:val="0005281C"/>
    <w:rsid w:val="000528F3"/>
    <w:rsid w:val="00052BE2"/>
    <w:rsid w:val="00052C37"/>
    <w:rsid w:val="00052CDE"/>
    <w:rsid w:val="00052CE5"/>
    <w:rsid w:val="00052EBD"/>
    <w:rsid w:val="00053060"/>
    <w:rsid w:val="00053183"/>
    <w:rsid w:val="00053194"/>
    <w:rsid w:val="00053232"/>
    <w:rsid w:val="0005323F"/>
    <w:rsid w:val="000532A8"/>
    <w:rsid w:val="000532CA"/>
    <w:rsid w:val="000532F2"/>
    <w:rsid w:val="00053373"/>
    <w:rsid w:val="0005348D"/>
    <w:rsid w:val="000534C5"/>
    <w:rsid w:val="000534FE"/>
    <w:rsid w:val="00053766"/>
    <w:rsid w:val="0005381D"/>
    <w:rsid w:val="000539D4"/>
    <w:rsid w:val="00053A5F"/>
    <w:rsid w:val="00053AED"/>
    <w:rsid w:val="00053C5E"/>
    <w:rsid w:val="00053CFE"/>
    <w:rsid w:val="00053DD9"/>
    <w:rsid w:val="00053E30"/>
    <w:rsid w:val="000540C3"/>
    <w:rsid w:val="000541D0"/>
    <w:rsid w:val="0005424B"/>
    <w:rsid w:val="0005431A"/>
    <w:rsid w:val="000543D0"/>
    <w:rsid w:val="00054517"/>
    <w:rsid w:val="00054523"/>
    <w:rsid w:val="000545FC"/>
    <w:rsid w:val="0005462E"/>
    <w:rsid w:val="0005472F"/>
    <w:rsid w:val="0005474C"/>
    <w:rsid w:val="0005478E"/>
    <w:rsid w:val="00054797"/>
    <w:rsid w:val="00054869"/>
    <w:rsid w:val="0005493F"/>
    <w:rsid w:val="00054958"/>
    <w:rsid w:val="00054960"/>
    <w:rsid w:val="00054A32"/>
    <w:rsid w:val="00054A44"/>
    <w:rsid w:val="00054A9E"/>
    <w:rsid w:val="00054B0B"/>
    <w:rsid w:val="00054B96"/>
    <w:rsid w:val="00054C2D"/>
    <w:rsid w:val="00054C8C"/>
    <w:rsid w:val="00054D62"/>
    <w:rsid w:val="00054D7A"/>
    <w:rsid w:val="00054DC5"/>
    <w:rsid w:val="00054E99"/>
    <w:rsid w:val="00054EF3"/>
    <w:rsid w:val="00054FE6"/>
    <w:rsid w:val="000550A6"/>
    <w:rsid w:val="00055220"/>
    <w:rsid w:val="00055244"/>
    <w:rsid w:val="000552B6"/>
    <w:rsid w:val="0005537A"/>
    <w:rsid w:val="000553B1"/>
    <w:rsid w:val="0005540C"/>
    <w:rsid w:val="000556DE"/>
    <w:rsid w:val="000556F3"/>
    <w:rsid w:val="000556FD"/>
    <w:rsid w:val="000557E7"/>
    <w:rsid w:val="000558C9"/>
    <w:rsid w:val="0005591C"/>
    <w:rsid w:val="0005593E"/>
    <w:rsid w:val="000559A5"/>
    <w:rsid w:val="00055BC8"/>
    <w:rsid w:val="00055BCA"/>
    <w:rsid w:val="00055D50"/>
    <w:rsid w:val="00055DD6"/>
    <w:rsid w:val="00055F5B"/>
    <w:rsid w:val="00055F71"/>
    <w:rsid w:val="00055F7D"/>
    <w:rsid w:val="00055FCE"/>
    <w:rsid w:val="00056106"/>
    <w:rsid w:val="00056210"/>
    <w:rsid w:val="0005623F"/>
    <w:rsid w:val="000563A2"/>
    <w:rsid w:val="000563A6"/>
    <w:rsid w:val="000563F6"/>
    <w:rsid w:val="000565BD"/>
    <w:rsid w:val="000565CA"/>
    <w:rsid w:val="00056670"/>
    <w:rsid w:val="000566E2"/>
    <w:rsid w:val="000566E5"/>
    <w:rsid w:val="000567E7"/>
    <w:rsid w:val="00056904"/>
    <w:rsid w:val="00056912"/>
    <w:rsid w:val="0005692E"/>
    <w:rsid w:val="00056A0E"/>
    <w:rsid w:val="00056AFF"/>
    <w:rsid w:val="00056B13"/>
    <w:rsid w:val="00056B40"/>
    <w:rsid w:val="00056D32"/>
    <w:rsid w:val="00056DB5"/>
    <w:rsid w:val="00056E3F"/>
    <w:rsid w:val="00056E70"/>
    <w:rsid w:val="00056F1A"/>
    <w:rsid w:val="00056F39"/>
    <w:rsid w:val="00056F49"/>
    <w:rsid w:val="00056F82"/>
    <w:rsid w:val="00057055"/>
    <w:rsid w:val="000570F7"/>
    <w:rsid w:val="000571B9"/>
    <w:rsid w:val="00057205"/>
    <w:rsid w:val="00057280"/>
    <w:rsid w:val="00057402"/>
    <w:rsid w:val="00057417"/>
    <w:rsid w:val="00057584"/>
    <w:rsid w:val="000575B1"/>
    <w:rsid w:val="000576AA"/>
    <w:rsid w:val="000577D7"/>
    <w:rsid w:val="0005783C"/>
    <w:rsid w:val="00057A3F"/>
    <w:rsid w:val="00057AB1"/>
    <w:rsid w:val="00057AEE"/>
    <w:rsid w:val="00057B31"/>
    <w:rsid w:val="00057C96"/>
    <w:rsid w:val="00057CA7"/>
    <w:rsid w:val="00057E3B"/>
    <w:rsid w:val="00057E66"/>
    <w:rsid w:val="00057E8D"/>
    <w:rsid w:val="00057F1A"/>
    <w:rsid w:val="00057F7E"/>
    <w:rsid w:val="00060001"/>
    <w:rsid w:val="0006011F"/>
    <w:rsid w:val="00060131"/>
    <w:rsid w:val="00060156"/>
    <w:rsid w:val="000604D7"/>
    <w:rsid w:val="000604F7"/>
    <w:rsid w:val="0006069C"/>
    <w:rsid w:val="00060736"/>
    <w:rsid w:val="00060741"/>
    <w:rsid w:val="00060760"/>
    <w:rsid w:val="0006078C"/>
    <w:rsid w:val="000607CB"/>
    <w:rsid w:val="000608A4"/>
    <w:rsid w:val="00060969"/>
    <w:rsid w:val="0006097F"/>
    <w:rsid w:val="000609AF"/>
    <w:rsid w:val="00060A80"/>
    <w:rsid w:val="00060AA5"/>
    <w:rsid w:val="00060AD8"/>
    <w:rsid w:val="00060AF1"/>
    <w:rsid w:val="00060C67"/>
    <w:rsid w:val="00060DAC"/>
    <w:rsid w:val="00060E37"/>
    <w:rsid w:val="00060FB4"/>
    <w:rsid w:val="00061051"/>
    <w:rsid w:val="000610F8"/>
    <w:rsid w:val="00061399"/>
    <w:rsid w:val="0006146B"/>
    <w:rsid w:val="000617D7"/>
    <w:rsid w:val="00061821"/>
    <w:rsid w:val="0006184E"/>
    <w:rsid w:val="0006193A"/>
    <w:rsid w:val="000619D1"/>
    <w:rsid w:val="00061A45"/>
    <w:rsid w:val="00061AAC"/>
    <w:rsid w:val="00061ADB"/>
    <w:rsid w:val="00061B01"/>
    <w:rsid w:val="00061B03"/>
    <w:rsid w:val="00061B8A"/>
    <w:rsid w:val="00061C95"/>
    <w:rsid w:val="00061DF2"/>
    <w:rsid w:val="00061EC0"/>
    <w:rsid w:val="0006212B"/>
    <w:rsid w:val="00062170"/>
    <w:rsid w:val="000621A4"/>
    <w:rsid w:val="000621D2"/>
    <w:rsid w:val="00062285"/>
    <w:rsid w:val="000622C6"/>
    <w:rsid w:val="000622DA"/>
    <w:rsid w:val="00062321"/>
    <w:rsid w:val="0006248F"/>
    <w:rsid w:val="0006251D"/>
    <w:rsid w:val="0006253B"/>
    <w:rsid w:val="000626FA"/>
    <w:rsid w:val="0006271C"/>
    <w:rsid w:val="0006273B"/>
    <w:rsid w:val="00062782"/>
    <w:rsid w:val="000627A9"/>
    <w:rsid w:val="000628C0"/>
    <w:rsid w:val="00062B31"/>
    <w:rsid w:val="00062B34"/>
    <w:rsid w:val="00062BC1"/>
    <w:rsid w:val="00062C42"/>
    <w:rsid w:val="00062D27"/>
    <w:rsid w:val="00062DE3"/>
    <w:rsid w:val="00062E8C"/>
    <w:rsid w:val="00062FC9"/>
    <w:rsid w:val="00063014"/>
    <w:rsid w:val="0006303D"/>
    <w:rsid w:val="00063431"/>
    <w:rsid w:val="00063454"/>
    <w:rsid w:val="00063461"/>
    <w:rsid w:val="00063540"/>
    <w:rsid w:val="000635BE"/>
    <w:rsid w:val="00063603"/>
    <w:rsid w:val="00063699"/>
    <w:rsid w:val="00063717"/>
    <w:rsid w:val="000638A5"/>
    <w:rsid w:val="00063945"/>
    <w:rsid w:val="00063B74"/>
    <w:rsid w:val="00063BE2"/>
    <w:rsid w:val="00063C11"/>
    <w:rsid w:val="00063C13"/>
    <w:rsid w:val="00063E19"/>
    <w:rsid w:val="00063E28"/>
    <w:rsid w:val="00063F1D"/>
    <w:rsid w:val="000640EC"/>
    <w:rsid w:val="00064200"/>
    <w:rsid w:val="00064294"/>
    <w:rsid w:val="00064355"/>
    <w:rsid w:val="000643CF"/>
    <w:rsid w:val="000644D4"/>
    <w:rsid w:val="000644E5"/>
    <w:rsid w:val="000645CE"/>
    <w:rsid w:val="000646B3"/>
    <w:rsid w:val="000646FB"/>
    <w:rsid w:val="000648A8"/>
    <w:rsid w:val="00064935"/>
    <w:rsid w:val="0006497E"/>
    <w:rsid w:val="00064A70"/>
    <w:rsid w:val="00064B7E"/>
    <w:rsid w:val="00064C0D"/>
    <w:rsid w:val="00064E22"/>
    <w:rsid w:val="00064F18"/>
    <w:rsid w:val="00065101"/>
    <w:rsid w:val="00065117"/>
    <w:rsid w:val="00065260"/>
    <w:rsid w:val="0006534F"/>
    <w:rsid w:val="000653BD"/>
    <w:rsid w:val="000653DA"/>
    <w:rsid w:val="000654E3"/>
    <w:rsid w:val="0006566B"/>
    <w:rsid w:val="00065832"/>
    <w:rsid w:val="000658E8"/>
    <w:rsid w:val="0006592E"/>
    <w:rsid w:val="00065A24"/>
    <w:rsid w:val="00065A81"/>
    <w:rsid w:val="00065AC2"/>
    <w:rsid w:val="00065C2B"/>
    <w:rsid w:val="00065CC7"/>
    <w:rsid w:val="00065CDB"/>
    <w:rsid w:val="00065D5F"/>
    <w:rsid w:val="00065E00"/>
    <w:rsid w:val="00065E2A"/>
    <w:rsid w:val="00065F8F"/>
    <w:rsid w:val="00066176"/>
    <w:rsid w:val="000661D1"/>
    <w:rsid w:val="00066265"/>
    <w:rsid w:val="000662DD"/>
    <w:rsid w:val="00066343"/>
    <w:rsid w:val="00066528"/>
    <w:rsid w:val="000665C4"/>
    <w:rsid w:val="000667CE"/>
    <w:rsid w:val="000667D5"/>
    <w:rsid w:val="000667ED"/>
    <w:rsid w:val="000668A4"/>
    <w:rsid w:val="00066907"/>
    <w:rsid w:val="00066933"/>
    <w:rsid w:val="00066AF7"/>
    <w:rsid w:val="00066BD4"/>
    <w:rsid w:val="00066BD6"/>
    <w:rsid w:val="00066C2F"/>
    <w:rsid w:val="00066D52"/>
    <w:rsid w:val="00066DA8"/>
    <w:rsid w:val="00066DD2"/>
    <w:rsid w:val="00066EC5"/>
    <w:rsid w:val="00067104"/>
    <w:rsid w:val="0006711F"/>
    <w:rsid w:val="000671CE"/>
    <w:rsid w:val="000671D8"/>
    <w:rsid w:val="00067266"/>
    <w:rsid w:val="00067287"/>
    <w:rsid w:val="0006728B"/>
    <w:rsid w:val="00067383"/>
    <w:rsid w:val="00067618"/>
    <w:rsid w:val="000678D1"/>
    <w:rsid w:val="00067A31"/>
    <w:rsid w:val="00067AD2"/>
    <w:rsid w:val="00067AD8"/>
    <w:rsid w:val="00067C48"/>
    <w:rsid w:val="00067D9D"/>
    <w:rsid w:val="00067DCF"/>
    <w:rsid w:val="00067DD2"/>
    <w:rsid w:val="00067F17"/>
    <w:rsid w:val="00067FF9"/>
    <w:rsid w:val="00070055"/>
    <w:rsid w:val="000700CD"/>
    <w:rsid w:val="00070100"/>
    <w:rsid w:val="00070154"/>
    <w:rsid w:val="00070174"/>
    <w:rsid w:val="00070175"/>
    <w:rsid w:val="00070281"/>
    <w:rsid w:val="000702DC"/>
    <w:rsid w:val="000702FD"/>
    <w:rsid w:val="00070377"/>
    <w:rsid w:val="00070496"/>
    <w:rsid w:val="000704B2"/>
    <w:rsid w:val="00070567"/>
    <w:rsid w:val="000706EB"/>
    <w:rsid w:val="0007074F"/>
    <w:rsid w:val="0007083B"/>
    <w:rsid w:val="0007088E"/>
    <w:rsid w:val="000708C9"/>
    <w:rsid w:val="000708FB"/>
    <w:rsid w:val="0007091A"/>
    <w:rsid w:val="00070951"/>
    <w:rsid w:val="0007095D"/>
    <w:rsid w:val="000709A9"/>
    <w:rsid w:val="000709DE"/>
    <w:rsid w:val="00070A43"/>
    <w:rsid w:val="00070A7C"/>
    <w:rsid w:val="00070AB8"/>
    <w:rsid w:val="00070C3A"/>
    <w:rsid w:val="00070C6B"/>
    <w:rsid w:val="00070CA1"/>
    <w:rsid w:val="00070D01"/>
    <w:rsid w:val="00070D6F"/>
    <w:rsid w:val="00070E1F"/>
    <w:rsid w:val="00070E90"/>
    <w:rsid w:val="00070EAF"/>
    <w:rsid w:val="00070F3D"/>
    <w:rsid w:val="00070F41"/>
    <w:rsid w:val="00070F8B"/>
    <w:rsid w:val="00071000"/>
    <w:rsid w:val="00071034"/>
    <w:rsid w:val="000710AB"/>
    <w:rsid w:val="000710B6"/>
    <w:rsid w:val="0007110C"/>
    <w:rsid w:val="00071338"/>
    <w:rsid w:val="000714B1"/>
    <w:rsid w:val="00071590"/>
    <w:rsid w:val="000715DF"/>
    <w:rsid w:val="00071616"/>
    <w:rsid w:val="00071631"/>
    <w:rsid w:val="00071670"/>
    <w:rsid w:val="0007179F"/>
    <w:rsid w:val="000718AA"/>
    <w:rsid w:val="000718FB"/>
    <w:rsid w:val="0007193F"/>
    <w:rsid w:val="000719BE"/>
    <w:rsid w:val="00071BB8"/>
    <w:rsid w:val="00071C16"/>
    <w:rsid w:val="00071C17"/>
    <w:rsid w:val="00071D94"/>
    <w:rsid w:val="000720CA"/>
    <w:rsid w:val="000720DF"/>
    <w:rsid w:val="00072206"/>
    <w:rsid w:val="00072298"/>
    <w:rsid w:val="00072439"/>
    <w:rsid w:val="0007244A"/>
    <w:rsid w:val="000726EA"/>
    <w:rsid w:val="00072807"/>
    <w:rsid w:val="00072819"/>
    <w:rsid w:val="000729B6"/>
    <w:rsid w:val="000729BF"/>
    <w:rsid w:val="00072A4A"/>
    <w:rsid w:val="00072BB2"/>
    <w:rsid w:val="00072D19"/>
    <w:rsid w:val="00072D7A"/>
    <w:rsid w:val="00072E94"/>
    <w:rsid w:val="00072F75"/>
    <w:rsid w:val="00072F82"/>
    <w:rsid w:val="0007300A"/>
    <w:rsid w:val="00073036"/>
    <w:rsid w:val="000730EA"/>
    <w:rsid w:val="00073145"/>
    <w:rsid w:val="000732A9"/>
    <w:rsid w:val="00073433"/>
    <w:rsid w:val="0007351D"/>
    <w:rsid w:val="000737F4"/>
    <w:rsid w:val="0007387F"/>
    <w:rsid w:val="000738F7"/>
    <w:rsid w:val="000739D9"/>
    <w:rsid w:val="000739FF"/>
    <w:rsid w:val="00073B01"/>
    <w:rsid w:val="00073CF5"/>
    <w:rsid w:val="00073D17"/>
    <w:rsid w:val="00073D3B"/>
    <w:rsid w:val="00073E51"/>
    <w:rsid w:val="00073E67"/>
    <w:rsid w:val="00073EE4"/>
    <w:rsid w:val="00073EF7"/>
    <w:rsid w:val="0007404A"/>
    <w:rsid w:val="00074075"/>
    <w:rsid w:val="00074100"/>
    <w:rsid w:val="0007426D"/>
    <w:rsid w:val="00074302"/>
    <w:rsid w:val="00074507"/>
    <w:rsid w:val="0007455F"/>
    <w:rsid w:val="000745F0"/>
    <w:rsid w:val="00074689"/>
    <w:rsid w:val="0007470B"/>
    <w:rsid w:val="0007473B"/>
    <w:rsid w:val="000747C5"/>
    <w:rsid w:val="000749D2"/>
    <w:rsid w:val="00074AAA"/>
    <w:rsid w:val="00074CB0"/>
    <w:rsid w:val="00074D03"/>
    <w:rsid w:val="00074D8E"/>
    <w:rsid w:val="00074F95"/>
    <w:rsid w:val="00075184"/>
    <w:rsid w:val="00075195"/>
    <w:rsid w:val="00075226"/>
    <w:rsid w:val="000753DC"/>
    <w:rsid w:val="0007542E"/>
    <w:rsid w:val="00075731"/>
    <w:rsid w:val="000757FE"/>
    <w:rsid w:val="0007587B"/>
    <w:rsid w:val="00075924"/>
    <w:rsid w:val="00075B5E"/>
    <w:rsid w:val="00075C1E"/>
    <w:rsid w:val="00075C43"/>
    <w:rsid w:val="00075CD3"/>
    <w:rsid w:val="00075DCD"/>
    <w:rsid w:val="00075F66"/>
    <w:rsid w:val="000760E0"/>
    <w:rsid w:val="00076154"/>
    <w:rsid w:val="00076333"/>
    <w:rsid w:val="0007667B"/>
    <w:rsid w:val="00076BF4"/>
    <w:rsid w:val="00076C48"/>
    <w:rsid w:val="00076C79"/>
    <w:rsid w:val="00076CA5"/>
    <w:rsid w:val="00076E31"/>
    <w:rsid w:val="00076E78"/>
    <w:rsid w:val="00076F29"/>
    <w:rsid w:val="00077078"/>
    <w:rsid w:val="00077187"/>
    <w:rsid w:val="000771FC"/>
    <w:rsid w:val="0007733A"/>
    <w:rsid w:val="00077516"/>
    <w:rsid w:val="0007753F"/>
    <w:rsid w:val="00077540"/>
    <w:rsid w:val="0007757D"/>
    <w:rsid w:val="0007760B"/>
    <w:rsid w:val="00077686"/>
    <w:rsid w:val="000777D9"/>
    <w:rsid w:val="0007784B"/>
    <w:rsid w:val="00077889"/>
    <w:rsid w:val="00077935"/>
    <w:rsid w:val="00077973"/>
    <w:rsid w:val="000779A1"/>
    <w:rsid w:val="000779B4"/>
    <w:rsid w:val="000779C2"/>
    <w:rsid w:val="000779C6"/>
    <w:rsid w:val="00077A10"/>
    <w:rsid w:val="00077A78"/>
    <w:rsid w:val="00077A80"/>
    <w:rsid w:val="00077A88"/>
    <w:rsid w:val="00077B5A"/>
    <w:rsid w:val="00077C87"/>
    <w:rsid w:val="00077CAC"/>
    <w:rsid w:val="00077CE7"/>
    <w:rsid w:val="00077EBF"/>
    <w:rsid w:val="00077F0F"/>
    <w:rsid w:val="00077F5B"/>
    <w:rsid w:val="00077FAA"/>
    <w:rsid w:val="000800A8"/>
    <w:rsid w:val="000800EA"/>
    <w:rsid w:val="0008030B"/>
    <w:rsid w:val="0008033D"/>
    <w:rsid w:val="00080359"/>
    <w:rsid w:val="000803D3"/>
    <w:rsid w:val="00080434"/>
    <w:rsid w:val="00080440"/>
    <w:rsid w:val="00080522"/>
    <w:rsid w:val="00080640"/>
    <w:rsid w:val="00080697"/>
    <w:rsid w:val="000806FB"/>
    <w:rsid w:val="00080752"/>
    <w:rsid w:val="0008080D"/>
    <w:rsid w:val="00080868"/>
    <w:rsid w:val="00080996"/>
    <w:rsid w:val="00080BFC"/>
    <w:rsid w:val="00080C20"/>
    <w:rsid w:val="00080DED"/>
    <w:rsid w:val="00080E34"/>
    <w:rsid w:val="00080EF3"/>
    <w:rsid w:val="00080FB4"/>
    <w:rsid w:val="00080FF0"/>
    <w:rsid w:val="000810C7"/>
    <w:rsid w:val="00081152"/>
    <w:rsid w:val="00081180"/>
    <w:rsid w:val="000812BA"/>
    <w:rsid w:val="000812E3"/>
    <w:rsid w:val="00081409"/>
    <w:rsid w:val="00081419"/>
    <w:rsid w:val="0008141F"/>
    <w:rsid w:val="00081438"/>
    <w:rsid w:val="000815EA"/>
    <w:rsid w:val="0008160C"/>
    <w:rsid w:val="000816DC"/>
    <w:rsid w:val="00081772"/>
    <w:rsid w:val="000817C3"/>
    <w:rsid w:val="000818F1"/>
    <w:rsid w:val="000819F2"/>
    <w:rsid w:val="00081BD3"/>
    <w:rsid w:val="00081C2E"/>
    <w:rsid w:val="00081D86"/>
    <w:rsid w:val="00081D9C"/>
    <w:rsid w:val="00081E67"/>
    <w:rsid w:val="00081EA4"/>
    <w:rsid w:val="00081F2D"/>
    <w:rsid w:val="00081FE5"/>
    <w:rsid w:val="00082193"/>
    <w:rsid w:val="0008225F"/>
    <w:rsid w:val="00082278"/>
    <w:rsid w:val="00082321"/>
    <w:rsid w:val="0008233B"/>
    <w:rsid w:val="00082559"/>
    <w:rsid w:val="000825BD"/>
    <w:rsid w:val="000825F7"/>
    <w:rsid w:val="00082677"/>
    <w:rsid w:val="000826E5"/>
    <w:rsid w:val="00082B6C"/>
    <w:rsid w:val="00082CB5"/>
    <w:rsid w:val="00082CBD"/>
    <w:rsid w:val="00082DA6"/>
    <w:rsid w:val="00082EDF"/>
    <w:rsid w:val="00082F38"/>
    <w:rsid w:val="0008300D"/>
    <w:rsid w:val="00083371"/>
    <w:rsid w:val="00083384"/>
    <w:rsid w:val="000833FF"/>
    <w:rsid w:val="0008342B"/>
    <w:rsid w:val="00083530"/>
    <w:rsid w:val="00083650"/>
    <w:rsid w:val="0008377E"/>
    <w:rsid w:val="00083791"/>
    <w:rsid w:val="00083BA6"/>
    <w:rsid w:val="00083C6E"/>
    <w:rsid w:val="00083D3D"/>
    <w:rsid w:val="00083D90"/>
    <w:rsid w:val="00083DFA"/>
    <w:rsid w:val="00083E30"/>
    <w:rsid w:val="00083E4F"/>
    <w:rsid w:val="00083F55"/>
    <w:rsid w:val="00083F97"/>
    <w:rsid w:val="00083FBC"/>
    <w:rsid w:val="0008401B"/>
    <w:rsid w:val="00084027"/>
    <w:rsid w:val="00084179"/>
    <w:rsid w:val="00084191"/>
    <w:rsid w:val="00084209"/>
    <w:rsid w:val="00084230"/>
    <w:rsid w:val="0008441D"/>
    <w:rsid w:val="00084502"/>
    <w:rsid w:val="000845BF"/>
    <w:rsid w:val="000845D2"/>
    <w:rsid w:val="00084721"/>
    <w:rsid w:val="0008491E"/>
    <w:rsid w:val="00084947"/>
    <w:rsid w:val="00084A8E"/>
    <w:rsid w:val="00084B47"/>
    <w:rsid w:val="00084B6B"/>
    <w:rsid w:val="00084C0D"/>
    <w:rsid w:val="00084C39"/>
    <w:rsid w:val="00084CFE"/>
    <w:rsid w:val="00084D08"/>
    <w:rsid w:val="00084DE8"/>
    <w:rsid w:val="00084E48"/>
    <w:rsid w:val="00084EBD"/>
    <w:rsid w:val="00084F40"/>
    <w:rsid w:val="00084F57"/>
    <w:rsid w:val="00084FC3"/>
    <w:rsid w:val="000851E0"/>
    <w:rsid w:val="00085210"/>
    <w:rsid w:val="000852A8"/>
    <w:rsid w:val="0008532B"/>
    <w:rsid w:val="00085471"/>
    <w:rsid w:val="000854B7"/>
    <w:rsid w:val="000854F5"/>
    <w:rsid w:val="000855FC"/>
    <w:rsid w:val="00085609"/>
    <w:rsid w:val="00085634"/>
    <w:rsid w:val="00085643"/>
    <w:rsid w:val="000856D0"/>
    <w:rsid w:val="00085715"/>
    <w:rsid w:val="00085746"/>
    <w:rsid w:val="00085799"/>
    <w:rsid w:val="0008580A"/>
    <w:rsid w:val="00085848"/>
    <w:rsid w:val="000858CD"/>
    <w:rsid w:val="0008596B"/>
    <w:rsid w:val="00085A7E"/>
    <w:rsid w:val="00085AF4"/>
    <w:rsid w:val="00085AFF"/>
    <w:rsid w:val="00085BC2"/>
    <w:rsid w:val="00085CE0"/>
    <w:rsid w:val="00085E0E"/>
    <w:rsid w:val="00085E6F"/>
    <w:rsid w:val="00085E8F"/>
    <w:rsid w:val="00085F65"/>
    <w:rsid w:val="00085F9C"/>
    <w:rsid w:val="00085FE8"/>
    <w:rsid w:val="00086014"/>
    <w:rsid w:val="00086196"/>
    <w:rsid w:val="0008625C"/>
    <w:rsid w:val="000862C4"/>
    <w:rsid w:val="000863C5"/>
    <w:rsid w:val="00086415"/>
    <w:rsid w:val="0008643D"/>
    <w:rsid w:val="00086805"/>
    <w:rsid w:val="0008686C"/>
    <w:rsid w:val="0008694B"/>
    <w:rsid w:val="000869CE"/>
    <w:rsid w:val="00086DCC"/>
    <w:rsid w:val="00086EEC"/>
    <w:rsid w:val="00086EF1"/>
    <w:rsid w:val="00086FBD"/>
    <w:rsid w:val="0008701E"/>
    <w:rsid w:val="00087050"/>
    <w:rsid w:val="0008735E"/>
    <w:rsid w:val="00087365"/>
    <w:rsid w:val="000873AE"/>
    <w:rsid w:val="000873D1"/>
    <w:rsid w:val="000874B5"/>
    <w:rsid w:val="000875A4"/>
    <w:rsid w:val="0008764D"/>
    <w:rsid w:val="00087673"/>
    <w:rsid w:val="00087677"/>
    <w:rsid w:val="00087736"/>
    <w:rsid w:val="00087839"/>
    <w:rsid w:val="0008791B"/>
    <w:rsid w:val="00087981"/>
    <w:rsid w:val="000879BC"/>
    <w:rsid w:val="000879F4"/>
    <w:rsid w:val="00087A81"/>
    <w:rsid w:val="00087A99"/>
    <w:rsid w:val="00087AAB"/>
    <w:rsid w:val="00087C80"/>
    <w:rsid w:val="00087D18"/>
    <w:rsid w:val="00087E52"/>
    <w:rsid w:val="0009005D"/>
    <w:rsid w:val="00090229"/>
    <w:rsid w:val="0009022E"/>
    <w:rsid w:val="00090327"/>
    <w:rsid w:val="00090339"/>
    <w:rsid w:val="0009068C"/>
    <w:rsid w:val="000906C8"/>
    <w:rsid w:val="0009074E"/>
    <w:rsid w:val="00090912"/>
    <w:rsid w:val="000909A0"/>
    <w:rsid w:val="000909D7"/>
    <w:rsid w:val="00090AA9"/>
    <w:rsid w:val="00090AAB"/>
    <w:rsid w:val="00090AB0"/>
    <w:rsid w:val="00090AC2"/>
    <w:rsid w:val="00090D6C"/>
    <w:rsid w:val="00090E04"/>
    <w:rsid w:val="00090E3E"/>
    <w:rsid w:val="00090F57"/>
    <w:rsid w:val="00090F97"/>
    <w:rsid w:val="00091152"/>
    <w:rsid w:val="0009129D"/>
    <w:rsid w:val="000913B6"/>
    <w:rsid w:val="0009155E"/>
    <w:rsid w:val="000916AF"/>
    <w:rsid w:val="000917AB"/>
    <w:rsid w:val="000917DA"/>
    <w:rsid w:val="00091803"/>
    <w:rsid w:val="00091815"/>
    <w:rsid w:val="000918D5"/>
    <w:rsid w:val="00091A2A"/>
    <w:rsid w:val="00091A40"/>
    <w:rsid w:val="00091B80"/>
    <w:rsid w:val="00091BAA"/>
    <w:rsid w:val="00091BB6"/>
    <w:rsid w:val="00091BF2"/>
    <w:rsid w:val="00091C99"/>
    <w:rsid w:val="00091D04"/>
    <w:rsid w:val="00091E0F"/>
    <w:rsid w:val="00091EEB"/>
    <w:rsid w:val="00091F2E"/>
    <w:rsid w:val="00091F41"/>
    <w:rsid w:val="0009201C"/>
    <w:rsid w:val="00092083"/>
    <w:rsid w:val="000920C3"/>
    <w:rsid w:val="00092263"/>
    <w:rsid w:val="00092277"/>
    <w:rsid w:val="00092287"/>
    <w:rsid w:val="000922D3"/>
    <w:rsid w:val="00092315"/>
    <w:rsid w:val="0009233C"/>
    <w:rsid w:val="00092413"/>
    <w:rsid w:val="0009246F"/>
    <w:rsid w:val="0009253D"/>
    <w:rsid w:val="0009260A"/>
    <w:rsid w:val="00092669"/>
    <w:rsid w:val="000926AE"/>
    <w:rsid w:val="000926DD"/>
    <w:rsid w:val="00092914"/>
    <w:rsid w:val="0009292D"/>
    <w:rsid w:val="00092C2A"/>
    <w:rsid w:val="00092C52"/>
    <w:rsid w:val="00092C5C"/>
    <w:rsid w:val="00092D6E"/>
    <w:rsid w:val="00092DDA"/>
    <w:rsid w:val="00092F3A"/>
    <w:rsid w:val="00092FDC"/>
    <w:rsid w:val="0009307E"/>
    <w:rsid w:val="0009309B"/>
    <w:rsid w:val="00093176"/>
    <w:rsid w:val="000931BF"/>
    <w:rsid w:val="0009324B"/>
    <w:rsid w:val="00093341"/>
    <w:rsid w:val="000933FE"/>
    <w:rsid w:val="00093466"/>
    <w:rsid w:val="00093552"/>
    <w:rsid w:val="00093693"/>
    <w:rsid w:val="00093769"/>
    <w:rsid w:val="0009385F"/>
    <w:rsid w:val="00093928"/>
    <w:rsid w:val="000939D7"/>
    <w:rsid w:val="000939F3"/>
    <w:rsid w:val="00093BCD"/>
    <w:rsid w:val="00093C69"/>
    <w:rsid w:val="00093F71"/>
    <w:rsid w:val="00093FAD"/>
    <w:rsid w:val="00093FF8"/>
    <w:rsid w:val="000940D1"/>
    <w:rsid w:val="000941D4"/>
    <w:rsid w:val="00094217"/>
    <w:rsid w:val="0009429E"/>
    <w:rsid w:val="000942CB"/>
    <w:rsid w:val="00094300"/>
    <w:rsid w:val="000943A9"/>
    <w:rsid w:val="000943AB"/>
    <w:rsid w:val="000943B3"/>
    <w:rsid w:val="0009440D"/>
    <w:rsid w:val="00094410"/>
    <w:rsid w:val="0009443A"/>
    <w:rsid w:val="00094538"/>
    <w:rsid w:val="000945DB"/>
    <w:rsid w:val="0009464B"/>
    <w:rsid w:val="00094661"/>
    <w:rsid w:val="00094739"/>
    <w:rsid w:val="0009479E"/>
    <w:rsid w:val="000947CD"/>
    <w:rsid w:val="000949BF"/>
    <w:rsid w:val="00094A50"/>
    <w:rsid w:val="00094ABE"/>
    <w:rsid w:val="00094B1C"/>
    <w:rsid w:val="00094B2B"/>
    <w:rsid w:val="00094B52"/>
    <w:rsid w:val="00094D45"/>
    <w:rsid w:val="00094DD0"/>
    <w:rsid w:val="00095024"/>
    <w:rsid w:val="0009502B"/>
    <w:rsid w:val="0009513D"/>
    <w:rsid w:val="000951AA"/>
    <w:rsid w:val="00095371"/>
    <w:rsid w:val="000953BE"/>
    <w:rsid w:val="000953CD"/>
    <w:rsid w:val="00095469"/>
    <w:rsid w:val="00095470"/>
    <w:rsid w:val="000954BD"/>
    <w:rsid w:val="000954D4"/>
    <w:rsid w:val="00095569"/>
    <w:rsid w:val="00095603"/>
    <w:rsid w:val="0009563F"/>
    <w:rsid w:val="0009574F"/>
    <w:rsid w:val="00095894"/>
    <w:rsid w:val="0009590D"/>
    <w:rsid w:val="0009592F"/>
    <w:rsid w:val="00095A4B"/>
    <w:rsid w:val="00095AA2"/>
    <w:rsid w:val="00095C81"/>
    <w:rsid w:val="00095CFC"/>
    <w:rsid w:val="00095D76"/>
    <w:rsid w:val="00095E17"/>
    <w:rsid w:val="00095E26"/>
    <w:rsid w:val="00095F16"/>
    <w:rsid w:val="00095F9B"/>
    <w:rsid w:val="00095FCA"/>
    <w:rsid w:val="00095FF6"/>
    <w:rsid w:val="00096087"/>
    <w:rsid w:val="000961AB"/>
    <w:rsid w:val="00096245"/>
    <w:rsid w:val="000962FE"/>
    <w:rsid w:val="000963CF"/>
    <w:rsid w:val="00096619"/>
    <w:rsid w:val="00096633"/>
    <w:rsid w:val="00096768"/>
    <w:rsid w:val="000968B9"/>
    <w:rsid w:val="00096940"/>
    <w:rsid w:val="00096973"/>
    <w:rsid w:val="00096BFE"/>
    <w:rsid w:val="00096C02"/>
    <w:rsid w:val="00096C2B"/>
    <w:rsid w:val="00096C43"/>
    <w:rsid w:val="00096C62"/>
    <w:rsid w:val="00096EBE"/>
    <w:rsid w:val="00096EE3"/>
    <w:rsid w:val="00096F58"/>
    <w:rsid w:val="0009718C"/>
    <w:rsid w:val="00097234"/>
    <w:rsid w:val="00097418"/>
    <w:rsid w:val="00097454"/>
    <w:rsid w:val="000974C3"/>
    <w:rsid w:val="0009754B"/>
    <w:rsid w:val="00097587"/>
    <w:rsid w:val="000975A1"/>
    <w:rsid w:val="000975A5"/>
    <w:rsid w:val="00097600"/>
    <w:rsid w:val="00097798"/>
    <w:rsid w:val="000977E5"/>
    <w:rsid w:val="0009789F"/>
    <w:rsid w:val="000979C3"/>
    <w:rsid w:val="00097A37"/>
    <w:rsid w:val="00097A9F"/>
    <w:rsid w:val="00097B72"/>
    <w:rsid w:val="00097D30"/>
    <w:rsid w:val="00097E42"/>
    <w:rsid w:val="00097E62"/>
    <w:rsid w:val="00097E7A"/>
    <w:rsid w:val="00097EFF"/>
    <w:rsid w:val="000A013E"/>
    <w:rsid w:val="000A014D"/>
    <w:rsid w:val="000A0167"/>
    <w:rsid w:val="000A01D9"/>
    <w:rsid w:val="000A0539"/>
    <w:rsid w:val="000A0597"/>
    <w:rsid w:val="000A06EB"/>
    <w:rsid w:val="000A070F"/>
    <w:rsid w:val="000A0720"/>
    <w:rsid w:val="000A0858"/>
    <w:rsid w:val="000A0930"/>
    <w:rsid w:val="000A0A6A"/>
    <w:rsid w:val="000A0A9D"/>
    <w:rsid w:val="000A0B40"/>
    <w:rsid w:val="000A0BDC"/>
    <w:rsid w:val="000A0C12"/>
    <w:rsid w:val="000A0C90"/>
    <w:rsid w:val="000A0D2D"/>
    <w:rsid w:val="000A0D37"/>
    <w:rsid w:val="000A0D6C"/>
    <w:rsid w:val="000A0DE3"/>
    <w:rsid w:val="000A0FD2"/>
    <w:rsid w:val="000A0FFA"/>
    <w:rsid w:val="000A0FFF"/>
    <w:rsid w:val="000A109E"/>
    <w:rsid w:val="000A1360"/>
    <w:rsid w:val="000A13A8"/>
    <w:rsid w:val="000A1465"/>
    <w:rsid w:val="000A1496"/>
    <w:rsid w:val="000A14F0"/>
    <w:rsid w:val="000A161D"/>
    <w:rsid w:val="000A167C"/>
    <w:rsid w:val="000A16F0"/>
    <w:rsid w:val="000A1709"/>
    <w:rsid w:val="000A177A"/>
    <w:rsid w:val="000A191A"/>
    <w:rsid w:val="000A1A29"/>
    <w:rsid w:val="000A1B78"/>
    <w:rsid w:val="000A1C25"/>
    <w:rsid w:val="000A1CCB"/>
    <w:rsid w:val="000A1D65"/>
    <w:rsid w:val="000A1E14"/>
    <w:rsid w:val="000A1F91"/>
    <w:rsid w:val="000A201E"/>
    <w:rsid w:val="000A2021"/>
    <w:rsid w:val="000A2034"/>
    <w:rsid w:val="000A2072"/>
    <w:rsid w:val="000A20D9"/>
    <w:rsid w:val="000A21F1"/>
    <w:rsid w:val="000A2200"/>
    <w:rsid w:val="000A2259"/>
    <w:rsid w:val="000A246D"/>
    <w:rsid w:val="000A252E"/>
    <w:rsid w:val="000A258A"/>
    <w:rsid w:val="000A25A1"/>
    <w:rsid w:val="000A2828"/>
    <w:rsid w:val="000A2896"/>
    <w:rsid w:val="000A28AF"/>
    <w:rsid w:val="000A28E9"/>
    <w:rsid w:val="000A2AF6"/>
    <w:rsid w:val="000A2BD8"/>
    <w:rsid w:val="000A2D83"/>
    <w:rsid w:val="000A2EDE"/>
    <w:rsid w:val="000A2F1E"/>
    <w:rsid w:val="000A3015"/>
    <w:rsid w:val="000A3071"/>
    <w:rsid w:val="000A31D5"/>
    <w:rsid w:val="000A321E"/>
    <w:rsid w:val="000A32AB"/>
    <w:rsid w:val="000A34AA"/>
    <w:rsid w:val="000A3528"/>
    <w:rsid w:val="000A3613"/>
    <w:rsid w:val="000A366C"/>
    <w:rsid w:val="000A36FD"/>
    <w:rsid w:val="000A3742"/>
    <w:rsid w:val="000A3819"/>
    <w:rsid w:val="000A38CE"/>
    <w:rsid w:val="000A3904"/>
    <w:rsid w:val="000A3AE1"/>
    <w:rsid w:val="000A3AE5"/>
    <w:rsid w:val="000A3BC0"/>
    <w:rsid w:val="000A3CB4"/>
    <w:rsid w:val="000A3DB4"/>
    <w:rsid w:val="000A3DF6"/>
    <w:rsid w:val="000A3E73"/>
    <w:rsid w:val="000A4073"/>
    <w:rsid w:val="000A4107"/>
    <w:rsid w:val="000A41A9"/>
    <w:rsid w:val="000A427E"/>
    <w:rsid w:val="000A4308"/>
    <w:rsid w:val="000A4382"/>
    <w:rsid w:val="000A464A"/>
    <w:rsid w:val="000A47B4"/>
    <w:rsid w:val="000A47F9"/>
    <w:rsid w:val="000A48CD"/>
    <w:rsid w:val="000A4B40"/>
    <w:rsid w:val="000A4BC6"/>
    <w:rsid w:val="000A4C8D"/>
    <w:rsid w:val="000A4CD5"/>
    <w:rsid w:val="000A4D99"/>
    <w:rsid w:val="000A4DD2"/>
    <w:rsid w:val="000A4E18"/>
    <w:rsid w:val="000A4F47"/>
    <w:rsid w:val="000A4FF7"/>
    <w:rsid w:val="000A501A"/>
    <w:rsid w:val="000A5036"/>
    <w:rsid w:val="000A52D2"/>
    <w:rsid w:val="000A5321"/>
    <w:rsid w:val="000A53B2"/>
    <w:rsid w:val="000A543A"/>
    <w:rsid w:val="000A54B9"/>
    <w:rsid w:val="000A5568"/>
    <w:rsid w:val="000A55BA"/>
    <w:rsid w:val="000A55D4"/>
    <w:rsid w:val="000A57AC"/>
    <w:rsid w:val="000A5828"/>
    <w:rsid w:val="000A5888"/>
    <w:rsid w:val="000A5890"/>
    <w:rsid w:val="000A5A65"/>
    <w:rsid w:val="000A5D22"/>
    <w:rsid w:val="000A5D2F"/>
    <w:rsid w:val="000A5D38"/>
    <w:rsid w:val="000A5D8B"/>
    <w:rsid w:val="000A5DB1"/>
    <w:rsid w:val="000A5E7F"/>
    <w:rsid w:val="000A5F7F"/>
    <w:rsid w:val="000A6196"/>
    <w:rsid w:val="000A622E"/>
    <w:rsid w:val="000A626D"/>
    <w:rsid w:val="000A62EB"/>
    <w:rsid w:val="000A642E"/>
    <w:rsid w:val="000A646A"/>
    <w:rsid w:val="000A64B3"/>
    <w:rsid w:val="000A6532"/>
    <w:rsid w:val="000A655B"/>
    <w:rsid w:val="000A6625"/>
    <w:rsid w:val="000A6652"/>
    <w:rsid w:val="000A6840"/>
    <w:rsid w:val="000A68A6"/>
    <w:rsid w:val="000A68BD"/>
    <w:rsid w:val="000A6936"/>
    <w:rsid w:val="000A6C37"/>
    <w:rsid w:val="000A6DAA"/>
    <w:rsid w:val="000A6DB7"/>
    <w:rsid w:val="000A6F72"/>
    <w:rsid w:val="000A705C"/>
    <w:rsid w:val="000A7089"/>
    <w:rsid w:val="000A71B9"/>
    <w:rsid w:val="000A7337"/>
    <w:rsid w:val="000A741D"/>
    <w:rsid w:val="000A7529"/>
    <w:rsid w:val="000A75F9"/>
    <w:rsid w:val="000A7755"/>
    <w:rsid w:val="000A78F0"/>
    <w:rsid w:val="000A797A"/>
    <w:rsid w:val="000A79B3"/>
    <w:rsid w:val="000A7A43"/>
    <w:rsid w:val="000A7A4D"/>
    <w:rsid w:val="000A7BA3"/>
    <w:rsid w:val="000A7BBF"/>
    <w:rsid w:val="000A7BEA"/>
    <w:rsid w:val="000A7C20"/>
    <w:rsid w:val="000A7D4C"/>
    <w:rsid w:val="000A7D66"/>
    <w:rsid w:val="000A7E0B"/>
    <w:rsid w:val="000A7E1F"/>
    <w:rsid w:val="000A7E41"/>
    <w:rsid w:val="000A7F17"/>
    <w:rsid w:val="000A7F78"/>
    <w:rsid w:val="000B000F"/>
    <w:rsid w:val="000B0055"/>
    <w:rsid w:val="000B00E4"/>
    <w:rsid w:val="000B01AB"/>
    <w:rsid w:val="000B0202"/>
    <w:rsid w:val="000B03CC"/>
    <w:rsid w:val="000B0421"/>
    <w:rsid w:val="000B0450"/>
    <w:rsid w:val="000B04CE"/>
    <w:rsid w:val="000B051D"/>
    <w:rsid w:val="000B0564"/>
    <w:rsid w:val="000B0584"/>
    <w:rsid w:val="000B05A0"/>
    <w:rsid w:val="000B0688"/>
    <w:rsid w:val="000B069C"/>
    <w:rsid w:val="000B06F4"/>
    <w:rsid w:val="000B07B3"/>
    <w:rsid w:val="000B082D"/>
    <w:rsid w:val="000B08B2"/>
    <w:rsid w:val="000B08D7"/>
    <w:rsid w:val="000B0B94"/>
    <w:rsid w:val="000B0BD0"/>
    <w:rsid w:val="000B0BD5"/>
    <w:rsid w:val="000B0C6C"/>
    <w:rsid w:val="000B0C88"/>
    <w:rsid w:val="000B0CE0"/>
    <w:rsid w:val="000B0D21"/>
    <w:rsid w:val="000B0DEA"/>
    <w:rsid w:val="000B0E36"/>
    <w:rsid w:val="000B0E83"/>
    <w:rsid w:val="000B0FF6"/>
    <w:rsid w:val="000B0FF9"/>
    <w:rsid w:val="000B123A"/>
    <w:rsid w:val="000B12D5"/>
    <w:rsid w:val="000B131B"/>
    <w:rsid w:val="000B1359"/>
    <w:rsid w:val="000B14F7"/>
    <w:rsid w:val="000B162B"/>
    <w:rsid w:val="000B1650"/>
    <w:rsid w:val="000B1786"/>
    <w:rsid w:val="000B17DC"/>
    <w:rsid w:val="000B187E"/>
    <w:rsid w:val="000B19B6"/>
    <w:rsid w:val="000B1D4E"/>
    <w:rsid w:val="000B1D79"/>
    <w:rsid w:val="000B21E9"/>
    <w:rsid w:val="000B22F0"/>
    <w:rsid w:val="000B2344"/>
    <w:rsid w:val="000B23A9"/>
    <w:rsid w:val="000B2527"/>
    <w:rsid w:val="000B2571"/>
    <w:rsid w:val="000B25CF"/>
    <w:rsid w:val="000B2628"/>
    <w:rsid w:val="000B2649"/>
    <w:rsid w:val="000B264B"/>
    <w:rsid w:val="000B2763"/>
    <w:rsid w:val="000B2810"/>
    <w:rsid w:val="000B284C"/>
    <w:rsid w:val="000B2859"/>
    <w:rsid w:val="000B286E"/>
    <w:rsid w:val="000B2AA9"/>
    <w:rsid w:val="000B2ACD"/>
    <w:rsid w:val="000B2CAE"/>
    <w:rsid w:val="000B2CC7"/>
    <w:rsid w:val="000B2DA7"/>
    <w:rsid w:val="000B2E16"/>
    <w:rsid w:val="000B2ED5"/>
    <w:rsid w:val="000B2EFF"/>
    <w:rsid w:val="000B2F23"/>
    <w:rsid w:val="000B3130"/>
    <w:rsid w:val="000B3245"/>
    <w:rsid w:val="000B3309"/>
    <w:rsid w:val="000B335E"/>
    <w:rsid w:val="000B35F7"/>
    <w:rsid w:val="000B360B"/>
    <w:rsid w:val="000B3641"/>
    <w:rsid w:val="000B36CF"/>
    <w:rsid w:val="000B36E3"/>
    <w:rsid w:val="000B36F8"/>
    <w:rsid w:val="000B37FC"/>
    <w:rsid w:val="000B3890"/>
    <w:rsid w:val="000B3CB6"/>
    <w:rsid w:val="000B3F54"/>
    <w:rsid w:val="000B3F5B"/>
    <w:rsid w:val="000B41A0"/>
    <w:rsid w:val="000B4250"/>
    <w:rsid w:val="000B432F"/>
    <w:rsid w:val="000B43CE"/>
    <w:rsid w:val="000B4403"/>
    <w:rsid w:val="000B457C"/>
    <w:rsid w:val="000B45EB"/>
    <w:rsid w:val="000B46C5"/>
    <w:rsid w:val="000B475A"/>
    <w:rsid w:val="000B4920"/>
    <w:rsid w:val="000B4B28"/>
    <w:rsid w:val="000B4BD1"/>
    <w:rsid w:val="000B4D62"/>
    <w:rsid w:val="000B5091"/>
    <w:rsid w:val="000B51F3"/>
    <w:rsid w:val="000B525D"/>
    <w:rsid w:val="000B5298"/>
    <w:rsid w:val="000B5519"/>
    <w:rsid w:val="000B551E"/>
    <w:rsid w:val="000B563A"/>
    <w:rsid w:val="000B569B"/>
    <w:rsid w:val="000B5936"/>
    <w:rsid w:val="000B59F1"/>
    <w:rsid w:val="000B5A2B"/>
    <w:rsid w:val="000B5A59"/>
    <w:rsid w:val="000B5B6E"/>
    <w:rsid w:val="000B5C00"/>
    <w:rsid w:val="000B5C03"/>
    <w:rsid w:val="000B5C46"/>
    <w:rsid w:val="000B5CDB"/>
    <w:rsid w:val="000B5CEE"/>
    <w:rsid w:val="000B5DF2"/>
    <w:rsid w:val="000B5E62"/>
    <w:rsid w:val="000B5EBF"/>
    <w:rsid w:val="000B6005"/>
    <w:rsid w:val="000B61F7"/>
    <w:rsid w:val="000B6435"/>
    <w:rsid w:val="000B6454"/>
    <w:rsid w:val="000B657F"/>
    <w:rsid w:val="000B6660"/>
    <w:rsid w:val="000B6791"/>
    <w:rsid w:val="000B67BE"/>
    <w:rsid w:val="000B6822"/>
    <w:rsid w:val="000B6901"/>
    <w:rsid w:val="000B6939"/>
    <w:rsid w:val="000B69BD"/>
    <w:rsid w:val="000B69F3"/>
    <w:rsid w:val="000B6AF1"/>
    <w:rsid w:val="000B6E02"/>
    <w:rsid w:val="000B6E46"/>
    <w:rsid w:val="000B6ECF"/>
    <w:rsid w:val="000B7175"/>
    <w:rsid w:val="000B7183"/>
    <w:rsid w:val="000B728D"/>
    <w:rsid w:val="000B7299"/>
    <w:rsid w:val="000B7339"/>
    <w:rsid w:val="000B74B0"/>
    <w:rsid w:val="000B75B8"/>
    <w:rsid w:val="000B75EF"/>
    <w:rsid w:val="000B765F"/>
    <w:rsid w:val="000B76BF"/>
    <w:rsid w:val="000B789E"/>
    <w:rsid w:val="000B7A2E"/>
    <w:rsid w:val="000B7C5E"/>
    <w:rsid w:val="000B7D52"/>
    <w:rsid w:val="000B7E24"/>
    <w:rsid w:val="000B7ED0"/>
    <w:rsid w:val="000B7ED5"/>
    <w:rsid w:val="000B7F01"/>
    <w:rsid w:val="000B7F81"/>
    <w:rsid w:val="000C0012"/>
    <w:rsid w:val="000C0013"/>
    <w:rsid w:val="000C0058"/>
    <w:rsid w:val="000C00A5"/>
    <w:rsid w:val="000C0293"/>
    <w:rsid w:val="000C0349"/>
    <w:rsid w:val="000C0393"/>
    <w:rsid w:val="000C0422"/>
    <w:rsid w:val="000C0440"/>
    <w:rsid w:val="000C0483"/>
    <w:rsid w:val="000C05A5"/>
    <w:rsid w:val="000C0696"/>
    <w:rsid w:val="000C06AD"/>
    <w:rsid w:val="000C075C"/>
    <w:rsid w:val="000C0768"/>
    <w:rsid w:val="000C0899"/>
    <w:rsid w:val="000C0950"/>
    <w:rsid w:val="000C09B6"/>
    <w:rsid w:val="000C0AAC"/>
    <w:rsid w:val="000C0B6D"/>
    <w:rsid w:val="000C0BE4"/>
    <w:rsid w:val="000C0CF5"/>
    <w:rsid w:val="000C0EBE"/>
    <w:rsid w:val="000C0EED"/>
    <w:rsid w:val="000C0FAA"/>
    <w:rsid w:val="000C103A"/>
    <w:rsid w:val="000C1282"/>
    <w:rsid w:val="000C12B8"/>
    <w:rsid w:val="000C13B2"/>
    <w:rsid w:val="000C14E0"/>
    <w:rsid w:val="000C16E5"/>
    <w:rsid w:val="000C1900"/>
    <w:rsid w:val="000C1B78"/>
    <w:rsid w:val="000C1BB0"/>
    <w:rsid w:val="000C1C76"/>
    <w:rsid w:val="000C1DB8"/>
    <w:rsid w:val="000C1DE7"/>
    <w:rsid w:val="000C1EBF"/>
    <w:rsid w:val="000C2089"/>
    <w:rsid w:val="000C209B"/>
    <w:rsid w:val="000C20B3"/>
    <w:rsid w:val="000C20CB"/>
    <w:rsid w:val="000C20E3"/>
    <w:rsid w:val="000C21C0"/>
    <w:rsid w:val="000C21F3"/>
    <w:rsid w:val="000C2268"/>
    <w:rsid w:val="000C229C"/>
    <w:rsid w:val="000C22F0"/>
    <w:rsid w:val="000C2536"/>
    <w:rsid w:val="000C25BF"/>
    <w:rsid w:val="000C262F"/>
    <w:rsid w:val="000C27B6"/>
    <w:rsid w:val="000C28AB"/>
    <w:rsid w:val="000C28D3"/>
    <w:rsid w:val="000C2951"/>
    <w:rsid w:val="000C2A15"/>
    <w:rsid w:val="000C2CA8"/>
    <w:rsid w:val="000C30B4"/>
    <w:rsid w:val="000C317D"/>
    <w:rsid w:val="000C3220"/>
    <w:rsid w:val="000C34A2"/>
    <w:rsid w:val="000C35C3"/>
    <w:rsid w:val="000C35CE"/>
    <w:rsid w:val="000C3622"/>
    <w:rsid w:val="000C36CF"/>
    <w:rsid w:val="000C3701"/>
    <w:rsid w:val="000C374E"/>
    <w:rsid w:val="000C3762"/>
    <w:rsid w:val="000C37D6"/>
    <w:rsid w:val="000C3839"/>
    <w:rsid w:val="000C384B"/>
    <w:rsid w:val="000C396E"/>
    <w:rsid w:val="000C39C7"/>
    <w:rsid w:val="000C39EA"/>
    <w:rsid w:val="000C3B41"/>
    <w:rsid w:val="000C3C19"/>
    <w:rsid w:val="000C3C8A"/>
    <w:rsid w:val="000C3D52"/>
    <w:rsid w:val="000C3EC7"/>
    <w:rsid w:val="000C3EF2"/>
    <w:rsid w:val="000C407B"/>
    <w:rsid w:val="000C40A1"/>
    <w:rsid w:val="000C40B6"/>
    <w:rsid w:val="000C413A"/>
    <w:rsid w:val="000C415B"/>
    <w:rsid w:val="000C417A"/>
    <w:rsid w:val="000C4228"/>
    <w:rsid w:val="000C4360"/>
    <w:rsid w:val="000C4382"/>
    <w:rsid w:val="000C43C7"/>
    <w:rsid w:val="000C45CE"/>
    <w:rsid w:val="000C460F"/>
    <w:rsid w:val="000C4707"/>
    <w:rsid w:val="000C47D9"/>
    <w:rsid w:val="000C4809"/>
    <w:rsid w:val="000C4821"/>
    <w:rsid w:val="000C4898"/>
    <w:rsid w:val="000C48F3"/>
    <w:rsid w:val="000C49BD"/>
    <w:rsid w:val="000C4A01"/>
    <w:rsid w:val="000C4A42"/>
    <w:rsid w:val="000C4BE7"/>
    <w:rsid w:val="000C4C7E"/>
    <w:rsid w:val="000C4C92"/>
    <w:rsid w:val="000C4CD6"/>
    <w:rsid w:val="000C4CDF"/>
    <w:rsid w:val="000C4D09"/>
    <w:rsid w:val="000C4DF5"/>
    <w:rsid w:val="000C4E32"/>
    <w:rsid w:val="000C4F67"/>
    <w:rsid w:val="000C4FC0"/>
    <w:rsid w:val="000C5033"/>
    <w:rsid w:val="000C50F1"/>
    <w:rsid w:val="000C50FD"/>
    <w:rsid w:val="000C52F0"/>
    <w:rsid w:val="000C5375"/>
    <w:rsid w:val="000C53D4"/>
    <w:rsid w:val="000C5426"/>
    <w:rsid w:val="000C5439"/>
    <w:rsid w:val="000C543F"/>
    <w:rsid w:val="000C5460"/>
    <w:rsid w:val="000C5636"/>
    <w:rsid w:val="000C5755"/>
    <w:rsid w:val="000C5806"/>
    <w:rsid w:val="000C5989"/>
    <w:rsid w:val="000C59F0"/>
    <w:rsid w:val="000C5A59"/>
    <w:rsid w:val="000C5A78"/>
    <w:rsid w:val="000C5B25"/>
    <w:rsid w:val="000C5BE4"/>
    <w:rsid w:val="000C5C59"/>
    <w:rsid w:val="000C5C67"/>
    <w:rsid w:val="000C5C9E"/>
    <w:rsid w:val="000C5CE4"/>
    <w:rsid w:val="000C5EA3"/>
    <w:rsid w:val="000C5F1F"/>
    <w:rsid w:val="000C5F77"/>
    <w:rsid w:val="000C5F94"/>
    <w:rsid w:val="000C602A"/>
    <w:rsid w:val="000C617D"/>
    <w:rsid w:val="000C61E0"/>
    <w:rsid w:val="000C63F0"/>
    <w:rsid w:val="000C64D1"/>
    <w:rsid w:val="000C6578"/>
    <w:rsid w:val="000C6594"/>
    <w:rsid w:val="000C66E3"/>
    <w:rsid w:val="000C66F2"/>
    <w:rsid w:val="000C67AC"/>
    <w:rsid w:val="000C69CF"/>
    <w:rsid w:val="000C6B22"/>
    <w:rsid w:val="000C6C1B"/>
    <w:rsid w:val="000C6CB2"/>
    <w:rsid w:val="000C6D91"/>
    <w:rsid w:val="000C6E6D"/>
    <w:rsid w:val="000C6E84"/>
    <w:rsid w:val="000C6EA7"/>
    <w:rsid w:val="000C6F9A"/>
    <w:rsid w:val="000C726B"/>
    <w:rsid w:val="000C72FF"/>
    <w:rsid w:val="000C742D"/>
    <w:rsid w:val="000C79F2"/>
    <w:rsid w:val="000C7A8F"/>
    <w:rsid w:val="000C7C7F"/>
    <w:rsid w:val="000C7D8B"/>
    <w:rsid w:val="000C7DB4"/>
    <w:rsid w:val="000C7DD1"/>
    <w:rsid w:val="000C7DD8"/>
    <w:rsid w:val="000C7E09"/>
    <w:rsid w:val="000C7E31"/>
    <w:rsid w:val="000C7E4E"/>
    <w:rsid w:val="000C7E54"/>
    <w:rsid w:val="000C7ED8"/>
    <w:rsid w:val="000C7F4B"/>
    <w:rsid w:val="000C7FA1"/>
    <w:rsid w:val="000D0012"/>
    <w:rsid w:val="000D008F"/>
    <w:rsid w:val="000D0163"/>
    <w:rsid w:val="000D0481"/>
    <w:rsid w:val="000D05D9"/>
    <w:rsid w:val="000D06DA"/>
    <w:rsid w:val="000D07AE"/>
    <w:rsid w:val="000D080E"/>
    <w:rsid w:val="000D08E5"/>
    <w:rsid w:val="000D08F1"/>
    <w:rsid w:val="000D0909"/>
    <w:rsid w:val="000D097A"/>
    <w:rsid w:val="000D0A00"/>
    <w:rsid w:val="000D0A77"/>
    <w:rsid w:val="000D0B8A"/>
    <w:rsid w:val="000D0BFB"/>
    <w:rsid w:val="000D0CC3"/>
    <w:rsid w:val="000D0CFA"/>
    <w:rsid w:val="000D0D41"/>
    <w:rsid w:val="000D0DF7"/>
    <w:rsid w:val="000D0E4F"/>
    <w:rsid w:val="000D0EAD"/>
    <w:rsid w:val="000D0F30"/>
    <w:rsid w:val="000D103C"/>
    <w:rsid w:val="000D108E"/>
    <w:rsid w:val="000D114C"/>
    <w:rsid w:val="000D11A8"/>
    <w:rsid w:val="000D1203"/>
    <w:rsid w:val="000D12BE"/>
    <w:rsid w:val="000D12D8"/>
    <w:rsid w:val="000D1425"/>
    <w:rsid w:val="000D150D"/>
    <w:rsid w:val="000D1559"/>
    <w:rsid w:val="000D157B"/>
    <w:rsid w:val="000D1594"/>
    <w:rsid w:val="000D172B"/>
    <w:rsid w:val="000D1730"/>
    <w:rsid w:val="000D1870"/>
    <w:rsid w:val="000D18FB"/>
    <w:rsid w:val="000D1971"/>
    <w:rsid w:val="000D1AE4"/>
    <w:rsid w:val="000D1BBF"/>
    <w:rsid w:val="000D1C81"/>
    <w:rsid w:val="000D1DA1"/>
    <w:rsid w:val="000D1E01"/>
    <w:rsid w:val="000D1EB7"/>
    <w:rsid w:val="000D1ECE"/>
    <w:rsid w:val="000D1F5A"/>
    <w:rsid w:val="000D20E8"/>
    <w:rsid w:val="000D229C"/>
    <w:rsid w:val="000D2371"/>
    <w:rsid w:val="000D2382"/>
    <w:rsid w:val="000D24D8"/>
    <w:rsid w:val="000D251E"/>
    <w:rsid w:val="000D25CD"/>
    <w:rsid w:val="000D2658"/>
    <w:rsid w:val="000D27A4"/>
    <w:rsid w:val="000D27C8"/>
    <w:rsid w:val="000D2854"/>
    <w:rsid w:val="000D2B65"/>
    <w:rsid w:val="000D2CAA"/>
    <w:rsid w:val="000D2D3A"/>
    <w:rsid w:val="000D2DB5"/>
    <w:rsid w:val="000D2E76"/>
    <w:rsid w:val="000D2F6E"/>
    <w:rsid w:val="000D2FC0"/>
    <w:rsid w:val="000D31BE"/>
    <w:rsid w:val="000D3307"/>
    <w:rsid w:val="000D331D"/>
    <w:rsid w:val="000D3498"/>
    <w:rsid w:val="000D3551"/>
    <w:rsid w:val="000D35A5"/>
    <w:rsid w:val="000D3628"/>
    <w:rsid w:val="000D36B0"/>
    <w:rsid w:val="000D370C"/>
    <w:rsid w:val="000D395C"/>
    <w:rsid w:val="000D3981"/>
    <w:rsid w:val="000D3AA7"/>
    <w:rsid w:val="000D3ABD"/>
    <w:rsid w:val="000D3B74"/>
    <w:rsid w:val="000D3D8C"/>
    <w:rsid w:val="000D3E6E"/>
    <w:rsid w:val="000D3F73"/>
    <w:rsid w:val="000D3FDE"/>
    <w:rsid w:val="000D40A2"/>
    <w:rsid w:val="000D40B1"/>
    <w:rsid w:val="000D4265"/>
    <w:rsid w:val="000D42AA"/>
    <w:rsid w:val="000D4306"/>
    <w:rsid w:val="000D436A"/>
    <w:rsid w:val="000D445C"/>
    <w:rsid w:val="000D4466"/>
    <w:rsid w:val="000D45D9"/>
    <w:rsid w:val="000D490D"/>
    <w:rsid w:val="000D4A7E"/>
    <w:rsid w:val="000D4B3D"/>
    <w:rsid w:val="000D4CDE"/>
    <w:rsid w:val="000D4DF3"/>
    <w:rsid w:val="000D4E48"/>
    <w:rsid w:val="000D4EB2"/>
    <w:rsid w:val="000D4F8A"/>
    <w:rsid w:val="000D4FB1"/>
    <w:rsid w:val="000D5020"/>
    <w:rsid w:val="000D5183"/>
    <w:rsid w:val="000D51BE"/>
    <w:rsid w:val="000D51E6"/>
    <w:rsid w:val="000D52BD"/>
    <w:rsid w:val="000D53B8"/>
    <w:rsid w:val="000D56A2"/>
    <w:rsid w:val="000D56DA"/>
    <w:rsid w:val="000D5783"/>
    <w:rsid w:val="000D5818"/>
    <w:rsid w:val="000D587F"/>
    <w:rsid w:val="000D58D6"/>
    <w:rsid w:val="000D5A71"/>
    <w:rsid w:val="000D5C0E"/>
    <w:rsid w:val="000D5CA0"/>
    <w:rsid w:val="000D5DEC"/>
    <w:rsid w:val="000D5EAE"/>
    <w:rsid w:val="000D5F83"/>
    <w:rsid w:val="000D5FB2"/>
    <w:rsid w:val="000D5FEA"/>
    <w:rsid w:val="000D6083"/>
    <w:rsid w:val="000D60B3"/>
    <w:rsid w:val="000D61A8"/>
    <w:rsid w:val="000D6303"/>
    <w:rsid w:val="000D6412"/>
    <w:rsid w:val="000D647C"/>
    <w:rsid w:val="000D652A"/>
    <w:rsid w:val="000D65CD"/>
    <w:rsid w:val="000D66B2"/>
    <w:rsid w:val="000D676D"/>
    <w:rsid w:val="000D678B"/>
    <w:rsid w:val="000D68B1"/>
    <w:rsid w:val="000D6967"/>
    <w:rsid w:val="000D69F0"/>
    <w:rsid w:val="000D6AA0"/>
    <w:rsid w:val="000D6ADE"/>
    <w:rsid w:val="000D6B40"/>
    <w:rsid w:val="000D6B60"/>
    <w:rsid w:val="000D6C76"/>
    <w:rsid w:val="000D6CFD"/>
    <w:rsid w:val="000D70B5"/>
    <w:rsid w:val="000D71A7"/>
    <w:rsid w:val="000D72D4"/>
    <w:rsid w:val="000D735B"/>
    <w:rsid w:val="000D74EA"/>
    <w:rsid w:val="000D755C"/>
    <w:rsid w:val="000D7663"/>
    <w:rsid w:val="000D7713"/>
    <w:rsid w:val="000D7771"/>
    <w:rsid w:val="000D790F"/>
    <w:rsid w:val="000D796F"/>
    <w:rsid w:val="000D7994"/>
    <w:rsid w:val="000D79B6"/>
    <w:rsid w:val="000D7A6A"/>
    <w:rsid w:val="000D7AD5"/>
    <w:rsid w:val="000D7BD3"/>
    <w:rsid w:val="000D7D15"/>
    <w:rsid w:val="000D7DB4"/>
    <w:rsid w:val="000D7E3E"/>
    <w:rsid w:val="000D7FE7"/>
    <w:rsid w:val="000E00AB"/>
    <w:rsid w:val="000E0328"/>
    <w:rsid w:val="000E03E9"/>
    <w:rsid w:val="000E0587"/>
    <w:rsid w:val="000E0856"/>
    <w:rsid w:val="000E0BA9"/>
    <w:rsid w:val="000E0C13"/>
    <w:rsid w:val="000E0C26"/>
    <w:rsid w:val="000E0CA6"/>
    <w:rsid w:val="000E0DA9"/>
    <w:rsid w:val="000E0E33"/>
    <w:rsid w:val="000E0E80"/>
    <w:rsid w:val="000E0FE4"/>
    <w:rsid w:val="000E0FFE"/>
    <w:rsid w:val="000E105B"/>
    <w:rsid w:val="000E105C"/>
    <w:rsid w:val="000E1127"/>
    <w:rsid w:val="000E11EC"/>
    <w:rsid w:val="000E127F"/>
    <w:rsid w:val="000E134E"/>
    <w:rsid w:val="000E1393"/>
    <w:rsid w:val="000E149B"/>
    <w:rsid w:val="000E1520"/>
    <w:rsid w:val="000E1523"/>
    <w:rsid w:val="000E1582"/>
    <w:rsid w:val="000E15A0"/>
    <w:rsid w:val="000E17C6"/>
    <w:rsid w:val="000E1940"/>
    <w:rsid w:val="000E1941"/>
    <w:rsid w:val="000E19F6"/>
    <w:rsid w:val="000E19FA"/>
    <w:rsid w:val="000E1A44"/>
    <w:rsid w:val="000E1AF8"/>
    <w:rsid w:val="000E1E69"/>
    <w:rsid w:val="000E1E6F"/>
    <w:rsid w:val="000E1EEC"/>
    <w:rsid w:val="000E1F9A"/>
    <w:rsid w:val="000E2098"/>
    <w:rsid w:val="000E20C0"/>
    <w:rsid w:val="000E2118"/>
    <w:rsid w:val="000E2137"/>
    <w:rsid w:val="000E23ED"/>
    <w:rsid w:val="000E2406"/>
    <w:rsid w:val="000E2421"/>
    <w:rsid w:val="000E243A"/>
    <w:rsid w:val="000E245B"/>
    <w:rsid w:val="000E2564"/>
    <w:rsid w:val="000E25B9"/>
    <w:rsid w:val="000E25D1"/>
    <w:rsid w:val="000E25E8"/>
    <w:rsid w:val="000E268F"/>
    <w:rsid w:val="000E28C2"/>
    <w:rsid w:val="000E297A"/>
    <w:rsid w:val="000E2986"/>
    <w:rsid w:val="000E29A0"/>
    <w:rsid w:val="000E2A69"/>
    <w:rsid w:val="000E2AFF"/>
    <w:rsid w:val="000E2B41"/>
    <w:rsid w:val="000E2BBA"/>
    <w:rsid w:val="000E2BDF"/>
    <w:rsid w:val="000E2C83"/>
    <w:rsid w:val="000E2CB8"/>
    <w:rsid w:val="000E2D54"/>
    <w:rsid w:val="000E2E15"/>
    <w:rsid w:val="000E2E97"/>
    <w:rsid w:val="000E2F44"/>
    <w:rsid w:val="000E3048"/>
    <w:rsid w:val="000E317F"/>
    <w:rsid w:val="000E3276"/>
    <w:rsid w:val="000E329B"/>
    <w:rsid w:val="000E331B"/>
    <w:rsid w:val="000E3375"/>
    <w:rsid w:val="000E33DD"/>
    <w:rsid w:val="000E3464"/>
    <w:rsid w:val="000E346F"/>
    <w:rsid w:val="000E348F"/>
    <w:rsid w:val="000E361F"/>
    <w:rsid w:val="000E3759"/>
    <w:rsid w:val="000E3930"/>
    <w:rsid w:val="000E3B95"/>
    <w:rsid w:val="000E3D10"/>
    <w:rsid w:val="000E3DBE"/>
    <w:rsid w:val="000E3EA1"/>
    <w:rsid w:val="000E3F70"/>
    <w:rsid w:val="000E4102"/>
    <w:rsid w:val="000E43E8"/>
    <w:rsid w:val="000E4471"/>
    <w:rsid w:val="000E447B"/>
    <w:rsid w:val="000E4547"/>
    <w:rsid w:val="000E4630"/>
    <w:rsid w:val="000E4719"/>
    <w:rsid w:val="000E48EF"/>
    <w:rsid w:val="000E491D"/>
    <w:rsid w:val="000E49F9"/>
    <w:rsid w:val="000E4A36"/>
    <w:rsid w:val="000E4BA0"/>
    <w:rsid w:val="000E4BEB"/>
    <w:rsid w:val="000E4C2E"/>
    <w:rsid w:val="000E4C8B"/>
    <w:rsid w:val="000E4E0E"/>
    <w:rsid w:val="000E5012"/>
    <w:rsid w:val="000E5139"/>
    <w:rsid w:val="000E518F"/>
    <w:rsid w:val="000E51F3"/>
    <w:rsid w:val="000E5243"/>
    <w:rsid w:val="000E52A3"/>
    <w:rsid w:val="000E52CD"/>
    <w:rsid w:val="000E542E"/>
    <w:rsid w:val="000E5528"/>
    <w:rsid w:val="000E5549"/>
    <w:rsid w:val="000E56E9"/>
    <w:rsid w:val="000E581E"/>
    <w:rsid w:val="000E5AD9"/>
    <w:rsid w:val="000E5B0F"/>
    <w:rsid w:val="000E5B83"/>
    <w:rsid w:val="000E5BED"/>
    <w:rsid w:val="000E5BF2"/>
    <w:rsid w:val="000E5C41"/>
    <w:rsid w:val="000E5E2C"/>
    <w:rsid w:val="000E5E4C"/>
    <w:rsid w:val="000E5E9F"/>
    <w:rsid w:val="000E5EB3"/>
    <w:rsid w:val="000E5F05"/>
    <w:rsid w:val="000E5FE9"/>
    <w:rsid w:val="000E602A"/>
    <w:rsid w:val="000E60D6"/>
    <w:rsid w:val="000E617A"/>
    <w:rsid w:val="000E620B"/>
    <w:rsid w:val="000E62CA"/>
    <w:rsid w:val="000E6304"/>
    <w:rsid w:val="000E6306"/>
    <w:rsid w:val="000E63EE"/>
    <w:rsid w:val="000E642D"/>
    <w:rsid w:val="000E6660"/>
    <w:rsid w:val="000E6724"/>
    <w:rsid w:val="000E6743"/>
    <w:rsid w:val="000E67D4"/>
    <w:rsid w:val="000E6839"/>
    <w:rsid w:val="000E6891"/>
    <w:rsid w:val="000E68D0"/>
    <w:rsid w:val="000E68E8"/>
    <w:rsid w:val="000E6951"/>
    <w:rsid w:val="000E6A54"/>
    <w:rsid w:val="000E6B3A"/>
    <w:rsid w:val="000E6B99"/>
    <w:rsid w:val="000E6BEF"/>
    <w:rsid w:val="000E6C08"/>
    <w:rsid w:val="000E6CB2"/>
    <w:rsid w:val="000E6CF5"/>
    <w:rsid w:val="000E6D48"/>
    <w:rsid w:val="000E6D67"/>
    <w:rsid w:val="000E6E2E"/>
    <w:rsid w:val="000E6EAA"/>
    <w:rsid w:val="000E6EBF"/>
    <w:rsid w:val="000E6F5B"/>
    <w:rsid w:val="000E6F66"/>
    <w:rsid w:val="000E7096"/>
    <w:rsid w:val="000E70FC"/>
    <w:rsid w:val="000E7145"/>
    <w:rsid w:val="000E72B7"/>
    <w:rsid w:val="000E72D3"/>
    <w:rsid w:val="000E7386"/>
    <w:rsid w:val="000E73A0"/>
    <w:rsid w:val="000E7543"/>
    <w:rsid w:val="000E75FA"/>
    <w:rsid w:val="000E76DB"/>
    <w:rsid w:val="000E77BE"/>
    <w:rsid w:val="000E77F7"/>
    <w:rsid w:val="000E7934"/>
    <w:rsid w:val="000E7A11"/>
    <w:rsid w:val="000E7ABF"/>
    <w:rsid w:val="000E7B17"/>
    <w:rsid w:val="000E7B33"/>
    <w:rsid w:val="000E7C06"/>
    <w:rsid w:val="000E7DAA"/>
    <w:rsid w:val="000E7E97"/>
    <w:rsid w:val="000E7F48"/>
    <w:rsid w:val="000E7F57"/>
    <w:rsid w:val="000E7F9F"/>
    <w:rsid w:val="000E7FC3"/>
    <w:rsid w:val="000F00A4"/>
    <w:rsid w:val="000F0127"/>
    <w:rsid w:val="000F0147"/>
    <w:rsid w:val="000F024F"/>
    <w:rsid w:val="000F026B"/>
    <w:rsid w:val="000F028D"/>
    <w:rsid w:val="000F0294"/>
    <w:rsid w:val="000F048A"/>
    <w:rsid w:val="000F0862"/>
    <w:rsid w:val="000F090D"/>
    <w:rsid w:val="000F092E"/>
    <w:rsid w:val="000F0ADB"/>
    <w:rsid w:val="000F0AF2"/>
    <w:rsid w:val="000F0AF9"/>
    <w:rsid w:val="000F0B79"/>
    <w:rsid w:val="000F0C4E"/>
    <w:rsid w:val="000F0CEF"/>
    <w:rsid w:val="000F0D62"/>
    <w:rsid w:val="000F0E2D"/>
    <w:rsid w:val="000F0E4C"/>
    <w:rsid w:val="000F0ED8"/>
    <w:rsid w:val="000F0FE7"/>
    <w:rsid w:val="000F10A9"/>
    <w:rsid w:val="000F10C1"/>
    <w:rsid w:val="000F11F5"/>
    <w:rsid w:val="000F129B"/>
    <w:rsid w:val="000F134E"/>
    <w:rsid w:val="000F13DD"/>
    <w:rsid w:val="000F13E8"/>
    <w:rsid w:val="000F1423"/>
    <w:rsid w:val="000F160B"/>
    <w:rsid w:val="000F1653"/>
    <w:rsid w:val="000F167D"/>
    <w:rsid w:val="000F17FD"/>
    <w:rsid w:val="000F1800"/>
    <w:rsid w:val="000F183C"/>
    <w:rsid w:val="000F18F5"/>
    <w:rsid w:val="000F1928"/>
    <w:rsid w:val="000F1985"/>
    <w:rsid w:val="000F1A1E"/>
    <w:rsid w:val="000F1C96"/>
    <w:rsid w:val="000F1CD6"/>
    <w:rsid w:val="000F1E62"/>
    <w:rsid w:val="000F1E70"/>
    <w:rsid w:val="000F2053"/>
    <w:rsid w:val="000F20F6"/>
    <w:rsid w:val="000F21D5"/>
    <w:rsid w:val="000F22E6"/>
    <w:rsid w:val="000F22EA"/>
    <w:rsid w:val="000F22FA"/>
    <w:rsid w:val="000F2313"/>
    <w:rsid w:val="000F23F1"/>
    <w:rsid w:val="000F2528"/>
    <w:rsid w:val="000F26B8"/>
    <w:rsid w:val="000F2752"/>
    <w:rsid w:val="000F281F"/>
    <w:rsid w:val="000F28EA"/>
    <w:rsid w:val="000F29CD"/>
    <w:rsid w:val="000F29DF"/>
    <w:rsid w:val="000F2AE6"/>
    <w:rsid w:val="000F2C2F"/>
    <w:rsid w:val="000F2CDC"/>
    <w:rsid w:val="000F2D17"/>
    <w:rsid w:val="000F2D5C"/>
    <w:rsid w:val="000F2E52"/>
    <w:rsid w:val="000F2F02"/>
    <w:rsid w:val="000F31CE"/>
    <w:rsid w:val="000F321E"/>
    <w:rsid w:val="000F3288"/>
    <w:rsid w:val="000F3415"/>
    <w:rsid w:val="000F3423"/>
    <w:rsid w:val="000F34D2"/>
    <w:rsid w:val="000F3523"/>
    <w:rsid w:val="000F3569"/>
    <w:rsid w:val="000F3657"/>
    <w:rsid w:val="000F36F0"/>
    <w:rsid w:val="000F37C5"/>
    <w:rsid w:val="000F39A9"/>
    <w:rsid w:val="000F3A0A"/>
    <w:rsid w:val="000F3A23"/>
    <w:rsid w:val="000F3B6E"/>
    <w:rsid w:val="000F3EE9"/>
    <w:rsid w:val="000F3FB3"/>
    <w:rsid w:val="000F4179"/>
    <w:rsid w:val="000F41CB"/>
    <w:rsid w:val="000F41E5"/>
    <w:rsid w:val="000F43C8"/>
    <w:rsid w:val="000F4476"/>
    <w:rsid w:val="000F44B0"/>
    <w:rsid w:val="000F44D3"/>
    <w:rsid w:val="000F458E"/>
    <w:rsid w:val="000F4605"/>
    <w:rsid w:val="000F4645"/>
    <w:rsid w:val="000F4666"/>
    <w:rsid w:val="000F466F"/>
    <w:rsid w:val="000F46A5"/>
    <w:rsid w:val="000F489A"/>
    <w:rsid w:val="000F493B"/>
    <w:rsid w:val="000F49E8"/>
    <w:rsid w:val="000F4A82"/>
    <w:rsid w:val="000F4ACB"/>
    <w:rsid w:val="000F4B30"/>
    <w:rsid w:val="000F4B9F"/>
    <w:rsid w:val="000F50E5"/>
    <w:rsid w:val="000F524D"/>
    <w:rsid w:val="000F5286"/>
    <w:rsid w:val="000F53AE"/>
    <w:rsid w:val="000F555B"/>
    <w:rsid w:val="000F55DF"/>
    <w:rsid w:val="000F5662"/>
    <w:rsid w:val="000F57D7"/>
    <w:rsid w:val="000F57F7"/>
    <w:rsid w:val="000F585A"/>
    <w:rsid w:val="000F59D8"/>
    <w:rsid w:val="000F5ADD"/>
    <w:rsid w:val="000F5BD2"/>
    <w:rsid w:val="000F5C2B"/>
    <w:rsid w:val="000F5D2F"/>
    <w:rsid w:val="000F5E24"/>
    <w:rsid w:val="000F5E27"/>
    <w:rsid w:val="000F5F2E"/>
    <w:rsid w:val="000F603F"/>
    <w:rsid w:val="000F6119"/>
    <w:rsid w:val="000F6352"/>
    <w:rsid w:val="000F647A"/>
    <w:rsid w:val="000F64A8"/>
    <w:rsid w:val="000F64DF"/>
    <w:rsid w:val="000F656A"/>
    <w:rsid w:val="000F658B"/>
    <w:rsid w:val="000F67E9"/>
    <w:rsid w:val="000F6813"/>
    <w:rsid w:val="000F683E"/>
    <w:rsid w:val="000F6894"/>
    <w:rsid w:val="000F6949"/>
    <w:rsid w:val="000F6A8A"/>
    <w:rsid w:val="000F6B24"/>
    <w:rsid w:val="000F6DCB"/>
    <w:rsid w:val="000F6EDA"/>
    <w:rsid w:val="000F6F98"/>
    <w:rsid w:val="000F6FC8"/>
    <w:rsid w:val="000F709D"/>
    <w:rsid w:val="000F7107"/>
    <w:rsid w:val="000F7122"/>
    <w:rsid w:val="000F7334"/>
    <w:rsid w:val="000F7373"/>
    <w:rsid w:val="000F738F"/>
    <w:rsid w:val="000F73AE"/>
    <w:rsid w:val="000F73F3"/>
    <w:rsid w:val="000F743F"/>
    <w:rsid w:val="000F75DE"/>
    <w:rsid w:val="000F7652"/>
    <w:rsid w:val="000F76A2"/>
    <w:rsid w:val="000F76DE"/>
    <w:rsid w:val="000F76F8"/>
    <w:rsid w:val="000F782F"/>
    <w:rsid w:val="000F79D9"/>
    <w:rsid w:val="000F79EF"/>
    <w:rsid w:val="000F7BDB"/>
    <w:rsid w:val="000F7CCB"/>
    <w:rsid w:val="000F7D18"/>
    <w:rsid w:val="000F7D81"/>
    <w:rsid w:val="000F7E93"/>
    <w:rsid w:val="000F7ECC"/>
    <w:rsid w:val="001000CD"/>
    <w:rsid w:val="0010031F"/>
    <w:rsid w:val="0010039F"/>
    <w:rsid w:val="001004B7"/>
    <w:rsid w:val="001004CF"/>
    <w:rsid w:val="0010057F"/>
    <w:rsid w:val="001006ED"/>
    <w:rsid w:val="00100766"/>
    <w:rsid w:val="001007D7"/>
    <w:rsid w:val="0010081E"/>
    <w:rsid w:val="0010098E"/>
    <w:rsid w:val="00100A5E"/>
    <w:rsid w:val="00100B07"/>
    <w:rsid w:val="00100BA2"/>
    <w:rsid w:val="00100BDA"/>
    <w:rsid w:val="00100BE8"/>
    <w:rsid w:val="00100C4B"/>
    <w:rsid w:val="00100C6B"/>
    <w:rsid w:val="00100CD9"/>
    <w:rsid w:val="00100CDA"/>
    <w:rsid w:val="00100D49"/>
    <w:rsid w:val="00100DDA"/>
    <w:rsid w:val="00100E07"/>
    <w:rsid w:val="0010100E"/>
    <w:rsid w:val="00101191"/>
    <w:rsid w:val="001011B3"/>
    <w:rsid w:val="00101207"/>
    <w:rsid w:val="00101228"/>
    <w:rsid w:val="0010127F"/>
    <w:rsid w:val="00101287"/>
    <w:rsid w:val="001013C4"/>
    <w:rsid w:val="00101402"/>
    <w:rsid w:val="00101445"/>
    <w:rsid w:val="001014EE"/>
    <w:rsid w:val="00101582"/>
    <w:rsid w:val="0010162E"/>
    <w:rsid w:val="0010163D"/>
    <w:rsid w:val="001016CD"/>
    <w:rsid w:val="00101879"/>
    <w:rsid w:val="001018DC"/>
    <w:rsid w:val="00101918"/>
    <w:rsid w:val="001019A3"/>
    <w:rsid w:val="00101A15"/>
    <w:rsid w:val="00101A81"/>
    <w:rsid w:val="00101A9B"/>
    <w:rsid w:val="00101AB2"/>
    <w:rsid w:val="00101B5B"/>
    <w:rsid w:val="00101D7A"/>
    <w:rsid w:val="00101E34"/>
    <w:rsid w:val="00101E88"/>
    <w:rsid w:val="001020CB"/>
    <w:rsid w:val="001020EE"/>
    <w:rsid w:val="0010217F"/>
    <w:rsid w:val="001022FF"/>
    <w:rsid w:val="00102479"/>
    <w:rsid w:val="0010253E"/>
    <w:rsid w:val="001025E0"/>
    <w:rsid w:val="0010262A"/>
    <w:rsid w:val="0010269A"/>
    <w:rsid w:val="001027B8"/>
    <w:rsid w:val="001028FF"/>
    <w:rsid w:val="0010299C"/>
    <w:rsid w:val="00102B5E"/>
    <w:rsid w:val="00102C16"/>
    <w:rsid w:val="00102D2F"/>
    <w:rsid w:val="00102F5C"/>
    <w:rsid w:val="00102F9C"/>
    <w:rsid w:val="00103028"/>
    <w:rsid w:val="001030B8"/>
    <w:rsid w:val="0010330C"/>
    <w:rsid w:val="0010343A"/>
    <w:rsid w:val="001034B8"/>
    <w:rsid w:val="0010350E"/>
    <w:rsid w:val="001037C6"/>
    <w:rsid w:val="001038EA"/>
    <w:rsid w:val="00103945"/>
    <w:rsid w:val="00103AFB"/>
    <w:rsid w:val="00103B01"/>
    <w:rsid w:val="00103B7C"/>
    <w:rsid w:val="00103B89"/>
    <w:rsid w:val="00103E17"/>
    <w:rsid w:val="00103F65"/>
    <w:rsid w:val="00103FCE"/>
    <w:rsid w:val="00103FCF"/>
    <w:rsid w:val="00104082"/>
    <w:rsid w:val="001040B1"/>
    <w:rsid w:val="00104161"/>
    <w:rsid w:val="00104178"/>
    <w:rsid w:val="001041E7"/>
    <w:rsid w:val="00104561"/>
    <w:rsid w:val="001046A4"/>
    <w:rsid w:val="00104778"/>
    <w:rsid w:val="00104B0B"/>
    <w:rsid w:val="00104C2B"/>
    <w:rsid w:val="00104C9C"/>
    <w:rsid w:val="00104D6D"/>
    <w:rsid w:val="00104D8F"/>
    <w:rsid w:val="00104EDF"/>
    <w:rsid w:val="001050EE"/>
    <w:rsid w:val="00105115"/>
    <w:rsid w:val="001051EB"/>
    <w:rsid w:val="0010526B"/>
    <w:rsid w:val="001052EC"/>
    <w:rsid w:val="001054C6"/>
    <w:rsid w:val="001058A7"/>
    <w:rsid w:val="00105954"/>
    <w:rsid w:val="00105A2C"/>
    <w:rsid w:val="00105CD8"/>
    <w:rsid w:val="00105DAC"/>
    <w:rsid w:val="00105E09"/>
    <w:rsid w:val="00105F29"/>
    <w:rsid w:val="0010602A"/>
    <w:rsid w:val="001060A3"/>
    <w:rsid w:val="001062DA"/>
    <w:rsid w:val="00106303"/>
    <w:rsid w:val="00106372"/>
    <w:rsid w:val="00106394"/>
    <w:rsid w:val="0010665E"/>
    <w:rsid w:val="00106716"/>
    <w:rsid w:val="0010671F"/>
    <w:rsid w:val="0010681F"/>
    <w:rsid w:val="00106834"/>
    <w:rsid w:val="0010683D"/>
    <w:rsid w:val="00106862"/>
    <w:rsid w:val="001068FF"/>
    <w:rsid w:val="00106B09"/>
    <w:rsid w:val="00106B7D"/>
    <w:rsid w:val="00106BE5"/>
    <w:rsid w:val="00106D26"/>
    <w:rsid w:val="00106DA4"/>
    <w:rsid w:val="00106E6D"/>
    <w:rsid w:val="00106ED6"/>
    <w:rsid w:val="00106FD9"/>
    <w:rsid w:val="001070B4"/>
    <w:rsid w:val="001071A9"/>
    <w:rsid w:val="001071CA"/>
    <w:rsid w:val="001071CF"/>
    <w:rsid w:val="00107207"/>
    <w:rsid w:val="00107211"/>
    <w:rsid w:val="0010722C"/>
    <w:rsid w:val="0010728F"/>
    <w:rsid w:val="001072E6"/>
    <w:rsid w:val="00107322"/>
    <w:rsid w:val="00107416"/>
    <w:rsid w:val="0010751D"/>
    <w:rsid w:val="0010753D"/>
    <w:rsid w:val="001075F4"/>
    <w:rsid w:val="00107645"/>
    <w:rsid w:val="0010766E"/>
    <w:rsid w:val="001078E9"/>
    <w:rsid w:val="00107A6A"/>
    <w:rsid w:val="00107C90"/>
    <w:rsid w:val="00107CDF"/>
    <w:rsid w:val="00107F57"/>
    <w:rsid w:val="0011000F"/>
    <w:rsid w:val="00110089"/>
    <w:rsid w:val="0011009B"/>
    <w:rsid w:val="001100E5"/>
    <w:rsid w:val="001102AA"/>
    <w:rsid w:val="001102F2"/>
    <w:rsid w:val="00110353"/>
    <w:rsid w:val="001104BF"/>
    <w:rsid w:val="001104EC"/>
    <w:rsid w:val="001105EF"/>
    <w:rsid w:val="001106B3"/>
    <w:rsid w:val="0011075A"/>
    <w:rsid w:val="00110941"/>
    <w:rsid w:val="00110956"/>
    <w:rsid w:val="00110A66"/>
    <w:rsid w:val="00110A7D"/>
    <w:rsid w:val="00110BD8"/>
    <w:rsid w:val="00110C4C"/>
    <w:rsid w:val="00110D6B"/>
    <w:rsid w:val="00110F32"/>
    <w:rsid w:val="00110F49"/>
    <w:rsid w:val="00110FC4"/>
    <w:rsid w:val="00111016"/>
    <w:rsid w:val="001110AC"/>
    <w:rsid w:val="001111C0"/>
    <w:rsid w:val="001111F7"/>
    <w:rsid w:val="0011129C"/>
    <w:rsid w:val="001112BD"/>
    <w:rsid w:val="001112CC"/>
    <w:rsid w:val="00111365"/>
    <w:rsid w:val="0011143E"/>
    <w:rsid w:val="0011151A"/>
    <w:rsid w:val="0011158C"/>
    <w:rsid w:val="00111740"/>
    <w:rsid w:val="0011175D"/>
    <w:rsid w:val="00111789"/>
    <w:rsid w:val="00111A07"/>
    <w:rsid w:val="00111A0B"/>
    <w:rsid w:val="00111A81"/>
    <w:rsid w:val="00111B8D"/>
    <w:rsid w:val="00111DF7"/>
    <w:rsid w:val="00111F99"/>
    <w:rsid w:val="001120AF"/>
    <w:rsid w:val="001120CD"/>
    <w:rsid w:val="00112134"/>
    <w:rsid w:val="001121C6"/>
    <w:rsid w:val="001121D2"/>
    <w:rsid w:val="00112293"/>
    <w:rsid w:val="001122F0"/>
    <w:rsid w:val="001123EC"/>
    <w:rsid w:val="001124B4"/>
    <w:rsid w:val="001126DC"/>
    <w:rsid w:val="00112702"/>
    <w:rsid w:val="00112748"/>
    <w:rsid w:val="0011274B"/>
    <w:rsid w:val="001127E5"/>
    <w:rsid w:val="00112A75"/>
    <w:rsid w:val="00112ABE"/>
    <w:rsid w:val="00112B4D"/>
    <w:rsid w:val="00112C38"/>
    <w:rsid w:val="00112D2E"/>
    <w:rsid w:val="00112EAB"/>
    <w:rsid w:val="00112ECA"/>
    <w:rsid w:val="00112EFD"/>
    <w:rsid w:val="00112F3B"/>
    <w:rsid w:val="00112F96"/>
    <w:rsid w:val="0011304E"/>
    <w:rsid w:val="001130B2"/>
    <w:rsid w:val="0011318B"/>
    <w:rsid w:val="00113283"/>
    <w:rsid w:val="001132C7"/>
    <w:rsid w:val="0011331A"/>
    <w:rsid w:val="0011334C"/>
    <w:rsid w:val="001133C8"/>
    <w:rsid w:val="0011348E"/>
    <w:rsid w:val="001134D1"/>
    <w:rsid w:val="001136FA"/>
    <w:rsid w:val="00113732"/>
    <w:rsid w:val="00113849"/>
    <w:rsid w:val="00113907"/>
    <w:rsid w:val="00113925"/>
    <w:rsid w:val="001139B2"/>
    <w:rsid w:val="00113A80"/>
    <w:rsid w:val="00113AC8"/>
    <w:rsid w:val="00113AD3"/>
    <w:rsid w:val="00113C9F"/>
    <w:rsid w:val="00113DA0"/>
    <w:rsid w:val="00113E0E"/>
    <w:rsid w:val="00113E79"/>
    <w:rsid w:val="00113F1E"/>
    <w:rsid w:val="00113FC7"/>
    <w:rsid w:val="00113FF3"/>
    <w:rsid w:val="001140CB"/>
    <w:rsid w:val="00114172"/>
    <w:rsid w:val="001141B7"/>
    <w:rsid w:val="001141DF"/>
    <w:rsid w:val="00114299"/>
    <w:rsid w:val="001142AA"/>
    <w:rsid w:val="001142D0"/>
    <w:rsid w:val="00114358"/>
    <w:rsid w:val="00114756"/>
    <w:rsid w:val="00114791"/>
    <w:rsid w:val="00114858"/>
    <w:rsid w:val="001148A9"/>
    <w:rsid w:val="0011496A"/>
    <w:rsid w:val="00114AE0"/>
    <w:rsid w:val="00114B30"/>
    <w:rsid w:val="00114CB4"/>
    <w:rsid w:val="00114CB7"/>
    <w:rsid w:val="00114D6F"/>
    <w:rsid w:val="00114E9A"/>
    <w:rsid w:val="00114EC1"/>
    <w:rsid w:val="00114F37"/>
    <w:rsid w:val="00114FC6"/>
    <w:rsid w:val="00115129"/>
    <w:rsid w:val="00115140"/>
    <w:rsid w:val="001152ED"/>
    <w:rsid w:val="00115381"/>
    <w:rsid w:val="00115473"/>
    <w:rsid w:val="00115570"/>
    <w:rsid w:val="0011567C"/>
    <w:rsid w:val="001156C0"/>
    <w:rsid w:val="00115734"/>
    <w:rsid w:val="00115823"/>
    <w:rsid w:val="00115868"/>
    <w:rsid w:val="001158B5"/>
    <w:rsid w:val="00115958"/>
    <w:rsid w:val="00115A05"/>
    <w:rsid w:val="00115A6B"/>
    <w:rsid w:val="00115AF3"/>
    <w:rsid w:val="00115B65"/>
    <w:rsid w:val="00115BDB"/>
    <w:rsid w:val="00115D6D"/>
    <w:rsid w:val="00115E33"/>
    <w:rsid w:val="00115EAA"/>
    <w:rsid w:val="00115EAB"/>
    <w:rsid w:val="0011616D"/>
    <w:rsid w:val="001161F7"/>
    <w:rsid w:val="00116350"/>
    <w:rsid w:val="0011650B"/>
    <w:rsid w:val="00116583"/>
    <w:rsid w:val="001165F6"/>
    <w:rsid w:val="00116791"/>
    <w:rsid w:val="00116910"/>
    <w:rsid w:val="00116A87"/>
    <w:rsid w:val="00116AFC"/>
    <w:rsid w:val="00116DF0"/>
    <w:rsid w:val="00116F57"/>
    <w:rsid w:val="00116F68"/>
    <w:rsid w:val="00116FBE"/>
    <w:rsid w:val="00117045"/>
    <w:rsid w:val="001171EB"/>
    <w:rsid w:val="00117245"/>
    <w:rsid w:val="00117263"/>
    <w:rsid w:val="001172AD"/>
    <w:rsid w:val="001172BC"/>
    <w:rsid w:val="00117385"/>
    <w:rsid w:val="001173BB"/>
    <w:rsid w:val="0011749A"/>
    <w:rsid w:val="001175BB"/>
    <w:rsid w:val="00117633"/>
    <w:rsid w:val="0011767D"/>
    <w:rsid w:val="001176A7"/>
    <w:rsid w:val="00117932"/>
    <w:rsid w:val="00117A1C"/>
    <w:rsid w:val="00117A8C"/>
    <w:rsid w:val="00117B30"/>
    <w:rsid w:val="00117BFD"/>
    <w:rsid w:val="00117D15"/>
    <w:rsid w:val="00117DE9"/>
    <w:rsid w:val="00117EB7"/>
    <w:rsid w:val="00120021"/>
    <w:rsid w:val="00120063"/>
    <w:rsid w:val="0012011D"/>
    <w:rsid w:val="00120170"/>
    <w:rsid w:val="00120193"/>
    <w:rsid w:val="001201F9"/>
    <w:rsid w:val="00120201"/>
    <w:rsid w:val="001202E8"/>
    <w:rsid w:val="00120415"/>
    <w:rsid w:val="0012059B"/>
    <w:rsid w:val="001206F4"/>
    <w:rsid w:val="001207F9"/>
    <w:rsid w:val="00120804"/>
    <w:rsid w:val="00120923"/>
    <w:rsid w:val="00120A5C"/>
    <w:rsid w:val="00120A94"/>
    <w:rsid w:val="00120ACC"/>
    <w:rsid w:val="00120B65"/>
    <w:rsid w:val="00120BA0"/>
    <w:rsid w:val="00120BD6"/>
    <w:rsid w:val="00120DF8"/>
    <w:rsid w:val="00120F2B"/>
    <w:rsid w:val="0012104C"/>
    <w:rsid w:val="001211EB"/>
    <w:rsid w:val="0012121A"/>
    <w:rsid w:val="0012126E"/>
    <w:rsid w:val="001213A5"/>
    <w:rsid w:val="0012140A"/>
    <w:rsid w:val="00121426"/>
    <w:rsid w:val="00121449"/>
    <w:rsid w:val="00121498"/>
    <w:rsid w:val="001214E7"/>
    <w:rsid w:val="001215AC"/>
    <w:rsid w:val="001215C3"/>
    <w:rsid w:val="001215F1"/>
    <w:rsid w:val="0012162E"/>
    <w:rsid w:val="00121666"/>
    <w:rsid w:val="00121708"/>
    <w:rsid w:val="0012191D"/>
    <w:rsid w:val="00121953"/>
    <w:rsid w:val="00121A9E"/>
    <w:rsid w:val="00121AA5"/>
    <w:rsid w:val="00121B3B"/>
    <w:rsid w:val="00121B42"/>
    <w:rsid w:val="00121B4D"/>
    <w:rsid w:val="00121B58"/>
    <w:rsid w:val="00121B6B"/>
    <w:rsid w:val="00121C78"/>
    <w:rsid w:val="00121C8B"/>
    <w:rsid w:val="00121C94"/>
    <w:rsid w:val="00121CCE"/>
    <w:rsid w:val="00121D41"/>
    <w:rsid w:val="00121D90"/>
    <w:rsid w:val="00121E24"/>
    <w:rsid w:val="00121F39"/>
    <w:rsid w:val="00121F70"/>
    <w:rsid w:val="00121FDD"/>
    <w:rsid w:val="0012214D"/>
    <w:rsid w:val="0012228D"/>
    <w:rsid w:val="00122490"/>
    <w:rsid w:val="001224C1"/>
    <w:rsid w:val="001225E9"/>
    <w:rsid w:val="001225ED"/>
    <w:rsid w:val="00122AEF"/>
    <w:rsid w:val="00122B82"/>
    <w:rsid w:val="00122B85"/>
    <w:rsid w:val="00122B9E"/>
    <w:rsid w:val="00122BD2"/>
    <w:rsid w:val="00122C52"/>
    <w:rsid w:val="00122CB5"/>
    <w:rsid w:val="00122D49"/>
    <w:rsid w:val="00122D8C"/>
    <w:rsid w:val="00122E75"/>
    <w:rsid w:val="00123035"/>
    <w:rsid w:val="0012308F"/>
    <w:rsid w:val="001230D6"/>
    <w:rsid w:val="0012320B"/>
    <w:rsid w:val="00123223"/>
    <w:rsid w:val="00123349"/>
    <w:rsid w:val="001234CF"/>
    <w:rsid w:val="001237B4"/>
    <w:rsid w:val="001239BF"/>
    <w:rsid w:val="00123A5D"/>
    <w:rsid w:val="00123A74"/>
    <w:rsid w:val="00123A84"/>
    <w:rsid w:val="00123B49"/>
    <w:rsid w:val="00123C25"/>
    <w:rsid w:val="00123C51"/>
    <w:rsid w:val="00123D8D"/>
    <w:rsid w:val="00123E47"/>
    <w:rsid w:val="00123EB2"/>
    <w:rsid w:val="00123F30"/>
    <w:rsid w:val="00124142"/>
    <w:rsid w:val="001241B4"/>
    <w:rsid w:val="00124223"/>
    <w:rsid w:val="00124475"/>
    <w:rsid w:val="00124754"/>
    <w:rsid w:val="00124811"/>
    <w:rsid w:val="0012481E"/>
    <w:rsid w:val="001248CC"/>
    <w:rsid w:val="00124A17"/>
    <w:rsid w:val="00124B04"/>
    <w:rsid w:val="00124B10"/>
    <w:rsid w:val="00124B63"/>
    <w:rsid w:val="00124B76"/>
    <w:rsid w:val="00124CA4"/>
    <w:rsid w:val="00124E67"/>
    <w:rsid w:val="00124EAC"/>
    <w:rsid w:val="00124EC7"/>
    <w:rsid w:val="00124EF2"/>
    <w:rsid w:val="00124FC2"/>
    <w:rsid w:val="00125041"/>
    <w:rsid w:val="001250FD"/>
    <w:rsid w:val="00125147"/>
    <w:rsid w:val="001251A2"/>
    <w:rsid w:val="00125208"/>
    <w:rsid w:val="00125215"/>
    <w:rsid w:val="00125218"/>
    <w:rsid w:val="0012535C"/>
    <w:rsid w:val="001253D9"/>
    <w:rsid w:val="001253FD"/>
    <w:rsid w:val="001255E9"/>
    <w:rsid w:val="00125648"/>
    <w:rsid w:val="001256D6"/>
    <w:rsid w:val="001257F6"/>
    <w:rsid w:val="00125836"/>
    <w:rsid w:val="0012585C"/>
    <w:rsid w:val="001258F3"/>
    <w:rsid w:val="001259F5"/>
    <w:rsid w:val="00125A1A"/>
    <w:rsid w:val="00125A48"/>
    <w:rsid w:val="00125B3D"/>
    <w:rsid w:val="00125B66"/>
    <w:rsid w:val="00125B97"/>
    <w:rsid w:val="00125C26"/>
    <w:rsid w:val="00125CC6"/>
    <w:rsid w:val="00125D88"/>
    <w:rsid w:val="00125E05"/>
    <w:rsid w:val="00125F1C"/>
    <w:rsid w:val="00125F65"/>
    <w:rsid w:val="00125FFD"/>
    <w:rsid w:val="00126078"/>
    <w:rsid w:val="0012613D"/>
    <w:rsid w:val="00126166"/>
    <w:rsid w:val="00126340"/>
    <w:rsid w:val="001263D0"/>
    <w:rsid w:val="0012640A"/>
    <w:rsid w:val="0012657A"/>
    <w:rsid w:val="0012664F"/>
    <w:rsid w:val="00126EE7"/>
    <w:rsid w:val="00126F85"/>
    <w:rsid w:val="00127001"/>
    <w:rsid w:val="00127103"/>
    <w:rsid w:val="00127270"/>
    <w:rsid w:val="00127381"/>
    <w:rsid w:val="0012750D"/>
    <w:rsid w:val="0012768F"/>
    <w:rsid w:val="00127765"/>
    <w:rsid w:val="001277EE"/>
    <w:rsid w:val="00127A0E"/>
    <w:rsid w:val="00127A1D"/>
    <w:rsid w:val="00127A30"/>
    <w:rsid w:val="00127AF9"/>
    <w:rsid w:val="00127BF6"/>
    <w:rsid w:val="00127CE6"/>
    <w:rsid w:val="00127D43"/>
    <w:rsid w:val="00127E52"/>
    <w:rsid w:val="00127F13"/>
    <w:rsid w:val="001300AF"/>
    <w:rsid w:val="00130251"/>
    <w:rsid w:val="00130290"/>
    <w:rsid w:val="001302A8"/>
    <w:rsid w:val="001302C4"/>
    <w:rsid w:val="001303E5"/>
    <w:rsid w:val="00130419"/>
    <w:rsid w:val="0013048A"/>
    <w:rsid w:val="001304FB"/>
    <w:rsid w:val="0013053F"/>
    <w:rsid w:val="001306AC"/>
    <w:rsid w:val="001306F1"/>
    <w:rsid w:val="001307E3"/>
    <w:rsid w:val="00130884"/>
    <w:rsid w:val="001308B0"/>
    <w:rsid w:val="0013090A"/>
    <w:rsid w:val="001309C3"/>
    <w:rsid w:val="001309CB"/>
    <w:rsid w:val="00130C25"/>
    <w:rsid w:val="00130D27"/>
    <w:rsid w:val="00130D64"/>
    <w:rsid w:val="00130EA5"/>
    <w:rsid w:val="00130F5A"/>
    <w:rsid w:val="00130F81"/>
    <w:rsid w:val="00130FB7"/>
    <w:rsid w:val="001310C2"/>
    <w:rsid w:val="001312A9"/>
    <w:rsid w:val="001315BA"/>
    <w:rsid w:val="0013176C"/>
    <w:rsid w:val="001317A3"/>
    <w:rsid w:val="001317B2"/>
    <w:rsid w:val="00131826"/>
    <w:rsid w:val="00131878"/>
    <w:rsid w:val="00131881"/>
    <w:rsid w:val="001318DF"/>
    <w:rsid w:val="00131905"/>
    <w:rsid w:val="00131907"/>
    <w:rsid w:val="0013197D"/>
    <w:rsid w:val="001319D5"/>
    <w:rsid w:val="00131B17"/>
    <w:rsid w:val="00131B65"/>
    <w:rsid w:val="00131D2E"/>
    <w:rsid w:val="00131DA1"/>
    <w:rsid w:val="00131E30"/>
    <w:rsid w:val="00131FE1"/>
    <w:rsid w:val="0013200A"/>
    <w:rsid w:val="00132250"/>
    <w:rsid w:val="00132284"/>
    <w:rsid w:val="001322CE"/>
    <w:rsid w:val="001323AC"/>
    <w:rsid w:val="001323B1"/>
    <w:rsid w:val="001325FE"/>
    <w:rsid w:val="00132656"/>
    <w:rsid w:val="0013282F"/>
    <w:rsid w:val="00132868"/>
    <w:rsid w:val="00132935"/>
    <w:rsid w:val="0013293E"/>
    <w:rsid w:val="00132966"/>
    <w:rsid w:val="0013297B"/>
    <w:rsid w:val="00132AC5"/>
    <w:rsid w:val="00132ACA"/>
    <w:rsid w:val="00132B70"/>
    <w:rsid w:val="00132C1D"/>
    <w:rsid w:val="00132DA4"/>
    <w:rsid w:val="00132DEA"/>
    <w:rsid w:val="00132E39"/>
    <w:rsid w:val="00132E8B"/>
    <w:rsid w:val="00132EF8"/>
    <w:rsid w:val="00132FC8"/>
    <w:rsid w:val="0013301C"/>
    <w:rsid w:val="00133023"/>
    <w:rsid w:val="001330C4"/>
    <w:rsid w:val="001330F0"/>
    <w:rsid w:val="001330F6"/>
    <w:rsid w:val="00133126"/>
    <w:rsid w:val="00133192"/>
    <w:rsid w:val="00133201"/>
    <w:rsid w:val="001332BA"/>
    <w:rsid w:val="0013334D"/>
    <w:rsid w:val="0013349B"/>
    <w:rsid w:val="00133727"/>
    <w:rsid w:val="0013375D"/>
    <w:rsid w:val="001337A1"/>
    <w:rsid w:val="001337D6"/>
    <w:rsid w:val="00133A94"/>
    <w:rsid w:val="00133AF0"/>
    <w:rsid w:val="00133B1B"/>
    <w:rsid w:val="00133BB9"/>
    <w:rsid w:val="00133CB3"/>
    <w:rsid w:val="00133D73"/>
    <w:rsid w:val="00133D91"/>
    <w:rsid w:val="00133DF5"/>
    <w:rsid w:val="00133FDE"/>
    <w:rsid w:val="00134010"/>
    <w:rsid w:val="00134249"/>
    <w:rsid w:val="0013440C"/>
    <w:rsid w:val="001344E5"/>
    <w:rsid w:val="0013454D"/>
    <w:rsid w:val="00134593"/>
    <w:rsid w:val="0013463C"/>
    <w:rsid w:val="0013468B"/>
    <w:rsid w:val="001346C0"/>
    <w:rsid w:val="00134773"/>
    <w:rsid w:val="00134933"/>
    <w:rsid w:val="001349EA"/>
    <w:rsid w:val="00134A5F"/>
    <w:rsid w:val="00134B6E"/>
    <w:rsid w:val="00134C48"/>
    <w:rsid w:val="00134CF5"/>
    <w:rsid w:val="00134D41"/>
    <w:rsid w:val="00134EB0"/>
    <w:rsid w:val="00134EB5"/>
    <w:rsid w:val="00134F7C"/>
    <w:rsid w:val="00134FE1"/>
    <w:rsid w:val="00135138"/>
    <w:rsid w:val="00135177"/>
    <w:rsid w:val="00135395"/>
    <w:rsid w:val="0013547C"/>
    <w:rsid w:val="00135644"/>
    <w:rsid w:val="00135647"/>
    <w:rsid w:val="001356EB"/>
    <w:rsid w:val="001358B0"/>
    <w:rsid w:val="00135A20"/>
    <w:rsid w:val="00135A92"/>
    <w:rsid w:val="00135AAB"/>
    <w:rsid w:val="00135AD6"/>
    <w:rsid w:val="00135E41"/>
    <w:rsid w:val="00135E98"/>
    <w:rsid w:val="00135F18"/>
    <w:rsid w:val="00135F27"/>
    <w:rsid w:val="00135FE0"/>
    <w:rsid w:val="001360E3"/>
    <w:rsid w:val="0013616E"/>
    <w:rsid w:val="00136191"/>
    <w:rsid w:val="00136338"/>
    <w:rsid w:val="0013640F"/>
    <w:rsid w:val="00136442"/>
    <w:rsid w:val="00136738"/>
    <w:rsid w:val="00136825"/>
    <w:rsid w:val="00136A96"/>
    <w:rsid w:val="00136BC6"/>
    <w:rsid w:val="00136BDC"/>
    <w:rsid w:val="00136CB0"/>
    <w:rsid w:val="00136CB3"/>
    <w:rsid w:val="00136E05"/>
    <w:rsid w:val="00136E1E"/>
    <w:rsid w:val="00136EA7"/>
    <w:rsid w:val="00136F89"/>
    <w:rsid w:val="0013702F"/>
    <w:rsid w:val="0013723C"/>
    <w:rsid w:val="0013748B"/>
    <w:rsid w:val="001374F7"/>
    <w:rsid w:val="0013767B"/>
    <w:rsid w:val="00137747"/>
    <w:rsid w:val="0013774B"/>
    <w:rsid w:val="00137A38"/>
    <w:rsid w:val="00137BCC"/>
    <w:rsid w:val="00137C8D"/>
    <w:rsid w:val="00137CB5"/>
    <w:rsid w:val="00137CFA"/>
    <w:rsid w:val="00137E7D"/>
    <w:rsid w:val="00137EB7"/>
    <w:rsid w:val="001400B9"/>
    <w:rsid w:val="00140239"/>
    <w:rsid w:val="0014023F"/>
    <w:rsid w:val="00140346"/>
    <w:rsid w:val="00140391"/>
    <w:rsid w:val="00140437"/>
    <w:rsid w:val="001405EC"/>
    <w:rsid w:val="0014063C"/>
    <w:rsid w:val="001407F0"/>
    <w:rsid w:val="0014080C"/>
    <w:rsid w:val="00140838"/>
    <w:rsid w:val="00140C79"/>
    <w:rsid w:val="00140CEE"/>
    <w:rsid w:val="00140CEF"/>
    <w:rsid w:val="00140F44"/>
    <w:rsid w:val="0014103E"/>
    <w:rsid w:val="001410E4"/>
    <w:rsid w:val="00141155"/>
    <w:rsid w:val="00141212"/>
    <w:rsid w:val="0014123D"/>
    <w:rsid w:val="00141299"/>
    <w:rsid w:val="00141308"/>
    <w:rsid w:val="00141473"/>
    <w:rsid w:val="001414A8"/>
    <w:rsid w:val="001415AE"/>
    <w:rsid w:val="0014160B"/>
    <w:rsid w:val="001416D3"/>
    <w:rsid w:val="001416D9"/>
    <w:rsid w:val="001418CE"/>
    <w:rsid w:val="00141928"/>
    <w:rsid w:val="0014193D"/>
    <w:rsid w:val="00141949"/>
    <w:rsid w:val="001419F0"/>
    <w:rsid w:val="00141A1C"/>
    <w:rsid w:val="00141C2D"/>
    <w:rsid w:val="00141E34"/>
    <w:rsid w:val="001420DF"/>
    <w:rsid w:val="001420F8"/>
    <w:rsid w:val="001421C4"/>
    <w:rsid w:val="001421D3"/>
    <w:rsid w:val="0014238E"/>
    <w:rsid w:val="0014239E"/>
    <w:rsid w:val="001423A4"/>
    <w:rsid w:val="0014244E"/>
    <w:rsid w:val="00142572"/>
    <w:rsid w:val="001426D9"/>
    <w:rsid w:val="00142976"/>
    <w:rsid w:val="00142A55"/>
    <w:rsid w:val="00142A9C"/>
    <w:rsid w:val="00142ADF"/>
    <w:rsid w:val="00142AE2"/>
    <w:rsid w:val="00142AF3"/>
    <w:rsid w:val="00142B1C"/>
    <w:rsid w:val="00142B51"/>
    <w:rsid w:val="00142B63"/>
    <w:rsid w:val="00142BDD"/>
    <w:rsid w:val="00142BE9"/>
    <w:rsid w:val="00142D80"/>
    <w:rsid w:val="00142DD3"/>
    <w:rsid w:val="00142ECC"/>
    <w:rsid w:val="00142F33"/>
    <w:rsid w:val="00142FEB"/>
    <w:rsid w:val="0014307C"/>
    <w:rsid w:val="001430F6"/>
    <w:rsid w:val="00143125"/>
    <w:rsid w:val="00143127"/>
    <w:rsid w:val="0014328A"/>
    <w:rsid w:val="00143326"/>
    <w:rsid w:val="001433C7"/>
    <w:rsid w:val="001433C9"/>
    <w:rsid w:val="001433CA"/>
    <w:rsid w:val="0014348C"/>
    <w:rsid w:val="001434E1"/>
    <w:rsid w:val="00143597"/>
    <w:rsid w:val="001435FD"/>
    <w:rsid w:val="0014369B"/>
    <w:rsid w:val="00143758"/>
    <w:rsid w:val="00143772"/>
    <w:rsid w:val="001437F7"/>
    <w:rsid w:val="0014386B"/>
    <w:rsid w:val="001438C3"/>
    <w:rsid w:val="001438F1"/>
    <w:rsid w:val="00143955"/>
    <w:rsid w:val="001439F3"/>
    <w:rsid w:val="00143ACC"/>
    <w:rsid w:val="00143AD1"/>
    <w:rsid w:val="00143C05"/>
    <w:rsid w:val="00143C1E"/>
    <w:rsid w:val="00143C40"/>
    <w:rsid w:val="00143E4C"/>
    <w:rsid w:val="00143F50"/>
    <w:rsid w:val="00143FE3"/>
    <w:rsid w:val="00144048"/>
    <w:rsid w:val="001440DF"/>
    <w:rsid w:val="0014416A"/>
    <w:rsid w:val="001441D9"/>
    <w:rsid w:val="00144216"/>
    <w:rsid w:val="00144491"/>
    <w:rsid w:val="001445F5"/>
    <w:rsid w:val="0014476D"/>
    <w:rsid w:val="00144866"/>
    <w:rsid w:val="001448CF"/>
    <w:rsid w:val="001449D1"/>
    <w:rsid w:val="00144A78"/>
    <w:rsid w:val="00144B03"/>
    <w:rsid w:val="00144C78"/>
    <w:rsid w:val="00144D78"/>
    <w:rsid w:val="00144DAE"/>
    <w:rsid w:val="00144F6E"/>
    <w:rsid w:val="00145031"/>
    <w:rsid w:val="0014503C"/>
    <w:rsid w:val="001450ED"/>
    <w:rsid w:val="00145235"/>
    <w:rsid w:val="0014534C"/>
    <w:rsid w:val="00145374"/>
    <w:rsid w:val="001453A1"/>
    <w:rsid w:val="001454BF"/>
    <w:rsid w:val="001455B2"/>
    <w:rsid w:val="00145678"/>
    <w:rsid w:val="00145704"/>
    <w:rsid w:val="00145785"/>
    <w:rsid w:val="0014578F"/>
    <w:rsid w:val="00145834"/>
    <w:rsid w:val="00145878"/>
    <w:rsid w:val="001458D2"/>
    <w:rsid w:val="00145A77"/>
    <w:rsid w:val="00145B12"/>
    <w:rsid w:val="00145C21"/>
    <w:rsid w:val="00145C25"/>
    <w:rsid w:val="00145D95"/>
    <w:rsid w:val="00145DAC"/>
    <w:rsid w:val="00145E5B"/>
    <w:rsid w:val="00145ED4"/>
    <w:rsid w:val="001461FD"/>
    <w:rsid w:val="00146235"/>
    <w:rsid w:val="001462A0"/>
    <w:rsid w:val="00146414"/>
    <w:rsid w:val="00146470"/>
    <w:rsid w:val="00146669"/>
    <w:rsid w:val="001466D8"/>
    <w:rsid w:val="001467D5"/>
    <w:rsid w:val="001467E3"/>
    <w:rsid w:val="00146943"/>
    <w:rsid w:val="00146AC2"/>
    <w:rsid w:val="00146ACA"/>
    <w:rsid w:val="00146AE3"/>
    <w:rsid w:val="00146AF4"/>
    <w:rsid w:val="00146B54"/>
    <w:rsid w:val="00146BC1"/>
    <w:rsid w:val="00146C05"/>
    <w:rsid w:val="00146C67"/>
    <w:rsid w:val="00146C6E"/>
    <w:rsid w:val="00146D05"/>
    <w:rsid w:val="00146D2A"/>
    <w:rsid w:val="00146E65"/>
    <w:rsid w:val="00146FBF"/>
    <w:rsid w:val="00146FE1"/>
    <w:rsid w:val="00147029"/>
    <w:rsid w:val="00147166"/>
    <w:rsid w:val="001471AA"/>
    <w:rsid w:val="0014724C"/>
    <w:rsid w:val="00147379"/>
    <w:rsid w:val="00147432"/>
    <w:rsid w:val="00147448"/>
    <w:rsid w:val="00147668"/>
    <w:rsid w:val="001477D9"/>
    <w:rsid w:val="00147859"/>
    <w:rsid w:val="00147876"/>
    <w:rsid w:val="001478FD"/>
    <w:rsid w:val="00147A7E"/>
    <w:rsid w:val="00147AA6"/>
    <w:rsid w:val="00147B30"/>
    <w:rsid w:val="00147B35"/>
    <w:rsid w:val="00147BD1"/>
    <w:rsid w:val="00147D72"/>
    <w:rsid w:val="00147DCA"/>
    <w:rsid w:val="00147E49"/>
    <w:rsid w:val="00147F0B"/>
    <w:rsid w:val="00147FCA"/>
    <w:rsid w:val="00150012"/>
    <w:rsid w:val="00150046"/>
    <w:rsid w:val="0015008B"/>
    <w:rsid w:val="00150091"/>
    <w:rsid w:val="00150151"/>
    <w:rsid w:val="00150235"/>
    <w:rsid w:val="00150384"/>
    <w:rsid w:val="00150454"/>
    <w:rsid w:val="00150564"/>
    <w:rsid w:val="001505AA"/>
    <w:rsid w:val="0015063C"/>
    <w:rsid w:val="00150775"/>
    <w:rsid w:val="00150794"/>
    <w:rsid w:val="001507D8"/>
    <w:rsid w:val="00150803"/>
    <w:rsid w:val="001508F0"/>
    <w:rsid w:val="00150944"/>
    <w:rsid w:val="001509A9"/>
    <w:rsid w:val="00150A09"/>
    <w:rsid w:val="00150A72"/>
    <w:rsid w:val="00150B32"/>
    <w:rsid w:val="00150C0D"/>
    <w:rsid w:val="00150D3E"/>
    <w:rsid w:val="00150D59"/>
    <w:rsid w:val="00150E09"/>
    <w:rsid w:val="00150F9C"/>
    <w:rsid w:val="001510EA"/>
    <w:rsid w:val="001510EF"/>
    <w:rsid w:val="00151114"/>
    <w:rsid w:val="00151146"/>
    <w:rsid w:val="00151186"/>
    <w:rsid w:val="00151194"/>
    <w:rsid w:val="0015125A"/>
    <w:rsid w:val="0015139F"/>
    <w:rsid w:val="001514B2"/>
    <w:rsid w:val="00151518"/>
    <w:rsid w:val="0015165E"/>
    <w:rsid w:val="001518E7"/>
    <w:rsid w:val="00151A14"/>
    <w:rsid w:val="00151A22"/>
    <w:rsid w:val="00151A5E"/>
    <w:rsid w:val="00151C22"/>
    <w:rsid w:val="00151D6F"/>
    <w:rsid w:val="00151DD2"/>
    <w:rsid w:val="00151E0D"/>
    <w:rsid w:val="00151E93"/>
    <w:rsid w:val="00151EBE"/>
    <w:rsid w:val="00151EC9"/>
    <w:rsid w:val="00151F88"/>
    <w:rsid w:val="00152011"/>
    <w:rsid w:val="00152137"/>
    <w:rsid w:val="001521DC"/>
    <w:rsid w:val="0015230D"/>
    <w:rsid w:val="00152385"/>
    <w:rsid w:val="001524B4"/>
    <w:rsid w:val="001525BE"/>
    <w:rsid w:val="0015269D"/>
    <w:rsid w:val="0015270E"/>
    <w:rsid w:val="00152759"/>
    <w:rsid w:val="00152767"/>
    <w:rsid w:val="0015278D"/>
    <w:rsid w:val="00152823"/>
    <w:rsid w:val="0015285A"/>
    <w:rsid w:val="00152900"/>
    <w:rsid w:val="00152968"/>
    <w:rsid w:val="00152A9D"/>
    <w:rsid w:val="00152AC5"/>
    <w:rsid w:val="00152BDA"/>
    <w:rsid w:val="00152D9A"/>
    <w:rsid w:val="00152DBA"/>
    <w:rsid w:val="00152DE9"/>
    <w:rsid w:val="00152E23"/>
    <w:rsid w:val="00152FC1"/>
    <w:rsid w:val="00153038"/>
    <w:rsid w:val="00153087"/>
    <w:rsid w:val="001530AA"/>
    <w:rsid w:val="001530B4"/>
    <w:rsid w:val="001530C2"/>
    <w:rsid w:val="00153296"/>
    <w:rsid w:val="00153330"/>
    <w:rsid w:val="001533D5"/>
    <w:rsid w:val="00153447"/>
    <w:rsid w:val="001534B7"/>
    <w:rsid w:val="00153571"/>
    <w:rsid w:val="00153666"/>
    <w:rsid w:val="00153754"/>
    <w:rsid w:val="0015380A"/>
    <w:rsid w:val="0015393C"/>
    <w:rsid w:val="0015396B"/>
    <w:rsid w:val="001539F3"/>
    <w:rsid w:val="00153A40"/>
    <w:rsid w:val="00153B30"/>
    <w:rsid w:val="00153CE8"/>
    <w:rsid w:val="00153E1F"/>
    <w:rsid w:val="00153EE5"/>
    <w:rsid w:val="00153F83"/>
    <w:rsid w:val="00154008"/>
    <w:rsid w:val="0015403C"/>
    <w:rsid w:val="001540FB"/>
    <w:rsid w:val="00154143"/>
    <w:rsid w:val="0015414F"/>
    <w:rsid w:val="00154150"/>
    <w:rsid w:val="00154267"/>
    <w:rsid w:val="0015435E"/>
    <w:rsid w:val="00154386"/>
    <w:rsid w:val="001544F8"/>
    <w:rsid w:val="00154530"/>
    <w:rsid w:val="00154752"/>
    <w:rsid w:val="00154847"/>
    <w:rsid w:val="00154879"/>
    <w:rsid w:val="001548B1"/>
    <w:rsid w:val="001548DF"/>
    <w:rsid w:val="001549C6"/>
    <w:rsid w:val="00154A35"/>
    <w:rsid w:val="00154AEC"/>
    <w:rsid w:val="00154B61"/>
    <w:rsid w:val="00154BF6"/>
    <w:rsid w:val="00154C02"/>
    <w:rsid w:val="00154C8D"/>
    <w:rsid w:val="00154DB6"/>
    <w:rsid w:val="00154E26"/>
    <w:rsid w:val="00154FD3"/>
    <w:rsid w:val="0015502C"/>
    <w:rsid w:val="0015526A"/>
    <w:rsid w:val="001552AF"/>
    <w:rsid w:val="00155308"/>
    <w:rsid w:val="001553BC"/>
    <w:rsid w:val="001553C9"/>
    <w:rsid w:val="00155454"/>
    <w:rsid w:val="00155627"/>
    <w:rsid w:val="0015562D"/>
    <w:rsid w:val="001557A4"/>
    <w:rsid w:val="001558D7"/>
    <w:rsid w:val="001558FD"/>
    <w:rsid w:val="0015596F"/>
    <w:rsid w:val="001559F1"/>
    <w:rsid w:val="00155A6D"/>
    <w:rsid w:val="00155AD3"/>
    <w:rsid w:val="00155BF0"/>
    <w:rsid w:val="00155C14"/>
    <w:rsid w:val="00155CD5"/>
    <w:rsid w:val="00155EC4"/>
    <w:rsid w:val="001560FF"/>
    <w:rsid w:val="00156212"/>
    <w:rsid w:val="0015636F"/>
    <w:rsid w:val="001563E1"/>
    <w:rsid w:val="001563E6"/>
    <w:rsid w:val="00156412"/>
    <w:rsid w:val="001565AD"/>
    <w:rsid w:val="001566ED"/>
    <w:rsid w:val="00156781"/>
    <w:rsid w:val="001567DE"/>
    <w:rsid w:val="00156873"/>
    <w:rsid w:val="00156965"/>
    <w:rsid w:val="001569B5"/>
    <w:rsid w:val="00156BB8"/>
    <w:rsid w:val="00156CCF"/>
    <w:rsid w:val="00156E56"/>
    <w:rsid w:val="00156FDE"/>
    <w:rsid w:val="0015700E"/>
    <w:rsid w:val="0015704E"/>
    <w:rsid w:val="00157253"/>
    <w:rsid w:val="00157276"/>
    <w:rsid w:val="001572B8"/>
    <w:rsid w:val="00157397"/>
    <w:rsid w:val="001573D5"/>
    <w:rsid w:val="001574ED"/>
    <w:rsid w:val="00157537"/>
    <w:rsid w:val="00157556"/>
    <w:rsid w:val="00157565"/>
    <w:rsid w:val="00157776"/>
    <w:rsid w:val="001577B4"/>
    <w:rsid w:val="001577CE"/>
    <w:rsid w:val="001577D7"/>
    <w:rsid w:val="0015780F"/>
    <w:rsid w:val="0015781B"/>
    <w:rsid w:val="00157848"/>
    <w:rsid w:val="001579B2"/>
    <w:rsid w:val="001579E1"/>
    <w:rsid w:val="00157A2F"/>
    <w:rsid w:val="00157A79"/>
    <w:rsid w:val="00157AEC"/>
    <w:rsid w:val="00157AF6"/>
    <w:rsid w:val="00157BDA"/>
    <w:rsid w:val="00157D30"/>
    <w:rsid w:val="00157D64"/>
    <w:rsid w:val="00157D74"/>
    <w:rsid w:val="00157DDC"/>
    <w:rsid w:val="00157E22"/>
    <w:rsid w:val="00157E98"/>
    <w:rsid w:val="00157ECF"/>
    <w:rsid w:val="00157F9E"/>
    <w:rsid w:val="00160179"/>
    <w:rsid w:val="00160257"/>
    <w:rsid w:val="0016026C"/>
    <w:rsid w:val="0016029E"/>
    <w:rsid w:val="001602D7"/>
    <w:rsid w:val="0016036A"/>
    <w:rsid w:val="00160471"/>
    <w:rsid w:val="001604D0"/>
    <w:rsid w:val="00160719"/>
    <w:rsid w:val="001607EA"/>
    <w:rsid w:val="00160856"/>
    <w:rsid w:val="00160880"/>
    <w:rsid w:val="00160983"/>
    <w:rsid w:val="001609C1"/>
    <w:rsid w:val="00160A1B"/>
    <w:rsid w:val="00160A97"/>
    <w:rsid w:val="00160B76"/>
    <w:rsid w:val="00160BE6"/>
    <w:rsid w:val="00160C2C"/>
    <w:rsid w:val="00160E23"/>
    <w:rsid w:val="0016102F"/>
    <w:rsid w:val="0016128B"/>
    <w:rsid w:val="0016131B"/>
    <w:rsid w:val="0016132E"/>
    <w:rsid w:val="001613A3"/>
    <w:rsid w:val="001613AE"/>
    <w:rsid w:val="001613D3"/>
    <w:rsid w:val="00161400"/>
    <w:rsid w:val="00161498"/>
    <w:rsid w:val="001614E7"/>
    <w:rsid w:val="001614FC"/>
    <w:rsid w:val="00161573"/>
    <w:rsid w:val="00161722"/>
    <w:rsid w:val="00161981"/>
    <w:rsid w:val="00161A13"/>
    <w:rsid w:val="00161AE3"/>
    <w:rsid w:val="00161C4F"/>
    <w:rsid w:val="00161C5A"/>
    <w:rsid w:val="00161CCF"/>
    <w:rsid w:val="00161D55"/>
    <w:rsid w:val="00161DBC"/>
    <w:rsid w:val="00161E06"/>
    <w:rsid w:val="00161FAA"/>
    <w:rsid w:val="00162070"/>
    <w:rsid w:val="0016216B"/>
    <w:rsid w:val="0016219A"/>
    <w:rsid w:val="00162384"/>
    <w:rsid w:val="001624BB"/>
    <w:rsid w:val="0016258D"/>
    <w:rsid w:val="001625D0"/>
    <w:rsid w:val="00162699"/>
    <w:rsid w:val="001627BB"/>
    <w:rsid w:val="00162890"/>
    <w:rsid w:val="001628BB"/>
    <w:rsid w:val="00162938"/>
    <w:rsid w:val="001629F7"/>
    <w:rsid w:val="00162A97"/>
    <w:rsid w:val="00162ACF"/>
    <w:rsid w:val="00162B01"/>
    <w:rsid w:val="00162B66"/>
    <w:rsid w:val="00162C40"/>
    <w:rsid w:val="00162C74"/>
    <w:rsid w:val="00162C94"/>
    <w:rsid w:val="00162CCE"/>
    <w:rsid w:val="00162E90"/>
    <w:rsid w:val="00162E9F"/>
    <w:rsid w:val="00162ED2"/>
    <w:rsid w:val="00162FF5"/>
    <w:rsid w:val="001630D4"/>
    <w:rsid w:val="0016312B"/>
    <w:rsid w:val="00163181"/>
    <w:rsid w:val="00163219"/>
    <w:rsid w:val="00163251"/>
    <w:rsid w:val="0016326B"/>
    <w:rsid w:val="0016327C"/>
    <w:rsid w:val="00163296"/>
    <w:rsid w:val="00163352"/>
    <w:rsid w:val="00163446"/>
    <w:rsid w:val="001634A0"/>
    <w:rsid w:val="001634B9"/>
    <w:rsid w:val="00163559"/>
    <w:rsid w:val="0016359B"/>
    <w:rsid w:val="001635C0"/>
    <w:rsid w:val="001635D1"/>
    <w:rsid w:val="001635F5"/>
    <w:rsid w:val="001636FB"/>
    <w:rsid w:val="001637B8"/>
    <w:rsid w:val="00163911"/>
    <w:rsid w:val="00163994"/>
    <w:rsid w:val="001639C0"/>
    <w:rsid w:val="00163A7D"/>
    <w:rsid w:val="00163B79"/>
    <w:rsid w:val="00163C8A"/>
    <w:rsid w:val="00163D47"/>
    <w:rsid w:val="00163D93"/>
    <w:rsid w:val="00163DB5"/>
    <w:rsid w:val="00163F3B"/>
    <w:rsid w:val="00163F71"/>
    <w:rsid w:val="00164012"/>
    <w:rsid w:val="0016405C"/>
    <w:rsid w:val="00164072"/>
    <w:rsid w:val="0016411C"/>
    <w:rsid w:val="0016430F"/>
    <w:rsid w:val="001643EC"/>
    <w:rsid w:val="001645AB"/>
    <w:rsid w:val="0016460F"/>
    <w:rsid w:val="00164693"/>
    <w:rsid w:val="001647A5"/>
    <w:rsid w:val="001647CA"/>
    <w:rsid w:val="0016480C"/>
    <w:rsid w:val="0016481D"/>
    <w:rsid w:val="00164A06"/>
    <w:rsid w:val="00164A7B"/>
    <w:rsid w:val="00164AB4"/>
    <w:rsid w:val="00164B45"/>
    <w:rsid w:val="00164C16"/>
    <w:rsid w:val="00164C1F"/>
    <w:rsid w:val="00164C6F"/>
    <w:rsid w:val="00164CE0"/>
    <w:rsid w:val="00164D08"/>
    <w:rsid w:val="00164D65"/>
    <w:rsid w:val="00164D9E"/>
    <w:rsid w:val="00164E88"/>
    <w:rsid w:val="00164F56"/>
    <w:rsid w:val="00164F84"/>
    <w:rsid w:val="0016515F"/>
    <w:rsid w:val="001652D2"/>
    <w:rsid w:val="001652E2"/>
    <w:rsid w:val="00165334"/>
    <w:rsid w:val="00165353"/>
    <w:rsid w:val="001654A1"/>
    <w:rsid w:val="00165575"/>
    <w:rsid w:val="0016564A"/>
    <w:rsid w:val="0016577B"/>
    <w:rsid w:val="00165866"/>
    <w:rsid w:val="0016595C"/>
    <w:rsid w:val="00165972"/>
    <w:rsid w:val="00165AF5"/>
    <w:rsid w:val="00165B1E"/>
    <w:rsid w:val="00165D5D"/>
    <w:rsid w:val="00165DAA"/>
    <w:rsid w:val="00165F87"/>
    <w:rsid w:val="00165F8C"/>
    <w:rsid w:val="00165FBB"/>
    <w:rsid w:val="00166052"/>
    <w:rsid w:val="00166107"/>
    <w:rsid w:val="00166117"/>
    <w:rsid w:val="00166152"/>
    <w:rsid w:val="001661D4"/>
    <w:rsid w:val="0016632F"/>
    <w:rsid w:val="001663E5"/>
    <w:rsid w:val="001664B6"/>
    <w:rsid w:val="0016651C"/>
    <w:rsid w:val="001665CF"/>
    <w:rsid w:val="001666A5"/>
    <w:rsid w:val="001666F0"/>
    <w:rsid w:val="0016676A"/>
    <w:rsid w:val="001667C3"/>
    <w:rsid w:val="00166822"/>
    <w:rsid w:val="00166898"/>
    <w:rsid w:val="001668D9"/>
    <w:rsid w:val="00166932"/>
    <w:rsid w:val="00166951"/>
    <w:rsid w:val="00166992"/>
    <w:rsid w:val="00166B7E"/>
    <w:rsid w:val="00166BF6"/>
    <w:rsid w:val="00166DED"/>
    <w:rsid w:val="00167037"/>
    <w:rsid w:val="001671AC"/>
    <w:rsid w:val="00167230"/>
    <w:rsid w:val="001672ED"/>
    <w:rsid w:val="001673C0"/>
    <w:rsid w:val="00167409"/>
    <w:rsid w:val="001674A0"/>
    <w:rsid w:val="001674C8"/>
    <w:rsid w:val="001674C9"/>
    <w:rsid w:val="001674D1"/>
    <w:rsid w:val="0016753D"/>
    <w:rsid w:val="00167695"/>
    <w:rsid w:val="001676E7"/>
    <w:rsid w:val="0016772C"/>
    <w:rsid w:val="001677FF"/>
    <w:rsid w:val="00167BE1"/>
    <w:rsid w:val="00167BF4"/>
    <w:rsid w:val="00167C5D"/>
    <w:rsid w:val="00167CF7"/>
    <w:rsid w:val="00167D64"/>
    <w:rsid w:val="00167EBD"/>
    <w:rsid w:val="00167F7B"/>
    <w:rsid w:val="00170006"/>
    <w:rsid w:val="00170009"/>
    <w:rsid w:val="0017004A"/>
    <w:rsid w:val="0017010A"/>
    <w:rsid w:val="001701E8"/>
    <w:rsid w:val="001702C0"/>
    <w:rsid w:val="001703B8"/>
    <w:rsid w:val="001703C0"/>
    <w:rsid w:val="00170446"/>
    <w:rsid w:val="001704DF"/>
    <w:rsid w:val="0017051E"/>
    <w:rsid w:val="00170610"/>
    <w:rsid w:val="0017062D"/>
    <w:rsid w:val="00170772"/>
    <w:rsid w:val="00170B79"/>
    <w:rsid w:val="00170C4F"/>
    <w:rsid w:val="00170E8C"/>
    <w:rsid w:val="00170FC2"/>
    <w:rsid w:val="00171056"/>
    <w:rsid w:val="0017108E"/>
    <w:rsid w:val="00171220"/>
    <w:rsid w:val="001712A7"/>
    <w:rsid w:val="001714E7"/>
    <w:rsid w:val="00171531"/>
    <w:rsid w:val="00171565"/>
    <w:rsid w:val="001715AC"/>
    <w:rsid w:val="001715F9"/>
    <w:rsid w:val="0017165D"/>
    <w:rsid w:val="00171664"/>
    <w:rsid w:val="0017174A"/>
    <w:rsid w:val="00171892"/>
    <w:rsid w:val="001718EB"/>
    <w:rsid w:val="00171B55"/>
    <w:rsid w:val="00171BA1"/>
    <w:rsid w:val="00171BB2"/>
    <w:rsid w:val="00171BBD"/>
    <w:rsid w:val="00171C39"/>
    <w:rsid w:val="00171C80"/>
    <w:rsid w:val="00171D0D"/>
    <w:rsid w:val="00171D38"/>
    <w:rsid w:val="00171D3A"/>
    <w:rsid w:val="00171D4C"/>
    <w:rsid w:val="00171E0D"/>
    <w:rsid w:val="00171E50"/>
    <w:rsid w:val="00171E7E"/>
    <w:rsid w:val="00171EF9"/>
    <w:rsid w:val="0017205E"/>
    <w:rsid w:val="001721AB"/>
    <w:rsid w:val="0017221C"/>
    <w:rsid w:val="00172288"/>
    <w:rsid w:val="00172400"/>
    <w:rsid w:val="0017250A"/>
    <w:rsid w:val="00172516"/>
    <w:rsid w:val="001727FB"/>
    <w:rsid w:val="00172A6F"/>
    <w:rsid w:val="00172AE3"/>
    <w:rsid w:val="00172BCA"/>
    <w:rsid w:val="00172CFE"/>
    <w:rsid w:val="00172DB0"/>
    <w:rsid w:val="00172DE2"/>
    <w:rsid w:val="00172E36"/>
    <w:rsid w:val="001730ED"/>
    <w:rsid w:val="001731A8"/>
    <w:rsid w:val="0017325E"/>
    <w:rsid w:val="00173267"/>
    <w:rsid w:val="0017326F"/>
    <w:rsid w:val="001732A3"/>
    <w:rsid w:val="00173332"/>
    <w:rsid w:val="00173342"/>
    <w:rsid w:val="001733FA"/>
    <w:rsid w:val="00173482"/>
    <w:rsid w:val="001734F8"/>
    <w:rsid w:val="00173534"/>
    <w:rsid w:val="00173630"/>
    <w:rsid w:val="00173672"/>
    <w:rsid w:val="001736D2"/>
    <w:rsid w:val="00173770"/>
    <w:rsid w:val="001737E7"/>
    <w:rsid w:val="00173925"/>
    <w:rsid w:val="00173950"/>
    <w:rsid w:val="00173A38"/>
    <w:rsid w:val="00173A82"/>
    <w:rsid w:val="00173AB6"/>
    <w:rsid w:val="00173B09"/>
    <w:rsid w:val="00173BDA"/>
    <w:rsid w:val="00173CD1"/>
    <w:rsid w:val="00173CF1"/>
    <w:rsid w:val="00173E75"/>
    <w:rsid w:val="0017405D"/>
    <w:rsid w:val="001740E3"/>
    <w:rsid w:val="001740FE"/>
    <w:rsid w:val="00174247"/>
    <w:rsid w:val="00174466"/>
    <w:rsid w:val="001744F2"/>
    <w:rsid w:val="00174514"/>
    <w:rsid w:val="00174555"/>
    <w:rsid w:val="0017460A"/>
    <w:rsid w:val="0017460C"/>
    <w:rsid w:val="00174684"/>
    <w:rsid w:val="001748C3"/>
    <w:rsid w:val="001748E6"/>
    <w:rsid w:val="001748F8"/>
    <w:rsid w:val="001749CD"/>
    <w:rsid w:val="00174A2A"/>
    <w:rsid w:val="00174A44"/>
    <w:rsid w:val="00174AC3"/>
    <w:rsid w:val="00174B18"/>
    <w:rsid w:val="00174B43"/>
    <w:rsid w:val="00174B7E"/>
    <w:rsid w:val="00174B86"/>
    <w:rsid w:val="00174D22"/>
    <w:rsid w:val="00174D70"/>
    <w:rsid w:val="00174DC0"/>
    <w:rsid w:val="00174DD7"/>
    <w:rsid w:val="00174DDC"/>
    <w:rsid w:val="00174DE9"/>
    <w:rsid w:val="00174F70"/>
    <w:rsid w:val="00174F86"/>
    <w:rsid w:val="00175000"/>
    <w:rsid w:val="001750E3"/>
    <w:rsid w:val="001752D5"/>
    <w:rsid w:val="0017530A"/>
    <w:rsid w:val="001753DF"/>
    <w:rsid w:val="00175466"/>
    <w:rsid w:val="00175593"/>
    <w:rsid w:val="001756BA"/>
    <w:rsid w:val="00175731"/>
    <w:rsid w:val="00175784"/>
    <w:rsid w:val="001757B0"/>
    <w:rsid w:val="001758ED"/>
    <w:rsid w:val="00175A39"/>
    <w:rsid w:val="00175A86"/>
    <w:rsid w:val="00175A9B"/>
    <w:rsid w:val="00175B85"/>
    <w:rsid w:val="00175BC6"/>
    <w:rsid w:val="00175C41"/>
    <w:rsid w:val="00175DDF"/>
    <w:rsid w:val="00175E3C"/>
    <w:rsid w:val="00175E55"/>
    <w:rsid w:val="00176026"/>
    <w:rsid w:val="001761E4"/>
    <w:rsid w:val="001763DF"/>
    <w:rsid w:val="001765AD"/>
    <w:rsid w:val="001765C6"/>
    <w:rsid w:val="0017665B"/>
    <w:rsid w:val="001766CD"/>
    <w:rsid w:val="0017681C"/>
    <w:rsid w:val="00176983"/>
    <w:rsid w:val="00176A15"/>
    <w:rsid w:val="00176AA0"/>
    <w:rsid w:val="00176AD4"/>
    <w:rsid w:val="00176B7C"/>
    <w:rsid w:val="00176BB5"/>
    <w:rsid w:val="00176BED"/>
    <w:rsid w:val="00176C38"/>
    <w:rsid w:val="00176C41"/>
    <w:rsid w:val="00176DA2"/>
    <w:rsid w:val="00176DA9"/>
    <w:rsid w:val="00176DB0"/>
    <w:rsid w:val="00176DDA"/>
    <w:rsid w:val="00176DDB"/>
    <w:rsid w:val="00176DE7"/>
    <w:rsid w:val="00176E73"/>
    <w:rsid w:val="00176EA1"/>
    <w:rsid w:val="0017700A"/>
    <w:rsid w:val="00177011"/>
    <w:rsid w:val="0017701D"/>
    <w:rsid w:val="00177025"/>
    <w:rsid w:val="001771AA"/>
    <w:rsid w:val="001771D0"/>
    <w:rsid w:val="001772AF"/>
    <w:rsid w:val="001774AE"/>
    <w:rsid w:val="001775B3"/>
    <w:rsid w:val="0017768D"/>
    <w:rsid w:val="001776F0"/>
    <w:rsid w:val="00177743"/>
    <w:rsid w:val="00177783"/>
    <w:rsid w:val="0017784D"/>
    <w:rsid w:val="001779B6"/>
    <w:rsid w:val="001779E6"/>
    <w:rsid w:val="00177A3A"/>
    <w:rsid w:val="00177B66"/>
    <w:rsid w:val="00177CB8"/>
    <w:rsid w:val="00177F0C"/>
    <w:rsid w:val="001801BA"/>
    <w:rsid w:val="001801C1"/>
    <w:rsid w:val="0018020A"/>
    <w:rsid w:val="001802ED"/>
    <w:rsid w:val="001803EC"/>
    <w:rsid w:val="00180507"/>
    <w:rsid w:val="00180539"/>
    <w:rsid w:val="00180542"/>
    <w:rsid w:val="0018056B"/>
    <w:rsid w:val="00180620"/>
    <w:rsid w:val="001806BC"/>
    <w:rsid w:val="0018074C"/>
    <w:rsid w:val="001807EA"/>
    <w:rsid w:val="00180863"/>
    <w:rsid w:val="00180913"/>
    <w:rsid w:val="001809D6"/>
    <w:rsid w:val="00180A49"/>
    <w:rsid w:val="00180A70"/>
    <w:rsid w:val="00180C01"/>
    <w:rsid w:val="00180C23"/>
    <w:rsid w:val="00180DED"/>
    <w:rsid w:val="00180E65"/>
    <w:rsid w:val="00180E83"/>
    <w:rsid w:val="00180EF7"/>
    <w:rsid w:val="00180F3F"/>
    <w:rsid w:val="00181052"/>
    <w:rsid w:val="001810E7"/>
    <w:rsid w:val="001812C4"/>
    <w:rsid w:val="001815E0"/>
    <w:rsid w:val="0018180D"/>
    <w:rsid w:val="00181A1F"/>
    <w:rsid w:val="00181ACE"/>
    <w:rsid w:val="00181D59"/>
    <w:rsid w:val="00181DC1"/>
    <w:rsid w:val="00181FAB"/>
    <w:rsid w:val="0018218C"/>
    <w:rsid w:val="0018222F"/>
    <w:rsid w:val="00182319"/>
    <w:rsid w:val="00182363"/>
    <w:rsid w:val="001823D6"/>
    <w:rsid w:val="00182417"/>
    <w:rsid w:val="00182453"/>
    <w:rsid w:val="001824C7"/>
    <w:rsid w:val="00182512"/>
    <w:rsid w:val="00182522"/>
    <w:rsid w:val="0018255F"/>
    <w:rsid w:val="00182637"/>
    <w:rsid w:val="00182689"/>
    <w:rsid w:val="001826B5"/>
    <w:rsid w:val="001827A6"/>
    <w:rsid w:val="00182825"/>
    <w:rsid w:val="00182851"/>
    <w:rsid w:val="00182916"/>
    <w:rsid w:val="001829BF"/>
    <w:rsid w:val="00182EEB"/>
    <w:rsid w:val="00182FD8"/>
    <w:rsid w:val="0018311A"/>
    <w:rsid w:val="0018312D"/>
    <w:rsid w:val="001831D2"/>
    <w:rsid w:val="00183291"/>
    <w:rsid w:val="0018345A"/>
    <w:rsid w:val="001834C4"/>
    <w:rsid w:val="0018369B"/>
    <w:rsid w:val="001836A8"/>
    <w:rsid w:val="00183785"/>
    <w:rsid w:val="001838C8"/>
    <w:rsid w:val="00183948"/>
    <w:rsid w:val="001839D1"/>
    <w:rsid w:val="00183B1D"/>
    <w:rsid w:val="00183B77"/>
    <w:rsid w:val="00183CA5"/>
    <w:rsid w:val="00183CFD"/>
    <w:rsid w:val="00183E2A"/>
    <w:rsid w:val="0018405E"/>
    <w:rsid w:val="00184101"/>
    <w:rsid w:val="0018414F"/>
    <w:rsid w:val="001841F3"/>
    <w:rsid w:val="001842EB"/>
    <w:rsid w:val="001843C8"/>
    <w:rsid w:val="00184417"/>
    <w:rsid w:val="00184422"/>
    <w:rsid w:val="0018445B"/>
    <w:rsid w:val="00184497"/>
    <w:rsid w:val="00184511"/>
    <w:rsid w:val="0018459C"/>
    <w:rsid w:val="00184676"/>
    <w:rsid w:val="00184766"/>
    <w:rsid w:val="00184834"/>
    <w:rsid w:val="0018489B"/>
    <w:rsid w:val="0018494F"/>
    <w:rsid w:val="00184B4B"/>
    <w:rsid w:val="00184B53"/>
    <w:rsid w:val="00184C30"/>
    <w:rsid w:val="00184C7F"/>
    <w:rsid w:val="00184E90"/>
    <w:rsid w:val="00185342"/>
    <w:rsid w:val="00185349"/>
    <w:rsid w:val="00185370"/>
    <w:rsid w:val="00185373"/>
    <w:rsid w:val="001854A9"/>
    <w:rsid w:val="00185594"/>
    <w:rsid w:val="00185622"/>
    <w:rsid w:val="0018562E"/>
    <w:rsid w:val="0018577D"/>
    <w:rsid w:val="001857E6"/>
    <w:rsid w:val="00185944"/>
    <w:rsid w:val="00185948"/>
    <w:rsid w:val="00185984"/>
    <w:rsid w:val="001859A1"/>
    <w:rsid w:val="00185B87"/>
    <w:rsid w:val="00185BA3"/>
    <w:rsid w:val="00185CCA"/>
    <w:rsid w:val="00185CFE"/>
    <w:rsid w:val="00185E3C"/>
    <w:rsid w:val="00185F5D"/>
    <w:rsid w:val="00185FDC"/>
    <w:rsid w:val="00186016"/>
    <w:rsid w:val="00186102"/>
    <w:rsid w:val="001863A4"/>
    <w:rsid w:val="0018661F"/>
    <w:rsid w:val="001866AE"/>
    <w:rsid w:val="00186820"/>
    <w:rsid w:val="0018692E"/>
    <w:rsid w:val="00186AA5"/>
    <w:rsid w:val="00186AE7"/>
    <w:rsid w:val="00186DDB"/>
    <w:rsid w:val="00186EC3"/>
    <w:rsid w:val="00186FF3"/>
    <w:rsid w:val="00187164"/>
    <w:rsid w:val="00187170"/>
    <w:rsid w:val="001871A3"/>
    <w:rsid w:val="00187297"/>
    <w:rsid w:val="001872A7"/>
    <w:rsid w:val="001872BD"/>
    <w:rsid w:val="00187338"/>
    <w:rsid w:val="0018734B"/>
    <w:rsid w:val="0018756E"/>
    <w:rsid w:val="001875CA"/>
    <w:rsid w:val="001876B8"/>
    <w:rsid w:val="00187740"/>
    <w:rsid w:val="00187784"/>
    <w:rsid w:val="001877EC"/>
    <w:rsid w:val="001879BB"/>
    <w:rsid w:val="00187AF0"/>
    <w:rsid w:val="00187B79"/>
    <w:rsid w:val="00187B89"/>
    <w:rsid w:val="00187B91"/>
    <w:rsid w:val="00187BAF"/>
    <w:rsid w:val="00187C6F"/>
    <w:rsid w:val="00187CE9"/>
    <w:rsid w:val="00187D43"/>
    <w:rsid w:val="00187FE8"/>
    <w:rsid w:val="00190093"/>
    <w:rsid w:val="00190184"/>
    <w:rsid w:val="001901FE"/>
    <w:rsid w:val="00190213"/>
    <w:rsid w:val="00190218"/>
    <w:rsid w:val="001902CD"/>
    <w:rsid w:val="00190366"/>
    <w:rsid w:val="00190379"/>
    <w:rsid w:val="0019058F"/>
    <w:rsid w:val="00190944"/>
    <w:rsid w:val="00190A39"/>
    <w:rsid w:val="00190A5B"/>
    <w:rsid w:val="00190B69"/>
    <w:rsid w:val="00190BB7"/>
    <w:rsid w:val="00190D39"/>
    <w:rsid w:val="00190DCD"/>
    <w:rsid w:val="00190E58"/>
    <w:rsid w:val="00190ED1"/>
    <w:rsid w:val="00191046"/>
    <w:rsid w:val="00191155"/>
    <w:rsid w:val="0019115B"/>
    <w:rsid w:val="001911D2"/>
    <w:rsid w:val="0019134A"/>
    <w:rsid w:val="0019135A"/>
    <w:rsid w:val="0019157E"/>
    <w:rsid w:val="00191680"/>
    <w:rsid w:val="00191691"/>
    <w:rsid w:val="001916D5"/>
    <w:rsid w:val="00191772"/>
    <w:rsid w:val="00191825"/>
    <w:rsid w:val="001919A9"/>
    <w:rsid w:val="00191DAB"/>
    <w:rsid w:val="00191F4B"/>
    <w:rsid w:val="00191FA7"/>
    <w:rsid w:val="00192098"/>
    <w:rsid w:val="001920EE"/>
    <w:rsid w:val="001920FE"/>
    <w:rsid w:val="001921B1"/>
    <w:rsid w:val="0019232C"/>
    <w:rsid w:val="00192415"/>
    <w:rsid w:val="00192493"/>
    <w:rsid w:val="0019249D"/>
    <w:rsid w:val="001925B8"/>
    <w:rsid w:val="0019264C"/>
    <w:rsid w:val="00192705"/>
    <w:rsid w:val="001927C0"/>
    <w:rsid w:val="00192898"/>
    <w:rsid w:val="001929F9"/>
    <w:rsid w:val="00192A81"/>
    <w:rsid w:val="00192B38"/>
    <w:rsid w:val="00192BBC"/>
    <w:rsid w:val="00192CAF"/>
    <w:rsid w:val="00192CBB"/>
    <w:rsid w:val="00192D2B"/>
    <w:rsid w:val="00192D5F"/>
    <w:rsid w:val="00192F78"/>
    <w:rsid w:val="00193041"/>
    <w:rsid w:val="00193070"/>
    <w:rsid w:val="00193140"/>
    <w:rsid w:val="001931E2"/>
    <w:rsid w:val="0019320A"/>
    <w:rsid w:val="001933AF"/>
    <w:rsid w:val="001934B5"/>
    <w:rsid w:val="0019351A"/>
    <w:rsid w:val="00193569"/>
    <w:rsid w:val="00193594"/>
    <w:rsid w:val="0019364E"/>
    <w:rsid w:val="00193670"/>
    <w:rsid w:val="0019375C"/>
    <w:rsid w:val="00193853"/>
    <w:rsid w:val="0019387D"/>
    <w:rsid w:val="001938B2"/>
    <w:rsid w:val="00193947"/>
    <w:rsid w:val="00193A6D"/>
    <w:rsid w:val="00193C24"/>
    <w:rsid w:val="00193CB1"/>
    <w:rsid w:val="00193CDF"/>
    <w:rsid w:val="00193D66"/>
    <w:rsid w:val="00193F9E"/>
    <w:rsid w:val="001940C3"/>
    <w:rsid w:val="0019420E"/>
    <w:rsid w:val="0019434F"/>
    <w:rsid w:val="00194387"/>
    <w:rsid w:val="00194402"/>
    <w:rsid w:val="0019455B"/>
    <w:rsid w:val="0019475F"/>
    <w:rsid w:val="00194822"/>
    <w:rsid w:val="0019482A"/>
    <w:rsid w:val="0019495B"/>
    <w:rsid w:val="00194974"/>
    <w:rsid w:val="001949F7"/>
    <w:rsid w:val="00194A19"/>
    <w:rsid w:val="00194B1A"/>
    <w:rsid w:val="00194BDA"/>
    <w:rsid w:val="00194C1B"/>
    <w:rsid w:val="00194C23"/>
    <w:rsid w:val="00194EEE"/>
    <w:rsid w:val="00194F35"/>
    <w:rsid w:val="00194FBF"/>
    <w:rsid w:val="001950FD"/>
    <w:rsid w:val="0019527E"/>
    <w:rsid w:val="001952A4"/>
    <w:rsid w:val="00195376"/>
    <w:rsid w:val="001953E4"/>
    <w:rsid w:val="001954F7"/>
    <w:rsid w:val="00195631"/>
    <w:rsid w:val="00195677"/>
    <w:rsid w:val="0019567D"/>
    <w:rsid w:val="001956B1"/>
    <w:rsid w:val="001956CD"/>
    <w:rsid w:val="0019574E"/>
    <w:rsid w:val="001957B3"/>
    <w:rsid w:val="001957F8"/>
    <w:rsid w:val="0019591A"/>
    <w:rsid w:val="00195A8C"/>
    <w:rsid w:val="00195AFE"/>
    <w:rsid w:val="00195B4D"/>
    <w:rsid w:val="00195B7E"/>
    <w:rsid w:val="00195BF0"/>
    <w:rsid w:val="00195C3A"/>
    <w:rsid w:val="00195C64"/>
    <w:rsid w:val="00195E40"/>
    <w:rsid w:val="00195EDC"/>
    <w:rsid w:val="00195F81"/>
    <w:rsid w:val="00195FDE"/>
    <w:rsid w:val="00196056"/>
    <w:rsid w:val="00196171"/>
    <w:rsid w:val="001961E2"/>
    <w:rsid w:val="001962E4"/>
    <w:rsid w:val="00196313"/>
    <w:rsid w:val="00196325"/>
    <w:rsid w:val="00196485"/>
    <w:rsid w:val="00196498"/>
    <w:rsid w:val="0019656F"/>
    <w:rsid w:val="0019659D"/>
    <w:rsid w:val="00196634"/>
    <w:rsid w:val="00196674"/>
    <w:rsid w:val="0019670C"/>
    <w:rsid w:val="001968C0"/>
    <w:rsid w:val="0019696B"/>
    <w:rsid w:val="00196ABD"/>
    <w:rsid w:val="00196AFE"/>
    <w:rsid w:val="00196B18"/>
    <w:rsid w:val="00196D96"/>
    <w:rsid w:val="00196F45"/>
    <w:rsid w:val="00197001"/>
    <w:rsid w:val="00197018"/>
    <w:rsid w:val="00197024"/>
    <w:rsid w:val="001970A4"/>
    <w:rsid w:val="001970E6"/>
    <w:rsid w:val="001974E0"/>
    <w:rsid w:val="00197515"/>
    <w:rsid w:val="00197754"/>
    <w:rsid w:val="001977F6"/>
    <w:rsid w:val="00197A72"/>
    <w:rsid w:val="00197B04"/>
    <w:rsid w:val="00197B42"/>
    <w:rsid w:val="00197B49"/>
    <w:rsid w:val="00197CB7"/>
    <w:rsid w:val="00197F11"/>
    <w:rsid w:val="00197F59"/>
    <w:rsid w:val="00197F8C"/>
    <w:rsid w:val="00197F8E"/>
    <w:rsid w:val="001A003C"/>
    <w:rsid w:val="001A004C"/>
    <w:rsid w:val="001A0251"/>
    <w:rsid w:val="001A02B3"/>
    <w:rsid w:val="001A02DA"/>
    <w:rsid w:val="001A031A"/>
    <w:rsid w:val="001A03A1"/>
    <w:rsid w:val="001A0416"/>
    <w:rsid w:val="001A04A7"/>
    <w:rsid w:val="001A0503"/>
    <w:rsid w:val="001A05DA"/>
    <w:rsid w:val="001A066F"/>
    <w:rsid w:val="001A0811"/>
    <w:rsid w:val="001A084E"/>
    <w:rsid w:val="001A088D"/>
    <w:rsid w:val="001A08AC"/>
    <w:rsid w:val="001A0971"/>
    <w:rsid w:val="001A0982"/>
    <w:rsid w:val="001A09B8"/>
    <w:rsid w:val="001A09C4"/>
    <w:rsid w:val="001A0AC6"/>
    <w:rsid w:val="001A0D66"/>
    <w:rsid w:val="001A0D97"/>
    <w:rsid w:val="001A0E5B"/>
    <w:rsid w:val="001A0EF4"/>
    <w:rsid w:val="001A0FAB"/>
    <w:rsid w:val="001A0FF5"/>
    <w:rsid w:val="001A10EE"/>
    <w:rsid w:val="001A1133"/>
    <w:rsid w:val="001A1145"/>
    <w:rsid w:val="001A1242"/>
    <w:rsid w:val="001A12C5"/>
    <w:rsid w:val="001A13B7"/>
    <w:rsid w:val="001A1436"/>
    <w:rsid w:val="001A156D"/>
    <w:rsid w:val="001A1591"/>
    <w:rsid w:val="001A166E"/>
    <w:rsid w:val="001A167E"/>
    <w:rsid w:val="001A16AC"/>
    <w:rsid w:val="001A1934"/>
    <w:rsid w:val="001A19EE"/>
    <w:rsid w:val="001A19FD"/>
    <w:rsid w:val="001A1A04"/>
    <w:rsid w:val="001A1A2C"/>
    <w:rsid w:val="001A1A6A"/>
    <w:rsid w:val="001A1AD2"/>
    <w:rsid w:val="001A1AF4"/>
    <w:rsid w:val="001A1B39"/>
    <w:rsid w:val="001A1B98"/>
    <w:rsid w:val="001A1B9A"/>
    <w:rsid w:val="001A1C3C"/>
    <w:rsid w:val="001A1D36"/>
    <w:rsid w:val="001A2054"/>
    <w:rsid w:val="001A208F"/>
    <w:rsid w:val="001A20E4"/>
    <w:rsid w:val="001A219B"/>
    <w:rsid w:val="001A2356"/>
    <w:rsid w:val="001A23E5"/>
    <w:rsid w:val="001A2486"/>
    <w:rsid w:val="001A24A9"/>
    <w:rsid w:val="001A24FB"/>
    <w:rsid w:val="001A25D3"/>
    <w:rsid w:val="001A264F"/>
    <w:rsid w:val="001A27F0"/>
    <w:rsid w:val="001A293E"/>
    <w:rsid w:val="001A2DB6"/>
    <w:rsid w:val="001A2F1A"/>
    <w:rsid w:val="001A2FBA"/>
    <w:rsid w:val="001A3039"/>
    <w:rsid w:val="001A3040"/>
    <w:rsid w:val="001A3079"/>
    <w:rsid w:val="001A3169"/>
    <w:rsid w:val="001A319B"/>
    <w:rsid w:val="001A32E2"/>
    <w:rsid w:val="001A34BB"/>
    <w:rsid w:val="001A3572"/>
    <w:rsid w:val="001A36B8"/>
    <w:rsid w:val="001A3861"/>
    <w:rsid w:val="001A391C"/>
    <w:rsid w:val="001A39D1"/>
    <w:rsid w:val="001A3B1D"/>
    <w:rsid w:val="001A3B63"/>
    <w:rsid w:val="001A3D95"/>
    <w:rsid w:val="001A3DCD"/>
    <w:rsid w:val="001A3E75"/>
    <w:rsid w:val="001A3FA2"/>
    <w:rsid w:val="001A40DC"/>
    <w:rsid w:val="001A424B"/>
    <w:rsid w:val="001A425D"/>
    <w:rsid w:val="001A425E"/>
    <w:rsid w:val="001A42EB"/>
    <w:rsid w:val="001A4383"/>
    <w:rsid w:val="001A440D"/>
    <w:rsid w:val="001A44D9"/>
    <w:rsid w:val="001A472A"/>
    <w:rsid w:val="001A4781"/>
    <w:rsid w:val="001A488B"/>
    <w:rsid w:val="001A499E"/>
    <w:rsid w:val="001A4A42"/>
    <w:rsid w:val="001A4C42"/>
    <w:rsid w:val="001A4D8D"/>
    <w:rsid w:val="001A4E0E"/>
    <w:rsid w:val="001A4E16"/>
    <w:rsid w:val="001A4EBD"/>
    <w:rsid w:val="001A50D2"/>
    <w:rsid w:val="001A519D"/>
    <w:rsid w:val="001A526F"/>
    <w:rsid w:val="001A52A2"/>
    <w:rsid w:val="001A5516"/>
    <w:rsid w:val="001A553C"/>
    <w:rsid w:val="001A5642"/>
    <w:rsid w:val="001A56E5"/>
    <w:rsid w:val="001A582B"/>
    <w:rsid w:val="001A5832"/>
    <w:rsid w:val="001A5833"/>
    <w:rsid w:val="001A5836"/>
    <w:rsid w:val="001A58C4"/>
    <w:rsid w:val="001A58DD"/>
    <w:rsid w:val="001A58EA"/>
    <w:rsid w:val="001A5930"/>
    <w:rsid w:val="001A59FD"/>
    <w:rsid w:val="001A5B26"/>
    <w:rsid w:val="001A5BA1"/>
    <w:rsid w:val="001A5CCA"/>
    <w:rsid w:val="001A5EFA"/>
    <w:rsid w:val="001A5FAB"/>
    <w:rsid w:val="001A5FB7"/>
    <w:rsid w:val="001A5FEB"/>
    <w:rsid w:val="001A6144"/>
    <w:rsid w:val="001A619B"/>
    <w:rsid w:val="001A61AE"/>
    <w:rsid w:val="001A61F9"/>
    <w:rsid w:val="001A620A"/>
    <w:rsid w:val="001A6249"/>
    <w:rsid w:val="001A6265"/>
    <w:rsid w:val="001A6271"/>
    <w:rsid w:val="001A63A9"/>
    <w:rsid w:val="001A641B"/>
    <w:rsid w:val="001A644D"/>
    <w:rsid w:val="001A6590"/>
    <w:rsid w:val="001A67D3"/>
    <w:rsid w:val="001A6848"/>
    <w:rsid w:val="001A684A"/>
    <w:rsid w:val="001A68A7"/>
    <w:rsid w:val="001A6A27"/>
    <w:rsid w:val="001A6BBE"/>
    <w:rsid w:val="001A6BD5"/>
    <w:rsid w:val="001A6DB8"/>
    <w:rsid w:val="001A6E14"/>
    <w:rsid w:val="001A6E38"/>
    <w:rsid w:val="001A6E44"/>
    <w:rsid w:val="001A6FDB"/>
    <w:rsid w:val="001A7075"/>
    <w:rsid w:val="001A7145"/>
    <w:rsid w:val="001A7253"/>
    <w:rsid w:val="001A728C"/>
    <w:rsid w:val="001A72B0"/>
    <w:rsid w:val="001A72C8"/>
    <w:rsid w:val="001A736B"/>
    <w:rsid w:val="001A73D1"/>
    <w:rsid w:val="001A740B"/>
    <w:rsid w:val="001A7451"/>
    <w:rsid w:val="001A755B"/>
    <w:rsid w:val="001A7576"/>
    <w:rsid w:val="001A7586"/>
    <w:rsid w:val="001A76AF"/>
    <w:rsid w:val="001A7739"/>
    <w:rsid w:val="001A7A1B"/>
    <w:rsid w:val="001A7A5F"/>
    <w:rsid w:val="001A7B6A"/>
    <w:rsid w:val="001A7BAD"/>
    <w:rsid w:val="001A7C40"/>
    <w:rsid w:val="001A7C6A"/>
    <w:rsid w:val="001A7DAC"/>
    <w:rsid w:val="001A7DB5"/>
    <w:rsid w:val="001B0135"/>
    <w:rsid w:val="001B0308"/>
    <w:rsid w:val="001B03AD"/>
    <w:rsid w:val="001B0432"/>
    <w:rsid w:val="001B048B"/>
    <w:rsid w:val="001B048C"/>
    <w:rsid w:val="001B04B9"/>
    <w:rsid w:val="001B04D7"/>
    <w:rsid w:val="001B04F7"/>
    <w:rsid w:val="001B0592"/>
    <w:rsid w:val="001B05C4"/>
    <w:rsid w:val="001B06CA"/>
    <w:rsid w:val="001B0753"/>
    <w:rsid w:val="001B0844"/>
    <w:rsid w:val="001B08ED"/>
    <w:rsid w:val="001B0924"/>
    <w:rsid w:val="001B0C5A"/>
    <w:rsid w:val="001B0C6A"/>
    <w:rsid w:val="001B0D11"/>
    <w:rsid w:val="001B0D84"/>
    <w:rsid w:val="001B0DF9"/>
    <w:rsid w:val="001B0E12"/>
    <w:rsid w:val="001B0ED4"/>
    <w:rsid w:val="001B11B6"/>
    <w:rsid w:val="001B11D0"/>
    <w:rsid w:val="001B15F8"/>
    <w:rsid w:val="001B1607"/>
    <w:rsid w:val="001B160E"/>
    <w:rsid w:val="001B1687"/>
    <w:rsid w:val="001B1778"/>
    <w:rsid w:val="001B1798"/>
    <w:rsid w:val="001B1920"/>
    <w:rsid w:val="001B19F0"/>
    <w:rsid w:val="001B1C0E"/>
    <w:rsid w:val="001B1C87"/>
    <w:rsid w:val="001B1CFD"/>
    <w:rsid w:val="001B1EB2"/>
    <w:rsid w:val="001B203B"/>
    <w:rsid w:val="001B220C"/>
    <w:rsid w:val="001B22F3"/>
    <w:rsid w:val="001B2324"/>
    <w:rsid w:val="001B2350"/>
    <w:rsid w:val="001B24DB"/>
    <w:rsid w:val="001B2519"/>
    <w:rsid w:val="001B257D"/>
    <w:rsid w:val="001B2663"/>
    <w:rsid w:val="001B269F"/>
    <w:rsid w:val="001B279F"/>
    <w:rsid w:val="001B27A7"/>
    <w:rsid w:val="001B27F3"/>
    <w:rsid w:val="001B283A"/>
    <w:rsid w:val="001B2842"/>
    <w:rsid w:val="001B2853"/>
    <w:rsid w:val="001B2907"/>
    <w:rsid w:val="001B29BD"/>
    <w:rsid w:val="001B2A83"/>
    <w:rsid w:val="001B2C24"/>
    <w:rsid w:val="001B2C5C"/>
    <w:rsid w:val="001B2CBF"/>
    <w:rsid w:val="001B2D98"/>
    <w:rsid w:val="001B2EE4"/>
    <w:rsid w:val="001B2F36"/>
    <w:rsid w:val="001B2F37"/>
    <w:rsid w:val="001B2FAF"/>
    <w:rsid w:val="001B3078"/>
    <w:rsid w:val="001B3111"/>
    <w:rsid w:val="001B311B"/>
    <w:rsid w:val="001B314C"/>
    <w:rsid w:val="001B3155"/>
    <w:rsid w:val="001B32B7"/>
    <w:rsid w:val="001B330E"/>
    <w:rsid w:val="001B346B"/>
    <w:rsid w:val="001B34C6"/>
    <w:rsid w:val="001B3526"/>
    <w:rsid w:val="001B37D3"/>
    <w:rsid w:val="001B3994"/>
    <w:rsid w:val="001B39D1"/>
    <w:rsid w:val="001B3A67"/>
    <w:rsid w:val="001B3AAA"/>
    <w:rsid w:val="001B3D39"/>
    <w:rsid w:val="001B3E7C"/>
    <w:rsid w:val="001B3F8F"/>
    <w:rsid w:val="001B41A1"/>
    <w:rsid w:val="001B44BB"/>
    <w:rsid w:val="001B4518"/>
    <w:rsid w:val="001B4633"/>
    <w:rsid w:val="001B46B7"/>
    <w:rsid w:val="001B47B9"/>
    <w:rsid w:val="001B47D5"/>
    <w:rsid w:val="001B49D5"/>
    <w:rsid w:val="001B4A5B"/>
    <w:rsid w:val="001B4B1B"/>
    <w:rsid w:val="001B4B44"/>
    <w:rsid w:val="001B4BE8"/>
    <w:rsid w:val="001B4C98"/>
    <w:rsid w:val="001B4CC7"/>
    <w:rsid w:val="001B4E32"/>
    <w:rsid w:val="001B4EC1"/>
    <w:rsid w:val="001B5342"/>
    <w:rsid w:val="001B5481"/>
    <w:rsid w:val="001B55B2"/>
    <w:rsid w:val="001B56B1"/>
    <w:rsid w:val="001B5715"/>
    <w:rsid w:val="001B5743"/>
    <w:rsid w:val="001B5982"/>
    <w:rsid w:val="001B5B75"/>
    <w:rsid w:val="001B5BE4"/>
    <w:rsid w:val="001B5D25"/>
    <w:rsid w:val="001B5D29"/>
    <w:rsid w:val="001B5E0F"/>
    <w:rsid w:val="001B5F7B"/>
    <w:rsid w:val="001B5FB8"/>
    <w:rsid w:val="001B6007"/>
    <w:rsid w:val="001B61AF"/>
    <w:rsid w:val="001B61B0"/>
    <w:rsid w:val="001B6215"/>
    <w:rsid w:val="001B62E2"/>
    <w:rsid w:val="001B62F5"/>
    <w:rsid w:val="001B6471"/>
    <w:rsid w:val="001B65C7"/>
    <w:rsid w:val="001B6601"/>
    <w:rsid w:val="001B6750"/>
    <w:rsid w:val="001B6885"/>
    <w:rsid w:val="001B68E0"/>
    <w:rsid w:val="001B6A47"/>
    <w:rsid w:val="001B6A5E"/>
    <w:rsid w:val="001B6A9E"/>
    <w:rsid w:val="001B6C2F"/>
    <w:rsid w:val="001B6C5D"/>
    <w:rsid w:val="001B6C65"/>
    <w:rsid w:val="001B6E25"/>
    <w:rsid w:val="001B6ECE"/>
    <w:rsid w:val="001B6FB2"/>
    <w:rsid w:val="001B70D9"/>
    <w:rsid w:val="001B7248"/>
    <w:rsid w:val="001B7421"/>
    <w:rsid w:val="001B743E"/>
    <w:rsid w:val="001B74C5"/>
    <w:rsid w:val="001B761F"/>
    <w:rsid w:val="001B76C3"/>
    <w:rsid w:val="001B76D8"/>
    <w:rsid w:val="001B7711"/>
    <w:rsid w:val="001B777E"/>
    <w:rsid w:val="001B7A52"/>
    <w:rsid w:val="001B7B69"/>
    <w:rsid w:val="001B7C12"/>
    <w:rsid w:val="001B7C2C"/>
    <w:rsid w:val="001B7CD6"/>
    <w:rsid w:val="001B7D3E"/>
    <w:rsid w:val="001C0285"/>
    <w:rsid w:val="001C03E6"/>
    <w:rsid w:val="001C03FC"/>
    <w:rsid w:val="001C0424"/>
    <w:rsid w:val="001C048A"/>
    <w:rsid w:val="001C05A1"/>
    <w:rsid w:val="001C071B"/>
    <w:rsid w:val="001C075A"/>
    <w:rsid w:val="001C081D"/>
    <w:rsid w:val="001C086B"/>
    <w:rsid w:val="001C08EC"/>
    <w:rsid w:val="001C0A56"/>
    <w:rsid w:val="001C0A96"/>
    <w:rsid w:val="001C0B00"/>
    <w:rsid w:val="001C0DBD"/>
    <w:rsid w:val="001C0F43"/>
    <w:rsid w:val="001C0F66"/>
    <w:rsid w:val="001C0F7B"/>
    <w:rsid w:val="001C0FEA"/>
    <w:rsid w:val="001C0FF7"/>
    <w:rsid w:val="001C10FB"/>
    <w:rsid w:val="001C10FD"/>
    <w:rsid w:val="001C110F"/>
    <w:rsid w:val="001C11A6"/>
    <w:rsid w:val="001C133A"/>
    <w:rsid w:val="001C139C"/>
    <w:rsid w:val="001C1403"/>
    <w:rsid w:val="001C144C"/>
    <w:rsid w:val="001C14FA"/>
    <w:rsid w:val="001C1570"/>
    <w:rsid w:val="001C1955"/>
    <w:rsid w:val="001C1ACB"/>
    <w:rsid w:val="001C1CEB"/>
    <w:rsid w:val="001C1D9A"/>
    <w:rsid w:val="001C1E42"/>
    <w:rsid w:val="001C1E86"/>
    <w:rsid w:val="001C20E5"/>
    <w:rsid w:val="001C21A9"/>
    <w:rsid w:val="001C2262"/>
    <w:rsid w:val="001C2335"/>
    <w:rsid w:val="001C25C2"/>
    <w:rsid w:val="001C25D1"/>
    <w:rsid w:val="001C2657"/>
    <w:rsid w:val="001C26BF"/>
    <w:rsid w:val="001C2742"/>
    <w:rsid w:val="001C28C7"/>
    <w:rsid w:val="001C292E"/>
    <w:rsid w:val="001C2956"/>
    <w:rsid w:val="001C295C"/>
    <w:rsid w:val="001C29BA"/>
    <w:rsid w:val="001C2C12"/>
    <w:rsid w:val="001C2DC5"/>
    <w:rsid w:val="001C2EAB"/>
    <w:rsid w:val="001C2EC7"/>
    <w:rsid w:val="001C2EDF"/>
    <w:rsid w:val="001C2FCA"/>
    <w:rsid w:val="001C3026"/>
    <w:rsid w:val="001C3163"/>
    <w:rsid w:val="001C31F0"/>
    <w:rsid w:val="001C3273"/>
    <w:rsid w:val="001C36EB"/>
    <w:rsid w:val="001C3763"/>
    <w:rsid w:val="001C3906"/>
    <w:rsid w:val="001C39D8"/>
    <w:rsid w:val="001C39E5"/>
    <w:rsid w:val="001C3A3B"/>
    <w:rsid w:val="001C3B4B"/>
    <w:rsid w:val="001C3CBF"/>
    <w:rsid w:val="001C3D9C"/>
    <w:rsid w:val="001C3DA2"/>
    <w:rsid w:val="001C3EC7"/>
    <w:rsid w:val="001C3F2A"/>
    <w:rsid w:val="001C3F8B"/>
    <w:rsid w:val="001C3FE3"/>
    <w:rsid w:val="001C4173"/>
    <w:rsid w:val="001C4204"/>
    <w:rsid w:val="001C4242"/>
    <w:rsid w:val="001C4269"/>
    <w:rsid w:val="001C4370"/>
    <w:rsid w:val="001C4435"/>
    <w:rsid w:val="001C46A2"/>
    <w:rsid w:val="001C4778"/>
    <w:rsid w:val="001C48D5"/>
    <w:rsid w:val="001C4931"/>
    <w:rsid w:val="001C4962"/>
    <w:rsid w:val="001C49CA"/>
    <w:rsid w:val="001C4A3A"/>
    <w:rsid w:val="001C4AA0"/>
    <w:rsid w:val="001C4AD9"/>
    <w:rsid w:val="001C4AF0"/>
    <w:rsid w:val="001C4B3B"/>
    <w:rsid w:val="001C4B9C"/>
    <w:rsid w:val="001C4C19"/>
    <w:rsid w:val="001C4C49"/>
    <w:rsid w:val="001C4C96"/>
    <w:rsid w:val="001C4E23"/>
    <w:rsid w:val="001C4ED7"/>
    <w:rsid w:val="001C4F86"/>
    <w:rsid w:val="001C4FC4"/>
    <w:rsid w:val="001C4FF6"/>
    <w:rsid w:val="001C51C4"/>
    <w:rsid w:val="001C5299"/>
    <w:rsid w:val="001C5361"/>
    <w:rsid w:val="001C5408"/>
    <w:rsid w:val="001C5421"/>
    <w:rsid w:val="001C5446"/>
    <w:rsid w:val="001C545D"/>
    <w:rsid w:val="001C5587"/>
    <w:rsid w:val="001C5716"/>
    <w:rsid w:val="001C5722"/>
    <w:rsid w:val="001C5B27"/>
    <w:rsid w:val="001C5BEE"/>
    <w:rsid w:val="001C5C04"/>
    <w:rsid w:val="001C5CA7"/>
    <w:rsid w:val="001C5F60"/>
    <w:rsid w:val="001C5FC6"/>
    <w:rsid w:val="001C5FE0"/>
    <w:rsid w:val="001C62F7"/>
    <w:rsid w:val="001C63C7"/>
    <w:rsid w:val="001C6543"/>
    <w:rsid w:val="001C6593"/>
    <w:rsid w:val="001C6859"/>
    <w:rsid w:val="001C68FB"/>
    <w:rsid w:val="001C6A4C"/>
    <w:rsid w:val="001C6B8D"/>
    <w:rsid w:val="001C6CB9"/>
    <w:rsid w:val="001C6FBD"/>
    <w:rsid w:val="001C70E7"/>
    <w:rsid w:val="001C7184"/>
    <w:rsid w:val="001C71C3"/>
    <w:rsid w:val="001C7286"/>
    <w:rsid w:val="001C7293"/>
    <w:rsid w:val="001C73DE"/>
    <w:rsid w:val="001C742F"/>
    <w:rsid w:val="001C74FF"/>
    <w:rsid w:val="001C75F1"/>
    <w:rsid w:val="001C764D"/>
    <w:rsid w:val="001C7728"/>
    <w:rsid w:val="001C7890"/>
    <w:rsid w:val="001C79F7"/>
    <w:rsid w:val="001C7B45"/>
    <w:rsid w:val="001C7B92"/>
    <w:rsid w:val="001C7C61"/>
    <w:rsid w:val="001C7C65"/>
    <w:rsid w:val="001C7C75"/>
    <w:rsid w:val="001C7C83"/>
    <w:rsid w:val="001C7CA8"/>
    <w:rsid w:val="001C7D3E"/>
    <w:rsid w:val="001C7D8A"/>
    <w:rsid w:val="001C7D8B"/>
    <w:rsid w:val="001C7EBF"/>
    <w:rsid w:val="001D0015"/>
    <w:rsid w:val="001D0090"/>
    <w:rsid w:val="001D0256"/>
    <w:rsid w:val="001D0267"/>
    <w:rsid w:val="001D0271"/>
    <w:rsid w:val="001D02BF"/>
    <w:rsid w:val="001D02E7"/>
    <w:rsid w:val="001D0469"/>
    <w:rsid w:val="001D05C1"/>
    <w:rsid w:val="001D088C"/>
    <w:rsid w:val="001D08F8"/>
    <w:rsid w:val="001D09A1"/>
    <w:rsid w:val="001D0AA4"/>
    <w:rsid w:val="001D0AE8"/>
    <w:rsid w:val="001D0B18"/>
    <w:rsid w:val="001D0BD2"/>
    <w:rsid w:val="001D0CE2"/>
    <w:rsid w:val="001D0D9A"/>
    <w:rsid w:val="001D0ECA"/>
    <w:rsid w:val="001D103C"/>
    <w:rsid w:val="001D1047"/>
    <w:rsid w:val="001D10DB"/>
    <w:rsid w:val="001D115E"/>
    <w:rsid w:val="001D1234"/>
    <w:rsid w:val="001D133F"/>
    <w:rsid w:val="001D16AD"/>
    <w:rsid w:val="001D18E1"/>
    <w:rsid w:val="001D19BC"/>
    <w:rsid w:val="001D19F9"/>
    <w:rsid w:val="001D19FD"/>
    <w:rsid w:val="001D1A64"/>
    <w:rsid w:val="001D1ACA"/>
    <w:rsid w:val="001D1CCE"/>
    <w:rsid w:val="001D1DC2"/>
    <w:rsid w:val="001D1DE1"/>
    <w:rsid w:val="001D1E61"/>
    <w:rsid w:val="001D1EB1"/>
    <w:rsid w:val="001D1F08"/>
    <w:rsid w:val="001D1F2F"/>
    <w:rsid w:val="001D1F48"/>
    <w:rsid w:val="001D2132"/>
    <w:rsid w:val="001D240D"/>
    <w:rsid w:val="001D24D6"/>
    <w:rsid w:val="001D24E1"/>
    <w:rsid w:val="001D2520"/>
    <w:rsid w:val="001D252F"/>
    <w:rsid w:val="001D2562"/>
    <w:rsid w:val="001D27C4"/>
    <w:rsid w:val="001D2810"/>
    <w:rsid w:val="001D2AE2"/>
    <w:rsid w:val="001D2B94"/>
    <w:rsid w:val="001D2C71"/>
    <w:rsid w:val="001D2CC9"/>
    <w:rsid w:val="001D2D32"/>
    <w:rsid w:val="001D2DD8"/>
    <w:rsid w:val="001D2FA8"/>
    <w:rsid w:val="001D2FE7"/>
    <w:rsid w:val="001D3007"/>
    <w:rsid w:val="001D3041"/>
    <w:rsid w:val="001D30FA"/>
    <w:rsid w:val="001D313E"/>
    <w:rsid w:val="001D33D6"/>
    <w:rsid w:val="001D344B"/>
    <w:rsid w:val="001D3450"/>
    <w:rsid w:val="001D34B4"/>
    <w:rsid w:val="001D34CC"/>
    <w:rsid w:val="001D380C"/>
    <w:rsid w:val="001D3967"/>
    <w:rsid w:val="001D39C4"/>
    <w:rsid w:val="001D39E5"/>
    <w:rsid w:val="001D3AA1"/>
    <w:rsid w:val="001D3AB2"/>
    <w:rsid w:val="001D3CA7"/>
    <w:rsid w:val="001D3CBA"/>
    <w:rsid w:val="001D3F57"/>
    <w:rsid w:val="001D3F9C"/>
    <w:rsid w:val="001D40C7"/>
    <w:rsid w:val="001D40EE"/>
    <w:rsid w:val="001D43B6"/>
    <w:rsid w:val="001D4538"/>
    <w:rsid w:val="001D45C1"/>
    <w:rsid w:val="001D46A5"/>
    <w:rsid w:val="001D47F5"/>
    <w:rsid w:val="001D48D7"/>
    <w:rsid w:val="001D4A5E"/>
    <w:rsid w:val="001D4AE6"/>
    <w:rsid w:val="001D4B66"/>
    <w:rsid w:val="001D4B83"/>
    <w:rsid w:val="001D4BA4"/>
    <w:rsid w:val="001D4D89"/>
    <w:rsid w:val="001D4E97"/>
    <w:rsid w:val="001D4ED3"/>
    <w:rsid w:val="001D507C"/>
    <w:rsid w:val="001D50BA"/>
    <w:rsid w:val="001D50BF"/>
    <w:rsid w:val="001D511B"/>
    <w:rsid w:val="001D5170"/>
    <w:rsid w:val="001D5293"/>
    <w:rsid w:val="001D531D"/>
    <w:rsid w:val="001D5411"/>
    <w:rsid w:val="001D54D4"/>
    <w:rsid w:val="001D54E0"/>
    <w:rsid w:val="001D554A"/>
    <w:rsid w:val="001D561B"/>
    <w:rsid w:val="001D562B"/>
    <w:rsid w:val="001D588C"/>
    <w:rsid w:val="001D5919"/>
    <w:rsid w:val="001D59E5"/>
    <w:rsid w:val="001D5C5C"/>
    <w:rsid w:val="001D5E95"/>
    <w:rsid w:val="001D5ED7"/>
    <w:rsid w:val="001D5F7C"/>
    <w:rsid w:val="001D60CA"/>
    <w:rsid w:val="001D6173"/>
    <w:rsid w:val="001D6352"/>
    <w:rsid w:val="001D6359"/>
    <w:rsid w:val="001D64B4"/>
    <w:rsid w:val="001D6532"/>
    <w:rsid w:val="001D6677"/>
    <w:rsid w:val="001D6759"/>
    <w:rsid w:val="001D6A1B"/>
    <w:rsid w:val="001D6B31"/>
    <w:rsid w:val="001D6C13"/>
    <w:rsid w:val="001D6C49"/>
    <w:rsid w:val="001D6CBC"/>
    <w:rsid w:val="001D6E4D"/>
    <w:rsid w:val="001D6F63"/>
    <w:rsid w:val="001D7200"/>
    <w:rsid w:val="001D7378"/>
    <w:rsid w:val="001D73DA"/>
    <w:rsid w:val="001D756C"/>
    <w:rsid w:val="001D7671"/>
    <w:rsid w:val="001D7758"/>
    <w:rsid w:val="001D78DE"/>
    <w:rsid w:val="001D7926"/>
    <w:rsid w:val="001D7A22"/>
    <w:rsid w:val="001D7AF1"/>
    <w:rsid w:val="001D7B8A"/>
    <w:rsid w:val="001D7BE2"/>
    <w:rsid w:val="001D7C66"/>
    <w:rsid w:val="001D7DD1"/>
    <w:rsid w:val="001D7FA1"/>
    <w:rsid w:val="001D7FCF"/>
    <w:rsid w:val="001D7FE1"/>
    <w:rsid w:val="001E009B"/>
    <w:rsid w:val="001E01CB"/>
    <w:rsid w:val="001E0239"/>
    <w:rsid w:val="001E0242"/>
    <w:rsid w:val="001E0502"/>
    <w:rsid w:val="001E0691"/>
    <w:rsid w:val="001E09ED"/>
    <w:rsid w:val="001E0A3E"/>
    <w:rsid w:val="001E0ADB"/>
    <w:rsid w:val="001E0B39"/>
    <w:rsid w:val="001E0CD3"/>
    <w:rsid w:val="001E0CEB"/>
    <w:rsid w:val="001E0E27"/>
    <w:rsid w:val="001E0E56"/>
    <w:rsid w:val="001E0ECD"/>
    <w:rsid w:val="001E0FC9"/>
    <w:rsid w:val="001E0FEF"/>
    <w:rsid w:val="001E10AF"/>
    <w:rsid w:val="001E10F6"/>
    <w:rsid w:val="001E110D"/>
    <w:rsid w:val="001E1298"/>
    <w:rsid w:val="001E12D0"/>
    <w:rsid w:val="001E1381"/>
    <w:rsid w:val="001E1402"/>
    <w:rsid w:val="001E1531"/>
    <w:rsid w:val="001E16AF"/>
    <w:rsid w:val="001E16B2"/>
    <w:rsid w:val="001E1779"/>
    <w:rsid w:val="001E188F"/>
    <w:rsid w:val="001E18BC"/>
    <w:rsid w:val="001E19B5"/>
    <w:rsid w:val="001E1A02"/>
    <w:rsid w:val="001E1B6F"/>
    <w:rsid w:val="001E1B8A"/>
    <w:rsid w:val="001E1BCB"/>
    <w:rsid w:val="001E1BFF"/>
    <w:rsid w:val="001E1C99"/>
    <w:rsid w:val="001E1D0E"/>
    <w:rsid w:val="001E1D5C"/>
    <w:rsid w:val="001E1DEC"/>
    <w:rsid w:val="001E1E4F"/>
    <w:rsid w:val="001E201D"/>
    <w:rsid w:val="001E2030"/>
    <w:rsid w:val="001E2048"/>
    <w:rsid w:val="001E2129"/>
    <w:rsid w:val="001E22F1"/>
    <w:rsid w:val="001E230A"/>
    <w:rsid w:val="001E23B3"/>
    <w:rsid w:val="001E241C"/>
    <w:rsid w:val="001E2472"/>
    <w:rsid w:val="001E24A5"/>
    <w:rsid w:val="001E2529"/>
    <w:rsid w:val="001E254F"/>
    <w:rsid w:val="001E2618"/>
    <w:rsid w:val="001E2624"/>
    <w:rsid w:val="001E26C8"/>
    <w:rsid w:val="001E28A7"/>
    <w:rsid w:val="001E2922"/>
    <w:rsid w:val="001E2A34"/>
    <w:rsid w:val="001E2A49"/>
    <w:rsid w:val="001E2C46"/>
    <w:rsid w:val="001E2CB3"/>
    <w:rsid w:val="001E2CF3"/>
    <w:rsid w:val="001E2D7A"/>
    <w:rsid w:val="001E2E23"/>
    <w:rsid w:val="001E2EFD"/>
    <w:rsid w:val="001E30CF"/>
    <w:rsid w:val="001E30ED"/>
    <w:rsid w:val="001E3141"/>
    <w:rsid w:val="001E31CF"/>
    <w:rsid w:val="001E3315"/>
    <w:rsid w:val="001E3415"/>
    <w:rsid w:val="001E3477"/>
    <w:rsid w:val="001E34A2"/>
    <w:rsid w:val="001E3580"/>
    <w:rsid w:val="001E3655"/>
    <w:rsid w:val="001E3693"/>
    <w:rsid w:val="001E36BE"/>
    <w:rsid w:val="001E3809"/>
    <w:rsid w:val="001E3875"/>
    <w:rsid w:val="001E39C0"/>
    <w:rsid w:val="001E3A44"/>
    <w:rsid w:val="001E3BF0"/>
    <w:rsid w:val="001E3C06"/>
    <w:rsid w:val="001E3DCA"/>
    <w:rsid w:val="001E3DD9"/>
    <w:rsid w:val="001E3FEC"/>
    <w:rsid w:val="001E408C"/>
    <w:rsid w:val="001E4169"/>
    <w:rsid w:val="001E418B"/>
    <w:rsid w:val="001E4215"/>
    <w:rsid w:val="001E425B"/>
    <w:rsid w:val="001E42D2"/>
    <w:rsid w:val="001E4323"/>
    <w:rsid w:val="001E4325"/>
    <w:rsid w:val="001E442A"/>
    <w:rsid w:val="001E4470"/>
    <w:rsid w:val="001E451C"/>
    <w:rsid w:val="001E45E0"/>
    <w:rsid w:val="001E4624"/>
    <w:rsid w:val="001E4679"/>
    <w:rsid w:val="001E472C"/>
    <w:rsid w:val="001E476B"/>
    <w:rsid w:val="001E4861"/>
    <w:rsid w:val="001E4994"/>
    <w:rsid w:val="001E4A19"/>
    <w:rsid w:val="001E4A43"/>
    <w:rsid w:val="001E4A5F"/>
    <w:rsid w:val="001E4AC4"/>
    <w:rsid w:val="001E4AEE"/>
    <w:rsid w:val="001E4B40"/>
    <w:rsid w:val="001E4BA2"/>
    <w:rsid w:val="001E4BEF"/>
    <w:rsid w:val="001E4C61"/>
    <w:rsid w:val="001E4D5A"/>
    <w:rsid w:val="001E4DC0"/>
    <w:rsid w:val="001E4EA9"/>
    <w:rsid w:val="001E4FF7"/>
    <w:rsid w:val="001E5073"/>
    <w:rsid w:val="001E50CD"/>
    <w:rsid w:val="001E50D9"/>
    <w:rsid w:val="001E5165"/>
    <w:rsid w:val="001E51A0"/>
    <w:rsid w:val="001E5318"/>
    <w:rsid w:val="001E537F"/>
    <w:rsid w:val="001E553D"/>
    <w:rsid w:val="001E5626"/>
    <w:rsid w:val="001E5709"/>
    <w:rsid w:val="001E57C6"/>
    <w:rsid w:val="001E5811"/>
    <w:rsid w:val="001E5976"/>
    <w:rsid w:val="001E5A75"/>
    <w:rsid w:val="001E5ACB"/>
    <w:rsid w:val="001E5D71"/>
    <w:rsid w:val="001E5DE6"/>
    <w:rsid w:val="001E5E22"/>
    <w:rsid w:val="001E5E4F"/>
    <w:rsid w:val="001E6026"/>
    <w:rsid w:val="001E6040"/>
    <w:rsid w:val="001E60DB"/>
    <w:rsid w:val="001E60FD"/>
    <w:rsid w:val="001E6165"/>
    <w:rsid w:val="001E61FA"/>
    <w:rsid w:val="001E6282"/>
    <w:rsid w:val="001E629D"/>
    <w:rsid w:val="001E62AA"/>
    <w:rsid w:val="001E634E"/>
    <w:rsid w:val="001E640A"/>
    <w:rsid w:val="001E64D0"/>
    <w:rsid w:val="001E678C"/>
    <w:rsid w:val="001E68C5"/>
    <w:rsid w:val="001E6915"/>
    <w:rsid w:val="001E6B45"/>
    <w:rsid w:val="001E6B48"/>
    <w:rsid w:val="001E6C99"/>
    <w:rsid w:val="001E6D02"/>
    <w:rsid w:val="001E6D54"/>
    <w:rsid w:val="001E6EC5"/>
    <w:rsid w:val="001E737C"/>
    <w:rsid w:val="001E763F"/>
    <w:rsid w:val="001E76B0"/>
    <w:rsid w:val="001E77AB"/>
    <w:rsid w:val="001E781A"/>
    <w:rsid w:val="001E788F"/>
    <w:rsid w:val="001E7A0B"/>
    <w:rsid w:val="001E7A7C"/>
    <w:rsid w:val="001E7B89"/>
    <w:rsid w:val="001E7C70"/>
    <w:rsid w:val="001E7D3B"/>
    <w:rsid w:val="001E7E48"/>
    <w:rsid w:val="001E7E5E"/>
    <w:rsid w:val="001E7EF4"/>
    <w:rsid w:val="001EC187"/>
    <w:rsid w:val="001F0369"/>
    <w:rsid w:val="001F03D7"/>
    <w:rsid w:val="001F03E2"/>
    <w:rsid w:val="001F0405"/>
    <w:rsid w:val="001F0576"/>
    <w:rsid w:val="001F0607"/>
    <w:rsid w:val="001F060E"/>
    <w:rsid w:val="001F061F"/>
    <w:rsid w:val="001F0692"/>
    <w:rsid w:val="001F088A"/>
    <w:rsid w:val="001F08BA"/>
    <w:rsid w:val="001F08E1"/>
    <w:rsid w:val="001F0944"/>
    <w:rsid w:val="001F09B5"/>
    <w:rsid w:val="001F0A07"/>
    <w:rsid w:val="001F0B65"/>
    <w:rsid w:val="001F0BAF"/>
    <w:rsid w:val="001F0C90"/>
    <w:rsid w:val="001F0EB2"/>
    <w:rsid w:val="001F0ED1"/>
    <w:rsid w:val="001F0F87"/>
    <w:rsid w:val="001F0FB8"/>
    <w:rsid w:val="001F0FBD"/>
    <w:rsid w:val="001F10EC"/>
    <w:rsid w:val="001F12E7"/>
    <w:rsid w:val="001F139E"/>
    <w:rsid w:val="001F1585"/>
    <w:rsid w:val="001F15F0"/>
    <w:rsid w:val="001F160D"/>
    <w:rsid w:val="001F1742"/>
    <w:rsid w:val="001F1791"/>
    <w:rsid w:val="001F17CC"/>
    <w:rsid w:val="001F193B"/>
    <w:rsid w:val="001F1943"/>
    <w:rsid w:val="001F19C3"/>
    <w:rsid w:val="001F1C2B"/>
    <w:rsid w:val="001F1C8C"/>
    <w:rsid w:val="001F1CEF"/>
    <w:rsid w:val="001F1EE3"/>
    <w:rsid w:val="001F1FD6"/>
    <w:rsid w:val="001F2160"/>
    <w:rsid w:val="001F218C"/>
    <w:rsid w:val="001F2207"/>
    <w:rsid w:val="001F221A"/>
    <w:rsid w:val="001F2452"/>
    <w:rsid w:val="001F247F"/>
    <w:rsid w:val="001F26A0"/>
    <w:rsid w:val="001F26CB"/>
    <w:rsid w:val="001F26E7"/>
    <w:rsid w:val="001F2763"/>
    <w:rsid w:val="001F284F"/>
    <w:rsid w:val="001F28DE"/>
    <w:rsid w:val="001F2942"/>
    <w:rsid w:val="001F2B41"/>
    <w:rsid w:val="001F2D00"/>
    <w:rsid w:val="001F2DCA"/>
    <w:rsid w:val="001F3008"/>
    <w:rsid w:val="001F303C"/>
    <w:rsid w:val="001F3161"/>
    <w:rsid w:val="001F3246"/>
    <w:rsid w:val="001F32ED"/>
    <w:rsid w:val="001F348D"/>
    <w:rsid w:val="001F36C4"/>
    <w:rsid w:val="001F37E4"/>
    <w:rsid w:val="001F3808"/>
    <w:rsid w:val="001F3817"/>
    <w:rsid w:val="001F383F"/>
    <w:rsid w:val="001F38C3"/>
    <w:rsid w:val="001F3AFF"/>
    <w:rsid w:val="001F3B0A"/>
    <w:rsid w:val="001F3B97"/>
    <w:rsid w:val="001F3BAB"/>
    <w:rsid w:val="001F3D7B"/>
    <w:rsid w:val="001F3DE4"/>
    <w:rsid w:val="001F3E31"/>
    <w:rsid w:val="001F3EDF"/>
    <w:rsid w:val="001F3F7F"/>
    <w:rsid w:val="001F3F88"/>
    <w:rsid w:val="001F3FAA"/>
    <w:rsid w:val="001F4046"/>
    <w:rsid w:val="001F4071"/>
    <w:rsid w:val="001F4158"/>
    <w:rsid w:val="001F41BE"/>
    <w:rsid w:val="001F41DC"/>
    <w:rsid w:val="001F41DD"/>
    <w:rsid w:val="001F4249"/>
    <w:rsid w:val="001F437F"/>
    <w:rsid w:val="001F454B"/>
    <w:rsid w:val="001F4669"/>
    <w:rsid w:val="001F46FA"/>
    <w:rsid w:val="001F4709"/>
    <w:rsid w:val="001F472A"/>
    <w:rsid w:val="001F4760"/>
    <w:rsid w:val="001F4770"/>
    <w:rsid w:val="001F47C7"/>
    <w:rsid w:val="001F4807"/>
    <w:rsid w:val="001F485D"/>
    <w:rsid w:val="001F48D2"/>
    <w:rsid w:val="001F4955"/>
    <w:rsid w:val="001F49A8"/>
    <w:rsid w:val="001F49BA"/>
    <w:rsid w:val="001F4E75"/>
    <w:rsid w:val="001F4EB4"/>
    <w:rsid w:val="001F50ED"/>
    <w:rsid w:val="001F5180"/>
    <w:rsid w:val="001F518F"/>
    <w:rsid w:val="001F52A2"/>
    <w:rsid w:val="001F52CF"/>
    <w:rsid w:val="001F535C"/>
    <w:rsid w:val="001F536A"/>
    <w:rsid w:val="001F538D"/>
    <w:rsid w:val="001F54B9"/>
    <w:rsid w:val="001F54F6"/>
    <w:rsid w:val="001F55A1"/>
    <w:rsid w:val="001F5616"/>
    <w:rsid w:val="001F5620"/>
    <w:rsid w:val="001F5639"/>
    <w:rsid w:val="001F567A"/>
    <w:rsid w:val="001F56B5"/>
    <w:rsid w:val="001F5A4C"/>
    <w:rsid w:val="001F5ACD"/>
    <w:rsid w:val="001F5C91"/>
    <w:rsid w:val="001F5F58"/>
    <w:rsid w:val="001F5FF3"/>
    <w:rsid w:val="001F61DB"/>
    <w:rsid w:val="001F61EE"/>
    <w:rsid w:val="001F6207"/>
    <w:rsid w:val="001F62A8"/>
    <w:rsid w:val="001F63B4"/>
    <w:rsid w:val="001F651E"/>
    <w:rsid w:val="001F6649"/>
    <w:rsid w:val="001F6808"/>
    <w:rsid w:val="001F684E"/>
    <w:rsid w:val="001F68E1"/>
    <w:rsid w:val="001F6923"/>
    <w:rsid w:val="001F695C"/>
    <w:rsid w:val="001F6AC4"/>
    <w:rsid w:val="001F6BCA"/>
    <w:rsid w:val="001F6C23"/>
    <w:rsid w:val="001F6EAC"/>
    <w:rsid w:val="001F6F86"/>
    <w:rsid w:val="001F7056"/>
    <w:rsid w:val="001F709D"/>
    <w:rsid w:val="001F742B"/>
    <w:rsid w:val="001F76DE"/>
    <w:rsid w:val="001F77BA"/>
    <w:rsid w:val="001F77E4"/>
    <w:rsid w:val="001F78A8"/>
    <w:rsid w:val="001F797B"/>
    <w:rsid w:val="001F7995"/>
    <w:rsid w:val="001F7B02"/>
    <w:rsid w:val="001F7D00"/>
    <w:rsid w:val="001F7D34"/>
    <w:rsid w:val="001F7D7E"/>
    <w:rsid w:val="001F7DA0"/>
    <w:rsid w:val="001F7E19"/>
    <w:rsid w:val="001F7FF0"/>
    <w:rsid w:val="002000AE"/>
    <w:rsid w:val="00200395"/>
    <w:rsid w:val="00200448"/>
    <w:rsid w:val="00200465"/>
    <w:rsid w:val="0020051C"/>
    <w:rsid w:val="00200586"/>
    <w:rsid w:val="0020062E"/>
    <w:rsid w:val="00200706"/>
    <w:rsid w:val="0020080B"/>
    <w:rsid w:val="002008B2"/>
    <w:rsid w:val="00200B4C"/>
    <w:rsid w:val="00200CEF"/>
    <w:rsid w:val="00200D4E"/>
    <w:rsid w:val="00200D8D"/>
    <w:rsid w:val="00200F02"/>
    <w:rsid w:val="00200F97"/>
    <w:rsid w:val="00200FE9"/>
    <w:rsid w:val="00200FFC"/>
    <w:rsid w:val="00201045"/>
    <w:rsid w:val="00201083"/>
    <w:rsid w:val="00201096"/>
    <w:rsid w:val="0020121D"/>
    <w:rsid w:val="002012D0"/>
    <w:rsid w:val="00201464"/>
    <w:rsid w:val="00201469"/>
    <w:rsid w:val="00201482"/>
    <w:rsid w:val="00201575"/>
    <w:rsid w:val="002015E0"/>
    <w:rsid w:val="002016EA"/>
    <w:rsid w:val="00201711"/>
    <w:rsid w:val="002017C5"/>
    <w:rsid w:val="0020199C"/>
    <w:rsid w:val="002019D6"/>
    <w:rsid w:val="00201D6A"/>
    <w:rsid w:val="00201EBB"/>
    <w:rsid w:val="00201ED6"/>
    <w:rsid w:val="00201F5D"/>
    <w:rsid w:val="00201F80"/>
    <w:rsid w:val="00202024"/>
    <w:rsid w:val="002020A5"/>
    <w:rsid w:val="002020A7"/>
    <w:rsid w:val="002020AE"/>
    <w:rsid w:val="002020CB"/>
    <w:rsid w:val="0020213B"/>
    <w:rsid w:val="00202383"/>
    <w:rsid w:val="0020240A"/>
    <w:rsid w:val="00202418"/>
    <w:rsid w:val="0020247E"/>
    <w:rsid w:val="00202634"/>
    <w:rsid w:val="00202651"/>
    <w:rsid w:val="002026FD"/>
    <w:rsid w:val="002027DB"/>
    <w:rsid w:val="0020282F"/>
    <w:rsid w:val="00202873"/>
    <w:rsid w:val="00202899"/>
    <w:rsid w:val="00202938"/>
    <w:rsid w:val="00202947"/>
    <w:rsid w:val="00202AB5"/>
    <w:rsid w:val="00202B4F"/>
    <w:rsid w:val="00202BB4"/>
    <w:rsid w:val="00202E81"/>
    <w:rsid w:val="00202FD1"/>
    <w:rsid w:val="00202FD6"/>
    <w:rsid w:val="00203045"/>
    <w:rsid w:val="00203252"/>
    <w:rsid w:val="0020329A"/>
    <w:rsid w:val="0020333D"/>
    <w:rsid w:val="00203491"/>
    <w:rsid w:val="0020356B"/>
    <w:rsid w:val="00203790"/>
    <w:rsid w:val="00203794"/>
    <w:rsid w:val="00203A5F"/>
    <w:rsid w:val="00203A93"/>
    <w:rsid w:val="00203B58"/>
    <w:rsid w:val="00203C6A"/>
    <w:rsid w:val="00203C93"/>
    <w:rsid w:val="00203D12"/>
    <w:rsid w:val="00203E07"/>
    <w:rsid w:val="00203E57"/>
    <w:rsid w:val="00203E7A"/>
    <w:rsid w:val="00203ED3"/>
    <w:rsid w:val="0020401C"/>
    <w:rsid w:val="002040EF"/>
    <w:rsid w:val="002041A5"/>
    <w:rsid w:val="002042A9"/>
    <w:rsid w:val="0020443A"/>
    <w:rsid w:val="00204549"/>
    <w:rsid w:val="00204612"/>
    <w:rsid w:val="00204699"/>
    <w:rsid w:val="00204765"/>
    <w:rsid w:val="00204820"/>
    <w:rsid w:val="00204848"/>
    <w:rsid w:val="00204955"/>
    <w:rsid w:val="002049C7"/>
    <w:rsid w:val="00204A2C"/>
    <w:rsid w:val="00204AD1"/>
    <w:rsid w:val="00204B4A"/>
    <w:rsid w:val="00204BA8"/>
    <w:rsid w:val="00204C6F"/>
    <w:rsid w:val="00204CF9"/>
    <w:rsid w:val="00204CFF"/>
    <w:rsid w:val="00204FC1"/>
    <w:rsid w:val="002050AE"/>
    <w:rsid w:val="0020512F"/>
    <w:rsid w:val="00205162"/>
    <w:rsid w:val="002051AE"/>
    <w:rsid w:val="00205263"/>
    <w:rsid w:val="002052BF"/>
    <w:rsid w:val="0020536D"/>
    <w:rsid w:val="00205429"/>
    <w:rsid w:val="002054D4"/>
    <w:rsid w:val="00205522"/>
    <w:rsid w:val="0020557C"/>
    <w:rsid w:val="002055D5"/>
    <w:rsid w:val="0020561E"/>
    <w:rsid w:val="00205620"/>
    <w:rsid w:val="002056D8"/>
    <w:rsid w:val="00205705"/>
    <w:rsid w:val="0020598E"/>
    <w:rsid w:val="00205AA0"/>
    <w:rsid w:val="00205C0A"/>
    <w:rsid w:val="00205C12"/>
    <w:rsid w:val="00205C7B"/>
    <w:rsid w:val="00205D40"/>
    <w:rsid w:val="00205E18"/>
    <w:rsid w:val="0020612C"/>
    <w:rsid w:val="00206201"/>
    <w:rsid w:val="00206260"/>
    <w:rsid w:val="00206293"/>
    <w:rsid w:val="0020631D"/>
    <w:rsid w:val="00206420"/>
    <w:rsid w:val="00206560"/>
    <w:rsid w:val="002066F0"/>
    <w:rsid w:val="002067E8"/>
    <w:rsid w:val="00206853"/>
    <w:rsid w:val="0020690F"/>
    <w:rsid w:val="0020693C"/>
    <w:rsid w:val="00206995"/>
    <w:rsid w:val="0020699D"/>
    <w:rsid w:val="00206AD9"/>
    <w:rsid w:val="00206C93"/>
    <w:rsid w:val="00206C96"/>
    <w:rsid w:val="00206E29"/>
    <w:rsid w:val="00206E4B"/>
    <w:rsid w:val="00206E5D"/>
    <w:rsid w:val="00206E66"/>
    <w:rsid w:val="00206E8E"/>
    <w:rsid w:val="00207044"/>
    <w:rsid w:val="0020705D"/>
    <w:rsid w:val="0020707C"/>
    <w:rsid w:val="002070AF"/>
    <w:rsid w:val="002070D5"/>
    <w:rsid w:val="002071CE"/>
    <w:rsid w:val="0020721C"/>
    <w:rsid w:val="00207573"/>
    <w:rsid w:val="002075D6"/>
    <w:rsid w:val="00207777"/>
    <w:rsid w:val="002077D3"/>
    <w:rsid w:val="002077F1"/>
    <w:rsid w:val="0020781C"/>
    <w:rsid w:val="00207871"/>
    <w:rsid w:val="00207A8A"/>
    <w:rsid w:val="00207B52"/>
    <w:rsid w:val="00207D65"/>
    <w:rsid w:val="00207DB3"/>
    <w:rsid w:val="00210009"/>
    <w:rsid w:val="002101B9"/>
    <w:rsid w:val="002102F0"/>
    <w:rsid w:val="002103E3"/>
    <w:rsid w:val="0021047C"/>
    <w:rsid w:val="002104B1"/>
    <w:rsid w:val="00210573"/>
    <w:rsid w:val="002105C8"/>
    <w:rsid w:val="0021067A"/>
    <w:rsid w:val="002106CC"/>
    <w:rsid w:val="002107B1"/>
    <w:rsid w:val="002107C9"/>
    <w:rsid w:val="002107E0"/>
    <w:rsid w:val="00210812"/>
    <w:rsid w:val="002108C6"/>
    <w:rsid w:val="002108F5"/>
    <w:rsid w:val="00210923"/>
    <w:rsid w:val="002109F0"/>
    <w:rsid w:val="00210B79"/>
    <w:rsid w:val="00210C0C"/>
    <w:rsid w:val="00210D9D"/>
    <w:rsid w:val="00210F5C"/>
    <w:rsid w:val="00210FE1"/>
    <w:rsid w:val="002110BF"/>
    <w:rsid w:val="0021143A"/>
    <w:rsid w:val="002114A6"/>
    <w:rsid w:val="00211603"/>
    <w:rsid w:val="00211617"/>
    <w:rsid w:val="00211629"/>
    <w:rsid w:val="00211657"/>
    <w:rsid w:val="0021192E"/>
    <w:rsid w:val="002119A3"/>
    <w:rsid w:val="00211AAD"/>
    <w:rsid w:val="00211ABB"/>
    <w:rsid w:val="00211C26"/>
    <w:rsid w:val="00211C79"/>
    <w:rsid w:val="00211E64"/>
    <w:rsid w:val="00211FA6"/>
    <w:rsid w:val="00211FE1"/>
    <w:rsid w:val="00212035"/>
    <w:rsid w:val="00212117"/>
    <w:rsid w:val="00212170"/>
    <w:rsid w:val="002121AF"/>
    <w:rsid w:val="0021221E"/>
    <w:rsid w:val="002122B1"/>
    <w:rsid w:val="00212324"/>
    <w:rsid w:val="002123EB"/>
    <w:rsid w:val="0021246F"/>
    <w:rsid w:val="00212687"/>
    <w:rsid w:val="00212704"/>
    <w:rsid w:val="00212717"/>
    <w:rsid w:val="002128AD"/>
    <w:rsid w:val="00212926"/>
    <w:rsid w:val="00212C00"/>
    <w:rsid w:val="00212C10"/>
    <w:rsid w:val="00212C83"/>
    <w:rsid w:val="00212FE1"/>
    <w:rsid w:val="00213168"/>
    <w:rsid w:val="00213296"/>
    <w:rsid w:val="002132D0"/>
    <w:rsid w:val="00213338"/>
    <w:rsid w:val="0021355D"/>
    <w:rsid w:val="0021359A"/>
    <w:rsid w:val="002135C6"/>
    <w:rsid w:val="00213616"/>
    <w:rsid w:val="00213842"/>
    <w:rsid w:val="002138B6"/>
    <w:rsid w:val="00213926"/>
    <w:rsid w:val="0021392B"/>
    <w:rsid w:val="00213E0E"/>
    <w:rsid w:val="00213F52"/>
    <w:rsid w:val="00213F8F"/>
    <w:rsid w:val="00213FD9"/>
    <w:rsid w:val="002140F3"/>
    <w:rsid w:val="002142DF"/>
    <w:rsid w:val="002143A2"/>
    <w:rsid w:val="00214418"/>
    <w:rsid w:val="0021448F"/>
    <w:rsid w:val="002144D9"/>
    <w:rsid w:val="0021455E"/>
    <w:rsid w:val="0021462F"/>
    <w:rsid w:val="00214832"/>
    <w:rsid w:val="002148AC"/>
    <w:rsid w:val="00214BFE"/>
    <w:rsid w:val="00214C37"/>
    <w:rsid w:val="00214CAE"/>
    <w:rsid w:val="002150A3"/>
    <w:rsid w:val="0021519A"/>
    <w:rsid w:val="002151D9"/>
    <w:rsid w:val="002152EB"/>
    <w:rsid w:val="002152F3"/>
    <w:rsid w:val="0021544B"/>
    <w:rsid w:val="00215459"/>
    <w:rsid w:val="00215511"/>
    <w:rsid w:val="00215589"/>
    <w:rsid w:val="002155AC"/>
    <w:rsid w:val="00215637"/>
    <w:rsid w:val="002156D5"/>
    <w:rsid w:val="00215714"/>
    <w:rsid w:val="00215811"/>
    <w:rsid w:val="0021591C"/>
    <w:rsid w:val="0021598F"/>
    <w:rsid w:val="002159B4"/>
    <w:rsid w:val="002159E0"/>
    <w:rsid w:val="00215A8E"/>
    <w:rsid w:val="00215A98"/>
    <w:rsid w:val="00215B36"/>
    <w:rsid w:val="00215BBC"/>
    <w:rsid w:val="00215C39"/>
    <w:rsid w:val="00215C95"/>
    <w:rsid w:val="00215D5B"/>
    <w:rsid w:val="00215E73"/>
    <w:rsid w:val="00215E94"/>
    <w:rsid w:val="00215F05"/>
    <w:rsid w:val="00215FFE"/>
    <w:rsid w:val="002160CA"/>
    <w:rsid w:val="002161C3"/>
    <w:rsid w:val="002162FF"/>
    <w:rsid w:val="002163A8"/>
    <w:rsid w:val="00216551"/>
    <w:rsid w:val="0021665F"/>
    <w:rsid w:val="00216686"/>
    <w:rsid w:val="0021673B"/>
    <w:rsid w:val="002167B9"/>
    <w:rsid w:val="00216839"/>
    <w:rsid w:val="00216900"/>
    <w:rsid w:val="0021696B"/>
    <w:rsid w:val="002169D9"/>
    <w:rsid w:val="00216C2B"/>
    <w:rsid w:val="00216C45"/>
    <w:rsid w:val="00216C6B"/>
    <w:rsid w:val="00216D74"/>
    <w:rsid w:val="00216E49"/>
    <w:rsid w:val="00216E96"/>
    <w:rsid w:val="00216F03"/>
    <w:rsid w:val="00216F1A"/>
    <w:rsid w:val="00217123"/>
    <w:rsid w:val="002172FB"/>
    <w:rsid w:val="0021759B"/>
    <w:rsid w:val="002175E1"/>
    <w:rsid w:val="00217A28"/>
    <w:rsid w:val="00217BB8"/>
    <w:rsid w:val="00217C86"/>
    <w:rsid w:val="00217CE9"/>
    <w:rsid w:val="00217D15"/>
    <w:rsid w:val="00217D6A"/>
    <w:rsid w:val="00217D83"/>
    <w:rsid w:val="00217EAC"/>
    <w:rsid w:val="00217F1E"/>
    <w:rsid w:val="00217F4F"/>
    <w:rsid w:val="00217F5B"/>
    <w:rsid w:val="00217F92"/>
    <w:rsid w:val="00217FAD"/>
    <w:rsid w:val="00217FBF"/>
    <w:rsid w:val="002200F3"/>
    <w:rsid w:val="0022012A"/>
    <w:rsid w:val="00220175"/>
    <w:rsid w:val="002202A6"/>
    <w:rsid w:val="00220360"/>
    <w:rsid w:val="00220466"/>
    <w:rsid w:val="00220469"/>
    <w:rsid w:val="00220484"/>
    <w:rsid w:val="00220520"/>
    <w:rsid w:val="002206F5"/>
    <w:rsid w:val="00220750"/>
    <w:rsid w:val="00220BAA"/>
    <w:rsid w:val="00220C64"/>
    <w:rsid w:val="00220D92"/>
    <w:rsid w:val="00220E3B"/>
    <w:rsid w:val="00220E3E"/>
    <w:rsid w:val="00220E75"/>
    <w:rsid w:val="00220EB1"/>
    <w:rsid w:val="00221031"/>
    <w:rsid w:val="002211E0"/>
    <w:rsid w:val="002212B2"/>
    <w:rsid w:val="00221336"/>
    <w:rsid w:val="0022136C"/>
    <w:rsid w:val="0022137A"/>
    <w:rsid w:val="0022139F"/>
    <w:rsid w:val="0022143E"/>
    <w:rsid w:val="0022157B"/>
    <w:rsid w:val="002215FB"/>
    <w:rsid w:val="002217BE"/>
    <w:rsid w:val="002218D4"/>
    <w:rsid w:val="00221953"/>
    <w:rsid w:val="00221A25"/>
    <w:rsid w:val="00221A86"/>
    <w:rsid w:val="00221BAD"/>
    <w:rsid w:val="00221C96"/>
    <w:rsid w:val="00221D82"/>
    <w:rsid w:val="00221DA2"/>
    <w:rsid w:val="00221E1F"/>
    <w:rsid w:val="00221EF8"/>
    <w:rsid w:val="00221F6A"/>
    <w:rsid w:val="002221D4"/>
    <w:rsid w:val="002222D0"/>
    <w:rsid w:val="0022231C"/>
    <w:rsid w:val="0022231D"/>
    <w:rsid w:val="00222466"/>
    <w:rsid w:val="0022263A"/>
    <w:rsid w:val="00222764"/>
    <w:rsid w:val="00222941"/>
    <w:rsid w:val="002229C8"/>
    <w:rsid w:val="00222A60"/>
    <w:rsid w:val="00222C82"/>
    <w:rsid w:val="00222CB7"/>
    <w:rsid w:val="00222CEF"/>
    <w:rsid w:val="00222DB9"/>
    <w:rsid w:val="00222EAA"/>
    <w:rsid w:val="00222EAE"/>
    <w:rsid w:val="00222F64"/>
    <w:rsid w:val="00222F92"/>
    <w:rsid w:val="002230C0"/>
    <w:rsid w:val="002230FC"/>
    <w:rsid w:val="00223108"/>
    <w:rsid w:val="0022316C"/>
    <w:rsid w:val="00223305"/>
    <w:rsid w:val="00223309"/>
    <w:rsid w:val="002234E1"/>
    <w:rsid w:val="00223558"/>
    <w:rsid w:val="002235BC"/>
    <w:rsid w:val="002235F6"/>
    <w:rsid w:val="0022362E"/>
    <w:rsid w:val="0022364F"/>
    <w:rsid w:val="00223862"/>
    <w:rsid w:val="00223B1B"/>
    <w:rsid w:val="00223D08"/>
    <w:rsid w:val="00223D0E"/>
    <w:rsid w:val="00223D4F"/>
    <w:rsid w:val="00223DBE"/>
    <w:rsid w:val="00223DE0"/>
    <w:rsid w:val="00223E4B"/>
    <w:rsid w:val="00223E51"/>
    <w:rsid w:val="002240B0"/>
    <w:rsid w:val="002240C9"/>
    <w:rsid w:val="002241A9"/>
    <w:rsid w:val="002241F0"/>
    <w:rsid w:val="00224212"/>
    <w:rsid w:val="00224296"/>
    <w:rsid w:val="0022430F"/>
    <w:rsid w:val="002243E1"/>
    <w:rsid w:val="0022445C"/>
    <w:rsid w:val="00224492"/>
    <w:rsid w:val="002244A4"/>
    <w:rsid w:val="002245AA"/>
    <w:rsid w:val="002245C9"/>
    <w:rsid w:val="00224629"/>
    <w:rsid w:val="002247E3"/>
    <w:rsid w:val="00224839"/>
    <w:rsid w:val="00224923"/>
    <w:rsid w:val="002249D1"/>
    <w:rsid w:val="00224A6A"/>
    <w:rsid w:val="00224A6E"/>
    <w:rsid w:val="00224A7B"/>
    <w:rsid w:val="00224AF6"/>
    <w:rsid w:val="00224B8E"/>
    <w:rsid w:val="00224C12"/>
    <w:rsid w:val="00224C4E"/>
    <w:rsid w:val="00224C7B"/>
    <w:rsid w:val="00224C85"/>
    <w:rsid w:val="00224CEA"/>
    <w:rsid w:val="00224D24"/>
    <w:rsid w:val="00224D4D"/>
    <w:rsid w:val="00224DA0"/>
    <w:rsid w:val="00224DBE"/>
    <w:rsid w:val="00224E73"/>
    <w:rsid w:val="00224E94"/>
    <w:rsid w:val="00224F99"/>
    <w:rsid w:val="00225246"/>
    <w:rsid w:val="00225271"/>
    <w:rsid w:val="002252A4"/>
    <w:rsid w:val="002253DC"/>
    <w:rsid w:val="00225405"/>
    <w:rsid w:val="002255D9"/>
    <w:rsid w:val="00225677"/>
    <w:rsid w:val="00225A19"/>
    <w:rsid w:val="00225A3D"/>
    <w:rsid w:val="00225A5F"/>
    <w:rsid w:val="00225B39"/>
    <w:rsid w:val="00225BAD"/>
    <w:rsid w:val="00225E09"/>
    <w:rsid w:val="00225F14"/>
    <w:rsid w:val="00225F61"/>
    <w:rsid w:val="00225FCC"/>
    <w:rsid w:val="0022617E"/>
    <w:rsid w:val="00226235"/>
    <w:rsid w:val="002262D7"/>
    <w:rsid w:val="00226451"/>
    <w:rsid w:val="002264BB"/>
    <w:rsid w:val="002264FF"/>
    <w:rsid w:val="0022658D"/>
    <w:rsid w:val="0022682D"/>
    <w:rsid w:val="00226870"/>
    <w:rsid w:val="00226880"/>
    <w:rsid w:val="00226B9B"/>
    <w:rsid w:val="00226C6E"/>
    <w:rsid w:val="00226D3F"/>
    <w:rsid w:val="00226E52"/>
    <w:rsid w:val="00226ED9"/>
    <w:rsid w:val="00226FC0"/>
    <w:rsid w:val="00227050"/>
    <w:rsid w:val="00227076"/>
    <w:rsid w:val="00227300"/>
    <w:rsid w:val="00227348"/>
    <w:rsid w:val="002273C0"/>
    <w:rsid w:val="002273F6"/>
    <w:rsid w:val="002273F8"/>
    <w:rsid w:val="00227622"/>
    <w:rsid w:val="00227644"/>
    <w:rsid w:val="002276E5"/>
    <w:rsid w:val="00227841"/>
    <w:rsid w:val="00227958"/>
    <w:rsid w:val="00227A3E"/>
    <w:rsid w:val="00227A87"/>
    <w:rsid w:val="00227AF1"/>
    <w:rsid w:val="00227D8F"/>
    <w:rsid w:val="00227EA1"/>
    <w:rsid w:val="002300CB"/>
    <w:rsid w:val="00230176"/>
    <w:rsid w:val="0023021A"/>
    <w:rsid w:val="002302E8"/>
    <w:rsid w:val="00230382"/>
    <w:rsid w:val="00230435"/>
    <w:rsid w:val="0023063B"/>
    <w:rsid w:val="0023067C"/>
    <w:rsid w:val="00230696"/>
    <w:rsid w:val="0023074D"/>
    <w:rsid w:val="002307CC"/>
    <w:rsid w:val="00230926"/>
    <w:rsid w:val="00230A82"/>
    <w:rsid w:val="00230AE3"/>
    <w:rsid w:val="00230B1A"/>
    <w:rsid w:val="00230B81"/>
    <w:rsid w:val="00230BDB"/>
    <w:rsid w:val="00230C63"/>
    <w:rsid w:val="00230D06"/>
    <w:rsid w:val="00230D4C"/>
    <w:rsid w:val="00230D55"/>
    <w:rsid w:val="00230D7F"/>
    <w:rsid w:val="00230E1A"/>
    <w:rsid w:val="00230E9E"/>
    <w:rsid w:val="00231208"/>
    <w:rsid w:val="00231251"/>
    <w:rsid w:val="00231427"/>
    <w:rsid w:val="00231513"/>
    <w:rsid w:val="00231568"/>
    <w:rsid w:val="002316BF"/>
    <w:rsid w:val="002316DB"/>
    <w:rsid w:val="0023181A"/>
    <w:rsid w:val="002319C2"/>
    <w:rsid w:val="00231A5B"/>
    <w:rsid w:val="00231A8C"/>
    <w:rsid w:val="00231BF0"/>
    <w:rsid w:val="00231C04"/>
    <w:rsid w:val="00231CD8"/>
    <w:rsid w:val="00231EA1"/>
    <w:rsid w:val="00231F85"/>
    <w:rsid w:val="00231FFB"/>
    <w:rsid w:val="002321FF"/>
    <w:rsid w:val="002322BF"/>
    <w:rsid w:val="00232552"/>
    <w:rsid w:val="00232578"/>
    <w:rsid w:val="002326B3"/>
    <w:rsid w:val="002327A2"/>
    <w:rsid w:val="00232938"/>
    <w:rsid w:val="00232968"/>
    <w:rsid w:val="00232B0A"/>
    <w:rsid w:val="00232B1C"/>
    <w:rsid w:val="00232B2C"/>
    <w:rsid w:val="00232D21"/>
    <w:rsid w:val="00232E1A"/>
    <w:rsid w:val="00232EA4"/>
    <w:rsid w:val="00232EE3"/>
    <w:rsid w:val="00232F03"/>
    <w:rsid w:val="00233242"/>
    <w:rsid w:val="002332D8"/>
    <w:rsid w:val="00233303"/>
    <w:rsid w:val="00233345"/>
    <w:rsid w:val="002333FA"/>
    <w:rsid w:val="002334B4"/>
    <w:rsid w:val="002334F5"/>
    <w:rsid w:val="0023356A"/>
    <w:rsid w:val="00233600"/>
    <w:rsid w:val="0023394E"/>
    <w:rsid w:val="00233B49"/>
    <w:rsid w:val="00233C59"/>
    <w:rsid w:val="00233D34"/>
    <w:rsid w:val="00233D42"/>
    <w:rsid w:val="00233EB7"/>
    <w:rsid w:val="00233EC1"/>
    <w:rsid w:val="00233F22"/>
    <w:rsid w:val="00233FD0"/>
    <w:rsid w:val="0023411F"/>
    <w:rsid w:val="0023417F"/>
    <w:rsid w:val="0023418F"/>
    <w:rsid w:val="002342E9"/>
    <w:rsid w:val="0023436B"/>
    <w:rsid w:val="002343FB"/>
    <w:rsid w:val="002344E1"/>
    <w:rsid w:val="002345AB"/>
    <w:rsid w:val="00234685"/>
    <w:rsid w:val="002346BA"/>
    <w:rsid w:val="00234754"/>
    <w:rsid w:val="0023475C"/>
    <w:rsid w:val="00234798"/>
    <w:rsid w:val="002347AE"/>
    <w:rsid w:val="002347C0"/>
    <w:rsid w:val="00234997"/>
    <w:rsid w:val="00234A4E"/>
    <w:rsid w:val="00234AFA"/>
    <w:rsid w:val="00234AFF"/>
    <w:rsid w:val="00234D8D"/>
    <w:rsid w:val="00234E7B"/>
    <w:rsid w:val="00235032"/>
    <w:rsid w:val="00235066"/>
    <w:rsid w:val="0023514D"/>
    <w:rsid w:val="00235161"/>
    <w:rsid w:val="00235253"/>
    <w:rsid w:val="00235357"/>
    <w:rsid w:val="0023535F"/>
    <w:rsid w:val="00235447"/>
    <w:rsid w:val="002354D8"/>
    <w:rsid w:val="0023551B"/>
    <w:rsid w:val="00235586"/>
    <w:rsid w:val="00235631"/>
    <w:rsid w:val="002356D5"/>
    <w:rsid w:val="002356E4"/>
    <w:rsid w:val="0023575A"/>
    <w:rsid w:val="0023579C"/>
    <w:rsid w:val="00235909"/>
    <w:rsid w:val="00235927"/>
    <w:rsid w:val="0023596D"/>
    <w:rsid w:val="002359AB"/>
    <w:rsid w:val="00235BC3"/>
    <w:rsid w:val="00235D09"/>
    <w:rsid w:val="00235D4B"/>
    <w:rsid w:val="00235DD6"/>
    <w:rsid w:val="00235F94"/>
    <w:rsid w:val="0023600E"/>
    <w:rsid w:val="00236033"/>
    <w:rsid w:val="002360E6"/>
    <w:rsid w:val="0023613A"/>
    <w:rsid w:val="00236203"/>
    <w:rsid w:val="00236280"/>
    <w:rsid w:val="002362C7"/>
    <w:rsid w:val="00236473"/>
    <w:rsid w:val="00236522"/>
    <w:rsid w:val="0023667F"/>
    <w:rsid w:val="002366AA"/>
    <w:rsid w:val="002366BB"/>
    <w:rsid w:val="0023673A"/>
    <w:rsid w:val="0023679A"/>
    <w:rsid w:val="002367D2"/>
    <w:rsid w:val="00236814"/>
    <w:rsid w:val="0023687F"/>
    <w:rsid w:val="0023699A"/>
    <w:rsid w:val="00236A7E"/>
    <w:rsid w:val="00236C36"/>
    <w:rsid w:val="00236C7B"/>
    <w:rsid w:val="00236F12"/>
    <w:rsid w:val="00236F9C"/>
    <w:rsid w:val="002370F4"/>
    <w:rsid w:val="00237136"/>
    <w:rsid w:val="002371F1"/>
    <w:rsid w:val="00237302"/>
    <w:rsid w:val="002373AD"/>
    <w:rsid w:val="00237445"/>
    <w:rsid w:val="002374C1"/>
    <w:rsid w:val="002376B7"/>
    <w:rsid w:val="00237750"/>
    <w:rsid w:val="002378A6"/>
    <w:rsid w:val="002379D9"/>
    <w:rsid w:val="00237A36"/>
    <w:rsid w:val="00237C09"/>
    <w:rsid w:val="00237D19"/>
    <w:rsid w:val="00237D70"/>
    <w:rsid w:val="00237F04"/>
    <w:rsid w:val="00237F09"/>
    <w:rsid w:val="002400CB"/>
    <w:rsid w:val="002400F4"/>
    <w:rsid w:val="0024015A"/>
    <w:rsid w:val="00240322"/>
    <w:rsid w:val="0024042F"/>
    <w:rsid w:val="00240459"/>
    <w:rsid w:val="0024049C"/>
    <w:rsid w:val="002404AE"/>
    <w:rsid w:val="00240500"/>
    <w:rsid w:val="002405F7"/>
    <w:rsid w:val="0024065D"/>
    <w:rsid w:val="0024085C"/>
    <w:rsid w:val="00240892"/>
    <w:rsid w:val="00240918"/>
    <w:rsid w:val="00240AB2"/>
    <w:rsid w:val="00240B75"/>
    <w:rsid w:val="00240F30"/>
    <w:rsid w:val="00240F5B"/>
    <w:rsid w:val="00241189"/>
    <w:rsid w:val="002411C1"/>
    <w:rsid w:val="002411F6"/>
    <w:rsid w:val="002412B0"/>
    <w:rsid w:val="002412B4"/>
    <w:rsid w:val="0024139D"/>
    <w:rsid w:val="002413B3"/>
    <w:rsid w:val="00241401"/>
    <w:rsid w:val="00241417"/>
    <w:rsid w:val="002414DD"/>
    <w:rsid w:val="002415A9"/>
    <w:rsid w:val="00241685"/>
    <w:rsid w:val="00241687"/>
    <w:rsid w:val="002416D2"/>
    <w:rsid w:val="002416EA"/>
    <w:rsid w:val="00241701"/>
    <w:rsid w:val="002417E5"/>
    <w:rsid w:val="00241819"/>
    <w:rsid w:val="00241851"/>
    <w:rsid w:val="0024195D"/>
    <w:rsid w:val="0024197C"/>
    <w:rsid w:val="00241AF2"/>
    <w:rsid w:val="00241BD5"/>
    <w:rsid w:val="00241C0C"/>
    <w:rsid w:val="00241DAE"/>
    <w:rsid w:val="00241E6A"/>
    <w:rsid w:val="00241E7C"/>
    <w:rsid w:val="00241ED7"/>
    <w:rsid w:val="00241FDA"/>
    <w:rsid w:val="00242048"/>
    <w:rsid w:val="002421EA"/>
    <w:rsid w:val="002422BD"/>
    <w:rsid w:val="00242492"/>
    <w:rsid w:val="002424BD"/>
    <w:rsid w:val="002424CB"/>
    <w:rsid w:val="0024272A"/>
    <w:rsid w:val="00242789"/>
    <w:rsid w:val="002427A8"/>
    <w:rsid w:val="002427EE"/>
    <w:rsid w:val="002427F9"/>
    <w:rsid w:val="00242863"/>
    <w:rsid w:val="00242899"/>
    <w:rsid w:val="002428A1"/>
    <w:rsid w:val="00242D18"/>
    <w:rsid w:val="00242D69"/>
    <w:rsid w:val="00243011"/>
    <w:rsid w:val="002431A4"/>
    <w:rsid w:val="0024321A"/>
    <w:rsid w:val="0024321D"/>
    <w:rsid w:val="00243297"/>
    <w:rsid w:val="002432AD"/>
    <w:rsid w:val="002432CB"/>
    <w:rsid w:val="00243412"/>
    <w:rsid w:val="0024341E"/>
    <w:rsid w:val="002435C5"/>
    <w:rsid w:val="002437B8"/>
    <w:rsid w:val="00243922"/>
    <w:rsid w:val="00243AB6"/>
    <w:rsid w:val="00243BC8"/>
    <w:rsid w:val="00243CC1"/>
    <w:rsid w:val="00243CD4"/>
    <w:rsid w:val="00243CEE"/>
    <w:rsid w:val="00243D67"/>
    <w:rsid w:val="00243E03"/>
    <w:rsid w:val="00243E84"/>
    <w:rsid w:val="00243F16"/>
    <w:rsid w:val="00243F90"/>
    <w:rsid w:val="002440C7"/>
    <w:rsid w:val="002440F1"/>
    <w:rsid w:val="002441AC"/>
    <w:rsid w:val="00244226"/>
    <w:rsid w:val="00244287"/>
    <w:rsid w:val="002442DC"/>
    <w:rsid w:val="0024434F"/>
    <w:rsid w:val="0024436B"/>
    <w:rsid w:val="00244388"/>
    <w:rsid w:val="002443AC"/>
    <w:rsid w:val="002443BA"/>
    <w:rsid w:val="00244490"/>
    <w:rsid w:val="002445C2"/>
    <w:rsid w:val="002446CE"/>
    <w:rsid w:val="00244812"/>
    <w:rsid w:val="002449DD"/>
    <w:rsid w:val="002449EF"/>
    <w:rsid w:val="00244A81"/>
    <w:rsid w:val="00244AF2"/>
    <w:rsid w:val="00244B23"/>
    <w:rsid w:val="00244B8C"/>
    <w:rsid w:val="00244D85"/>
    <w:rsid w:val="00244E2F"/>
    <w:rsid w:val="00244E75"/>
    <w:rsid w:val="00244FDC"/>
    <w:rsid w:val="002450FA"/>
    <w:rsid w:val="002451B0"/>
    <w:rsid w:val="002454AC"/>
    <w:rsid w:val="00245553"/>
    <w:rsid w:val="002455E4"/>
    <w:rsid w:val="002455EF"/>
    <w:rsid w:val="0024561B"/>
    <w:rsid w:val="00245745"/>
    <w:rsid w:val="00245790"/>
    <w:rsid w:val="00245871"/>
    <w:rsid w:val="00245AD6"/>
    <w:rsid w:val="00245C9B"/>
    <w:rsid w:val="00245D01"/>
    <w:rsid w:val="00245DD3"/>
    <w:rsid w:val="00245DEF"/>
    <w:rsid w:val="00245E0D"/>
    <w:rsid w:val="00245EB4"/>
    <w:rsid w:val="00245EF6"/>
    <w:rsid w:val="00246035"/>
    <w:rsid w:val="00246097"/>
    <w:rsid w:val="00246106"/>
    <w:rsid w:val="00246209"/>
    <w:rsid w:val="002463DF"/>
    <w:rsid w:val="002464D2"/>
    <w:rsid w:val="0024657A"/>
    <w:rsid w:val="002465DC"/>
    <w:rsid w:val="002466F7"/>
    <w:rsid w:val="00246701"/>
    <w:rsid w:val="002467A2"/>
    <w:rsid w:val="002467E9"/>
    <w:rsid w:val="002467EA"/>
    <w:rsid w:val="00246872"/>
    <w:rsid w:val="002469E8"/>
    <w:rsid w:val="00246A20"/>
    <w:rsid w:val="00246A6B"/>
    <w:rsid w:val="00246AD9"/>
    <w:rsid w:val="00246B75"/>
    <w:rsid w:val="00246B92"/>
    <w:rsid w:val="00246BB0"/>
    <w:rsid w:val="00246D08"/>
    <w:rsid w:val="00246D8E"/>
    <w:rsid w:val="00246DB7"/>
    <w:rsid w:val="00246E7E"/>
    <w:rsid w:val="00246E8F"/>
    <w:rsid w:val="00246FB8"/>
    <w:rsid w:val="00246FC7"/>
    <w:rsid w:val="00247026"/>
    <w:rsid w:val="0024706F"/>
    <w:rsid w:val="002470C6"/>
    <w:rsid w:val="002470E2"/>
    <w:rsid w:val="00247110"/>
    <w:rsid w:val="00247112"/>
    <w:rsid w:val="002471E4"/>
    <w:rsid w:val="002471F6"/>
    <w:rsid w:val="00247224"/>
    <w:rsid w:val="0024730F"/>
    <w:rsid w:val="00247338"/>
    <w:rsid w:val="00247581"/>
    <w:rsid w:val="002475D2"/>
    <w:rsid w:val="00247647"/>
    <w:rsid w:val="002476E7"/>
    <w:rsid w:val="002477FB"/>
    <w:rsid w:val="00247959"/>
    <w:rsid w:val="00247A80"/>
    <w:rsid w:val="00247CF0"/>
    <w:rsid w:val="00247DD8"/>
    <w:rsid w:val="00247E61"/>
    <w:rsid w:val="00247EB1"/>
    <w:rsid w:val="00247FEB"/>
    <w:rsid w:val="00250054"/>
    <w:rsid w:val="002501C7"/>
    <w:rsid w:val="0025024D"/>
    <w:rsid w:val="002504BD"/>
    <w:rsid w:val="0025050A"/>
    <w:rsid w:val="002505F0"/>
    <w:rsid w:val="00250668"/>
    <w:rsid w:val="0025094E"/>
    <w:rsid w:val="002509CC"/>
    <w:rsid w:val="00250A17"/>
    <w:rsid w:val="00250A6E"/>
    <w:rsid w:val="00250B2A"/>
    <w:rsid w:val="00250C53"/>
    <w:rsid w:val="00250CA7"/>
    <w:rsid w:val="00250D95"/>
    <w:rsid w:val="00250DB1"/>
    <w:rsid w:val="00250E5F"/>
    <w:rsid w:val="00250F6D"/>
    <w:rsid w:val="00250F9E"/>
    <w:rsid w:val="00251193"/>
    <w:rsid w:val="00251327"/>
    <w:rsid w:val="002513B1"/>
    <w:rsid w:val="00251406"/>
    <w:rsid w:val="0025149D"/>
    <w:rsid w:val="002514AD"/>
    <w:rsid w:val="002514BD"/>
    <w:rsid w:val="0025173F"/>
    <w:rsid w:val="0025177C"/>
    <w:rsid w:val="00251783"/>
    <w:rsid w:val="0025178E"/>
    <w:rsid w:val="00251834"/>
    <w:rsid w:val="00251973"/>
    <w:rsid w:val="00251AC1"/>
    <w:rsid w:val="00251B85"/>
    <w:rsid w:val="00251E1F"/>
    <w:rsid w:val="00251EED"/>
    <w:rsid w:val="00251F7C"/>
    <w:rsid w:val="002521B8"/>
    <w:rsid w:val="00252371"/>
    <w:rsid w:val="0025244D"/>
    <w:rsid w:val="0025250A"/>
    <w:rsid w:val="00252569"/>
    <w:rsid w:val="00252890"/>
    <w:rsid w:val="00252924"/>
    <w:rsid w:val="00252963"/>
    <w:rsid w:val="0025296B"/>
    <w:rsid w:val="002529A9"/>
    <w:rsid w:val="00252A88"/>
    <w:rsid w:val="00252AAA"/>
    <w:rsid w:val="00252CBD"/>
    <w:rsid w:val="00252CC1"/>
    <w:rsid w:val="00252CDF"/>
    <w:rsid w:val="00252D68"/>
    <w:rsid w:val="0025309F"/>
    <w:rsid w:val="002530BF"/>
    <w:rsid w:val="00253121"/>
    <w:rsid w:val="002532AE"/>
    <w:rsid w:val="002532F5"/>
    <w:rsid w:val="0025333A"/>
    <w:rsid w:val="002534A6"/>
    <w:rsid w:val="0025376D"/>
    <w:rsid w:val="002537BF"/>
    <w:rsid w:val="0025380C"/>
    <w:rsid w:val="00253A69"/>
    <w:rsid w:val="00253BEF"/>
    <w:rsid w:val="00253C3B"/>
    <w:rsid w:val="00253D70"/>
    <w:rsid w:val="00253D8E"/>
    <w:rsid w:val="00253DE9"/>
    <w:rsid w:val="00253E8F"/>
    <w:rsid w:val="00253EB0"/>
    <w:rsid w:val="00253ECF"/>
    <w:rsid w:val="002540C7"/>
    <w:rsid w:val="00254120"/>
    <w:rsid w:val="002541A9"/>
    <w:rsid w:val="00254269"/>
    <w:rsid w:val="002542C4"/>
    <w:rsid w:val="002543E5"/>
    <w:rsid w:val="00254408"/>
    <w:rsid w:val="00254962"/>
    <w:rsid w:val="002549BB"/>
    <w:rsid w:val="00254AAB"/>
    <w:rsid w:val="00254ADF"/>
    <w:rsid w:val="00254B41"/>
    <w:rsid w:val="00254CB8"/>
    <w:rsid w:val="00254DAD"/>
    <w:rsid w:val="00254EB9"/>
    <w:rsid w:val="0025502E"/>
    <w:rsid w:val="00255197"/>
    <w:rsid w:val="002551CB"/>
    <w:rsid w:val="002551EA"/>
    <w:rsid w:val="002552B8"/>
    <w:rsid w:val="002553DA"/>
    <w:rsid w:val="002553EB"/>
    <w:rsid w:val="002554F0"/>
    <w:rsid w:val="0025558C"/>
    <w:rsid w:val="00255659"/>
    <w:rsid w:val="0025595E"/>
    <w:rsid w:val="0025595F"/>
    <w:rsid w:val="00255982"/>
    <w:rsid w:val="00255A53"/>
    <w:rsid w:val="00255BA7"/>
    <w:rsid w:val="00255CE3"/>
    <w:rsid w:val="00255D0A"/>
    <w:rsid w:val="00255D54"/>
    <w:rsid w:val="00255D8D"/>
    <w:rsid w:val="00255E0B"/>
    <w:rsid w:val="0025608B"/>
    <w:rsid w:val="002560D7"/>
    <w:rsid w:val="00256250"/>
    <w:rsid w:val="0025625F"/>
    <w:rsid w:val="002562E6"/>
    <w:rsid w:val="00256338"/>
    <w:rsid w:val="0025637C"/>
    <w:rsid w:val="0025645B"/>
    <w:rsid w:val="00256557"/>
    <w:rsid w:val="002565CD"/>
    <w:rsid w:val="00256683"/>
    <w:rsid w:val="002568B6"/>
    <w:rsid w:val="00256B03"/>
    <w:rsid w:val="00256BF4"/>
    <w:rsid w:val="00256CA0"/>
    <w:rsid w:val="00256D23"/>
    <w:rsid w:val="00256E00"/>
    <w:rsid w:val="00256F84"/>
    <w:rsid w:val="00256FE1"/>
    <w:rsid w:val="002570FD"/>
    <w:rsid w:val="00257133"/>
    <w:rsid w:val="002573B5"/>
    <w:rsid w:val="002573BD"/>
    <w:rsid w:val="002573F8"/>
    <w:rsid w:val="002575DC"/>
    <w:rsid w:val="00257654"/>
    <w:rsid w:val="00257865"/>
    <w:rsid w:val="0025789D"/>
    <w:rsid w:val="00257933"/>
    <w:rsid w:val="0025795D"/>
    <w:rsid w:val="00257A65"/>
    <w:rsid w:val="00257B71"/>
    <w:rsid w:val="00257B92"/>
    <w:rsid w:val="00257BF6"/>
    <w:rsid w:val="00257C3A"/>
    <w:rsid w:val="00257D8B"/>
    <w:rsid w:val="00257ECE"/>
    <w:rsid w:val="00257FAC"/>
    <w:rsid w:val="00257FB8"/>
    <w:rsid w:val="00257FCA"/>
    <w:rsid w:val="0026020F"/>
    <w:rsid w:val="0026021F"/>
    <w:rsid w:val="002602C7"/>
    <w:rsid w:val="002602FC"/>
    <w:rsid w:val="00260352"/>
    <w:rsid w:val="00260370"/>
    <w:rsid w:val="00260520"/>
    <w:rsid w:val="0026060E"/>
    <w:rsid w:val="00260746"/>
    <w:rsid w:val="002607CB"/>
    <w:rsid w:val="002607DE"/>
    <w:rsid w:val="00260887"/>
    <w:rsid w:val="0026090A"/>
    <w:rsid w:val="0026096C"/>
    <w:rsid w:val="00260B03"/>
    <w:rsid w:val="00260B14"/>
    <w:rsid w:val="00260B24"/>
    <w:rsid w:val="00260B4F"/>
    <w:rsid w:val="00260ECA"/>
    <w:rsid w:val="002611E9"/>
    <w:rsid w:val="002611F5"/>
    <w:rsid w:val="002612C1"/>
    <w:rsid w:val="00261402"/>
    <w:rsid w:val="0026143E"/>
    <w:rsid w:val="002614A4"/>
    <w:rsid w:val="0026152D"/>
    <w:rsid w:val="002616F9"/>
    <w:rsid w:val="0026176F"/>
    <w:rsid w:val="0026178A"/>
    <w:rsid w:val="002617DC"/>
    <w:rsid w:val="0026192A"/>
    <w:rsid w:val="0026195D"/>
    <w:rsid w:val="00261BA6"/>
    <w:rsid w:val="00261C2C"/>
    <w:rsid w:val="00261C96"/>
    <w:rsid w:val="00261D95"/>
    <w:rsid w:val="00261E24"/>
    <w:rsid w:val="00261F09"/>
    <w:rsid w:val="0026204F"/>
    <w:rsid w:val="00262291"/>
    <w:rsid w:val="00262346"/>
    <w:rsid w:val="00262412"/>
    <w:rsid w:val="00262437"/>
    <w:rsid w:val="00262447"/>
    <w:rsid w:val="00262670"/>
    <w:rsid w:val="00262678"/>
    <w:rsid w:val="002627B9"/>
    <w:rsid w:val="002627C2"/>
    <w:rsid w:val="00262852"/>
    <w:rsid w:val="00262903"/>
    <w:rsid w:val="00262942"/>
    <w:rsid w:val="0026295B"/>
    <w:rsid w:val="00262AA9"/>
    <w:rsid w:val="00262C38"/>
    <w:rsid w:val="00262C63"/>
    <w:rsid w:val="00262D01"/>
    <w:rsid w:val="00262DB2"/>
    <w:rsid w:val="00262E19"/>
    <w:rsid w:val="00262E91"/>
    <w:rsid w:val="00262EF5"/>
    <w:rsid w:val="00262FB4"/>
    <w:rsid w:val="00263052"/>
    <w:rsid w:val="00263091"/>
    <w:rsid w:val="0026311C"/>
    <w:rsid w:val="002631CC"/>
    <w:rsid w:val="002631F8"/>
    <w:rsid w:val="00263246"/>
    <w:rsid w:val="002634C6"/>
    <w:rsid w:val="00263521"/>
    <w:rsid w:val="002638BF"/>
    <w:rsid w:val="002639A5"/>
    <w:rsid w:val="002639BB"/>
    <w:rsid w:val="00263AEE"/>
    <w:rsid w:val="00263E4C"/>
    <w:rsid w:val="00263E7A"/>
    <w:rsid w:val="00263EC9"/>
    <w:rsid w:val="00263F95"/>
    <w:rsid w:val="00263FF7"/>
    <w:rsid w:val="00264128"/>
    <w:rsid w:val="00264163"/>
    <w:rsid w:val="002642A0"/>
    <w:rsid w:val="002642B8"/>
    <w:rsid w:val="002643AA"/>
    <w:rsid w:val="00264559"/>
    <w:rsid w:val="0026463B"/>
    <w:rsid w:val="00264700"/>
    <w:rsid w:val="00264938"/>
    <w:rsid w:val="002649C4"/>
    <w:rsid w:val="00264A5A"/>
    <w:rsid w:val="00264B80"/>
    <w:rsid w:val="00264B9B"/>
    <w:rsid w:val="00264E93"/>
    <w:rsid w:val="00264F9E"/>
    <w:rsid w:val="00265222"/>
    <w:rsid w:val="0026544C"/>
    <w:rsid w:val="002654BE"/>
    <w:rsid w:val="00265538"/>
    <w:rsid w:val="002656C9"/>
    <w:rsid w:val="002657F9"/>
    <w:rsid w:val="0026581C"/>
    <w:rsid w:val="002658A1"/>
    <w:rsid w:val="002658D0"/>
    <w:rsid w:val="002658D5"/>
    <w:rsid w:val="002658D9"/>
    <w:rsid w:val="00265AE5"/>
    <w:rsid w:val="00265B5A"/>
    <w:rsid w:val="00265C2F"/>
    <w:rsid w:val="00265C4D"/>
    <w:rsid w:val="00265DF3"/>
    <w:rsid w:val="00265E98"/>
    <w:rsid w:val="00265F28"/>
    <w:rsid w:val="0026604A"/>
    <w:rsid w:val="00266222"/>
    <w:rsid w:val="00266308"/>
    <w:rsid w:val="0026636D"/>
    <w:rsid w:val="002664C3"/>
    <w:rsid w:val="002664E6"/>
    <w:rsid w:val="002666CD"/>
    <w:rsid w:val="00266721"/>
    <w:rsid w:val="00266748"/>
    <w:rsid w:val="00266833"/>
    <w:rsid w:val="00266837"/>
    <w:rsid w:val="002669E5"/>
    <w:rsid w:val="00266B65"/>
    <w:rsid w:val="00266C6C"/>
    <w:rsid w:val="00266C76"/>
    <w:rsid w:val="00266EAB"/>
    <w:rsid w:val="00266EF6"/>
    <w:rsid w:val="00266FB3"/>
    <w:rsid w:val="0026707E"/>
    <w:rsid w:val="002670CB"/>
    <w:rsid w:val="002670D0"/>
    <w:rsid w:val="0026718A"/>
    <w:rsid w:val="00267200"/>
    <w:rsid w:val="00267237"/>
    <w:rsid w:val="00267369"/>
    <w:rsid w:val="0026754A"/>
    <w:rsid w:val="002675AB"/>
    <w:rsid w:val="002675E6"/>
    <w:rsid w:val="00267635"/>
    <w:rsid w:val="002676D2"/>
    <w:rsid w:val="00267769"/>
    <w:rsid w:val="00267863"/>
    <w:rsid w:val="002679D9"/>
    <w:rsid w:val="002679F6"/>
    <w:rsid w:val="00267A51"/>
    <w:rsid w:val="00267BBD"/>
    <w:rsid w:val="00267C17"/>
    <w:rsid w:val="00267C55"/>
    <w:rsid w:val="00267C5C"/>
    <w:rsid w:val="00267CB9"/>
    <w:rsid w:val="00267CF4"/>
    <w:rsid w:val="00267DCE"/>
    <w:rsid w:val="00267DFA"/>
    <w:rsid w:val="00267E1F"/>
    <w:rsid w:val="00267F0D"/>
    <w:rsid w:val="00270027"/>
    <w:rsid w:val="0027005E"/>
    <w:rsid w:val="002701F5"/>
    <w:rsid w:val="00270253"/>
    <w:rsid w:val="0027036A"/>
    <w:rsid w:val="002704C8"/>
    <w:rsid w:val="0027054D"/>
    <w:rsid w:val="0027082E"/>
    <w:rsid w:val="00270889"/>
    <w:rsid w:val="00270931"/>
    <w:rsid w:val="00270A2C"/>
    <w:rsid w:val="00270ADE"/>
    <w:rsid w:val="00270CB4"/>
    <w:rsid w:val="00270D1F"/>
    <w:rsid w:val="00270D5B"/>
    <w:rsid w:val="00270D90"/>
    <w:rsid w:val="00270D94"/>
    <w:rsid w:val="00270DFC"/>
    <w:rsid w:val="00270E32"/>
    <w:rsid w:val="00270EB6"/>
    <w:rsid w:val="00270EBA"/>
    <w:rsid w:val="0027108C"/>
    <w:rsid w:val="002710E8"/>
    <w:rsid w:val="002710EF"/>
    <w:rsid w:val="00271101"/>
    <w:rsid w:val="00271277"/>
    <w:rsid w:val="002712FC"/>
    <w:rsid w:val="00271367"/>
    <w:rsid w:val="00271517"/>
    <w:rsid w:val="002716DC"/>
    <w:rsid w:val="0027184D"/>
    <w:rsid w:val="0027189F"/>
    <w:rsid w:val="00271DEE"/>
    <w:rsid w:val="0027203B"/>
    <w:rsid w:val="00272072"/>
    <w:rsid w:val="002720A7"/>
    <w:rsid w:val="00272174"/>
    <w:rsid w:val="00272319"/>
    <w:rsid w:val="00272352"/>
    <w:rsid w:val="002723F2"/>
    <w:rsid w:val="0027244F"/>
    <w:rsid w:val="0027257A"/>
    <w:rsid w:val="0027257C"/>
    <w:rsid w:val="00272594"/>
    <w:rsid w:val="0027259A"/>
    <w:rsid w:val="002725AF"/>
    <w:rsid w:val="0027288C"/>
    <w:rsid w:val="002729E4"/>
    <w:rsid w:val="00272ABD"/>
    <w:rsid w:val="00272B7A"/>
    <w:rsid w:val="00272BC8"/>
    <w:rsid w:val="00272C0F"/>
    <w:rsid w:val="00272CB3"/>
    <w:rsid w:val="00272D08"/>
    <w:rsid w:val="00272D23"/>
    <w:rsid w:val="00272D5E"/>
    <w:rsid w:val="00272EB0"/>
    <w:rsid w:val="00272F97"/>
    <w:rsid w:val="00272FA2"/>
    <w:rsid w:val="00273059"/>
    <w:rsid w:val="00273163"/>
    <w:rsid w:val="002731F5"/>
    <w:rsid w:val="00273229"/>
    <w:rsid w:val="002732B6"/>
    <w:rsid w:val="002732F8"/>
    <w:rsid w:val="0027333D"/>
    <w:rsid w:val="002733B6"/>
    <w:rsid w:val="00273403"/>
    <w:rsid w:val="0027344E"/>
    <w:rsid w:val="00273592"/>
    <w:rsid w:val="00273686"/>
    <w:rsid w:val="0027384A"/>
    <w:rsid w:val="00273AE4"/>
    <w:rsid w:val="00273AFE"/>
    <w:rsid w:val="00273B12"/>
    <w:rsid w:val="00273BA0"/>
    <w:rsid w:val="00273DAC"/>
    <w:rsid w:val="00273DAE"/>
    <w:rsid w:val="00273E9A"/>
    <w:rsid w:val="00273EB4"/>
    <w:rsid w:val="00273F94"/>
    <w:rsid w:val="00274015"/>
    <w:rsid w:val="00274025"/>
    <w:rsid w:val="00274224"/>
    <w:rsid w:val="00274244"/>
    <w:rsid w:val="00274311"/>
    <w:rsid w:val="002743A8"/>
    <w:rsid w:val="002743F9"/>
    <w:rsid w:val="002744CF"/>
    <w:rsid w:val="00274528"/>
    <w:rsid w:val="0027453D"/>
    <w:rsid w:val="002745E1"/>
    <w:rsid w:val="002745FA"/>
    <w:rsid w:val="00274644"/>
    <w:rsid w:val="002746F7"/>
    <w:rsid w:val="0027478C"/>
    <w:rsid w:val="002747A2"/>
    <w:rsid w:val="00274803"/>
    <w:rsid w:val="0027493D"/>
    <w:rsid w:val="002749DB"/>
    <w:rsid w:val="00274B1B"/>
    <w:rsid w:val="00274C9A"/>
    <w:rsid w:val="00274CB4"/>
    <w:rsid w:val="00274EDE"/>
    <w:rsid w:val="00274FEE"/>
    <w:rsid w:val="00275003"/>
    <w:rsid w:val="0027501B"/>
    <w:rsid w:val="0027515A"/>
    <w:rsid w:val="00275253"/>
    <w:rsid w:val="0027527B"/>
    <w:rsid w:val="00275328"/>
    <w:rsid w:val="00275352"/>
    <w:rsid w:val="00275378"/>
    <w:rsid w:val="002753C2"/>
    <w:rsid w:val="002754E3"/>
    <w:rsid w:val="00275690"/>
    <w:rsid w:val="0027570B"/>
    <w:rsid w:val="00275798"/>
    <w:rsid w:val="0027591C"/>
    <w:rsid w:val="00275998"/>
    <w:rsid w:val="00275A7A"/>
    <w:rsid w:val="00275B5E"/>
    <w:rsid w:val="00275C1A"/>
    <w:rsid w:val="00276039"/>
    <w:rsid w:val="0027626D"/>
    <w:rsid w:val="002762A5"/>
    <w:rsid w:val="002762D2"/>
    <w:rsid w:val="00276412"/>
    <w:rsid w:val="0027643C"/>
    <w:rsid w:val="002764AE"/>
    <w:rsid w:val="0027657B"/>
    <w:rsid w:val="002766B5"/>
    <w:rsid w:val="002766BA"/>
    <w:rsid w:val="002767CF"/>
    <w:rsid w:val="002767E9"/>
    <w:rsid w:val="002767EB"/>
    <w:rsid w:val="00276893"/>
    <w:rsid w:val="002768BB"/>
    <w:rsid w:val="0027691B"/>
    <w:rsid w:val="00276945"/>
    <w:rsid w:val="00276A12"/>
    <w:rsid w:val="00276C86"/>
    <w:rsid w:val="00276CCF"/>
    <w:rsid w:val="00276D6A"/>
    <w:rsid w:val="00276F59"/>
    <w:rsid w:val="00276FA6"/>
    <w:rsid w:val="002772B3"/>
    <w:rsid w:val="00277355"/>
    <w:rsid w:val="00277410"/>
    <w:rsid w:val="00277457"/>
    <w:rsid w:val="0027746F"/>
    <w:rsid w:val="00277549"/>
    <w:rsid w:val="002775EA"/>
    <w:rsid w:val="0027762B"/>
    <w:rsid w:val="00277670"/>
    <w:rsid w:val="00277699"/>
    <w:rsid w:val="002776B3"/>
    <w:rsid w:val="002776DF"/>
    <w:rsid w:val="0027771E"/>
    <w:rsid w:val="002777CC"/>
    <w:rsid w:val="00277895"/>
    <w:rsid w:val="002779EC"/>
    <w:rsid w:val="00277A8F"/>
    <w:rsid w:val="00277B65"/>
    <w:rsid w:val="00277C3A"/>
    <w:rsid w:val="00277C82"/>
    <w:rsid w:val="00277CA7"/>
    <w:rsid w:val="00277CCC"/>
    <w:rsid w:val="00277D6C"/>
    <w:rsid w:val="00277F33"/>
    <w:rsid w:val="00277F40"/>
    <w:rsid w:val="00277F56"/>
    <w:rsid w:val="00277F83"/>
    <w:rsid w:val="00280041"/>
    <w:rsid w:val="00280049"/>
    <w:rsid w:val="0028006A"/>
    <w:rsid w:val="00280166"/>
    <w:rsid w:val="00280288"/>
    <w:rsid w:val="00280336"/>
    <w:rsid w:val="00280363"/>
    <w:rsid w:val="00280409"/>
    <w:rsid w:val="00280480"/>
    <w:rsid w:val="00280606"/>
    <w:rsid w:val="0028070E"/>
    <w:rsid w:val="00280717"/>
    <w:rsid w:val="00280789"/>
    <w:rsid w:val="002807AA"/>
    <w:rsid w:val="002807EC"/>
    <w:rsid w:val="002808DB"/>
    <w:rsid w:val="002809DE"/>
    <w:rsid w:val="00280BF6"/>
    <w:rsid w:val="00280D1D"/>
    <w:rsid w:val="00280D40"/>
    <w:rsid w:val="00280DDB"/>
    <w:rsid w:val="00280F4A"/>
    <w:rsid w:val="00280F9D"/>
    <w:rsid w:val="0028105E"/>
    <w:rsid w:val="0028109B"/>
    <w:rsid w:val="002810D4"/>
    <w:rsid w:val="0028138B"/>
    <w:rsid w:val="00281391"/>
    <w:rsid w:val="002813FC"/>
    <w:rsid w:val="0028142A"/>
    <w:rsid w:val="00281477"/>
    <w:rsid w:val="00281563"/>
    <w:rsid w:val="0028159E"/>
    <w:rsid w:val="0028164B"/>
    <w:rsid w:val="00281716"/>
    <w:rsid w:val="00281758"/>
    <w:rsid w:val="00281775"/>
    <w:rsid w:val="002817DA"/>
    <w:rsid w:val="0028181D"/>
    <w:rsid w:val="002818C1"/>
    <w:rsid w:val="0028196C"/>
    <w:rsid w:val="002819B3"/>
    <w:rsid w:val="00281AA0"/>
    <w:rsid w:val="00281B58"/>
    <w:rsid w:val="00281BA7"/>
    <w:rsid w:val="00281C00"/>
    <w:rsid w:val="00281C65"/>
    <w:rsid w:val="00281CAE"/>
    <w:rsid w:val="00281FD4"/>
    <w:rsid w:val="002820AE"/>
    <w:rsid w:val="00282102"/>
    <w:rsid w:val="00282151"/>
    <w:rsid w:val="0028217C"/>
    <w:rsid w:val="002821E1"/>
    <w:rsid w:val="0028232C"/>
    <w:rsid w:val="002824AB"/>
    <w:rsid w:val="00282531"/>
    <w:rsid w:val="00282552"/>
    <w:rsid w:val="0028283F"/>
    <w:rsid w:val="00282A71"/>
    <w:rsid w:val="00282A81"/>
    <w:rsid w:val="00282A9B"/>
    <w:rsid w:val="00282BBA"/>
    <w:rsid w:val="00282D91"/>
    <w:rsid w:val="00282DDD"/>
    <w:rsid w:val="00282F6B"/>
    <w:rsid w:val="00283041"/>
    <w:rsid w:val="002831F8"/>
    <w:rsid w:val="00283239"/>
    <w:rsid w:val="0028325B"/>
    <w:rsid w:val="0028326B"/>
    <w:rsid w:val="0028329A"/>
    <w:rsid w:val="002832CA"/>
    <w:rsid w:val="0028336B"/>
    <w:rsid w:val="0028360A"/>
    <w:rsid w:val="002837F3"/>
    <w:rsid w:val="00283807"/>
    <w:rsid w:val="00283C39"/>
    <w:rsid w:val="00283D81"/>
    <w:rsid w:val="00283F64"/>
    <w:rsid w:val="00283F7B"/>
    <w:rsid w:val="00283FDE"/>
    <w:rsid w:val="002841C4"/>
    <w:rsid w:val="002841C5"/>
    <w:rsid w:val="002842FD"/>
    <w:rsid w:val="00284427"/>
    <w:rsid w:val="002845B6"/>
    <w:rsid w:val="002846F3"/>
    <w:rsid w:val="002847B8"/>
    <w:rsid w:val="002848F7"/>
    <w:rsid w:val="002849C2"/>
    <w:rsid w:val="00284C48"/>
    <w:rsid w:val="00284DB5"/>
    <w:rsid w:val="00284E56"/>
    <w:rsid w:val="00284E5B"/>
    <w:rsid w:val="00284EAD"/>
    <w:rsid w:val="00285032"/>
    <w:rsid w:val="0028509F"/>
    <w:rsid w:val="00285248"/>
    <w:rsid w:val="002852CD"/>
    <w:rsid w:val="0028537A"/>
    <w:rsid w:val="002854E2"/>
    <w:rsid w:val="00285546"/>
    <w:rsid w:val="0028555A"/>
    <w:rsid w:val="00285583"/>
    <w:rsid w:val="00285789"/>
    <w:rsid w:val="0028583B"/>
    <w:rsid w:val="0028589C"/>
    <w:rsid w:val="00285AC6"/>
    <w:rsid w:val="00285AD3"/>
    <w:rsid w:val="00285C2B"/>
    <w:rsid w:val="00285C3E"/>
    <w:rsid w:val="00285C65"/>
    <w:rsid w:val="00285E21"/>
    <w:rsid w:val="00285E29"/>
    <w:rsid w:val="00285EBE"/>
    <w:rsid w:val="00285F5D"/>
    <w:rsid w:val="0028600B"/>
    <w:rsid w:val="0028615F"/>
    <w:rsid w:val="002861B6"/>
    <w:rsid w:val="002863FD"/>
    <w:rsid w:val="002864EB"/>
    <w:rsid w:val="00286670"/>
    <w:rsid w:val="002867A2"/>
    <w:rsid w:val="002868EF"/>
    <w:rsid w:val="00286CD1"/>
    <w:rsid w:val="00286DE0"/>
    <w:rsid w:val="00286E7C"/>
    <w:rsid w:val="00286EB1"/>
    <w:rsid w:val="0028702B"/>
    <w:rsid w:val="002870F4"/>
    <w:rsid w:val="00287266"/>
    <w:rsid w:val="002873C7"/>
    <w:rsid w:val="00287459"/>
    <w:rsid w:val="0028749D"/>
    <w:rsid w:val="002874A3"/>
    <w:rsid w:val="0028755D"/>
    <w:rsid w:val="00287572"/>
    <w:rsid w:val="00287577"/>
    <w:rsid w:val="002875F4"/>
    <w:rsid w:val="002875F9"/>
    <w:rsid w:val="002875FD"/>
    <w:rsid w:val="0028760B"/>
    <w:rsid w:val="00287623"/>
    <w:rsid w:val="00287630"/>
    <w:rsid w:val="0028763D"/>
    <w:rsid w:val="0028764C"/>
    <w:rsid w:val="00287805"/>
    <w:rsid w:val="00287881"/>
    <w:rsid w:val="002878E2"/>
    <w:rsid w:val="00287900"/>
    <w:rsid w:val="0028799A"/>
    <w:rsid w:val="002879A2"/>
    <w:rsid w:val="00287E5A"/>
    <w:rsid w:val="00287E5E"/>
    <w:rsid w:val="00287EE9"/>
    <w:rsid w:val="00287F01"/>
    <w:rsid w:val="0029005A"/>
    <w:rsid w:val="0029008F"/>
    <w:rsid w:val="002900D7"/>
    <w:rsid w:val="00290218"/>
    <w:rsid w:val="002904B2"/>
    <w:rsid w:val="00290571"/>
    <w:rsid w:val="002906EF"/>
    <w:rsid w:val="002908FF"/>
    <w:rsid w:val="00290A77"/>
    <w:rsid w:val="00290AD0"/>
    <w:rsid w:val="00290BD4"/>
    <w:rsid w:val="00290C0C"/>
    <w:rsid w:val="00290CE1"/>
    <w:rsid w:val="00290DB4"/>
    <w:rsid w:val="00290DE8"/>
    <w:rsid w:val="00290F3A"/>
    <w:rsid w:val="00290F56"/>
    <w:rsid w:val="0029108D"/>
    <w:rsid w:val="00291103"/>
    <w:rsid w:val="002911FC"/>
    <w:rsid w:val="0029138F"/>
    <w:rsid w:val="00291442"/>
    <w:rsid w:val="00291470"/>
    <w:rsid w:val="0029151A"/>
    <w:rsid w:val="00291581"/>
    <w:rsid w:val="0029167C"/>
    <w:rsid w:val="00291742"/>
    <w:rsid w:val="00291861"/>
    <w:rsid w:val="0029188D"/>
    <w:rsid w:val="002918F7"/>
    <w:rsid w:val="00291921"/>
    <w:rsid w:val="00291A7A"/>
    <w:rsid w:val="00291B2F"/>
    <w:rsid w:val="00291B9A"/>
    <w:rsid w:val="00291D44"/>
    <w:rsid w:val="00291DB9"/>
    <w:rsid w:val="00291E21"/>
    <w:rsid w:val="00291EB0"/>
    <w:rsid w:val="00291FC3"/>
    <w:rsid w:val="0029200B"/>
    <w:rsid w:val="002920E8"/>
    <w:rsid w:val="00292182"/>
    <w:rsid w:val="00292349"/>
    <w:rsid w:val="00292355"/>
    <w:rsid w:val="00292400"/>
    <w:rsid w:val="0029261A"/>
    <w:rsid w:val="002926C4"/>
    <w:rsid w:val="00292791"/>
    <w:rsid w:val="00292864"/>
    <w:rsid w:val="00292873"/>
    <w:rsid w:val="00292877"/>
    <w:rsid w:val="0029297A"/>
    <w:rsid w:val="00292BD2"/>
    <w:rsid w:val="00292D74"/>
    <w:rsid w:val="00292E09"/>
    <w:rsid w:val="00292E67"/>
    <w:rsid w:val="00292E7A"/>
    <w:rsid w:val="00292F1C"/>
    <w:rsid w:val="00292FF9"/>
    <w:rsid w:val="002931E6"/>
    <w:rsid w:val="002931EA"/>
    <w:rsid w:val="00293226"/>
    <w:rsid w:val="0029324A"/>
    <w:rsid w:val="002933D1"/>
    <w:rsid w:val="002934D4"/>
    <w:rsid w:val="0029351A"/>
    <w:rsid w:val="002937D4"/>
    <w:rsid w:val="002937FD"/>
    <w:rsid w:val="00293874"/>
    <w:rsid w:val="00293906"/>
    <w:rsid w:val="00293A5B"/>
    <w:rsid w:val="00293A99"/>
    <w:rsid w:val="00293CB6"/>
    <w:rsid w:val="00293D14"/>
    <w:rsid w:val="00293DC1"/>
    <w:rsid w:val="00293DC5"/>
    <w:rsid w:val="00293EBB"/>
    <w:rsid w:val="002940E8"/>
    <w:rsid w:val="0029413A"/>
    <w:rsid w:val="002941FA"/>
    <w:rsid w:val="0029421F"/>
    <w:rsid w:val="00294222"/>
    <w:rsid w:val="00294361"/>
    <w:rsid w:val="002943E7"/>
    <w:rsid w:val="002943F5"/>
    <w:rsid w:val="00294430"/>
    <w:rsid w:val="00294462"/>
    <w:rsid w:val="002946D3"/>
    <w:rsid w:val="00294996"/>
    <w:rsid w:val="00294A19"/>
    <w:rsid w:val="00294A66"/>
    <w:rsid w:val="00294A93"/>
    <w:rsid w:val="00294CF2"/>
    <w:rsid w:val="00294CF6"/>
    <w:rsid w:val="00294DE9"/>
    <w:rsid w:val="00294EBA"/>
    <w:rsid w:val="00294EC9"/>
    <w:rsid w:val="00295008"/>
    <w:rsid w:val="002951CE"/>
    <w:rsid w:val="00295382"/>
    <w:rsid w:val="002953A6"/>
    <w:rsid w:val="00295650"/>
    <w:rsid w:val="002956A4"/>
    <w:rsid w:val="0029587F"/>
    <w:rsid w:val="0029593D"/>
    <w:rsid w:val="00295954"/>
    <w:rsid w:val="002959B1"/>
    <w:rsid w:val="002959C1"/>
    <w:rsid w:val="00295A3F"/>
    <w:rsid w:val="00295AA7"/>
    <w:rsid w:val="00295AD4"/>
    <w:rsid w:val="00295AE7"/>
    <w:rsid w:val="00295B18"/>
    <w:rsid w:val="00295B57"/>
    <w:rsid w:val="00295BD4"/>
    <w:rsid w:val="00295BE6"/>
    <w:rsid w:val="00295C03"/>
    <w:rsid w:val="00295C09"/>
    <w:rsid w:val="00295C5B"/>
    <w:rsid w:val="00295E95"/>
    <w:rsid w:val="00295F6C"/>
    <w:rsid w:val="00295FAA"/>
    <w:rsid w:val="00295FC3"/>
    <w:rsid w:val="0029607D"/>
    <w:rsid w:val="002963CB"/>
    <w:rsid w:val="0029644F"/>
    <w:rsid w:val="00296537"/>
    <w:rsid w:val="00296631"/>
    <w:rsid w:val="002967F3"/>
    <w:rsid w:val="0029692E"/>
    <w:rsid w:val="002969EF"/>
    <w:rsid w:val="00296A13"/>
    <w:rsid w:val="00296A16"/>
    <w:rsid w:val="00296A76"/>
    <w:rsid w:val="00296C99"/>
    <w:rsid w:val="00296D1C"/>
    <w:rsid w:val="00296DFC"/>
    <w:rsid w:val="00296FA9"/>
    <w:rsid w:val="00297065"/>
    <w:rsid w:val="0029710D"/>
    <w:rsid w:val="00297136"/>
    <w:rsid w:val="002971EC"/>
    <w:rsid w:val="002972BB"/>
    <w:rsid w:val="00297488"/>
    <w:rsid w:val="0029753D"/>
    <w:rsid w:val="0029765B"/>
    <w:rsid w:val="00297777"/>
    <w:rsid w:val="0029780C"/>
    <w:rsid w:val="00297824"/>
    <w:rsid w:val="002978C4"/>
    <w:rsid w:val="002979BB"/>
    <w:rsid w:val="00297ABE"/>
    <w:rsid w:val="00297ACB"/>
    <w:rsid w:val="00297B29"/>
    <w:rsid w:val="00297B98"/>
    <w:rsid w:val="00297BE7"/>
    <w:rsid w:val="00297CB1"/>
    <w:rsid w:val="00297CBA"/>
    <w:rsid w:val="00297D07"/>
    <w:rsid w:val="00297D19"/>
    <w:rsid w:val="00297D1B"/>
    <w:rsid w:val="00297D2E"/>
    <w:rsid w:val="00297DF0"/>
    <w:rsid w:val="00297E2A"/>
    <w:rsid w:val="00297EC5"/>
    <w:rsid w:val="00297EDE"/>
    <w:rsid w:val="00297EFE"/>
    <w:rsid w:val="00297F68"/>
    <w:rsid w:val="002A004D"/>
    <w:rsid w:val="002A01AC"/>
    <w:rsid w:val="002A01F8"/>
    <w:rsid w:val="002A0217"/>
    <w:rsid w:val="002A0223"/>
    <w:rsid w:val="002A0492"/>
    <w:rsid w:val="002A05A0"/>
    <w:rsid w:val="002A0757"/>
    <w:rsid w:val="002A0764"/>
    <w:rsid w:val="002A0878"/>
    <w:rsid w:val="002A08C5"/>
    <w:rsid w:val="002A0960"/>
    <w:rsid w:val="002A0A68"/>
    <w:rsid w:val="002A0AC3"/>
    <w:rsid w:val="002A0C3B"/>
    <w:rsid w:val="002A0CA2"/>
    <w:rsid w:val="002A0D60"/>
    <w:rsid w:val="002A0DBE"/>
    <w:rsid w:val="002A0E11"/>
    <w:rsid w:val="002A0E40"/>
    <w:rsid w:val="002A0E41"/>
    <w:rsid w:val="002A0E42"/>
    <w:rsid w:val="002A0EAF"/>
    <w:rsid w:val="002A0F34"/>
    <w:rsid w:val="002A104F"/>
    <w:rsid w:val="002A10D9"/>
    <w:rsid w:val="002A1149"/>
    <w:rsid w:val="002A1177"/>
    <w:rsid w:val="002A125B"/>
    <w:rsid w:val="002A12AB"/>
    <w:rsid w:val="002A130B"/>
    <w:rsid w:val="002A144D"/>
    <w:rsid w:val="002A1480"/>
    <w:rsid w:val="002A14DB"/>
    <w:rsid w:val="002A14EC"/>
    <w:rsid w:val="002A1562"/>
    <w:rsid w:val="002A1837"/>
    <w:rsid w:val="002A1A00"/>
    <w:rsid w:val="002A1BDB"/>
    <w:rsid w:val="002A1BDE"/>
    <w:rsid w:val="002A1CA6"/>
    <w:rsid w:val="002A1DA2"/>
    <w:rsid w:val="002A1E06"/>
    <w:rsid w:val="002A1EC8"/>
    <w:rsid w:val="002A1F16"/>
    <w:rsid w:val="002A2104"/>
    <w:rsid w:val="002A21B3"/>
    <w:rsid w:val="002A2230"/>
    <w:rsid w:val="002A22E6"/>
    <w:rsid w:val="002A22FB"/>
    <w:rsid w:val="002A2385"/>
    <w:rsid w:val="002A261D"/>
    <w:rsid w:val="002A287E"/>
    <w:rsid w:val="002A2931"/>
    <w:rsid w:val="002A2A8B"/>
    <w:rsid w:val="002A2B4F"/>
    <w:rsid w:val="002A2BB4"/>
    <w:rsid w:val="002A2C90"/>
    <w:rsid w:val="002A2D26"/>
    <w:rsid w:val="002A2DE6"/>
    <w:rsid w:val="002A2E69"/>
    <w:rsid w:val="002A2FC7"/>
    <w:rsid w:val="002A323C"/>
    <w:rsid w:val="002A3267"/>
    <w:rsid w:val="002A3301"/>
    <w:rsid w:val="002A336D"/>
    <w:rsid w:val="002A33AF"/>
    <w:rsid w:val="002A348F"/>
    <w:rsid w:val="002A3513"/>
    <w:rsid w:val="002A35F7"/>
    <w:rsid w:val="002A3657"/>
    <w:rsid w:val="002A3717"/>
    <w:rsid w:val="002A3A59"/>
    <w:rsid w:val="002A3B47"/>
    <w:rsid w:val="002A3C25"/>
    <w:rsid w:val="002A3F1E"/>
    <w:rsid w:val="002A3F46"/>
    <w:rsid w:val="002A4055"/>
    <w:rsid w:val="002A406D"/>
    <w:rsid w:val="002A4080"/>
    <w:rsid w:val="002A409E"/>
    <w:rsid w:val="002A40BC"/>
    <w:rsid w:val="002A40D3"/>
    <w:rsid w:val="002A4152"/>
    <w:rsid w:val="002A42D2"/>
    <w:rsid w:val="002A42EB"/>
    <w:rsid w:val="002A4324"/>
    <w:rsid w:val="002A4419"/>
    <w:rsid w:val="002A452C"/>
    <w:rsid w:val="002A4785"/>
    <w:rsid w:val="002A4949"/>
    <w:rsid w:val="002A4A49"/>
    <w:rsid w:val="002A4AE8"/>
    <w:rsid w:val="002A4B0E"/>
    <w:rsid w:val="002A4BA6"/>
    <w:rsid w:val="002A4C16"/>
    <w:rsid w:val="002A4C20"/>
    <w:rsid w:val="002A4CC3"/>
    <w:rsid w:val="002A4DA7"/>
    <w:rsid w:val="002A4E4D"/>
    <w:rsid w:val="002A4E5B"/>
    <w:rsid w:val="002A5028"/>
    <w:rsid w:val="002A5220"/>
    <w:rsid w:val="002A5365"/>
    <w:rsid w:val="002A538D"/>
    <w:rsid w:val="002A5418"/>
    <w:rsid w:val="002A5491"/>
    <w:rsid w:val="002A54F1"/>
    <w:rsid w:val="002A56C4"/>
    <w:rsid w:val="002A5B00"/>
    <w:rsid w:val="002A5BA7"/>
    <w:rsid w:val="002A5C57"/>
    <w:rsid w:val="002A5E78"/>
    <w:rsid w:val="002A5EB8"/>
    <w:rsid w:val="002A60EF"/>
    <w:rsid w:val="002A623F"/>
    <w:rsid w:val="002A6279"/>
    <w:rsid w:val="002A645A"/>
    <w:rsid w:val="002A64E9"/>
    <w:rsid w:val="002A6605"/>
    <w:rsid w:val="002A660E"/>
    <w:rsid w:val="002A66BC"/>
    <w:rsid w:val="002A66D4"/>
    <w:rsid w:val="002A66DE"/>
    <w:rsid w:val="002A67BE"/>
    <w:rsid w:val="002A6921"/>
    <w:rsid w:val="002A69A2"/>
    <w:rsid w:val="002A6A16"/>
    <w:rsid w:val="002A6AD2"/>
    <w:rsid w:val="002A6B8E"/>
    <w:rsid w:val="002A6BE4"/>
    <w:rsid w:val="002A6C3F"/>
    <w:rsid w:val="002A6C7A"/>
    <w:rsid w:val="002A6CDE"/>
    <w:rsid w:val="002A6D22"/>
    <w:rsid w:val="002A6DBA"/>
    <w:rsid w:val="002A6ECC"/>
    <w:rsid w:val="002A6F0E"/>
    <w:rsid w:val="002A6FAF"/>
    <w:rsid w:val="002A70D3"/>
    <w:rsid w:val="002A70E1"/>
    <w:rsid w:val="002A7172"/>
    <w:rsid w:val="002A71C7"/>
    <w:rsid w:val="002A71F9"/>
    <w:rsid w:val="002A7318"/>
    <w:rsid w:val="002A7401"/>
    <w:rsid w:val="002A7414"/>
    <w:rsid w:val="002A74E1"/>
    <w:rsid w:val="002A7540"/>
    <w:rsid w:val="002A7838"/>
    <w:rsid w:val="002A7919"/>
    <w:rsid w:val="002A791A"/>
    <w:rsid w:val="002A7AC3"/>
    <w:rsid w:val="002A7B3A"/>
    <w:rsid w:val="002A7BBC"/>
    <w:rsid w:val="002A7C53"/>
    <w:rsid w:val="002A7C5E"/>
    <w:rsid w:val="002A7CFA"/>
    <w:rsid w:val="002A7D28"/>
    <w:rsid w:val="002A7DB0"/>
    <w:rsid w:val="002A7E7B"/>
    <w:rsid w:val="002A7F81"/>
    <w:rsid w:val="002B004A"/>
    <w:rsid w:val="002B0178"/>
    <w:rsid w:val="002B01E2"/>
    <w:rsid w:val="002B01EF"/>
    <w:rsid w:val="002B0286"/>
    <w:rsid w:val="002B02D4"/>
    <w:rsid w:val="002B034E"/>
    <w:rsid w:val="002B0374"/>
    <w:rsid w:val="002B04E3"/>
    <w:rsid w:val="002B06CC"/>
    <w:rsid w:val="002B0718"/>
    <w:rsid w:val="002B07D3"/>
    <w:rsid w:val="002B094E"/>
    <w:rsid w:val="002B0961"/>
    <w:rsid w:val="002B098C"/>
    <w:rsid w:val="002B09D7"/>
    <w:rsid w:val="002B0ACB"/>
    <w:rsid w:val="002B0AE2"/>
    <w:rsid w:val="002B0B4E"/>
    <w:rsid w:val="002B0D9D"/>
    <w:rsid w:val="002B0DEE"/>
    <w:rsid w:val="002B0E5C"/>
    <w:rsid w:val="002B0E61"/>
    <w:rsid w:val="002B0EF0"/>
    <w:rsid w:val="002B0EFA"/>
    <w:rsid w:val="002B1125"/>
    <w:rsid w:val="002B117E"/>
    <w:rsid w:val="002B1332"/>
    <w:rsid w:val="002B133B"/>
    <w:rsid w:val="002B1359"/>
    <w:rsid w:val="002B139C"/>
    <w:rsid w:val="002B13CE"/>
    <w:rsid w:val="002B14EB"/>
    <w:rsid w:val="002B15FD"/>
    <w:rsid w:val="002B160C"/>
    <w:rsid w:val="002B174C"/>
    <w:rsid w:val="002B1A01"/>
    <w:rsid w:val="002B1A1B"/>
    <w:rsid w:val="002B1A2F"/>
    <w:rsid w:val="002B1AC2"/>
    <w:rsid w:val="002B1B62"/>
    <w:rsid w:val="002B1BD1"/>
    <w:rsid w:val="002B1C67"/>
    <w:rsid w:val="002B1CFC"/>
    <w:rsid w:val="002B1DE3"/>
    <w:rsid w:val="002B1E47"/>
    <w:rsid w:val="002B1E82"/>
    <w:rsid w:val="002B1EAB"/>
    <w:rsid w:val="002B1EB5"/>
    <w:rsid w:val="002B1F32"/>
    <w:rsid w:val="002B2019"/>
    <w:rsid w:val="002B20C3"/>
    <w:rsid w:val="002B2109"/>
    <w:rsid w:val="002B2135"/>
    <w:rsid w:val="002B218A"/>
    <w:rsid w:val="002B23DB"/>
    <w:rsid w:val="002B2577"/>
    <w:rsid w:val="002B25C8"/>
    <w:rsid w:val="002B2C6B"/>
    <w:rsid w:val="002B2D43"/>
    <w:rsid w:val="002B2DE6"/>
    <w:rsid w:val="002B2DE7"/>
    <w:rsid w:val="002B2E39"/>
    <w:rsid w:val="002B2EC3"/>
    <w:rsid w:val="002B2EF1"/>
    <w:rsid w:val="002B3055"/>
    <w:rsid w:val="002B3147"/>
    <w:rsid w:val="002B32CC"/>
    <w:rsid w:val="002B3399"/>
    <w:rsid w:val="002B33EA"/>
    <w:rsid w:val="002B357F"/>
    <w:rsid w:val="002B35AF"/>
    <w:rsid w:val="002B3629"/>
    <w:rsid w:val="002B3653"/>
    <w:rsid w:val="002B36DA"/>
    <w:rsid w:val="002B3814"/>
    <w:rsid w:val="002B38CF"/>
    <w:rsid w:val="002B3940"/>
    <w:rsid w:val="002B3967"/>
    <w:rsid w:val="002B3AB5"/>
    <w:rsid w:val="002B3AD8"/>
    <w:rsid w:val="002B3AE2"/>
    <w:rsid w:val="002B3B1A"/>
    <w:rsid w:val="002B3BB1"/>
    <w:rsid w:val="002B3D81"/>
    <w:rsid w:val="002B3EDD"/>
    <w:rsid w:val="002B3FD1"/>
    <w:rsid w:val="002B409D"/>
    <w:rsid w:val="002B4306"/>
    <w:rsid w:val="002B431E"/>
    <w:rsid w:val="002B435E"/>
    <w:rsid w:val="002B43E5"/>
    <w:rsid w:val="002B4535"/>
    <w:rsid w:val="002B457D"/>
    <w:rsid w:val="002B45DB"/>
    <w:rsid w:val="002B4631"/>
    <w:rsid w:val="002B48B6"/>
    <w:rsid w:val="002B4950"/>
    <w:rsid w:val="002B4B27"/>
    <w:rsid w:val="002B4D96"/>
    <w:rsid w:val="002B4F03"/>
    <w:rsid w:val="002B4F11"/>
    <w:rsid w:val="002B4F45"/>
    <w:rsid w:val="002B4FA7"/>
    <w:rsid w:val="002B50CB"/>
    <w:rsid w:val="002B524A"/>
    <w:rsid w:val="002B53AF"/>
    <w:rsid w:val="002B53FD"/>
    <w:rsid w:val="002B5436"/>
    <w:rsid w:val="002B54A0"/>
    <w:rsid w:val="002B54F9"/>
    <w:rsid w:val="002B55DA"/>
    <w:rsid w:val="002B5618"/>
    <w:rsid w:val="002B5643"/>
    <w:rsid w:val="002B57ED"/>
    <w:rsid w:val="002B5836"/>
    <w:rsid w:val="002B59F5"/>
    <w:rsid w:val="002B5A7B"/>
    <w:rsid w:val="002B5AEA"/>
    <w:rsid w:val="002B5CED"/>
    <w:rsid w:val="002B5DE9"/>
    <w:rsid w:val="002B5E6E"/>
    <w:rsid w:val="002B6021"/>
    <w:rsid w:val="002B60A2"/>
    <w:rsid w:val="002B6106"/>
    <w:rsid w:val="002B6202"/>
    <w:rsid w:val="002B62E3"/>
    <w:rsid w:val="002B63CD"/>
    <w:rsid w:val="002B641D"/>
    <w:rsid w:val="002B66EE"/>
    <w:rsid w:val="002B673B"/>
    <w:rsid w:val="002B6897"/>
    <w:rsid w:val="002B6A34"/>
    <w:rsid w:val="002B6B18"/>
    <w:rsid w:val="002B6BF0"/>
    <w:rsid w:val="002B6C14"/>
    <w:rsid w:val="002B6CA0"/>
    <w:rsid w:val="002B6E41"/>
    <w:rsid w:val="002B74C8"/>
    <w:rsid w:val="002B75D6"/>
    <w:rsid w:val="002B761A"/>
    <w:rsid w:val="002B775B"/>
    <w:rsid w:val="002B779E"/>
    <w:rsid w:val="002B7910"/>
    <w:rsid w:val="002B7A43"/>
    <w:rsid w:val="002B7ADB"/>
    <w:rsid w:val="002B7AFE"/>
    <w:rsid w:val="002B7D86"/>
    <w:rsid w:val="002B7E5E"/>
    <w:rsid w:val="002B7F28"/>
    <w:rsid w:val="002B7F61"/>
    <w:rsid w:val="002B7F7D"/>
    <w:rsid w:val="002B7FE2"/>
    <w:rsid w:val="002C0039"/>
    <w:rsid w:val="002C007D"/>
    <w:rsid w:val="002C02E0"/>
    <w:rsid w:val="002C0304"/>
    <w:rsid w:val="002C0393"/>
    <w:rsid w:val="002C03D7"/>
    <w:rsid w:val="002C0573"/>
    <w:rsid w:val="002C0588"/>
    <w:rsid w:val="002C05CE"/>
    <w:rsid w:val="002C05D7"/>
    <w:rsid w:val="002C0742"/>
    <w:rsid w:val="002C08D7"/>
    <w:rsid w:val="002C092C"/>
    <w:rsid w:val="002C0966"/>
    <w:rsid w:val="002C0988"/>
    <w:rsid w:val="002C0A89"/>
    <w:rsid w:val="002C0AF6"/>
    <w:rsid w:val="002C0B2A"/>
    <w:rsid w:val="002C0B5B"/>
    <w:rsid w:val="002C0BFF"/>
    <w:rsid w:val="002C0CEA"/>
    <w:rsid w:val="002C0D11"/>
    <w:rsid w:val="002C0D1E"/>
    <w:rsid w:val="002C0E4C"/>
    <w:rsid w:val="002C0F56"/>
    <w:rsid w:val="002C10EE"/>
    <w:rsid w:val="002C1100"/>
    <w:rsid w:val="002C120B"/>
    <w:rsid w:val="002C1238"/>
    <w:rsid w:val="002C1355"/>
    <w:rsid w:val="002C13B3"/>
    <w:rsid w:val="002C140C"/>
    <w:rsid w:val="002C14E6"/>
    <w:rsid w:val="002C160D"/>
    <w:rsid w:val="002C16E9"/>
    <w:rsid w:val="002C1767"/>
    <w:rsid w:val="002C17C8"/>
    <w:rsid w:val="002C1939"/>
    <w:rsid w:val="002C1950"/>
    <w:rsid w:val="002C1B36"/>
    <w:rsid w:val="002C1B61"/>
    <w:rsid w:val="002C1C91"/>
    <w:rsid w:val="002C1D3E"/>
    <w:rsid w:val="002C1DB3"/>
    <w:rsid w:val="002C1F53"/>
    <w:rsid w:val="002C2046"/>
    <w:rsid w:val="002C20B8"/>
    <w:rsid w:val="002C21B4"/>
    <w:rsid w:val="002C21B5"/>
    <w:rsid w:val="002C2222"/>
    <w:rsid w:val="002C250A"/>
    <w:rsid w:val="002C25A8"/>
    <w:rsid w:val="002C25F2"/>
    <w:rsid w:val="002C26D1"/>
    <w:rsid w:val="002C280C"/>
    <w:rsid w:val="002C2868"/>
    <w:rsid w:val="002C2933"/>
    <w:rsid w:val="002C2A30"/>
    <w:rsid w:val="002C2B2B"/>
    <w:rsid w:val="002C2B7F"/>
    <w:rsid w:val="002C2BBD"/>
    <w:rsid w:val="002C2C0C"/>
    <w:rsid w:val="002C2C15"/>
    <w:rsid w:val="002C2D52"/>
    <w:rsid w:val="002C3082"/>
    <w:rsid w:val="002C3182"/>
    <w:rsid w:val="002C3288"/>
    <w:rsid w:val="002C339B"/>
    <w:rsid w:val="002C3416"/>
    <w:rsid w:val="002C3503"/>
    <w:rsid w:val="002C3676"/>
    <w:rsid w:val="002C367F"/>
    <w:rsid w:val="002C36CC"/>
    <w:rsid w:val="002C39EA"/>
    <w:rsid w:val="002C3ACA"/>
    <w:rsid w:val="002C3B63"/>
    <w:rsid w:val="002C3BCA"/>
    <w:rsid w:val="002C3C9C"/>
    <w:rsid w:val="002C3DC3"/>
    <w:rsid w:val="002C3DEB"/>
    <w:rsid w:val="002C3E02"/>
    <w:rsid w:val="002C3E63"/>
    <w:rsid w:val="002C3E7A"/>
    <w:rsid w:val="002C3FEE"/>
    <w:rsid w:val="002C4002"/>
    <w:rsid w:val="002C40F0"/>
    <w:rsid w:val="002C41E9"/>
    <w:rsid w:val="002C43B9"/>
    <w:rsid w:val="002C4461"/>
    <w:rsid w:val="002C4508"/>
    <w:rsid w:val="002C45A6"/>
    <w:rsid w:val="002C4674"/>
    <w:rsid w:val="002C46D4"/>
    <w:rsid w:val="002C487B"/>
    <w:rsid w:val="002C4887"/>
    <w:rsid w:val="002C48BB"/>
    <w:rsid w:val="002C4C91"/>
    <w:rsid w:val="002C4CE7"/>
    <w:rsid w:val="002C4E57"/>
    <w:rsid w:val="002C4E96"/>
    <w:rsid w:val="002C4E9F"/>
    <w:rsid w:val="002C4F57"/>
    <w:rsid w:val="002C506A"/>
    <w:rsid w:val="002C510C"/>
    <w:rsid w:val="002C518C"/>
    <w:rsid w:val="002C51D0"/>
    <w:rsid w:val="002C5288"/>
    <w:rsid w:val="002C544D"/>
    <w:rsid w:val="002C54A1"/>
    <w:rsid w:val="002C5547"/>
    <w:rsid w:val="002C572A"/>
    <w:rsid w:val="002C585A"/>
    <w:rsid w:val="002C5A2E"/>
    <w:rsid w:val="002C5AAC"/>
    <w:rsid w:val="002C5B82"/>
    <w:rsid w:val="002C5BBC"/>
    <w:rsid w:val="002C5BC8"/>
    <w:rsid w:val="002C5C0C"/>
    <w:rsid w:val="002C5F20"/>
    <w:rsid w:val="002C5F72"/>
    <w:rsid w:val="002C5F86"/>
    <w:rsid w:val="002C5FFA"/>
    <w:rsid w:val="002C6009"/>
    <w:rsid w:val="002C6051"/>
    <w:rsid w:val="002C6117"/>
    <w:rsid w:val="002C61C1"/>
    <w:rsid w:val="002C61C2"/>
    <w:rsid w:val="002C657B"/>
    <w:rsid w:val="002C65E0"/>
    <w:rsid w:val="002C6697"/>
    <w:rsid w:val="002C6740"/>
    <w:rsid w:val="002C6746"/>
    <w:rsid w:val="002C6769"/>
    <w:rsid w:val="002C67A7"/>
    <w:rsid w:val="002C682B"/>
    <w:rsid w:val="002C699B"/>
    <w:rsid w:val="002C6C38"/>
    <w:rsid w:val="002C6D1E"/>
    <w:rsid w:val="002C6D58"/>
    <w:rsid w:val="002C6E30"/>
    <w:rsid w:val="002C6E60"/>
    <w:rsid w:val="002C6E63"/>
    <w:rsid w:val="002C6F12"/>
    <w:rsid w:val="002C6F24"/>
    <w:rsid w:val="002C6FB1"/>
    <w:rsid w:val="002C71C3"/>
    <w:rsid w:val="002C720F"/>
    <w:rsid w:val="002C729A"/>
    <w:rsid w:val="002C7301"/>
    <w:rsid w:val="002C734D"/>
    <w:rsid w:val="002C7414"/>
    <w:rsid w:val="002C757E"/>
    <w:rsid w:val="002C761D"/>
    <w:rsid w:val="002C773B"/>
    <w:rsid w:val="002C7798"/>
    <w:rsid w:val="002C77EA"/>
    <w:rsid w:val="002C785E"/>
    <w:rsid w:val="002C7881"/>
    <w:rsid w:val="002C79A2"/>
    <w:rsid w:val="002C7ABD"/>
    <w:rsid w:val="002C7CF6"/>
    <w:rsid w:val="002C7D1B"/>
    <w:rsid w:val="002C7D4D"/>
    <w:rsid w:val="002C7F0A"/>
    <w:rsid w:val="002C7F63"/>
    <w:rsid w:val="002C7F8C"/>
    <w:rsid w:val="002D0039"/>
    <w:rsid w:val="002D013A"/>
    <w:rsid w:val="002D026C"/>
    <w:rsid w:val="002D02A3"/>
    <w:rsid w:val="002D02B6"/>
    <w:rsid w:val="002D042E"/>
    <w:rsid w:val="002D046E"/>
    <w:rsid w:val="002D04B7"/>
    <w:rsid w:val="002D04C9"/>
    <w:rsid w:val="002D0751"/>
    <w:rsid w:val="002D08D9"/>
    <w:rsid w:val="002D08FB"/>
    <w:rsid w:val="002D091C"/>
    <w:rsid w:val="002D0971"/>
    <w:rsid w:val="002D09F4"/>
    <w:rsid w:val="002D0A5D"/>
    <w:rsid w:val="002D0B0D"/>
    <w:rsid w:val="002D0B80"/>
    <w:rsid w:val="002D0C2A"/>
    <w:rsid w:val="002D0C62"/>
    <w:rsid w:val="002D0DAF"/>
    <w:rsid w:val="002D0E33"/>
    <w:rsid w:val="002D0ED6"/>
    <w:rsid w:val="002D0FA2"/>
    <w:rsid w:val="002D0FCB"/>
    <w:rsid w:val="002D101D"/>
    <w:rsid w:val="002D101E"/>
    <w:rsid w:val="002D102E"/>
    <w:rsid w:val="002D10E1"/>
    <w:rsid w:val="002D115C"/>
    <w:rsid w:val="002D120A"/>
    <w:rsid w:val="002D1264"/>
    <w:rsid w:val="002D12F2"/>
    <w:rsid w:val="002D1466"/>
    <w:rsid w:val="002D151E"/>
    <w:rsid w:val="002D158B"/>
    <w:rsid w:val="002D1786"/>
    <w:rsid w:val="002D186D"/>
    <w:rsid w:val="002D189D"/>
    <w:rsid w:val="002D18C7"/>
    <w:rsid w:val="002D1992"/>
    <w:rsid w:val="002D1ACB"/>
    <w:rsid w:val="002D1ADC"/>
    <w:rsid w:val="002D1CFA"/>
    <w:rsid w:val="002D1D22"/>
    <w:rsid w:val="002D1D27"/>
    <w:rsid w:val="002D1E2A"/>
    <w:rsid w:val="002D1E9C"/>
    <w:rsid w:val="002D1EBD"/>
    <w:rsid w:val="002D1F33"/>
    <w:rsid w:val="002D1F92"/>
    <w:rsid w:val="002D1FF0"/>
    <w:rsid w:val="002D2116"/>
    <w:rsid w:val="002D2182"/>
    <w:rsid w:val="002D21F0"/>
    <w:rsid w:val="002D224E"/>
    <w:rsid w:val="002D24E2"/>
    <w:rsid w:val="002D2634"/>
    <w:rsid w:val="002D26C7"/>
    <w:rsid w:val="002D26C8"/>
    <w:rsid w:val="002D2725"/>
    <w:rsid w:val="002D2745"/>
    <w:rsid w:val="002D27DF"/>
    <w:rsid w:val="002D27F2"/>
    <w:rsid w:val="002D2840"/>
    <w:rsid w:val="002D28BE"/>
    <w:rsid w:val="002D291C"/>
    <w:rsid w:val="002D2B17"/>
    <w:rsid w:val="002D2B6B"/>
    <w:rsid w:val="002D2BF6"/>
    <w:rsid w:val="002D2E78"/>
    <w:rsid w:val="002D2EE5"/>
    <w:rsid w:val="002D2EF8"/>
    <w:rsid w:val="002D2F16"/>
    <w:rsid w:val="002D3045"/>
    <w:rsid w:val="002D3056"/>
    <w:rsid w:val="002D3072"/>
    <w:rsid w:val="002D3078"/>
    <w:rsid w:val="002D310F"/>
    <w:rsid w:val="002D3208"/>
    <w:rsid w:val="002D323E"/>
    <w:rsid w:val="002D326E"/>
    <w:rsid w:val="002D332E"/>
    <w:rsid w:val="002D339F"/>
    <w:rsid w:val="002D3437"/>
    <w:rsid w:val="002D34F7"/>
    <w:rsid w:val="002D35C7"/>
    <w:rsid w:val="002D35EE"/>
    <w:rsid w:val="002D365B"/>
    <w:rsid w:val="002D3930"/>
    <w:rsid w:val="002D395E"/>
    <w:rsid w:val="002D3B0E"/>
    <w:rsid w:val="002D3BEC"/>
    <w:rsid w:val="002D3DA0"/>
    <w:rsid w:val="002D3E00"/>
    <w:rsid w:val="002D3E34"/>
    <w:rsid w:val="002D3E75"/>
    <w:rsid w:val="002D3ED2"/>
    <w:rsid w:val="002D3EEC"/>
    <w:rsid w:val="002D4002"/>
    <w:rsid w:val="002D4106"/>
    <w:rsid w:val="002D4141"/>
    <w:rsid w:val="002D4142"/>
    <w:rsid w:val="002D4198"/>
    <w:rsid w:val="002D42F9"/>
    <w:rsid w:val="002D432A"/>
    <w:rsid w:val="002D432C"/>
    <w:rsid w:val="002D437D"/>
    <w:rsid w:val="002D45C4"/>
    <w:rsid w:val="002D45E2"/>
    <w:rsid w:val="002D461E"/>
    <w:rsid w:val="002D4665"/>
    <w:rsid w:val="002D47EB"/>
    <w:rsid w:val="002D4996"/>
    <w:rsid w:val="002D4B0B"/>
    <w:rsid w:val="002D4B56"/>
    <w:rsid w:val="002D501E"/>
    <w:rsid w:val="002D5040"/>
    <w:rsid w:val="002D5060"/>
    <w:rsid w:val="002D54B6"/>
    <w:rsid w:val="002D552F"/>
    <w:rsid w:val="002D555A"/>
    <w:rsid w:val="002D5753"/>
    <w:rsid w:val="002D5873"/>
    <w:rsid w:val="002D58AF"/>
    <w:rsid w:val="002D58C7"/>
    <w:rsid w:val="002D58FD"/>
    <w:rsid w:val="002D5982"/>
    <w:rsid w:val="002D59CA"/>
    <w:rsid w:val="002D5A88"/>
    <w:rsid w:val="002D5B01"/>
    <w:rsid w:val="002D5B54"/>
    <w:rsid w:val="002D5BB3"/>
    <w:rsid w:val="002D5BF9"/>
    <w:rsid w:val="002D5CCB"/>
    <w:rsid w:val="002D5CE0"/>
    <w:rsid w:val="002D5D4C"/>
    <w:rsid w:val="002D5E24"/>
    <w:rsid w:val="002D5F27"/>
    <w:rsid w:val="002D60C4"/>
    <w:rsid w:val="002D60F9"/>
    <w:rsid w:val="002D61E6"/>
    <w:rsid w:val="002D62A0"/>
    <w:rsid w:val="002D62E6"/>
    <w:rsid w:val="002D62F3"/>
    <w:rsid w:val="002D6332"/>
    <w:rsid w:val="002D65B1"/>
    <w:rsid w:val="002D668F"/>
    <w:rsid w:val="002D680D"/>
    <w:rsid w:val="002D68AB"/>
    <w:rsid w:val="002D692C"/>
    <w:rsid w:val="002D69AA"/>
    <w:rsid w:val="002D6AE2"/>
    <w:rsid w:val="002D6B8C"/>
    <w:rsid w:val="002D6BF4"/>
    <w:rsid w:val="002D6D09"/>
    <w:rsid w:val="002D6D0E"/>
    <w:rsid w:val="002D6DBA"/>
    <w:rsid w:val="002D6E6E"/>
    <w:rsid w:val="002D6EB6"/>
    <w:rsid w:val="002D6EB7"/>
    <w:rsid w:val="002D6FED"/>
    <w:rsid w:val="002D70C9"/>
    <w:rsid w:val="002D70D6"/>
    <w:rsid w:val="002D70DC"/>
    <w:rsid w:val="002D7174"/>
    <w:rsid w:val="002D71AC"/>
    <w:rsid w:val="002D73F2"/>
    <w:rsid w:val="002D7413"/>
    <w:rsid w:val="002D747C"/>
    <w:rsid w:val="002D75EC"/>
    <w:rsid w:val="002D76E2"/>
    <w:rsid w:val="002D7853"/>
    <w:rsid w:val="002D785B"/>
    <w:rsid w:val="002D792C"/>
    <w:rsid w:val="002D79A8"/>
    <w:rsid w:val="002D7A07"/>
    <w:rsid w:val="002D7B0F"/>
    <w:rsid w:val="002D7BC8"/>
    <w:rsid w:val="002D7D32"/>
    <w:rsid w:val="002D7DF3"/>
    <w:rsid w:val="002D7E46"/>
    <w:rsid w:val="002D7ECF"/>
    <w:rsid w:val="002D7F24"/>
    <w:rsid w:val="002D7F6D"/>
    <w:rsid w:val="002E0018"/>
    <w:rsid w:val="002E0038"/>
    <w:rsid w:val="002E0160"/>
    <w:rsid w:val="002E0168"/>
    <w:rsid w:val="002E01AB"/>
    <w:rsid w:val="002E01D2"/>
    <w:rsid w:val="002E02AF"/>
    <w:rsid w:val="002E0708"/>
    <w:rsid w:val="002E077F"/>
    <w:rsid w:val="002E0903"/>
    <w:rsid w:val="002E093C"/>
    <w:rsid w:val="002E09FF"/>
    <w:rsid w:val="002E0AA7"/>
    <w:rsid w:val="002E0AE2"/>
    <w:rsid w:val="002E0BA2"/>
    <w:rsid w:val="002E0DC6"/>
    <w:rsid w:val="002E0EB2"/>
    <w:rsid w:val="002E10C4"/>
    <w:rsid w:val="002E10E3"/>
    <w:rsid w:val="002E115A"/>
    <w:rsid w:val="002E1335"/>
    <w:rsid w:val="002E1343"/>
    <w:rsid w:val="002E1418"/>
    <w:rsid w:val="002E155C"/>
    <w:rsid w:val="002E166D"/>
    <w:rsid w:val="002E182E"/>
    <w:rsid w:val="002E18EE"/>
    <w:rsid w:val="002E198E"/>
    <w:rsid w:val="002E19F0"/>
    <w:rsid w:val="002E1DBD"/>
    <w:rsid w:val="002E1EA0"/>
    <w:rsid w:val="002E1F1C"/>
    <w:rsid w:val="002E1F8E"/>
    <w:rsid w:val="002E2043"/>
    <w:rsid w:val="002E20DB"/>
    <w:rsid w:val="002E2117"/>
    <w:rsid w:val="002E2163"/>
    <w:rsid w:val="002E2281"/>
    <w:rsid w:val="002E22AA"/>
    <w:rsid w:val="002E2309"/>
    <w:rsid w:val="002E239C"/>
    <w:rsid w:val="002E23A3"/>
    <w:rsid w:val="002E23E7"/>
    <w:rsid w:val="002E24D0"/>
    <w:rsid w:val="002E25E5"/>
    <w:rsid w:val="002E2728"/>
    <w:rsid w:val="002E27DE"/>
    <w:rsid w:val="002E27EB"/>
    <w:rsid w:val="002E2B29"/>
    <w:rsid w:val="002E2B50"/>
    <w:rsid w:val="002E2C26"/>
    <w:rsid w:val="002E2C27"/>
    <w:rsid w:val="002E2C4B"/>
    <w:rsid w:val="002E2C7C"/>
    <w:rsid w:val="002E2CDE"/>
    <w:rsid w:val="002E2D5F"/>
    <w:rsid w:val="002E2DEF"/>
    <w:rsid w:val="002E2E70"/>
    <w:rsid w:val="002E2FD6"/>
    <w:rsid w:val="002E315A"/>
    <w:rsid w:val="002E318F"/>
    <w:rsid w:val="002E3223"/>
    <w:rsid w:val="002E326A"/>
    <w:rsid w:val="002E3278"/>
    <w:rsid w:val="002E3297"/>
    <w:rsid w:val="002E3412"/>
    <w:rsid w:val="002E3414"/>
    <w:rsid w:val="002E3438"/>
    <w:rsid w:val="002E3470"/>
    <w:rsid w:val="002E34F6"/>
    <w:rsid w:val="002E36C6"/>
    <w:rsid w:val="002E36F7"/>
    <w:rsid w:val="002E37FE"/>
    <w:rsid w:val="002E3816"/>
    <w:rsid w:val="002E3900"/>
    <w:rsid w:val="002E394C"/>
    <w:rsid w:val="002E3B78"/>
    <w:rsid w:val="002E3C54"/>
    <w:rsid w:val="002E3C72"/>
    <w:rsid w:val="002E3CCE"/>
    <w:rsid w:val="002E3D7E"/>
    <w:rsid w:val="002E3ECF"/>
    <w:rsid w:val="002E3F42"/>
    <w:rsid w:val="002E3FF1"/>
    <w:rsid w:val="002E4319"/>
    <w:rsid w:val="002E453B"/>
    <w:rsid w:val="002E48BE"/>
    <w:rsid w:val="002E48DA"/>
    <w:rsid w:val="002E4A58"/>
    <w:rsid w:val="002E4AD0"/>
    <w:rsid w:val="002E4C8F"/>
    <w:rsid w:val="002E4CEF"/>
    <w:rsid w:val="002E4D47"/>
    <w:rsid w:val="002E4D64"/>
    <w:rsid w:val="002E4E2D"/>
    <w:rsid w:val="002E4E2E"/>
    <w:rsid w:val="002E5096"/>
    <w:rsid w:val="002E5198"/>
    <w:rsid w:val="002E52BC"/>
    <w:rsid w:val="002E537F"/>
    <w:rsid w:val="002E53AA"/>
    <w:rsid w:val="002E554D"/>
    <w:rsid w:val="002E5596"/>
    <w:rsid w:val="002E55E1"/>
    <w:rsid w:val="002E5656"/>
    <w:rsid w:val="002E5735"/>
    <w:rsid w:val="002E5761"/>
    <w:rsid w:val="002E59C3"/>
    <w:rsid w:val="002E5A3E"/>
    <w:rsid w:val="002E5A71"/>
    <w:rsid w:val="002E5B16"/>
    <w:rsid w:val="002E5BF0"/>
    <w:rsid w:val="002E5C09"/>
    <w:rsid w:val="002E5C96"/>
    <w:rsid w:val="002E5CA7"/>
    <w:rsid w:val="002E5CD6"/>
    <w:rsid w:val="002E5D55"/>
    <w:rsid w:val="002E5E56"/>
    <w:rsid w:val="002E5E87"/>
    <w:rsid w:val="002E5EA5"/>
    <w:rsid w:val="002E5EFE"/>
    <w:rsid w:val="002E5F87"/>
    <w:rsid w:val="002E6128"/>
    <w:rsid w:val="002E61BE"/>
    <w:rsid w:val="002E6270"/>
    <w:rsid w:val="002E627D"/>
    <w:rsid w:val="002E6304"/>
    <w:rsid w:val="002E638A"/>
    <w:rsid w:val="002E63C6"/>
    <w:rsid w:val="002E6421"/>
    <w:rsid w:val="002E6500"/>
    <w:rsid w:val="002E656B"/>
    <w:rsid w:val="002E65D5"/>
    <w:rsid w:val="002E6637"/>
    <w:rsid w:val="002E670C"/>
    <w:rsid w:val="002E6739"/>
    <w:rsid w:val="002E686C"/>
    <w:rsid w:val="002E68FB"/>
    <w:rsid w:val="002E68FD"/>
    <w:rsid w:val="002E6C90"/>
    <w:rsid w:val="002E6D22"/>
    <w:rsid w:val="002E6D74"/>
    <w:rsid w:val="002E6D98"/>
    <w:rsid w:val="002E6F4A"/>
    <w:rsid w:val="002E6F4B"/>
    <w:rsid w:val="002E6F95"/>
    <w:rsid w:val="002E7018"/>
    <w:rsid w:val="002E7019"/>
    <w:rsid w:val="002E7082"/>
    <w:rsid w:val="002E70B9"/>
    <w:rsid w:val="002E71A0"/>
    <w:rsid w:val="002E74F6"/>
    <w:rsid w:val="002E7664"/>
    <w:rsid w:val="002E7944"/>
    <w:rsid w:val="002E7AFE"/>
    <w:rsid w:val="002E7B71"/>
    <w:rsid w:val="002E7BB7"/>
    <w:rsid w:val="002E7D93"/>
    <w:rsid w:val="002E7FC1"/>
    <w:rsid w:val="002F0029"/>
    <w:rsid w:val="002F0075"/>
    <w:rsid w:val="002F01E5"/>
    <w:rsid w:val="002F049D"/>
    <w:rsid w:val="002F04BE"/>
    <w:rsid w:val="002F04E3"/>
    <w:rsid w:val="002F053E"/>
    <w:rsid w:val="002F05E0"/>
    <w:rsid w:val="002F0664"/>
    <w:rsid w:val="002F08AA"/>
    <w:rsid w:val="002F08B8"/>
    <w:rsid w:val="002F0A04"/>
    <w:rsid w:val="002F0BE0"/>
    <w:rsid w:val="002F0BFD"/>
    <w:rsid w:val="002F0C05"/>
    <w:rsid w:val="002F0C08"/>
    <w:rsid w:val="002F0C73"/>
    <w:rsid w:val="002F0D5F"/>
    <w:rsid w:val="002F0EA3"/>
    <w:rsid w:val="002F0EE2"/>
    <w:rsid w:val="002F1042"/>
    <w:rsid w:val="002F10D4"/>
    <w:rsid w:val="002F11D8"/>
    <w:rsid w:val="002F128D"/>
    <w:rsid w:val="002F14E9"/>
    <w:rsid w:val="002F1503"/>
    <w:rsid w:val="002F158D"/>
    <w:rsid w:val="002F176D"/>
    <w:rsid w:val="002F1791"/>
    <w:rsid w:val="002F17DD"/>
    <w:rsid w:val="002F180A"/>
    <w:rsid w:val="002F188A"/>
    <w:rsid w:val="002F196A"/>
    <w:rsid w:val="002F1AA4"/>
    <w:rsid w:val="002F1AED"/>
    <w:rsid w:val="002F1B8E"/>
    <w:rsid w:val="002F1C93"/>
    <w:rsid w:val="002F1D29"/>
    <w:rsid w:val="002F1DA9"/>
    <w:rsid w:val="002F1E53"/>
    <w:rsid w:val="002F1E8D"/>
    <w:rsid w:val="002F20AB"/>
    <w:rsid w:val="002F20D0"/>
    <w:rsid w:val="002F21D0"/>
    <w:rsid w:val="002F2392"/>
    <w:rsid w:val="002F2438"/>
    <w:rsid w:val="002F2555"/>
    <w:rsid w:val="002F2624"/>
    <w:rsid w:val="002F26E1"/>
    <w:rsid w:val="002F282E"/>
    <w:rsid w:val="002F29DB"/>
    <w:rsid w:val="002F2A85"/>
    <w:rsid w:val="002F2BDA"/>
    <w:rsid w:val="002F2C1B"/>
    <w:rsid w:val="002F2C73"/>
    <w:rsid w:val="002F2D95"/>
    <w:rsid w:val="002F2F1B"/>
    <w:rsid w:val="002F3007"/>
    <w:rsid w:val="002F30D0"/>
    <w:rsid w:val="002F3214"/>
    <w:rsid w:val="002F325E"/>
    <w:rsid w:val="002F328A"/>
    <w:rsid w:val="002F342B"/>
    <w:rsid w:val="002F3465"/>
    <w:rsid w:val="002F347A"/>
    <w:rsid w:val="002F3519"/>
    <w:rsid w:val="002F3536"/>
    <w:rsid w:val="002F354F"/>
    <w:rsid w:val="002F35DA"/>
    <w:rsid w:val="002F373D"/>
    <w:rsid w:val="002F3751"/>
    <w:rsid w:val="002F3782"/>
    <w:rsid w:val="002F38B6"/>
    <w:rsid w:val="002F3A29"/>
    <w:rsid w:val="002F3A3C"/>
    <w:rsid w:val="002F3A62"/>
    <w:rsid w:val="002F3AC7"/>
    <w:rsid w:val="002F3C36"/>
    <w:rsid w:val="002F3D75"/>
    <w:rsid w:val="002F3FBF"/>
    <w:rsid w:val="002F400E"/>
    <w:rsid w:val="002F4064"/>
    <w:rsid w:val="002F4078"/>
    <w:rsid w:val="002F40A0"/>
    <w:rsid w:val="002F4163"/>
    <w:rsid w:val="002F41D9"/>
    <w:rsid w:val="002F427E"/>
    <w:rsid w:val="002F453C"/>
    <w:rsid w:val="002F45B6"/>
    <w:rsid w:val="002F4630"/>
    <w:rsid w:val="002F466A"/>
    <w:rsid w:val="002F485B"/>
    <w:rsid w:val="002F4876"/>
    <w:rsid w:val="002F4894"/>
    <w:rsid w:val="002F4A19"/>
    <w:rsid w:val="002F4D40"/>
    <w:rsid w:val="002F4D63"/>
    <w:rsid w:val="002F4DA5"/>
    <w:rsid w:val="002F4DF6"/>
    <w:rsid w:val="002F4E24"/>
    <w:rsid w:val="002F4E57"/>
    <w:rsid w:val="002F4EEC"/>
    <w:rsid w:val="002F5356"/>
    <w:rsid w:val="002F5427"/>
    <w:rsid w:val="002F5538"/>
    <w:rsid w:val="002F5765"/>
    <w:rsid w:val="002F58D3"/>
    <w:rsid w:val="002F5B06"/>
    <w:rsid w:val="002F5B30"/>
    <w:rsid w:val="002F5B89"/>
    <w:rsid w:val="002F5C01"/>
    <w:rsid w:val="002F5D25"/>
    <w:rsid w:val="002F5E31"/>
    <w:rsid w:val="002F5E8C"/>
    <w:rsid w:val="002F6036"/>
    <w:rsid w:val="002F628F"/>
    <w:rsid w:val="002F62CC"/>
    <w:rsid w:val="002F638F"/>
    <w:rsid w:val="002F6400"/>
    <w:rsid w:val="002F652B"/>
    <w:rsid w:val="002F6693"/>
    <w:rsid w:val="002F6710"/>
    <w:rsid w:val="002F686F"/>
    <w:rsid w:val="002F6883"/>
    <w:rsid w:val="002F6944"/>
    <w:rsid w:val="002F69A4"/>
    <w:rsid w:val="002F69BD"/>
    <w:rsid w:val="002F69F9"/>
    <w:rsid w:val="002F6A47"/>
    <w:rsid w:val="002F6A4C"/>
    <w:rsid w:val="002F6BFA"/>
    <w:rsid w:val="002F6C20"/>
    <w:rsid w:val="002F6C33"/>
    <w:rsid w:val="002F6CEA"/>
    <w:rsid w:val="002F6DDA"/>
    <w:rsid w:val="002F6E6B"/>
    <w:rsid w:val="002F7198"/>
    <w:rsid w:val="002F71B9"/>
    <w:rsid w:val="002F72BA"/>
    <w:rsid w:val="002F7454"/>
    <w:rsid w:val="002F757A"/>
    <w:rsid w:val="002F75C5"/>
    <w:rsid w:val="002F75F0"/>
    <w:rsid w:val="002F75FF"/>
    <w:rsid w:val="002F761D"/>
    <w:rsid w:val="002F7760"/>
    <w:rsid w:val="002F784A"/>
    <w:rsid w:val="002F79AA"/>
    <w:rsid w:val="002F79B0"/>
    <w:rsid w:val="002F79F3"/>
    <w:rsid w:val="002F7AAA"/>
    <w:rsid w:val="002F7AD7"/>
    <w:rsid w:val="002F7B74"/>
    <w:rsid w:val="002F7C38"/>
    <w:rsid w:val="002F7C62"/>
    <w:rsid w:val="002F7CF6"/>
    <w:rsid w:val="002F7DC5"/>
    <w:rsid w:val="002F7E54"/>
    <w:rsid w:val="002F7FC3"/>
    <w:rsid w:val="0030009C"/>
    <w:rsid w:val="003000C5"/>
    <w:rsid w:val="003000EB"/>
    <w:rsid w:val="0030012E"/>
    <w:rsid w:val="00300270"/>
    <w:rsid w:val="003003CC"/>
    <w:rsid w:val="0030047D"/>
    <w:rsid w:val="0030049A"/>
    <w:rsid w:val="003005F7"/>
    <w:rsid w:val="00300675"/>
    <w:rsid w:val="00300A3E"/>
    <w:rsid w:val="00300D4A"/>
    <w:rsid w:val="00300D84"/>
    <w:rsid w:val="00300E72"/>
    <w:rsid w:val="00300EA3"/>
    <w:rsid w:val="00300FF5"/>
    <w:rsid w:val="00301138"/>
    <w:rsid w:val="003011B1"/>
    <w:rsid w:val="003011B6"/>
    <w:rsid w:val="0030120A"/>
    <w:rsid w:val="0030126E"/>
    <w:rsid w:val="003012B5"/>
    <w:rsid w:val="003013F1"/>
    <w:rsid w:val="00301428"/>
    <w:rsid w:val="00301582"/>
    <w:rsid w:val="003015EC"/>
    <w:rsid w:val="00301762"/>
    <w:rsid w:val="00301904"/>
    <w:rsid w:val="00301B07"/>
    <w:rsid w:val="00301B2D"/>
    <w:rsid w:val="00301B86"/>
    <w:rsid w:val="00301C74"/>
    <w:rsid w:val="00301CAC"/>
    <w:rsid w:val="00301CE2"/>
    <w:rsid w:val="00301D39"/>
    <w:rsid w:val="00301DC3"/>
    <w:rsid w:val="00301DE6"/>
    <w:rsid w:val="00301EFA"/>
    <w:rsid w:val="00301F5A"/>
    <w:rsid w:val="00301F74"/>
    <w:rsid w:val="0030208C"/>
    <w:rsid w:val="0030214B"/>
    <w:rsid w:val="003021E2"/>
    <w:rsid w:val="00302230"/>
    <w:rsid w:val="003022B6"/>
    <w:rsid w:val="00302315"/>
    <w:rsid w:val="003023B0"/>
    <w:rsid w:val="00302459"/>
    <w:rsid w:val="003024F0"/>
    <w:rsid w:val="003026AF"/>
    <w:rsid w:val="003026D3"/>
    <w:rsid w:val="003026F3"/>
    <w:rsid w:val="00302751"/>
    <w:rsid w:val="00302784"/>
    <w:rsid w:val="00302819"/>
    <w:rsid w:val="003028D0"/>
    <w:rsid w:val="00302932"/>
    <w:rsid w:val="0030298A"/>
    <w:rsid w:val="003029C0"/>
    <w:rsid w:val="00302A41"/>
    <w:rsid w:val="00302B50"/>
    <w:rsid w:val="00302BE5"/>
    <w:rsid w:val="00302C18"/>
    <w:rsid w:val="00302E5D"/>
    <w:rsid w:val="00302F41"/>
    <w:rsid w:val="0030301F"/>
    <w:rsid w:val="003030D4"/>
    <w:rsid w:val="003031DE"/>
    <w:rsid w:val="003031FA"/>
    <w:rsid w:val="0030330E"/>
    <w:rsid w:val="003034F4"/>
    <w:rsid w:val="00303551"/>
    <w:rsid w:val="0030355F"/>
    <w:rsid w:val="0030366C"/>
    <w:rsid w:val="0030368C"/>
    <w:rsid w:val="003036B3"/>
    <w:rsid w:val="00303770"/>
    <w:rsid w:val="00303840"/>
    <w:rsid w:val="0030391C"/>
    <w:rsid w:val="0030394C"/>
    <w:rsid w:val="00303983"/>
    <w:rsid w:val="003039BD"/>
    <w:rsid w:val="003039CF"/>
    <w:rsid w:val="003039F5"/>
    <w:rsid w:val="00303A0A"/>
    <w:rsid w:val="00303A0B"/>
    <w:rsid w:val="00303A25"/>
    <w:rsid w:val="00303AC5"/>
    <w:rsid w:val="00303B4D"/>
    <w:rsid w:val="00303BF5"/>
    <w:rsid w:val="00303DC0"/>
    <w:rsid w:val="00303DEB"/>
    <w:rsid w:val="00303EFE"/>
    <w:rsid w:val="00303FF0"/>
    <w:rsid w:val="00304075"/>
    <w:rsid w:val="0030411E"/>
    <w:rsid w:val="003042D0"/>
    <w:rsid w:val="00304313"/>
    <w:rsid w:val="003043AF"/>
    <w:rsid w:val="00304413"/>
    <w:rsid w:val="0030457C"/>
    <w:rsid w:val="0030473A"/>
    <w:rsid w:val="0030483C"/>
    <w:rsid w:val="003049DF"/>
    <w:rsid w:val="003049E9"/>
    <w:rsid w:val="003049F0"/>
    <w:rsid w:val="00304A71"/>
    <w:rsid w:val="00304AB3"/>
    <w:rsid w:val="00304B2E"/>
    <w:rsid w:val="00304B95"/>
    <w:rsid w:val="00304BDA"/>
    <w:rsid w:val="00304C25"/>
    <w:rsid w:val="00304CDB"/>
    <w:rsid w:val="00304D49"/>
    <w:rsid w:val="00304F08"/>
    <w:rsid w:val="003050C8"/>
    <w:rsid w:val="00305109"/>
    <w:rsid w:val="00305341"/>
    <w:rsid w:val="003054E3"/>
    <w:rsid w:val="00305585"/>
    <w:rsid w:val="0030560C"/>
    <w:rsid w:val="00305615"/>
    <w:rsid w:val="0030568E"/>
    <w:rsid w:val="00305742"/>
    <w:rsid w:val="0030576E"/>
    <w:rsid w:val="0030579D"/>
    <w:rsid w:val="00305838"/>
    <w:rsid w:val="003058CA"/>
    <w:rsid w:val="00305A01"/>
    <w:rsid w:val="00305CA0"/>
    <w:rsid w:val="00305CA6"/>
    <w:rsid w:val="00305D23"/>
    <w:rsid w:val="00305D26"/>
    <w:rsid w:val="00305D65"/>
    <w:rsid w:val="00305E10"/>
    <w:rsid w:val="00305E4C"/>
    <w:rsid w:val="00305F40"/>
    <w:rsid w:val="00305F8F"/>
    <w:rsid w:val="00306037"/>
    <w:rsid w:val="0030603E"/>
    <w:rsid w:val="003060A4"/>
    <w:rsid w:val="003060C6"/>
    <w:rsid w:val="00306110"/>
    <w:rsid w:val="00306227"/>
    <w:rsid w:val="00306279"/>
    <w:rsid w:val="00306311"/>
    <w:rsid w:val="00306334"/>
    <w:rsid w:val="00306397"/>
    <w:rsid w:val="003063CC"/>
    <w:rsid w:val="003063F4"/>
    <w:rsid w:val="00306413"/>
    <w:rsid w:val="00306570"/>
    <w:rsid w:val="003065BE"/>
    <w:rsid w:val="00306692"/>
    <w:rsid w:val="003066EF"/>
    <w:rsid w:val="00306810"/>
    <w:rsid w:val="00306A37"/>
    <w:rsid w:val="00306A60"/>
    <w:rsid w:val="00306A74"/>
    <w:rsid w:val="00306D0A"/>
    <w:rsid w:val="00306ED5"/>
    <w:rsid w:val="00306FAE"/>
    <w:rsid w:val="0030705A"/>
    <w:rsid w:val="00307066"/>
    <w:rsid w:val="003070C3"/>
    <w:rsid w:val="00307266"/>
    <w:rsid w:val="003072DE"/>
    <w:rsid w:val="0030738F"/>
    <w:rsid w:val="003073EE"/>
    <w:rsid w:val="00307560"/>
    <w:rsid w:val="00307718"/>
    <w:rsid w:val="00307890"/>
    <w:rsid w:val="003079C6"/>
    <w:rsid w:val="00307CC5"/>
    <w:rsid w:val="00307FC4"/>
    <w:rsid w:val="0031002D"/>
    <w:rsid w:val="003100BB"/>
    <w:rsid w:val="00310100"/>
    <w:rsid w:val="00310186"/>
    <w:rsid w:val="00310240"/>
    <w:rsid w:val="00310278"/>
    <w:rsid w:val="0031030C"/>
    <w:rsid w:val="0031038B"/>
    <w:rsid w:val="003103F7"/>
    <w:rsid w:val="003104F1"/>
    <w:rsid w:val="00310508"/>
    <w:rsid w:val="00310585"/>
    <w:rsid w:val="003105CB"/>
    <w:rsid w:val="00310668"/>
    <w:rsid w:val="003106A7"/>
    <w:rsid w:val="003107C2"/>
    <w:rsid w:val="0031088D"/>
    <w:rsid w:val="003108E1"/>
    <w:rsid w:val="00310A01"/>
    <w:rsid w:val="00310A09"/>
    <w:rsid w:val="00310F02"/>
    <w:rsid w:val="00310F1E"/>
    <w:rsid w:val="00310F5E"/>
    <w:rsid w:val="00310F82"/>
    <w:rsid w:val="00311066"/>
    <w:rsid w:val="00311076"/>
    <w:rsid w:val="003110A2"/>
    <w:rsid w:val="00311142"/>
    <w:rsid w:val="00311320"/>
    <w:rsid w:val="0031135B"/>
    <w:rsid w:val="003113D5"/>
    <w:rsid w:val="00311691"/>
    <w:rsid w:val="00311816"/>
    <w:rsid w:val="00311930"/>
    <w:rsid w:val="00311BD9"/>
    <w:rsid w:val="00311C24"/>
    <w:rsid w:val="00311C4F"/>
    <w:rsid w:val="00311C77"/>
    <w:rsid w:val="00311C87"/>
    <w:rsid w:val="00311E06"/>
    <w:rsid w:val="00311EED"/>
    <w:rsid w:val="00311F6D"/>
    <w:rsid w:val="00312061"/>
    <w:rsid w:val="0031210F"/>
    <w:rsid w:val="0031226C"/>
    <w:rsid w:val="00312509"/>
    <w:rsid w:val="00312554"/>
    <w:rsid w:val="0031274F"/>
    <w:rsid w:val="003128CD"/>
    <w:rsid w:val="00312925"/>
    <w:rsid w:val="00312949"/>
    <w:rsid w:val="00312AA2"/>
    <w:rsid w:val="00312B68"/>
    <w:rsid w:val="00312C5A"/>
    <w:rsid w:val="00312CF6"/>
    <w:rsid w:val="00312F5C"/>
    <w:rsid w:val="00312FC2"/>
    <w:rsid w:val="00313035"/>
    <w:rsid w:val="0031307C"/>
    <w:rsid w:val="00313160"/>
    <w:rsid w:val="0031324E"/>
    <w:rsid w:val="00313280"/>
    <w:rsid w:val="00313328"/>
    <w:rsid w:val="003133DB"/>
    <w:rsid w:val="00313428"/>
    <w:rsid w:val="0031345D"/>
    <w:rsid w:val="00313482"/>
    <w:rsid w:val="00313715"/>
    <w:rsid w:val="003137B6"/>
    <w:rsid w:val="003139B2"/>
    <w:rsid w:val="003139E3"/>
    <w:rsid w:val="00313A42"/>
    <w:rsid w:val="00313AC7"/>
    <w:rsid w:val="00313B53"/>
    <w:rsid w:val="00313BF4"/>
    <w:rsid w:val="00313BFA"/>
    <w:rsid w:val="00313C60"/>
    <w:rsid w:val="00313CC3"/>
    <w:rsid w:val="00313CD6"/>
    <w:rsid w:val="00313DB0"/>
    <w:rsid w:val="00313EE9"/>
    <w:rsid w:val="00313F83"/>
    <w:rsid w:val="0031423D"/>
    <w:rsid w:val="00314320"/>
    <w:rsid w:val="003143D6"/>
    <w:rsid w:val="0031448C"/>
    <w:rsid w:val="00314570"/>
    <w:rsid w:val="003145BD"/>
    <w:rsid w:val="0031461B"/>
    <w:rsid w:val="00314641"/>
    <w:rsid w:val="00314819"/>
    <w:rsid w:val="003148ED"/>
    <w:rsid w:val="003149D4"/>
    <w:rsid w:val="00314D23"/>
    <w:rsid w:val="00314D49"/>
    <w:rsid w:val="00314DBF"/>
    <w:rsid w:val="00315086"/>
    <w:rsid w:val="0031512B"/>
    <w:rsid w:val="0031523A"/>
    <w:rsid w:val="00315358"/>
    <w:rsid w:val="00315396"/>
    <w:rsid w:val="00315425"/>
    <w:rsid w:val="0031547F"/>
    <w:rsid w:val="003154F3"/>
    <w:rsid w:val="00315528"/>
    <w:rsid w:val="00315601"/>
    <w:rsid w:val="00315605"/>
    <w:rsid w:val="00315697"/>
    <w:rsid w:val="0031572E"/>
    <w:rsid w:val="00315792"/>
    <w:rsid w:val="00315833"/>
    <w:rsid w:val="00315892"/>
    <w:rsid w:val="003159FE"/>
    <w:rsid w:val="00315F3B"/>
    <w:rsid w:val="0031603C"/>
    <w:rsid w:val="0031604C"/>
    <w:rsid w:val="003161CD"/>
    <w:rsid w:val="00316247"/>
    <w:rsid w:val="00316413"/>
    <w:rsid w:val="003164C9"/>
    <w:rsid w:val="0031652F"/>
    <w:rsid w:val="0031660C"/>
    <w:rsid w:val="003166F0"/>
    <w:rsid w:val="003166F7"/>
    <w:rsid w:val="00316752"/>
    <w:rsid w:val="00316905"/>
    <w:rsid w:val="00316A36"/>
    <w:rsid w:val="00316B3D"/>
    <w:rsid w:val="00316C7E"/>
    <w:rsid w:val="00316D60"/>
    <w:rsid w:val="00316DBB"/>
    <w:rsid w:val="00317114"/>
    <w:rsid w:val="0031724D"/>
    <w:rsid w:val="00317298"/>
    <w:rsid w:val="003172C2"/>
    <w:rsid w:val="003175FB"/>
    <w:rsid w:val="00317736"/>
    <w:rsid w:val="0031776B"/>
    <w:rsid w:val="0031789B"/>
    <w:rsid w:val="003178D6"/>
    <w:rsid w:val="003178E3"/>
    <w:rsid w:val="0031796C"/>
    <w:rsid w:val="00317BF6"/>
    <w:rsid w:val="00317C51"/>
    <w:rsid w:val="00317D2B"/>
    <w:rsid w:val="00317DDD"/>
    <w:rsid w:val="00317E02"/>
    <w:rsid w:val="00317EAB"/>
    <w:rsid w:val="00317F4F"/>
    <w:rsid w:val="00317FBD"/>
    <w:rsid w:val="003200B3"/>
    <w:rsid w:val="003200FD"/>
    <w:rsid w:val="003201B3"/>
    <w:rsid w:val="0032020F"/>
    <w:rsid w:val="0032023E"/>
    <w:rsid w:val="003204A5"/>
    <w:rsid w:val="003204CC"/>
    <w:rsid w:val="00320592"/>
    <w:rsid w:val="003205B4"/>
    <w:rsid w:val="00320643"/>
    <w:rsid w:val="00320732"/>
    <w:rsid w:val="00320741"/>
    <w:rsid w:val="003207CF"/>
    <w:rsid w:val="0032085C"/>
    <w:rsid w:val="00320B07"/>
    <w:rsid w:val="00320D0C"/>
    <w:rsid w:val="00320D7D"/>
    <w:rsid w:val="00320E82"/>
    <w:rsid w:val="00320F48"/>
    <w:rsid w:val="00320F52"/>
    <w:rsid w:val="00320F99"/>
    <w:rsid w:val="00321009"/>
    <w:rsid w:val="0032105A"/>
    <w:rsid w:val="00321081"/>
    <w:rsid w:val="00321123"/>
    <w:rsid w:val="003211C4"/>
    <w:rsid w:val="003211D3"/>
    <w:rsid w:val="0032128F"/>
    <w:rsid w:val="00321343"/>
    <w:rsid w:val="00321350"/>
    <w:rsid w:val="0032160D"/>
    <w:rsid w:val="0032165B"/>
    <w:rsid w:val="00321726"/>
    <w:rsid w:val="00321755"/>
    <w:rsid w:val="003217D8"/>
    <w:rsid w:val="00321884"/>
    <w:rsid w:val="00321925"/>
    <w:rsid w:val="003219A9"/>
    <w:rsid w:val="003219D6"/>
    <w:rsid w:val="00321A16"/>
    <w:rsid w:val="00321AF3"/>
    <w:rsid w:val="00321B20"/>
    <w:rsid w:val="00321B21"/>
    <w:rsid w:val="00321C3B"/>
    <w:rsid w:val="00321DC1"/>
    <w:rsid w:val="00321DC2"/>
    <w:rsid w:val="00321DD5"/>
    <w:rsid w:val="00321E6C"/>
    <w:rsid w:val="00321EF9"/>
    <w:rsid w:val="003220C5"/>
    <w:rsid w:val="003220F8"/>
    <w:rsid w:val="0032218F"/>
    <w:rsid w:val="003222F8"/>
    <w:rsid w:val="0032234E"/>
    <w:rsid w:val="0032248D"/>
    <w:rsid w:val="003224CF"/>
    <w:rsid w:val="003226A6"/>
    <w:rsid w:val="003226CB"/>
    <w:rsid w:val="003226D7"/>
    <w:rsid w:val="0032274B"/>
    <w:rsid w:val="00322BBB"/>
    <w:rsid w:val="00322E3B"/>
    <w:rsid w:val="00322E93"/>
    <w:rsid w:val="00322F52"/>
    <w:rsid w:val="00323024"/>
    <w:rsid w:val="003230A5"/>
    <w:rsid w:val="003230BE"/>
    <w:rsid w:val="003230C8"/>
    <w:rsid w:val="00323176"/>
    <w:rsid w:val="00323279"/>
    <w:rsid w:val="003232F3"/>
    <w:rsid w:val="00323346"/>
    <w:rsid w:val="0032336E"/>
    <w:rsid w:val="0032337C"/>
    <w:rsid w:val="003234A6"/>
    <w:rsid w:val="003234B9"/>
    <w:rsid w:val="003235FC"/>
    <w:rsid w:val="0032365E"/>
    <w:rsid w:val="0032366B"/>
    <w:rsid w:val="003236FD"/>
    <w:rsid w:val="0032372C"/>
    <w:rsid w:val="003237AE"/>
    <w:rsid w:val="003237B8"/>
    <w:rsid w:val="00323837"/>
    <w:rsid w:val="003239DD"/>
    <w:rsid w:val="00323A7F"/>
    <w:rsid w:val="00323B4C"/>
    <w:rsid w:val="00323BF0"/>
    <w:rsid w:val="00323CD0"/>
    <w:rsid w:val="00323D64"/>
    <w:rsid w:val="00323D6B"/>
    <w:rsid w:val="00323DE8"/>
    <w:rsid w:val="00323FF5"/>
    <w:rsid w:val="00324440"/>
    <w:rsid w:val="003244A2"/>
    <w:rsid w:val="00324501"/>
    <w:rsid w:val="0032450C"/>
    <w:rsid w:val="003245C6"/>
    <w:rsid w:val="00324683"/>
    <w:rsid w:val="003246FC"/>
    <w:rsid w:val="0032474A"/>
    <w:rsid w:val="003247A4"/>
    <w:rsid w:val="003248CA"/>
    <w:rsid w:val="0032490B"/>
    <w:rsid w:val="003249E4"/>
    <w:rsid w:val="00324BA1"/>
    <w:rsid w:val="00324CCD"/>
    <w:rsid w:val="00324CFC"/>
    <w:rsid w:val="00324D68"/>
    <w:rsid w:val="00324D79"/>
    <w:rsid w:val="00324E80"/>
    <w:rsid w:val="00324E91"/>
    <w:rsid w:val="00324F1A"/>
    <w:rsid w:val="00325023"/>
    <w:rsid w:val="00325076"/>
    <w:rsid w:val="0032546E"/>
    <w:rsid w:val="00325470"/>
    <w:rsid w:val="0032550A"/>
    <w:rsid w:val="00325524"/>
    <w:rsid w:val="0032559C"/>
    <w:rsid w:val="0032561B"/>
    <w:rsid w:val="00325632"/>
    <w:rsid w:val="0032566C"/>
    <w:rsid w:val="00325745"/>
    <w:rsid w:val="0032576A"/>
    <w:rsid w:val="0032595C"/>
    <w:rsid w:val="00325ADE"/>
    <w:rsid w:val="00325ADF"/>
    <w:rsid w:val="00325B1A"/>
    <w:rsid w:val="00325DE3"/>
    <w:rsid w:val="003260DE"/>
    <w:rsid w:val="00326170"/>
    <w:rsid w:val="003261AD"/>
    <w:rsid w:val="00326278"/>
    <w:rsid w:val="003262E6"/>
    <w:rsid w:val="0032632F"/>
    <w:rsid w:val="0032635D"/>
    <w:rsid w:val="00326397"/>
    <w:rsid w:val="003263A2"/>
    <w:rsid w:val="00326492"/>
    <w:rsid w:val="003264E4"/>
    <w:rsid w:val="003265FB"/>
    <w:rsid w:val="00326608"/>
    <w:rsid w:val="003266F7"/>
    <w:rsid w:val="00326867"/>
    <w:rsid w:val="00326972"/>
    <w:rsid w:val="00326A5F"/>
    <w:rsid w:val="00326AFE"/>
    <w:rsid w:val="00326B79"/>
    <w:rsid w:val="00326C7D"/>
    <w:rsid w:val="00326D06"/>
    <w:rsid w:val="00326DAA"/>
    <w:rsid w:val="00327087"/>
    <w:rsid w:val="0032731A"/>
    <w:rsid w:val="00327410"/>
    <w:rsid w:val="0032746A"/>
    <w:rsid w:val="003274CB"/>
    <w:rsid w:val="003274D8"/>
    <w:rsid w:val="003274E2"/>
    <w:rsid w:val="0032771D"/>
    <w:rsid w:val="00327725"/>
    <w:rsid w:val="003277AF"/>
    <w:rsid w:val="00327910"/>
    <w:rsid w:val="00327939"/>
    <w:rsid w:val="00327968"/>
    <w:rsid w:val="00327B92"/>
    <w:rsid w:val="00327C0C"/>
    <w:rsid w:val="00327C44"/>
    <w:rsid w:val="00327C85"/>
    <w:rsid w:val="00327CD5"/>
    <w:rsid w:val="00327D44"/>
    <w:rsid w:val="00327D82"/>
    <w:rsid w:val="00327E04"/>
    <w:rsid w:val="00327E73"/>
    <w:rsid w:val="00327F48"/>
    <w:rsid w:val="00327FDD"/>
    <w:rsid w:val="0033000C"/>
    <w:rsid w:val="003300B6"/>
    <w:rsid w:val="003301D4"/>
    <w:rsid w:val="00330234"/>
    <w:rsid w:val="003302A8"/>
    <w:rsid w:val="003302D9"/>
    <w:rsid w:val="003303B0"/>
    <w:rsid w:val="00330413"/>
    <w:rsid w:val="00330501"/>
    <w:rsid w:val="0033050D"/>
    <w:rsid w:val="00330524"/>
    <w:rsid w:val="0033061A"/>
    <w:rsid w:val="003308FB"/>
    <w:rsid w:val="0033097D"/>
    <w:rsid w:val="00330A12"/>
    <w:rsid w:val="00330D24"/>
    <w:rsid w:val="00330DE6"/>
    <w:rsid w:val="00330E40"/>
    <w:rsid w:val="00330EDF"/>
    <w:rsid w:val="003310A6"/>
    <w:rsid w:val="003310F7"/>
    <w:rsid w:val="00331106"/>
    <w:rsid w:val="00331112"/>
    <w:rsid w:val="0033112E"/>
    <w:rsid w:val="003311B5"/>
    <w:rsid w:val="003312E6"/>
    <w:rsid w:val="00331551"/>
    <w:rsid w:val="00331554"/>
    <w:rsid w:val="0033159B"/>
    <w:rsid w:val="00331659"/>
    <w:rsid w:val="003316B1"/>
    <w:rsid w:val="003316E4"/>
    <w:rsid w:val="003316FB"/>
    <w:rsid w:val="00331736"/>
    <w:rsid w:val="00331816"/>
    <w:rsid w:val="0033185A"/>
    <w:rsid w:val="003318A9"/>
    <w:rsid w:val="00331919"/>
    <w:rsid w:val="00331944"/>
    <w:rsid w:val="00331AE1"/>
    <w:rsid w:val="00331B29"/>
    <w:rsid w:val="00331C2E"/>
    <w:rsid w:val="00331C56"/>
    <w:rsid w:val="00331CC7"/>
    <w:rsid w:val="00331DBB"/>
    <w:rsid w:val="00331E36"/>
    <w:rsid w:val="00331FE3"/>
    <w:rsid w:val="00332063"/>
    <w:rsid w:val="003320FF"/>
    <w:rsid w:val="00332112"/>
    <w:rsid w:val="0033214E"/>
    <w:rsid w:val="003322C2"/>
    <w:rsid w:val="003323B1"/>
    <w:rsid w:val="003323C4"/>
    <w:rsid w:val="003323EF"/>
    <w:rsid w:val="00332456"/>
    <w:rsid w:val="00332563"/>
    <w:rsid w:val="003325FF"/>
    <w:rsid w:val="00332609"/>
    <w:rsid w:val="003327BD"/>
    <w:rsid w:val="00332868"/>
    <w:rsid w:val="00332931"/>
    <w:rsid w:val="00332998"/>
    <w:rsid w:val="00332A0B"/>
    <w:rsid w:val="00332B1A"/>
    <w:rsid w:val="00332B34"/>
    <w:rsid w:val="00332BD9"/>
    <w:rsid w:val="00332BE9"/>
    <w:rsid w:val="00332C37"/>
    <w:rsid w:val="00332DC6"/>
    <w:rsid w:val="00332EBA"/>
    <w:rsid w:val="00332ED1"/>
    <w:rsid w:val="00333155"/>
    <w:rsid w:val="003332D3"/>
    <w:rsid w:val="003333A2"/>
    <w:rsid w:val="0033343A"/>
    <w:rsid w:val="00333566"/>
    <w:rsid w:val="00333592"/>
    <w:rsid w:val="003335F1"/>
    <w:rsid w:val="00333A5F"/>
    <w:rsid w:val="00333A6D"/>
    <w:rsid w:val="00333A73"/>
    <w:rsid w:val="00333A94"/>
    <w:rsid w:val="00333B38"/>
    <w:rsid w:val="00333BB7"/>
    <w:rsid w:val="00333BC0"/>
    <w:rsid w:val="00333CBB"/>
    <w:rsid w:val="00333E3F"/>
    <w:rsid w:val="00333E53"/>
    <w:rsid w:val="00333EB9"/>
    <w:rsid w:val="00333EBF"/>
    <w:rsid w:val="00333F09"/>
    <w:rsid w:val="00333F4F"/>
    <w:rsid w:val="00333F5E"/>
    <w:rsid w:val="00334118"/>
    <w:rsid w:val="0033422D"/>
    <w:rsid w:val="0033425B"/>
    <w:rsid w:val="00334300"/>
    <w:rsid w:val="00334330"/>
    <w:rsid w:val="00334424"/>
    <w:rsid w:val="00334449"/>
    <w:rsid w:val="003344F7"/>
    <w:rsid w:val="003344FE"/>
    <w:rsid w:val="003345AD"/>
    <w:rsid w:val="00334646"/>
    <w:rsid w:val="0033464A"/>
    <w:rsid w:val="003348E0"/>
    <w:rsid w:val="0033491B"/>
    <w:rsid w:val="00334A98"/>
    <w:rsid w:val="00334B39"/>
    <w:rsid w:val="00334C42"/>
    <w:rsid w:val="00334DEC"/>
    <w:rsid w:val="00334DF7"/>
    <w:rsid w:val="00334E98"/>
    <w:rsid w:val="00334EEB"/>
    <w:rsid w:val="00334EF4"/>
    <w:rsid w:val="00334F1F"/>
    <w:rsid w:val="00335024"/>
    <w:rsid w:val="00335139"/>
    <w:rsid w:val="0033518C"/>
    <w:rsid w:val="0033538F"/>
    <w:rsid w:val="00335409"/>
    <w:rsid w:val="0033550A"/>
    <w:rsid w:val="00335536"/>
    <w:rsid w:val="0033556B"/>
    <w:rsid w:val="00335593"/>
    <w:rsid w:val="00335716"/>
    <w:rsid w:val="00335976"/>
    <w:rsid w:val="003359BE"/>
    <w:rsid w:val="00335A8F"/>
    <w:rsid w:val="00335B33"/>
    <w:rsid w:val="00335B45"/>
    <w:rsid w:val="00335B7D"/>
    <w:rsid w:val="00335BB9"/>
    <w:rsid w:val="00335BCC"/>
    <w:rsid w:val="00335D3B"/>
    <w:rsid w:val="00335EAC"/>
    <w:rsid w:val="00335FDD"/>
    <w:rsid w:val="003360AF"/>
    <w:rsid w:val="003360D4"/>
    <w:rsid w:val="00336151"/>
    <w:rsid w:val="00336241"/>
    <w:rsid w:val="00336248"/>
    <w:rsid w:val="0033638B"/>
    <w:rsid w:val="003363AC"/>
    <w:rsid w:val="0033644C"/>
    <w:rsid w:val="0033648A"/>
    <w:rsid w:val="00336576"/>
    <w:rsid w:val="003365D1"/>
    <w:rsid w:val="003365DD"/>
    <w:rsid w:val="0033666E"/>
    <w:rsid w:val="00336729"/>
    <w:rsid w:val="003367CC"/>
    <w:rsid w:val="003367CF"/>
    <w:rsid w:val="0033680C"/>
    <w:rsid w:val="0033683B"/>
    <w:rsid w:val="003369A4"/>
    <w:rsid w:val="00336A23"/>
    <w:rsid w:val="00336BC8"/>
    <w:rsid w:val="00336BE2"/>
    <w:rsid w:val="00336D7C"/>
    <w:rsid w:val="00336E0D"/>
    <w:rsid w:val="00336E7F"/>
    <w:rsid w:val="00336E80"/>
    <w:rsid w:val="00336FDD"/>
    <w:rsid w:val="0033701D"/>
    <w:rsid w:val="003370FD"/>
    <w:rsid w:val="003371EA"/>
    <w:rsid w:val="003371F3"/>
    <w:rsid w:val="00337561"/>
    <w:rsid w:val="00337699"/>
    <w:rsid w:val="0033770A"/>
    <w:rsid w:val="0033773D"/>
    <w:rsid w:val="0033782F"/>
    <w:rsid w:val="00337DAC"/>
    <w:rsid w:val="00340069"/>
    <w:rsid w:val="0034010D"/>
    <w:rsid w:val="003401FC"/>
    <w:rsid w:val="00340280"/>
    <w:rsid w:val="00340325"/>
    <w:rsid w:val="0034043D"/>
    <w:rsid w:val="003404A8"/>
    <w:rsid w:val="003404C7"/>
    <w:rsid w:val="003405A2"/>
    <w:rsid w:val="003405DD"/>
    <w:rsid w:val="00340710"/>
    <w:rsid w:val="00340718"/>
    <w:rsid w:val="00340828"/>
    <w:rsid w:val="00340838"/>
    <w:rsid w:val="003408B8"/>
    <w:rsid w:val="003409AD"/>
    <w:rsid w:val="003409BE"/>
    <w:rsid w:val="00340A18"/>
    <w:rsid w:val="00340A24"/>
    <w:rsid w:val="00340A3C"/>
    <w:rsid w:val="00340A42"/>
    <w:rsid w:val="00340AF2"/>
    <w:rsid w:val="00340B1F"/>
    <w:rsid w:val="00340B23"/>
    <w:rsid w:val="00340B63"/>
    <w:rsid w:val="00340BA1"/>
    <w:rsid w:val="00340F86"/>
    <w:rsid w:val="00341016"/>
    <w:rsid w:val="00341059"/>
    <w:rsid w:val="003411AC"/>
    <w:rsid w:val="003412EE"/>
    <w:rsid w:val="00341356"/>
    <w:rsid w:val="00341384"/>
    <w:rsid w:val="00341390"/>
    <w:rsid w:val="00341411"/>
    <w:rsid w:val="00341446"/>
    <w:rsid w:val="003414D1"/>
    <w:rsid w:val="00341591"/>
    <w:rsid w:val="003415B2"/>
    <w:rsid w:val="0034169D"/>
    <w:rsid w:val="003417C2"/>
    <w:rsid w:val="00341842"/>
    <w:rsid w:val="00341849"/>
    <w:rsid w:val="003418C7"/>
    <w:rsid w:val="00341AED"/>
    <w:rsid w:val="00341C04"/>
    <w:rsid w:val="00341DAD"/>
    <w:rsid w:val="00341DEA"/>
    <w:rsid w:val="00341F3A"/>
    <w:rsid w:val="0034210D"/>
    <w:rsid w:val="0034219C"/>
    <w:rsid w:val="003421B4"/>
    <w:rsid w:val="003421CD"/>
    <w:rsid w:val="003421F9"/>
    <w:rsid w:val="0034224B"/>
    <w:rsid w:val="00342289"/>
    <w:rsid w:val="00342477"/>
    <w:rsid w:val="003424B4"/>
    <w:rsid w:val="003425F0"/>
    <w:rsid w:val="00342628"/>
    <w:rsid w:val="003428E0"/>
    <w:rsid w:val="00342BEE"/>
    <w:rsid w:val="00342C22"/>
    <w:rsid w:val="00342C51"/>
    <w:rsid w:val="00342C97"/>
    <w:rsid w:val="00342CC6"/>
    <w:rsid w:val="00342D2D"/>
    <w:rsid w:val="00342DD0"/>
    <w:rsid w:val="00342DFB"/>
    <w:rsid w:val="00342F49"/>
    <w:rsid w:val="00343015"/>
    <w:rsid w:val="003430E3"/>
    <w:rsid w:val="003430EA"/>
    <w:rsid w:val="003431BD"/>
    <w:rsid w:val="003431D9"/>
    <w:rsid w:val="00343309"/>
    <w:rsid w:val="0034356A"/>
    <w:rsid w:val="00343645"/>
    <w:rsid w:val="00343696"/>
    <w:rsid w:val="003436AF"/>
    <w:rsid w:val="00343722"/>
    <w:rsid w:val="00343791"/>
    <w:rsid w:val="003437C8"/>
    <w:rsid w:val="00343A2A"/>
    <w:rsid w:val="00343A79"/>
    <w:rsid w:val="00343BAB"/>
    <w:rsid w:val="00343C05"/>
    <w:rsid w:val="00343CA5"/>
    <w:rsid w:val="00343CBB"/>
    <w:rsid w:val="00343DE6"/>
    <w:rsid w:val="00344068"/>
    <w:rsid w:val="003440C9"/>
    <w:rsid w:val="003440E9"/>
    <w:rsid w:val="00344111"/>
    <w:rsid w:val="00344186"/>
    <w:rsid w:val="0034426D"/>
    <w:rsid w:val="00344323"/>
    <w:rsid w:val="0034435E"/>
    <w:rsid w:val="003443D4"/>
    <w:rsid w:val="00344425"/>
    <w:rsid w:val="003444F2"/>
    <w:rsid w:val="00344577"/>
    <w:rsid w:val="003445E9"/>
    <w:rsid w:val="00344616"/>
    <w:rsid w:val="003448E3"/>
    <w:rsid w:val="00344ABC"/>
    <w:rsid w:val="00344ADA"/>
    <w:rsid w:val="00344C3C"/>
    <w:rsid w:val="00344C84"/>
    <w:rsid w:val="00344DC9"/>
    <w:rsid w:val="00344E73"/>
    <w:rsid w:val="00344E7F"/>
    <w:rsid w:val="00344F1D"/>
    <w:rsid w:val="00344FAC"/>
    <w:rsid w:val="00345027"/>
    <w:rsid w:val="003451F5"/>
    <w:rsid w:val="00345283"/>
    <w:rsid w:val="003453EB"/>
    <w:rsid w:val="00345410"/>
    <w:rsid w:val="00345572"/>
    <w:rsid w:val="00345639"/>
    <w:rsid w:val="00345731"/>
    <w:rsid w:val="00345834"/>
    <w:rsid w:val="00345838"/>
    <w:rsid w:val="00345DE2"/>
    <w:rsid w:val="00346048"/>
    <w:rsid w:val="003460AA"/>
    <w:rsid w:val="003460D2"/>
    <w:rsid w:val="003463BC"/>
    <w:rsid w:val="0034658A"/>
    <w:rsid w:val="003465A6"/>
    <w:rsid w:val="00346644"/>
    <w:rsid w:val="003466A8"/>
    <w:rsid w:val="003468A6"/>
    <w:rsid w:val="003468C6"/>
    <w:rsid w:val="00346A0C"/>
    <w:rsid w:val="00346A24"/>
    <w:rsid w:val="00346A99"/>
    <w:rsid w:val="00346D1D"/>
    <w:rsid w:val="00346F18"/>
    <w:rsid w:val="00347181"/>
    <w:rsid w:val="003472F9"/>
    <w:rsid w:val="00347300"/>
    <w:rsid w:val="003473E1"/>
    <w:rsid w:val="0034741A"/>
    <w:rsid w:val="003475C0"/>
    <w:rsid w:val="00347623"/>
    <w:rsid w:val="00347755"/>
    <w:rsid w:val="0034776C"/>
    <w:rsid w:val="003477E9"/>
    <w:rsid w:val="00347864"/>
    <w:rsid w:val="003478E4"/>
    <w:rsid w:val="003478ED"/>
    <w:rsid w:val="00347951"/>
    <w:rsid w:val="00347972"/>
    <w:rsid w:val="003479F2"/>
    <w:rsid w:val="00347A70"/>
    <w:rsid w:val="00347BA4"/>
    <w:rsid w:val="00347BCF"/>
    <w:rsid w:val="00347BF9"/>
    <w:rsid w:val="00347C45"/>
    <w:rsid w:val="00347E86"/>
    <w:rsid w:val="0035019E"/>
    <w:rsid w:val="003501CF"/>
    <w:rsid w:val="003501FE"/>
    <w:rsid w:val="00350363"/>
    <w:rsid w:val="003503B6"/>
    <w:rsid w:val="00350572"/>
    <w:rsid w:val="0035061C"/>
    <w:rsid w:val="003506C0"/>
    <w:rsid w:val="00350728"/>
    <w:rsid w:val="003507BB"/>
    <w:rsid w:val="003507D2"/>
    <w:rsid w:val="003508C5"/>
    <w:rsid w:val="00350C71"/>
    <w:rsid w:val="00350CBD"/>
    <w:rsid w:val="0035108B"/>
    <w:rsid w:val="0035110C"/>
    <w:rsid w:val="0035118F"/>
    <w:rsid w:val="003511E6"/>
    <w:rsid w:val="003511FE"/>
    <w:rsid w:val="003513D1"/>
    <w:rsid w:val="003515FA"/>
    <w:rsid w:val="00351819"/>
    <w:rsid w:val="0035181D"/>
    <w:rsid w:val="00351822"/>
    <w:rsid w:val="003519A1"/>
    <w:rsid w:val="00351A0B"/>
    <w:rsid w:val="00351A59"/>
    <w:rsid w:val="00351B2B"/>
    <w:rsid w:val="00351D2C"/>
    <w:rsid w:val="00351D88"/>
    <w:rsid w:val="00351F0F"/>
    <w:rsid w:val="00351F18"/>
    <w:rsid w:val="00351F65"/>
    <w:rsid w:val="00351FFF"/>
    <w:rsid w:val="0035203C"/>
    <w:rsid w:val="00352076"/>
    <w:rsid w:val="003520C1"/>
    <w:rsid w:val="003520C7"/>
    <w:rsid w:val="0035212C"/>
    <w:rsid w:val="003523D4"/>
    <w:rsid w:val="0035240D"/>
    <w:rsid w:val="0035244A"/>
    <w:rsid w:val="00352554"/>
    <w:rsid w:val="003525EE"/>
    <w:rsid w:val="0035263B"/>
    <w:rsid w:val="0035269A"/>
    <w:rsid w:val="003526B4"/>
    <w:rsid w:val="003526BF"/>
    <w:rsid w:val="0035273C"/>
    <w:rsid w:val="003527DB"/>
    <w:rsid w:val="00352884"/>
    <w:rsid w:val="003528B1"/>
    <w:rsid w:val="00352927"/>
    <w:rsid w:val="00352950"/>
    <w:rsid w:val="00352959"/>
    <w:rsid w:val="00352980"/>
    <w:rsid w:val="003529D4"/>
    <w:rsid w:val="003529F9"/>
    <w:rsid w:val="00352A17"/>
    <w:rsid w:val="00352A46"/>
    <w:rsid w:val="00352A7B"/>
    <w:rsid w:val="00352BA3"/>
    <w:rsid w:val="00352C6E"/>
    <w:rsid w:val="00352CBD"/>
    <w:rsid w:val="00352EAF"/>
    <w:rsid w:val="00352FDE"/>
    <w:rsid w:val="00353030"/>
    <w:rsid w:val="00353087"/>
    <w:rsid w:val="003531D6"/>
    <w:rsid w:val="00353328"/>
    <w:rsid w:val="003534C2"/>
    <w:rsid w:val="003534D5"/>
    <w:rsid w:val="003534EA"/>
    <w:rsid w:val="003534EF"/>
    <w:rsid w:val="00353511"/>
    <w:rsid w:val="00353542"/>
    <w:rsid w:val="003535A3"/>
    <w:rsid w:val="003536FB"/>
    <w:rsid w:val="00353918"/>
    <w:rsid w:val="0035392E"/>
    <w:rsid w:val="00353949"/>
    <w:rsid w:val="00353959"/>
    <w:rsid w:val="00353A34"/>
    <w:rsid w:val="00353A57"/>
    <w:rsid w:val="00353A7D"/>
    <w:rsid w:val="00353B85"/>
    <w:rsid w:val="00353C4B"/>
    <w:rsid w:val="00353C51"/>
    <w:rsid w:val="00353CD6"/>
    <w:rsid w:val="00353D00"/>
    <w:rsid w:val="00353D1C"/>
    <w:rsid w:val="00353E1C"/>
    <w:rsid w:val="00353F0B"/>
    <w:rsid w:val="003540AD"/>
    <w:rsid w:val="00354248"/>
    <w:rsid w:val="00354323"/>
    <w:rsid w:val="00354335"/>
    <w:rsid w:val="00354341"/>
    <w:rsid w:val="00354466"/>
    <w:rsid w:val="00354498"/>
    <w:rsid w:val="003544FD"/>
    <w:rsid w:val="00354567"/>
    <w:rsid w:val="00354674"/>
    <w:rsid w:val="003547EE"/>
    <w:rsid w:val="0035484B"/>
    <w:rsid w:val="00354994"/>
    <w:rsid w:val="003549FB"/>
    <w:rsid w:val="00354A23"/>
    <w:rsid w:val="00354AE4"/>
    <w:rsid w:val="00354BFB"/>
    <w:rsid w:val="00354DD1"/>
    <w:rsid w:val="00354E0C"/>
    <w:rsid w:val="00354E89"/>
    <w:rsid w:val="00354F2E"/>
    <w:rsid w:val="003553DE"/>
    <w:rsid w:val="00355401"/>
    <w:rsid w:val="00355567"/>
    <w:rsid w:val="0035557A"/>
    <w:rsid w:val="003555A1"/>
    <w:rsid w:val="00355630"/>
    <w:rsid w:val="00355683"/>
    <w:rsid w:val="003556CA"/>
    <w:rsid w:val="003556DB"/>
    <w:rsid w:val="0035570E"/>
    <w:rsid w:val="0035578A"/>
    <w:rsid w:val="00355881"/>
    <w:rsid w:val="003559A2"/>
    <w:rsid w:val="00355A0F"/>
    <w:rsid w:val="00355A63"/>
    <w:rsid w:val="00355AE0"/>
    <w:rsid w:val="00355B82"/>
    <w:rsid w:val="00355C6F"/>
    <w:rsid w:val="00355CAF"/>
    <w:rsid w:val="00355D50"/>
    <w:rsid w:val="00355DA1"/>
    <w:rsid w:val="00355E30"/>
    <w:rsid w:val="00355F52"/>
    <w:rsid w:val="00355FA1"/>
    <w:rsid w:val="003561AF"/>
    <w:rsid w:val="003561F3"/>
    <w:rsid w:val="0035624E"/>
    <w:rsid w:val="003562E6"/>
    <w:rsid w:val="00356320"/>
    <w:rsid w:val="00356406"/>
    <w:rsid w:val="003564BB"/>
    <w:rsid w:val="003564CB"/>
    <w:rsid w:val="00356575"/>
    <w:rsid w:val="00356589"/>
    <w:rsid w:val="003565A0"/>
    <w:rsid w:val="00356819"/>
    <w:rsid w:val="0035686C"/>
    <w:rsid w:val="003568F4"/>
    <w:rsid w:val="00356934"/>
    <w:rsid w:val="00356948"/>
    <w:rsid w:val="003569AE"/>
    <w:rsid w:val="003569F2"/>
    <w:rsid w:val="00356BA2"/>
    <w:rsid w:val="00356CED"/>
    <w:rsid w:val="00356D36"/>
    <w:rsid w:val="00356EE9"/>
    <w:rsid w:val="00356FB0"/>
    <w:rsid w:val="0035713B"/>
    <w:rsid w:val="00357179"/>
    <w:rsid w:val="003574CD"/>
    <w:rsid w:val="00357600"/>
    <w:rsid w:val="00357732"/>
    <w:rsid w:val="00357806"/>
    <w:rsid w:val="0035781D"/>
    <w:rsid w:val="003578A9"/>
    <w:rsid w:val="00357B0F"/>
    <w:rsid w:val="00357B3F"/>
    <w:rsid w:val="00357B65"/>
    <w:rsid w:val="00357E9A"/>
    <w:rsid w:val="00357EB1"/>
    <w:rsid w:val="00357F10"/>
    <w:rsid w:val="00357F70"/>
    <w:rsid w:val="00360111"/>
    <w:rsid w:val="00360150"/>
    <w:rsid w:val="0036017F"/>
    <w:rsid w:val="003601B3"/>
    <w:rsid w:val="00360386"/>
    <w:rsid w:val="0036049B"/>
    <w:rsid w:val="00360546"/>
    <w:rsid w:val="00360562"/>
    <w:rsid w:val="00360569"/>
    <w:rsid w:val="003605F2"/>
    <w:rsid w:val="003605FB"/>
    <w:rsid w:val="00360643"/>
    <w:rsid w:val="00360660"/>
    <w:rsid w:val="00360672"/>
    <w:rsid w:val="00360696"/>
    <w:rsid w:val="00360708"/>
    <w:rsid w:val="003608BE"/>
    <w:rsid w:val="00360947"/>
    <w:rsid w:val="003609FC"/>
    <w:rsid w:val="00360B55"/>
    <w:rsid w:val="00360B64"/>
    <w:rsid w:val="00360C74"/>
    <w:rsid w:val="00360C9D"/>
    <w:rsid w:val="00360D62"/>
    <w:rsid w:val="00360E25"/>
    <w:rsid w:val="00360E46"/>
    <w:rsid w:val="00360F16"/>
    <w:rsid w:val="00360F80"/>
    <w:rsid w:val="0036109A"/>
    <w:rsid w:val="00361172"/>
    <w:rsid w:val="0036119D"/>
    <w:rsid w:val="00361442"/>
    <w:rsid w:val="0036144D"/>
    <w:rsid w:val="00361450"/>
    <w:rsid w:val="003614D8"/>
    <w:rsid w:val="0036154E"/>
    <w:rsid w:val="003616CC"/>
    <w:rsid w:val="0036172D"/>
    <w:rsid w:val="003617DD"/>
    <w:rsid w:val="00361869"/>
    <w:rsid w:val="00361935"/>
    <w:rsid w:val="00361A1E"/>
    <w:rsid w:val="00361AD0"/>
    <w:rsid w:val="00361BB3"/>
    <w:rsid w:val="00361C04"/>
    <w:rsid w:val="00361C4C"/>
    <w:rsid w:val="00361E64"/>
    <w:rsid w:val="003620F8"/>
    <w:rsid w:val="00362133"/>
    <w:rsid w:val="00362217"/>
    <w:rsid w:val="00362238"/>
    <w:rsid w:val="003622E3"/>
    <w:rsid w:val="0036231A"/>
    <w:rsid w:val="0036234E"/>
    <w:rsid w:val="00362459"/>
    <w:rsid w:val="0036248A"/>
    <w:rsid w:val="003625B1"/>
    <w:rsid w:val="0036266E"/>
    <w:rsid w:val="003626D2"/>
    <w:rsid w:val="003627A7"/>
    <w:rsid w:val="0036288E"/>
    <w:rsid w:val="00362964"/>
    <w:rsid w:val="00362B07"/>
    <w:rsid w:val="00362B0F"/>
    <w:rsid w:val="00362C44"/>
    <w:rsid w:val="00362CB5"/>
    <w:rsid w:val="00362D24"/>
    <w:rsid w:val="00362DA5"/>
    <w:rsid w:val="00362E82"/>
    <w:rsid w:val="00362F02"/>
    <w:rsid w:val="00362F42"/>
    <w:rsid w:val="00362FD2"/>
    <w:rsid w:val="0036309D"/>
    <w:rsid w:val="00363212"/>
    <w:rsid w:val="00363216"/>
    <w:rsid w:val="00363349"/>
    <w:rsid w:val="0036343B"/>
    <w:rsid w:val="0036347E"/>
    <w:rsid w:val="00363486"/>
    <w:rsid w:val="003634A2"/>
    <w:rsid w:val="00363514"/>
    <w:rsid w:val="0036355E"/>
    <w:rsid w:val="00363836"/>
    <w:rsid w:val="0036384F"/>
    <w:rsid w:val="003638B0"/>
    <w:rsid w:val="003638C6"/>
    <w:rsid w:val="003638D8"/>
    <w:rsid w:val="00363A44"/>
    <w:rsid w:val="00363A4B"/>
    <w:rsid w:val="00363AA2"/>
    <w:rsid w:val="00363B35"/>
    <w:rsid w:val="00363CA5"/>
    <w:rsid w:val="00363DFD"/>
    <w:rsid w:val="00363F22"/>
    <w:rsid w:val="00363F2E"/>
    <w:rsid w:val="00364125"/>
    <w:rsid w:val="00364142"/>
    <w:rsid w:val="00364163"/>
    <w:rsid w:val="003641B0"/>
    <w:rsid w:val="00364215"/>
    <w:rsid w:val="0036434D"/>
    <w:rsid w:val="003643C0"/>
    <w:rsid w:val="00364490"/>
    <w:rsid w:val="003644C8"/>
    <w:rsid w:val="003644E6"/>
    <w:rsid w:val="00364680"/>
    <w:rsid w:val="00364706"/>
    <w:rsid w:val="003647B0"/>
    <w:rsid w:val="003647FF"/>
    <w:rsid w:val="00364854"/>
    <w:rsid w:val="0036486C"/>
    <w:rsid w:val="00364A68"/>
    <w:rsid w:val="00364A96"/>
    <w:rsid w:val="00364B01"/>
    <w:rsid w:val="00364B26"/>
    <w:rsid w:val="00364BB9"/>
    <w:rsid w:val="00364C55"/>
    <w:rsid w:val="00364D1F"/>
    <w:rsid w:val="00364DC9"/>
    <w:rsid w:val="00364E87"/>
    <w:rsid w:val="00364FF5"/>
    <w:rsid w:val="0036500A"/>
    <w:rsid w:val="003650AD"/>
    <w:rsid w:val="003651BA"/>
    <w:rsid w:val="0036523E"/>
    <w:rsid w:val="0036524D"/>
    <w:rsid w:val="00365323"/>
    <w:rsid w:val="00365389"/>
    <w:rsid w:val="00365402"/>
    <w:rsid w:val="003654FB"/>
    <w:rsid w:val="0036555D"/>
    <w:rsid w:val="003655B9"/>
    <w:rsid w:val="00365817"/>
    <w:rsid w:val="00365975"/>
    <w:rsid w:val="00365B4B"/>
    <w:rsid w:val="00365C57"/>
    <w:rsid w:val="00365D46"/>
    <w:rsid w:val="00365D88"/>
    <w:rsid w:val="00365DB1"/>
    <w:rsid w:val="00365E16"/>
    <w:rsid w:val="00366002"/>
    <w:rsid w:val="0036609E"/>
    <w:rsid w:val="00366105"/>
    <w:rsid w:val="003661AC"/>
    <w:rsid w:val="003661BB"/>
    <w:rsid w:val="00366210"/>
    <w:rsid w:val="0036644B"/>
    <w:rsid w:val="00366480"/>
    <w:rsid w:val="0036662B"/>
    <w:rsid w:val="0036664D"/>
    <w:rsid w:val="00366687"/>
    <w:rsid w:val="00366B84"/>
    <w:rsid w:val="00366D54"/>
    <w:rsid w:val="00366D81"/>
    <w:rsid w:val="00366E22"/>
    <w:rsid w:val="00366E91"/>
    <w:rsid w:val="00366FA2"/>
    <w:rsid w:val="00366FC9"/>
    <w:rsid w:val="003670B1"/>
    <w:rsid w:val="00367248"/>
    <w:rsid w:val="00367454"/>
    <w:rsid w:val="00367466"/>
    <w:rsid w:val="00367776"/>
    <w:rsid w:val="003677BA"/>
    <w:rsid w:val="003677E6"/>
    <w:rsid w:val="003678E0"/>
    <w:rsid w:val="0036794B"/>
    <w:rsid w:val="00367A01"/>
    <w:rsid w:val="00367A77"/>
    <w:rsid w:val="00367BB7"/>
    <w:rsid w:val="00367CE8"/>
    <w:rsid w:val="00367ED3"/>
    <w:rsid w:val="00367FDE"/>
    <w:rsid w:val="0037006E"/>
    <w:rsid w:val="0037009F"/>
    <w:rsid w:val="003700EB"/>
    <w:rsid w:val="0037010C"/>
    <w:rsid w:val="003701E5"/>
    <w:rsid w:val="0037022C"/>
    <w:rsid w:val="0037035A"/>
    <w:rsid w:val="003704CF"/>
    <w:rsid w:val="00370550"/>
    <w:rsid w:val="003705A2"/>
    <w:rsid w:val="0037066F"/>
    <w:rsid w:val="00370833"/>
    <w:rsid w:val="003708A4"/>
    <w:rsid w:val="0037090D"/>
    <w:rsid w:val="0037094F"/>
    <w:rsid w:val="00370984"/>
    <w:rsid w:val="00370AEB"/>
    <w:rsid w:val="00370B3E"/>
    <w:rsid w:val="00370B7E"/>
    <w:rsid w:val="00370C2D"/>
    <w:rsid w:val="00370D7A"/>
    <w:rsid w:val="00370ED6"/>
    <w:rsid w:val="00371280"/>
    <w:rsid w:val="0037129C"/>
    <w:rsid w:val="003713ED"/>
    <w:rsid w:val="00371486"/>
    <w:rsid w:val="0037152F"/>
    <w:rsid w:val="00371647"/>
    <w:rsid w:val="003716A5"/>
    <w:rsid w:val="0037178C"/>
    <w:rsid w:val="003717BC"/>
    <w:rsid w:val="00371828"/>
    <w:rsid w:val="003718D9"/>
    <w:rsid w:val="0037197D"/>
    <w:rsid w:val="003719FB"/>
    <w:rsid w:val="00371A7F"/>
    <w:rsid w:val="00371AF7"/>
    <w:rsid w:val="00371B99"/>
    <w:rsid w:val="00371C81"/>
    <w:rsid w:val="00371CB6"/>
    <w:rsid w:val="00371CED"/>
    <w:rsid w:val="00371D4C"/>
    <w:rsid w:val="00371D77"/>
    <w:rsid w:val="00371EB2"/>
    <w:rsid w:val="00371ECF"/>
    <w:rsid w:val="00371FF0"/>
    <w:rsid w:val="0037207E"/>
    <w:rsid w:val="00372117"/>
    <w:rsid w:val="00372179"/>
    <w:rsid w:val="003721F4"/>
    <w:rsid w:val="0037225C"/>
    <w:rsid w:val="00372326"/>
    <w:rsid w:val="003723F4"/>
    <w:rsid w:val="00372696"/>
    <w:rsid w:val="003727C8"/>
    <w:rsid w:val="003727D5"/>
    <w:rsid w:val="003727E6"/>
    <w:rsid w:val="0037292B"/>
    <w:rsid w:val="003729A3"/>
    <w:rsid w:val="00372A31"/>
    <w:rsid w:val="00372B33"/>
    <w:rsid w:val="00372D9F"/>
    <w:rsid w:val="00372DA9"/>
    <w:rsid w:val="00372DEE"/>
    <w:rsid w:val="00372E8D"/>
    <w:rsid w:val="00372FFC"/>
    <w:rsid w:val="003731B5"/>
    <w:rsid w:val="003731D4"/>
    <w:rsid w:val="00373252"/>
    <w:rsid w:val="003732C2"/>
    <w:rsid w:val="0037357E"/>
    <w:rsid w:val="003736A1"/>
    <w:rsid w:val="003736B4"/>
    <w:rsid w:val="003736C5"/>
    <w:rsid w:val="003737A3"/>
    <w:rsid w:val="003737A9"/>
    <w:rsid w:val="00373847"/>
    <w:rsid w:val="00373A2F"/>
    <w:rsid w:val="00373BB1"/>
    <w:rsid w:val="00373BDE"/>
    <w:rsid w:val="00373BE4"/>
    <w:rsid w:val="00373D6F"/>
    <w:rsid w:val="00373D7D"/>
    <w:rsid w:val="00373DBF"/>
    <w:rsid w:val="00373DDE"/>
    <w:rsid w:val="00373DF0"/>
    <w:rsid w:val="00373EE2"/>
    <w:rsid w:val="00373FC2"/>
    <w:rsid w:val="00373FEC"/>
    <w:rsid w:val="00374011"/>
    <w:rsid w:val="0037403B"/>
    <w:rsid w:val="0037415A"/>
    <w:rsid w:val="003741C5"/>
    <w:rsid w:val="003741FF"/>
    <w:rsid w:val="0037431B"/>
    <w:rsid w:val="00374371"/>
    <w:rsid w:val="00374376"/>
    <w:rsid w:val="003744E4"/>
    <w:rsid w:val="003744FC"/>
    <w:rsid w:val="00374508"/>
    <w:rsid w:val="00374726"/>
    <w:rsid w:val="003747CE"/>
    <w:rsid w:val="00374849"/>
    <w:rsid w:val="00374910"/>
    <w:rsid w:val="003749B0"/>
    <w:rsid w:val="003749B2"/>
    <w:rsid w:val="00374B88"/>
    <w:rsid w:val="00374C13"/>
    <w:rsid w:val="00374C22"/>
    <w:rsid w:val="00374D32"/>
    <w:rsid w:val="00374DAB"/>
    <w:rsid w:val="00374F13"/>
    <w:rsid w:val="00375033"/>
    <w:rsid w:val="0037514F"/>
    <w:rsid w:val="00375158"/>
    <w:rsid w:val="00375197"/>
    <w:rsid w:val="00375233"/>
    <w:rsid w:val="0037527A"/>
    <w:rsid w:val="00375293"/>
    <w:rsid w:val="00375347"/>
    <w:rsid w:val="003754E8"/>
    <w:rsid w:val="00375543"/>
    <w:rsid w:val="0037563B"/>
    <w:rsid w:val="003756E5"/>
    <w:rsid w:val="00375760"/>
    <w:rsid w:val="003757AE"/>
    <w:rsid w:val="003758EE"/>
    <w:rsid w:val="00375975"/>
    <w:rsid w:val="0037597D"/>
    <w:rsid w:val="00375A3D"/>
    <w:rsid w:val="00375C1A"/>
    <w:rsid w:val="00375C69"/>
    <w:rsid w:val="00375C80"/>
    <w:rsid w:val="00375CC4"/>
    <w:rsid w:val="00375EA4"/>
    <w:rsid w:val="00375F2F"/>
    <w:rsid w:val="00375F74"/>
    <w:rsid w:val="0037616D"/>
    <w:rsid w:val="00376183"/>
    <w:rsid w:val="00376232"/>
    <w:rsid w:val="00376294"/>
    <w:rsid w:val="003763CD"/>
    <w:rsid w:val="003765DD"/>
    <w:rsid w:val="0037665F"/>
    <w:rsid w:val="003766DC"/>
    <w:rsid w:val="003766F5"/>
    <w:rsid w:val="00376798"/>
    <w:rsid w:val="00376890"/>
    <w:rsid w:val="003769F0"/>
    <w:rsid w:val="003769FE"/>
    <w:rsid w:val="00376A7D"/>
    <w:rsid w:val="00376C52"/>
    <w:rsid w:val="00376CA8"/>
    <w:rsid w:val="00376DA3"/>
    <w:rsid w:val="00376F7B"/>
    <w:rsid w:val="003770BD"/>
    <w:rsid w:val="0037719B"/>
    <w:rsid w:val="0037720A"/>
    <w:rsid w:val="00377313"/>
    <w:rsid w:val="00377434"/>
    <w:rsid w:val="00377435"/>
    <w:rsid w:val="0037744B"/>
    <w:rsid w:val="0037744D"/>
    <w:rsid w:val="003774E2"/>
    <w:rsid w:val="003775D6"/>
    <w:rsid w:val="003776D7"/>
    <w:rsid w:val="0037772E"/>
    <w:rsid w:val="00377882"/>
    <w:rsid w:val="003778D8"/>
    <w:rsid w:val="0037798D"/>
    <w:rsid w:val="00377CD3"/>
    <w:rsid w:val="00377D0D"/>
    <w:rsid w:val="00377E9B"/>
    <w:rsid w:val="003800A2"/>
    <w:rsid w:val="00380269"/>
    <w:rsid w:val="003802DC"/>
    <w:rsid w:val="003802FF"/>
    <w:rsid w:val="00380348"/>
    <w:rsid w:val="0038035B"/>
    <w:rsid w:val="003803E6"/>
    <w:rsid w:val="003804FD"/>
    <w:rsid w:val="0038053B"/>
    <w:rsid w:val="00380570"/>
    <w:rsid w:val="00380584"/>
    <w:rsid w:val="003805DE"/>
    <w:rsid w:val="0038060A"/>
    <w:rsid w:val="0038066D"/>
    <w:rsid w:val="0038092A"/>
    <w:rsid w:val="00380963"/>
    <w:rsid w:val="00380AF9"/>
    <w:rsid w:val="00380AFB"/>
    <w:rsid w:val="00380B73"/>
    <w:rsid w:val="00380BCC"/>
    <w:rsid w:val="00380CAC"/>
    <w:rsid w:val="00380D32"/>
    <w:rsid w:val="00380FC6"/>
    <w:rsid w:val="00381046"/>
    <w:rsid w:val="00381185"/>
    <w:rsid w:val="003812BF"/>
    <w:rsid w:val="00381439"/>
    <w:rsid w:val="00381709"/>
    <w:rsid w:val="00381763"/>
    <w:rsid w:val="003817B6"/>
    <w:rsid w:val="0038190F"/>
    <w:rsid w:val="0038193B"/>
    <w:rsid w:val="00381B4C"/>
    <w:rsid w:val="00381C9E"/>
    <w:rsid w:val="00381D29"/>
    <w:rsid w:val="00381D9F"/>
    <w:rsid w:val="00381F81"/>
    <w:rsid w:val="0038200A"/>
    <w:rsid w:val="003820C1"/>
    <w:rsid w:val="003823EE"/>
    <w:rsid w:val="003824CD"/>
    <w:rsid w:val="003824D8"/>
    <w:rsid w:val="0038252D"/>
    <w:rsid w:val="00382596"/>
    <w:rsid w:val="003825A3"/>
    <w:rsid w:val="00382609"/>
    <w:rsid w:val="00382723"/>
    <w:rsid w:val="00382733"/>
    <w:rsid w:val="00382885"/>
    <w:rsid w:val="003828B1"/>
    <w:rsid w:val="003828E7"/>
    <w:rsid w:val="003829A2"/>
    <w:rsid w:val="00382A7F"/>
    <w:rsid w:val="00382C37"/>
    <w:rsid w:val="00382D4B"/>
    <w:rsid w:val="00382D6E"/>
    <w:rsid w:val="00382E29"/>
    <w:rsid w:val="00382E3D"/>
    <w:rsid w:val="00382F0C"/>
    <w:rsid w:val="00382FB7"/>
    <w:rsid w:val="00382FDF"/>
    <w:rsid w:val="00383099"/>
    <w:rsid w:val="0038309E"/>
    <w:rsid w:val="003830D7"/>
    <w:rsid w:val="003831BC"/>
    <w:rsid w:val="00383224"/>
    <w:rsid w:val="0038327F"/>
    <w:rsid w:val="003833D9"/>
    <w:rsid w:val="00383482"/>
    <w:rsid w:val="003834ED"/>
    <w:rsid w:val="0038364E"/>
    <w:rsid w:val="0038365A"/>
    <w:rsid w:val="00383666"/>
    <w:rsid w:val="003836AD"/>
    <w:rsid w:val="00383751"/>
    <w:rsid w:val="0038378A"/>
    <w:rsid w:val="003837C4"/>
    <w:rsid w:val="00383814"/>
    <w:rsid w:val="00383865"/>
    <w:rsid w:val="003838E3"/>
    <w:rsid w:val="00383916"/>
    <w:rsid w:val="003839AE"/>
    <w:rsid w:val="00383A1C"/>
    <w:rsid w:val="00383ABF"/>
    <w:rsid w:val="00383C9D"/>
    <w:rsid w:val="00383DB4"/>
    <w:rsid w:val="00383DBB"/>
    <w:rsid w:val="00383DE5"/>
    <w:rsid w:val="00383EB8"/>
    <w:rsid w:val="0038403A"/>
    <w:rsid w:val="0038404B"/>
    <w:rsid w:val="00384052"/>
    <w:rsid w:val="00384328"/>
    <w:rsid w:val="003844E4"/>
    <w:rsid w:val="003844F5"/>
    <w:rsid w:val="0038456E"/>
    <w:rsid w:val="003846BC"/>
    <w:rsid w:val="00384720"/>
    <w:rsid w:val="00384739"/>
    <w:rsid w:val="00384773"/>
    <w:rsid w:val="003848D1"/>
    <w:rsid w:val="00384941"/>
    <w:rsid w:val="0038499F"/>
    <w:rsid w:val="00384A78"/>
    <w:rsid w:val="00384B88"/>
    <w:rsid w:val="00384BE4"/>
    <w:rsid w:val="00384CE0"/>
    <w:rsid w:val="00384CF4"/>
    <w:rsid w:val="00384DB3"/>
    <w:rsid w:val="00384DEE"/>
    <w:rsid w:val="00384E39"/>
    <w:rsid w:val="00384E5A"/>
    <w:rsid w:val="00384F77"/>
    <w:rsid w:val="0038505E"/>
    <w:rsid w:val="00385091"/>
    <w:rsid w:val="0038520F"/>
    <w:rsid w:val="00385233"/>
    <w:rsid w:val="00385380"/>
    <w:rsid w:val="003853A6"/>
    <w:rsid w:val="003853AA"/>
    <w:rsid w:val="003853E0"/>
    <w:rsid w:val="00385408"/>
    <w:rsid w:val="003855EF"/>
    <w:rsid w:val="003856EE"/>
    <w:rsid w:val="00385772"/>
    <w:rsid w:val="003857EA"/>
    <w:rsid w:val="0038581A"/>
    <w:rsid w:val="003858C5"/>
    <w:rsid w:val="003859E7"/>
    <w:rsid w:val="00385ACE"/>
    <w:rsid w:val="00385C53"/>
    <w:rsid w:val="00385CE5"/>
    <w:rsid w:val="00385DF6"/>
    <w:rsid w:val="00385F0F"/>
    <w:rsid w:val="00386036"/>
    <w:rsid w:val="00386081"/>
    <w:rsid w:val="00386100"/>
    <w:rsid w:val="00386114"/>
    <w:rsid w:val="00386238"/>
    <w:rsid w:val="003862D0"/>
    <w:rsid w:val="00386381"/>
    <w:rsid w:val="0038647C"/>
    <w:rsid w:val="00386491"/>
    <w:rsid w:val="003864CF"/>
    <w:rsid w:val="00386581"/>
    <w:rsid w:val="003865D2"/>
    <w:rsid w:val="00386632"/>
    <w:rsid w:val="0038665B"/>
    <w:rsid w:val="00386660"/>
    <w:rsid w:val="00386758"/>
    <w:rsid w:val="00386789"/>
    <w:rsid w:val="00386792"/>
    <w:rsid w:val="003868BE"/>
    <w:rsid w:val="003869B0"/>
    <w:rsid w:val="00386AA0"/>
    <w:rsid w:val="00386C68"/>
    <w:rsid w:val="00386DE4"/>
    <w:rsid w:val="00386ED8"/>
    <w:rsid w:val="00387029"/>
    <w:rsid w:val="0038710B"/>
    <w:rsid w:val="0038719B"/>
    <w:rsid w:val="003871F0"/>
    <w:rsid w:val="00387412"/>
    <w:rsid w:val="00387458"/>
    <w:rsid w:val="0038752E"/>
    <w:rsid w:val="00387566"/>
    <w:rsid w:val="00387664"/>
    <w:rsid w:val="00387713"/>
    <w:rsid w:val="00387B76"/>
    <w:rsid w:val="00387C07"/>
    <w:rsid w:val="00387CFA"/>
    <w:rsid w:val="00387D0B"/>
    <w:rsid w:val="00387F5B"/>
    <w:rsid w:val="00387FB7"/>
    <w:rsid w:val="00387FC3"/>
    <w:rsid w:val="0039016F"/>
    <w:rsid w:val="0039036B"/>
    <w:rsid w:val="003903C6"/>
    <w:rsid w:val="003905A4"/>
    <w:rsid w:val="003905D6"/>
    <w:rsid w:val="003907E6"/>
    <w:rsid w:val="0039086C"/>
    <w:rsid w:val="00390943"/>
    <w:rsid w:val="00390963"/>
    <w:rsid w:val="00390984"/>
    <w:rsid w:val="003909A9"/>
    <w:rsid w:val="003909D8"/>
    <w:rsid w:val="00390A53"/>
    <w:rsid w:val="00390C19"/>
    <w:rsid w:val="00390DA5"/>
    <w:rsid w:val="00390DB8"/>
    <w:rsid w:val="00390F1E"/>
    <w:rsid w:val="00390F30"/>
    <w:rsid w:val="0039106E"/>
    <w:rsid w:val="003910F4"/>
    <w:rsid w:val="003910F6"/>
    <w:rsid w:val="003911D2"/>
    <w:rsid w:val="00391313"/>
    <w:rsid w:val="00391398"/>
    <w:rsid w:val="00391420"/>
    <w:rsid w:val="003915AC"/>
    <w:rsid w:val="003915D8"/>
    <w:rsid w:val="003916B6"/>
    <w:rsid w:val="003916BB"/>
    <w:rsid w:val="003916EC"/>
    <w:rsid w:val="00391729"/>
    <w:rsid w:val="003917C4"/>
    <w:rsid w:val="003918A9"/>
    <w:rsid w:val="003919CE"/>
    <w:rsid w:val="003919F1"/>
    <w:rsid w:val="00391A69"/>
    <w:rsid w:val="00391A6F"/>
    <w:rsid w:val="00391B92"/>
    <w:rsid w:val="00391BCC"/>
    <w:rsid w:val="00391BF9"/>
    <w:rsid w:val="00391CB3"/>
    <w:rsid w:val="00391CD5"/>
    <w:rsid w:val="00391DA0"/>
    <w:rsid w:val="00391DC9"/>
    <w:rsid w:val="00391E41"/>
    <w:rsid w:val="00391F15"/>
    <w:rsid w:val="00391F36"/>
    <w:rsid w:val="00392175"/>
    <w:rsid w:val="003922B6"/>
    <w:rsid w:val="003922C2"/>
    <w:rsid w:val="003922F2"/>
    <w:rsid w:val="003922F8"/>
    <w:rsid w:val="00392483"/>
    <w:rsid w:val="0039251C"/>
    <w:rsid w:val="00392608"/>
    <w:rsid w:val="0039265F"/>
    <w:rsid w:val="00392847"/>
    <w:rsid w:val="00392969"/>
    <w:rsid w:val="003929AC"/>
    <w:rsid w:val="00392BD5"/>
    <w:rsid w:val="00392DDF"/>
    <w:rsid w:val="00392F2D"/>
    <w:rsid w:val="00392F47"/>
    <w:rsid w:val="0039305E"/>
    <w:rsid w:val="003930CC"/>
    <w:rsid w:val="00393109"/>
    <w:rsid w:val="00393199"/>
    <w:rsid w:val="0039329C"/>
    <w:rsid w:val="0039331C"/>
    <w:rsid w:val="0039333D"/>
    <w:rsid w:val="00393361"/>
    <w:rsid w:val="00393366"/>
    <w:rsid w:val="00393597"/>
    <w:rsid w:val="00393610"/>
    <w:rsid w:val="00393627"/>
    <w:rsid w:val="0039363E"/>
    <w:rsid w:val="00393720"/>
    <w:rsid w:val="00393757"/>
    <w:rsid w:val="00393A50"/>
    <w:rsid w:val="00393A83"/>
    <w:rsid w:val="00393C3E"/>
    <w:rsid w:val="00393D29"/>
    <w:rsid w:val="00393F3A"/>
    <w:rsid w:val="00393F6C"/>
    <w:rsid w:val="00393F92"/>
    <w:rsid w:val="00394005"/>
    <w:rsid w:val="003940DF"/>
    <w:rsid w:val="003941AC"/>
    <w:rsid w:val="003941BC"/>
    <w:rsid w:val="003941E2"/>
    <w:rsid w:val="00394360"/>
    <w:rsid w:val="003943AA"/>
    <w:rsid w:val="00394678"/>
    <w:rsid w:val="00394746"/>
    <w:rsid w:val="003947A9"/>
    <w:rsid w:val="003948CA"/>
    <w:rsid w:val="003949BF"/>
    <w:rsid w:val="00394B83"/>
    <w:rsid w:val="00394C45"/>
    <w:rsid w:val="00394C8B"/>
    <w:rsid w:val="00394D6C"/>
    <w:rsid w:val="00394D7E"/>
    <w:rsid w:val="00394DD5"/>
    <w:rsid w:val="00394E9D"/>
    <w:rsid w:val="00394ED9"/>
    <w:rsid w:val="00395027"/>
    <w:rsid w:val="00395162"/>
    <w:rsid w:val="00395351"/>
    <w:rsid w:val="00395390"/>
    <w:rsid w:val="003954D0"/>
    <w:rsid w:val="003954E0"/>
    <w:rsid w:val="00395573"/>
    <w:rsid w:val="00395575"/>
    <w:rsid w:val="003955FF"/>
    <w:rsid w:val="00395657"/>
    <w:rsid w:val="003956E2"/>
    <w:rsid w:val="003958CD"/>
    <w:rsid w:val="00395946"/>
    <w:rsid w:val="00395A44"/>
    <w:rsid w:val="00395AE7"/>
    <w:rsid w:val="00395B1F"/>
    <w:rsid w:val="00395BCC"/>
    <w:rsid w:val="00395C3A"/>
    <w:rsid w:val="00395C53"/>
    <w:rsid w:val="00395C72"/>
    <w:rsid w:val="00395DD8"/>
    <w:rsid w:val="00395F5A"/>
    <w:rsid w:val="003960DF"/>
    <w:rsid w:val="00396355"/>
    <w:rsid w:val="0039644A"/>
    <w:rsid w:val="00396569"/>
    <w:rsid w:val="0039659F"/>
    <w:rsid w:val="003967A3"/>
    <w:rsid w:val="00396823"/>
    <w:rsid w:val="00396898"/>
    <w:rsid w:val="003968DE"/>
    <w:rsid w:val="00396966"/>
    <w:rsid w:val="00396A7C"/>
    <w:rsid w:val="00396AE5"/>
    <w:rsid w:val="00396BE5"/>
    <w:rsid w:val="00396BED"/>
    <w:rsid w:val="00396C79"/>
    <w:rsid w:val="00396CF1"/>
    <w:rsid w:val="00396D54"/>
    <w:rsid w:val="00396D6D"/>
    <w:rsid w:val="00396DB7"/>
    <w:rsid w:val="00396DBD"/>
    <w:rsid w:val="00396DC4"/>
    <w:rsid w:val="00396E1B"/>
    <w:rsid w:val="00396EBB"/>
    <w:rsid w:val="00396EE7"/>
    <w:rsid w:val="00396F15"/>
    <w:rsid w:val="003970CA"/>
    <w:rsid w:val="0039714C"/>
    <w:rsid w:val="003971A9"/>
    <w:rsid w:val="003971B7"/>
    <w:rsid w:val="003972A5"/>
    <w:rsid w:val="003972BD"/>
    <w:rsid w:val="00397390"/>
    <w:rsid w:val="003973B6"/>
    <w:rsid w:val="00397531"/>
    <w:rsid w:val="003975EC"/>
    <w:rsid w:val="003975F9"/>
    <w:rsid w:val="003975FA"/>
    <w:rsid w:val="00397625"/>
    <w:rsid w:val="00397650"/>
    <w:rsid w:val="00397AE4"/>
    <w:rsid w:val="00397AEB"/>
    <w:rsid w:val="00397AED"/>
    <w:rsid w:val="00397B60"/>
    <w:rsid w:val="00397B66"/>
    <w:rsid w:val="00397CDD"/>
    <w:rsid w:val="00397D44"/>
    <w:rsid w:val="00397F44"/>
    <w:rsid w:val="00397F45"/>
    <w:rsid w:val="003A0009"/>
    <w:rsid w:val="003A019A"/>
    <w:rsid w:val="003A01E4"/>
    <w:rsid w:val="003A0539"/>
    <w:rsid w:val="003A06C0"/>
    <w:rsid w:val="003A0755"/>
    <w:rsid w:val="003A078B"/>
    <w:rsid w:val="003A07E9"/>
    <w:rsid w:val="003A07EB"/>
    <w:rsid w:val="003A0819"/>
    <w:rsid w:val="003A09CD"/>
    <w:rsid w:val="003A0A97"/>
    <w:rsid w:val="003A0ADB"/>
    <w:rsid w:val="003A0AF4"/>
    <w:rsid w:val="003A0CC3"/>
    <w:rsid w:val="003A0D3C"/>
    <w:rsid w:val="003A0D7C"/>
    <w:rsid w:val="003A0F5E"/>
    <w:rsid w:val="003A0FC6"/>
    <w:rsid w:val="003A1013"/>
    <w:rsid w:val="003A1060"/>
    <w:rsid w:val="003A10DE"/>
    <w:rsid w:val="003A111B"/>
    <w:rsid w:val="003A1133"/>
    <w:rsid w:val="003A1169"/>
    <w:rsid w:val="003A118D"/>
    <w:rsid w:val="003A12ED"/>
    <w:rsid w:val="003A1306"/>
    <w:rsid w:val="003A136C"/>
    <w:rsid w:val="003A1374"/>
    <w:rsid w:val="003A1497"/>
    <w:rsid w:val="003A16A2"/>
    <w:rsid w:val="003A1899"/>
    <w:rsid w:val="003A19B9"/>
    <w:rsid w:val="003A19BC"/>
    <w:rsid w:val="003A1AAF"/>
    <w:rsid w:val="003A1D00"/>
    <w:rsid w:val="003A1D0A"/>
    <w:rsid w:val="003A1D0F"/>
    <w:rsid w:val="003A1E4C"/>
    <w:rsid w:val="003A1ED7"/>
    <w:rsid w:val="003A1F28"/>
    <w:rsid w:val="003A200E"/>
    <w:rsid w:val="003A2010"/>
    <w:rsid w:val="003A20D6"/>
    <w:rsid w:val="003A233E"/>
    <w:rsid w:val="003A238E"/>
    <w:rsid w:val="003A2494"/>
    <w:rsid w:val="003A2636"/>
    <w:rsid w:val="003A2701"/>
    <w:rsid w:val="003A2706"/>
    <w:rsid w:val="003A2A4C"/>
    <w:rsid w:val="003A2BF6"/>
    <w:rsid w:val="003A2FF5"/>
    <w:rsid w:val="003A32A1"/>
    <w:rsid w:val="003A3356"/>
    <w:rsid w:val="003A34A0"/>
    <w:rsid w:val="003A35AF"/>
    <w:rsid w:val="003A3638"/>
    <w:rsid w:val="003A3780"/>
    <w:rsid w:val="003A3879"/>
    <w:rsid w:val="003A3886"/>
    <w:rsid w:val="003A38E7"/>
    <w:rsid w:val="003A3A3C"/>
    <w:rsid w:val="003A3A6F"/>
    <w:rsid w:val="003A3AC2"/>
    <w:rsid w:val="003A3AEA"/>
    <w:rsid w:val="003A3B43"/>
    <w:rsid w:val="003A3B96"/>
    <w:rsid w:val="003A3E2C"/>
    <w:rsid w:val="003A3E9E"/>
    <w:rsid w:val="003A3F80"/>
    <w:rsid w:val="003A3FAC"/>
    <w:rsid w:val="003A4057"/>
    <w:rsid w:val="003A4140"/>
    <w:rsid w:val="003A414D"/>
    <w:rsid w:val="003A4204"/>
    <w:rsid w:val="003A4227"/>
    <w:rsid w:val="003A4231"/>
    <w:rsid w:val="003A427C"/>
    <w:rsid w:val="003A4341"/>
    <w:rsid w:val="003A449C"/>
    <w:rsid w:val="003A4502"/>
    <w:rsid w:val="003A4521"/>
    <w:rsid w:val="003A45D5"/>
    <w:rsid w:val="003A46A9"/>
    <w:rsid w:val="003A46C1"/>
    <w:rsid w:val="003A47A9"/>
    <w:rsid w:val="003A4953"/>
    <w:rsid w:val="003A49E2"/>
    <w:rsid w:val="003A4A53"/>
    <w:rsid w:val="003A4B97"/>
    <w:rsid w:val="003A4B9B"/>
    <w:rsid w:val="003A4BAB"/>
    <w:rsid w:val="003A4BD8"/>
    <w:rsid w:val="003A4C95"/>
    <w:rsid w:val="003A4CEF"/>
    <w:rsid w:val="003A4D53"/>
    <w:rsid w:val="003A4D8B"/>
    <w:rsid w:val="003A50BD"/>
    <w:rsid w:val="003A51D7"/>
    <w:rsid w:val="003A5330"/>
    <w:rsid w:val="003A53E3"/>
    <w:rsid w:val="003A53E4"/>
    <w:rsid w:val="003A5462"/>
    <w:rsid w:val="003A5479"/>
    <w:rsid w:val="003A55A1"/>
    <w:rsid w:val="003A560B"/>
    <w:rsid w:val="003A5753"/>
    <w:rsid w:val="003A5825"/>
    <w:rsid w:val="003A5864"/>
    <w:rsid w:val="003A5A05"/>
    <w:rsid w:val="003A5B26"/>
    <w:rsid w:val="003A5BEE"/>
    <w:rsid w:val="003A5C9C"/>
    <w:rsid w:val="003A5E6A"/>
    <w:rsid w:val="003A6089"/>
    <w:rsid w:val="003A61EE"/>
    <w:rsid w:val="003A6289"/>
    <w:rsid w:val="003A634F"/>
    <w:rsid w:val="003A6420"/>
    <w:rsid w:val="003A64C7"/>
    <w:rsid w:val="003A64DE"/>
    <w:rsid w:val="003A6509"/>
    <w:rsid w:val="003A65E4"/>
    <w:rsid w:val="003A685C"/>
    <w:rsid w:val="003A68AD"/>
    <w:rsid w:val="003A6A30"/>
    <w:rsid w:val="003A6A8A"/>
    <w:rsid w:val="003A6A8F"/>
    <w:rsid w:val="003A6CAF"/>
    <w:rsid w:val="003A6DEC"/>
    <w:rsid w:val="003A6DFB"/>
    <w:rsid w:val="003A7094"/>
    <w:rsid w:val="003A709D"/>
    <w:rsid w:val="003A718B"/>
    <w:rsid w:val="003A720B"/>
    <w:rsid w:val="003A724F"/>
    <w:rsid w:val="003A7267"/>
    <w:rsid w:val="003A726C"/>
    <w:rsid w:val="003A7362"/>
    <w:rsid w:val="003A7375"/>
    <w:rsid w:val="003A738C"/>
    <w:rsid w:val="003A739A"/>
    <w:rsid w:val="003A74A2"/>
    <w:rsid w:val="003A74D0"/>
    <w:rsid w:val="003A755D"/>
    <w:rsid w:val="003A7674"/>
    <w:rsid w:val="003A7708"/>
    <w:rsid w:val="003A77FB"/>
    <w:rsid w:val="003A7851"/>
    <w:rsid w:val="003A7859"/>
    <w:rsid w:val="003A786F"/>
    <w:rsid w:val="003A79DF"/>
    <w:rsid w:val="003A7AAE"/>
    <w:rsid w:val="003A7BD4"/>
    <w:rsid w:val="003A7C5F"/>
    <w:rsid w:val="003A7C95"/>
    <w:rsid w:val="003A7D06"/>
    <w:rsid w:val="003A7E98"/>
    <w:rsid w:val="003A7F10"/>
    <w:rsid w:val="003A7FAE"/>
    <w:rsid w:val="003A7FF2"/>
    <w:rsid w:val="003AD866"/>
    <w:rsid w:val="003B00C9"/>
    <w:rsid w:val="003B018A"/>
    <w:rsid w:val="003B01A5"/>
    <w:rsid w:val="003B0203"/>
    <w:rsid w:val="003B0224"/>
    <w:rsid w:val="003B0248"/>
    <w:rsid w:val="003B0287"/>
    <w:rsid w:val="003B0318"/>
    <w:rsid w:val="003B032F"/>
    <w:rsid w:val="003B070E"/>
    <w:rsid w:val="003B076A"/>
    <w:rsid w:val="003B0792"/>
    <w:rsid w:val="003B087B"/>
    <w:rsid w:val="003B0AED"/>
    <w:rsid w:val="003B0BE1"/>
    <w:rsid w:val="003B0C30"/>
    <w:rsid w:val="003B0CD9"/>
    <w:rsid w:val="003B0D2E"/>
    <w:rsid w:val="003B0F68"/>
    <w:rsid w:val="003B0FC2"/>
    <w:rsid w:val="003B10EE"/>
    <w:rsid w:val="003B113C"/>
    <w:rsid w:val="003B1170"/>
    <w:rsid w:val="003B12DA"/>
    <w:rsid w:val="003B12DE"/>
    <w:rsid w:val="003B1397"/>
    <w:rsid w:val="003B13AB"/>
    <w:rsid w:val="003B16E9"/>
    <w:rsid w:val="003B1813"/>
    <w:rsid w:val="003B1942"/>
    <w:rsid w:val="003B1A7D"/>
    <w:rsid w:val="003B1AFE"/>
    <w:rsid w:val="003B1B4A"/>
    <w:rsid w:val="003B1B6A"/>
    <w:rsid w:val="003B1DDB"/>
    <w:rsid w:val="003B1E94"/>
    <w:rsid w:val="003B1EBE"/>
    <w:rsid w:val="003B20F1"/>
    <w:rsid w:val="003B2120"/>
    <w:rsid w:val="003B2225"/>
    <w:rsid w:val="003B22A3"/>
    <w:rsid w:val="003B2384"/>
    <w:rsid w:val="003B2411"/>
    <w:rsid w:val="003B2444"/>
    <w:rsid w:val="003B2488"/>
    <w:rsid w:val="003B24E9"/>
    <w:rsid w:val="003B252F"/>
    <w:rsid w:val="003B2599"/>
    <w:rsid w:val="003B26A0"/>
    <w:rsid w:val="003B2837"/>
    <w:rsid w:val="003B284E"/>
    <w:rsid w:val="003B2ADD"/>
    <w:rsid w:val="003B2AF3"/>
    <w:rsid w:val="003B2B1F"/>
    <w:rsid w:val="003B2C8F"/>
    <w:rsid w:val="003B2C95"/>
    <w:rsid w:val="003B2CF5"/>
    <w:rsid w:val="003B2DDC"/>
    <w:rsid w:val="003B2EC0"/>
    <w:rsid w:val="003B2F6E"/>
    <w:rsid w:val="003B2FCD"/>
    <w:rsid w:val="003B2FD0"/>
    <w:rsid w:val="003B3041"/>
    <w:rsid w:val="003B320F"/>
    <w:rsid w:val="003B337E"/>
    <w:rsid w:val="003B33F4"/>
    <w:rsid w:val="003B355C"/>
    <w:rsid w:val="003B3670"/>
    <w:rsid w:val="003B36B9"/>
    <w:rsid w:val="003B36DE"/>
    <w:rsid w:val="003B385A"/>
    <w:rsid w:val="003B3A16"/>
    <w:rsid w:val="003B3A56"/>
    <w:rsid w:val="003B3B4E"/>
    <w:rsid w:val="003B3C59"/>
    <w:rsid w:val="003B3C86"/>
    <w:rsid w:val="003B3CD4"/>
    <w:rsid w:val="003B3D1F"/>
    <w:rsid w:val="003B3DB8"/>
    <w:rsid w:val="003B3DDB"/>
    <w:rsid w:val="003B3E1B"/>
    <w:rsid w:val="003B3E6D"/>
    <w:rsid w:val="003B3E91"/>
    <w:rsid w:val="003B3EA4"/>
    <w:rsid w:val="003B3EB8"/>
    <w:rsid w:val="003B3ED3"/>
    <w:rsid w:val="003B3FD2"/>
    <w:rsid w:val="003B4072"/>
    <w:rsid w:val="003B40A8"/>
    <w:rsid w:val="003B40AC"/>
    <w:rsid w:val="003B41E8"/>
    <w:rsid w:val="003B43F4"/>
    <w:rsid w:val="003B445F"/>
    <w:rsid w:val="003B448E"/>
    <w:rsid w:val="003B44B5"/>
    <w:rsid w:val="003B44F4"/>
    <w:rsid w:val="003B4558"/>
    <w:rsid w:val="003B4585"/>
    <w:rsid w:val="003B45CB"/>
    <w:rsid w:val="003B45FD"/>
    <w:rsid w:val="003B4724"/>
    <w:rsid w:val="003B47AE"/>
    <w:rsid w:val="003B4869"/>
    <w:rsid w:val="003B490A"/>
    <w:rsid w:val="003B4A1F"/>
    <w:rsid w:val="003B4A7A"/>
    <w:rsid w:val="003B4ADA"/>
    <w:rsid w:val="003B4ADF"/>
    <w:rsid w:val="003B4B07"/>
    <w:rsid w:val="003B4B85"/>
    <w:rsid w:val="003B4BF8"/>
    <w:rsid w:val="003B4D10"/>
    <w:rsid w:val="003B4D8B"/>
    <w:rsid w:val="003B51D2"/>
    <w:rsid w:val="003B5293"/>
    <w:rsid w:val="003B52A9"/>
    <w:rsid w:val="003B53D9"/>
    <w:rsid w:val="003B53DC"/>
    <w:rsid w:val="003B5478"/>
    <w:rsid w:val="003B54E1"/>
    <w:rsid w:val="003B5591"/>
    <w:rsid w:val="003B56BD"/>
    <w:rsid w:val="003B5775"/>
    <w:rsid w:val="003B5838"/>
    <w:rsid w:val="003B58E3"/>
    <w:rsid w:val="003B5B67"/>
    <w:rsid w:val="003B5BAC"/>
    <w:rsid w:val="003B5DB8"/>
    <w:rsid w:val="003B5E4F"/>
    <w:rsid w:val="003B63A5"/>
    <w:rsid w:val="003B654A"/>
    <w:rsid w:val="003B65A2"/>
    <w:rsid w:val="003B65F1"/>
    <w:rsid w:val="003B6663"/>
    <w:rsid w:val="003B667D"/>
    <w:rsid w:val="003B67B0"/>
    <w:rsid w:val="003B6924"/>
    <w:rsid w:val="003B69C2"/>
    <w:rsid w:val="003B6A30"/>
    <w:rsid w:val="003B6AFF"/>
    <w:rsid w:val="003B6BD3"/>
    <w:rsid w:val="003B6C11"/>
    <w:rsid w:val="003B6C1E"/>
    <w:rsid w:val="003B6D74"/>
    <w:rsid w:val="003B6EFB"/>
    <w:rsid w:val="003B6F93"/>
    <w:rsid w:val="003B6FF4"/>
    <w:rsid w:val="003B70AF"/>
    <w:rsid w:val="003B70FA"/>
    <w:rsid w:val="003B7247"/>
    <w:rsid w:val="003B73E0"/>
    <w:rsid w:val="003B74F8"/>
    <w:rsid w:val="003B7595"/>
    <w:rsid w:val="003B7604"/>
    <w:rsid w:val="003B76AE"/>
    <w:rsid w:val="003B7888"/>
    <w:rsid w:val="003B7A44"/>
    <w:rsid w:val="003B7BA0"/>
    <w:rsid w:val="003B7C75"/>
    <w:rsid w:val="003B7D6E"/>
    <w:rsid w:val="003B7DB0"/>
    <w:rsid w:val="003B7FCF"/>
    <w:rsid w:val="003C0104"/>
    <w:rsid w:val="003C0240"/>
    <w:rsid w:val="003C0243"/>
    <w:rsid w:val="003C02DD"/>
    <w:rsid w:val="003C0353"/>
    <w:rsid w:val="003C039C"/>
    <w:rsid w:val="003C03A9"/>
    <w:rsid w:val="003C0494"/>
    <w:rsid w:val="003C04CE"/>
    <w:rsid w:val="003C0501"/>
    <w:rsid w:val="003C0746"/>
    <w:rsid w:val="003C07F3"/>
    <w:rsid w:val="003C081C"/>
    <w:rsid w:val="003C08C9"/>
    <w:rsid w:val="003C08EC"/>
    <w:rsid w:val="003C096E"/>
    <w:rsid w:val="003C0A02"/>
    <w:rsid w:val="003C0B67"/>
    <w:rsid w:val="003C0BA2"/>
    <w:rsid w:val="003C0C1A"/>
    <w:rsid w:val="003C0C7F"/>
    <w:rsid w:val="003C0CAB"/>
    <w:rsid w:val="003C0CB9"/>
    <w:rsid w:val="003C0D56"/>
    <w:rsid w:val="003C0EE3"/>
    <w:rsid w:val="003C0F00"/>
    <w:rsid w:val="003C1102"/>
    <w:rsid w:val="003C121A"/>
    <w:rsid w:val="003C12C0"/>
    <w:rsid w:val="003C136F"/>
    <w:rsid w:val="003C14ED"/>
    <w:rsid w:val="003C1539"/>
    <w:rsid w:val="003C15A6"/>
    <w:rsid w:val="003C1898"/>
    <w:rsid w:val="003C1A9C"/>
    <w:rsid w:val="003C1B03"/>
    <w:rsid w:val="003C1B7D"/>
    <w:rsid w:val="003C1B8A"/>
    <w:rsid w:val="003C1BD6"/>
    <w:rsid w:val="003C1D71"/>
    <w:rsid w:val="003C1D8E"/>
    <w:rsid w:val="003C1DC0"/>
    <w:rsid w:val="003C1DD0"/>
    <w:rsid w:val="003C1DD8"/>
    <w:rsid w:val="003C1EB2"/>
    <w:rsid w:val="003C1ECE"/>
    <w:rsid w:val="003C1F60"/>
    <w:rsid w:val="003C1F9E"/>
    <w:rsid w:val="003C2027"/>
    <w:rsid w:val="003C203A"/>
    <w:rsid w:val="003C2081"/>
    <w:rsid w:val="003C2119"/>
    <w:rsid w:val="003C215D"/>
    <w:rsid w:val="003C238E"/>
    <w:rsid w:val="003C241A"/>
    <w:rsid w:val="003C2461"/>
    <w:rsid w:val="003C2529"/>
    <w:rsid w:val="003C25E1"/>
    <w:rsid w:val="003C25EA"/>
    <w:rsid w:val="003C26DE"/>
    <w:rsid w:val="003C272C"/>
    <w:rsid w:val="003C2772"/>
    <w:rsid w:val="003C2A32"/>
    <w:rsid w:val="003C2A49"/>
    <w:rsid w:val="003C2A82"/>
    <w:rsid w:val="003C2B54"/>
    <w:rsid w:val="003C2C36"/>
    <w:rsid w:val="003C2C56"/>
    <w:rsid w:val="003C2CFC"/>
    <w:rsid w:val="003C2D8D"/>
    <w:rsid w:val="003C2E59"/>
    <w:rsid w:val="003C2ED7"/>
    <w:rsid w:val="003C3015"/>
    <w:rsid w:val="003C3021"/>
    <w:rsid w:val="003C303F"/>
    <w:rsid w:val="003C306F"/>
    <w:rsid w:val="003C30FB"/>
    <w:rsid w:val="003C311E"/>
    <w:rsid w:val="003C33CF"/>
    <w:rsid w:val="003C3488"/>
    <w:rsid w:val="003C351A"/>
    <w:rsid w:val="003C351D"/>
    <w:rsid w:val="003C35E5"/>
    <w:rsid w:val="003C36C6"/>
    <w:rsid w:val="003C3810"/>
    <w:rsid w:val="003C3890"/>
    <w:rsid w:val="003C38DD"/>
    <w:rsid w:val="003C3A3E"/>
    <w:rsid w:val="003C3B91"/>
    <w:rsid w:val="003C3CCB"/>
    <w:rsid w:val="003C3E14"/>
    <w:rsid w:val="003C3F15"/>
    <w:rsid w:val="003C403B"/>
    <w:rsid w:val="003C4134"/>
    <w:rsid w:val="003C41D1"/>
    <w:rsid w:val="003C41D7"/>
    <w:rsid w:val="003C45F8"/>
    <w:rsid w:val="003C4625"/>
    <w:rsid w:val="003C4720"/>
    <w:rsid w:val="003C4748"/>
    <w:rsid w:val="003C48A5"/>
    <w:rsid w:val="003C48AB"/>
    <w:rsid w:val="003C49ED"/>
    <w:rsid w:val="003C4BCA"/>
    <w:rsid w:val="003C4C1D"/>
    <w:rsid w:val="003C4DB6"/>
    <w:rsid w:val="003C4DFB"/>
    <w:rsid w:val="003C4E3C"/>
    <w:rsid w:val="003C4EB3"/>
    <w:rsid w:val="003C4F24"/>
    <w:rsid w:val="003C4F27"/>
    <w:rsid w:val="003C5089"/>
    <w:rsid w:val="003C51FE"/>
    <w:rsid w:val="003C5223"/>
    <w:rsid w:val="003C53C4"/>
    <w:rsid w:val="003C547B"/>
    <w:rsid w:val="003C55CD"/>
    <w:rsid w:val="003C57F4"/>
    <w:rsid w:val="003C5837"/>
    <w:rsid w:val="003C5862"/>
    <w:rsid w:val="003C58AC"/>
    <w:rsid w:val="003C58ED"/>
    <w:rsid w:val="003C5B4F"/>
    <w:rsid w:val="003C5B72"/>
    <w:rsid w:val="003C5BE4"/>
    <w:rsid w:val="003C5D7D"/>
    <w:rsid w:val="003C5E34"/>
    <w:rsid w:val="003C5EFE"/>
    <w:rsid w:val="003C6083"/>
    <w:rsid w:val="003C61AA"/>
    <w:rsid w:val="003C64DB"/>
    <w:rsid w:val="003C66DE"/>
    <w:rsid w:val="003C6794"/>
    <w:rsid w:val="003C681B"/>
    <w:rsid w:val="003C6889"/>
    <w:rsid w:val="003C68D8"/>
    <w:rsid w:val="003C69AC"/>
    <w:rsid w:val="003C6A6B"/>
    <w:rsid w:val="003C6AAE"/>
    <w:rsid w:val="003C6B13"/>
    <w:rsid w:val="003C6B43"/>
    <w:rsid w:val="003C6B89"/>
    <w:rsid w:val="003C6BC9"/>
    <w:rsid w:val="003C6C07"/>
    <w:rsid w:val="003C6C77"/>
    <w:rsid w:val="003C6C86"/>
    <w:rsid w:val="003C6D6B"/>
    <w:rsid w:val="003C6DAB"/>
    <w:rsid w:val="003C6EE3"/>
    <w:rsid w:val="003C6F4A"/>
    <w:rsid w:val="003C702A"/>
    <w:rsid w:val="003C7190"/>
    <w:rsid w:val="003C71A1"/>
    <w:rsid w:val="003C71F6"/>
    <w:rsid w:val="003C75D0"/>
    <w:rsid w:val="003C7661"/>
    <w:rsid w:val="003C76F3"/>
    <w:rsid w:val="003C778B"/>
    <w:rsid w:val="003C7809"/>
    <w:rsid w:val="003C7A4E"/>
    <w:rsid w:val="003C7AC0"/>
    <w:rsid w:val="003C7AFA"/>
    <w:rsid w:val="003C7B65"/>
    <w:rsid w:val="003C7BAC"/>
    <w:rsid w:val="003C7BC2"/>
    <w:rsid w:val="003C7BF1"/>
    <w:rsid w:val="003C7D59"/>
    <w:rsid w:val="003C7D8B"/>
    <w:rsid w:val="003C7DB2"/>
    <w:rsid w:val="003C7ED5"/>
    <w:rsid w:val="003CD12E"/>
    <w:rsid w:val="003D0076"/>
    <w:rsid w:val="003D0094"/>
    <w:rsid w:val="003D03C2"/>
    <w:rsid w:val="003D03D2"/>
    <w:rsid w:val="003D03F9"/>
    <w:rsid w:val="003D047A"/>
    <w:rsid w:val="003D062B"/>
    <w:rsid w:val="003D0647"/>
    <w:rsid w:val="003D0679"/>
    <w:rsid w:val="003D0798"/>
    <w:rsid w:val="003D08A0"/>
    <w:rsid w:val="003D091E"/>
    <w:rsid w:val="003D09F7"/>
    <w:rsid w:val="003D0A5E"/>
    <w:rsid w:val="003D0AD6"/>
    <w:rsid w:val="003D0B38"/>
    <w:rsid w:val="003D0BD8"/>
    <w:rsid w:val="003D0BF7"/>
    <w:rsid w:val="003D0C09"/>
    <w:rsid w:val="003D0C5A"/>
    <w:rsid w:val="003D0CF9"/>
    <w:rsid w:val="003D0DA8"/>
    <w:rsid w:val="003D0DC1"/>
    <w:rsid w:val="003D0E56"/>
    <w:rsid w:val="003D0EAF"/>
    <w:rsid w:val="003D0EC6"/>
    <w:rsid w:val="003D0ED9"/>
    <w:rsid w:val="003D0EEB"/>
    <w:rsid w:val="003D0FCB"/>
    <w:rsid w:val="003D1081"/>
    <w:rsid w:val="003D10D9"/>
    <w:rsid w:val="003D11F4"/>
    <w:rsid w:val="003D121D"/>
    <w:rsid w:val="003D122C"/>
    <w:rsid w:val="003D12E9"/>
    <w:rsid w:val="003D1355"/>
    <w:rsid w:val="003D1456"/>
    <w:rsid w:val="003D14AE"/>
    <w:rsid w:val="003D14D1"/>
    <w:rsid w:val="003D1596"/>
    <w:rsid w:val="003D165A"/>
    <w:rsid w:val="003D1773"/>
    <w:rsid w:val="003D179A"/>
    <w:rsid w:val="003D195C"/>
    <w:rsid w:val="003D1B45"/>
    <w:rsid w:val="003D1D0A"/>
    <w:rsid w:val="003D1D78"/>
    <w:rsid w:val="003D1D95"/>
    <w:rsid w:val="003D1DD1"/>
    <w:rsid w:val="003D1DFD"/>
    <w:rsid w:val="003D1E04"/>
    <w:rsid w:val="003D1FEF"/>
    <w:rsid w:val="003D20A3"/>
    <w:rsid w:val="003D20D3"/>
    <w:rsid w:val="003D2126"/>
    <w:rsid w:val="003D2149"/>
    <w:rsid w:val="003D2403"/>
    <w:rsid w:val="003D25DA"/>
    <w:rsid w:val="003D2677"/>
    <w:rsid w:val="003D2692"/>
    <w:rsid w:val="003D288C"/>
    <w:rsid w:val="003D28C6"/>
    <w:rsid w:val="003D2921"/>
    <w:rsid w:val="003D2A33"/>
    <w:rsid w:val="003D2AAC"/>
    <w:rsid w:val="003D2CB2"/>
    <w:rsid w:val="003D2D76"/>
    <w:rsid w:val="003D2DA9"/>
    <w:rsid w:val="003D2EC9"/>
    <w:rsid w:val="003D2F1D"/>
    <w:rsid w:val="003D2FED"/>
    <w:rsid w:val="003D31D7"/>
    <w:rsid w:val="003D3239"/>
    <w:rsid w:val="003D328B"/>
    <w:rsid w:val="003D33D6"/>
    <w:rsid w:val="003D346B"/>
    <w:rsid w:val="003D3525"/>
    <w:rsid w:val="003D3531"/>
    <w:rsid w:val="003D363E"/>
    <w:rsid w:val="003D36B1"/>
    <w:rsid w:val="003D36DF"/>
    <w:rsid w:val="003D3750"/>
    <w:rsid w:val="003D37F5"/>
    <w:rsid w:val="003D38AD"/>
    <w:rsid w:val="003D38F9"/>
    <w:rsid w:val="003D3925"/>
    <w:rsid w:val="003D3A13"/>
    <w:rsid w:val="003D3A8A"/>
    <w:rsid w:val="003D3ABC"/>
    <w:rsid w:val="003D3B9C"/>
    <w:rsid w:val="003D3CD4"/>
    <w:rsid w:val="003D3DC9"/>
    <w:rsid w:val="003D3E3F"/>
    <w:rsid w:val="003D3F08"/>
    <w:rsid w:val="003D3FA1"/>
    <w:rsid w:val="003D3FFE"/>
    <w:rsid w:val="003D4074"/>
    <w:rsid w:val="003D4098"/>
    <w:rsid w:val="003D410A"/>
    <w:rsid w:val="003D412C"/>
    <w:rsid w:val="003D423D"/>
    <w:rsid w:val="003D4276"/>
    <w:rsid w:val="003D42D7"/>
    <w:rsid w:val="003D4345"/>
    <w:rsid w:val="003D43F7"/>
    <w:rsid w:val="003D4424"/>
    <w:rsid w:val="003D453A"/>
    <w:rsid w:val="003D45A7"/>
    <w:rsid w:val="003D461A"/>
    <w:rsid w:val="003D4740"/>
    <w:rsid w:val="003D4741"/>
    <w:rsid w:val="003D4827"/>
    <w:rsid w:val="003D4927"/>
    <w:rsid w:val="003D495F"/>
    <w:rsid w:val="003D49E0"/>
    <w:rsid w:val="003D49F1"/>
    <w:rsid w:val="003D4BF4"/>
    <w:rsid w:val="003D4C43"/>
    <w:rsid w:val="003D4CBD"/>
    <w:rsid w:val="003D4D02"/>
    <w:rsid w:val="003D4E29"/>
    <w:rsid w:val="003D4FB1"/>
    <w:rsid w:val="003D5091"/>
    <w:rsid w:val="003D5184"/>
    <w:rsid w:val="003D5193"/>
    <w:rsid w:val="003D5240"/>
    <w:rsid w:val="003D52EA"/>
    <w:rsid w:val="003D55B3"/>
    <w:rsid w:val="003D5628"/>
    <w:rsid w:val="003D57F0"/>
    <w:rsid w:val="003D58D4"/>
    <w:rsid w:val="003D5917"/>
    <w:rsid w:val="003D5A19"/>
    <w:rsid w:val="003D5A50"/>
    <w:rsid w:val="003D5B57"/>
    <w:rsid w:val="003D5BA5"/>
    <w:rsid w:val="003D5C0F"/>
    <w:rsid w:val="003D5E1B"/>
    <w:rsid w:val="003D5E2A"/>
    <w:rsid w:val="003D60B0"/>
    <w:rsid w:val="003D60F8"/>
    <w:rsid w:val="003D6112"/>
    <w:rsid w:val="003D62E7"/>
    <w:rsid w:val="003D6310"/>
    <w:rsid w:val="003D633C"/>
    <w:rsid w:val="003D642A"/>
    <w:rsid w:val="003D64A2"/>
    <w:rsid w:val="003D657F"/>
    <w:rsid w:val="003D6610"/>
    <w:rsid w:val="003D66B0"/>
    <w:rsid w:val="003D6712"/>
    <w:rsid w:val="003D6955"/>
    <w:rsid w:val="003D6A1B"/>
    <w:rsid w:val="003D6B22"/>
    <w:rsid w:val="003D6B5C"/>
    <w:rsid w:val="003D6C91"/>
    <w:rsid w:val="003D6CFD"/>
    <w:rsid w:val="003D6D31"/>
    <w:rsid w:val="003D6E9C"/>
    <w:rsid w:val="003D6F20"/>
    <w:rsid w:val="003D701C"/>
    <w:rsid w:val="003D7075"/>
    <w:rsid w:val="003D70A8"/>
    <w:rsid w:val="003D712C"/>
    <w:rsid w:val="003D7173"/>
    <w:rsid w:val="003D7177"/>
    <w:rsid w:val="003D722A"/>
    <w:rsid w:val="003D7292"/>
    <w:rsid w:val="003D7298"/>
    <w:rsid w:val="003D7464"/>
    <w:rsid w:val="003D7500"/>
    <w:rsid w:val="003D755D"/>
    <w:rsid w:val="003D756E"/>
    <w:rsid w:val="003D75A8"/>
    <w:rsid w:val="003D7858"/>
    <w:rsid w:val="003D7906"/>
    <w:rsid w:val="003D791C"/>
    <w:rsid w:val="003D7970"/>
    <w:rsid w:val="003D79AA"/>
    <w:rsid w:val="003D79D0"/>
    <w:rsid w:val="003D7A0C"/>
    <w:rsid w:val="003D7A44"/>
    <w:rsid w:val="003D7B54"/>
    <w:rsid w:val="003D7CB2"/>
    <w:rsid w:val="003D7E86"/>
    <w:rsid w:val="003D7EFD"/>
    <w:rsid w:val="003D7FAD"/>
    <w:rsid w:val="003D7FF4"/>
    <w:rsid w:val="003E001C"/>
    <w:rsid w:val="003E005D"/>
    <w:rsid w:val="003E00CC"/>
    <w:rsid w:val="003E01DE"/>
    <w:rsid w:val="003E01E0"/>
    <w:rsid w:val="003E02FC"/>
    <w:rsid w:val="003E033C"/>
    <w:rsid w:val="003E0390"/>
    <w:rsid w:val="003E0574"/>
    <w:rsid w:val="003E05F4"/>
    <w:rsid w:val="003E063B"/>
    <w:rsid w:val="003E069B"/>
    <w:rsid w:val="003E0722"/>
    <w:rsid w:val="003E0761"/>
    <w:rsid w:val="003E0963"/>
    <w:rsid w:val="003E0997"/>
    <w:rsid w:val="003E0A18"/>
    <w:rsid w:val="003E0B34"/>
    <w:rsid w:val="003E0B5E"/>
    <w:rsid w:val="003E0B71"/>
    <w:rsid w:val="003E0C7A"/>
    <w:rsid w:val="003E0C89"/>
    <w:rsid w:val="003E0C94"/>
    <w:rsid w:val="003E0CEE"/>
    <w:rsid w:val="003E1009"/>
    <w:rsid w:val="003E1059"/>
    <w:rsid w:val="003E10FF"/>
    <w:rsid w:val="003E110B"/>
    <w:rsid w:val="003E112B"/>
    <w:rsid w:val="003E1134"/>
    <w:rsid w:val="003E11BA"/>
    <w:rsid w:val="003E1282"/>
    <w:rsid w:val="003E135E"/>
    <w:rsid w:val="003E157E"/>
    <w:rsid w:val="003E15CD"/>
    <w:rsid w:val="003E175A"/>
    <w:rsid w:val="003E18EF"/>
    <w:rsid w:val="003E1965"/>
    <w:rsid w:val="003E1AAE"/>
    <w:rsid w:val="003E1B10"/>
    <w:rsid w:val="003E1D41"/>
    <w:rsid w:val="003E1E4F"/>
    <w:rsid w:val="003E1F0C"/>
    <w:rsid w:val="003E1F4E"/>
    <w:rsid w:val="003E2027"/>
    <w:rsid w:val="003E204E"/>
    <w:rsid w:val="003E2066"/>
    <w:rsid w:val="003E2202"/>
    <w:rsid w:val="003E2204"/>
    <w:rsid w:val="003E266E"/>
    <w:rsid w:val="003E2968"/>
    <w:rsid w:val="003E2A2B"/>
    <w:rsid w:val="003E2A8F"/>
    <w:rsid w:val="003E2AEF"/>
    <w:rsid w:val="003E2B61"/>
    <w:rsid w:val="003E2CDA"/>
    <w:rsid w:val="003E2CFE"/>
    <w:rsid w:val="003E2EBC"/>
    <w:rsid w:val="003E3020"/>
    <w:rsid w:val="003E304E"/>
    <w:rsid w:val="003E313C"/>
    <w:rsid w:val="003E330B"/>
    <w:rsid w:val="003E330E"/>
    <w:rsid w:val="003E3379"/>
    <w:rsid w:val="003E33D3"/>
    <w:rsid w:val="003E33F3"/>
    <w:rsid w:val="003E3588"/>
    <w:rsid w:val="003E3859"/>
    <w:rsid w:val="003E396A"/>
    <w:rsid w:val="003E3A65"/>
    <w:rsid w:val="003E3C62"/>
    <w:rsid w:val="003E3D4C"/>
    <w:rsid w:val="003E3DCE"/>
    <w:rsid w:val="003E3DD1"/>
    <w:rsid w:val="003E3DD3"/>
    <w:rsid w:val="003E4024"/>
    <w:rsid w:val="003E4048"/>
    <w:rsid w:val="003E405F"/>
    <w:rsid w:val="003E40C7"/>
    <w:rsid w:val="003E4172"/>
    <w:rsid w:val="003E4249"/>
    <w:rsid w:val="003E4406"/>
    <w:rsid w:val="003E44A9"/>
    <w:rsid w:val="003E44C8"/>
    <w:rsid w:val="003E471D"/>
    <w:rsid w:val="003E4723"/>
    <w:rsid w:val="003E475C"/>
    <w:rsid w:val="003E47AE"/>
    <w:rsid w:val="003E4840"/>
    <w:rsid w:val="003E4945"/>
    <w:rsid w:val="003E49E6"/>
    <w:rsid w:val="003E4AA4"/>
    <w:rsid w:val="003E4AFD"/>
    <w:rsid w:val="003E4B27"/>
    <w:rsid w:val="003E4B74"/>
    <w:rsid w:val="003E4BBB"/>
    <w:rsid w:val="003E4C67"/>
    <w:rsid w:val="003E4D22"/>
    <w:rsid w:val="003E4EB0"/>
    <w:rsid w:val="003E4F15"/>
    <w:rsid w:val="003E4FED"/>
    <w:rsid w:val="003E505F"/>
    <w:rsid w:val="003E5094"/>
    <w:rsid w:val="003E51DC"/>
    <w:rsid w:val="003E5249"/>
    <w:rsid w:val="003E5333"/>
    <w:rsid w:val="003E54DE"/>
    <w:rsid w:val="003E55FD"/>
    <w:rsid w:val="003E5774"/>
    <w:rsid w:val="003E57EE"/>
    <w:rsid w:val="003E5B43"/>
    <w:rsid w:val="003E5B8A"/>
    <w:rsid w:val="003E5C67"/>
    <w:rsid w:val="003E5C91"/>
    <w:rsid w:val="003E5E48"/>
    <w:rsid w:val="003E5F1F"/>
    <w:rsid w:val="003E6182"/>
    <w:rsid w:val="003E62C2"/>
    <w:rsid w:val="003E63C2"/>
    <w:rsid w:val="003E6557"/>
    <w:rsid w:val="003E6605"/>
    <w:rsid w:val="003E6621"/>
    <w:rsid w:val="003E67F1"/>
    <w:rsid w:val="003E684B"/>
    <w:rsid w:val="003E68DF"/>
    <w:rsid w:val="003E6A20"/>
    <w:rsid w:val="003E6BD4"/>
    <w:rsid w:val="003E6C72"/>
    <w:rsid w:val="003E6E6B"/>
    <w:rsid w:val="003E6EA3"/>
    <w:rsid w:val="003E6F77"/>
    <w:rsid w:val="003E6FAB"/>
    <w:rsid w:val="003E706C"/>
    <w:rsid w:val="003E7139"/>
    <w:rsid w:val="003E71C6"/>
    <w:rsid w:val="003E71DE"/>
    <w:rsid w:val="003E7284"/>
    <w:rsid w:val="003E73A9"/>
    <w:rsid w:val="003E73D7"/>
    <w:rsid w:val="003E7761"/>
    <w:rsid w:val="003E77A9"/>
    <w:rsid w:val="003E785C"/>
    <w:rsid w:val="003E78C4"/>
    <w:rsid w:val="003E796B"/>
    <w:rsid w:val="003E7A3D"/>
    <w:rsid w:val="003E7C11"/>
    <w:rsid w:val="003E7C1C"/>
    <w:rsid w:val="003E7D24"/>
    <w:rsid w:val="003E7D68"/>
    <w:rsid w:val="003E7E4C"/>
    <w:rsid w:val="003E7ED7"/>
    <w:rsid w:val="003F00BB"/>
    <w:rsid w:val="003F00F8"/>
    <w:rsid w:val="003F01DA"/>
    <w:rsid w:val="003F033D"/>
    <w:rsid w:val="003F033F"/>
    <w:rsid w:val="003F034E"/>
    <w:rsid w:val="003F048F"/>
    <w:rsid w:val="003F04F2"/>
    <w:rsid w:val="003F04F8"/>
    <w:rsid w:val="003F05BA"/>
    <w:rsid w:val="003F0878"/>
    <w:rsid w:val="003F0894"/>
    <w:rsid w:val="003F08E6"/>
    <w:rsid w:val="003F0AEF"/>
    <w:rsid w:val="003F0B43"/>
    <w:rsid w:val="003F0C1E"/>
    <w:rsid w:val="003F0C6F"/>
    <w:rsid w:val="003F0D12"/>
    <w:rsid w:val="003F0D46"/>
    <w:rsid w:val="003F0DE5"/>
    <w:rsid w:val="003F0E89"/>
    <w:rsid w:val="003F0FF1"/>
    <w:rsid w:val="003F10DB"/>
    <w:rsid w:val="003F1138"/>
    <w:rsid w:val="003F1162"/>
    <w:rsid w:val="003F121A"/>
    <w:rsid w:val="003F131D"/>
    <w:rsid w:val="003F13FE"/>
    <w:rsid w:val="003F141E"/>
    <w:rsid w:val="003F1578"/>
    <w:rsid w:val="003F1832"/>
    <w:rsid w:val="003F1852"/>
    <w:rsid w:val="003F18AB"/>
    <w:rsid w:val="003F19D1"/>
    <w:rsid w:val="003F1BF0"/>
    <w:rsid w:val="003F1CBA"/>
    <w:rsid w:val="003F1D24"/>
    <w:rsid w:val="003F1DA3"/>
    <w:rsid w:val="003F1DCA"/>
    <w:rsid w:val="003F1E39"/>
    <w:rsid w:val="003F1E44"/>
    <w:rsid w:val="003F1E4E"/>
    <w:rsid w:val="003F1EDA"/>
    <w:rsid w:val="003F1F40"/>
    <w:rsid w:val="003F21C1"/>
    <w:rsid w:val="003F221C"/>
    <w:rsid w:val="003F2319"/>
    <w:rsid w:val="003F23DF"/>
    <w:rsid w:val="003F2400"/>
    <w:rsid w:val="003F2489"/>
    <w:rsid w:val="003F271A"/>
    <w:rsid w:val="003F2731"/>
    <w:rsid w:val="003F2738"/>
    <w:rsid w:val="003F276C"/>
    <w:rsid w:val="003F27C1"/>
    <w:rsid w:val="003F281D"/>
    <w:rsid w:val="003F286D"/>
    <w:rsid w:val="003F28C3"/>
    <w:rsid w:val="003F2937"/>
    <w:rsid w:val="003F2A0B"/>
    <w:rsid w:val="003F2ADF"/>
    <w:rsid w:val="003F2BAB"/>
    <w:rsid w:val="003F2C99"/>
    <w:rsid w:val="003F2D18"/>
    <w:rsid w:val="003F2FB5"/>
    <w:rsid w:val="003F3013"/>
    <w:rsid w:val="003F3067"/>
    <w:rsid w:val="003F31D7"/>
    <w:rsid w:val="003F35DD"/>
    <w:rsid w:val="003F3634"/>
    <w:rsid w:val="003F363B"/>
    <w:rsid w:val="003F368F"/>
    <w:rsid w:val="003F36BE"/>
    <w:rsid w:val="003F3727"/>
    <w:rsid w:val="003F3773"/>
    <w:rsid w:val="003F382C"/>
    <w:rsid w:val="003F383F"/>
    <w:rsid w:val="003F3A23"/>
    <w:rsid w:val="003F3AB8"/>
    <w:rsid w:val="003F3B3F"/>
    <w:rsid w:val="003F3B75"/>
    <w:rsid w:val="003F3D4E"/>
    <w:rsid w:val="003F3D9A"/>
    <w:rsid w:val="003F3E7C"/>
    <w:rsid w:val="003F3EEC"/>
    <w:rsid w:val="003F3F39"/>
    <w:rsid w:val="003F3FCB"/>
    <w:rsid w:val="003F416E"/>
    <w:rsid w:val="003F4197"/>
    <w:rsid w:val="003F41A4"/>
    <w:rsid w:val="003F438B"/>
    <w:rsid w:val="003F4714"/>
    <w:rsid w:val="003F4912"/>
    <w:rsid w:val="003F4C9B"/>
    <w:rsid w:val="003F4CA1"/>
    <w:rsid w:val="003F4EEC"/>
    <w:rsid w:val="003F4F34"/>
    <w:rsid w:val="003F4FB1"/>
    <w:rsid w:val="003F4FB7"/>
    <w:rsid w:val="003F5002"/>
    <w:rsid w:val="003F5055"/>
    <w:rsid w:val="003F5098"/>
    <w:rsid w:val="003F5110"/>
    <w:rsid w:val="003F5230"/>
    <w:rsid w:val="003F54CB"/>
    <w:rsid w:val="003F563F"/>
    <w:rsid w:val="003F57B6"/>
    <w:rsid w:val="003F57F1"/>
    <w:rsid w:val="003F5952"/>
    <w:rsid w:val="003F597B"/>
    <w:rsid w:val="003F5A34"/>
    <w:rsid w:val="003F5A5C"/>
    <w:rsid w:val="003F5AE6"/>
    <w:rsid w:val="003F5B36"/>
    <w:rsid w:val="003F5CD5"/>
    <w:rsid w:val="003F5D22"/>
    <w:rsid w:val="003F5D4A"/>
    <w:rsid w:val="003F5DBE"/>
    <w:rsid w:val="003F5DF5"/>
    <w:rsid w:val="003F5EBA"/>
    <w:rsid w:val="003F5F4A"/>
    <w:rsid w:val="003F6032"/>
    <w:rsid w:val="003F61A0"/>
    <w:rsid w:val="003F62B7"/>
    <w:rsid w:val="003F6320"/>
    <w:rsid w:val="003F6397"/>
    <w:rsid w:val="003F63C8"/>
    <w:rsid w:val="003F651D"/>
    <w:rsid w:val="003F653A"/>
    <w:rsid w:val="003F6598"/>
    <w:rsid w:val="003F65B0"/>
    <w:rsid w:val="003F65E0"/>
    <w:rsid w:val="003F662F"/>
    <w:rsid w:val="003F6769"/>
    <w:rsid w:val="003F683C"/>
    <w:rsid w:val="003F6935"/>
    <w:rsid w:val="003F6A03"/>
    <w:rsid w:val="003F6B28"/>
    <w:rsid w:val="003F6BC0"/>
    <w:rsid w:val="003F6DF5"/>
    <w:rsid w:val="003F6E27"/>
    <w:rsid w:val="003F7072"/>
    <w:rsid w:val="003F7086"/>
    <w:rsid w:val="003F7191"/>
    <w:rsid w:val="003F71FB"/>
    <w:rsid w:val="003F7335"/>
    <w:rsid w:val="003F7351"/>
    <w:rsid w:val="003F73E7"/>
    <w:rsid w:val="003F755E"/>
    <w:rsid w:val="003F75A8"/>
    <w:rsid w:val="003F7868"/>
    <w:rsid w:val="003F7972"/>
    <w:rsid w:val="003F79AD"/>
    <w:rsid w:val="003F7A99"/>
    <w:rsid w:val="003F7B11"/>
    <w:rsid w:val="003F7B91"/>
    <w:rsid w:val="003F7D3F"/>
    <w:rsid w:val="003F7DE3"/>
    <w:rsid w:val="003F7DFA"/>
    <w:rsid w:val="003F7EBD"/>
    <w:rsid w:val="003F7F03"/>
    <w:rsid w:val="003F7F6B"/>
    <w:rsid w:val="004001F0"/>
    <w:rsid w:val="00400208"/>
    <w:rsid w:val="0040033C"/>
    <w:rsid w:val="004003ED"/>
    <w:rsid w:val="004004E0"/>
    <w:rsid w:val="00400521"/>
    <w:rsid w:val="00400541"/>
    <w:rsid w:val="004005CE"/>
    <w:rsid w:val="00400622"/>
    <w:rsid w:val="004006ED"/>
    <w:rsid w:val="004007CE"/>
    <w:rsid w:val="00400874"/>
    <w:rsid w:val="0040088B"/>
    <w:rsid w:val="004008C2"/>
    <w:rsid w:val="004008C5"/>
    <w:rsid w:val="00400BBA"/>
    <w:rsid w:val="00400BFB"/>
    <w:rsid w:val="00400CBE"/>
    <w:rsid w:val="00400DA8"/>
    <w:rsid w:val="00400EF2"/>
    <w:rsid w:val="00400F39"/>
    <w:rsid w:val="00400FA9"/>
    <w:rsid w:val="0040101F"/>
    <w:rsid w:val="0040116C"/>
    <w:rsid w:val="004011EC"/>
    <w:rsid w:val="004011F0"/>
    <w:rsid w:val="00401573"/>
    <w:rsid w:val="004015EF"/>
    <w:rsid w:val="0040168F"/>
    <w:rsid w:val="00401755"/>
    <w:rsid w:val="0040175B"/>
    <w:rsid w:val="0040181E"/>
    <w:rsid w:val="00401A0D"/>
    <w:rsid w:val="00401A5A"/>
    <w:rsid w:val="00401B97"/>
    <w:rsid w:val="00401BEB"/>
    <w:rsid w:val="00401BEE"/>
    <w:rsid w:val="00401CAC"/>
    <w:rsid w:val="00401E13"/>
    <w:rsid w:val="004020AD"/>
    <w:rsid w:val="00402134"/>
    <w:rsid w:val="00402168"/>
    <w:rsid w:val="004021DC"/>
    <w:rsid w:val="004022A9"/>
    <w:rsid w:val="004022AE"/>
    <w:rsid w:val="00402445"/>
    <w:rsid w:val="00402550"/>
    <w:rsid w:val="0040267C"/>
    <w:rsid w:val="00402707"/>
    <w:rsid w:val="00402810"/>
    <w:rsid w:val="00402840"/>
    <w:rsid w:val="00402888"/>
    <w:rsid w:val="00402947"/>
    <w:rsid w:val="004029C4"/>
    <w:rsid w:val="00402A02"/>
    <w:rsid w:val="00402A5B"/>
    <w:rsid w:val="00402A8A"/>
    <w:rsid w:val="00402B76"/>
    <w:rsid w:val="00402C69"/>
    <w:rsid w:val="00402D2E"/>
    <w:rsid w:val="00402D45"/>
    <w:rsid w:val="00402DC5"/>
    <w:rsid w:val="00402E00"/>
    <w:rsid w:val="00402E37"/>
    <w:rsid w:val="00403062"/>
    <w:rsid w:val="004030D8"/>
    <w:rsid w:val="0040323E"/>
    <w:rsid w:val="00403273"/>
    <w:rsid w:val="00403276"/>
    <w:rsid w:val="00403394"/>
    <w:rsid w:val="004033E2"/>
    <w:rsid w:val="00403427"/>
    <w:rsid w:val="0040344F"/>
    <w:rsid w:val="00403548"/>
    <w:rsid w:val="004035C1"/>
    <w:rsid w:val="00403714"/>
    <w:rsid w:val="00403734"/>
    <w:rsid w:val="00403781"/>
    <w:rsid w:val="004037B5"/>
    <w:rsid w:val="00403986"/>
    <w:rsid w:val="00403A30"/>
    <w:rsid w:val="00403AF2"/>
    <w:rsid w:val="00403B5C"/>
    <w:rsid w:val="00403BCA"/>
    <w:rsid w:val="00403C43"/>
    <w:rsid w:val="00403C4C"/>
    <w:rsid w:val="00403EEB"/>
    <w:rsid w:val="00403FA0"/>
    <w:rsid w:val="004040D6"/>
    <w:rsid w:val="0040412A"/>
    <w:rsid w:val="004041BC"/>
    <w:rsid w:val="004043F1"/>
    <w:rsid w:val="004044F3"/>
    <w:rsid w:val="00404513"/>
    <w:rsid w:val="00404573"/>
    <w:rsid w:val="00404596"/>
    <w:rsid w:val="004045BF"/>
    <w:rsid w:val="00404952"/>
    <w:rsid w:val="00404974"/>
    <w:rsid w:val="00404A6A"/>
    <w:rsid w:val="00404BDB"/>
    <w:rsid w:val="00404D8F"/>
    <w:rsid w:val="00404DB9"/>
    <w:rsid w:val="00404F97"/>
    <w:rsid w:val="00405077"/>
    <w:rsid w:val="004050DC"/>
    <w:rsid w:val="0040514F"/>
    <w:rsid w:val="004052BF"/>
    <w:rsid w:val="00405367"/>
    <w:rsid w:val="00405575"/>
    <w:rsid w:val="00405631"/>
    <w:rsid w:val="0040563E"/>
    <w:rsid w:val="00405676"/>
    <w:rsid w:val="004056F5"/>
    <w:rsid w:val="00405719"/>
    <w:rsid w:val="00405919"/>
    <w:rsid w:val="00405980"/>
    <w:rsid w:val="004059F8"/>
    <w:rsid w:val="00405A22"/>
    <w:rsid w:val="00405AB5"/>
    <w:rsid w:val="00405AD5"/>
    <w:rsid w:val="00405C80"/>
    <w:rsid w:val="00405CBB"/>
    <w:rsid w:val="00405D9B"/>
    <w:rsid w:val="00405DA3"/>
    <w:rsid w:val="00405E00"/>
    <w:rsid w:val="00405E33"/>
    <w:rsid w:val="00405E48"/>
    <w:rsid w:val="00405F0C"/>
    <w:rsid w:val="0040605C"/>
    <w:rsid w:val="004060F8"/>
    <w:rsid w:val="00406120"/>
    <w:rsid w:val="004061C0"/>
    <w:rsid w:val="0040626B"/>
    <w:rsid w:val="00406369"/>
    <w:rsid w:val="004063C2"/>
    <w:rsid w:val="004063CA"/>
    <w:rsid w:val="0040644F"/>
    <w:rsid w:val="00406684"/>
    <w:rsid w:val="00406B08"/>
    <w:rsid w:val="00406B65"/>
    <w:rsid w:val="00406BCE"/>
    <w:rsid w:val="00406BF5"/>
    <w:rsid w:val="00406E5D"/>
    <w:rsid w:val="00406E82"/>
    <w:rsid w:val="00406EA7"/>
    <w:rsid w:val="0040714C"/>
    <w:rsid w:val="00407269"/>
    <w:rsid w:val="004072EE"/>
    <w:rsid w:val="00407428"/>
    <w:rsid w:val="00407450"/>
    <w:rsid w:val="00407659"/>
    <w:rsid w:val="0040771D"/>
    <w:rsid w:val="00407803"/>
    <w:rsid w:val="00407850"/>
    <w:rsid w:val="004078AE"/>
    <w:rsid w:val="00407932"/>
    <w:rsid w:val="0040795B"/>
    <w:rsid w:val="00407A8C"/>
    <w:rsid w:val="00407BBD"/>
    <w:rsid w:val="00407D24"/>
    <w:rsid w:val="00407ED9"/>
    <w:rsid w:val="00407F38"/>
    <w:rsid w:val="00407F9D"/>
    <w:rsid w:val="00410271"/>
    <w:rsid w:val="0041057C"/>
    <w:rsid w:val="004107A9"/>
    <w:rsid w:val="00410854"/>
    <w:rsid w:val="00410880"/>
    <w:rsid w:val="00410943"/>
    <w:rsid w:val="004109A5"/>
    <w:rsid w:val="00410C80"/>
    <w:rsid w:val="00410C97"/>
    <w:rsid w:val="00410CF0"/>
    <w:rsid w:val="00410CFF"/>
    <w:rsid w:val="00410D58"/>
    <w:rsid w:val="00410DCE"/>
    <w:rsid w:val="00410E11"/>
    <w:rsid w:val="00410E61"/>
    <w:rsid w:val="00410F9E"/>
    <w:rsid w:val="00411197"/>
    <w:rsid w:val="00411312"/>
    <w:rsid w:val="00411316"/>
    <w:rsid w:val="00411392"/>
    <w:rsid w:val="00411463"/>
    <w:rsid w:val="00411499"/>
    <w:rsid w:val="00411541"/>
    <w:rsid w:val="004117D8"/>
    <w:rsid w:val="00411823"/>
    <w:rsid w:val="004118EE"/>
    <w:rsid w:val="0041192E"/>
    <w:rsid w:val="00411A1A"/>
    <w:rsid w:val="00411AAD"/>
    <w:rsid w:val="00411AEB"/>
    <w:rsid w:val="00411BAE"/>
    <w:rsid w:val="00411BDC"/>
    <w:rsid w:val="00411C67"/>
    <w:rsid w:val="00411D02"/>
    <w:rsid w:val="00411DC8"/>
    <w:rsid w:val="00411E7B"/>
    <w:rsid w:val="00411F10"/>
    <w:rsid w:val="00411F3D"/>
    <w:rsid w:val="00412242"/>
    <w:rsid w:val="0041229E"/>
    <w:rsid w:val="00412406"/>
    <w:rsid w:val="00412452"/>
    <w:rsid w:val="0041250A"/>
    <w:rsid w:val="0041290E"/>
    <w:rsid w:val="00412ADB"/>
    <w:rsid w:val="00412B87"/>
    <w:rsid w:val="00412D35"/>
    <w:rsid w:val="00412ECE"/>
    <w:rsid w:val="00413001"/>
    <w:rsid w:val="0041304C"/>
    <w:rsid w:val="00413098"/>
    <w:rsid w:val="0041313C"/>
    <w:rsid w:val="004131D2"/>
    <w:rsid w:val="00413214"/>
    <w:rsid w:val="004132F7"/>
    <w:rsid w:val="004133D7"/>
    <w:rsid w:val="00413431"/>
    <w:rsid w:val="00413461"/>
    <w:rsid w:val="00413720"/>
    <w:rsid w:val="00413772"/>
    <w:rsid w:val="004139B0"/>
    <w:rsid w:val="00413AA9"/>
    <w:rsid w:val="00413B32"/>
    <w:rsid w:val="00413BDF"/>
    <w:rsid w:val="00413C71"/>
    <w:rsid w:val="00413D69"/>
    <w:rsid w:val="00413DE2"/>
    <w:rsid w:val="00413F18"/>
    <w:rsid w:val="00413F23"/>
    <w:rsid w:val="00413F43"/>
    <w:rsid w:val="00414064"/>
    <w:rsid w:val="004140C3"/>
    <w:rsid w:val="0041416C"/>
    <w:rsid w:val="004141B3"/>
    <w:rsid w:val="004142D1"/>
    <w:rsid w:val="00414301"/>
    <w:rsid w:val="004143D3"/>
    <w:rsid w:val="004144BB"/>
    <w:rsid w:val="0041459E"/>
    <w:rsid w:val="004146C1"/>
    <w:rsid w:val="0041471C"/>
    <w:rsid w:val="004147CF"/>
    <w:rsid w:val="00414929"/>
    <w:rsid w:val="00414A9D"/>
    <w:rsid w:val="00414AE3"/>
    <w:rsid w:val="00414C3C"/>
    <w:rsid w:val="00414C42"/>
    <w:rsid w:val="00414CD7"/>
    <w:rsid w:val="00414D53"/>
    <w:rsid w:val="00414D61"/>
    <w:rsid w:val="00414E4E"/>
    <w:rsid w:val="00414EE5"/>
    <w:rsid w:val="00414F3B"/>
    <w:rsid w:val="00414F98"/>
    <w:rsid w:val="00415162"/>
    <w:rsid w:val="0041539B"/>
    <w:rsid w:val="004155F4"/>
    <w:rsid w:val="00415680"/>
    <w:rsid w:val="004157D9"/>
    <w:rsid w:val="00415A2E"/>
    <w:rsid w:val="00415B3D"/>
    <w:rsid w:val="00415BD5"/>
    <w:rsid w:val="00415C29"/>
    <w:rsid w:val="00415C8C"/>
    <w:rsid w:val="00415CF7"/>
    <w:rsid w:val="00415D74"/>
    <w:rsid w:val="00415DBE"/>
    <w:rsid w:val="00415E72"/>
    <w:rsid w:val="00416000"/>
    <w:rsid w:val="0041602E"/>
    <w:rsid w:val="0041631E"/>
    <w:rsid w:val="0041651A"/>
    <w:rsid w:val="0041661C"/>
    <w:rsid w:val="004166CA"/>
    <w:rsid w:val="004166F9"/>
    <w:rsid w:val="004169DD"/>
    <w:rsid w:val="00416BEE"/>
    <w:rsid w:val="00416BF4"/>
    <w:rsid w:val="00416C39"/>
    <w:rsid w:val="00416D48"/>
    <w:rsid w:val="00416D65"/>
    <w:rsid w:val="00416D75"/>
    <w:rsid w:val="00416E0B"/>
    <w:rsid w:val="00416EE5"/>
    <w:rsid w:val="00416F23"/>
    <w:rsid w:val="0041709F"/>
    <w:rsid w:val="004170CB"/>
    <w:rsid w:val="0041718C"/>
    <w:rsid w:val="004171A4"/>
    <w:rsid w:val="004171D1"/>
    <w:rsid w:val="0041722A"/>
    <w:rsid w:val="004174B0"/>
    <w:rsid w:val="004174E1"/>
    <w:rsid w:val="00417508"/>
    <w:rsid w:val="0041783F"/>
    <w:rsid w:val="00417A51"/>
    <w:rsid w:val="00417B25"/>
    <w:rsid w:val="00417E64"/>
    <w:rsid w:val="00417F8A"/>
    <w:rsid w:val="00417FC0"/>
    <w:rsid w:val="00420138"/>
    <w:rsid w:val="00420246"/>
    <w:rsid w:val="0042024A"/>
    <w:rsid w:val="0042032E"/>
    <w:rsid w:val="00420498"/>
    <w:rsid w:val="004204B5"/>
    <w:rsid w:val="004206CD"/>
    <w:rsid w:val="004206DE"/>
    <w:rsid w:val="00420744"/>
    <w:rsid w:val="00420765"/>
    <w:rsid w:val="00420A2E"/>
    <w:rsid w:val="00420A3E"/>
    <w:rsid w:val="00420A96"/>
    <w:rsid w:val="00420B65"/>
    <w:rsid w:val="00420BEE"/>
    <w:rsid w:val="00420CB2"/>
    <w:rsid w:val="00420CF2"/>
    <w:rsid w:val="00420E1F"/>
    <w:rsid w:val="00420E32"/>
    <w:rsid w:val="00420E42"/>
    <w:rsid w:val="00420E97"/>
    <w:rsid w:val="00420EB4"/>
    <w:rsid w:val="00420ED2"/>
    <w:rsid w:val="004210BF"/>
    <w:rsid w:val="00421129"/>
    <w:rsid w:val="004211BC"/>
    <w:rsid w:val="0042128F"/>
    <w:rsid w:val="0042137D"/>
    <w:rsid w:val="00421562"/>
    <w:rsid w:val="004216F9"/>
    <w:rsid w:val="0042180B"/>
    <w:rsid w:val="00421817"/>
    <w:rsid w:val="00421857"/>
    <w:rsid w:val="004219DD"/>
    <w:rsid w:val="00421A5E"/>
    <w:rsid w:val="00421AD2"/>
    <w:rsid w:val="00421BD1"/>
    <w:rsid w:val="00421D48"/>
    <w:rsid w:val="00421DAA"/>
    <w:rsid w:val="00421DAB"/>
    <w:rsid w:val="00421EE5"/>
    <w:rsid w:val="00422062"/>
    <w:rsid w:val="004222AE"/>
    <w:rsid w:val="0042243F"/>
    <w:rsid w:val="00422477"/>
    <w:rsid w:val="00422670"/>
    <w:rsid w:val="0042272A"/>
    <w:rsid w:val="00422749"/>
    <w:rsid w:val="00422806"/>
    <w:rsid w:val="004228C4"/>
    <w:rsid w:val="00422970"/>
    <w:rsid w:val="00422AC7"/>
    <w:rsid w:val="00422BA0"/>
    <w:rsid w:val="00422BEE"/>
    <w:rsid w:val="00422BF8"/>
    <w:rsid w:val="00422CDA"/>
    <w:rsid w:val="00422E13"/>
    <w:rsid w:val="00422E17"/>
    <w:rsid w:val="00422E18"/>
    <w:rsid w:val="00422F83"/>
    <w:rsid w:val="00423199"/>
    <w:rsid w:val="004231A1"/>
    <w:rsid w:val="004231BB"/>
    <w:rsid w:val="0042333A"/>
    <w:rsid w:val="004233DE"/>
    <w:rsid w:val="004233DF"/>
    <w:rsid w:val="00423419"/>
    <w:rsid w:val="0042341F"/>
    <w:rsid w:val="0042348D"/>
    <w:rsid w:val="00423495"/>
    <w:rsid w:val="00423599"/>
    <w:rsid w:val="0042378F"/>
    <w:rsid w:val="00423862"/>
    <w:rsid w:val="00423E9E"/>
    <w:rsid w:val="00424016"/>
    <w:rsid w:val="0042422A"/>
    <w:rsid w:val="0042432A"/>
    <w:rsid w:val="0042441D"/>
    <w:rsid w:val="004244FA"/>
    <w:rsid w:val="00424667"/>
    <w:rsid w:val="00424683"/>
    <w:rsid w:val="00424799"/>
    <w:rsid w:val="00424915"/>
    <w:rsid w:val="004249B5"/>
    <w:rsid w:val="00424A1F"/>
    <w:rsid w:val="00424A2E"/>
    <w:rsid w:val="00424CD3"/>
    <w:rsid w:val="00424D6C"/>
    <w:rsid w:val="00424D9D"/>
    <w:rsid w:val="00424EAA"/>
    <w:rsid w:val="0042520F"/>
    <w:rsid w:val="00425249"/>
    <w:rsid w:val="0042529B"/>
    <w:rsid w:val="00425345"/>
    <w:rsid w:val="00425521"/>
    <w:rsid w:val="0042553E"/>
    <w:rsid w:val="00425730"/>
    <w:rsid w:val="00425745"/>
    <w:rsid w:val="0042575F"/>
    <w:rsid w:val="00425802"/>
    <w:rsid w:val="00425823"/>
    <w:rsid w:val="00425915"/>
    <w:rsid w:val="00425C72"/>
    <w:rsid w:val="00425C9E"/>
    <w:rsid w:val="00425D5A"/>
    <w:rsid w:val="00425E35"/>
    <w:rsid w:val="00425E92"/>
    <w:rsid w:val="00425F12"/>
    <w:rsid w:val="00425F7B"/>
    <w:rsid w:val="0042608E"/>
    <w:rsid w:val="00426119"/>
    <w:rsid w:val="004261F0"/>
    <w:rsid w:val="004262D4"/>
    <w:rsid w:val="00426362"/>
    <w:rsid w:val="00426376"/>
    <w:rsid w:val="0042638D"/>
    <w:rsid w:val="00426390"/>
    <w:rsid w:val="004263F3"/>
    <w:rsid w:val="00426487"/>
    <w:rsid w:val="00426547"/>
    <w:rsid w:val="00426782"/>
    <w:rsid w:val="0042678B"/>
    <w:rsid w:val="004267F3"/>
    <w:rsid w:val="0042685E"/>
    <w:rsid w:val="00426906"/>
    <w:rsid w:val="00426922"/>
    <w:rsid w:val="00426983"/>
    <w:rsid w:val="00426A09"/>
    <w:rsid w:val="00426A60"/>
    <w:rsid w:val="00426A76"/>
    <w:rsid w:val="00426C4F"/>
    <w:rsid w:val="00426F3A"/>
    <w:rsid w:val="00426FC8"/>
    <w:rsid w:val="00427055"/>
    <w:rsid w:val="00427059"/>
    <w:rsid w:val="004271DF"/>
    <w:rsid w:val="00427221"/>
    <w:rsid w:val="00427254"/>
    <w:rsid w:val="00427302"/>
    <w:rsid w:val="00427359"/>
    <w:rsid w:val="00427360"/>
    <w:rsid w:val="00427513"/>
    <w:rsid w:val="004275B1"/>
    <w:rsid w:val="0042769B"/>
    <w:rsid w:val="004276E5"/>
    <w:rsid w:val="004277A3"/>
    <w:rsid w:val="00427800"/>
    <w:rsid w:val="00427945"/>
    <w:rsid w:val="004279CD"/>
    <w:rsid w:val="00427A7D"/>
    <w:rsid w:val="00427B05"/>
    <w:rsid w:val="00427C83"/>
    <w:rsid w:val="00427D75"/>
    <w:rsid w:val="00427E8A"/>
    <w:rsid w:val="00427F5B"/>
    <w:rsid w:val="00430482"/>
    <w:rsid w:val="004304CE"/>
    <w:rsid w:val="0043055D"/>
    <w:rsid w:val="00430576"/>
    <w:rsid w:val="00430584"/>
    <w:rsid w:val="004306AB"/>
    <w:rsid w:val="0043078C"/>
    <w:rsid w:val="004307FA"/>
    <w:rsid w:val="0043096C"/>
    <w:rsid w:val="004309C2"/>
    <w:rsid w:val="00430ACB"/>
    <w:rsid w:val="00430C1D"/>
    <w:rsid w:val="00430C2C"/>
    <w:rsid w:val="00430C59"/>
    <w:rsid w:val="00430C7E"/>
    <w:rsid w:val="00430CB4"/>
    <w:rsid w:val="00430D18"/>
    <w:rsid w:val="00430E1C"/>
    <w:rsid w:val="00430EBE"/>
    <w:rsid w:val="00430F1B"/>
    <w:rsid w:val="00431069"/>
    <w:rsid w:val="004310D3"/>
    <w:rsid w:val="00431178"/>
    <w:rsid w:val="004311BA"/>
    <w:rsid w:val="0043123A"/>
    <w:rsid w:val="0043127C"/>
    <w:rsid w:val="004312DA"/>
    <w:rsid w:val="004317D6"/>
    <w:rsid w:val="004317FB"/>
    <w:rsid w:val="004319C0"/>
    <w:rsid w:val="00431ABC"/>
    <w:rsid w:val="00431BAD"/>
    <w:rsid w:val="00431BE6"/>
    <w:rsid w:val="00431D08"/>
    <w:rsid w:val="00431D7B"/>
    <w:rsid w:val="0043205C"/>
    <w:rsid w:val="00432087"/>
    <w:rsid w:val="004320F5"/>
    <w:rsid w:val="004321B8"/>
    <w:rsid w:val="00432276"/>
    <w:rsid w:val="004322F1"/>
    <w:rsid w:val="00432350"/>
    <w:rsid w:val="00432380"/>
    <w:rsid w:val="004323E8"/>
    <w:rsid w:val="0043240A"/>
    <w:rsid w:val="00432589"/>
    <w:rsid w:val="004325F3"/>
    <w:rsid w:val="00432604"/>
    <w:rsid w:val="00432667"/>
    <w:rsid w:val="004326F7"/>
    <w:rsid w:val="004327BE"/>
    <w:rsid w:val="0043280B"/>
    <w:rsid w:val="00432841"/>
    <w:rsid w:val="00432A1C"/>
    <w:rsid w:val="00432A9E"/>
    <w:rsid w:val="00432B3E"/>
    <w:rsid w:val="00432DCB"/>
    <w:rsid w:val="00432DFC"/>
    <w:rsid w:val="00432E51"/>
    <w:rsid w:val="00432FBD"/>
    <w:rsid w:val="00432FCB"/>
    <w:rsid w:val="00432FF7"/>
    <w:rsid w:val="00433130"/>
    <w:rsid w:val="00433246"/>
    <w:rsid w:val="00433529"/>
    <w:rsid w:val="0043355B"/>
    <w:rsid w:val="00433582"/>
    <w:rsid w:val="0043358F"/>
    <w:rsid w:val="004335A2"/>
    <w:rsid w:val="00433911"/>
    <w:rsid w:val="00433912"/>
    <w:rsid w:val="004339ED"/>
    <w:rsid w:val="00433A39"/>
    <w:rsid w:val="00433B08"/>
    <w:rsid w:val="00433C64"/>
    <w:rsid w:val="00433C84"/>
    <w:rsid w:val="00433CC9"/>
    <w:rsid w:val="00433DAD"/>
    <w:rsid w:val="00433ECE"/>
    <w:rsid w:val="00433F4C"/>
    <w:rsid w:val="00433F7D"/>
    <w:rsid w:val="00434016"/>
    <w:rsid w:val="004340A1"/>
    <w:rsid w:val="00434105"/>
    <w:rsid w:val="00434128"/>
    <w:rsid w:val="00434149"/>
    <w:rsid w:val="004343FB"/>
    <w:rsid w:val="0043446D"/>
    <w:rsid w:val="0043448E"/>
    <w:rsid w:val="00434499"/>
    <w:rsid w:val="0043471A"/>
    <w:rsid w:val="00434746"/>
    <w:rsid w:val="004349BC"/>
    <w:rsid w:val="00434A49"/>
    <w:rsid w:val="00434B73"/>
    <w:rsid w:val="00434D5D"/>
    <w:rsid w:val="00434FF5"/>
    <w:rsid w:val="0043523A"/>
    <w:rsid w:val="00435259"/>
    <w:rsid w:val="00435281"/>
    <w:rsid w:val="00435396"/>
    <w:rsid w:val="004353C9"/>
    <w:rsid w:val="004354ED"/>
    <w:rsid w:val="00435513"/>
    <w:rsid w:val="00435625"/>
    <w:rsid w:val="00435973"/>
    <w:rsid w:val="004359E6"/>
    <w:rsid w:val="004359EC"/>
    <w:rsid w:val="00435A52"/>
    <w:rsid w:val="00435A53"/>
    <w:rsid w:val="00435B50"/>
    <w:rsid w:val="00435B77"/>
    <w:rsid w:val="00435BF9"/>
    <w:rsid w:val="00435C50"/>
    <w:rsid w:val="00435DCB"/>
    <w:rsid w:val="00435F72"/>
    <w:rsid w:val="00435F85"/>
    <w:rsid w:val="00435FB1"/>
    <w:rsid w:val="0043609C"/>
    <w:rsid w:val="004360A8"/>
    <w:rsid w:val="00436124"/>
    <w:rsid w:val="00436206"/>
    <w:rsid w:val="00436258"/>
    <w:rsid w:val="004362E6"/>
    <w:rsid w:val="0043635F"/>
    <w:rsid w:val="00436751"/>
    <w:rsid w:val="004368FE"/>
    <w:rsid w:val="00436A44"/>
    <w:rsid w:val="00436AE6"/>
    <w:rsid w:val="00436B06"/>
    <w:rsid w:val="00436B68"/>
    <w:rsid w:val="00436B8A"/>
    <w:rsid w:val="00436D03"/>
    <w:rsid w:val="00436DCE"/>
    <w:rsid w:val="00436F9A"/>
    <w:rsid w:val="0043700A"/>
    <w:rsid w:val="004374E2"/>
    <w:rsid w:val="0043768E"/>
    <w:rsid w:val="00437736"/>
    <w:rsid w:val="0043776C"/>
    <w:rsid w:val="004379C1"/>
    <w:rsid w:val="00437BDC"/>
    <w:rsid w:val="00437CCD"/>
    <w:rsid w:val="00437D1C"/>
    <w:rsid w:val="00437D3F"/>
    <w:rsid w:val="00437D94"/>
    <w:rsid w:val="00437E07"/>
    <w:rsid w:val="00437F0B"/>
    <w:rsid w:val="00437F9E"/>
    <w:rsid w:val="00437FB7"/>
    <w:rsid w:val="004403EF"/>
    <w:rsid w:val="00440503"/>
    <w:rsid w:val="0044056D"/>
    <w:rsid w:val="00440620"/>
    <w:rsid w:val="004407C3"/>
    <w:rsid w:val="004409A1"/>
    <w:rsid w:val="00440A51"/>
    <w:rsid w:val="00440B58"/>
    <w:rsid w:val="00440BF9"/>
    <w:rsid w:val="00440CC2"/>
    <w:rsid w:val="00440D11"/>
    <w:rsid w:val="00440D5F"/>
    <w:rsid w:val="00440D68"/>
    <w:rsid w:val="00440E4C"/>
    <w:rsid w:val="00440EB7"/>
    <w:rsid w:val="00441149"/>
    <w:rsid w:val="004412AE"/>
    <w:rsid w:val="004412E6"/>
    <w:rsid w:val="00441335"/>
    <w:rsid w:val="00441458"/>
    <w:rsid w:val="00441560"/>
    <w:rsid w:val="004415D6"/>
    <w:rsid w:val="00441690"/>
    <w:rsid w:val="004416B8"/>
    <w:rsid w:val="0044174A"/>
    <w:rsid w:val="004418ED"/>
    <w:rsid w:val="004419F1"/>
    <w:rsid w:val="00441B2E"/>
    <w:rsid w:val="00441B51"/>
    <w:rsid w:val="00441D6E"/>
    <w:rsid w:val="00441E39"/>
    <w:rsid w:val="00441EB7"/>
    <w:rsid w:val="00441F67"/>
    <w:rsid w:val="0044211F"/>
    <w:rsid w:val="00442138"/>
    <w:rsid w:val="004422EE"/>
    <w:rsid w:val="004423DF"/>
    <w:rsid w:val="004424EA"/>
    <w:rsid w:val="00442551"/>
    <w:rsid w:val="004425FF"/>
    <w:rsid w:val="0044266B"/>
    <w:rsid w:val="004427F3"/>
    <w:rsid w:val="004428D3"/>
    <w:rsid w:val="00442948"/>
    <w:rsid w:val="0044296F"/>
    <w:rsid w:val="0044298B"/>
    <w:rsid w:val="00442B92"/>
    <w:rsid w:val="00442CF1"/>
    <w:rsid w:val="00442E37"/>
    <w:rsid w:val="00442E5C"/>
    <w:rsid w:val="00442E79"/>
    <w:rsid w:val="00443063"/>
    <w:rsid w:val="0044306A"/>
    <w:rsid w:val="0044323C"/>
    <w:rsid w:val="004432B5"/>
    <w:rsid w:val="004432DE"/>
    <w:rsid w:val="00443342"/>
    <w:rsid w:val="00443524"/>
    <w:rsid w:val="004435C8"/>
    <w:rsid w:val="004436E3"/>
    <w:rsid w:val="004437FE"/>
    <w:rsid w:val="00443804"/>
    <w:rsid w:val="00443855"/>
    <w:rsid w:val="00443FB3"/>
    <w:rsid w:val="00444019"/>
    <w:rsid w:val="00444046"/>
    <w:rsid w:val="00444077"/>
    <w:rsid w:val="0044429F"/>
    <w:rsid w:val="0044430E"/>
    <w:rsid w:val="00444380"/>
    <w:rsid w:val="004443E8"/>
    <w:rsid w:val="004443F4"/>
    <w:rsid w:val="00444446"/>
    <w:rsid w:val="00444461"/>
    <w:rsid w:val="0044447B"/>
    <w:rsid w:val="00444553"/>
    <w:rsid w:val="004445A4"/>
    <w:rsid w:val="004446AE"/>
    <w:rsid w:val="0044474C"/>
    <w:rsid w:val="004447E8"/>
    <w:rsid w:val="00444837"/>
    <w:rsid w:val="0044486E"/>
    <w:rsid w:val="004448EE"/>
    <w:rsid w:val="0044491E"/>
    <w:rsid w:val="00444A1A"/>
    <w:rsid w:val="00444A20"/>
    <w:rsid w:val="00444A43"/>
    <w:rsid w:val="00444A71"/>
    <w:rsid w:val="00444BA4"/>
    <w:rsid w:val="00444BBF"/>
    <w:rsid w:val="00444C9C"/>
    <w:rsid w:val="00444D40"/>
    <w:rsid w:val="00444D41"/>
    <w:rsid w:val="00444E01"/>
    <w:rsid w:val="00444F7D"/>
    <w:rsid w:val="00444FB9"/>
    <w:rsid w:val="0044503B"/>
    <w:rsid w:val="00445094"/>
    <w:rsid w:val="00445156"/>
    <w:rsid w:val="004452EF"/>
    <w:rsid w:val="0044532F"/>
    <w:rsid w:val="00445366"/>
    <w:rsid w:val="004454DA"/>
    <w:rsid w:val="004454DC"/>
    <w:rsid w:val="00445544"/>
    <w:rsid w:val="00445545"/>
    <w:rsid w:val="00445625"/>
    <w:rsid w:val="0044564A"/>
    <w:rsid w:val="00445699"/>
    <w:rsid w:val="0044569E"/>
    <w:rsid w:val="004456C5"/>
    <w:rsid w:val="00445841"/>
    <w:rsid w:val="00445B44"/>
    <w:rsid w:val="00445B72"/>
    <w:rsid w:val="00445BB6"/>
    <w:rsid w:val="00445C4C"/>
    <w:rsid w:val="00445C55"/>
    <w:rsid w:val="00445C7F"/>
    <w:rsid w:val="00445E0C"/>
    <w:rsid w:val="00445F6D"/>
    <w:rsid w:val="00446007"/>
    <w:rsid w:val="00446063"/>
    <w:rsid w:val="004460E7"/>
    <w:rsid w:val="004461E2"/>
    <w:rsid w:val="004461FE"/>
    <w:rsid w:val="00446204"/>
    <w:rsid w:val="004463E7"/>
    <w:rsid w:val="004464C3"/>
    <w:rsid w:val="0044680B"/>
    <w:rsid w:val="00446981"/>
    <w:rsid w:val="004469B7"/>
    <w:rsid w:val="00446AAF"/>
    <w:rsid w:val="00446B57"/>
    <w:rsid w:val="00446BCA"/>
    <w:rsid w:val="00446BF5"/>
    <w:rsid w:val="00446C90"/>
    <w:rsid w:val="00446DF3"/>
    <w:rsid w:val="00446E80"/>
    <w:rsid w:val="00446F07"/>
    <w:rsid w:val="00446F8E"/>
    <w:rsid w:val="00447086"/>
    <w:rsid w:val="0044713A"/>
    <w:rsid w:val="004471DC"/>
    <w:rsid w:val="00447260"/>
    <w:rsid w:val="0044738D"/>
    <w:rsid w:val="00447415"/>
    <w:rsid w:val="004474A4"/>
    <w:rsid w:val="0044750E"/>
    <w:rsid w:val="0044753C"/>
    <w:rsid w:val="004475B6"/>
    <w:rsid w:val="004476E0"/>
    <w:rsid w:val="00447719"/>
    <w:rsid w:val="00447900"/>
    <w:rsid w:val="00447903"/>
    <w:rsid w:val="00447A1F"/>
    <w:rsid w:val="00447B78"/>
    <w:rsid w:val="00447D9D"/>
    <w:rsid w:val="00447DA0"/>
    <w:rsid w:val="00447DD4"/>
    <w:rsid w:val="00447E2C"/>
    <w:rsid w:val="00447E98"/>
    <w:rsid w:val="00447F4D"/>
    <w:rsid w:val="00447F57"/>
    <w:rsid w:val="00447FF0"/>
    <w:rsid w:val="004502D9"/>
    <w:rsid w:val="004504C9"/>
    <w:rsid w:val="00450705"/>
    <w:rsid w:val="0045087A"/>
    <w:rsid w:val="004508DE"/>
    <w:rsid w:val="004508F3"/>
    <w:rsid w:val="00450AC6"/>
    <w:rsid w:val="00450B4D"/>
    <w:rsid w:val="00450CE8"/>
    <w:rsid w:val="00450D54"/>
    <w:rsid w:val="00450D69"/>
    <w:rsid w:val="00450D73"/>
    <w:rsid w:val="00450EF1"/>
    <w:rsid w:val="00450F06"/>
    <w:rsid w:val="004511B5"/>
    <w:rsid w:val="00451287"/>
    <w:rsid w:val="00451350"/>
    <w:rsid w:val="004513E3"/>
    <w:rsid w:val="0045140B"/>
    <w:rsid w:val="004514FC"/>
    <w:rsid w:val="00451530"/>
    <w:rsid w:val="0045157F"/>
    <w:rsid w:val="0045184D"/>
    <w:rsid w:val="004518B6"/>
    <w:rsid w:val="00451A19"/>
    <w:rsid w:val="00451C2D"/>
    <w:rsid w:val="00451C6D"/>
    <w:rsid w:val="00451CDB"/>
    <w:rsid w:val="00451DB7"/>
    <w:rsid w:val="00451EDC"/>
    <w:rsid w:val="00451F88"/>
    <w:rsid w:val="004520F3"/>
    <w:rsid w:val="0045233A"/>
    <w:rsid w:val="00452530"/>
    <w:rsid w:val="004525FA"/>
    <w:rsid w:val="00452652"/>
    <w:rsid w:val="00452695"/>
    <w:rsid w:val="00452934"/>
    <w:rsid w:val="00452A7A"/>
    <w:rsid w:val="00452B1A"/>
    <w:rsid w:val="00452B7A"/>
    <w:rsid w:val="00452BD8"/>
    <w:rsid w:val="00452C41"/>
    <w:rsid w:val="00452CA5"/>
    <w:rsid w:val="00452D07"/>
    <w:rsid w:val="00452D2C"/>
    <w:rsid w:val="00452D68"/>
    <w:rsid w:val="00452DAF"/>
    <w:rsid w:val="00452E75"/>
    <w:rsid w:val="00452EB8"/>
    <w:rsid w:val="0045323B"/>
    <w:rsid w:val="00453266"/>
    <w:rsid w:val="004532C8"/>
    <w:rsid w:val="00453484"/>
    <w:rsid w:val="004535F5"/>
    <w:rsid w:val="00453A65"/>
    <w:rsid w:val="00453A8F"/>
    <w:rsid w:val="00453B1A"/>
    <w:rsid w:val="00453B5F"/>
    <w:rsid w:val="00453D69"/>
    <w:rsid w:val="00453DDE"/>
    <w:rsid w:val="00453EDA"/>
    <w:rsid w:val="00453F96"/>
    <w:rsid w:val="00454125"/>
    <w:rsid w:val="00454135"/>
    <w:rsid w:val="004542E8"/>
    <w:rsid w:val="0045430C"/>
    <w:rsid w:val="00454317"/>
    <w:rsid w:val="0045432C"/>
    <w:rsid w:val="0045439B"/>
    <w:rsid w:val="00454420"/>
    <w:rsid w:val="0045443D"/>
    <w:rsid w:val="0045446D"/>
    <w:rsid w:val="00454676"/>
    <w:rsid w:val="00454824"/>
    <w:rsid w:val="004549F7"/>
    <w:rsid w:val="00454B80"/>
    <w:rsid w:val="00454BE8"/>
    <w:rsid w:val="00454CB2"/>
    <w:rsid w:val="00454DD8"/>
    <w:rsid w:val="00454E53"/>
    <w:rsid w:val="00454E8A"/>
    <w:rsid w:val="00454FCE"/>
    <w:rsid w:val="00455087"/>
    <w:rsid w:val="00455187"/>
    <w:rsid w:val="00455264"/>
    <w:rsid w:val="00455487"/>
    <w:rsid w:val="004556E7"/>
    <w:rsid w:val="00455736"/>
    <w:rsid w:val="00455932"/>
    <w:rsid w:val="004559E3"/>
    <w:rsid w:val="00455A07"/>
    <w:rsid w:val="00455AEB"/>
    <w:rsid w:val="00455C55"/>
    <w:rsid w:val="00455DD4"/>
    <w:rsid w:val="00455E3F"/>
    <w:rsid w:val="00455F8A"/>
    <w:rsid w:val="00455F90"/>
    <w:rsid w:val="0045608A"/>
    <w:rsid w:val="00456184"/>
    <w:rsid w:val="004562C7"/>
    <w:rsid w:val="00456360"/>
    <w:rsid w:val="004563BE"/>
    <w:rsid w:val="004564FD"/>
    <w:rsid w:val="00456645"/>
    <w:rsid w:val="0045680D"/>
    <w:rsid w:val="00456893"/>
    <w:rsid w:val="004568B6"/>
    <w:rsid w:val="004569FD"/>
    <w:rsid w:val="00456A27"/>
    <w:rsid w:val="00456B4A"/>
    <w:rsid w:val="00456C10"/>
    <w:rsid w:val="00456C2B"/>
    <w:rsid w:val="00456C43"/>
    <w:rsid w:val="00456CB5"/>
    <w:rsid w:val="00456CC7"/>
    <w:rsid w:val="00456CE8"/>
    <w:rsid w:val="00456D25"/>
    <w:rsid w:val="00456D69"/>
    <w:rsid w:val="00456E22"/>
    <w:rsid w:val="00456E4F"/>
    <w:rsid w:val="00456E6A"/>
    <w:rsid w:val="00456F6E"/>
    <w:rsid w:val="00457056"/>
    <w:rsid w:val="00457138"/>
    <w:rsid w:val="00457209"/>
    <w:rsid w:val="0045734A"/>
    <w:rsid w:val="004573E9"/>
    <w:rsid w:val="00457436"/>
    <w:rsid w:val="00457576"/>
    <w:rsid w:val="0045758A"/>
    <w:rsid w:val="0045778C"/>
    <w:rsid w:val="0045789A"/>
    <w:rsid w:val="0045789E"/>
    <w:rsid w:val="00457C9E"/>
    <w:rsid w:val="00457E98"/>
    <w:rsid w:val="00457ECF"/>
    <w:rsid w:val="00457F50"/>
    <w:rsid w:val="00457F75"/>
    <w:rsid w:val="00457FB6"/>
    <w:rsid w:val="0045AD0D"/>
    <w:rsid w:val="004602F4"/>
    <w:rsid w:val="0046051F"/>
    <w:rsid w:val="00460520"/>
    <w:rsid w:val="0046064B"/>
    <w:rsid w:val="004606C5"/>
    <w:rsid w:val="00460758"/>
    <w:rsid w:val="00460797"/>
    <w:rsid w:val="0046096F"/>
    <w:rsid w:val="00460975"/>
    <w:rsid w:val="00460B76"/>
    <w:rsid w:val="00460CEF"/>
    <w:rsid w:val="00460D46"/>
    <w:rsid w:val="00460F95"/>
    <w:rsid w:val="00460FF6"/>
    <w:rsid w:val="0046104C"/>
    <w:rsid w:val="00461073"/>
    <w:rsid w:val="004610AE"/>
    <w:rsid w:val="00461187"/>
    <w:rsid w:val="004611DF"/>
    <w:rsid w:val="00461220"/>
    <w:rsid w:val="00461263"/>
    <w:rsid w:val="004612E0"/>
    <w:rsid w:val="00461327"/>
    <w:rsid w:val="00461337"/>
    <w:rsid w:val="0046159B"/>
    <w:rsid w:val="004615A1"/>
    <w:rsid w:val="004618BB"/>
    <w:rsid w:val="004618CC"/>
    <w:rsid w:val="00461AB1"/>
    <w:rsid w:val="00461AC3"/>
    <w:rsid w:val="00461BE4"/>
    <w:rsid w:val="00461D1F"/>
    <w:rsid w:val="00461E21"/>
    <w:rsid w:val="00461E49"/>
    <w:rsid w:val="00461ED9"/>
    <w:rsid w:val="00462193"/>
    <w:rsid w:val="0046219F"/>
    <w:rsid w:val="0046225F"/>
    <w:rsid w:val="00462325"/>
    <w:rsid w:val="00462429"/>
    <w:rsid w:val="00462451"/>
    <w:rsid w:val="004624DB"/>
    <w:rsid w:val="004625B4"/>
    <w:rsid w:val="0046277B"/>
    <w:rsid w:val="004627F2"/>
    <w:rsid w:val="004628C3"/>
    <w:rsid w:val="004628F9"/>
    <w:rsid w:val="00462A98"/>
    <w:rsid w:val="00462C78"/>
    <w:rsid w:val="00462CFA"/>
    <w:rsid w:val="00462DC8"/>
    <w:rsid w:val="00462EB5"/>
    <w:rsid w:val="00462EBC"/>
    <w:rsid w:val="00463052"/>
    <w:rsid w:val="0046315A"/>
    <w:rsid w:val="00463193"/>
    <w:rsid w:val="00463198"/>
    <w:rsid w:val="004632B2"/>
    <w:rsid w:val="004632B9"/>
    <w:rsid w:val="0046334C"/>
    <w:rsid w:val="004635F7"/>
    <w:rsid w:val="004636BE"/>
    <w:rsid w:val="004636CB"/>
    <w:rsid w:val="00463838"/>
    <w:rsid w:val="00463928"/>
    <w:rsid w:val="00463944"/>
    <w:rsid w:val="00463959"/>
    <w:rsid w:val="00463975"/>
    <w:rsid w:val="00463B58"/>
    <w:rsid w:val="00463C82"/>
    <w:rsid w:val="00463E7A"/>
    <w:rsid w:val="00463EFC"/>
    <w:rsid w:val="00463FAB"/>
    <w:rsid w:val="00464013"/>
    <w:rsid w:val="00464046"/>
    <w:rsid w:val="00464203"/>
    <w:rsid w:val="00464261"/>
    <w:rsid w:val="004642E9"/>
    <w:rsid w:val="004642FE"/>
    <w:rsid w:val="0046432B"/>
    <w:rsid w:val="004643A3"/>
    <w:rsid w:val="00464403"/>
    <w:rsid w:val="0046443E"/>
    <w:rsid w:val="004644AC"/>
    <w:rsid w:val="0046474E"/>
    <w:rsid w:val="00464807"/>
    <w:rsid w:val="004648A3"/>
    <w:rsid w:val="00464ADF"/>
    <w:rsid w:val="00464BD1"/>
    <w:rsid w:val="00464BD6"/>
    <w:rsid w:val="00464D68"/>
    <w:rsid w:val="00464D9E"/>
    <w:rsid w:val="00464FB9"/>
    <w:rsid w:val="0046500C"/>
    <w:rsid w:val="00465011"/>
    <w:rsid w:val="004651BB"/>
    <w:rsid w:val="00465573"/>
    <w:rsid w:val="00465609"/>
    <w:rsid w:val="00465793"/>
    <w:rsid w:val="0046582F"/>
    <w:rsid w:val="004658A7"/>
    <w:rsid w:val="004658F6"/>
    <w:rsid w:val="00465954"/>
    <w:rsid w:val="00465A76"/>
    <w:rsid w:val="00465B56"/>
    <w:rsid w:val="00465B96"/>
    <w:rsid w:val="00465BFE"/>
    <w:rsid w:val="00465C04"/>
    <w:rsid w:val="00465C76"/>
    <w:rsid w:val="00465F04"/>
    <w:rsid w:val="0046604D"/>
    <w:rsid w:val="004660F8"/>
    <w:rsid w:val="004661E0"/>
    <w:rsid w:val="00466200"/>
    <w:rsid w:val="00466380"/>
    <w:rsid w:val="00466409"/>
    <w:rsid w:val="0046642B"/>
    <w:rsid w:val="0046655A"/>
    <w:rsid w:val="00466572"/>
    <w:rsid w:val="00466604"/>
    <w:rsid w:val="004666C1"/>
    <w:rsid w:val="004666D7"/>
    <w:rsid w:val="0046678C"/>
    <w:rsid w:val="004667BA"/>
    <w:rsid w:val="00466839"/>
    <w:rsid w:val="0046684D"/>
    <w:rsid w:val="0046690E"/>
    <w:rsid w:val="00466932"/>
    <w:rsid w:val="00466A8F"/>
    <w:rsid w:val="00466B21"/>
    <w:rsid w:val="00466D54"/>
    <w:rsid w:val="00466DAE"/>
    <w:rsid w:val="00467036"/>
    <w:rsid w:val="0046714A"/>
    <w:rsid w:val="0046719E"/>
    <w:rsid w:val="004671AF"/>
    <w:rsid w:val="0046725B"/>
    <w:rsid w:val="00467348"/>
    <w:rsid w:val="0046739B"/>
    <w:rsid w:val="0046743D"/>
    <w:rsid w:val="00467497"/>
    <w:rsid w:val="00467522"/>
    <w:rsid w:val="00467553"/>
    <w:rsid w:val="00467554"/>
    <w:rsid w:val="0046762F"/>
    <w:rsid w:val="00467652"/>
    <w:rsid w:val="00467716"/>
    <w:rsid w:val="00467777"/>
    <w:rsid w:val="004677DD"/>
    <w:rsid w:val="00467867"/>
    <w:rsid w:val="0046791C"/>
    <w:rsid w:val="00467A4B"/>
    <w:rsid w:val="00467A98"/>
    <w:rsid w:val="00467B03"/>
    <w:rsid w:val="00467BD8"/>
    <w:rsid w:val="00467C0C"/>
    <w:rsid w:val="00467D7A"/>
    <w:rsid w:val="00467F0E"/>
    <w:rsid w:val="0047015B"/>
    <w:rsid w:val="0047015F"/>
    <w:rsid w:val="0047032E"/>
    <w:rsid w:val="00470340"/>
    <w:rsid w:val="00470391"/>
    <w:rsid w:val="00470521"/>
    <w:rsid w:val="00470554"/>
    <w:rsid w:val="0047060E"/>
    <w:rsid w:val="00470625"/>
    <w:rsid w:val="004706D8"/>
    <w:rsid w:val="0047082E"/>
    <w:rsid w:val="00470831"/>
    <w:rsid w:val="004709BE"/>
    <w:rsid w:val="00470A42"/>
    <w:rsid w:val="00470A51"/>
    <w:rsid w:val="00470AA0"/>
    <w:rsid w:val="00470AA2"/>
    <w:rsid w:val="00470B12"/>
    <w:rsid w:val="00470CEE"/>
    <w:rsid w:val="00470E9B"/>
    <w:rsid w:val="00470F4E"/>
    <w:rsid w:val="00470FFD"/>
    <w:rsid w:val="004710A1"/>
    <w:rsid w:val="004711B3"/>
    <w:rsid w:val="004711E2"/>
    <w:rsid w:val="0047134A"/>
    <w:rsid w:val="004713F0"/>
    <w:rsid w:val="00471486"/>
    <w:rsid w:val="004714C7"/>
    <w:rsid w:val="0047171D"/>
    <w:rsid w:val="0047172F"/>
    <w:rsid w:val="004717AF"/>
    <w:rsid w:val="004717C5"/>
    <w:rsid w:val="004717DB"/>
    <w:rsid w:val="004717FF"/>
    <w:rsid w:val="00471860"/>
    <w:rsid w:val="00471871"/>
    <w:rsid w:val="00471978"/>
    <w:rsid w:val="00471A91"/>
    <w:rsid w:val="00471AFD"/>
    <w:rsid w:val="00471BC5"/>
    <w:rsid w:val="00471BFB"/>
    <w:rsid w:val="00471C91"/>
    <w:rsid w:val="00471CE6"/>
    <w:rsid w:val="00471DAF"/>
    <w:rsid w:val="00471F6F"/>
    <w:rsid w:val="004720D2"/>
    <w:rsid w:val="0047217F"/>
    <w:rsid w:val="004721DE"/>
    <w:rsid w:val="0047223D"/>
    <w:rsid w:val="004722B8"/>
    <w:rsid w:val="00472416"/>
    <w:rsid w:val="0047253E"/>
    <w:rsid w:val="0047257D"/>
    <w:rsid w:val="004725A2"/>
    <w:rsid w:val="004725CF"/>
    <w:rsid w:val="004725DB"/>
    <w:rsid w:val="00472643"/>
    <w:rsid w:val="00472687"/>
    <w:rsid w:val="00472754"/>
    <w:rsid w:val="00472811"/>
    <w:rsid w:val="00472853"/>
    <w:rsid w:val="00472924"/>
    <w:rsid w:val="004729FB"/>
    <w:rsid w:val="00472AA6"/>
    <w:rsid w:val="00472BBD"/>
    <w:rsid w:val="00472DA7"/>
    <w:rsid w:val="00472E2C"/>
    <w:rsid w:val="00472E99"/>
    <w:rsid w:val="00472EA1"/>
    <w:rsid w:val="00472EDC"/>
    <w:rsid w:val="00472F85"/>
    <w:rsid w:val="00472FF2"/>
    <w:rsid w:val="00473003"/>
    <w:rsid w:val="004730FE"/>
    <w:rsid w:val="00473191"/>
    <w:rsid w:val="004732E7"/>
    <w:rsid w:val="00473338"/>
    <w:rsid w:val="00473433"/>
    <w:rsid w:val="00473625"/>
    <w:rsid w:val="00473688"/>
    <w:rsid w:val="00473782"/>
    <w:rsid w:val="00473BC1"/>
    <w:rsid w:val="00473BD7"/>
    <w:rsid w:val="00473C99"/>
    <w:rsid w:val="00473D21"/>
    <w:rsid w:val="00473D2D"/>
    <w:rsid w:val="00473DE0"/>
    <w:rsid w:val="00473EE0"/>
    <w:rsid w:val="0047405B"/>
    <w:rsid w:val="00474087"/>
    <w:rsid w:val="00474162"/>
    <w:rsid w:val="0047420E"/>
    <w:rsid w:val="004742EF"/>
    <w:rsid w:val="0047432E"/>
    <w:rsid w:val="004743B1"/>
    <w:rsid w:val="00474483"/>
    <w:rsid w:val="004745E8"/>
    <w:rsid w:val="00474689"/>
    <w:rsid w:val="004746C8"/>
    <w:rsid w:val="004747AF"/>
    <w:rsid w:val="0047481A"/>
    <w:rsid w:val="00474966"/>
    <w:rsid w:val="00474BD2"/>
    <w:rsid w:val="00474D6E"/>
    <w:rsid w:val="00474EFC"/>
    <w:rsid w:val="00474FAB"/>
    <w:rsid w:val="0047520E"/>
    <w:rsid w:val="004752CB"/>
    <w:rsid w:val="00475444"/>
    <w:rsid w:val="004755DC"/>
    <w:rsid w:val="00475641"/>
    <w:rsid w:val="00475663"/>
    <w:rsid w:val="00475734"/>
    <w:rsid w:val="004757BD"/>
    <w:rsid w:val="004757E8"/>
    <w:rsid w:val="0047582D"/>
    <w:rsid w:val="004758FC"/>
    <w:rsid w:val="0047596E"/>
    <w:rsid w:val="0047596F"/>
    <w:rsid w:val="00475979"/>
    <w:rsid w:val="004759E2"/>
    <w:rsid w:val="00475B05"/>
    <w:rsid w:val="00475C4E"/>
    <w:rsid w:val="00475CBF"/>
    <w:rsid w:val="00475D7A"/>
    <w:rsid w:val="00475E17"/>
    <w:rsid w:val="00475F66"/>
    <w:rsid w:val="00476059"/>
    <w:rsid w:val="00476066"/>
    <w:rsid w:val="004760D4"/>
    <w:rsid w:val="004762C9"/>
    <w:rsid w:val="004762E2"/>
    <w:rsid w:val="004762F4"/>
    <w:rsid w:val="004762F9"/>
    <w:rsid w:val="00476496"/>
    <w:rsid w:val="00476551"/>
    <w:rsid w:val="00476558"/>
    <w:rsid w:val="00476631"/>
    <w:rsid w:val="00476669"/>
    <w:rsid w:val="0047679E"/>
    <w:rsid w:val="004767B8"/>
    <w:rsid w:val="00476866"/>
    <w:rsid w:val="004768A5"/>
    <w:rsid w:val="00476A02"/>
    <w:rsid w:val="00476C63"/>
    <w:rsid w:val="00476F6D"/>
    <w:rsid w:val="00476FEE"/>
    <w:rsid w:val="0047700C"/>
    <w:rsid w:val="00477038"/>
    <w:rsid w:val="00477080"/>
    <w:rsid w:val="004770C7"/>
    <w:rsid w:val="0047723A"/>
    <w:rsid w:val="0047735A"/>
    <w:rsid w:val="004774CF"/>
    <w:rsid w:val="0047751A"/>
    <w:rsid w:val="00477676"/>
    <w:rsid w:val="00477691"/>
    <w:rsid w:val="004776CE"/>
    <w:rsid w:val="00477908"/>
    <w:rsid w:val="004779B9"/>
    <w:rsid w:val="004779C6"/>
    <w:rsid w:val="00477A99"/>
    <w:rsid w:val="00477C75"/>
    <w:rsid w:val="00477D3E"/>
    <w:rsid w:val="00477E37"/>
    <w:rsid w:val="00477F71"/>
    <w:rsid w:val="00477FA0"/>
    <w:rsid w:val="00477FF1"/>
    <w:rsid w:val="00480147"/>
    <w:rsid w:val="004801DC"/>
    <w:rsid w:val="00480426"/>
    <w:rsid w:val="004804C8"/>
    <w:rsid w:val="00480596"/>
    <w:rsid w:val="004805CF"/>
    <w:rsid w:val="0048060D"/>
    <w:rsid w:val="004806D9"/>
    <w:rsid w:val="0048089C"/>
    <w:rsid w:val="00480962"/>
    <w:rsid w:val="00480B49"/>
    <w:rsid w:val="00480B52"/>
    <w:rsid w:val="00480BF2"/>
    <w:rsid w:val="00480C0D"/>
    <w:rsid w:val="00480C9A"/>
    <w:rsid w:val="00480D5C"/>
    <w:rsid w:val="00480D79"/>
    <w:rsid w:val="00480D9F"/>
    <w:rsid w:val="00480DA0"/>
    <w:rsid w:val="00480E19"/>
    <w:rsid w:val="00480EBF"/>
    <w:rsid w:val="004810C0"/>
    <w:rsid w:val="00481243"/>
    <w:rsid w:val="004812D3"/>
    <w:rsid w:val="00481333"/>
    <w:rsid w:val="0048141A"/>
    <w:rsid w:val="00481423"/>
    <w:rsid w:val="00481428"/>
    <w:rsid w:val="0048142E"/>
    <w:rsid w:val="00481468"/>
    <w:rsid w:val="00481648"/>
    <w:rsid w:val="00481676"/>
    <w:rsid w:val="004817EE"/>
    <w:rsid w:val="004818B3"/>
    <w:rsid w:val="004818F6"/>
    <w:rsid w:val="004819B3"/>
    <w:rsid w:val="00481A46"/>
    <w:rsid w:val="00481C08"/>
    <w:rsid w:val="00481C80"/>
    <w:rsid w:val="00481C93"/>
    <w:rsid w:val="00481D8B"/>
    <w:rsid w:val="00481DEB"/>
    <w:rsid w:val="00481E7C"/>
    <w:rsid w:val="0048217B"/>
    <w:rsid w:val="004822D4"/>
    <w:rsid w:val="0048259F"/>
    <w:rsid w:val="0048265B"/>
    <w:rsid w:val="00482796"/>
    <w:rsid w:val="004829FA"/>
    <w:rsid w:val="00482A0B"/>
    <w:rsid w:val="00482A4C"/>
    <w:rsid w:val="00482AD5"/>
    <w:rsid w:val="00482AED"/>
    <w:rsid w:val="00482B0F"/>
    <w:rsid w:val="00482B54"/>
    <w:rsid w:val="00482BC5"/>
    <w:rsid w:val="00482CD9"/>
    <w:rsid w:val="00482D50"/>
    <w:rsid w:val="00482E0D"/>
    <w:rsid w:val="00482F16"/>
    <w:rsid w:val="00482F40"/>
    <w:rsid w:val="00482FA9"/>
    <w:rsid w:val="004832A1"/>
    <w:rsid w:val="004836E3"/>
    <w:rsid w:val="004838BA"/>
    <w:rsid w:val="00483A00"/>
    <w:rsid w:val="00483AEE"/>
    <w:rsid w:val="00483BA6"/>
    <w:rsid w:val="00483BE6"/>
    <w:rsid w:val="00483CD4"/>
    <w:rsid w:val="00483CF6"/>
    <w:rsid w:val="00483D8F"/>
    <w:rsid w:val="00483DBD"/>
    <w:rsid w:val="00483DC0"/>
    <w:rsid w:val="00483DFA"/>
    <w:rsid w:val="00483E1D"/>
    <w:rsid w:val="00483EFA"/>
    <w:rsid w:val="00483F5D"/>
    <w:rsid w:val="0048408D"/>
    <w:rsid w:val="0048419A"/>
    <w:rsid w:val="00484392"/>
    <w:rsid w:val="00484400"/>
    <w:rsid w:val="00484478"/>
    <w:rsid w:val="00484498"/>
    <w:rsid w:val="0048481E"/>
    <w:rsid w:val="00484907"/>
    <w:rsid w:val="00484989"/>
    <w:rsid w:val="00484A50"/>
    <w:rsid w:val="00484C60"/>
    <w:rsid w:val="00484C89"/>
    <w:rsid w:val="00484C91"/>
    <w:rsid w:val="00484D1C"/>
    <w:rsid w:val="00484D23"/>
    <w:rsid w:val="00484D71"/>
    <w:rsid w:val="00484D93"/>
    <w:rsid w:val="00484FD3"/>
    <w:rsid w:val="004850F2"/>
    <w:rsid w:val="00485125"/>
    <w:rsid w:val="0048514C"/>
    <w:rsid w:val="00485287"/>
    <w:rsid w:val="00485398"/>
    <w:rsid w:val="004853DE"/>
    <w:rsid w:val="004854A8"/>
    <w:rsid w:val="004854E7"/>
    <w:rsid w:val="004855D0"/>
    <w:rsid w:val="004855E9"/>
    <w:rsid w:val="0048563A"/>
    <w:rsid w:val="004856A1"/>
    <w:rsid w:val="00485772"/>
    <w:rsid w:val="00485797"/>
    <w:rsid w:val="0048579D"/>
    <w:rsid w:val="00485931"/>
    <w:rsid w:val="00485934"/>
    <w:rsid w:val="004859C4"/>
    <w:rsid w:val="00485A79"/>
    <w:rsid w:val="00485ABC"/>
    <w:rsid w:val="00485B09"/>
    <w:rsid w:val="00485CBE"/>
    <w:rsid w:val="00485D71"/>
    <w:rsid w:val="00485D77"/>
    <w:rsid w:val="00485E06"/>
    <w:rsid w:val="00485EC2"/>
    <w:rsid w:val="00485ECA"/>
    <w:rsid w:val="00485F98"/>
    <w:rsid w:val="00486133"/>
    <w:rsid w:val="0048636E"/>
    <w:rsid w:val="004863E0"/>
    <w:rsid w:val="0048642F"/>
    <w:rsid w:val="004864B4"/>
    <w:rsid w:val="004864D3"/>
    <w:rsid w:val="004864D9"/>
    <w:rsid w:val="004864EF"/>
    <w:rsid w:val="0048655D"/>
    <w:rsid w:val="00486583"/>
    <w:rsid w:val="004865AA"/>
    <w:rsid w:val="004868F1"/>
    <w:rsid w:val="00486973"/>
    <w:rsid w:val="00486974"/>
    <w:rsid w:val="00486C77"/>
    <w:rsid w:val="00486D6F"/>
    <w:rsid w:val="00486E4F"/>
    <w:rsid w:val="00486ED2"/>
    <w:rsid w:val="00486F37"/>
    <w:rsid w:val="00486F97"/>
    <w:rsid w:val="00487168"/>
    <w:rsid w:val="00487219"/>
    <w:rsid w:val="004872EA"/>
    <w:rsid w:val="0048734E"/>
    <w:rsid w:val="004873AD"/>
    <w:rsid w:val="00487400"/>
    <w:rsid w:val="00487580"/>
    <w:rsid w:val="00487722"/>
    <w:rsid w:val="004878A7"/>
    <w:rsid w:val="004879BC"/>
    <w:rsid w:val="00487BE6"/>
    <w:rsid w:val="00487CBB"/>
    <w:rsid w:val="00487EFD"/>
    <w:rsid w:val="00487F12"/>
    <w:rsid w:val="00487F62"/>
    <w:rsid w:val="004900E1"/>
    <w:rsid w:val="00490134"/>
    <w:rsid w:val="00490174"/>
    <w:rsid w:val="00490194"/>
    <w:rsid w:val="0049024C"/>
    <w:rsid w:val="00490309"/>
    <w:rsid w:val="004903D0"/>
    <w:rsid w:val="00490449"/>
    <w:rsid w:val="004905BB"/>
    <w:rsid w:val="004906A4"/>
    <w:rsid w:val="004907EB"/>
    <w:rsid w:val="004908D5"/>
    <w:rsid w:val="0049097E"/>
    <w:rsid w:val="004909C2"/>
    <w:rsid w:val="00490A27"/>
    <w:rsid w:val="00490AFA"/>
    <w:rsid w:val="00490CD6"/>
    <w:rsid w:val="00491008"/>
    <w:rsid w:val="00491069"/>
    <w:rsid w:val="004910A2"/>
    <w:rsid w:val="004910AE"/>
    <w:rsid w:val="0049112C"/>
    <w:rsid w:val="004911AE"/>
    <w:rsid w:val="0049122C"/>
    <w:rsid w:val="00491473"/>
    <w:rsid w:val="0049155F"/>
    <w:rsid w:val="004915A7"/>
    <w:rsid w:val="00491660"/>
    <w:rsid w:val="0049167F"/>
    <w:rsid w:val="00491793"/>
    <w:rsid w:val="004917C2"/>
    <w:rsid w:val="00491899"/>
    <w:rsid w:val="0049189A"/>
    <w:rsid w:val="004918A5"/>
    <w:rsid w:val="00491A09"/>
    <w:rsid w:val="00491ADF"/>
    <w:rsid w:val="00491B64"/>
    <w:rsid w:val="00491C0A"/>
    <w:rsid w:val="00491C99"/>
    <w:rsid w:val="00491D55"/>
    <w:rsid w:val="00491DE3"/>
    <w:rsid w:val="00491E7D"/>
    <w:rsid w:val="00491EEA"/>
    <w:rsid w:val="00491F55"/>
    <w:rsid w:val="00491F67"/>
    <w:rsid w:val="00492049"/>
    <w:rsid w:val="00492060"/>
    <w:rsid w:val="0049206E"/>
    <w:rsid w:val="00492093"/>
    <w:rsid w:val="004920A9"/>
    <w:rsid w:val="004920FA"/>
    <w:rsid w:val="00492134"/>
    <w:rsid w:val="0049218C"/>
    <w:rsid w:val="0049219C"/>
    <w:rsid w:val="004921D6"/>
    <w:rsid w:val="0049235D"/>
    <w:rsid w:val="004924A7"/>
    <w:rsid w:val="004925EA"/>
    <w:rsid w:val="00492A3E"/>
    <w:rsid w:val="00492B8D"/>
    <w:rsid w:val="00492C15"/>
    <w:rsid w:val="00492D23"/>
    <w:rsid w:val="00492FF8"/>
    <w:rsid w:val="004930B3"/>
    <w:rsid w:val="004930FE"/>
    <w:rsid w:val="00493135"/>
    <w:rsid w:val="0049316C"/>
    <w:rsid w:val="004931C4"/>
    <w:rsid w:val="00493256"/>
    <w:rsid w:val="0049339D"/>
    <w:rsid w:val="004933B2"/>
    <w:rsid w:val="00493443"/>
    <w:rsid w:val="004934EC"/>
    <w:rsid w:val="00493524"/>
    <w:rsid w:val="00493575"/>
    <w:rsid w:val="0049368E"/>
    <w:rsid w:val="0049369B"/>
    <w:rsid w:val="0049393E"/>
    <w:rsid w:val="00493B5A"/>
    <w:rsid w:val="00493D99"/>
    <w:rsid w:val="00493E44"/>
    <w:rsid w:val="00493E52"/>
    <w:rsid w:val="004940C7"/>
    <w:rsid w:val="0049416C"/>
    <w:rsid w:val="004941E6"/>
    <w:rsid w:val="00494255"/>
    <w:rsid w:val="004942AD"/>
    <w:rsid w:val="00494351"/>
    <w:rsid w:val="00494377"/>
    <w:rsid w:val="004945D6"/>
    <w:rsid w:val="004946D0"/>
    <w:rsid w:val="0049472C"/>
    <w:rsid w:val="00494748"/>
    <w:rsid w:val="004947F1"/>
    <w:rsid w:val="00494830"/>
    <w:rsid w:val="00494869"/>
    <w:rsid w:val="00494885"/>
    <w:rsid w:val="00494892"/>
    <w:rsid w:val="004948D0"/>
    <w:rsid w:val="00494C0E"/>
    <w:rsid w:val="00494DA2"/>
    <w:rsid w:val="00494DA5"/>
    <w:rsid w:val="00494E11"/>
    <w:rsid w:val="00494E74"/>
    <w:rsid w:val="00494F90"/>
    <w:rsid w:val="00495098"/>
    <w:rsid w:val="004951A9"/>
    <w:rsid w:val="00495208"/>
    <w:rsid w:val="00495325"/>
    <w:rsid w:val="004953FE"/>
    <w:rsid w:val="004954FA"/>
    <w:rsid w:val="00495564"/>
    <w:rsid w:val="00495675"/>
    <w:rsid w:val="00495786"/>
    <w:rsid w:val="0049578C"/>
    <w:rsid w:val="004958CC"/>
    <w:rsid w:val="004959BB"/>
    <w:rsid w:val="00495DAC"/>
    <w:rsid w:val="00495E0F"/>
    <w:rsid w:val="00495E33"/>
    <w:rsid w:val="00495E6E"/>
    <w:rsid w:val="00495F6D"/>
    <w:rsid w:val="00495F8D"/>
    <w:rsid w:val="00496099"/>
    <w:rsid w:val="004960BE"/>
    <w:rsid w:val="004961D1"/>
    <w:rsid w:val="0049630A"/>
    <w:rsid w:val="00496371"/>
    <w:rsid w:val="0049651D"/>
    <w:rsid w:val="00496600"/>
    <w:rsid w:val="00496622"/>
    <w:rsid w:val="00496662"/>
    <w:rsid w:val="00496727"/>
    <w:rsid w:val="0049676D"/>
    <w:rsid w:val="0049679A"/>
    <w:rsid w:val="004967F9"/>
    <w:rsid w:val="00496828"/>
    <w:rsid w:val="00496829"/>
    <w:rsid w:val="00496916"/>
    <w:rsid w:val="004969E8"/>
    <w:rsid w:val="00496A11"/>
    <w:rsid w:val="00496B5F"/>
    <w:rsid w:val="00496C2F"/>
    <w:rsid w:val="00496F4E"/>
    <w:rsid w:val="00497076"/>
    <w:rsid w:val="00497096"/>
    <w:rsid w:val="0049713E"/>
    <w:rsid w:val="0049714D"/>
    <w:rsid w:val="0049724C"/>
    <w:rsid w:val="00497255"/>
    <w:rsid w:val="0049735B"/>
    <w:rsid w:val="00497725"/>
    <w:rsid w:val="00497762"/>
    <w:rsid w:val="00497A17"/>
    <w:rsid w:val="00497A86"/>
    <w:rsid w:val="00497B21"/>
    <w:rsid w:val="00497D68"/>
    <w:rsid w:val="00497E14"/>
    <w:rsid w:val="0049BF2B"/>
    <w:rsid w:val="004A0162"/>
    <w:rsid w:val="004A020C"/>
    <w:rsid w:val="004A021C"/>
    <w:rsid w:val="004A0385"/>
    <w:rsid w:val="004A060C"/>
    <w:rsid w:val="004A0632"/>
    <w:rsid w:val="004A0759"/>
    <w:rsid w:val="004A0862"/>
    <w:rsid w:val="004A0876"/>
    <w:rsid w:val="004A0890"/>
    <w:rsid w:val="004A08F2"/>
    <w:rsid w:val="004A0B2D"/>
    <w:rsid w:val="004A0C03"/>
    <w:rsid w:val="004A0C2D"/>
    <w:rsid w:val="004A0DD8"/>
    <w:rsid w:val="004A0DEF"/>
    <w:rsid w:val="004A0E50"/>
    <w:rsid w:val="004A0E79"/>
    <w:rsid w:val="004A115E"/>
    <w:rsid w:val="004A11F7"/>
    <w:rsid w:val="004A133E"/>
    <w:rsid w:val="004A1341"/>
    <w:rsid w:val="004A13A1"/>
    <w:rsid w:val="004A14F7"/>
    <w:rsid w:val="004A15A9"/>
    <w:rsid w:val="004A15B6"/>
    <w:rsid w:val="004A1610"/>
    <w:rsid w:val="004A16CC"/>
    <w:rsid w:val="004A1738"/>
    <w:rsid w:val="004A1744"/>
    <w:rsid w:val="004A186A"/>
    <w:rsid w:val="004A1916"/>
    <w:rsid w:val="004A19B4"/>
    <w:rsid w:val="004A1A71"/>
    <w:rsid w:val="004A1AB9"/>
    <w:rsid w:val="004A1B97"/>
    <w:rsid w:val="004A1BD1"/>
    <w:rsid w:val="004A1C5D"/>
    <w:rsid w:val="004A1CD2"/>
    <w:rsid w:val="004A1D00"/>
    <w:rsid w:val="004A1D60"/>
    <w:rsid w:val="004A1D75"/>
    <w:rsid w:val="004A210C"/>
    <w:rsid w:val="004A2244"/>
    <w:rsid w:val="004A23AD"/>
    <w:rsid w:val="004A23B9"/>
    <w:rsid w:val="004A245D"/>
    <w:rsid w:val="004A2499"/>
    <w:rsid w:val="004A251E"/>
    <w:rsid w:val="004A253F"/>
    <w:rsid w:val="004A25AC"/>
    <w:rsid w:val="004A25C5"/>
    <w:rsid w:val="004A2749"/>
    <w:rsid w:val="004A275E"/>
    <w:rsid w:val="004A2865"/>
    <w:rsid w:val="004A2878"/>
    <w:rsid w:val="004A28B2"/>
    <w:rsid w:val="004A2958"/>
    <w:rsid w:val="004A296F"/>
    <w:rsid w:val="004A2A6C"/>
    <w:rsid w:val="004A2A9C"/>
    <w:rsid w:val="004A2B0A"/>
    <w:rsid w:val="004A2BC5"/>
    <w:rsid w:val="004A2BC6"/>
    <w:rsid w:val="004A2BDE"/>
    <w:rsid w:val="004A2C0E"/>
    <w:rsid w:val="004A2D37"/>
    <w:rsid w:val="004A2E9A"/>
    <w:rsid w:val="004A2F78"/>
    <w:rsid w:val="004A313D"/>
    <w:rsid w:val="004A329C"/>
    <w:rsid w:val="004A3511"/>
    <w:rsid w:val="004A35C1"/>
    <w:rsid w:val="004A3667"/>
    <w:rsid w:val="004A377D"/>
    <w:rsid w:val="004A37C8"/>
    <w:rsid w:val="004A39CE"/>
    <w:rsid w:val="004A3B21"/>
    <w:rsid w:val="004A3B73"/>
    <w:rsid w:val="004A3BA2"/>
    <w:rsid w:val="004A3BB6"/>
    <w:rsid w:val="004A3EEF"/>
    <w:rsid w:val="004A3FD5"/>
    <w:rsid w:val="004A4008"/>
    <w:rsid w:val="004A4209"/>
    <w:rsid w:val="004A421A"/>
    <w:rsid w:val="004A4348"/>
    <w:rsid w:val="004A4360"/>
    <w:rsid w:val="004A437E"/>
    <w:rsid w:val="004A43FA"/>
    <w:rsid w:val="004A4519"/>
    <w:rsid w:val="004A45A0"/>
    <w:rsid w:val="004A469E"/>
    <w:rsid w:val="004A46BE"/>
    <w:rsid w:val="004A4816"/>
    <w:rsid w:val="004A48A4"/>
    <w:rsid w:val="004A4CCD"/>
    <w:rsid w:val="004A4CD7"/>
    <w:rsid w:val="004A4E2C"/>
    <w:rsid w:val="004A4F4C"/>
    <w:rsid w:val="004A503A"/>
    <w:rsid w:val="004A508F"/>
    <w:rsid w:val="004A50D8"/>
    <w:rsid w:val="004A52AA"/>
    <w:rsid w:val="004A533F"/>
    <w:rsid w:val="004A5387"/>
    <w:rsid w:val="004A541B"/>
    <w:rsid w:val="004A54D6"/>
    <w:rsid w:val="004A5534"/>
    <w:rsid w:val="004A567F"/>
    <w:rsid w:val="004A5751"/>
    <w:rsid w:val="004A588B"/>
    <w:rsid w:val="004A591B"/>
    <w:rsid w:val="004A5937"/>
    <w:rsid w:val="004A593F"/>
    <w:rsid w:val="004A59A0"/>
    <w:rsid w:val="004A59D4"/>
    <w:rsid w:val="004A5ACD"/>
    <w:rsid w:val="004A5C2D"/>
    <w:rsid w:val="004A5C5C"/>
    <w:rsid w:val="004A5EEB"/>
    <w:rsid w:val="004A6083"/>
    <w:rsid w:val="004A60AC"/>
    <w:rsid w:val="004A60B4"/>
    <w:rsid w:val="004A6135"/>
    <w:rsid w:val="004A623B"/>
    <w:rsid w:val="004A6398"/>
    <w:rsid w:val="004A647D"/>
    <w:rsid w:val="004A64FD"/>
    <w:rsid w:val="004A6592"/>
    <w:rsid w:val="004A65A2"/>
    <w:rsid w:val="004A66EB"/>
    <w:rsid w:val="004A67F5"/>
    <w:rsid w:val="004A6811"/>
    <w:rsid w:val="004A6829"/>
    <w:rsid w:val="004A6A75"/>
    <w:rsid w:val="004A6B2F"/>
    <w:rsid w:val="004A6BBC"/>
    <w:rsid w:val="004A6C79"/>
    <w:rsid w:val="004A6CA8"/>
    <w:rsid w:val="004A6F14"/>
    <w:rsid w:val="004A6F59"/>
    <w:rsid w:val="004A7125"/>
    <w:rsid w:val="004A715A"/>
    <w:rsid w:val="004A718A"/>
    <w:rsid w:val="004A7231"/>
    <w:rsid w:val="004A7244"/>
    <w:rsid w:val="004A7324"/>
    <w:rsid w:val="004A751F"/>
    <w:rsid w:val="004A7578"/>
    <w:rsid w:val="004A75CB"/>
    <w:rsid w:val="004A7641"/>
    <w:rsid w:val="004A7663"/>
    <w:rsid w:val="004A7820"/>
    <w:rsid w:val="004A782C"/>
    <w:rsid w:val="004A7896"/>
    <w:rsid w:val="004A7907"/>
    <w:rsid w:val="004A794A"/>
    <w:rsid w:val="004A7A7C"/>
    <w:rsid w:val="004A7B1E"/>
    <w:rsid w:val="004A7C3A"/>
    <w:rsid w:val="004A7D3A"/>
    <w:rsid w:val="004A7FC3"/>
    <w:rsid w:val="004B004E"/>
    <w:rsid w:val="004B0135"/>
    <w:rsid w:val="004B0378"/>
    <w:rsid w:val="004B03C1"/>
    <w:rsid w:val="004B041F"/>
    <w:rsid w:val="004B050A"/>
    <w:rsid w:val="004B06EB"/>
    <w:rsid w:val="004B070B"/>
    <w:rsid w:val="004B075E"/>
    <w:rsid w:val="004B0762"/>
    <w:rsid w:val="004B078D"/>
    <w:rsid w:val="004B0886"/>
    <w:rsid w:val="004B0946"/>
    <w:rsid w:val="004B0A0B"/>
    <w:rsid w:val="004B0A9C"/>
    <w:rsid w:val="004B0B29"/>
    <w:rsid w:val="004B0B59"/>
    <w:rsid w:val="004B0BA4"/>
    <w:rsid w:val="004B0C73"/>
    <w:rsid w:val="004B0CBE"/>
    <w:rsid w:val="004B0D0A"/>
    <w:rsid w:val="004B0DA7"/>
    <w:rsid w:val="004B0F52"/>
    <w:rsid w:val="004B0F8E"/>
    <w:rsid w:val="004B10A7"/>
    <w:rsid w:val="004B115C"/>
    <w:rsid w:val="004B11F4"/>
    <w:rsid w:val="004B12EC"/>
    <w:rsid w:val="004B1431"/>
    <w:rsid w:val="004B1612"/>
    <w:rsid w:val="004B168D"/>
    <w:rsid w:val="004B1837"/>
    <w:rsid w:val="004B1866"/>
    <w:rsid w:val="004B18AC"/>
    <w:rsid w:val="004B1950"/>
    <w:rsid w:val="004B1A03"/>
    <w:rsid w:val="004B1A04"/>
    <w:rsid w:val="004B1D3F"/>
    <w:rsid w:val="004B1DE1"/>
    <w:rsid w:val="004B1E04"/>
    <w:rsid w:val="004B20E4"/>
    <w:rsid w:val="004B2169"/>
    <w:rsid w:val="004B2200"/>
    <w:rsid w:val="004B2333"/>
    <w:rsid w:val="004B246B"/>
    <w:rsid w:val="004B254F"/>
    <w:rsid w:val="004B2577"/>
    <w:rsid w:val="004B2634"/>
    <w:rsid w:val="004B2816"/>
    <w:rsid w:val="004B2865"/>
    <w:rsid w:val="004B2887"/>
    <w:rsid w:val="004B29AC"/>
    <w:rsid w:val="004B29CE"/>
    <w:rsid w:val="004B2B15"/>
    <w:rsid w:val="004B2BE0"/>
    <w:rsid w:val="004B2CA1"/>
    <w:rsid w:val="004B2FF8"/>
    <w:rsid w:val="004B3080"/>
    <w:rsid w:val="004B30E1"/>
    <w:rsid w:val="004B3144"/>
    <w:rsid w:val="004B315F"/>
    <w:rsid w:val="004B3165"/>
    <w:rsid w:val="004B3199"/>
    <w:rsid w:val="004B319B"/>
    <w:rsid w:val="004B3221"/>
    <w:rsid w:val="004B323F"/>
    <w:rsid w:val="004B3250"/>
    <w:rsid w:val="004B328E"/>
    <w:rsid w:val="004B33C4"/>
    <w:rsid w:val="004B343E"/>
    <w:rsid w:val="004B34FC"/>
    <w:rsid w:val="004B355E"/>
    <w:rsid w:val="004B35C8"/>
    <w:rsid w:val="004B3648"/>
    <w:rsid w:val="004B3668"/>
    <w:rsid w:val="004B36D3"/>
    <w:rsid w:val="004B3705"/>
    <w:rsid w:val="004B373A"/>
    <w:rsid w:val="004B389C"/>
    <w:rsid w:val="004B39BD"/>
    <w:rsid w:val="004B3A2E"/>
    <w:rsid w:val="004B3DD5"/>
    <w:rsid w:val="004B3ED4"/>
    <w:rsid w:val="004B3FA6"/>
    <w:rsid w:val="004B3FDD"/>
    <w:rsid w:val="004B3FE8"/>
    <w:rsid w:val="004B4201"/>
    <w:rsid w:val="004B4213"/>
    <w:rsid w:val="004B4315"/>
    <w:rsid w:val="004B4572"/>
    <w:rsid w:val="004B45DF"/>
    <w:rsid w:val="004B465F"/>
    <w:rsid w:val="004B46CC"/>
    <w:rsid w:val="004B48E8"/>
    <w:rsid w:val="004B49DD"/>
    <w:rsid w:val="004B4B5C"/>
    <w:rsid w:val="004B4BA8"/>
    <w:rsid w:val="004B4CBD"/>
    <w:rsid w:val="004B4CCA"/>
    <w:rsid w:val="004B4D43"/>
    <w:rsid w:val="004B4D7B"/>
    <w:rsid w:val="004B4DE2"/>
    <w:rsid w:val="004B4F1A"/>
    <w:rsid w:val="004B507E"/>
    <w:rsid w:val="004B50BA"/>
    <w:rsid w:val="004B5115"/>
    <w:rsid w:val="004B5145"/>
    <w:rsid w:val="004B51CA"/>
    <w:rsid w:val="004B5275"/>
    <w:rsid w:val="004B53E8"/>
    <w:rsid w:val="004B54FE"/>
    <w:rsid w:val="004B555A"/>
    <w:rsid w:val="004B568E"/>
    <w:rsid w:val="004B56C8"/>
    <w:rsid w:val="004B5776"/>
    <w:rsid w:val="004B5810"/>
    <w:rsid w:val="004B59FC"/>
    <w:rsid w:val="004B5B46"/>
    <w:rsid w:val="004B5B65"/>
    <w:rsid w:val="004B5B9D"/>
    <w:rsid w:val="004B5CBE"/>
    <w:rsid w:val="004B5D2A"/>
    <w:rsid w:val="004B5D84"/>
    <w:rsid w:val="004B5D91"/>
    <w:rsid w:val="004B5E31"/>
    <w:rsid w:val="004B5EEA"/>
    <w:rsid w:val="004B5F4C"/>
    <w:rsid w:val="004B600D"/>
    <w:rsid w:val="004B604E"/>
    <w:rsid w:val="004B6078"/>
    <w:rsid w:val="004B608F"/>
    <w:rsid w:val="004B60CC"/>
    <w:rsid w:val="004B621A"/>
    <w:rsid w:val="004B6290"/>
    <w:rsid w:val="004B62BA"/>
    <w:rsid w:val="004B6401"/>
    <w:rsid w:val="004B6433"/>
    <w:rsid w:val="004B643D"/>
    <w:rsid w:val="004B64B3"/>
    <w:rsid w:val="004B6556"/>
    <w:rsid w:val="004B6897"/>
    <w:rsid w:val="004B68AB"/>
    <w:rsid w:val="004B68E1"/>
    <w:rsid w:val="004B68F2"/>
    <w:rsid w:val="004B69AA"/>
    <w:rsid w:val="004B6C2E"/>
    <w:rsid w:val="004B6C96"/>
    <w:rsid w:val="004B6CDE"/>
    <w:rsid w:val="004B6DAF"/>
    <w:rsid w:val="004B6E7E"/>
    <w:rsid w:val="004B6EA5"/>
    <w:rsid w:val="004B6FF6"/>
    <w:rsid w:val="004B700C"/>
    <w:rsid w:val="004B7091"/>
    <w:rsid w:val="004B716F"/>
    <w:rsid w:val="004B719B"/>
    <w:rsid w:val="004B72D4"/>
    <w:rsid w:val="004B72F4"/>
    <w:rsid w:val="004B7476"/>
    <w:rsid w:val="004B7611"/>
    <w:rsid w:val="004B7825"/>
    <w:rsid w:val="004B782A"/>
    <w:rsid w:val="004B7873"/>
    <w:rsid w:val="004B7A9C"/>
    <w:rsid w:val="004B7B99"/>
    <w:rsid w:val="004B7BAC"/>
    <w:rsid w:val="004B7BD2"/>
    <w:rsid w:val="004B7E16"/>
    <w:rsid w:val="004B7E46"/>
    <w:rsid w:val="004B7ECB"/>
    <w:rsid w:val="004B7EDF"/>
    <w:rsid w:val="004B7F4D"/>
    <w:rsid w:val="004C0073"/>
    <w:rsid w:val="004C0158"/>
    <w:rsid w:val="004C03F5"/>
    <w:rsid w:val="004C03F6"/>
    <w:rsid w:val="004C055C"/>
    <w:rsid w:val="004C0596"/>
    <w:rsid w:val="004C06CE"/>
    <w:rsid w:val="004C073C"/>
    <w:rsid w:val="004C08FA"/>
    <w:rsid w:val="004C095A"/>
    <w:rsid w:val="004C0A88"/>
    <w:rsid w:val="004C0A8A"/>
    <w:rsid w:val="004C0B22"/>
    <w:rsid w:val="004C0CBD"/>
    <w:rsid w:val="004C0D5B"/>
    <w:rsid w:val="004C0D61"/>
    <w:rsid w:val="004C0DB2"/>
    <w:rsid w:val="004C0DBF"/>
    <w:rsid w:val="004C0E72"/>
    <w:rsid w:val="004C0E7F"/>
    <w:rsid w:val="004C1120"/>
    <w:rsid w:val="004C11C1"/>
    <w:rsid w:val="004C1222"/>
    <w:rsid w:val="004C123D"/>
    <w:rsid w:val="004C1522"/>
    <w:rsid w:val="004C1672"/>
    <w:rsid w:val="004C1679"/>
    <w:rsid w:val="004C16BC"/>
    <w:rsid w:val="004C18E0"/>
    <w:rsid w:val="004C1947"/>
    <w:rsid w:val="004C1A1C"/>
    <w:rsid w:val="004C1B88"/>
    <w:rsid w:val="004C1C32"/>
    <w:rsid w:val="004C1C64"/>
    <w:rsid w:val="004C1E80"/>
    <w:rsid w:val="004C20AE"/>
    <w:rsid w:val="004C22F0"/>
    <w:rsid w:val="004C246D"/>
    <w:rsid w:val="004C2517"/>
    <w:rsid w:val="004C25E0"/>
    <w:rsid w:val="004C275A"/>
    <w:rsid w:val="004C2780"/>
    <w:rsid w:val="004C27A6"/>
    <w:rsid w:val="004C27D5"/>
    <w:rsid w:val="004C2825"/>
    <w:rsid w:val="004C294D"/>
    <w:rsid w:val="004C2B64"/>
    <w:rsid w:val="004C2C6C"/>
    <w:rsid w:val="004C2CCA"/>
    <w:rsid w:val="004C2E22"/>
    <w:rsid w:val="004C2F97"/>
    <w:rsid w:val="004C2FEC"/>
    <w:rsid w:val="004C3062"/>
    <w:rsid w:val="004C3071"/>
    <w:rsid w:val="004C313F"/>
    <w:rsid w:val="004C3216"/>
    <w:rsid w:val="004C3240"/>
    <w:rsid w:val="004C33A3"/>
    <w:rsid w:val="004C34B0"/>
    <w:rsid w:val="004C36B9"/>
    <w:rsid w:val="004C37A9"/>
    <w:rsid w:val="004C37FD"/>
    <w:rsid w:val="004C3817"/>
    <w:rsid w:val="004C3877"/>
    <w:rsid w:val="004C3978"/>
    <w:rsid w:val="004C3B35"/>
    <w:rsid w:val="004C3C12"/>
    <w:rsid w:val="004C3C88"/>
    <w:rsid w:val="004C3ED5"/>
    <w:rsid w:val="004C4154"/>
    <w:rsid w:val="004C418A"/>
    <w:rsid w:val="004C418E"/>
    <w:rsid w:val="004C419D"/>
    <w:rsid w:val="004C41A1"/>
    <w:rsid w:val="004C4237"/>
    <w:rsid w:val="004C4254"/>
    <w:rsid w:val="004C4260"/>
    <w:rsid w:val="004C463C"/>
    <w:rsid w:val="004C4646"/>
    <w:rsid w:val="004C46E3"/>
    <w:rsid w:val="004C48A0"/>
    <w:rsid w:val="004C4964"/>
    <w:rsid w:val="004C4AA8"/>
    <w:rsid w:val="004C4B2E"/>
    <w:rsid w:val="004C4B78"/>
    <w:rsid w:val="004C4C65"/>
    <w:rsid w:val="004C4D86"/>
    <w:rsid w:val="004C4E24"/>
    <w:rsid w:val="004C4E8C"/>
    <w:rsid w:val="004C4E9D"/>
    <w:rsid w:val="004C4FE0"/>
    <w:rsid w:val="004C520F"/>
    <w:rsid w:val="004C5284"/>
    <w:rsid w:val="004C5300"/>
    <w:rsid w:val="004C5361"/>
    <w:rsid w:val="004C538E"/>
    <w:rsid w:val="004C53A5"/>
    <w:rsid w:val="004C5470"/>
    <w:rsid w:val="004C54E8"/>
    <w:rsid w:val="004C5623"/>
    <w:rsid w:val="004C564C"/>
    <w:rsid w:val="004C568F"/>
    <w:rsid w:val="004C56CA"/>
    <w:rsid w:val="004C5717"/>
    <w:rsid w:val="004C5739"/>
    <w:rsid w:val="004C5829"/>
    <w:rsid w:val="004C583D"/>
    <w:rsid w:val="004C590E"/>
    <w:rsid w:val="004C5B6A"/>
    <w:rsid w:val="004C5C3C"/>
    <w:rsid w:val="004C5CF3"/>
    <w:rsid w:val="004C5CFC"/>
    <w:rsid w:val="004C5DFD"/>
    <w:rsid w:val="004C5F6A"/>
    <w:rsid w:val="004C609D"/>
    <w:rsid w:val="004C610D"/>
    <w:rsid w:val="004C61D5"/>
    <w:rsid w:val="004C6204"/>
    <w:rsid w:val="004C6247"/>
    <w:rsid w:val="004C62BA"/>
    <w:rsid w:val="004C630C"/>
    <w:rsid w:val="004C63DC"/>
    <w:rsid w:val="004C6454"/>
    <w:rsid w:val="004C6511"/>
    <w:rsid w:val="004C6626"/>
    <w:rsid w:val="004C6669"/>
    <w:rsid w:val="004C6739"/>
    <w:rsid w:val="004C6799"/>
    <w:rsid w:val="004C690B"/>
    <w:rsid w:val="004C6922"/>
    <w:rsid w:val="004C6996"/>
    <w:rsid w:val="004C6B1F"/>
    <w:rsid w:val="004C6B35"/>
    <w:rsid w:val="004C6C1D"/>
    <w:rsid w:val="004C6E02"/>
    <w:rsid w:val="004C6F1A"/>
    <w:rsid w:val="004C71D1"/>
    <w:rsid w:val="004C7237"/>
    <w:rsid w:val="004C73E3"/>
    <w:rsid w:val="004C744B"/>
    <w:rsid w:val="004C75B3"/>
    <w:rsid w:val="004C75BC"/>
    <w:rsid w:val="004C7801"/>
    <w:rsid w:val="004C7905"/>
    <w:rsid w:val="004C7A0B"/>
    <w:rsid w:val="004C7AC1"/>
    <w:rsid w:val="004C7B08"/>
    <w:rsid w:val="004C7CDD"/>
    <w:rsid w:val="004C7D91"/>
    <w:rsid w:val="004C7DE8"/>
    <w:rsid w:val="004C7EEB"/>
    <w:rsid w:val="004C7F55"/>
    <w:rsid w:val="004D0004"/>
    <w:rsid w:val="004D000B"/>
    <w:rsid w:val="004D01DB"/>
    <w:rsid w:val="004D01DC"/>
    <w:rsid w:val="004D041C"/>
    <w:rsid w:val="004D0457"/>
    <w:rsid w:val="004D0469"/>
    <w:rsid w:val="004D046F"/>
    <w:rsid w:val="004D05AD"/>
    <w:rsid w:val="004D05FD"/>
    <w:rsid w:val="004D0611"/>
    <w:rsid w:val="004D0684"/>
    <w:rsid w:val="004D07A5"/>
    <w:rsid w:val="004D07A6"/>
    <w:rsid w:val="004D086E"/>
    <w:rsid w:val="004D08B6"/>
    <w:rsid w:val="004D0A94"/>
    <w:rsid w:val="004D0B10"/>
    <w:rsid w:val="004D0BC9"/>
    <w:rsid w:val="004D0C1F"/>
    <w:rsid w:val="004D0C6A"/>
    <w:rsid w:val="004D0D7B"/>
    <w:rsid w:val="004D0DC4"/>
    <w:rsid w:val="004D0E2A"/>
    <w:rsid w:val="004D0EA6"/>
    <w:rsid w:val="004D0F4D"/>
    <w:rsid w:val="004D0F89"/>
    <w:rsid w:val="004D1013"/>
    <w:rsid w:val="004D107E"/>
    <w:rsid w:val="004D109F"/>
    <w:rsid w:val="004D112E"/>
    <w:rsid w:val="004D12F3"/>
    <w:rsid w:val="004D1348"/>
    <w:rsid w:val="004D1419"/>
    <w:rsid w:val="004D1517"/>
    <w:rsid w:val="004D154E"/>
    <w:rsid w:val="004D16C3"/>
    <w:rsid w:val="004D1720"/>
    <w:rsid w:val="004D17C0"/>
    <w:rsid w:val="004D18A7"/>
    <w:rsid w:val="004D18F6"/>
    <w:rsid w:val="004D1C2A"/>
    <w:rsid w:val="004D1CAD"/>
    <w:rsid w:val="004D1E13"/>
    <w:rsid w:val="004D1E73"/>
    <w:rsid w:val="004D1EA5"/>
    <w:rsid w:val="004D1EE7"/>
    <w:rsid w:val="004D202D"/>
    <w:rsid w:val="004D2084"/>
    <w:rsid w:val="004D209E"/>
    <w:rsid w:val="004D20A2"/>
    <w:rsid w:val="004D20BB"/>
    <w:rsid w:val="004D2358"/>
    <w:rsid w:val="004D2428"/>
    <w:rsid w:val="004D2496"/>
    <w:rsid w:val="004D26AE"/>
    <w:rsid w:val="004D271A"/>
    <w:rsid w:val="004D276E"/>
    <w:rsid w:val="004D2896"/>
    <w:rsid w:val="004D2AA5"/>
    <w:rsid w:val="004D2AA6"/>
    <w:rsid w:val="004D2CE8"/>
    <w:rsid w:val="004D2E8A"/>
    <w:rsid w:val="004D2FF2"/>
    <w:rsid w:val="004D321A"/>
    <w:rsid w:val="004D326A"/>
    <w:rsid w:val="004D32E1"/>
    <w:rsid w:val="004D3315"/>
    <w:rsid w:val="004D34DA"/>
    <w:rsid w:val="004D3531"/>
    <w:rsid w:val="004D3575"/>
    <w:rsid w:val="004D35C7"/>
    <w:rsid w:val="004D3602"/>
    <w:rsid w:val="004D361E"/>
    <w:rsid w:val="004D36A7"/>
    <w:rsid w:val="004D36D8"/>
    <w:rsid w:val="004D3710"/>
    <w:rsid w:val="004D37D8"/>
    <w:rsid w:val="004D39F4"/>
    <w:rsid w:val="004D3AE6"/>
    <w:rsid w:val="004D3CB7"/>
    <w:rsid w:val="004D3F29"/>
    <w:rsid w:val="004D4183"/>
    <w:rsid w:val="004D4225"/>
    <w:rsid w:val="004D427B"/>
    <w:rsid w:val="004D443C"/>
    <w:rsid w:val="004D4466"/>
    <w:rsid w:val="004D44AB"/>
    <w:rsid w:val="004D44F0"/>
    <w:rsid w:val="004D4502"/>
    <w:rsid w:val="004D45A3"/>
    <w:rsid w:val="004D45DA"/>
    <w:rsid w:val="004D464E"/>
    <w:rsid w:val="004D4A85"/>
    <w:rsid w:val="004D4B34"/>
    <w:rsid w:val="004D4BC3"/>
    <w:rsid w:val="004D4C21"/>
    <w:rsid w:val="004D4C4B"/>
    <w:rsid w:val="004D4E6C"/>
    <w:rsid w:val="004D4EB1"/>
    <w:rsid w:val="004D4EE0"/>
    <w:rsid w:val="004D4F6C"/>
    <w:rsid w:val="004D4F94"/>
    <w:rsid w:val="004D4FD2"/>
    <w:rsid w:val="004D506E"/>
    <w:rsid w:val="004D5136"/>
    <w:rsid w:val="004D538A"/>
    <w:rsid w:val="004D5392"/>
    <w:rsid w:val="004D53FB"/>
    <w:rsid w:val="004D5480"/>
    <w:rsid w:val="004D5610"/>
    <w:rsid w:val="004D56BA"/>
    <w:rsid w:val="004D5822"/>
    <w:rsid w:val="004D5832"/>
    <w:rsid w:val="004D58EA"/>
    <w:rsid w:val="004D593E"/>
    <w:rsid w:val="004D595D"/>
    <w:rsid w:val="004D5971"/>
    <w:rsid w:val="004D59B2"/>
    <w:rsid w:val="004D5B50"/>
    <w:rsid w:val="004D5B7B"/>
    <w:rsid w:val="004D5C65"/>
    <w:rsid w:val="004D5CF9"/>
    <w:rsid w:val="004D5D34"/>
    <w:rsid w:val="004D5DB6"/>
    <w:rsid w:val="004D5EA1"/>
    <w:rsid w:val="004D5FB4"/>
    <w:rsid w:val="004D6214"/>
    <w:rsid w:val="004D625A"/>
    <w:rsid w:val="004D63ED"/>
    <w:rsid w:val="004D65D2"/>
    <w:rsid w:val="004D679F"/>
    <w:rsid w:val="004D6827"/>
    <w:rsid w:val="004D68D0"/>
    <w:rsid w:val="004D6994"/>
    <w:rsid w:val="004D6A71"/>
    <w:rsid w:val="004D6A86"/>
    <w:rsid w:val="004D6AED"/>
    <w:rsid w:val="004D6B70"/>
    <w:rsid w:val="004D6B7C"/>
    <w:rsid w:val="004D6C00"/>
    <w:rsid w:val="004D6DD1"/>
    <w:rsid w:val="004D6DFA"/>
    <w:rsid w:val="004D6E3F"/>
    <w:rsid w:val="004D6F9D"/>
    <w:rsid w:val="004D71C2"/>
    <w:rsid w:val="004D71DE"/>
    <w:rsid w:val="004D722E"/>
    <w:rsid w:val="004D7311"/>
    <w:rsid w:val="004D7329"/>
    <w:rsid w:val="004D7365"/>
    <w:rsid w:val="004D7397"/>
    <w:rsid w:val="004D7496"/>
    <w:rsid w:val="004D7725"/>
    <w:rsid w:val="004D7761"/>
    <w:rsid w:val="004D7769"/>
    <w:rsid w:val="004D7872"/>
    <w:rsid w:val="004D78DC"/>
    <w:rsid w:val="004D7AA0"/>
    <w:rsid w:val="004D7B51"/>
    <w:rsid w:val="004D7BD0"/>
    <w:rsid w:val="004D7C32"/>
    <w:rsid w:val="004D7D32"/>
    <w:rsid w:val="004D7DA9"/>
    <w:rsid w:val="004D7DD1"/>
    <w:rsid w:val="004E003E"/>
    <w:rsid w:val="004E02AE"/>
    <w:rsid w:val="004E02D4"/>
    <w:rsid w:val="004E03B1"/>
    <w:rsid w:val="004E03F2"/>
    <w:rsid w:val="004E040A"/>
    <w:rsid w:val="004E0473"/>
    <w:rsid w:val="004E07D1"/>
    <w:rsid w:val="004E07D9"/>
    <w:rsid w:val="004E089A"/>
    <w:rsid w:val="004E08A2"/>
    <w:rsid w:val="004E08C1"/>
    <w:rsid w:val="004E0A56"/>
    <w:rsid w:val="004E0AB2"/>
    <w:rsid w:val="004E0AE2"/>
    <w:rsid w:val="004E0B14"/>
    <w:rsid w:val="004E0BB0"/>
    <w:rsid w:val="004E0CA8"/>
    <w:rsid w:val="004E0D9E"/>
    <w:rsid w:val="004E0E5B"/>
    <w:rsid w:val="004E0EB3"/>
    <w:rsid w:val="004E0F22"/>
    <w:rsid w:val="004E1209"/>
    <w:rsid w:val="004E120A"/>
    <w:rsid w:val="004E12D3"/>
    <w:rsid w:val="004E12F7"/>
    <w:rsid w:val="004E1412"/>
    <w:rsid w:val="004E1494"/>
    <w:rsid w:val="004E1756"/>
    <w:rsid w:val="004E179A"/>
    <w:rsid w:val="004E18E5"/>
    <w:rsid w:val="004E1945"/>
    <w:rsid w:val="004E19D2"/>
    <w:rsid w:val="004E1AC7"/>
    <w:rsid w:val="004E1C48"/>
    <w:rsid w:val="004E1CB3"/>
    <w:rsid w:val="004E1CEC"/>
    <w:rsid w:val="004E1D6C"/>
    <w:rsid w:val="004E1E0D"/>
    <w:rsid w:val="004E1E6D"/>
    <w:rsid w:val="004E1F1A"/>
    <w:rsid w:val="004E1FD6"/>
    <w:rsid w:val="004E1FFC"/>
    <w:rsid w:val="004E2005"/>
    <w:rsid w:val="004E2065"/>
    <w:rsid w:val="004E2199"/>
    <w:rsid w:val="004E225C"/>
    <w:rsid w:val="004E23DA"/>
    <w:rsid w:val="004E24EF"/>
    <w:rsid w:val="004E24FC"/>
    <w:rsid w:val="004E2513"/>
    <w:rsid w:val="004E2571"/>
    <w:rsid w:val="004E25D4"/>
    <w:rsid w:val="004E25EB"/>
    <w:rsid w:val="004E27C6"/>
    <w:rsid w:val="004E288F"/>
    <w:rsid w:val="004E28BD"/>
    <w:rsid w:val="004E2908"/>
    <w:rsid w:val="004E2A03"/>
    <w:rsid w:val="004E2A34"/>
    <w:rsid w:val="004E2A46"/>
    <w:rsid w:val="004E2AC0"/>
    <w:rsid w:val="004E2B9C"/>
    <w:rsid w:val="004E2BED"/>
    <w:rsid w:val="004E2D97"/>
    <w:rsid w:val="004E2DE6"/>
    <w:rsid w:val="004E2DEA"/>
    <w:rsid w:val="004E2DFA"/>
    <w:rsid w:val="004E2E0C"/>
    <w:rsid w:val="004E2E3E"/>
    <w:rsid w:val="004E2E48"/>
    <w:rsid w:val="004E2E81"/>
    <w:rsid w:val="004E2F12"/>
    <w:rsid w:val="004E2F7D"/>
    <w:rsid w:val="004E3031"/>
    <w:rsid w:val="004E3057"/>
    <w:rsid w:val="004E30B4"/>
    <w:rsid w:val="004E312F"/>
    <w:rsid w:val="004E3157"/>
    <w:rsid w:val="004E3259"/>
    <w:rsid w:val="004E327F"/>
    <w:rsid w:val="004E355A"/>
    <w:rsid w:val="004E3662"/>
    <w:rsid w:val="004E3835"/>
    <w:rsid w:val="004E387D"/>
    <w:rsid w:val="004E38C2"/>
    <w:rsid w:val="004E38C4"/>
    <w:rsid w:val="004E38DF"/>
    <w:rsid w:val="004E38EE"/>
    <w:rsid w:val="004E3944"/>
    <w:rsid w:val="004E3A8E"/>
    <w:rsid w:val="004E3BB6"/>
    <w:rsid w:val="004E3BF4"/>
    <w:rsid w:val="004E3C0C"/>
    <w:rsid w:val="004E3C30"/>
    <w:rsid w:val="004E4047"/>
    <w:rsid w:val="004E40E3"/>
    <w:rsid w:val="004E41AD"/>
    <w:rsid w:val="004E41FE"/>
    <w:rsid w:val="004E4237"/>
    <w:rsid w:val="004E425A"/>
    <w:rsid w:val="004E4268"/>
    <w:rsid w:val="004E42B9"/>
    <w:rsid w:val="004E452C"/>
    <w:rsid w:val="004E4546"/>
    <w:rsid w:val="004E4562"/>
    <w:rsid w:val="004E4666"/>
    <w:rsid w:val="004E4886"/>
    <w:rsid w:val="004E4A97"/>
    <w:rsid w:val="004E4C41"/>
    <w:rsid w:val="004E4C5B"/>
    <w:rsid w:val="004E4C8D"/>
    <w:rsid w:val="004E4D20"/>
    <w:rsid w:val="004E4DCB"/>
    <w:rsid w:val="004E4DD1"/>
    <w:rsid w:val="004E4E7A"/>
    <w:rsid w:val="004E4EE5"/>
    <w:rsid w:val="004E4F0F"/>
    <w:rsid w:val="004E4F20"/>
    <w:rsid w:val="004E4F7D"/>
    <w:rsid w:val="004E5042"/>
    <w:rsid w:val="004E5107"/>
    <w:rsid w:val="004E5111"/>
    <w:rsid w:val="004E513C"/>
    <w:rsid w:val="004E5273"/>
    <w:rsid w:val="004E52C1"/>
    <w:rsid w:val="004E5314"/>
    <w:rsid w:val="004E53C8"/>
    <w:rsid w:val="004E5444"/>
    <w:rsid w:val="004E544D"/>
    <w:rsid w:val="004E5652"/>
    <w:rsid w:val="004E5713"/>
    <w:rsid w:val="004E572D"/>
    <w:rsid w:val="004E58FE"/>
    <w:rsid w:val="004E5A81"/>
    <w:rsid w:val="004E5E2C"/>
    <w:rsid w:val="004E5EF8"/>
    <w:rsid w:val="004E6027"/>
    <w:rsid w:val="004E60A3"/>
    <w:rsid w:val="004E6106"/>
    <w:rsid w:val="004E610C"/>
    <w:rsid w:val="004E615B"/>
    <w:rsid w:val="004E632F"/>
    <w:rsid w:val="004E63BF"/>
    <w:rsid w:val="004E644D"/>
    <w:rsid w:val="004E6495"/>
    <w:rsid w:val="004E6579"/>
    <w:rsid w:val="004E6617"/>
    <w:rsid w:val="004E6744"/>
    <w:rsid w:val="004E67AC"/>
    <w:rsid w:val="004E687F"/>
    <w:rsid w:val="004E697D"/>
    <w:rsid w:val="004E69F3"/>
    <w:rsid w:val="004E6B24"/>
    <w:rsid w:val="004E6C4B"/>
    <w:rsid w:val="004E6F64"/>
    <w:rsid w:val="004E7091"/>
    <w:rsid w:val="004E71AE"/>
    <w:rsid w:val="004E741D"/>
    <w:rsid w:val="004E751A"/>
    <w:rsid w:val="004E7608"/>
    <w:rsid w:val="004E762E"/>
    <w:rsid w:val="004E765C"/>
    <w:rsid w:val="004E76CB"/>
    <w:rsid w:val="004E76D4"/>
    <w:rsid w:val="004E77B9"/>
    <w:rsid w:val="004E77C0"/>
    <w:rsid w:val="004E77CF"/>
    <w:rsid w:val="004E7A4A"/>
    <w:rsid w:val="004E7A6A"/>
    <w:rsid w:val="004E7C13"/>
    <w:rsid w:val="004E7CE8"/>
    <w:rsid w:val="004E7D73"/>
    <w:rsid w:val="004E7D95"/>
    <w:rsid w:val="004E7FF8"/>
    <w:rsid w:val="004EB32B"/>
    <w:rsid w:val="004F00C8"/>
    <w:rsid w:val="004F04CD"/>
    <w:rsid w:val="004F05E7"/>
    <w:rsid w:val="004F06D8"/>
    <w:rsid w:val="004F0750"/>
    <w:rsid w:val="004F0777"/>
    <w:rsid w:val="004F08DC"/>
    <w:rsid w:val="004F0924"/>
    <w:rsid w:val="004F0972"/>
    <w:rsid w:val="004F0982"/>
    <w:rsid w:val="004F0985"/>
    <w:rsid w:val="004F09A5"/>
    <w:rsid w:val="004F0ADB"/>
    <w:rsid w:val="004F0DB2"/>
    <w:rsid w:val="004F0E6C"/>
    <w:rsid w:val="004F0F7E"/>
    <w:rsid w:val="004F1143"/>
    <w:rsid w:val="004F1185"/>
    <w:rsid w:val="004F1294"/>
    <w:rsid w:val="004F12C2"/>
    <w:rsid w:val="004F13BE"/>
    <w:rsid w:val="004F1443"/>
    <w:rsid w:val="004F14AC"/>
    <w:rsid w:val="004F153A"/>
    <w:rsid w:val="004F162A"/>
    <w:rsid w:val="004F171F"/>
    <w:rsid w:val="004F1744"/>
    <w:rsid w:val="004F174A"/>
    <w:rsid w:val="004F18F1"/>
    <w:rsid w:val="004F1938"/>
    <w:rsid w:val="004F193D"/>
    <w:rsid w:val="004F19F0"/>
    <w:rsid w:val="004F1ABE"/>
    <w:rsid w:val="004F1D07"/>
    <w:rsid w:val="004F1D0D"/>
    <w:rsid w:val="004F1F79"/>
    <w:rsid w:val="004F1FB3"/>
    <w:rsid w:val="004F21C2"/>
    <w:rsid w:val="004F2253"/>
    <w:rsid w:val="004F22A2"/>
    <w:rsid w:val="004F2341"/>
    <w:rsid w:val="004F2396"/>
    <w:rsid w:val="004F239F"/>
    <w:rsid w:val="004F23DA"/>
    <w:rsid w:val="004F24EA"/>
    <w:rsid w:val="004F2731"/>
    <w:rsid w:val="004F27BB"/>
    <w:rsid w:val="004F28DE"/>
    <w:rsid w:val="004F2A49"/>
    <w:rsid w:val="004F2ACE"/>
    <w:rsid w:val="004F2AE7"/>
    <w:rsid w:val="004F2BF6"/>
    <w:rsid w:val="004F2C67"/>
    <w:rsid w:val="004F2C82"/>
    <w:rsid w:val="004F2E08"/>
    <w:rsid w:val="004F2EDD"/>
    <w:rsid w:val="004F312D"/>
    <w:rsid w:val="004F3156"/>
    <w:rsid w:val="004F31D4"/>
    <w:rsid w:val="004F32BF"/>
    <w:rsid w:val="004F32C9"/>
    <w:rsid w:val="004F32FF"/>
    <w:rsid w:val="004F34B8"/>
    <w:rsid w:val="004F3566"/>
    <w:rsid w:val="004F35D7"/>
    <w:rsid w:val="004F361B"/>
    <w:rsid w:val="004F3691"/>
    <w:rsid w:val="004F36EA"/>
    <w:rsid w:val="004F3779"/>
    <w:rsid w:val="004F38D3"/>
    <w:rsid w:val="004F38EA"/>
    <w:rsid w:val="004F3903"/>
    <w:rsid w:val="004F3980"/>
    <w:rsid w:val="004F39BE"/>
    <w:rsid w:val="004F3AB0"/>
    <w:rsid w:val="004F3AB2"/>
    <w:rsid w:val="004F3BA2"/>
    <w:rsid w:val="004F3BAD"/>
    <w:rsid w:val="004F3DA4"/>
    <w:rsid w:val="004F3E47"/>
    <w:rsid w:val="004F3E4F"/>
    <w:rsid w:val="004F3E50"/>
    <w:rsid w:val="004F3EFA"/>
    <w:rsid w:val="004F3F45"/>
    <w:rsid w:val="004F3F9B"/>
    <w:rsid w:val="004F3FD9"/>
    <w:rsid w:val="004F40F6"/>
    <w:rsid w:val="004F423C"/>
    <w:rsid w:val="004F4324"/>
    <w:rsid w:val="004F4405"/>
    <w:rsid w:val="004F4410"/>
    <w:rsid w:val="004F4736"/>
    <w:rsid w:val="004F4939"/>
    <w:rsid w:val="004F49E6"/>
    <w:rsid w:val="004F4A7C"/>
    <w:rsid w:val="004F4AEB"/>
    <w:rsid w:val="004F4C81"/>
    <w:rsid w:val="004F4CC2"/>
    <w:rsid w:val="004F4DF1"/>
    <w:rsid w:val="004F4FDF"/>
    <w:rsid w:val="004F501E"/>
    <w:rsid w:val="004F514C"/>
    <w:rsid w:val="004F514F"/>
    <w:rsid w:val="004F5223"/>
    <w:rsid w:val="004F539D"/>
    <w:rsid w:val="004F54AF"/>
    <w:rsid w:val="004F553E"/>
    <w:rsid w:val="004F56B2"/>
    <w:rsid w:val="004F574A"/>
    <w:rsid w:val="004F57E3"/>
    <w:rsid w:val="004F5965"/>
    <w:rsid w:val="004F5A29"/>
    <w:rsid w:val="004F5B81"/>
    <w:rsid w:val="004F5BB3"/>
    <w:rsid w:val="004F5BF8"/>
    <w:rsid w:val="004F5CC4"/>
    <w:rsid w:val="004F5CF2"/>
    <w:rsid w:val="004F5D48"/>
    <w:rsid w:val="004F5D53"/>
    <w:rsid w:val="004F5DA9"/>
    <w:rsid w:val="004F5E2C"/>
    <w:rsid w:val="004F5E5F"/>
    <w:rsid w:val="004F5EEE"/>
    <w:rsid w:val="004F5F29"/>
    <w:rsid w:val="004F6001"/>
    <w:rsid w:val="004F609A"/>
    <w:rsid w:val="004F60BA"/>
    <w:rsid w:val="004F60DD"/>
    <w:rsid w:val="004F60F3"/>
    <w:rsid w:val="004F6140"/>
    <w:rsid w:val="004F617C"/>
    <w:rsid w:val="004F61FC"/>
    <w:rsid w:val="004F635A"/>
    <w:rsid w:val="004F6375"/>
    <w:rsid w:val="004F643D"/>
    <w:rsid w:val="004F6445"/>
    <w:rsid w:val="004F656A"/>
    <w:rsid w:val="004F6603"/>
    <w:rsid w:val="004F6647"/>
    <w:rsid w:val="004F6790"/>
    <w:rsid w:val="004F6850"/>
    <w:rsid w:val="004F6994"/>
    <w:rsid w:val="004F69D2"/>
    <w:rsid w:val="004F6B3E"/>
    <w:rsid w:val="004F6C17"/>
    <w:rsid w:val="004F6CC4"/>
    <w:rsid w:val="004F6D20"/>
    <w:rsid w:val="004F6DB9"/>
    <w:rsid w:val="004F6E24"/>
    <w:rsid w:val="004F7066"/>
    <w:rsid w:val="004F714A"/>
    <w:rsid w:val="004F7194"/>
    <w:rsid w:val="004F72BC"/>
    <w:rsid w:val="004F74AE"/>
    <w:rsid w:val="004F74B8"/>
    <w:rsid w:val="004F74DE"/>
    <w:rsid w:val="004F76DB"/>
    <w:rsid w:val="004F7827"/>
    <w:rsid w:val="004F78ED"/>
    <w:rsid w:val="004F7966"/>
    <w:rsid w:val="004F7AA1"/>
    <w:rsid w:val="004F7B28"/>
    <w:rsid w:val="004F7B8F"/>
    <w:rsid w:val="004F7BAD"/>
    <w:rsid w:val="004F7C46"/>
    <w:rsid w:val="004F7EE5"/>
    <w:rsid w:val="004F7F87"/>
    <w:rsid w:val="004F90C4"/>
    <w:rsid w:val="00500117"/>
    <w:rsid w:val="00500228"/>
    <w:rsid w:val="0050027A"/>
    <w:rsid w:val="00500284"/>
    <w:rsid w:val="005002BC"/>
    <w:rsid w:val="0050038B"/>
    <w:rsid w:val="005003B6"/>
    <w:rsid w:val="00500480"/>
    <w:rsid w:val="00500562"/>
    <w:rsid w:val="005005DE"/>
    <w:rsid w:val="0050066A"/>
    <w:rsid w:val="005006C6"/>
    <w:rsid w:val="00500714"/>
    <w:rsid w:val="0050078F"/>
    <w:rsid w:val="0050087F"/>
    <w:rsid w:val="0050090E"/>
    <w:rsid w:val="00500979"/>
    <w:rsid w:val="00500A24"/>
    <w:rsid w:val="00500B2C"/>
    <w:rsid w:val="00500C93"/>
    <w:rsid w:val="00500D0D"/>
    <w:rsid w:val="00500E8A"/>
    <w:rsid w:val="00500F5F"/>
    <w:rsid w:val="00501274"/>
    <w:rsid w:val="005012A5"/>
    <w:rsid w:val="00501388"/>
    <w:rsid w:val="005013D0"/>
    <w:rsid w:val="00501688"/>
    <w:rsid w:val="005017EE"/>
    <w:rsid w:val="0050185A"/>
    <w:rsid w:val="00501AD7"/>
    <w:rsid w:val="00501BA4"/>
    <w:rsid w:val="00501C17"/>
    <w:rsid w:val="00501CDF"/>
    <w:rsid w:val="00501DA9"/>
    <w:rsid w:val="00501EDC"/>
    <w:rsid w:val="00501FA9"/>
    <w:rsid w:val="00501FAB"/>
    <w:rsid w:val="00502058"/>
    <w:rsid w:val="00502289"/>
    <w:rsid w:val="0050228B"/>
    <w:rsid w:val="00502361"/>
    <w:rsid w:val="00502372"/>
    <w:rsid w:val="0050237F"/>
    <w:rsid w:val="005024ED"/>
    <w:rsid w:val="00502594"/>
    <w:rsid w:val="0050267E"/>
    <w:rsid w:val="005026A2"/>
    <w:rsid w:val="005026AF"/>
    <w:rsid w:val="005028E7"/>
    <w:rsid w:val="00502A0B"/>
    <w:rsid w:val="00502A97"/>
    <w:rsid w:val="00502A9C"/>
    <w:rsid w:val="00502B2A"/>
    <w:rsid w:val="00502BAD"/>
    <w:rsid w:val="00502CAC"/>
    <w:rsid w:val="00502CF8"/>
    <w:rsid w:val="00502D50"/>
    <w:rsid w:val="00502D73"/>
    <w:rsid w:val="00502E6A"/>
    <w:rsid w:val="00502EC3"/>
    <w:rsid w:val="0050306A"/>
    <w:rsid w:val="005030F1"/>
    <w:rsid w:val="00503163"/>
    <w:rsid w:val="0050322D"/>
    <w:rsid w:val="005032DB"/>
    <w:rsid w:val="00503300"/>
    <w:rsid w:val="005033B2"/>
    <w:rsid w:val="0050357C"/>
    <w:rsid w:val="0050365E"/>
    <w:rsid w:val="0050367B"/>
    <w:rsid w:val="005037B8"/>
    <w:rsid w:val="005037C0"/>
    <w:rsid w:val="005038AB"/>
    <w:rsid w:val="005038AC"/>
    <w:rsid w:val="005038BB"/>
    <w:rsid w:val="005038C7"/>
    <w:rsid w:val="005038CD"/>
    <w:rsid w:val="005039D7"/>
    <w:rsid w:val="00503A89"/>
    <w:rsid w:val="00503B18"/>
    <w:rsid w:val="00503BEE"/>
    <w:rsid w:val="00503DFC"/>
    <w:rsid w:val="00503E20"/>
    <w:rsid w:val="00503EA9"/>
    <w:rsid w:val="00503F12"/>
    <w:rsid w:val="00504004"/>
    <w:rsid w:val="005043ED"/>
    <w:rsid w:val="005044EE"/>
    <w:rsid w:val="005045F0"/>
    <w:rsid w:val="00504666"/>
    <w:rsid w:val="005046A8"/>
    <w:rsid w:val="005046C1"/>
    <w:rsid w:val="00504AAB"/>
    <w:rsid w:val="00504B02"/>
    <w:rsid w:val="00504B60"/>
    <w:rsid w:val="00504C1F"/>
    <w:rsid w:val="00504E48"/>
    <w:rsid w:val="00504F3C"/>
    <w:rsid w:val="00504FD4"/>
    <w:rsid w:val="00505066"/>
    <w:rsid w:val="00505117"/>
    <w:rsid w:val="0050511D"/>
    <w:rsid w:val="00505156"/>
    <w:rsid w:val="0050516D"/>
    <w:rsid w:val="005051ED"/>
    <w:rsid w:val="005051F7"/>
    <w:rsid w:val="00505350"/>
    <w:rsid w:val="0050535B"/>
    <w:rsid w:val="00505475"/>
    <w:rsid w:val="0050556D"/>
    <w:rsid w:val="00505653"/>
    <w:rsid w:val="005056E6"/>
    <w:rsid w:val="005059CE"/>
    <w:rsid w:val="005059FA"/>
    <w:rsid w:val="00505A7A"/>
    <w:rsid w:val="00505ACC"/>
    <w:rsid w:val="00505AD0"/>
    <w:rsid w:val="00505B03"/>
    <w:rsid w:val="00505BBE"/>
    <w:rsid w:val="00505DB6"/>
    <w:rsid w:val="00505E8A"/>
    <w:rsid w:val="00505FCC"/>
    <w:rsid w:val="00505FDB"/>
    <w:rsid w:val="005062CF"/>
    <w:rsid w:val="005062F8"/>
    <w:rsid w:val="00506399"/>
    <w:rsid w:val="00506417"/>
    <w:rsid w:val="005064E2"/>
    <w:rsid w:val="005064EF"/>
    <w:rsid w:val="005066AB"/>
    <w:rsid w:val="005066BA"/>
    <w:rsid w:val="005066F9"/>
    <w:rsid w:val="00506720"/>
    <w:rsid w:val="00506775"/>
    <w:rsid w:val="005067AA"/>
    <w:rsid w:val="00506A5A"/>
    <w:rsid w:val="00506B0B"/>
    <w:rsid w:val="00506BC9"/>
    <w:rsid w:val="00506C14"/>
    <w:rsid w:val="00506C97"/>
    <w:rsid w:val="00506D14"/>
    <w:rsid w:val="00506D9D"/>
    <w:rsid w:val="00506E98"/>
    <w:rsid w:val="00506EA1"/>
    <w:rsid w:val="0050701A"/>
    <w:rsid w:val="005070E4"/>
    <w:rsid w:val="00507135"/>
    <w:rsid w:val="00507152"/>
    <w:rsid w:val="00507194"/>
    <w:rsid w:val="0050721C"/>
    <w:rsid w:val="00507446"/>
    <w:rsid w:val="00507516"/>
    <w:rsid w:val="00507A23"/>
    <w:rsid w:val="00507AC1"/>
    <w:rsid w:val="00507AFD"/>
    <w:rsid w:val="00507B04"/>
    <w:rsid w:val="00507B34"/>
    <w:rsid w:val="00507D28"/>
    <w:rsid w:val="00507D7A"/>
    <w:rsid w:val="00507E75"/>
    <w:rsid w:val="00507EF2"/>
    <w:rsid w:val="00507F69"/>
    <w:rsid w:val="00507F75"/>
    <w:rsid w:val="00507FE7"/>
    <w:rsid w:val="00510051"/>
    <w:rsid w:val="00510053"/>
    <w:rsid w:val="00510084"/>
    <w:rsid w:val="005100D4"/>
    <w:rsid w:val="005100E3"/>
    <w:rsid w:val="005100E9"/>
    <w:rsid w:val="0051028C"/>
    <w:rsid w:val="00510478"/>
    <w:rsid w:val="00510540"/>
    <w:rsid w:val="005105A5"/>
    <w:rsid w:val="0051068C"/>
    <w:rsid w:val="005107C0"/>
    <w:rsid w:val="00510871"/>
    <w:rsid w:val="00510893"/>
    <w:rsid w:val="00510940"/>
    <w:rsid w:val="0051098B"/>
    <w:rsid w:val="0051098E"/>
    <w:rsid w:val="005109E5"/>
    <w:rsid w:val="00510C12"/>
    <w:rsid w:val="00510C61"/>
    <w:rsid w:val="00510CC4"/>
    <w:rsid w:val="00510D25"/>
    <w:rsid w:val="00510D51"/>
    <w:rsid w:val="00510F00"/>
    <w:rsid w:val="00511043"/>
    <w:rsid w:val="00511349"/>
    <w:rsid w:val="00511373"/>
    <w:rsid w:val="005113EF"/>
    <w:rsid w:val="00511434"/>
    <w:rsid w:val="005114E8"/>
    <w:rsid w:val="0051150F"/>
    <w:rsid w:val="0051163F"/>
    <w:rsid w:val="00511652"/>
    <w:rsid w:val="005116E0"/>
    <w:rsid w:val="005116EF"/>
    <w:rsid w:val="00511725"/>
    <w:rsid w:val="005119A3"/>
    <w:rsid w:val="00511AEF"/>
    <w:rsid w:val="00511BFF"/>
    <w:rsid w:val="00511D79"/>
    <w:rsid w:val="00511E1E"/>
    <w:rsid w:val="00511EBB"/>
    <w:rsid w:val="00511EDC"/>
    <w:rsid w:val="00511EEB"/>
    <w:rsid w:val="00511F3F"/>
    <w:rsid w:val="00511F8F"/>
    <w:rsid w:val="0051208F"/>
    <w:rsid w:val="00512100"/>
    <w:rsid w:val="00512174"/>
    <w:rsid w:val="00512231"/>
    <w:rsid w:val="005122A9"/>
    <w:rsid w:val="005122B3"/>
    <w:rsid w:val="005122BF"/>
    <w:rsid w:val="0051243F"/>
    <w:rsid w:val="005124B0"/>
    <w:rsid w:val="00512603"/>
    <w:rsid w:val="00512839"/>
    <w:rsid w:val="00512886"/>
    <w:rsid w:val="00512933"/>
    <w:rsid w:val="00512958"/>
    <w:rsid w:val="0051296B"/>
    <w:rsid w:val="00512A83"/>
    <w:rsid w:val="00512C1C"/>
    <w:rsid w:val="00512C37"/>
    <w:rsid w:val="00512C45"/>
    <w:rsid w:val="00512F86"/>
    <w:rsid w:val="00512FC6"/>
    <w:rsid w:val="00513067"/>
    <w:rsid w:val="005130B7"/>
    <w:rsid w:val="0051333B"/>
    <w:rsid w:val="00513458"/>
    <w:rsid w:val="00513495"/>
    <w:rsid w:val="005134C8"/>
    <w:rsid w:val="00513542"/>
    <w:rsid w:val="00513599"/>
    <w:rsid w:val="005135BE"/>
    <w:rsid w:val="00513647"/>
    <w:rsid w:val="005137A6"/>
    <w:rsid w:val="005137B2"/>
    <w:rsid w:val="00513807"/>
    <w:rsid w:val="005138B1"/>
    <w:rsid w:val="00513985"/>
    <w:rsid w:val="00513A81"/>
    <w:rsid w:val="00513C4B"/>
    <w:rsid w:val="00513D70"/>
    <w:rsid w:val="00513D7C"/>
    <w:rsid w:val="00513EDC"/>
    <w:rsid w:val="00513EDF"/>
    <w:rsid w:val="00514104"/>
    <w:rsid w:val="00514122"/>
    <w:rsid w:val="00514139"/>
    <w:rsid w:val="005141BE"/>
    <w:rsid w:val="005141D3"/>
    <w:rsid w:val="005141D7"/>
    <w:rsid w:val="005141F8"/>
    <w:rsid w:val="00514221"/>
    <w:rsid w:val="00514224"/>
    <w:rsid w:val="00514243"/>
    <w:rsid w:val="0051449B"/>
    <w:rsid w:val="00514551"/>
    <w:rsid w:val="005145C7"/>
    <w:rsid w:val="005145CC"/>
    <w:rsid w:val="0051467C"/>
    <w:rsid w:val="005146CD"/>
    <w:rsid w:val="005148A0"/>
    <w:rsid w:val="005149F1"/>
    <w:rsid w:val="00514A08"/>
    <w:rsid w:val="00514C6A"/>
    <w:rsid w:val="00514CA9"/>
    <w:rsid w:val="00514F09"/>
    <w:rsid w:val="00514F28"/>
    <w:rsid w:val="00514F50"/>
    <w:rsid w:val="00514F67"/>
    <w:rsid w:val="0051500D"/>
    <w:rsid w:val="0051508D"/>
    <w:rsid w:val="005151D4"/>
    <w:rsid w:val="005151D9"/>
    <w:rsid w:val="005152BA"/>
    <w:rsid w:val="00515311"/>
    <w:rsid w:val="0051538C"/>
    <w:rsid w:val="00515410"/>
    <w:rsid w:val="00515482"/>
    <w:rsid w:val="00515564"/>
    <w:rsid w:val="00515588"/>
    <w:rsid w:val="005155E6"/>
    <w:rsid w:val="005156BB"/>
    <w:rsid w:val="005156F5"/>
    <w:rsid w:val="00515738"/>
    <w:rsid w:val="005157B5"/>
    <w:rsid w:val="005157F0"/>
    <w:rsid w:val="0051582B"/>
    <w:rsid w:val="005158AF"/>
    <w:rsid w:val="005158E5"/>
    <w:rsid w:val="00515919"/>
    <w:rsid w:val="00515AA9"/>
    <w:rsid w:val="00515B53"/>
    <w:rsid w:val="00515C1D"/>
    <w:rsid w:val="00515D7D"/>
    <w:rsid w:val="00515E60"/>
    <w:rsid w:val="00515EA3"/>
    <w:rsid w:val="00515F0D"/>
    <w:rsid w:val="00515F1C"/>
    <w:rsid w:val="00515FE9"/>
    <w:rsid w:val="00516063"/>
    <w:rsid w:val="005160D6"/>
    <w:rsid w:val="00516222"/>
    <w:rsid w:val="0051625C"/>
    <w:rsid w:val="00516400"/>
    <w:rsid w:val="00516408"/>
    <w:rsid w:val="005164A1"/>
    <w:rsid w:val="00516587"/>
    <w:rsid w:val="00516651"/>
    <w:rsid w:val="005166B8"/>
    <w:rsid w:val="0051675B"/>
    <w:rsid w:val="0051677E"/>
    <w:rsid w:val="005167BD"/>
    <w:rsid w:val="005169A8"/>
    <w:rsid w:val="00516A05"/>
    <w:rsid w:val="00516A8A"/>
    <w:rsid w:val="00516AD9"/>
    <w:rsid w:val="00516B8D"/>
    <w:rsid w:val="00516BDD"/>
    <w:rsid w:val="00516BE5"/>
    <w:rsid w:val="00516CAD"/>
    <w:rsid w:val="00516D7D"/>
    <w:rsid w:val="00516F79"/>
    <w:rsid w:val="00517061"/>
    <w:rsid w:val="00517202"/>
    <w:rsid w:val="00517483"/>
    <w:rsid w:val="00517564"/>
    <w:rsid w:val="00517639"/>
    <w:rsid w:val="0051767D"/>
    <w:rsid w:val="005177CE"/>
    <w:rsid w:val="00517801"/>
    <w:rsid w:val="00517810"/>
    <w:rsid w:val="00517818"/>
    <w:rsid w:val="005178D7"/>
    <w:rsid w:val="00517980"/>
    <w:rsid w:val="00517A99"/>
    <w:rsid w:val="00517B21"/>
    <w:rsid w:val="00517B68"/>
    <w:rsid w:val="00517BDE"/>
    <w:rsid w:val="00517BE7"/>
    <w:rsid w:val="00517C20"/>
    <w:rsid w:val="00517D63"/>
    <w:rsid w:val="00517E48"/>
    <w:rsid w:val="00517F19"/>
    <w:rsid w:val="005200AF"/>
    <w:rsid w:val="00520132"/>
    <w:rsid w:val="0052019D"/>
    <w:rsid w:val="00520281"/>
    <w:rsid w:val="005203F3"/>
    <w:rsid w:val="005203FA"/>
    <w:rsid w:val="005204D8"/>
    <w:rsid w:val="0052068C"/>
    <w:rsid w:val="0052075B"/>
    <w:rsid w:val="005207C2"/>
    <w:rsid w:val="00520885"/>
    <w:rsid w:val="005208A3"/>
    <w:rsid w:val="00520920"/>
    <w:rsid w:val="00520BB7"/>
    <w:rsid w:val="00520C2D"/>
    <w:rsid w:val="00520C69"/>
    <w:rsid w:val="00520D65"/>
    <w:rsid w:val="00520D97"/>
    <w:rsid w:val="00520E81"/>
    <w:rsid w:val="0052116E"/>
    <w:rsid w:val="00521188"/>
    <w:rsid w:val="005212BB"/>
    <w:rsid w:val="0052136E"/>
    <w:rsid w:val="0052151D"/>
    <w:rsid w:val="0052156D"/>
    <w:rsid w:val="005216B3"/>
    <w:rsid w:val="005217E0"/>
    <w:rsid w:val="00521854"/>
    <w:rsid w:val="0052189E"/>
    <w:rsid w:val="00521912"/>
    <w:rsid w:val="00521A12"/>
    <w:rsid w:val="00521C3A"/>
    <w:rsid w:val="00521CAE"/>
    <w:rsid w:val="00521D6D"/>
    <w:rsid w:val="00521E40"/>
    <w:rsid w:val="00521ED3"/>
    <w:rsid w:val="00521F30"/>
    <w:rsid w:val="00521F6F"/>
    <w:rsid w:val="00521FC9"/>
    <w:rsid w:val="00521FEC"/>
    <w:rsid w:val="00522050"/>
    <w:rsid w:val="005221FF"/>
    <w:rsid w:val="00522338"/>
    <w:rsid w:val="00522409"/>
    <w:rsid w:val="0052241C"/>
    <w:rsid w:val="00522437"/>
    <w:rsid w:val="005224A4"/>
    <w:rsid w:val="005225C4"/>
    <w:rsid w:val="005225C6"/>
    <w:rsid w:val="0052263F"/>
    <w:rsid w:val="0052269D"/>
    <w:rsid w:val="00522706"/>
    <w:rsid w:val="00522767"/>
    <w:rsid w:val="00522790"/>
    <w:rsid w:val="00522812"/>
    <w:rsid w:val="005228F8"/>
    <w:rsid w:val="00522C77"/>
    <w:rsid w:val="00522CF0"/>
    <w:rsid w:val="00522E6D"/>
    <w:rsid w:val="00522EEA"/>
    <w:rsid w:val="00522FB0"/>
    <w:rsid w:val="00523239"/>
    <w:rsid w:val="005232F9"/>
    <w:rsid w:val="005233BC"/>
    <w:rsid w:val="005233C6"/>
    <w:rsid w:val="0052343D"/>
    <w:rsid w:val="00523621"/>
    <w:rsid w:val="00523851"/>
    <w:rsid w:val="00523933"/>
    <w:rsid w:val="00523959"/>
    <w:rsid w:val="00523961"/>
    <w:rsid w:val="005239E5"/>
    <w:rsid w:val="00523A26"/>
    <w:rsid w:val="00523A2D"/>
    <w:rsid w:val="00523AEA"/>
    <w:rsid w:val="00523B6D"/>
    <w:rsid w:val="00523EE0"/>
    <w:rsid w:val="00523F01"/>
    <w:rsid w:val="00523FB4"/>
    <w:rsid w:val="00524036"/>
    <w:rsid w:val="00524216"/>
    <w:rsid w:val="0052423D"/>
    <w:rsid w:val="005242B3"/>
    <w:rsid w:val="005242F0"/>
    <w:rsid w:val="005242FB"/>
    <w:rsid w:val="0052430D"/>
    <w:rsid w:val="0052432B"/>
    <w:rsid w:val="005243B6"/>
    <w:rsid w:val="005243C4"/>
    <w:rsid w:val="005244AC"/>
    <w:rsid w:val="005244B8"/>
    <w:rsid w:val="005244CB"/>
    <w:rsid w:val="00524560"/>
    <w:rsid w:val="005245F1"/>
    <w:rsid w:val="005247BC"/>
    <w:rsid w:val="00524813"/>
    <w:rsid w:val="0052485A"/>
    <w:rsid w:val="00524948"/>
    <w:rsid w:val="005249A2"/>
    <w:rsid w:val="00524A1F"/>
    <w:rsid w:val="00524A65"/>
    <w:rsid w:val="00524A74"/>
    <w:rsid w:val="00524B8E"/>
    <w:rsid w:val="00524BD4"/>
    <w:rsid w:val="00524C98"/>
    <w:rsid w:val="00524CB6"/>
    <w:rsid w:val="00524E32"/>
    <w:rsid w:val="00524E83"/>
    <w:rsid w:val="00524E9D"/>
    <w:rsid w:val="00524EFC"/>
    <w:rsid w:val="00524F71"/>
    <w:rsid w:val="00524FCD"/>
    <w:rsid w:val="00525007"/>
    <w:rsid w:val="00525071"/>
    <w:rsid w:val="005250F3"/>
    <w:rsid w:val="0052512A"/>
    <w:rsid w:val="005251B3"/>
    <w:rsid w:val="005251F5"/>
    <w:rsid w:val="00525306"/>
    <w:rsid w:val="005253EE"/>
    <w:rsid w:val="0052542E"/>
    <w:rsid w:val="005254EB"/>
    <w:rsid w:val="00525669"/>
    <w:rsid w:val="00525939"/>
    <w:rsid w:val="00525AB3"/>
    <w:rsid w:val="00525D37"/>
    <w:rsid w:val="00525D6C"/>
    <w:rsid w:val="00525DBE"/>
    <w:rsid w:val="00525E91"/>
    <w:rsid w:val="0052622D"/>
    <w:rsid w:val="0052627A"/>
    <w:rsid w:val="005262D5"/>
    <w:rsid w:val="0052634B"/>
    <w:rsid w:val="00526394"/>
    <w:rsid w:val="00526487"/>
    <w:rsid w:val="005264C9"/>
    <w:rsid w:val="005264CB"/>
    <w:rsid w:val="005264DA"/>
    <w:rsid w:val="00526524"/>
    <w:rsid w:val="005265E8"/>
    <w:rsid w:val="005265FF"/>
    <w:rsid w:val="005266C1"/>
    <w:rsid w:val="00526834"/>
    <w:rsid w:val="0052684C"/>
    <w:rsid w:val="00526957"/>
    <w:rsid w:val="00526A38"/>
    <w:rsid w:val="00526A95"/>
    <w:rsid w:val="00526C2D"/>
    <w:rsid w:val="00526C4F"/>
    <w:rsid w:val="00526C83"/>
    <w:rsid w:val="00526CB1"/>
    <w:rsid w:val="00526DAA"/>
    <w:rsid w:val="00526EB1"/>
    <w:rsid w:val="00526F53"/>
    <w:rsid w:val="0052707F"/>
    <w:rsid w:val="005270F3"/>
    <w:rsid w:val="00527286"/>
    <w:rsid w:val="005272BF"/>
    <w:rsid w:val="005272ED"/>
    <w:rsid w:val="0052732C"/>
    <w:rsid w:val="0052733C"/>
    <w:rsid w:val="005273D7"/>
    <w:rsid w:val="0052745E"/>
    <w:rsid w:val="00527494"/>
    <w:rsid w:val="005274C1"/>
    <w:rsid w:val="00527562"/>
    <w:rsid w:val="00527565"/>
    <w:rsid w:val="00527659"/>
    <w:rsid w:val="0052767F"/>
    <w:rsid w:val="005276A6"/>
    <w:rsid w:val="005276BA"/>
    <w:rsid w:val="0052779C"/>
    <w:rsid w:val="005277D3"/>
    <w:rsid w:val="005278F4"/>
    <w:rsid w:val="00527A2E"/>
    <w:rsid w:val="00527A40"/>
    <w:rsid w:val="00527A6E"/>
    <w:rsid w:val="00527AF2"/>
    <w:rsid w:val="00527AF5"/>
    <w:rsid w:val="00527B10"/>
    <w:rsid w:val="00527C83"/>
    <w:rsid w:val="00527EE8"/>
    <w:rsid w:val="00527F0F"/>
    <w:rsid w:val="00527F41"/>
    <w:rsid w:val="00527F7A"/>
    <w:rsid w:val="00527F82"/>
    <w:rsid w:val="00527FA0"/>
    <w:rsid w:val="00527FCE"/>
    <w:rsid w:val="00530003"/>
    <w:rsid w:val="00530168"/>
    <w:rsid w:val="005301A2"/>
    <w:rsid w:val="005301AB"/>
    <w:rsid w:val="0053020F"/>
    <w:rsid w:val="00530254"/>
    <w:rsid w:val="00530388"/>
    <w:rsid w:val="005303A2"/>
    <w:rsid w:val="005303CE"/>
    <w:rsid w:val="00530533"/>
    <w:rsid w:val="005305DB"/>
    <w:rsid w:val="005307C7"/>
    <w:rsid w:val="005308EA"/>
    <w:rsid w:val="005309AE"/>
    <w:rsid w:val="005309F0"/>
    <w:rsid w:val="00530A0B"/>
    <w:rsid w:val="00530B07"/>
    <w:rsid w:val="00530C15"/>
    <w:rsid w:val="00530D88"/>
    <w:rsid w:val="00530E61"/>
    <w:rsid w:val="00530EF5"/>
    <w:rsid w:val="00531084"/>
    <w:rsid w:val="00531111"/>
    <w:rsid w:val="005311CD"/>
    <w:rsid w:val="00531205"/>
    <w:rsid w:val="0053125C"/>
    <w:rsid w:val="005313B9"/>
    <w:rsid w:val="005313D1"/>
    <w:rsid w:val="0053145E"/>
    <w:rsid w:val="005314B9"/>
    <w:rsid w:val="005314C5"/>
    <w:rsid w:val="00531558"/>
    <w:rsid w:val="0053158F"/>
    <w:rsid w:val="005315CD"/>
    <w:rsid w:val="005315DD"/>
    <w:rsid w:val="00531622"/>
    <w:rsid w:val="005316D5"/>
    <w:rsid w:val="00531727"/>
    <w:rsid w:val="00531817"/>
    <w:rsid w:val="00531956"/>
    <w:rsid w:val="005319A0"/>
    <w:rsid w:val="00531A85"/>
    <w:rsid w:val="00531A94"/>
    <w:rsid w:val="00531B01"/>
    <w:rsid w:val="00531B64"/>
    <w:rsid w:val="00531C05"/>
    <w:rsid w:val="00531D1B"/>
    <w:rsid w:val="00531D46"/>
    <w:rsid w:val="00531DD7"/>
    <w:rsid w:val="00531E30"/>
    <w:rsid w:val="00531E42"/>
    <w:rsid w:val="00532171"/>
    <w:rsid w:val="005322F9"/>
    <w:rsid w:val="00532333"/>
    <w:rsid w:val="005324A1"/>
    <w:rsid w:val="005324C2"/>
    <w:rsid w:val="00532513"/>
    <w:rsid w:val="00532756"/>
    <w:rsid w:val="00532892"/>
    <w:rsid w:val="0053292E"/>
    <w:rsid w:val="0053293E"/>
    <w:rsid w:val="005329EB"/>
    <w:rsid w:val="00532A13"/>
    <w:rsid w:val="00532A76"/>
    <w:rsid w:val="00532C78"/>
    <w:rsid w:val="00532CA5"/>
    <w:rsid w:val="00532D54"/>
    <w:rsid w:val="00532DEE"/>
    <w:rsid w:val="00532E01"/>
    <w:rsid w:val="00532E73"/>
    <w:rsid w:val="00532EE8"/>
    <w:rsid w:val="00532F3C"/>
    <w:rsid w:val="0053304A"/>
    <w:rsid w:val="005330D6"/>
    <w:rsid w:val="005330D8"/>
    <w:rsid w:val="00533479"/>
    <w:rsid w:val="0053355B"/>
    <w:rsid w:val="00533636"/>
    <w:rsid w:val="00533720"/>
    <w:rsid w:val="00533756"/>
    <w:rsid w:val="0053395D"/>
    <w:rsid w:val="00533971"/>
    <w:rsid w:val="00533A33"/>
    <w:rsid w:val="00533A64"/>
    <w:rsid w:val="00533C00"/>
    <w:rsid w:val="00533D43"/>
    <w:rsid w:val="00533DC1"/>
    <w:rsid w:val="00533E58"/>
    <w:rsid w:val="00533F22"/>
    <w:rsid w:val="0053405B"/>
    <w:rsid w:val="00534182"/>
    <w:rsid w:val="00534247"/>
    <w:rsid w:val="005342D9"/>
    <w:rsid w:val="0053447A"/>
    <w:rsid w:val="00534551"/>
    <w:rsid w:val="005346FE"/>
    <w:rsid w:val="00534779"/>
    <w:rsid w:val="005348A5"/>
    <w:rsid w:val="005349AD"/>
    <w:rsid w:val="005349C3"/>
    <w:rsid w:val="005349CC"/>
    <w:rsid w:val="00534B53"/>
    <w:rsid w:val="00534BFD"/>
    <w:rsid w:val="00534CA2"/>
    <w:rsid w:val="00534CEB"/>
    <w:rsid w:val="00535000"/>
    <w:rsid w:val="0053509B"/>
    <w:rsid w:val="005351C2"/>
    <w:rsid w:val="00535243"/>
    <w:rsid w:val="0053525A"/>
    <w:rsid w:val="005353E9"/>
    <w:rsid w:val="0053541B"/>
    <w:rsid w:val="00535568"/>
    <w:rsid w:val="005356ED"/>
    <w:rsid w:val="005356F4"/>
    <w:rsid w:val="00535703"/>
    <w:rsid w:val="00535816"/>
    <w:rsid w:val="00535BC1"/>
    <w:rsid w:val="00535C78"/>
    <w:rsid w:val="00535CE9"/>
    <w:rsid w:val="00535D8B"/>
    <w:rsid w:val="00535DBF"/>
    <w:rsid w:val="00535E70"/>
    <w:rsid w:val="0053600D"/>
    <w:rsid w:val="00536036"/>
    <w:rsid w:val="005360DC"/>
    <w:rsid w:val="005360E5"/>
    <w:rsid w:val="00536459"/>
    <w:rsid w:val="00536515"/>
    <w:rsid w:val="00536567"/>
    <w:rsid w:val="00536594"/>
    <w:rsid w:val="00536606"/>
    <w:rsid w:val="00536738"/>
    <w:rsid w:val="005367EF"/>
    <w:rsid w:val="00536AB0"/>
    <w:rsid w:val="00536D84"/>
    <w:rsid w:val="00536DFD"/>
    <w:rsid w:val="00536F44"/>
    <w:rsid w:val="00536F69"/>
    <w:rsid w:val="00537049"/>
    <w:rsid w:val="005370D9"/>
    <w:rsid w:val="0053711B"/>
    <w:rsid w:val="0053716B"/>
    <w:rsid w:val="0053723C"/>
    <w:rsid w:val="0053727D"/>
    <w:rsid w:val="005372EC"/>
    <w:rsid w:val="005373D8"/>
    <w:rsid w:val="005373FB"/>
    <w:rsid w:val="005375F4"/>
    <w:rsid w:val="00537776"/>
    <w:rsid w:val="00537777"/>
    <w:rsid w:val="005377AF"/>
    <w:rsid w:val="00537881"/>
    <w:rsid w:val="005379C6"/>
    <w:rsid w:val="00537B6C"/>
    <w:rsid w:val="00537F35"/>
    <w:rsid w:val="00537FCA"/>
    <w:rsid w:val="0054003E"/>
    <w:rsid w:val="0054005B"/>
    <w:rsid w:val="00540078"/>
    <w:rsid w:val="005400D6"/>
    <w:rsid w:val="005400F3"/>
    <w:rsid w:val="0054011E"/>
    <w:rsid w:val="00540158"/>
    <w:rsid w:val="005401E6"/>
    <w:rsid w:val="00540214"/>
    <w:rsid w:val="00540424"/>
    <w:rsid w:val="0054045C"/>
    <w:rsid w:val="005404D8"/>
    <w:rsid w:val="00540665"/>
    <w:rsid w:val="00540672"/>
    <w:rsid w:val="0054073D"/>
    <w:rsid w:val="005407A6"/>
    <w:rsid w:val="0054095B"/>
    <w:rsid w:val="005409EC"/>
    <w:rsid w:val="005409FD"/>
    <w:rsid w:val="00540AA3"/>
    <w:rsid w:val="00540AC1"/>
    <w:rsid w:val="00540BA1"/>
    <w:rsid w:val="00540D76"/>
    <w:rsid w:val="00540DA5"/>
    <w:rsid w:val="00540EB4"/>
    <w:rsid w:val="00540F23"/>
    <w:rsid w:val="00540FC9"/>
    <w:rsid w:val="00541014"/>
    <w:rsid w:val="00541040"/>
    <w:rsid w:val="0054105F"/>
    <w:rsid w:val="005410A7"/>
    <w:rsid w:val="00541284"/>
    <w:rsid w:val="00541307"/>
    <w:rsid w:val="00541351"/>
    <w:rsid w:val="00541374"/>
    <w:rsid w:val="005413D6"/>
    <w:rsid w:val="00541504"/>
    <w:rsid w:val="005415B0"/>
    <w:rsid w:val="005415F0"/>
    <w:rsid w:val="0054163A"/>
    <w:rsid w:val="00541668"/>
    <w:rsid w:val="00541773"/>
    <w:rsid w:val="005417C7"/>
    <w:rsid w:val="00541888"/>
    <w:rsid w:val="005418EB"/>
    <w:rsid w:val="0054193F"/>
    <w:rsid w:val="00541AA2"/>
    <w:rsid w:val="00541BF1"/>
    <w:rsid w:val="00541C3D"/>
    <w:rsid w:val="00541C74"/>
    <w:rsid w:val="00541D4C"/>
    <w:rsid w:val="00541E13"/>
    <w:rsid w:val="00541F30"/>
    <w:rsid w:val="00541F77"/>
    <w:rsid w:val="00541F96"/>
    <w:rsid w:val="00542059"/>
    <w:rsid w:val="0054209E"/>
    <w:rsid w:val="0054212B"/>
    <w:rsid w:val="00542183"/>
    <w:rsid w:val="005421B6"/>
    <w:rsid w:val="0054224A"/>
    <w:rsid w:val="0054232C"/>
    <w:rsid w:val="005423DF"/>
    <w:rsid w:val="00542480"/>
    <w:rsid w:val="005424B9"/>
    <w:rsid w:val="00542512"/>
    <w:rsid w:val="0054251A"/>
    <w:rsid w:val="0054252A"/>
    <w:rsid w:val="005425C3"/>
    <w:rsid w:val="005425C5"/>
    <w:rsid w:val="0054264B"/>
    <w:rsid w:val="005427F1"/>
    <w:rsid w:val="00542934"/>
    <w:rsid w:val="0054293A"/>
    <w:rsid w:val="00542CA3"/>
    <w:rsid w:val="00542E0C"/>
    <w:rsid w:val="00542E0F"/>
    <w:rsid w:val="00542E1C"/>
    <w:rsid w:val="00542E69"/>
    <w:rsid w:val="00542EBF"/>
    <w:rsid w:val="00543105"/>
    <w:rsid w:val="00543172"/>
    <w:rsid w:val="00543397"/>
    <w:rsid w:val="00543399"/>
    <w:rsid w:val="00543419"/>
    <w:rsid w:val="005434D9"/>
    <w:rsid w:val="00543650"/>
    <w:rsid w:val="0054369C"/>
    <w:rsid w:val="005436BB"/>
    <w:rsid w:val="00543710"/>
    <w:rsid w:val="00543730"/>
    <w:rsid w:val="00543797"/>
    <w:rsid w:val="005437C4"/>
    <w:rsid w:val="00543873"/>
    <w:rsid w:val="005439B4"/>
    <w:rsid w:val="00543A8A"/>
    <w:rsid w:val="00543BE2"/>
    <w:rsid w:val="00543C03"/>
    <w:rsid w:val="00543DAA"/>
    <w:rsid w:val="00543E6A"/>
    <w:rsid w:val="00543FA3"/>
    <w:rsid w:val="0054410A"/>
    <w:rsid w:val="005441C9"/>
    <w:rsid w:val="005441E4"/>
    <w:rsid w:val="0054424B"/>
    <w:rsid w:val="005442D9"/>
    <w:rsid w:val="00544399"/>
    <w:rsid w:val="0054441A"/>
    <w:rsid w:val="00544622"/>
    <w:rsid w:val="005446F2"/>
    <w:rsid w:val="005447D6"/>
    <w:rsid w:val="00544807"/>
    <w:rsid w:val="0054481F"/>
    <w:rsid w:val="005449CD"/>
    <w:rsid w:val="00544A52"/>
    <w:rsid w:val="00544AF5"/>
    <w:rsid w:val="00544C1D"/>
    <w:rsid w:val="00544C4B"/>
    <w:rsid w:val="00544C5E"/>
    <w:rsid w:val="00544D92"/>
    <w:rsid w:val="00544DE8"/>
    <w:rsid w:val="00544F20"/>
    <w:rsid w:val="00544FE3"/>
    <w:rsid w:val="00545123"/>
    <w:rsid w:val="00545253"/>
    <w:rsid w:val="0054529C"/>
    <w:rsid w:val="00545488"/>
    <w:rsid w:val="005454BC"/>
    <w:rsid w:val="00545515"/>
    <w:rsid w:val="0054558B"/>
    <w:rsid w:val="005455C2"/>
    <w:rsid w:val="0054578C"/>
    <w:rsid w:val="005458FA"/>
    <w:rsid w:val="0054598C"/>
    <w:rsid w:val="00545B86"/>
    <w:rsid w:val="00545BE4"/>
    <w:rsid w:val="00545C22"/>
    <w:rsid w:val="00545FD5"/>
    <w:rsid w:val="005460A6"/>
    <w:rsid w:val="0054611E"/>
    <w:rsid w:val="00546283"/>
    <w:rsid w:val="005463CA"/>
    <w:rsid w:val="00546440"/>
    <w:rsid w:val="0054672F"/>
    <w:rsid w:val="00546B86"/>
    <w:rsid w:val="00546C4A"/>
    <w:rsid w:val="00546C52"/>
    <w:rsid w:val="00546CF3"/>
    <w:rsid w:val="00546D2C"/>
    <w:rsid w:val="00546E01"/>
    <w:rsid w:val="00546E0A"/>
    <w:rsid w:val="00547014"/>
    <w:rsid w:val="005470C5"/>
    <w:rsid w:val="0054716B"/>
    <w:rsid w:val="005471DB"/>
    <w:rsid w:val="005471E4"/>
    <w:rsid w:val="00547348"/>
    <w:rsid w:val="0054745D"/>
    <w:rsid w:val="0054748D"/>
    <w:rsid w:val="0054754E"/>
    <w:rsid w:val="005476D6"/>
    <w:rsid w:val="005476F8"/>
    <w:rsid w:val="00547837"/>
    <w:rsid w:val="00547845"/>
    <w:rsid w:val="005478F8"/>
    <w:rsid w:val="00547951"/>
    <w:rsid w:val="00547996"/>
    <w:rsid w:val="005479D6"/>
    <w:rsid w:val="00547A07"/>
    <w:rsid w:val="00547AA1"/>
    <w:rsid w:val="00547AAD"/>
    <w:rsid w:val="00547AB1"/>
    <w:rsid w:val="00547BC6"/>
    <w:rsid w:val="00547D2C"/>
    <w:rsid w:val="00547D7E"/>
    <w:rsid w:val="00547DC0"/>
    <w:rsid w:val="00547DFA"/>
    <w:rsid w:val="00547E2A"/>
    <w:rsid w:val="00547EFA"/>
    <w:rsid w:val="00547FD2"/>
    <w:rsid w:val="005501E2"/>
    <w:rsid w:val="005502D8"/>
    <w:rsid w:val="0055057E"/>
    <w:rsid w:val="005505C6"/>
    <w:rsid w:val="00550771"/>
    <w:rsid w:val="00550782"/>
    <w:rsid w:val="00550799"/>
    <w:rsid w:val="005507E5"/>
    <w:rsid w:val="005508C2"/>
    <w:rsid w:val="00550947"/>
    <w:rsid w:val="00550A63"/>
    <w:rsid w:val="00550B4C"/>
    <w:rsid w:val="00550C4C"/>
    <w:rsid w:val="00550C7D"/>
    <w:rsid w:val="00550D05"/>
    <w:rsid w:val="00550D22"/>
    <w:rsid w:val="00550D4C"/>
    <w:rsid w:val="00550EBC"/>
    <w:rsid w:val="0055108F"/>
    <w:rsid w:val="005510F3"/>
    <w:rsid w:val="00551286"/>
    <w:rsid w:val="0055135E"/>
    <w:rsid w:val="00551368"/>
    <w:rsid w:val="00551470"/>
    <w:rsid w:val="00551650"/>
    <w:rsid w:val="005517E8"/>
    <w:rsid w:val="005518A4"/>
    <w:rsid w:val="00551960"/>
    <w:rsid w:val="00551ADC"/>
    <w:rsid w:val="00551BB7"/>
    <w:rsid w:val="00551C31"/>
    <w:rsid w:val="00551C7B"/>
    <w:rsid w:val="00551E2F"/>
    <w:rsid w:val="00551F7B"/>
    <w:rsid w:val="005524AB"/>
    <w:rsid w:val="005524E4"/>
    <w:rsid w:val="00552548"/>
    <w:rsid w:val="0055259F"/>
    <w:rsid w:val="00552629"/>
    <w:rsid w:val="00552632"/>
    <w:rsid w:val="005526D8"/>
    <w:rsid w:val="00552825"/>
    <w:rsid w:val="005528BF"/>
    <w:rsid w:val="00552B4C"/>
    <w:rsid w:val="00552BCB"/>
    <w:rsid w:val="00552C20"/>
    <w:rsid w:val="00552D08"/>
    <w:rsid w:val="00552DF4"/>
    <w:rsid w:val="00552E2B"/>
    <w:rsid w:val="00552E2C"/>
    <w:rsid w:val="00552E9C"/>
    <w:rsid w:val="0055312D"/>
    <w:rsid w:val="005531C9"/>
    <w:rsid w:val="0055321F"/>
    <w:rsid w:val="005532CB"/>
    <w:rsid w:val="005532F0"/>
    <w:rsid w:val="005532FF"/>
    <w:rsid w:val="00553318"/>
    <w:rsid w:val="00553367"/>
    <w:rsid w:val="00553434"/>
    <w:rsid w:val="005534EC"/>
    <w:rsid w:val="0055360B"/>
    <w:rsid w:val="00553DCA"/>
    <w:rsid w:val="00553E91"/>
    <w:rsid w:val="00553EE2"/>
    <w:rsid w:val="00553F24"/>
    <w:rsid w:val="00553FB9"/>
    <w:rsid w:val="0055409E"/>
    <w:rsid w:val="005540FC"/>
    <w:rsid w:val="0055420B"/>
    <w:rsid w:val="00554224"/>
    <w:rsid w:val="005542E9"/>
    <w:rsid w:val="00554302"/>
    <w:rsid w:val="00554315"/>
    <w:rsid w:val="0055432D"/>
    <w:rsid w:val="0055434E"/>
    <w:rsid w:val="0055441C"/>
    <w:rsid w:val="00554465"/>
    <w:rsid w:val="0055452B"/>
    <w:rsid w:val="00554547"/>
    <w:rsid w:val="00554610"/>
    <w:rsid w:val="005546A5"/>
    <w:rsid w:val="00554872"/>
    <w:rsid w:val="00554AAC"/>
    <w:rsid w:val="00554ABC"/>
    <w:rsid w:val="00554B5E"/>
    <w:rsid w:val="00554C20"/>
    <w:rsid w:val="00554D81"/>
    <w:rsid w:val="00554F0C"/>
    <w:rsid w:val="005550AC"/>
    <w:rsid w:val="005550FF"/>
    <w:rsid w:val="005551E4"/>
    <w:rsid w:val="005552B1"/>
    <w:rsid w:val="005553BF"/>
    <w:rsid w:val="005553EC"/>
    <w:rsid w:val="005554B4"/>
    <w:rsid w:val="0055554C"/>
    <w:rsid w:val="005555C5"/>
    <w:rsid w:val="005555EE"/>
    <w:rsid w:val="00555676"/>
    <w:rsid w:val="005557A9"/>
    <w:rsid w:val="005557EA"/>
    <w:rsid w:val="00555870"/>
    <w:rsid w:val="00555882"/>
    <w:rsid w:val="005559D0"/>
    <w:rsid w:val="00555A27"/>
    <w:rsid w:val="00555A4E"/>
    <w:rsid w:val="00555A5B"/>
    <w:rsid w:val="00555B22"/>
    <w:rsid w:val="00555CDF"/>
    <w:rsid w:val="00555CFE"/>
    <w:rsid w:val="00555D9D"/>
    <w:rsid w:val="00555E03"/>
    <w:rsid w:val="00555E04"/>
    <w:rsid w:val="00555E33"/>
    <w:rsid w:val="00555E93"/>
    <w:rsid w:val="00555F8C"/>
    <w:rsid w:val="00555FC8"/>
    <w:rsid w:val="00556136"/>
    <w:rsid w:val="0055630C"/>
    <w:rsid w:val="0055634B"/>
    <w:rsid w:val="00556449"/>
    <w:rsid w:val="005566D4"/>
    <w:rsid w:val="00556814"/>
    <w:rsid w:val="005568C1"/>
    <w:rsid w:val="005569B3"/>
    <w:rsid w:val="00556A09"/>
    <w:rsid w:val="00556A8D"/>
    <w:rsid w:val="00556AF5"/>
    <w:rsid w:val="00556BCB"/>
    <w:rsid w:val="00556C16"/>
    <w:rsid w:val="00556CB3"/>
    <w:rsid w:val="00556CB7"/>
    <w:rsid w:val="00556D2C"/>
    <w:rsid w:val="00556D4F"/>
    <w:rsid w:val="00556F5E"/>
    <w:rsid w:val="00556FB8"/>
    <w:rsid w:val="0055712C"/>
    <w:rsid w:val="00557164"/>
    <w:rsid w:val="005571F6"/>
    <w:rsid w:val="005571F8"/>
    <w:rsid w:val="005572C0"/>
    <w:rsid w:val="005572EA"/>
    <w:rsid w:val="005573D9"/>
    <w:rsid w:val="0055740E"/>
    <w:rsid w:val="00557414"/>
    <w:rsid w:val="0055741A"/>
    <w:rsid w:val="0055747E"/>
    <w:rsid w:val="005574F8"/>
    <w:rsid w:val="0055766C"/>
    <w:rsid w:val="005576B3"/>
    <w:rsid w:val="00557775"/>
    <w:rsid w:val="00557780"/>
    <w:rsid w:val="0055798C"/>
    <w:rsid w:val="005579D1"/>
    <w:rsid w:val="005579E9"/>
    <w:rsid w:val="00557B4E"/>
    <w:rsid w:val="00557CCC"/>
    <w:rsid w:val="00557E61"/>
    <w:rsid w:val="0056001B"/>
    <w:rsid w:val="00560023"/>
    <w:rsid w:val="00560350"/>
    <w:rsid w:val="0056038F"/>
    <w:rsid w:val="005603E9"/>
    <w:rsid w:val="0056040A"/>
    <w:rsid w:val="005608AB"/>
    <w:rsid w:val="005609A6"/>
    <w:rsid w:val="00560A45"/>
    <w:rsid w:val="00560A6E"/>
    <w:rsid w:val="00560A9D"/>
    <w:rsid w:val="00560AD3"/>
    <w:rsid w:val="00560B4B"/>
    <w:rsid w:val="00560B62"/>
    <w:rsid w:val="00560BD3"/>
    <w:rsid w:val="00560C16"/>
    <w:rsid w:val="00560C7E"/>
    <w:rsid w:val="00560C8B"/>
    <w:rsid w:val="00560D9B"/>
    <w:rsid w:val="00560DEE"/>
    <w:rsid w:val="00560E40"/>
    <w:rsid w:val="00560EA5"/>
    <w:rsid w:val="00561044"/>
    <w:rsid w:val="005610D5"/>
    <w:rsid w:val="005611A9"/>
    <w:rsid w:val="00561200"/>
    <w:rsid w:val="00561288"/>
    <w:rsid w:val="005612C2"/>
    <w:rsid w:val="005613B3"/>
    <w:rsid w:val="005614B6"/>
    <w:rsid w:val="0056155C"/>
    <w:rsid w:val="00561616"/>
    <w:rsid w:val="0056161D"/>
    <w:rsid w:val="00561777"/>
    <w:rsid w:val="0056187C"/>
    <w:rsid w:val="00561BB7"/>
    <w:rsid w:val="00561EB4"/>
    <w:rsid w:val="0056203F"/>
    <w:rsid w:val="00562052"/>
    <w:rsid w:val="00562065"/>
    <w:rsid w:val="00562066"/>
    <w:rsid w:val="00562212"/>
    <w:rsid w:val="0056227E"/>
    <w:rsid w:val="005622A5"/>
    <w:rsid w:val="00562329"/>
    <w:rsid w:val="0056241F"/>
    <w:rsid w:val="00562444"/>
    <w:rsid w:val="00562491"/>
    <w:rsid w:val="00562507"/>
    <w:rsid w:val="00562681"/>
    <w:rsid w:val="005626BD"/>
    <w:rsid w:val="005628C8"/>
    <w:rsid w:val="00562DB5"/>
    <w:rsid w:val="00562DEF"/>
    <w:rsid w:val="00562FB0"/>
    <w:rsid w:val="00563048"/>
    <w:rsid w:val="00563153"/>
    <w:rsid w:val="005631B7"/>
    <w:rsid w:val="005631EA"/>
    <w:rsid w:val="00563381"/>
    <w:rsid w:val="00563417"/>
    <w:rsid w:val="00563434"/>
    <w:rsid w:val="0056347C"/>
    <w:rsid w:val="0056348B"/>
    <w:rsid w:val="005634BA"/>
    <w:rsid w:val="00563507"/>
    <w:rsid w:val="00563643"/>
    <w:rsid w:val="005636A9"/>
    <w:rsid w:val="005636B6"/>
    <w:rsid w:val="00563796"/>
    <w:rsid w:val="005638F8"/>
    <w:rsid w:val="00563989"/>
    <w:rsid w:val="00563A80"/>
    <w:rsid w:val="00563B82"/>
    <w:rsid w:val="00563B9B"/>
    <w:rsid w:val="00563BEB"/>
    <w:rsid w:val="00563C2B"/>
    <w:rsid w:val="00563D6E"/>
    <w:rsid w:val="00563D7F"/>
    <w:rsid w:val="00563E85"/>
    <w:rsid w:val="00563F5B"/>
    <w:rsid w:val="0056404E"/>
    <w:rsid w:val="00564184"/>
    <w:rsid w:val="005643CD"/>
    <w:rsid w:val="005643E3"/>
    <w:rsid w:val="0056451B"/>
    <w:rsid w:val="00564581"/>
    <w:rsid w:val="00564688"/>
    <w:rsid w:val="0056474F"/>
    <w:rsid w:val="005647C1"/>
    <w:rsid w:val="00564843"/>
    <w:rsid w:val="005648AB"/>
    <w:rsid w:val="0056491B"/>
    <w:rsid w:val="00564969"/>
    <w:rsid w:val="00564B03"/>
    <w:rsid w:val="00564C78"/>
    <w:rsid w:val="00564CE5"/>
    <w:rsid w:val="00564D8A"/>
    <w:rsid w:val="00564DD9"/>
    <w:rsid w:val="00564E59"/>
    <w:rsid w:val="00564E6D"/>
    <w:rsid w:val="00564E8B"/>
    <w:rsid w:val="00564F49"/>
    <w:rsid w:val="00564F5D"/>
    <w:rsid w:val="00564F6A"/>
    <w:rsid w:val="00565127"/>
    <w:rsid w:val="005653E7"/>
    <w:rsid w:val="005653FC"/>
    <w:rsid w:val="005654F3"/>
    <w:rsid w:val="00565785"/>
    <w:rsid w:val="005658E8"/>
    <w:rsid w:val="0056595E"/>
    <w:rsid w:val="00565993"/>
    <w:rsid w:val="00565A7B"/>
    <w:rsid w:val="00565A96"/>
    <w:rsid w:val="00565CE4"/>
    <w:rsid w:val="00565DCD"/>
    <w:rsid w:val="00565F9E"/>
    <w:rsid w:val="0056608A"/>
    <w:rsid w:val="00566359"/>
    <w:rsid w:val="00566645"/>
    <w:rsid w:val="005667BF"/>
    <w:rsid w:val="005667D5"/>
    <w:rsid w:val="00566812"/>
    <w:rsid w:val="00566A7B"/>
    <w:rsid w:val="00566AEB"/>
    <w:rsid w:val="00566B14"/>
    <w:rsid w:val="00566DD6"/>
    <w:rsid w:val="00566F06"/>
    <w:rsid w:val="00567330"/>
    <w:rsid w:val="00567380"/>
    <w:rsid w:val="0056742D"/>
    <w:rsid w:val="0056743A"/>
    <w:rsid w:val="00567476"/>
    <w:rsid w:val="00567535"/>
    <w:rsid w:val="0056754A"/>
    <w:rsid w:val="005675BE"/>
    <w:rsid w:val="005676AA"/>
    <w:rsid w:val="005676F2"/>
    <w:rsid w:val="00567838"/>
    <w:rsid w:val="0056783B"/>
    <w:rsid w:val="0056784A"/>
    <w:rsid w:val="00567905"/>
    <w:rsid w:val="0056790F"/>
    <w:rsid w:val="0056792C"/>
    <w:rsid w:val="00567951"/>
    <w:rsid w:val="00567961"/>
    <w:rsid w:val="005679E5"/>
    <w:rsid w:val="00567A21"/>
    <w:rsid w:val="00567A30"/>
    <w:rsid w:val="00567ADD"/>
    <w:rsid w:val="00567C20"/>
    <w:rsid w:val="00567C35"/>
    <w:rsid w:val="00567C47"/>
    <w:rsid w:val="00567C4A"/>
    <w:rsid w:val="00567CAE"/>
    <w:rsid w:val="00567D2B"/>
    <w:rsid w:val="00567DA0"/>
    <w:rsid w:val="00567E45"/>
    <w:rsid w:val="00567E8F"/>
    <w:rsid w:val="00567F23"/>
    <w:rsid w:val="00567F36"/>
    <w:rsid w:val="00567FED"/>
    <w:rsid w:val="0057007D"/>
    <w:rsid w:val="005700DC"/>
    <w:rsid w:val="005701F0"/>
    <w:rsid w:val="005702F2"/>
    <w:rsid w:val="0057033D"/>
    <w:rsid w:val="0057033E"/>
    <w:rsid w:val="005703DC"/>
    <w:rsid w:val="0057047E"/>
    <w:rsid w:val="00570654"/>
    <w:rsid w:val="0057068B"/>
    <w:rsid w:val="00570780"/>
    <w:rsid w:val="00570866"/>
    <w:rsid w:val="005708B8"/>
    <w:rsid w:val="00570A54"/>
    <w:rsid w:val="00570B35"/>
    <w:rsid w:val="00570BB3"/>
    <w:rsid w:val="00570C40"/>
    <w:rsid w:val="00570C49"/>
    <w:rsid w:val="00570C99"/>
    <w:rsid w:val="00570CA0"/>
    <w:rsid w:val="00570CE8"/>
    <w:rsid w:val="00570E08"/>
    <w:rsid w:val="00570F19"/>
    <w:rsid w:val="005710B1"/>
    <w:rsid w:val="005710F1"/>
    <w:rsid w:val="005711C0"/>
    <w:rsid w:val="005711DA"/>
    <w:rsid w:val="00571205"/>
    <w:rsid w:val="0057125C"/>
    <w:rsid w:val="00571279"/>
    <w:rsid w:val="005712A8"/>
    <w:rsid w:val="005713EF"/>
    <w:rsid w:val="005714B1"/>
    <w:rsid w:val="005714D4"/>
    <w:rsid w:val="00571556"/>
    <w:rsid w:val="00571594"/>
    <w:rsid w:val="005716E9"/>
    <w:rsid w:val="00571789"/>
    <w:rsid w:val="00571870"/>
    <w:rsid w:val="005718C1"/>
    <w:rsid w:val="0057195E"/>
    <w:rsid w:val="00571A69"/>
    <w:rsid w:val="00571CAB"/>
    <w:rsid w:val="00571E5C"/>
    <w:rsid w:val="00571F59"/>
    <w:rsid w:val="00571F89"/>
    <w:rsid w:val="00571F9C"/>
    <w:rsid w:val="005722AB"/>
    <w:rsid w:val="005723A2"/>
    <w:rsid w:val="0057241D"/>
    <w:rsid w:val="0057247E"/>
    <w:rsid w:val="0057265B"/>
    <w:rsid w:val="00572797"/>
    <w:rsid w:val="00572A9B"/>
    <w:rsid w:val="00572BC8"/>
    <w:rsid w:val="00572D9B"/>
    <w:rsid w:val="00572DB3"/>
    <w:rsid w:val="00572EB5"/>
    <w:rsid w:val="00572F4F"/>
    <w:rsid w:val="005730B0"/>
    <w:rsid w:val="005730DF"/>
    <w:rsid w:val="0057327A"/>
    <w:rsid w:val="00573298"/>
    <w:rsid w:val="005732F7"/>
    <w:rsid w:val="00573318"/>
    <w:rsid w:val="00573366"/>
    <w:rsid w:val="00573400"/>
    <w:rsid w:val="00573409"/>
    <w:rsid w:val="0057349F"/>
    <w:rsid w:val="005735CA"/>
    <w:rsid w:val="005735D0"/>
    <w:rsid w:val="0057364A"/>
    <w:rsid w:val="00573740"/>
    <w:rsid w:val="0057377D"/>
    <w:rsid w:val="005737A5"/>
    <w:rsid w:val="00573839"/>
    <w:rsid w:val="0057386E"/>
    <w:rsid w:val="005739FB"/>
    <w:rsid w:val="00573AEB"/>
    <w:rsid w:val="00573AF4"/>
    <w:rsid w:val="00573AFF"/>
    <w:rsid w:val="00573B38"/>
    <w:rsid w:val="00573B4E"/>
    <w:rsid w:val="00573D0E"/>
    <w:rsid w:val="00573DA8"/>
    <w:rsid w:val="00573F45"/>
    <w:rsid w:val="00573FCE"/>
    <w:rsid w:val="00573FEA"/>
    <w:rsid w:val="005740AF"/>
    <w:rsid w:val="0057413A"/>
    <w:rsid w:val="00574162"/>
    <w:rsid w:val="00574241"/>
    <w:rsid w:val="005742D2"/>
    <w:rsid w:val="0057430C"/>
    <w:rsid w:val="0057435B"/>
    <w:rsid w:val="005743A6"/>
    <w:rsid w:val="005743D6"/>
    <w:rsid w:val="0057443B"/>
    <w:rsid w:val="0057456F"/>
    <w:rsid w:val="0057473D"/>
    <w:rsid w:val="005748C2"/>
    <w:rsid w:val="005748F0"/>
    <w:rsid w:val="0057497A"/>
    <w:rsid w:val="00574A5A"/>
    <w:rsid w:val="00574D14"/>
    <w:rsid w:val="005751B3"/>
    <w:rsid w:val="00575371"/>
    <w:rsid w:val="005754DC"/>
    <w:rsid w:val="00575507"/>
    <w:rsid w:val="0057559B"/>
    <w:rsid w:val="005755D8"/>
    <w:rsid w:val="00575648"/>
    <w:rsid w:val="005756C4"/>
    <w:rsid w:val="005758A3"/>
    <w:rsid w:val="005758A6"/>
    <w:rsid w:val="00575917"/>
    <w:rsid w:val="00575C0C"/>
    <w:rsid w:val="00575C9A"/>
    <w:rsid w:val="00575DE6"/>
    <w:rsid w:val="00576012"/>
    <w:rsid w:val="0057609F"/>
    <w:rsid w:val="0057621C"/>
    <w:rsid w:val="0057637F"/>
    <w:rsid w:val="00576596"/>
    <w:rsid w:val="00576654"/>
    <w:rsid w:val="005766B2"/>
    <w:rsid w:val="005766D8"/>
    <w:rsid w:val="005769EE"/>
    <w:rsid w:val="00576A34"/>
    <w:rsid w:val="00576B2C"/>
    <w:rsid w:val="00576C41"/>
    <w:rsid w:val="00576E0D"/>
    <w:rsid w:val="00576E42"/>
    <w:rsid w:val="00576F7F"/>
    <w:rsid w:val="0057702E"/>
    <w:rsid w:val="00577101"/>
    <w:rsid w:val="0057718F"/>
    <w:rsid w:val="005771C5"/>
    <w:rsid w:val="00577226"/>
    <w:rsid w:val="00577263"/>
    <w:rsid w:val="005772D6"/>
    <w:rsid w:val="0057737C"/>
    <w:rsid w:val="005773CD"/>
    <w:rsid w:val="00577448"/>
    <w:rsid w:val="005774B6"/>
    <w:rsid w:val="0057753E"/>
    <w:rsid w:val="00577597"/>
    <w:rsid w:val="0057761D"/>
    <w:rsid w:val="00577791"/>
    <w:rsid w:val="00577913"/>
    <w:rsid w:val="00577951"/>
    <w:rsid w:val="00577970"/>
    <w:rsid w:val="005779F4"/>
    <w:rsid w:val="00577A40"/>
    <w:rsid w:val="00577B0A"/>
    <w:rsid w:val="00577BDC"/>
    <w:rsid w:val="00577CA4"/>
    <w:rsid w:val="00577DA1"/>
    <w:rsid w:val="00577ECD"/>
    <w:rsid w:val="00577F1C"/>
    <w:rsid w:val="00577F7D"/>
    <w:rsid w:val="00577FC7"/>
    <w:rsid w:val="00580097"/>
    <w:rsid w:val="005800C3"/>
    <w:rsid w:val="00580157"/>
    <w:rsid w:val="005801B6"/>
    <w:rsid w:val="005801DC"/>
    <w:rsid w:val="00580293"/>
    <w:rsid w:val="005802BC"/>
    <w:rsid w:val="005802E8"/>
    <w:rsid w:val="005802F1"/>
    <w:rsid w:val="00580346"/>
    <w:rsid w:val="005804A9"/>
    <w:rsid w:val="00580522"/>
    <w:rsid w:val="005805C4"/>
    <w:rsid w:val="005806C0"/>
    <w:rsid w:val="005806FA"/>
    <w:rsid w:val="00580728"/>
    <w:rsid w:val="005808BE"/>
    <w:rsid w:val="005809F8"/>
    <w:rsid w:val="00580AA4"/>
    <w:rsid w:val="00580AB3"/>
    <w:rsid w:val="00580DF8"/>
    <w:rsid w:val="00580E38"/>
    <w:rsid w:val="00580F08"/>
    <w:rsid w:val="0058110B"/>
    <w:rsid w:val="0058115C"/>
    <w:rsid w:val="005812B0"/>
    <w:rsid w:val="0058136A"/>
    <w:rsid w:val="0058139F"/>
    <w:rsid w:val="005813E5"/>
    <w:rsid w:val="005815A4"/>
    <w:rsid w:val="00581780"/>
    <w:rsid w:val="0058181B"/>
    <w:rsid w:val="00581884"/>
    <w:rsid w:val="00581B21"/>
    <w:rsid w:val="00581C4F"/>
    <w:rsid w:val="00581C52"/>
    <w:rsid w:val="00581C99"/>
    <w:rsid w:val="00581D9F"/>
    <w:rsid w:val="00581DBB"/>
    <w:rsid w:val="00581E10"/>
    <w:rsid w:val="00581E48"/>
    <w:rsid w:val="00581F09"/>
    <w:rsid w:val="00581FAA"/>
    <w:rsid w:val="00581FD9"/>
    <w:rsid w:val="0058213A"/>
    <w:rsid w:val="00582213"/>
    <w:rsid w:val="00582289"/>
    <w:rsid w:val="005822AE"/>
    <w:rsid w:val="005822BD"/>
    <w:rsid w:val="0058231D"/>
    <w:rsid w:val="0058235C"/>
    <w:rsid w:val="00582365"/>
    <w:rsid w:val="005825CD"/>
    <w:rsid w:val="005825D4"/>
    <w:rsid w:val="00582694"/>
    <w:rsid w:val="005826E5"/>
    <w:rsid w:val="0058271A"/>
    <w:rsid w:val="0058272B"/>
    <w:rsid w:val="0058277F"/>
    <w:rsid w:val="005827AA"/>
    <w:rsid w:val="00582868"/>
    <w:rsid w:val="005828CE"/>
    <w:rsid w:val="005828E3"/>
    <w:rsid w:val="00582950"/>
    <w:rsid w:val="005829D0"/>
    <w:rsid w:val="00582A74"/>
    <w:rsid w:val="00582A9A"/>
    <w:rsid w:val="00582CC7"/>
    <w:rsid w:val="00582E42"/>
    <w:rsid w:val="00582EB3"/>
    <w:rsid w:val="00582F93"/>
    <w:rsid w:val="00582FE0"/>
    <w:rsid w:val="0058320F"/>
    <w:rsid w:val="00583286"/>
    <w:rsid w:val="00583294"/>
    <w:rsid w:val="005832D4"/>
    <w:rsid w:val="00583348"/>
    <w:rsid w:val="005833D7"/>
    <w:rsid w:val="0058352D"/>
    <w:rsid w:val="0058353D"/>
    <w:rsid w:val="005835E5"/>
    <w:rsid w:val="00583666"/>
    <w:rsid w:val="0058372D"/>
    <w:rsid w:val="0058378B"/>
    <w:rsid w:val="00583844"/>
    <w:rsid w:val="00583877"/>
    <w:rsid w:val="0058388E"/>
    <w:rsid w:val="005838F6"/>
    <w:rsid w:val="005839B7"/>
    <w:rsid w:val="00583CC1"/>
    <w:rsid w:val="00583CDE"/>
    <w:rsid w:val="00583D1A"/>
    <w:rsid w:val="00583D65"/>
    <w:rsid w:val="00583E31"/>
    <w:rsid w:val="00583E54"/>
    <w:rsid w:val="00583EFF"/>
    <w:rsid w:val="00583F38"/>
    <w:rsid w:val="00583F74"/>
    <w:rsid w:val="00584008"/>
    <w:rsid w:val="005840E8"/>
    <w:rsid w:val="00584120"/>
    <w:rsid w:val="00584171"/>
    <w:rsid w:val="005845D3"/>
    <w:rsid w:val="00584775"/>
    <w:rsid w:val="00584781"/>
    <w:rsid w:val="00584B4D"/>
    <w:rsid w:val="00584C67"/>
    <w:rsid w:val="00584C75"/>
    <w:rsid w:val="00584D53"/>
    <w:rsid w:val="00584E4A"/>
    <w:rsid w:val="00584EE6"/>
    <w:rsid w:val="005851F0"/>
    <w:rsid w:val="00585202"/>
    <w:rsid w:val="005855CF"/>
    <w:rsid w:val="005855F9"/>
    <w:rsid w:val="00585676"/>
    <w:rsid w:val="00585697"/>
    <w:rsid w:val="0058571C"/>
    <w:rsid w:val="0058594F"/>
    <w:rsid w:val="00585A61"/>
    <w:rsid w:val="00585AA7"/>
    <w:rsid w:val="00585CA7"/>
    <w:rsid w:val="00585D28"/>
    <w:rsid w:val="00585DB1"/>
    <w:rsid w:val="00585F12"/>
    <w:rsid w:val="00585F1B"/>
    <w:rsid w:val="00585FA9"/>
    <w:rsid w:val="00585FCE"/>
    <w:rsid w:val="00586060"/>
    <w:rsid w:val="00586090"/>
    <w:rsid w:val="00586145"/>
    <w:rsid w:val="005862FA"/>
    <w:rsid w:val="005864F2"/>
    <w:rsid w:val="0058660C"/>
    <w:rsid w:val="005866F7"/>
    <w:rsid w:val="00586799"/>
    <w:rsid w:val="00586806"/>
    <w:rsid w:val="0058687D"/>
    <w:rsid w:val="00586AE3"/>
    <w:rsid w:val="00586C69"/>
    <w:rsid w:val="00586E59"/>
    <w:rsid w:val="00586F15"/>
    <w:rsid w:val="005870F3"/>
    <w:rsid w:val="005871A1"/>
    <w:rsid w:val="005871AB"/>
    <w:rsid w:val="005871ED"/>
    <w:rsid w:val="00587328"/>
    <w:rsid w:val="00587453"/>
    <w:rsid w:val="00587519"/>
    <w:rsid w:val="00587542"/>
    <w:rsid w:val="005875F3"/>
    <w:rsid w:val="00587644"/>
    <w:rsid w:val="0058766D"/>
    <w:rsid w:val="005876F0"/>
    <w:rsid w:val="0058775B"/>
    <w:rsid w:val="005877AE"/>
    <w:rsid w:val="005879D0"/>
    <w:rsid w:val="00587A5C"/>
    <w:rsid w:val="00587A97"/>
    <w:rsid w:val="00587B2D"/>
    <w:rsid w:val="00587B7E"/>
    <w:rsid w:val="00587CA3"/>
    <w:rsid w:val="00587D2A"/>
    <w:rsid w:val="00587E52"/>
    <w:rsid w:val="00587E9D"/>
    <w:rsid w:val="00587EEF"/>
    <w:rsid w:val="00587FB7"/>
    <w:rsid w:val="0059003F"/>
    <w:rsid w:val="00590079"/>
    <w:rsid w:val="0059020F"/>
    <w:rsid w:val="00590213"/>
    <w:rsid w:val="00590232"/>
    <w:rsid w:val="0059027C"/>
    <w:rsid w:val="0059028A"/>
    <w:rsid w:val="00590300"/>
    <w:rsid w:val="0059042C"/>
    <w:rsid w:val="005905BD"/>
    <w:rsid w:val="005907E9"/>
    <w:rsid w:val="00590854"/>
    <w:rsid w:val="00590939"/>
    <w:rsid w:val="005909CC"/>
    <w:rsid w:val="00590A72"/>
    <w:rsid w:val="00590B50"/>
    <w:rsid w:val="00590B7E"/>
    <w:rsid w:val="00590B86"/>
    <w:rsid w:val="00590B92"/>
    <w:rsid w:val="00590BB2"/>
    <w:rsid w:val="00590C41"/>
    <w:rsid w:val="00590CF4"/>
    <w:rsid w:val="00590E21"/>
    <w:rsid w:val="00590E85"/>
    <w:rsid w:val="00590F90"/>
    <w:rsid w:val="00590FAA"/>
    <w:rsid w:val="0059118F"/>
    <w:rsid w:val="00591285"/>
    <w:rsid w:val="005914BC"/>
    <w:rsid w:val="005914C5"/>
    <w:rsid w:val="0059155F"/>
    <w:rsid w:val="0059168C"/>
    <w:rsid w:val="005916D7"/>
    <w:rsid w:val="0059170D"/>
    <w:rsid w:val="00591722"/>
    <w:rsid w:val="0059183A"/>
    <w:rsid w:val="00591841"/>
    <w:rsid w:val="005918C5"/>
    <w:rsid w:val="00591BCB"/>
    <w:rsid w:val="00591BFA"/>
    <w:rsid w:val="00591D57"/>
    <w:rsid w:val="00591D7A"/>
    <w:rsid w:val="00591ECA"/>
    <w:rsid w:val="00591F08"/>
    <w:rsid w:val="00591F3E"/>
    <w:rsid w:val="00591F43"/>
    <w:rsid w:val="0059204B"/>
    <w:rsid w:val="00592073"/>
    <w:rsid w:val="005920C6"/>
    <w:rsid w:val="005920D4"/>
    <w:rsid w:val="00592158"/>
    <w:rsid w:val="00592212"/>
    <w:rsid w:val="00592275"/>
    <w:rsid w:val="00592288"/>
    <w:rsid w:val="005922F1"/>
    <w:rsid w:val="0059231E"/>
    <w:rsid w:val="00592321"/>
    <w:rsid w:val="0059234F"/>
    <w:rsid w:val="005923A2"/>
    <w:rsid w:val="005926A5"/>
    <w:rsid w:val="00592746"/>
    <w:rsid w:val="0059277C"/>
    <w:rsid w:val="00592837"/>
    <w:rsid w:val="00592909"/>
    <w:rsid w:val="005929E2"/>
    <w:rsid w:val="00592AD7"/>
    <w:rsid w:val="00592C16"/>
    <w:rsid w:val="00592C82"/>
    <w:rsid w:val="00592CA1"/>
    <w:rsid w:val="00592D93"/>
    <w:rsid w:val="00592DCC"/>
    <w:rsid w:val="00592E4C"/>
    <w:rsid w:val="00592F19"/>
    <w:rsid w:val="00592F1C"/>
    <w:rsid w:val="00592FE2"/>
    <w:rsid w:val="0059309A"/>
    <w:rsid w:val="00593262"/>
    <w:rsid w:val="005932D6"/>
    <w:rsid w:val="00593310"/>
    <w:rsid w:val="00593489"/>
    <w:rsid w:val="00593548"/>
    <w:rsid w:val="005937D1"/>
    <w:rsid w:val="00593821"/>
    <w:rsid w:val="0059384E"/>
    <w:rsid w:val="0059387A"/>
    <w:rsid w:val="00593948"/>
    <w:rsid w:val="00593A85"/>
    <w:rsid w:val="00593E27"/>
    <w:rsid w:val="00593F91"/>
    <w:rsid w:val="0059401F"/>
    <w:rsid w:val="0059404A"/>
    <w:rsid w:val="005940B8"/>
    <w:rsid w:val="005940FE"/>
    <w:rsid w:val="00594102"/>
    <w:rsid w:val="0059414B"/>
    <w:rsid w:val="0059431A"/>
    <w:rsid w:val="00594344"/>
    <w:rsid w:val="005943A0"/>
    <w:rsid w:val="00594496"/>
    <w:rsid w:val="005944B3"/>
    <w:rsid w:val="0059456B"/>
    <w:rsid w:val="005945ED"/>
    <w:rsid w:val="0059464F"/>
    <w:rsid w:val="0059485E"/>
    <w:rsid w:val="00594980"/>
    <w:rsid w:val="005949E2"/>
    <w:rsid w:val="00594F48"/>
    <w:rsid w:val="00594F55"/>
    <w:rsid w:val="00595017"/>
    <w:rsid w:val="0059526A"/>
    <w:rsid w:val="00595273"/>
    <w:rsid w:val="005952DE"/>
    <w:rsid w:val="00595344"/>
    <w:rsid w:val="00595451"/>
    <w:rsid w:val="005954C9"/>
    <w:rsid w:val="00595521"/>
    <w:rsid w:val="005955B1"/>
    <w:rsid w:val="005955D7"/>
    <w:rsid w:val="005955DF"/>
    <w:rsid w:val="005955F6"/>
    <w:rsid w:val="00595604"/>
    <w:rsid w:val="0059564F"/>
    <w:rsid w:val="0059582E"/>
    <w:rsid w:val="005958AF"/>
    <w:rsid w:val="005958B7"/>
    <w:rsid w:val="005958BB"/>
    <w:rsid w:val="005958F1"/>
    <w:rsid w:val="00595A8F"/>
    <w:rsid w:val="00595C77"/>
    <w:rsid w:val="00595D62"/>
    <w:rsid w:val="00595D8D"/>
    <w:rsid w:val="00595FF4"/>
    <w:rsid w:val="00596213"/>
    <w:rsid w:val="005962D2"/>
    <w:rsid w:val="005962D7"/>
    <w:rsid w:val="00596313"/>
    <w:rsid w:val="005963A7"/>
    <w:rsid w:val="00596421"/>
    <w:rsid w:val="005964DB"/>
    <w:rsid w:val="005965B4"/>
    <w:rsid w:val="00596648"/>
    <w:rsid w:val="005966C7"/>
    <w:rsid w:val="0059671C"/>
    <w:rsid w:val="0059685F"/>
    <w:rsid w:val="0059687A"/>
    <w:rsid w:val="005968BB"/>
    <w:rsid w:val="00596912"/>
    <w:rsid w:val="00596941"/>
    <w:rsid w:val="005969F0"/>
    <w:rsid w:val="00596A25"/>
    <w:rsid w:val="00596A2A"/>
    <w:rsid w:val="00596B30"/>
    <w:rsid w:val="00596B8B"/>
    <w:rsid w:val="00596C46"/>
    <w:rsid w:val="00596C8F"/>
    <w:rsid w:val="00596CC1"/>
    <w:rsid w:val="00596E6C"/>
    <w:rsid w:val="00596E90"/>
    <w:rsid w:val="00596ECE"/>
    <w:rsid w:val="00596EE4"/>
    <w:rsid w:val="00597060"/>
    <w:rsid w:val="005970F2"/>
    <w:rsid w:val="0059713E"/>
    <w:rsid w:val="005972DB"/>
    <w:rsid w:val="005972E1"/>
    <w:rsid w:val="005972E5"/>
    <w:rsid w:val="00597321"/>
    <w:rsid w:val="0059734A"/>
    <w:rsid w:val="0059765D"/>
    <w:rsid w:val="005976B1"/>
    <w:rsid w:val="0059782A"/>
    <w:rsid w:val="005978AC"/>
    <w:rsid w:val="005978E7"/>
    <w:rsid w:val="005978FC"/>
    <w:rsid w:val="00597AD3"/>
    <w:rsid w:val="00597B3C"/>
    <w:rsid w:val="00597C0D"/>
    <w:rsid w:val="00597C68"/>
    <w:rsid w:val="00597C88"/>
    <w:rsid w:val="00597D65"/>
    <w:rsid w:val="00597E97"/>
    <w:rsid w:val="005A0249"/>
    <w:rsid w:val="005A02EC"/>
    <w:rsid w:val="005A033C"/>
    <w:rsid w:val="005A035E"/>
    <w:rsid w:val="005A0469"/>
    <w:rsid w:val="005A0735"/>
    <w:rsid w:val="005A0802"/>
    <w:rsid w:val="005A0939"/>
    <w:rsid w:val="005A0ACC"/>
    <w:rsid w:val="005A0BCC"/>
    <w:rsid w:val="005A0CF8"/>
    <w:rsid w:val="005A0E64"/>
    <w:rsid w:val="005A0E9D"/>
    <w:rsid w:val="005A0FAF"/>
    <w:rsid w:val="005A1018"/>
    <w:rsid w:val="005A10A9"/>
    <w:rsid w:val="005A111B"/>
    <w:rsid w:val="005A1148"/>
    <w:rsid w:val="005A11C1"/>
    <w:rsid w:val="005A127F"/>
    <w:rsid w:val="005A1350"/>
    <w:rsid w:val="005A16AC"/>
    <w:rsid w:val="005A1731"/>
    <w:rsid w:val="005A192A"/>
    <w:rsid w:val="005A1967"/>
    <w:rsid w:val="005A1971"/>
    <w:rsid w:val="005A1996"/>
    <w:rsid w:val="005A1A73"/>
    <w:rsid w:val="005A1AAE"/>
    <w:rsid w:val="005A1B16"/>
    <w:rsid w:val="005A1C80"/>
    <w:rsid w:val="005A1CFE"/>
    <w:rsid w:val="005A1EE2"/>
    <w:rsid w:val="005A2207"/>
    <w:rsid w:val="005A229B"/>
    <w:rsid w:val="005A22C2"/>
    <w:rsid w:val="005A22EC"/>
    <w:rsid w:val="005A2390"/>
    <w:rsid w:val="005A240D"/>
    <w:rsid w:val="005A24E8"/>
    <w:rsid w:val="005A26D0"/>
    <w:rsid w:val="005A26DA"/>
    <w:rsid w:val="005A26FF"/>
    <w:rsid w:val="005A2777"/>
    <w:rsid w:val="005A2A25"/>
    <w:rsid w:val="005A2A59"/>
    <w:rsid w:val="005A2AFC"/>
    <w:rsid w:val="005A2B41"/>
    <w:rsid w:val="005A2B9D"/>
    <w:rsid w:val="005A2C73"/>
    <w:rsid w:val="005A2DB1"/>
    <w:rsid w:val="005A2DC3"/>
    <w:rsid w:val="005A2E82"/>
    <w:rsid w:val="005A2FAD"/>
    <w:rsid w:val="005A302D"/>
    <w:rsid w:val="005A3076"/>
    <w:rsid w:val="005A3492"/>
    <w:rsid w:val="005A349B"/>
    <w:rsid w:val="005A35FF"/>
    <w:rsid w:val="005A3612"/>
    <w:rsid w:val="005A383F"/>
    <w:rsid w:val="005A3A92"/>
    <w:rsid w:val="005A3AAA"/>
    <w:rsid w:val="005A3BB6"/>
    <w:rsid w:val="005A3BDF"/>
    <w:rsid w:val="005A3C3E"/>
    <w:rsid w:val="005A3C78"/>
    <w:rsid w:val="005A3FA6"/>
    <w:rsid w:val="005A4062"/>
    <w:rsid w:val="005A414E"/>
    <w:rsid w:val="005A4176"/>
    <w:rsid w:val="005A4229"/>
    <w:rsid w:val="005A43A4"/>
    <w:rsid w:val="005A44BC"/>
    <w:rsid w:val="005A44D7"/>
    <w:rsid w:val="005A47C8"/>
    <w:rsid w:val="005A4840"/>
    <w:rsid w:val="005A48CF"/>
    <w:rsid w:val="005A497A"/>
    <w:rsid w:val="005A49B4"/>
    <w:rsid w:val="005A49B7"/>
    <w:rsid w:val="005A4B48"/>
    <w:rsid w:val="005A4B5D"/>
    <w:rsid w:val="005A4BA0"/>
    <w:rsid w:val="005A4C21"/>
    <w:rsid w:val="005A4C46"/>
    <w:rsid w:val="005A4C9A"/>
    <w:rsid w:val="005A4CA9"/>
    <w:rsid w:val="005A4D3A"/>
    <w:rsid w:val="005A4DCA"/>
    <w:rsid w:val="005A4E13"/>
    <w:rsid w:val="005A4FF6"/>
    <w:rsid w:val="005A502E"/>
    <w:rsid w:val="005A5036"/>
    <w:rsid w:val="005A521C"/>
    <w:rsid w:val="005A5298"/>
    <w:rsid w:val="005A54E9"/>
    <w:rsid w:val="005A5517"/>
    <w:rsid w:val="005A5747"/>
    <w:rsid w:val="005A5749"/>
    <w:rsid w:val="005A57AE"/>
    <w:rsid w:val="005A58AB"/>
    <w:rsid w:val="005A5988"/>
    <w:rsid w:val="005A5C64"/>
    <w:rsid w:val="005A5E8C"/>
    <w:rsid w:val="005A5F1F"/>
    <w:rsid w:val="005A6000"/>
    <w:rsid w:val="005A605B"/>
    <w:rsid w:val="005A6159"/>
    <w:rsid w:val="005A618B"/>
    <w:rsid w:val="005A61B8"/>
    <w:rsid w:val="005A61D2"/>
    <w:rsid w:val="005A6230"/>
    <w:rsid w:val="005A62D9"/>
    <w:rsid w:val="005A654A"/>
    <w:rsid w:val="005A67F5"/>
    <w:rsid w:val="005A6852"/>
    <w:rsid w:val="005A68C2"/>
    <w:rsid w:val="005A6960"/>
    <w:rsid w:val="005A6A8E"/>
    <w:rsid w:val="005A6AD8"/>
    <w:rsid w:val="005A6B42"/>
    <w:rsid w:val="005A6BA8"/>
    <w:rsid w:val="005A6BFA"/>
    <w:rsid w:val="005A6C91"/>
    <w:rsid w:val="005A6D7E"/>
    <w:rsid w:val="005A6D83"/>
    <w:rsid w:val="005A7079"/>
    <w:rsid w:val="005A70B8"/>
    <w:rsid w:val="005A71BD"/>
    <w:rsid w:val="005A7227"/>
    <w:rsid w:val="005A760C"/>
    <w:rsid w:val="005A769F"/>
    <w:rsid w:val="005A7725"/>
    <w:rsid w:val="005A7804"/>
    <w:rsid w:val="005A781F"/>
    <w:rsid w:val="005A7903"/>
    <w:rsid w:val="005A7927"/>
    <w:rsid w:val="005A799F"/>
    <w:rsid w:val="005A79F4"/>
    <w:rsid w:val="005A7A92"/>
    <w:rsid w:val="005A7EFE"/>
    <w:rsid w:val="005A7F26"/>
    <w:rsid w:val="005A7FE2"/>
    <w:rsid w:val="005A7FE5"/>
    <w:rsid w:val="005B0068"/>
    <w:rsid w:val="005B00FC"/>
    <w:rsid w:val="005B0180"/>
    <w:rsid w:val="005B0237"/>
    <w:rsid w:val="005B026B"/>
    <w:rsid w:val="005B027F"/>
    <w:rsid w:val="005B03AD"/>
    <w:rsid w:val="005B03C4"/>
    <w:rsid w:val="005B0561"/>
    <w:rsid w:val="005B05F2"/>
    <w:rsid w:val="005B0635"/>
    <w:rsid w:val="005B06C9"/>
    <w:rsid w:val="005B0711"/>
    <w:rsid w:val="005B07DA"/>
    <w:rsid w:val="005B0818"/>
    <w:rsid w:val="005B0878"/>
    <w:rsid w:val="005B08D0"/>
    <w:rsid w:val="005B0A75"/>
    <w:rsid w:val="005B0B4E"/>
    <w:rsid w:val="005B0B6F"/>
    <w:rsid w:val="005B0B7E"/>
    <w:rsid w:val="005B0B98"/>
    <w:rsid w:val="005B0C26"/>
    <w:rsid w:val="005B0CF8"/>
    <w:rsid w:val="005B0DC1"/>
    <w:rsid w:val="005B0E0C"/>
    <w:rsid w:val="005B0EFC"/>
    <w:rsid w:val="005B0F04"/>
    <w:rsid w:val="005B0FD2"/>
    <w:rsid w:val="005B113C"/>
    <w:rsid w:val="005B1155"/>
    <w:rsid w:val="005B11ED"/>
    <w:rsid w:val="005B1307"/>
    <w:rsid w:val="005B13DC"/>
    <w:rsid w:val="005B1549"/>
    <w:rsid w:val="005B156C"/>
    <w:rsid w:val="005B15AF"/>
    <w:rsid w:val="005B15DA"/>
    <w:rsid w:val="005B1626"/>
    <w:rsid w:val="005B178A"/>
    <w:rsid w:val="005B1802"/>
    <w:rsid w:val="005B181B"/>
    <w:rsid w:val="005B1A52"/>
    <w:rsid w:val="005B1A68"/>
    <w:rsid w:val="005B1A7F"/>
    <w:rsid w:val="005B1B12"/>
    <w:rsid w:val="005B1B83"/>
    <w:rsid w:val="005B1E83"/>
    <w:rsid w:val="005B1FC3"/>
    <w:rsid w:val="005B206E"/>
    <w:rsid w:val="005B20EC"/>
    <w:rsid w:val="005B21DB"/>
    <w:rsid w:val="005B225E"/>
    <w:rsid w:val="005B2361"/>
    <w:rsid w:val="005B23D0"/>
    <w:rsid w:val="005B2479"/>
    <w:rsid w:val="005B267A"/>
    <w:rsid w:val="005B2773"/>
    <w:rsid w:val="005B2849"/>
    <w:rsid w:val="005B286B"/>
    <w:rsid w:val="005B2A94"/>
    <w:rsid w:val="005B2B2C"/>
    <w:rsid w:val="005B2BC1"/>
    <w:rsid w:val="005B2E5A"/>
    <w:rsid w:val="005B2E9D"/>
    <w:rsid w:val="005B2ED5"/>
    <w:rsid w:val="005B2EFD"/>
    <w:rsid w:val="005B2FC1"/>
    <w:rsid w:val="005B3010"/>
    <w:rsid w:val="005B3018"/>
    <w:rsid w:val="005B3293"/>
    <w:rsid w:val="005B3337"/>
    <w:rsid w:val="005B34E6"/>
    <w:rsid w:val="005B3550"/>
    <w:rsid w:val="005B3560"/>
    <w:rsid w:val="005B3561"/>
    <w:rsid w:val="005B38FC"/>
    <w:rsid w:val="005B3A23"/>
    <w:rsid w:val="005B3B5C"/>
    <w:rsid w:val="005B3B62"/>
    <w:rsid w:val="005B3D49"/>
    <w:rsid w:val="005B3DE9"/>
    <w:rsid w:val="005B3E05"/>
    <w:rsid w:val="005B411A"/>
    <w:rsid w:val="005B418B"/>
    <w:rsid w:val="005B4286"/>
    <w:rsid w:val="005B42D3"/>
    <w:rsid w:val="005B434B"/>
    <w:rsid w:val="005B43DB"/>
    <w:rsid w:val="005B4412"/>
    <w:rsid w:val="005B445A"/>
    <w:rsid w:val="005B4546"/>
    <w:rsid w:val="005B465C"/>
    <w:rsid w:val="005B4685"/>
    <w:rsid w:val="005B47F1"/>
    <w:rsid w:val="005B48DD"/>
    <w:rsid w:val="005B49D3"/>
    <w:rsid w:val="005B4C3A"/>
    <w:rsid w:val="005B4C3E"/>
    <w:rsid w:val="005B4D0F"/>
    <w:rsid w:val="005B4D9E"/>
    <w:rsid w:val="005B4E4C"/>
    <w:rsid w:val="005B4FEC"/>
    <w:rsid w:val="005B520F"/>
    <w:rsid w:val="005B52A6"/>
    <w:rsid w:val="005B53A0"/>
    <w:rsid w:val="005B5410"/>
    <w:rsid w:val="005B5431"/>
    <w:rsid w:val="005B559A"/>
    <w:rsid w:val="005B597C"/>
    <w:rsid w:val="005B5993"/>
    <w:rsid w:val="005B5AB2"/>
    <w:rsid w:val="005B5BCF"/>
    <w:rsid w:val="005B5C08"/>
    <w:rsid w:val="005B5CD3"/>
    <w:rsid w:val="005B5D00"/>
    <w:rsid w:val="005B5E63"/>
    <w:rsid w:val="005B5E7A"/>
    <w:rsid w:val="005B5EB2"/>
    <w:rsid w:val="005B5F25"/>
    <w:rsid w:val="005B6079"/>
    <w:rsid w:val="005B622B"/>
    <w:rsid w:val="005B641A"/>
    <w:rsid w:val="005B6446"/>
    <w:rsid w:val="005B660C"/>
    <w:rsid w:val="005B6751"/>
    <w:rsid w:val="005B6838"/>
    <w:rsid w:val="005B6ADD"/>
    <w:rsid w:val="005B6B15"/>
    <w:rsid w:val="005B6C58"/>
    <w:rsid w:val="005B6DE4"/>
    <w:rsid w:val="005B6EA1"/>
    <w:rsid w:val="005B6F44"/>
    <w:rsid w:val="005B6F46"/>
    <w:rsid w:val="005B70F0"/>
    <w:rsid w:val="005B7200"/>
    <w:rsid w:val="005B7246"/>
    <w:rsid w:val="005B72DF"/>
    <w:rsid w:val="005B72FB"/>
    <w:rsid w:val="005B7410"/>
    <w:rsid w:val="005B746C"/>
    <w:rsid w:val="005B761D"/>
    <w:rsid w:val="005B77DA"/>
    <w:rsid w:val="005B7AC9"/>
    <w:rsid w:val="005B7AD6"/>
    <w:rsid w:val="005B7B36"/>
    <w:rsid w:val="005B7B3F"/>
    <w:rsid w:val="005B7C2E"/>
    <w:rsid w:val="005B7C8F"/>
    <w:rsid w:val="005B7D93"/>
    <w:rsid w:val="005B7E99"/>
    <w:rsid w:val="005B7FE0"/>
    <w:rsid w:val="005C0177"/>
    <w:rsid w:val="005C0426"/>
    <w:rsid w:val="005C04B8"/>
    <w:rsid w:val="005C061B"/>
    <w:rsid w:val="005C0660"/>
    <w:rsid w:val="005C08CB"/>
    <w:rsid w:val="005C09E6"/>
    <w:rsid w:val="005C0F33"/>
    <w:rsid w:val="005C0FF1"/>
    <w:rsid w:val="005C10F9"/>
    <w:rsid w:val="005C116A"/>
    <w:rsid w:val="005C1184"/>
    <w:rsid w:val="005C11AB"/>
    <w:rsid w:val="005C120A"/>
    <w:rsid w:val="005C120D"/>
    <w:rsid w:val="005C1264"/>
    <w:rsid w:val="005C146A"/>
    <w:rsid w:val="005C146B"/>
    <w:rsid w:val="005C1480"/>
    <w:rsid w:val="005C1492"/>
    <w:rsid w:val="005C14A3"/>
    <w:rsid w:val="005C156F"/>
    <w:rsid w:val="005C161A"/>
    <w:rsid w:val="005C1671"/>
    <w:rsid w:val="005C1674"/>
    <w:rsid w:val="005C1731"/>
    <w:rsid w:val="005C189E"/>
    <w:rsid w:val="005C1BDA"/>
    <w:rsid w:val="005C1C12"/>
    <w:rsid w:val="005C1C81"/>
    <w:rsid w:val="005C1C89"/>
    <w:rsid w:val="005C1FDA"/>
    <w:rsid w:val="005C208E"/>
    <w:rsid w:val="005C2184"/>
    <w:rsid w:val="005C2197"/>
    <w:rsid w:val="005C244C"/>
    <w:rsid w:val="005C24AF"/>
    <w:rsid w:val="005C255E"/>
    <w:rsid w:val="005C2636"/>
    <w:rsid w:val="005C2684"/>
    <w:rsid w:val="005C272D"/>
    <w:rsid w:val="005C27ED"/>
    <w:rsid w:val="005C297B"/>
    <w:rsid w:val="005C2A32"/>
    <w:rsid w:val="005C2B10"/>
    <w:rsid w:val="005C2B15"/>
    <w:rsid w:val="005C2B24"/>
    <w:rsid w:val="005C2C4A"/>
    <w:rsid w:val="005C2CDB"/>
    <w:rsid w:val="005C2D4B"/>
    <w:rsid w:val="005C304D"/>
    <w:rsid w:val="005C30B9"/>
    <w:rsid w:val="005C3106"/>
    <w:rsid w:val="005C3124"/>
    <w:rsid w:val="005C3158"/>
    <w:rsid w:val="005C32AC"/>
    <w:rsid w:val="005C32E2"/>
    <w:rsid w:val="005C3311"/>
    <w:rsid w:val="005C345B"/>
    <w:rsid w:val="005C34CD"/>
    <w:rsid w:val="005C3667"/>
    <w:rsid w:val="005C3840"/>
    <w:rsid w:val="005C3933"/>
    <w:rsid w:val="005C3A20"/>
    <w:rsid w:val="005C3A3A"/>
    <w:rsid w:val="005C3AA9"/>
    <w:rsid w:val="005C3BAE"/>
    <w:rsid w:val="005C3BC5"/>
    <w:rsid w:val="005C3CA4"/>
    <w:rsid w:val="005C3CAF"/>
    <w:rsid w:val="005C3CB0"/>
    <w:rsid w:val="005C3D98"/>
    <w:rsid w:val="005C3D9C"/>
    <w:rsid w:val="005C3F8E"/>
    <w:rsid w:val="005C4043"/>
    <w:rsid w:val="005C405E"/>
    <w:rsid w:val="005C419E"/>
    <w:rsid w:val="005C41BC"/>
    <w:rsid w:val="005C41CF"/>
    <w:rsid w:val="005C41D7"/>
    <w:rsid w:val="005C428B"/>
    <w:rsid w:val="005C43B6"/>
    <w:rsid w:val="005C4400"/>
    <w:rsid w:val="005C4495"/>
    <w:rsid w:val="005C4560"/>
    <w:rsid w:val="005C4604"/>
    <w:rsid w:val="005C4749"/>
    <w:rsid w:val="005C4769"/>
    <w:rsid w:val="005C4896"/>
    <w:rsid w:val="005C4934"/>
    <w:rsid w:val="005C49A2"/>
    <w:rsid w:val="005C49D1"/>
    <w:rsid w:val="005C4CC7"/>
    <w:rsid w:val="005C4E4B"/>
    <w:rsid w:val="005C4EF5"/>
    <w:rsid w:val="005C4FA6"/>
    <w:rsid w:val="005C5053"/>
    <w:rsid w:val="005C50D4"/>
    <w:rsid w:val="005C5123"/>
    <w:rsid w:val="005C51A7"/>
    <w:rsid w:val="005C52E0"/>
    <w:rsid w:val="005C54FD"/>
    <w:rsid w:val="005C5629"/>
    <w:rsid w:val="005C56F3"/>
    <w:rsid w:val="005C5837"/>
    <w:rsid w:val="005C58BF"/>
    <w:rsid w:val="005C59E0"/>
    <w:rsid w:val="005C5C1D"/>
    <w:rsid w:val="005C5C31"/>
    <w:rsid w:val="005C5C6E"/>
    <w:rsid w:val="005C5CB0"/>
    <w:rsid w:val="005C5D46"/>
    <w:rsid w:val="005C5E42"/>
    <w:rsid w:val="005C5E9D"/>
    <w:rsid w:val="005C5F62"/>
    <w:rsid w:val="005C5FB3"/>
    <w:rsid w:val="005C6041"/>
    <w:rsid w:val="005C6115"/>
    <w:rsid w:val="005C6159"/>
    <w:rsid w:val="005C61B2"/>
    <w:rsid w:val="005C6236"/>
    <w:rsid w:val="005C62BB"/>
    <w:rsid w:val="005C62FE"/>
    <w:rsid w:val="005C63AA"/>
    <w:rsid w:val="005C6549"/>
    <w:rsid w:val="005C65E8"/>
    <w:rsid w:val="005C6677"/>
    <w:rsid w:val="005C68D0"/>
    <w:rsid w:val="005C69D6"/>
    <w:rsid w:val="005C6AD8"/>
    <w:rsid w:val="005C6AF1"/>
    <w:rsid w:val="005C6B94"/>
    <w:rsid w:val="005C6C91"/>
    <w:rsid w:val="005C6D4D"/>
    <w:rsid w:val="005C6E81"/>
    <w:rsid w:val="005C6F75"/>
    <w:rsid w:val="005C6FB4"/>
    <w:rsid w:val="005C6FB7"/>
    <w:rsid w:val="005C7018"/>
    <w:rsid w:val="005C7055"/>
    <w:rsid w:val="005C705B"/>
    <w:rsid w:val="005C7266"/>
    <w:rsid w:val="005C7338"/>
    <w:rsid w:val="005C7340"/>
    <w:rsid w:val="005C73E2"/>
    <w:rsid w:val="005C762A"/>
    <w:rsid w:val="005C769C"/>
    <w:rsid w:val="005C76CD"/>
    <w:rsid w:val="005C7716"/>
    <w:rsid w:val="005C7745"/>
    <w:rsid w:val="005C7871"/>
    <w:rsid w:val="005C78E0"/>
    <w:rsid w:val="005C7938"/>
    <w:rsid w:val="005C7A4C"/>
    <w:rsid w:val="005C7A75"/>
    <w:rsid w:val="005C7E30"/>
    <w:rsid w:val="005D0209"/>
    <w:rsid w:val="005D027A"/>
    <w:rsid w:val="005D0365"/>
    <w:rsid w:val="005D03DA"/>
    <w:rsid w:val="005D03E8"/>
    <w:rsid w:val="005D04DA"/>
    <w:rsid w:val="005D05C9"/>
    <w:rsid w:val="005D05D0"/>
    <w:rsid w:val="005D0752"/>
    <w:rsid w:val="005D07E0"/>
    <w:rsid w:val="005D0809"/>
    <w:rsid w:val="005D0859"/>
    <w:rsid w:val="005D08E2"/>
    <w:rsid w:val="005D09A4"/>
    <w:rsid w:val="005D0B26"/>
    <w:rsid w:val="005D0C0B"/>
    <w:rsid w:val="005D0E20"/>
    <w:rsid w:val="005D0E60"/>
    <w:rsid w:val="005D0E9C"/>
    <w:rsid w:val="005D0F07"/>
    <w:rsid w:val="005D0FA1"/>
    <w:rsid w:val="005D0FD7"/>
    <w:rsid w:val="005D0FFD"/>
    <w:rsid w:val="005D10DE"/>
    <w:rsid w:val="005D1130"/>
    <w:rsid w:val="005D11B9"/>
    <w:rsid w:val="005D1278"/>
    <w:rsid w:val="005D127F"/>
    <w:rsid w:val="005D1337"/>
    <w:rsid w:val="005D144D"/>
    <w:rsid w:val="005D14E6"/>
    <w:rsid w:val="005D160A"/>
    <w:rsid w:val="005D1676"/>
    <w:rsid w:val="005D1737"/>
    <w:rsid w:val="005D1806"/>
    <w:rsid w:val="005D193C"/>
    <w:rsid w:val="005D1A24"/>
    <w:rsid w:val="005D1B72"/>
    <w:rsid w:val="005D1CAA"/>
    <w:rsid w:val="005D1CBD"/>
    <w:rsid w:val="005D1CCF"/>
    <w:rsid w:val="005D1CEB"/>
    <w:rsid w:val="005D20DC"/>
    <w:rsid w:val="005D2146"/>
    <w:rsid w:val="005D230E"/>
    <w:rsid w:val="005D23CA"/>
    <w:rsid w:val="005D23CB"/>
    <w:rsid w:val="005D23E0"/>
    <w:rsid w:val="005D2499"/>
    <w:rsid w:val="005D2535"/>
    <w:rsid w:val="005D25EE"/>
    <w:rsid w:val="005D27D8"/>
    <w:rsid w:val="005D27E3"/>
    <w:rsid w:val="005D27F1"/>
    <w:rsid w:val="005D27F9"/>
    <w:rsid w:val="005D2800"/>
    <w:rsid w:val="005D2831"/>
    <w:rsid w:val="005D2954"/>
    <w:rsid w:val="005D2988"/>
    <w:rsid w:val="005D29A6"/>
    <w:rsid w:val="005D2AC6"/>
    <w:rsid w:val="005D2AE7"/>
    <w:rsid w:val="005D2B63"/>
    <w:rsid w:val="005D326D"/>
    <w:rsid w:val="005D3366"/>
    <w:rsid w:val="005D338F"/>
    <w:rsid w:val="005D3407"/>
    <w:rsid w:val="005D340E"/>
    <w:rsid w:val="005D35AA"/>
    <w:rsid w:val="005D3698"/>
    <w:rsid w:val="005D36EC"/>
    <w:rsid w:val="005D3818"/>
    <w:rsid w:val="005D38E1"/>
    <w:rsid w:val="005D39A4"/>
    <w:rsid w:val="005D3A69"/>
    <w:rsid w:val="005D3A76"/>
    <w:rsid w:val="005D3AF4"/>
    <w:rsid w:val="005D3C93"/>
    <w:rsid w:val="005D3CC4"/>
    <w:rsid w:val="005D3D6E"/>
    <w:rsid w:val="005D3E88"/>
    <w:rsid w:val="005D3FB8"/>
    <w:rsid w:val="005D409F"/>
    <w:rsid w:val="005D4125"/>
    <w:rsid w:val="005D420F"/>
    <w:rsid w:val="005D4270"/>
    <w:rsid w:val="005D4334"/>
    <w:rsid w:val="005D43A2"/>
    <w:rsid w:val="005D4553"/>
    <w:rsid w:val="005D456F"/>
    <w:rsid w:val="005D4633"/>
    <w:rsid w:val="005D46EE"/>
    <w:rsid w:val="005D470C"/>
    <w:rsid w:val="005D4731"/>
    <w:rsid w:val="005D47B0"/>
    <w:rsid w:val="005D4812"/>
    <w:rsid w:val="005D4834"/>
    <w:rsid w:val="005D494C"/>
    <w:rsid w:val="005D4981"/>
    <w:rsid w:val="005D4AB3"/>
    <w:rsid w:val="005D4BBA"/>
    <w:rsid w:val="005D4BBD"/>
    <w:rsid w:val="005D4C20"/>
    <w:rsid w:val="005D4CFC"/>
    <w:rsid w:val="005D4D4F"/>
    <w:rsid w:val="005D4E6F"/>
    <w:rsid w:val="005D4EDD"/>
    <w:rsid w:val="005D4F86"/>
    <w:rsid w:val="005D4FE6"/>
    <w:rsid w:val="005D5054"/>
    <w:rsid w:val="005D51CA"/>
    <w:rsid w:val="005D528D"/>
    <w:rsid w:val="005D52E1"/>
    <w:rsid w:val="005D53D5"/>
    <w:rsid w:val="005D5433"/>
    <w:rsid w:val="005D5467"/>
    <w:rsid w:val="005D56A5"/>
    <w:rsid w:val="005D56F1"/>
    <w:rsid w:val="005D573B"/>
    <w:rsid w:val="005D578C"/>
    <w:rsid w:val="005D5948"/>
    <w:rsid w:val="005D5961"/>
    <w:rsid w:val="005D5AC1"/>
    <w:rsid w:val="005D5B8D"/>
    <w:rsid w:val="005D5C1D"/>
    <w:rsid w:val="005D5CA5"/>
    <w:rsid w:val="005D5D30"/>
    <w:rsid w:val="005D5D32"/>
    <w:rsid w:val="005D5E03"/>
    <w:rsid w:val="005D608B"/>
    <w:rsid w:val="005D60CB"/>
    <w:rsid w:val="005D60E1"/>
    <w:rsid w:val="005D6116"/>
    <w:rsid w:val="005D6137"/>
    <w:rsid w:val="005D614F"/>
    <w:rsid w:val="005D61B0"/>
    <w:rsid w:val="005D61C0"/>
    <w:rsid w:val="005D61D0"/>
    <w:rsid w:val="005D61F7"/>
    <w:rsid w:val="005D623B"/>
    <w:rsid w:val="005D6246"/>
    <w:rsid w:val="005D677E"/>
    <w:rsid w:val="005D680E"/>
    <w:rsid w:val="005D687D"/>
    <w:rsid w:val="005D6969"/>
    <w:rsid w:val="005D6C3B"/>
    <w:rsid w:val="005D6D90"/>
    <w:rsid w:val="005D6DC1"/>
    <w:rsid w:val="005D6EED"/>
    <w:rsid w:val="005D6F5A"/>
    <w:rsid w:val="005D6F87"/>
    <w:rsid w:val="005D6FCE"/>
    <w:rsid w:val="005D6FDA"/>
    <w:rsid w:val="005D702F"/>
    <w:rsid w:val="005D7123"/>
    <w:rsid w:val="005D720B"/>
    <w:rsid w:val="005D7253"/>
    <w:rsid w:val="005D72B7"/>
    <w:rsid w:val="005D7337"/>
    <w:rsid w:val="005D74D0"/>
    <w:rsid w:val="005D75CD"/>
    <w:rsid w:val="005D77A0"/>
    <w:rsid w:val="005D7948"/>
    <w:rsid w:val="005D79E5"/>
    <w:rsid w:val="005D7A2D"/>
    <w:rsid w:val="005D7C14"/>
    <w:rsid w:val="005D7D1F"/>
    <w:rsid w:val="005D7E73"/>
    <w:rsid w:val="005D7E82"/>
    <w:rsid w:val="005D7F42"/>
    <w:rsid w:val="005D7FC2"/>
    <w:rsid w:val="005D7FFB"/>
    <w:rsid w:val="005E0034"/>
    <w:rsid w:val="005E018B"/>
    <w:rsid w:val="005E0207"/>
    <w:rsid w:val="005E0663"/>
    <w:rsid w:val="005E068D"/>
    <w:rsid w:val="005E07FE"/>
    <w:rsid w:val="005E0A36"/>
    <w:rsid w:val="005E0AE9"/>
    <w:rsid w:val="005E0BA9"/>
    <w:rsid w:val="005E0C10"/>
    <w:rsid w:val="005E0D59"/>
    <w:rsid w:val="005E0D6F"/>
    <w:rsid w:val="005E0D89"/>
    <w:rsid w:val="005E0DA9"/>
    <w:rsid w:val="005E0E1A"/>
    <w:rsid w:val="005E0E3F"/>
    <w:rsid w:val="005E0E44"/>
    <w:rsid w:val="005E0E73"/>
    <w:rsid w:val="005E0EAE"/>
    <w:rsid w:val="005E0F33"/>
    <w:rsid w:val="005E0FB9"/>
    <w:rsid w:val="005E0FC7"/>
    <w:rsid w:val="005E1065"/>
    <w:rsid w:val="005E109E"/>
    <w:rsid w:val="005E10E9"/>
    <w:rsid w:val="005E12CF"/>
    <w:rsid w:val="005E132A"/>
    <w:rsid w:val="005E13D6"/>
    <w:rsid w:val="005E141C"/>
    <w:rsid w:val="005E148E"/>
    <w:rsid w:val="005E153C"/>
    <w:rsid w:val="005E16F2"/>
    <w:rsid w:val="005E17CF"/>
    <w:rsid w:val="005E18BD"/>
    <w:rsid w:val="005E1928"/>
    <w:rsid w:val="005E192E"/>
    <w:rsid w:val="005E1BB3"/>
    <w:rsid w:val="005E1C94"/>
    <w:rsid w:val="005E1D94"/>
    <w:rsid w:val="005E1EC2"/>
    <w:rsid w:val="005E2026"/>
    <w:rsid w:val="005E2051"/>
    <w:rsid w:val="005E20A4"/>
    <w:rsid w:val="005E2154"/>
    <w:rsid w:val="005E2407"/>
    <w:rsid w:val="005E242A"/>
    <w:rsid w:val="005E2441"/>
    <w:rsid w:val="005E2705"/>
    <w:rsid w:val="005E2C1A"/>
    <w:rsid w:val="005E2D11"/>
    <w:rsid w:val="005E2D4D"/>
    <w:rsid w:val="005E2D64"/>
    <w:rsid w:val="005E2D7F"/>
    <w:rsid w:val="005E2D9B"/>
    <w:rsid w:val="005E2E0B"/>
    <w:rsid w:val="005E2E3A"/>
    <w:rsid w:val="005E2F61"/>
    <w:rsid w:val="005E2FB1"/>
    <w:rsid w:val="005E311F"/>
    <w:rsid w:val="005E3149"/>
    <w:rsid w:val="005E3190"/>
    <w:rsid w:val="005E3360"/>
    <w:rsid w:val="005E3374"/>
    <w:rsid w:val="005E3438"/>
    <w:rsid w:val="005E34D7"/>
    <w:rsid w:val="005E3596"/>
    <w:rsid w:val="005E3697"/>
    <w:rsid w:val="005E36B9"/>
    <w:rsid w:val="005E3775"/>
    <w:rsid w:val="005E378E"/>
    <w:rsid w:val="005E37AB"/>
    <w:rsid w:val="005E3807"/>
    <w:rsid w:val="005E39DC"/>
    <w:rsid w:val="005E3B47"/>
    <w:rsid w:val="005E3B4B"/>
    <w:rsid w:val="005E3B93"/>
    <w:rsid w:val="005E3B9C"/>
    <w:rsid w:val="005E3BA6"/>
    <w:rsid w:val="005E3BD0"/>
    <w:rsid w:val="005E3C3B"/>
    <w:rsid w:val="005E3E5C"/>
    <w:rsid w:val="005E3EB7"/>
    <w:rsid w:val="005E3FB0"/>
    <w:rsid w:val="005E3FB8"/>
    <w:rsid w:val="005E3FE8"/>
    <w:rsid w:val="005E401B"/>
    <w:rsid w:val="005E4126"/>
    <w:rsid w:val="005E41C6"/>
    <w:rsid w:val="005E4250"/>
    <w:rsid w:val="005E42C0"/>
    <w:rsid w:val="005E436B"/>
    <w:rsid w:val="005E4389"/>
    <w:rsid w:val="005E43E6"/>
    <w:rsid w:val="005E4497"/>
    <w:rsid w:val="005E4624"/>
    <w:rsid w:val="005E4654"/>
    <w:rsid w:val="005E46C8"/>
    <w:rsid w:val="005E476B"/>
    <w:rsid w:val="005E489D"/>
    <w:rsid w:val="005E49BE"/>
    <w:rsid w:val="005E4A6C"/>
    <w:rsid w:val="005E4B37"/>
    <w:rsid w:val="005E4B82"/>
    <w:rsid w:val="005E4BFE"/>
    <w:rsid w:val="005E4CEF"/>
    <w:rsid w:val="005E4E89"/>
    <w:rsid w:val="005E4F45"/>
    <w:rsid w:val="005E5162"/>
    <w:rsid w:val="005E523B"/>
    <w:rsid w:val="005E5296"/>
    <w:rsid w:val="005E5435"/>
    <w:rsid w:val="005E5582"/>
    <w:rsid w:val="005E55F8"/>
    <w:rsid w:val="005E57E7"/>
    <w:rsid w:val="005E57F1"/>
    <w:rsid w:val="005E5800"/>
    <w:rsid w:val="005E5825"/>
    <w:rsid w:val="005E58B5"/>
    <w:rsid w:val="005E58FA"/>
    <w:rsid w:val="005E5AF6"/>
    <w:rsid w:val="005E5BA1"/>
    <w:rsid w:val="005E5C47"/>
    <w:rsid w:val="005E5C4E"/>
    <w:rsid w:val="005E5D04"/>
    <w:rsid w:val="005E5D5D"/>
    <w:rsid w:val="005E5E16"/>
    <w:rsid w:val="005E5F1F"/>
    <w:rsid w:val="005E5F62"/>
    <w:rsid w:val="005E5FC1"/>
    <w:rsid w:val="005E6333"/>
    <w:rsid w:val="005E6337"/>
    <w:rsid w:val="005E636F"/>
    <w:rsid w:val="005E648A"/>
    <w:rsid w:val="005E64EC"/>
    <w:rsid w:val="005E65C4"/>
    <w:rsid w:val="005E6641"/>
    <w:rsid w:val="005E66BC"/>
    <w:rsid w:val="005E6708"/>
    <w:rsid w:val="005E67F5"/>
    <w:rsid w:val="005E682F"/>
    <w:rsid w:val="005E6AEC"/>
    <w:rsid w:val="005E6CAA"/>
    <w:rsid w:val="005E6CF9"/>
    <w:rsid w:val="005E6E92"/>
    <w:rsid w:val="005E6F78"/>
    <w:rsid w:val="005E705B"/>
    <w:rsid w:val="005E706D"/>
    <w:rsid w:val="005E71A6"/>
    <w:rsid w:val="005E735F"/>
    <w:rsid w:val="005E73E8"/>
    <w:rsid w:val="005E747F"/>
    <w:rsid w:val="005E74F8"/>
    <w:rsid w:val="005E7636"/>
    <w:rsid w:val="005E774D"/>
    <w:rsid w:val="005E789F"/>
    <w:rsid w:val="005E792C"/>
    <w:rsid w:val="005E7AE5"/>
    <w:rsid w:val="005E7B40"/>
    <w:rsid w:val="005E7B90"/>
    <w:rsid w:val="005E7CE7"/>
    <w:rsid w:val="005E7E82"/>
    <w:rsid w:val="005E7E8A"/>
    <w:rsid w:val="005E7F90"/>
    <w:rsid w:val="005E7FC6"/>
    <w:rsid w:val="005F005E"/>
    <w:rsid w:val="005F0085"/>
    <w:rsid w:val="005F00E8"/>
    <w:rsid w:val="005F00F0"/>
    <w:rsid w:val="005F0293"/>
    <w:rsid w:val="005F036C"/>
    <w:rsid w:val="005F0502"/>
    <w:rsid w:val="005F08C5"/>
    <w:rsid w:val="005F08E2"/>
    <w:rsid w:val="005F0959"/>
    <w:rsid w:val="005F09B0"/>
    <w:rsid w:val="005F0A01"/>
    <w:rsid w:val="005F0AB5"/>
    <w:rsid w:val="005F0AF5"/>
    <w:rsid w:val="005F0BBC"/>
    <w:rsid w:val="005F0C18"/>
    <w:rsid w:val="005F0CB1"/>
    <w:rsid w:val="005F0CC0"/>
    <w:rsid w:val="005F0D97"/>
    <w:rsid w:val="005F0DC8"/>
    <w:rsid w:val="005F0DCC"/>
    <w:rsid w:val="005F0ECE"/>
    <w:rsid w:val="005F0F15"/>
    <w:rsid w:val="005F0FBD"/>
    <w:rsid w:val="005F103A"/>
    <w:rsid w:val="005F1100"/>
    <w:rsid w:val="005F1110"/>
    <w:rsid w:val="005F1177"/>
    <w:rsid w:val="005F1181"/>
    <w:rsid w:val="005F1422"/>
    <w:rsid w:val="005F1564"/>
    <w:rsid w:val="005F1582"/>
    <w:rsid w:val="005F1625"/>
    <w:rsid w:val="005F1652"/>
    <w:rsid w:val="005F167C"/>
    <w:rsid w:val="005F1A00"/>
    <w:rsid w:val="005F1A0F"/>
    <w:rsid w:val="005F1AA0"/>
    <w:rsid w:val="005F1B21"/>
    <w:rsid w:val="005F1BA8"/>
    <w:rsid w:val="005F1D1D"/>
    <w:rsid w:val="005F1D64"/>
    <w:rsid w:val="005F2030"/>
    <w:rsid w:val="005F2034"/>
    <w:rsid w:val="005F2079"/>
    <w:rsid w:val="005F208C"/>
    <w:rsid w:val="005F221C"/>
    <w:rsid w:val="005F22AB"/>
    <w:rsid w:val="005F22E7"/>
    <w:rsid w:val="005F233E"/>
    <w:rsid w:val="005F23BD"/>
    <w:rsid w:val="005F2414"/>
    <w:rsid w:val="005F246D"/>
    <w:rsid w:val="005F26C7"/>
    <w:rsid w:val="005F2877"/>
    <w:rsid w:val="005F2983"/>
    <w:rsid w:val="005F29C4"/>
    <w:rsid w:val="005F2A91"/>
    <w:rsid w:val="005F2A9A"/>
    <w:rsid w:val="005F2B04"/>
    <w:rsid w:val="005F2B49"/>
    <w:rsid w:val="005F2CE3"/>
    <w:rsid w:val="005F2D3D"/>
    <w:rsid w:val="005F2D56"/>
    <w:rsid w:val="005F2DD1"/>
    <w:rsid w:val="005F2E09"/>
    <w:rsid w:val="005F2E79"/>
    <w:rsid w:val="005F2F4F"/>
    <w:rsid w:val="005F30AB"/>
    <w:rsid w:val="005F30D9"/>
    <w:rsid w:val="005F316E"/>
    <w:rsid w:val="005F3228"/>
    <w:rsid w:val="005F3236"/>
    <w:rsid w:val="005F324D"/>
    <w:rsid w:val="005F3328"/>
    <w:rsid w:val="005F3451"/>
    <w:rsid w:val="005F350A"/>
    <w:rsid w:val="005F3535"/>
    <w:rsid w:val="005F3633"/>
    <w:rsid w:val="005F3752"/>
    <w:rsid w:val="005F377C"/>
    <w:rsid w:val="005F37B8"/>
    <w:rsid w:val="005F3872"/>
    <w:rsid w:val="005F3AA9"/>
    <w:rsid w:val="005F3B36"/>
    <w:rsid w:val="005F3C02"/>
    <w:rsid w:val="005F3C7D"/>
    <w:rsid w:val="005F3D06"/>
    <w:rsid w:val="005F3D6A"/>
    <w:rsid w:val="005F3EE8"/>
    <w:rsid w:val="005F3F2B"/>
    <w:rsid w:val="005F3F5D"/>
    <w:rsid w:val="005F403B"/>
    <w:rsid w:val="005F4052"/>
    <w:rsid w:val="005F40E9"/>
    <w:rsid w:val="005F41C7"/>
    <w:rsid w:val="005F4242"/>
    <w:rsid w:val="005F4532"/>
    <w:rsid w:val="005F4653"/>
    <w:rsid w:val="005F4654"/>
    <w:rsid w:val="005F477B"/>
    <w:rsid w:val="005F4870"/>
    <w:rsid w:val="005F49AB"/>
    <w:rsid w:val="005F4A72"/>
    <w:rsid w:val="005F4B5D"/>
    <w:rsid w:val="005F4B6E"/>
    <w:rsid w:val="005F4E3F"/>
    <w:rsid w:val="005F4E6B"/>
    <w:rsid w:val="005F4FC5"/>
    <w:rsid w:val="005F5013"/>
    <w:rsid w:val="005F508F"/>
    <w:rsid w:val="005F5127"/>
    <w:rsid w:val="005F51F0"/>
    <w:rsid w:val="005F520F"/>
    <w:rsid w:val="005F52D5"/>
    <w:rsid w:val="005F53BA"/>
    <w:rsid w:val="005F5497"/>
    <w:rsid w:val="005F5544"/>
    <w:rsid w:val="005F5552"/>
    <w:rsid w:val="005F558B"/>
    <w:rsid w:val="005F55E3"/>
    <w:rsid w:val="005F569C"/>
    <w:rsid w:val="005F59C9"/>
    <w:rsid w:val="005F5AAE"/>
    <w:rsid w:val="005F5B70"/>
    <w:rsid w:val="005F5BAC"/>
    <w:rsid w:val="005F5C3A"/>
    <w:rsid w:val="005F5C66"/>
    <w:rsid w:val="005F5C94"/>
    <w:rsid w:val="005F5CBE"/>
    <w:rsid w:val="005F5ED8"/>
    <w:rsid w:val="005F602C"/>
    <w:rsid w:val="005F6098"/>
    <w:rsid w:val="005F6101"/>
    <w:rsid w:val="005F6114"/>
    <w:rsid w:val="005F6119"/>
    <w:rsid w:val="005F62F4"/>
    <w:rsid w:val="005F62FA"/>
    <w:rsid w:val="005F6335"/>
    <w:rsid w:val="005F63C2"/>
    <w:rsid w:val="005F6517"/>
    <w:rsid w:val="005F65C5"/>
    <w:rsid w:val="005F668A"/>
    <w:rsid w:val="005F67D3"/>
    <w:rsid w:val="005F6855"/>
    <w:rsid w:val="005F68A7"/>
    <w:rsid w:val="005F68CD"/>
    <w:rsid w:val="005F6921"/>
    <w:rsid w:val="005F692C"/>
    <w:rsid w:val="005F695F"/>
    <w:rsid w:val="005F696D"/>
    <w:rsid w:val="005F6A5D"/>
    <w:rsid w:val="005F6C53"/>
    <w:rsid w:val="005F6DBC"/>
    <w:rsid w:val="005F6F4F"/>
    <w:rsid w:val="005F71F5"/>
    <w:rsid w:val="005F72B6"/>
    <w:rsid w:val="005F7536"/>
    <w:rsid w:val="005F77FE"/>
    <w:rsid w:val="005F781E"/>
    <w:rsid w:val="005F7867"/>
    <w:rsid w:val="005F796B"/>
    <w:rsid w:val="005F7AC3"/>
    <w:rsid w:val="005F7BA1"/>
    <w:rsid w:val="005F7BAC"/>
    <w:rsid w:val="005F7C68"/>
    <w:rsid w:val="005F7C7D"/>
    <w:rsid w:val="00600008"/>
    <w:rsid w:val="006000B6"/>
    <w:rsid w:val="0060017D"/>
    <w:rsid w:val="00600191"/>
    <w:rsid w:val="006001AE"/>
    <w:rsid w:val="00600266"/>
    <w:rsid w:val="006002DA"/>
    <w:rsid w:val="006003D6"/>
    <w:rsid w:val="006004C8"/>
    <w:rsid w:val="00600557"/>
    <w:rsid w:val="006005CA"/>
    <w:rsid w:val="006006CE"/>
    <w:rsid w:val="00600740"/>
    <w:rsid w:val="0060093A"/>
    <w:rsid w:val="006009D2"/>
    <w:rsid w:val="00600C24"/>
    <w:rsid w:val="00600C3F"/>
    <w:rsid w:val="00600CCA"/>
    <w:rsid w:val="00600D27"/>
    <w:rsid w:val="00600D41"/>
    <w:rsid w:val="00600DBD"/>
    <w:rsid w:val="00600E3C"/>
    <w:rsid w:val="00600E5B"/>
    <w:rsid w:val="00600F73"/>
    <w:rsid w:val="00600FEF"/>
    <w:rsid w:val="006010D3"/>
    <w:rsid w:val="006010E0"/>
    <w:rsid w:val="006010EE"/>
    <w:rsid w:val="006010F1"/>
    <w:rsid w:val="006011DC"/>
    <w:rsid w:val="00601201"/>
    <w:rsid w:val="00601266"/>
    <w:rsid w:val="0060126E"/>
    <w:rsid w:val="006012A8"/>
    <w:rsid w:val="0060134F"/>
    <w:rsid w:val="006013A8"/>
    <w:rsid w:val="00601437"/>
    <w:rsid w:val="00601546"/>
    <w:rsid w:val="006016AF"/>
    <w:rsid w:val="006017CE"/>
    <w:rsid w:val="00601959"/>
    <w:rsid w:val="00601A0A"/>
    <w:rsid w:val="00601A0F"/>
    <w:rsid w:val="00601A1D"/>
    <w:rsid w:val="00601AA6"/>
    <w:rsid w:val="00601AEF"/>
    <w:rsid w:val="00601B41"/>
    <w:rsid w:val="00601CFB"/>
    <w:rsid w:val="00601D5A"/>
    <w:rsid w:val="00601D5D"/>
    <w:rsid w:val="00601DE0"/>
    <w:rsid w:val="00601E89"/>
    <w:rsid w:val="00601ECF"/>
    <w:rsid w:val="00601FAE"/>
    <w:rsid w:val="00601FDF"/>
    <w:rsid w:val="00602166"/>
    <w:rsid w:val="00602196"/>
    <w:rsid w:val="006021CE"/>
    <w:rsid w:val="006021E2"/>
    <w:rsid w:val="00602325"/>
    <w:rsid w:val="006023C7"/>
    <w:rsid w:val="006024C9"/>
    <w:rsid w:val="00602846"/>
    <w:rsid w:val="00602864"/>
    <w:rsid w:val="00602BE4"/>
    <w:rsid w:val="00602C61"/>
    <w:rsid w:val="00602D59"/>
    <w:rsid w:val="00602DC7"/>
    <w:rsid w:val="00602E04"/>
    <w:rsid w:val="00602E09"/>
    <w:rsid w:val="00602E42"/>
    <w:rsid w:val="00602F5E"/>
    <w:rsid w:val="00602F76"/>
    <w:rsid w:val="00602FAB"/>
    <w:rsid w:val="00602FBE"/>
    <w:rsid w:val="00602FF7"/>
    <w:rsid w:val="0060305C"/>
    <w:rsid w:val="00603090"/>
    <w:rsid w:val="006030E6"/>
    <w:rsid w:val="006032F0"/>
    <w:rsid w:val="00603401"/>
    <w:rsid w:val="00603423"/>
    <w:rsid w:val="00603444"/>
    <w:rsid w:val="006035E7"/>
    <w:rsid w:val="006036AE"/>
    <w:rsid w:val="00603764"/>
    <w:rsid w:val="00603872"/>
    <w:rsid w:val="006038A3"/>
    <w:rsid w:val="00603965"/>
    <w:rsid w:val="006039B6"/>
    <w:rsid w:val="00603B79"/>
    <w:rsid w:val="00603D42"/>
    <w:rsid w:val="00603DD4"/>
    <w:rsid w:val="00603E0A"/>
    <w:rsid w:val="00603EBA"/>
    <w:rsid w:val="00603F45"/>
    <w:rsid w:val="00603F4C"/>
    <w:rsid w:val="0060416D"/>
    <w:rsid w:val="00604183"/>
    <w:rsid w:val="0060436A"/>
    <w:rsid w:val="0060437F"/>
    <w:rsid w:val="0060440D"/>
    <w:rsid w:val="00604603"/>
    <w:rsid w:val="00604692"/>
    <w:rsid w:val="006046E6"/>
    <w:rsid w:val="00604721"/>
    <w:rsid w:val="0060482C"/>
    <w:rsid w:val="0060491C"/>
    <w:rsid w:val="0060493F"/>
    <w:rsid w:val="006049C1"/>
    <w:rsid w:val="00604C3A"/>
    <w:rsid w:val="00604D11"/>
    <w:rsid w:val="00604D24"/>
    <w:rsid w:val="00604D3B"/>
    <w:rsid w:val="00604E9D"/>
    <w:rsid w:val="00604F15"/>
    <w:rsid w:val="0060520F"/>
    <w:rsid w:val="00605433"/>
    <w:rsid w:val="0060555B"/>
    <w:rsid w:val="00605613"/>
    <w:rsid w:val="00605650"/>
    <w:rsid w:val="00605698"/>
    <w:rsid w:val="0060569F"/>
    <w:rsid w:val="006056CA"/>
    <w:rsid w:val="0060574B"/>
    <w:rsid w:val="00605784"/>
    <w:rsid w:val="0060579A"/>
    <w:rsid w:val="006057FA"/>
    <w:rsid w:val="006058D5"/>
    <w:rsid w:val="00605922"/>
    <w:rsid w:val="00605AA8"/>
    <w:rsid w:val="00605ACD"/>
    <w:rsid w:val="00605DDF"/>
    <w:rsid w:val="00605E12"/>
    <w:rsid w:val="00605EE1"/>
    <w:rsid w:val="00606072"/>
    <w:rsid w:val="006060B5"/>
    <w:rsid w:val="0060637A"/>
    <w:rsid w:val="00606449"/>
    <w:rsid w:val="0060657C"/>
    <w:rsid w:val="0060668E"/>
    <w:rsid w:val="0060675B"/>
    <w:rsid w:val="006067F4"/>
    <w:rsid w:val="00606829"/>
    <w:rsid w:val="006069F3"/>
    <w:rsid w:val="00606B52"/>
    <w:rsid w:val="00606B6F"/>
    <w:rsid w:val="00606B97"/>
    <w:rsid w:val="00606CB0"/>
    <w:rsid w:val="00606CBB"/>
    <w:rsid w:val="00606CC1"/>
    <w:rsid w:val="00606D8C"/>
    <w:rsid w:val="00606DC1"/>
    <w:rsid w:val="00606E91"/>
    <w:rsid w:val="00606EF1"/>
    <w:rsid w:val="0060701E"/>
    <w:rsid w:val="00607078"/>
    <w:rsid w:val="006070C3"/>
    <w:rsid w:val="0060718E"/>
    <w:rsid w:val="00607300"/>
    <w:rsid w:val="00607491"/>
    <w:rsid w:val="006075B6"/>
    <w:rsid w:val="006076A2"/>
    <w:rsid w:val="006076AB"/>
    <w:rsid w:val="006076CB"/>
    <w:rsid w:val="006076DB"/>
    <w:rsid w:val="006076F3"/>
    <w:rsid w:val="00607976"/>
    <w:rsid w:val="00607B69"/>
    <w:rsid w:val="00607BD9"/>
    <w:rsid w:val="00607C10"/>
    <w:rsid w:val="00607C60"/>
    <w:rsid w:val="00607C74"/>
    <w:rsid w:val="00607DB5"/>
    <w:rsid w:val="00607DDF"/>
    <w:rsid w:val="00607E10"/>
    <w:rsid w:val="0061006C"/>
    <w:rsid w:val="0061007F"/>
    <w:rsid w:val="006100C8"/>
    <w:rsid w:val="00610131"/>
    <w:rsid w:val="00610201"/>
    <w:rsid w:val="006102BE"/>
    <w:rsid w:val="006103A2"/>
    <w:rsid w:val="0061041D"/>
    <w:rsid w:val="006104F4"/>
    <w:rsid w:val="0061054E"/>
    <w:rsid w:val="006105A1"/>
    <w:rsid w:val="006105F1"/>
    <w:rsid w:val="0061063A"/>
    <w:rsid w:val="006106BC"/>
    <w:rsid w:val="006107DB"/>
    <w:rsid w:val="006107FE"/>
    <w:rsid w:val="006108DD"/>
    <w:rsid w:val="00610B7D"/>
    <w:rsid w:val="00610B97"/>
    <w:rsid w:val="00610C03"/>
    <w:rsid w:val="00610ECC"/>
    <w:rsid w:val="00610FDB"/>
    <w:rsid w:val="006110A1"/>
    <w:rsid w:val="006110E0"/>
    <w:rsid w:val="00611202"/>
    <w:rsid w:val="00611272"/>
    <w:rsid w:val="00611299"/>
    <w:rsid w:val="006112B7"/>
    <w:rsid w:val="00611339"/>
    <w:rsid w:val="00611340"/>
    <w:rsid w:val="006114B7"/>
    <w:rsid w:val="006114BA"/>
    <w:rsid w:val="006114C8"/>
    <w:rsid w:val="00611501"/>
    <w:rsid w:val="00611809"/>
    <w:rsid w:val="0061180E"/>
    <w:rsid w:val="00611829"/>
    <w:rsid w:val="00611914"/>
    <w:rsid w:val="00611935"/>
    <w:rsid w:val="006119EC"/>
    <w:rsid w:val="00611A9A"/>
    <w:rsid w:val="00611C46"/>
    <w:rsid w:val="00611C81"/>
    <w:rsid w:val="00611CA3"/>
    <w:rsid w:val="00611DE9"/>
    <w:rsid w:val="00611EC4"/>
    <w:rsid w:val="00611F4E"/>
    <w:rsid w:val="00611F64"/>
    <w:rsid w:val="00611F8E"/>
    <w:rsid w:val="006120BC"/>
    <w:rsid w:val="00612127"/>
    <w:rsid w:val="00612174"/>
    <w:rsid w:val="0061236A"/>
    <w:rsid w:val="0061248B"/>
    <w:rsid w:val="00612500"/>
    <w:rsid w:val="0061250A"/>
    <w:rsid w:val="0061264B"/>
    <w:rsid w:val="00612661"/>
    <w:rsid w:val="0061269D"/>
    <w:rsid w:val="006126CD"/>
    <w:rsid w:val="00612864"/>
    <w:rsid w:val="006128DF"/>
    <w:rsid w:val="00612929"/>
    <w:rsid w:val="00612C77"/>
    <w:rsid w:val="00612F64"/>
    <w:rsid w:val="00612FD7"/>
    <w:rsid w:val="00612FE2"/>
    <w:rsid w:val="006131A3"/>
    <w:rsid w:val="006131E5"/>
    <w:rsid w:val="00613221"/>
    <w:rsid w:val="006133D4"/>
    <w:rsid w:val="00613425"/>
    <w:rsid w:val="00613437"/>
    <w:rsid w:val="00613467"/>
    <w:rsid w:val="00613599"/>
    <w:rsid w:val="006135B5"/>
    <w:rsid w:val="006136C9"/>
    <w:rsid w:val="006137AE"/>
    <w:rsid w:val="00613836"/>
    <w:rsid w:val="006138FA"/>
    <w:rsid w:val="0061391F"/>
    <w:rsid w:val="00613969"/>
    <w:rsid w:val="00613A05"/>
    <w:rsid w:val="00613A13"/>
    <w:rsid w:val="00613A90"/>
    <w:rsid w:val="00613BA8"/>
    <w:rsid w:val="00613C18"/>
    <w:rsid w:val="00613D96"/>
    <w:rsid w:val="00613E79"/>
    <w:rsid w:val="00613FD5"/>
    <w:rsid w:val="00614119"/>
    <w:rsid w:val="00614166"/>
    <w:rsid w:val="006142A0"/>
    <w:rsid w:val="00614314"/>
    <w:rsid w:val="00614554"/>
    <w:rsid w:val="0061457A"/>
    <w:rsid w:val="0061471A"/>
    <w:rsid w:val="00614846"/>
    <w:rsid w:val="006148B2"/>
    <w:rsid w:val="00614993"/>
    <w:rsid w:val="00614A0D"/>
    <w:rsid w:val="00614B6D"/>
    <w:rsid w:val="00614D95"/>
    <w:rsid w:val="00614D97"/>
    <w:rsid w:val="00614F0A"/>
    <w:rsid w:val="00614F2D"/>
    <w:rsid w:val="00614F2F"/>
    <w:rsid w:val="00614FBF"/>
    <w:rsid w:val="00614FD1"/>
    <w:rsid w:val="006150B1"/>
    <w:rsid w:val="006150EC"/>
    <w:rsid w:val="006152C1"/>
    <w:rsid w:val="006152EF"/>
    <w:rsid w:val="0061538B"/>
    <w:rsid w:val="00615398"/>
    <w:rsid w:val="00615424"/>
    <w:rsid w:val="0061556D"/>
    <w:rsid w:val="006156AE"/>
    <w:rsid w:val="006157CB"/>
    <w:rsid w:val="006158C7"/>
    <w:rsid w:val="00615A07"/>
    <w:rsid w:val="00615B03"/>
    <w:rsid w:val="00615B77"/>
    <w:rsid w:val="00615BED"/>
    <w:rsid w:val="00615D90"/>
    <w:rsid w:val="00615DD3"/>
    <w:rsid w:val="00615EC0"/>
    <w:rsid w:val="00615F7E"/>
    <w:rsid w:val="006160B1"/>
    <w:rsid w:val="006162B2"/>
    <w:rsid w:val="0061654F"/>
    <w:rsid w:val="00616589"/>
    <w:rsid w:val="0061659F"/>
    <w:rsid w:val="006165B5"/>
    <w:rsid w:val="00616639"/>
    <w:rsid w:val="006166BC"/>
    <w:rsid w:val="006167B5"/>
    <w:rsid w:val="00616800"/>
    <w:rsid w:val="0061681C"/>
    <w:rsid w:val="0061695C"/>
    <w:rsid w:val="00616AB4"/>
    <w:rsid w:val="00616D56"/>
    <w:rsid w:val="00616F11"/>
    <w:rsid w:val="00617072"/>
    <w:rsid w:val="0061710F"/>
    <w:rsid w:val="0061715C"/>
    <w:rsid w:val="00617268"/>
    <w:rsid w:val="0061733C"/>
    <w:rsid w:val="0061738C"/>
    <w:rsid w:val="00617458"/>
    <w:rsid w:val="0061745F"/>
    <w:rsid w:val="006174E6"/>
    <w:rsid w:val="00617515"/>
    <w:rsid w:val="006175EF"/>
    <w:rsid w:val="006176C2"/>
    <w:rsid w:val="006177A8"/>
    <w:rsid w:val="0061798D"/>
    <w:rsid w:val="006179CC"/>
    <w:rsid w:val="00617B7D"/>
    <w:rsid w:val="00617BF7"/>
    <w:rsid w:val="006200D1"/>
    <w:rsid w:val="00620142"/>
    <w:rsid w:val="00620309"/>
    <w:rsid w:val="0062046D"/>
    <w:rsid w:val="006205C3"/>
    <w:rsid w:val="006205F9"/>
    <w:rsid w:val="00620828"/>
    <w:rsid w:val="006208FF"/>
    <w:rsid w:val="00620B41"/>
    <w:rsid w:val="00620B75"/>
    <w:rsid w:val="00620BF1"/>
    <w:rsid w:val="00620CA0"/>
    <w:rsid w:val="00620CCA"/>
    <w:rsid w:val="00620CE9"/>
    <w:rsid w:val="00620D9A"/>
    <w:rsid w:val="00620EEA"/>
    <w:rsid w:val="00620EEB"/>
    <w:rsid w:val="006210AF"/>
    <w:rsid w:val="0062111D"/>
    <w:rsid w:val="00621139"/>
    <w:rsid w:val="006212B4"/>
    <w:rsid w:val="006212D5"/>
    <w:rsid w:val="0062131A"/>
    <w:rsid w:val="0062134F"/>
    <w:rsid w:val="00621351"/>
    <w:rsid w:val="0062145D"/>
    <w:rsid w:val="00621557"/>
    <w:rsid w:val="00621607"/>
    <w:rsid w:val="006216EF"/>
    <w:rsid w:val="00621748"/>
    <w:rsid w:val="006217D4"/>
    <w:rsid w:val="006219C0"/>
    <w:rsid w:val="00621A37"/>
    <w:rsid w:val="00621B3A"/>
    <w:rsid w:val="00621B71"/>
    <w:rsid w:val="00621D94"/>
    <w:rsid w:val="00621E29"/>
    <w:rsid w:val="00621E3C"/>
    <w:rsid w:val="00621E89"/>
    <w:rsid w:val="00621EDE"/>
    <w:rsid w:val="00621F2D"/>
    <w:rsid w:val="00622016"/>
    <w:rsid w:val="00622188"/>
    <w:rsid w:val="006221D5"/>
    <w:rsid w:val="00622282"/>
    <w:rsid w:val="006222FE"/>
    <w:rsid w:val="006227C8"/>
    <w:rsid w:val="006228F3"/>
    <w:rsid w:val="00622959"/>
    <w:rsid w:val="006229C9"/>
    <w:rsid w:val="00622CDB"/>
    <w:rsid w:val="00622CE9"/>
    <w:rsid w:val="00622D50"/>
    <w:rsid w:val="00622D51"/>
    <w:rsid w:val="00622F15"/>
    <w:rsid w:val="00622F62"/>
    <w:rsid w:val="00622FD3"/>
    <w:rsid w:val="00622FED"/>
    <w:rsid w:val="00622FF2"/>
    <w:rsid w:val="0062300F"/>
    <w:rsid w:val="006230B0"/>
    <w:rsid w:val="00623142"/>
    <w:rsid w:val="0062326C"/>
    <w:rsid w:val="00623349"/>
    <w:rsid w:val="006234C2"/>
    <w:rsid w:val="0062358E"/>
    <w:rsid w:val="006235AE"/>
    <w:rsid w:val="006235EA"/>
    <w:rsid w:val="00623739"/>
    <w:rsid w:val="0062386B"/>
    <w:rsid w:val="00623979"/>
    <w:rsid w:val="00623A0A"/>
    <w:rsid w:val="00623A84"/>
    <w:rsid w:val="00623AAE"/>
    <w:rsid w:val="00623AB6"/>
    <w:rsid w:val="00623BB7"/>
    <w:rsid w:val="00623C15"/>
    <w:rsid w:val="00623C94"/>
    <w:rsid w:val="00623F0E"/>
    <w:rsid w:val="00624000"/>
    <w:rsid w:val="00624083"/>
    <w:rsid w:val="0062411B"/>
    <w:rsid w:val="0062412C"/>
    <w:rsid w:val="00624279"/>
    <w:rsid w:val="006243CA"/>
    <w:rsid w:val="00624576"/>
    <w:rsid w:val="0062458B"/>
    <w:rsid w:val="0062471F"/>
    <w:rsid w:val="00624734"/>
    <w:rsid w:val="006247AC"/>
    <w:rsid w:val="006247F6"/>
    <w:rsid w:val="006248A6"/>
    <w:rsid w:val="00624A8E"/>
    <w:rsid w:val="00624AEA"/>
    <w:rsid w:val="00624C78"/>
    <w:rsid w:val="00624D60"/>
    <w:rsid w:val="00624D66"/>
    <w:rsid w:val="00624DAB"/>
    <w:rsid w:val="00624F02"/>
    <w:rsid w:val="00624F4C"/>
    <w:rsid w:val="00625081"/>
    <w:rsid w:val="00625099"/>
    <w:rsid w:val="006251C2"/>
    <w:rsid w:val="006253C3"/>
    <w:rsid w:val="00625497"/>
    <w:rsid w:val="0062550C"/>
    <w:rsid w:val="0062563B"/>
    <w:rsid w:val="00625707"/>
    <w:rsid w:val="00625770"/>
    <w:rsid w:val="00625992"/>
    <w:rsid w:val="00625A0C"/>
    <w:rsid w:val="00625A1D"/>
    <w:rsid w:val="00625AA0"/>
    <w:rsid w:val="00625AE5"/>
    <w:rsid w:val="00625B1C"/>
    <w:rsid w:val="00625B28"/>
    <w:rsid w:val="00625BF8"/>
    <w:rsid w:val="00625C70"/>
    <w:rsid w:val="00625D66"/>
    <w:rsid w:val="00625F7E"/>
    <w:rsid w:val="0062605D"/>
    <w:rsid w:val="006260C9"/>
    <w:rsid w:val="006260CC"/>
    <w:rsid w:val="006261B9"/>
    <w:rsid w:val="006261DA"/>
    <w:rsid w:val="006261FB"/>
    <w:rsid w:val="00626221"/>
    <w:rsid w:val="0062631E"/>
    <w:rsid w:val="006264A8"/>
    <w:rsid w:val="006264D0"/>
    <w:rsid w:val="006264D9"/>
    <w:rsid w:val="00626516"/>
    <w:rsid w:val="006265DD"/>
    <w:rsid w:val="006265E3"/>
    <w:rsid w:val="00626891"/>
    <w:rsid w:val="006269C5"/>
    <w:rsid w:val="00626AD8"/>
    <w:rsid w:val="00626B45"/>
    <w:rsid w:val="00626BC8"/>
    <w:rsid w:val="00626C32"/>
    <w:rsid w:val="00626CC8"/>
    <w:rsid w:val="00626D81"/>
    <w:rsid w:val="00626DD5"/>
    <w:rsid w:val="00626E2C"/>
    <w:rsid w:val="00626E44"/>
    <w:rsid w:val="00626E6E"/>
    <w:rsid w:val="00627188"/>
    <w:rsid w:val="006271F7"/>
    <w:rsid w:val="00627214"/>
    <w:rsid w:val="00627236"/>
    <w:rsid w:val="0062737F"/>
    <w:rsid w:val="0062743A"/>
    <w:rsid w:val="00627473"/>
    <w:rsid w:val="0062751C"/>
    <w:rsid w:val="00627533"/>
    <w:rsid w:val="006275EC"/>
    <w:rsid w:val="0062768C"/>
    <w:rsid w:val="00627838"/>
    <w:rsid w:val="00627B0D"/>
    <w:rsid w:val="00627B80"/>
    <w:rsid w:val="00627D26"/>
    <w:rsid w:val="00627E37"/>
    <w:rsid w:val="0063014E"/>
    <w:rsid w:val="00630211"/>
    <w:rsid w:val="006302AD"/>
    <w:rsid w:val="006302C8"/>
    <w:rsid w:val="006302E8"/>
    <w:rsid w:val="006302F6"/>
    <w:rsid w:val="00630477"/>
    <w:rsid w:val="00630513"/>
    <w:rsid w:val="0063055F"/>
    <w:rsid w:val="00630566"/>
    <w:rsid w:val="00630605"/>
    <w:rsid w:val="0063062C"/>
    <w:rsid w:val="0063087E"/>
    <w:rsid w:val="00630949"/>
    <w:rsid w:val="00630B39"/>
    <w:rsid w:val="00630B85"/>
    <w:rsid w:val="00630BEA"/>
    <w:rsid w:val="00630C04"/>
    <w:rsid w:val="00630C4D"/>
    <w:rsid w:val="00630D05"/>
    <w:rsid w:val="00630DEE"/>
    <w:rsid w:val="00630F2D"/>
    <w:rsid w:val="0063103C"/>
    <w:rsid w:val="00631057"/>
    <w:rsid w:val="00631079"/>
    <w:rsid w:val="006310AC"/>
    <w:rsid w:val="0063115B"/>
    <w:rsid w:val="006311BB"/>
    <w:rsid w:val="00631433"/>
    <w:rsid w:val="006315D9"/>
    <w:rsid w:val="006316A0"/>
    <w:rsid w:val="006316B7"/>
    <w:rsid w:val="0063184C"/>
    <w:rsid w:val="006319B7"/>
    <w:rsid w:val="00631BAC"/>
    <w:rsid w:val="00631D0E"/>
    <w:rsid w:val="00631EF3"/>
    <w:rsid w:val="00631F8B"/>
    <w:rsid w:val="0063216F"/>
    <w:rsid w:val="006321A6"/>
    <w:rsid w:val="006322D5"/>
    <w:rsid w:val="006323B9"/>
    <w:rsid w:val="00632434"/>
    <w:rsid w:val="006324BF"/>
    <w:rsid w:val="00632504"/>
    <w:rsid w:val="006326E2"/>
    <w:rsid w:val="006326F5"/>
    <w:rsid w:val="00632708"/>
    <w:rsid w:val="0063273D"/>
    <w:rsid w:val="006328DC"/>
    <w:rsid w:val="006329A7"/>
    <w:rsid w:val="00632A7A"/>
    <w:rsid w:val="00632B15"/>
    <w:rsid w:val="00632B71"/>
    <w:rsid w:val="00632BEA"/>
    <w:rsid w:val="00632C24"/>
    <w:rsid w:val="00632C4F"/>
    <w:rsid w:val="00632CAB"/>
    <w:rsid w:val="00632D68"/>
    <w:rsid w:val="00632E2A"/>
    <w:rsid w:val="00632ECC"/>
    <w:rsid w:val="00632FB3"/>
    <w:rsid w:val="006330BA"/>
    <w:rsid w:val="006331AB"/>
    <w:rsid w:val="006331C0"/>
    <w:rsid w:val="00633261"/>
    <w:rsid w:val="00633320"/>
    <w:rsid w:val="00633416"/>
    <w:rsid w:val="00633451"/>
    <w:rsid w:val="00633515"/>
    <w:rsid w:val="006335C0"/>
    <w:rsid w:val="0063391D"/>
    <w:rsid w:val="00633A0D"/>
    <w:rsid w:val="00633A37"/>
    <w:rsid w:val="00633A3C"/>
    <w:rsid w:val="00633A78"/>
    <w:rsid w:val="00633DC1"/>
    <w:rsid w:val="00633DEF"/>
    <w:rsid w:val="00633E2A"/>
    <w:rsid w:val="00633E7C"/>
    <w:rsid w:val="00633EFE"/>
    <w:rsid w:val="00633FC5"/>
    <w:rsid w:val="00633FE2"/>
    <w:rsid w:val="00634172"/>
    <w:rsid w:val="00634320"/>
    <w:rsid w:val="006343EA"/>
    <w:rsid w:val="006344BD"/>
    <w:rsid w:val="006344D0"/>
    <w:rsid w:val="00634598"/>
    <w:rsid w:val="00634630"/>
    <w:rsid w:val="00634744"/>
    <w:rsid w:val="00634939"/>
    <w:rsid w:val="0063497E"/>
    <w:rsid w:val="00634AF5"/>
    <w:rsid w:val="00634B33"/>
    <w:rsid w:val="00634B48"/>
    <w:rsid w:val="00634CD5"/>
    <w:rsid w:val="00634D3A"/>
    <w:rsid w:val="00634E11"/>
    <w:rsid w:val="00634EA0"/>
    <w:rsid w:val="00634F8B"/>
    <w:rsid w:val="006351C0"/>
    <w:rsid w:val="006353DA"/>
    <w:rsid w:val="006355A5"/>
    <w:rsid w:val="006355E2"/>
    <w:rsid w:val="00635826"/>
    <w:rsid w:val="00635937"/>
    <w:rsid w:val="006359E1"/>
    <w:rsid w:val="00635A2F"/>
    <w:rsid w:val="00635A52"/>
    <w:rsid w:val="00635A74"/>
    <w:rsid w:val="00635C2A"/>
    <w:rsid w:val="00635C8B"/>
    <w:rsid w:val="00635D25"/>
    <w:rsid w:val="00635EB1"/>
    <w:rsid w:val="00635F1E"/>
    <w:rsid w:val="00635F39"/>
    <w:rsid w:val="0063612C"/>
    <w:rsid w:val="00636221"/>
    <w:rsid w:val="0063624C"/>
    <w:rsid w:val="006362A1"/>
    <w:rsid w:val="006362CF"/>
    <w:rsid w:val="0063631D"/>
    <w:rsid w:val="006363E0"/>
    <w:rsid w:val="00636453"/>
    <w:rsid w:val="0063688E"/>
    <w:rsid w:val="006368F7"/>
    <w:rsid w:val="00636A96"/>
    <w:rsid w:val="00636E5B"/>
    <w:rsid w:val="00636E84"/>
    <w:rsid w:val="00636F71"/>
    <w:rsid w:val="00636FA7"/>
    <w:rsid w:val="0063713A"/>
    <w:rsid w:val="0063744C"/>
    <w:rsid w:val="006374F0"/>
    <w:rsid w:val="00637559"/>
    <w:rsid w:val="00637674"/>
    <w:rsid w:val="006378B3"/>
    <w:rsid w:val="00637ABB"/>
    <w:rsid w:val="00637B54"/>
    <w:rsid w:val="00637BA3"/>
    <w:rsid w:val="00637BD5"/>
    <w:rsid w:val="00637C1F"/>
    <w:rsid w:val="00637DAE"/>
    <w:rsid w:val="00637DCC"/>
    <w:rsid w:val="00637EF8"/>
    <w:rsid w:val="00640132"/>
    <w:rsid w:val="00640148"/>
    <w:rsid w:val="0064018D"/>
    <w:rsid w:val="0064024D"/>
    <w:rsid w:val="006402E6"/>
    <w:rsid w:val="006403E5"/>
    <w:rsid w:val="006403FC"/>
    <w:rsid w:val="00640535"/>
    <w:rsid w:val="00640538"/>
    <w:rsid w:val="006406CE"/>
    <w:rsid w:val="0064078C"/>
    <w:rsid w:val="006408E8"/>
    <w:rsid w:val="00640927"/>
    <w:rsid w:val="00640A3D"/>
    <w:rsid w:val="00640AA4"/>
    <w:rsid w:val="00640AB9"/>
    <w:rsid w:val="00640C8C"/>
    <w:rsid w:val="00640CB5"/>
    <w:rsid w:val="00640D5B"/>
    <w:rsid w:val="00640E04"/>
    <w:rsid w:val="00640EC2"/>
    <w:rsid w:val="00640F97"/>
    <w:rsid w:val="00640FAD"/>
    <w:rsid w:val="00641000"/>
    <w:rsid w:val="00641028"/>
    <w:rsid w:val="006410E5"/>
    <w:rsid w:val="006411EF"/>
    <w:rsid w:val="006415C0"/>
    <w:rsid w:val="00641642"/>
    <w:rsid w:val="006416E5"/>
    <w:rsid w:val="00641750"/>
    <w:rsid w:val="006417FD"/>
    <w:rsid w:val="00641870"/>
    <w:rsid w:val="006419E7"/>
    <w:rsid w:val="00641B02"/>
    <w:rsid w:val="00641B3C"/>
    <w:rsid w:val="00641B5B"/>
    <w:rsid w:val="00641BB8"/>
    <w:rsid w:val="00641EC3"/>
    <w:rsid w:val="00641EF6"/>
    <w:rsid w:val="00641F8F"/>
    <w:rsid w:val="00642192"/>
    <w:rsid w:val="006421CE"/>
    <w:rsid w:val="006422D5"/>
    <w:rsid w:val="00642416"/>
    <w:rsid w:val="006424B3"/>
    <w:rsid w:val="006425C1"/>
    <w:rsid w:val="006425D8"/>
    <w:rsid w:val="00642615"/>
    <w:rsid w:val="0064277A"/>
    <w:rsid w:val="006427FB"/>
    <w:rsid w:val="00642A4D"/>
    <w:rsid w:val="00642C9C"/>
    <w:rsid w:val="00642C9D"/>
    <w:rsid w:val="00642D2E"/>
    <w:rsid w:val="00642E5A"/>
    <w:rsid w:val="00642E9A"/>
    <w:rsid w:val="00642E9B"/>
    <w:rsid w:val="0064300E"/>
    <w:rsid w:val="00643029"/>
    <w:rsid w:val="00643051"/>
    <w:rsid w:val="006430E8"/>
    <w:rsid w:val="006432EE"/>
    <w:rsid w:val="0064335E"/>
    <w:rsid w:val="00643387"/>
    <w:rsid w:val="0064345F"/>
    <w:rsid w:val="00643660"/>
    <w:rsid w:val="0064371A"/>
    <w:rsid w:val="00643798"/>
    <w:rsid w:val="0064381C"/>
    <w:rsid w:val="0064396E"/>
    <w:rsid w:val="006439DB"/>
    <w:rsid w:val="00643BF3"/>
    <w:rsid w:val="00643C25"/>
    <w:rsid w:val="00643C2C"/>
    <w:rsid w:val="00643CE1"/>
    <w:rsid w:val="00643DFB"/>
    <w:rsid w:val="00643E3F"/>
    <w:rsid w:val="00643E6E"/>
    <w:rsid w:val="00643EFB"/>
    <w:rsid w:val="00643FE3"/>
    <w:rsid w:val="006440EA"/>
    <w:rsid w:val="006442CE"/>
    <w:rsid w:val="00644435"/>
    <w:rsid w:val="0064450A"/>
    <w:rsid w:val="006446E7"/>
    <w:rsid w:val="0064477D"/>
    <w:rsid w:val="006447A9"/>
    <w:rsid w:val="006447B9"/>
    <w:rsid w:val="00644D4E"/>
    <w:rsid w:val="00644D5E"/>
    <w:rsid w:val="00644E9C"/>
    <w:rsid w:val="00644EC8"/>
    <w:rsid w:val="00644F8C"/>
    <w:rsid w:val="0064516E"/>
    <w:rsid w:val="0064526D"/>
    <w:rsid w:val="006452CF"/>
    <w:rsid w:val="00645364"/>
    <w:rsid w:val="00645586"/>
    <w:rsid w:val="00645619"/>
    <w:rsid w:val="00645623"/>
    <w:rsid w:val="0064583C"/>
    <w:rsid w:val="00645887"/>
    <w:rsid w:val="006458B6"/>
    <w:rsid w:val="00645977"/>
    <w:rsid w:val="00645994"/>
    <w:rsid w:val="006459D9"/>
    <w:rsid w:val="006459DA"/>
    <w:rsid w:val="00645A38"/>
    <w:rsid w:val="00645B35"/>
    <w:rsid w:val="00645B7D"/>
    <w:rsid w:val="00645C24"/>
    <w:rsid w:val="00645C7D"/>
    <w:rsid w:val="00645D5B"/>
    <w:rsid w:val="00645DF6"/>
    <w:rsid w:val="00645E17"/>
    <w:rsid w:val="0064600D"/>
    <w:rsid w:val="006460E9"/>
    <w:rsid w:val="0064650E"/>
    <w:rsid w:val="00646568"/>
    <w:rsid w:val="00646586"/>
    <w:rsid w:val="00646888"/>
    <w:rsid w:val="006468D0"/>
    <w:rsid w:val="00646A65"/>
    <w:rsid w:val="00646B18"/>
    <w:rsid w:val="00646C38"/>
    <w:rsid w:val="00646CE4"/>
    <w:rsid w:val="00646D6F"/>
    <w:rsid w:val="00646DDF"/>
    <w:rsid w:val="00646F3C"/>
    <w:rsid w:val="00646FBC"/>
    <w:rsid w:val="00647187"/>
    <w:rsid w:val="006471E4"/>
    <w:rsid w:val="00647252"/>
    <w:rsid w:val="006472D3"/>
    <w:rsid w:val="006473A0"/>
    <w:rsid w:val="006473FB"/>
    <w:rsid w:val="00647467"/>
    <w:rsid w:val="006474DE"/>
    <w:rsid w:val="006475E5"/>
    <w:rsid w:val="0064771A"/>
    <w:rsid w:val="00647737"/>
    <w:rsid w:val="00647784"/>
    <w:rsid w:val="006477BA"/>
    <w:rsid w:val="00647800"/>
    <w:rsid w:val="00647965"/>
    <w:rsid w:val="00647A7F"/>
    <w:rsid w:val="00647AA3"/>
    <w:rsid w:val="00647BBE"/>
    <w:rsid w:val="00647D92"/>
    <w:rsid w:val="00647DD1"/>
    <w:rsid w:val="00647EA1"/>
    <w:rsid w:val="00647EAC"/>
    <w:rsid w:val="0065003F"/>
    <w:rsid w:val="0065025C"/>
    <w:rsid w:val="0065029F"/>
    <w:rsid w:val="00650363"/>
    <w:rsid w:val="006503BD"/>
    <w:rsid w:val="00650587"/>
    <w:rsid w:val="006505EA"/>
    <w:rsid w:val="006507C0"/>
    <w:rsid w:val="00650820"/>
    <w:rsid w:val="0065087B"/>
    <w:rsid w:val="00650A00"/>
    <w:rsid w:val="00650A40"/>
    <w:rsid w:val="00650ADF"/>
    <w:rsid w:val="00650D4B"/>
    <w:rsid w:val="00650E7D"/>
    <w:rsid w:val="00650EC4"/>
    <w:rsid w:val="00650EF8"/>
    <w:rsid w:val="00650F14"/>
    <w:rsid w:val="00650F6A"/>
    <w:rsid w:val="00651185"/>
    <w:rsid w:val="0065134F"/>
    <w:rsid w:val="00651366"/>
    <w:rsid w:val="006513C7"/>
    <w:rsid w:val="0065151E"/>
    <w:rsid w:val="00651744"/>
    <w:rsid w:val="00651848"/>
    <w:rsid w:val="00651850"/>
    <w:rsid w:val="00651898"/>
    <w:rsid w:val="00651899"/>
    <w:rsid w:val="006519A0"/>
    <w:rsid w:val="006519FE"/>
    <w:rsid w:val="00651A16"/>
    <w:rsid w:val="00651A4E"/>
    <w:rsid w:val="00651AFD"/>
    <w:rsid w:val="00651B1B"/>
    <w:rsid w:val="00651C40"/>
    <w:rsid w:val="00651D25"/>
    <w:rsid w:val="00651D8A"/>
    <w:rsid w:val="00651EF6"/>
    <w:rsid w:val="00651F70"/>
    <w:rsid w:val="00651F8F"/>
    <w:rsid w:val="006520A8"/>
    <w:rsid w:val="006521A0"/>
    <w:rsid w:val="00652266"/>
    <w:rsid w:val="00652401"/>
    <w:rsid w:val="0065245E"/>
    <w:rsid w:val="0065252C"/>
    <w:rsid w:val="00652564"/>
    <w:rsid w:val="00652579"/>
    <w:rsid w:val="006525EA"/>
    <w:rsid w:val="0065261D"/>
    <w:rsid w:val="006527C5"/>
    <w:rsid w:val="006527D9"/>
    <w:rsid w:val="0065287D"/>
    <w:rsid w:val="00652893"/>
    <w:rsid w:val="006529B6"/>
    <w:rsid w:val="006529D5"/>
    <w:rsid w:val="00652ACF"/>
    <w:rsid w:val="00652ADC"/>
    <w:rsid w:val="00652B54"/>
    <w:rsid w:val="00652B6B"/>
    <w:rsid w:val="00652BC1"/>
    <w:rsid w:val="00652CD0"/>
    <w:rsid w:val="00652D1C"/>
    <w:rsid w:val="00652D44"/>
    <w:rsid w:val="00652D6F"/>
    <w:rsid w:val="00653062"/>
    <w:rsid w:val="00653128"/>
    <w:rsid w:val="00653192"/>
    <w:rsid w:val="00653426"/>
    <w:rsid w:val="00653638"/>
    <w:rsid w:val="006536AB"/>
    <w:rsid w:val="00653751"/>
    <w:rsid w:val="0065391E"/>
    <w:rsid w:val="0065398C"/>
    <w:rsid w:val="006539F0"/>
    <w:rsid w:val="00653A0E"/>
    <w:rsid w:val="00653A64"/>
    <w:rsid w:val="00653BE0"/>
    <w:rsid w:val="00653D97"/>
    <w:rsid w:val="00653DB3"/>
    <w:rsid w:val="00653E7D"/>
    <w:rsid w:val="00653F39"/>
    <w:rsid w:val="00654022"/>
    <w:rsid w:val="00654111"/>
    <w:rsid w:val="00654134"/>
    <w:rsid w:val="00654148"/>
    <w:rsid w:val="00654251"/>
    <w:rsid w:val="006542F2"/>
    <w:rsid w:val="00654309"/>
    <w:rsid w:val="0065435D"/>
    <w:rsid w:val="0065438C"/>
    <w:rsid w:val="006543BB"/>
    <w:rsid w:val="0065445D"/>
    <w:rsid w:val="0065469D"/>
    <w:rsid w:val="0065487F"/>
    <w:rsid w:val="00654992"/>
    <w:rsid w:val="00654B14"/>
    <w:rsid w:val="00654BA9"/>
    <w:rsid w:val="00654C69"/>
    <w:rsid w:val="00654CB2"/>
    <w:rsid w:val="00654E2A"/>
    <w:rsid w:val="00654F25"/>
    <w:rsid w:val="00654F45"/>
    <w:rsid w:val="00654F5F"/>
    <w:rsid w:val="00655011"/>
    <w:rsid w:val="006550D0"/>
    <w:rsid w:val="006551EC"/>
    <w:rsid w:val="006551FC"/>
    <w:rsid w:val="0065523F"/>
    <w:rsid w:val="006552CF"/>
    <w:rsid w:val="006552EB"/>
    <w:rsid w:val="00655361"/>
    <w:rsid w:val="00655383"/>
    <w:rsid w:val="006554C0"/>
    <w:rsid w:val="006554C2"/>
    <w:rsid w:val="006554CC"/>
    <w:rsid w:val="006554D3"/>
    <w:rsid w:val="006554EF"/>
    <w:rsid w:val="006555C8"/>
    <w:rsid w:val="006555F4"/>
    <w:rsid w:val="0065579F"/>
    <w:rsid w:val="00655AB8"/>
    <w:rsid w:val="00655B44"/>
    <w:rsid w:val="00655B89"/>
    <w:rsid w:val="00655D81"/>
    <w:rsid w:val="00655DC1"/>
    <w:rsid w:val="00655E46"/>
    <w:rsid w:val="00655EB3"/>
    <w:rsid w:val="00655F3D"/>
    <w:rsid w:val="00655FD5"/>
    <w:rsid w:val="0065619D"/>
    <w:rsid w:val="006561AB"/>
    <w:rsid w:val="006561E9"/>
    <w:rsid w:val="006562C3"/>
    <w:rsid w:val="006568AA"/>
    <w:rsid w:val="00656959"/>
    <w:rsid w:val="006569A5"/>
    <w:rsid w:val="00656AC7"/>
    <w:rsid w:val="00656AE0"/>
    <w:rsid w:val="00656AEF"/>
    <w:rsid w:val="00656B63"/>
    <w:rsid w:val="00656B82"/>
    <w:rsid w:val="00656C24"/>
    <w:rsid w:val="00656C52"/>
    <w:rsid w:val="00656DC5"/>
    <w:rsid w:val="00656E30"/>
    <w:rsid w:val="00656EB5"/>
    <w:rsid w:val="00656ECE"/>
    <w:rsid w:val="00656F78"/>
    <w:rsid w:val="00657081"/>
    <w:rsid w:val="006571A9"/>
    <w:rsid w:val="0065740F"/>
    <w:rsid w:val="00657499"/>
    <w:rsid w:val="006575BC"/>
    <w:rsid w:val="00657638"/>
    <w:rsid w:val="006577E5"/>
    <w:rsid w:val="00657824"/>
    <w:rsid w:val="006578A8"/>
    <w:rsid w:val="006578B6"/>
    <w:rsid w:val="00657A16"/>
    <w:rsid w:val="00657B22"/>
    <w:rsid w:val="00657B98"/>
    <w:rsid w:val="00657CAE"/>
    <w:rsid w:val="00657D5C"/>
    <w:rsid w:val="00657E88"/>
    <w:rsid w:val="00657F5A"/>
    <w:rsid w:val="00657FD9"/>
    <w:rsid w:val="006600B6"/>
    <w:rsid w:val="006600B9"/>
    <w:rsid w:val="00660165"/>
    <w:rsid w:val="006602B1"/>
    <w:rsid w:val="0066031F"/>
    <w:rsid w:val="0066042E"/>
    <w:rsid w:val="00660482"/>
    <w:rsid w:val="00660532"/>
    <w:rsid w:val="006606BC"/>
    <w:rsid w:val="006607A9"/>
    <w:rsid w:val="006607B8"/>
    <w:rsid w:val="006607F6"/>
    <w:rsid w:val="0066080B"/>
    <w:rsid w:val="00660825"/>
    <w:rsid w:val="00660927"/>
    <w:rsid w:val="0066092A"/>
    <w:rsid w:val="006609CF"/>
    <w:rsid w:val="00660AB4"/>
    <w:rsid w:val="00660B07"/>
    <w:rsid w:val="00660C9C"/>
    <w:rsid w:val="00660D6A"/>
    <w:rsid w:val="00660D83"/>
    <w:rsid w:val="00660DBF"/>
    <w:rsid w:val="00660E51"/>
    <w:rsid w:val="00661175"/>
    <w:rsid w:val="006612BF"/>
    <w:rsid w:val="006613CD"/>
    <w:rsid w:val="00661591"/>
    <w:rsid w:val="006618A9"/>
    <w:rsid w:val="006618F0"/>
    <w:rsid w:val="00661AB1"/>
    <w:rsid w:val="00661B15"/>
    <w:rsid w:val="00661B8D"/>
    <w:rsid w:val="00661BF3"/>
    <w:rsid w:val="00661CA8"/>
    <w:rsid w:val="00661D24"/>
    <w:rsid w:val="00661E21"/>
    <w:rsid w:val="00661E7D"/>
    <w:rsid w:val="00661ECA"/>
    <w:rsid w:val="00661F0E"/>
    <w:rsid w:val="00661F8D"/>
    <w:rsid w:val="006620D6"/>
    <w:rsid w:val="006621A5"/>
    <w:rsid w:val="006621DF"/>
    <w:rsid w:val="006621FF"/>
    <w:rsid w:val="00662249"/>
    <w:rsid w:val="0066245D"/>
    <w:rsid w:val="00662541"/>
    <w:rsid w:val="006627F1"/>
    <w:rsid w:val="006627FD"/>
    <w:rsid w:val="006628ED"/>
    <w:rsid w:val="006629B9"/>
    <w:rsid w:val="006629F0"/>
    <w:rsid w:val="00662A14"/>
    <w:rsid w:val="00662B92"/>
    <w:rsid w:val="00662F26"/>
    <w:rsid w:val="00662FA2"/>
    <w:rsid w:val="006630C2"/>
    <w:rsid w:val="006630FC"/>
    <w:rsid w:val="00663152"/>
    <w:rsid w:val="006632BB"/>
    <w:rsid w:val="006632D1"/>
    <w:rsid w:val="006633C4"/>
    <w:rsid w:val="006633E9"/>
    <w:rsid w:val="006635B3"/>
    <w:rsid w:val="0066362C"/>
    <w:rsid w:val="00663701"/>
    <w:rsid w:val="006637F5"/>
    <w:rsid w:val="0066381C"/>
    <w:rsid w:val="006638DA"/>
    <w:rsid w:val="00663933"/>
    <w:rsid w:val="00663985"/>
    <w:rsid w:val="00663A01"/>
    <w:rsid w:val="00663A80"/>
    <w:rsid w:val="00663A87"/>
    <w:rsid w:val="00663AF6"/>
    <w:rsid w:val="00663B3D"/>
    <w:rsid w:val="00663BA1"/>
    <w:rsid w:val="00663BD3"/>
    <w:rsid w:val="00663C0F"/>
    <w:rsid w:val="00663C88"/>
    <w:rsid w:val="00663D10"/>
    <w:rsid w:val="00663DD1"/>
    <w:rsid w:val="00663E47"/>
    <w:rsid w:val="00663F09"/>
    <w:rsid w:val="00663F51"/>
    <w:rsid w:val="00663F6C"/>
    <w:rsid w:val="00663FD6"/>
    <w:rsid w:val="00664036"/>
    <w:rsid w:val="0066410A"/>
    <w:rsid w:val="006641CE"/>
    <w:rsid w:val="00664226"/>
    <w:rsid w:val="00664257"/>
    <w:rsid w:val="00664267"/>
    <w:rsid w:val="00664362"/>
    <w:rsid w:val="00664515"/>
    <w:rsid w:val="00664704"/>
    <w:rsid w:val="00664B2F"/>
    <w:rsid w:val="00664C09"/>
    <w:rsid w:val="00664C17"/>
    <w:rsid w:val="00664EC1"/>
    <w:rsid w:val="00664F1B"/>
    <w:rsid w:val="00665147"/>
    <w:rsid w:val="006651D8"/>
    <w:rsid w:val="00665246"/>
    <w:rsid w:val="0066527F"/>
    <w:rsid w:val="00665293"/>
    <w:rsid w:val="0066546F"/>
    <w:rsid w:val="006654BD"/>
    <w:rsid w:val="00665515"/>
    <w:rsid w:val="006656E2"/>
    <w:rsid w:val="00665753"/>
    <w:rsid w:val="0066584B"/>
    <w:rsid w:val="0066598D"/>
    <w:rsid w:val="00665A71"/>
    <w:rsid w:val="00665C56"/>
    <w:rsid w:val="00665D37"/>
    <w:rsid w:val="00665E1A"/>
    <w:rsid w:val="00665E2C"/>
    <w:rsid w:val="00665FC6"/>
    <w:rsid w:val="00665FC7"/>
    <w:rsid w:val="00666076"/>
    <w:rsid w:val="00666107"/>
    <w:rsid w:val="00666285"/>
    <w:rsid w:val="006663B4"/>
    <w:rsid w:val="006663C5"/>
    <w:rsid w:val="006663CE"/>
    <w:rsid w:val="006664F2"/>
    <w:rsid w:val="006665E7"/>
    <w:rsid w:val="0066667E"/>
    <w:rsid w:val="006666EE"/>
    <w:rsid w:val="0066685E"/>
    <w:rsid w:val="0066689D"/>
    <w:rsid w:val="0066691E"/>
    <w:rsid w:val="006669E6"/>
    <w:rsid w:val="00666A4D"/>
    <w:rsid w:val="00666C18"/>
    <w:rsid w:val="00666C8D"/>
    <w:rsid w:val="00666DC3"/>
    <w:rsid w:val="00666DF3"/>
    <w:rsid w:val="00666ED5"/>
    <w:rsid w:val="00666EDA"/>
    <w:rsid w:val="00666F84"/>
    <w:rsid w:val="0066717C"/>
    <w:rsid w:val="006671AF"/>
    <w:rsid w:val="006671BF"/>
    <w:rsid w:val="006672C7"/>
    <w:rsid w:val="006672E2"/>
    <w:rsid w:val="00667311"/>
    <w:rsid w:val="0066733D"/>
    <w:rsid w:val="00667368"/>
    <w:rsid w:val="0066741E"/>
    <w:rsid w:val="006675FF"/>
    <w:rsid w:val="00667670"/>
    <w:rsid w:val="00667790"/>
    <w:rsid w:val="006678E1"/>
    <w:rsid w:val="00667941"/>
    <w:rsid w:val="006679DD"/>
    <w:rsid w:val="006679E3"/>
    <w:rsid w:val="00667AE6"/>
    <w:rsid w:val="00667C28"/>
    <w:rsid w:val="00667CED"/>
    <w:rsid w:val="00667DD6"/>
    <w:rsid w:val="00667E2F"/>
    <w:rsid w:val="00667E6E"/>
    <w:rsid w:val="00667F99"/>
    <w:rsid w:val="0066DEC2"/>
    <w:rsid w:val="0067001F"/>
    <w:rsid w:val="006700D3"/>
    <w:rsid w:val="006700F3"/>
    <w:rsid w:val="0067016A"/>
    <w:rsid w:val="00670330"/>
    <w:rsid w:val="00670374"/>
    <w:rsid w:val="006703B0"/>
    <w:rsid w:val="0067055A"/>
    <w:rsid w:val="006705F4"/>
    <w:rsid w:val="0067061F"/>
    <w:rsid w:val="006706E1"/>
    <w:rsid w:val="006707E3"/>
    <w:rsid w:val="00670831"/>
    <w:rsid w:val="00670867"/>
    <w:rsid w:val="006708EF"/>
    <w:rsid w:val="0067090B"/>
    <w:rsid w:val="006709CB"/>
    <w:rsid w:val="00670A68"/>
    <w:rsid w:val="00670ADA"/>
    <w:rsid w:val="00670B5B"/>
    <w:rsid w:val="00670B6D"/>
    <w:rsid w:val="00670C0C"/>
    <w:rsid w:val="00670C1C"/>
    <w:rsid w:val="00670CC4"/>
    <w:rsid w:val="00670DB4"/>
    <w:rsid w:val="00670DE0"/>
    <w:rsid w:val="00670E03"/>
    <w:rsid w:val="00670E80"/>
    <w:rsid w:val="00670EEB"/>
    <w:rsid w:val="00670F17"/>
    <w:rsid w:val="00670F80"/>
    <w:rsid w:val="00670FA7"/>
    <w:rsid w:val="00670FC1"/>
    <w:rsid w:val="0067104B"/>
    <w:rsid w:val="00671101"/>
    <w:rsid w:val="006712EB"/>
    <w:rsid w:val="00671437"/>
    <w:rsid w:val="0067148D"/>
    <w:rsid w:val="00671516"/>
    <w:rsid w:val="0067151A"/>
    <w:rsid w:val="006715C3"/>
    <w:rsid w:val="006716CF"/>
    <w:rsid w:val="0067174C"/>
    <w:rsid w:val="006717C8"/>
    <w:rsid w:val="00671825"/>
    <w:rsid w:val="0067187A"/>
    <w:rsid w:val="006718EA"/>
    <w:rsid w:val="00671995"/>
    <w:rsid w:val="006719B5"/>
    <w:rsid w:val="00671A0F"/>
    <w:rsid w:val="00671A51"/>
    <w:rsid w:val="00671C72"/>
    <w:rsid w:val="00671CE2"/>
    <w:rsid w:val="00671F4A"/>
    <w:rsid w:val="0067206D"/>
    <w:rsid w:val="006720D9"/>
    <w:rsid w:val="00672149"/>
    <w:rsid w:val="00672182"/>
    <w:rsid w:val="006721F4"/>
    <w:rsid w:val="006724C3"/>
    <w:rsid w:val="006725DF"/>
    <w:rsid w:val="00672632"/>
    <w:rsid w:val="00672652"/>
    <w:rsid w:val="00672696"/>
    <w:rsid w:val="0067276B"/>
    <w:rsid w:val="00672799"/>
    <w:rsid w:val="00672807"/>
    <w:rsid w:val="0067299B"/>
    <w:rsid w:val="006729E6"/>
    <w:rsid w:val="00672A0C"/>
    <w:rsid w:val="00672C5D"/>
    <w:rsid w:val="00672C6E"/>
    <w:rsid w:val="00672CDE"/>
    <w:rsid w:val="00672D04"/>
    <w:rsid w:val="00672EAB"/>
    <w:rsid w:val="00672F01"/>
    <w:rsid w:val="00672F63"/>
    <w:rsid w:val="006730CD"/>
    <w:rsid w:val="006731DE"/>
    <w:rsid w:val="00673228"/>
    <w:rsid w:val="0067325D"/>
    <w:rsid w:val="006733E2"/>
    <w:rsid w:val="006733F9"/>
    <w:rsid w:val="00673550"/>
    <w:rsid w:val="00673605"/>
    <w:rsid w:val="00673609"/>
    <w:rsid w:val="00673642"/>
    <w:rsid w:val="00673669"/>
    <w:rsid w:val="00673755"/>
    <w:rsid w:val="00673759"/>
    <w:rsid w:val="00673981"/>
    <w:rsid w:val="00673AB2"/>
    <w:rsid w:val="00673B11"/>
    <w:rsid w:val="00673B14"/>
    <w:rsid w:val="00673B33"/>
    <w:rsid w:val="00673B98"/>
    <w:rsid w:val="00673BC3"/>
    <w:rsid w:val="00673BDE"/>
    <w:rsid w:val="00673C02"/>
    <w:rsid w:val="00673C0F"/>
    <w:rsid w:val="00673E3D"/>
    <w:rsid w:val="00673F74"/>
    <w:rsid w:val="00673FB1"/>
    <w:rsid w:val="00673FD5"/>
    <w:rsid w:val="00674018"/>
    <w:rsid w:val="006742D3"/>
    <w:rsid w:val="006744AF"/>
    <w:rsid w:val="00674531"/>
    <w:rsid w:val="006745BF"/>
    <w:rsid w:val="006745D1"/>
    <w:rsid w:val="00674678"/>
    <w:rsid w:val="00674773"/>
    <w:rsid w:val="00674789"/>
    <w:rsid w:val="006747C3"/>
    <w:rsid w:val="00674B81"/>
    <w:rsid w:val="00674BC5"/>
    <w:rsid w:val="00674E78"/>
    <w:rsid w:val="00674ED1"/>
    <w:rsid w:val="00674EEB"/>
    <w:rsid w:val="00674EFD"/>
    <w:rsid w:val="006750E7"/>
    <w:rsid w:val="006751BC"/>
    <w:rsid w:val="006751E1"/>
    <w:rsid w:val="0067556F"/>
    <w:rsid w:val="006755DD"/>
    <w:rsid w:val="006756A0"/>
    <w:rsid w:val="00675721"/>
    <w:rsid w:val="006757B1"/>
    <w:rsid w:val="00675908"/>
    <w:rsid w:val="006759CB"/>
    <w:rsid w:val="00675B1E"/>
    <w:rsid w:val="00675C6E"/>
    <w:rsid w:val="00675D03"/>
    <w:rsid w:val="00675D3F"/>
    <w:rsid w:val="00675F4C"/>
    <w:rsid w:val="00675FF5"/>
    <w:rsid w:val="00676053"/>
    <w:rsid w:val="0067607F"/>
    <w:rsid w:val="006760C5"/>
    <w:rsid w:val="00676202"/>
    <w:rsid w:val="006762B6"/>
    <w:rsid w:val="00676304"/>
    <w:rsid w:val="0067632E"/>
    <w:rsid w:val="00676360"/>
    <w:rsid w:val="006764BD"/>
    <w:rsid w:val="00676593"/>
    <w:rsid w:val="0067664F"/>
    <w:rsid w:val="0067669E"/>
    <w:rsid w:val="00676705"/>
    <w:rsid w:val="0067689C"/>
    <w:rsid w:val="0067689D"/>
    <w:rsid w:val="006769A4"/>
    <w:rsid w:val="00676A40"/>
    <w:rsid w:val="00676B38"/>
    <w:rsid w:val="00676BD9"/>
    <w:rsid w:val="00676C79"/>
    <w:rsid w:val="00676E6B"/>
    <w:rsid w:val="00676FB8"/>
    <w:rsid w:val="00677006"/>
    <w:rsid w:val="00677046"/>
    <w:rsid w:val="0067719B"/>
    <w:rsid w:val="006773BB"/>
    <w:rsid w:val="00677429"/>
    <w:rsid w:val="0067755C"/>
    <w:rsid w:val="00677585"/>
    <w:rsid w:val="006775CA"/>
    <w:rsid w:val="0067783A"/>
    <w:rsid w:val="00677852"/>
    <w:rsid w:val="00677A22"/>
    <w:rsid w:val="00677B43"/>
    <w:rsid w:val="00677B87"/>
    <w:rsid w:val="00677BFE"/>
    <w:rsid w:val="00677C01"/>
    <w:rsid w:val="00677D66"/>
    <w:rsid w:val="00677DFE"/>
    <w:rsid w:val="00677EBB"/>
    <w:rsid w:val="00680037"/>
    <w:rsid w:val="0068009C"/>
    <w:rsid w:val="006800B9"/>
    <w:rsid w:val="00680111"/>
    <w:rsid w:val="00680146"/>
    <w:rsid w:val="00680400"/>
    <w:rsid w:val="00680519"/>
    <w:rsid w:val="00680549"/>
    <w:rsid w:val="006806B4"/>
    <w:rsid w:val="006806B7"/>
    <w:rsid w:val="0068071D"/>
    <w:rsid w:val="00680768"/>
    <w:rsid w:val="006808C3"/>
    <w:rsid w:val="00680978"/>
    <w:rsid w:val="00680A72"/>
    <w:rsid w:val="00680AFC"/>
    <w:rsid w:val="00680C48"/>
    <w:rsid w:val="00680CA4"/>
    <w:rsid w:val="00680CD5"/>
    <w:rsid w:val="00680DBB"/>
    <w:rsid w:val="00680EF8"/>
    <w:rsid w:val="00680F6E"/>
    <w:rsid w:val="006813A8"/>
    <w:rsid w:val="00681483"/>
    <w:rsid w:val="00681572"/>
    <w:rsid w:val="006815FB"/>
    <w:rsid w:val="0068172F"/>
    <w:rsid w:val="00681749"/>
    <w:rsid w:val="0068183C"/>
    <w:rsid w:val="00681899"/>
    <w:rsid w:val="006819E2"/>
    <w:rsid w:val="00681B27"/>
    <w:rsid w:val="00681B4E"/>
    <w:rsid w:val="00681DA0"/>
    <w:rsid w:val="00681DA8"/>
    <w:rsid w:val="00681DB8"/>
    <w:rsid w:val="00681EAF"/>
    <w:rsid w:val="00681F12"/>
    <w:rsid w:val="00681F5F"/>
    <w:rsid w:val="0068207E"/>
    <w:rsid w:val="0068211C"/>
    <w:rsid w:val="0068215B"/>
    <w:rsid w:val="00682176"/>
    <w:rsid w:val="00682210"/>
    <w:rsid w:val="00682279"/>
    <w:rsid w:val="006822D5"/>
    <w:rsid w:val="00682323"/>
    <w:rsid w:val="006823B1"/>
    <w:rsid w:val="006824A1"/>
    <w:rsid w:val="006824B1"/>
    <w:rsid w:val="00682500"/>
    <w:rsid w:val="0068254C"/>
    <w:rsid w:val="0068260F"/>
    <w:rsid w:val="0068262E"/>
    <w:rsid w:val="006827C6"/>
    <w:rsid w:val="0068280D"/>
    <w:rsid w:val="00682987"/>
    <w:rsid w:val="006829CC"/>
    <w:rsid w:val="00682B40"/>
    <w:rsid w:val="00682B52"/>
    <w:rsid w:val="00682B5B"/>
    <w:rsid w:val="00682C06"/>
    <w:rsid w:val="00682D04"/>
    <w:rsid w:val="00682D05"/>
    <w:rsid w:val="00682D3C"/>
    <w:rsid w:val="00682D4A"/>
    <w:rsid w:val="00682D83"/>
    <w:rsid w:val="00682DA4"/>
    <w:rsid w:val="00682E6E"/>
    <w:rsid w:val="00682E76"/>
    <w:rsid w:val="00683065"/>
    <w:rsid w:val="00683100"/>
    <w:rsid w:val="0068318A"/>
    <w:rsid w:val="006833CD"/>
    <w:rsid w:val="00683404"/>
    <w:rsid w:val="00683565"/>
    <w:rsid w:val="0068363E"/>
    <w:rsid w:val="0068365D"/>
    <w:rsid w:val="00683835"/>
    <w:rsid w:val="0068386B"/>
    <w:rsid w:val="00683877"/>
    <w:rsid w:val="00683930"/>
    <w:rsid w:val="00683947"/>
    <w:rsid w:val="00683A0E"/>
    <w:rsid w:val="00683A2F"/>
    <w:rsid w:val="00683A48"/>
    <w:rsid w:val="00683A5F"/>
    <w:rsid w:val="00683CC9"/>
    <w:rsid w:val="00683D43"/>
    <w:rsid w:val="00683D80"/>
    <w:rsid w:val="00683EB3"/>
    <w:rsid w:val="006840E4"/>
    <w:rsid w:val="00684111"/>
    <w:rsid w:val="00684195"/>
    <w:rsid w:val="006841DA"/>
    <w:rsid w:val="00684309"/>
    <w:rsid w:val="006844D4"/>
    <w:rsid w:val="006845E9"/>
    <w:rsid w:val="00684634"/>
    <w:rsid w:val="006846AE"/>
    <w:rsid w:val="00684735"/>
    <w:rsid w:val="0068476D"/>
    <w:rsid w:val="00684792"/>
    <w:rsid w:val="006848BA"/>
    <w:rsid w:val="00684925"/>
    <w:rsid w:val="0068498C"/>
    <w:rsid w:val="006849A7"/>
    <w:rsid w:val="006849D0"/>
    <w:rsid w:val="006849ED"/>
    <w:rsid w:val="00684A21"/>
    <w:rsid w:val="00684A4D"/>
    <w:rsid w:val="00684BC4"/>
    <w:rsid w:val="00684D58"/>
    <w:rsid w:val="00684DEF"/>
    <w:rsid w:val="00684F33"/>
    <w:rsid w:val="00684FCF"/>
    <w:rsid w:val="0068509D"/>
    <w:rsid w:val="006850B0"/>
    <w:rsid w:val="0068513A"/>
    <w:rsid w:val="00685232"/>
    <w:rsid w:val="00685282"/>
    <w:rsid w:val="0068529C"/>
    <w:rsid w:val="00685345"/>
    <w:rsid w:val="006854B4"/>
    <w:rsid w:val="006854DA"/>
    <w:rsid w:val="00685543"/>
    <w:rsid w:val="00685754"/>
    <w:rsid w:val="00685789"/>
    <w:rsid w:val="006857CC"/>
    <w:rsid w:val="00685B31"/>
    <w:rsid w:val="00685DD8"/>
    <w:rsid w:val="00685E03"/>
    <w:rsid w:val="00685EDE"/>
    <w:rsid w:val="00685F68"/>
    <w:rsid w:val="0068601D"/>
    <w:rsid w:val="00686022"/>
    <w:rsid w:val="00686035"/>
    <w:rsid w:val="00686055"/>
    <w:rsid w:val="0068608B"/>
    <w:rsid w:val="006860DD"/>
    <w:rsid w:val="0068619D"/>
    <w:rsid w:val="006864A5"/>
    <w:rsid w:val="006864AD"/>
    <w:rsid w:val="006864F7"/>
    <w:rsid w:val="0068667E"/>
    <w:rsid w:val="0068676C"/>
    <w:rsid w:val="00686814"/>
    <w:rsid w:val="006868DD"/>
    <w:rsid w:val="006869A1"/>
    <w:rsid w:val="00686A72"/>
    <w:rsid w:val="00686AB7"/>
    <w:rsid w:val="00686ACC"/>
    <w:rsid w:val="00686ADA"/>
    <w:rsid w:val="00686DE5"/>
    <w:rsid w:val="00686ED5"/>
    <w:rsid w:val="006870CC"/>
    <w:rsid w:val="00687100"/>
    <w:rsid w:val="006871C1"/>
    <w:rsid w:val="0068728C"/>
    <w:rsid w:val="006873C8"/>
    <w:rsid w:val="006873F2"/>
    <w:rsid w:val="006873FE"/>
    <w:rsid w:val="006876F5"/>
    <w:rsid w:val="006876F7"/>
    <w:rsid w:val="006878CF"/>
    <w:rsid w:val="006879AF"/>
    <w:rsid w:val="00687AAF"/>
    <w:rsid w:val="00687AB2"/>
    <w:rsid w:val="00687B1F"/>
    <w:rsid w:val="00687DC6"/>
    <w:rsid w:val="00687EAB"/>
    <w:rsid w:val="00687F37"/>
    <w:rsid w:val="006901B7"/>
    <w:rsid w:val="0069028E"/>
    <w:rsid w:val="006902FF"/>
    <w:rsid w:val="006904A2"/>
    <w:rsid w:val="006904C0"/>
    <w:rsid w:val="006904C3"/>
    <w:rsid w:val="00690507"/>
    <w:rsid w:val="006905F6"/>
    <w:rsid w:val="006906B1"/>
    <w:rsid w:val="006907F2"/>
    <w:rsid w:val="00690AA9"/>
    <w:rsid w:val="00690B3B"/>
    <w:rsid w:val="00690C28"/>
    <w:rsid w:val="00690C2D"/>
    <w:rsid w:val="00690DCE"/>
    <w:rsid w:val="00690EC0"/>
    <w:rsid w:val="00690EF4"/>
    <w:rsid w:val="00691046"/>
    <w:rsid w:val="006911E5"/>
    <w:rsid w:val="00691341"/>
    <w:rsid w:val="006913CD"/>
    <w:rsid w:val="006914A4"/>
    <w:rsid w:val="00691594"/>
    <w:rsid w:val="00691615"/>
    <w:rsid w:val="006916EF"/>
    <w:rsid w:val="006916F5"/>
    <w:rsid w:val="00691786"/>
    <w:rsid w:val="0069188B"/>
    <w:rsid w:val="00691B84"/>
    <w:rsid w:val="00691CC9"/>
    <w:rsid w:val="00691DC6"/>
    <w:rsid w:val="00691E96"/>
    <w:rsid w:val="00691EF2"/>
    <w:rsid w:val="00691F4A"/>
    <w:rsid w:val="0069201B"/>
    <w:rsid w:val="00692105"/>
    <w:rsid w:val="00692166"/>
    <w:rsid w:val="0069222D"/>
    <w:rsid w:val="0069237C"/>
    <w:rsid w:val="00692381"/>
    <w:rsid w:val="006923FD"/>
    <w:rsid w:val="006924E1"/>
    <w:rsid w:val="00692574"/>
    <w:rsid w:val="00692749"/>
    <w:rsid w:val="00692801"/>
    <w:rsid w:val="00692846"/>
    <w:rsid w:val="00692916"/>
    <w:rsid w:val="0069291A"/>
    <w:rsid w:val="00692982"/>
    <w:rsid w:val="00692B38"/>
    <w:rsid w:val="00692B7D"/>
    <w:rsid w:val="00692BDF"/>
    <w:rsid w:val="00692BF3"/>
    <w:rsid w:val="00692CC9"/>
    <w:rsid w:val="00692CCF"/>
    <w:rsid w:val="00692D13"/>
    <w:rsid w:val="00692DCB"/>
    <w:rsid w:val="00692DF6"/>
    <w:rsid w:val="00692FD1"/>
    <w:rsid w:val="00693099"/>
    <w:rsid w:val="0069318D"/>
    <w:rsid w:val="006931F1"/>
    <w:rsid w:val="00693214"/>
    <w:rsid w:val="00693217"/>
    <w:rsid w:val="00693342"/>
    <w:rsid w:val="00693401"/>
    <w:rsid w:val="00693435"/>
    <w:rsid w:val="00693556"/>
    <w:rsid w:val="00693584"/>
    <w:rsid w:val="006936BA"/>
    <w:rsid w:val="00693846"/>
    <w:rsid w:val="00693853"/>
    <w:rsid w:val="006939C5"/>
    <w:rsid w:val="00693A1F"/>
    <w:rsid w:val="00693A72"/>
    <w:rsid w:val="00693BD8"/>
    <w:rsid w:val="00693D12"/>
    <w:rsid w:val="00693DBF"/>
    <w:rsid w:val="00693E01"/>
    <w:rsid w:val="00693E0E"/>
    <w:rsid w:val="00693E53"/>
    <w:rsid w:val="00693EA3"/>
    <w:rsid w:val="00693F55"/>
    <w:rsid w:val="00694050"/>
    <w:rsid w:val="00694149"/>
    <w:rsid w:val="00694272"/>
    <w:rsid w:val="006942AD"/>
    <w:rsid w:val="0069463E"/>
    <w:rsid w:val="006946FD"/>
    <w:rsid w:val="00694899"/>
    <w:rsid w:val="006948FD"/>
    <w:rsid w:val="0069493E"/>
    <w:rsid w:val="00694948"/>
    <w:rsid w:val="006949A3"/>
    <w:rsid w:val="006949B7"/>
    <w:rsid w:val="006949F2"/>
    <w:rsid w:val="00694BB7"/>
    <w:rsid w:val="00694CAD"/>
    <w:rsid w:val="00694CEA"/>
    <w:rsid w:val="00694E0C"/>
    <w:rsid w:val="00695016"/>
    <w:rsid w:val="006950D6"/>
    <w:rsid w:val="006951B5"/>
    <w:rsid w:val="0069520A"/>
    <w:rsid w:val="00695276"/>
    <w:rsid w:val="0069536B"/>
    <w:rsid w:val="00695394"/>
    <w:rsid w:val="006954F5"/>
    <w:rsid w:val="0069551F"/>
    <w:rsid w:val="00695563"/>
    <w:rsid w:val="006956B5"/>
    <w:rsid w:val="006956BB"/>
    <w:rsid w:val="00695730"/>
    <w:rsid w:val="00695761"/>
    <w:rsid w:val="006957D3"/>
    <w:rsid w:val="0069597A"/>
    <w:rsid w:val="0069597D"/>
    <w:rsid w:val="00695A11"/>
    <w:rsid w:val="00695A87"/>
    <w:rsid w:val="00695B02"/>
    <w:rsid w:val="00695B60"/>
    <w:rsid w:val="00695B86"/>
    <w:rsid w:val="00695CEE"/>
    <w:rsid w:val="00695E01"/>
    <w:rsid w:val="00695E94"/>
    <w:rsid w:val="00695F01"/>
    <w:rsid w:val="00695FB5"/>
    <w:rsid w:val="00696195"/>
    <w:rsid w:val="0069630E"/>
    <w:rsid w:val="00696318"/>
    <w:rsid w:val="0069647D"/>
    <w:rsid w:val="006964FF"/>
    <w:rsid w:val="00696523"/>
    <w:rsid w:val="006965F9"/>
    <w:rsid w:val="00696616"/>
    <w:rsid w:val="00696709"/>
    <w:rsid w:val="0069675D"/>
    <w:rsid w:val="00696828"/>
    <w:rsid w:val="00696911"/>
    <w:rsid w:val="00696919"/>
    <w:rsid w:val="00696956"/>
    <w:rsid w:val="00696A39"/>
    <w:rsid w:val="00696BAF"/>
    <w:rsid w:val="00696BDA"/>
    <w:rsid w:val="00696E4A"/>
    <w:rsid w:val="00696EE3"/>
    <w:rsid w:val="006970E1"/>
    <w:rsid w:val="006972D0"/>
    <w:rsid w:val="00697482"/>
    <w:rsid w:val="006974AF"/>
    <w:rsid w:val="006974F1"/>
    <w:rsid w:val="006976C9"/>
    <w:rsid w:val="0069778D"/>
    <w:rsid w:val="0069779E"/>
    <w:rsid w:val="00697836"/>
    <w:rsid w:val="00697AB0"/>
    <w:rsid w:val="00697BD7"/>
    <w:rsid w:val="00697F9E"/>
    <w:rsid w:val="00697FD1"/>
    <w:rsid w:val="006A0089"/>
    <w:rsid w:val="006A01DA"/>
    <w:rsid w:val="006A0214"/>
    <w:rsid w:val="006A0231"/>
    <w:rsid w:val="006A0573"/>
    <w:rsid w:val="006A062E"/>
    <w:rsid w:val="006A0747"/>
    <w:rsid w:val="006A0793"/>
    <w:rsid w:val="006A07E9"/>
    <w:rsid w:val="006A088F"/>
    <w:rsid w:val="006A0990"/>
    <w:rsid w:val="006A0B49"/>
    <w:rsid w:val="006A0CD4"/>
    <w:rsid w:val="006A0CE0"/>
    <w:rsid w:val="006A0D3B"/>
    <w:rsid w:val="006A0D9D"/>
    <w:rsid w:val="006A0DFA"/>
    <w:rsid w:val="006A0F2B"/>
    <w:rsid w:val="006A1057"/>
    <w:rsid w:val="006A10C1"/>
    <w:rsid w:val="006A10E4"/>
    <w:rsid w:val="006A11DE"/>
    <w:rsid w:val="006A11E3"/>
    <w:rsid w:val="006A121E"/>
    <w:rsid w:val="006A1419"/>
    <w:rsid w:val="006A148A"/>
    <w:rsid w:val="006A14DC"/>
    <w:rsid w:val="006A1761"/>
    <w:rsid w:val="006A17A9"/>
    <w:rsid w:val="006A1AC1"/>
    <w:rsid w:val="006A1B31"/>
    <w:rsid w:val="006A1B84"/>
    <w:rsid w:val="006A1B8A"/>
    <w:rsid w:val="006A1BAC"/>
    <w:rsid w:val="006A1C09"/>
    <w:rsid w:val="006A1CA4"/>
    <w:rsid w:val="006A1CF2"/>
    <w:rsid w:val="006A1DE9"/>
    <w:rsid w:val="006A1E10"/>
    <w:rsid w:val="006A1F13"/>
    <w:rsid w:val="006A1F40"/>
    <w:rsid w:val="006A1F6E"/>
    <w:rsid w:val="006A1FDC"/>
    <w:rsid w:val="006A20B1"/>
    <w:rsid w:val="006A2102"/>
    <w:rsid w:val="006A210E"/>
    <w:rsid w:val="006A2150"/>
    <w:rsid w:val="006A219A"/>
    <w:rsid w:val="006A21E0"/>
    <w:rsid w:val="006A2208"/>
    <w:rsid w:val="006A22D1"/>
    <w:rsid w:val="006A230E"/>
    <w:rsid w:val="006A23CC"/>
    <w:rsid w:val="006A23E3"/>
    <w:rsid w:val="006A2571"/>
    <w:rsid w:val="006A2691"/>
    <w:rsid w:val="006A26C1"/>
    <w:rsid w:val="006A2739"/>
    <w:rsid w:val="006A2856"/>
    <w:rsid w:val="006A28C9"/>
    <w:rsid w:val="006A290C"/>
    <w:rsid w:val="006A291D"/>
    <w:rsid w:val="006A2961"/>
    <w:rsid w:val="006A29A5"/>
    <w:rsid w:val="006A29F9"/>
    <w:rsid w:val="006A2E70"/>
    <w:rsid w:val="006A2EFB"/>
    <w:rsid w:val="006A2F86"/>
    <w:rsid w:val="006A3003"/>
    <w:rsid w:val="006A301B"/>
    <w:rsid w:val="006A320A"/>
    <w:rsid w:val="006A3278"/>
    <w:rsid w:val="006A32C1"/>
    <w:rsid w:val="006A3330"/>
    <w:rsid w:val="006A33C9"/>
    <w:rsid w:val="006A3445"/>
    <w:rsid w:val="006A346B"/>
    <w:rsid w:val="006A36BB"/>
    <w:rsid w:val="006A386E"/>
    <w:rsid w:val="006A3989"/>
    <w:rsid w:val="006A3AF1"/>
    <w:rsid w:val="006A3C89"/>
    <w:rsid w:val="006A3CF7"/>
    <w:rsid w:val="006A3D47"/>
    <w:rsid w:val="006A3D8E"/>
    <w:rsid w:val="006A3EBD"/>
    <w:rsid w:val="006A3F57"/>
    <w:rsid w:val="006A4182"/>
    <w:rsid w:val="006A4360"/>
    <w:rsid w:val="006A436D"/>
    <w:rsid w:val="006A44F1"/>
    <w:rsid w:val="006A458F"/>
    <w:rsid w:val="006A462E"/>
    <w:rsid w:val="006A4715"/>
    <w:rsid w:val="006A47F4"/>
    <w:rsid w:val="006A4955"/>
    <w:rsid w:val="006A4964"/>
    <w:rsid w:val="006A49FD"/>
    <w:rsid w:val="006A4A38"/>
    <w:rsid w:val="006A4A40"/>
    <w:rsid w:val="006A4A95"/>
    <w:rsid w:val="006A4A9C"/>
    <w:rsid w:val="006A4BF1"/>
    <w:rsid w:val="006A4BF7"/>
    <w:rsid w:val="006A4C05"/>
    <w:rsid w:val="006A4F39"/>
    <w:rsid w:val="006A4F94"/>
    <w:rsid w:val="006A50AC"/>
    <w:rsid w:val="006A5239"/>
    <w:rsid w:val="006A535D"/>
    <w:rsid w:val="006A5378"/>
    <w:rsid w:val="006A5415"/>
    <w:rsid w:val="006A55B5"/>
    <w:rsid w:val="006A563C"/>
    <w:rsid w:val="006A5684"/>
    <w:rsid w:val="006A57FE"/>
    <w:rsid w:val="006A585E"/>
    <w:rsid w:val="006A587D"/>
    <w:rsid w:val="006A588B"/>
    <w:rsid w:val="006A58EC"/>
    <w:rsid w:val="006A597C"/>
    <w:rsid w:val="006A5B70"/>
    <w:rsid w:val="006A5D58"/>
    <w:rsid w:val="006A5EA2"/>
    <w:rsid w:val="006A5EBA"/>
    <w:rsid w:val="006A5EF5"/>
    <w:rsid w:val="006A5F2D"/>
    <w:rsid w:val="006A5F47"/>
    <w:rsid w:val="006A60DE"/>
    <w:rsid w:val="006A614F"/>
    <w:rsid w:val="006A648F"/>
    <w:rsid w:val="006A64A9"/>
    <w:rsid w:val="006A64B2"/>
    <w:rsid w:val="006A655F"/>
    <w:rsid w:val="006A6582"/>
    <w:rsid w:val="006A6734"/>
    <w:rsid w:val="006A682F"/>
    <w:rsid w:val="006A685B"/>
    <w:rsid w:val="006A6922"/>
    <w:rsid w:val="006A696D"/>
    <w:rsid w:val="006A6992"/>
    <w:rsid w:val="006A6A36"/>
    <w:rsid w:val="006A6A3F"/>
    <w:rsid w:val="006A6A9E"/>
    <w:rsid w:val="006A6B46"/>
    <w:rsid w:val="006A6C58"/>
    <w:rsid w:val="006A6D16"/>
    <w:rsid w:val="006A7018"/>
    <w:rsid w:val="006A71A3"/>
    <w:rsid w:val="006A7244"/>
    <w:rsid w:val="006A72D3"/>
    <w:rsid w:val="006A72F7"/>
    <w:rsid w:val="006A73C0"/>
    <w:rsid w:val="006A7456"/>
    <w:rsid w:val="006A74A9"/>
    <w:rsid w:val="006A7527"/>
    <w:rsid w:val="006A756F"/>
    <w:rsid w:val="006A7722"/>
    <w:rsid w:val="006A775E"/>
    <w:rsid w:val="006A77BD"/>
    <w:rsid w:val="006A77C6"/>
    <w:rsid w:val="006A77DC"/>
    <w:rsid w:val="006A7869"/>
    <w:rsid w:val="006A7919"/>
    <w:rsid w:val="006A7BD7"/>
    <w:rsid w:val="006A7BF5"/>
    <w:rsid w:val="006A7C22"/>
    <w:rsid w:val="006A7C98"/>
    <w:rsid w:val="006A7CC4"/>
    <w:rsid w:val="006A7D14"/>
    <w:rsid w:val="006A7D2A"/>
    <w:rsid w:val="006A7FA1"/>
    <w:rsid w:val="006B001F"/>
    <w:rsid w:val="006B0063"/>
    <w:rsid w:val="006B0085"/>
    <w:rsid w:val="006B00D6"/>
    <w:rsid w:val="006B0177"/>
    <w:rsid w:val="006B029C"/>
    <w:rsid w:val="006B0314"/>
    <w:rsid w:val="006B0486"/>
    <w:rsid w:val="006B0528"/>
    <w:rsid w:val="006B053C"/>
    <w:rsid w:val="006B0548"/>
    <w:rsid w:val="006B0662"/>
    <w:rsid w:val="006B06D9"/>
    <w:rsid w:val="006B073E"/>
    <w:rsid w:val="006B086B"/>
    <w:rsid w:val="006B099C"/>
    <w:rsid w:val="006B0A05"/>
    <w:rsid w:val="006B0A0B"/>
    <w:rsid w:val="006B0C54"/>
    <w:rsid w:val="006B0FE8"/>
    <w:rsid w:val="006B105F"/>
    <w:rsid w:val="006B1079"/>
    <w:rsid w:val="006B118C"/>
    <w:rsid w:val="006B11F8"/>
    <w:rsid w:val="006B1244"/>
    <w:rsid w:val="006B12B1"/>
    <w:rsid w:val="006B13B3"/>
    <w:rsid w:val="006B13CC"/>
    <w:rsid w:val="006B18B3"/>
    <w:rsid w:val="006B19E5"/>
    <w:rsid w:val="006B1A3C"/>
    <w:rsid w:val="006B1AA9"/>
    <w:rsid w:val="006B1BB8"/>
    <w:rsid w:val="006B1C34"/>
    <w:rsid w:val="006B1C46"/>
    <w:rsid w:val="006B1D15"/>
    <w:rsid w:val="006B1D7F"/>
    <w:rsid w:val="006B1DD4"/>
    <w:rsid w:val="006B1E31"/>
    <w:rsid w:val="006B1E45"/>
    <w:rsid w:val="006B1E5D"/>
    <w:rsid w:val="006B20C8"/>
    <w:rsid w:val="006B216E"/>
    <w:rsid w:val="006B2177"/>
    <w:rsid w:val="006B21D8"/>
    <w:rsid w:val="006B229B"/>
    <w:rsid w:val="006B22EB"/>
    <w:rsid w:val="006B2396"/>
    <w:rsid w:val="006B23F0"/>
    <w:rsid w:val="006B246C"/>
    <w:rsid w:val="006B24F8"/>
    <w:rsid w:val="006B2530"/>
    <w:rsid w:val="006B25AD"/>
    <w:rsid w:val="006B25C3"/>
    <w:rsid w:val="006B269D"/>
    <w:rsid w:val="006B26A3"/>
    <w:rsid w:val="006B26A9"/>
    <w:rsid w:val="006B26FE"/>
    <w:rsid w:val="006B277D"/>
    <w:rsid w:val="006B280B"/>
    <w:rsid w:val="006B28EB"/>
    <w:rsid w:val="006B28F9"/>
    <w:rsid w:val="006B290C"/>
    <w:rsid w:val="006B2A47"/>
    <w:rsid w:val="006B2AEC"/>
    <w:rsid w:val="006B2B2D"/>
    <w:rsid w:val="006B2B78"/>
    <w:rsid w:val="006B2B99"/>
    <w:rsid w:val="006B2BB9"/>
    <w:rsid w:val="006B2BEA"/>
    <w:rsid w:val="006B2CA0"/>
    <w:rsid w:val="006B2D03"/>
    <w:rsid w:val="006B2F97"/>
    <w:rsid w:val="006B2FAD"/>
    <w:rsid w:val="006B2FB2"/>
    <w:rsid w:val="006B31A3"/>
    <w:rsid w:val="006B33AE"/>
    <w:rsid w:val="006B3539"/>
    <w:rsid w:val="006B3746"/>
    <w:rsid w:val="006B3796"/>
    <w:rsid w:val="006B3855"/>
    <w:rsid w:val="006B3865"/>
    <w:rsid w:val="006B3962"/>
    <w:rsid w:val="006B3A42"/>
    <w:rsid w:val="006B3A53"/>
    <w:rsid w:val="006B3A72"/>
    <w:rsid w:val="006B3A82"/>
    <w:rsid w:val="006B3B5A"/>
    <w:rsid w:val="006B3B6B"/>
    <w:rsid w:val="006B3B6C"/>
    <w:rsid w:val="006B3FDA"/>
    <w:rsid w:val="006B40BB"/>
    <w:rsid w:val="006B40C8"/>
    <w:rsid w:val="006B40D5"/>
    <w:rsid w:val="006B40EB"/>
    <w:rsid w:val="006B41C3"/>
    <w:rsid w:val="006B41F0"/>
    <w:rsid w:val="006B42A9"/>
    <w:rsid w:val="006B42B4"/>
    <w:rsid w:val="006B42D0"/>
    <w:rsid w:val="006B43CA"/>
    <w:rsid w:val="006B44FA"/>
    <w:rsid w:val="006B46D4"/>
    <w:rsid w:val="006B478A"/>
    <w:rsid w:val="006B4926"/>
    <w:rsid w:val="006B49FF"/>
    <w:rsid w:val="006B4B05"/>
    <w:rsid w:val="006B4B59"/>
    <w:rsid w:val="006B4D32"/>
    <w:rsid w:val="006B4E52"/>
    <w:rsid w:val="006B4F89"/>
    <w:rsid w:val="006B5068"/>
    <w:rsid w:val="006B5168"/>
    <w:rsid w:val="006B51A4"/>
    <w:rsid w:val="006B523B"/>
    <w:rsid w:val="006B5303"/>
    <w:rsid w:val="006B5501"/>
    <w:rsid w:val="006B5714"/>
    <w:rsid w:val="006B581A"/>
    <w:rsid w:val="006B5889"/>
    <w:rsid w:val="006B5965"/>
    <w:rsid w:val="006B5A3D"/>
    <w:rsid w:val="006B5A7D"/>
    <w:rsid w:val="006B5B29"/>
    <w:rsid w:val="006B5B86"/>
    <w:rsid w:val="006B5BB8"/>
    <w:rsid w:val="006B5C82"/>
    <w:rsid w:val="006B5C91"/>
    <w:rsid w:val="006B5CD0"/>
    <w:rsid w:val="006B5E69"/>
    <w:rsid w:val="006B5EA5"/>
    <w:rsid w:val="006B5F12"/>
    <w:rsid w:val="006B5F65"/>
    <w:rsid w:val="006B62AD"/>
    <w:rsid w:val="006B634B"/>
    <w:rsid w:val="006B634C"/>
    <w:rsid w:val="006B64EF"/>
    <w:rsid w:val="006B65B1"/>
    <w:rsid w:val="006B6651"/>
    <w:rsid w:val="006B6698"/>
    <w:rsid w:val="006B66C7"/>
    <w:rsid w:val="006B66E6"/>
    <w:rsid w:val="006B6716"/>
    <w:rsid w:val="006B69B9"/>
    <w:rsid w:val="006B6A06"/>
    <w:rsid w:val="006B6A10"/>
    <w:rsid w:val="006B6A1C"/>
    <w:rsid w:val="006B6AFF"/>
    <w:rsid w:val="006B6B5E"/>
    <w:rsid w:val="006B6B9F"/>
    <w:rsid w:val="006B6CE2"/>
    <w:rsid w:val="006B6D35"/>
    <w:rsid w:val="006B6E56"/>
    <w:rsid w:val="006B6EF2"/>
    <w:rsid w:val="006B7013"/>
    <w:rsid w:val="006B7080"/>
    <w:rsid w:val="006B70AF"/>
    <w:rsid w:val="006B70C6"/>
    <w:rsid w:val="006B711F"/>
    <w:rsid w:val="006B749C"/>
    <w:rsid w:val="006B757A"/>
    <w:rsid w:val="006B75AE"/>
    <w:rsid w:val="006B7640"/>
    <w:rsid w:val="006B7653"/>
    <w:rsid w:val="006B765D"/>
    <w:rsid w:val="006B781C"/>
    <w:rsid w:val="006B79FC"/>
    <w:rsid w:val="006B7A44"/>
    <w:rsid w:val="006B7A9C"/>
    <w:rsid w:val="006B7C4F"/>
    <w:rsid w:val="006B7C64"/>
    <w:rsid w:val="006B7FEC"/>
    <w:rsid w:val="006C025A"/>
    <w:rsid w:val="006C0507"/>
    <w:rsid w:val="006C0512"/>
    <w:rsid w:val="006C055E"/>
    <w:rsid w:val="006C0676"/>
    <w:rsid w:val="006C06AA"/>
    <w:rsid w:val="006C077B"/>
    <w:rsid w:val="006C077E"/>
    <w:rsid w:val="006C0859"/>
    <w:rsid w:val="006C086E"/>
    <w:rsid w:val="006C08A3"/>
    <w:rsid w:val="006C0A92"/>
    <w:rsid w:val="006C0CB3"/>
    <w:rsid w:val="006C0CEB"/>
    <w:rsid w:val="006C0D02"/>
    <w:rsid w:val="006C0DBA"/>
    <w:rsid w:val="006C0DFF"/>
    <w:rsid w:val="006C0F00"/>
    <w:rsid w:val="006C0FA4"/>
    <w:rsid w:val="006C0FE0"/>
    <w:rsid w:val="006C1119"/>
    <w:rsid w:val="006C1280"/>
    <w:rsid w:val="006C131C"/>
    <w:rsid w:val="006C1365"/>
    <w:rsid w:val="006C147B"/>
    <w:rsid w:val="006C157C"/>
    <w:rsid w:val="006C1657"/>
    <w:rsid w:val="006C1740"/>
    <w:rsid w:val="006C1767"/>
    <w:rsid w:val="006C17D0"/>
    <w:rsid w:val="006C1A0E"/>
    <w:rsid w:val="006C1A91"/>
    <w:rsid w:val="006C1ADD"/>
    <w:rsid w:val="006C1D4F"/>
    <w:rsid w:val="006C1D6F"/>
    <w:rsid w:val="006C1E5D"/>
    <w:rsid w:val="006C1FB5"/>
    <w:rsid w:val="006C1FEA"/>
    <w:rsid w:val="006C2095"/>
    <w:rsid w:val="006C2149"/>
    <w:rsid w:val="006C2210"/>
    <w:rsid w:val="006C2343"/>
    <w:rsid w:val="006C24AA"/>
    <w:rsid w:val="006C24B0"/>
    <w:rsid w:val="006C2640"/>
    <w:rsid w:val="006C289A"/>
    <w:rsid w:val="006C28A3"/>
    <w:rsid w:val="006C2A07"/>
    <w:rsid w:val="006C2A41"/>
    <w:rsid w:val="006C2A9F"/>
    <w:rsid w:val="006C2AB0"/>
    <w:rsid w:val="006C2ADE"/>
    <w:rsid w:val="006C2D36"/>
    <w:rsid w:val="006C2D5D"/>
    <w:rsid w:val="006C323D"/>
    <w:rsid w:val="006C33CC"/>
    <w:rsid w:val="006C353F"/>
    <w:rsid w:val="006C359B"/>
    <w:rsid w:val="006C3766"/>
    <w:rsid w:val="006C376F"/>
    <w:rsid w:val="006C3801"/>
    <w:rsid w:val="006C3851"/>
    <w:rsid w:val="006C3885"/>
    <w:rsid w:val="006C395D"/>
    <w:rsid w:val="006C3991"/>
    <w:rsid w:val="006C3B1A"/>
    <w:rsid w:val="006C3DE9"/>
    <w:rsid w:val="006C3E1C"/>
    <w:rsid w:val="006C3E1F"/>
    <w:rsid w:val="006C3E32"/>
    <w:rsid w:val="006C3F3D"/>
    <w:rsid w:val="006C406B"/>
    <w:rsid w:val="006C4094"/>
    <w:rsid w:val="006C409C"/>
    <w:rsid w:val="006C4159"/>
    <w:rsid w:val="006C41C9"/>
    <w:rsid w:val="006C4272"/>
    <w:rsid w:val="006C42AE"/>
    <w:rsid w:val="006C42D0"/>
    <w:rsid w:val="006C42E5"/>
    <w:rsid w:val="006C4359"/>
    <w:rsid w:val="006C4478"/>
    <w:rsid w:val="006C4507"/>
    <w:rsid w:val="006C47CF"/>
    <w:rsid w:val="006C4847"/>
    <w:rsid w:val="006C4870"/>
    <w:rsid w:val="006C49AD"/>
    <w:rsid w:val="006C49EB"/>
    <w:rsid w:val="006C49FA"/>
    <w:rsid w:val="006C4A59"/>
    <w:rsid w:val="006C4A90"/>
    <w:rsid w:val="006C4AAE"/>
    <w:rsid w:val="006C4B1E"/>
    <w:rsid w:val="006C4BB4"/>
    <w:rsid w:val="006C4C4A"/>
    <w:rsid w:val="006C4C70"/>
    <w:rsid w:val="006C4CE2"/>
    <w:rsid w:val="006C4D75"/>
    <w:rsid w:val="006C4DDD"/>
    <w:rsid w:val="006C4E36"/>
    <w:rsid w:val="006C4EB7"/>
    <w:rsid w:val="006C4ED5"/>
    <w:rsid w:val="006C4F71"/>
    <w:rsid w:val="006C503B"/>
    <w:rsid w:val="006C5053"/>
    <w:rsid w:val="006C5067"/>
    <w:rsid w:val="006C50EF"/>
    <w:rsid w:val="006C53DD"/>
    <w:rsid w:val="006C53DE"/>
    <w:rsid w:val="006C540A"/>
    <w:rsid w:val="006C5525"/>
    <w:rsid w:val="006C5555"/>
    <w:rsid w:val="006C572F"/>
    <w:rsid w:val="006C575B"/>
    <w:rsid w:val="006C5844"/>
    <w:rsid w:val="006C5867"/>
    <w:rsid w:val="006C58B6"/>
    <w:rsid w:val="006C59C4"/>
    <w:rsid w:val="006C5A42"/>
    <w:rsid w:val="006C5A4D"/>
    <w:rsid w:val="006C5AE4"/>
    <w:rsid w:val="006C5D1E"/>
    <w:rsid w:val="006C5E8E"/>
    <w:rsid w:val="006C5F73"/>
    <w:rsid w:val="006C5FF1"/>
    <w:rsid w:val="006C6059"/>
    <w:rsid w:val="006C6066"/>
    <w:rsid w:val="006C611A"/>
    <w:rsid w:val="006C62D6"/>
    <w:rsid w:val="006C6301"/>
    <w:rsid w:val="006C63DD"/>
    <w:rsid w:val="006C65E3"/>
    <w:rsid w:val="006C6866"/>
    <w:rsid w:val="006C6A1A"/>
    <w:rsid w:val="006C6B03"/>
    <w:rsid w:val="006C6BBD"/>
    <w:rsid w:val="006C6CF2"/>
    <w:rsid w:val="006C6D4A"/>
    <w:rsid w:val="006C6E88"/>
    <w:rsid w:val="006C6E9E"/>
    <w:rsid w:val="006C7168"/>
    <w:rsid w:val="006C71BA"/>
    <w:rsid w:val="006C7200"/>
    <w:rsid w:val="006C72F5"/>
    <w:rsid w:val="006C7396"/>
    <w:rsid w:val="006C73E6"/>
    <w:rsid w:val="006C74CB"/>
    <w:rsid w:val="006C7920"/>
    <w:rsid w:val="006C7A0E"/>
    <w:rsid w:val="006C7AD0"/>
    <w:rsid w:val="006C7C78"/>
    <w:rsid w:val="006C7D6B"/>
    <w:rsid w:val="006C7D74"/>
    <w:rsid w:val="006C7E59"/>
    <w:rsid w:val="006C7FB0"/>
    <w:rsid w:val="006C7FDE"/>
    <w:rsid w:val="006D0089"/>
    <w:rsid w:val="006D0106"/>
    <w:rsid w:val="006D01C0"/>
    <w:rsid w:val="006D0391"/>
    <w:rsid w:val="006D03FD"/>
    <w:rsid w:val="006D05B9"/>
    <w:rsid w:val="006D05FA"/>
    <w:rsid w:val="006D0970"/>
    <w:rsid w:val="006D0A00"/>
    <w:rsid w:val="006D0B99"/>
    <w:rsid w:val="006D0BB6"/>
    <w:rsid w:val="006D0C02"/>
    <w:rsid w:val="006D0C27"/>
    <w:rsid w:val="006D0D0C"/>
    <w:rsid w:val="006D0DAC"/>
    <w:rsid w:val="006D0DF3"/>
    <w:rsid w:val="006D0E12"/>
    <w:rsid w:val="006D0E8A"/>
    <w:rsid w:val="006D10A7"/>
    <w:rsid w:val="006D1218"/>
    <w:rsid w:val="006D1283"/>
    <w:rsid w:val="006D133C"/>
    <w:rsid w:val="006D146C"/>
    <w:rsid w:val="006D14ED"/>
    <w:rsid w:val="006D1583"/>
    <w:rsid w:val="006D170F"/>
    <w:rsid w:val="006D1814"/>
    <w:rsid w:val="006D1935"/>
    <w:rsid w:val="006D1A67"/>
    <w:rsid w:val="006D1BF3"/>
    <w:rsid w:val="006D1CAF"/>
    <w:rsid w:val="006D1CE6"/>
    <w:rsid w:val="006D20A0"/>
    <w:rsid w:val="006D20E8"/>
    <w:rsid w:val="006D211B"/>
    <w:rsid w:val="006D231B"/>
    <w:rsid w:val="006D236D"/>
    <w:rsid w:val="006D23F5"/>
    <w:rsid w:val="006D25A3"/>
    <w:rsid w:val="006D2619"/>
    <w:rsid w:val="006D2642"/>
    <w:rsid w:val="006D265E"/>
    <w:rsid w:val="006D2684"/>
    <w:rsid w:val="006D2720"/>
    <w:rsid w:val="006D275E"/>
    <w:rsid w:val="006D2766"/>
    <w:rsid w:val="006D281C"/>
    <w:rsid w:val="006D284D"/>
    <w:rsid w:val="006D28CC"/>
    <w:rsid w:val="006D2914"/>
    <w:rsid w:val="006D2AAA"/>
    <w:rsid w:val="006D2B82"/>
    <w:rsid w:val="006D2D35"/>
    <w:rsid w:val="006D3042"/>
    <w:rsid w:val="006D32CE"/>
    <w:rsid w:val="006D338E"/>
    <w:rsid w:val="006D3413"/>
    <w:rsid w:val="006D34F5"/>
    <w:rsid w:val="006D35C3"/>
    <w:rsid w:val="006D36C4"/>
    <w:rsid w:val="006D3744"/>
    <w:rsid w:val="006D3955"/>
    <w:rsid w:val="006D3B2D"/>
    <w:rsid w:val="006D3B40"/>
    <w:rsid w:val="006D3B7B"/>
    <w:rsid w:val="006D3B99"/>
    <w:rsid w:val="006D3BE9"/>
    <w:rsid w:val="006D3C76"/>
    <w:rsid w:val="006D3D5E"/>
    <w:rsid w:val="006D3E8A"/>
    <w:rsid w:val="006D3EC0"/>
    <w:rsid w:val="006D3F46"/>
    <w:rsid w:val="006D4103"/>
    <w:rsid w:val="006D413E"/>
    <w:rsid w:val="006D415E"/>
    <w:rsid w:val="006D418A"/>
    <w:rsid w:val="006D420C"/>
    <w:rsid w:val="006D4263"/>
    <w:rsid w:val="006D429B"/>
    <w:rsid w:val="006D430E"/>
    <w:rsid w:val="006D43E4"/>
    <w:rsid w:val="006D4528"/>
    <w:rsid w:val="006D4703"/>
    <w:rsid w:val="006D475F"/>
    <w:rsid w:val="006D4943"/>
    <w:rsid w:val="006D4AB2"/>
    <w:rsid w:val="006D4C39"/>
    <w:rsid w:val="006D4C7E"/>
    <w:rsid w:val="006D4C86"/>
    <w:rsid w:val="006D4CFC"/>
    <w:rsid w:val="006D4E9E"/>
    <w:rsid w:val="006D506E"/>
    <w:rsid w:val="006D507C"/>
    <w:rsid w:val="006D50C7"/>
    <w:rsid w:val="006D5127"/>
    <w:rsid w:val="006D5283"/>
    <w:rsid w:val="006D534B"/>
    <w:rsid w:val="006D53C1"/>
    <w:rsid w:val="006D549E"/>
    <w:rsid w:val="006D55D8"/>
    <w:rsid w:val="006D581B"/>
    <w:rsid w:val="006D5916"/>
    <w:rsid w:val="006D59F9"/>
    <w:rsid w:val="006D5A1D"/>
    <w:rsid w:val="006D5D80"/>
    <w:rsid w:val="006D5EE5"/>
    <w:rsid w:val="006D607A"/>
    <w:rsid w:val="006D60F2"/>
    <w:rsid w:val="006D61F5"/>
    <w:rsid w:val="006D62E7"/>
    <w:rsid w:val="006D63A7"/>
    <w:rsid w:val="006D6429"/>
    <w:rsid w:val="006D6467"/>
    <w:rsid w:val="006D64DC"/>
    <w:rsid w:val="006D64EC"/>
    <w:rsid w:val="006D6503"/>
    <w:rsid w:val="006D6601"/>
    <w:rsid w:val="006D6947"/>
    <w:rsid w:val="006D698A"/>
    <w:rsid w:val="006D699E"/>
    <w:rsid w:val="006D6A11"/>
    <w:rsid w:val="006D6A6F"/>
    <w:rsid w:val="006D6B6B"/>
    <w:rsid w:val="006D6C9C"/>
    <w:rsid w:val="006D6CF6"/>
    <w:rsid w:val="006D6D59"/>
    <w:rsid w:val="006D6E2F"/>
    <w:rsid w:val="006D6EE2"/>
    <w:rsid w:val="006D6F59"/>
    <w:rsid w:val="006D6FE4"/>
    <w:rsid w:val="006D6FE9"/>
    <w:rsid w:val="006D6FF9"/>
    <w:rsid w:val="006D7053"/>
    <w:rsid w:val="006D709A"/>
    <w:rsid w:val="006D70B2"/>
    <w:rsid w:val="006D70EF"/>
    <w:rsid w:val="006D71C9"/>
    <w:rsid w:val="006D71FB"/>
    <w:rsid w:val="006D7235"/>
    <w:rsid w:val="006D723B"/>
    <w:rsid w:val="006D72AB"/>
    <w:rsid w:val="006D72E1"/>
    <w:rsid w:val="006D72FC"/>
    <w:rsid w:val="006D7447"/>
    <w:rsid w:val="006D75CC"/>
    <w:rsid w:val="006D75F4"/>
    <w:rsid w:val="006D7703"/>
    <w:rsid w:val="006D7783"/>
    <w:rsid w:val="006D78DC"/>
    <w:rsid w:val="006D79DB"/>
    <w:rsid w:val="006D7A62"/>
    <w:rsid w:val="006D7A7B"/>
    <w:rsid w:val="006D7A98"/>
    <w:rsid w:val="006D7BC1"/>
    <w:rsid w:val="006D7DA9"/>
    <w:rsid w:val="006D7F00"/>
    <w:rsid w:val="006E0048"/>
    <w:rsid w:val="006E015D"/>
    <w:rsid w:val="006E01D6"/>
    <w:rsid w:val="006E0346"/>
    <w:rsid w:val="006E0669"/>
    <w:rsid w:val="006E06A1"/>
    <w:rsid w:val="006E06DA"/>
    <w:rsid w:val="006E0749"/>
    <w:rsid w:val="006E0795"/>
    <w:rsid w:val="006E07B3"/>
    <w:rsid w:val="006E0826"/>
    <w:rsid w:val="006E08D8"/>
    <w:rsid w:val="006E08F9"/>
    <w:rsid w:val="006E0990"/>
    <w:rsid w:val="006E0A63"/>
    <w:rsid w:val="006E0ACE"/>
    <w:rsid w:val="006E0B37"/>
    <w:rsid w:val="006E0B7C"/>
    <w:rsid w:val="006E0C0A"/>
    <w:rsid w:val="006E0CC6"/>
    <w:rsid w:val="006E0D12"/>
    <w:rsid w:val="006E101C"/>
    <w:rsid w:val="006E10EC"/>
    <w:rsid w:val="006E110E"/>
    <w:rsid w:val="006E11D9"/>
    <w:rsid w:val="006E11FD"/>
    <w:rsid w:val="006E1219"/>
    <w:rsid w:val="006E1251"/>
    <w:rsid w:val="006E143C"/>
    <w:rsid w:val="006E1492"/>
    <w:rsid w:val="006E1565"/>
    <w:rsid w:val="006E1665"/>
    <w:rsid w:val="006E17A2"/>
    <w:rsid w:val="006E17CC"/>
    <w:rsid w:val="006E18C5"/>
    <w:rsid w:val="006E1A57"/>
    <w:rsid w:val="006E1B51"/>
    <w:rsid w:val="006E1B53"/>
    <w:rsid w:val="006E1BB5"/>
    <w:rsid w:val="006E1C1A"/>
    <w:rsid w:val="006E1C96"/>
    <w:rsid w:val="006E1FCB"/>
    <w:rsid w:val="006E212F"/>
    <w:rsid w:val="006E225A"/>
    <w:rsid w:val="006E2314"/>
    <w:rsid w:val="006E242C"/>
    <w:rsid w:val="006E2448"/>
    <w:rsid w:val="006E2521"/>
    <w:rsid w:val="006E2615"/>
    <w:rsid w:val="006E2616"/>
    <w:rsid w:val="006E2624"/>
    <w:rsid w:val="006E2650"/>
    <w:rsid w:val="006E26A5"/>
    <w:rsid w:val="006E2776"/>
    <w:rsid w:val="006E2798"/>
    <w:rsid w:val="006E27C5"/>
    <w:rsid w:val="006E2891"/>
    <w:rsid w:val="006E291F"/>
    <w:rsid w:val="006E2935"/>
    <w:rsid w:val="006E2AC4"/>
    <w:rsid w:val="006E2CB6"/>
    <w:rsid w:val="006E2CBF"/>
    <w:rsid w:val="006E2DE1"/>
    <w:rsid w:val="006E2FB7"/>
    <w:rsid w:val="006E3022"/>
    <w:rsid w:val="006E303D"/>
    <w:rsid w:val="006E309A"/>
    <w:rsid w:val="006E3126"/>
    <w:rsid w:val="006E324B"/>
    <w:rsid w:val="006E32D3"/>
    <w:rsid w:val="006E331C"/>
    <w:rsid w:val="006E33F8"/>
    <w:rsid w:val="006E3651"/>
    <w:rsid w:val="006E36B5"/>
    <w:rsid w:val="006E36EF"/>
    <w:rsid w:val="006E36F9"/>
    <w:rsid w:val="006E372B"/>
    <w:rsid w:val="006E3766"/>
    <w:rsid w:val="006E37B7"/>
    <w:rsid w:val="006E38B8"/>
    <w:rsid w:val="006E38CA"/>
    <w:rsid w:val="006E38DE"/>
    <w:rsid w:val="006E393A"/>
    <w:rsid w:val="006E3974"/>
    <w:rsid w:val="006E3BE2"/>
    <w:rsid w:val="006E3C71"/>
    <w:rsid w:val="006E3E82"/>
    <w:rsid w:val="006E3F39"/>
    <w:rsid w:val="006E3F6E"/>
    <w:rsid w:val="006E3FD5"/>
    <w:rsid w:val="006E404B"/>
    <w:rsid w:val="006E406E"/>
    <w:rsid w:val="006E41C2"/>
    <w:rsid w:val="006E425B"/>
    <w:rsid w:val="006E4344"/>
    <w:rsid w:val="006E4449"/>
    <w:rsid w:val="006E444F"/>
    <w:rsid w:val="006E453B"/>
    <w:rsid w:val="006E4770"/>
    <w:rsid w:val="006E4819"/>
    <w:rsid w:val="006E4886"/>
    <w:rsid w:val="006E48A4"/>
    <w:rsid w:val="006E4908"/>
    <w:rsid w:val="006E4947"/>
    <w:rsid w:val="006E49B7"/>
    <w:rsid w:val="006E49F7"/>
    <w:rsid w:val="006E4ABF"/>
    <w:rsid w:val="006E4B50"/>
    <w:rsid w:val="006E4B9E"/>
    <w:rsid w:val="006E4BB8"/>
    <w:rsid w:val="006E4BF7"/>
    <w:rsid w:val="006E4CBF"/>
    <w:rsid w:val="006E4D28"/>
    <w:rsid w:val="006E4D98"/>
    <w:rsid w:val="006E4DEE"/>
    <w:rsid w:val="006E4E02"/>
    <w:rsid w:val="006E4EC2"/>
    <w:rsid w:val="006E50DD"/>
    <w:rsid w:val="006E5270"/>
    <w:rsid w:val="006E531C"/>
    <w:rsid w:val="006E537C"/>
    <w:rsid w:val="006E5589"/>
    <w:rsid w:val="006E5600"/>
    <w:rsid w:val="006E5723"/>
    <w:rsid w:val="006E584B"/>
    <w:rsid w:val="006E5887"/>
    <w:rsid w:val="006E58A1"/>
    <w:rsid w:val="006E5937"/>
    <w:rsid w:val="006E5B61"/>
    <w:rsid w:val="006E5BD3"/>
    <w:rsid w:val="006E5C14"/>
    <w:rsid w:val="006E5EEC"/>
    <w:rsid w:val="006E607B"/>
    <w:rsid w:val="006E60B2"/>
    <w:rsid w:val="006E60E4"/>
    <w:rsid w:val="006E60F8"/>
    <w:rsid w:val="006E620D"/>
    <w:rsid w:val="006E6219"/>
    <w:rsid w:val="006E6285"/>
    <w:rsid w:val="006E6286"/>
    <w:rsid w:val="006E62F7"/>
    <w:rsid w:val="006E664F"/>
    <w:rsid w:val="006E670D"/>
    <w:rsid w:val="006E69A5"/>
    <w:rsid w:val="006E6BB1"/>
    <w:rsid w:val="006E6E2A"/>
    <w:rsid w:val="006E6EC6"/>
    <w:rsid w:val="006E6F1B"/>
    <w:rsid w:val="006E6F74"/>
    <w:rsid w:val="006E7022"/>
    <w:rsid w:val="006E7047"/>
    <w:rsid w:val="006E714E"/>
    <w:rsid w:val="006E728C"/>
    <w:rsid w:val="006E7305"/>
    <w:rsid w:val="006E7497"/>
    <w:rsid w:val="006E7522"/>
    <w:rsid w:val="006E7542"/>
    <w:rsid w:val="006E7836"/>
    <w:rsid w:val="006E7926"/>
    <w:rsid w:val="006E7941"/>
    <w:rsid w:val="006E7967"/>
    <w:rsid w:val="006E79F1"/>
    <w:rsid w:val="006E7B1C"/>
    <w:rsid w:val="006E7BA0"/>
    <w:rsid w:val="006E7CD5"/>
    <w:rsid w:val="006E7D2D"/>
    <w:rsid w:val="006E7EBE"/>
    <w:rsid w:val="006E7F2D"/>
    <w:rsid w:val="006E7F46"/>
    <w:rsid w:val="006E7FDE"/>
    <w:rsid w:val="006F01F3"/>
    <w:rsid w:val="006F0292"/>
    <w:rsid w:val="006F040E"/>
    <w:rsid w:val="006F0589"/>
    <w:rsid w:val="006F06D3"/>
    <w:rsid w:val="006F0790"/>
    <w:rsid w:val="006F0793"/>
    <w:rsid w:val="006F0820"/>
    <w:rsid w:val="006F08AC"/>
    <w:rsid w:val="006F0916"/>
    <w:rsid w:val="006F09F9"/>
    <w:rsid w:val="006F0D5B"/>
    <w:rsid w:val="006F0E61"/>
    <w:rsid w:val="006F0F04"/>
    <w:rsid w:val="006F0F54"/>
    <w:rsid w:val="006F1027"/>
    <w:rsid w:val="006F1112"/>
    <w:rsid w:val="006F1134"/>
    <w:rsid w:val="006F1243"/>
    <w:rsid w:val="006F12DB"/>
    <w:rsid w:val="006F1306"/>
    <w:rsid w:val="006F1392"/>
    <w:rsid w:val="006F13DE"/>
    <w:rsid w:val="006F14DD"/>
    <w:rsid w:val="006F1547"/>
    <w:rsid w:val="006F1638"/>
    <w:rsid w:val="006F16BA"/>
    <w:rsid w:val="006F1729"/>
    <w:rsid w:val="006F1796"/>
    <w:rsid w:val="006F1810"/>
    <w:rsid w:val="006F1863"/>
    <w:rsid w:val="006F18F8"/>
    <w:rsid w:val="006F19DC"/>
    <w:rsid w:val="006F1A36"/>
    <w:rsid w:val="006F1A57"/>
    <w:rsid w:val="006F1B60"/>
    <w:rsid w:val="006F1CA4"/>
    <w:rsid w:val="006F1CC8"/>
    <w:rsid w:val="006F1CF6"/>
    <w:rsid w:val="006F1D1E"/>
    <w:rsid w:val="006F1EE8"/>
    <w:rsid w:val="006F1EF4"/>
    <w:rsid w:val="006F2045"/>
    <w:rsid w:val="006F2266"/>
    <w:rsid w:val="006F22AF"/>
    <w:rsid w:val="006F2342"/>
    <w:rsid w:val="006F249E"/>
    <w:rsid w:val="006F24F4"/>
    <w:rsid w:val="006F2666"/>
    <w:rsid w:val="006F2790"/>
    <w:rsid w:val="006F2798"/>
    <w:rsid w:val="006F2AE5"/>
    <w:rsid w:val="006F2C4D"/>
    <w:rsid w:val="006F2D6B"/>
    <w:rsid w:val="006F2EF8"/>
    <w:rsid w:val="006F2F28"/>
    <w:rsid w:val="006F30EC"/>
    <w:rsid w:val="006F3109"/>
    <w:rsid w:val="006F31F1"/>
    <w:rsid w:val="006F31F2"/>
    <w:rsid w:val="006F3262"/>
    <w:rsid w:val="006F3263"/>
    <w:rsid w:val="006F334A"/>
    <w:rsid w:val="006F334D"/>
    <w:rsid w:val="006F345B"/>
    <w:rsid w:val="006F34A6"/>
    <w:rsid w:val="006F3584"/>
    <w:rsid w:val="006F3593"/>
    <w:rsid w:val="006F3618"/>
    <w:rsid w:val="006F36A4"/>
    <w:rsid w:val="006F36D9"/>
    <w:rsid w:val="006F376C"/>
    <w:rsid w:val="006F38AA"/>
    <w:rsid w:val="006F38EA"/>
    <w:rsid w:val="006F3988"/>
    <w:rsid w:val="006F39D6"/>
    <w:rsid w:val="006F3A61"/>
    <w:rsid w:val="006F3A64"/>
    <w:rsid w:val="006F3AE4"/>
    <w:rsid w:val="006F3B16"/>
    <w:rsid w:val="006F3B25"/>
    <w:rsid w:val="006F3C26"/>
    <w:rsid w:val="006F3D11"/>
    <w:rsid w:val="006F3D4C"/>
    <w:rsid w:val="006F3F1D"/>
    <w:rsid w:val="006F3F6A"/>
    <w:rsid w:val="006F4152"/>
    <w:rsid w:val="006F4174"/>
    <w:rsid w:val="006F41FF"/>
    <w:rsid w:val="006F42E5"/>
    <w:rsid w:val="006F4382"/>
    <w:rsid w:val="006F44E9"/>
    <w:rsid w:val="006F457E"/>
    <w:rsid w:val="006F45C5"/>
    <w:rsid w:val="006F4992"/>
    <w:rsid w:val="006F4A3C"/>
    <w:rsid w:val="006F4B34"/>
    <w:rsid w:val="006F4C1B"/>
    <w:rsid w:val="006F4D4F"/>
    <w:rsid w:val="006F4E8A"/>
    <w:rsid w:val="006F4EF2"/>
    <w:rsid w:val="006F4F63"/>
    <w:rsid w:val="006F502C"/>
    <w:rsid w:val="006F503C"/>
    <w:rsid w:val="006F53A9"/>
    <w:rsid w:val="006F540E"/>
    <w:rsid w:val="006F55F0"/>
    <w:rsid w:val="006F55F1"/>
    <w:rsid w:val="006F562A"/>
    <w:rsid w:val="006F5678"/>
    <w:rsid w:val="006F576F"/>
    <w:rsid w:val="006F58A0"/>
    <w:rsid w:val="006F5983"/>
    <w:rsid w:val="006F5BB0"/>
    <w:rsid w:val="006F5C7F"/>
    <w:rsid w:val="006F5E45"/>
    <w:rsid w:val="006F5F3A"/>
    <w:rsid w:val="006F5F3C"/>
    <w:rsid w:val="006F5FA2"/>
    <w:rsid w:val="006F6239"/>
    <w:rsid w:val="006F6268"/>
    <w:rsid w:val="006F6524"/>
    <w:rsid w:val="006F6578"/>
    <w:rsid w:val="006F65F0"/>
    <w:rsid w:val="006F65F7"/>
    <w:rsid w:val="006F6757"/>
    <w:rsid w:val="006F67A5"/>
    <w:rsid w:val="006F6803"/>
    <w:rsid w:val="006F6805"/>
    <w:rsid w:val="006F687E"/>
    <w:rsid w:val="006F6C4B"/>
    <w:rsid w:val="006F6C9A"/>
    <w:rsid w:val="006F6DA0"/>
    <w:rsid w:val="006F6DA3"/>
    <w:rsid w:val="006F6E19"/>
    <w:rsid w:val="006F6E9F"/>
    <w:rsid w:val="006F6EC2"/>
    <w:rsid w:val="006F6F17"/>
    <w:rsid w:val="006F6F1D"/>
    <w:rsid w:val="006F6F7F"/>
    <w:rsid w:val="006F6F8F"/>
    <w:rsid w:val="006F6FA1"/>
    <w:rsid w:val="006F702C"/>
    <w:rsid w:val="006F7038"/>
    <w:rsid w:val="006F706E"/>
    <w:rsid w:val="006F70AE"/>
    <w:rsid w:val="006F70CF"/>
    <w:rsid w:val="006F715A"/>
    <w:rsid w:val="006F73C5"/>
    <w:rsid w:val="006F7479"/>
    <w:rsid w:val="006F748E"/>
    <w:rsid w:val="006F7563"/>
    <w:rsid w:val="006F7650"/>
    <w:rsid w:val="006F7652"/>
    <w:rsid w:val="006F7673"/>
    <w:rsid w:val="006F76B0"/>
    <w:rsid w:val="006F76FF"/>
    <w:rsid w:val="006F7703"/>
    <w:rsid w:val="006F7791"/>
    <w:rsid w:val="006F7961"/>
    <w:rsid w:val="006F7A3C"/>
    <w:rsid w:val="006F7B0A"/>
    <w:rsid w:val="006F7B1F"/>
    <w:rsid w:val="006F7BC6"/>
    <w:rsid w:val="006F7C88"/>
    <w:rsid w:val="006F7D66"/>
    <w:rsid w:val="006F7DEC"/>
    <w:rsid w:val="006F7E34"/>
    <w:rsid w:val="006F7EE9"/>
    <w:rsid w:val="006F7F75"/>
    <w:rsid w:val="00700038"/>
    <w:rsid w:val="0070005E"/>
    <w:rsid w:val="007000CE"/>
    <w:rsid w:val="00700124"/>
    <w:rsid w:val="007001E3"/>
    <w:rsid w:val="007001EC"/>
    <w:rsid w:val="007003D2"/>
    <w:rsid w:val="00700575"/>
    <w:rsid w:val="00700592"/>
    <w:rsid w:val="00700668"/>
    <w:rsid w:val="007006D7"/>
    <w:rsid w:val="007007EF"/>
    <w:rsid w:val="00700892"/>
    <w:rsid w:val="00700954"/>
    <w:rsid w:val="0070095A"/>
    <w:rsid w:val="007009BE"/>
    <w:rsid w:val="00700B21"/>
    <w:rsid w:val="00700B51"/>
    <w:rsid w:val="00700B6A"/>
    <w:rsid w:val="00700C4A"/>
    <w:rsid w:val="00700D0F"/>
    <w:rsid w:val="00700D1D"/>
    <w:rsid w:val="00700DA0"/>
    <w:rsid w:val="00701091"/>
    <w:rsid w:val="007010B6"/>
    <w:rsid w:val="007010D9"/>
    <w:rsid w:val="00701231"/>
    <w:rsid w:val="00701309"/>
    <w:rsid w:val="00701489"/>
    <w:rsid w:val="007014EC"/>
    <w:rsid w:val="00701525"/>
    <w:rsid w:val="00701572"/>
    <w:rsid w:val="00701609"/>
    <w:rsid w:val="007017ED"/>
    <w:rsid w:val="0070188A"/>
    <w:rsid w:val="0070199A"/>
    <w:rsid w:val="00701A66"/>
    <w:rsid w:val="00701A6F"/>
    <w:rsid w:val="00701AA4"/>
    <w:rsid w:val="00701ADC"/>
    <w:rsid w:val="00701BE6"/>
    <w:rsid w:val="00701C1A"/>
    <w:rsid w:val="00701C1C"/>
    <w:rsid w:val="00701C28"/>
    <w:rsid w:val="00701D7D"/>
    <w:rsid w:val="00701E7D"/>
    <w:rsid w:val="00701EA1"/>
    <w:rsid w:val="00701EC4"/>
    <w:rsid w:val="007020A6"/>
    <w:rsid w:val="00702304"/>
    <w:rsid w:val="0070231E"/>
    <w:rsid w:val="0070234E"/>
    <w:rsid w:val="007025B9"/>
    <w:rsid w:val="00702659"/>
    <w:rsid w:val="0070279E"/>
    <w:rsid w:val="007027E3"/>
    <w:rsid w:val="0070283C"/>
    <w:rsid w:val="007028BD"/>
    <w:rsid w:val="007028CB"/>
    <w:rsid w:val="0070294A"/>
    <w:rsid w:val="007029E3"/>
    <w:rsid w:val="007029FB"/>
    <w:rsid w:val="00702ADC"/>
    <w:rsid w:val="00702B4E"/>
    <w:rsid w:val="00702BA7"/>
    <w:rsid w:val="00702C4B"/>
    <w:rsid w:val="00702CEA"/>
    <w:rsid w:val="00702D9C"/>
    <w:rsid w:val="00702F01"/>
    <w:rsid w:val="00702F6E"/>
    <w:rsid w:val="00702FBB"/>
    <w:rsid w:val="00702FBC"/>
    <w:rsid w:val="00702FDB"/>
    <w:rsid w:val="00702FE3"/>
    <w:rsid w:val="0070315F"/>
    <w:rsid w:val="00703178"/>
    <w:rsid w:val="007031D5"/>
    <w:rsid w:val="007031F2"/>
    <w:rsid w:val="00703276"/>
    <w:rsid w:val="007032BD"/>
    <w:rsid w:val="00703367"/>
    <w:rsid w:val="007033B1"/>
    <w:rsid w:val="007033C1"/>
    <w:rsid w:val="00703422"/>
    <w:rsid w:val="00703749"/>
    <w:rsid w:val="007037DC"/>
    <w:rsid w:val="007039D7"/>
    <w:rsid w:val="00703AFE"/>
    <w:rsid w:val="00703B1D"/>
    <w:rsid w:val="00703B2B"/>
    <w:rsid w:val="00703B34"/>
    <w:rsid w:val="00703B39"/>
    <w:rsid w:val="00703B94"/>
    <w:rsid w:val="00703C3B"/>
    <w:rsid w:val="00703CAA"/>
    <w:rsid w:val="00703D43"/>
    <w:rsid w:val="00703D64"/>
    <w:rsid w:val="00703DFE"/>
    <w:rsid w:val="00703EF7"/>
    <w:rsid w:val="00703F64"/>
    <w:rsid w:val="00703F6E"/>
    <w:rsid w:val="0070401F"/>
    <w:rsid w:val="0070419B"/>
    <w:rsid w:val="0070424B"/>
    <w:rsid w:val="0070424E"/>
    <w:rsid w:val="0070428F"/>
    <w:rsid w:val="007043C6"/>
    <w:rsid w:val="007046BD"/>
    <w:rsid w:val="00704853"/>
    <w:rsid w:val="007048D6"/>
    <w:rsid w:val="00704919"/>
    <w:rsid w:val="007049FB"/>
    <w:rsid w:val="00704A16"/>
    <w:rsid w:val="00704A86"/>
    <w:rsid w:val="00704ADD"/>
    <w:rsid w:val="00704D08"/>
    <w:rsid w:val="00704E8E"/>
    <w:rsid w:val="00704F09"/>
    <w:rsid w:val="00704F1A"/>
    <w:rsid w:val="00705054"/>
    <w:rsid w:val="00705175"/>
    <w:rsid w:val="0070536F"/>
    <w:rsid w:val="0070544B"/>
    <w:rsid w:val="00705472"/>
    <w:rsid w:val="007054F9"/>
    <w:rsid w:val="00705525"/>
    <w:rsid w:val="0070588C"/>
    <w:rsid w:val="00705BEC"/>
    <w:rsid w:val="00705CB0"/>
    <w:rsid w:val="00705D0C"/>
    <w:rsid w:val="00705ED7"/>
    <w:rsid w:val="0070601A"/>
    <w:rsid w:val="007060C2"/>
    <w:rsid w:val="0070616C"/>
    <w:rsid w:val="007061B1"/>
    <w:rsid w:val="007061F7"/>
    <w:rsid w:val="00706270"/>
    <w:rsid w:val="0070627F"/>
    <w:rsid w:val="0070632B"/>
    <w:rsid w:val="0070633E"/>
    <w:rsid w:val="00706444"/>
    <w:rsid w:val="00706639"/>
    <w:rsid w:val="0070667D"/>
    <w:rsid w:val="0070670C"/>
    <w:rsid w:val="00706964"/>
    <w:rsid w:val="00706A4F"/>
    <w:rsid w:val="00706A61"/>
    <w:rsid w:val="00706AD2"/>
    <w:rsid w:val="00706AD8"/>
    <w:rsid w:val="00706B77"/>
    <w:rsid w:val="00706BCF"/>
    <w:rsid w:val="00706C50"/>
    <w:rsid w:val="00706C83"/>
    <w:rsid w:val="00706D3D"/>
    <w:rsid w:val="00706D97"/>
    <w:rsid w:val="00707027"/>
    <w:rsid w:val="00707469"/>
    <w:rsid w:val="007077A5"/>
    <w:rsid w:val="007077FD"/>
    <w:rsid w:val="00707881"/>
    <w:rsid w:val="00707A2D"/>
    <w:rsid w:val="00707A79"/>
    <w:rsid w:val="00707AC3"/>
    <w:rsid w:val="00707B70"/>
    <w:rsid w:val="00707BA7"/>
    <w:rsid w:val="00707C31"/>
    <w:rsid w:val="00707C4A"/>
    <w:rsid w:val="00707D18"/>
    <w:rsid w:val="00707D6D"/>
    <w:rsid w:val="00707D8E"/>
    <w:rsid w:val="00707DD8"/>
    <w:rsid w:val="00707EBC"/>
    <w:rsid w:val="00707F27"/>
    <w:rsid w:val="00707F33"/>
    <w:rsid w:val="00710033"/>
    <w:rsid w:val="00710257"/>
    <w:rsid w:val="00710329"/>
    <w:rsid w:val="007103AA"/>
    <w:rsid w:val="00710486"/>
    <w:rsid w:val="0071070E"/>
    <w:rsid w:val="007107D0"/>
    <w:rsid w:val="007107F9"/>
    <w:rsid w:val="0071084D"/>
    <w:rsid w:val="007108F8"/>
    <w:rsid w:val="00710B12"/>
    <w:rsid w:val="00710B65"/>
    <w:rsid w:val="00710D25"/>
    <w:rsid w:val="00710D6B"/>
    <w:rsid w:val="00710F69"/>
    <w:rsid w:val="00710F78"/>
    <w:rsid w:val="00710F92"/>
    <w:rsid w:val="007111B5"/>
    <w:rsid w:val="0071131B"/>
    <w:rsid w:val="00711346"/>
    <w:rsid w:val="007113EA"/>
    <w:rsid w:val="0071165A"/>
    <w:rsid w:val="007116A5"/>
    <w:rsid w:val="00711876"/>
    <w:rsid w:val="00711889"/>
    <w:rsid w:val="00711A8F"/>
    <w:rsid w:val="00711C3E"/>
    <w:rsid w:val="00711CA5"/>
    <w:rsid w:val="00711CA9"/>
    <w:rsid w:val="0071203A"/>
    <w:rsid w:val="00712083"/>
    <w:rsid w:val="007122C1"/>
    <w:rsid w:val="007123C7"/>
    <w:rsid w:val="0071244E"/>
    <w:rsid w:val="00712595"/>
    <w:rsid w:val="007125CE"/>
    <w:rsid w:val="00712690"/>
    <w:rsid w:val="007126B2"/>
    <w:rsid w:val="00712777"/>
    <w:rsid w:val="007127BF"/>
    <w:rsid w:val="007128D5"/>
    <w:rsid w:val="00712942"/>
    <w:rsid w:val="0071294B"/>
    <w:rsid w:val="00712964"/>
    <w:rsid w:val="00712A83"/>
    <w:rsid w:val="00712C7D"/>
    <w:rsid w:val="00712CA6"/>
    <w:rsid w:val="00712F16"/>
    <w:rsid w:val="00712F3F"/>
    <w:rsid w:val="00712FAB"/>
    <w:rsid w:val="00713088"/>
    <w:rsid w:val="0071331E"/>
    <w:rsid w:val="00713323"/>
    <w:rsid w:val="00713333"/>
    <w:rsid w:val="00713376"/>
    <w:rsid w:val="0071343B"/>
    <w:rsid w:val="00713569"/>
    <w:rsid w:val="007135D0"/>
    <w:rsid w:val="0071364A"/>
    <w:rsid w:val="007136A8"/>
    <w:rsid w:val="007136D4"/>
    <w:rsid w:val="00713735"/>
    <w:rsid w:val="00713780"/>
    <w:rsid w:val="007137C8"/>
    <w:rsid w:val="0071380E"/>
    <w:rsid w:val="00713884"/>
    <w:rsid w:val="007138A5"/>
    <w:rsid w:val="00713903"/>
    <w:rsid w:val="0071390B"/>
    <w:rsid w:val="0071396C"/>
    <w:rsid w:val="00713A24"/>
    <w:rsid w:val="00713AC2"/>
    <w:rsid w:val="00713AEA"/>
    <w:rsid w:val="00713BCE"/>
    <w:rsid w:val="00713C79"/>
    <w:rsid w:val="00713DA1"/>
    <w:rsid w:val="00713E3E"/>
    <w:rsid w:val="00713E7D"/>
    <w:rsid w:val="00713F36"/>
    <w:rsid w:val="007140B7"/>
    <w:rsid w:val="007141C4"/>
    <w:rsid w:val="00714235"/>
    <w:rsid w:val="00714244"/>
    <w:rsid w:val="0071429A"/>
    <w:rsid w:val="007142B3"/>
    <w:rsid w:val="00714337"/>
    <w:rsid w:val="007143DE"/>
    <w:rsid w:val="007143EE"/>
    <w:rsid w:val="00714434"/>
    <w:rsid w:val="007144DA"/>
    <w:rsid w:val="007144DE"/>
    <w:rsid w:val="00714516"/>
    <w:rsid w:val="007146C6"/>
    <w:rsid w:val="007146FF"/>
    <w:rsid w:val="00714766"/>
    <w:rsid w:val="007148DA"/>
    <w:rsid w:val="00714974"/>
    <w:rsid w:val="00714AB6"/>
    <w:rsid w:val="00714B44"/>
    <w:rsid w:val="00714B6B"/>
    <w:rsid w:val="00714B7D"/>
    <w:rsid w:val="00714C3F"/>
    <w:rsid w:val="00714C86"/>
    <w:rsid w:val="00714CF7"/>
    <w:rsid w:val="00714D04"/>
    <w:rsid w:val="00714E3B"/>
    <w:rsid w:val="00714E6E"/>
    <w:rsid w:val="00714EAD"/>
    <w:rsid w:val="00714EEA"/>
    <w:rsid w:val="007150BF"/>
    <w:rsid w:val="0071512A"/>
    <w:rsid w:val="007151F0"/>
    <w:rsid w:val="007152DD"/>
    <w:rsid w:val="007154D9"/>
    <w:rsid w:val="00715711"/>
    <w:rsid w:val="00715783"/>
    <w:rsid w:val="007157FB"/>
    <w:rsid w:val="00715853"/>
    <w:rsid w:val="00715900"/>
    <w:rsid w:val="00715ABA"/>
    <w:rsid w:val="00715BC5"/>
    <w:rsid w:val="00715DC7"/>
    <w:rsid w:val="00715E73"/>
    <w:rsid w:val="00715EBF"/>
    <w:rsid w:val="00715FE3"/>
    <w:rsid w:val="007161AD"/>
    <w:rsid w:val="007161B6"/>
    <w:rsid w:val="00716334"/>
    <w:rsid w:val="00716371"/>
    <w:rsid w:val="0071647D"/>
    <w:rsid w:val="007164BF"/>
    <w:rsid w:val="0071657C"/>
    <w:rsid w:val="007165C7"/>
    <w:rsid w:val="007165D0"/>
    <w:rsid w:val="007165EB"/>
    <w:rsid w:val="007166F8"/>
    <w:rsid w:val="0071672D"/>
    <w:rsid w:val="00716960"/>
    <w:rsid w:val="0071698D"/>
    <w:rsid w:val="007169FE"/>
    <w:rsid w:val="00716AEA"/>
    <w:rsid w:val="00716B87"/>
    <w:rsid w:val="00716BF6"/>
    <w:rsid w:val="00716C48"/>
    <w:rsid w:val="00716C4F"/>
    <w:rsid w:val="00716C53"/>
    <w:rsid w:val="00716E73"/>
    <w:rsid w:val="00716EBD"/>
    <w:rsid w:val="00716F33"/>
    <w:rsid w:val="00716F88"/>
    <w:rsid w:val="007170E2"/>
    <w:rsid w:val="00717210"/>
    <w:rsid w:val="00717263"/>
    <w:rsid w:val="0071736F"/>
    <w:rsid w:val="007173A3"/>
    <w:rsid w:val="00717402"/>
    <w:rsid w:val="00717577"/>
    <w:rsid w:val="007175A4"/>
    <w:rsid w:val="007175D0"/>
    <w:rsid w:val="00717608"/>
    <w:rsid w:val="00717763"/>
    <w:rsid w:val="0071778F"/>
    <w:rsid w:val="007177E8"/>
    <w:rsid w:val="007178EE"/>
    <w:rsid w:val="0071797E"/>
    <w:rsid w:val="00717F25"/>
    <w:rsid w:val="007200A7"/>
    <w:rsid w:val="0072011A"/>
    <w:rsid w:val="0072015F"/>
    <w:rsid w:val="00720201"/>
    <w:rsid w:val="00720269"/>
    <w:rsid w:val="007202AE"/>
    <w:rsid w:val="007202B2"/>
    <w:rsid w:val="007202F2"/>
    <w:rsid w:val="00720310"/>
    <w:rsid w:val="00720474"/>
    <w:rsid w:val="0072049E"/>
    <w:rsid w:val="00720508"/>
    <w:rsid w:val="0072063F"/>
    <w:rsid w:val="007206B9"/>
    <w:rsid w:val="0072078C"/>
    <w:rsid w:val="00720937"/>
    <w:rsid w:val="0072095E"/>
    <w:rsid w:val="00720AD3"/>
    <w:rsid w:val="00720CF8"/>
    <w:rsid w:val="00720D85"/>
    <w:rsid w:val="00720EB0"/>
    <w:rsid w:val="00720FA9"/>
    <w:rsid w:val="00721186"/>
    <w:rsid w:val="007212F8"/>
    <w:rsid w:val="0072145B"/>
    <w:rsid w:val="0072146E"/>
    <w:rsid w:val="0072149C"/>
    <w:rsid w:val="007215E6"/>
    <w:rsid w:val="0072164E"/>
    <w:rsid w:val="00721675"/>
    <w:rsid w:val="00721719"/>
    <w:rsid w:val="00721804"/>
    <w:rsid w:val="00721834"/>
    <w:rsid w:val="00721878"/>
    <w:rsid w:val="0072194A"/>
    <w:rsid w:val="00721A54"/>
    <w:rsid w:val="00721A5A"/>
    <w:rsid w:val="00721A68"/>
    <w:rsid w:val="00721BE6"/>
    <w:rsid w:val="00721CB2"/>
    <w:rsid w:val="00721CEE"/>
    <w:rsid w:val="00721D28"/>
    <w:rsid w:val="00721E61"/>
    <w:rsid w:val="00721ECB"/>
    <w:rsid w:val="00721F1A"/>
    <w:rsid w:val="00721FEA"/>
    <w:rsid w:val="00722011"/>
    <w:rsid w:val="007220D7"/>
    <w:rsid w:val="00722142"/>
    <w:rsid w:val="00722159"/>
    <w:rsid w:val="007224C4"/>
    <w:rsid w:val="00722550"/>
    <w:rsid w:val="0072274B"/>
    <w:rsid w:val="00722798"/>
    <w:rsid w:val="007227A3"/>
    <w:rsid w:val="007227CF"/>
    <w:rsid w:val="00722B22"/>
    <w:rsid w:val="00722BF5"/>
    <w:rsid w:val="00722D73"/>
    <w:rsid w:val="00722DA0"/>
    <w:rsid w:val="00722E3C"/>
    <w:rsid w:val="00722ED5"/>
    <w:rsid w:val="00722F80"/>
    <w:rsid w:val="00723125"/>
    <w:rsid w:val="0072316F"/>
    <w:rsid w:val="0072320A"/>
    <w:rsid w:val="00723211"/>
    <w:rsid w:val="007236F3"/>
    <w:rsid w:val="0072383F"/>
    <w:rsid w:val="00723BBD"/>
    <w:rsid w:val="00723C15"/>
    <w:rsid w:val="00723C5D"/>
    <w:rsid w:val="00723DBE"/>
    <w:rsid w:val="00723DE4"/>
    <w:rsid w:val="00723E7B"/>
    <w:rsid w:val="00723EBA"/>
    <w:rsid w:val="00723EE0"/>
    <w:rsid w:val="00723F87"/>
    <w:rsid w:val="0072406A"/>
    <w:rsid w:val="0072407E"/>
    <w:rsid w:val="00724107"/>
    <w:rsid w:val="00724269"/>
    <w:rsid w:val="007242D1"/>
    <w:rsid w:val="007242FA"/>
    <w:rsid w:val="0072434A"/>
    <w:rsid w:val="00724411"/>
    <w:rsid w:val="0072449F"/>
    <w:rsid w:val="007246D7"/>
    <w:rsid w:val="007247A4"/>
    <w:rsid w:val="00724991"/>
    <w:rsid w:val="007249B7"/>
    <w:rsid w:val="00724AC9"/>
    <w:rsid w:val="00724BAE"/>
    <w:rsid w:val="00724C66"/>
    <w:rsid w:val="00724DE9"/>
    <w:rsid w:val="00724EA7"/>
    <w:rsid w:val="00724F41"/>
    <w:rsid w:val="00724F91"/>
    <w:rsid w:val="00724F97"/>
    <w:rsid w:val="00724FEC"/>
    <w:rsid w:val="00725053"/>
    <w:rsid w:val="007251D6"/>
    <w:rsid w:val="00725287"/>
    <w:rsid w:val="0072528B"/>
    <w:rsid w:val="007253AB"/>
    <w:rsid w:val="007254D4"/>
    <w:rsid w:val="00725551"/>
    <w:rsid w:val="00725577"/>
    <w:rsid w:val="0072564C"/>
    <w:rsid w:val="007256A4"/>
    <w:rsid w:val="00725756"/>
    <w:rsid w:val="00725907"/>
    <w:rsid w:val="007259AA"/>
    <w:rsid w:val="00725A13"/>
    <w:rsid w:val="00725A8C"/>
    <w:rsid w:val="00725B2F"/>
    <w:rsid w:val="00725B7E"/>
    <w:rsid w:val="00725B8B"/>
    <w:rsid w:val="00725B9F"/>
    <w:rsid w:val="00725C6A"/>
    <w:rsid w:val="00725E13"/>
    <w:rsid w:val="00725E9E"/>
    <w:rsid w:val="00725EA7"/>
    <w:rsid w:val="00725ED8"/>
    <w:rsid w:val="00725FC2"/>
    <w:rsid w:val="0072604B"/>
    <w:rsid w:val="00726067"/>
    <w:rsid w:val="007260D8"/>
    <w:rsid w:val="00726255"/>
    <w:rsid w:val="007262C1"/>
    <w:rsid w:val="00726422"/>
    <w:rsid w:val="00726428"/>
    <w:rsid w:val="00726485"/>
    <w:rsid w:val="007265E9"/>
    <w:rsid w:val="0072662E"/>
    <w:rsid w:val="007266AD"/>
    <w:rsid w:val="00726752"/>
    <w:rsid w:val="00726753"/>
    <w:rsid w:val="00726825"/>
    <w:rsid w:val="00726A88"/>
    <w:rsid w:val="00726A8A"/>
    <w:rsid w:val="00726B35"/>
    <w:rsid w:val="00726B47"/>
    <w:rsid w:val="00726B5B"/>
    <w:rsid w:val="00726B90"/>
    <w:rsid w:val="00726D72"/>
    <w:rsid w:val="00726F36"/>
    <w:rsid w:val="00727129"/>
    <w:rsid w:val="0072721B"/>
    <w:rsid w:val="0072721F"/>
    <w:rsid w:val="00727251"/>
    <w:rsid w:val="007272DE"/>
    <w:rsid w:val="00727407"/>
    <w:rsid w:val="00727490"/>
    <w:rsid w:val="007275DF"/>
    <w:rsid w:val="007276A7"/>
    <w:rsid w:val="00727757"/>
    <w:rsid w:val="007277DE"/>
    <w:rsid w:val="00727868"/>
    <w:rsid w:val="007278E9"/>
    <w:rsid w:val="007278F1"/>
    <w:rsid w:val="00727B98"/>
    <w:rsid w:val="00727C1A"/>
    <w:rsid w:val="00727C81"/>
    <w:rsid w:val="00727CF8"/>
    <w:rsid w:val="00727D05"/>
    <w:rsid w:val="00727EC5"/>
    <w:rsid w:val="00727FB2"/>
    <w:rsid w:val="007300CB"/>
    <w:rsid w:val="007300CF"/>
    <w:rsid w:val="007300EF"/>
    <w:rsid w:val="0073012A"/>
    <w:rsid w:val="00730199"/>
    <w:rsid w:val="0073030E"/>
    <w:rsid w:val="0073033D"/>
    <w:rsid w:val="00730373"/>
    <w:rsid w:val="007303A9"/>
    <w:rsid w:val="00730465"/>
    <w:rsid w:val="00730555"/>
    <w:rsid w:val="00730632"/>
    <w:rsid w:val="00730751"/>
    <w:rsid w:val="007308B3"/>
    <w:rsid w:val="00730918"/>
    <w:rsid w:val="00730966"/>
    <w:rsid w:val="0073099D"/>
    <w:rsid w:val="007309DA"/>
    <w:rsid w:val="00730A0A"/>
    <w:rsid w:val="00730A8D"/>
    <w:rsid w:val="00730D00"/>
    <w:rsid w:val="00730DE7"/>
    <w:rsid w:val="00730EF2"/>
    <w:rsid w:val="00730F47"/>
    <w:rsid w:val="0073101A"/>
    <w:rsid w:val="00731027"/>
    <w:rsid w:val="00731191"/>
    <w:rsid w:val="007311CA"/>
    <w:rsid w:val="0073139D"/>
    <w:rsid w:val="00731459"/>
    <w:rsid w:val="0073148E"/>
    <w:rsid w:val="0073159B"/>
    <w:rsid w:val="007315D2"/>
    <w:rsid w:val="00731626"/>
    <w:rsid w:val="007316D4"/>
    <w:rsid w:val="007316E1"/>
    <w:rsid w:val="0073175F"/>
    <w:rsid w:val="007319B1"/>
    <w:rsid w:val="00731B16"/>
    <w:rsid w:val="00731B21"/>
    <w:rsid w:val="00731B28"/>
    <w:rsid w:val="00731B83"/>
    <w:rsid w:val="00731BD7"/>
    <w:rsid w:val="00731BF3"/>
    <w:rsid w:val="00731CF3"/>
    <w:rsid w:val="00731D5D"/>
    <w:rsid w:val="00731E5C"/>
    <w:rsid w:val="00731F2B"/>
    <w:rsid w:val="00731FB2"/>
    <w:rsid w:val="00732176"/>
    <w:rsid w:val="007322CE"/>
    <w:rsid w:val="00732469"/>
    <w:rsid w:val="007324B5"/>
    <w:rsid w:val="00732558"/>
    <w:rsid w:val="007325DF"/>
    <w:rsid w:val="00732816"/>
    <w:rsid w:val="007328A9"/>
    <w:rsid w:val="0073291D"/>
    <w:rsid w:val="00732940"/>
    <w:rsid w:val="0073296F"/>
    <w:rsid w:val="007329A1"/>
    <w:rsid w:val="007329D3"/>
    <w:rsid w:val="00732A6E"/>
    <w:rsid w:val="00732A8C"/>
    <w:rsid w:val="00732D42"/>
    <w:rsid w:val="00732F0A"/>
    <w:rsid w:val="00732FD4"/>
    <w:rsid w:val="00733022"/>
    <w:rsid w:val="0073303C"/>
    <w:rsid w:val="00733097"/>
    <w:rsid w:val="00733118"/>
    <w:rsid w:val="007331FF"/>
    <w:rsid w:val="00733488"/>
    <w:rsid w:val="007334DE"/>
    <w:rsid w:val="0073364D"/>
    <w:rsid w:val="007336E8"/>
    <w:rsid w:val="00733707"/>
    <w:rsid w:val="0073373F"/>
    <w:rsid w:val="00733882"/>
    <w:rsid w:val="007338EC"/>
    <w:rsid w:val="007338FD"/>
    <w:rsid w:val="00733958"/>
    <w:rsid w:val="0073398E"/>
    <w:rsid w:val="007339EB"/>
    <w:rsid w:val="00733AB0"/>
    <w:rsid w:val="00733B2E"/>
    <w:rsid w:val="00733B3F"/>
    <w:rsid w:val="00733D62"/>
    <w:rsid w:val="00733FD4"/>
    <w:rsid w:val="00734114"/>
    <w:rsid w:val="0073415D"/>
    <w:rsid w:val="00734188"/>
    <w:rsid w:val="0073453B"/>
    <w:rsid w:val="00734583"/>
    <w:rsid w:val="00734659"/>
    <w:rsid w:val="00734673"/>
    <w:rsid w:val="00734675"/>
    <w:rsid w:val="00734BF0"/>
    <w:rsid w:val="00734C96"/>
    <w:rsid w:val="00734D0E"/>
    <w:rsid w:val="00734D99"/>
    <w:rsid w:val="00734DA7"/>
    <w:rsid w:val="00734FF1"/>
    <w:rsid w:val="007352A9"/>
    <w:rsid w:val="007353F0"/>
    <w:rsid w:val="00735415"/>
    <w:rsid w:val="00735440"/>
    <w:rsid w:val="0073556A"/>
    <w:rsid w:val="007355DB"/>
    <w:rsid w:val="0073573E"/>
    <w:rsid w:val="00735A27"/>
    <w:rsid w:val="00735B90"/>
    <w:rsid w:val="00735DEA"/>
    <w:rsid w:val="00735E0E"/>
    <w:rsid w:val="00735F8C"/>
    <w:rsid w:val="00735FEA"/>
    <w:rsid w:val="0073604A"/>
    <w:rsid w:val="0073604C"/>
    <w:rsid w:val="0073605D"/>
    <w:rsid w:val="00736073"/>
    <w:rsid w:val="0073614A"/>
    <w:rsid w:val="00736164"/>
    <w:rsid w:val="007361A9"/>
    <w:rsid w:val="007362B6"/>
    <w:rsid w:val="00736339"/>
    <w:rsid w:val="0073639A"/>
    <w:rsid w:val="00736444"/>
    <w:rsid w:val="0073645D"/>
    <w:rsid w:val="007365EE"/>
    <w:rsid w:val="0073660A"/>
    <w:rsid w:val="00736832"/>
    <w:rsid w:val="0073687A"/>
    <w:rsid w:val="0073693E"/>
    <w:rsid w:val="00736963"/>
    <w:rsid w:val="007369E2"/>
    <w:rsid w:val="00736C23"/>
    <w:rsid w:val="00736D26"/>
    <w:rsid w:val="00736DFB"/>
    <w:rsid w:val="00736E1D"/>
    <w:rsid w:val="00736EFF"/>
    <w:rsid w:val="00736F40"/>
    <w:rsid w:val="00736F7E"/>
    <w:rsid w:val="007370AF"/>
    <w:rsid w:val="007370CE"/>
    <w:rsid w:val="007371E0"/>
    <w:rsid w:val="00737302"/>
    <w:rsid w:val="00737342"/>
    <w:rsid w:val="00737645"/>
    <w:rsid w:val="007376B5"/>
    <w:rsid w:val="00737823"/>
    <w:rsid w:val="0073793A"/>
    <w:rsid w:val="007379E9"/>
    <w:rsid w:val="00737A33"/>
    <w:rsid w:val="00737A3D"/>
    <w:rsid w:val="00737ADA"/>
    <w:rsid w:val="00737BEE"/>
    <w:rsid w:val="00737C2D"/>
    <w:rsid w:val="00737C5E"/>
    <w:rsid w:val="00737CF3"/>
    <w:rsid w:val="00737D57"/>
    <w:rsid w:val="00737D6B"/>
    <w:rsid w:val="00737D93"/>
    <w:rsid w:val="00737FDF"/>
    <w:rsid w:val="0074017F"/>
    <w:rsid w:val="00740293"/>
    <w:rsid w:val="007403D5"/>
    <w:rsid w:val="00740498"/>
    <w:rsid w:val="0074050D"/>
    <w:rsid w:val="00740546"/>
    <w:rsid w:val="0074075A"/>
    <w:rsid w:val="00740A05"/>
    <w:rsid w:val="00740CA9"/>
    <w:rsid w:val="00740CF1"/>
    <w:rsid w:val="00740D31"/>
    <w:rsid w:val="00740E6E"/>
    <w:rsid w:val="00740F48"/>
    <w:rsid w:val="00740F80"/>
    <w:rsid w:val="00741060"/>
    <w:rsid w:val="00741098"/>
    <w:rsid w:val="007410A0"/>
    <w:rsid w:val="00741259"/>
    <w:rsid w:val="0074151A"/>
    <w:rsid w:val="007415B5"/>
    <w:rsid w:val="007417B3"/>
    <w:rsid w:val="007417C8"/>
    <w:rsid w:val="00741871"/>
    <w:rsid w:val="0074187E"/>
    <w:rsid w:val="007418A2"/>
    <w:rsid w:val="00741A8C"/>
    <w:rsid w:val="00741BB3"/>
    <w:rsid w:val="00741E53"/>
    <w:rsid w:val="00741F07"/>
    <w:rsid w:val="00741FA2"/>
    <w:rsid w:val="00741FC5"/>
    <w:rsid w:val="007420CA"/>
    <w:rsid w:val="007422EF"/>
    <w:rsid w:val="0074241B"/>
    <w:rsid w:val="0074248F"/>
    <w:rsid w:val="0074250B"/>
    <w:rsid w:val="00742526"/>
    <w:rsid w:val="0074259A"/>
    <w:rsid w:val="00742603"/>
    <w:rsid w:val="0074260F"/>
    <w:rsid w:val="00742638"/>
    <w:rsid w:val="007427D0"/>
    <w:rsid w:val="00742A4D"/>
    <w:rsid w:val="00742E1E"/>
    <w:rsid w:val="007430D5"/>
    <w:rsid w:val="007430F0"/>
    <w:rsid w:val="00743133"/>
    <w:rsid w:val="00743421"/>
    <w:rsid w:val="007434A6"/>
    <w:rsid w:val="007437AE"/>
    <w:rsid w:val="007437B1"/>
    <w:rsid w:val="007438BB"/>
    <w:rsid w:val="00743992"/>
    <w:rsid w:val="007439BB"/>
    <w:rsid w:val="00743AB9"/>
    <w:rsid w:val="00743AF1"/>
    <w:rsid w:val="00743B0A"/>
    <w:rsid w:val="00743C92"/>
    <w:rsid w:val="00743CE5"/>
    <w:rsid w:val="00743D5A"/>
    <w:rsid w:val="00743E1A"/>
    <w:rsid w:val="00743E5B"/>
    <w:rsid w:val="0074404D"/>
    <w:rsid w:val="00744061"/>
    <w:rsid w:val="00744103"/>
    <w:rsid w:val="00744139"/>
    <w:rsid w:val="007442B8"/>
    <w:rsid w:val="007443AD"/>
    <w:rsid w:val="00744402"/>
    <w:rsid w:val="00744595"/>
    <w:rsid w:val="0074468A"/>
    <w:rsid w:val="00744781"/>
    <w:rsid w:val="00744854"/>
    <w:rsid w:val="00744948"/>
    <w:rsid w:val="007449D1"/>
    <w:rsid w:val="007449D2"/>
    <w:rsid w:val="00744A32"/>
    <w:rsid w:val="00744A8C"/>
    <w:rsid w:val="00744BBB"/>
    <w:rsid w:val="00744CEE"/>
    <w:rsid w:val="00744D20"/>
    <w:rsid w:val="00744D8E"/>
    <w:rsid w:val="00744DA6"/>
    <w:rsid w:val="00744EAC"/>
    <w:rsid w:val="00744F04"/>
    <w:rsid w:val="00744F4D"/>
    <w:rsid w:val="00744F60"/>
    <w:rsid w:val="0074511A"/>
    <w:rsid w:val="0074518F"/>
    <w:rsid w:val="007451CC"/>
    <w:rsid w:val="00745241"/>
    <w:rsid w:val="007453FC"/>
    <w:rsid w:val="00745584"/>
    <w:rsid w:val="0074560B"/>
    <w:rsid w:val="0074562E"/>
    <w:rsid w:val="007456C4"/>
    <w:rsid w:val="007458A6"/>
    <w:rsid w:val="007459C5"/>
    <w:rsid w:val="00745B67"/>
    <w:rsid w:val="00745B8A"/>
    <w:rsid w:val="00745C2F"/>
    <w:rsid w:val="00745D81"/>
    <w:rsid w:val="00745EEF"/>
    <w:rsid w:val="00745EF9"/>
    <w:rsid w:val="00745F1E"/>
    <w:rsid w:val="00745F57"/>
    <w:rsid w:val="0074603F"/>
    <w:rsid w:val="00746060"/>
    <w:rsid w:val="00746073"/>
    <w:rsid w:val="00746214"/>
    <w:rsid w:val="00746236"/>
    <w:rsid w:val="007462FA"/>
    <w:rsid w:val="00746313"/>
    <w:rsid w:val="007463C9"/>
    <w:rsid w:val="00746415"/>
    <w:rsid w:val="0074648E"/>
    <w:rsid w:val="007466A8"/>
    <w:rsid w:val="007466E9"/>
    <w:rsid w:val="00746754"/>
    <w:rsid w:val="007467D9"/>
    <w:rsid w:val="0074697A"/>
    <w:rsid w:val="00746A68"/>
    <w:rsid w:val="00746A6E"/>
    <w:rsid w:val="00746C17"/>
    <w:rsid w:val="00746C51"/>
    <w:rsid w:val="00746D5A"/>
    <w:rsid w:val="00746D6F"/>
    <w:rsid w:val="00746F82"/>
    <w:rsid w:val="00746FC3"/>
    <w:rsid w:val="00746FF0"/>
    <w:rsid w:val="007470CD"/>
    <w:rsid w:val="007471CE"/>
    <w:rsid w:val="007472EF"/>
    <w:rsid w:val="00747402"/>
    <w:rsid w:val="00747418"/>
    <w:rsid w:val="00747469"/>
    <w:rsid w:val="007475D8"/>
    <w:rsid w:val="00747677"/>
    <w:rsid w:val="00747753"/>
    <w:rsid w:val="00747846"/>
    <w:rsid w:val="0074787B"/>
    <w:rsid w:val="00747903"/>
    <w:rsid w:val="0074796B"/>
    <w:rsid w:val="0074799A"/>
    <w:rsid w:val="007479B1"/>
    <w:rsid w:val="007479B5"/>
    <w:rsid w:val="00747ABD"/>
    <w:rsid w:val="00747AC3"/>
    <w:rsid w:val="00747BE8"/>
    <w:rsid w:val="00747C92"/>
    <w:rsid w:val="00747CE4"/>
    <w:rsid w:val="00747D36"/>
    <w:rsid w:val="00747DDF"/>
    <w:rsid w:val="00747DE5"/>
    <w:rsid w:val="00750009"/>
    <w:rsid w:val="00750037"/>
    <w:rsid w:val="007500BC"/>
    <w:rsid w:val="00750275"/>
    <w:rsid w:val="007502CE"/>
    <w:rsid w:val="007504B4"/>
    <w:rsid w:val="00750675"/>
    <w:rsid w:val="00750683"/>
    <w:rsid w:val="00750835"/>
    <w:rsid w:val="0075089E"/>
    <w:rsid w:val="007508E5"/>
    <w:rsid w:val="0075094D"/>
    <w:rsid w:val="007509BA"/>
    <w:rsid w:val="007509C6"/>
    <w:rsid w:val="007509FA"/>
    <w:rsid w:val="00750A64"/>
    <w:rsid w:val="00750A80"/>
    <w:rsid w:val="00750BD3"/>
    <w:rsid w:val="00750BE0"/>
    <w:rsid w:val="00750C29"/>
    <w:rsid w:val="00750D56"/>
    <w:rsid w:val="00750FA1"/>
    <w:rsid w:val="00751035"/>
    <w:rsid w:val="0075112D"/>
    <w:rsid w:val="0075123B"/>
    <w:rsid w:val="00751274"/>
    <w:rsid w:val="007512AC"/>
    <w:rsid w:val="007512D5"/>
    <w:rsid w:val="007512D6"/>
    <w:rsid w:val="00751330"/>
    <w:rsid w:val="0075156E"/>
    <w:rsid w:val="00751602"/>
    <w:rsid w:val="0075161B"/>
    <w:rsid w:val="007516C5"/>
    <w:rsid w:val="0075189F"/>
    <w:rsid w:val="00751CD6"/>
    <w:rsid w:val="00751D76"/>
    <w:rsid w:val="00751DB1"/>
    <w:rsid w:val="00752155"/>
    <w:rsid w:val="0075218E"/>
    <w:rsid w:val="0075221F"/>
    <w:rsid w:val="00752392"/>
    <w:rsid w:val="007524D5"/>
    <w:rsid w:val="007524F6"/>
    <w:rsid w:val="0075259D"/>
    <w:rsid w:val="0075264B"/>
    <w:rsid w:val="00752728"/>
    <w:rsid w:val="00752758"/>
    <w:rsid w:val="0075277D"/>
    <w:rsid w:val="007527F7"/>
    <w:rsid w:val="007528C9"/>
    <w:rsid w:val="00752939"/>
    <w:rsid w:val="007529F3"/>
    <w:rsid w:val="00752A3E"/>
    <w:rsid w:val="00752C78"/>
    <w:rsid w:val="00752CA7"/>
    <w:rsid w:val="00752E04"/>
    <w:rsid w:val="00752E3B"/>
    <w:rsid w:val="00752E8E"/>
    <w:rsid w:val="00752F46"/>
    <w:rsid w:val="00752FA2"/>
    <w:rsid w:val="00752FD7"/>
    <w:rsid w:val="0075304A"/>
    <w:rsid w:val="0075313C"/>
    <w:rsid w:val="00753226"/>
    <w:rsid w:val="0075331B"/>
    <w:rsid w:val="007533AB"/>
    <w:rsid w:val="0075341C"/>
    <w:rsid w:val="007534AA"/>
    <w:rsid w:val="00753530"/>
    <w:rsid w:val="00753557"/>
    <w:rsid w:val="0075357B"/>
    <w:rsid w:val="00753632"/>
    <w:rsid w:val="007536AD"/>
    <w:rsid w:val="0075371C"/>
    <w:rsid w:val="007538C2"/>
    <w:rsid w:val="00753919"/>
    <w:rsid w:val="00753B21"/>
    <w:rsid w:val="00753B29"/>
    <w:rsid w:val="00753DF1"/>
    <w:rsid w:val="00753E0B"/>
    <w:rsid w:val="00753EC7"/>
    <w:rsid w:val="00753F7B"/>
    <w:rsid w:val="0075416A"/>
    <w:rsid w:val="0075418E"/>
    <w:rsid w:val="007541D9"/>
    <w:rsid w:val="00754215"/>
    <w:rsid w:val="0075427E"/>
    <w:rsid w:val="00754353"/>
    <w:rsid w:val="0075455D"/>
    <w:rsid w:val="00754637"/>
    <w:rsid w:val="00754638"/>
    <w:rsid w:val="007546A4"/>
    <w:rsid w:val="00754740"/>
    <w:rsid w:val="00754967"/>
    <w:rsid w:val="00754970"/>
    <w:rsid w:val="007549BE"/>
    <w:rsid w:val="00754BA5"/>
    <w:rsid w:val="00754BDB"/>
    <w:rsid w:val="00754CF2"/>
    <w:rsid w:val="00754D2C"/>
    <w:rsid w:val="00754E68"/>
    <w:rsid w:val="00754EBC"/>
    <w:rsid w:val="0075520F"/>
    <w:rsid w:val="0075521E"/>
    <w:rsid w:val="0075532C"/>
    <w:rsid w:val="007553B1"/>
    <w:rsid w:val="007556F5"/>
    <w:rsid w:val="0075570C"/>
    <w:rsid w:val="00755941"/>
    <w:rsid w:val="00755A25"/>
    <w:rsid w:val="00755CCE"/>
    <w:rsid w:val="00755E0A"/>
    <w:rsid w:val="00755E93"/>
    <w:rsid w:val="00755F09"/>
    <w:rsid w:val="00755F34"/>
    <w:rsid w:val="00756082"/>
    <w:rsid w:val="007560B1"/>
    <w:rsid w:val="00756130"/>
    <w:rsid w:val="0075639C"/>
    <w:rsid w:val="007566B4"/>
    <w:rsid w:val="0075681B"/>
    <w:rsid w:val="0075698A"/>
    <w:rsid w:val="007569BF"/>
    <w:rsid w:val="00756A89"/>
    <w:rsid w:val="00756AF1"/>
    <w:rsid w:val="00756CEE"/>
    <w:rsid w:val="00756CF0"/>
    <w:rsid w:val="00756D1E"/>
    <w:rsid w:val="00756D7A"/>
    <w:rsid w:val="00756E04"/>
    <w:rsid w:val="00756E25"/>
    <w:rsid w:val="00756F31"/>
    <w:rsid w:val="00757106"/>
    <w:rsid w:val="0075711C"/>
    <w:rsid w:val="0075714B"/>
    <w:rsid w:val="00757375"/>
    <w:rsid w:val="00757393"/>
    <w:rsid w:val="007574A0"/>
    <w:rsid w:val="007574C5"/>
    <w:rsid w:val="007574CD"/>
    <w:rsid w:val="007575BE"/>
    <w:rsid w:val="007575FC"/>
    <w:rsid w:val="00757608"/>
    <w:rsid w:val="0075778A"/>
    <w:rsid w:val="00757867"/>
    <w:rsid w:val="00757A2E"/>
    <w:rsid w:val="00757A61"/>
    <w:rsid w:val="00757B71"/>
    <w:rsid w:val="00757B86"/>
    <w:rsid w:val="00757C01"/>
    <w:rsid w:val="00757C58"/>
    <w:rsid w:val="00757D24"/>
    <w:rsid w:val="00757D98"/>
    <w:rsid w:val="00757DCE"/>
    <w:rsid w:val="00757E5C"/>
    <w:rsid w:val="00757E97"/>
    <w:rsid w:val="00757F03"/>
    <w:rsid w:val="00757F52"/>
    <w:rsid w:val="0076032A"/>
    <w:rsid w:val="0076037B"/>
    <w:rsid w:val="007603F9"/>
    <w:rsid w:val="00760448"/>
    <w:rsid w:val="007604CA"/>
    <w:rsid w:val="00760571"/>
    <w:rsid w:val="0076065C"/>
    <w:rsid w:val="007606C4"/>
    <w:rsid w:val="00760838"/>
    <w:rsid w:val="00760844"/>
    <w:rsid w:val="00760889"/>
    <w:rsid w:val="007608A8"/>
    <w:rsid w:val="0076097D"/>
    <w:rsid w:val="0076097E"/>
    <w:rsid w:val="00760BB8"/>
    <w:rsid w:val="00760C9A"/>
    <w:rsid w:val="00760CBB"/>
    <w:rsid w:val="00760EA1"/>
    <w:rsid w:val="00760EEF"/>
    <w:rsid w:val="00760F18"/>
    <w:rsid w:val="00760FDD"/>
    <w:rsid w:val="0076101A"/>
    <w:rsid w:val="00761056"/>
    <w:rsid w:val="007610E2"/>
    <w:rsid w:val="00761117"/>
    <w:rsid w:val="0076122E"/>
    <w:rsid w:val="00761430"/>
    <w:rsid w:val="007614CB"/>
    <w:rsid w:val="007614E9"/>
    <w:rsid w:val="0076151B"/>
    <w:rsid w:val="00761650"/>
    <w:rsid w:val="00761805"/>
    <w:rsid w:val="00761859"/>
    <w:rsid w:val="0076187D"/>
    <w:rsid w:val="00761982"/>
    <w:rsid w:val="00761A69"/>
    <w:rsid w:val="00761AAD"/>
    <w:rsid w:val="00761C3E"/>
    <w:rsid w:val="00761C88"/>
    <w:rsid w:val="00761D25"/>
    <w:rsid w:val="00761D92"/>
    <w:rsid w:val="00761F84"/>
    <w:rsid w:val="00762038"/>
    <w:rsid w:val="007620E3"/>
    <w:rsid w:val="007623A0"/>
    <w:rsid w:val="0076244C"/>
    <w:rsid w:val="007624D9"/>
    <w:rsid w:val="00762511"/>
    <w:rsid w:val="00762812"/>
    <w:rsid w:val="0076286E"/>
    <w:rsid w:val="00762891"/>
    <w:rsid w:val="007629E2"/>
    <w:rsid w:val="00762BDE"/>
    <w:rsid w:val="00762C61"/>
    <w:rsid w:val="00762D54"/>
    <w:rsid w:val="00762D71"/>
    <w:rsid w:val="00762EA7"/>
    <w:rsid w:val="00762F3F"/>
    <w:rsid w:val="00763040"/>
    <w:rsid w:val="007630B5"/>
    <w:rsid w:val="00763227"/>
    <w:rsid w:val="00763234"/>
    <w:rsid w:val="00763314"/>
    <w:rsid w:val="0076349B"/>
    <w:rsid w:val="007634AE"/>
    <w:rsid w:val="007634AF"/>
    <w:rsid w:val="00763682"/>
    <w:rsid w:val="0076372B"/>
    <w:rsid w:val="00763750"/>
    <w:rsid w:val="007637B6"/>
    <w:rsid w:val="007637BE"/>
    <w:rsid w:val="0076393B"/>
    <w:rsid w:val="007639DE"/>
    <w:rsid w:val="00763A07"/>
    <w:rsid w:val="00763A2C"/>
    <w:rsid w:val="00763D71"/>
    <w:rsid w:val="00763D83"/>
    <w:rsid w:val="00763E95"/>
    <w:rsid w:val="00763ED8"/>
    <w:rsid w:val="00763F1A"/>
    <w:rsid w:val="00763FDC"/>
    <w:rsid w:val="00764050"/>
    <w:rsid w:val="007641B6"/>
    <w:rsid w:val="007641C0"/>
    <w:rsid w:val="007642D5"/>
    <w:rsid w:val="007642E5"/>
    <w:rsid w:val="007642F2"/>
    <w:rsid w:val="00764380"/>
    <w:rsid w:val="007643D7"/>
    <w:rsid w:val="00764590"/>
    <w:rsid w:val="0076463C"/>
    <w:rsid w:val="007646AE"/>
    <w:rsid w:val="00764711"/>
    <w:rsid w:val="007647CF"/>
    <w:rsid w:val="0076489B"/>
    <w:rsid w:val="00764922"/>
    <w:rsid w:val="00764A7A"/>
    <w:rsid w:val="00764AB2"/>
    <w:rsid w:val="00764AB5"/>
    <w:rsid w:val="00764AFF"/>
    <w:rsid w:val="00764B0E"/>
    <w:rsid w:val="00764B9D"/>
    <w:rsid w:val="00764BAE"/>
    <w:rsid w:val="00764C0C"/>
    <w:rsid w:val="00764C9B"/>
    <w:rsid w:val="00764D23"/>
    <w:rsid w:val="00764D68"/>
    <w:rsid w:val="00764DB2"/>
    <w:rsid w:val="00764E2F"/>
    <w:rsid w:val="00764E49"/>
    <w:rsid w:val="00764F14"/>
    <w:rsid w:val="00764F5F"/>
    <w:rsid w:val="00765070"/>
    <w:rsid w:val="007650C9"/>
    <w:rsid w:val="00765111"/>
    <w:rsid w:val="00765116"/>
    <w:rsid w:val="007651AC"/>
    <w:rsid w:val="0076522D"/>
    <w:rsid w:val="007654A6"/>
    <w:rsid w:val="00765545"/>
    <w:rsid w:val="0076569A"/>
    <w:rsid w:val="00765752"/>
    <w:rsid w:val="00765799"/>
    <w:rsid w:val="00765871"/>
    <w:rsid w:val="0076591D"/>
    <w:rsid w:val="00765995"/>
    <w:rsid w:val="007659FB"/>
    <w:rsid w:val="00765A67"/>
    <w:rsid w:val="00765ACB"/>
    <w:rsid w:val="00765AD1"/>
    <w:rsid w:val="00765B59"/>
    <w:rsid w:val="00765BD3"/>
    <w:rsid w:val="00765BF0"/>
    <w:rsid w:val="00765C85"/>
    <w:rsid w:val="00765CEE"/>
    <w:rsid w:val="00765D07"/>
    <w:rsid w:val="00765F10"/>
    <w:rsid w:val="00766024"/>
    <w:rsid w:val="00766026"/>
    <w:rsid w:val="00766153"/>
    <w:rsid w:val="00766207"/>
    <w:rsid w:val="00766350"/>
    <w:rsid w:val="0076646C"/>
    <w:rsid w:val="007665BD"/>
    <w:rsid w:val="007667B7"/>
    <w:rsid w:val="007667DD"/>
    <w:rsid w:val="0076680F"/>
    <w:rsid w:val="00766A18"/>
    <w:rsid w:val="00766A33"/>
    <w:rsid w:val="00766B4C"/>
    <w:rsid w:val="00766B79"/>
    <w:rsid w:val="00766C41"/>
    <w:rsid w:val="00766C77"/>
    <w:rsid w:val="00766CCB"/>
    <w:rsid w:val="00766CD1"/>
    <w:rsid w:val="00766D74"/>
    <w:rsid w:val="00766DB4"/>
    <w:rsid w:val="00766E23"/>
    <w:rsid w:val="00766F9C"/>
    <w:rsid w:val="007670AE"/>
    <w:rsid w:val="00767107"/>
    <w:rsid w:val="00767154"/>
    <w:rsid w:val="00767173"/>
    <w:rsid w:val="007671CC"/>
    <w:rsid w:val="007672BF"/>
    <w:rsid w:val="007673E4"/>
    <w:rsid w:val="00767433"/>
    <w:rsid w:val="007674A6"/>
    <w:rsid w:val="007676F9"/>
    <w:rsid w:val="00767904"/>
    <w:rsid w:val="00767B9D"/>
    <w:rsid w:val="00767BD5"/>
    <w:rsid w:val="00767C7A"/>
    <w:rsid w:val="00767DDA"/>
    <w:rsid w:val="00767E13"/>
    <w:rsid w:val="00767E46"/>
    <w:rsid w:val="00767E47"/>
    <w:rsid w:val="00767EF1"/>
    <w:rsid w:val="00770056"/>
    <w:rsid w:val="00770070"/>
    <w:rsid w:val="00770079"/>
    <w:rsid w:val="00770107"/>
    <w:rsid w:val="00770165"/>
    <w:rsid w:val="007701CA"/>
    <w:rsid w:val="00770376"/>
    <w:rsid w:val="007703B5"/>
    <w:rsid w:val="007703C7"/>
    <w:rsid w:val="0077053E"/>
    <w:rsid w:val="00770579"/>
    <w:rsid w:val="0077059F"/>
    <w:rsid w:val="007705B4"/>
    <w:rsid w:val="007705BF"/>
    <w:rsid w:val="0077066F"/>
    <w:rsid w:val="0077078A"/>
    <w:rsid w:val="0077084D"/>
    <w:rsid w:val="007708F4"/>
    <w:rsid w:val="00770A38"/>
    <w:rsid w:val="00770B21"/>
    <w:rsid w:val="00770B42"/>
    <w:rsid w:val="00770BFD"/>
    <w:rsid w:val="00770C0B"/>
    <w:rsid w:val="00770C32"/>
    <w:rsid w:val="00770C69"/>
    <w:rsid w:val="00770CA3"/>
    <w:rsid w:val="00770DB7"/>
    <w:rsid w:val="00770DD2"/>
    <w:rsid w:val="0077100C"/>
    <w:rsid w:val="00771021"/>
    <w:rsid w:val="007710E4"/>
    <w:rsid w:val="00771116"/>
    <w:rsid w:val="00771158"/>
    <w:rsid w:val="0077120B"/>
    <w:rsid w:val="0077126C"/>
    <w:rsid w:val="007712DE"/>
    <w:rsid w:val="0077145B"/>
    <w:rsid w:val="007714F4"/>
    <w:rsid w:val="007714F8"/>
    <w:rsid w:val="007714FE"/>
    <w:rsid w:val="007717D0"/>
    <w:rsid w:val="007717FE"/>
    <w:rsid w:val="00771903"/>
    <w:rsid w:val="0077192B"/>
    <w:rsid w:val="00771A19"/>
    <w:rsid w:val="00771B56"/>
    <w:rsid w:val="00771D71"/>
    <w:rsid w:val="00771D7D"/>
    <w:rsid w:val="00771E35"/>
    <w:rsid w:val="00772045"/>
    <w:rsid w:val="007720B0"/>
    <w:rsid w:val="007720E3"/>
    <w:rsid w:val="0077224F"/>
    <w:rsid w:val="007722C3"/>
    <w:rsid w:val="007722F6"/>
    <w:rsid w:val="0077236C"/>
    <w:rsid w:val="00772417"/>
    <w:rsid w:val="00772445"/>
    <w:rsid w:val="00772464"/>
    <w:rsid w:val="007724FD"/>
    <w:rsid w:val="00772564"/>
    <w:rsid w:val="00772648"/>
    <w:rsid w:val="0077264F"/>
    <w:rsid w:val="00772693"/>
    <w:rsid w:val="00772757"/>
    <w:rsid w:val="0077288A"/>
    <w:rsid w:val="0077288B"/>
    <w:rsid w:val="007728A2"/>
    <w:rsid w:val="007728AF"/>
    <w:rsid w:val="0077295A"/>
    <w:rsid w:val="007729EC"/>
    <w:rsid w:val="00772B91"/>
    <w:rsid w:val="00772CD1"/>
    <w:rsid w:val="00772CF3"/>
    <w:rsid w:val="00772DA6"/>
    <w:rsid w:val="00772E33"/>
    <w:rsid w:val="0077309D"/>
    <w:rsid w:val="007730C0"/>
    <w:rsid w:val="00773134"/>
    <w:rsid w:val="0077335D"/>
    <w:rsid w:val="007734B1"/>
    <w:rsid w:val="00773518"/>
    <w:rsid w:val="0077363D"/>
    <w:rsid w:val="00773837"/>
    <w:rsid w:val="007738CD"/>
    <w:rsid w:val="00773988"/>
    <w:rsid w:val="00773AA9"/>
    <w:rsid w:val="00773AE8"/>
    <w:rsid w:val="00773BFE"/>
    <w:rsid w:val="00773C4F"/>
    <w:rsid w:val="00773D28"/>
    <w:rsid w:val="00773D66"/>
    <w:rsid w:val="00773F8E"/>
    <w:rsid w:val="00773FAF"/>
    <w:rsid w:val="00774134"/>
    <w:rsid w:val="00774207"/>
    <w:rsid w:val="007742DC"/>
    <w:rsid w:val="007742E7"/>
    <w:rsid w:val="0077432F"/>
    <w:rsid w:val="00774347"/>
    <w:rsid w:val="0077439E"/>
    <w:rsid w:val="00774536"/>
    <w:rsid w:val="00774565"/>
    <w:rsid w:val="00774609"/>
    <w:rsid w:val="007746C0"/>
    <w:rsid w:val="00774910"/>
    <w:rsid w:val="00774B95"/>
    <w:rsid w:val="00774BBD"/>
    <w:rsid w:val="00774D2C"/>
    <w:rsid w:val="00774D3C"/>
    <w:rsid w:val="00774E75"/>
    <w:rsid w:val="00774F4B"/>
    <w:rsid w:val="00775007"/>
    <w:rsid w:val="00775067"/>
    <w:rsid w:val="0077511B"/>
    <w:rsid w:val="0077512B"/>
    <w:rsid w:val="00775257"/>
    <w:rsid w:val="00775276"/>
    <w:rsid w:val="007755DE"/>
    <w:rsid w:val="00775642"/>
    <w:rsid w:val="00775758"/>
    <w:rsid w:val="007757F4"/>
    <w:rsid w:val="007758CB"/>
    <w:rsid w:val="0077590E"/>
    <w:rsid w:val="007759E7"/>
    <w:rsid w:val="00775B14"/>
    <w:rsid w:val="00775B15"/>
    <w:rsid w:val="00775B2D"/>
    <w:rsid w:val="00775B63"/>
    <w:rsid w:val="00775BA5"/>
    <w:rsid w:val="00775CB0"/>
    <w:rsid w:val="00775E0C"/>
    <w:rsid w:val="00775FC7"/>
    <w:rsid w:val="00776044"/>
    <w:rsid w:val="007761D6"/>
    <w:rsid w:val="0077634C"/>
    <w:rsid w:val="00776515"/>
    <w:rsid w:val="0077653E"/>
    <w:rsid w:val="00776671"/>
    <w:rsid w:val="007766D4"/>
    <w:rsid w:val="007767E5"/>
    <w:rsid w:val="00776981"/>
    <w:rsid w:val="00776ACA"/>
    <w:rsid w:val="00776D41"/>
    <w:rsid w:val="00776E2E"/>
    <w:rsid w:val="00776EB6"/>
    <w:rsid w:val="00776FB0"/>
    <w:rsid w:val="0077705B"/>
    <w:rsid w:val="007770D7"/>
    <w:rsid w:val="007772CD"/>
    <w:rsid w:val="00777333"/>
    <w:rsid w:val="007773BB"/>
    <w:rsid w:val="00777417"/>
    <w:rsid w:val="00777520"/>
    <w:rsid w:val="0077754F"/>
    <w:rsid w:val="00777571"/>
    <w:rsid w:val="00777676"/>
    <w:rsid w:val="007778BE"/>
    <w:rsid w:val="007779F6"/>
    <w:rsid w:val="00777A07"/>
    <w:rsid w:val="00777A21"/>
    <w:rsid w:val="00777A89"/>
    <w:rsid w:val="00777AD6"/>
    <w:rsid w:val="00777AF4"/>
    <w:rsid w:val="00777B12"/>
    <w:rsid w:val="00777B56"/>
    <w:rsid w:val="00777D1A"/>
    <w:rsid w:val="00777D1B"/>
    <w:rsid w:val="00777D78"/>
    <w:rsid w:val="00777D90"/>
    <w:rsid w:val="00777DEA"/>
    <w:rsid w:val="00777E6F"/>
    <w:rsid w:val="00780187"/>
    <w:rsid w:val="00780191"/>
    <w:rsid w:val="007801E8"/>
    <w:rsid w:val="007801F1"/>
    <w:rsid w:val="00780312"/>
    <w:rsid w:val="00780337"/>
    <w:rsid w:val="00780479"/>
    <w:rsid w:val="00780513"/>
    <w:rsid w:val="00780579"/>
    <w:rsid w:val="00780598"/>
    <w:rsid w:val="00780666"/>
    <w:rsid w:val="00780A28"/>
    <w:rsid w:val="00780B45"/>
    <w:rsid w:val="00780C05"/>
    <w:rsid w:val="00780CAB"/>
    <w:rsid w:val="00780CFB"/>
    <w:rsid w:val="00780F27"/>
    <w:rsid w:val="00780F78"/>
    <w:rsid w:val="007810A4"/>
    <w:rsid w:val="00781146"/>
    <w:rsid w:val="007811A9"/>
    <w:rsid w:val="007811B5"/>
    <w:rsid w:val="00781295"/>
    <w:rsid w:val="007812C7"/>
    <w:rsid w:val="00781332"/>
    <w:rsid w:val="00781370"/>
    <w:rsid w:val="00781430"/>
    <w:rsid w:val="0078143A"/>
    <w:rsid w:val="007814E7"/>
    <w:rsid w:val="00781514"/>
    <w:rsid w:val="00781582"/>
    <w:rsid w:val="007817CE"/>
    <w:rsid w:val="007817F9"/>
    <w:rsid w:val="00781843"/>
    <w:rsid w:val="00781998"/>
    <w:rsid w:val="007819FD"/>
    <w:rsid w:val="00781A21"/>
    <w:rsid w:val="00781C22"/>
    <w:rsid w:val="00781CE5"/>
    <w:rsid w:val="00781CFB"/>
    <w:rsid w:val="00781FD6"/>
    <w:rsid w:val="00781FE3"/>
    <w:rsid w:val="00782058"/>
    <w:rsid w:val="007820B2"/>
    <w:rsid w:val="0078217D"/>
    <w:rsid w:val="007823A2"/>
    <w:rsid w:val="00782432"/>
    <w:rsid w:val="0078249F"/>
    <w:rsid w:val="007824E9"/>
    <w:rsid w:val="007827FC"/>
    <w:rsid w:val="00782828"/>
    <w:rsid w:val="007828DA"/>
    <w:rsid w:val="007829F0"/>
    <w:rsid w:val="00782A99"/>
    <w:rsid w:val="00782BA4"/>
    <w:rsid w:val="00782DCD"/>
    <w:rsid w:val="00782E2A"/>
    <w:rsid w:val="00782ECC"/>
    <w:rsid w:val="00782F3D"/>
    <w:rsid w:val="00782FBA"/>
    <w:rsid w:val="0078306F"/>
    <w:rsid w:val="00783140"/>
    <w:rsid w:val="007831A7"/>
    <w:rsid w:val="007831AB"/>
    <w:rsid w:val="0078325D"/>
    <w:rsid w:val="0078326C"/>
    <w:rsid w:val="0078344C"/>
    <w:rsid w:val="0078345A"/>
    <w:rsid w:val="00783477"/>
    <w:rsid w:val="007834A2"/>
    <w:rsid w:val="007834D4"/>
    <w:rsid w:val="0078356B"/>
    <w:rsid w:val="007836A2"/>
    <w:rsid w:val="0078372F"/>
    <w:rsid w:val="0078378F"/>
    <w:rsid w:val="00783819"/>
    <w:rsid w:val="0078386A"/>
    <w:rsid w:val="007838B2"/>
    <w:rsid w:val="0078393C"/>
    <w:rsid w:val="00783951"/>
    <w:rsid w:val="00783A16"/>
    <w:rsid w:val="00783BD4"/>
    <w:rsid w:val="00783DEC"/>
    <w:rsid w:val="00783E22"/>
    <w:rsid w:val="00783F07"/>
    <w:rsid w:val="00783F7E"/>
    <w:rsid w:val="00784093"/>
    <w:rsid w:val="00784116"/>
    <w:rsid w:val="007841D4"/>
    <w:rsid w:val="0078425E"/>
    <w:rsid w:val="00784396"/>
    <w:rsid w:val="0078448E"/>
    <w:rsid w:val="00784558"/>
    <w:rsid w:val="00784588"/>
    <w:rsid w:val="0078458D"/>
    <w:rsid w:val="007845FD"/>
    <w:rsid w:val="007846B6"/>
    <w:rsid w:val="00784714"/>
    <w:rsid w:val="00784723"/>
    <w:rsid w:val="00784821"/>
    <w:rsid w:val="00784880"/>
    <w:rsid w:val="0078495F"/>
    <w:rsid w:val="00784984"/>
    <w:rsid w:val="00784B88"/>
    <w:rsid w:val="00784BA7"/>
    <w:rsid w:val="00784C52"/>
    <w:rsid w:val="00784C64"/>
    <w:rsid w:val="00784D56"/>
    <w:rsid w:val="00784D8A"/>
    <w:rsid w:val="00784E12"/>
    <w:rsid w:val="00784F0E"/>
    <w:rsid w:val="00784F2A"/>
    <w:rsid w:val="0078506E"/>
    <w:rsid w:val="007850CF"/>
    <w:rsid w:val="00785157"/>
    <w:rsid w:val="0078523F"/>
    <w:rsid w:val="007852A5"/>
    <w:rsid w:val="0078530F"/>
    <w:rsid w:val="00785412"/>
    <w:rsid w:val="0078545B"/>
    <w:rsid w:val="00785466"/>
    <w:rsid w:val="00785502"/>
    <w:rsid w:val="00785594"/>
    <w:rsid w:val="00785749"/>
    <w:rsid w:val="00785837"/>
    <w:rsid w:val="007859BE"/>
    <w:rsid w:val="00785DAB"/>
    <w:rsid w:val="00785DF9"/>
    <w:rsid w:val="00785E55"/>
    <w:rsid w:val="00785EA0"/>
    <w:rsid w:val="00785F8B"/>
    <w:rsid w:val="0078626D"/>
    <w:rsid w:val="00786380"/>
    <w:rsid w:val="00786418"/>
    <w:rsid w:val="0078645F"/>
    <w:rsid w:val="007864A1"/>
    <w:rsid w:val="007864A8"/>
    <w:rsid w:val="007864D8"/>
    <w:rsid w:val="0078656F"/>
    <w:rsid w:val="007865F0"/>
    <w:rsid w:val="00786626"/>
    <w:rsid w:val="0078666A"/>
    <w:rsid w:val="00786776"/>
    <w:rsid w:val="007867C5"/>
    <w:rsid w:val="007867F9"/>
    <w:rsid w:val="0078680C"/>
    <w:rsid w:val="007868E9"/>
    <w:rsid w:val="00786A54"/>
    <w:rsid w:val="00786A7F"/>
    <w:rsid w:val="00786B5A"/>
    <w:rsid w:val="00786C6D"/>
    <w:rsid w:val="00786C77"/>
    <w:rsid w:val="00786D8A"/>
    <w:rsid w:val="00786DF9"/>
    <w:rsid w:val="00786E4B"/>
    <w:rsid w:val="00786E94"/>
    <w:rsid w:val="00787131"/>
    <w:rsid w:val="0078713F"/>
    <w:rsid w:val="007871DA"/>
    <w:rsid w:val="0078742B"/>
    <w:rsid w:val="0078745E"/>
    <w:rsid w:val="0078755C"/>
    <w:rsid w:val="00787562"/>
    <w:rsid w:val="00787577"/>
    <w:rsid w:val="007876AD"/>
    <w:rsid w:val="007876EA"/>
    <w:rsid w:val="007877A4"/>
    <w:rsid w:val="0078789B"/>
    <w:rsid w:val="00787D39"/>
    <w:rsid w:val="00787D7D"/>
    <w:rsid w:val="00787E7A"/>
    <w:rsid w:val="00787EF9"/>
    <w:rsid w:val="00787F47"/>
    <w:rsid w:val="0079006C"/>
    <w:rsid w:val="00790280"/>
    <w:rsid w:val="007903DD"/>
    <w:rsid w:val="00790550"/>
    <w:rsid w:val="00790568"/>
    <w:rsid w:val="0079064F"/>
    <w:rsid w:val="00790682"/>
    <w:rsid w:val="00790ACC"/>
    <w:rsid w:val="00790D3B"/>
    <w:rsid w:val="00790D43"/>
    <w:rsid w:val="00790D70"/>
    <w:rsid w:val="00790D7E"/>
    <w:rsid w:val="00790DF8"/>
    <w:rsid w:val="00790E23"/>
    <w:rsid w:val="00790EA7"/>
    <w:rsid w:val="00790F34"/>
    <w:rsid w:val="00790F5F"/>
    <w:rsid w:val="007911E4"/>
    <w:rsid w:val="00791244"/>
    <w:rsid w:val="00791275"/>
    <w:rsid w:val="0079129A"/>
    <w:rsid w:val="0079130F"/>
    <w:rsid w:val="00791522"/>
    <w:rsid w:val="007916A6"/>
    <w:rsid w:val="0079173F"/>
    <w:rsid w:val="00791759"/>
    <w:rsid w:val="007917EC"/>
    <w:rsid w:val="00791924"/>
    <w:rsid w:val="00791A68"/>
    <w:rsid w:val="00791A99"/>
    <w:rsid w:val="00791F2A"/>
    <w:rsid w:val="007923AF"/>
    <w:rsid w:val="0079251C"/>
    <w:rsid w:val="00792523"/>
    <w:rsid w:val="00792561"/>
    <w:rsid w:val="0079260A"/>
    <w:rsid w:val="00792773"/>
    <w:rsid w:val="00792995"/>
    <w:rsid w:val="007929BA"/>
    <w:rsid w:val="00792AD3"/>
    <w:rsid w:val="00792AE7"/>
    <w:rsid w:val="00792B59"/>
    <w:rsid w:val="00792BD7"/>
    <w:rsid w:val="00792C08"/>
    <w:rsid w:val="00792D58"/>
    <w:rsid w:val="00792D5F"/>
    <w:rsid w:val="00792F0C"/>
    <w:rsid w:val="00792F71"/>
    <w:rsid w:val="0079306F"/>
    <w:rsid w:val="007930F3"/>
    <w:rsid w:val="00793145"/>
    <w:rsid w:val="00793161"/>
    <w:rsid w:val="00793319"/>
    <w:rsid w:val="00793409"/>
    <w:rsid w:val="007934C5"/>
    <w:rsid w:val="0079364A"/>
    <w:rsid w:val="00793861"/>
    <w:rsid w:val="007938C4"/>
    <w:rsid w:val="007938E3"/>
    <w:rsid w:val="00793A27"/>
    <w:rsid w:val="00793A2C"/>
    <w:rsid w:val="00793A30"/>
    <w:rsid w:val="00793C6F"/>
    <w:rsid w:val="00793D31"/>
    <w:rsid w:val="00793D51"/>
    <w:rsid w:val="00793F73"/>
    <w:rsid w:val="0079403A"/>
    <w:rsid w:val="0079410B"/>
    <w:rsid w:val="0079416A"/>
    <w:rsid w:val="007941F6"/>
    <w:rsid w:val="0079424A"/>
    <w:rsid w:val="007943AC"/>
    <w:rsid w:val="007943BD"/>
    <w:rsid w:val="0079442A"/>
    <w:rsid w:val="00794586"/>
    <w:rsid w:val="0079463E"/>
    <w:rsid w:val="007946A4"/>
    <w:rsid w:val="007947AD"/>
    <w:rsid w:val="0079491A"/>
    <w:rsid w:val="0079491D"/>
    <w:rsid w:val="0079492F"/>
    <w:rsid w:val="00794AC0"/>
    <w:rsid w:val="00794D3B"/>
    <w:rsid w:val="00794DA9"/>
    <w:rsid w:val="00794EBC"/>
    <w:rsid w:val="00794FF9"/>
    <w:rsid w:val="007951BF"/>
    <w:rsid w:val="00795207"/>
    <w:rsid w:val="007952B0"/>
    <w:rsid w:val="00795351"/>
    <w:rsid w:val="0079545D"/>
    <w:rsid w:val="0079552E"/>
    <w:rsid w:val="007955C1"/>
    <w:rsid w:val="007955C8"/>
    <w:rsid w:val="007956E3"/>
    <w:rsid w:val="00795720"/>
    <w:rsid w:val="00795A3E"/>
    <w:rsid w:val="00795A46"/>
    <w:rsid w:val="00795B1C"/>
    <w:rsid w:val="00795BEC"/>
    <w:rsid w:val="00795D0D"/>
    <w:rsid w:val="00795D26"/>
    <w:rsid w:val="00795E73"/>
    <w:rsid w:val="00795F8D"/>
    <w:rsid w:val="00795FF1"/>
    <w:rsid w:val="00796154"/>
    <w:rsid w:val="0079616E"/>
    <w:rsid w:val="00796212"/>
    <w:rsid w:val="00796236"/>
    <w:rsid w:val="007962EB"/>
    <w:rsid w:val="00796354"/>
    <w:rsid w:val="0079639C"/>
    <w:rsid w:val="007964BD"/>
    <w:rsid w:val="0079654F"/>
    <w:rsid w:val="00796665"/>
    <w:rsid w:val="007967B4"/>
    <w:rsid w:val="00796922"/>
    <w:rsid w:val="0079695F"/>
    <w:rsid w:val="007969B4"/>
    <w:rsid w:val="00796A0D"/>
    <w:rsid w:val="00796B3E"/>
    <w:rsid w:val="00796BE1"/>
    <w:rsid w:val="00796C39"/>
    <w:rsid w:val="00796D65"/>
    <w:rsid w:val="00796DB5"/>
    <w:rsid w:val="00796DF5"/>
    <w:rsid w:val="00796E44"/>
    <w:rsid w:val="00796F8B"/>
    <w:rsid w:val="00796FF3"/>
    <w:rsid w:val="00796FF4"/>
    <w:rsid w:val="007970F6"/>
    <w:rsid w:val="0079711D"/>
    <w:rsid w:val="0079717F"/>
    <w:rsid w:val="00797192"/>
    <w:rsid w:val="007972C6"/>
    <w:rsid w:val="0079739E"/>
    <w:rsid w:val="00797587"/>
    <w:rsid w:val="00797635"/>
    <w:rsid w:val="00797705"/>
    <w:rsid w:val="0079773B"/>
    <w:rsid w:val="00797781"/>
    <w:rsid w:val="00797793"/>
    <w:rsid w:val="0079779A"/>
    <w:rsid w:val="00797802"/>
    <w:rsid w:val="00797833"/>
    <w:rsid w:val="00797943"/>
    <w:rsid w:val="007979B3"/>
    <w:rsid w:val="00797A52"/>
    <w:rsid w:val="00797B1C"/>
    <w:rsid w:val="00797B65"/>
    <w:rsid w:val="00797B6E"/>
    <w:rsid w:val="00797BA6"/>
    <w:rsid w:val="00797BE9"/>
    <w:rsid w:val="00797C10"/>
    <w:rsid w:val="00797F89"/>
    <w:rsid w:val="007A0018"/>
    <w:rsid w:val="007A0132"/>
    <w:rsid w:val="007A016D"/>
    <w:rsid w:val="007A0227"/>
    <w:rsid w:val="007A02A2"/>
    <w:rsid w:val="007A0389"/>
    <w:rsid w:val="007A0485"/>
    <w:rsid w:val="007A048F"/>
    <w:rsid w:val="007A05AD"/>
    <w:rsid w:val="007A0692"/>
    <w:rsid w:val="007A0757"/>
    <w:rsid w:val="007A08E3"/>
    <w:rsid w:val="007A09DC"/>
    <w:rsid w:val="007A0F2C"/>
    <w:rsid w:val="007A0F2D"/>
    <w:rsid w:val="007A1010"/>
    <w:rsid w:val="007A103D"/>
    <w:rsid w:val="007A109C"/>
    <w:rsid w:val="007A10AF"/>
    <w:rsid w:val="007A1100"/>
    <w:rsid w:val="007A11BA"/>
    <w:rsid w:val="007A13E2"/>
    <w:rsid w:val="007A150D"/>
    <w:rsid w:val="007A151C"/>
    <w:rsid w:val="007A163B"/>
    <w:rsid w:val="007A16DB"/>
    <w:rsid w:val="007A1705"/>
    <w:rsid w:val="007A1772"/>
    <w:rsid w:val="007A1779"/>
    <w:rsid w:val="007A17FB"/>
    <w:rsid w:val="007A1825"/>
    <w:rsid w:val="007A1903"/>
    <w:rsid w:val="007A1958"/>
    <w:rsid w:val="007A1DFA"/>
    <w:rsid w:val="007A1E07"/>
    <w:rsid w:val="007A1E67"/>
    <w:rsid w:val="007A1E70"/>
    <w:rsid w:val="007A1E83"/>
    <w:rsid w:val="007A1EDC"/>
    <w:rsid w:val="007A1F42"/>
    <w:rsid w:val="007A1F73"/>
    <w:rsid w:val="007A2196"/>
    <w:rsid w:val="007A2248"/>
    <w:rsid w:val="007A23B6"/>
    <w:rsid w:val="007A23FA"/>
    <w:rsid w:val="007A24FA"/>
    <w:rsid w:val="007A25CA"/>
    <w:rsid w:val="007A26AE"/>
    <w:rsid w:val="007A26FE"/>
    <w:rsid w:val="007A27D8"/>
    <w:rsid w:val="007A2827"/>
    <w:rsid w:val="007A285F"/>
    <w:rsid w:val="007A2BE9"/>
    <w:rsid w:val="007A2BFB"/>
    <w:rsid w:val="007A2C1F"/>
    <w:rsid w:val="007A2C8A"/>
    <w:rsid w:val="007A2D6E"/>
    <w:rsid w:val="007A2D9B"/>
    <w:rsid w:val="007A2DE0"/>
    <w:rsid w:val="007A2E00"/>
    <w:rsid w:val="007A2FAC"/>
    <w:rsid w:val="007A2FF4"/>
    <w:rsid w:val="007A3038"/>
    <w:rsid w:val="007A30BE"/>
    <w:rsid w:val="007A3148"/>
    <w:rsid w:val="007A31E7"/>
    <w:rsid w:val="007A31F4"/>
    <w:rsid w:val="007A3223"/>
    <w:rsid w:val="007A32D1"/>
    <w:rsid w:val="007A33FE"/>
    <w:rsid w:val="007A3454"/>
    <w:rsid w:val="007A3455"/>
    <w:rsid w:val="007A34C0"/>
    <w:rsid w:val="007A3501"/>
    <w:rsid w:val="007A350D"/>
    <w:rsid w:val="007A3514"/>
    <w:rsid w:val="007A363A"/>
    <w:rsid w:val="007A376E"/>
    <w:rsid w:val="007A38A2"/>
    <w:rsid w:val="007A38AB"/>
    <w:rsid w:val="007A3930"/>
    <w:rsid w:val="007A3A17"/>
    <w:rsid w:val="007A3A48"/>
    <w:rsid w:val="007A3AD2"/>
    <w:rsid w:val="007A3DCF"/>
    <w:rsid w:val="007A3FC4"/>
    <w:rsid w:val="007A4009"/>
    <w:rsid w:val="007A40B6"/>
    <w:rsid w:val="007A40F5"/>
    <w:rsid w:val="007A4134"/>
    <w:rsid w:val="007A4237"/>
    <w:rsid w:val="007A4254"/>
    <w:rsid w:val="007A4350"/>
    <w:rsid w:val="007A44D4"/>
    <w:rsid w:val="007A468C"/>
    <w:rsid w:val="007A478D"/>
    <w:rsid w:val="007A47E3"/>
    <w:rsid w:val="007A47E6"/>
    <w:rsid w:val="007A4834"/>
    <w:rsid w:val="007A4876"/>
    <w:rsid w:val="007A49A9"/>
    <w:rsid w:val="007A4A5C"/>
    <w:rsid w:val="007A4AA2"/>
    <w:rsid w:val="007A4B1C"/>
    <w:rsid w:val="007A4BA3"/>
    <w:rsid w:val="007A4C1C"/>
    <w:rsid w:val="007A4C7A"/>
    <w:rsid w:val="007A4CEC"/>
    <w:rsid w:val="007A4D37"/>
    <w:rsid w:val="007A4D9A"/>
    <w:rsid w:val="007A4DB3"/>
    <w:rsid w:val="007A4E55"/>
    <w:rsid w:val="007A4E81"/>
    <w:rsid w:val="007A4EA3"/>
    <w:rsid w:val="007A4EB4"/>
    <w:rsid w:val="007A4EE1"/>
    <w:rsid w:val="007A50B9"/>
    <w:rsid w:val="007A5140"/>
    <w:rsid w:val="007A5558"/>
    <w:rsid w:val="007A558A"/>
    <w:rsid w:val="007A5641"/>
    <w:rsid w:val="007A5810"/>
    <w:rsid w:val="007A5857"/>
    <w:rsid w:val="007A5869"/>
    <w:rsid w:val="007A58B9"/>
    <w:rsid w:val="007A59C1"/>
    <w:rsid w:val="007A5B82"/>
    <w:rsid w:val="007A5CA0"/>
    <w:rsid w:val="007A5DAC"/>
    <w:rsid w:val="007A5DAD"/>
    <w:rsid w:val="007A5DCC"/>
    <w:rsid w:val="007A5DFC"/>
    <w:rsid w:val="007A5E19"/>
    <w:rsid w:val="007A5FE4"/>
    <w:rsid w:val="007A60A0"/>
    <w:rsid w:val="007A60D3"/>
    <w:rsid w:val="007A6119"/>
    <w:rsid w:val="007A6383"/>
    <w:rsid w:val="007A63CB"/>
    <w:rsid w:val="007A660F"/>
    <w:rsid w:val="007A664E"/>
    <w:rsid w:val="007A66B9"/>
    <w:rsid w:val="007A6823"/>
    <w:rsid w:val="007A68F3"/>
    <w:rsid w:val="007A6967"/>
    <w:rsid w:val="007A6975"/>
    <w:rsid w:val="007A6BAF"/>
    <w:rsid w:val="007A6C68"/>
    <w:rsid w:val="007A6D84"/>
    <w:rsid w:val="007A6E16"/>
    <w:rsid w:val="007A6E37"/>
    <w:rsid w:val="007A6EDF"/>
    <w:rsid w:val="007A6F0C"/>
    <w:rsid w:val="007A6FF6"/>
    <w:rsid w:val="007A702D"/>
    <w:rsid w:val="007A70B0"/>
    <w:rsid w:val="007A70C1"/>
    <w:rsid w:val="007A70C4"/>
    <w:rsid w:val="007A70F8"/>
    <w:rsid w:val="007A7113"/>
    <w:rsid w:val="007A751B"/>
    <w:rsid w:val="007A7589"/>
    <w:rsid w:val="007A7670"/>
    <w:rsid w:val="007A781D"/>
    <w:rsid w:val="007A788D"/>
    <w:rsid w:val="007A795F"/>
    <w:rsid w:val="007A7A1C"/>
    <w:rsid w:val="007A7B4F"/>
    <w:rsid w:val="007A7B74"/>
    <w:rsid w:val="007A7C24"/>
    <w:rsid w:val="007A7CE8"/>
    <w:rsid w:val="007A7D79"/>
    <w:rsid w:val="007A7D8D"/>
    <w:rsid w:val="007A7EA8"/>
    <w:rsid w:val="007A7FBB"/>
    <w:rsid w:val="007B0082"/>
    <w:rsid w:val="007B018C"/>
    <w:rsid w:val="007B030A"/>
    <w:rsid w:val="007B03F3"/>
    <w:rsid w:val="007B0515"/>
    <w:rsid w:val="007B05AD"/>
    <w:rsid w:val="007B05BC"/>
    <w:rsid w:val="007B05C0"/>
    <w:rsid w:val="007B065A"/>
    <w:rsid w:val="007B08BE"/>
    <w:rsid w:val="007B08FF"/>
    <w:rsid w:val="007B0902"/>
    <w:rsid w:val="007B0A17"/>
    <w:rsid w:val="007B0A22"/>
    <w:rsid w:val="007B0A39"/>
    <w:rsid w:val="007B0A7E"/>
    <w:rsid w:val="007B0D5D"/>
    <w:rsid w:val="007B0E60"/>
    <w:rsid w:val="007B0F5D"/>
    <w:rsid w:val="007B117C"/>
    <w:rsid w:val="007B11E6"/>
    <w:rsid w:val="007B1238"/>
    <w:rsid w:val="007B1352"/>
    <w:rsid w:val="007B14A8"/>
    <w:rsid w:val="007B174E"/>
    <w:rsid w:val="007B197D"/>
    <w:rsid w:val="007B19FD"/>
    <w:rsid w:val="007B1CE9"/>
    <w:rsid w:val="007B1D85"/>
    <w:rsid w:val="007B1F1B"/>
    <w:rsid w:val="007B1FE7"/>
    <w:rsid w:val="007B211E"/>
    <w:rsid w:val="007B2159"/>
    <w:rsid w:val="007B2164"/>
    <w:rsid w:val="007B2234"/>
    <w:rsid w:val="007B2239"/>
    <w:rsid w:val="007B2262"/>
    <w:rsid w:val="007B231F"/>
    <w:rsid w:val="007B2336"/>
    <w:rsid w:val="007B23ED"/>
    <w:rsid w:val="007B24B8"/>
    <w:rsid w:val="007B2532"/>
    <w:rsid w:val="007B25A5"/>
    <w:rsid w:val="007B2663"/>
    <w:rsid w:val="007B269A"/>
    <w:rsid w:val="007B270A"/>
    <w:rsid w:val="007B29EF"/>
    <w:rsid w:val="007B2A05"/>
    <w:rsid w:val="007B2BBA"/>
    <w:rsid w:val="007B2C30"/>
    <w:rsid w:val="007B2CDD"/>
    <w:rsid w:val="007B2DE3"/>
    <w:rsid w:val="007B2E1C"/>
    <w:rsid w:val="007B2E38"/>
    <w:rsid w:val="007B2E9D"/>
    <w:rsid w:val="007B2FEC"/>
    <w:rsid w:val="007B3124"/>
    <w:rsid w:val="007B3171"/>
    <w:rsid w:val="007B3184"/>
    <w:rsid w:val="007B3210"/>
    <w:rsid w:val="007B3402"/>
    <w:rsid w:val="007B34A5"/>
    <w:rsid w:val="007B3609"/>
    <w:rsid w:val="007B36E0"/>
    <w:rsid w:val="007B378F"/>
    <w:rsid w:val="007B38B7"/>
    <w:rsid w:val="007B3A8F"/>
    <w:rsid w:val="007B3B29"/>
    <w:rsid w:val="007B3B52"/>
    <w:rsid w:val="007B3BFD"/>
    <w:rsid w:val="007B3C25"/>
    <w:rsid w:val="007B3CB2"/>
    <w:rsid w:val="007B3CF9"/>
    <w:rsid w:val="007B3E00"/>
    <w:rsid w:val="007B3E05"/>
    <w:rsid w:val="007B3E1F"/>
    <w:rsid w:val="007B3ECD"/>
    <w:rsid w:val="007B3EDE"/>
    <w:rsid w:val="007B3FFC"/>
    <w:rsid w:val="007B41F4"/>
    <w:rsid w:val="007B4206"/>
    <w:rsid w:val="007B4225"/>
    <w:rsid w:val="007B4240"/>
    <w:rsid w:val="007B42D8"/>
    <w:rsid w:val="007B447A"/>
    <w:rsid w:val="007B452F"/>
    <w:rsid w:val="007B4570"/>
    <w:rsid w:val="007B46CC"/>
    <w:rsid w:val="007B4730"/>
    <w:rsid w:val="007B485F"/>
    <w:rsid w:val="007B4876"/>
    <w:rsid w:val="007B49E4"/>
    <w:rsid w:val="007B4A1C"/>
    <w:rsid w:val="007B4B09"/>
    <w:rsid w:val="007B4C93"/>
    <w:rsid w:val="007B4D4A"/>
    <w:rsid w:val="007B4DFE"/>
    <w:rsid w:val="007B4EBE"/>
    <w:rsid w:val="007B4EFB"/>
    <w:rsid w:val="007B5124"/>
    <w:rsid w:val="007B5154"/>
    <w:rsid w:val="007B52C3"/>
    <w:rsid w:val="007B5380"/>
    <w:rsid w:val="007B53C1"/>
    <w:rsid w:val="007B5420"/>
    <w:rsid w:val="007B5459"/>
    <w:rsid w:val="007B5589"/>
    <w:rsid w:val="007B5644"/>
    <w:rsid w:val="007B5965"/>
    <w:rsid w:val="007B5980"/>
    <w:rsid w:val="007B59A8"/>
    <w:rsid w:val="007B5AD8"/>
    <w:rsid w:val="007B5B22"/>
    <w:rsid w:val="007B5B6A"/>
    <w:rsid w:val="007B5BF0"/>
    <w:rsid w:val="007B5CCE"/>
    <w:rsid w:val="007B5CF1"/>
    <w:rsid w:val="007B5E1A"/>
    <w:rsid w:val="007B5FD3"/>
    <w:rsid w:val="007B603F"/>
    <w:rsid w:val="007B6040"/>
    <w:rsid w:val="007B60AA"/>
    <w:rsid w:val="007B61F6"/>
    <w:rsid w:val="007B6293"/>
    <w:rsid w:val="007B6312"/>
    <w:rsid w:val="007B6323"/>
    <w:rsid w:val="007B6356"/>
    <w:rsid w:val="007B6385"/>
    <w:rsid w:val="007B63AD"/>
    <w:rsid w:val="007B6537"/>
    <w:rsid w:val="007B6725"/>
    <w:rsid w:val="007B67E4"/>
    <w:rsid w:val="007B688A"/>
    <w:rsid w:val="007B68E7"/>
    <w:rsid w:val="007B6946"/>
    <w:rsid w:val="007B6B70"/>
    <w:rsid w:val="007B6DBE"/>
    <w:rsid w:val="007B6EAC"/>
    <w:rsid w:val="007B6F09"/>
    <w:rsid w:val="007B6F7A"/>
    <w:rsid w:val="007B6FA1"/>
    <w:rsid w:val="007B70BB"/>
    <w:rsid w:val="007B70BD"/>
    <w:rsid w:val="007B72D9"/>
    <w:rsid w:val="007B72E0"/>
    <w:rsid w:val="007B7316"/>
    <w:rsid w:val="007B732F"/>
    <w:rsid w:val="007B7338"/>
    <w:rsid w:val="007B7403"/>
    <w:rsid w:val="007B744C"/>
    <w:rsid w:val="007B745A"/>
    <w:rsid w:val="007B74A0"/>
    <w:rsid w:val="007B75AD"/>
    <w:rsid w:val="007B760A"/>
    <w:rsid w:val="007B760C"/>
    <w:rsid w:val="007B765C"/>
    <w:rsid w:val="007B766D"/>
    <w:rsid w:val="007B76B3"/>
    <w:rsid w:val="007B7715"/>
    <w:rsid w:val="007B7780"/>
    <w:rsid w:val="007B77F5"/>
    <w:rsid w:val="007B78E9"/>
    <w:rsid w:val="007B7983"/>
    <w:rsid w:val="007B7A17"/>
    <w:rsid w:val="007B7A41"/>
    <w:rsid w:val="007B7BEA"/>
    <w:rsid w:val="007B7EF9"/>
    <w:rsid w:val="007B7F6F"/>
    <w:rsid w:val="007B7FDE"/>
    <w:rsid w:val="007C004A"/>
    <w:rsid w:val="007C0108"/>
    <w:rsid w:val="007C01FD"/>
    <w:rsid w:val="007C02EF"/>
    <w:rsid w:val="007C02F3"/>
    <w:rsid w:val="007C0305"/>
    <w:rsid w:val="007C0371"/>
    <w:rsid w:val="007C03F2"/>
    <w:rsid w:val="007C04C8"/>
    <w:rsid w:val="007C04D5"/>
    <w:rsid w:val="007C05D6"/>
    <w:rsid w:val="007C0602"/>
    <w:rsid w:val="007C067F"/>
    <w:rsid w:val="007C0807"/>
    <w:rsid w:val="007C0831"/>
    <w:rsid w:val="007C0843"/>
    <w:rsid w:val="007C0850"/>
    <w:rsid w:val="007C0A25"/>
    <w:rsid w:val="007C0AAB"/>
    <w:rsid w:val="007C0AE7"/>
    <w:rsid w:val="007C0BDA"/>
    <w:rsid w:val="007C0C81"/>
    <w:rsid w:val="007C0EA0"/>
    <w:rsid w:val="007C1014"/>
    <w:rsid w:val="007C10EA"/>
    <w:rsid w:val="007C10EE"/>
    <w:rsid w:val="007C1142"/>
    <w:rsid w:val="007C1154"/>
    <w:rsid w:val="007C11C2"/>
    <w:rsid w:val="007C11D0"/>
    <w:rsid w:val="007C14DC"/>
    <w:rsid w:val="007C1528"/>
    <w:rsid w:val="007C152B"/>
    <w:rsid w:val="007C167B"/>
    <w:rsid w:val="007C16AB"/>
    <w:rsid w:val="007C17EE"/>
    <w:rsid w:val="007C1801"/>
    <w:rsid w:val="007C18A2"/>
    <w:rsid w:val="007C1993"/>
    <w:rsid w:val="007C19FF"/>
    <w:rsid w:val="007C1A1D"/>
    <w:rsid w:val="007C1D34"/>
    <w:rsid w:val="007C1DF6"/>
    <w:rsid w:val="007C1E1E"/>
    <w:rsid w:val="007C1EB6"/>
    <w:rsid w:val="007C2078"/>
    <w:rsid w:val="007C2122"/>
    <w:rsid w:val="007C2131"/>
    <w:rsid w:val="007C2164"/>
    <w:rsid w:val="007C22FC"/>
    <w:rsid w:val="007C2361"/>
    <w:rsid w:val="007C245A"/>
    <w:rsid w:val="007C2489"/>
    <w:rsid w:val="007C2564"/>
    <w:rsid w:val="007C259D"/>
    <w:rsid w:val="007C264F"/>
    <w:rsid w:val="007C267F"/>
    <w:rsid w:val="007C2773"/>
    <w:rsid w:val="007C2858"/>
    <w:rsid w:val="007C28CF"/>
    <w:rsid w:val="007C29C1"/>
    <w:rsid w:val="007C29FE"/>
    <w:rsid w:val="007C2A1B"/>
    <w:rsid w:val="007C2A50"/>
    <w:rsid w:val="007C2A58"/>
    <w:rsid w:val="007C2B4C"/>
    <w:rsid w:val="007C2D25"/>
    <w:rsid w:val="007C2DFE"/>
    <w:rsid w:val="007C2E1A"/>
    <w:rsid w:val="007C2FB2"/>
    <w:rsid w:val="007C2FD6"/>
    <w:rsid w:val="007C313C"/>
    <w:rsid w:val="007C3183"/>
    <w:rsid w:val="007C3206"/>
    <w:rsid w:val="007C333E"/>
    <w:rsid w:val="007C341C"/>
    <w:rsid w:val="007C3471"/>
    <w:rsid w:val="007C36A7"/>
    <w:rsid w:val="007C36AB"/>
    <w:rsid w:val="007C36BF"/>
    <w:rsid w:val="007C36E9"/>
    <w:rsid w:val="007C3700"/>
    <w:rsid w:val="007C37D8"/>
    <w:rsid w:val="007C3819"/>
    <w:rsid w:val="007C382B"/>
    <w:rsid w:val="007C3945"/>
    <w:rsid w:val="007C3A16"/>
    <w:rsid w:val="007C3A38"/>
    <w:rsid w:val="007C3BCF"/>
    <w:rsid w:val="007C3C75"/>
    <w:rsid w:val="007C3E09"/>
    <w:rsid w:val="007C3E73"/>
    <w:rsid w:val="007C408B"/>
    <w:rsid w:val="007C4130"/>
    <w:rsid w:val="007C448F"/>
    <w:rsid w:val="007C4599"/>
    <w:rsid w:val="007C45BF"/>
    <w:rsid w:val="007C469D"/>
    <w:rsid w:val="007C4753"/>
    <w:rsid w:val="007C47D6"/>
    <w:rsid w:val="007C488D"/>
    <w:rsid w:val="007C4912"/>
    <w:rsid w:val="007C4924"/>
    <w:rsid w:val="007C49FD"/>
    <w:rsid w:val="007C4A5A"/>
    <w:rsid w:val="007C4D59"/>
    <w:rsid w:val="007C4DA0"/>
    <w:rsid w:val="007C4DFA"/>
    <w:rsid w:val="007C4F00"/>
    <w:rsid w:val="007C50C8"/>
    <w:rsid w:val="007C5145"/>
    <w:rsid w:val="007C51B2"/>
    <w:rsid w:val="007C51EB"/>
    <w:rsid w:val="007C5207"/>
    <w:rsid w:val="007C5265"/>
    <w:rsid w:val="007C52D8"/>
    <w:rsid w:val="007C5305"/>
    <w:rsid w:val="007C5548"/>
    <w:rsid w:val="007C55D1"/>
    <w:rsid w:val="007C5633"/>
    <w:rsid w:val="007C5675"/>
    <w:rsid w:val="007C578C"/>
    <w:rsid w:val="007C5808"/>
    <w:rsid w:val="007C5842"/>
    <w:rsid w:val="007C5DC2"/>
    <w:rsid w:val="007C5DE3"/>
    <w:rsid w:val="007C5EC6"/>
    <w:rsid w:val="007C5FCF"/>
    <w:rsid w:val="007C5FD7"/>
    <w:rsid w:val="007C62CA"/>
    <w:rsid w:val="007C6492"/>
    <w:rsid w:val="007C64BE"/>
    <w:rsid w:val="007C6737"/>
    <w:rsid w:val="007C68E1"/>
    <w:rsid w:val="007C6993"/>
    <w:rsid w:val="007C69D5"/>
    <w:rsid w:val="007C6ABC"/>
    <w:rsid w:val="007C6AC0"/>
    <w:rsid w:val="007C6AF2"/>
    <w:rsid w:val="007C6AFB"/>
    <w:rsid w:val="007C6B30"/>
    <w:rsid w:val="007C6B58"/>
    <w:rsid w:val="007C6BBC"/>
    <w:rsid w:val="007C6C07"/>
    <w:rsid w:val="007C6C74"/>
    <w:rsid w:val="007C6C8B"/>
    <w:rsid w:val="007C6D53"/>
    <w:rsid w:val="007C6E3F"/>
    <w:rsid w:val="007C6F28"/>
    <w:rsid w:val="007C70D4"/>
    <w:rsid w:val="007C72CE"/>
    <w:rsid w:val="007C7311"/>
    <w:rsid w:val="007C7337"/>
    <w:rsid w:val="007C740F"/>
    <w:rsid w:val="007C74A4"/>
    <w:rsid w:val="007C77A0"/>
    <w:rsid w:val="007C7907"/>
    <w:rsid w:val="007C7A56"/>
    <w:rsid w:val="007C7BDF"/>
    <w:rsid w:val="007C7C83"/>
    <w:rsid w:val="007C7C8A"/>
    <w:rsid w:val="007C7DCA"/>
    <w:rsid w:val="007C7E0C"/>
    <w:rsid w:val="007C7F0F"/>
    <w:rsid w:val="007D011C"/>
    <w:rsid w:val="007D0244"/>
    <w:rsid w:val="007D02E8"/>
    <w:rsid w:val="007D03A6"/>
    <w:rsid w:val="007D03C0"/>
    <w:rsid w:val="007D05F9"/>
    <w:rsid w:val="007D0620"/>
    <w:rsid w:val="007D084B"/>
    <w:rsid w:val="007D08E2"/>
    <w:rsid w:val="007D0A52"/>
    <w:rsid w:val="007D0B74"/>
    <w:rsid w:val="007D0CCA"/>
    <w:rsid w:val="007D0E03"/>
    <w:rsid w:val="007D0F77"/>
    <w:rsid w:val="007D1143"/>
    <w:rsid w:val="007D11A8"/>
    <w:rsid w:val="007D1225"/>
    <w:rsid w:val="007D12A2"/>
    <w:rsid w:val="007D12A4"/>
    <w:rsid w:val="007D12D4"/>
    <w:rsid w:val="007D135F"/>
    <w:rsid w:val="007D144F"/>
    <w:rsid w:val="007D15CD"/>
    <w:rsid w:val="007D16CB"/>
    <w:rsid w:val="007D1915"/>
    <w:rsid w:val="007D1966"/>
    <w:rsid w:val="007D1998"/>
    <w:rsid w:val="007D19F1"/>
    <w:rsid w:val="007D1A56"/>
    <w:rsid w:val="007D1C0C"/>
    <w:rsid w:val="007D1C7C"/>
    <w:rsid w:val="007D1DB5"/>
    <w:rsid w:val="007D1E31"/>
    <w:rsid w:val="007D1E50"/>
    <w:rsid w:val="007D1EB2"/>
    <w:rsid w:val="007D202F"/>
    <w:rsid w:val="007D20B8"/>
    <w:rsid w:val="007D217C"/>
    <w:rsid w:val="007D2250"/>
    <w:rsid w:val="007D2306"/>
    <w:rsid w:val="007D240C"/>
    <w:rsid w:val="007D268F"/>
    <w:rsid w:val="007D2721"/>
    <w:rsid w:val="007D275E"/>
    <w:rsid w:val="007D2773"/>
    <w:rsid w:val="007D2792"/>
    <w:rsid w:val="007D287A"/>
    <w:rsid w:val="007D28BE"/>
    <w:rsid w:val="007D290F"/>
    <w:rsid w:val="007D2935"/>
    <w:rsid w:val="007D2A48"/>
    <w:rsid w:val="007D2A8E"/>
    <w:rsid w:val="007D2AFE"/>
    <w:rsid w:val="007D2BD5"/>
    <w:rsid w:val="007D2CD7"/>
    <w:rsid w:val="007D2D00"/>
    <w:rsid w:val="007D2F13"/>
    <w:rsid w:val="007D30A2"/>
    <w:rsid w:val="007D322C"/>
    <w:rsid w:val="007D325E"/>
    <w:rsid w:val="007D32E9"/>
    <w:rsid w:val="007D34C4"/>
    <w:rsid w:val="007D3517"/>
    <w:rsid w:val="007D35A1"/>
    <w:rsid w:val="007D3721"/>
    <w:rsid w:val="007D3AEE"/>
    <w:rsid w:val="007D3B6B"/>
    <w:rsid w:val="007D3BE0"/>
    <w:rsid w:val="007D3CD9"/>
    <w:rsid w:val="007D3D63"/>
    <w:rsid w:val="007D3DE7"/>
    <w:rsid w:val="007D3E2B"/>
    <w:rsid w:val="007D3EDB"/>
    <w:rsid w:val="007D3F73"/>
    <w:rsid w:val="007D404C"/>
    <w:rsid w:val="007D412C"/>
    <w:rsid w:val="007D426B"/>
    <w:rsid w:val="007D4296"/>
    <w:rsid w:val="007D42CA"/>
    <w:rsid w:val="007D4364"/>
    <w:rsid w:val="007D44EB"/>
    <w:rsid w:val="007D4581"/>
    <w:rsid w:val="007D45D0"/>
    <w:rsid w:val="007D45D7"/>
    <w:rsid w:val="007D484B"/>
    <w:rsid w:val="007D49E0"/>
    <w:rsid w:val="007D4B69"/>
    <w:rsid w:val="007D4B7C"/>
    <w:rsid w:val="007D4F1C"/>
    <w:rsid w:val="007D5021"/>
    <w:rsid w:val="007D5295"/>
    <w:rsid w:val="007D52AB"/>
    <w:rsid w:val="007D52D9"/>
    <w:rsid w:val="007D52F6"/>
    <w:rsid w:val="007D5448"/>
    <w:rsid w:val="007D560F"/>
    <w:rsid w:val="007D56AB"/>
    <w:rsid w:val="007D5920"/>
    <w:rsid w:val="007D5AA8"/>
    <w:rsid w:val="007D5AF3"/>
    <w:rsid w:val="007D5C6B"/>
    <w:rsid w:val="007D5C9F"/>
    <w:rsid w:val="007D5CC2"/>
    <w:rsid w:val="007D5D10"/>
    <w:rsid w:val="007D5E54"/>
    <w:rsid w:val="007D5EC3"/>
    <w:rsid w:val="007D5F19"/>
    <w:rsid w:val="007D5FF1"/>
    <w:rsid w:val="007D6050"/>
    <w:rsid w:val="007D6132"/>
    <w:rsid w:val="007D61A2"/>
    <w:rsid w:val="007D6239"/>
    <w:rsid w:val="007D6242"/>
    <w:rsid w:val="007D62F3"/>
    <w:rsid w:val="007D62F7"/>
    <w:rsid w:val="007D6346"/>
    <w:rsid w:val="007D644A"/>
    <w:rsid w:val="007D6489"/>
    <w:rsid w:val="007D6609"/>
    <w:rsid w:val="007D66DD"/>
    <w:rsid w:val="007D6887"/>
    <w:rsid w:val="007D688B"/>
    <w:rsid w:val="007D6A7D"/>
    <w:rsid w:val="007D6C0E"/>
    <w:rsid w:val="007D6E40"/>
    <w:rsid w:val="007D6F7C"/>
    <w:rsid w:val="007D702D"/>
    <w:rsid w:val="007D7054"/>
    <w:rsid w:val="007D7066"/>
    <w:rsid w:val="007D70A2"/>
    <w:rsid w:val="007D71F9"/>
    <w:rsid w:val="007D721B"/>
    <w:rsid w:val="007D73E3"/>
    <w:rsid w:val="007D7557"/>
    <w:rsid w:val="007D759E"/>
    <w:rsid w:val="007D76EE"/>
    <w:rsid w:val="007D773D"/>
    <w:rsid w:val="007D78B6"/>
    <w:rsid w:val="007D796D"/>
    <w:rsid w:val="007D7B2C"/>
    <w:rsid w:val="007D7B37"/>
    <w:rsid w:val="007D7BD1"/>
    <w:rsid w:val="007D7C68"/>
    <w:rsid w:val="007D7C80"/>
    <w:rsid w:val="007D7CA8"/>
    <w:rsid w:val="007D7D35"/>
    <w:rsid w:val="007D7E4E"/>
    <w:rsid w:val="007D7FDC"/>
    <w:rsid w:val="007E0063"/>
    <w:rsid w:val="007E01B0"/>
    <w:rsid w:val="007E01D8"/>
    <w:rsid w:val="007E02D5"/>
    <w:rsid w:val="007E02DC"/>
    <w:rsid w:val="007E02F1"/>
    <w:rsid w:val="007E031F"/>
    <w:rsid w:val="007E03A2"/>
    <w:rsid w:val="007E03A7"/>
    <w:rsid w:val="007E04A6"/>
    <w:rsid w:val="007E04CF"/>
    <w:rsid w:val="007E075A"/>
    <w:rsid w:val="007E0769"/>
    <w:rsid w:val="007E07C9"/>
    <w:rsid w:val="007E0896"/>
    <w:rsid w:val="007E089D"/>
    <w:rsid w:val="007E08D7"/>
    <w:rsid w:val="007E09ED"/>
    <w:rsid w:val="007E0A84"/>
    <w:rsid w:val="007E0A86"/>
    <w:rsid w:val="007E0B6B"/>
    <w:rsid w:val="007E0C9B"/>
    <w:rsid w:val="007E0E11"/>
    <w:rsid w:val="007E0E1A"/>
    <w:rsid w:val="007E1036"/>
    <w:rsid w:val="007E114A"/>
    <w:rsid w:val="007E114E"/>
    <w:rsid w:val="007E11C4"/>
    <w:rsid w:val="007E133B"/>
    <w:rsid w:val="007E13B8"/>
    <w:rsid w:val="007E13CD"/>
    <w:rsid w:val="007E149E"/>
    <w:rsid w:val="007E1577"/>
    <w:rsid w:val="007E175B"/>
    <w:rsid w:val="007E193F"/>
    <w:rsid w:val="007E197D"/>
    <w:rsid w:val="007E1AB2"/>
    <w:rsid w:val="007E1D9E"/>
    <w:rsid w:val="007E1F25"/>
    <w:rsid w:val="007E1F37"/>
    <w:rsid w:val="007E1FE8"/>
    <w:rsid w:val="007E2067"/>
    <w:rsid w:val="007E211B"/>
    <w:rsid w:val="007E2171"/>
    <w:rsid w:val="007E218B"/>
    <w:rsid w:val="007E2222"/>
    <w:rsid w:val="007E22E2"/>
    <w:rsid w:val="007E234D"/>
    <w:rsid w:val="007E241B"/>
    <w:rsid w:val="007E2461"/>
    <w:rsid w:val="007E2490"/>
    <w:rsid w:val="007E25DF"/>
    <w:rsid w:val="007E25F7"/>
    <w:rsid w:val="007E26D0"/>
    <w:rsid w:val="007E28B3"/>
    <w:rsid w:val="007E29AA"/>
    <w:rsid w:val="007E2A9E"/>
    <w:rsid w:val="007E2B66"/>
    <w:rsid w:val="007E2C70"/>
    <w:rsid w:val="007E2CF1"/>
    <w:rsid w:val="007E2F27"/>
    <w:rsid w:val="007E2F3D"/>
    <w:rsid w:val="007E2F43"/>
    <w:rsid w:val="007E2FC4"/>
    <w:rsid w:val="007E304E"/>
    <w:rsid w:val="007E3245"/>
    <w:rsid w:val="007E3284"/>
    <w:rsid w:val="007E3373"/>
    <w:rsid w:val="007E3419"/>
    <w:rsid w:val="007E342A"/>
    <w:rsid w:val="007E3483"/>
    <w:rsid w:val="007E34F5"/>
    <w:rsid w:val="007E355C"/>
    <w:rsid w:val="007E3754"/>
    <w:rsid w:val="007E3771"/>
    <w:rsid w:val="007E37BF"/>
    <w:rsid w:val="007E389E"/>
    <w:rsid w:val="007E38D5"/>
    <w:rsid w:val="007E3A2D"/>
    <w:rsid w:val="007E3A76"/>
    <w:rsid w:val="007E3CAB"/>
    <w:rsid w:val="007E3CE2"/>
    <w:rsid w:val="007E3D38"/>
    <w:rsid w:val="007E3EC9"/>
    <w:rsid w:val="007E3ED6"/>
    <w:rsid w:val="007E3FFB"/>
    <w:rsid w:val="007E428B"/>
    <w:rsid w:val="007E4363"/>
    <w:rsid w:val="007E44BF"/>
    <w:rsid w:val="007E44D6"/>
    <w:rsid w:val="007E4722"/>
    <w:rsid w:val="007E4785"/>
    <w:rsid w:val="007E4851"/>
    <w:rsid w:val="007E48F3"/>
    <w:rsid w:val="007E4A64"/>
    <w:rsid w:val="007E4A75"/>
    <w:rsid w:val="007E4BE0"/>
    <w:rsid w:val="007E4D3A"/>
    <w:rsid w:val="007E4D4F"/>
    <w:rsid w:val="007E4D51"/>
    <w:rsid w:val="007E4D75"/>
    <w:rsid w:val="007E4E58"/>
    <w:rsid w:val="007E4EB3"/>
    <w:rsid w:val="007E50DA"/>
    <w:rsid w:val="007E513F"/>
    <w:rsid w:val="007E519F"/>
    <w:rsid w:val="007E52F4"/>
    <w:rsid w:val="007E53B9"/>
    <w:rsid w:val="007E54A2"/>
    <w:rsid w:val="007E5596"/>
    <w:rsid w:val="007E55E1"/>
    <w:rsid w:val="007E5852"/>
    <w:rsid w:val="007E5AF4"/>
    <w:rsid w:val="007E5B36"/>
    <w:rsid w:val="007E5C64"/>
    <w:rsid w:val="007E5D8E"/>
    <w:rsid w:val="007E5E60"/>
    <w:rsid w:val="007E5EF4"/>
    <w:rsid w:val="007E5F5E"/>
    <w:rsid w:val="007E6015"/>
    <w:rsid w:val="007E60EB"/>
    <w:rsid w:val="007E615C"/>
    <w:rsid w:val="007E6178"/>
    <w:rsid w:val="007E61C2"/>
    <w:rsid w:val="007E61DE"/>
    <w:rsid w:val="007E6425"/>
    <w:rsid w:val="007E658B"/>
    <w:rsid w:val="007E65EF"/>
    <w:rsid w:val="007E6736"/>
    <w:rsid w:val="007E678B"/>
    <w:rsid w:val="007E67F3"/>
    <w:rsid w:val="007E689E"/>
    <w:rsid w:val="007E68F0"/>
    <w:rsid w:val="007E694B"/>
    <w:rsid w:val="007E6972"/>
    <w:rsid w:val="007E6A05"/>
    <w:rsid w:val="007E6A8B"/>
    <w:rsid w:val="007E6C2D"/>
    <w:rsid w:val="007E6D19"/>
    <w:rsid w:val="007E6D48"/>
    <w:rsid w:val="007E6D76"/>
    <w:rsid w:val="007E6D90"/>
    <w:rsid w:val="007E6DBE"/>
    <w:rsid w:val="007E6EA8"/>
    <w:rsid w:val="007E7037"/>
    <w:rsid w:val="007E7059"/>
    <w:rsid w:val="007E7244"/>
    <w:rsid w:val="007E734C"/>
    <w:rsid w:val="007E7598"/>
    <w:rsid w:val="007E7641"/>
    <w:rsid w:val="007E76DE"/>
    <w:rsid w:val="007E7721"/>
    <w:rsid w:val="007E77FE"/>
    <w:rsid w:val="007E7C23"/>
    <w:rsid w:val="007E7CC6"/>
    <w:rsid w:val="007E7D07"/>
    <w:rsid w:val="007E7D5C"/>
    <w:rsid w:val="007E7E28"/>
    <w:rsid w:val="007E7F86"/>
    <w:rsid w:val="007E7F95"/>
    <w:rsid w:val="007F014F"/>
    <w:rsid w:val="007F020A"/>
    <w:rsid w:val="007F0254"/>
    <w:rsid w:val="007F0286"/>
    <w:rsid w:val="007F02A8"/>
    <w:rsid w:val="007F037E"/>
    <w:rsid w:val="007F0385"/>
    <w:rsid w:val="007F03F1"/>
    <w:rsid w:val="007F04C3"/>
    <w:rsid w:val="007F0523"/>
    <w:rsid w:val="007F0559"/>
    <w:rsid w:val="007F0576"/>
    <w:rsid w:val="007F05EE"/>
    <w:rsid w:val="007F062F"/>
    <w:rsid w:val="007F0774"/>
    <w:rsid w:val="007F0797"/>
    <w:rsid w:val="007F0822"/>
    <w:rsid w:val="007F082C"/>
    <w:rsid w:val="007F090E"/>
    <w:rsid w:val="007F0AB0"/>
    <w:rsid w:val="007F0B27"/>
    <w:rsid w:val="007F0B6E"/>
    <w:rsid w:val="007F0BAD"/>
    <w:rsid w:val="007F0BEF"/>
    <w:rsid w:val="007F0C58"/>
    <w:rsid w:val="007F0CC7"/>
    <w:rsid w:val="007F0CE2"/>
    <w:rsid w:val="007F0D0C"/>
    <w:rsid w:val="007F0D15"/>
    <w:rsid w:val="007F0D5A"/>
    <w:rsid w:val="007F0D6E"/>
    <w:rsid w:val="007F0DDA"/>
    <w:rsid w:val="007F0E25"/>
    <w:rsid w:val="007F0E73"/>
    <w:rsid w:val="007F0EE5"/>
    <w:rsid w:val="007F1052"/>
    <w:rsid w:val="007F10FE"/>
    <w:rsid w:val="007F114D"/>
    <w:rsid w:val="007F1193"/>
    <w:rsid w:val="007F11F9"/>
    <w:rsid w:val="007F1269"/>
    <w:rsid w:val="007F135C"/>
    <w:rsid w:val="007F13D4"/>
    <w:rsid w:val="007F14C0"/>
    <w:rsid w:val="007F14C2"/>
    <w:rsid w:val="007F1553"/>
    <w:rsid w:val="007F16A4"/>
    <w:rsid w:val="007F16B0"/>
    <w:rsid w:val="007F179A"/>
    <w:rsid w:val="007F18CF"/>
    <w:rsid w:val="007F19A6"/>
    <w:rsid w:val="007F19E5"/>
    <w:rsid w:val="007F1B81"/>
    <w:rsid w:val="007F1E1B"/>
    <w:rsid w:val="007F1E65"/>
    <w:rsid w:val="007F1F5A"/>
    <w:rsid w:val="007F1FD4"/>
    <w:rsid w:val="007F224F"/>
    <w:rsid w:val="007F2394"/>
    <w:rsid w:val="007F24F0"/>
    <w:rsid w:val="007F2543"/>
    <w:rsid w:val="007F26D1"/>
    <w:rsid w:val="007F2936"/>
    <w:rsid w:val="007F2AFC"/>
    <w:rsid w:val="007F2B37"/>
    <w:rsid w:val="007F2B6E"/>
    <w:rsid w:val="007F2C3E"/>
    <w:rsid w:val="007F2DBB"/>
    <w:rsid w:val="007F2EC2"/>
    <w:rsid w:val="007F2ED0"/>
    <w:rsid w:val="007F3093"/>
    <w:rsid w:val="007F32FA"/>
    <w:rsid w:val="007F3369"/>
    <w:rsid w:val="007F343C"/>
    <w:rsid w:val="007F37B2"/>
    <w:rsid w:val="007F3880"/>
    <w:rsid w:val="007F3A40"/>
    <w:rsid w:val="007F3B86"/>
    <w:rsid w:val="007F3C06"/>
    <w:rsid w:val="007F3CD4"/>
    <w:rsid w:val="007F3D93"/>
    <w:rsid w:val="007F3E07"/>
    <w:rsid w:val="007F3F17"/>
    <w:rsid w:val="007F3F29"/>
    <w:rsid w:val="007F3F7D"/>
    <w:rsid w:val="007F3F9B"/>
    <w:rsid w:val="007F4050"/>
    <w:rsid w:val="007F419D"/>
    <w:rsid w:val="007F424A"/>
    <w:rsid w:val="007F43F4"/>
    <w:rsid w:val="007F4442"/>
    <w:rsid w:val="007F449C"/>
    <w:rsid w:val="007F476D"/>
    <w:rsid w:val="007F48BD"/>
    <w:rsid w:val="007F49E6"/>
    <w:rsid w:val="007F4ADB"/>
    <w:rsid w:val="007F4B12"/>
    <w:rsid w:val="007F4BF8"/>
    <w:rsid w:val="007F4C93"/>
    <w:rsid w:val="007F4D80"/>
    <w:rsid w:val="007F4D8A"/>
    <w:rsid w:val="007F4EBC"/>
    <w:rsid w:val="007F4F3D"/>
    <w:rsid w:val="007F4F63"/>
    <w:rsid w:val="007F510F"/>
    <w:rsid w:val="007F51C4"/>
    <w:rsid w:val="007F52BE"/>
    <w:rsid w:val="007F53D5"/>
    <w:rsid w:val="007F5497"/>
    <w:rsid w:val="007F566B"/>
    <w:rsid w:val="007F5811"/>
    <w:rsid w:val="007F588F"/>
    <w:rsid w:val="007F58A2"/>
    <w:rsid w:val="007F58AE"/>
    <w:rsid w:val="007F58CA"/>
    <w:rsid w:val="007F58F6"/>
    <w:rsid w:val="007F5BED"/>
    <w:rsid w:val="007F5F6E"/>
    <w:rsid w:val="007F5FEC"/>
    <w:rsid w:val="007F609A"/>
    <w:rsid w:val="007F6118"/>
    <w:rsid w:val="007F6331"/>
    <w:rsid w:val="007F6483"/>
    <w:rsid w:val="007F64DA"/>
    <w:rsid w:val="007F660A"/>
    <w:rsid w:val="007F67A6"/>
    <w:rsid w:val="007F68D8"/>
    <w:rsid w:val="007F68F9"/>
    <w:rsid w:val="007F69C2"/>
    <w:rsid w:val="007F6A1F"/>
    <w:rsid w:val="007F6A66"/>
    <w:rsid w:val="007F6BFB"/>
    <w:rsid w:val="007F6C98"/>
    <w:rsid w:val="007F6CA5"/>
    <w:rsid w:val="007F6E5A"/>
    <w:rsid w:val="007F6E8E"/>
    <w:rsid w:val="007F7028"/>
    <w:rsid w:val="007F714D"/>
    <w:rsid w:val="007F7227"/>
    <w:rsid w:val="007F72E0"/>
    <w:rsid w:val="007F735E"/>
    <w:rsid w:val="007F7375"/>
    <w:rsid w:val="007F7384"/>
    <w:rsid w:val="007F73CC"/>
    <w:rsid w:val="007F7439"/>
    <w:rsid w:val="007F748C"/>
    <w:rsid w:val="007F74CA"/>
    <w:rsid w:val="007F7544"/>
    <w:rsid w:val="007F75A0"/>
    <w:rsid w:val="007F7656"/>
    <w:rsid w:val="007F76A5"/>
    <w:rsid w:val="007F7755"/>
    <w:rsid w:val="007F77E8"/>
    <w:rsid w:val="007F7A09"/>
    <w:rsid w:val="007F7ABC"/>
    <w:rsid w:val="007F7AEB"/>
    <w:rsid w:val="007F7C2F"/>
    <w:rsid w:val="007F7C51"/>
    <w:rsid w:val="007F7C6C"/>
    <w:rsid w:val="007F7E72"/>
    <w:rsid w:val="007F7E7B"/>
    <w:rsid w:val="007F7E9A"/>
    <w:rsid w:val="0080000C"/>
    <w:rsid w:val="00800122"/>
    <w:rsid w:val="00800125"/>
    <w:rsid w:val="00800189"/>
    <w:rsid w:val="008001F9"/>
    <w:rsid w:val="0080028F"/>
    <w:rsid w:val="008002BA"/>
    <w:rsid w:val="008002D6"/>
    <w:rsid w:val="00800468"/>
    <w:rsid w:val="0080056B"/>
    <w:rsid w:val="008006A8"/>
    <w:rsid w:val="00800748"/>
    <w:rsid w:val="00800966"/>
    <w:rsid w:val="0080097F"/>
    <w:rsid w:val="00800A14"/>
    <w:rsid w:val="00800A1D"/>
    <w:rsid w:val="00800B2D"/>
    <w:rsid w:val="00800B63"/>
    <w:rsid w:val="00800BBA"/>
    <w:rsid w:val="00800BD1"/>
    <w:rsid w:val="00800BDE"/>
    <w:rsid w:val="00800C12"/>
    <w:rsid w:val="00800C87"/>
    <w:rsid w:val="00800D11"/>
    <w:rsid w:val="00800DA9"/>
    <w:rsid w:val="00800DB9"/>
    <w:rsid w:val="00800DCC"/>
    <w:rsid w:val="00800FDB"/>
    <w:rsid w:val="00800FFA"/>
    <w:rsid w:val="00801041"/>
    <w:rsid w:val="0080109B"/>
    <w:rsid w:val="008010E8"/>
    <w:rsid w:val="008011EC"/>
    <w:rsid w:val="00801301"/>
    <w:rsid w:val="008015F7"/>
    <w:rsid w:val="0080163B"/>
    <w:rsid w:val="008019B3"/>
    <w:rsid w:val="00801D1E"/>
    <w:rsid w:val="0080201B"/>
    <w:rsid w:val="008020AD"/>
    <w:rsid w:val="0080219A"/>
    <w:rsid w:val="0080220B"/>
    <w:rsid w:val="0080231E"/>
    <w:rsid w:val="0080238D"/>
    <w:rsid w:val="008023C2"/>
    <w:rsid w:val="008024D1"/>
    <w:rsid w:val="0080250F"/>
    <w:rsid w:val="008025BD"/>
    <w:rsid w:val="008025E1"/>
    <w:rsid w:val="008026F5"/>
    <w:rsid w:val="0080271A"/>
    <w:rsid w:val="008027EE"/>
    <w:rsid w:val="008028C9"/>
    <w:rsid w:val="00802989"/>
    <w:rsid w:val="00802AE7"/>
    <w:rsid w:val="00802C25"/>
    <w:rsid w:val="00802D75"/>
    <w:rsid w:val="00802DBB"/>
    <w:rsid w:val="00802DE5"/>
    <w:rsid w:val="00802E33"/>
    <w:rsid w:val="00802F34"/>
    <w:rsid w:val="00803006"/>
    <w:rsid w:val="00803499"/>
    <w:rsid w:val="008034BB"/>
    <w:rsid w:val="008034CA"/>
    <w:rsid w:val="0080353B"/>
    <w:rsid w:val="0080354F"/>
    <w:rsid w:val="008036BF"/>
    <w:rsid w:val="008036ED"/>
    <w:rsid w:val="00803799"/>
    <w:rsid w:val="008037C9"/>
    <w:rsid w:val="00803814"/>
    <w:rsid w:val="00803876"/>
    <w:rsid w:val="0080387F"/>
    <w:rsid w:val="008038E1"/>
    <w:rsid w:val="00803B0B"/>
    <w:rsid w:val="00803B11"/>
    <w:rsid w:val="00803C21"/>
    <w:rsid w:val="00803C81"/>
    <w:rsid w:val="00803C8D"/>
    <w:rsid w:val="00803CE6"/>
    <w:rsid w:val="00803D21"/>
    <w:rsid w:val="00803FAA"/>
    <w:rsid w:val="00803FDE"/>
    <w:rsid w:val="008040FF"/>
    <w:rsid w:val="00804232"/>
    <w:rsid w:val="008042A9"/>
    <w:rsid w:val="00804441"/>
    <w:rsid w:val="00804599"/>
    <w:rsid w:val="008045C3"/>
    <w:rsid w:val="008045D6"/>
    <w:rsid w:val="0080464A"/>
    <w:rsid w:val="00804862"/>
    <w:rsid w:val="00804952"/>
    <w:rsid w:val="00804C73"/>
    <w:rsid w:val="00804CEF"/>
    <w:rsid w:val="00804D0E"/>
    <w:rsid w:val="0080500F"/>
    <w:rsid w:val="0080511B"/>
    <w:rsid w:val="00805130"/>
    <w:rsid w:val="00805225"/>
    <w:rsid w:val="008052C8"/>
    <w:rsid w:val="0080532B"/>
    <w:rsid w:val="008053F3"/>
    <w:rsid w:val="00805455"/>
    <w:rsid w:val="008054B3"/>
    <w:rsid w:val="008054CE"/>
    <w:rsid w:val="008055D0"/>
    <w:rsid w:val="00805611"/>
    <w:rsid w:val="008056F9"/>
    <w:rsid w:val="00805900"/>
    <w:rsid w:val="00805923"/>
    <w:rsid w:val="00805AE6"/>
    <w:rsid w:val="00805C85"/>
    <w:rsid w:val="00805DF8"/>
    <w:rsid w:val="00805E03"/>
    <w:rsid w:val="00805F8A"/>
    <w:rsid w:val="00806149"/>
    <w:rsid w:val="00806380"/>
    <w:rsid w:val="008063B7"/>
    <w:rsid w:val="00806495"/>
    <w:rsid w:val="00806587"/>
    <w:rsid w:val="0080673F"/>
    <w:rsid w:val="00806774"/>
    <w:rsid w:val="008067E6"/>
    <w:rsid w:val="0080681B"/>
    <w:rsid w:val="00806A28"/>
    <w:rsid w:val="00806A79"/>
    <w:rsid w:val="00806D60"/>
    <w:rsid w:val="00806D71"/>
    <w:rsid w:val="00806E1A"/>
    <w:rsid w:val="00806EE6"/>
    <w:rsid w:val="00806F2D"/>
    <w:rsid w:val="00806F86"/>
    <w:rsid w:val="0080708B"/>
    <w:rsid w:val="008070B3"/>
    <w:rsid w:val="008070BC"/>
    <w:rsid w:val="0080714D"/>
    <w:rsid w:val="008071A8"/>
    <w:rsid w:val="008071D7"/>
    <w:rsid w:val="0080721D"/>
    <w:rsid w:val="0080722F"/>
    <w:rsid w:val="00807319"/>
    <w:rsid w:val="00807328"/>
    <w:rsid w:val="00807381"/>
    <w:rsid w:val="008073D0"/>
    <w:rsid w:val="0080745C"/>
    <w:rsid w:val="00807843"/>
    <w:rsid w:val="008078FE"/>
    <w:rsid w:val="00807927"/>
    <w:rsid w:val="00807A4B"/>
    <w:rsid w:val="00807A93"/>
    <w:rsid w:val="00807AA1"/>
    <w:rsid w:val="00807BE7"/>
    <w:rsid w:val="00807D82"/>
    <w:rsid w:val="00807EE4"/>
    <w:rsid w:val="00807FCC"/>
    <w:rsid w:val="00810037"/>
    <w:rsid w:val="0081035E"/>
    <w:rsid w:val="00810517"/>
    <w:rsid w:val="00810545"/>
    <w:rsid w:val="008106CD"/>
    <w:rsid w:val="0081087E"/>
    <w:rsid w:val="00810888"/>
    <w:rsid w:val="0081093C"/>
    <w:rsid w:val="008109B1"/>
    <w:rsid w:val="00810A59"/>
    <w:rsid w:val="00810ACD"/>
    <w:rsid w:val="00810B79"/>
    <w:rsid w:val="00810DFB"/>
    <w:rsid w:val="00810E09"/>
    <w:rsid w:val="00810EFE"/>
    <w:rsid w:val="008111BA"/>
    <w:rsid w:val="008112CB"/>
    <w:rsid w:val="00811377"/>
    <w:rsid w:val="00811380"/>
    <w:rsid w:val="008113B4"/>
    <w:rsid w:val="008113D2"/>
    <w:rsid w:val="00811659"/>
    <w:rsid w:val="0081176A"/>
    <w:rsid w:val="00811857"/>
    <w:rsid w:val="008118A9"/>
    <w:rsid w:val="008118C0"/>
    <w:rsid w:val="00811918"/>
    <w:rsid w:val="008119D1"/>
    <w:rsid w:val="00811A11"/>
    <w:rsid w:val="00811B3E"/>
    <w:rsid w:val="00811B6F"/>
    <w:rsid w:val="00811BA3"/>
    <w:rsid w:val="00811D40"/>
    <w:rsid w:val="00811DC7"/>
    <w:rsid w:val="00811E11"/>
    <w:rsid w:val="00811E90"/>
    <w:rsid w:val="00811FD4"/>
    <w:rsid w:val="008120F5"/>
    <w:rsid w:val="0081211A"/>
    <w:rsid w:val="008121CC"/>
    <w:rsid w:val="00812222"/>
    <w:rsid w:val="008123BB"/>
    <w:rsid w:val="00812402"/>
    <w:rsid w:val="00812501"/>
    <w:rsid w:val="00812504"/>
    <w:rsid w:val="00812657"/>
    <w:rsid w:val="008126D7"/>
    <w:rsid w:val="00812730"/>
    <w:rsid w:val="008128A1"/>
    <w:rsid w:val="00812A66"/>
    <w:rsid w:val="00812AD7"/>
    <w:rsid w:val="00812B2A"/>
    <w:rsid w:val="00812B3A"/>
    <w:rsid w:val="00812B61"/>
    <w:rsid w:val="00812BAC"/>
    <w:rsid w:val="00812BC4"/>
    <w:rsid w:val="00812C55"/>
    <w:rsid w:val="00812DD5"/>
    <w:rsid w:val="00812DE8"/>
    <w:rsid w:val="00812E12"/>
    <w:rsid w:val="00812ECF"/>
    <w:rsid w:val="008130E2"/>
    <w:rsid w:val="00813175"/>
    <w:rsid w:val="008131DD"/>
    <w:rsid w:val="00813227"/>
    <w:rsid w:val="00813268"/>
    <w:rsid w:val="0081329E"/>
    <w:rsid w:val="0081350E"/>
    <w:rsid w:val="00813527"/>
    <w:rsid w:val="0081356B"/>
    <w:rsid w:val="00813630"/>
    <w:rsid w:val="00813667"/>
    <w:rsid w:val="00813694"/>
    <w:rsid w:val="00813730"/>
    <w:rsid w:val="0081387F"/>
    <w:rsid w:val="00813BE1"/>
    <w:rsid w:val="00813C0C"/>
    <w:rsid w:val="00813C6E"/>
    <w:rsid w:val="00813CD3"/>
    <w:rsid w:val="00813CEB"/>
    <w:rsid w:val="00813DB0"/>
    <w:rsid w:val="00813E13"/>
    <w:rsid w:val="00813E4A"/>
    <w:rsid w:val="00813EDF"/>
    <w:rsid w:val="00813F36"/>
    <w:rsid w:val="00814070"/>
    <w:rsid w:val="0081408E"/>
    <w:rsid w:val="008140A3"/>
    <w:rsid w:val="0081414F"/>
    <w:rsid w:val="008141B3"/>
    <w:rsid w:val="008142AD"/>
    <w:rsid w:val="00814343"/>
    <w:rsid w:val="00814367"/>
    <w:rsid w:val="008143B4"/>
    <w:rsid w:val="0081442C"/>
    <w:rsid w:val="00814443"/>
    <w:rsid w:val="00814593"/>
    <w:rsid w:val="00814653"/>
    <w:rsid w:val="008146CC"/>
    <w:rsid w:val="0081473D"/>
    <w:rsid w:val="00814902"/>
    <w:rsid w:val="00814920"/>
    <w:rsid w:val="00814989"/>
    <w:rsid w:val="00814993"/>
    <w:rsid w:val="00814B0B"/>
    <w:rsid w:val="00814EB3"/>
    <w:rsid w:val="00814F4B"/>
    <w:rsid w:val="0081516D"/>
    <w:rsid w:val="008151A1"/>
    <w:rsid w:val="008152A7"/>
    <w:rsid w:val="008152AA"/>
    <w:rsid w:val="00815351"/>
    <w:rsid w:val="008153C1"/>
    <w:rsid w:val="0081546F"/>
    <w:rsid w:val="008154D2"/>
    <w:rsid w:val="00815521"/>
    <w:rsid w:val="0081552A"/>
    <w:rsid w:val="008155B7"/>
    <w:rsid w:val="008155D4"/>
    <w:rsid w:val="00815625"/>
    <w:rsid w:val="00815977"/>
    <w:rsid w:val="00815B09"/>
    <w:rsid w:val="00815CBE"/>
    <w:rsid w:val="00815E21"/>
    <w:rsid w:val="00815E57"/>
    <w:rsid w:val="00815EAA"/>
    <w:rsid w:val="00815EF1"/>
    <w:rsid w:val="00815F38"/>
    <w:rsid w:val="008160B1"/>
    <w:rsid w:val="00816105"/>
    <w:rsid w:val="0081633C"/>
    <w:rsid w:val="0081639C"/>
    <w:rsid w:val="00816483"/>
    <w:rsid w:val="00816725"/>
    <w:rsid w:val="008168B8"/>
    <w:rsid w:val="00816C2F"/>
    <w:rsid w:val="00816C7C"/>
    <w:rsid w:val="00816C88"/>
    <w:rsid w:val="00816D28"/>
    <w:rsid w:val="00816D59"/>
    <w:rsid w:val="00816F20"/>
    <w:rsid w:val="00817044"/>
    <w:rsid w:val="0081705C"/>
    <w:rsid w:val="00817084"/>
    <w:rsid w:val="008170EE"/>
    <w:rsid w:val="00817164"/>
    <w:rsid w:val="008172E2"/>
    <w:rsid w:val="00817312"/>
    <w:rsid w:val="008173FD"/>
    <w:rsid w:val="00817444"/>
    <w:rsid w:val="0081744B"/>
    <w:rsid w:val="00817474"/>
    <w:rsid w:val="008178E8"/>
    <w:rsid w:val="00817950"/>
    <w:rsid w:val="00817AC4"/>
    <w:rsid w:val="00817B8F"/>
    <w:rsid w:val="00817B9D"/>
    <w:rsid w:val="00817C33"/>
    <w:rsid w:val="00817C83"/>
    <w:rsid w:val="00817C87"/>
    <w:rsid w:val="00817D4A"/>
    <w:rsid w:val="00817D70"/>
    <w:rsid w:val="00817D99"/>
    <w:rsid w:val="00817E15"/>
    <w:rsid w:val="00817E6C"/>
    <w:rsid w:val="00817E93"/>
    <w:rsid w:val="00817EDD"/>
    <w:rsid w:val="00817EE1"/>
    <w:rsid w:val="00817EE4"/>
    <w:rsid w:val="008200C1"/>
    <w:rsid w:val="008201F4"/>
    <w:rsid w:val="00820215"/>
    <w:rsid w:val="008202BE"/>
    <w:rsid w:val="0082059F"/>
    <w:rsid w:val="008205BB"/>
    <w:rsid w:val="0082079A"/>
    <w:rsid w:val="008207F1"/>
    <w:rsid w:val="008209B7"/>
    <w:rsid w:val="00820BC9"/>
    <w:rsid w:val="00820BD1"/>
    <w:rsid w:val="00820C3E"/>
    <w:rsid w:val="00820C8C"/>
    <w:rsid w:val="00820C94"/>
    <w:rsid w:val="00820CA6"/>
    <w:rsid w:val="00820D55"/>
    <w:rsid w:val="00820D92"/>
    <w:rsid w:val="00820DF0"/>
    <w:rsid w:val="00821078"/>
    <w:rsid w:val="00821127"/>
    <w:rsid w:val="008211C0"/>
    <w:rsid w:val="0082136F"/>
    <w:rsid w:val="00821619"/>
    <w:rsid w:val="00821696"/>
    <w:rsid w:val="008216E0"/>
    <w:rsid w:val="008217AB"/>
    <w:rsid w:val="00821838"/>
    <w:rsid w:val="00821898"/>
    <w:rsid w:val="00821922"/>
    <w:rsid w:val="00821A05"/>
    <w:rsid w:val="00821D0C"/>
    <w:rsid w:val="00821D69"/>
    <w:rsid w:val="00821E8D"/>
    <w:rsid w:val="00821F3C"/>
    <w:rsid w:val="00822009"/>
    <w:rsid w:val="008220AC"/>
    <w:rsid w:val="008220E3"/>
    <w:rsid w:val="00822104"/>
    <w:rsid w:val="0082217F"/>
    <w:rsid w:val="008222B6"/>
    <w:rsid w:val="0082241B"/>
    <w:rsid w:val="008225FE"/>
    <w:rsid w:val="00822620"/>
    <w:rsid w:val="0082274A"/>
    <w:rsid w:val="00822785"/>
    <w:rsid w:val="0082278C"/>
    <w:rsid w:val="008227F4"/>
    <w:rsid w:val="008228FC"/>
    <w:rsid w:val="00822907"/>
    <w:rsid w:val="00822A15"/>
    <w:rsid w:val="00822B19"/>
    <w:rsid w:val="00822B5C"/>
    <w:rsid w:val="00822B72"/>
    <w:rsid w:val="00822BAF"/>
    <w:rsid w:val="00822C0F"/>
    <w:rsid w:val="00822CFB"/>
    <w:rsid w:val="00822E32"/>
    <w:rsid w:val="00822EEB"/>
    <w:rsid w:val="00822FC0"/>
    <w:rsid w:val="00823037"/>
    <w:rsid w:val="00823059"/>
    <w:rsid w:val="00823161"/>
    <w:rsid w:val="008231A8"/>
    <w:rsid w:val="008231D0"/>
    <w:rsid w:val="008231DC"/>
    <w:rsid w:val="00823252"/>
    <w:rsid w:val="008232FE"/>
    <w:rsid w:val="008233D9"/>
    <w:rsid w:val="008233FC"/>
    <w:rsid w:val="00823400"/>
    <w:rsid w:val="00823428"/>
    <w:rsid w:val="00823521"/>
    <w:rsid w:val="00823580"/>
    <w:rsid w:val="008235B3"/>
    <w:rsid w:val="008238C9"/>
    <w:rsid w:val="00823AA0"/>
    <w:rsid w:val="00823BD8"/>
    <w:rsid w:val="00823CB2"/>
    <w:rsid w:val="00823CB5"/>
    <w:rsid w:val="00823D24"/>
    <w:rsid w:val="00823D4D"/>
    <w:rsid w:val="00823D8F"/>
    <w:rsid w:val="00823D99"/>
    <w:rsid w:val="00823D9F"/>
    <w:rsid w:val="00823DAD"/>
    <w:rsid w:val="00823DE9"/>
    <w:rsid w:val="00823DF4"/>
    <w:rsid w:val="00823EE8"/>
    <w:rsid w:val="00823F9A"/>
    <w:rsid w:val="00824085"/>
    <w:rsid w:val="0082413A"/>
    <w:rsid w:val="00824151"/>
    <w:rsid w:val="0082426D"/>
    <w:rsid w:val="00824317"/>
    <w:rsid w:val="00824502"/>
    <w:rsid w:val="00824511"/>
    <w:rsid w:val="0082466E"/>
    <w:rsid w:val="0082467D"/>
    <w:rsid w:val="00824723"/>
    <w:rsid w:val="0082473E"/>
    <w:rsid w:val="00824D37"/>
    <w:rsid w:val="00824D59"/>
    <w:rsid w:val="00824DED"/>
    <w:rsid w:val="00824E07"/>
    <w:rsid w:val="00824E41"/>
    <w:rsid w:val="00824EBA"/>
    <w:rsid w:val="008250FF"/>
    <w:rsid w:val="008251A1"/>
    <w:rsid w:val="008251C3"/>
    <w:rsid w:val="008252B4"/>
    <w:rsid w:val="00825316"/>
    <w:rsid w:val="008253FB"/>
    <w:rsid w:val="00825541"/>
    <w:rsid w:val="008255C6"/>
    <w:rsid w:val="00825656"/>
    <w:rsid w:val="00825957"/>
    <w:rsid w:val="00825B41"/>
    <w:rsid w:val="00825D24"/>
    <w:rsid w:val="00825DC2"/>
    <w:rsid w:val="00825FAF"/>
    <w:rsid w:val="00826031"/>
    <w:rsid w:val="0082608A"/>
    <w:rsid w:val="0082618B"/>
    <w:rsid w:val="00826313"/>
    <w:rsid w:val="008263CB"/>
    <w:rsid w:val="00826433"/>
    <w:rsid w:val="00826443"/>
    <w:rsid w:val="0082649A"/>
    <w:rsid w:val="008264C5"/>
    <w:rsid w:val="008264DE"/>
    <w:rsid w:val="008265F9"/>
    <w:rsid w:val="0082664D"/>
    <w:rsid w:val="00826756"/>
    <w:rsid w:val="008267BE"/>
    <w:rsid w:val="008267C4"/>
    <w:rsid w:val="008267F1"/>
    <w:rsid w:val="0082693B"/>
    <w:rsid w:val="00826991"/>
    <w:rsid w:val="00826ADB"/>
    <w:rsid w:val="00826B2B"/>
    <w:rsid w:val="00826BFF"/>
    <w:rsid w:val="00826C52"/>
    <w:rsid w:val="00826CC9"/>
    <w:rsid w:val="00826D25"/>
    <w:rsid w:val="00826F70"/>
    <w:rsid w:val="00826F86"/>
    <w:rsid w:val="008270FE"/>
    <w:rsid w:val="0082722F"/>
    <w:rsid w:val="00827422"/>
    <w:rsid w:val="00827480"/>
    <w:rsid w:val="008275AB"/>
    <w:rsid w:val="0082761B"/>
    <w:rsid w:val="008276A8"/>
    <w:rsid w:val="0082773B"/>
    <w:rsid w:val="00827864"/>
    <w:rsid w:val="0082787C"/>
    <w:rsid w:val="008278B2"/>
    <w:rsid w:val="008279F8"/>
    <w:rsid w:val="00827A29"/>
    <w:rsid w:val="00827A4B"/>
    <w:rsid w:val="00827AA9"/>
    <w:rsid w:val="00827AE8"/>
    <w:rsid w:val="00827C3B"/>
    <w:rsid w:val="00827D38"/>
    <w:rsid w:val="00827DA2"/>
    <w:rsid w:val="00827E41"/>
    <w:rsid w:val="00827E5F"/>
    <w:rsid w:val="00830171"/>
    <w:rsid w:val="00830226"/>
    <w:rsid w:val="00830238"/>
    <w:rsid w:val="00830240"/>
    <w:rsid w:val="00830250"/>
    <w:rsid w:val="0083025C"/>
    <w:rsid w:val="00830464"/>
    <w:rsid w:val="00830635"/>
    <w:rsid w:val="00830709"/>
    <w:rsid w:val="00830764"/>
    <w:rsid w:val="008307A3"/>
    <w:rsid w:val="00830824"/>
    <w:rsid w:val="00830A08"/>
    <w:rsid w:val="00830A22"/>
    <w:rsid w:val="00830A50"/>
    <w:rsid w:val="00830B21"/>
    <w:rsid w:val="00830C06"/>
    <w:rsid w:val="00830CF8"/>
    <w:rsid w:val="00830D15"/>
    <w:rsid w:val="00830FCD"/>
    <w:rsid w:val="00831113"/>
    <w:rsid w:val="0083118E"/>
    <w:rsid w:val="008312F3"/>
    <w:rsid w:val="008313F4"/>
    <w:rsid w:val="008314C2"/>
    <w:rsid w:val="00831522"/>
    <w:rsid w:val="008316A8"/>
    <w:rsid w:val="008317E8"/>
    <w:rsid w:val="00831800"/>
    <w:rsid w:val="00831840"/>
    <w:rsid w:val="00831863"/>
    <w:rsid w:val="008318A6"/>
    <w:rsid w:val="008318DA"/>
    <w:rsid w:val="0083191E"/>
    <w:rsid w:val="00831999"/>
    <w:rsid w:val="008319C2"/>
    <w:rsid w:val="00831B0E"/>
    <w:rsid w:val="00831C1D"/>
    <w:rsid w:val="00831C66"/>
    <w:rsid w:val="00831C83"/>
    <w:rsid w:val="00831CA2"/>
    <w:rsid w:val="00831D21"/>
    <w:rsid w:val="008320D9"/>
    <w:rsid w:val="008321B9"/>
    <w:rsid w:val="008321E9"/>
    <w:rsid w:val="00832209"/>
    <w:rsid w:val="008323B8"/>
    <w:rsid w:val="0083242B"/>
    <w:rsid w:val="008325C5"/>
    <w:rsid w:val="008326E2"/>
    <w:rsid w:val="0083281F"/>
    <w:rsid w:val="008328A5"/>
    <w:rsid w:val="00832909"/>
    <w:rsid w:val="0083290A"/>
    <w:rsid w:val="00832980"/>
    <w:rsid w:val="0083298D"/>
    <w:rsid w:val="008329C1"/>
    <w:rsid w:val="00832CC4"/>
    <w:rsid w:val="00832DA4"/>
    <w:rsid w:val="00832F11"/>
    <w:rsid w:val="00833177"/>
    <w:rsid w:val="008331CA"/>
    <w:rsid w:val="008333EB"/>
    <w:rsid w:val="00833428"/>
    <w:rsid w:val="008334D6"/>
    <w:rsid w:val="00833842"/>
    <w:rsid w:val="008338E7"/>
    <w:rsid w:val="00833A4D"/>
    <w:rsid w:val="00833C96"/>
    <w:rsid w:val="00833EFD"/>
    <w:rsid w:val="00833FA9"/>
    <w:rsid w:val="00834023"/>
    <w:rsid w:val="008342C5"/>
    <w:rsid w:val="008343CF"/>
    <w:rsid w:val="00834414"/>
    <w:rsid w:val="00834416"/>
    <w:rsid w:val="0083448F"/>
    <w:rsid w:val="008344AC"/>
    <w:rsid w:val="00834719"/>
    <w:rsid w:val="008347F8"/>
    <w:rsid w:val="008348EA"/>
    <w:rsid w:val="0083496F"/>
    <w:rsid w:val="008349FD"/>
    <w:rsid w:val="00834A89"/>
    <w:rsid w:val="00834A9B"/>
    <w:rsid w:val="00834AF2"/>
    <w:rsid w:val="00834C77"/>
    <w:rsid w:val="00834EFE"/>
    <w:rsid w:val="00834F60"/>
    <w:rsid w:val="0083503C"/>
    <w:rsid w:val="0083512F"/>
    <w:rsid w:val="0083514D"/>
    <w:rsid w:val="008351BC"/>
    <w:rsid w:val="008352E8"/>
    <w:rsid w:val="008354F5"/>
    <w:rsid w:val="00835520"/>
    <w:rsid w:val="0083552D"/>
    <w:rsid w:val="008355D3"/>
    <w:rsid w:val="008357FB"/>
    <w:rsid w:val="008358D3"/>
    <w:rsid w:val="00835946"/>
    <w:rsid w:val="00835A42"/>
    <w:rsid w:val="00835B9F"/>
    <w:rsid w:val="00835C01"/>
    <w:rsid w:val="00835D08"/>
    <w:rsid w:val="00835EC1"/>
    <w:rsid w:val="00836085"/>
    <w:rsid w:val="008360DC"/>
    <w:rsid w:val="00836122"/>
    <w:rsid w:val="008361B7"/>
    <w:rsid w:val="008362AF"/>
    <w:rsid w:val="00836310"/>
    <w:rsid w:val="00836427"/>
    <w:rsid w:val="008366C5"/>
    <w:rsid w:val="0083691D"/>
    <w:rsid w:val="008369CC"/>
    <w:rsid w:val="00836A67"/>
    <w:rsid w:val="00836A71"/>
    <w:rsid w:val="00836B45"/>
    <w:rsid w:val="00836C6A"/>
    <w:rsid w:val="00836CAE"/>
    <w:rsid w:val="00836CB6"/>
    <w:rsid w:val="00836D92"/>
    <w:rsid w:val="00836DF6"/>
    <w:rsid w:val="00836EE4"/>
    <w:rsid w:val="0083715B"/>
    <w:rsid w:val="008372F7"/>
    <w:rsid w:val="0083739C"/>
    <w:rsid w:val="00837431"/>
    <w:rsid w:val="00837709"/>
    <w:rsid w:val="008377A4"/>
    <w:rsid w:val="008377C5"/>
    <w:rsid w:val="008378BC"/>
    <w:rsid w:val="00837A14"/>
    <w:rsid w:val="00837AC8"/>
    <w:rsid w:val="00837D6D"/>
    <w:rsid w:val="00837DDA"/>
    <w:rsid w:val="00837E82"/>
    <w:rsid w:val="00837E89"/>
    <w:rsid w:val="0084007B"/>
    <w:rsid w:val="00840083"/>
    <w:rsid w:val="00840110"/>
    <w:rsid w:val="00840233"/>
    <w:rsid w:val="0084037E"/>
    <w:rsid w:val="008404CA"/>
    <w:rsid w:val="0084050B"/>
    <w:rsid w:val="00840788"/>
    <w:rsid w:val="00840814"/>
    <w:rsid w:val="00840826"/>
    <w:rsid w:val="008408EA"/>
    <w:rsid w:val="00840933"/>
    <w:rsid w:val="008409D8"/>
    <w:rsid w:val="00840B14"/>
    <w:rsid w:val="00840B75"/>
    <w:rsid w:val="00840BBE"/>
    <w:rsid w:val="00840D1F"/>
    <w:rsid w:val="00840DD3"/>
    <w:rsid w:val="00840E82"/>
    <w:rsid w:val="00840EDB"/>
    <w:rsid w:val="008410EE"/>
    <w:rsid w:val="0084118D"/>
    <w:rsid w:val="00841238"/>
    <w:rsid w:val="0084126A"/>
    <w:rsid w:val="0084129F"/>
    <w:rsid w:val="00841339"/>
    <w:rsid w:val="008413B7"/>
    <w:rsid w:val="008413BF"/>
    <w:rsid w:val="00841438"/>
    <w:rsid w:val="008414C5"/>
    <w:rsid w:val="008414E6"/>
    <w:rsid w:val="00841508"/>
    <w:rsid w:val="00841599"/>
    <w:rsid w:val="008416AC"/>
    <w:rsid w:val="00841843"/>
    <w:rsid w:val="0084185A"/>
    <w:rsid w:val="00841953"/>
    <w:rsid w:val="00841CC2"/>
    <w:rsid w:val="00841D3E"/>
    <w:rsid w:val="00841D5B"/>
    <w:rsid w:val="00841DC6"/>
    <w:rsid w:val="00841E4E"/>
    <w:rsid w:val="00841E86"/>
    <w:rsid w:val="00841E8A"/>
    <w:rsid w:val="00841F2C"/>
    <w:rsid w:val="00842242"/>
    <w:rsid w:val="00842245"/>
    <w:rsid w:val="00842293"/>
    <w:rsid w:val="008422E3"/>
    <w:rsid w:val="008423E0"/>
    <w:rsid w:val="008423E3"/>
    <w:rsid w:val="00842525"/>
    <w:rsid w:val="008425C4"/>
    <w:rsid w:val="00842740"/>
    <w:rsid w:val="008427C2"/>
    <w:rsid w:val="008427D8"/>
    <w:rsid w:val="0084281E"/>
    <w:rsid w:val="0084295D"/>
    <w:rsid w:val="0084298D"/>
    <w:rsid w:val="008429F8"/>
    <w:rsid w:val="00842AA1"/>
    <w:rsid w:val="00842BFD"/>
    <w:rsid w:val="00842C45"/>
    <w:rsid w:val="00842C6C"/>
    <w:rsid w:val="00842E71"/>
    <w:rsid w:val="00842F4A"/>
    <w:rsid w:val="00842FD6"/>
    <w:rsid w:val="00843032"/>
    <w:rsid w:val="008430A4"/>
    <w:rsid w:val="008430CA"/>
    <w:rsid w:val="0084315B"/>
    <w:rsid w:val="00843221"/>
    <w:rsid w:val="008432A9"/>
    <w:rsid w:val="008432F2"/>
    <w:rsid w:val="00843310"/>
    <w:rsid w:val="00843324"/>
    <w:rsid w:val="008433A9"/>
    <w:rsid w:val="008433CF"/>
    <w:rsid w:val="008434BA"/>
    <w:rsid w:val="008434EF"/>
    <w:rsid w:val="00843532"/>
    <w:rsid w:val="0084356C"/>
    <w:rsid w:val="008435BE"/>
    <w:rsid w:val="008435D5"/>
    <w:rsid w:val="008436FE"/>
    <w:rsid w:val="008437E1"/>
    <w:rsid w:val="0084382B"/>
    <w:rsid w:val="00843BBB"/>
    <w:rsid w:val="00843CB2"/>
    <w:rsid w:val="00843D0E"/>
    <w:rsid w:val="00843DA2"/>
    <w:rsid w:val="00843E91"/>
    <w:rsid w:val="00843F2E"/>
    <w:rsid w:val="0084410D"/>
    <w:rsid w:val="00844289"/>
    <w:rsid w:val="0084428C"/>
    <w:rsid w:val="008442D2"/>
    <w:rsid w:val="008442D7"/>
    <w:rsid w:val="0084430F"/>
    <w:rsid w:val="0084442E"/>
    <w:rsid w:val="008444C5"/>
    <w:rsid w:val="008444FA"/>
    <w:rsid w:val="00844544"/>
    <w:rsid w:val="0084456B"/>
    <w:rsid w:val="008446C9"/>
    <w:rsid w:val="00844927"/>
    <w:rsid w:val="0084494F"/>
    <w:rsid w:val="00844A72"/>
    <w:rsid w:val="00844AB2"/>
    <w:rsid w:val="00844B61"/>
    <w:rsid w:val="00844D01"/>
    <w:rsid w:val="00844DA6"/>
    <w:rsid w:val="00844E49"/>
    <w:rsid w:val="00844EFC"/>
    <w:rsid w:val="00844FDC"/>
    <w:rsid w:val="00845000"/>
    <w:rsid w:val="008450BE"/>
    <w:rsid w:val="008450C5"/>
    <w:rsid w:val="008450EE"/>
    <w:rsid w:val="008451FB"/>
    <w:rsid w:val="00845367"/>
    <w:rsid w:val="008454C9"/>
    <w:rsid w:val="008455E4"/>
    <w:rsid w:val="008456BB"/>
    <w:rsid w:val="008456EC"/>
    <w:rsid w:val="00845A16"/>
    <w:rsid w:val="00845B18"/>
    <w:rsid w:val="00845B40"/>
    <w:rsid w:val="00845BF0"/>
    <w:rsid w:val="00845D9F"/>
    <w:rsid w:val="00845EF9"/>
    <w:rsid w:val="00845F1A"/>
    <w:rsid w:val="0084623C"/>
    <w:rsid w:val="00846310"/>
    <w:rsid w:val="008463BC"/>
    <w:rsid w:val="008466B9"/>
    <w:rsid w:val="008466E4"/>
    <w:rsid w:val="00846852"/>
    <w:rsid w:val="008469F6"/>
    <w:rsid w:val="00846A76"/>
    <w:rsid w:val="00846A98"/>
    <w:rsid w:val="00846B70"/>
    <w:rsid w:val="00846C8C"/>
    <w:rsid w:val="00846E43"/>
    <w:rsid w:val="00846FDB"/>
    <w:rsid w:val="00847108"/>
    <w:rsid w:val="008471B0"/>
    <w:rsid w:val="00847208"/>
    <w:rsid w:val="0084720C"/>
    <w:rsid w:val="00847301"/>
    <w:rsid w:val="0084733D"/>
    <w:rsid w:val="008473C9"/>
    <w:rsid w:val="00847426"/>
    <w:rsid w:val="00847481"/>
    <w:rsid w:val="008475BD"/>
    <w:rsid w:val="008475EB"/>
    <w:rsid w:val="00847663"/>
    <w:rsid w:val="00847666"/>
    <w:rsid w:val="008479FA"/>
    <w:rsid w:val="00847A0E"/>
    <w:rsid w:val="00847A3F"/>
    <w:rsid w:val="00847BA3"/>
    <w:rsid w:val="00847C18"/>
    <w:rsid w:val="00847D8D"/>
    <w:rsid w:val="00847DB8"/>
    <w:rsid w:val="00847E46"/>
    <w:rsid w:val="00847E8D"/>
    <w:rsid w:val="00847EA0"/>
    <w:rsid w:val="00847EBB"/>
    <w:rsid w:val="00847ED3"/>
    <w:rsid w:val="00847FB3"/>
    <w:rsid w:val="00850080"/>
    <w:rsid w:val="008500B9"/>
    <w:rsid w:val="00850245"/>
    <w:rsid w:val="0085025E"/>
    <w:rsid w:val="008502C1"/>
    <w:rsid w:val="0085038B"/>
    <w:rsid w:val="00850486"/>
    <w:rsid w:val="008504AB"/>
    <w:rsid w:val="008506BE"/>
    <w:rsid w:val="008506E8"/>
    <w:rsid w:val="00850783"/>
    <w:rsid w:val="008507A8"/>
    <w:rsid w:val="008508A1"/>
    <w:rsid w:val="00850A04"/>
    <w:rsid w:val="00850A9A"/>
    <w:rsid w:val="00850CF4"/>
    <w:rsid w:val="00850D16"/>
    <w:rsid w:val="00850D2D"/>
    <w:rsid w:val="00850D32"/>
    <w:rsid w:val="00850D73"/>
    <w:rsid w:val="00850E53"/>
    <w:rsid w:val="00851113"/>
    <w:rsid w:val="008511AA"/>
    <w:rsid w:val="00851260"/>
    <w:rsid w:val="008513E2"/>
    <w:rsid w:val="00851409"/>
    <w:rsid w:val="0085146A"/>
    <w:rsid w:val="00851497"/>
    <w:rsid w:val="0085157E"/>
    <w:rsid w:val="008515DE"/>
    <w:rsid w:val="0085168E"/>
    <w:rsid w:val="00851716"/>
    <w:rsid w:val="00851872"/>
    <w:rsid w:val="008518DB"/>
    <w:rsid w:val="00851A19"/>
    <w:rsid w:val="00851BE5"/>
    <w:rsid w:val="00851F38"/>
    <w:rsid w:val="0085201E"/>
    <w:rsid w:val="0085203C"/>
    <w:rsid w:val="008520E5"/>
    <w:rsid w:val="00852153"/>
    <w:rsid w:val="00852258"/>
    <w:rsid w:val="008523A8"/>
    <w:rsid w:val="00852491"/>
    <w:rsid w:val="00852554"/>
    <w:rsid w:val="00852615"/>
    <w:rsid w:val="0085262F"/>
    <w:rsid w:val="0085271B"/>
    <w:rsid w:val="008527BD"/>
    <w:rsid w:val="00852836"/>
    <w:rsid w:val="0085284C"/>
    <w:rsid w:val="0085295C"/>
    <w:rsid w:val="00852A8B"/>
    <w:rsid w:val="00852CB7"/>
    <w:rsid w:val="00852D1C"/>
    <w:rsid w:val="00853023"/>
    <w:rsid w:val="00853067"/>
    <w:rsid w:val="00853464"/>
    <w:rsid w:val="008534DA"/>
    <w:rsid w:val="008534EC"/>
    <w:rsid w:val="00853509"/>
    <w:rsid w:val="008535F8"/>
    <w:rsid w:val="00853691"/>
    <w:rsid w:val="0085370F"/>
    <w:rsid w:val="0085375F"/>
    <w:rsid w:val="008538B9"/>
    <w:rsid w:val="008539AD"/>
    <w:rsid w:val="00853B19"/>
    <w:rsid w:val="00853B4E"/>
    <w:rsid w:val="00853B79"/>
    <w:rsid w:val="00853B7F"/>
    <w:rsid w:val="00853C95"/>
    <w:rsid w:val="00853E50"/>
    <w:rsid w:val="00853F9E"/>
    <w:rsid w:val="008540BF"/>
    <w:rsid w:val="008540C4"/>
    <w:rsid w:val="008540CD"/>
    <w:rsid w:val="008541D0"/>
    <w:rsid w:val="008541D6"/>
    <w:rsid w:val="0085428E"/>
    <w:rsid w:val="0085431A"/>
    <w:rsid w:val="00854343"/>
    <w:rsid w:val="00854391"/>
    <w:rsid w:val="0085450B"/>
    <w:rsid w:val="00854613"/>
    <w:rsid w:val="00854879"/>
    <w:rsid w:val="008548CD"/>
    <w:rsid w:val="0085491E"/>
    <w:rsid w:val="00854B3B"/>
    <w:rsid w:val="00854C78"/>
    <w:rsid w:val="00854CD6"/>
    <w:rsid w:val="0085500A"/>
    <w:rsid w:val="008552AE"/>
    <w:rsid w:val="008552EF"/>
    <w:rsid w:val="00855383"/>
    <w:rsid w:val="0085540D"/>
    <w:rsid w:val="008554A5"/>
    <w:rsid w:val="008554E3"/>
    <w:rsid w:val="008556FB"/>
    <w:rsid w:val="0085573A"/>
    <w:rsid w:val="0085588A"/>
    <w:rsid w:val="00855890"/>
    <w:rsid w:val="008558AB"/>
    <w:rsid w:val="00855952"/>
    <w:rsid w:val="008559F9"/>
    <w:rsid w:val="00855B17"/>
    <w:rsid w:val="00855B4A"/>
    <w:rsid w:val="00855B71"/>
    <w:rsid w:val="00855BAB"/>
    <w:rsid w:val="00855BEE"/>
    <w:rsid w:val="00855D52"/>
    <w:rsid w:val="00855E08"/>
    <w:rsid w:val="00855E29"/>
    <w:rsid w:val="00855E93"/>
    <w:rsid w:val="00855F6D"/>
    <w:rsid w:val="00856032"/>
    <w:rsid w:val="008561C1"/>
    <w:rsid w:val="00856205"/>
    <w:rsid w:val="008562A2"/>
    <w:rsid w:val="008563EF"/>
    <w:rsid w:val="00856420"/>
    <w:rsid w:val="0085649C"/>
    <w:rsid w:val="008564B9"/>
    <w:rsid w:val="008564DC"/>
    <w:rsid w:val="0085651E"/>
    <w:rsid w:val="008566C2"/>
    <w:rsid w:val="008566D6"/>
    <w:rsid w:val="0085675B"/>
    <w:rsid w:val="008567D5"/>
    <w:rsid w:val="0085683B"/>
    <w:rsid w:val="00856876"/>
    <w:rsid w:val="008568BB"/>
    <w:rsid w:val="00856913"/>
    <w:rsid w:val="008569E2"/>
    <w:rsid w:val="00856BB7"/>
    <w:rsid w:val="00856D51"/>
    <w:rsid w:val="00856D9E"/>
    <w:rsid w:val="00856E08"/>
    <w:rsid w:val="00856F9E"/>
    <w:rsid w:val="00856FFE"/>
    <w:rsid w:val="00857056"/>
    <w:rsid w:val="008571FB"/>
    <w:rsid w:val="0085727D"/>
    <w:rsid w:val="00857294"/>
    <w:rsid w:val="0085734C"/>
    <w:rsid w:val="008573A2"/>
    <w:rsid w:val="0085745B"/>
    <w:rsid w:val="008574BA"/>
    <w:rsid w:val="008574E9"/>
    <w:rsid w:val="008575B2"/>
    <w:rsid w:val="00857740"/>
    <w:rsid w:val="008577A9"/>
    <w:rsid w:val="008578EC"/>
    <w:rsid w:val="00857A6F"/>
    <w:rsid w:val="00857A84"/>
    <w:rsid w:val="00857AC2"/>
    <w:rsid w:val="00857B17"/>
    <w:rsid w:val="00857C3C"/>
    <w:rsid w:val="00857CFD"/>
    <w:rsid w:val="008600A3"/>
    <w:rsid w:val="0086028D"/>
    <w:rsid w:val="008602C6"/>
    <w:rsid w:val="008604FB"/>
    <w:rsid w:val="008606B3"/>
    <w:rsid w:val="00860869"/>
    <w:rsid w:val="00860A15"/>
    <w:rsid w:val="00860A83"/>
    <w:rsid w:val="00860A98"/>
    <w:rsid w:val="00860AFE"/>
    <w:rsid w:val="00860BD4"/>
    <w:rsid w:val="00860CEA"/>
    <w:rsid w:val="00860D30"/>
    <w:rsid w:val="00860D82"/>
    <w:rsid w:val="00860DB5"/>
    <w:rsid w:val="00860E6A"/>
    <w:rsid w:val="00860F30"/>
    <w:rsid w:val="00860F35"/>
    <w:rsid w:val="008610AD"/>
    <w:rsid w:val="008610B5"/>
    <w:rsid w:val="008610C5"/>
    <w:rsid w:val="00861136"/>
    <w:rsid w:val="0086117A"/>
    <w:rsid w:val="00861281"/>
    <w:rsid w:val="00861285"/>
    <w:rsid w:val="008612A4"/>
    <w:rsid w:val="0086135A"/>
    <w:rsid w:val="008613ED"/>
    <w:rsid w:val="0086140F"/>
    <w:rsid w:val="008614F1"/>
    <w:rsid w:val="008615A6"/>
    <w:rsid w:val="008615BD"/>
    <w:rsid w:val="00861610"/>
    <w:rsid w:val="00861630"/>
    <w:rsid w:val="008617AC"/>
    <w:rsid w:val="008619EA"/>
    <w:rsid w:val="00861A03"/>
    <w:rsid w:val="00861ADB"/>
    <w:rsid w:val="00861B3F"/>
    <w:rsid w:val="00861B5E"/>
    <w:rsid w:val="00861B97"/>
    <w:rsid w:val="00861CC9"/>
    <w:rsid w:val="00861D3D"/>
    <w:rsid w:val="00861DA4"/>
    <w:rsid w:val="00861E8A"/>
    <w:rsid w:val="00861EA9"/>
    <w:rsid w:val="00862024"/>
    <w:rsid w:val="008623B2"/>
    <w:rsid w:val="0086243A"/>
    <w:rsid w:val="008624AB"/>
    <w:rsid w:val="008624AC"/>
    <w:rsid w:val="008625C0"/>
    <w:rsid w:val="00862611"/>
    <w:rsid w:val="0086269F"/>
    <w:rsid w:val="0086270E"/>
    <w:rsid w:val="0086271C"/>
    <w:rsid w:val="00862720"/>
    <w:rsid w:val="0086279A"/>
    <w:rsid w:val="00862856"/>
    <w:rsid w:val="00862951"/>
    <w:rsid w:val="00862B33"/>
    <w:rsid w:val="00862B8B"/>
    <w:rsid w:val="00862C15"/>
    <w:rsid w:val="00862CC8"/>
    <w:rsid w:val="00862E74"/>
    <w:rsid w:val="00862FC8"/>
    <w:rsid w:val="00862FE5"/>
    <w:rsid w:val="00863055"/>
    <w:rsid w:val="00863068"/>
    <w:rsid w:val="0086319C"/>
    <w:rsid w:val="00863426"/>
    <w:rsid w:val="00863534"/>
    <w:rsid w:val="0086359E"/>
    <w:rsid w:val="008635C0"/>
    <w:rsid w:val="0086382C"/>
    <w:rsid w:val="00863860"/>
    <w:rsid w:val="008638CB"/>
    <w:rsid w:val="008639D5"/>
    <w:rsid w:val="00863A0F"/>
    <w:rsid w:val="00863A45"/>
    <w:rsid w:val="00863A6D"/>
    <w:rsid w:val="00863A79"/>
    <w:rsid w:val="00863AB0"/>
    <w:rsid w:val="00863AC5"/>
    <w:rsid w:val="00863C08"/>
    <w:rsid w:val="00863CAA"/>
    <w:rsid w:val="00863DDA"/>
    <w:rsid w:val="00863FEF"/>
    <w:rsid w:val="00863FF8"/>
    <w:rsid w:val="008640F0"/>
    <w:rsid w:val="0086414E"/>
    <w:rsid w:val="0086417D"/>
    <w:rsid w:val="00864196"/>
    <w:rsid w:val="008641FD"/>
    <w:rsid w:val="008642AC"/>
    <w:rsid w:val="0086448D"/>
    <w:rsid w:val="008644D3"/>
    <w:rsid w:val="0086451E"/>
    <w:rsid w:val="00864559"/>
    <w:rsid w:val="0086459A"/>
    <w:rsid w:val="008646C0"/>
    <w:rsid w:val="00864725"/>
    <w:rsid w:val="008647B1"/>
    <w:rsid w:val="00864972"/>
    <w:rsid w:val="00864977"/>
    <w:rsid w:val="00864982"/>
    <w:rsid w:val="00864A1E"/>
    <w:rsid w:val="00864A5B"/>
    <w:rsid w:val="00864CAD"/>
    <w:rsid w:val="00864CDC"/>
    <w:rsid w:val="00864E1F"/>
    <w:rsid w:val="00864F32"/>
    <w:rsid w:val="00864F46"/>
    <w:rsid w:val="00864F73"/>
    <w:rsid w:val="00865182"/>
    <w:rsid w:val="00865205"/>
    <w:rsid w:val="00865300"/>
    <w:rsid w:val="0086530A"/>
    <w:rsid w:val="008654C7"/>
    <w:rsid w:val="0086556B"/>
    <w:rsid w:val="008655BF"/>
    <w:rsid w:val="00865611"/>
    <w:rsid w:val="00865687"/>
    <w:rsid w:val="008656AB"/>
    <w:rsid w:val="00865792"/>
    <w:rsid w:val="008658CA"/>
    <w:rsid w:val="00865992"/>
    <w:rsid w:val="008659B9"/>
    <w:rsid w:val="00865C55"/>
    <w:rsid w:val="00865D73"/>
    <w:rsid w:val="00865DE9"/>
    <w:rsid w:val="00865E76"/>
    <w:rsid w:val="00865F50"/>
    <w:rsid w:val="00866199"/>
    <w:rsid w:val="0086621B"/>
    <w:rsid w:val="0086625D"/>
    <w:rsid w:val="00866476"/>
    <w:rsid w:val="008664B3"/>
    <w:rsid w:val="008665C7"/>
    <w:rsid w:val="0086677D"/>
    <w:rsid w:val="00866812"/>
    <w:rsid w:val="00866853"/>
    <w:rsid w:val="00866891"/>
    <w:rsid w:val="0086699D"/>
    <w:rsid w:val="00866BE7"/>
    <w:rsid w:val="00866C60"/>
    <w:rsid w:val="00866C92"/>
    <w:rsid w:val="00866C9A"/>
    <w:rsid w:val="00866D20"/>
    <w:rsid w:val="00866D3D"/>
    <w:rsid w:val="00866D86"/>
    <w:rsid w:val="00866E11"/>
    <w:rsid w:val="00866E36"/>
    <w:rsid w:val="00866E62"/>
    <w:rsid w:val="00866F1A"/>
    <w:rsid w:val="008670AB"/>
    <w:rsid w:val="008670DE"/>
    <w:rsid w:val="008670EC"/>
    <w:rsid w:val="0086719A"/>
    <w:rsid w:val="008671E0"/>
    <w:rsid w:val="0086720D"/>
    <w:rsid w:val="00867257"/>
    <w:rsid w:val="00867294"/>
    <w:rsid w:val="0086748A"/>
    <w:rsid w:val="008674AB"/>
    <w:rsid w:val="008675D1"/>
    <w:rsid w:val="008675FF"/>
    <w:rsid w:val="008677FF"/>
    <w:rsid w:val="00867840"/>
    <w:rsid w:val="0086790E"/>
    <w:rsid w:val="00867924"/>
    <w:rsid w:val="008679D9"/>
    <w:rsid w:val="00867AC1"/>
    <w:rsid w:val="00867B57"/>
    <w:rsid w:val="00867B66"/>
    <w:rsid w:val="00867DDB"/>
    <w:rsid w:val="00867E13"/>
    <w:rsid w:val="00867E5E"/>
    <w:rsid w:val="00867F19"/>
    <w:rsid w:val="00867F25"/>
    <w:rsid w:val="00867F26"/>
    <w:rsid w:val="00870051"/>
    <w:rsid w:val="0087009F"/>
    <w:rsid w:val="00870136"/>
    <w:rsid w:val="00870163"/>
    <w:rsid w:val="0087016E"/>
    <w:rsid w:val="00870284"/>
    <w:rsid w:val="00870399"/>
    <w:rsid w:val="0087039B"/>
    <w:rsid w:val="008703D0"/>
    <w:rsid w:val="00870431"/>
    <w:rsid w:val="0087043E"/>
    <w:rsid w:val="008704B9"/>
    <w:rsid w:val="00870550"/>
    <w:rsid w:val="00870551"/>
    <w:rsid w:val="008705AA"/>
    <w:rsid w:val="00870688"/>
    <w:rsid w:val="008706C7"/>
    <w:rsid w:val="008706DA"/>
    <w:rsid w:val="008706E0"/>
    <w:rsid w:val="008707F6"/>
    <w:rsid w:val="008709C0"/>
    <w:rsid w:val="00870A5F"/>
    <w:rsid w:val="00870AFE"/>
    <w:rsid w:val="00870BE7"/>
    <w:rsid w:val="00870C17"/>
    <w:rsid w:val="00870CE5"/>
    <w:rsid w:val="00870DB2"/>
    <w:rsid w:val="00870DC6"/>
    <w:rsid w:val="00870DFE"/>
    <w:rsid w:val="00871002"/>
    <w:rsid w:val="00871211"/>
    <w:rsid w:val="00871228"/>
    <w:rsid w:val="0087124E"/>
    <w:rsid w:val="0087128A"/>
    <w:rsid w:val="0087148C"/>
    <w:rsid w:val="008714B6"/>
    <w:rsid w:val="0087156F"/>
    <w:rsid w:val="00871588"/>
    <w:rsid w:val="0087171E"/>
    <w:rsid w:val="00871768"/>
    <w:rsid w:val="0087189E"/>
    <w:rsid w:val="0087193B"/>
    <w:rsid w:val="008719CA"/>
    <w:rsid w:val="00871AAC"/>
    <w:rsid w:val="00871B41"/>
    <w:rsid w:val="00871BEB"/>
    <w:rsid w:val="00871C08"/>
    <w:rsid w:val="00871DC2"/>
    <w:rsid w:val="00871DF5"/>
    <w:rsid w:val="00871E2B"/>
    <w:rsid w:val="00871E9A"/>
    <w:rsid w:val="0087201B"/>
    <w:rsid w:val="00872107"/>
    <w:rsid w:val="008721AD"/>
    <w:rsid w:val="008721D0"/>
    <w:rsid w:val="008721F7"/>
    <w:rsid w:val="00872292"/>
    <w:rsid w:val="00872376"/>
    <w:rsid w:val="008723CD"/>
    <w:rsid w:val="00872478"/>
    <w:rsid w:val="00872490"/>
    <w:rsid w:val="00872560"/>
    <w:rsid w:val="00872617"/>
    <w:rsid w:val="008727B3"/>
    <w:rsid w:val="008727DE"/>
    <w:rsid w:val="00872858"/>
    <w:rsid w:val="00872B06"/>
    <w:rsid w:val="00872B08"/>
    <w:rsid w:val="00872B7B"/>
    <w:rsid w:val="00872C32"/>
    <w:rsid w:val="00872C66"/>
    <w:rsid w:val="00872CB7"/>
    <w:rsid w:val="00872F3D"/>
    <w:rsid w:val="00872FF2"/>
    <w:rsid w:val="008730B6"/>
    <w:rsid w:val="00873154"/>
    <w:rsid w:val="0087320B"/>
    <w:rsid w:val="008732F6"/>
    <w:rsid w:val="00873302"/>
    <w:rsid w:val="00873365"/>
    <w:rsid w:val="0087341D"/>
    <w:rsid w:val="00873513"/>
    <w:rsid w:val="0087351C"/>
    <w:rsid w:val="00873525"/>
    <w:rsid w:val="008735AF"/>
    <w:rsid w:val="00873673"/>
    <w:rsid w:val="008736C3"/>
    <w:rsid w:val="0087392D"/>
    <w:rsid w:val="00873E2E"/>
    <w:rsid w:val="00873EA5"/>
    <w:rsid w:val="00873EB8"/>
    <w:rsid w:val="00873F16"/>
    <w:rsid w:val="00873FD2"/>
    <w:rsid w:val="008740B8"/>
    <w:rsid w:val="00874112"/>
    <w:rsid w:val="008742AB"/>
    <w:rsid w:val="008744B5"/>
    <w:rsid w:val="008744C8"/>
    <w:rsid w:val="00874521"/>
    <w:rsid w:val="00874557"/>
    <w:rsid w:val="008745ED"/>
    <w:rsid w:val="008746F3"/>
    <w:rsid w:val="008749C6"/>
    <w:rsid w:val="008749D3"/>
    <w:rsid w:val="00874A12"/>
    <w:rsid w:val="00874AA3"/>
    <w:rsid w:val="00874AC7"/>
    <w:rsid w:val="00874B71"/>
    <w:rsid w:val="00874BDE"/>
    <w:rsid w:val="00874E1B"/>
    <w:rsid w:val="00874E93"/>
    <w:rsid w:val="00874F86"/>
    <w:rsid w:val="00875015"/>
    <w:rsid w:val="008751B5"/>
    <w:rsid w:val="008752AA"/>
    <w:rsid w:val="0087530B"/>
    <w:rsid w:val="00875637"/>
    <w:rsid w:val="008756B7"/>
    <w:rsid w:val="008756C6"/>
    <w:rsid w:val="008756E8"/>
    <w:rsid w:val="0087598A"/>
    <w:rsid w:val="008759AF"/>
    <w:rsid w:val="00875A7D"/>
    <w:rsid w:val="00875A9F"/>
    <w:rsid w:val="00875B0A"/>
    <w:rsid w:val="00875B69"/>
    <w:rsid w:val="00875C0C"/>
    <w:rsid w:val="00875C1A"/>
    <w:rsid w:val="00875E26"/>
    <w:rsid w:val="00875E3B"/>
    <w:rsid w:val="00875E60"/>
    <w:rsid w:val="00875E76"/>
    <w:rsid w:val="00875FED"/>
    <w:rsid w:val="0087606C"/>
    <w:rsid w:val="008760BA"/>
    <w:rsid w:val="008761ED"/>
    <w:rsid w:val="00876402"/>
    <w:rsid w:val="008764AD"/>
    <w:rsid w:val="008765E4"/>
    <w:rsid w:val="00876748"/>
    <w:rsid w:val="008767E7"/>
    <w:rsid w:val="00876A95"/>
    <w:rsid w:val="00876A97"/>
    <w:rsid w:val="00876AC4"/>
    <w:rsid w:val="00876B9A"/>
    <w:rsid w:val="00876D0B"/>
    <w:rsid w:val="00876E07"/>
    <w:rsid w:val="00876F1B"/>
    <w:rsid w:val="0087708B"/>
    <w:rsid w:val="0087714C"/>
    <w:rsid w:val="0087733E"/>
    <w:rsid w:val="008774E6"/>
    <w:rsid w:val="008774F1"/>
    <w:rsid w:val="00877504"/>
    <w:rsid w:val="0087753A"/>
    <w:rsid w:val="00877584"/>
    <w:rsid w:val="008775B6"/>
    <w:rsid w:val="008775CC"/>
    <w:rsid w:val="008775E7"/>
    <w:rsid w:val="008776C8"/>
    <w:rsid w:val="00877712"/>
    <w:rsid w:val="00877815"/>
    <w:rsid w:val="00877828"/>
    <w:rsid w:val="008778DB"/>
    <w:rsid w:val="00877932"/>
    <w:rsid w:val="008779FF"/>
    <w:rsid w:val="00877A5E"/>
    <w:rsid w:val="00877A82"/>
    <w:rsid w:val="00877ADA"/>
    <w:rsid w:val="00877B7A"/>
    <w:rsid w:val="00877B85"/>
    <w:rsid w:val="00877BBD"/>
    <w:rsid w:val="00877BF7"/>
    <w:rsid w:val="00877CEC"/>
    <w:rsid w:val="00877D9C"/>
    <w:rsid w:val="00877ECF"/>
    <w:rsid w:val="0088005E"/>
    <w:rsid w:val="00880132"/>
    <w:rsid w:val="0088021C"/>
    <w:rsid w:val="00880313"/>
    <w:rsid w:val="008804B8"/>
    <w:rsid w:val="00880546"/>
    <w:rsid w:val="00880708"/>
    <w:rsid w:val="008807FE"/>
    <w:rsid w:val="0088090C"/>
    <w:rsid w:val="00880AF6"/>
    <w:rsid w:val="00880B63"/>
    <w:rsid w:val="00880BB0"/>
    <w:rsid w:val="00880C3D"/>
    <w:rsid w:val="00880CA5"/>
    <w:rsid w:val="00880D1F"/>
    <w:rsid w:val="00880E30"/>
    <w:rsid w:val="00880F16"/>
    <w:rsid w:val="008810A5"/>
    <w:rsid w:val="008810C9"/>
    <w:rsid w:val="0088117B"/>
    <w:rsid w:val="008811C5"/>
    <w:rsid w:val="0088126E"/>
    <w:rsid w:val="008812A8"/>
    <w:rsid w:val="008813B8"/>
    <w:rsid w:val="008813CB"/>
    <w:rsid w:val="00881483"/>
    <w:rsid w:val="0088189C"/>
    <w:rsid w:val="008819AF"/>
    <w:rsid w:val="00881A21"/>
    <w:rsid w:val="00881A36"/>
    <w:rsid w:val="00881AA9"/>
    <w:rsid w:val="00881B5C"/>
    <w:rsid w:val="00881B77"/>
    <w:rsid w:val="00881D59"/>
    <w:rsid w:val="00881E25"/>
    <w:rsid w:val="00881E38"/>
    <w:rsid w:val="00882040"/>
    <w:rsid w:val="00882108"/>
    <w:rsid w:val="0088212C"/>
    <w:rsid w:val="00882213"/>
    <w:rsid w:val="008822AA"/>
    <w:rsid w:val="00882364"/>
    <w:rsid w:val="00882366"/>
    <w:rsid w:val="0088243C"/>
    <w:rsid w:val="008824A7"/>
    <w:rsid w:val="008824C0"/>
    <w:rsid w:val="008825F7"/>
    <w:rsid w:val="00882602"/>
    <w:rsid w:val="00882607"/>
    <w:rsid w:val="0088274D"/>
    <w:rsid w:val="008828A4"/>
    <w:rsid w:val="00882947"/>
    <w:rsid w:val="008829A4"/>
    <w:rsid w:val="00882BC0"/>
    <w:rsid w:val="00882BD0"/>
    <w:rsid w:val="00882D16"/>
    <w:rsid w:val="00882EBC"/>
    <w:rsid w:val="00882F4D"/>
    <w:rsid w:val="00883053"/>
    <w:rsid w:val="008830CA"/>
    <w:rsid w:val="008830CF"/>
    <w:rsid w:val="00883194"/>
    <w:rsid w:val="00883203"/>
    <w:rsid w:val="00883232"/>
    <w:rsid w:val="0088324C"/>
    <w:rsid w:val="00883282"/>
    <w:rsid w:val="0088345E"/>
    <w:rsid w:val="00883655"/>
    <w:rsid w:val="008836CF"/>
    <w:rsid w:val="0088394B"/>
    <w:rsid w:val="00883A81"/>
    <w:rsid w:val="00883AE8"/>
    <w:rsid w:val="00883C18"/>
    <w:rsid w:val="00883C82"/>
    <w:rsid w:val="00883E0E"/>
    <w:rsid w:val="00883EDD"/>
    <w:rsid w:val="00883F5C"/>
    <w:rsid w:val="00883F77"/>
    <w:rsid w:val="00884023"/>
    <w:rsid w:val="008840C3"/>
    <w:rsid w:val="008840FF"/>
    <w:rsid w:val="008841A3"/>
    <w:rsid w:val="00884270"/>
    <w:rsid w:val="00884403"/>
    <w:rsid w:val="00884484"/>
    <w:rsid w:val="008847DD"/>
    <w:rsid w:val="00884894"/>
    <w:rsid w:val="00884A2E"/>
    <w:rsid w:val="00884C27"/>
    <w:rsid w:val="00884E2F"/>
    <w:rsid w:val="00884E4C"/>
    <w:rsid w:val="008851BD"/>
    <w:rsid w:val="0088524C"/>
    <w:rsid w:val="008853FE"/>
    <w:rsid w:val="008854D1"/>
    <w:rsid w:val="00885568"/>
    <w:rsid w:val="008855D0"/>
    <w:rsid w:val="00885620"/>
    <w:rsid w:val="008856B3"/>
    <w:rsid w:val="0088573F"/>
    <w:rsid w:val="00885780"/>
    <w:rsid w:val="008858B9"/>
    <w:rsid w:val="00885B48"/>
    <w:rsid w:val="00885C19"/>
    <w:rsid w:val="00885C4E"/>
    <w:rsid w:val="00885CBD"/>
    <w:rsid w:val="00885D3D"/>
    <w:rsid w:val="00886121"/>
    <w:rsid w:val="0088616C"/>
    <w:rsid w:val="008861A1"/>
    <w:rsid w:val="008861C0"/>
    <w:rsid w:val="00886218"/>
    <w:rsid w:val="0088651A"/>
    <w:rsid w:val="0088664E"/>
    <w:rsid w:val="008866A0"/>
    <w:rsid w:val="0088672E"/>
    <w:rsid w:val="008868EF"/>
    <w:rsid w:val="0088691D"/>
    <w:rsid w:val="008869D5"/>
    <w:rsid w:val="00886A62"/>
    <w:rsid w:val="00886AEE"/>
    <w:rsid w:val="00886BD8"/>
    <w:rsid w:val="00886C46"/>
    <w:rsid w:val="00886CCE"/>
    <w:rsid w:val="00886CD5"/>
    <w:rsid w:val="00886D7E"/>
    <w:rsid w:val="00886F56"/>
    <w:rsid w:val="00886FEB"/>
    <w:rsid w:val="00886FF0"/>
    <w:rsid w:val="00887095"/>
    <w:rsid w:val="008871CE"/>
    <w:rsid w:val="008871F0"/>
    <w:rsid w:val="0088729E"/>
    <w:rsid w:val="008872AB"/>
    <w:rsid w:val="008872AE"/>
    <w:rsid w:val="008872C1"/>
    <w:rsid w:val="00887339"/>
    <w:rsid w:val="008873BE"/>
    <w:rsid w:val="008876C1"/>
    <w:rsid w:val="00887738"/>
    <w:rsid w:val="008877ED"/>
    <w:rsid w:val="0088785B"/>
    <w:rsid w:val="008878E8"/>
    <w:rsid w:val="008879B7"/>
    <w:rsid w:val="00887B10"/>
    <w:rsid w:val="00887B3C"/>
    <w:rsid w:val="00887C6B"/>
    <w:rsid w:val="00887CB6"/>
    <w:rsid w:val="00887D4B"/>
    <w:rsid w:val="00887E4B"/>
    <w:rsid w:val="0088BA38"/>
    <w:rsid w:val="00890061"/>
    <w:rsid w:val="008900F6"/>
    <w:rsid w:val="00890108"/>
    <w:rsid w:val="00890118"/>
    <w:rsid w:val="0089023A"/>
    <w:rsid w:val="0089028E"/>
    <w:rsid w:val="00890305"/>
    <w:rsid w:val="00890344"/>
    <w:rsid w:val="0089036C"/>
    <w:rsid w:val="00890372"/>
    <w:rsid w:val="008905CE"/>
    <w:rsid w:val="008905F4"/>
    <w:rsid w:val="008906D3"/>
    <w:rsid w:val="0089078C"/>
    <w:rsid w:val="008909F4"/>
    <w:rsid w:val="00890A07"/>
    <w:rsid w:val="00890B0C"/>
    <w:rsid w:val="00890B7B"/>
    <w:rsid w:val="00890C74"/>
    <w:rsid w:val="00890EC0"/>
    <w:rsid w:val="00890ECF"/>
    <w:rsid w:val="00891019"/>
    <w:rsid w:val="0089103E"/>
    <w:rsid w:val="008910CE"/>
    <w:rsid w:val="00891117"/>
    <w:rsid w:val="00891182"/>
    <w:rsid w:val="0089119F"/>
    <w:rsid w:val="008911E6"/>
    <w:rsid w:val="008911F0"/>
    <w:rsid w:val="0089129D"/>
    <w:rsid w:val="0089130B"/>
    <w:rsid w:val="008913E3"/>
    <w:rsid w:val="008913FC"/>
    <w:rsid w:val="00891461"/>
    <w:rsid w:val="008914F6"/>
    <w:rsid w:val="0089155F"/>
    <w:rsid w:val="008916AD"/>
    <w:rsid w:val="008916DA"/>
    <w:rsid w:val="00891772"/>
    <w:rsid w:val="008917F2"/>
    <w:rsid w:val="00891849"/>
    <w:rsid w:val="0089185A"/>
    <w:rsid w:val="008919AB"/>
    <w:rsid w:val="008919B0"/>
    <w:rsid w:val="008919F7"/>
    <w:rsid w:val="00891A62"/>
    <w:rsid w:val="00891A64"/>
    <w:rsid w:val="00891AA3"/>
    <w:rsid w:val="00891ADF"/>
    <w:rsid w:val="00891B54"/>
    <w:rsid w:val="00891DD8"/>
    <w:rsid w:val="00891E58"/>
    <w:rsid w:val="00891EAD"/>
    <w:rsid w:val="00891EB5"/>
    <w:rsid w:val="00891F22"/>
    <w:rsid w:val="0089203A"/>
    <w:rsid w:val="008920A6"/>
    <w:rsid w:val="0089219C"/>
    <w:rsid w:val="008921FB"/>
    <w:rsid w:val="0089233F"/>
    <w:rsid w:val="008923DE"/>
    <w:rsid w:val="0089244D"/>
    <w:rsid w:val="0089252D"/>
    <w:rsid w:val="00892537"/>
    <w:rsid w:val="00892606"/>
    <w:rsid w:val="0089273A"/>
    <w:rsid w:val="00892744"/>
    <w:rsid w:val="00892811"/>
    <w:rsid w:val="00892827"/>
    <w:rsid w:val="00892833"/>
    <w:rsid w:val="0089284A"/>
    <w:rsid w:val="008928AC"/>
    <w:rsid w:val="00892978"/>
    <w:rsid w:val="00892A81"/>
    <w:rsid w:val="00892A9F"/>
    <w:rsid w:val="00892BE1"/>
    <w:rsid w:val="00892C3F"/>
    <w:rsid w:val="00892DE3"/>
    <w:rsid w:val="00892DED"/>
    <w:rsid w:val="00892E1F"/>
    <w:rsid w:val="00892E48"/>
    <w:rsid w:val="00892F8C"/>
    <w:rsid w:val="0089307A"/>
    <w:rsid w:val="008930D8"/>
    <w:rsid w:val="00893290"/>
    <w:rsid w:val="008932FE"/>
    <w:rsid w:val="0089330F"/>
    <w:rsid w:val="00893319"/>
    <w:rsid w:val="00893375"/>
    <w:rsid w:val="008935BF"/>
    <w:rsid w:val="00893675"/>
    <w:rsid w:val="008936E1"/>
    <w:rsid w:val="00893784"/>
    <w:rsid w:val="00893822"/>
    <w:rsid w:val="0089386F"/>
    <w:rsid w:val="008938A6"/>
    <w:rsid w:val="0089394D"/>
    <w:rsid w:val="00893B22"/>
    <w:rsid w:val="00893B53"/>
    <w:rsid w:val="00893B91"/>
    <w:rsid w:val="00893BA5"/>
    <w:rsid w:val="00893BC2"/>
    <w:rsid w:val="00893BF7"/>
    <w:rsid w:val="00893C1C"/>
    <w:rsid w:val="00893EDB"/>
    <w:rsid w:val="00893FB4"/>
    <w:rsid w:val="008940DD"/>
    <w:rsid w:val="008941DB"/>
    <w:rsid w:val="008941FF"/>
    <w:rsid w:val="00894203"/>
    <w:rsid w:val="008942B5"/>
    <w:rsid w:val="008942C5"/>
    <w:rsid w:val="0089446D"/>
    <w:rsid w:val="008944E0"/>
    <w:rsid w:val="008946C5"/>
    <w:rsid w:val="008946E2"/>
    <w:rsid w:val="00894739"/>
    <w:rsid w:val="00894754"/>
    <w:rsid w:val="00894834"/>
    <w:rsid w:val="008948B6"/>
    <w:rsid w:val="00894B46"/>
    <w:rsid w:val="00894D07"/>
    <w:rsid w:val="00894E25"/>
    <w:rsid w:val="00894EA3"/>
    <w:rsid w:val="00894F87"/>
    <w:rsid w:val="00894F93"/>
    <w:rsid w:val="008950A6"/>
    <w:rsid w:val="0089514A"/>
    <w:rsid w:val="008951C5"/>
    <w:rsid w:val="008951EB"/>
    <w:rsid w:val="008952C8"/>
    <w:rsid w:val="0089534C"/>
    <w:rsid w:val="00895375"/>
    <w:rsid w:val="008953B3"/>
    <w:rsid w:val="008953F5"/>
    <w:rsid w:val="00895402"/>
    <w:rsid w:val="00895434"/>
    <w:rsid w:val="0089546E"/>
    <w:rsid w:val="008954BA"/>
    <w:rsid w:val="0089560A"/>
    <w:rsid w:val="008956BE"/>
    <w:rsid w:val="00895919"/>
    <w:rsid w:val="008959C1"/>
    <w:rsid w:val="008959F9"/>
    <w:rsid w:val="00895BA0"/>
    <w:rsid w:val="00895C19"/>
    <w:rsid w:val="00895C5D"/>
    <w:rsid w:val="00895CB2"/>
    <w:rsid w:val="00895FEB"/>
    <w:rsid w:val="00896043"/>
    <w:rsid w:val="00896196"/>
    <w:rsid w:val="008961A8"/>
    <w:rsid w:val="00896323"/>
    <w:rsid w:val="0089632F"/>
    <w:rsid w:val="0089635A"/>
    <w:rsid w:val="0089645F"/>
    <w:rsid w:val="00896552"/>
    <w:rsid w:val="00896684"/>
    <w:rsid w:val="00896694"/>
    <w:rsid w:val="008967AA"/>
    <w:rsid w:val="00896937"/>
    <w:rsid w:val="00896A2D"/>
    <w:rsid w:val="00896A2F"/>
    <w:rsid w:val="00896A62"/>
    <w:rsid w:val="00896AA2"/>
    <w:rsid w:val="00896B45"/>
    <w:rsid w:val="00896CE6"/>
    <w:rsid w:val="00896EA8"/>
    <w:rsid w:val="0089708C"/>
    <w:rsid w:val="00897202"/>
    <w:rsid w:val="008973EA"/>
    <w:rsid w:val="0089740C"/>
    <w:rsid w:val="0089742D"/>
    <w:rsid w:val="00897539"/>
    <w:rsid w:val="008975EC"/>
    <w:rsid w:val="008975FC"/>
    <w:rsid w:val="00897602"/>
    <w:rsid w:val="008976A3"/>
    <w:rsid w:val="008976FD"/>
    <w:rsid w:val="00897A7A"/>
    <w:rsid w:val="00897CCE"/>
    <w:rsid w:val="00897DA9"/>
    <w:rsid w:val="00897DB7"/>
    <w:rsid w:val="00897E4E"/>
    <w:rsid w:val="00897FBE"/>
    <w:rsid w:val="008A006F"/>
    <w:rsid w:val="008A0141"/>
    <w:rsid w:val="008A01BC"/>
    <w:rsid w:val="008A0396"/>
    <w:rsid w:val="008A039A"/>
    <w:rsid w:val="008A041C"/>
    <w:rsid w:val="008A0577"/>
    <w:rsid w:val="008A05B8"/>
    <w:rsid w:val="008A05F8"/>
    <w:rsid w:val="008A0640"/>
    <w:rsid w:val="008A0654"/>
    <w:rsid w:val="008A06A7"/>
    <w:rsid w:val="008A0799"/>
    <w:rsid w:val="008A07D7"/>
    <w:rsid w:val="008A0975"/>
    <w:rsid w:val="008A0BBF"/>
    <w:rsid w:val="008A0BD9"/>
    <w:rsid w:val="008A0CCB"/>
    <w:rsid w:val="008A0E46"/>
    <w:rsid w:val="008A0F30"/>
    <w:rsid w:val="008A0F4C"/>
    <w:rsid w:val="008A0F6C"/>
    <w:rsid w:val="008A11E4"/>
    <w:rsid w:val="008A124C"/>
    <w:rsid w:val="008A12EF"/>
    <w:rsid w:val="008A1350"/>
    <w:rsid w:val="008A158E"/>
    <w:rsid w:val="008A1891"/>
    <w:rsid w:val="008A18DF"/>
    <w:rsid w:val="008A19CA"/>
    <w:rsid w:val="008A1BB9"/>
    <w:rsid w:val="008A1DC0"/>
    <w:rsid w:val="008A1DF3"/>
    <w:rsid w:val="008A1E23"/>
    <w:rsid w:val="008A1E84"/>
    <w:rsid w:val="008A1EA7"/>
    <w:rsid w:val="008A1EC9"/>
    <w:rsid w:val="008A2029"/>
    <w:rsid w:val="008A2040"/>
    <w:rsid w:val="008A21FF"/>
    <w:rsid w:val="008A2209"/>
    <w:rsid w:val="008A222A"/>
    <w:rsid w:val="008A23AA"/>
    <w:rsid w:val="008A241D"/>
    <w:rsid w:val="008A2487"/>
    <w:rsid w:val="008A24B5"/>
    <w:rsid w:val="008A25BF"/>
    <w:rsid w:val="008A2719"/>
    <w:rsid w:val="008A2815"/>
    <w:rsid w:val="008A28E5"/>
    <w:rsid w:val="008A2994"/>
    <w:rsid w:val="008A2AF7"/>
    <w:rsid w:val="008A2C0C"/>
    <w:rsid w:val="008A2C42"/>
    <w:rsid w:val="008A2F34"/>
    <w:rsid w:val="008A2F6A"/>
    <w:rsid w:val="008A2FA0"/>
    <w:rsid w:val="008A2FB4"/>
    <w:rsid w:val="008A2FD9"/>
    <w:rsid w:val="008A3042"/>
    <w:rsid w:val="008A3166"/>
    <w:rsid w:val="008A33FB"/>
    <w:rsid w:val="008A3494"/>
    <w:rsid w:val="008A35E4"/>
    <w:rsid w:val="008A3603"/>
    <w:rsid w:val="008A36E8"/>
    <w:rsid w:val="008A3720"/>
    <w:rsid w:val="008A37A5"/>
    <w:rsid w:val="008A381B"/>
    <w:rsid w:val="008A3AD8"/>
    <w:rsid w:val="008A3B27"/>
    <w:rsid w:val="008A3B72"/>
    <w:rsid w:val="008A3B7F"/>
    <w:rsid w:val="008A3BAD"/>
    <w:rsid w:val="008A3DCE"/>
    <w:rsid w:val="008A3E9C"/>
    <w:rsid w:val="008A3E9D"/>
    <w:rsid w:val="008A3F40"/>
    <w:rsid w:val="008A4086"/>
    <w:rsid w:val="008A4097"/>
    <w:rsid w:val="008A40CF"/>
    <w:rsid w:val="008A40FE"/>
    <w:rsid w:val="008A4134"/>
    <w:rsid w:val="008A41C0"/>
    <w:rsid w:val="008A41DF"/>
    <w:rsid w:val="008A4244"/>
    <w:rsid w:val="008A436F"/>
    <w:rsid w:val="008A437E"/>
    <w:rsid w:val="008A43BE"/>
    <w:rsid w:val="008A43CD"/>
    <w:rsid w:val="008A43E3"/>
    <w:rsid w:val="008A4480"/>
    <w:rsid w:val="008A4482"/>
    <w:rsid w:val="008A452A"/>
    <w:rsid w:val="008A452B"/>
    <w:rsid w:val="008A458C"/>
    <w:rsid w:val="008A45DD"/>
    <w:rsid w:val="008A46AD"/>
    <w:rsid w:val="008A46EE"/>
    <w:rsid w:val="008A4760"/>
    <w:rsid w:val="008A4851"/>
    <w:rsid w:val="008A48AE"/>
    <w:rsid w:val="008A4A62"/>
    <w:rsid w:val="008A4AD6"/>
    <w:rsid w:val="008A4B08"/>
    <w:rsid w:val="008A4C14"/>
    <w:rsid w:val="008A4C30"/>
    <w:rsid w:val="008A4D27"/>
    <w:rsid w:val="008A4F88"/>
    <w:rsid w:val="008A5002"/>
    <w:rsid w:val="008A510C"/>
    <w:rsid w:val="008A52D4"/>
    <w:rsid w:val="008A5498"/>
    <w:rsid w:val="008A54F7"/>
    <w:rsid w:val="008A556C"/>
    <w:rsid w:val="008A55AD"/>
    <w:rsid w:val="008A55EB"/>
    <w:rsid w:val="008A578E"/>
    <w:rsid w:val="008A57C8"/>
    <w:rsid w:val="008A5A07"/>
    <w:rsid w:val="008A5B46"/>
    <w:rsid w:val="008A5BDE"/>
    <w:rsid w:val="008A5BE0"/>
    <w:rsid w:val="008A5C78"/>
    <w:rsid w:val="008A5D43"/>
    <w:rsid w:val="008A5D89"/>
    <w:rsid w:val="008A5DA4"/>
    <w:rsid w:val="008A5E30"/>
    <w:rsid w:val="008A5EA7"/>
    <w:rsid w:val="008A623C"/>
    <w:rsid w:val="008A62C7"/>
    <w:rsid w:val="008A62D1"/>
    <w:rsid w:val="008A62D7"/>
    <w:rsid w:val="008A6334"/>
    <w:rsid w:val="008A64DE"/>
    <w:rsid w:val="008A65C9"/>
    <w:rsid w:val="008A66E7"/>
    <w:rsid w:val="008A66F6"/>
    <w:rsid w:val="008A6784"/>
    <w:rsid w:val="008A6A6B"/>
    <w:rsid w:val="008A6ACA"/>
    <w:rsid w:val="008A6B1D"/>
    <w:rsid w:val="008A6C1B"/>
    <w:rsid w:val="008A6C2B"/>
    <w:rsid w:val="008A6CAF"/>
    <w:rsid w:val="008A6D35"/>
    <w:rsid w:val="008A6E5B"/>
    <w:rsid w:val="008A6F08"/>
    <w:rsid w:val="008A6F4D"/>
    <w:rsid w:val="008A6FD3"/>
    <w:rsid w:val="008A6FD4"/>
    <w:rsid w:val="008A7095"/>
    <w:rsid w:val="008A70BB"/>
    <w:rsid w:val="008A71B7"/>
    <w:rsid w:val="008A7219"/>
    <w:rsid w:val="008A734C"/>
    <w:rsid w:val="008A737A"/>
    <w:rsid w:val="008A7472"/>
    <w:rsid w:val="008A74C0"/>
    <w:rsid w:val="008A7648"/>
    <w:rsid w:val="008A769B"/>
    <w:rsid w:val="008A76A6"/>
    <w:rsid w:val="008A7715"/>
    <w:rsid w:val="008A7726"/>
    <w:rsid w:val="008A775A"/>
    <w:rsid w:val="008A7803"/>
    <w:rsid w:val="008A782F"/>
    <w:rsid w:val="008A78D4"/>
    <w:rsid w:val="008A7995"/>
    <w:rsid w:val="008A79E2"/>
    <w:rsid w:val="008A7B49"/>
    <w:rsid w:val="008A7B6C"/>
    <w:rsid w:val="008A7BFF"/>
    <w:rsid w:val="008A7C4D"/>
    <w:rsid w:val="008A7CE6"/>
    <w:rsid w:val="008A7F08"/>
    <w:rsid w:val="008B005C"/>
    <w:rsid w:val="008B01D8"/>
    <w:rsid w:val="008B0234"/>
    <w:rsid w:val="008B0259"/>
    <w:rsid w:val="008B0359"/>
    <w:rsid w:val="008B041F"/>
    <w:rsid w:val="008B04F0"/>
    <w:rsid w:val="008B0571"/>
    <w:rsid w:val="008B083C"/>
    <w:rsid w:val="008B08CB"/>
    <w:rsid w:val="008B0B0E"/>
    <w:rsid w:val="008B0B28"/>
    <w:rsid w:val="008B0D66"/>
    <w:rsid w:val="008B0DB1"/>
    <w:rsid w:val="008B10F0"/>
    <w:rsid w:val="008B1111"/>
    <w:rsid w:val="008B1161"/>
    <w:rsid w:val="008B12C0"/>
    <w:rsid w:val="008B1303"/>
    <w:rsid w:val="008B1345"/>
    <w:rsid w:val="008B151F"/>
    <w:rsid w:val="008B15E7"/>
    <w:rsid w:val="008B161B"/>
    <w:rsid w:val="008B161F"/>
    <w:rsid w:val="008B1774"/>
    <w:rsid w:val="008B179C"/>
    <w:rsid w:val="008B1957"/>
    <w:rsid w:val="008B1ABC"/>
    <w:rsid w:val="008B1D76"/>
    <w:rsid w:val="008B1DCE"/>
    <w:rsid w:val="008B1E1F"/>
    <w:rsid w:val="008B1F20"/>
    <w:rsid w:val="008B203D"/>
    <w:rsid w:val="008B2049"/>
    <w:rsid w:val="008B2083"/>
    <w:rsid w:val="008B20CA"/>
    <w:rsid w:val="008B2101"/>
    <w:rsid w:val="008B210A"/>
    <w:rsid w:val="008B2126"/>
    <w:rsid w:val="008B22E0"/>
    <w:rsid w:val="008B2381"/>
    <w:rsid w:val="008B23F2"/>
    <w:rsid w:val="008B252F"/>
    <w:rsid w:val="008B256F"/>
    <w:rsid w:val="008B257A"/>
    <w:rsid w:val="008B25AF"/>
    <w:rsid w:val="008B26DE"/>
    <w:rsid w:val="008B26DF"/>
    <w:rsid w:val="008B285C"/>
    <w:rsid w:val="008B2910"/>
    <w:rsid w:val="008B298F"/>
    <w:rsid w:val="008B2AE9"/>
    <w:rsid w:val="008B2BC7"/>
    <w:rsid w:val="008B2C07"/>
    <w:rsid w:val="008B2C6D"/>
    <w:rsid w:val="008B2CBF"/>
    <w:rsid w:val="008B2E0B"/>
    <w:rsid w:val="008B2EF4"/>
    <w:rsid w:val="008B2F72"/>
    <w:rsid w:val="008B2FD0"/>
    <w:rsid w:val="008B31E2"/>
    <w:rsid w:val="008B32D7"/>
    <w:rsid w:val="008B3363"/>
    <w:rsid w:val="008B33B8"/>
    <w:rsid w:val="008B340B"/>
    <w:rsid w:val="008B3575"/>
    <w:rsid w:val="008B3725"/>
    <w:rsid w:val="008B384E"/>
    <w:rsid w:val="008B385C"/>
    <w:rsid w:val="008B38EB"/>
    <w:rsid w:val="008B39CB"/>
    <w:rsid w:val="008B3B5F"/>
    <w:rsid w:val="008B3B9B"/>
    <w:rsid w:val="008B3BF6"/>
    <w:rsid w:val="008B3C6C"/>
    <w:rsid w:val="008B3C6D"/>
    <w:rsid w:val="008B3C7E"/>
    <w:rsid w:val="008B3C85"/>
    <w:rsid w:val="008B3CC4"/>
    <w:rsid w:val="008B3D56"/>
    <w:rsid w:val="008B3E12"/>
    <w:rsid w:val="008B3F41"/>
    <w:rsid w:val="008B3F6B"/>
    <w:rsid w:val="008B3FD7"/>
    <w:rsid w:val="008B4082"/>
    <w:rsid w:val="008B40B6"/>
    <w:rsid w:val="008B41D9"/>
    <w:rsid w:val="008B4380"/>
    <w:rsid w:val="008B4595"/>
    <w:rsid w:val="008B4693"/>
    <w:rsid w:val="008B46EF"/>
    <w:rsid w:val="008B47BB"/>
    <w:rsid w:val="008B4A9D"/>
    <w:rsid w:val="008B4AB4"/>
    <w:rsid w:val="008B4BE8"/>
    <w:rsid w:val="008B4C62"/>
    <w:rsid w:val="008B4C7A"/>
    <w:rsid w:val="008B4CC7"/>
    <w:rsid w:val="008B4CE7"/>
    <w:rsid w:val="008B4D3B"/>
    <w:rsid w:val="008B4F1A"/>
    <w:rsid w:val="008B50D7"/>
    <w:rsid w:val="008B52C9"/>
    <w:rsid w:val="008B5445"/>
    <w:rsid w:val="008B56B3"/>
    <w:rsid w:val="008B587D"/>
    <w:rsid w:val="008B5A16"/>
    <w:rsid w:val="008B5A76"/>
    <w:rsid w:val="008B5B00"/>
    <w:rsid w:val="008B5B69"/>
    <w:rsid w:val="008B5B77"/>
    <w:rsid w:val="008B5BA7"/>
    <w:rsid w:val="008B5BC5"/>
    <w:rsid w:val="008B5C4F"/>
    <w:rsid w:val="008B5E95"/>
    <w:rsid w:val="008B5EDD"/>
    <w:rsid w:val="008B5EEF"/>
    <w:rsid w:val="008B5F0C"/>
    <w:rsid w:val="008B6006"/>
    <w:rsid w:val="008B603E"/>
    <w:rsid w:val="008B6086"/>
    <w:rsid w:val="008B61E3"/>
    <w:rsid w:val="008B61E5"/>
    <w:rsid w:val="008B6251"/>
    <w:rsid w:val="008B6326"/>
    <w:rsid w:val="008B6534"/>
    <w:rsid w:val="008B6642"/>
    <w:rsid w:val="008B676C"/>
    <w:rsid w:val="008B678C"/>
    <w:rsid w:val="008B67A8"/>
    <w:rsid w:val="008B6828"/>
    <w:rsid w:val="008B6850"/>
    <w:rsid w:val="008B6909"/>
    <w:rsid w:val="008B694E"/>
    <w:rsid w:val="008B69C5"/>
    <w:rsid w:val="008B6A57"/>
    <w:rsid w:val="008B6AB3"/>
    <w:rsid w:val="008B6AC9"/>
    <w:rsid w:val="008B6ADE"/>
    <w:rsid w:val="008B6B1F"/>
    <w:rsid w:val="008B6B53"/>
    <w:rsid w:val="008B6B55"/>
    <w:rsid w:val="008B6BA5"/>
    <w:rsid w:val="008B6C0B"/>
    <w:rsid w:val="008B6DBA"/>
    <w:rsid w:val="008B708C"/>
    <w:rsid w:val="008B7212"/>
    <w:rsid w:val="008B73E3"/>
    <w:rsid w:val="008B7402"/>
    <w:rsid w:val="008B7414"/>
    <w:rsid w:val="008B753A"/>
    <w:rsid w:val="008B7580"/>
    <w:rsid w:val="008B7597"/>
    <w:rsid w:val="008B75E5"/>
    <w:rsid w:val="008B7656"/>
    <w:rsid w:val="008B769E"/>
    <w:rsid w:val="008B76D8"/>
    <w:rsid w:val="008B7735"/>
    <w:rsid w:val="008B7831"/>
    <w:rsid w:val="008B785B"/>
    <w:rsid w:val="008B7986"/>
    <w:rsid w:val="008B7A4D"/>
    <w:rsid w:val="008B7BB6"/>
    <w:rsid w:val="008B7CD3"/>
    <w:rsid w:val="008B7D03"/>
    <w:rsid w:val="008B7D2A"/>
    <w:rsid w:val="008B7D32"/>
    <w:rsid w:val="008B7D3C"/>
    <w:rsid w:val="008B7D82"/>
    <w:rsid w:val="008B7DDD"/>
    <w:rsid w:val="008B7E7D"/>
    <w:rsid w:val="008C003C"/>
    <w:rsid w:val="008C0119"/>
    <w:rsid w:val="008C0195"/>
    <w:rsid w:val="008C01C9"/>
    <w:rsid w:val="008C03A4"/>
    <w:rsid w:val="008C04EC"/>
    <w:rsid w:val="008C05FA"/>
    <w:rsid w:val="008C0600"/>
    <w:rsid w:val="008C0665"/>
    <w:rsid w:val="008C07D7"/>
    <w:rsid w:val="008C0951"/>
    <w:rsid w:val="008C095E"/>
    <w:rsid w:val="008C0970"/>
    <w:rsid w:val="008C09FC"/>
    <w:rsid w:val="008C0A32"/>
    <w:rsid w:val="008C0A5F"/>
    <w:rsid w:val="008C0A8C"/>
    <w:rsid w:val="008C0AE5"/>
    <w:rsid w:val="008C0B2C"/>
    <w:rsid w:val="008C0BB2"/>
    <w:rsid w:val="008C0C05"/>
    <w:rsid w:val="008C0C3E"/>
    <w:rsid w:val="008C0CB5"/>
    <w:rsid w:val="008C0EBB"/>
    <w:rsid w:val="008C0EF4"/>
    <w:rsid w:val="008C0F80"/>
    <w:rsid w:val="008C0FD0"/>
    <w:rsid w:val="008C1216"/>
    <w:rsid w:val="008C1221"/>
    <w:rsid w:val="008C1417"/>
    <w:rsid w:val="008C1471"/>
    <w:rsid w:val="008C147B"/>
    <w:rsid w:val="008C14D6"/>
    <w:rsid w:val="008C1586"/>
    <w:rsid w:val="008C16E8"/>
    <w:rsid w:val="008C170C"/>
    <w:rsid w:val="008C173F"/>
    <w:rsid w:val="008C17CF"/>
    <w:rsid w:val="008C185A"/>
    <w:rsid w:val="008C18D0"/>
    <w:rsid w:val="008C192A"/>
    <w:rsid w:val="008C1A1B"/>
    <w:rsid w:val="008C1CC0"/>
    <w:rsid w:val="008C1D2B"/>
    <w:rsid w:val="008C1E1B"/>
    <w:rsid w:val="008C1E4D"/>
    <w:rsid w:val="008C1EB6"/>
    <w:rsid w:val="008C1F70"/>
    <w:rsid w:val="008C20EC"/>
    <w:rsid w:val="008C2327"/>
    <w:rsid w:val="008C2466"/>
    <w:rsid w:val="008C256D"/>
    <w:rsid w:val="008C25CE"/>
    <w:rsid w:val="008C2621"/>
    <w:rsid w:val="008C262F"/>
    <w:rsid w:val="008C269F"/>
    <w:rsid w:val="008C27C8"/>
    <w:rsid w:val="008C2871"/>
    <w:rsid w:val="008C2B9A"/>
    <w:rsid w:val="008C2D56"/>
    <w:rsid w:val="008C2D6B"/>
    <w:rsid w:val="008C2E3F"/>
    <w:rsid w:val="008C2E45"/>
    <w:rsid w:val="008C2E4A"/>
    <w:rsid w:val="008C2FE5"/>
    <w:rsid w:val="008C305C"/>
    <w:rsid w:val="008C3062"/>
    <w:rsid w:val="008C30A8"/>
    <w:rsid w:val="008C30DD"/>
    <w:rsid w:val="008C311F"/>
    <w:rsid w:val="008C3178"/>
    <w:rsid w:val="008C324D"/>
    <w:rsid w:val="008C331C"/>
    <w:rsid w:val="008C331F"/>
    <w:rsid w:val="008C33AC"/>
    <w:rsid w:val="008C3537"/>
    <w:rsid w:val="008C35A0"/>
    <w:rsid w:val="008C3629"/>
    <w:rsid w:val="008C36B3"/>
    <w:rsid w:val="008C36DE"/>
    <w:rsid w:val="008C37FA"/>
    <w:rsid w:val="008C38CE"/>
    <w:rsid w:val="008C38E3"/>
    <w:rsid w:val="008C3965"/>
    <w:rsid w:val="008C399F"/>
    <w:rsid w:val="008C3A51"/>
    <w:rsid w:val="008C3B9D"/>
    <w:rsid w:val="008C3BF7"/>
    <w:rsid w:val="008C3D73"/>
    <w:rsid w:val="008C3D83"/>
    <w:rsid w:val="008C3DD2"/>
    <w:rsid w:val="008C3E8E"/>
    <w:rsid w:val="008C3EDC"/>
    <w:rsid w:val="008C3FF6"/>
    <w:rsid w:val="008C41EF"/>
    <w:rsid w:val="008C423E"/>
    <w:rsid w:val="008C4360"/>
    <w:rsid w:val="008C43FE"/>
    <w:rsid w:val="008C4408"/>
    <w:rsid w:val="008C44E3"/>
    <w:rsid w:val="008C454B"/>
    <w:rsid w:val="008C46AB"/>
    <w:rsid w:val="008C46CF"/>
    <w:rsid w:val="008C475D"/>
    <w:rsid w:val="008C4807"/>
    <w:rsid w:val="008C4817"/>
    <w:rsid w:val="008C4D3B"/>
    <w:rsid w:val="008C4D6A"/>
    <w:rsid w:val="008C4F03"/>
    <w:rsid w:val="008C4FAD"/>
    <w:rsid w:val="008C5124"/>
    <w:rsid w:val="008C51DA"/>
    <w:rsid w:val="008C520C"/>
    <w:rsid w:val="008C5494"/>
    <w:rsid w:val="008C54B9"/>
    <w:rsid w:val="008C5590"/>
    <w:rsid w:val="008C5718"/>
    <w:rsid w:val="008C573F"/>
    <w:rsid w:val="008C578A"/>
    <w:rsid w:val="008C5946"/>
    <w:rsid w:val="008C5967"/>
    <w:rsid w:val="008C5AB7"/>
    <w:rsid w:val="008C5ABF"/>
    <w:rsid w:val="008C5B95"/>
    <w:rsid w:val="008C5BC9"/>
    <w:rsid w:val="008C5BF5"/>
    <w:rsid w:val="008C5CB5"/>
    <w:rsid w:val="008C5D68"/>
    <w:rsid w:val="008C5EBA"/>
    <w:rsid w:val="008C625E"/>
    <w:rsid w:val="008C62C1"/>
    <w:rsid w:val="008C6592"/>
    <w:rsid w:val="008C6596"/>
    <w:rsid w:val="008C677C"/>
    <w:rsid w:val="008C683C"/>
    <w:rsid w:val="008C683D"/>
    <w:rsid w:val="008C6858"/>
    <w:rsid w:val="008C68C3"/>
    <w:rsid w:val="008C6971"/>
    <w:rsid w:val="008C6B7B"/>
    <w:rsid w:val="008C6B9F"/>
    <w:rsid w:val="008C6BB0"/>
    <w:rsid w:val="008C6C26"/>
    <w:rsid w:val="008C6DA7"/>
    <w:rsid w:val="008C6E3B"/>
    <w:rsid w:val="008C6F25"/>
    <w:rsid w:val="008C6FA6"/>
    <w:rsid w:val="008C70B3"/>
    <w:rsid w:val="008C7139"/>
    <w:rsid w:val="008C73B3"/>
    <w:rsid w:val="008C73B5"/>
    <w:rsid w:val="008C7577"/>
    <w:rsid w:val="008C75A5"/>
    <w:rsid w:val="008C778A"/>
    <w:rsid w:val="008C7887"/>
    <w:rsid w:val="008C7926"/>
    <w:rsid w:val="008C7AF7"/>
    <w:rsid w:val="008C7B0D"/>
    <w:rsid w:val="008C7BF1"/>
    <w:rsid w:val="008C7CB6"/>
    <w:rsid w:val="008C7CE2"/>
    <w:rsid w:val="008C7CFA"/>
    <w:rsid w:val="008C7D89"/>
    <w:rsid w:val="008C7DFB"/>
    <w:rsid w:val="008C7F7F"/>
    <w:rsid w:val="008D0111"/>
    <w:rsid w:val="008D02DE"/>
    <w:rsid w:val="008D0310"/>
    <w:rsid w:val="008D0341"/>
    <w:rsid w:val="008D052B"/>
    <w:rsid w:val="008D0552"/>
    <w:rsid w:val="008D05AE"/>
    <w:rsid w:val="008D062D"/>
    <w:rsid w:val="008D0691"/>
    <w:rsid w:val="008D0697"/>
    <w:rsid w:val="008D0757"/>
    <w:rsid w:val="008D07FF"/>
    <w:rsid w:val="008D0A73"/>
    <w:rsid w:val="008D0C4B"/>
    <w:rsid w:val="008D0CF8"/>
    <w:rsid w:val="008D0D47"/>
    <w:rsid w:val="008D0D9A"/>
    <w:rsid w:val="008D0FD5"/>
    <w:rsid w:val="008D1083"/>
    <w:rsid w:val="008D10B4"/>
    <w:rsid w:val="008D13BF"/>
    <w:rsid w:val="008D14D1"/>
    <w:rsid w:val="008D14F8"/>
    <w:rsid w:val="008D15BB"/>
    <w:rsid w:val="008D15D0"/>
    <w:rsid w:val="008D15EB"/>
    <w:rsid w:val="008D16A9"/>
    <w:rsid w:val="008D16CA"/>
    <w:rsid w:val="008D1862"/>
    <w:rsid w:val="008D195D"/>
    <w:rsid w:val="008D199A"/>
    <w:rsid w:val="008D19FD"/>
    <w:rsid w:val="008D1BB0"/>
    <w:rsid w:val="008D1BE9"/>
    <w:rsid w:val="008D1C02"/>
    <w:rsid w:val="008D1D45"/>
    <w:rsid w:val="008D1E00"/>
    <w:rsid w:val="008D1ED8"/>
    <w:rsid w:val="008D1F46"/>
    <w:rsid w:val="008D1FAD"/>
    <w:rsid w:val="008D20E7"/>
    <w:rsid w:val="008D2167"/>
    <w:rsid w:val="008D219E"/>
    <w:rsid w:val="008D21CA"/>
    <w:rsid w:val="008D229E"/>
    <w:rsid w:val="008D22EC"/>
    <w:rsid w:val="008D238E"/>
    <w:rsid w:val="008D251C"/>
    <w:rsid w:val="008D25B4"/>
    <w:rsid w:val="008D26A6"/>
    <w:rsid w:val="008D26AA"/>
    <w:rsid w:val="008D26E0"/>
    <w:rsid w:val="008D287D"/>
    <w:rsid w:val="008D2A02"/>
    <w:rsid w:val="008D2AA1"/>
    <w:rsid w:val="008D2AEA"/>
    <w:rsid w:val="008D2C1C"/>
    <w:rsid w:val="008D2C99"/>
    <w:rsid w:val="008D2DAC"/>
    <w:rsid w:val="008D2DEA"/>
    <w:rsid w:val="008D2EE7"/>
    <w:rsid w:val="008D2F44"/>
    <w:rsid w:val="008D2F78"/>
    <w:rsid w:val="008D2FFE"/>
    <w:rsid w:val="008D30B7"/>
    <w:rsid w:val="008D313D"/>
    <w:rsid w:val="008D315E"/>
    <w:rsid w:val="008D31EA"/>
    <w:rsid w:val="008D31FB"/>
    <w:rsid w:val="008D3206"/>
    <w:rsid w:val="008D325B"/>
    <w:rsid w:val="008D32C1"/>
    <w:rsid w:val="008D331D"/>
    <w:rsid w:val="008D3390"/>
    <w:rsid w:val="008D33D8"/>
    <w:rsid w:val="008D33E4"/>
    <w:rsid w:val="008D34D1"/>
    <w:rsid w:val="008D3530"/>
    <w:rsid w:val="008D356C"/>
    <w:rsid w:val="008D3573"/>
    <w:rsid w:val="008D35A3"/>
    <w:rsid w:val="008D3618"/>
    <w:rsid w:val="008D3636"/>
    <w:rsid w:val="008D36CE"/>
    <w:rsid w:val="008D371A"/>
    <w:rsid w:val="008D3910"/>
    <w:rsid w:val="008D391D"/>
    <w:rsid w:val="008D39E4"/>
    <w:rsid w:val="008D3C05"/>
    <w:rsid w:val="008D3D07"/>
    <w:rsid w:val="008D3D3A"/>
    <w:rsid w:val="008D3EF3"/>
    <w:rsid w:val="008D3FF4"/>
    <w:rsid w:val="008D40E6"/>
    <w:rsid w:val="008D40F0"/>
    <w:rsid w:val="008D4110"/>
    <w:rsid w:val="008D4172"/>
    <w:rsid w:val="008D4175"/>
    <w:rsid w:val="008D4284"/>
    <w:rsid w:val="008D430D"/>
    <w:rsid w:val="008D4356"/>
    <w:rsid w:val="008D4392"/>
    <w:rsid w:val="008D4405"/>
    <w:rsid w:val="008D444C"/>
    <w:rsid w:val="008D4487"/>
    <w:rsid w:val="008D45DE"/>
    <w:rsid w:val="008D465B"/>
    <w:rsid w:val="008D466C"/>
    <w:rsid w:val="008D4715"/>
    <w:rsid w:val="008D4766"/>
    <w:rsid w:val="008D477C"/>
    <w:rsid w:val="008D47CB"/>
    <w:rsid w:val="008D4825"/>
    <w:rsid w:val="008D4972"/>
    <w:rsid w:val="008D4AB9"/>
    <w:rsid w:val="008D4B85"/>
    <w:rsid w:val="008D4D04"/>
    <w:rsid w:val="008D4D32"/>
    <w:rsid w:val="008D4D7D"/>
    <w:rsid w:val="008D4E78"/>
    <w:rsid w:val="008D500E"/>
    <w:rsid w:val="008D50FC"/>
    <w:rsid w:val="008D511B"/>
    <w:rsid w:val="008D5132"/>
    <w:rsid w:val="008D5223"/>
    <w:rsid w:val="008D53B7"/>
    <w:rsid w:val="008D53DE"/>
    <w:rsid w:val="008D53F6"/>
    <w:rsid w:val="008D542E"/>
    <w:rsid w:val="008D5458"/>
    <w:rsid w:val="008D551D"/>
    <w:rsid w:val="008D5542"/>
    <w:rsid w:val="008D55BF"/>
    <w:rsid w:val="008D5715"/>
    <w:rsid w:val="008D59C2"/>
    <w:rsid w:val="008D5ADD"/>
    <w:rsid w:val="008D5B7B"/>
    <w:rsid w:val="008D5B7F"/>
    <w:rsid w:val="008D5C0D"/>
    <w:rsid w:val="008D5C10"/>
    <w:rsid w:val="008D5D17"/>
    <w:rsid w:val="008D5D6E"/>
    <w:rsid w:val="008D5D95"/>
    <w:rsid w:val="008D5F04"/>
    <w:rsid w:val="008D5F33"/>
    <w:rsid w:val="008D5F8F"/>
    <w:rsid w:val="008D6120"/>
    <w:rsid w:val="008D63E0"/>
    <w:rsid w:val="008D63E4"/>
    <w:rsid w:val="008D6514"/>
    <w:rsid w:val="008D652F"/>
    <w:rsid w:val="008D65E9"/>
    <w:rsid w:val="008D665E"/>
    <w:rsid w:val="008D6668"/>
    <w:rsid w:val="008D666A"/>
    <w:rsid w:val="008D66A8"/>
    <w:rsid w:val="008D66D7"/>
    <w:rsid w:val="008D67CC"/>
    <w:rsid w:val="008D688F"/>
    <w:rsid w:val="008D68CF"/>
    <w:rsid w:val="008D697F"/>
    <w:rsid w:val="008D69A0"/>
    <w:rsid w:val="008D69F7"/>
    <w:rsid w:val="008D6A65"/>
    <w:rsid w:val="008D6AD5"/>
    <w:rsid w:val="008D6D72"/>
    <w:rsid w:val="008D6D95"/>
    <w:rsid w:val="008D6E33"/>
    <w:rsid w:val="008D6E45"/>
    <w:rsid w:val="008D6EC1"/>
    <w:rsid w:val="008D6F85"/>
    <w:rsid w:val="008D6FAB"/>
    <w:rsid w:val="008D7039"/>
    <w:rsid w:val="008D718A"/>
    <w:rsid w:val="008D71E5"/>
    <w:rsid w:val="008D71EF"/>
    <w:rsid w:val="008D73B7"/>
    <w:rsid w:val="008D74A1"/>
    <w:rsid w:val="008D7631"/>
    <w:rsid w:val="008D7661"/>
    <w:rsid w:val="008D76DD"/>
    <w:rsid w:val="008D7735"/>
    <w:rsid w:val="008D7758"/>
    <w:rsid w:val="008D7974"/>
    <w:rsid w:val="008D79CA"/>
    <w:rsid w:val="008D79D5"/>
    <w:rsid w:val="008D79E5"/>
    <w:rsid w:val="008D7A0C"/>
    <w:rsid w:val="008D7B01"/>
    <w:rsid w:val="008D7B09"/>
    <w:rsid w:val="008D7BC8"/>
    <w:rsid w:val="008D7CC5"/>
    <w:rsid w:val="008D7CE4"/>
    <w:rsid w:val="008D7E40"/>
    <w:rsid w:val="008D7E63"/>
    <w:rsid w:val="008D7F05"/>
    <w:rsid w:val="008E0124"/>
    <w:rsid w:val="008E01A8"/>
    <w:rsid w:val="008E020F"/>
    <w:rsid w:val="008E072A"/>
    <w:rsid w:val="008E0834"/>
    <w:rsid w:val="008E088B"/>
    <w:rsid w:val="008E0AD5"/>
    <w:rsid w:val="008E0B0C"/>
    <w:rsid w:val="008E0B38"/>
    <w:rsid w:val="008E0F85"/>
    <w:rsid w:val="008E1052"/>
    <w:rsid w:val="008E10FF"/>
    <w:rsid w:val="008E1138"/>
    <w:rsid w:val="008E11F8"/>
    <w:rsid w:val="008E125A"/>
    <w:rsid w:val="008E12BC"/>
    <w:rsid w:val="008E12D0"/>
    <w:rsid w:val="008E1481"/>
    <w:rsid w:val="008E15C2"/>
    <w:rsid w:val="008E166B"/>
    <w:rsid w:val="008E16C7"/>
    <w:rsid w:val="008E18A4"/>
    <w:rsid w:val="008E192C"/>
    <w:rsid w:val="008E19CA"/>
    <w:rsid w:val="008E1A44"/>
    <w:rsid w:val="008E1A6A"/>
    <w:rsid w:val="008E1A77"/>
    <w:rsid w:val="008E1AFB"/>
    <w:rsid w:val="008E1C75"/>
    <w:rsid w:val="008E1D24"/>
    <w:rsid w:val="008E1DF0"/>
    <w:rsid w:val="008E1F5A"/>
    <w:rsid w:val="008E1FFE"/>
    <w:rsid w:val="008E2005"/>
    <w:rsid w:val="008E202C"/>
    <w:rsid w:val="008E212B"/>
    <w:rsid w:val="008E2161"/>
    <w:rsid w:val="008E21A5"/>
    <w:rsid w:val="008E21B9"/>
    <w:rsid w:val="008E21EB"/>
    <w:rsid w:val="008E227B"/>
    <w:rsid w:val="008E22FE"/>
    <w:rsid w:val="008E23BA"/>
    <w:rsid w:val="008E23FD"/>
    <w:rsid w:val="008E2419"/>
    <w:rsid w:val="008E2440"/>
    <w:rsid w:val="008E249C"/>
    <w:rsid w:val="008E251D"/>
    <w:rsid w:val="008E25CE"/>
    <w:rsid w:val="008E25D2"/>
    <w:rsid w:val="008E2628"/>
    <w:rsid w:val="008E2789"/>
    <w:rsid w:val="008E28BD"/>
    <w:rsid w:val="008E28F7"/>
    <w:rsid w:val="008E29B9"/>
    <w:rsid w:val="008E2AEF"/>
    <w:rsid w:val="008E2C76"/>
    <w:rsid w:val="008E2D81"/>
    <w:rsid w:val="008E2DDB"/>
    <w:rsid w:val="008E2E00"/>
    <w:rsid w:val="008E2EA2"/>
    <w:rsid w:val="008E2FB5"/>
    <w:rsid w:val="008E31DA"/>
    <w:rsid w:val="008E31DE"/>
    <w:rsid w:val="008E31F3"/>
    <w:rsid w:val="008E3416"/>
    <w:rsid w:val="008E34D4"/>
    <w:rsid w:val="008E35B1"/>
    <w:rsid w:val="008E3695"/>
    <w:rsid w:val="008E376F"/>
    <w:rsid w:val="008E3862"/>
    <w:rsid w:val="008E3878"/>
    <w:rsid w:val="008E3AF4"/>
    <w:rsid w:val="008E3C9C"/>
    <w:rsid w:val="008E3DEE"/>
    <w:rsid w:val="008E3EB1"/>
    <w:rsid w:val="008E404F"/>
    <w:rsid w:val="008E4075"/>
    <w:rsid w:val="008E4403"/>
    <w:rsid w:val="008E45A1"/>
    <w:rsid w:val="008E4632"/>
    <w:rsid w:val="008E469D"/>
    <w:rsid w:val="008E4849"/>
    <w:rsid w:val="008E489A"/>
    <w:rsid w:val="008E4A47"/>
    <w:rsid w:val="008E4A50"/>
    <w:rsid w:val="008E4B77"/>
    <w:rsid w:val="008E4B98"/>
    <w:rsid w:val="008E4D86"/>
    <w:rsid w:val="008E4E2C"/>
    <w:rsid w:val="008E4EB8"/>
    <w:rsid w:val="008E4EF6"/>
    <w:rsid w:val="008E4F43"/>
    <w:rsid w:val="008E4FCA"/>
    <w:rsid w:val="008E503F"/>
    <w:rsid w:val="008E5094"/>
    <w:rsid w:val="008E50AC"/>
    <w:rsid w:val="008E5251"/>
    <w:rsid w:val="008E5253"/>
    <w:rsid w:val="008E5329"/>
    <w:rsid w:val="008E5408"/>
    <w:rsid w:val="008E5454"/>
    <w:rsid w:val="008E5462"/>
    <w:rsid w:val="008E54C4"/>
    <w:rsid w:val="008E578E"/>
    <w:rsid w:val="008E5877"/>
    <w:rsid w:val="008E588B"/>
    <w:rsid w:val="008E5ABE"/>
    <w:rsid w:val="008E5AD9"/>
    <w:rsid w:val="008E5AE0"/>
    <w:rsid w:val="008E5B8D"/>
    <w:rsid w:val="008E5CF3"/>
    <w:rsid w:val="008E5D19"/>
    <w:rsid w:val="008E5D86"/>
    <w:rsid w:val="008E5E78"/>
    <w:rsid w:val="008E5E7D"/>
    <w:rsid w:val="008E5EA3"/>
    <w:rsid w:val="008E6217"/>
    <w:rsid w:val="008E6252"/>
    <w:rsid w:val="008E6272"/>
    <w:rsid w:val="008E6372"/>
    <w:rsid w:val="008E6389"/>
    <w:rsid w:val="008E6497"/>
    <w:rsid w:val="008E65B1"/>
    <w:rsid w:val="008E65B9"/>
    <w:rsid w:val="008E65C2"/>
    <w:rsid w:val="008E663C"/>
    <w:rsid w:val="008E6804"/>
    <w:rsid w:val="008E6891"/>
    <w:rsid w:val="008E6930"/>
    <w:rsid w:val="008E693E"/>
    <w:rsid w:val="008E6947"/>
    <w:rsid w:val="008E698F"/>
    <w:rsid w:val="008E6AD5"/>
    <w:rsid w:val="008E6C33"/>
    <w:rsid w:val="008E6DEB"/>
    <w:rsid w:val="008E6E23"/>
    <w:rsid w:val="008E6E8B"/>
    <w:rsid w:val="008E6F09"/>
    <w:rsid w:val="008E6F26"/>
    <w:rsid w:val="008E703B"/>
    <w:rsid w:val="008E707A"/>
    <w:rsid w:val="008E70B5"/>
    <w:rsid w:val="008E7136"/>
    <w:rsid w:val="008E7225"/>
    <w:rsid w:val="008E7314"/>
    <w:rsid w:val="008E7323"/>
    <w:rsid w:val="008E74AA"/>
    <w:rsid w:val="008E750F"/>
    <w:rsid w:val="008E753F"/>
    <w:rsid w:val="008E75FD"/>
    <w:rsid w:val="008E7648"/>
    <w:rsid w:val="008E7683"/>
    <w:rsid w:val="008E7697"/>
    <w:rsid w:val="008E770B"/>
    <w:rsid w:val="008E7848"/>
    <w:rsid w:val="008E79C2"/>
    <w:rsid w:val="008E79EC"/>
    <w:rsid w:val="008E7A45"/>
    <w:rsid w:val="008E7B3C"/>
    <w:rsid w:val="008E7B55"/>
    <w:rsid w:val="008E7BAA"/>
    <w:rsid w:val="008E7C63"/>
    <w:rsid w:val="008E7C86"/>
    <w:rsid w:val="008E7D85"/>
    <w:rsid w:val="008E7D99"/>
    <w:rsid w:val="008E7F83"/>
    <w:rsid w:val="008F0034"/>
    <w:rsid w:val="008F0194"/>
    <w:rsid w:val="008F01C2"/>
    <w:rsid w:val="008F027C"/>
    <w:rsid w:val="008F0288"/>
    <w:rsid w:val="008F0350"/>
    <w:rsid w:val="008F03F1"/>
    <w:rsid w:val="008F04F0"/>
    <w:rsid w:val="008F05D3"/>
    <w:rsid w:val="008F060E"/>
    <w:rsid w:val="008F071F"/>
    <w:rsid w:val="008F07BA"/>
    <w:rsid w:val="008F07EE"/>
    <w:rsid w:val="008F08B9"/>
    <w:rsid w:val="008F08EC"/>
    <w:rsid w:val="008F08FA"/>
    <w:rsid w:val="008F0B21"/>
    <w:rsid w:val="008F0B67"/>
    <w:rsid w:val="008F0C2C"/>
    <w:rsid w:val="008F0CD0"/>
    <w:rsid w:val="008F0D6B"/>
    <w:rsid w:val="008F0D73"/>
    <w:rsid w:val="008F0DA0"/>
    <w:rsid w:val="008F0E2D"/>
    <w:rsid w:val="008F0F0E"/>
    <w:rsid w:val="008F10DA"/>
    <w:rsid w:val="008F113D"/>
    <w:rsid w:val="008F125F"/>
    <w:rsid w:val="008F12CA"/>
    <w:rsid w:val="008F13D9"/>
    <w:rsid w:val="008F143F"/>
    <w:rsid w:val="008F1546"/>
    <w:rsid w:val="008F18A2"/>
    <w:rsid w:val="008F1926"/>
    <w:rsid w:val="008F1BA1"/>
    <w:rsid w:val="008F1D53"/>
    <w:rsid w:val="008F1DCB"/>
    <w:rsid w:val="008F1EA1"/>
    <w:rsid w:val="008F1EDA"/>
    <w:rsid w:val="008F1F9E"/>
    <w:rsid w:val="008F209E"/>
    <w:rsid w:val="008F20FA"/>
    <w:rsid w:val="008F218E"/>
    <w:rsid w:val="008F21AD"/>
    <w:rsid w:val="008F22A9"/>
    <w:rsid w:val="008F22BE"/>
    <w:rsid w:val="008F25EA"/>
    <w:rsid w:val="008F2625"/>
    <w:rsid w:val="008F26F3"/>
    <w:rsid w:val="008F274B"/>
    <w:rsid w:val="008F2920"/>
    <w:rsid w:val="008F29C3"/>
    <w:rsid w:val="008F29DB"/>
    <w:rsid w:val="008F2BE7"/>
    <w:rsid w:val="008F2C3A"/>
    <w:rsid w:val="008F2CF5"/>
    <w:rsid w:val="008F2DE3"/>
    <w:rsid w:val="008F2DE6"/>
    <w:rsid w:val="008F2EEE"/>
    <w:rsid w:val="008F2F14"/>
    <w:rsid w:val="008F2F97"/>
    <w:rsid w:val="008F2F9B"/>
    <w:rsid w:val="008F3029"/>
    <w:rsid w:val="008F32D5"/>
    <w:rsid w:val="008F3364"/>
    <w:rsid w:val="008F33A2"/>
    <w:rsid w:val="008F3416"/>
    <w:rsid w:val="008F3497"/>
    <w:rsid w:val="008F354F"/>
    <w:rsid w:val="008F356F"/>
    <w:rsid w:val="008F3644"/>
    <w:rsid w:val="008F371E"/>
    <w:rsid w:val="008F384C"/>
    <w:rsid w:val="008F39F2"/>
    <w:rsid w:val="008F3A60"/>
    <w:rsid w:val="008F3AB4"/>
    <w:rsid w:val="008F3BB6"/>
    <w:rsid w:val="008F3E11"/>
    <w:rsid w:val="008F3E46"/>
    <w:rsid w:val="008F3E67"/>
    <w:rsid w:val="008F3EBD"/>
    <w:rsid w:val="008F3F6E"/>
    <w:rsid w:val="008F3F89"/>
    <w:rsid w:val="008F4031"/>
    <w:rsid w:val="008F4038"/>
    <w:rsid w:val="008F422A"/>
    <w:rsid w:val="008F42E2"/>
    <w:rsid w:val="008F4379"/>
    <w:rsid w:val="008F4380"/>
    <w:rsid w:val="008F43F6"/>
    <w:rsid w:val="008F442D"/>
    <w:rsid w:val="008F44CF"/>
    <w:rsid w:val="008F4612"/>
    <w:rsid w:val="008F4736"/>
    <w:rsid w:val="008F4A7F"/>
    <w:rsid w:val="008F4BE5"/>
    <w:rsid w:val="008F4C86"/>
    <w:rsid w:val="008F4C95"/>
    <w:rsid w:val="008F4CFF"/>
    <w:rsid w:val="008F4EB0"/>
    <w:rsid w:val="008F511B"/>
    <w:rsid w:val="008F5162"/>
    <w:rsid w:val="008F52D2"/>
    <w:rsid w:val="008F5394"/>
    <w:rsid w:val="008F5444"/>
    <w:rsid w:val="008F553C"/>
    <w:rsid w:val="008F55F8"/>
    <w:rsid w:val="008F569E"/>
    <w:rsid w:val="008F56EA"/>
    <w:rsid w:val="008F57AB"/>
    <w:rsid w:val="008F59AD"/>
    <w:rsid w:val="008F5A02"/>
    <w:rsid w:val="008F5A11"/>
    <w:rsid w:val="008F5B12"/>
    <w:rsid w:val="008F5B41"/>
    <w:rsid w:val="008F5B7E"/>
    <w:rsid w:val="008F5C65"/>
    <w:rsid w:val="008F5CD6"/>
    <w:rsid w:val="008F5D33"/>
    <w:rsid w:val="008F5F20"/>
    <w:rsid w:val="008F5FEE"/>
    <w:rsid w:val="008F6131"/>
    <w:rsid w:val="008F61C1"/>
    <w:rsid w:val="008F623C"/>
    <w:rsid w:val="008F6284"/>
    <w:rsid w:val="008F63BB"/>
    <w:rsid w:val="008F64B1"/>
    <w:rsid w:val="008F6537"/>
    <w:rsid w:val="008F66A0"/>
    <w:rsid w:val="008F66DC"/>
    <w:rsid w:val="008F66EB"/>
    <w:rsid w:val="008F6821"/>
    <w:rsid w:val="008F6892"/>
    <w:rsid w:val="008F689F"/>
    <w:rsid w:val="008F68A3"/>
    <w:rsid w:val="008F6943"/>
    <w:rsid w:val="008F698A"/>
    <w:rsid w:val="008F69AF"/>
    <w:rsid w:val="008F6DB1"/>
    <w:rsid w:val="008F6DF6"/>
    <w:rsid w:val="008F6EE9"/>
    <w:rsid w:val="008F6F94"/>
    <w:rsid w:val="008F7004"/>
    <w:rsid w:val="008F7019"/>
    <w:rsid w:val="008F707D"/>
    <w:rsid w:val="008F7293"/>
    <w:rsid w:val="008F7302"/>
    <w:rsid w:val="008F73E7"/>
    <w:rsid w:val="008F7537"/>
    <w:rsid w:val="008F759A"/>
    <w:rsid w:val="008F7603"/>
    <w:rsid w:val="008F761D"/>
    <w:rsid w:val="008F7661"/>
    <w:rsid w:val="008F77B2"/>
    <w:rsid w:val="008F7904"/>
    <w:rsid w:val="008F7934"/>
    <w:rsid w:val="008F799A"/>
    <w:rsid w:val="008F79DD"/>
    <w:rsid w:val="008F79F0"/>
    <w:rsid w:val="008F7AAC"/>
    <w:rsid w:val="008F7B4F"/>
    <w:rsid w:val="008F7BC2"/>
    <w:rsid w:val="008F7C06"/>
    <w:rsid w:val="008F7C4F"/>
    <w:rsid w:val="008F7DD1"/>
    <w:rsid w:val="008F7E32"/>
    <w:rsid w:val="008F7EE4"/>
    <w:rsid w:val="009000ED"/>
    <w:rsid w:val="00900109"/>
    <w:rsid w:val="00900238"/>
    <w:rsid w:val="00900302"/>
    <w:rsid w:val="0090044E"/>
    <w:rsid w:val="0090051C"/>
    <w:rsid w:val="009005D2"/>
    <w:rsid w:val="009005E6"/>
    <w:rsid w:val="0090061F"/>
    <w:rsid w:val="00900703"/>
    <w:rsid w:val="00900880"/>
    <w:rsid w:val="00900909"/>
    <w:rsid w:val="00900918"/>
    <w:rsid w:val="00900D98"/>
    <w:rsid w:val="00900EAA"/>
    <w:rsid w:val="00901017"/>
    <w:rsid w:val="00901044"/>
    <w:rsid w:val="00901108"/>
    <w:rsid w:val="00901164"/>
    <w:rsid w:val="0090126D"/>
    <w:rsid w:val="009012DE"/>
    <w:rsid w:val="00901379"/>
    <w:rsid w:val="00901415"/>
    <w:rsid w:val="00901499"/>
    <w:rsid w:val="0090152A"/>
    <w:rsid w:val="0090165C"/>
    <w:rsid w:val="00901690"/>
    <w:rsid w:val="00901713"/>
    <w:rsid w:val="00901735"/>
    <w:rsid w:val="0090176A"/>
    <w:rsid w:val="009017A8"/>
    <w:rsid w:val="009017CE"/>
    <w:rsid w:val="00901900"/>
    <w:rsid w:val="0090194F"/>
    <w:rsid w:val="00901954"/>
    <w:rsid w:val="009019B3"/>
    <w:rsid w:val="00901A1A"/>
    <w:rsid w:val="00901A2A"/>
    <w:rsid w:val="00901A9C"/>
    <w:rsid w:val="00901AA1"/>
    <w:rsid w:val="00901AFB"/>
    <w:rsid w:val="00901E2C"/>
    <w:rsid w:val="00901EA9"/>
    <w:rsid w:val="00901F55"/>
    <w:rsid w:val="0090206A"/>
    <w:rsid w:val="00902167"/>
    <w:rsid w:val="00902345"/>
    <w:rsid w:val="0090256C"/>
    <w:rsid w:val="009027BD"/>
    <w:rsid w:val="00902897"/>
    <w:rsid w:val="00902961"/>
    <w:rsid w:val="00902AA2"/>
    <w:rsid w:val="00902B7B"/>
    <w:rsid w:val="00902BF3"/>
    <w:rsid w:val="00902C2C"/>
    <w:rsid w:val="00902EA8"/>
    <w:rsid w:val="00902EDC"/>
    <w:rsid w:val="00902FB9"/>
    <w:rsid w:val="00903105"/>
    <w:rsid w:val="00903264"/>
    <w:rsid w:val="00903307"/>
    <w:rsid w:val="0090331E"/>
    <w:rsid w:val="009033A6"/>
    <w:rsid w:val="00903530"/>
    <w:rsid w:val="009035EF"/>
    <w:rsid w:val="00903600"/>
    <w:rsid w:val="00903856"/>
    <w:rsid w:val="009038CE"/>
    <w:rsid w:val="00903B0B"/>
    <w:rsid w:val="00903B4D"/>
    <w:rsid w:val="00903B6D"/>
    <w:rsid w:val="00903C86"/>
    <w:rsid w:val="00903E43"/>
    <w:rsid w:val="00903F97"/>
    <w:rsid w:val="00903FE7"/>
    <w:rsid w:val="009040F9"/>
    <w:rsid w:val="00904227"/>
    <w:rsid w:val="0090424D"/>
    <w:rsid w:val="0090436B"/>
    <w:rsid w:val="00904437"/>
    <w:rsid w:val="009044EA"/>
    <w:rsid w:val="0090450E"/>
    <w:rsid w:val="00904576"/>
    <w:rsid w:val="00904610"/>
    <w:rsid w:val="00904694"/>
    <w:rsid w:val="0090470F"/>
    <w:rsid w:val="00904A52"/>
    <w:rsid w:val="00904C03"/>
    <w:rsid w:val="00904CB5"/>
    <w:rsid w:val="00904EC4"/>
    <w:rsid w:val="00904EF7"/>
    <w:rsid w:val="0090500E"/>
    <w:rsid w:val="00905029"/>
    <w:rsid w:val="009052D7"/>
    <w:rsid w:val="009053F8"/>
    <w:rsid w:val="009055BC"/>
    <w:rsid w:val="00905736"/>
    <w:rsid w:val="00905768"/>
    <w:rsid w:val="009057B1"/>
    <w:rsid w:val="009058B4"/>
    <w:rsid w:val="00905A12"/>
    <w:rsid w:val="00905B13"/>
    <w:rsid w:val="00905B90"/>
    <w:rsid w:val="00905C07"/>
    <w:rsid w:val="00905C6B"/>
    <w:rsid w:val="00905C77"/>
    <w:rsid w:val="00905D10"/>
    <w:rsid w:val="00905D3B"/>
    <w:rsid w:val="00905E42"/>
    <w:rsid w:val="00905E9B"/>
    <w:rsid w:val="00906399"/>
    <w:rsid w:val="00906769"/>
    <w:rsid w:val="009067CA"/>
    <w:rsid w:val="00906935"/>
    <w:rsid w:val="0090697F"/>
    <w:rsid w:val="009069AE"/>
    <w:rsid w:val="00906A63"/>
    <w:rsid w:val="00906A84"/>
    <w:rsid w:val="00906DF6"/>
    <w:rsid w:val="00906E77"/>
    <w:rsid w:val="00906EA0"/>
    <w:rsid w:val="00906F93"/>
    <w:rsid w:val="0090704F"/>
    <w:rsid w:val="009071CA"/>
    <w:rsid w:val="00907252"/>
    <w:rsid w:val="009072C8"/>
    <w:rsid w:val="009074A1"/>
    <w:rsid w:val="00907502"/>
    <w:rsid w:val="0090750E"/>
    <w:rsid w:val="009075D8"/>
    <w:rsid w:val="00907634"/>
    <w:rsid w:val="009076F1"/>
    <w:rsid w:val="0090771C"/>
    <w:rsid w:val="009077C0"/>
    <w:rsid w:val="009077E9"/>
    <w:rsid w:val="009078B1"/>
    <w:rsid w:val="00907A52"/>
    <w:rsid w:val="00907A69"/>
    <w:rsid w:val="00907AF1"/>
    <w:rsid w:val="00907B00"/>
    <w:rsid w:val="00907BBB"/>
    <w:rsid w:val="00907DC4"/>
    <w:rsid w:val="00907E75"/>
    <w:rsid w:val="00907EB0"/>
    <w:rsid w:val="00907EE7"/>
    <w:rsid w:val="00907F7F"/>
    <w:rsid w:val="00910010"/>
    <w:rsid w:val="00910063"/>
    <w:rsid w:val="009100BC"/>
    <w:rsid w:val="0091014D"/>
    <w:rsid w:val="00910211"/>
    <w:rsid w:val="00910213"/>
    <w:rsid w:val="00910375"/>
    <w:rsid w:val="009103A9"/>
    <w:rsid w:val="009103CF"/>
    <w:rsid w:val="009104E2"/>
    <w:rsid w:val="009104F4"/>
    <w:rsid w:val="009105FE"/>
    <w:rsid w:val="009107C8"/>
    <w:rsid w:val="00910922"/>
    <w:rsid w:val="00910ADA"/>
    <w:rsid w:val="00910B8E"/>
    <w:rsid w:val="00910CEE"/>
    <w:rsid w:val="00910D6E"/>
    <w:rsid w:val="00910E50"/>
    <w:rsid w:val="00910E75"/>
    <w:rsid w:val="00911094"/>
    <w:rsid w:val="009112BC"/>
    <w:rsid w:val="009112D4"/>
    <w:rsid w:val="009112D9"/>
    <w:rsid w:val="00911328"/>
    <w:rsid w:val="0091154C"/>
    <w:rsid w:val="0091157B"/>
    <w:rsid w:val="00911A53"/>
    <w:rsid w:val="00911A8A"/>
    <w:rsid w:val="00911A9E"/>
    <w:rsid w:val="00911B11"/>
    <w:rsid w:val="00911BAC"/>
    <w:rsid w:val="00911C2E"/>
    <w:rsid w:val="00911E04"/>
    <w:rsid w:val="00911E23"/>
    <w:rsid w:val="00911F49"/>
    <w:rsid w:val="009120CF"/>
    <w:rsid w:val="009120D3"/>
    <w:rsid w:val="009121B9"/>
    <w:rsid w:val="00912213"/>
    <w:rsid w:val="00912276"/>
    <w:rsid w:val="009123A5"/>
    <w:rsid w:val="00912459"/>
    <w:rsid w:val="009126DE"/>
    <w:rsid w:val="009129C2"/>
    <w:rsid w:val="00912A60"/>
    <w:rsid w:val="00912AC6"/>
    <w:rsid w:val="00912B59"/>
    <w:rsid w:val="00912B64"/>
    <w:rsid w:val="00912CF1"/>
    <w:rsid w:val="00912CF9"/>
    <w:rsid w:val="00912D9C"/>
    <w:rsid w:val="00912F44"/>
    <w:rsid w:val="00912FEA"/>
    <w:rsid w:val="00913073"/>
    <w:rsid w:val="009131C4"/>
    <w:rsid w:val="009131C9"/>
    <w:rsid w:val="00913271"/>
    <w:rsid w:val="009132AC"/>
    <w:rsid w:val="009133A8"/>
    <w:rsid w:val="0091346B"/>
    <w:rsid w:val="00913470"/>
    <w:rsid w:val="00913548"/>
    <w:rsid w:val="00913713"/>
    <w:rsid w:val="00913730"/>
    <w:rsid w:val="00913902"/>
    <w:rsid w:val="00913A1D"/>
    <w:rsid w:val="00913A5A"/>
    <w:rsid w:val="00913AD8"/>
    <w:rsid w:val="00913B29"/>
    <w:rsid w:val="00913B2A"/>
    <w:rsid w:val="00913BBF"/>
    <w:rsid w:val="00913D84"/>
    <w:rsid w:val="00913DE4"/>
    <w:rsid w:val="00913E54"/>
    <w:rsid w:val="00913F98"/>
    <w:rsid w:val="00913FAD"/>
    <w:rsid w:val="00913FEE"/>
    <w:rsid w:val="00914025"/>
    <w:rsid w:val="00914074"/>
    <w:rsid w:val="009140CA"/>
    <w:rsid w:val="009142AB"/>
    <w:rsid w:val="0091439F"/>
    <w:rsid w:val="009143E2"/>
    <w:rsid w:val="009144B7"/>
    <w:rsid w:val="0091454C"/>
    <w:rsid w:val="0091456A"/>
    <w:rsid w:val="009146BD"/>
    <w:rsid w:val="009147F2"/>
    <w:rsid w:val="0091483F"/>
    <w:rsid w:val="00914840"/>
    <w:rsid w:val="009148BF"/>
    <w:rsid w:val="00914AFF"/>
    <w:rsid w:val="00914BB6"/>
    <w:rsid w:val="00914CAE"/>
    <w:rsid w:val="00914D5C"/>
    <w:rsid w:val="00914D75"/>
    <w:rsid w:val="00914EF5"/>
    <w:rsid w:val="0091520B"/>
    <w:rsid w:val="00915216"/>
    <w:rsid w:val="00915314"/>
    <w:rsid w:val="00915339"/>
    <w:rsid w:val="009154FB"/>
    <w:rsid w:val="0091558A"/>
    <w:rsid w:val="00915743"/>
    <w:rsid w:val="00915795"/>
    <w:rsid w:val="00915881"/>
    <w:rsid w:val="00915A22"/>
    <w:rsid w:val="00915C27"/>
    <w:rsid w:val="00915E05"/>
    <w:rsid w:val="00916144"/>
    <w:rsid w:val="0091617A"/>
    <w:rsid w:val="00916303"/>
    <w:rsid w:val="00916323"/>
    <w:rsid w:val="00916491"/>
    <w:rsid w:val="009164AC"/>
    <w:rsid w:val="0091659A"/>
    <w:rsid w:val="009165AE"/>
    <w:rsid w:val="009166B0"/>
    <w:rsid w:val="0091681F"/>
    <w:rsid w:val="0091682A"/>
    <w:rsid w:val="00916AEC"/>
    <w:rsid w:val="00916B8F"/>
    <w:rsid w:val="00916BF6"/>
    <w:rsid w:val="00916D20"/>
    <w:rsid w:val="00916DE0"/>
    <w:rsid w:val="00916EFD"/>
    <w:rsid w:val="00916F9C"/>
    <w:rsid w:val="00916FEE"/>
    <w:rsid w:val="00917017"/>
    <w:rsid w:val="0091701A"/>
    <w:rsid w:val="009170CD"/>
    <w:rsid w:val="00917156"/>
    <w:rsid w:val="009171C5"/>
    <w:rsid w:val="009172BF"/>
    <w:rsid w:val="009172D0"/>
    <w:rsid w:val="00917376"/>
    <w:rsid w:val="0091738A"/>
    <w:rsid w:val="00917431"/>
    <w:rsid w:val="00917569"/>
    <w:rsid w:val="00917645"/>
    <w:rsid w:val="00917692"/>
    <w:rsid w:val="009176A2"/>
    <w:rsid w:val="0091772D"/>
    <w:rsid w:val="00917774"/>
    <w:rsid w:val="00917806"/>
    <w:rsid w:val="0091784A"/>
    <w:rsid w:val="0091786D"/>
    <w:rsid w:val="00917A35"/>
    <w:rsid w:val="00917ACE"/>
    <w:rsid w:val="00917B54"/>
    <w:rsid w:val="00917BA4"/>
    <w:rsid w:val="00917BE6"/>
    <w:rsid w:val="00917CC1"/>
    <w:rsid w:val="00917CDF"/>
    <w:rsid w:val="00917D72"/>
    <w:rsid w:val="00917DA5"/>
    <w:rsid w:val="00917DF3"/>
    <w:rsid w:val="00917ED9"/>
    <w:rsid w:val="009189DE"/>
    <w:rsid w:val="00920178"/>
    <w:rsid w:val="0092019B"/>
    <w:rsid w:val="00920260"/>
    <w:rsid w:val="00920272"/>
    <w:rsid w:val="009202A0"/>
    <w:rsid w:val="009203E2"/>
    <w:rsid w:val="009203FE"/>
    <w:rsid w:val="009204F3"/>
    <w:rsid w:val="0092050C"/>
    <w:rsid w:val="00920575"/>
    <w:rsid w:val="0092057B"/>
    <w:rsid w:val="00920831"/>
    <w:rsid w:val="00920903"/>
    <w:rsid w:val="0092093E"/>
    <w:rsid w:val="009209DB"/>
    <w:rsid w:val="00920A07"/>
    <w:rsid w:val="00920A1D"/>
    <w:rsid w:val="00920B54"/>
    <w:rsid w:val="00920CCE"/>
    <w:rsid w:val="00920D2A"/>
    <w:rsid w:val="00920E7C"/>
    <w:rsid w:val="009210A5"/>
    <w:rsid w:val="00921125"/>
    <w:rsid w:val="0092128E"/>
    <w:rsid w:val="009213BD"/>
    <w:rsid w:val="009213C2"/>
    <w:rsid w:val="009213C9"/>
    <w:rsid w:val="0092143D"/>
    <w:rsid w:val="009214CF"/>
    <w:rsid w:val="00921536"/>
    <w:rsid w:val="009215AC"/>
    <w:rsid w:val="009215B5"/>
    <w:rsid w:val="0092188C"/>
    <w:rsid w:val="009218A2"/>
    <w:rsid w:val="00921AA3"/>
    <w:rsid w:val="00921ACB"/>
    <w:rsid w:val="00921AD2"/>
    <w:rsid w:val="00921BC4"/>
    <w:rsid w:val="00921BD3"/>
    <w:rsid w:val="00921BFE"/>
    <w:rsid w:val="00921CB8"/>
    <w:rsid w:val="00921E20"/>
    <w:rsid w:val="00921E81"/>
    <w:rsid w:val="00921F6F"/>
    <w:rsid w:val="00921FFB"/>
    <w:rsid w:val="00922094"/>
    <w:rsid w:val="0092214D"/>
    <w:rsid w:val="009221A7"/>
    <w:rsid w:val="009221FD"/>
    <w:rsid w:val="00922204"/>
    <w:rsid w:val="0092233B"/>
    <w:rsid w:val="009224CD"/>
    <w:rsid w:val="00922596"/>
    <w:rsid w:val="009225AC"/>
    <w:rsid w:val="009226BB"/>
    <w:rsid w:val="009226D8"/>
    <w:rsid w:val="009228B8"/>
    <w:rsid w:val="009228C7"/>
    <w:rsid w:val="009229BC"/>
    <w:rsid w:val="00922AE2"/>
    <w:rsid w:val="00922B15"/>
    <w:rsid w:val="00922B27"/>
    <w:rsid w:val="00922BF3"/>
    <w:rsid w:val="00922BFE"/>
    <w:rsid w:val="00922CE0"/>
    <w:rsid w:val="00922D5C"/>
    <w:rsid w:val="00922DF2"/>
    <w:rsid w:val="00922F87"/>
    <w:rsid w:val="00922FA6"/>
    <w:rsid w:val="00923118"/>
    <w:rsid w:val="00923175"/>
    <w:rsid w:val="00923268"/>
    <w:rsid w:val="00923300"/>
    <w:rsid w:val="00923309"/>
    <w:rsid w:val="0092332C"/>
    <w:rsid w:val="00923485"/>
    <w:rsid w:val="009234F1"/>
    <w:rsid w:val="00923698"/>
    <w:rsid w:val="009236B8"/>
    <w:rsid w:val="00923856"/>
    <w:rsid w:val="009238D0"/>
    <w:rsid w:val="00923923"/>
    <w:rsid w:val="00923A39"/>
    <w:rsid w:val="00923AB7"/>
    <w:rsid w:val="00923AF1"/>
    <w:rsid w:val="00923BBA"/>
    <w:rsid w:val="00923BC5"/>
    <w:rsid w:val="00923CD5"/>
    <w:rsid w:val="00923D69"/>
    <w:rsid w:val="00923E30"/>
    <w:rsid w:val="00923E44"/>
    <w:rsid w:val="00923E8B"/>
    <w:rsid w:val="00923F41"/>
    <w:rsid w:val="00924102"/>
    <w:rsid w:val="00924155"/>
    <w:rsid w:val="009242DB"/>
    <w:rsid w:val="009242FA"/>
    <w:rsid w:val="00924559"/>
    <w:rsid w:val="009245B5"/>
    <w:rsid w:val="009245CF"/>
    <w:rsid w:val="009245FE"/>
    <w:rsid w:val="00924625"/>
    <w:rsid w:val="0092475C"/>
    <w:rsid w:val="0092480A"/>
    <w:rsid w:val="0092490C"/>
    <w:rsid w:val="0092497F"/>
    <w:rsid w:val="00924A14"/>
    <w:rsid w:val="00924A36"/>
    <w:rsid w:val="00924AE3"/>
    <w:rsid w:val="00924B27"/>
    <w:rsid w:val="00924C79"/>
    <w:rsid w:val="00924CA2"/>
    <w:rsid w:val="00924DF5"/>
    <w:rsid w:val="00924E91"/>
    <w:rsid w:val="00924ED8"/>
    <w:rsid w:val="00924EEC"/>
    <w:rsid w:val="00924F9E"/>
    <w:rsid w:val="00925015"/>
    <w:rsid w:val="009250A7"/>
    <w:rsid w:val="00925141"/>
    <w:rsid w:val="00925178"/>
    <w:rsid w:val="0092526A"/>
    <w:rsid w:val="009252A5"/>
    <w:rsid w:val="00925313"/>
    <w:rsid w:val="009254DD"/>
    <w:rsid w:val="00925538"/>
    <w:rsid w:val="00925609"/>
    <w:rsid w:val="0092563E"/>
    <w:rsid w:val="009256E5"/>
    <w:rsid w:val="00925703"/>
    <w:rsid w:val="0092587C"/>
    <w:rsid w:val="009258A6"/>
    <w:rsid w:val="009258E7"/>
    <w:rsid w:val="00925936"/>
    <w:rsid w:val="00925B82"/>
    <w:rsid w:val="00925C4F"/>
    <w:rsid w:val="00925CB9"/>
    <w:rsid w:val="00925D10"/>
    <w:rsid w:val="00925DF1"/>
    <w:rsid w:val="00925E50"/>
    <w:rsid w:val="00925EE8"/>
    <w:rsid w:val="00925F14"/>
    <w:rsid w:val="00925FC1"/>
    <w:rsid w:val="00926001"/>
    <w:rsid w:val="00926152"/>
    <w:rsid w:val="00926226"/>
    <w:rsid w:val="00926359"/>
    <w:rsid w:val="009263DC"/>
    <w:rsid w:val="009264A2"/>
    <w:rsid w:val="009264B5"/>
    <w:rsid w:val="0092656A"/>
    <w:rsid w:val="009265F3"/>
    <w:rsid w:val="00926821"/>
    <w:rsid w:val="0092696F"/>
    <w:rsid w:val="009269C1"/>
    <w:rsid w:val="009269C4"/>
    <w:rsid w:val="00926A09"/>
    <w:rsid w:val="00926A8F"/>
    <w:rsid w:val="00926ABA"/>
    <w:rsid w:val="00926ABF"/>
    <w:rsid w:val="00926F69"/>
    <w:rsid w:val="00926F6B"/>
    <w:rsid w:val="0092704A"/>
    <w:rsid w:val="00927183"/>
    <w:rsid w:val="00927203"/>
    <w:rsid w:val="0092733A"/>
    <w:rsid w:val="0092738D"/>
    <w:rsid w:val="0092743D"/>
    <w:rsid w:val="009274BB"/>
    <w:rsid w:val="009275A3"/>
    <w:rsid w:val="0092762E"/>
    <w:rsid w:val="00927803"/>
    <w:rsid w:val="00927858"/>
    <w:rsid w:val="00927960"/>
    <w:rsid w:val="00927A15"/>
    <w:rsid w:val="00927AA0"/>
    <w:rsid w:val="00927AC2"/>
    <w:rsid w:val="00927C3A"/>
    <w:rsid w:val="00927CB3"/>
    <w:rsid w:val="00927CDD"/>
    <w:rsid w:val="00927DB3"/>
    <w:rsid w:val="00927EAA"/>
    <w:rsid w:val="00927EF3"/>
    <w:rsid w:val="00927F36"/>
    <w:rsid w:val="0093002C"/>
    <w:rsid w:val="00930081"/>
    <w:rsid w:val="009300E4"/>
    <w:rsid w:val="009300E7"/>
    <w:rsid w:val="00930129"/>
    <w:rsid w:val="00930196"/>
    <w:rsid w:val="0093023F"/>
    <w:rsid w:val="009303AD"/>
    <w:rsid w:val="009304B9"/>
    <w:rsid w:val="009304E2"/>
    <w:rsid w:val="00930544"/>
    <w:rsid w:val="009305BC"/>
    <w:rsid w:val="009307E0"/>
    <w:rsid w:val="009307E7"/>
    <w:rsid w:val="0093085B"/>
    <w:rsid w:val="00930A32"/>
    <w:rsid w:val="00930ACE"/>
    <w:rsid w:val="00930AE9"/>
    <w:rsid w:val="00930C01"/>
    <w:rsid w:val="00930DA4"/>
    <w:rsid w:val="00930F53"/>
    <w:rsid w:val="00930F6A"/>
    <w:rsid w:val="009310F5"/>
    <w:rsid w:val="0093122E"/>
    <w:rsid w:val="00931230"/>
    <w:rsid w:val="00931285"/>
    <w:rsid w:val="009313E5"/>
    <w:rsid w:val="00931546"/>
    <w:rsid w:val="009315D8"/>
    <w:rsid w:val="00931618"/>
    <w:rsid w:val="00931A33"/>
    <w:rsid w:val="00931B28"/>
    <w:rsid w:val="00931BAB"/>
    <w:rsid w:val="00931C93"/>
    <w:rsid w:val="00931CE6"/>
    <w:rsid w:val="00931D0E"/>
    <w:rsid w:val="00931E27"/>
    <w:rsid w:val="00931EBE"/>
    <w:rsid w:val="00931FD4"/>
    <w:rsid w:val="009321DF"/>
    <w:rsid w:val="00932272"/>
    <w:rsid w:val="0093231E"/>
    <w:rsid w:val="009323C0"/>
    <w:rsid w:val="00932490"/>
    <w:rsid w:val="0093249E"/>
    <w:rsid w:val="009324FD"/>
    <w:rsid w:val="0093250E"/>
    <w:rsid w:val="00932693"/>
    <w:rsid w:val="009326F4"/>
    <w:rsid w:val="00932784"/>
    <w:rsid w:val="0093283B"/>
    <w:rsid w:val="00932853"/>
    <w:rsid w:val="00932897"/>
    <w:rsid w:val="0093299C"/>
    <w:rsid w:val="00932A31"/>
    <w:rsid w:val="00932B0E"/>
    <w:rsid w:val="00932B4B"/>
    <w:rsid w:val="00932B77"/>
    <w:rsid w:val="00932D77"/>
    <w:rsid w:val="00932DCF"/>
    <w:rsid w:val="00932E8F"/>
    <w:rsid w:val="00932E97"/>
    <w:rsid w:val="009331FE"/>
    <w:rsid w:val="0093329B"/>
    <w:rsid w:val="0093352D"/>
    <w:rsid w:val="0093359A"/>
    <w:rsid w:val="009335A5"/>
    <w:rsid w:val="0093363A"/>
    <w:rsid w:val="009336AE"/>
    <w:rsid w:val="00933752"/>
    <w:rsid w:val="00933804"/>
    <w:rsid w:val="00933821"/>
    <w:rsid w:val="00933828"/>
    <w:rsid w:val="0093382F"/>
    <w:rsid w:val="00933835"/>
    <w:rsid w:val="009338E8"/>
    <w:rsid w:val="00933B1E"/>
    <w:rsid w:val="00933C01"/>
    <w:rsid w:val="00933CEB"/>
    <w:rsid w:val="00933CF3"/>
    <w:rsid w:val="00933D3C"/>
    <w:rsid w:val="00933D48"/>
    <w:rsid w:val="00933D73"/>
    <w:rsid w:val="00933D96"/>
    <w:rsid w:val="00933EFA"/>
    <w:rsid w:val="00933F0B"/>
    <w:rsid w:val="00933F4D"/>
    <w:rsid w:val="00933FFE"/>
    <w:rsid w:val="00934045"/>
    <w:rsid w:val="009340B1"/>
    <w:rsid w:val="00934251"/>
    <w:rsid w:val="0093439D"/>
    <w:rsid w:val="009343CC"/>
    <w:rsid w:val="009343D4"/>
    <w:rsid w:val="009343EB"/>
    <w:rsid w:val="0093443E"/>
    <w:rsid w:val="009345C5"/>
    <w:rsid w:val="009345DC"/>
    <w:rsid w:val="0093466D"/>
    <w:rsid w:val="00934720"/>
    <w:rsid w:val="0093473B"/>
    <w:rsid w:val="00934893"/>
    <w:rsid w:val="009348BC"/>
    <w:rsid w:val="00934908"/>
    <w:rsid w:val="00934A38"/>
    <w:rsid w:val="00934ABA"/>
    <w:rsid w:val="00934B7E"/>
    <w:rsid w:val="00934D74"/>
    <w:rsid w:val="00935018"/>
    <w:rsid w:val="00935044"/>
    <w:rsid w:val="00935051"/>
    <w:rsid w:val="0093505C"/>
    <w:rsid w:val="009352E6"/>
    <w:rsid w:val="0093534B"/>
    <w:rsid w:val="009353DD"/>
    <w:rsid w:val="009353E6"/>
    <w:rsid w:val="009353F9"/>
    <w:rsid w:val="0093545A"/>
    <w:rsid w:val="0093549A"/>
    <w:rsid w:val="009354D9"/>
    <w:rsid w:val="0093564C"/>
    <w:rsid w:val="00935762"/>
    <w:rsid w:val="009357AC"/>
    <w:rsid w:val="0093585E"/>
    <w:rsid w:val="0093596F"/>
    <w:rsid w:val="009359A8"/>
    <w:rsid w:val="00935A56"/>
    <w:rsid w:val="00935C14"/>
    <w:rsid w:val="00935CBC"/>
    <w:rsid w:val="00935D54"/>
    <w:rsid w:val="00935D80"/>
    <w:rsid w:val="00935E70"/>
    <w:rsid w:val="00935EC6"/>
    <w:rsid w:val="00935EC8"/>
    <w:rsid w:val="00935FB7"/>
    <w:rsid w:val="00936011"/>
    <w:rsid w:val="0093607C"/>
    <w:rsid w:val="00936223"/>
    <w:rsid w:val="00936286"/>
    <w:rsid w:val="0093628D"/>
    <w:rsid w:val="009363AE"/>
    <w:rsid w:val="009363DE"/>
    <w:rsid w:val="00936416"/>
    <w:rsid w:val="0093655B"/>
    <w:rsid w:val="0093673F"/>
    <w:rsid w:val="009369FF"/>
    <w:rsid w:val="00936AAF"/>
    <w:rsid w:val="00936AD3"/>
    <w:rsid w:val="00936AF4"/>
    <w:rsid w:val="00936BB0"/>
    <w:rsid w:val="00936C33"/>
    <w:rsid w:val="00936C44"/>
    <w:rsid w:val="00936DBA"/>
    <w:rsid w:val="0093704E"/>
    <w:rsid w:val="00937198"/>
    <w:rsid w:val="00937199"/>
    <w:rsid w:val="009371EC"/>
    <w:rsid w:val="0093722F"/>
    <w:rsid w:val="00937257"/>
    <w:rsid w:val="00937361"/>
    <w:rsid w:val="00937379"/>
    <w:rsid w:val="009373A1"/>
    <w:rsid w:val="009373D7"/>
    <w:rsid w:val="00937406"/>
    <w:rsid w:val="009374F5"/>
    <w:rsid w:val="00937528"/>
    <w:rsid w:val="00937536"/>
    <w:rsid w:val="00937644"/>
    <w:rsid w:val="009376A3"/>
    <w:rsid w:val="009376FD"/>
    <w:rsid w:val="00937825"/>
    <w:rsid w:val="0093785D"/>
    <w:rsid w:val="00937AE2"/>
    <w:rsid w:val="00937B94"/>
    <w:rsid w:val="00937E00"/>
    <w:rsid w:val="00937EA9"/>
    <w:rsid w:val="009400C4"/>
    <w:rsid w:val="009400E1"/>
    <w:rsid w:val="00940213"/>
    <w:rsid w:val="00940246"/>
    <w:rsid w:val="00940285"/>
    <w:rsid w:val="0094034C"/>
    <w:rsid w:val="00940360"/>
    <w:rsid w:val="0094057F"/>
    <w:rsid w:val="009406D1"/>
    <w:rsid w:val="00940715"/>
    <w:rsid w:val="00940793"/>
    <w:rsid w:val="0094090F"/>
    <w:rsid w:val="00940949"/>
    <w:rsid w:val="00940AE3"/>
    <w:rsid w:val="00940B0C"/>
    <w:rsid w:val="00940BAB"/>
    <w:rsid w:val="00940D71"/>
    <w:rsid w:val="00940F7D"/>
    <w:rsid w:val="00940FE9"/>
    <w:rsid w:val="0094112C"/>
    <w:rsid w:val="00941163"/>
    <w:rsid w:val="00941170"/>
    <w:rsid w:val="00941219"/>
    <w:rsid w:val="0094123F"/>
    <w:rsid w:val="009416E5"/>
    <w:rsid w:val="0094182E"/>
    <w:rsid w:val="0094190A"/>
    <w:rsid w:val="0094190C"/>
    <w:rsid w:val="009419CE"/>
    <w:rsid w:val="00941A7E"/>
    <w:rsid w:val="00941A93"/>
    <w:rsid w:val="00941B6E"/>
    <w:rsid w:val="00941BD6"/>
    <w:rsid w:val="00941C65"/>
    <w:rsid w:val="00941E47"/>
    <w:rsid w:val="00941F59"/>
    <w:rsid w:val="00941FD4"/>
    <w:rsid w:val="00941FDD"/>
    <w:rsid w:val="00942073"/>
    <w:rsid w:val="009421CF"/>
    <w:rsid w:val="00942299"/>
    <w:rsid w:val="009422E5"/>
    <w:rsid w:val="00942322"/>
    <w:rsid w:val="0094239F"/>
    <w:rsid w:val="009424CB"/>
    <w:rsid w:val="009424DF"/>
    <w:rsid w:val="009424F0"/>
    <w:rsid w:val="00942521"/>
    <w:rsid w:val="009425F9"/>
    <w:rsid w:val="0094261F"/>
    <w:rsid w:val="0094264D"/>
    <w:rsid w:val="00942666"/>
    <w:rsid w:val="009426B8"/>
    <w:rsid w:val="009426E5"/>
    <w:rsid w:val="009427DA"/>
    <w:rsid w:val="0094285B"/>
    <w:rsid w:val="00942979"/>
    <w:rsid w:val="009429E4"/>
    <w:rsid w:val="00942A6B"/>
    <w:rsid w:val="00942A6E"/>
    <w:rsid w:val="00942ABA"/>
    <w:rsid w:val="00942B60"/>
    <w:rsid w:val="00942B9A"/>
    <w:rsid w:val="00942C4B"/>
    <w:rsid w:val="00942D45"/>
    <w:rsid w:val="00942F76"/>
    <w:rsid w:val="00943065"/>
    <w:rsid w:val="00943080"/>
    <w:rsid w:val="009431EE"/>
    <w:rsid w:val="00943235"/>
    <w:rsid w:val="009432FE"/>
    <w:rsid w:val="00943428"/>
    <w:rsid w:val="009434FB"/>
    <w:rsid w:val="00943525"/>
    <w:rsid w:val="00943704"/>
    <w:rsid w:val="00943748"/>
    <w:rsid w:val="00943956"/>
    <w:rsid w:val="009439B6"/>
    <w:rsid w:val="009439B9"/>
    <w:rsid w:val="00943B4B"/>
    <w:rsid w:val="00943BDA"/>
    <w:rsid w:val="00943C8B"/>
    <w:rsid w:val="00943CAD"/>
    <w:rsid w:val="00943D69"/>
    <w:rsid w:val="00943D85"/>
    <w:rsid w:val="00943DA7"/>
    <w:rsid w:val="00943DC6"/>
    <w:rsid w:val="00943E1C"/>
    <w:rsid w:val="00943EE4"/>
    <w:rsid w:val="00944095"/>
    <w:rsid w:val="009441BD"/>
    <w:rsid w:val="009443C6"/>
    <w:rsid w:val="00944417"/>
    <w:rsid w:val="0094444E"/>
    <w:rsid w:val="009444C0"/>
    <w:rsid w:val="009444D0"/>
    <w:rsid w:val="00944589"/>
    <w:rsid w:val="009445BE"/>
    <w:rsid w:val="00944619"/>
    <w:rsid w:val="00944779"/>
    <w:rsid w:val="009447CE"/>
    <w:rsid w:val="0094494E"/>
    <w:rsid w:val="009449B8"/>
    <w:rsid w:val="00944B7E"/>
    <w:rsid w:val="00944E8A"/>
    <w:rsid w:val="00944E98"/>
    <w:rsid w:val="00944EDC"/>
    <w:rsid w:val="00944F66"/>
    <w:rsid w:val="009452F5"/>
    <w:rsid w:val="009452F9"/>
    <w:rsid w:val="0094531E"/>
    <w:rsid w:val="009454BB"/>
    <w:rsid w:val="00945661"/>
    <w:rsid w:val="00945714"/>
    <w:rsid w:val="009459F7"/>
    <w:rsid w:val="00945A8D"/>
    <w:rsid w:val="00945C51"/>
    <w:rsid w:val="00945C77"/>
    <w:rsid w:val="00945DC3"/>
    <w:rsid w:val="00945E75"/>
    <w:rsid w:val="00945E8C"/>
    <w:rsid w:val="00945F44"/>
    <w:rsid w:val="00945FA3"/>
    <w:rsid w:val="009460A5"/>
    <w:rsid w:val="009460C9"/>
    <w:rsid w:val="009460F3"/>
    <w:rsid w:val="009464B7"/>
    <w:rsid w:val="00946569"/>
    <w:rsid w:val="00946585"/>
    <w:rsid w:val="00946658"/>
    <w:rsid w:val="0094665D"/>
    <w:rsid w:val="00946750"/>
    <w:rsid w:val="009467B2"/>
    <w:rsid w:val="009467FC"/>
    <w:rsid w:val="00946870"/>
    <w:rsid w:val="00946B5B"/>
    <w:rsid w:val="00946BA6"/>
    <w:rsid w:val="00946DAD"/>
    <w:rsid w:val="00946EEE"/>
    <w:rsid w:val="00946F3E"/>
    <w:rsid w:val="00947000"/>
    <w:rsid w:val="0094701C"/>
    <w:rsid w:val="0094714B"/>
    <w:rsid w:val="009472E2"/>
    <w:rsid w:val="0094731B"/>
    <w:rsid w:val="00947357"/>
    <w:rsid w:val="00947435"/>
    <w:rsid w:val="009474CE"/>
    <w:rsid w:val="0094758F"/>
    <w:rsid w:val="0094766A"/>
    <w:rsid w:val="0094785B"/>
    <w:rsid w:val="009479CF"/>
    <w:rsid w:val="009479FC"/>
    <w:rsid w:val="00947A00"/>
    <w:rsid w:val="00947C22"/>
    <w:rsid w:val="00947CBD"/>
    <w:rsid w:val="00947CFB"/>
    <w:rsid w:val="00947D0C"/>
    <w:rsid w:val="00947E3A"/>
    <w:rsid w:val="00950024"/>
    <w:rsid w:val="00950042"/>
    <w:rsid w:val="0095004D"/>
    <w:rsid w:val="00950118"/>
    <w:rsid w:val="00950134"/>
    <w:rsid w:val="00950196"/>
    <w:rsid w:val="009501B0"/>
    <w:rsid w:val="009501EC"/>
    <w:rsid w:val="0095027B"/>
    <w:rsid w:val="009502B4"/>
    <w:rsid w:val="009503B7"/>
    <w:rsid w:val="009503CB"/>
    <w:rsid w:val="009504C5"/>
    <w:rsid w:val="009504F3"/>
    <w:rsid w:val="0095057A"/>
    <w:rsid w:val="00950717"/>
    <w:rsid w:val="0095075B"/>
    <w:rsid w:val="009507E1"/>
    <w:rsid w:val="00950806"/>
    <w:rsid w:val="00950874"/>
    <w:rsid w:val="0095098E"/>
    <w:rsid w:val="00950ABB"/>
    <w:rsid w:val="00950B73"/>
    <w:rsid w:val="00950BBB"/>
    <w:rsid w:val="00950C0E"/>
    <w:rsid w:val="00950D09"/>
    <w:rsid w:val="00950D25"/>
    <w:rsid w:val="00950D3F"/>
    <w:rsid w:val="00950DB6"/>
    <w:rsid w:val="00950DFE"/>
    <w:rsid w:val="00950ECD"/>
    <w:rsid w:val="00950F1A"/>
    <w:rsid w:val="00951030"/>
    <w:rsid w:val="00951127"/>
    <w:rsid w:val="009511C2"/>
    <w:rsid w:val="00951280"/>
    <w:rsid w:val="00951401"/>
    <w:rsid w:val="00951470"/>
    <w:rsid w:val="00951529"/>
    <w:rsid w:val="00951565"/>
    <w:rsid w:val="009515FB"/>
    <w:rsid w:val="009516E3"/>
    <w:rsid w:val="009517BD"/>
    <w:rsid w:val="009519B6"/>
    <w:rsid w:val="00951C46"/>
    <w:rsid w:val="00951CC2"/>
    <w:rsid w:val="00951D2B"/>
    <w:rsid w:val="00951DA3"/>
    <w:rsid w:val="0095219C"/>
    <w:rsid w:val="0095226F"/>
    <w:rsid w:val="00952507"/>
    <w:rsid w:val="00952612"/>
    <w:rsid w:val="00952618"/>
    <w:rsid w:val="009527CA"/>
    <w:rsid w:val="009527E2"/>
    <w:rsid w:val="0095287B"/>
    <w:rsid w:val="00952904"/>
    <w:rsid w:val="00952912"/>
    <w:rsid w:val="009529F7"/>
    <w:rsid w:val="00952B2C"/>
    <w:rsid w:val="00952BEB"/>
    <w:rsid w:val="00952C69"/>
    <w:rsid w:val="00952E2D"/>
    <w:rsid w:val="00952EAC"/>
    <w:rsid w:val="00952EE2"/>
    <w:rsid w:val="00952EE6"/>
    <w:rsid w:val="00952F45"/>
    <w:rsid w:val="009530E0"/>
    <w:rsid w:val="0095313A"/>
    <w:rsid w:val="009531EA"/>
    <w:rsid w:val="00953225"/>
    <w:rsid w:val="0095332B"/>
    <w:rsid w:val="00953486"/>
    <w:rsid w:val="009534B0"/>
    <w:rsid w:val="009535A0"/>
    <w:rsid w:val="009535CA"/>
    <w:rsid w:val="0095361D"/>
    <w:rsid w:val="009537C9"/>
    <w:rsid w:val="00953825"/>
    <w:rsid w:val="00953956"/>
    <w:rsid w:val="00953A49"/>
    <w:rsid w:val="00953AE3"/>
    <w:rsid w:val="00953BB7"/>
    <w:rsid w:val="00953DEE"/>
    <w:rsid w:val="00953E01"/>
    <w:rsid w:val="00953EC3"/>
    <w:rsid w:val="00953FA1"/>
    <w:rsid w:val="00954143"/>
    <w:rsid w:val="009541C9"/>
    <w:rsid w:val="0095423E"/>
    <w:rsid w:val="0095426C"/>
    <w:rsid w:val="009542C5"/>
    <w:rsid w:val="009542FD"/>
    <w:rsid w:val="009543A2"/>
    <w:rsid w:val="009543B5"/>
    <w:rsid w:val="009546CD"/>
    <w:rsid w:val="009547AA"/>
    <w:rsid w:val="009548BB"/>
    <w:rsid w:val="00954959"/>
    <w:rsid w:val="009549B3"/>
    <w:rsid w:val="00954A4B"/>
    <w:rsid w:val="00954B18"/>
    <w:rsid w:val="00954C38"/>
    <w:rsid w:val="00954C7C"/>
    <w:rsid w:val="00954C94"/>
    <w:rsid w:val="00954CA5"/>
    <w:rsid w:val="00954E65"/>
    <w:rsid w:val="00954FC8"/>
    <w:rsid w:val="0095500B"/>
    <w:rsid w:val="009550E4"/>
    <w:rsid w:val="0095510A"/>
    <w:rsid w:val="00955216"/>
    <w:rsid w:val="0095534B"/>
    <w:rsid w:val="009554AD"/>
    <w:rsid w:val="00955522"/>
    <w:rsid w:val="00955550"/>
    <w:rsid w:val="0095558C"/>
    <w:rsid w:val="009555CE"/>
    <w:rsid w:val="00955604"/>
    <w:rsid w:val="0095573C"/>
    <w:rsid w:val="009557AF"/>
    <w:rsid w:val="009557B6"/>
    <w:rsid w:val="00955AA2"/>
    <w:rsid w:val="00955AA5"/>
    <w:rsid w:val="00955B56"/>
    <w:rsid w:val="00955D17"/>
    <w:rsid w:val="00955E50"/>
    <w:rsid w:val="00955ED8"/>
    <w:rsid w:val="00955F48"/>
    <w:rsid w:val="0095612D"/>
    <w:rsid w:val="009561A8"/>
    <w:rsid w:val="00956235"/>
    <w:rsid w:val="00956401"/>
    <w:rsid w:val="00956564"/>
    <w:rsid w:val="009566C1"/>
    <w:rsid w:val="00956717"/>
    <w:rsid w:val="009567FE"/>
    <w:rsid w:val="00956813"/>
    <w:rsid w:val="009568BE"/>
    <w:rsid w:val="009568D7"/>
    <w:rsid w:val="00956983"/>
    <w:rsid w:val="00956A9E"/>
    <w:rsid w:val="00956B1D"/>
    <w:rsid w:val="00956BCB"/>
    <w:rsid w:val="00956CD0"/>
    <w:rsid w:val="00956CFA"/>
    <w:rsid w:val="00956DD3"/>
    <w:rsid w:val="00956E0E"/>
    <w:rsid w:val="00956FE2"/>
    <w:rsid w:val="00956FF8"/>
    <w:rsid w:val="00957013"/>
    <w:rsid w:val="009570FE"/>
    <w:rsid w:val="009573B8"/>
    <w:rsid w:val="009573C0"/>
    <w:rsid w:val="00957455"/>
    <w:rsid w:val="0095754A"/>
    <w:rsid w:val="00957607"/>
    <w:rsid w:val="0095768E"/>
    <w:rsid w:val="009576FD"/>
    <w:rsid w:val="00957921"/>
    <w:rsid w:val="0095797D"/>
    <w:rsid w:val="00957A8A"/>
    <w:rsid w:val="00957D27"/>
    <w:rsid w:val="00957DE0"/>
    <w:rsid w:val="00957F34"/>
    <w:rsid w:val="00957F35"/>
    <w:rsid w:val="00960132"/>
    <w:rsid w:val="00960180"/>
    <w:rsid w:val="0096018D"/>
    <w:rsid w:val="00960394"/>
    <w:rsid w:val="00960408"/>
    <w:rsid w:val="00960603"/>
    <w:rsid w:val="0096082A"/>
    <w:rsid w:val="009609CD"/>
    <w:rsid w:val="00960AE9"/>
    <w:rsid w:val="00960AFC"/>
    <w:rsid w:val="00960B1A"/>
    <w:rsid w:val="00960B8A"/>
    <w:rsid w:val="00960C4B"/>
    <w:rsid w:val="00960DBB"/>
    <w:rsid w:val="009610BE"/>
    <w:rsid w:val="00961155"/>
    <w:rsid w:val="0096129F"/>
    <w:rsid w:val="009613AE"/>
    <w:rsid w:val="009613D9"/>
    <w:rsid w:val="00961406"/>
    <w:rsid w:val="0096158B"/>
    <w:rsid w:val="0096170A"/>
    <w:rsid w:val="009617AE"/>
    <w:rsid w:val="0096186B"/>
    <w:rsid w:val="009618CB"/>
    <w:rsid w:val="00961B26"/>
    <w:rsid w:val="00961B3B"/>
    <w:rsid w:val="00961C8F"/>
    <w:rsid w:val="00961D17"/>
    <w:rsid w:val="00961D26"/>
    <w:rsid w:val="00961D9C"/>
    <w:rsid w:val="00961DE4"/>
    <w:rsid w:val="00961DF6"/>
    <w:rsid w:val="00961F67"/>
    <w:rsid w:val="0096202D"/>
    <w:rsid w:val="00962044"/>
    <w:rsid w:val="009620DB"/>
    <w:rsid w:val="009624EC"/>
    <w:rsid w:val="0096252C"/>
    <w:rsid w:val="009625BB"/>
    <w:rsid w:val="009626DE"/>
    <w:rsid w:val="009627E9"/>
    <w:rsid w:val="009627F5"/>
    <w:rsid w:val="0096297F"/>
    <w:rsid w:val="00962992"/>
    <w:rsid w:val="00962A73"/>
    <w:rsid w:val="00962AA2"/>
    <w:rsid w:val="00962B0B"/>
    <w:rsid w:val="00962B12"/>
    <w:rsid w:val="00962B7B"/>
    <w:rsid w:val="00962C16"/>
    <w:rsid w:val="00962CAA"/>
    <w:rsid w:val="00962CDB"/>
    <w:rsid w:val="00962CDE"/>
    <w:rsid w:val="00962EFC"/>
    <w:rsid w:val="00962F2B"/>
    <w:rsid w:val="00962F6A"/>
    <w:rsid w:val="00962FC4"/>
    <w:rsid w:val="009630E4"/>
    <w:rsid w:val="009631DB"/>
    <w:rsid w:val="009631FE"/>
    <w:rsid w:val="0096333C"/>
    <w:rsid w:val="00963408"/>
    <w:rsid w:val="00963460"/>
    <w:rsid w:val="009635CF"/>
    <w:rsid w:val="009637C2"/>
    <w:rsid w:val="00963966"/>
    <w:rsid w:val="00963A11"/>
    <w:rsid w:val="00963A18"/>
    <w:rsid w:val="00963B5C"/>
    <w:rsid w:val="00963B9B"/>
    <w:rsid w:val="00963D1C"/>
    <w:rsid w:val="00963D20"/>
    <w:rsid w:val="00963DCC"/>
    <w:rsid w:val="00963ED1"/>
    <w:rsid w:val="00963FC3"/>
    <w:rsid w:val="0096404F"/>
    <w:rsid w:val="009640B6"/>
    <w:rsid w:val="00964129"/>
    <w:rsid w:val="0096412E"/>
    <w:rsid w:val="009641D7"/>
    <w:rsid w:val="009642DB"/>
    <w:rsid w:val="009642E9"/>
    <w:rsid w:val="00964309"/>
    <w:rsid w:val="0096437A"/>
    <w:rsid w:val="009643B0"/>
    <w:rsid w:val="009643B9"/>
    <w:rsid w:val="009644A3"/>
    <w:rsid w:val="00964574"/>
    <w:rsid w:val="009645FA"/>
    <w:rsid w:val="009646B0"/>
    <w:rsid w:val="00964709"/>
    <w:rsid w:val="0096476D"/>
    <w:rsid w:val="009648BF"/>
    <w:rsid w:val="009648CB"/>
    <w:rsid w:val="009648EC"/>
    <w:rsid w:val="0096498D"/>
    <w:rsid w:val="00964A14"/>
    <w:rsid w:val="00964B3E"/>
    <w:rsid w:val="00964BE4"/>
    <w:rsid w:val="00964CCD"/>
    <w:rsid w:val="00964D99"/>
    <w:rsid w:val="00964DF5"/>
    <w:rsid w:val="00964EDF"/>
    <w:rsid w:val="00964F72"/>
    <w:rsid w:val="00964F76"/>
    <w:rsid w:val="00965009"/>
    <w:rsid w:val="00965023"/>
    <w:rsid w:val="00965194"/>
    <w:rsid w:val="009651F2"/>
    <w:rsid w:val="00965210"/>
    <w:rsid w:val="0096523E"/>
    <w:rsid w:val="0096532C"/>
    <w:rsid w:val="0096535B"/>
    <w:rsid w:val="009654A9"/>
    <w:rsid w:val="00965515"/>
    <w:rsid w:val="0096561D"/>
    <w:rsid w:val="009656BB"/>
    <w:rsid w:val="009657D3"/>
    <w:rsid w:val="009657F7"/>
    <w:rsid w:val="00965871"/>
    <w:rsid w:val="0096587C"/>
    <w:rsid w:val="00965A08"/>
    <w:rsid w:val="00965A63"/>
    <w:rsid w:val="00965B98"/>
    <w:rsid w:val="00965D09"/>
    <w:rsid w:val="00965D53"/>
    <w:rsid w:val="00965E54"/>
    <w:rsid w:val="00965EEC"/>
    <w:rsid w:val="00965FF1"/>
    <w:rsid w:val="00966024"/>
    <w:rsid w:val="00966246"/>
    <w:rsid w:val="0096626E"/>
    <w:rsid w:val="009662BA"/>
    <w:rsid w:val="0096639E"/>
    <w:rsid w:val="0096641A"/>
    <w:rsid w:val="009664B6"/>
    <w:rsid w:val="0096651B"/>
    <w:rsid w:val="0096666D"/>
    <w:rsid w:val="009667FC"/>
    <w:rsid w:val="0096689E"/>
    <w:rsid w:val="00966902"/>
    <w:rsid w:val="00966983"/>
    <w:rsid w:val="00966B52"/>
    <w:rsid w:val="00966B88"/>
    <w:rsid w:val="00966BCC"/>
    <w:rsid w:val="00966BD4"/>
    <w:rsid w:val="00966D5F"/>
    <w:rsid w:val="00966EDD"/>
    <w:rsid w:val="00967091"/>
    <w:rsid w:val="009671EA"/>
    <w:rsid w:val="009672A2"/>
    <w:rsid w:val="009673AE"/>
    <w:rsid w:val="009674F7"/>
    <w:rsid w:val="00967507"/>
    <w:rsid w:val="00967620"/>
    <w:rsid w:val="00967631"/>
    <w:rsid w:val="009676F2"/>
    <w:rsid w:val="009677E5"/>
    <w:rsid w:val="00967855"/>
    <w:rsid w:val="00967887"/>
    <w:rsid w:val="00967953"/>
    <w:rsid w:val="00967965"/>
    <w:rsid w:val="009679EE"/>
    <w:rsid w:val="00967C0B"/>
    <w:rsid w:val="00967CAC"/>
    <w:rsid w:val="00967CC2"/>
    <w:rsid w:val="00967DC4"/>
    <w:rsid w:val="00967DD3"/>
    <w:rsid w:val="00967FCF"/>
    <w:rsid w:val="00967FDF"/>
    <w:rsid w:val="009700BB"/>
    <w:rsid w:val="00970237"/>
    <w:rsid w:val="00970365"/>
    <w:rsid w:val="0097058D"/>
    <w:rsid w:val="009706E1"/>
    <w:rsid w:val="009706FE"/>
    <w:rsid w:val="009707D3"/>
    <w:rsid w:val="009707F1"/>
    <w:rsid w:val="00970955"/>
    <w:rsid w:val="00970A1D"/>
    <w:rsid w:val="00970DEE"/>
    <w:rsid w:val="00970DF1"/>
    <w:rsid w:val="00970FDC"/>
    <w:rsid w:val="00971007"/>
    <w:rsid w:val="009712A4"/>
    <w:rsid w:val="00971374"/>
    <w:rsid w:val="009713EE"/>
    <w:rsid w:val="00971400"/>
    <w:rsid w:val="0097141C"/>
    <w:rsid w:val="009714F6"/>
    <w:rsid w:val="009715BE"/>
    <w:rsid w:val="0097161E"/>
    <w:rsid w:val="009716ED"/>
    <w:rsid w:val="00971709"/>
    <w:rsid w:val="0097176A"/>
    <w:rsid w:val="0097182F"/>
    <w:rsid w:val="009718A3"/>
    <w:rsid w:val="009718CA"/>
    <w:rsid w:val="009719AE"/>
    <w:rsid w:val="00971AAA"/>
    <w:rsid w:val="00971C6F"/>
    <w:rsid w:val="00971CB5"/>
    <w:rsid w:val="00971D87"/>
    <w:rsid w:val="00971ED1"/>
    <w:rsid w:val="00971F83"/>
    <w:rsid w:val="00972035"/>
    <w:rsid w:val="00972092"/>
    <w:rsid w:val="009720AD"/>
    <w:rsid w:val="0097233C"/>
    <w:rsid w:val="009723C9"/>
    <w:rsid w:val="0097248C"/>
    <w:rsid w:val="0097263F"/>
    <w:rsid w:val="009727AC"/>
    <w:rsid w:val="009727DD"/>
    <w:rsid w:val="00972849"/>
    <w:rsid w:val="00972930"/>
    <w:rsid w:val="00972AFB"/>
    <w:rsid w:val="00972AFC"/>
    <w:rsid w:val="00972BDA"/>
    <w:rsid w:val="00972CEC"/>
    <w:rsid w:val="00972E70"/>
    <w:rsid w:val="00972E76"/>
    <w:rsid w:val="00972F1E"/>
    <w:rsid w:val="00972F83"/>
    <w:rsid w:val="00972FE8"/>
    <w:rsid w:val="00972FFA"/>
    <w:rsid w:val="00973051"/>
    <w:rsid w:val="0097308F"/>
    <w:rsid w:val="0097310E"/>
    <w:rsid w:val="009731B2"/>
    <w:rsid w:val="00973465"/>
    <w:rsid w:val="0097362F"/>
    <w:rsid w:val="0097363B"/>
    <w:rsid w:val="00973688"/>
    <w:rsid w:val="009736B1"/>
    <w:rsid w:val="00973723"/>
    <w:rsid w:val="00973771"/>
    <w:rsid w:val="009738D0"/>
    <w:rsid w:val="00973905"/>
    <w:rsid w:val="00973989"/>
    <w:rsid w:val="00973B41"/>
    <w:rsid w:val="00973B4A"/>
    <w:rsid w:val="00973E59"/>
    <w:rsid w:val="00973F3B"/>
    <w:rsid w:val="009740A2"/>
    <w:rsid w:val="0097414F"/>
    <w:rsid w:val="0097415A"/>
    <w:rsid w:val="00974171"/>
    <w:rsid w:val="009741AA"/>
    <w:rsid w:val="009741CC"/>
    <w:rsid w:val="0097442A"/>
    <w:rsid w:val="0097446B"/>
    <w:rsid w:val="00974511"/>
    <w:rsid w:val="009745A2"/>
    <w:rsid w:val="009746AA"/>
    <w:rsid w:val="009747C6"/>
    <w:rsid w:val="00974958"/>
    <w:rsid w:val="00974981"/>
    <w:rsid w:val="00974993"/>
    <w:rsid w:val="00974A0D"/>
    <w:rsid w:val="00974A82"/>
    <w:rsid w:val="00974AA2"/>
    <w:rsid w:val="00974BD2"/>
    <w:rsid w:val="00974C1E"/>
    <w:rsid w:val="00974C5B"/>
    <w:rsid w:val="00974CD3"/>
    <w:rsid w:val="00974ECD"/>
    <w:rsid w:val="00974EDD"/>
    <w:rsid w:val="00975084"/>
    <w:rsid w:val="00975086"/>
    <w:rsid w:val="009751CD"/>
    <w:rsid w:val="0097523B"/>
    <w:rsid w:val="009752C8"/>
    <w:rsid w:val="009752E4"/>
    <w:rsid w:val="00975506"/>
    <w:rsid w:val="009755FD"/>
    <w:rsid w:val="00975786"/>
    <w:rsid w:val="0097583A"/>
    <w:rsid w:val="00975884"/>
    <w:rsid w:val="00975939"/>
    <w:rsid w:val="00975A8D"/>
    <w:rsid w:val="00975AF2"/>
    <w:rsid w:val="00975E86"/>
    <w:rsid w:val="00975F57"/>
    <w:rsid w:val="00975F78"/>
    <w:rsid w:val="00975FD2"/>
    <w:rsid w:val="00976046"/>
    <w:rsid w:val="009761E8"/>
    <w:rsid w:val="009761EB"/>
    <w:rsid w:val="00976242"/>
    <w:rsid w:val="009762A8"/>
    <w:rsid w:val="009762F2"/>
    <w:rsid w:val="00976351"/>
    <w:rsid w:val="009763A7"/>
    <w:rsid w:val="009763D4"/>
    <w:rsid w:val="009763F8"/>
    <w:rsid w:val="009764BB"/>
    <w:rsid w:val="009765A6"/>
    <w:rsid w:val="00976960"/>
    <w:rsid w:val="00976A55"/>
    <w:rsid w:val="00976B72"/>
    <w:rsid w:val="00976B95"/>
    <w:rsid w:val="00976F45"/>
    <w:rsid w:val="009770A0"/>
    <w:rsid w:val="00977133"/>
    <w:rsid w:val="009773E4"/>
    <w:rsid w:val="00977580"/>
    <w:rsid w:val="00977641"/>
    <w:rsid w:val="00977649"/>
    <w:rsid w:val="00977771"/>
    <w:rsid w:val="009777D6"/>
    <w:rsid w:val="00977828"/>
    <w:rsid w:val="0097795C"/>
    <w:rsid w:val="0097799A"/>
    <w:rsid w:val="00977A47"/>
    <w:rsid w:val="00977A65"/>
    <w:rsid w:val="00977A8B"/>
    <w:rsid w:val="00977CDC"/>
    <w:rsid w:val="00977D28"/>
    <w:rsid w:val="00977D71"/>
    <w:rsid w:val="00977DB3"/>
    <w:rsid w:val="00977EA5"/>
    <w:rsid w:val="00977EBC"/>
    <w:rsid w:val="00977EE2"/>
    <w:rsid w:val="00977F0F"/>
    <w:rsid w:val="00977F41"/>
    <w:rsid w:val="0098004C"/>
    <w:rsid w:val="009801B4"/>
    <w:rsid w:val="00980284"/>
    <w:rsid w:val="00980312"/>
    <w:rsid w:val="00980351"/>
    <w:rsid w:val="009804F5"/>
    <w:rsid w:val="009805EA"/>
    <w:rsid w:val="00980680"/>
    <w:rsid w:val="009808F6"/>
    <w:rsid w:val="0098095E"/>
    <w:rsid w:val="00980991"/>
    <w:rsid w:val="009809CB"/>
    <w:rsid w:val="00980A00"/>
    <w:rsid w:val="00980B20"/>
    <w:rsid w:val="00980B76"/>
    <w:rsid w:val="00980BC1"/>
    <w:rsid w:val="00980C47"/>
    <w:rsid w:val="00980D03"/>
    <w:rsid w:val="00980F25"/>
    <w:rsid w:val="00980FB4"/>
    <w:rsid w:val="00981165"/>
    <w:rsid w:val="009813DB"/>
    <w:rsid w:val="009814FA"/>
    <w:rsid w:val="00981719"/>
    <w:rsid w:val="009817D9"/>
    <w:rsid w:val="009817DC"/>
    <w:rsid w:val="009817EB"/>
    <w:rsid w:val="0098182A"/>
    <w:rsid w:val="009818F1"/>
    <w:rsid w:val="009819F5"/>
    <w:rsid w:val="00981D93"/>
    <w:rsid w:val="00981D9A"/>
    <w:rsid w:val="00981DB2"/>
    <w:rsid w:val="00981F3C"/>
    <w:rsid w:val="00981FA7"/>
    <w:rsid w:val="00981FE8"/>
    <w:rsid w:val="00982020"/>
    <w:rsid w:val="00982268"/>
    <w:rsid w:val="0098238D"/>
    <w:rsid w:val="0098254C"/>
    <w:rsid w:val="00982665"/>
    <w:rsid w:val="00982674"/>
    <w:rsid w:val="009826BF"/>
    <w:rsid w:val="009827E4"/>
    <w:rsid w:val="00982838"/>
    <w:rsid w:val="00982843"/>
    <w:rsid w:val="009828CB"/>
    <w:rsid w:val="00982C54"/>
    <w:rsid w:val="00982C5B"/>
    <w:rsid w:val="00982C8D"/>
    <w:rsid w:val="00982D61"/>
    <w:rsid w:val="00982D6E"/>
    <w:rsid w:val="00982D86"/>
    <w:rsid w:val="00982E3B"/>
    <w:rsid w:val="00982E59"/>
    <w:rsid w:val="00982E7A"/>
    <w:rsid w:val="00982EEB"/>
    <w:rsid w:val="00982F01"/>
    <w:rsid w:val="00982FB2"/>
    <w:rsid w:val="0098307C"/>
    <w:rsid w:val="00983102"/>
    <w:rsid w:val="00983151"/>
    <w:rsid w:val="0098317B"/>
    <w:rsid w:val="0098353D"/>
    <w:rsid w:val="009835AF"/>
    <w:rsid w:val="009836A6"/>
    <w:rsid w:val="009836C4"/>
    <w:rsid w:val="009837F4"/>
    <w:rsid w:val="009838A9"/>
    <w:rsid w:val="00983920"/>
    <w:rsid w:val="0098399D"/>
    <w:rsid w:val="009839FB"/>
    <w:rsid w:val="00983AB0"/>
    <w:rsid w:val="00983B9D"/>
    <w:rsid w:val="00983C76"/>
    <w:rsid w:val="00983C86"/>
    <w:rsid w:val="00983CA4"/>
    <w:rsid w:val="00983CA8"/>
    <w:rsid w:val="00983D98"/>
    <w:rsid w:val="00983E53"/>
    <w:rsid w:val="00983E7F"/>
    <w:rsid w:val="009840C6"/>
    <w:rsid w:val="0098414C"/>
    <w:rsid w:val="009841B1"/>
    <w:rsid w:val="009843C6"/>
    <w:rsid w:val="009843EB"/>
    <w:rsid w:val="00984520"/>
    <w:rsid w:val="009845AF"/>
    <w:rsid w:val="0098463C"/>
    <w:rsid w:val="009847B9"/>
    <w:rsid w:val="009847F5"/>
    <w:rsid w:val="00984823"/>
    <w:rsid w:val="00984940"/>
    <w:rsid w:val="009849DE"/>
    <w:rsid w:val="00984A0A"/>
    <w:rsid w:val="00984A7F"/>
    <w:rsid w:val="00984AD8"/>
    <w:rsid w:val="00984BF9"/>
    <w:rsid w:val="00984C03"/>
    <w:rsid w:val="00984C5C"/>
    <w:rsid w:val="00984CA8"/>
    <w:rsid w:val="00984D0D"/>
    <w:rsid w:val="00984FE1"/>
    <w:rsid w:val="00984FF6"/>
    <w:rsid w:val="0098501B"/>
    <w:rsid w:val="00985044"/>
    <w:rsid w:val="00985072"/>
    <w:rsid w:val="00985125"/>
    <w:rsid w:val="009851B3"/>
    <w:rsid w:val="00985208"/>
    <w:rsid w:val="00985246"/>
    <w:rsid w:val="0098535F"/>
    <w:rsid w:val="00985456"/>
    <w:rsid w:val="0098553A"/>
    <w:rsid w:val="00985752"/>
    <w:rsid w:val="009857A5"/>
    <w:rsid w:val="00985845"/>
    <w:rsid w:val="009858A1"/>
    <w:rsid w:val="00985936"/>
    <w:rsid w:val="009859EC"/>
    <w:rsid w:val="00985B68"/>
    <w:rsid w:val="00985B9C"/>
    <w:rsid w:val="00985E3A"/>
    <w:rsid w:val="00985E6E"/>
    <w:rsid w:val="00985ECF"/>
    <w:rsid w:val="00985F5F"/>
    <w:rsid w:val="00985FC0"/>
    <w:rsid w:val="00986065"/>
    <w:rsid w:val="00986102"/>
    <w:rsid w:val="0098617C"/>
    <w:rsid w:val="0098619D"/>
    <w:rsid w:val="009862D9"/>
    <w:rsid w:val="0098657F"/>
    <w:rsid w:val="009865FF"/>
    <w:rsid w:val="009866DA"/>
    <w:rsid w:val="009866E9"/>
    <w:rsid w:val="00986797"/>
    <w:rsid w:val="00986882"/>
    <w:rsid w:val="00986928"/>
    <w:rsid w:val="00986A08"/>
    <w:rsid w:val="00986B22"/>
    <w:rsid w:val="00986BB2"/>
    <w:rsid w:val="00986BED"/>
    <w:rsid w:val="00986D3E"/>
    <w:rsid w:val="00986F56"/>
    <w:rsid w:val="0098708C"/>
    <w:rsid w:val="00987105"/>
    <w:rsid w:val="0098723B"/>
    <w:rsid w:val="009872D8"/>
    <w:rsid w:val="00987565"/>
    <w:rsid w:val="009875A9"/>
    <w:rsid w:val="0098761D"/>
    <w:rsid w:val="009876CD"/>
    <w:rsid w:val="0098771F"/>
    <w:rsid w:val="0098776A"/>
    <w:rsid w:val="009877B2"/>
    <w:rsid w:val="0098783B"/>
    <w:rsid w:val="009878E0"/>
    <w:rsid w:val="009879E3"/>
    <w:rsid w:val="00987A3D"/>
    <w:rsid w:val="00987ABA"/>
    <w:rsid w:val="00987AD3"/>
    <w:rsid w:val="00987B95"/>
    <w:rsid w:val="00987BD5"/>
    <w:rsid w:val="00987C36"/>
    <w:rsid w:val="00987FE0"/>
    <w:rsid w:val="0099005F"/>
    <w:rsid w:val="009902AD"/>
    <w:rsid w:val="009902C3"/>
    <w:rsid w:val="009902E9"/>
    <w:rsid w:val="00990479"/>
    <w:rsid w:val="009904AD"/>
    <w:rsid w:val="00990554"/>
    <w:rsid w:val="00990594"/>
    <w:rsid w:val="009907DD"/>
    <w:rsid w:val="00990825"/>
    <w:rsid w:val="00990A99"/>
    <w:rsid w:val="00990AA7"/>
    <w:rsid w:val="00990AC5"/>
    <w:rsid w:val="00990C84"/>
    <w:rsid w:val="00990D39"/>
    <w:rsid w:val="009910EF"/>
    <w:rsid w:val="009912DB"/>
    <w:rsid w:val="00991524"/>
    <w:rsid w:val="009917CE"/>
    <w:rsid w:val="0099187B"/>
    <w:rsid w:val="00991A81"/>
    <w:rsid w:val="00991ABE"/>
    <w:rsid w:val="00991DF3"/>
    <w:rsid w:val="00992047"/>
    <w:rsid w:val="00992151"/>
    <w:rsid w:val="00992261"/>
    <w:rsid w:val="0099235A"/>
    <w:rsid w:val="009923A1"/>
    <w:rsid w:val="009923DA"/>
    <w:rsid w:val="009923F5"/>
    <w:rsid w:val="00992509"/>
    <w:rsid w:val="00992628"/>
    <w:rsid w:val="0099267E"/>
    <w:rsid w:val="00992681"/>
    <w:rsid w:val="009926A8"/>
    <w:rsid w:val="009927CA"/>
    <w:rsid w:val="009927D9"/>
    <w:rsid w:val="009929DD"/>
    <w:rsid w:val="00992ACE"/>
    <w:rsid w:val="00992C13"/>
    <w:rsid w:val="00992D0B"/>
    <w:rsid w:val="00992E53"/>
    <w:rsid w:val="00992E74"/>
    <w:rsid w:val="00992FAD"/>
    <w:rsid w:val="00993141"/>
    <w:rsid w:val="0099328F"/>
    <w:rsid w:val="009932C8"/>
    <w:rsid w:val="0099330A"/>
    <w:rsid w:val="00993435"/>
    <w:rsid w:val="009934E7"/>
    <w:rsid w:val="00993570"/>
    <w:rsid w:val="0099361A"/>
    <w:rsid w:val="0099362C"/>
    <w:rsid w:val="00993641"/>
    <w:rsid w:val="009936EB"/>
    <w:rsid w:val="009937C6"/>
    <w:rsid w:val="00993860"/>
    <w:rsid w:val="0099386E"/>
    <w:rsid w:val="0099388D"/>
    <w:rsid w:val="0099391E"/>
    <w:rsid w:val="009939CE"/>
    <w:rsid w:val="00993A4B"/>
    <w:rsid w:val="00993AAE"/>
    <w:rsid w:val="00993B9F"/>
    <w:rsid w:val="00993EDE"/>
    <w:rsid w:val="00993F1B"/>
    <w:rsid w:val="00993F64"/>
    <w:rsid w:val="00993F84"/>
    <w:rsid w:val="00993FA3"/>
    <w:rsid w:val="00994000"/>
    <w:rsid w:val="00994053"/>
    <w:rsid w:val="009942A8"/>
    <w:rsid w:val="009942AB"/>
    <w:rsid w:val="00994522"/>
    <w:rsid w:val="00994582"/>
    <w:rsid w:val="009946D9"/>
    <w:rsid w:val="00994806"/>
    <w:rsid w:val="00994949"/>
    <w:rsid w:val="00994976"/>
    <w:rsid w:val="009949EB"/>
    <w:rsid w:val="00994C3F"/>
    <w:rsid w:val="00994D95"/>
    <w:rsid w:val="00994DD5"/>
    <w:rsid w:val="00994E93"/>
    <w:rsid w:val="00994F0B"/>
    <w:rsid w:val="00994FF8"/>
    <w:rsid w:val="00995126"/>
    <w:rsid w:val="00995175"/>
    <w:rsid w:val="0099531C"/>
    <w:rsid w:val="00995441"/>
    <w:rsid w:val="00995822"/>
    <w:rsid w:val="00995859"/>
    <w:rsid w:val="00995875"/>
    <w:rsid w:val="00995912"/>
    <w:rsid w:val="009959AB"/>
    <w:rsid w:val="00995AFC"/>
    <w:rsid w:val="00995B7D"/>
    <w:rsid w:val="00995BCF"/>
    <w:rsid w:val="00995C2A"/>
    <w:rsid w:val="00995CF5"/>
    <w:rsid w:val="00995E84"/>
    <w:rsid w:val="00995EFE"/>
    <w:rsid w:val="00995FBF"/>
    <w:rsid w:val="0099605F"/>
    <w:rsid w:val="009961B9"/>
    <w:rsid w:val="009961BD"/>
    <w:rsid w:val="0099620F"/>
    <w:rsid w:val="009962A3"/>
    <w:rsid w:val="00996311"/>
    <w:rsid w:val="00996440"/>
    <w:rsid w:val="00996450"/>
    <w:rsid w:val="00996562"/>
    <w:rsid w:val="009965E8"/>
    <w:rsid w:val="00996613"/>
    <w:rsid w:val="0099666B"/>
    <w:rsid w:val="00996684"/>
    <w:rsid w:val="00996776"/>
    <w:rsid w:val="00996791"/>
    <w:rsid w:val="009967FE"/>
    <w:rsid w:val="00996851"/>
    <w:rsid w:val="009969AF"/>
    <w:rsid w:val="009969B4"/>
    <w:rsid w:val="00996AD9"/>
    <w:rsid w:val="00996BD1"/>
    <w:rsid w:val="00996BD2"/>
    <w:rsid w:val="00996C0A"/>
    <w:rsid w:val="00996CD7"/>
    <w:rsid w:val="00996D99"/>
    <w:rsid w:val="00996DB4"/>
    <w:rsid w:val="00996DC5"/>
    <w:rsid w:val="00996E29"/>
    <w:rsid w:val="00996E46"/>
    <w:rsid w:val="00996F66"/>
    <w:rsid w:val="00996FFE"/>
    <w:rsid w:val="00997186"/>
    <w:rsid w:val="009972D8"/>
    <w:rsid w:val="0099732E"/>
    <w:rsid w:val="0099744D"/>
    <w:rsid w:val="0099744F"/>
    <w:rsid w:val="009975BF"/>
    <w:rsid w:val="0099767B"/>
    <w:rsid w:val="009976AD"/>
    <w:rsid w:val="00997754"/>
    <w:rsid w:val="009977A7"/>
    <w:rsid w:val="009977DF"/>
    <w:rsid w:val="00997931"/>
    <w:rsid w:val="00997954"/>
    <w:rsid w:val="00997AF8"/>
    <w:rsid w:val="00997B0E"/>
    <w:rsid w:val="00997B69"/>
    <w:rsid w:val="00997C6E"/>
    <w:rsid w:val="00997D6E"/>
    <w:rsid w:val="00997D9B"/>
    <w:rsid w:val="00997F46"/>
    <w:rsid w:val="00997F50"/>
    <w:rsid w:val="009A0127"/>
    <w:rsid w:val="009A01E2"/>
    <w:rsid w:val="009A02CF"/>
    <w:rsid w:val="009A03F4"/>
    <w:rsid w:val="009A0412"/>
    <w:rsid w:val="009A0416"/>
    <w:rsid w:val="009A0422"/>
    <w:rsid w:val="009A04A6"/>
    <w:rsid w:val="009A04C9"/>
    <w:rsid w:val="009A04E2"/>
    <w:rsid w:val="009A0783"/>
    <w:rsid w:val="009A094A"/>
    <w:rsid w:val="009A09E4"/>
    <w:rsid w:val="009A0A18"/>
    <w:rsid w:val="009A0B05"/>
    <w:rsid w:val="009A0B92"/>
    <w:rsid w:val="009A0BA2"/>
    <w:rsid w:val="009A0C0D"/>
    <w:rsid w:val="009A0C18"/>
    <w:rsid w:val="009A0CD5"/>
    <w:rsid w:val="009A0D49"/>
    <w:rsid w:val="009A1018"/>
    <w:rsid w:val="009A1062"/>
    <w:rsid w:val="009A10B3"/>
    <w:rsid w:val="009A1106"/>
    <w:rsid w:val="009A111B"/>
    <w:rsid w:val="009A1204"/>
    <w:rsid w:val="009A12BE"/>
    <w:rsid w:val="009A13CB"/>
    <w:rsid w:val="009A140F"/>
    <w:rsid w:val="009A1414"/>
    <w:rsid w:val="009A1459"/>
    <w:rsid w:val="009A147C"/>
    <w:rsid w:val="009A15BA"/>
    <w:rsid w:val="009A16B7"/>
    <w:rsid w:val="009A16E7"/>
    <w:rsid w:val="009A1790"/>
    <w:rsid w:val="009A17EC"/>
    <w:rsid w:val="009A17FA"/>
    <w:rsid w:val="009A1938"/>
    <w:rsid w:val="009A1949"/>
    <w:rsid w:val="009A198F"/>
    <w:rsid w:val="009A19D0"/>
    <w:rsid w:val="009A1C71"/>
    <w:rsid w:val="009A1D11"/>
    <w:rsid w:val="009A1E44"/>
    <w:rsid w:val="009A1E4B"/>
    <w:rsid w:val="009A1E57"/>
    <w:rsid w:val="009A1F28"/>
    <w:rsid w:val="009A220B"/>
    <w:rsid w:val="009A2227"/>
    <w:rsid w:val="009A25FF"/>
    <w:rsid w:val="009A2640"/>
    <w:rsid w:val="009A2779"/>
    <w:rsid w:val="009A27C4"/>
    <w:rsid w:val="009A2841"/>
    <w:rsid w:val="009A28F2"/>
    <w:rsid w:val="009A2A4C"/>
    <w:rsid w:val="009A2A93"/>
    <w:rsid w:val="009A2B00"/>
    <w:rsid w:val="009A2C1B"/>
    <w:rsid w:val="009A2C20"/>
    <w:rsid w:val="009A2C80"/>
    <w:rsid w:val="009A3002"/>
    <w:rsid w:val="009A3110"/>
    <w:rsid w:val="009A3120"/>
    <w:rsid w:val="009A3183"/>
    <w:rsid w:val="009A31E0"/>
    <w:rsid w:val="009A31FC"/>
    <w:rsid w:val="009A326F"/>
    <w:rsid w:val="009A342C"/>
    <w:rsid w:val="009A353B"/>
    <w:rsid w:val="009A35F5"/>
    <w:rsid w:val="009A3756"/>
    <w:rsid w:val="009A3786"/>
    <w:rsid w:val="009A3860"/>
    <w:rsid w:val="009A38A9"/>
    <w:rsid w:val="009A38F8"/>
    <w:rsid w:val="009A3913"/>
    <w:rsid w:val="009A3960"/>
    <w:rsid w:val="009A3C1A"/>
    <w:rsid w:val="009A3C25"/>
    <w:rsid w:val="009A3CAD"/>
    <w:rsid w:val="009A3DA2"/>
    <w:rsid w:val="009A3EA9"/>
    <w:rsid w:val="009A3F26"/>
    <w:rsid w:val="009A4116"/>
    <w:rsid w:val="009A421E"/>
    <w:rsid w:val="009A44BD"/>
    <w:rsid w:val="009A4512"/>
    <w:rsid w:val="009A45E7"/>
    <w:rsid w:val="009A46CE"/>
    <w:rsid w:val="009A4963"/>
    <w:rsid w:val="009A4AFF"/>
    <w:rsid w:val="009A4B09"/>
    <w:rsid w:val="009A4B42"/>
    <w:rsid w:val="009A4BC8"/>
    <w:rsid w:val="009A4BE2"/>
    <w:rsid w:val="009A4C2E"/>
    <w:rsid w:val="009A4C60"/>
    <w:rsid w:val="009A4CAA"/>
    <w:rsid w:val="009A4F05"/>
    <w:rsid w:val="009A4F78"/>
    <w:rsid w:val="009A5020"/>
    <w:rsid w:val="009A50A9"/>
    <w:rsid w:val="009A50F2"/>
    <w:rsid w:val="009A51B2"/>
    <w:rsid w:val="009A52C8"/>
    <w:rsid w:val="009A52E7"/>
    <w:rsid w:val="009A52FA"/>
    <w:rsid w:val="009A53E8"/>
    <w:rsid w:val="009A53FA"/>
    <w:rsid w:val="009A540D"/>
    <w:rsid w:val="009A54DE"/>
    <w:rsid w:val="009A5521"/>
    <w:rsid w:val="009A553C"/>
    <w:rsid w:val="009A574F"/>
    <w:rsid w:val="009A5897"/>
    <w:rsid w:val="009A58A5"/>
    <w:rsid w:val="009A5A8C"/>
    <w:rsid w:val="009A5CEB"/>
    <w:rsid w:val="009A5D3F"/>
    <w:rsid w:val="009A6019"/>
    <w:rsid w:val="009A607B"/>
    <w:rsid w:val="009A60EA"/>
    <w:rsid w:val="009A6126"/>
    <w:rsid w:val="009A612E"/>
    <w:rsid w:val="009A6198"/>
    <w:rsid w:val="009A61F1"/>
    <w:rsid w:val="009A6292"/>
    <w:rsid w:val="009A6490"/>
    <w:rsid w:val="009A66A6"/>
    <w:rsid w:val="009A6845"/>
    <w:rsid w:val="009A69F9"/>
    <w:rsid w:val="009A6A41"/>
    <w:rsid w:val="009A6AA0"/>
    <w:rsid w:val="009A6B67"/>
    <w:rsid w:val="009A6C57"/>
    <w:rsid w:val="009A6D97"/>
    <w:rsid w:val="009A6E9D"/>
    <w:rsid w:val="009A6F52"/>
    <w:rsid w:val="009A6FDF"/>
    <w:rsid w:val="009A7018"/>
    <w:rsid w:val="009A7042"/>
    <w:rsid w:val="009A70AE"/>
    <w:rsid w:val="009A7128"/>
    <w:rsid w:val="009A7157"/>
    <w:rsid w:val="009A71AA"/>
    <w:rsid w:val="009A71E5"/>
    <w:rsid w:val="009A72A9"/>
    <w:rsid w:val="009A72D4"/>
    <w:rsid w:val="009A73B2"/>
    <w:rsid w:val="009A73C8"/>
    <w:rsid w:val="009A7483"/>
    <w:rsid w:val="009A7558"/>
    <w:rsid w:val="009A75F8"/>
    <w:rsid w:val="009A768F"/>
    <w:rsid w:val="009A771B"/>
    <w:rsid w:val="009A7954"/>
    <w:rsid w:val="009A79D8"/>
    <w:rsid w:val="009A7BA9"/>
    <w:rsid w:val="009A7BC2"/>
    <w:rsid w:val="009A7BCD"/>
    <w:rsid w:val="009A7BE4"/>
    <w:rsid w:val="009A7E10"/>
    <w:rsid w:val="009A7F53"/>
    <w:rsid w:val="009B00EC"/>
    <w:rsid w:val="009B02C8"/>
    <w:rsid w:val="009B02E6"/>
    <w:rsid w:val="009B030D"/>
    <w:rsid w:val="009B0380"/>
    <w:rsid w:val="009B0434"/>
    <w:rsid w:val="009B04B1"/>
    <w:rsid w:val="009B053E"/>
    <w:rsid w:val="009B0550"/>
    <w:rsid w:val="009B066B"/>
    <w:rsid w:val="009B06D2"/>
    <w:rsid w:val="009B0761"/>
    <w:rsid w:val="009B0871"/>
    <w:rsid w:val="009B093C"/>
    <w:rsid w:val="009B095A"/>
    <w:rsid w:val="009B095B"/>
    <w:rsid w:val="009B097D"/>
    <w:rsid w:val="009B09B2"/>
    <w:rsid w:val="009B09B7"/>
    <w:rsid w:val="009B0A3A"/>
    <w:rsid w:val="009B0ABE"/>
    <w:rsid w:val="009B0AF7"/>
    <w:rsid w:val="009B0C7D"/>
    <w:rsid w:val="009B0DB0"/>
    <w:rsid w:val="009B0ED2"/>
    <w:rsid w:val="009B0FFF"/>
    <w:rsid w:val="009B1078"/>
    <w:rsid w:val="009B1260"/>
    <w:rsid w:val="009B1502"/>
    <w:rsid w:val="009B1511"/>
    <w:rsid w:val="009B1564"/>
    <w:rsid w:val="009B15A4"/>
    <w:rsid w:val="009B15E6"/>
    <w:rsid w:val="009B1673"/>
    <w:rsid w:val="009B1A3E"/>
    <w:rsid w:val="009B1AA6"/>
    <w:rsid w:val="009B1C4B"/>
    <w:rsid w:val="009B1CF6"/>
    <w:rsid w:val="009B1D99"/>
    <w:rsid w:val="009B1EB5"/>
    <w:rsid w:val="009B1FAD"/>
    <w:rsid w:val="009B2075"/>
    <w:rsid w:val="009B22C5"/>
    <w:rsid w:val="009B230E"/>
    <w:rsid w:val="009B23CD"/>
    <w:rsid w:val="009B243B"/>
    <w:rsid w:val="009B2702"/>
    <w:rsid w:val="009B2768"/>
    <w:rsid w:val="009B29AF"/>
    <w:rsid w:val="009B2A55"/>
    <w:rsid w:val="009B2AA3"/>
    <w:rsid w:val="009B2B2A"/>
    <w:rsid w:val="009B2CE0"/>
    <w:rsid w:val="009B2D57"/>
    <w:rsid w:val="009B2D83"/>
    <w:rsid w:val="009B2E4E"/>
    <w:rsid w:val="009B2F45"/>
    <w:rsid w:val="009B2FF6"/>
    <w:rsid w:val="009B3073"/>
    <w:rsid w:val="009B30E1"/>
    <w:rsid w:val="009B320F"/>
    <w:rsid w:val="009B325D"/>
    <w:rsid w:val="009B32A5"/>
    <w:rsid w:val="009B32F0"/>
    <w:rsid w:val="009B34ED"/>
    <w:rsid w:val="009B362B"/>
    <w:rsid w:val="009B36BA"/>
    <w:rsid w:val="009B3891"/>
    <w:rsid w:val="009B397D"/>
    <w:rsid w:val="009B39B6"/>
    <w:rsid w:val="009B3A6B"/>
    <w:rsid w:val="009B3B48"/>
    <w:rsid w:val="009B3B9F"/>
    <w:rsid w:val="009B3CBD"/>
    <w:rsid w:val="009B3F20"/>
    <w:rsid w:val="009B3F42"/>
    <w:rsid w:val="009B3F8A"/>
    <w:rsid w:val="009B3FDF"/>
    <w:rsid w:val="009B4004"/>
    <w:rsid w:val="009B40CC"/>
    <w:rsid w:val="009B411B"/>
    <w:rsid w:val="009B447D"/>
    <w:rsid w:val="009B452A"/>
    <w:rsid w:val="009B45B3"/>
    <w:rsid w:val="009B45E2"/>
    <w:rsid w:val="009B49AD"/>
    <w:rsid w:val="009B4BF2"/>
    <w:rsid w:val="009B4C0B"/>
    <w:rsid w:val="009B4C30"/>
    <w:rsid w:val="009B4CB8"/>
    <w:rsid w:val="009B4CBF"/>
    <w:rsid w:val="009B4CCC"/>
    <w:rsid w:val="009B4DE1"/>
    <w:rsid w:val="009B4EB8"/>
    <w:rsid w:val="009B4FB2"/>
    <w:rsid w:val="009B4FD8"/>
    <w:rsid w:val="009B4FEF"/>
    <w:rsid w:val="009B518C"/>
    <w:rsid w:val="009B51D5"/>
    <w:rsid w:val="009B53B1"/>
    <w:rsid w:val="009B53BF"/>
    <w:rsid w:val="009B55ED"/>
    <w:rsid w:val="009B56E8"/>
    <w:rsid w:val="009B570D"/>
    <w:rsid w:val="009B5823"/>
    <w:rsid w:val="009B58FB"/>
    <w:rsid w:val="009B5A4F"/>
    <w:rsid w:val="009B5B69"/>
    <w:rsid w:val="009B5B6A"/>
    <w:rsid w:val="009B5C78"/>
    <w:rsid w:val="009B5C7C"/>
    <w:rsid w:val="009B5CEA"/>
    <w:rsid w:val="009B5D1F"/>
    <w:rsid w:val="009B5F92"/>
    <w:rsid w:val="009B6177"/>
    <w:rsid w:val="009B618C"/>
    <w:rsid w:val="009B61C1"/>
    <w:rsid w:val="009B638C"/>
    <w:rsid w:val="009B6409"/>
    <w:rsid w:val="009B6562"/>
    <w:rsid w:val="009B6580"/>
    <w:rsid w:val="009B65CF"/>
    <w:rsid w:val="009B68CA"/>
    <w:rsid w:val="009B68CF"/>
    <w:rsid w:val="009B6979"/>
    <w:rsid w:val="009B6ADA"/>
    <w:rsid w:val="009B6C0D"/>
    <w:rsid w:val="009B6E16"/>
    <w:rsid w:val="009B6E3D"/>
    <w:rsid w:val="009B6F6E"/>
    <w:rsid w:val="009B6F84"/>
    <w:rsid w:val="009B7000"/>
    <w:rsid w:val="009B7208"/>
    <w:rsid w:val="009B72DF"/>
    <w:rsid w:val="009B72F2"/>
    <w:rsid w:val="009B7369"/>
    <w:rsid w:val="009B74BB"/>
    <w:rsid w:val="009B7556"/>
    <w:rsid w:val="009B762D"/>
    <w:rsid w:val="009B7630"/>
    <w:rsid w:val="009B76CA"/>
    <w:rsid w:val="009B76E0"/>
    <w:rsid w:val="009B76EA"/>
    <w:rsid w:val="009B78EF"/>
    <w:rsid w:val="009B7C42"/>
    <w:rsid w:val="009B7D10"/>
    <w:rsid w:val="009B7DEF"/>
    <w:rsid w:val="009B7EC4"/>
    <w:rsid w:val="009C00A9"/>
    <w:rsid w:val="009C013C"/>
    <w:rsid w:val="009C0198"/>
    <w:rsid w:val="009C024E"/>
    <w:rsid w:val="009C03E0"/>
    <w:rsid w:val="009C04C1"/>
    <w:rsid w:val="009C04EB"/>
    <w:rsid w:val="009C05F2"/>
    <w:rsid w:val="009C062E"/>
    <w:rsid w:val="009C07DA"/>
    <w:rsid w:val="009C08C2"/>
    <w:rsid w:val="009C092E"/>
    <w:rsid w:val="009C0A49"/>
    <w:rsid w:val="009C0B68"/>
    <w:rsid w:val="009C0CAB"/>
    <w:rsid w:val="009C0CC1"/>
    <w:rsid w:val="009C0CD6"/>
    <w:rsid w:val="009C0D5B"/>
    <w:rsid w:val="009C0D80"/>
    <w:rsid w:val="009C0EA8"/>
    <w:rsid w:val="009C0F81"/>
    <w:rsid w:val="009C1267"/>
    <w:rsid w:val="009C1368"/>
    <w:rsid w:val="009C1425"/>
    <w:rsid w:val="009C14A4"/>
    <w:rsid w:val="009C14F5"/>
    <w:rsid w:val="009C1538"/>
    <w:rsid w:val="009C1559"/>
    <w:rsid w:val="009C1590"/>
    <w:rsid w:val="009C159E"/>
    <w:rsid w:val="009C1672"/>
    <w:rsid w:val="009C17AE"/>
    <w:rsid w:val="009C1898"/>
    <w:rsid w:val="009C18BE"/>
    <w:rsid w:val="009C18D5"/>
    <w:rsid w:val="009C18D7"/>
    <w:rsid w:val="009C1912"/>
    <w:rsid w:val="009C191F"/>
    <w:rsid w:val="009C1990"/>
    <w:rsid w:val="009C19B1"/>
    <w:rsid w:val="009C19E1"/>
    <w:rsid w:val="009C19FF"/>
    <w:rsid w:val="009C1A14"/>
    <w:rsid w:val="009C1A9F"/>
    <w:rsid w:val="009C1AD4"/>
    <w:rsid w:val="009C1B36"/>
    <w:rsid w:val="009C1B6C"/>
    <w:rsid w:val="009C1C2D"/>
    <w:rsid w:val="009C1C98"/>
    <w:rsid w:val="009C1CCD"/>
    <w:rsid w:val="009C1D43"/>
    <w:rsid w:val="009C1E25"/>
    <w:rsid w:val="009C1EAC"/>
    <w:rsid w:val="009C1ECE"/>
    <w:rsid w:val="009C1F6E"/>
    <w:rsid w:val="009C1FE1"/>
    <w:rsid w:val="009C2053"/>
    <w:rsid w:val="009C217C"/>
    <w:rsid w:val="009C2246"/>
    <w:rsid w:val="009C2273"/>
    <w:rsid w:val="009C246E"/>
    <w:rsid w:val="009C24B8"/>
    <w:rsid w:val="009C24D8"/>
    <w:rsid w:val="009C251D"/>
    <w:rsid w:val="009C273C"/>
    <w:rsid w:val="009C27D2"/>
    <w:rsid w:val="009C2A38"/>
    <w:rsid w:val="009C2A96"/>
    <w:rsid w:val="009C2B95"/>
    <w:rsid w:val="009C2D9B"/>
    <w:rsid w:val="009C2E84"/>
    <w:rsid w:val="009C2EA2"/>
    <w:rsid w:val="009C2F0C"/>
    <w:rsid w:val="009C3038"/>
    <w:rsid w:val="009C3102"/>
    <w:rsid w:val="009C3197"/>
    <w:rsid w:val="009C328A"/>
    <w:rsid w:val="009C3398"/>
    <w:rsid w:val="009C35CF"/>
    <w:rsid w:val="009C35ED"/>
    <w:rsid w:val="009C36BD"/>
    <w:rsid w:val="009C36D5"/>
    <w:rsid w:val="009C3725"/>
    <w:rsid w:val="009C37E8"/>
    <w:rsid w:val="009C37E9"/>
    <w:rsid w:val="009C3914"/>
    <w:rsid w:val="009C3999"/>
    <w:rsid w:val="009C39D3"/>
    <w:rsid w:val="009C3A60"/>
    <w:rsid w:val="009C3C13"/>
    <w:rsid w:val="009C3CC4"/>
    <w:rsid w:val="009C3CD1"/>
    <w:rsid w:val="009C3CEA"/>
    <w:rsid w:val="009C3E18"/>
    <w:rsid w:val="009C3E4C"/>
    <w:rsid w:val="009C3EAB"/>
    <w:rsid w:val="009C3FA5"/>
    <w:rsid w:val="009C4162"/>
    <w:rsid w:val="009C4334"/>
    <w:rsid w:val="009C4336"/>
    <w:rsid w:val="009C43F6"/>
    <w:rsid w:val="009C45D1"/>
    <w:rsid w:val="009C4695"/>
    <w:rsid w:val="009C4843"/>
    <w:rsid w:val="009C4905"/>
    <w:rsid w:val="009C4982"/>
    <w:rsid w:val="009C4AFF"/>
    <w:rsid w:val="009C4B2B"/>
    <w:rsid w:val="009C4B73"/>
    <w:rsid w:val="009C4C08"/>
    <w:rsid w:val="009C4C1E"/>
    <w:rsid w:val="009C4C3D"/>
    <w:rsid w:val="009C4D51"/>
    <w:rsid w:val="009C4DC8"/>
    <w:rsid w:val="009C4F21"/>
    <w:rsid w:val="009C4F3A"/>
    <w:rsid w:val="009C4F5D"/>
    <w:rsid w:val="009C4FCC"/>
    <w:rsid w:val="009C534B"/>
    <w:rsid w:val="009C55DB"/>
    <w:rsid w:val="009C5925"/>
    <w:rsid w:val="009C5B19"/>
    <w:rsid w:val="009C5B1D"/>
    <w:rsid w:val="009C5B2A"/>
    <w:rsid w:val="009C5BAE"/>
    <w:rsid w:val="009C5BF7"/>
    <w:rsid w:val="009C5D20"/>
    <w:rsid w:val="009C5E0F"/>
    <w:rsid w:val="009C5F70"/>
    <w:rsid w:val="009C5FA3"/>
    <w:rsid w:val="009C6047"/>
    <w:rsid w:val="009C60A3"/>
    <w:rsid w:val="009C60DD"/>
    <w:rsid w:val="009C6142"/>
    <w:rsid w:val="009C6145"/>
    <w:rsid w:val="009C61CB"/>
    <w:rsid w:val="009C6275"/>
    <w:rsid w:val="009C6350"/>
    <w:rsid w:val="009C645B"/>
    <w:rsid w:val="009C646C"/>
    <w:rsid w:val="009C65AA"/>
    <w:rsid w:val="009C65CD"/>
    <w:rsid w:val="009C662E"/>
    <w:rsid w:val="009C665E"/>
    <w:rsid w:val="009C6746"/>
    <w:rsid w:val="009C6891"/>
    <w:rsid w:val="009C68CC"/>
    <w:rsid w:val="009C69EB"/>
    <w:rsid w:val="009C69F6"/>
    <w:rsid w:val="009C6AC2"/>
    <w:rsid w:val="009C6B27"/>
    <w:rsid w:val="009C6BD2"/>
    <w:rsid w:val="009C6CC2"/>
    <w:rsid w:val="009C6CCA"/>
    <w:rsid w:val="009C6DC6"/>
    <w:rsid w:val="009C6E17"/>
    <w:rsid w:val="009C6FCE"/>
    <w:rsid w:val="009C7032"/>
    <w:rsid w:val="009C7280"/>
    <w:rsid w:val="009C72A3"/>
    <w:rsid w:val="009C72DF"/>
    <w:rsid w:val="009C7347"/>
    <w:rsid w:val="009C74FF"/>
    <w:rsid w:val="009C75C2"/>
    <w:rsid w:val="009C761F"/>
    <w:rsid w:val="009C76E3"/>
    <w:rsid w:val="009C76F1"/>
    <w:rsid w:val="009C779D"/>
    <w:rsid w:val="009C77B1"/>
    <w:rsid w:val="009C78CB"/>
    <w:rsid w:val="009C793D"/>
    <w:rsid w:val="009C7BA9"/>
    <w:rsid w:val="009C7BB9"/>
    <w:rsid w:val="009C7BD7"/>
    <w:rsid w:val="009C7C30"/>
    <w:rsid w:val="009C7F3C"/>
    <w:rsid w:val="009D00EE"/>
    <w:rsid w:val="009D0191"/>
    <w:rsid w:val="009D028B"/>
    <w:rsid w:val="009D033A"/>
    <w:rsid w:val="009D04A3"/>
    <w:rsid w:val="009D055A"/>
    <w:rsid w:val="009D09FE"/>
    <w:rsid w:val="009D0AAE"/>
    <w:rsid w:val="009D0AB2"/>
    <w:rsid w:val="009D0AE5"/>
    <w:rsid w:val="009D0B81"/>
    <w:rsid w:val="009D0BC7"/>
    <w:rsid w:val="009D0C83"/>
    <w:rsid w:val="009D0CDE"/>
    <w:rsid w:val="009D0DE7"/>
    <w:rsid w:val="009D0E52"/>
    <w:rsid w:val="009D0E6E"/>
    <w:rsid w:val="009D0F6D"/>
    <w:rsid w:val="009D1033"/>
    <w:rsid w:val="009D10A0"/>
    <w:rsid w:val="009D122E"/>
    <w:rsid w:val="009D12CF"/>
    <w:rsid w:val="009D14B5"/>
    <w:rsid w:val="009D14E5"/>
    <w:rsid w:val="009D1575"/>
    <w:rsid w:val="009D1657"/>
    <w:rsid w:val="009D1674"/>
    <w:rsid w:val="009D1693"/>
    <w:rsid w:val="009D16C7"/>
    <w:rsid w:val="009D17AC"/>
    <w:rsid w:val="009D1918"/>
    <w:rsid w:val="009D1A5E"/>
    <w:rsid w:val="009D1B57"/>
    <w:rsid w:val="009D1BB8"/>
    <w:rsid w:val="009D1CB9"/>
    <w:rsid w:val="009D1CBF"/>
    <w:rsid w:val="009D1CE3"/>
    <w:rsid w:val="009D1D7B"/>
    <w:rsid w:val="009D1DF3"/>
    <w:rsid w:val="009D1E2C"/>
    <w:rsid w:val="009D1E61"/>
    <w:rsid w:val="009D1ED8"/>
    <w:rsid w:val="009D1F32"/>
    <w:rsid w:val="009D1F4F"/>
    <w:rsid w:val="009D20CC"/>
    <w:rsid w:val="009D21B8"/>
    <w:rsid w:val="009D21DC"/>
    <w:rsid w:val="009D21F8"/>
    <w:rsid w:val="009D2200"/>
    <w:rsid w:val="009D2262"/>
    <w:rsid w:val="009D2279"/>
    <w:rsid w:val="009D23AE"/>
    <w:rsid w:val="009D2534"/>
    <w:rsid w:val="009D271C"/>
    <w:rsid w:val="009D28CF"/>
    <w:rsid w:val="009D2972"/>
    <w:rsid w:val="009D2A1B"/>
    <w:rsid w:val="009D2B56"/>
    <w:rsid w:val="009D2B72"/>
    <w:rsid w:val="009D2CE6"/>
    <w:rsid w:val="009D2D19"/>
    <w:rsid w:val="009D2D37"/>
    <w:rsid w:val="009D2DC1"/>
    <w:rsid w:val="009D2E16"/>
    <w:rsid w:val="009D2E4B"/>
    <w:rsid w:val="009D2E94"/>
    <w:rsid w:val="009D2F8E"/>
    <w:rsid w:val="009D2FAD"/>
    <w:rsid w:val="009D30A2"/>
    <w:rsid w:val="009D31B0"/>
    <w:rsid w:val="009D31C5"/>
    <w:rsid w:val="009D31D1"/>
    <w:rsid w:val="009D31EC"/>
    <w:rsid w:val="009D3306"/>
    <w:rsid w:val="009D3400"/>
    <w:rsid w:val="009D340D"/>
    <w:rsid w:val="009D341F"/>
    <w:rsid w:val="009D34B0"/>
    <w:rsid w:val="009D35D7"/>
    <w:rsid w:val="009D35F4"/>
    <w:rsid w:val="009D366D"/>
    <w:rsid w:val="009D3682"/>
    <w:rsid w:val="009D37F7"/>
    <w:rsid w:val="009D3825"/>
    <w:rsid w:val="009D39F1"/>
    <w:rsid w:val="009D3A26"/>
    <w:rsid w:val="009D3A49"/>
    <w:rsid w:val="009D3A75"/>
    <w:rsid w:val="009D3AE9"/>
    <w:rsid w:val="009D3B07"/>
    <w:rsid w:val="009D3B99"/>
    <w:rsid w:val="009D3BDF"/>
    <w:rsid w:val="009D3D1E"/>
    <w:rsid w:val="009D3EF5"/>
    <w:rsid w:val="009D3F5B"/>
    <w:rsid w:val="009D4034"/>
    <w:rsid w:val="009D411A"/>
    <w:rsid w:val="009D41EC"/>
    <w:rsid w:val="009D4259"/>
    <w:rsid w:val="009D4319"/>
    <w:rsid w:val="009D43A9"/>
    <w:rsid w:val="009D43FF"/>
    <w:rsid w:val="009D441B"/>
    <w:rsid w:val="009D4456"/>
    <w:rsid w:val="009D44D0"/>
    <w:rsid w:val="009D468D"/>
    <w:rsid w:val="009D4791"/>
    <w:rsid w:val="009D47FF"/>
    <w:rsid w:val="009D4A59"/>
    <w:rsid w:val="009D4B47"/>
    <w:rsid w:val="009D4BC9"/>
    <w:rsid w:val="009D4C46"/>
    <w:rsid w:val="009D4DB3"/>
    <w:rsid w:val="009D4DC3"/>
    <w:rsid w:val="009D5136"/>
    <w:rsid w:val="009D5370"/>
    <w:rsid w:val="009D5436"/>
    <w:rsid w:val="009D54A8"/>
    <w:rsid w:val="009D5838"/>
    <w:rsid w:val="009D5862"/>
    <w:rsid w:val="009D588F"/>
    <w:rsid w:val="009D598E"/>
    <w:rsid w:val="009D59B6"/>
    <w:rsid w:val="009D59EE"/>
    <w:rsid w:val="009D5A50"/>
    <w:rsid w:val="009D5A81"/>
    <w:rsid w:val="009D5A9F"/>
    <w:rsid w:val="009D5D74"/>
    <w:rsid w:val="009D5D84"/>
    <w:rsid w:val="009D5E7B"/>
    <w:rsid w:val="009D5F09"/>
    <w:rsid w:val="009D5FEE"/>
    <w:rsid w:val="009D611A"/>
    <w:rsid w:val="009D61D6"/>
    <w:rsid w:val="009D61FB"/>
    <w:rsid w:val="009D637E"/>
    <w:rsid w:val="009D6415"/>
    <w:rsid w:val="009D6508"/>
    <w:rsid w:val="009D6539"/>
    <w:rsid w:val="009D65C5"/>
    <w:rsid w:val="009D668E"/>
    <w:rsid w:val="009D6771"/>
    <w:rsid w:val="009D6A6F"/>
    <w:rsid w:val="009D6ACF"/>
    <w:rsid w:val="009D6B17"/>
    <w:rsid w:val="009D6C6F"/>
    <w:rsid w:val="009D6DB4"/>
    <w:rsid w:val="009D7039"/>
    <w:rsid w:val="009D7088"/>
    <w:rsid w:val="009D734A"/>
    <w:rsid w:val="009D73DD"/>
    <w:rsid w:val="009D7464"/>
    <w:rsid w:val="009D751A"/>
    <w:rsid w:val="009D7662"/>
    <w:rsid w:val="009D76F0"/>
    <w:rsid w:val="009D771F"/>
    <w:rsid w:val="009D77F5"/>
    <w:rsid w:val="009D78EF"/>
    <w:rsid w:val="009D797A"/>
    <w:rsid w:val="009D7982"/>
    <w:rsid w:val="009E0022"/>
    <w:rsid w:val="009E00FC"/>
    <w:rsid w:val="009E0135"/>
    <w:rsid w:val="009E01C1"/>
    <w:rsid w:val="009E034E"/>
    <w:rsid w:val="009E0445"/>
    <w:rsid w:val="009E0452"/>
    <w:rsid w:val="009E05B7"/>
    <w:rsid w:val="009E05EC"/>
    <w:rsid w:val="009E062D"/>
    <w:rsid w:val="009E0663"/>
    <w:rsid w:val="009E06B5"/>
    <w:rsid w:val="009E06C2"/>
    <w:rsid w:val="009E07B8"/>
    <w:rsid w:val="009E07C2"/>
    <w:rsid w:val="009E07E1"/>
    <w:rsid w:val="009E0845"/>
    <w:rsid w:val="009E089C"/>
    <w:rsid w:val="009E08D9"/>
    <w:rsid w:val="009E0963"/>
    <w:rsid w:val="009E0A19"/>
    <w:rsid w:val="009E0A30"/>
    <w:rsid w:val="009E0A60"/>
    <w:rsid w:val="009E0A9B"/>
    <w:rsid w:val="009E0ADB"/>
    <w:rsid w:val="009E0B6D"/>
    <w:rsid w:val="009E0C4C"/>
    <w:rsid w:val="009E0CE0"/>
    <w:rsid w:val="009E0D26"/>
    <w:rsid w:val="009E0DC4"/>
    <w:rsid w:val="009E0DF4"/>
    <w:rsid w:val="009E0DFB"/>
    <w:rsid w:val="009E0FB3"/>
    <w:rsid w:val="009E12BF"/>
    <w:rsid w:val="009E134E"/>
    <w:rsid w:val="009E13D0"/>
    <w:rsid w:val="009E13D6"/>
    <w:rsid w:val="009E14AF"/>
    <w:rsid w:val="009E1502"/>
    <w:rsid w:val="009E1510"/>
    <w:rsid w:val="009E1566"/>
    <w:rsid w:val="009E1590"/>
    <w:rsid w:val="009E15D4"/>
    <w:rsid w:val="009E1783"/>
    <w:rsid w:val="009E17D8"/>
    <w:rsid w:val="009E1A56"/>
    <w:rsid w:val="009E1B71"/>
    <w:rsid w:val="009E1C66"/>
    <w:rsid w:val="009E1D18"/>
    <w:rsid w:val="009E1DCC"/>
    <w:rsid w:val="009E1DD7"/>
    <w:rsid w:val="009E1E19"/>
    <w:rsid w:val="009E1ED9"/>
    <w:rsid w:val="009E1F36"/>
    <w:rsid w:val="009E1F56"/>
    <w:rsid w:val="009E20D7"/>
    <w:rsid w:val="009E20F1"/>
    <w:rsid w:val="009E215F"/>
    <w:rsid w:val="009E216B"/>
    <w:rsid w:val="009E2177"/>
    <w:rsid w:val="009E21AD"/>
    <w:rsid w:val="009E21B7"/>
    <w:rsid w:val="009E2395"/>
    <w:rsid w:val="009E2432"/>
    <w:rsid w:val="009E25B1"/>
    <w:rsid w:val="009E2625"/>
    <w:rsid w:val="009E2671"/>
    <w:rsid w:val="009E26ED"/>
    <w:rsid w:val="009E2998"/>
    <w:rsid w:val="009E2BB4"/>
    <w:rsid w:val="009E2C22"/>
    <w:rsid w:val="009E2C3F"/>
    <w:rsid w:val="009E313F"/>
    <w:rsid w:val="009E3222"/>
    <w:rsid w:val="009E3396"/>
    <w:rsid w:val="009E33B9"/>
    <w:rsid w:val="009E33D4"/>
    <w:rsid w:val="009E342A"/>
    <w:rsid w:val="009E355D"/>
    <w:rsid w:val="009E3637"/>
    <w:rsid w:val="009E3824"/>
    <w:rsid w:val="009E3982"/>
    <w:rsid w:val="009E3A52"/>
    <w:rsid w:val="009E3AC9"/>
    <w:rsid w:val="009E3B54"/>
    <w:rsid w:val="009E3E2A"/>
    <w:rsid w:val="009E3EFF"/>
    <w:rsid w:val="009E4321"/>
    <w:rsid w:val="009E433E"/>
    <w:rsid w:val="009E4385"/>
    <w:rsid w:val="009E446B"/>
    <w:rsid w:val="009E4598"/>
    <w:rsid w:val="009E466B"/>
    <w:rsid w:val="009E48D9"/>
    <w:rsid w:val="009E48FA"/>
    <w:rsid w:val="009E49C7"/>
    <w:rsid w:val="009E4CC2"/>
    <w:rsid w:val="009E4CD9"/>
    <w:rsid w:val="009E4D9F"/>
    <w:rsid w:val="009E4EA1"/>
    <w:rsid w:val="009E4F0B"/>
    <w:rsid w:val="009E4FA0"/>
    <w:rsid w:val="009E5045"/>
    <w:rsid w:val="009E5129"/>
    <w:rsid w:val="009E5243"/>
    <w:rsid w:val="009E5244"/>
    <w:rsid w:val="009E5389"/>
    <w:rsid w:val="009E53D0"/>
    <w:rsid w:val="009E53D5"/>
    <w:rsid w:val="009E5548"/>
    <w:rsid w:val="009E554A"/>
    <w:rsid w:val="009E5558"/>
    <w:rsid w:val="009E5634"/>
    <w:rsid w:val="009E5712"/>
    <w:rsid w:val="009E5864"/>
    <w:rsid w:val="009E58D2"/>
    <w:rsid w:val="009E58F0"/>
    <w:rsid w:val="009E5930"/>
    <w:rsid w:val="009E594C"/>
    <w:rsid w:val="009E597F"/>
    <w:rsid w:val="009E59CB"/>
    <w:rsid w:val="009E5B6A"/>
    <w:rsid w:val="009E5D86"/>
    <w:rsid w:val="009E5F57"/>
    <w:rsid w:val="009E5FA7"/>
    <w:rsid w:val="009E6100"/>
    <w:rsid w:val="009E617F"/>
    <w:rsid w:val="009E6196"/>
    <w:rsid w:val="009E61F2"/>
    <w:rsid w:val="009E626A"/>
    <w:rsid w:val="009E62A2"/>
    <w:rsid w:val="009E63A2"/>
    <w:rsid w:val="009E63A7"/>
    <w:rsid w:val="009E63D1"/>
    <w:rsid w:val="009E64D8"/>
    <w:rsid w:val="009E6552"/>
    <w:rsid w:val="009E6564"/>
    <w:rsid w:val="009E67F2"/>
    <w:rsid w:val="009E6922"/>
    <w:rsid w:val="009E6974"/>
    <w:rsid w:val="009E69AA"/>
    <w:rsid w:val="009E6F83"/>
    <w:rsid w:val="009E6F89"/>
    <w:rsid w:val="009E7041"/>
    <w:rsid w:val="009E70C0"/>
    <w:rsid w:val="009E726F"/>
    <w:rsid w:val="009E72B8"/>
    <w:rsid w:val="009E72CE"/>
    <w:rsid w:val="009E7492"/>
    <w:rsid w:val="009E759B"/>
    <w:rsid w:val="009E759C"/>
    <w:rsid w:val="009E759D"/>
    <w:rsid w:val="009E764D"/>
    <w:rsid w:val="009E766A"/>
    <w:rsid w:val="009E77C0"/>
    <w:rsid w:val="009E7998"/>
    <w:rsid w:val="009E799A"/>
    <w:rsid w:val="009E79C0"/>
    <w:rsid w:val="009E7A96"/>
    <w:rsid w:val="009E7AAB"/>
    <w:rsid w:val="009E7B84"/>
    <w:rsid w:val="009E7BEE"/>
    <w:rsid w:val="009E7C1D"/>
    <w:rsid w:val="009E7CC3"/>
    <w:rsid w:val="009E7D9F"/>
    <w:rsid w:val="009E7E99"/>
    <w:rsid w:val="009E7F32"/>
    <w:rsid w:val="009E7FE5"/>
    <w:rsid w:val="009F01D6"/>
    <w:rsid w:val="009F01F8"/>
    <w:rsid w:val="009F01FD"/>
    <w:rsid w:val="009F024C"/>
    <w:rsid w:val="009F029E"/>
    <w:rsid w:val="009F03A9"/>
    <w:rsid w:val="009F041C"/>
    <w:rsid w:val="009F0528"/>
    <w:rsid w:val="009F0665"/>
    <w:rsid w:val="009F06AC"/>
    <w:rsid w:val="009F06D0"/>
    <w:rsid w:val="009F06D2"/>
    <w:rsid w:val="009F0795"/>
    <w:rsid w:val="009F083B"/>
    <w:rsid w:val="009F094E"/>
    <w:rsid w:val="009F0951"/>
    <w:rsid w:val="009F0A94"/>
    <w:rsid w:val="009F0B9F"/>
    <w:rsid w:val="009F0BBD"/>
    <w:rsid w:val="009F0BC2"/>
    <w:rsid w:val="009F0C06"/>
    <w:rsid w:val="009F0C61"/>
    <w:rsid w:val="009F0D8B"/>
    <w:rsid w:val="009F0DCD"/>
    <w:rsid w:val="009F0E24"/>
    <w:rsid w:val="009F0ECC"/>
    <w:rsid w:val="009F0F53"/>
    <w:rsid w:val="009F1074"/>
    <w:rsid w:val="009F10CB"/>
    <w:rsid w:val="009F11A7"/>
    <w:rsid w:val="009F11E6"/>
    <w:rsid w:val="009F12C6"/>
    <w:rsid w:val="009F1323"/>
    <w:rsid w:val="009F14DF"/>
    <w:rsid w:val="009F1602"/>
    <w:rsid w:val="009F1605"/>
    <w:rsid w:val="009F1624"/>
    <w:rsid w:val="009F1700"/>
    <w:rsid w:val="009F173D"/>
    <w:rsid w:val="009F17CD"/>
    <w:rsid w:val="009F1857"/>
    <w:rsid w:val="009F18F2"/>
    <w:rsid w:val="009F192E"/>
    <w:rsid w:val="009F19BD"/>
    <w:rsid w:val="009F1A27"/>
    <w:rsid w:val="009F1AD1"/>
    <w:rsid w:val="009F1D10"/>
    <w:rsid w:val="009F1D90"/>
    <w:rsid w:val="009F1E87"/>
    <w:rsid w:val="009F1F38"/>
    <w:rsid w:val="009F1F65"/>
    <w:rsid w:val="009F1FBC"/>
    <w:rsid w:val="009F20BA"/>
    <w:rsid w:val="009F20E0"/>
    <w:rsid w:val="009F21F2"/>
    <w:rsid w:val="009F21F7"/>
    <w:rsid w:val="009F22EF"/>
    <w:rsid w:val="009F2318"/>
    <w:rsid w:val="009F23C7"/>
    <w:rsid w:val="009F23E5"/>
    <w:rsid w:val="009F2463"/>
    <w:rsid w:val="009F25F8"/>
    <w:rsid w:val="009F2618"/>
    <w:rsid w:val="009F271D"/>
    <w:rsid w:val="009F274E"/>
    <w:rsid w:val="009F2960"/>
    <w:rsid w:val="009F2AD9"/>
    <w:rsid w:val="009F2B4C"/>
    <w:rsid w:val="009F2C6D"/>
    <w:rsid w:val="009F2E6F"/>
    <w:rsid w:val="009F2E70"/>
    <w:rsid w:val="009F2E89"/>
    <w:rsid w:val="009F2ED6"/>
    <w:rsid w:val="009F2EDA"/>
    <w:rsid w:val="009F2FBB"/>
    <w:rsid w:val="009F3005"/>
    <w:rsid w:val="009F3017"/>
    <w:rsid w:val="009F30B9"/>
    <w:rsid w:val="009F3130"/>
    <w:rsid w:val="009F3197"/>
    <w:rsid w:val="009F319E"/>
    <w:rsid w:val="009F31A1"/>
    <w:rsid w:val="009F33CF"/>
    <w:rsid w:val="009F3408"/>
    <w:rsid w:val="009F3460"/>
    <w:rsid w:val="009F348B"/>
    <w:rsid w:val="009F3526"/>
    <w:rsid w:val="009F36D0"/>
    <w:rsid w:val="009F3748"/>
    <w:rsid w:val="009F3787"/>
    <w:rsid w:val="009F37E0"/>
    <w:rsid w:val="009F3813"/>
    <w:rsid w:val="009F3987"/>
    <w:rsid w:val="009F39D9"/>
    <w:rsid w:val="009F3ABE"/>
    <w:rsid w:val="009F3BFB"/>
    <w:rsid w:val="009F3C4B"/>
    <w:rsid w:val="009F3C5C"/>
    <w:rsid w:val="009F3C97"/>
    <w:rsid w:val="009F3CA6"/>
    <w:rsid w:val="009F3CC8"/>
    <w:rsid w:val="009F3D85"/>
    <w:rsid w:val="009F3DCB"/>
    <w:rsid w:val="009F40CE"/>
    <w:rsid w:val="009F4127"/>
    <w:rsid w:val="009F4165"/>
    <w:rsid w:val="009F417D"/>
    <w:rsid w:val="009F41A5"/>
    <w:rsid w:val="009F41A9"/>
    <w:rsid w:val="009F4311"/>
    <w:rsid w:val="009F43B2"/>
    <w:rsid w:val="009F44A1"/>
    <w:rsid w:val="009F44B7"/>
    <w:rsid w:val="009F44ED"/>
    <w:rsid w:val="009F4561"/>
    <w:rsid w:val="009F45CD"/>
    <w:rsid w:val="009F465B"/>
    <w:rsid w:val="009F4727"/>
    <w:rsid w:val="009F4802"/>
    <w:rsid w:val="009F4907"/>
    <w:rsid w:val="009F4960"/>
    <w:rsid w:val="009F499F"/>
    <w:rsid w:val="009F49FC"/>
    <w:rsid w:val="009F4B32"/>
    <w:rsid w:val="009F4B48"/>
    <w:rsid w:val="009F4BCA"/>
    <w:rsid w:val="009F4D29"/>
    <w:rsid w:val="009F4D61"/>
    <w:rsid w:val="009F4D66"/>
    <w:rsid w:val="009F4DC3"/>
    <w:rsid w:val="009F4F33"/>
    <w:rsid w:val="009F4F4F"/>
    <w:rsid w:val="009F5190"/>
    <w:rsid w:val="009F5238"/>
    <w:rsid w:val="009F5267"/>
    <w:rsid w:val="009F5280"/>
    <w:rsid w:val="009F52CE"/>
    <w:rsid w:val="009F53F4"/>
    <w:rsid w:val="009F5499"/>
    <w:rsid w:val="009F54CA"/>
    <w:rsid w:val="009F54D7"/>
    <w:rsid w:val="009F54F6"/>
    <w:rsid w:val="009F551A"/>
    <w:rsid w:val="009F5611"/>
    <w:rsid w:val="009F5742"/>
    <w:rsid w:val="009F5779"/>
    <w:rsid w:val="009F57B2"/>
    <w:rsid w:val="009F598B"/>
    <w:rsid w:val="009F59D8"/>
    <w:rsid w:val="009F5A48"/>
    <w:rsid w:val="009F5A50"/>
    <w:rsid w:val="009F5BC2"/>
    <w:rsid w:val="009F5BE4"/>
    <w:rsid w:val="009F5D0F"/>
    <w:rsid w:val="009F5D78"/>
    <w:rsid w:val="009F5EF8"/>
    <w:rsid w:val="009F5F1B"/>
    <w:rsid w:val="009F5F6F"/>
    <w:rsid w:val="009F600C"/>
    <w:rsid w:val="009F6024"/>
    <w:rsid w:val="009F6056"/>
    <w:rsid w:val="009F6101"/>
    <w:rsid w:val="009F61E0"/>
    <w:rsid w:val="009F61E6"/>
    <w:rsid w:val="009F6212"/>
    <w:rsid w:val="009F62CD"/>
    <w:rsid w:val="009F62FE"/>
    <w:rsid w:val="009F63CE"/>
    <w:rsid w:val="009F63F5"/>
    <w:rsid w:val="009F6525"/>
    <w:rsid w:val="009F6626"/>
    <w:rsid w:val="009F66DF"/>
    <w:rsid w:val="009F6700"/>
    <w:rsid w:val="009F6822"/>
    <w:rsid w:val="009F6A6F"/>
    <w:rsid w:val="009F6B0F"/>
    <w:rsid w:val="009F6CA7"/>
    <w:rsid w:val="009F6CF9"/>
    <w:rsid w:val="009F6D9E"/>
    <w:rsid w:val="009F6DF0"/>
    <w:rsid w:val="009F6E8A"/>
    <w:rsid w:val="009F6E9A"/>
    <w:rsid w:val="009F6FB7"/>
    <w:rsid w:val="009F6FBA"/>
    <w:rsid w:val="009F7047"/>
    <w:rsid w:val="009F70DC"/>
    <w:rsid w:val="009F70EF"/>
    <w:rsid w:val="009F7225"/>
    <w:rsid w:val="009F735B"/>
    <w:rsid w:val="009F7512"/>
    <w:rsid w:val="009F753A"/>
    <w:rsid w:val="009F774D"/>
    <w:rsid w:val="009F776F"/>
    <w:rsid w:val="009F788B"/>
    <w:rsid w:val="009F788E"/>
    <w:rsid w:val="009F7DA4"/>
    <w:rsid w:val="009F7FA4"/>
    <w:rsid w:val="009F7FFB"/>
    <w:rsid w:val="00A00269"/>
    <w:rsid w:val="00A0033E"/>
    <w:rsid w:val="00A00392"/>
    <w:rsid w:val="00A003D1"/>
    <w:rsid w:val="00A00586"/>
    <w:rsid w:val="00A0076B"/>
    <w:rsid w:val="00A00908"/>
    <w:rsid w:val="00A00986"/>
    <w:rsid w:val="00A00990"/>
    <w:rsid w:val="00A00AD3"/>
    <w:rsid w:val="00A00B1A"/>
    <w:rsid w:val="00A00BEC"/>
    <w:rsid w:val="00A00BF4"/>
    <w:rsid w:val="00A00D07"/>
    <w:rsid w:val="00A00D51"/>
    <w:rsid w:val="00A00DB8"/>
    <w:rsid w:val="00A00FEC"/>
    <w:rsid w:val="00A0108D"/>
    <w:rsid w:val="00A0117E"/>
    <w:rsid w:val="00A015B4"/>
    <w:rsid w:val="00A01720"/>
    <w:rsid w:val="00A01823"/>
    <w:rsid w:val="00A0189C"/>
    <w:rsid w:val="00A01906"/>
    <w:rsid w:val="00A01AF0"/>
    <w:rsid w:val="00A01B4F"/>
    <w:rsid w:val="00A01C28"/>
    <w:rsid w:val="00A01C42"/>
    <w:rsid w:val="00A01D45"/>
    <w:rsid w:val="00A02054"/>
    <w:rsid w:val="00A02105"/>
    <w:rsid w:val="00A0211D"/>
    <w:rsid w:val="00A02206"/>
    <w:rsid w:val="00A0222B"/>
    <w:rsid w:val="00A0223B"/>
    <w:rsid w:val="00A0227B"/>
    <w:rsid w:val="00A02284"/>
    <w:rsid w:val="00A02352"/>
    <w:rsid w:val="00A0237A"/>
    <w:rsid w:val="00A023A1"/>
    <w:rsid w:val="00A023ED"/>
    <w:rsid w:val="00A0242E"/>
    <w:rsid w:val="00A02584"/>
    <w:rsid w:val="00A025A0"/>
    <w:rsid w:val="00A0287C"/>
    <w:rsid w:val="00A02909"/>
    <w:rsid w:val="00A02A30"/>
    <w:rsid w:val="00A02A7F"/>
    <w:rsid w:val="00A02B21"/>
    <w:rsid w:val="00A02C33"/>
    <w:rsid w:val="00A02CD3"/>
    <w:rsid w:val="00A02EA9"/>
    <w:rsid w:val="00A02FC1"/>
    <w:rsid w:val="00A03147"/>
    <w:rsid w:val="00A03156"/>
    <w:rsid w:val="00A0315E"/>
    <w:rsid w:val="00A0320A"/>
    <w:rsid w:val="00A03318"/>
    <w:rsid w:val="00A033A6"/>
    <w:rsid w:val="00A03418"/>
    <w:rsid w:val="00A034D8"/>
    <w:rsid w:val="00A0353E"/>
    <w:rsid w:val="00A035FE"/>
    <w:rsid w:val="00A03729"/>
    <w:rsid w:val="00A03752"/>
    <w:rsid w:val="00A038B9"/>
    <w:rsid w:val="00A03C3D"/>
    <w:rsid w:val="00A040EE"/>
    <w:rsid w:val="00A04191"/>
    <w:rsid w:val="00A041BE"/>
    <w:rsid w:val="00A04513"/>
    <w:rsid w:val="00A0452C"/>
    <w:rsid w:val="00A046C8"/>
    <w:rsid w:val="00A0480F"/>
    <w:rsid w:val="00A049BD"/>
    <w:rsid w:val="00A04B4B"/>
    <w:rsid w:val="00A04B4C"/>
    <w:rsid w:val="00A04B6D"/>
    <w:rsid w:val="00A04C1E"/>
    <w:rsid w:val="00A04C4D"/>
    <w:rsid w:val="00A04CF1"/>
    <w:rsid w:val="00A04E8C"/>
    <w:rsid w:val="00A04E90"/>
    <w:rsid w:val="00A04E95"/>
    <w:rsid w:val="00A04FE3"/>
    <w:rsid w:val="00A05039"/>
    <w:rsid w:val="00A05060"/>
    <w:rsid w:val="00A05075"/>
    <w:rsid w:val="00A050DA"/>
    <w:rsid w:val="00A051F9"/>
    <w:rsid w:val="00A0535B"/>
    <w:rsid w:val="00A05479"/>
    <w:rsid w:val="00A0558F"/>
    <w:rsid w:val="00A055D3"/>
    <w:rsid w:val="00A05847"/>
    <w:rsid w:val="00A05921"/>
    <w:rsid w:val="00A05B16"/>
    <w:rsid w:val="00A05D5B"/>
    <w:rsid w:val="00A05E46"/>
    <w:rsid w:val="00A05E52"/>
    <w:rsid w:val="00A05F1C"/>
    <w:rsid w:val="00A05F46"/>
    <w:rsid w:val="00A05FAD"/>
    <w:rsid w:val="00A06209"/>
    <w:rsid w:val="00A0631E"/>
    <w:rsid w:val="00A063AC"/>
    <w:rsid w:val="00A06448"/>
    <w:rsid w:val="00A06459"/>
    <w:rsid w:val="00A0651A"/>
    <w:rsid w:val="00A0665E"/>
    <w:rsid w:val="00A06720"/>
    <w:rsid w:val="00A0673E"/>
    <w:rsid w:val="00A06790"/>
    <w:rsid w:val="00A067DD"/>
    <w:rsid w:val="00A069BE"/>
    <w:rsid w:val="00A06AF5"/>
    <w:rsid w:val="00A06B1B"/>
    <w:rsid w:val="00A06B5B"/>
    <w:rsid w:val="00A06C48"/>
    <w:rsid w:val="00A06C4F"/>
    <w:rsid w:val="00A06CDE"/>
    <w:rsid w:val="00A06DC7"/>
    <w:rsid w:val="00A06E0F"/>
    <w:rsid w:val="00A06E7F"/>
    <w:rsid w:val="00A06F36"/>
    <w:rsid w:val="00A0720B"/>
    <w:rsid w:val="00A07285"/>
    <w:rsid w:val="00A076A4"/>
    <w:rsid w:val="00A076C4"/>
    <w:rsid w:val="00A076D1"/>
    <w:rsid w:val="00A077F8"/>
    <w:rsid w:val="00A078D7"/>
    <w:rsid w:val="00A07988"/>
    <w:rsid w:val="00A07A87"/>
    <w:rsid w:val="00A07B2B"/>
    <w:rsid w:val="00A07B75"/>
    <w:rsid w:val="00A07CD3"/>
    <w:rsid w:val="00A07D6D"/>
    <w:rsid w:val="00A07DDD"/>
    <w:rsid w:val="00A07F25"/>
    <w:rsid w:val="00A07FDD"/>
    <w:rsid w:val="00A10146"/>
    <w:rsid w:val="00A1021F"/>
    <w:rsid w:val="00A102C3"/>
    <w:rsid w:val="00A10346"/>
    <w:rsid w:val="00A1051F"/>
    <w:rsid w:val="00A1058E"/>
    <w:rsid w:val="00A105BD"/>
    <w:rsid w:val="00A107B6"/>
    <w:rsid w:val="00A10856"/>
    <w:rsid w:val="00A10BC5"/>
    <w:rsid w:val="00A10C05"/>
    <w:rsid w:val="00A10C13"/>
    <w:rsid w:val="00A10CED"/>
    <w:rsid w:val="00A10D12"/>
    <w:rsid w:val="00A10D85"/>
    <w:rsid w:val="00A10E08"/>
    <w:rsid w:val="00A11047"/>
    <w:rsid w:val="00A110C6"/>
    <w:rsid w:val="00A110E0"/>
    <w:rsid w:val="00A112A2"/>
    <w:rsid w:val="00A11310"/>
    <w:rsid w:val="00A113DB"/>
    <w:rsid w:val="00A1140E"/>
    <w:rsid w:val="00A11475"/>
    <w:rsid w:val="00A115F2"/>
    <w:rsid w:val="00A11664"/>
    <w:rsid w:val="00A11761"/>
    <w:rsid w:val="00A1191F"/>
    <w:rsid w:val="00A11999"/>
    <w:rsid w:val="00A119B2"/>
    <w:rsid w:val="00A11CE3"/>
    <w:rsid w:val="00A11D0C"/>
    <w:rsid w:val="00A11DAC"/>
    <w:rsid w:val="00A11E63"/>
    <w:rsid w:val="00A11EA8"/>
    <w:rsid w:val="00A11ED6"/>
    <w:rsid w:val="00A11F78"/>
    <w:rsid w:val="00A1205F"/>
    <w:rsid w:val="00A12262"/>
    <w:rsid w:val="00A12299"/>
    <w:rsid w:val="00A122F5"/>
    <w:rsid w:val="00A1238F"/>
    <w:rsid w:val="00A12440"/>
    <w:rsid w:val="00A1244D"/>
    <w:rsid w:val="00A1249A"/>
    <w:rsid w:val="00A12655"/>
    <w:rsid w:val="00A127E1"/>
    <w:rsid w:val="00A128DE"/>
    <w:rsid w:val="00A12906"/>
    <w:rsid w:val="00A12917"/>
    <w:rsid w:val="00A1291C"/>
    <w:rsid w:val="00A12992"/>
    <w:rsid w:val="00A12A1E"/>
    <w:rsid w:val="00A12A9C"/>
    <w:rsid w:val="00A12B40"/>
    <w:rsid w:val="00A12B4B"/>
    <w:rsid w:val="00A12C6E"/>
    <w:rsid w:val="00A12E36"/>
    <w:rsid w:val="00A12F29"/>
    <w:rsid w:val="00A12F36"/>
    <w:rsid w:val="00A12FC1"/>
    <w:rsid w:val="00A1314C"/>
    <w:rsid w:val="00A131ED"/>
    <w:rsid w:val="00A131F8"/>
    <w:rsid w:val="00A13205"/>
    <w:rsid w:val="00A132B1"/>
    <w:rsid w:val="00A132C0"/>
    <w:rsid w:val="00A13398"/>
    <w:rsid w:val="00A133A5"/>
    <w:rsid w:val="00A1347E"/>
    <w:rsid w:val="00A134DA"/>
    <w:rsid w:val="00A134F8"/>
    <w:rsid w:val="00A134F9"/>
    <w:rsid w:val="00A13539"/>
    <w:rsid w:val="00A135CC"/>
    <w:rsid w:val="00A136B5"/>
    <w:rsid w:val="00A137BC"/>
    <w:rsid w:val="00A13817"/>
    <w:rsid w:val="00A13BC4"/>
    <w:rsid w:val="00A13D96"/>
    <w:rsid w:val="00A13DA8"/>
    <w:rsid w:val="00A13E50"/>
    <w:rsid w:val="00A13F92"/>
    <w:rsid w:val="00A13FE8"/>
    <w:rsid w:val="00A1407C"/>
    <w:rsid w:val="00A140C3"/>
    <w:rsid w:val="00A141C4"/>
    <w:rsid w:val="00A1420F"/>
    <w:rsid w:val="00A1429A"/>
    <w:rsid w:val="00A14304"/>
    <w:rsid w:val="00A14397"/>
    <w:rsid w:val="00A1445E"/>
    <w:rsid w:val="00A145A7"/>
    <w:rsid w:val="00A14674"/>
    <w:rsid w:val="00A14849"/>
    <w:rsid w:val="00A1499E"/>
    <w:rsid w:val="00A149BF"/>
    <w:rsid w:val="00A149CA"/>
    <w:rsid w:val="00A149E5"/>
    <w:rsid w:val="00A14C10"/>
    <w:rsid w:val="00A14E80"/>
    <w:rsid w:val="00A14F62"/>
    <w:rsid w:val="00A14F86"/>
    <w:rsid w:val="00A1500E"/>
    <w:rsid w:val="00A15040"/>
    <w:rsid w:val="00A15075"/>
    <w:rsid w:val="00A15136"/>
    <w:rsid w:val="00A1527F"/>
    <w:rsid w:val="00A15311"/>
    <w:rsid w:val="00A153A5"/>
    <w:rsid w:val="00A15443"/>
    <w:rsid w:val="00A15595"/>
    <w:rsid w:val="00A155AB"/>
    <w:rsid w:val="00A155E5"/>
    <w:rsid w:val="00A15631"/>
    <w:rsid w:val="00A156EB"/>
    <w:rsid w:val="00A15829"/>
    <w:rsid w:val="00A15880"/>
    <w:rsid w:val="00A15921"/>
    <w:rsid w:val="00A15B43"/>
    <w:rsid w:val="00A15B5A"/>
    <w:rsid w:val="00A15BA8"/>
    <w:rsid w:val="00A15C2C"/>
    <w:rsid w:val="00A15D5D"/>
    <w:rsid w:val="00A15E63"/>
    <w:rsid w:val="00A15F7E"/>
    <w:rsid w:val="00A1600A"/>
    <w:rsid w:val="00A16059"/>
    <w:rsid w:val="00A1606C"/>
    <w:rsid w:val="00A160E9"/>
    <w:rsid w:val="00A16115"/>
    <w:rsid w:val="00A1631D"/>
    <w:rsid w:val="00A16380"/>
    <w:rsid w:val="00A16570"/>
    <w:rsid w:val="00A16603"/>
    <w:rsid w:val="00A166DF"/>
    <w:rsid w:val="00A1677D"/>
    <w:rsid w:val="00A167E0"/>
    <w:rsid w:val="00A167E6"/>
    <w:rsid w:val="00A16836"/>
    <w:rsid w:val="00A168C2"/>
    <w:rsid w:val="00A16964"/>
    <w:rsid w:val="00A169C1"/>
    <w:rsid w:val="00A16A0A"/>
    <w:rsid w:val="00A16BE7"/>
    <w:rsid w:val="00A16CC4"/>
    <w:rsid w:val="00A16FE7"/>
    <w:rsid w:val="00A17081"/>
    <w:rsid w:val="00A17094"/>
    <w:rsid w:val="00A17176"/>
    <w:rsid w:val="00A17218"/>
    <w:rsid w:val="00A17311"/>
    <w:rsid w:val="00A1732D"/>
    <w:rsid w:val="00A17333"/>
    <w:rsid w:val="00A174D5"/>
    <w:rsid w:val="00A17529"/>
    <w:rsid w:val="00A17543"/>
    <w:rsid w:val="00A176DE"/>
    <w:rsid w:val="00A17769"/>
    <w:rsid w:val="00A177D2"/>
    <w:rsid w:val="00A1794F"/>
    <w:rsid w:val="00A17975"/>
    <w:rsid w:val="00A1798D"/>
    <w:rsid w:val="00A179E3"/>
    <w:rsid w:val="00A17C20"/>
    <w:rsid w:val="00A17CF0"/>
    <w:rsid w:val="00A17D5F"/>
    <w:rsid w:val="00A17E67"/>
    <w:rsid w:val="00A17F2A"/>
    <w:rsid w:val="00A20093"/>
    <w:rsid w:val="00A20247"/>
    <w:rsid w:val="00A2043A"/>
    <w:rsid w:val="00A20458"/>
    <w:rsid w:val="00A204C6"/>
    <w:rsid w:val="00A2054D"/>
    <w:rsid w:val="00A20557"/>
    <w:rsid w:val="00A205D0"/>
    <w:rsid w:val="00A205D9"/>
    <w:rsid w:val="00A20698"/>
    <w:rsid w:val="00A206EC"/>
    <w:rsid w:val="00A20766"/>
    <w:rsid w:val="00A20845"/>
    <w:rsid w:val="00A208E9"/>
    <w:rsid w:val="00A20AA8"/>
    <w:rsid w:val="00A20B94"/>
    <w:rsid w:val="00A20D78"/>
    <w:rsid w:val="00A20EC2"/>
    <w:rsid w:val="00A2115C"/>
    <w:rsid w:val="00A212C1"/>
    <w:rsid w:val="00A214B7"/>
    <w:rsid w:val="00A21633"/>
    <w:rsid w:val="00A216B8"/>
    <w:rsid w:val="00A21A3E"/>
    <w:rsid w:val="00A21ABE"/>
    <w:rsid w:val="00A21C7B"/>
    <w:rsid w:val="00A21D30"/>
    <w:rsid w:val="00A21D67"/>
    <w:rsid w:val="00A21E5B"/>
    <w:rsid w:val="00A21E72"/>
    <w:rsid w:val="00A21EA2"/>
    <w:rsid w:val="00A21ED1"/>
    <w:rsid w:val="00A2214E"/>
    <w:rsid w:val="00A22215"/>
    <w:rsid w:val="00A22227"/>
    <w:rsid w:val="00A222B4"/>
    <w:rsid w:val="00A222FE"/>
    <w:rsid w:val="00A2241A"/>
    <w:rsid w:val="00A2244D"/>
    <w:rsid w:val="00A225F7"/>
    <w:rsid w:val="00A22670"/>
    <w:rsid w:val="00A226C6"/>
    <w:rsid w:val="00A226D2"/>
    <w:rsid w:val="00A226D5"/>
    <w:rsid w:val="00A226D6"/>
    <w:rsid w:val="00A226F9"/>
    <w:rsid w:val="00A228CE"/>
    <w:rsid w:val="00A2290F"/>
    <w:rsid w:val="00A2291E"/>
    <w:rsid w:val="00A22933"/>
    <w:rsid w:val="00A2296E"/>
    <w:rsid w:val="00A22A7C"/>
    <w:rsid w:val="00A22BAB"/>
    <w:rsid w:val="00A22BCE"/>
    <w:rsid w:val="00A22C10"/>
    <w:rsid w:val="00A22D56"/>
    <w:rsid w:val="00A22D89"/>
    <w:rsid w:val="00A22DBC"/>
    <w:rsid w:val="00A22E14"/>
    <w:rsid w:val="00A22E26"/>
    <w:rsid w:val="00A22F65"/>
    <w:rsid w:val="00A2300A"/>
    <w:rsid w:val="00A2305E"/>
    <w:rsid w:val="00A23258"/>
    <w:rsid w:val="00A2333B"/>
    <w:rsid w:val="00A23452"/>
    <w:rsid w:val="00A234BB"/>
    <w:rsid w:val="00A2351D"/>
    <w:rsid w:val="00A2360D"/>
    <w:rsid w:val="00A2364D"/>
    <w:rsid w:val="00A2367A"/>
    <w:rsid w:val="00A23700"/>
    <w:rsid w:val="00A2379B"/>
    <w:rsid w:val="00A239BE"/>
    <w:rsid w:val="00A23A7C"/>
    <w:rsid w:val="00A23BE1"/>
    <w:rsid w:val="00A23C9B"/>
    <w:rsid w:val="00A23CCD"/>
    <w:rsid w:val="00A23D64"/>
    <w:rsid w:val="00A23F88"/>
    <w:rsid w:val="00A2415F"/>
    <w:rsid w:val="00A2417B"/>
    <w:rsid w:val="00A24185"/>
    <w:rsid w:val="00A24317"/>
    <w:rsid w:val="00A2455B"/>
    <w:rsid w:val="00A24577"/>
    <w:rsid w:val="00A24724"/>
    <w:rsid w:val="00A2490C"/>
    <w:rsid w:val="00A24A4A"/>
    <w:rsid w:val="00A24AB4"/>
    <w:rsid w:val="00A24B13"/>
    <w:rsid w:val="00A24B7A"/>
    <w:rsid w:val="00A24BA3"/>
    <w:rsid w:val="00A24BF4"/>
    <w:rsid w:val="00A24CD3"/>
    <w:rsid w:val="00A24DF8"/>
    <w:rsid w:val="00A24F1B"/>
    <w:rsid w:val="00A24F65"/>
    <w:rsid w:val="00A25048"/>
    <w:rsid w:val="00A250E4"/>
    <w:rsid w:val="00A252E7"/>
    <w:rsid w:val="00A25368"/>
    <w:rsid w:val="00A253A5"/>
    <w:rsid w:val="00A25551"/>
    <w:rsid w:val="00A257B8"/>
    <w:rsid w:val="00A25B7D"/>
    <w:rsid w:val="00A25BE3"/>
    <w:rsid w:val="00A25E46"/>
    <w:rsid w:val="00A25E8F"/>
    <w:rsid w:val="00A25E9C"/>
    <w:rsid w:val="00A25FF1"/>
    <w:rsid w:val="00A260C2"/>
    <w:rsid w:val="00A261A3"/>
    <w:rsid w:val="00A262F4"/>
    <w:rsid w:val="00A26329"/>
    <w:rsid w:val="00A26400"/>
    <w:rsid w:val="00A26432"/>
    <w:rsid w:val="00A2652A"/>
    <w:rsid w:val="00A26555"/>
    <w:rsid w:val="00A26574"/>
    <w:rsid w:val="00A266C7"/>
    <w:rsid w:val="00A2673F"/>
    <w:rsid w:val="00A26780"/>
    <w:rsid w:val="00A267A9"/>
    <w:rsid w:val="00A267E4"/>
    <w:rsid w:val="00A268AC"/>
    <w:rsid w:val="00A268B5"/>
    <w:rsid w:val="00A26982"/>
    <w:rsid w:val="00A269AE"/>
    <w:rsid w:val="00A269C8"/>
    <w:rsid w:val="00A26A82"/>
    <w:rsid w:val="00A26B73"/>
    <w:rsid w:val="00A26BEF"/>
    <w:rsid w:val="00A26C80"/>
    <w:rsid w:val="00A26D9E"/>
    <w:rsid w:val="00A26F12"/>
    <w:rsid w:val="00A26FE6"/>
    <w:rsid w:val="00A27053"/>
    <w:rsid w:val="00A2713A"/>
    <w:rsid w:val="00A27238"/>
    <w:rsid w:val="00A2737E"/>
    <w:rsid w:val="00A27394"/>
    <w:rsid w:val="00A273A4"/>
    <w:rsid w:val="00A27448"/>
    <w:rsid w:val="00A275B1"/>
    <w:rsid w:val="00A27623"/>
    <w:rsid w:val="00A2770B"/>
    <w:rsid w:val="00A278AA"/>
    <w:rsid w:val="00A278E9"/>
    <w:rsid w:val="00A27942"/>
    <w:rsid w:val="00A279D2"/>
    <w:rsid w:val="00A27A45"/>
    <w:rsid w:val="00A27D48"/>
    <w:rsid w:val="00A27D7D"/>
    <w:rsid w:val="00A27D82"/>
    <w:rsid w:val="00A27E88"/>
    <w:rsid w:val="00A27F7E"/>
    <w:rsid w:val="00A300E8"/>
    <w:rsid w:val="00A30303"/>
    <w:rsid w:val="00A304B5"/>
    <w:rsid w:val="00A304E2"/>
    <w:rsid w:val="00A30564"/>
    <w:rsid w:val="00A305A7"/>
    <w:rsid w:val="00A306B2"/>
    <w:rsid w:val="00A3083C"/>
    <w:rsid w:val="00A3083F"/>
    <w:rsid w:val="00A308C8"/>
    <w:rsid w:val="00A30A43"/>
    <w:rsid w:val="00A30B94"/>
    <w:rsid w:val="00A30B9D"/>
    <w:rsid w:val="00A30BB7"/>
    <w:rsid w:val="00A30BFB"/>
    <w:rsid w:val="00A30C03"/>
    <w:rsid w:val="00A30C61"/>
    <w:rsid w:val="00A30D00"/>
    <w:rsid w:val="00A30E30"/>
    <w:rsid w:val="00A30E74"/>
    <w:rsid w:val="00A30F6A"/>
    <w:rsid w:val="00A30FAA"/>
    <w:rsid w:val="00A31023"/>
    <w:rsid w:val="00A31026"/>
    <w:rsid w:val="00A3122E"/>
    <w:rsid w:val="00A31271"/>
    <w:rsid w:val="00A312B5"/>
    <w:rsid w:val="00A3143D"/>
    <w:rsid w:val="00A31444"/>
    <w:rsid w:val="00A31477"/>
    <w:rsid w:val="00A314DB"/>
    <w:rsid w:val="00A31518"/>
    <w:rsid w:val="00A31536"/>
    <w:rsid w:val="00A31543"/>
    <w:rsid w:val="00A31601"/>
    <w:rsid w:val="00A3171B"/>
    <w:rsid w:val="00A3172D"/>
    <w:rsid w:val="00A317BC"/>
    <w:rsid w:val="00A317D0"/>
    <w:rsid w:val="00A318E7"/>
    <w:rsid w:val="00A31997"/>
    <w:rsid w:val="00A31A7C"/>
    <w:rsid w:val="00A31A97"/>
    <w:rsid w:val="00A31B03"/>
    <w:rsid w:val="00A31B0C"/>
    <w:rsid w:val="00A31B2A"/>
    <w:rsid w:val="00A31B54"/>
    <w:rsid w:val="00A31BF9"/>
    <w:rsid w:val="00A31D8D"/>
    <w:rsid w:val="00A31E98"/>
    <w:rsid w:val="00A31F1E"/>
    <w:rsid w:val="00A32023"/>
    <w:rsid w:val="00A3211D"/>
    <w:rsid w:val="00A321E8"/>
    <w:rsid w:val="00A321FF"/>
    <w:rsid w:val="00A32397"/>
    <w:rsid w:val="00A32399"/>
    <w:rsid w:val="00A3265E"/>
    <w:rsid w:val="00A326A0"/>
    <w:rsid w:val="00A3271F"/>
    <w:rsid w:val="00A3280D"/>
    <w:rsid w:val="00A32884"/>
    <w:rsid w:val="00A328EF"/>
    <w:rsid w:val="00A32A05"/>
    <w:rsid w:val="00A32B4A"/>
    <w:rsid w:val="00A32C02"/>
    <w:rsid w:val="00A32C23"/>
    <w:rsid w:val="00A32F1A"/>
    <w:rsid w:val="00A32F21"/>
    <w:rsid w:val="00A32F38"/>
    <w:rsid w:val="00A32F9A"/>
    <w:rsid w:val="00A32F9F"/>
    <w:rsid w:val="00A3302A"/>
    <w:rsid w:val="00A330BD"/>
    <w:rsid w:val="00A330F0"/>
    <w:rsid w:val="00A3311D"/>
    <w:rsid w:val="00A331C9"/>
    <w:rsid w:val="00A331E0"/>
    <w:rsid w:val="00A33243"/>
    <w:rsid w:val="00A332B6"/>
    <w:rsid w:val="00A332C0"/>
    <w:rsid w:val="00A332C4"/>
    <w:rsid w:val="00A33348"/>
    <w:rsid w:val="00A333BF"/>
    <w:rsid w:val="00A33411"/>
    <w:rsid w:val="00A336C6"/>
    <w:rsid w:val="00A33724"/>
    <w:rsid w:val="00A338DA"/>
    <w:rsid w:val="00A33A71"/>
    <w:rsid w:val="00A33A8C"/>
    <w:rsid w:val="00A33BE1"/>
    <w:rsid w:val="00A33C25"/>
    <w:rsid w:val="00A33C39"/>
    <w:rsid w:val="00A33CB1"/>
    <w:rsid w:val="00A33F68"/>
    <w:rsid w:val="00A33FC3"/>
    <w:rsid w:val="00A34106"/>
    <w:rsid w:val="00A3416F"/>
    <w:rsid w:val="00A34277"/>
    <w:rsid w:val="00A3437F"/>
    <w:rsid w:val="00A3453F"/>
    <w:rsid w:val="00A346C1"/>
    <w:rsid w:val="00A34782"/>
    <w:rsid w:val="00A34884"/>
    <w:rsid w:val="00A3499E"/>
    <w:rsid w:val="00A34A14"/>
    <w:rsid w:val="00A34A5A"/>
    <w:rsid w:val="00A34A85"/>
    <w:rsid w:val="00A34AE8"/>
    <w:rsid w:val="00A34B46"/>
    <w:rsid w:val="00A34C01"/>
    <w:rsid w:val="00A34D5E"/>
    <w:rsid w:val="00A34F92"/>
    <w:rsid w:val="00A34F94"/>
    <w:rsid w:val="00A35006"/>
    <w:rsid w:val="00A35052"/>
    <w:rsid w:val="00A35116"/>
    <w:rsid w:val="00A3522D"/>
    <w:rsid w:val="00A35236"/>
    <w:rsid w:val="00A352E4"/>
    <w:rsid w:val="00A3537A"/>
    <w:rsid w:val="00A353D3"/>
    <w:rsid w:val="00A35487"/>
    <w:rsid w:val="00A3548E"/>
    <w:rsid w:val="00A35490"/>
    <w:rsid w:val="00A354AB"/>
    <w:rsid w:val="00A354DE"/>
    <w:rsid w:val="00A355A9"/>
    <w:rsid w:val="00A356F3"/>
    <w:rsid w:val="00A3573A"/>
    <w:rsid w:val="00A35837"/>
    <w:rsid w:val="00A35887"/>
    <w:rsid w:val="00A35A61"/>
    <w:rsid w:val="00A35AE2"/>
    <w:rsid w:val="00A35B15"/>
    <w:rsid w:val="00A35BAA"/>
    <w:rsid w:val="00A35CAC"/>
    <w:rsid w:val="00A35D6E"/>
    <w:rsid w:val="00A35DC5"/>
    <w:rsid w:val="00A35DE7"/>
    <w:rsid w:val="00A35E0E"/>
    <w:rsid w:val="00A35E92"/>
    <w:rsid w:val="00A35EC5"/>
    <w:rsid w:val="00A36152"/>
    <w:rsid w:val="00A361B2"/>
    <w:rsid w:val="00A3630B"/>
    <w:rsid w:val="00A3633D"/>
    <w:rsid w:val="00A3635D"/>
    <w:rsid w:val="00A363A7"/>
    <w:rsid w:val="00A3650F"/>
    <w:rsid w:val="00A36637"/>
    <w:rsid w:val="00A36761"/>
    <w:rsid w:val="00A367F1"/>
    <w:rsid w:val="00A36835"/>
    <w:rsid w:val="00A36864"/>
    <w:rsid w:val="00A36880"/>
    <w:rsid w:val="00A3698D"/>
    <w:rsid w:val="00A36997"/>
    <w:rsid w:val="00A369D9"/>
    <w:rsid w:val="00A36B2D"/>
    <w:rsid w:val="00A36C77"/>
    <w:rsid w:val="00A36C79"/>
    <w:rsid w:val="00A36CCE"/>
    <w:rsid w:val="00A36CE8"/>
    <w:rsid w:val="00A36E15"/>
    <w:rsid w:val="00A36E27"/>
    <w:rsid w:val="00A36E29"/>
    <w:rsid w:val="00A37059"/>
    <w:rsid w:val="00A370F2"/>
    <w:rsid w:val="00A3711E"/>
    <w:rsid w:val="00A3713D"/>
    <w:rsid w:val="00A3716C"/>
    <w:rsid w:val="00A3719B"/>
    <w:rsid w:val="00A371CC"/>
    <w:rsid w:val="00A371D7"/>
    <w:rsid w:val="00A3724D"/>
    <w:rsid w:val="00A37355"/>
    <w:rsid w:val="00A37380"/>
    <w:rsid w:val="00A37454"/>
    <w:rsid w:val="00A3747B"/>
    <w:rsid w:val="00A3751E"/>
    <w:rsid w:val="00A37550"/>
    <w:rsid w:val="00A37582"/>
    <w:rsid w:val="00A375A8"/>
    <w:rsid w:val="00A376D5"/>
    <w:rsid w:val="00A376DE"/>
    <w:rsid w:val="00A376E7"/>
    <w:rsid w:val="00A377A9"/>
    <w:rsid w:val="00A37911"/>
    <w:rsid w:val="00A37913"/>
    <w:rsid w:val="00A3793F"/>
    <w:rsid w:val="00A379A4"/>
    <w:rsid w:val="00A37A87"/>
    <w:rsid w:val="00A37CDD"/>
    <w:rsid w:val="00A37D83"/>
    <w:rsid w:val="00A37DF3"/>
    <w:rsid w:val="00A37E49"/>
    <w:rsid w:val="00A37EC1"/>
    <w:rsid w:val="00A37FC4"/>
    <w:rsid w:val="00A400B2"/>
    <w:rsid w:val="00A40103"/>
    <w:rsid w:val="00A4012A"/>
    <w:rsid w:val="00A403C8"/>
    <w:rsid w:val="00A4044C"/>
    <w:rsid w:val="00A404BE"/>
    <w:rsid w:val="00A40550"/>
    <w:rsid w:val="00A40798"/>
    <w:rsid w:val="00A409C6"/>
    <w:rsid w:val="00A40B2A"/>
    <w:rsid w:val="00A40C0F"/>
    <w:rsid w:val="00A40C18"/>
    <w:rsid w:val="00A40C5D"/>
    <w:rsid w:val="00A40C8C"/>
    <w:rsid w:val="00A40CF8"/>
    <w:rsid w:val="00A40D85"/>
    <w:rsid w:val="00A40D8A"/>
    <w:rsid w:val="00A40E82"/>
    <w:rsid w:val="00A40EAE"/>
    <w:rsid w:val="00A40F49"/>
    <w:rsid w:val="00A40F56"/>
    <w:rsid w:val="00A40FDF"/>
    <w:rsid w:val="00A411F1"/>
    <w:rsid w:val="00A41268"/>
    <w:rsid w:val="00A41354"/>
    <w:rsid w:val="00A4143B"/>
    <w:rsid w:val="00A41546"/>
    <w:rsid w:val="00A41721"/>
    <w:rsid w:val="00A41888"/>
    <w:rsid w:val="00A418CB"/>
    <w:rsid w:val="00A4194C"/>
    <w:rsid w:val="00A419B2"/>
    <w:rsid w:val="00A419B8"/>
    <w:rsid w:val="00A419D3"/>
    <w:rsid w:val="00A41D59"/>
    <w:rsid w:val="00A41E1C"/>
    <w:rsid w:val="00A41E54"/>
    <w:rsid w:val="00A420F5"/>
    <w:rsid w:val="00A4228B"/>
    <w:rsid w:val="00A4230E"/>
    <w:rsid w:val="00A4235A"/>
    <w:rsid w:val="00A42438"/>
    <w:rsid w:val="00A4243D"/>
    <w:rsid w:val="00A4244C"/>
    <w:rsid w:val="00A42544"/>
    <w:rsid w:val="00A42741"/>
    <w:rsid w:val="00A4274F"/>
    <w:rsid w:val="00A42970"/>
    <w:rsid w:val="00A42A38"/>
    <w:rsid w:val="00A42D3B"/>
    <w:rsid w:val="00A42E17"/>
    <w:rsid w:val="00A42E58"/>
    <w:rsid w:val="00A42FBD"/>
    <w:rsid w:val="00A42FF8"/>
    <w:rsid w:val="00A430DB"/>
    <w:rsid w:val="00A43248"/>
    <w:rsid w:val="00A432CF"/>
    <w:rsid w:val="00A43375"/>
    <w:rsid w:val="00A4343B"/>
    <w:rsid w:val="00A4359A"/>
    <w:rsid w:val="00A43696"/>
    <w:rsid w:val="00A4380C"/>
    <w:rsid w:val="00A438A2"/>
    <w:rsid w:val="00A439E1"/>
    <w:rsid w:val="00A43A0F"/>
    <w:rsid w:val="00A43A20"/>
    <w:rsid w:val="00A43A33"/>
    <w:rsid w:val="00A43B38"/>
    <w:rsid w:val="00A43B6A"/>
    <w:rsid w:val="00A43B76"/>
    <w:rsid w:val="00A43BE3"/>
    <w:rsid w:val="00A43E1F"/>
    <w:rsid w:val="00A43E5A"/>
    <w:rsid w:val="00A43EFC"/>
    <w:rsid w:val="00A43F3D"/>
    <w:rsid w:val="00A4400D"/>
    <w:rsid w:val="00A44054"/>
    <w:rsid w:val="00A440CF"/>
    <w:rsid w:val="00A4417B"/>
    <w:rsid w:val="00A443DE"/>
    <w:rsid w:val="00A444C0"/>
    <w:rsid w:val="00A444C6"/>
    <w:rsid w:val="00A444CD"/>
    <w:rsid w:val="00A445C5"/>
    <w:rsid w:val="00A44632"/>
    <w:rsid w:val="00A4465C"/>
    <w:rsid w:val="00A446DF"/>
    <w:rsid w:val="00A44735"/>
    <w:rsid w:val="00A44782"/>
    <w:rsid w:val="00A44835"/>
    <w:rsid w:val="00A4483D"/>
    <w:rsid w:val="00A44841"/>
    <w:rsid w:val="00A44880"/>
    <w:rsid w:val="00A448E7"/>
    <w:rsid w:val="00A44935"/>
    <w:rsid w:val="00A44AC0"/>
    <w:rsid w:val="00A44B77"/>
    <w:rsid w:val="00A44C04"/>
    <w:rsid w:val="00A44CD1"/>
    <w:rsid w:val="00A44CFC"/>
    <w:rsid w:val="00A44F03"/>
    <w:rsid w:val="00A4506C"/>
    <w:rsid w:val="00A45076"/>
    <w:rsid w:val="00A451DB"/>
    <w:rsid w:val="00A452B7"/>
    <w:rsid w:val="00A45317"/>
    <w:rsid w:val="00A4549C"/>
    <w:rsid w:val="00A4566C"/>
    <w:rsid w:val="00A45739"/>
    <w:rsid w:val="00A45768"/>
    <w:rsid w:val="00A4578E"/>
    <w:rsid w:val="00A45950"/>
    <w:rsid w:val="00A4596D"/>
    <w:rsid w:val="00A45AC6"/>
    <w:rsid w:val="00A45B05"/>
    <w:rsid w:val="00A45CB1"/>
    <w:rsid w:val="00A45CC7"/>
    <w:rsid w:val="00A45CD9"/>
    <w:rsid w:val="00A45E41"/>
    <w:rsid w:val="00A45E79"/>
    <w:rsid w:val="00A45EFC"/>
    <w:rsid w:val="00A45F7F"/>
    <w:rsid w:val="00A46019"/>
    <w:rsid w:val="00A46041"/>
    <w:rsid w:val="00A46042"/>
    <w:rsid w:val="00A460DD"/>
    <w:rsid w:val="00A463D9"/>
    <w:rsid w:val="00A4650E"/>
    <w:rsid w:val="00A46657"/>
    <w:rsid w:val="00A46684"/>
    <w:rsid w:val="00A46AA6"/>
    <w:rsid w:val="00A46AF4"/>
    <w:rsid w:val="00A46BA4"/>
    <w:rsid w:val="00A46BC1"/>
    <w:rsid w:val="00A46BFC"/>
    <w:rsid w:val="00A46C41"/>
    <w:rsid w:val="00A46C6B"/>
    <w:rsid w:val="00A46CDF"/>
    <w:rsid w:val="00A46CE6"/>
    <w:rsid w:val="00A46D09"/>
    <w:rsid w:val="00A46F67"/>
    <w:rsid w:val="00A46FDD"/>
    <w:rsid w:val="00A47120"/>
    <w:rsid w:val="00A47130"/>
    <w:rsid w:val="00A47384"/>
    <w:rsid w:val="00A4742B"/>
    <w:rsid w:val="00A4757D"/>
    <w:rsid w:val="00A475EF"/>
    <w:rsid w:val="00A47667"/>
    <w:rsid w:val="00A47753"/>
    <w:rsid w:val="00A47823"/>
    <w:rsid w:val="00A4789A"/>
    <w:rsid w:val="00A47977"/>
    <w:rsid w:val="00A479A8"/>
    <w:rsid w:val="00A47A47"/>
    <w:rsid w:val="00A47ADF"/>
    <w:rsid w:val="00A47BBD"/>
    <w:rsid w:val="00A47DB5"/>
    <w:rsid w:val="00A47DC6"/>
    <w:rsid w:val="00A47E99"/>
    <w:rsid w:val="00A47F9F"/>
    <w:rsid w:val="00A50041"/>
    <w:rsid w:val="00A5010D"/>
    <w:rsid w:val="00A50127"/>
    <w:rsid w:val="00A50133"/>
    <w:rsid w:val="00A50157"/>
    <w:rsid w:val="00A5017A"/>
    <w:rsid w:val="00A502B3"/>
    <w:rsid w:val="00A502BE"/>
    <w:rsid w:val="00A50345"/>
    <w:rsid w:val="00A504F8"/>
    <w:rsid w:val="00A5054E"/>
    <w:rsid w:val="00A505A5"/>
    <w:rsid w:val="00A505BC"/>
    <w:rsid w:val="00A5060D"/>
    <w:rsid w:val="00A50617"/>
    <w:rsid w:val="00A50827"/>
    <w:rsid w:val="00A508A1"/>
    <w:rsid w:val="00A50B20"/>
    <w:rsid w:val="00A50B79"/>
    <w:rsid w:val="00A50DF9"/>
    <w:rsid w:val="00A50EEF"/>
    <w:rsid w:val="00A50F57"/>
    <w:rsid w:val="00A5105B"/>
    <w:rsid w:val="00A510C3"/>
    <w:rsid w:val="00A510E2"/>
    <w:rsid w:val="00A512B7"/>
    <w:rsid w:val="00A512CC"/>
    <w:rsid w:val="00A51394"/>
    <w:rsid w:val="00A513FF"/>
    <w:rsid w:val="00A514E5"/>
    <w:rsid w:val="00A515A4"/>
    <w:rsid w:val="00A515F0"/>
    <w:rsid w:val="00A5167D"/>
    <w:rsid w:val="00A5170A"/>
    <w:rsid w:val="00A5174B"/>
    <w:rsid w:val="00A51860"/>
    <w:rsid w:val="00A518AF"/>
    <w:rsid w:val="00A51B46"/>
    <w:rsid w:val="00A51B6C"/>
    <w:rsid w:val="00A51CC9"/>
    <w:rsid w:val="00A51FDA"/>
    <w:rsid w:val="00A52098"/>
    <w:rsid w:val="00A520FA"/>
    <w:rsid w:val="00A5212F"/>
    <w:rsid w:val="00A523DF"/>
    <w:rsid w:val="00A52454"/>
    <w:rsid w:val="00A524E1"/>
    <w:rsid w:val="00A525D7"/>
    <w:rsid w:val="00A526AF"/>
    <w:rsid w:val="00A526D3"/>
    <w:rsid w:val="00A526E0"/>
    <w:rsid w:val="00A52711"/>
    <w:rsid w:val="00A5285D"/>
    <w:rsid w:val="00A52A22"/>
    <w:rsid w:val="00A52A36"/>
    <w:rsid w:val="00A52AF5"/>
    <w:rsid w:val="00A52CA7"/>
    <w:rsid w:val="00A52D11"/>
    <w:rsid w:val="00A52E0B"/>
    <w:rsid w:val="00A52E23"/>
    <w:rsid w:val="00A530D7"/>
    <w:rsid w:val="00A53112"/>
    <w:rsid w:val="00A531DD"/>
    <w:rsid w:val="00A53221"/>
    <w:rsid w:val="00A53255"/>
    <w:rsid w:val="00A533C5"/>
    <w:rsid w:val="00A533F5"/>
    <w:rsid w:val="00A5341B"/>
    <w:rsid w:val="00A53587"/>
    <w:rsid w:val="00A535E2"/>
    <w:rsid w:val="00A53733"/>
    <w:rsid w:val="00A53746"/>
    <w:rsid w:val="00A537C6"/>
    <w:rsid w:val="00A537E5"/>
    <w:rsid w:val="00A539CC"/>
    <w:rsid w:val="00A53A4C"/>
    <w:rsid w:val="00A53A75"/>
    <w:rsid w:val="00A53A96"/>
    <w:rsid w:val="00A53C2B"/>
    <w:rsid w:val="00A53CE4"/>
    <w:rsid w:val="00A53D1D"/>
    <w:rsid w:val="00A53D2F"/>
    <w:rsid w:val="00A53DF9"/>
    <w:rsid w:val="00A53E5F"/>
    <w:rsid w:val="00A53ECE"/>
    <w:rsid w:val="00A53F20"/>
    <w:rsid w:val="00A53FC6"/>
    <w:rsid w:val="00A5408C"/>
    <w:rsid w:val="00A5410E"/>
    <w:rsid w:val="00A54155"/>
    <w:rsid w:val="00A5417D"/>
    <w:rsid w:val="00A5420D"/>
    <w:rsid w:val="00A542C9"/>
    <w:rsid w:val="00A542FD"/>
    <w:rsid w:val="00A54343"/>
    <w:rsid w:val="00A54441"/>
    <w:rsid w:val="00A54454"/>
    <w:rsid w:val="00A544C3"/>
    <w:rsid w:val="00A54518"/>
    <w:rsid w:val="00A54697"/>
    <w:rsid w:val="00A546A5"/>
    <w:rsid w:val="00A54737"/>
    <w:rsid w:val="00A5479B"/>
    <w:rsid w:val="00A547CF"/>
    <w:rsid w:val="00A54868"/>
    <w:rsid w:val="00A54885"/>
    <w:rsid w:val="00A54933"/>
    <w:rsid w:val="00A54BAA"/>
    <w:rsid w:val="00A54C36"/>
    <w:rsid w:val="00A54F67"/>
    <w:rsid w:val="00A54F84"/>
    <w:rsid w:val="00A54FDB"/>
    <w:rsid w:val="00A55164"/>
    <w:rsid w:val="00A5522E"/>
    <w:rsid w:val="00A55258"/>
    <w:rsid w:val="00A5527E"/>
    <w:rsid w:val="00A5529B"/>
    <w:rsid w:val="00A552D2"/>
    <w:rsid w:val="00A5550B"/>
    <w:rsid w:val="00A555B9"/>
    <w:rsid w:val="00A5561D"/>
    <w:rsid w:val="00A55629"/>
    <w:rsid w:val="00A5576A"/>
    <w:rsid w:val="00A5581B"/>
    <w:rsid w:val="00A5584C"/>
    <w:rsid w:val="00A55976"/>
    <w:rsid w:val="00A55A2D"/>
    <w:rsid w:val="00A55A91"/>
    <w:rsid w:val="00A55B4A"/>
    <w:rsid w:val="00A55B52"/>
    <w:rsid w:val="00A55C4A"/>
    <w:rsid w:val="00A55E08"/>
    <w:rsid w:val="00A55E62"/>
    <w:rsid w:val="00A56028"/>
    <w:rsid w:val="00A56192"/>
    <w:rsid w:val="00A561F5"/>
    <w:rsid w:val="00A5623B"/>
    <w:rsid w:val="00A562B1"/>
    <w:rsid w:val="00A56490"/>
    <w:rsid w:val="00A565A0"/>
    <w:rsid w:val="00A565C8"/>
    <w:rsid w:val="00A565EF"/>
    <w:rsid w:val="00A56656"/>
    <w:rsid w:val="00A56678"/>
    <w:rsid w:val="00A567FE"/>
    <w:rsid w:val="00A56802"/>
    <w:rsid w:val="00A5690E"/>
    <w:rsid w:val="00A56931"/>
    <w:rsid w:val="00A56A1E"/>
    <w:rsid w:val="00A56A31"/>
    <w:rsid w:val="00A56A6B"/>
    <w:rsid w:val="00A56A92"/>
    <w:rsid w:val="00A56B38"/>
    <w:rsid w:val="00A56BAA"/>
    <w:rsid w:val="00A56F30"/>
    <w:rsid w:val="00A56F98"/>
    <w:rsid w:val="00A56FC1"/>
    <w:rsid w:val="00A57071"/>
    <w:rsid w:val="00A57136"/>
    <w:rsid w:val="00A57210"/>
    <w:rsid w:val="00A572CC"/>
    <w:rsid w:val="00A572F7"/>
    <w:rsid w:val="00A5745F"/>
    <w:rsid w:val="00A575BE"/>
    <w:rsid w:val="00A575CE"/>
    <w:rsid w:val="00A5763A"/>
    <w:rsid w:val="00A577EA"/>
    <w:rsid w:val="00A5782A"/>
    <w:rsid w:val="00A57ACE"/>
    <w:rsid w:val="00A57BD9"/>
    <w:rsid w:val="00A57C09"/>
    <w:rsid w:val="00A57D3D"/>
    <w:rsid w:val="00A57D83"/>
    <w:rsid w:val="00A57EA1"/>
    <w:rsid w:val="00A57FDC"/>
    <w:rsid w:val="00A6003A"/>
    <w:rsid w:val="00A60074"/>
    <w:rsid w:val="00A601A7"/>
    <w:rsid w:val="00A601BD"/>
    <w:rsid w:val="00A60235"/>
    <w:rsid w:val="00A6052C"/>
    <w:rsid w:val="00A60550"/>
    <w:rsid w:val="00A6067C"/>
    <w:rsid w:val="00A606D0"/>
    <w:rsid w:val="00A607B9"/>
    <w:rsid w:val="00A6086A"/>
    <w:rsid w:val="00A608E7"/>
    <w:rsid w:val="00A6098C"/>
    <w:rsid w:val="00A60A11"/>
    <w:rsid w:val="00A60ACF"/>
    <w:rsid w:val="00A60ADD"/>
    <w:rsid w:val="00A60B94"/>
    <w:rsid w:val="00A60BB5"/>
    <w:rsid w:val="00A60CAD"/>
    <w:rsid w:val="00A60CEE"/>
    <w:rsid w:val="00A61055"/>
    <w:rsid w:val="00A61413"/>
    <w:rsid w:val="00A6144E"/>
    <w:rsid w:val="00A61450"/>
    <w:rsid w:val="00A61457"/>
    <w:rsid w:val="00A614B8"/>
    <w:rsid w:val="00A61526"/>
    <w:rsid w:val="00A61549"/>
    <w:rsid w:val="00A61580"/>
    <w:rsid w:val="00A61587"/>
    <w:rsid w:val="00A615E0"/>
    <w:rsid w:val="00A6185E"/>
    <w:rsid w:val="00A61861"/>
    <w:rsid w:val="00A618E8"/>
    <w:rsid w:val="00A619BF"/>
    <w:rsid w:val="00A61AE7"/>
    <w:rsid w:val="00A61C3B"/>
    <w:rsid w:val="00A61D02"/>
    <w:rsid w:val="00A61D3D"/>
    <w:rsid w:val="00A61F47"/>
    <w:rsid w:val="00A620A3"/>
    <w:rsid w:val="00A62150"/>
    <w:rsid w:val="00A6234E"/>
    <w:rsid w:val="00A62416"/>
    <w:rsid w:val="00A6242A"/>
    <w:rsid w:val="00A624F9"/>
    <w:rsid w:val="00A625DC"/>
    <w:rsid w:val="00A62640"/>
    <w:rsid w:val="00A626E0"/>
    <w:rsid w:val="00A626EB"/>
    <w:rsid w:val="00A62756"/>
    <w:rsid w:val="00A62772"/>
    <w:rsid w:val="00A627BD"/>
    <w:rsid w:val="00A627D1"/>
    <w:rsid w:val="00A62853"/>
    <w:rsid w:val="00A629A0"/>
    <w:rsid w:val="00A62BE3"/>
    <w:rsid w:val="00A62C10"/>
    <w:rsid w:val="00A62CFB"/>
    <w:rsid w:val="00A62DE5"/>
    <w:rsid w:val="00A62EBD"/>
    <w:rsid w:val="00A6307C"/>
    <w:rsid w:val="00A63137"/>
    <w:rsid w:val="00A631C1"/>
    <w:rsid w:val="00A6327A"/>
    <w:rsid w:val="00A63309"/>
    <w:rsid w:val="00A63319"/>
    <w:rsid w:val="00A63474"/>
    <w:rsid w:val="00A634A7"/>
    <w:rsid w:val="00A637F9"/>
    <w:rsid w:val="00A63898"/>
    <w:rsid w:val="00A6396D"/>
    <w:rsid w:val="00A639C0"/>
    <w:rsid w:val="00A63A46"/>
    <w:rsid w:val="00A63A88"/>
    <w:rsid w:val="00A63AA8"/>
    <w:rsid w:val="00A63B01"/>
    <w:rsid w:val="00A63B81"/>
    <w:rsid w:val="00A63BAF"/>
    <w:rsid w:val="00A63C4F"/>
    <w:rsid w:val="00A63C62"/>
    <w:rsid w:val="00A63DB1"/>
    <w:rsid w:val="00A63DD7"/>
    <w:rsid w:val="00A63DDC"/>
    <w:rsid w:val="00A63DEB"/>
    <w:rsid w:val="00A63E03"/>
    <w:rsid w:val="00A641BB"/>
    <w:rsid w:val="00A642F3"/>
    <w:rsid w:val="00A643DF"/>
    <w:rsid w:val="00A6454B"/>
    <w:rsid w:val="00A645CD"/>
    <w:rsid w:val="00A645F0"/>
    <w:rsid w:val="00A645FF"/>
    <w:rsid w:val="00A6469D"/>
    <w:rsid w:val="00A6489E"/>
    <w:rsid w:val="00A64948"/>
    <w:rsid w:val="00A64B2C"/>
    <w:rsid w:val="00A64BB8"/>
    <w:rsid w:val="00A64C13"/>
    <w:rsid w:val="00A64C92"/>
    <w:rsid w:val="00A64CBE"/>
    <w:rsid w:val="00A64DAC"/>
    <w:rsid w:val="00A64E8A"/>
    <w:rsid w:val="00A64ED1"/>
    <w:rsid w:val="00A64FFA"/>
    <w:rsid w:val="00A65080"/>
    <w:rsid w:val="00A650A2"/>
    <w:rsid w:val="00A6516B"/>
    <w:rsid w:val="00A651AE"/>
    <w:rsid w:val="00A65216"/>
    <w:rsid w:val="00A653F8"/>
    <w:rsid w:val="00A6547A"/>
    <w:rsid w:val="00A65621"/>
    <w:rsid w:val="00A65687"/>
    <w:rsid w:val="00A657A6"/>
    <w:rsid w:val="00A657DD"/>
    <w:rsid w:val="00A657E2"/>
    <w:rsid w:val="00A657E8"/>
    <w:rsid w:val="00A6586D"/>
    <w:rsid w:val="00A659FD"/>
    <w:rsid w:val="00A65A2A"/>
    <w:rsid w:val="00A65BC9"/>
    <w:rsid w:val="00A65BD3"/>
    <w:rsid w:val="00A65C37"/>
    <w:rsid w:val="00A65C68"/>
    <w:rsid w:val="00A65E77"/>
    <w:rsid w:val="00A65F0D"/>
    <w:rsid w:val="00A65F99"/>
    <w:rsid w:val="00A65FBF"/>
    <w:rsid w:val="00A662F1"/>
    <w:rsid w:val="00A6635E"/>
    <w:rsid w:val="00A664EF"/>
    <w:rsid w:val="00A66575"/>
    <w:rsid w:val="00A66616"/>
    <w:rsid w:val="00A666A7"/>
    <w:rsid w:val="00A666A8"/>
    <w:rsid w:val="00A66750"/>
    <w:rsid w:val="00A66A70"/>
    <w:rsid w:val="00A66B03"/>
    <w:rsid w:val="00A66C8E"/>
    <w:rsid w:val="00A66CF7"/>
    <w:rsid w:val="00A66D7A"/>
    <w:rsid w:val="00A66DD9"/>
    <w:rsid w:val="00A66E56"/>
    <w:rsid w:val="00A66ECE"/>
    <w:rsid w:val="00A66F71"/>
    <w:rsid w:val="00A66FD1"/>
    <w:rsid w:val="00A67099"/>
    <w:rsid w:val="00A670EA"/>
    <w:rsid w:val="00A6713D"/>
    <w:rsid w:val="00A67150"/>
    <w:rsid w:val="00A671B0"/>
    <w:rsid w:val="00A671E0"/>
    <w:rsid w:val="00A671FE"/>
    <w:rsid w:val="00A67220"/>
    <w:rsid w:val="00A67463"/>
    <w:rsid w:val="00A6752F"/>
    <w:rsid w:val="00A67579"/>
    <w:rsid w:val="00A67681"/>
    <w:rsid w:val="00A67847"/>
    <w:rsid w:val="00A67882"/>
    <w:rsid w:val="00A67950"/>
    <w:rsid w:val="00A6795E"/>
    <w:rsid w:val="00A67C7A"/>
    <w:rsid w:val="00A67D12"/>
    <w:rsid w:val="00A67D15"/>
    <w:rsid w:val="00A67D45"/>
    <w:rsid w:val="00A67F78"/>
    <w:rsid w:val="00A700BB"/>
    <w:rsid w:val="00A700C9"/>
    <w:rsid w:val="00A70355"/>
    <w:rsid w:val="00A705BC"/>
    <w:rsid w:val="00A706AC"/>
    <w:rsid w:val="00A7074C"/>
    <w:rsid w:val="00A707B9"/>
    <w:rsid w:val="00A708A7"/>
    <w:rsid w:val="00A70A91"/>
    <w:rsid w:val="00A70AD3"/>
    <w:rsid w:val="00A70B22"/>
    <w:rsid w:val="00A70B29"/>
    <w:rsid w:val="00A70BD9"/>
    <w:rsid w:val="00A70E62"/>
    <w:rsid w:val="00A70E84"/>
    <w:rsid w:val="00A70EB2"/>
    <w:rsid w:val="00A70FDD"/>
    <w:rsid w:val="00A7105C"/>
    <w:rsid w:val="00A71067"/>
    <w:rsid w:val="00A710A5"/>
    <w:rsid w:val="00A71218"/>
    <w:rsid w:val="00A71245"/>
    <w:rsid w:val="00A712E7"/>
    <w:rsid w:val="00A71367"/>
    <w:rsid w:val="00A71434"/>
    <w:rsid w:val="00A714C1"/>
    <w:rsid w:val="00A715CB"/>
    <w:rsid w:val="00A715D8"/>
    <w:rsid w:val="00A71704"/>
    <w:rsid w:val="00A71792"/>
    <w:rsid w:val="00A718DC"/>
    <w:rsid w:val="00A7190C"/>
    <w:rsid w:val="00A7191A"/>
    <w:rsid w:val="00A71996"/>
    <w:rsid w:val="00A71A11"/>
    <w:rsid w:val="00A71A15"/>
    <w:rsid w:val="00A71BB9"/>
    <w:rsid w:val="00A71CC8"/>
    <w:rsid w:val="00A71CD8"/>
    <w:rsid w:val="00A71CE5"/>
    <w:rsid w:val="00A71D63"/>
    <w:rsid w:val="00A71DA5"/>
    <w:rsid w:val="00A71E0A"/>
    <w:rsid w:val="00A71F0A"/>
    <w:rsid w:val="00A7200B"/>
    <w:rsid w:val="00A72039"/>
    <w:rsid w:val="00A720C9"/>
    <w:rsid w:val="00A7223D"/>
    <w:rsid w:val="00A7225D"/>
    <w:rsid w:val="00A72286"/>
    <w:rsid w:val="00A7231A"/>
    <w:rsid w:val="00A72340"/>
    <w:rsid w:val="00A72349"/>
    <w:rsid w:val="00A7239E"/>
    <w:rsid w:val="00A724A0"/>
    <w:rsid w:val="00A724BA"/>
    <w:rsid w:val="00A72572"/>
    <w:rsid w:val="00A72630"/>
    <w:rsid w:val="00A72683"/>
    <w:rsid w:val="00A72693"/>
    <w:rsid w:val="00A7270B"/>
    <w:rsid w:val="00A72719"/>
    <w:rsid w:val="00A72841"/>
    <w:rsid w:val="00A728A1"/>
    <w:rsid w:val="00A728A3"/>
    <w:rsid w:val="00A729F6"/>
    <w:rsid w:val="00A72A1F"/>
    <w:rsid w:val="00A72D13"/>
    <w:rsid w:val="00A72D32"/>
    <w:rsid w:val="00A72D43"/>
    <w:rsid w:val="00A72D4F"/>
    <w:rsid w:val="00A72ECF"/>
    <w:rsid w:val="00A73020"/>
    <w:rsid w:val="00A73044"/>
    <w:rsid w:val="00A7305C"/>
    <w:rsid w:val="00A730B8"/>
    <w:rsid w:val="00A730EA"/>
    <w:rsid w:val="00A731B4"/>
    <w:rsid w:val="00A7328F"/>
    <w:rsid w:val="00A733CF"/>
    <w:rsid w:val="00A733F0"/>
    <w:rsid w:val="00A7340F"/>
    <w:rsid w:val="00A73432"/>
    <w:rsid w:val="00A73439"/>
    <w:rsid w:val="00A73485"/>
    <w:rsid w:val="00A73607"/>
    <w:rsid w:val="00A73720"/>
    <w:rsid w:val="00A73854"/>
    <w:rsid w:val="00A738FD"/>
    <w:rsid w:val="00A73909"/>
    <w:rsid w:val="00A73B14"/>
    <w:rsid w:val="00A741EC"/>
    <w:rsid w:val="00A7424D"/>
    <w:rsid w:val="00A74284"/>
    <w:rsid w:val="00A7429E"/>
    <w:rsid w:val="00A742F6"/>
    <w:rsid w:val="00A74383"/>
    <w:rsid w:val="00A7439F"/>
    <w:rsid w:val="00A74402"/>
    <w:rsid w:val="00A744FE"/>
    <w:rsid w:val="00A7463E"/>
    <w:rsid w:val="00A746A7"/>
    <w:rsid w:val="00A74728"/>
    <w:rsid w:val="00A74964"/>
    <w:rsid w:val="00A74C62"/>
    <w:rsid w:val="00A74E27"/>
    <w:rsid w:val="00A74F2C"/>
    <w:rsid w:val="00A75000"/>
    <w:rsid w:val="00A7502A"/>
    <w:rsid w:val="00A75062"/>
    <w:rsid w:val="00A750A4"/>
    <w:rsid w:val="00A75181"/>
    <w:rsid w:val="00A752A8"/>
    <w:rsid w:val="00A752BF"/>
    <w:rsid w:val="00A75367"/>
    <w:rsid w:val="00A753D5"/>
    <w:rsid w:val="00A753D7"/>
    <w:rsid w:val="00A75421"/>
    <w:rsid w:val="00A7545F"/>
    <w:rsid w:val="00A75464"/>
    <w:rsid w:val="00A75521"/>
    <w:rsid w:val="00A757FF"/>
    <w:rsid w:val="00A7587F"/>
    <w:rsid w:val="00A758DA"/>
    <w:rsid w:val="00A75917"/>
    <w:rsid w:val="00A75956"/>
    <w:rsid w:val="00A75A95"/>
    <w:rsid w:val="00A75AFB"/>
    <w:rsid w:val="00A75B46"/>
    <w:rsid w:val="00A75CAE"/>
    <w:rsid w:val="00A75E44"/>
    <w:rsid w:val="00A75E45"/>
    <w:rsid w:val="00A75E5E"/>
    <w:rsid w:val="00A75EE5"/>
    <w:rsid w:val="00A75EEB"/>
    <w:rsid w:val="00A760B0"/>
    <w:rsid w:val="00A760C5"/>
    <w:rsid w:val="00A763C4"/>
    <w:rsid w:val="00A765FD"/>
    <w:rsid w:val="00A7661C"/>
    <w:rsid w:val="00A7667F"/>
    <w:rsid w:val="00A767E1"/>
    <w:rsid w:val="00A76868"/>
    <w:rsid w:val="00A768F7"/>
    <w:rsid w:val="00A769FD"/>
    <w:rsid w:val="00A76A95"/>
    <w:rsid w:val="00A76B41"/>
    <w:rsid w:val="00A76C69"/>
    <w:rsid w:val="00A76C93"/>
    <w:rsid w:val="00A76C94"/>
    <w:rsid w:val="00A76D7F"/>
    <w:rsid w:val="00A76EAD"/>
    <w:rsid w:val="00A76F29"/>
    <w:rsid w:val="00A7712B"/>
    <w:rsid w:val="00A77143"/>
    <w:rsid w:val="00A77152"/>
    <w:rsid w:val="00A7724A"/>
    <w:rsid w:val="00A773CE"/>
    <w:rsid w:val="00A77454"/>
    <w:rsid w:val="00A774A8"/>
    <w:rsid w:val="00A77506"/>
    <w:rsid w:val="00A7753D"/>
    <w:rsid w:val="00A775F0"/>
    <w:rsid w:val="00A776BE"/>
    <w:rsid w:val="00A7772D"/>
    <w:rsid w:val="00A778A0"/>
    <w:rsid w:val="00A77902"/>
    <w:rsid w:val="00A779A2"/>
    <w:rsid w:val="00A77A61"/>
    <w:rsid w:val="00A77B72"/>
    <w:rsid w:val="00A77EE1"/>
    <w:rsid w:val="00A77FBA"/>
    <w:rsid w:val="00A78075"/>
    <w:rsid w:val="00A80021"/>
    <w:rsid w:val="00A8006B"/>
    <w:rsid w:val="00A8010B"/>
    <w:rsid w:val="00A8019D"/>
    <w:rsid w:val="00A801FA"/>
    <w:rsid w:val="00A802D5"/>
    <w:rsid w:val="00A80502"/>
    <w:rsid w:val="00A8054D"/>
    <w:rsid w:val="00A8076A"/>
    <w:rsid w:val="00A80893"/>
    <w:rsid w:val="00A8099D"/>
    <w:rsid w:val="00A809D0"/>
    <w:rsid w:val="00A80AF4"/>
    <w:rsid w:val="00A80E64"/>
    <w:rsid w:val="00A80EDD"/>
    <w:rsid w:val="00A80F7F"/>
    <w:rsid w:val="00A80F86"/>
    <w:rsid w:val="00A810AF"/>
    <w:rsid w:val="00A810CB"/>
    <w:rsid w:val="00A811CF"/>
    <w:rsid w:val="00A8128B"/>
    <w:rsid w:val="00A812EC"/>
    <w:rsid w:val="00A813EB"/>
    <w:rsid w:val="00A814CC"/>
    <w:rsid w:val="00A815DC"/>
    <w:rsid w:val="00A817E1"/>
    <w:rsid w:val="00A81834"/>
    <w:rsid w:val="00A818BD"/>
    <w:rsid w:val="00A819CE"/>
    <w:rsid w:val="00A81A6A"/>
    <w:rsid w:val="00A81AA5"/>
    <w:rsid w:val="00A81BE6"/>
    <w:rsid w:val="00A81CB9"/>
    <w:rsid w:val="00A81D88"/>
    <w:rsid w:val="00A81DF6"/>
    <w:rsid w:val="00A81EB3"/>
    <w:rsid w:val="00A81FF7"/>
    <w:rsid w:val="00A820AE"/>
    <w:rsid w:val="00A820D8"/>
    <w:rsid w:val="00A82156"/>
    <w:rsid w:val="00A8216B"/>
    <w:rsid w:val="00A821B7"/>
    <w:rsid w:val="00A82259"/>
    <w:rsid w:val="00A82315"/>
    <w:rsid w:val="00A82409"/>
    <w:rsid w:val="00A824CD"/>
    <w:rsid w:val="00A82721"/>
    <w:rsid w:val="00A82820"/>
    <w:rsid w:val="00A82875"/>
    <w:rsid w:val="00A82882"/>
    <w:rsid w:val="00A828BD"/>
    <w:rsid w:val="00A82926"/>
    <w:rsid w:val="00A82991"/>
    <w:rsid w:val="00A82B27"/>
    <w:rsid w:val="00A82BD5"/>
    <w:rsid w:val="00A82C67"/>
    <w:rsid w:val="00A82C89"/>
    <w:rsid w:val="00A82CC6"/>
    <w:rsid w:val="00A82DAE"/>
    <w:rsid w:val="00A82DE0"/>
    <w:rsid w:val="00A82EB8"/>
    <w:rsid w:val="00A82F60"/>
    <w:rsid w:val="00A82F81"/>
    <w:rsid w:val="00A830D8"/>
    <w:rsid w:val="00A83193"/>
    <w:rsid w:val="00A83201"/>
    <w:rsid w:val="00A832A8"/>
    <w:rsid w:val="00A8340A"/>
    <w:rsid w:val="00A83413"/>
    <w:rsid w:val="00A835C2"/>
    <w:rsid w:val="00A8386F"/>
    <w:rsid w:val="00A8387D"/>
    <w:rsid w:val="00A83B60"/>
    <w:rsid w:val="00A83D30"/>
    <w:rsid w:val="00A83DA9"/>
    <w:rsid w:val="00A83DEE"/>
    <w:rsid w:val="00A83F7B"/>
    <w:rsid w:val="00A83F94"/>
    <w:rsid w:val="00A84010"/>
    <w:rsid w:val="00A841B8"/>
    <w:rsid w:val="00A84305"/>
    <w:rsid w:val="00A84329"/>
    <w:rsid w:val="00A84367"/>
    <w:rsid w:val="00A84476"/>
    <w:rsid w:val="00A84478"/>
    <w:rsid w:val="00A845E5"/>
    <w:rsid w:val="00A84930"/>
    <w:rsid w:val="00A84A4F"/>
    <w:rsid w:val="00A84ABC"/>
    <w:rsid w:val="00A84CB4"/>
    <w:rsid w:val="00A84D4E"/>
    <w:rsid w:val="00A85033"/>
    <w:rsid w:val="00A85079"/>
    <w:rsid w:val="00A850FF"/>
    <w:rsid w:val="00A85115"/>
    <w:rsid w:val="00A8512E"/>
    <w:rsid w:val="00A85261"/>
    <w:rsid w:val="00A8526B"/>
    <w:rsid w:val="00A85293"/>
    <w:rsid w:val="00A852DA"/>
    <w:rsid w:val="00A8559F"/>
    <w:rsid w:val="00A85605"/>
    <w:rsid w:val="00A85613"/>
    <w:rsid w:val="00A85647"/>
    <w:rsid w:val="00A8564E"/>
    <w:rsid w:val="00A8567D"/>
    <w:rsid w:val="00A856EF"/>
    <w:rsid w:val="00A8583F"/>
    <w:rsid w:val="00A85877"/>
    <w:rsid w:val="00A8587A"/>
    <w:rsid w:val="00A8598A"/>
    <w:rsid w:val="00A85A69"/>
    <w:rsid w:val="00A85A9D"/>
    <w:rsid w:val="00A85AF2"/>
    <w:rsid w:val="00A85B15"/>
    <w:rsid w:val="00A85B70"/>
    <w:rsid w:val="00A85FA1"/>
    <w:rsid w:val="00A86019"/>
    <w:rsid w:val="00A8610D"/>
    <w:rsid w:val="00A86172"/>
    <w:rsid w:val="00A864C3"/>
    <w:rsid w:val="00A864F9"/>
    <w:rsid w:val="00A86619"/>
    <w:rsid w:val="00A86695"/>
    <w:rsid w:val="00A86786"/>
    <w:rsid w:val="00A8685A"/>
    <w:rsid w:val="00A86E44"/>
    <w:rsid w:val="00A86FD6"/>
    <w:rsid w:val="00A86FEB"/>
    <w:rsid w:val="00A87062"/>
    <w:rsid w:val="00A870BA"/>
    <w:rsid w:val="00A871A3"/>
    <w:rsid w:val="00A873C9"/>
    <w:rsid w:val="00A874A5"/>
    <w:rsid w:val="00A87549"/>
    <w:rsid w:val="00A8756B"/>
    <w:rsid w:val="00A876C9"/>
    <w:rsid w:val="00A877C8"/>
    <w:rsid w:val="00A8784A"/>
    <w:rsid w:val="00A87AE8"/>
    <w:rsid w:val="00A87BE0"/>
    <w:rsid w:val="00A87C59"/>
    <w:rsid w:val="00A87CD9"/>
    <w:rsid w:val="00A87CE0"/>
    <w:rsid w:val="00A87D88"/>
    <w:rsid w:val="00A87E48"/>
    <w:rsid w:val="00A90110"/>
    <w:rsid w:val="00A901CD"/>
    <w:rsid w:val="00A901EA"/>
    <w:rsid w:val="00A902BC"/>
    <w:rsid w:val="00A902C3"/>
    <w:rsid w:val="00A90439"/>
    <w:rsid w:val="00A90493"/>
    <w:rsid w:val="00A904FF"/>
    <w:rsid w:val="00A90AFE"/>
    <w:rsid w:val="00A90AFF"/>
    <w:rsid w:val="00A90B69"/>
    <w:rsid w:val="00A90BB9"/>
    <w:rsid w:val="00A90BD8"/>
    <w:rsid w:val="00A90C06"/>
    <w:rsid w:val="00A90D2B"/>
    <w:rsid w:val="00A90DAB"/>
    <w:rsid w:val="00A90E12"/>
    <w:rsid w:val="00A90ECA"/>
    <w:rsid w:val="00A90F7F"/>
    <w:rsid w:val="00A910D1"/>
    <w:rsid w:val="00A91248"/>
    <w:rsid w:val="00A912FE"/>
    <w:rsid w:val="00A91358"/>
    <w:rsid w:val="00A91391"/>
    <w:rsid w:val="00A914CE"/>
    <w:rsid w:val="00A9150F"/>
    <w:rsid w:val="00A91666"/>
    <w:rsid w:val="00A916B6"/>
    <w:rsid w:val="00A91707"/>
    <w:rsid w:val="00A917F0"/>
    <w:rsid w:val="00A91856"/>
    <w:rsid w:val="00A91882"/>
    <w:rsid w:val="00A918A7"/>
    <w:rsid w:val="00A918E4"/>
    <w:rsid w:val="00A9190A"/>
    <w:rsid w:val="00A9199F"/>
    <w:rsid w:val="00A91AAD"/>
    <w:rsid w:val="00A91AF4"/>
    <w:rsid w:val="00A91B68"/>
    <w:rsid w:val="00A91C19"/>
    <w:rsid w:val="00A91C88"/>
    <w:rsid w:val="00A91ED9"/>
    <w:rsid w:val="00A91F72"/>
    <w:rsid w:val="00A91F77"/>
    <w:rsid w:val="00A92066"/>
    <w:rsid w:val="00A92256"/>
    <w:rsid w:val="00A92264"/>
    <w:rsid w:val="00A922C9"/>
    <w:rsid w:val="00A92440"/>
    <w:rsid w:val="00A92485"/>
    <w:rsid w:val="00A924C4"/>
    <w:rsid w:val="00A92556"/>
    <w:rsid w:val="00A925CD"/>
    <w:rsid w:val="00A925F9"/>
    <w:rsid w:val="00A92C21"/>
    <w:rsid w:val="00A92C82"/>
    <w:rsid w:val="00A92E13"/>
    <w:rsid w:val="00A92E26"/>
    <w:rsid w:val="00A92E28"/>
    <w:rsid w:val="00A92EAD"/>
    <w:rsid w:val="00A92F5B"/>
    <w:rsid w:val="00A9306F"/>
    <w:rsid w:val="00A930A0"/>
    <w:rsid w:val="00A930B0"/>
    <w:rsid w:val="00A93145"/>
    <w:rsid w:val="00A93210"/>
    <w:rsid w:val="00A93665"/>
    <w:rsid w:val="00A9368A"/>
    <w:rsid w:val="00A936C4"/>
    <w:rsid w:val="00A93722"/>
    <w:rsid w:val="00A9385C"/>
    <w:rsid w:val="00A93875"/>
    <w:rsid w:val="00A9388A"/>
    <w:rsid w:val="00A9393E"/>
    <w:rsid w:val="00A93965"/>
    <w:rsid w:val="00A939B9"/>
    <w:rsid w:val="00A93A9E"/>
    <w:rsid w:val="00A93B30"/>
    <w:rsid w:val="00A93B8D"/>
    <w:rsid w:val="00A93BB1"/>
    <w:rsid w:val="00A93E9B"/>
    <w:rsid w:val="00A940FD"/>
    <w:rsid w:val="00A9420B"/>
    <w:rsid w:val="00A94371"/>
    <w:rsid w:val="00A94570"/>
    <w:rsid w:val="00A945A6"/>
    <w:rsid w:val="00A94627"/>
    <w:rsid w:val="00A9466B"/>
    <w:rsid w:val="00A94859"/>
    <w:rsid w:val="00A94B96"/>
    <w:rsid w:val="00A94C2C"/>
    <w:rsid w:val="00A94C89"/>
    <w:rsid w:val="00A94D50"/>
    <w:rsid w:val="00A94D87"/>
    <w:rsid w:val="00A94DB0"/>
    <w:rsid w:val="00A94DD6"/>
    <w:rsid w:val="00A94DE5"/>
    <w:rsid w:val="00A94EA0"/>
    <w:rsid w:val="00A94ED6"/>
    <w:rsid w:val="00A94F04"/>
    <w:rsid w:val="00A94FB0"/>
    <w:rsid w:val="00A95088"/>
    <w:rsid w:val="00A95098"/>
    <w:rsid w:val="00A95165"/>
    <w:rsid w:val="00A95173"/>
    <w:rsid w:val="00A953A9"/>
    <w:rsid w:val="00A954EC"/>
    <w:rsid w:val="00A95600"/>
    <w:rsid w:val="00A957BC"/>
    <w:rsid w:val="00A957E7"/>
    <w:rsid w:val="00A95800"/>
    <w:rsid w:val="00A95806"/>
    <w:rsid w:val="00A958A1"/>
    <w:rsid w:val="00A958E7"/>
    <w:rsid w:val="00A959F8"/>
    <w:rsid w:val="00A95B2F"/>
    <w:rsid w:val="00A95D8A"/>
    <w:rsid w:val="00A95DC7"/>
    <w:rsid w:val="00A95DE4"/>
    <w:rsid w:val="00A95DEF"/>
    <w:rsid w:val="00A95E09"/>
    <w:rsid w:val="00A95ED9"/>
    <w:rsid w:val="00A95F9E"/>
    <w:rsid w:val="00A96086"/>
    <w:rsid w:val="00A9611C"/>
    <w:rsid w:val="00A9614A"/>
    <w:rsid w:val="00A96151"/>
    <w:rsid w:val="00A963A2"/>
    <w:rsid w:val="00A9643E"/>
    <w:rsid w:val="00A96462"/>
    <w:rsid w:val="00A96465"/>
    <w:rsid w:val="00A965D8"/>
    <w:rsid w:val="00A965DD"/>
    <w:rsid w:val="00A96836"/>
    <w:rsid w:val="00A96953"/>
    <w:rsid w:val="00A96AAC"/>
    <w:rsid w:val="00A96D5A"/>
    <w:rsid w:val="00A96E34"/>
    <w:rsid w:val="00A96F00"/>
    <w:rsid w:val="00A97085"/>
    <w:rsid w:val="00A97098"/>
    <w:rsid w:val="00A97121"/>
    <w:rsid w:val="00A9712E"/>
    <w:rsid w:val="00A97233"/>
    <w:rsid w:val="00A9727B"/>
    <w:rsid w:val="00A97298"/>
    <w:rsid w:val="00A972CB"/>
    <w:rsid w:val="00A973D5"/>
    <w:rsid w:val="00A97641"/>
    <w:rsid w:val="00A9767A"/>
    <w:rsid w:val="00A978FE"/>
    <w:rsid w:val="00A97A20"/>
    <w:rsid w:val="00A97BD9"/>
    <w:rsid w:val="00A97C6B"/>
    <w:rsid w:val="00A97E4A"/>
    <w:rsid w:val="00A97E53"/>
    <w:rsid w:val="00A97EC4"/>
    <w:rsid w:val="00AA01BC"/>
    <w:rsid w:val="00AA0245"/>
    <w:rsid w:val="00AA0263"/>
    <w:rsid w:val="00AA0319"/>
    <w:rsid w:val="00AA0541"/>
    <w:rsid w:val="00AA0692"/>
    <w:rsid w:val="00AA08DF"/>
    <w:rsid w:val="00AA09A5"/>
    <w:rsid w:val="00AA0A91"/>
    <w:rsid w:val="00AA0B6B"/>
    <w:rsid w:val="00AA0B93"/>
    <w:rsid w:val="00AA0C24"/>
    <w:rsid w:val="00AA0C81"/>
    <w:rsid w:val="00AA0D40"/>
    <w:rsid w:val="00AA0E0C"/>
    <w:rsid w:val="00AA0E4B"/>
    <w:rsid w:val="00AA0F9A"/>
    <w:rsid w:val="00AA106E"/>
    <w:rsid w:val="00AA1157"/>
    <w:rsid w:val="00AA12FC"/>
    <w:rsid w:val="00AA13FC"/>
    <w:rsid w:val="00AA14D7"/>
    <w:rsid w:val="00AA1567"/>
    <w:rsid w:val="00AA1689"/>
    <w:rsid w:val="00AA17AD"/>
    <w:rsid w:val="00AA17B7"/>
    <w:rsid w:val="00AA17C7"/>
    <w:rsid w:val="00AA192E"/>
    <w:rsid w:val="00AA1957"/>
    <w:rsid w:val="00AA1C3F"/>
    <w:rsid w:val="00AA1C45"/>
    <w:rsid w:val="00AA1CA5"/>
    <w:rsid w:val="00AA1EA2"/>
    <w:rsid w:val="00AA1F7F"/>
    <w:rsid w:val="00AA2092"/>
    <w:rsid w:val="00AA2146"/>
    <w:rsid w:val="00AA226D"/>
    <w:rsid w:val="00AA248D"/>
    <w:rsid w:val="00AA24C8"/>
    <w:rsid w:val="00AA24E9"/>
    <w:rsid w:val="00AA24FB"/>
    <w:rsid w:val="00AA263F"/>
    <w:rsid w:val="00AA27A7"/>
    <w:rsid w:val="00AA27D4"/>
    <w:rsid w:val="00AA2802"/>
    <w:rsid w:val="00AA285C"/>
    <w:rsid w:val="00AA29F2"/>
    <w:rsid w:val="00AA2ADE"/>
    <w:rsid w:val="00AA2B23"/>
    <w:rsid w:val="00AA2C00"/>
    <w:rsid w:val="00AA2F0B"/>
    <w:rsid w:val="00AA3025"/>
    <w:rsid w:val="00AA3132"/>
    <w:rsid w:val="00AA3151"/>
    <w:rsid w:val="00AA3333"/>
    <w:rsid w:val="00AA33F9"/>
    <w:rsid w:val="00AA3491"/>
    <w:rsid w:val="00AA36AB"/>
    <w:rsid w:val="00AA375B"/>
    <w:rsid w:val="00AA3771"/>
    <w:rsid w:val="00AA3900"/>
    <w:rsid w:val="00AA391D"/>
    <w:rsid w:val="00AA3923"/>
    <w:rsid w:val="00AA393A"/>
    <w:rsid w:val="00AA3A0D"/>
    <w:rsid w:val="00AA3BDD"/>
    <w:rsid w:val="00AA3D48"/>
    <w:rsid w:val="00AA3DE9"/>
    <w:rsid w:val="00AA3E5A"/>
    <w:rsid w:val="00AA3EE6"/>
    <w:rsid w:val="00AA4059"/>
    <w:rsid w:val="00AA4120"/>
    <w:rsid w:val="00AA4147"/>
    <w:rsid w:val="00AA442B"/>
    <w:rsid w:val="00AA4558"/>
    <w:rsid w:val="00AA45F8"/>
    <w:rsid w:val="00AA472C"/>
    <w:rsid w:val="00AA4790"/>
    <w:rsid w:val="00AA479F"/>
    <w:rsid w:val="00AA47AB"/>
    <w:rsid w:val="00AA486A"/>
    <w:rsid w:val="00AA489C"/>
    <w:rsid w:val="00AA48A4"/>
    <w:rsid w:val="00AA48FF"/>
    <w:rsid w:val="00AA4988"/>
    <w:rsid w:val="00AA4B69"/>
    <w:rsid w:val="00AA4BBC"/>
    <w:rsid w:val="00AA4D77"/>
    <w:rsid w:val="00AA4D8A"/>
    <w:rsid w:val="00AA4D95"/>
    <w:rsid w:val="00AA4E03"/>
    <w:rsid w:val="00AA4F40"/>
    <w:rsid w:val="00AA4FEB"/>
    <w:rsid w:val="00AA5153"/>
    <w:rsid w:val="00AA5257"/>
    <w:rsid w:val="00AA5261"/>
    <w:rsid w:val="00AA5310"/>
    <w:rsid w:val="00AA535D"/>
    <w:rsid w:val="00AA53C4"/>
    <w:rsid w:val="00AA5439"/>
    <w:rsid w:val="00AA569D"/>
    <w:rsid w:val="00AA575B"/>
    <w:rsid w:val="00AA583F"/>
    <w:rsid w:val="00AA58E3"/>
    <w:rsid w:val="00AA5907"/>
    <w:rsid w:val="00AA5926"/>
    <w:rsid w:val="00AA5975"/>
    <w:rsid w:val="00AA5B89"/>
    <w:rsid w:val="00AA5C40"/>
    <w:rsid w:val="00AA5CFD"/>
    <w:rsid w:val="00AA5D58"/>
    <w:rsid w:val="00AA5D68"/>
    <w:rsid w:val="00AA5DB9"/>
    <w:rsid w:val="00AA5F83"/>
    <w:rsid w:val="00AA6020"/>
    <w:rsid w:val="00AA60EF"/>
    <w:rsid w:val="00AA610B"/>
    <w:rsid w:val="00AA6119"/>
    <w:rsid w:val="00AA61CC"/>
    <w:rsid w:val="00AA62BD"/>
    <w:rsid w:val="00AA635E"/>
    <w:rsid w:val="00AA6415"/>
    <w:rsid w:val="00AA6452"/>
    <w:rsid w:val="00AA64F8"/>
    <w:rsid w:val="00AA6599"/>
    <w:rsid w:val="00AA6639"/>
    <w:rsid w:val="00AA6698"/>
    <w:rsid w:val="00AA6808"/>
    <w:rsid w:val="00AA6898"/>
    <w:rsid w:val="00AA68E5"/>
    <w:rsid w:val="00AA696C"/>
    <w:rsid w:val="00AA69D2"/>
    <w:rsid w:val="00AA6B22"/>
    <w:rsid w:val="00AA6B2B"/>
    <w:rsid w:val="00AA6C52"/>
    <w:rsid w:val="00AA6C58"/>
    <w:rsid w:val="00AA6FD0"/>
    <w:rsid w:val="00AA6FFA"/>
    <w:rsid w:val="00AA7134"/>
    <w:rsid w:val="00AA7202"/>
    <w:rsid w:val="00AA7219"/>
    <w:rsid w:val="00AA7336"/>
    <w:rsid w:val="00AA7396"/>
    <w:rsid w:val="00AA73E5"/>
    <w:rsid w:val="00AA7627"/>
    <w:rsid w:val="00AA77E2"/>
    <w:rsid w:val="00AA781D"/>
    <w:rsid w:val="00AA7821"/>
    <w:rsid w:val="00AA783A"/>
    <w:rsid w:val="00AA784F"/>
    <w:rsid w:val="00AA7B0E"/>
    <w:rsid w:val="00AA7B42"/>
    <w:rsid w:val="00AA7B82"/>
    <w:rsid w:val="00AA7C5E"/>
    <w:rsid w:val="00AA7C85"/>
    <w:rsid w:val="00AA7CCF"/>
    <w:rsid w:val="00AA7D35"/>
    <w:rsid w:val="00AA7DA0"/>
    <w:rsid w:val="00AA7DAA"/>
    <w:rsid w:val="00AA7DE0"/>
    <w:rsid w:val="00AA7EE9"/>
    <w:rsid w:val="00AB004C"/>
    <w:rsid w:val="00AB02AF"/>
    <w:rsid w:val="00AB0472"/>
    <w:rsid w:val="00AB047D"/>
    <w:rsid w:val="00AB0575"/>
    <w:rsid w:val="00AB0588"/>
    <w:rsid w:val="00AB05C6"/>
    <w:rsid w:val="00AB081C"/>
    <w:rsid w:val="00AB08E8"/>
    <w:rsid w:val="00AB09FC"/>
    <w:rsid w:val="00AB0D8B"/>
    <w:rsid w:val="00AB0DAA"/>
    <w:rsid w:val="00AB1053"/>
    <w:rsid w:val="00AB10F5"/>
    <w:rsid w:val="00AB10F6"/>
    <w:rsid w:val="00AB1267"/>
    <w:rsid w:val="00AB128F"/>
    <w:rsid w:val="00AB12C5"/>
    <w:rsid w:val="00AB1344"/>
    <w:rsid w:val="00AB13A8"/>
    <w:rsid w:val="00AB1415"/>
    <w:rsid w:val="00AB1510"/>
    <w:rsid w:val="00AB1644"/>
    <w:rsid w:val="00AB164C"/>
    <w:rsid w:val="00AB171D"/>
    <w:rsid w:val="00AB1769"/>
    <w:rsid w:val="00AB17DA"/>
    <w:rsid w:val="00AB1AB0"/>
    <w:rsid w:val="00AB1B2A"/>
    <w:rsid w:val="00AB1CA0"/>
    <w:rsid w:val="00AB1CA1"/>
    <w:rsid w:val="00AB1D2F"/>
    <w:rsid w:val="00AB1D3A"/>
    <w:rsid w:val="00AB1D62"/>
    <w:rsid w:val="00AB1DFD"/>
    <w:rsid w:val="00AB1E49"/>
    <w:rsid w:val="00AB1F3E"/>
    <w:rsid w:val="00AB20A4"/>
    <w:rsid w:val="00AB20C5"/>
    <w:rsid w:val="00AB2160"/>
    <w:rsid w:val="00AB2196"/>
    <w:rsid w:val="00AB21A6"/>
    <w:rsid w:val="00AB21C6"/>
    <w:rsid w:val="00AB21F9"/>
    <w:rsid w:val="00AB2200"/>
    <w:rsid w:val="00AB2292"/>
    <w:rsid w:val="00AB245C"/>
    <w:rsid w:val="00AB2541"/>
    <w:rsid w:val="00AB260E"/>
    <w:rsid w:val="00AB2662"/>
    <w:rsid w:val="00AB26CD"/>
    <w:rsid w:val="00AB26CF"/>
    <w:rsid w:val="00AB2832"/>
    <w:rsid w:val="00AB2850"/>
    <w:rsid w:val="00AB29E5"/>
    <w:rsid w:val="00AB2A1E"/>
    <w:rsid w:val="00AB2BAF"/>
    <w:rsid w:val="00AB2BC6"/>
    <w:rsid w:val="00AB2CF2"/>
    <w:rsid w:val="00AB2CF3"/>
    <w:rsid w:val="00AB2DAF"/>
    <w:rsid w:val="00AB2DED"/>
    <w:rsid w:val="00AB2E54"/>
    <w:rsid w:val="00AB2F7B"/>
    <w:rsid w:val="00AB304F"/>
    <w:rsid w:val="00AB3116"/>
    <w:rsid w:val="00AB3223"/>
    <w:rsid w:val="00AB3239"/>
    <w:rsid w:val="00AB3254"/>
    <w:rsid w:val="00AB327E"/>
    <w:rsid w:val="00AB328A"/>
    <w:rsid w:val="00AB3442"/>
    <w:rsid w:val="00AB34CE"/>
    <w:rsid w:val="00AB3550"/>
    <w:rsid w:val="00AB3557"/>
    <w:rsid w:val="00AB3819"/>
    <w:rsid w:val="00AB382C"/>
    <w:rsid w:val="00AB397F"/>
    <w:rsid w:val="00AB3AA0"/>
    <w:rsid w:val="00AB3ABB"/>
    <w:rsid w:val="00AB3C09"/>
    <w:rsid w:val="00AB3C31"/>
    <w:rsid w:val="00AB3C81"/>
    <w:rsid w:val="00AB3CC8"/>
    <w:rsid w:val="00AB3D25"/>
    <w:rsid w:val="00AB3D3D"/>
    <w:rsid w:val="00AB3E20"/>
    <w:rsid w:val="00AB3EDC"/>
    <w:rsid w:val="00AB3EE0"/>
    <w:rsid w:val="00AB3FB9"/>
    <w:rsid w:val="00AB41B0"/>
    <w:rsid w:val="00AB427E"/>
    <w:rsid w:val="00AB42B2"/>
    <w:rsid w:val="00AB42B6"/>
    <w:rsid w:val="00AB42FD"/>
    <w:rsid w:val="00AB4333"/>
    <w:rsid w:val="00AB4356"/>
    <w:rsid w:val="00AB43C3"/>
    <w:rsid w:val="00AB4454"/>
    <w:rsid w:val="00AB481F"/>
    <w:rsid w:val="00AB4952"/>
    <w:rsid w:val="00AB49DE"/>
    <w:rsid w:val="00AB4B57"/>
    <w:rsid w:val="00AB4DB2"/>
    <w:rsid w:val="00AB4E2D"/>
    <w:rsid w:val="00AB4E3D"/>
    <w:rsid w:val="00AB4E60"/>
    <w:rsid w:val="00AB4EB4"/>
    <w:rsid w:val="00AB4EC9"/>
    <w:rsid w:val="00AB4EEF"/>
    <w:rsid w:val="00AB4F7D"/>
    <w:rsid w:val="00AB4F91"/>
    <w:rsid w:val="00AB5052"/>
    <w:rsid w:val="00AB5075"/>
    <w:rsid w:val="00AB5079"/>
    <w:rsid w:val="00AB50E8"/>
    <w:rsid w:val="00AB514A"/>
    <w:rsid w:val="00AB52AE"/>
    <w:rsid w:val="00AB52B4"/>
    <w:rsid w:val="00AB52E4"/>
    <w:rsid w:val="00AB5380"/>
    <w:rsid w:val="00AB5384"/>
    <w:rsid w:val="00AB53E2"/>
    <w:rsid w:val="00AB569C"/>
    <w:rsid w:val="00AB58B1"/>
    <w:rsid w:val="00AB599F"/>
    <w:rsid w:val="00AB5AB3"/>
    <w:rsid w:val="00AB5ADE"/>
    <w:rsid w:val="00AB5B16"/>
    <w:rsid w:val="00AB5C4E"/>
    <w:rsid w:val="00AB5FE8"/>
    <w:rsid w:val="00AB5FED"/>
    <w:rsid w:val="00AB607F"/>
    <w:rsid w:val="00AB6192"/>
    <w:rsid w:val="00AB61F0"/>
    <w:rsid w:val="00AB6206"/>
    <w:rsid w:val="00AB63E5"/>
    <w:rsid w:val="00AB648C"/>
    <w:rsid w:val="00AB64C7"/>
    <w:rsid w:val="00AB666D"/>
    <w:rsid w:val="00AB66C6"/>
    <w:rsid w:val="00AB66DC"/>
    <w:rsid w:val="00AB6709"/>
    <w:rsid w:val="00AB67DB"/>
    <w:rsid w:val="00AB68BC"/>
    <w:rsid w:val="00AB6A2D"/>
    <w:rsid w:val="00AB6B37"/>
    <w:rsid w:val="00AB6B94"/>
    <w:rsid w:val="00AB6D2C"/>
    <w:rsid w:val="00AB6D57"/>
    <w:rsid w:val="00AB6E43"/>
    <w:rsid w:val="00AB6E54"/>
    <w:rsid w:val="00AB71FA"/>
    <w:rsid w:val="00AB72B4"/>
    <w:rsid w:val="00AB73BB"/>
    <w:rsid w:val="00AB747D"/>
    <w:rsid w:val="00AB75A6"/>
    <w:rsid w:val="00AB7602"/>
    <w:rsid w:val="00AB76F8"/>
    <w:rsid w:val="00AB773E"/>
    <w:rsid w:val="00AB77C1"/>
    <w:rsid w:val="00AB78B1"/>
    <w:rsid w:val="00AB7924"/>
    <w:rsid w:val="00AB792B"/>
    <w:rsid w:val="00AB79C7"/>
    <w:rsid w:val="00AB7A01"/>
    <w:rsid w:val="00AB7BB1"/>
    <w:rsid w:val="00AB7BB6"/>
    <w:rsid w:val="00AB7BE9"/>
    <w:rsid w:val="00AB7C12"/>
    <w:rsid w:val="00AB7C6A"/>
    <w:rsid w:val="00AB7C9A"/>
    <w:rsid w:val="00AB7CC2"/>
    <w:rsid w:val="00AB7CD9"/>
    <w:rsid w:val="00AB7E50"/>
    <w:rsid w:val="00AB7F5C"/>
    <w:rsid w:val="00AB7F7D"/>
    <w:rsid w:val="00AB7FBF"/>
    <w:rsid w:val="00AB7FF9"/>
    <w:rsid w:val="00AB7FFC"/>
    <w:rsid w:val="00AC010D"/>
    <w:rsid w:val="00AC0157"/>
    <w:rsid w:val="00AC0242"/>
    <w:rsid w:val="00AC032F"/>
    <w:rsid w:val="00AC0433"/>
    <w:rsid w:val="00AC0528"/>
    <w:rsid w:val="00AC06CD"/>
    <w:rsid w:val="00AC0769"/>
    <w:rsid w:val="00AC0A80"/>
    <w:rsid w:val="00AC0B14"/>
    <w:rsid w:val="00AC0BF4"/>
    <w:rsid w:val="00AC0CAC"/>
    <w:rsid w:val="00AC0D1D"/>
    <w:rsid w:val="00AC0D37"/>
    <w:rsid w:val="00AC0DC7"/>
    <w:rsid w:val="00AC0F0F"/>
    <w:rsid w:val="00AC0FD8"/>
    <w:rsid w:val="00AC11B1"/>
    <w:rsid w:val="00AC1246"/>
    <w:rsid w:val="00AC14F0"/>
    <w:rsid w:val="00AC15A4"/>
    <w:rsid w:val="00AC17D0"/>
    <w:rsid w:val="00AC183C"/>
    <w:rsid w:val="00AC18AD"/>
    <w:rsid w:val="00AC191B"/>
    <w:rsid w:val="00AC1C39"/>
    <w:rsid w:val="00AC1CEF"/>
    <w:rsid w:val="00AC1DA5"/>
    <w:rsid w:val="00AC1E82"/>
    <w:rsid w:val="00AC20B6"/>
    <w:rsid w:val="00AC21C3"/>
    <w:rsid w:val="00AC22E0"/>
    <w:rsid w:val="00AC22FF"/>
    <w:rsid w:val="00AC2361"/>
    <w:rsid w:val="00AC243B"/>
    <w:rsid w:val="00AC2456"/>
    <w:rsid w:val="00AC245E"/>
    <w:rsid w:val="00AC258E"/>
    <w:rsid w:val="00AC2642"/>
    <w:rsid w:val="00AC26E6"/>
    <w:rsid w:val="00AC26F6"/>
    <w:rsid w:val="00AC27AC"/>
    <w:rsid w:val="00AC2985"/>
    <w:rsid w:val="00AC2A15"/>
    <w:rsid w:val="00AC2A25"/>
    <w:rsid w:val="00AC2B5F"/>
    <w:rsid w:val="00AC2BFD"/>
    <w:rsid w:val="00AC2C0C"/>
    <w:rsid w:val="00AC2D54"/>
    <w:rsid w:val="00AC2E76"/>
    <w:rsid w:val="00AC30BF"/>
    <w:rsid w:val="00AC3147"/>
    <w:rsid w:val="00AC3154"/>
    <w:rsid w:val="00AC31A6"/>
    <w:rsid w:val="00AC3235"/>
    <w:rsid w:val="00AC327E"/>
    <w:rsid w:val="00AC3305"/>
    <w:rsid w:val="00AC3341"/>
    <w:rsid w:val="00AC33D0"/>
    <w:rsid w:val="00AC34F0"/>
    <w:rsid w:val="00AC3548"/>
    <w:rsid w:val="00AC3553"/>
    <w:rsid w:val="00AC35E4"/>
    <w:rsid w:val="00AC35E5"/>
    <w:rsid w:val="00AC36E4"/>
    <w:rsid w:val="00AC36F2"/>
    <w:rsid w:val="00AC3731"/>
    <w:rsid w:val="00AC37EC"/>
    <w:rsid w:val="00AC38A1"/>
    <w:rsid w:val="00AC38B5"/>
    <w:rsid w:val="00AC38D9"/>
    <w:rsid w:val="00AC39B6"/>
    <w:rsid w:val="00AC3A9C"/>
    <w:rsid w:val="00AC3DEA"/>
    <w:rsid w:val="00AC3E00"/>
    <w:rsid w:val="00AC3EFF"/>
    <w:rsid w:val="00AC3F81"/>
    <w:rsid w:val="00AC40DF"/>
    <w:rsid w:val="00AC4155"/>
    <w:rsid w:val="00AC430C"/>
    <w:rsid w:val="00AC4467"/>
    <w:rsid w:val="00AC465D"/>
    <w:rsid w:val="00AC47A3"/>
    <w:rsid w:val="00AC47A5"/>
    <w:rsid w:val="00AC4CDC"/>
    <w:rsid w:val="00AC4D91"/>
    <w:rsid w:val="00AC4F42"/>
    <w:rsid w:val="00AC4F88"/>
    <w:rsid w:val="00AC5080"/>
    <w:rsid w:val="00AC50DE"/>
    <w:rsid w:val="00AC5107"/>
    <w:rsid w:val="00AC515A"/>
    <w:rsid w:val="00AC5171"/>
    <w:rsid w:val="00AC51B5"/>
    <w:rsid w:val="00AC542F"/>
    <w:rsid w:val="00AC549A"/>
    <w:rsid w:val="00AC54DF"/>
    <w:rsid w:val="00AC564B"/>
    <w:rsid w:val="00AC57A4"/>
    <w:rsid w:val="00AC5998"/>
    <w:rsid w:val="00AC5A11"/>
    <w:rsid w:val="00AC5AF1"/>
    <w:rsid w:val="00AC5C79"/>
    <w:rsid w:val="00AC5D9E"/>
    <w:rsid w:val="00AC5FF9"/>
    <w:rsid w:val="00AC6207"/>
    <w:rsid w:val="00AC6265"/>
    <w:rsid w:val="00AC6273"/>
    <w:rsid w:val="00AC62D8"/>
    <w:rsid w:val="00AC648B"/>
    <w:rsid w:val="00AC65D9"/>
    <w:rsid w:val="00AC65E0"/>
    <w:rsid w:val="00AC65F1"/>
    <w:rsid w:val="00AC68D7"/>
    <w:rsid w:val="00AC69CB"/>
    <w:rsid w:val="00AC6A05"/>
    <w:rsid w:val="00AC6BB7"/>
    <w:rsid w:val="00AC6C7B"/>
    <w:rsid w:val="00AC6DEA"/>
    <w:rsid w:val="00AC6E3D"/>
    <w:rsid w:val="00AC6EE1"/>
    <w:rsid w:val="00AC710A"/>
    <w:rsid w:val="00AC71FE"/>
    <w:rsid w:val="00AC71FF"/>
    <w:rsid w:val="00AC7318"/>
    <w:rsid w:val="00AC7468"/>
    <w:rsid w:val="00AC752B"/>
    <w:rsid w:val="00AC7567"/>
    <w:rsid w:val="00AC75D9"/>
    <w:rsid w:val="00AC76D0"/>
    <w:rsid w:val="00AC76D7"/>
    <w:rsid w:val="00AC76ED"/>
    <w:rsid w:val="00AC78F0"/>
    <w:rsid w:val="00AC796B"/>
    <w:rsid w:val="00AC7AF3"/>
    <w:rsid w:val="00AC7B05"/>
    <w:rsid w:val="00AC7B1C"/>
    <w:rsid w:val="00AC7BC2"/>
    <w:rsid w:val="00AC7CA9"/>
    <w:rsid w:val="00AC7D69"/>
    <w:rsid w:val="00AC7EB0"/>
    <w:rsid w:val="00AC7F2B"/>
    <w:rsid w:val="00AC7F9D"/>
    <w:rsid w:val="00AC7FE1"/>
    <w:rsid w:val="00AC7FEC"/>
    <w:rsid w:val="00AD001E"/>
    <w:rsid w:val="00AD00A2"/>
    <w:rsid w:val="00AD00EB"/>
    <w:rsid w:val="00AD01A6"/>
    <w:rsid w:val="00AD01B5"/>
    <w:rsid w:val="00AD0321"/>
    <w:rsid w:val="00AD03FA"/>
    <w:rsid w:val="00AD0730"/>
    <w:rsid w:val="00AD076E"/>
    <w:rsid w:val="00AD07E6"/>
    <w:rsid w:val="00AD0821"/>
    <w:rsid w:val="00AD0848"/>
    <w:rsid w:val="00AD094E"/>
    <w:rsid w:val="00AD09F6"/>
    <w:rsid w:val="00AD0A25"/>
    <w:rsid w:val="00AD0A5B"/>
    <w:rsid w:val="00AD0A5D"/>
    <w:rsid w:val="00AD0AA9"/>
    <w:rsid w:val="00AD0B4E"/>
    <w:rsid w:val="00AD0C5B"/>
    <w:rsid w:val="00AD0D80"/>
    <w:rsid w:val="00AD0F11"/>
    <w:rsid w:val="00AD10A6"/>
    <w:rsid w:val="00AD112A"/>
    <w:rsid w:val="00AD112F"/>
    <w:rsid w:val="00AD1242"/>
    <w:rsid w:val="00AD1426"/>
    <w:rsid w:val="00AD149F"/>
    <w:rsid w:val="00AD15A4"/>
    <w:rsid w:val="00AD17AB"/>
    <w:rsid w:val="00AD1830"/>
    <w:rsid w:val="00AD1860"/>
    <w:rsid w:val="00AD1B17"/>
    <w:rsid w:val="00AD1C2B"/>
    <w:rsid w:val="00AD1C5B"/>
    <w:rsid w:val="00AD1D3D"/>
    <w:rsid w:val="00AD1D57"/>
    <w:rsid w:val="00AD1D93"/>
    <w:rsid w:val="00AD1E10"/>
    <w:rsid w:val="00AD1E54"/>
    <w:rsid w:val="00AD1EE8"/>
    <w:rsid w:val="00AD2026"/>
    <w:rsid w:val="00AD2147"/>
    <w:rsid w:val="00AD2237"/>
    <w:rsid w:val="00AD231A"/>
    <w:rsid w:val="00AD2443"/>
    <w:rsid w:val="00AD244B"/>
    <w:rsid w:val="00AD2456"/>
    <w:rsid w:val="00AD26D8"/>
    <w:rsid w:val="00AD27F1"/>
    <w:rsid w:val="00AD27F9"/>
    <w:rsid w:val="00AD2909"/>
    <w:rsid w:val="00AD2AC3"/>
    <w:rsid w:val="00AD2B63"/>
    <w:rsid w:val="00AD2B72"/>
    <w:rsid w:val="00AD2BF8"/>
    <w:rsid w:val="00AD2CEF"/>
    <w:rsid w:val="00AD2E4D"/>
    <w:rsid w:val="00AD2F27"/>
    <w:rsid w:val="00AD2F8B"/>
    <w:rsid w:val="00AD3043"/>
    <w:rsid w:val="00AD30C0"/>
    <w:rsid w:val="00AD3130"/>
    <w:rsid w:val="00AD3286"/>
    <w:rsid w:val="00AD32C2"/>
    <w:rsid w:val="00AD3417"/>
    <w:rsid w:val="00AD341B"/>
    <w:rsid w:val="00AD343D"/>
    <w:rsid w:val="00AD34B5"/>
    <w:rsid w:val="00AD363C"/>
    <w:rsid w:val="00AD3813"/>
    <w:rsid w:val="00AD384B"/>
    <w:rsid w:val="00AD394B"/>
    <w:rsid w:val="00AD39D3"/>
    <w:rsid w:val="00AD3CE3"/>
    <w:rsid w:val="00AD3EC5"/>
    <w:rsid w:val="00AD3FE1"/>
    <w:rsid w:val="00AD4038"/>
    <w:rsid w:val="00AD4119"/>
    <w:rsid w:val="00AD41C0"/>
    <w:rsid w:val="00AD4371"/>
    <w:rsid w:val="00AD4451"/>
    <w:rsid w:val="00AD4513"/>
    <w:rsid w:val="00AD4655"/>
    <w:rsid w:val="00AD472A"/>
    <w:rsid w:val="00AD4758"/>
    <w:rsid w:val="00AD4937"/>
    <w:rsid w:val="00AD493B"/>
    <w:rsid w:val="00AD493C"/>
    <w:rsid w:val="00AD4A03"/>
    <w:rsid w:val="00AD4A07"/>
    <w:rsid w:val="00AD4A4B"/>
    <w:rsid w:val="00AD4B93"/>
    <w:rsid w:val="00AD4BD7"/>
    <w:rsid w:val="00AD4BF7"/>
    <w:rsid w:val="00AD4CD1"/>
    <w:rsid w:val="00AD4E20"/>
    <w:rsid w:val="00AD4EC0"/>
    <w:rsid w:val="00AD4EDD"/>
    <w:rsid w:val="00AD4EEB"/>
    <w:rsid w:val="00AD50AE"/>
    <w:rsid w:val="00AD5110"/>
    <w:rsid w:val="00AD5171"/>
    <w:rsid w:val="00AD5258"/>
    <w:rsid w:val="00AD53DF"/>
    <w:rsid w:val="00AD5414"/>
    <w:rsid w:val="00AD5548"/>
    <w:rsid w:val="00AD5744"/>
    <w:rsid w:val="00AD57EC"/>
    <w:rsid w:val="00AD599B"/>
    <w:rsid w:val="00AD5A46"/>
    <w:rsid w:val="00AD5BCC"/>
    <w:rsid w:val="00AD5C0D"/>
    <w:rsid w:val="00AD5D54"/>
    <w:rsid w:val="00AD5D6D"/>
    <w:rsid w:val="00AD6019"/>
    <w:rsid w:val="00AD604E"/>
    <w:rsid w:val="00AD6065"/>
    <w:rsid w:val="00AD60E3"/>
    <w:rsid w:val="00AD6234"/>
    <w:rsid w:val="00AD648B"/>
    <w:rsid w:val="00AD649D"/>
    <w:rsid w:val="00AD6596"/>
    <w:rsid w:val="00AD6672"/>
    <w:rsid w:val="00AD6679"/>
    <w:rsid w:val="00AD668C"/>
    <w:rsid w:val="00AD6697"/>
    <w:rsid w:val="00AD66C6"/>
    <w:rsid w:val="00AD682B"/>
    <w:rsid w:val="00AD68DA"/>
    <w:rsid w:val="00AD694B"/>
    <w:rsid w:val="00AD6A7E"/>
    <w:rsid w:val="00AD6A8A"/>
    <w:rsid w:val="00AD6C75"/>
    <w:rsid w:val="00AD6CBF"/>
    <w:rsid w:val="00AD6DC6"/>
    <w:rsid w:val="00AD6E7C"/>
    <w:rsid w:val="00AD6EE6"/>
    <w:rsid w:val="00AD6F0F"/>
    <w:rsid w:val="00AD6F39"/>
    <w:rsid w:val="00AD6F77"/>
    <w:rsid w:val="00AD7034"/>
    <w:rsid w:val="00AD71B8"/>
    <w:rsid w:val="00AD724D"/>
    <w:rsid w:val="00AD726E"/>
    <w:rsid w:val="00AD72BD"/>
    <w:rsid w:val="00AD7321"/>
    <w:rsid w:val="00AD7366"/>
    <w:rsid w:val="00AD738E"/>
    <w:rsid w:val="00AD740B"/>
    <w:rsid w:val="00AD741B"/>
    <w:rsid w:val="00AD7454"/>
    <w:rsid w:val="00AD761E"/>
    <w:rsid w:val="00AD7639"/>
    <w:rsid w:val="00AD784B"/>
    <w:rsid w:val="00AD7877"/>
    <w:rsid w:val="00AD796A"/>
    <w:rsid w:val="00AD7983"/>
    <w:rsid w:val="00AD7A42"/>
    <w:rsid w:val="00AD7AD4"/>
    <w:rsid w:val="00AD7B4B"/>
    <w:rsid w:val="00AD7BB4"/>
    <w:rsid w:val="00AD7BD6"/>
    <w:rsid w:val="00AD7BF2"/>
    <w:rsid w:val="00AD7D66"/>
    <w:rsid w:val="00AD7DD1"/>
    <w:rsid w:val="00AD7DE0"/>
    <w:rsid w:val="00AD7E17"/>
    <w:rsid w:val="00AD7E7D"/>
    <w:rsid w:val="00AD7F14"/>
    <w:rsid w:val="00AE001A"/>
    <w:rsid w:val="00AE004B"/>
    <w:rsid w:val="00AE0072"/>
    <w:rsid w:val="00AE0094"/>
    <w:rsid w:val="00AE020B"/>
    <w:rsid w:val="00AE0309"/>
    <w:rsid w:val="00AE038C"/>
    <w:rsid w:val="00AE03B9"/>
    <w:rsid w:val="00AE03DB"/>
    <w:rsid w:val="00AE0491"/>
    <w:rsid w:val="00AE04E0"/>
    <w:rsid w:val="00AE0520"/>
    <w:rsid w:val="00AE05AD"/>
    <w:rsid w:val="00AE0639"/>
    <w:rsid w:val="00AE06D3"/>
    <w:rsid w:val="00AE08A7"/>
    <w:rsid w:val="00AE0AE8"/>
    <w:rsid w:val="00AE0B37"/>
    <w:rsid w:val="00AE0CED"/>
    <w:rsid w:val="00AE0D2D"/>
    <w:rsid w:val="00AE0D63"/>
    <w:rsid w:val="00AE0DAE"/>
    <w:rsid w:val="00AE0EF8"/>
    <w:rsid w:val="00AE0FF1"/>
    <w:rsid w:val="00AE10E0"/>
    <w:rsid w:val="00AE1142"/>
    <w:rsid w:val="00AE1226"/>
    <w:rsid w:val="00AE1278"/>
    <w:rsid w:val="00AE1321"/>
    <w:rsid w:val="00AE132C"/>
    <w:rsid w:val="00AE1333"/>
    <w:rsid w:val="00AE1363"/>
    <w:rsid w:val="00AE148B"/>
    <w:rsid w:val="00AE148C"/>
    <w:rsid w:val="00AE15BB"/>
    <w:rsid w:val="00AE161C"/>
    <w:rsid w:val="00AE1760"/>
    <w:rsid w:val="00AE17A6"/>
    <w:rsid w:val="00AE182C"/>
    <w:rsid w:val="00AE192B"/>
    <w:rsid w:val="00AE19CF"/>
    <w:rsid w:val="00AE1B85"/>
    <w:rsid w:val="00AE1B9A"/>
    <w:rsid w:val="00AE1DC5"/>
    <w:rsid w:val="00AE1E7C"/>
    <w:rsid w:val="00AE1F58"/>
    <w:rsid w:val="00AE1F82"/>
    <w:rsid w:val="00AE219B"/>
    <w:rsid w:val="00AE21C2"/>
    <w:rsid w:val="00AE2482"/>
    <w:rsid w:val="00AE24AD"/>
    <w:rsid w:val="00AE24FC"/>
    <w:rsid w:val="00AE2545"/>
    <w:rsid w:val="00AE25AD"/>
    <w:rsid w:val="00AE2650"/>
    <w:rsid w:val="00AE2669"/>
    <w:rsid w:val="00AE274C"/>
    <w:rsid w:val="00AE2843"/>
    <w:rsid w:val="00AE286A"/>
    <w:rsid w:val="00AE29B6"/>
    <w:rsid w:val="00AE2A18"/>
    <w:rsid w:val="00AE2E4E"/>
    <w:rsid w:val="00AE2EA6"/>
    <w:rsid w:val="00AE2EB0"/>
    <w:rsid w:val="00AE3095"/>
    <w:rsid w:val="00AE3235"/>
    <w:rsid w:val="00AE325B"/>
    <w:rsid w:val="00AE3311"/>
    <w:rsid w:val="00AE332E"/>
    <w:rsid w:val="00AE337B"/>
    <w:rsid w:val="00AE339A"/>
    <w:rsid w:val="00AE33EB"/>
    <w:rsid w:val="00AE3440"/>
    <w:rsid w:val="00AE352E"/>
    <w:rsid w:val="00AE36DF"/>
    <w:rsid w:val="00AE373C"/>
    <w:rsid w:val="00AE3766"/>
    <w:rsid w:val="00AE3910"/>
    <w:rsid w:val="00AE3979"/>
    <w:rsid w:val="00AE3A73"/>
    <w:rsid w:val="00AE3AB9"/>
    <w:rsid w:val="00AE3B46"/>
    <w:rsid w:val="00AE3D6A"/>
    <w:rsid w:val="00AE3D86"/>
    <w:rsid w:val="00AE3E3B"/>
    <w:rsid w:val="00AE3E45"/>
    <w:rsid w:val="00AE3E92"/>
    <w:rsid w:val="00AE3ECC"/>
    <w:rsid w:val="00AE3F82"/>
    <w:rsid w:val="00AE3FF2"/>
    <w:rsid w:val="00AE4018"/>
    <w:rsid w:val="00AE4056"/>
    <w:rsid w:val="00AE40BF"/>
    <w:rsid w:val="00AE4443"/>
    <w:rsid w:val="00AE445C"/>
    <w:rsid w:val="00AE44A2"/>
    <w:rsid w:val="00AE44B9"/>
    <w:rsid w:val="00AE45EB"/>
    <w:rsid w:val="00AE4657"/>
    <w:rsid w:val="00AE484E"/>
    <w:rsid w:val="00AE486A"/>
    <w:rsid w:val="00AE4910"/>
    <w:rsid w:val="00AE4917"/>
    <w:rsid w:val="00AE4966"/>
    <w:rsid w:val="00AE4981"/>
    <w:rsid w:val="00AE498F"/>
    <w:rsid w:val="00AE4A97"/>
    <w:rsid w:val="00AE4ACC"/>
    <w:rsid w:val="00AE4AFE"/>
    <w:rsid w:val="00AE4C2D"/>
    <w:rsid w:val="00AE4D38"/>
    <w:rsid w:val="00AE4D99"/>
    <w:rsid w:val="00AE4DEF"/>
    <w:rsid w:val="00AE4DFB"/>
    <w:rsid w:val="00AE4E51"/>
    <w:rsid w:val="00AE4E8E"/>
    <w:rsid w:val="00AE4F58"/>
    <w:rsid w:val="00AE4F7F"/>
    <w:rsid w:val="00AE504F"/>
    <w:rsid w:val="00AE50A3"/>
    <w:rsid w:val="00AE521C"/>
    <w:rsid w:val="00AE5232"/>
    <w:rsid w:val="00AE5295"/>
    <w:rsid w:val="00AE52C0"/>
    <w:rsid w:val="00AE5326"/>
    <w:rsid w:val="00AE5339"/>
    <w:rsid w:val="00AE5473"/>
    <w:rsid w:val="00AE548E"/>
    <w:rsid w:val="00AE5548"/>
    <w:rsid w:val="00AE55B2"/>
    <w:rsid w:val="00AE55B4"/>
    <w:rsid w:val="00AE5608"/>
    <w:rsid w:val="00AE5729"/>
    <w:rsid w:val="00AE5767"/>
    <w:rsid w:val="00AE58C6"/>
    <w:rsid w:val="00AE591F"/>
    <w:rsid w:val="00AE5FEC"/>
    <w:rsid w:val="00AE5FF0"/>
    <w:rsid w:val="00AE5FF5"/>
    <w:rsid w:val="00AE61AF"/>
    <w:rsid w:val="00AE61BD"/>
    <w:rsid w:val="00AE63E2"/>
    <w:rsid w:val="00AE6541"/>
    <w:rsid w:val="00AE668F"/>
    <w:rsid w:val="00AE6769"/>
    <w:rsid w:val="00AE6798"/>
    <w:rsid w:val="00AE67B9"/>
    <w:rsid w:val="00AE68EF"/>
    <w:rsid w:val="00AE6939"/>
    <w:rsid w:val="00AE6A98"/>
    <w:rsid w:val="00AE6AAD"/>
    <w:rsid w:val="00AE6AF4"/>
    <w:rsid w:val="00AE6E13"/>
    <w:rsid w:val="00AE6F1C"/>
    <w:rsid w:val="00AE6F25"/>
    <w:rsid w:val="00AE7135"/>
    <w:rsid w:val="00AE71BA"/>
    <w:rsid w:val="00AE72BB"/>
    <w:rsid w:val="00AE7336"/>
    <w:rsid w:val="00AE745B"/>
    <w:rsid w:val="00AE74AE"/>
    <w:rsid w:val="00AE7526"/>
    <w:rsid w:val="00AE7610"/>
    <w:rsid w:val="00AE7669"/>
    <w:rsid w:val="00AE773F"/>
    <w:rsid w:val="00AE7886"/>
    <w:rsid w:val="00AE78BB"/>
    <w:rsid w:val="00AE7957"/>
    <w:rsid w:val="00AE7A16"/>
    <w:rsid w:val="00AE7B2B"/>
    <w:rsid w:val="00AE7DE1"/>
    <w:rsid w:val="00AE7E2F"/>
    <w:rsid w:val="00AE7EA8"/>
    <w:rsid w:val="00AE7FA3"/>
    <w:rsid w:val="00AE7FDF"/>
    <w:rsid w:val="00AE7FF1"/>
    <w:rsid w:val="00AF00BF"/>
    <w:rsid w:val="00AF01B6"/>
    <w:rsid w:val="00AF03F1"/>
    <w:rsid w:val="00AF0420"/>
    <w:rsid w:val="00AF045E"/>
    <w:rsid w:val="00AF0493"/>
    <w:rsid w:val="00AF04BC"/>
    <w:rsid w:val="00AF052C"/>
    <w:rsid w:val="00AF0834"/>
    <w:rsid w:val="00AF0854"/>
    <w:rsid w:val="00AF08EC"/>
    <w:rsid w:val="00AF0A1A"/>
    <w:rsid w:val="00AF0A7F"/>
    <w:rsid w:val="00AF0B5A"/>
    <w:rsid w:val="00AF0C09"/>
    <w:rsid w:val="00AF0CBC"/>
    <w:rsid w:val="00AF0EDA"/>
    <w:rsid w:val="00AF0F11"/>
    <w:rsid w:val="00AF0FF0"/>
    <w:rsid w:val="00AF1160"/>
    <w:rsid w:val="00AF1175"/>
    <w:rsid w:val="00AF1196"/>
    <w:rsid w:val="00AF122C"/>
    <w:rsid w:val="00AF13AB"/>
    <w:rsid w:val="00AF1506"/>
    <w:rsid w:val="00AF15E3"/>
    <w:rsid w:val="00AF1744"/>
    <w:rsid w:val="00AF1804"/>
    <w:rsid w:val="00AF19D5"/>
    <w:rsid w:val="00AF1C2F"/>
    <w:rsid w:val="00AF1DA4"/>
    <w:rsid w:val="00AF1DD4"/>
    <w:rsid w:val="00AF1EBB"/>
    <w:rsid w:val="00AF200D"/>
    <w:rsid w:val="00AF20FC"/>
    <w:rsid w:val="00AF2154"/>
    <w:rsid w:val="00AF21A9"/>
    <w:rsid w:val="00AF2444"/>
    <w:rsid w:val="00AF2523"/>
    <w:rsid w:val="00AF2577"/>
    <w:rsid w:val="00AF25D1"/>
    <w:rsid w:val="00AF26B0"/>
    <w:rsid w:val="00AF274B"/>
    <w:rsid w:val="00AF282B"/>
    <w:rsid w:val="00AF2880"/>
    <w:rsid w:val="00AF289F"/>
    <w:rsid w:val="00AF297B"/>
    <w:rsid w:val="00AF29F3"/>
    <w:rsid w:val="00AF2A72"/>
    <w:rsid w:val="00AF2AF6"/>
    <w:rsid w:val="00AF2BAD"/>
    <w:rsid w:val="00AF2D2D"/>
    <w:rsid w:val="00AF2E7C"/>
    <w:rsid w:val="00AF2F13"/>
    <w:rsid w:val="00AF305A"/>
    <w:rsid w:val="00AF314B"/>
    <w:rsid w:val="00AF317E"/>
    <w:rsid w:val="00AF32A3"/>
    <w:rsid w:val="00AF3390"/>
    <w:rsid w:val="00AF339F"/>
    <w:rsid w:val="00AF3404"/>
    <w:rsid w:val="00AF3520"/>
    <w:rsid w:val="00AF3779"/>
    <w:rsid w:val="00AF38E6"/>
    <w:rsid w:val="00AF3B0A"/>
    <w:rsid w:val="00AF3D00"/>
    <w:rsid w:val="00AF3D1C"/>
    <w:rsid w:val="00AF3D33"/>
    <w:rsid w:val="00AF3DB0"/>
    <w:rsid w:val="00AF3DB9"/>
    <w:rsid w:val="00AF3DD5"/>
    <w:rsid w:val="00AF3DF1"/>
    <w:rsid w:val="00AF3F7C"/>
    <w:rsid w:val="00AF4136"/>
    <w:rsid w:val="00AF41AF"/>
    <w:rsid w:val="00AF4232"/>
    <w:rsid w:val="00AF4260"/>
    <w:rsid w:val="00AF42C2"/>
    <w:rsid w:val="00AF4371"/>
    <w:rsid w:val="00AF445F"/>
    <w:rsid w:val="00AF46EB"/>
    <w:rsid w:val="00AF4853"/>
    <w:rsid w:val="00AF4867"/>
    <w:rsid w:val="00AF494B"/>
    <w:rsid w:val="00AF4C4C"/>
    <w:rsid w:val="00AF4D30"/>
    <w:rsid w:val="00AF4D70"/>
    <w:rsid w:val="00AF4DF3"/>
    <w:rsid w:val="00AF4E07"/>
    <w:rsid w:val="00AF4E0C"/>
    <w:rsid w:val="00AF4E4B"/>
    <w:rsid w:val="00AF4E56"/>
    <w:rsid w:val="00AF4E91"/>
    <w:rsid w:val="00AF4F55"/>
    <w:rsid w:val="00AF4FFB"/>
    <w:rsid w:val="00AF51B5"/>
    <w:rsid w:val="00AF51F4"/>
    <w:rsid w:val="00AF51FE"/>
    <w:rsid w:val="00AF526E"/>
    <w:rsid w:val="00AF5298"/>
    <w:rsid w:val="00AF535F"/>
    <w:rsid w:val="00AF5362"/>
    <w:rsid w:val="00AF5388"/>
    <w:rsid w:val="00AF53EB"/>
    <w:rsid w:val="00AF53F3"/>
    <w:rsid w:val="00AF5468"/>
    <w:rsid w:val="00AF5505"/>
    <w:rsid w:val="00AF5654"/>
    <w:rsid w:val="00AF5697"/>
    <w:rsid w:val="00AF56C3"/>
    <w:rsid w:val="00AF5711"/>
    <w:rsid w:val="00AF5792"/>
    <w:rsid w:val="00AF57AD"/>
    <w:rsid w:val="00AF5915"/>
    <w:rsid w:val="00AF5931"/>
    <w:rsid w:val="00AF5A6F"/>
    <w:rsid w:val="00AF5B84"/>
    <w:rsid w:val="00AF5C17"/>
    <w:rsid w:val="00AF5C6A"/>
    <w:rsid w:val="00AF5C72"/>
    <w:rsid w:val="00AF5CA4"/>
    <w:rsid w:val="00AF5DC0"/>
    <w:rsid w:val="00AF5E6F"/>
    <w:rsid w:val="00AF5EA7"/>
    <w:rsid w:val="00AF5F47"/>
    <w:rsid w:val="00AF5F77"/>
    <w:rsid w:val="00AF6021"/>
    <w:rsid w:val="00AF6090"/>
    <w:rsid w:val="00AF6165"/>
    <w:rsid w:val="00AF621C"/>
    <w:rsid w:val="00AF62C9"/>
    <w:rsid w:val="00AF6314"/>
    <w:rsid w:val="00AF645C"/>
    <w:rsid w:val="00AF64AD"/>
    <w:rsid w:val="00AF64C9"/>
    <w:rsid w:val="00AF64E6"/>
    <w:rsid w:val="00AF650D"/>
    <w:rsid w:val="00AF668D"/>
    <w:rsid w:val="00AF66C7"/>
    <w:rsid w:val="00AF6898"/>
    <w:rsid w:val="00AF6ABF"/>
    <w:rsid w:val="00AF6B07"/>
    <w:rsid w:val="00AF6B82"/>
    <w:rsid w:val="00AF6C11"/>
    <w:rsid w:val="00AF6FCD"/>
    <w:rsid w:val="00AF7042"/>
    <w:rsid w:val="00AF70DC"/>
    <w:rsid w:val="00AF718C"/>
    <w:rsid w:val="00AF72B6"/>
    <w:rsid w:val="00AF73B8"/>
    <w:rsid w:val="00AF7421"/>
    <w:rsid w:val="00AF75FB"/>
    <w:rsid w:val="00AF7754"/>
    <w:rsid w:val="00AF7788"/>
    <w:rsid w:val="00AF78D9"/>
    <w:rsid w:val="00AF791F"/>
    <w:rsid w:val="00AF7A02"/>
    <w:rsid w:val="00AF7AA1"/>
    <w:rsid w:val="00AF7AA6"/>
    <w:rsid w:val="00AF7B27"/>
    <w:rsid w:val="00AF7B74"/>
    <w:rsid w:val="00AF7CC3"/>
    <w:rsid w:val="00AF7DDE"/>
    <w:rsid w:val="00AF7E37"/>
    <w:rsid w:val="00B0005D"/>
    <w:rsid w:val="00B000C2"/>
    <w:rsid w:val="00B00153"/>
    <w:rsid w:val="00B001EA"/>
    <w:rsid w:val="00B002DD"/>
    <w:rsid w:val="00B00347"/>
    <w:rsid w:val="00B00373"/>
    <w:rsid w:val="00B00525"/>
    <w:rsid w:val="00B0075A"/>
    <w:rsid w:val="00B00765"/>
    <w:rsid w:val="00B007CF"/>
    <w:rsid w:val="00B008E3"/>
    <w:rsid w:val="00B00942"/>
    <w:rsid w:val="00B0094F"/>
    <w:rsid w:val="00B00A0D"/>
    <w:rsid w:val="00B00AF7"/>
    <w:rsid w:val="00B00C34"/>
    <w:rsid w:val="00B00C9E"/>
    <w:rsid w:val="00B00CAB"/>
    <w:rsid w:val="00B00D31"/>
    <w:rsid w:val="00B00DAC"/>
    <w:rsid w:val="00B00ECD"/>
    <w:rsid w:val="00B00F09"/>
    <w:rsid w:val="00B00F26"/>
    <w:rsid w:val="00B00F70"/>
    <w:rsid w:val="00B00F75"/>
    <w:rsid w:val="00B00F83"/>
    <w:rsid w:val="00B00FBD"/>
    <w:rsid w:val="00B01254"/>
    <w:rsid w:val="00B012A5"/>
    <w:rsid w:val="00B01355"/>
    <w:rsid w:val="00B013A8"/>
    <w:rsid w:val="00B0153C"/>
    <w:rsid w:val="00B015B6"/>
    <w:rsid w:val="00B01681"/>
    <w:rsid w:val="00B017D3"/>
    <w:rsid w:val="00B0182D"/>
    <w:rsid w:val="00B01ADC"/>
    <w:rsid w:val="00B01AFD"/>
    <w:rsid w:val="00B01C3B"/>
    <w:rsid w:val="00B01C40"/>
    <w:rsid w:val="00B01F6B"/>
    <w:rsid w:val="00B01F82"/>
    <w:rsid w:val="00B02113"/>
    <w:rsid w:val="00B0222B"/>
    <w:rsid w:val="00B02362"/>
    <w:rsid w:val="00B0236C"/>
    <w:rsid w:val="00B0241A"/>
    <w:rsid w:val="00B02454"/>
    <w:rsid w:val="00B024F8"/>
    <w:rsid w:val="00B025F3"/>
    <w:rsid w:val="00B02830"/>
    <w:rsid w:val="00B0284A"/>
    <w:rsid w:val="00B02875"/>
    <w:rsid w:val="00B028D7"/>
    <w:rsid w:val="00B02C8D"/>
    <w:rsid w:val="00B02CCD"/>
    <w:rsid w:val="00B02D0F"/>
    <w:rsid w:val="00B02DBB"/>
    <w:rsid w:val="00B02E00"/>
    <w:rsid w:val="00B02F1C"/>
    <w:rsid w:val="00B02F9B"/>
    <w:rsid w:val="00B0328B"/>
    <w:rsid w:val="00B0330D"/>
    <w:rsid w:val="00B033CD"/>
    <w:rsid w:val="00B0352F"/>
    <w:rsid w:val="00B037C9"/>
    <w:rsid w:val="00B037E3"/>
    <w:rsid w:val="00B03862"/>
    <w:rsid w:val="00B03981"/>
    <w:rsid w:val="00B03B97"/>
    <w:rsid w:val="00B03BBE"/>
    <w:rsid w:val="00B03BFD"/>
    <w:rsid w:val="00B03E14"/>
    <w:rsid w:val="00B03F4F"/>
    <w:rsid w:val="00B0401B"/>
    <w:rsid w:val="00B04073"/>
    <w:rsid w:val="00B040BB"/>
    <w:rsid w:val="00B0410E"/>
    <w:rsid w:val="00B04198"/>
    <w:rsid w:val="00B042BD"/>
    <w:rsid w:val="00B045C5"/>
    <w:rsid w:val="00B04851"/>
    <w:rsid w:val="00B04868"/>
    <w:rsid w:val="00B04BBD"/>
    <w:rsid w:val="00B04C2F"/>
    <w:rsid w:val="00B04CD0"/>
    <w:rsid w:val="00B04D57"/>
    <w:rsid w:val="00B04D64"/>
    <w:rsid w:val="00B04D81"/>
    <w:rsid w:val="00B04ECD"/>
    <w:rsid w:val="00B04FD7"/>
    <w:rsid w:val="00B04FE9"/>
    <w:rsid w:val="00B0504F"/>
    <w:rsid w:val="00B050B1"/>
    <w:rsid w:val="00B0516A"/>
    <w:rsid w:val="00B0527A"/>
    <w:rsid w:val="00B053D1"/>
    <w:rsid w:val="00B05426"/>
    <w:rsid w:val="00B05545"/>
    <w:rsid w:val="00B05680"/>
    <w:rsid w:val="00B05972"/>
    <w:rsid w:val="00B05A64"/>
    <w:rsid w:val="00B05A82"/>
    <w:rsid w:val="00B05C1F"/>
    <w:rsid w:val="00B05CB1"/>
    <w:rsid w:val="00B05DE2"/>
    <w:rsid w:val="00B05DEE"/>
    <w:rsid w:val="00B05F12"/>
    <w:rsid w:val="00B06009"/>
    <w:rsid w:val="00B0621B"/>
    <w:rsid w:val="00B062DE"/>
    <w:rsid w:val="00B064BD"/>
    <w:rsid w:val="00B06515"/>
    <w:rsid w:val="00B06681"/>
    <w:rsid w:val="00B066A9"/>
    <w:rsid w:val="00B06784"/>
    <w:rsid w:val="00B067A9"/>
    <w:rsid w:val="00B067C2"/>
    <w:rsid w:val="00B06867"/>
    <w:rsid w:val="00B068CF"/>
    <w:rsid w:val="00B068ED"/>
    <w:rsid w:val="00B06931"/>
    <w:rsid w:val="00B06A8F"/>
    <w:rsid w:val="00B06B26"/>
    <w:rsid w:val="00B06B57"/>
    <w:rsid w:val="00B06BA9"/>
    <w:rsid w:val="00B06BF5"/>
    <w:rsid w:val="00B06D18"/>
    <w:rsid w:val="00B06F08"/>
    <w:rsid w:val="00B06FAC"/>
    <w:rsid w:val="00B07006"/>
    <w:rsid w:val="00B070AC"/>
    <w:rsid w:val="00B070E4"/>
    <w:rsid w:val="00B071DE"/>
    <w:rsid w:val="00B07205"/>
    <w:rsid w:val="00B072F5"/>
    <w:rsid w:val="00B07484"/>
    <w:rsid w:val="00B076BF"/>
    <w:rsid w:val="00B076F7"/>
    <w:rsid w:val="00B07892"/>
    <w:rsid w:val="00B078BD"/>
    <w:rsid w:val="00B07B26"/>
    <w:rsid w:val="00B07B50"/>
    <w:rsid w:val="00B07B5E"/>
    <w:rsid w:val="00B07B69"/>
    <w:rsid w:val="00B07B8C"/>
    <w:rsid w:val="00B07C44"/>
    <w:rsid w:val="00B07C79"/>
    <w:rsid w:val="00B07CA2"/>
    <w:rsid w:val="00B07CCD"/>
    <w:rsid w:val="00B07D06"/>
    <w:rsid w:val="00B07D4C"/>
    <w:rsid w:val="00B07DC5"/>
    <w:rsid w:val="00B07E24"/>
    <w:rsid w:val="00B07F1D"/>
    <w:rsid w:val="00B1007C"/>
    <w:rsid w:val="00B100E7"/>
    <w:rsid w:val="00B10211"/>
    <w:rsid w:val="00B1022B"/>
    <w:rsid w:val="00B1025E"/>
    <w:rsid w:val="00B102F5"/>
    <w:rsid w:val="00B10374"/>
    <w:rsid w:val="00B103E3"/>
    <w:rsid w:val="00B1046C"/>
    <w:rsid w:val="00B104FA"/>
    <w:rsid w:val="00B1051C"/>
    <w:rsid w:val="00B10775"/>
    <w:rsid w:val="00B1098C"/>
    <w:rsid w:val="00B10B57"/>
    <w:rsid w:val="00B10B73"/>
    <w:rsid w:val="00B10CFC"/>
    <w:rsid w:val="00B10D01"/>
    <w:rsid w:val="00B10F42"/>
    <w:rsid w:val="00B1107B"/>
    <w:rsid w:val="00B110AD"/>
    <w:rsid w:val="00B11103"/>
    <w:rsid w:val="00B113FC"/>
    <w:rsid w:val="00B1140A"/>
    <w:rsid w:val="00B11412"/>
    <w:rsid w:val="00B11434"/>
    <w:rsid w:val="00B1146F"/>
    <w:rsid w:val="00B1149A"/>
    <w:rsid w:val="00B115B7"/>
    <w:rsid w:val="00B116E6"/>
    <w:rsid w:val="00B1176B"/>
    <w:rsid w:val="00B118C3"/>
    <w:rsid w:val="00B119B3"/>
    <w:rsid w:val="00B119FF"/>
    <w:rsid w:val="00B11A15"/>
    <w:rsid w:val="00B11A40"/>
    <w:rsid w:val="00B11A49"/>
    <w:rsid w:val="00B11A83"/>
    <w:rsid w:val="00B11AD4"/>
    <w:rsid w:val="00B11BFB"/>
    <w:rsid w:val="00B11C0A"/>
    <w:rsid w:val="00B11C8B"/>
    <w:rsid w:val="00B11CE6"/>
    <w:rsid w:val="00B11EE7"/>
    <w:rsid w:val="00B120F4"/>
    <w:rsid w:val="00B1219D"/>
    <w:rsid w:val="00B121CC"/>
    <w:rsid w:val="00B122BE"/>
    <w:rsid w:val="00B122C9"/>
    <w:rsid w:val="00B1233B"/>
    <w:rsid w:val="00B1259E"/>
    <w:rsid w:val="00B1292E"/>
    <w:rsid w:val="00B129C0"/>
    <w:rsid w:val="00B12B49"/>
    <w:rsid w:val="00B12B94"/>
    <w:rsid w:val="00B12E60"/>
    <w:rsid w:val="00B12FB7"/>
    <w:rsid w:val="00B13090"/>
    <w:rsid w:val="00B1318D"/>
    <w:rsid w:val="00B1331D"/>
    <w:rsid w:val="00B1336A"/>
    <w:rsid w:val="00B13370"/>
    <w:rsid w:val="00B13409"/>
    <w:rsid w:val="00B13718"/>
    <w:rsid w:val="00B137B3"/>
    <w:rsid w:val="00B13806"/>
    <w:rsid w:val="00B1396A"/>
    <w:rsid w:val="00B139A4"/>
    <w:rsid w:val="00B13A90"/>
    <w:rsid w:val="00B13B43"/>
    <w:rsid w:val="00B13B81"/>
    <w:rsid w:val="00B13BF5"/>
    <w:rsid w:val="00B13E65"/>
    <w:rsid w:val="00B13F4E"/>
    <w:rsid w:val="00B13FEE"/>
    <w:rsid w:val="00B141F5"/>
    <w:rsid w:val="00B142EB"/>
    <w:rsid w:val="00B14312"/>
    <w:rsid w:val="00B1431F"/>
    <w:rsid w:val="00B14429"/>
    <w:rsid w:val="00B144AA"/>
    <w:rsid w:val="00B14503"/>
    <w:rsid w:val="00B145FD"/>
    <w:rsid w:val="00B14652"/>
    <w:rsid w:val="00B14808"/>
    <w:rsid w:val="00B14875"/>
    <w:rsid w:val="00B148C7"/>
    <w:rsid w:val="00B148CD"/>
    <w:rsid w:val="00B14902"/>
    <w:rsid w:val="00B14ADB"/>
    <w:rsid w:val="00B14BE2"/>
    <w:rsid w:val="00B14C45"/>
    <w:rsid w:val="00B14D9E"/>
    <w:rsid w:val="00B14FA3"/>
    <w:rsid w:val="00B14FB6"/>
    <w:rsid w:val="00B1501D"/>
    <w:rsid w:val="00B1507C"/>
    <w:rsid w:val="00B150DA"/>
    <w:rsid w:val="00B151B1"/>
    <w:rsid w:val="00B1522C"/>
    <w:rsid w:val="00B152DD"/>
    <w:rsid w:val="00B15345"/>
    <w:rsid w:val="00B153D9"/>
    <w:rsid w:val="00B15494"/>
    <w:rsid w:val="00B15573"/>
    <w:rsid w:val="00B15641"/>
    <w:rsid w:val="00B1567D"/>
    <w:rsid w:val="00B1568A"/>
    <w:rsid w:val="00B157A4"/>
    <w:rsid w:val="00B157E3"/>
    <w:rsid w:val="00B15890"/>
    <w:rsid w:val="00B158C3"/>
    <w:rsid w:val="00B15A62"/>
    <w:rsid w:val="00B15ADA"/>
    <w:rsid w:val="00B15BB8"/>
    <w:rsid w:val="00B15BCF"/>
    <w:rsid w:val="00B15C05"/>
    <w:rsid w:val="00B15C98"/>
    <w:rsid w:val="00B15CB4"/>
    <w:rsid w:val="00B15EFF"/>
    <w:rsid w:val="00B1610A"/>
    <w:rsid w:val="00B16158"/>
    <w:rsid w:val="00B16177"/>
    <w:rsid w:val="00B162F7"/>
    <w:rsid w:val="00B16431"/>
    <w:rsid w:val="00B16517"/>
    <w:rsid w:val="00B167BA"/>
    <w:rsid w:val="00B168C9"/>
    <w:rsid w:val="00B16979"/>
    <w:rsid w:val="00B16B45"/>
    <w:rsid w:val="00B16C15"/>
    <w:rsid w:val="00B16CF6"/>
    <w:rsid w:val="00B16EE1"/>
    <w:rsid w:val="00B16F67"/>
    <w:rsid w:val="00B1714F"/>
    <w:rsid w:val="00B1718C"/>
    <w:rsid w:val="00B17194"/>
    <w:rsid w:val="00B17395"/>
    <w:rsid w:val="00B173B6"/>
    <w:rsid w:val="00B174E6"/>
    <w:rsid w:val="00B1753A"/>
    <w:rsid w:val="00B1767E"/>
    <w:rsid w:val="00B176B7"/>
    <w:rsid w:val="00B176DE"/>
    <w:rsid w:val="00B17737"/>
    <w:rsid w:val="00B17807"/>
    <w:rsid w:val="00B1783A"/>
    <w:rsid w:val="00B1787D"/>
    <w:rsid w:val="00B17886"/>
    <w:rsid w:val="00B17906"/>
    <w:rsid w:val="00B179B4"/>
    <w:rsid w:val="00B17A26"/>
    <w:rsid w:val="00B17A3B"/>
    <w:rsid w:val="00B17D4D"/>
    <w:rsid w:val="00B17D77"/>
    <w:rsid w:val="00B17DAC"/>
    <w:rsid w:val="00B17DB0"/>
    <w:rsid w:val="00B2001C"/>
    <w:rsid w:val="00B202E1"/>
    <w:rsid w:val="00B20580"/>
    <w:rsid w:val="00B205CE"/>
    <w:rsid w:val="00B20643"/>
    <w:rsid w:val="00B2068A"/>
    <w:rsid w:val="00B20695"/>
    <w:rsid w:val="00B20788"/>
    <w:rsid w:val="00B2084A"/>
    <w:rsid w:val="00B20971"/>
    <w:rsid w:val="00B209E0"/>
    <w:rsid w:val="00B20A9D"/>
    <w:rsid w:val="00B20AD7"/>
    <w:rsid w:val="00B20B4D"/>
    <w:rsid w:val="00B20B67"/>
    <w:rsid w:val="00B20BB0"/>
    <w:rsid w:val="00B20BD9"/>
    <w:rsid w:val="00B20E2B"/>
    <w:rsid w:val="00B20EE9"/>
    <w:rsid w:val="00B20EEB"/>
    <w:rsid w:val="00B20F4F"/>
    <w:rsid w:val="00B20FB9"/>
    <w:rsid w:val="00B2101B"/>
    <w:rsid w:val="00B2103F"/>
    <w:rsid w:val="00B21049"/>
    <w:rsid w:val="00B2121D"/>
    <w:rsid w:val="00B21239"/>
    <w:rsid w:val="00B212F4"/>
    <w:rsid w:val="00B21354"/>
    <w:rsid w:val="00B21414"/>
    <w:rsid w:val="00B214F3"/>
    <w:rsid w:val="00B2152D"/>
    <w:rsid w:val="00B21542"/>
    <w:rsid w:val="00B2154C"/>
    <w:rsid w:val="00B21601"/>
    <w:rsid w:val="00B21766"/>
    <w:rsid w:val="00B21839"/>
    <w:rsid w:val="00B218E7"/>
    <w:rsid w:val="00B219C6"/>
    <w:rsid w:val="00B219D9"/>
    <w:rsid w:val="00B21AC5"/>
    <w:rsid w:val="00B21B58"/>
    <w:rsid w:val="00B21BB6"/>
    <w:rsid w:val="00B21CF0"/>
    <w:rsid w:val="00B21D50"/>
    <w:rsid w:val="00B21DBA"/>
    <w:rsid w:val="00B21F64"/>
    <w:rsid w:val="00B2207A"/>
    <w:rsid w:val="00B220CB"/>
    <w:rsid w:val="00B220FE"/>
    <w:rsid w:val="00B22231"/>
    <w:rsid w:val="00B222D8"/>
    <w:rsid w:val="00B22550"/>
    <w:rsid w:val="00B22692"/>
    <w:rsid w:val="00B22872"/>
    <w:rsid w:val="00B2292A"/>
    <w:rsid w:val="00B229BC"/>
    <w:rsid w:val="00B22A7F"/>
    <w:rsid w:val="00B22B34"/>
    <w:rsid w:val="00B22B7B"/>
    <w:rsid w:val="00B22B90"/>
    <w:rsid w:val="00B22BFF"/>
    <w:rsid w:val="00B22C67"/>
    <w:rsid w:val="00B22D06"/>
    <w:rsid w:val="00B22E3F"/>
    <w:rsid w:val="00B22FBF"/>
    <w:rsid w:val="00B23008"/>
    <w:rsid w:val="00B23011"/>
    <w:rsid w:val="00B23057"/>
    <w:rsid w:val="00B230B5"/>
    <w:rsid w:val="00B230E8"/>
    <w:rsid w:val="00B23162"/>
    <w:rsid w:val="00B233D7"/>
    <w:rsid w:val="00B235F0"/>
    <w:rsid w:val="00B235FD"/>
    <w:rsid w:val="00B23632"/>
    <w:rsid w:val="00B2370C"/>
    <w:rsid w:val="00B23750"/>
    <w:rsid w:val="00B238B8"/>
    <w:rsid w:val="00B238DE"/>
    <w:rsid w:val="00B23970"/>
    <w:rsid w:val="00B23A6B"/>
    <w:rsid w:val="00B23C01"/>
    <w:rsid w:val="00B23C18"/>
    <w:rsid w:val="00B23CF8"/>
    <w:rsid w:val="00B23D21"/>
    <w:rsid w:val="00B23F30"/>
    <w:rsid w:val="00B24121"/>
    <w:rsid w:val="00B2425B"/>
    <w:rsid w:val="00B2435F"/>
    <w:rsid w:val="00B24438"/>
    <w:rsid w:val="00B24465"/>
    <w:rsid w:val="00B244AA"/>
    <w:rsid w:val="00B2466A"/>
    <w:rsid w:val="00B2472F"/>
    <w:rsid w:val="00B2477E"/>
    <w:rsid w:val="00B24855"/>
    <w:rsid w:val="00B24AF1"/>
    <w:rsid w:val="00B24B16"/>
    <w:rsid w:val="00B24E14"/>
    <w:rsid w:val="00B24E7A"/>
    <w:rsid w:val="00B24F26"/>
    <w:rsid w:val="00B25015"/>
    <w:rsid w:val="00B25023"/>
    <w:rsid w:val="00B250E2"/>
    <w:rsid w:val="00B251E3"/>
    <w:rsid w:val="00B25340"/>
    <w:rsid w:val="00B25361"/>
    <w:rsid w:val="00B25371"/>
    <w:rsid w:val="00B254E9"/>
    <w:rsid w:val="00B25543"/>
    <w:rsid w:val="00B25562"/>
    <w:rsid w:val="00B25637"/>
    <w:rsid w:val="00B256F3"/>
    <w:rsid w:val="00B2573A"/>
    <w:rsid w:val="00B257C0"/>
    <w:rsid w:val="00B25865"/>
    <w:rsid w:val="00B258D7"/>
    <w:rsid w:val="00B25994"/>
    <w:rsid w:val="00B259F6"/>
    <w:rsid w:val="00B25ACA"/>
    <w:rsid w:val="00B25C36"/>
    <w:rsid w:val="00B25E19"/>
    <w:rsid w:val="00B25EC7"/>
    <w:rsid w:val="00B25FA0"/>
    <w:rsid w:val="00B25FFF"/>
    <w:rsid w:val="00B26143"/>
    <w:rsid w:val="00B262AB"/>
    <w:rsid w:val="00B263B7"/>
    <w:rsid w:val="00B263FE"/>
    <w:rsid w:val="00B26476"/>
    <w:rsid w:val="00B264CD"/>
    <w:rsid w:val="00B2665A"/>
    <w:rsid w:val="00B2676B"/>
    <w:rsid w:val="00B268A7"/>
    <w:rsid w:val="00B268D4"/>
    <w:rsid w:val="00B26AFA"/>
    <w:rsid w:val="00B26B97"/>
    <w:rsid w:val="00B26D9B"/>
    <w:rsid w:val="00B26DCC"/>
    <w:rsid w:val="00B26DE0"/>
    <w:rsid w:val="00B26E65"/>
    <w:rsid w:val="00B26F7E"/>
    <w:rsid w:val="00B27016"/>
    <w:rsid w:val="00B270EB"/>
    <w:rsid w:val="00B27146"/>
    <w:rsid w:val="00B273AE"/>
    <w:rsid w:val="00B273FF"/>
    <w:rsid w:val="00B275B0"/>
    <w:rsid w:val="00B2778F"/>
    <w:rsid w:val="00B2779E"/>
    <w:rsid w:val="00B277A5"/>
    <w:rsid w:val="00B277C2"/>
    <w:rsid w:val="00B27892"/>
    <w:rsid w:val="00B27924"/>
    <w:rsid w:val="00B27983"/>
    <w:rsid w:val="00B279FC"/>
    <w:rsid w:val="00B27A79"/>
    <w:rsid w:val="00B27A9E"/>
    <w:rsid w:val="00B27BD2"/>
    <w:rsid w:val="00B27BEC"/>
    <w:rsid w:val="00B27C10"/>
    <w:rsid w:val="00B27CD8"/>
    <w:rsid w:val="00B27E1D"/>
    <w:rsid w:val="00B27E2B"/>
    <w:rsid w:val="00B27E5E"/>
    <w:rsid w:val="00B27EAC"/>
    <w:rsid w:val="00B27F47"/>
    <w:rsid w:val="00B27FA1"/>
    <w:rsid w:val="00B30053"/>
    <w:rsid w:val="00B30065"/>
    <w:rsid w:val="00B30169"/>
    <w:rsid w:val="00B30173"/>
    <w:rsid w:val="00B3017A"/>
    <w:rsid w:val="00B301B1"/>
    <w:rsid w:val="00B30200"/>
    <w:rsid w:val="00B3021F"/>
    <w:rsid w:val="00B3026A"/>
    <w:rsid w:val="00B30323"/>
    <w:rsid w:val="00B3038A"/>
    <w:rsid w:val="00B30403"/>
    <w:rsid w:val="00B3046A"/>
    <w:rsid w:val="00B304C2"/>
    <w:rsid w:val="00B3057B"/>
    <w:rsid w:val="00B30580"/>
    <w:rsid w:val="00B3068D"/>
    <w:rsid w:val="00B30728"/>
    <w:rsid w:val="00B30883"/>
    <w:rsid w:val="00B308FA"/>
    <w:rsid w:val="00B30905"/>
    <w:rsid w:val="00B30A92"/>
    <w:rsid w:val="00B30C5A"/>
    <w:rsid w:val="00B30DBB"/>
    <w:rsid w:val="00B30E5B"/>
    <w:rsid w:val="00B30FEB"/>
    <w:rsid w:val="00B3100C"/>
    <w:rsid w:val="00B31088"/>
    <w:rsid w:val="00B311F6"/>
    <w:rsid w:val="00B312E3"/>
    <w:rsid w:val="00B3134C"/>
    <w:rsid w:val="00B3136C"/>
    <w:rsid w:val="00B31536"/>
    <w:rsid w:val="00B31568"/>
    <w:rsid w:val="00B31576"/>
    <w:rsid w:val="00B31580"/>
    <w:rsid w:val="00B315F9"/>
    <w:rsid w:val="00B3169B"/>
    <w:rsid w:val="00B316EE"/>
    <w:rsid w:val="00B3185F"/>
    <w:rsid w:val="00B318C8"/>
    <w:rsid w:val="00B318DD"/>
    <w:rsid w:val="00B319CC"/>
    <w:rsid w:val="00B31ACD"/>
    <w:rsid w:val="00B31AEA"/>
    <w:rsid w:val="00B31B51"/>
    <w:rsid w:val="00B31C8A"/>
    <w:rsid w:val="00B31EEB"/>
    <w:rsid w:val="00B31FFA"/>
    <w:rsid w:val="00B3200B"/>
    <w:rsid w:val="00B321DA"/>
    <w:rsid w:val="00B321E2"/>
    <w:rsid w:val="00B3223F"/>
    <w:rsid w:val="00B32262"/>
    <w:rsid w:val="00B32321"/>
    <w:rsid w:val="00B32383"/>
    <w:rsid w:val="00B323A8"/>
    <w:rsid w:val="00B3246B"/>
    <w:rsid w:val="00B3249C"/>
    <w:rsid w:val="00B324F5"/>
    <w:rsid w:val="00B32785"/>
    <w:rsid w:val="00B327ED"/>
    <w:rsid w:val="00B3282D"/>
    <w:rsid w:val="00B3294E"/>
    <w:rsid w:val="00B32B1F"/>
    <w:rsid w:val="00B32B48"/>
    <w:rsid w:val="00B32B83"/>
    <w:rsid w:val="00B32C42"/>
    <w:rsid w:val="00B32C4F"/>
    <w:rsid w:val="00B32C5D"/>
    <w:rsid w:val="00B32D1E"/>
    <w:rsid w:val="00B32DAF"/>
    <w:rsid w:val="00B32E07"/>
    <w:rsid w:val="00B32FD4"/>
    <w:rsid w:val="00B331B7"/>
    <w:rsid w:val="00B331E9"/>
    <w:rsid w:val="00B3339A"/>
    <w:rsid w:val="00B335CF"/>
    <w:rsid w:val="00B335ED"/>
    <w:rsid w:val="00B3364B"/>
    <w:rsid w:val="00B33659"/>
    <w:rsid w:val="00B336D8"/>
    <w:rsid w:val="00B338A8"/>
    <w:rsid w:val="00B33997"/>
    <w:rsid w:val="00B339A5"/>
    <w:rsid w:val="00B339C0"/>
    <w:rsid w:val="00B33BB2"/>
    <w:rsid w:val="00B33BB5"/>
    <w:rsid w:val="00B33BC8"/>
    <w:rsid w:val="00B33C2B"/>
    <w:rsid w:val="00B33DF5"/>
    <w:rsid w:val="00B33E31"/>
    <w:rsid w:val="00B33E32"/>
    <w:rsid w:val="00B33F56"/>
    <w:rsid w:val="00B33F70"/>
    <w:rsid w:val="00B33FC4"/>
    <w:rsid w:val="00B33FDB"/>
    <w:rsid w:val="00B34015"/>
    <w:rsid w:val="00B340B9"/>
    <w:rsid w:val="00B340E4"/>
    <w:rsid w:val="00B34105"/>
    <w:rsid w:val="00B3424F"/>
    <w:rsid w:val="00B343DD"/>
    <w:rsid w:val="00B343F5"/>
    <w:rsid w:val="00B3440A"/>
    <w:rsid w:val="00B3444E"/>
    <w:rsid w:val="00B3448A"/>
    <w:rsid w:val="00B344A4"/>
    <w:rsid w:val="00B345E2"/>
    <w:rsid w:val="00B345FA"/>
    <w:rsid w:val="00B3468E"/>
    <w:rsid w:val="00B347AB"/>
    <w:rsid w:val="00B3482C"/>
    <w:rsid w:val="00B34B8F"/>
    <w:rsid w:val="00B34BA0"/>
    <w:rsid w:val="00B34BE2"/>
    <w:rsid w:val="00B34C15"/>
    <w:rsid w:val="00B34C77"/>
    <w:rsid w:val="00B34CA9"/>
    <w:rsid w:val="00B34CF0"/>
    <w:rsid w:val="00B34D68"/>
    <w:rsid w:val="00B34F09"/>
    <w:rsid w:val="00B35036"/>
    <w:rsid w:val="00B352BB"/>
    <w:rsid w:val="00B352EF"/>
    <w:rsid w:val="00B354D9"/>
    <w:rsid w:val="00B356FD"/>
    <w:rsid w:val="00B3578F"/>
    <w:rsid w:val="00B357B0"/>
    <w:rsid w:val="00B357C4"/>
    <w:rsid w:val="00B35842"/>
    <w:rsid w:val="00B35AF5"/>
    <w:rsid w:val="00B35C5F"/>
    <w:rsid w:val="00B35D77"/>
    <w:rsid w:val="00B35F11"/>
    <w:rsid w:val="00B35F5A"/>
    <w:rsid w:val="00B35FB3"/>
    <w:rsid w:val="00B36069"/>
    <w:rsid w:val="00B3610B"/>
    <w:rsid w:val="00B36237"/>
    <w:rsid w:val="00B363A8"/>
    <w:rsid w:val="00B363C4"/>
    <w:rsid w:val="00B3657D"/>
    <w:rsid w:val="00B365A0"/>
    <w:rsid w:val="00B36724"/>
    <w:rsid w:val="00B36729"/>
    <w:rsid w:val="00B36779"/>
    <w:rsid w:val="00B36810"/>
    <w:rsid w:val="00B368D9"/>
    <w:rsid w:val="00B36902"/>
    <w:rsid w:val="00B36A7A"/>
    <w:rsid w:val="00B36A82"/>
    <w:rsid w:val="00B36AE3"/>
    <w:rsid w:val="00B36B50"/>
    <w:rsid w:val="00B36B89"/>
    <w:rsid w:val="00B36CCB"/>
    <w:rsid w:val="00B36D96"/>
    <w:rsid w:val="00B36ECB"/>
    <w:rsid w:val="00B36F5C"/>
    <w:rsid w:val="00B370DA"/>
    <w:rsid w:val="00B37111"/>
    <w:rsid w:val="00B37145"/>
    <w:rsid w:val="00B37164"/>
    <w:rsid w:val="00B3718B"/>
    <w:rsid w:val="00B371FE"/>
    <w:rsid w:val="00B37322"/>
    <w:rsid w:val="00B37421"/>
    <w:rsid w:val="00B37693"/>
    <w:rsid w:val="00B377FD"/>
    <w:rsid w:val="00B37808"/>
    <w:rsid w:val="00B37820"/>
    <w:rsid w:val="00B3783F"/>
    <w:rsid w:val="00B3794C"/>
    <w:rsid w:val="00B3795C"/>
    <w:rsid w:val="00B37A7C"/>
    <w:rsid w:val="00B37B0E"/>
    <w:rsid w:val="00B37D3E"/>
    <w:rsid w:val="00B37DE1"/>
    <w:rsid w:val="00B37E0C"/>
    <w:rsid w:val="00B37E25"/>
    <w:rsid w:val="00B37EA9"/>
    <w:rsid w:val="00B37F0F"/>
    <w:rsid w:val="00B37FD4"/>
    <w:rsid w:val="00B40210"/>
    <w:rsid w:val="00B402B7"/>
    <w:rsid w:val="00B402D9"/>
    <w:rsid w:val="00B402F6"/>
    <w:rsid w:val="00B403AA"/>
    <w:rsid w:val="00B40469"/>
    <w:rsid w:val="00B404B1"/>
    <w:rsid w:val="00B404F8"/>
    <w:rsid w:val="00B404FD"/>
    <w:rsid w:val="00B405B1"/>
    <w:rsid w:val="00B405D7"/>
    <w:rsid w:val="00B4090E"/>
    <w:rsid w:val="00B4093D"/>
    <w:rsid w:val="00B409A5"/>
    <w:rsid w:val="00B40A37"/>
    <w:rsid w:val="00B40AC3"/>
    <w:rsid w:val="00B40AD1"/>
    <w:rsid w:val="00B40D78"/>
    <w:rsid w:val="00B40D7E"/>
    <w:rsid w:val="00B40DD6"/>
    <w:rsid w:val="00B40E69"/>
    <w:rsid w:val="00B40EA2"/>
    <w:rsid w:val="00B40EBB"/>
    <w:rsid w:val="00B40EF8"/>
    <w:rsid w:val="00B41115"/>
    <w:rsid w:val="00B41220"/>
    <w:rsid w:val="00B412BA"/>
    <w:rsid w:val="00B41325"/>
    <w:rsid w:val="00B413F4"/>
    <w:rsid w:val="00B41594"/>
    <w:rsid w:val="00B415D4"/>
    <w:rsid w:val="00B41724"/>
    <w:rsid w:val="00B4175E"/>
    <w:rsid w:val="00B4179D"/>
    <w:rsid w:val="00B41A0E"/>
    <w:rsid w:val="00B41A29"/>
    <w:rsid w:val="00B41B10"/>
    <w:rsid w:val="00B41B61"/>
    <w:rsid w:val="00B41B93"/>
    <w:rsid w:val="00B41BD4"/>
    <w:rsid w:val="00B41C6D"/>
    <w:rsid w:val="00B41D11"/>
    <w:rsid w:val="00B41D46"/>
    <w:rsid w:val="00B41DEC"/>
    <w:rsid w:val="00B41E6F"/>
    <w:rsid w:val="00B41FA0"/>
    <w:rsid w:val="00B42013"/>
    <w:rsid w:val="00B4202F"/>
    <w:rsid w:val="00B420DD"/>
    <w:rsid w:val="00B420F5"/>
    <w:rsid w:val="00B422BF"/>
    <w:rsid w:val="00B42319"/>
    <w:rsid w:val="00B4246A"/>
    <w:rsid w:val="00B42479"/>
    <w:rsid w:val="00B42568"/>
    <w:rsid w:val="00B426F1"/>
    <w:rsid w:val="00B42775"/>
    <w:rsid w:val="00B427D4"/>
    <w:rsid w:val="00B428AD"/>
    <w:rsid w:val="00B42AA9"/>
    <w:rsid w:val="00B42BD3"/>
    <w:rsid w:val="00B42E50"/>
    <w:rsid w:val="00B42F33"/>
    <w:rsid w:val="00B42FEB"/>
    <w:rsid w:val="00B43022"/>
    <w:rsid w:val="00B43056"/>
    <w:rsid w:val="00B43337"/>
    <w:rsid w:val="00B434E4"/>
    <w:rsid w:val="00B4361B"/>
    <w:rsid w:val="00B43670"/>
    <w:rsid w:val="00B436A4"/>
    <w:rsid w:val="00B43918"/>
    <w:rsid w:val="00B439C2"/>
    <w:rsid w:val="00B43C44"/>
    <w:rsid w:val="00B43CD2"/>
    <w:rsid w:val="00B43D8F"/>
    <w:rsid w:val="00B43FF5"/>
    <w:rsid w:val="00B43FFF"/>
    <w:rsid w:val="00B44095"/>
    <w:rsid w:val="00B4411F"/>
    <w:rsid w:val="00B44443"/>
    <w:rsid w:val="00B444D3"/>
    <w:rsid w:val="00B44520"/>
    <w:rsid w:val="00B445FF"/>
    <w:rsid w:val="00B4475A"/>
    <w:rsid w:val="00B44795"/>
    <w:rsid w:val="00B447AC"/>
    <w:rsid w:val="00B4494A"/>
    <w:rsid w:val="00B449EA"/>
    <w:rsid w:val="00B44A8F"/>
    <w:rsid w:val="00B44AEC"/>
    <w:rsid w:val="00B44B54"/>
    <w:rsid w:val="00B44BB7"/>
    <w:rsid w:val="00B44BFD"/>
    <w:rsid w:val="00B44D32"/>
    <w:rsid w:val="00B44F38"/>
    <w:rsid w:val="00B44F62"/>
    <w:rsid w:val="00B450CD"/>
    <w:rsid w:val="00B4510E"/>
    <w:rsid w:val="00B45252"/>
    <w:rsid w:val="00B453B7"/>
    <w:rsid w:val="00B45447"/>
    <w:rsid w:val="00B4545C"/>
    <w:rsid w:val="00B454B6"/>
    <w:rsid w:val="00B4554A"/>
    <w:rsid w:val="00B455A8"/>
    <w:rsid w:val="00B45696"/>
    <w:rsid w:val="00B4577C"/>
    <w:rsid w:val="00B45857"/>
    <w:rsid w:val="00B45A53"/>
    <w:rsid w:val="00B45ADA"/>
    <w:rsid w:val="00B45B92"/>
    <w:rsid w:val="00B45C0E"/>
    <w:rsid w:val="00B45D28"/>
    <w:rsid w:val="00B45D37"/>
    <w:rsid w:val="00B45D6B"/>
    <w:rsid w:val="00B45EA7"/>
    <w:rsid w:val="00B4644F"/>
    <w:rsid w:val="00B4648C"/>
    <w:rsid w:val="00B4658C"/>
    <w:rsid w:val="00B466A1"/>
    <w:rsid w:val="00B46743"/>
    <w:rsid w:val="00B468AE"/>
    <w:rsid w:val="00B468B5"/>
    <w:rsid w:val="00B46A08"/>
    <w:rsid w:val="00B46ADA"/>
    <w:rsid w:val="00B46C6E"/>
    <w:rsid w:val="00B46C86"/>
    <w:rsid w:val="00B46E63"/>
    <w:rsid w:val="00B46F99"/>
    <w:rsid w:val="00B46FE6"/>
    <w:rsid w:val="00B46FEB"/>
    <w:rsid w:val="00B46FF7"/>
    <w:rsid w:val="00B4702D"/>
    <w:rsid w:val="00B4704B"/>
    <w:rsid w:val="00B470EA"/>
    <w:rsid w:val="00B471BD"/>
    <w:rsid w:val="00B47203"/>
    <w:rsid w:val="00B4731A"/>
    <w:rsid w:val="00B473D0"/>
    <w:rsid w:val="00B4743E"/>
    <w:rsid w:val="00B47568"/>
    <w:rsid w:val="00B47571"/>
    <w:rsid w:val="00B475E8"/>
    <w:rsid w:val="00B47616"/>
    <w:rsid w:val="00B47786"/>
    <w:rsid w:val="00B4786B"/>
    <w:rsid w:val="00B478F3"/>
    <w:rsid w:val="00B47930"/>
    <w:rsid w:val="00B47989"/>
    <w:rsid w:val="00B479E9"/>
    <w:rsid w:val="00B47C38"/>
    <w:rsid w:val="00B47C50"/>
    <w:rsid w:val="00B47D7B"/>
    <w:rsid w:val="00B47D7C"/>
    <w:rsid w:val="00B47DBC"/>
    <w:rsid w:val="00B47E88"/>
    <w:rsid w:val="00B47F21"/>
    <w:rsid w:val="00B47FD6"/>
    <w:rsid w:val="00B5006D"/>
    <w:rsid w:val="00B500A2"/>
    <w:rsid w:val="00B500DE"/>
    <w:rsid w:val="00B50160"/>
    <w:rsid w:val="00B50190"/>
    <w:rsid w:val="00B502D4"/>
    <w:rsid w:val="00B503A2"/>
    <w:rsid w:val="00B503BC"/>
    <w:rsid w:val="00B503C7"/>
    <w:rsid w:val="00B5062D"/>
    <w:rsid w:val="00B50642"/>
    <w:rsid w:val="00B507EE"/>
    <w:rsid w:val="00B50889"/>
    <w:rsid w:val="00B5093A"/>
    <w:rsid w:val="00B50941"/>
    <w:rsid w:val="00B5094F"/>
    <w:rsid w:val="00B50A6A"/>
    <w:rsid w:val="00B50B16"/>
    <w:rsid w:val="00B50B93"/>
    <w:rsid w:val="00B50BAE"/>
    <w:rsid w:val="00B50CA0"/>
    <w:rsid w:val="00B50E6A"/>
    <w:rsid w:val="00B50F0F"/>
    <w:rsid w:val="00B511C9"/>
    <w:rsid w:val="00B512F2"/>
    <w:rsid w:val="00B51329"/>
    <w:rsid w:val="00B513BE"/>
    <w:rsid w:val="00B51488"/>
    <w:rsid w:val="00B5148A"/>
    <w:rsid w:val="00B514A7"/>
    <w:rsid w:val="00B51529"/>
    <w:rsid w:val="00B515EA"/>
    <w:rsid w:val="00B51630"/>
    <w:rsid w:val="00B5191B"/>
    <w:rsid w:val="00B519A4"/>
    <w:rsid w:val="00B51A1F"/>
    <w:rsid w:val="00B51A6F"/>
    <w:rsid w:val="00B51B8B"/>
    <w:rsid w:val="00B51B8E"/>
    <w:rsid w:val="00B51BAC"/>
    <w:rsid w:val="00B51C88"/>
    <w:rsid w:val="00B51D2E"/>
    <w:rsid w:val="00B51D6B"/>
    <w:rsid w:val="00B51D9C"/>
    <w:rsid w:val="00B51F76"/>
    <w:rsid w:val="00B51FB8"/>
    <w:rsid w:val="00B520A0"/>
    <w:rsid w:val="00B52166"/>
    <w:rsid w:val="00B5216B"/>
    <w:rsid w:val="00B52200"/>
    <w:rsid w:val="00B5225C"/>
    <w:rsid w:val="00B5232C"/>
    <w:rsid w:val="00B524B3"/>
    <w:rsid w:val="00B52504"/>
    <w:rsid w:val="00B526DC"/>
    <w:rsid w:val="00B52794"/>
    <w:rsid w:val="00B5283E"/>
    <w:rsid w:val="00B529FB"/>
    <w:rsid w:val="00B52A04"/>
    <w:rsid w:val="00B52A24"/>
    <w:rsid w:val="00B52A2F"/>
    <w:rsid w:val="00B52B2C"/>
    <w:rsid w:val="00B52C7C"/>
    <w:rsid w:val="00B52C8B"/>
    <w:rsid w:val="00B52CDF"/>
    <w:rsid w:val="00B52EDD"/>
    <w:rsid w:val="00B52F1C"/>
    <w:rsid w:val="00B5302D"/>
    <w:rsid w:val="00B53084"/>
    <w:rsid w:val="00B5349B"/>
    <w:rsid w:val="00B5355C"/>
    <w:rsid w:val="00B536DF"/>
    <w:rsid w:val="00B5373E"/>
    <w:rsid w:val="00B5378E"/>
    <w:rsid w:val="00B53833"/>
    <w:rsid w:val="00B5389C"/>
    <w:rsid w:val="00B5392B"/>
    <w:rsid w:val="00B53A2D"/>
    <w:rsid w:val="00B53A99"/>
    <w:rsid w:val="00B53B10"/>
    <w:rsid w:val="00B53BB0"/>
    <w:rsid w:val="00B53BDC"/>
    <w:rsid w:val="00B53C44"/>
    <w:rsid w:val="00B53D4D"/>
    <w:rsid w:val="00B53E16"/>
    <w:rsid w:val="00B53EA5"/>
    <w:rsid w:val="00B53FC2"/>
    <w:rsid w:val="00B53FD8"/>
    <w:rsid w:val="00B54034"/>
    <w:rsid w:val="00B5404A"/>
    <w:rsid w:val="00B540E0"/>
    <w:rsid w:val="00B540E5"/>
    <w:rsid w:val="00B5420B"/>
    <w:rsid w:val="00B542E7"/>
    <w:rsid w:val="00B5441A"/>
    <w:rsid w:val="00B5449E"/>
    <w:rsid w:val="00B544C4"/>
    <w:rsid w:val="00B544CE"/>
    <w:rsid w:val="00B5466D"/>
    <w:rsid w:val="00B54689"/>
    <w:rsid w:val="00B54751"/>
    <w:rsid w:val="00B54860"/>
    <w:rsid w:val="00B548F6"/>
    <w:rsid w:val="00B54978"/>
    <w:rsid w:val="00B549EF"/>
    <w:rsid w:val="00B54C3E"/>
    <w:rsid w:val="00B54E6A"/>
    <w:rsid w:val="00B54E9D"/>
    <w:rsid w:val="00B55258"/>
    <w:rsid w:val="00B553B8"/>
    <w:rsid w:val="00B553C4"/>
    <w:rsid w:val="00B55458"/>
    <w:rsid w:val="00B5545C"/>
    <w:rsid w:val="00B5547D"/>
    <w:rsid w:val="00B554D0"/>
    <w:rsid w:val="00B554D6"/>
    <w:rsid w:val="00B55597"/>
    <w:rsid w:val="00B55676"/>
    <w:rsid w:val="00B556B6"/>
    <w:rsid w:val="00B556D8"/>
    <w:rsid w:val="00B55708"/>
    <w:rsid w:val="00B55720"/>
    <w:rsid w:val="00B558D0"/>
    <w:rsid w:val="00B55933"/>
    <w:rsid w:val="00B55A2C"/>
    <w:rsid w:val="00B55A75"/>
    <w:rsid w:val="00B55D28"/>
    <w:rsid w:val="00B55D31"/>
    <w:rsid w:val="00B55E2D"/>
    <w:rsid w:val="00B55F88"/>
    <w:rsid w:val="00B55FA2"/>
    <w:rsid w:val="00B561B2"/>
    <w:rsid w:val="00B5627B"/>
    <w:rsid w:val="00B56318"/>
    <w:rsid w:val="00B56452"/>
    <w:rsid w:val="00B564D8"/>
    <w:rsid w:val="00B564DF"/>
    <w:rsid w:val="00B565C8"/>
    <w:rsid w:val="00B565E5"/>
    <w:rsid w:val="00B566E2"/>
    <w:rsid w:val="00B566F9"/>
    <w:rsid w:val="00B5671D"/>
    <w:rsid w:val="00B56737"/>
    <w:rsid w:val="00B5683A"/>
    <w:rsid w:val="00B568D1"/>
    <w:rsid w:val="00B568E5"/>
    <w:rsid w:val="00B56A70"/>
    <w:rsid w:val="00B56A8E"/>
    <w:rsid w:val="00B56B6B"/>
    <w:rsid w:val="00B56DE8"/>
    <w:rsid w:val="00B56E0B"/>
    <w:rsid w:val="00B56EA4"/>
    <w:rsid w:val="00B56F52"/>
    <w:rsid w:val="00B5708D"/>
    <w:rsid w:val="00B570D4"/>
    <w:rsid w:val="00B57247"/>
    <w:rsid w:val="00B574BA"/>
    <w:rsid w:val="00B574D7"/>
    <w:rsid w:val="00B57769"/>
    <w:rsid w:val="00B57838"/>
    <w:rsid w:val="00B57839"/>
    <w:rsid w:val="00B57888"/>
    <w:rsid w:val="00B578A2"/>
    <w:rsid w:val="00B578AB"/>
    <w:rsid w:val="00B578E9"/>
    <w:rsid w:val="00B57A2F"/>
    <w:rsid w:val="00B57A60"/>
    <w:rsid w:val="00B57AA0"/>
    <w:rsid w:val="00B57B4C"/>
    <w:rsid w:val="00B57BD8"/>
    <w:rsid w:val="00B57C5C"/>
    <w:rsid w:val="00B57D7B"/>
    <w:rsid w:val="00B57D8A"/>
    <w:rsid w:val="00B57E85"/>
    <w:rsid w:val="00B57F72"/>
    <w:rsid w:val="00B57FDF"/>
    <w:rsid w:val="00B600C8"/>
    <w:rsid w:val="00B6013A"/>
    <w:rsid w:val="00B60198"/>
    <w:rsid w:val="00B60202"/>
    <w:rsid w:val="00B602A9"/>
    <w:rsid w:val="00B60371"/>
    <w:rsid w:val="00B603A4"/>
    <w:rsid w:val="00B603EE"/>
    <w:rsid w:val="00B60492"/>
    <w:rsid w:val="00B60494"/>
    <w:rsid w:val="00B60674"/>
    <w:rsid w:val="00B607C7"/>
    <w:rsid w:val="00B60997"/>
    <w:rsid w:val="00B609A5"/>
    <w:rsid w:val="00B609C0"/>
    <w:rsid w:val="00B60AD6"/>
    <w:rsid w:val="00B60B56"/>
    <w:rsid w:val="00B60B71"/>
    <w:rsid w:val="00B60C00"/>
    <w:rsid w:val="00B60C4B"/>
    <w:rsid w:val="00B60CD0"/>
    <w:rsid w:val="00B60D28"/>
    <w:rsid w:val="00B60EC5"/>
    <w:rsid w:val="00B60F4E"/>
    <w:rsid w:val="00B60FDF"/>
    <w:rsid w:val="00B61026"/>
    <w:rsid w:val="00B61154"/>
    <w:rsid w:val="00B6115A"/>
    <w:rsid w:val="00B6117D"/>
    <w:rsid w:val="00B611F8"/>
    <w:rsid w:val="00B61366"/>
    <w:rsid w:val="00B613FF"/>
    <w:rsid w:val="00B61564"/>
    <w:rsid w:val="00B61A65"/>
    <w:rsid w:val="00B61AD5"/>
    <w:rsid w:val="00B61BC7"/>
    <w:rsid w:val="00B61CDB"/>
    <w:rsid w:val="00B61D08"/>
    <w:rsid w:val="00B61DDC"/>
    <w:rsid w:val="00B61DE5"/>
    <w:rsid w:val="00B61EB9"/>
    <w:rsid w:val="00B6219C"/>
    <w:rsid w:val="00B621EA"/>
    <w:rsid w:val="00B622CC"/>
    <w:rsid w:val="00B62348"/>
    <w:rsid w:val="00B623A7"/>
    <w:rsid w:val="00B6240F"/>
    <w:rsid w:val="00B62459"/>
    <w:rsid w:val="00B62692"/>
    <w:rsid w:val="00B62778"/>
    <w:rsid w:val="00B62847"/>
    <w:rsid w:val="00B628AD"/>
    <w:rsid w:val="00B628C3"/>
    <w:rsid w:val="00B62955"/>
    <w:rsid w:val="00B62ADD"/>
    <w:rsid w:val="00B62B93"/>
    <w:rsid w:val="00B62BD7"/>
    <w:rsid w:val="00B62D98"/>
    <w:rsid w:val="00B62DD4"/>
    <w:rsid w:val="00B62F17"/>
    <w:rsid w:val="00B62F46"/>
    <w:rsid w:val="00B6338E"/>
    <w:rsid w:val="00B633C2"/>
    <w:rsid w:val="00B63415"/>
    <w:rsid w:val="00B63584"/>
    <w:rsid w:val="00B635FE"/>
    <w:rsid w:val="00B6393B"/>
    <w:rsid w:val="00B63944"/>
    <w:rsid w:val="00B6397B"/>
    <w:rsid w:val="00B63992"/>
    <w:rsid w:val="00B639BF"/>
    <w:rsid w:val="00B63A59"/>
    <w:rsid w:val="00B63D61"/>
    <w:rsid w:val="00B63E41"/>
    <w:rsid w:val="00B63FC1"/>
    <w:rsid w:val="00B6403F"/>
    <w:rsid w:val="00B64110"/>
    <w:rsid w:val="00B64124"/>
    <w:rsid w:val="00B641F5"/>
    <w:rsid w:val="00B64328"/>
    <w:rsid w:val="00B6436F"/>
    <w:rsid w:val="00B64713"/>
    <w:rsid w:val="00B647B4"/>
    <w:rsid w:val="00B64807"/>
    <w:rsid w:val="00B6485C"/>
    <w:rsid w:val="00B6489A"/>
    <w:rsid w:val="00B64CB7"/>
    <w:rsid w:val="00B64CDC"/>
    <w:rsid w:val="00B64D85"/>
    <w:rsid w:val="00B64DAF"/>
    <w:rsid w:val="00B64F98"/>
    <w:rsid w:val="00B64FDA"/>
    <w:rsid w:val="00B65027"/>
    <w:rsid w:val="00B6504B"/>
    <w:rsid w:val="00B650BD"/>
    <w:rsid w:val="00B651DA"/>
    <w:rsid w:val="00B652D0"/>
    <w:rsid w:val="00B652E2"/>
    <w:rsid w:val="00B652F8"/>
    <w:rsid w:val="00B653AD"/>
    <w:rsid w:val="00B6541F"/>
    <w:rsid w:val="00B654D6"/>
    <w:rsid w:val="00B65533"/>
    <w:rsid w:val="00B65717"/>
    <w:rsid w:val="00B65726"/>
    <w:rsid w:val="00B65732"/>
    <w:rsid w:val="00B65876"/>
    <w:rsid w:val="00B658B2"/>
    <w:rsid w:val="00B6596E"/>
    <w:rsid w:val="00B65A55"/>
    <w:rsid w:val="00B65AA9"/>
    <w:rsid w:val="00B65B0D"/>
    <w:rsid w:val="00B65B53"/>
    <w:rsid w:val="00B65B6A"/>
    <w:rsid w:val="00B65C88"/>
    <w:rsid w:val="00B65CC3"/>
    <w:rsid w:val="00B65D44"/>
    <w:rsid w:val="00B65E53"/>
    <w:rsid w:val="00B65F0F"/>
    <w:rsid w:val="00B65F3E"/>
    <w:rsid w:val="00B6619A"/>
    <w:rsid w:val="00B661AA"/>
    <w:rsid w:val="00B6625B"/>
    <w:rsid w:val="00B6628F"/>
    <w:rsid w:val="00B66317"/>
    <w:rsid w:val="00B663A0"/>
    <w:rsid w:val="00B663DB"/>
    <w:rsid w:val="00B663DF"/>
    <w:rsid w:val="00B6645E"/>
    <w:rsid w:val="00B6654B"/>
    <w:rsid w:val="00B66794"/>
    <w:rsid w:val="00B669FE"/>
    <w:rsid w:val="00B66A18"/>
    <w:rsid w:val="00B66D47"/>
    <w:rsid w:val="00B66E47"/>
    <w:rsid w:val="00B66F18"/>
    <w:rsid w:val="00B67012"/>
    <w:rsid w:val="00B67143"/>
    <w:rsid w:val="00B67288"/>
    <w:rsid w:val="00B673A3"/>
    <w:rsid w:val="00B673C2"/>
    <w:rsid w:val="00B67487"/>
    <w:rsid w:val="00B674FC"/>
    <w:rsid w:val="00B675DB"/>
    <w:rsid w:val="00B675FB"/>
    <w:rsid w:val="00B67644"/>
    <w:rsid w:val="00B67691"/>
    <w:rsid w:val="00B679A9"/>
    <w:rsid w:val="00B67AA0"/>
    <w:rsid w:val="00B67D17"/>
    <w:rsid w:val="00B67E5B"/>
    <w:rsid w:val="00B67F3A"/>
    <w:rsid w:val="00B67F7F"/>
    <w:rsid w:val="00B67FA4"/>
    <w:rsid w:val="00B70052"/>
    <w:rsid w:val="00B70084"/>
    <w:rsid w:val="00B700DF"/>
    <w:rsid w:val="00B700EB"/>
    <w:rsid w:val="00B70265"/>
    <w:rsid w:val="00B7026C"/>
    <w:rsid w:val="00B702FC"/>
    <w:rsid w:val="00B7042D"/>
    <w:rsid w:val="00B70562"/>
    <w:rsid w:val="00B70601"/>
    <w:rsid w:val="00B70648"/>
    <w:rsid w:val="00B706ED"/>
    <w:rsid w:val="00B708A1"/>
    <w:rsid w:val="00B7096B"/>
    <w:rsid w:val="00B70AC6"/>
    <w:rsid w:val="00B70B4E"/>
    <w:rsid w:val="00B70BE5"/>
    <w:rsid w:val="00B70C28"/>
    <w:rsid w:val="00B70D4B"/>
    <w:rsid w:val="00B70F16"/>
    <w:rsid w:val="00B70F50"/>
    <w:rsid w:val="00B7104B"/>
    <w:rsid w:val="00B71068"/>
    <w:rsid w:val="00B71109"/>
    <w:rsid w:val="00B71233"/>
    <w:rsid w:val="00B713C7"/>
    <w:rsid w:val="00B71450"/>
    <w:rsid w:val="00B714EF"/>
    <w:rsid w:val="00B71615"/>
    <w:rsid w:val="00B7164D"/>
    <w:rsid w:val="00B7176D"/>
    <w:rsid w:val="00B717A8"/>
    <w:rsid w:val="00B718F2"/>
    <w:rsid w:val="00B71A17"/>
    <w:rsid w:val="00B71A82"/>
    <w:rsid w:val="00B71AB1"/>
    <w:rsid w:val="00B71BD4"/>
    <w:rsid w:val="00B71BE9"/>
    <w:rsid w:val="00B71E2C"/>
    <w:rsid w:val="00B71E5E"/>
    <w:rsid w:val="00B71EAA"/>
    <w:rsid w:val="00B720F6"/>
    <w:rsid w:val="00B721DE"/>
    <w:rsid w:val="00B722A2"/>
    <w:rsid w:val="00B723CD"/>
    <w:rsid w:val="00B72645"/>
    <w:rsid w:val="00B727B6"/>
    <w:rsid w:val="00B72973"/>
    <w:rsid w:val="00B729DC"/>
    <w:rsid w:val="00B72A37"/>
    <w:rsid w:val="00B72AC1"/>
    <w:rsid w:val="00B72C3A"/>
    <w:rsid w:val="00B72C4E"/>
    <w:rsid w:val="00B72C76"/>
    <w:rsid w:val="00B72D28"/>
    <w:rsid w:val="00B72E6A"/>
    <w:rsid w:val="00B72E8E"/>
    <w:rsid w:val="00B72EDF"/>
    <w:rsid w:val="00B7301D"/>
    <w:rsid w:val="00B730A4"/>
    <w:rsid w:val="00B730D5"/>
    <w:rsid w:val="00B73356"/>
    <w:rsid w:val="00B73374"/>
    <w:rsid w:val="00B733C0"/>
    <w:rsid w:val="00B73543"/>
    <w:rsid w:val="00B73562"/>
    <w:rsid w:val="00B735D3"/>
    <w:rsid w:val="00B7362B"/>
    <w:rsid w:val="00B736DD"/>
    <w:rsid w:val="00B7377B"/>
    <w:rsid w:val="00B7382B"/>
    <w:rsid w:val="00B73871"/>
    <w:rsid w:val="00B7391D"/>
    <w:rsid w:val="00B73960"/>
    <w:rsid w:val="00B73972"/>
    <w:rsid w:val="00B73BC1"/>
    <w:rsid w:val="00B73CFE"/>
    <w:rsid w:val="00B73D03"/>
    <w:rsid w:val="00B73DAB"/>
    <w:rsid w:val="00B73E42"/>
    <w:rsid w:val="00B73F0F"/>
    <w:rsid w:val="00B73FE0"/>
    <w:rsid w:val="00B741AD"/>
    <w:rsid w:val="00B741BA"/>
    <w:rsid w:val="00B74213"/>
    <w:rsid w:val="00B74283"/>
    <w:rsid w:val="00B742E3"/>
    <w:rsid w:val="00B7444E"/>
    <w:rsid w:val="00B744E6"/>
    <w:rsid w:val="00B7451F"/>
    <w:rsid w:val="00B7453C"/>
    <w:rsid w:val="00B7455E"/>
    <w:rsid w:val="00B74598"/>
    <w:rsid w:val="00B7476F"/>
    <w:rsid w:val="00B747CB"/>
    <w:rsid w:val="00B74953"/>
    <w:rsid w:val="00B74967"/>
    <w:rsid w:val="00B74991"/>
    <w:rsid w:val="00B749CC"/>
    <w:rsid w:val="00B74A1B"/>
    <w:rsid w:val="00B74B0A"/>
    <w:rsid w:val="00B74BCA"/>
    <w:rsid w:val="00B74C0D"/>
    <w:rsid w:val="00B74D99"/>
    <w:rsid w:val="00B74DA7"/>
    <w:rsid w:val="00B74E90"/>
    <w:rsid w:val="00B74F98"/>
    <w:rsid w:val="00B7503B"/>
    <w:rsid w:val="00B750E4"/>
    <w:rsid w:val="00B75183"/>
    <w:rsid w:val="00B751B5"/>
    <w:rsid w:val="00B751B9"/>
    <w:rsid w:val="00B751CF"/>
    <w:rsid w:val="00B752C2"/>
    <w:rsid w:val="00B75453"/>
    <w:rsid w:val="00B7554C"/>
    <w:rsid w:val="00B7555B"/>
    <w:rsid w:val="00B75635"/>
    <w:rsid w:val="00B7572F"/>
    <w:rsid w:val="00B75817"/>
    <w:rsid w:val="00B75845"/>
    <w:rsid w:val="00B758C1"/>
    <w:rsid w:val="00B75B2B"/>
    <w:rsid w:val="00B75CF2"/>
    <w:rsid w:val="00B75D66"/>
    <w:rsid w:val="00B75D90"/>
    <w:rsid w:val="00B75E5F"/>
    <w:rsid w:val="00B75FD2"/>
    <w:rsid w:val="00B76063"/>
    <w:rsid w:val="00B76163"/>
    <w:rsid w:val="00B76183"/>
    <w:rsid w:val="00B761E3"/>
    <w:rsid w:val="00B762C0"/>
    <w:rsid w:val="00B76487"/>
    <w:rsid w:val="00B764CE"/>
    <w:rsid w:val="00B764DB"/>
    <w:rsid w:val="00B7657F"/>
    <w:rsid w:val="00B7658E"/>
    <w:rsid w:val="00B7663E"/>
    <w:rsid w:val="00B76745"/>
    <w:rsid w:val="00B76752"/>
    <w:rsid w:val="00B7679A"/>
    <w:rsid w:val="00B768BF"/>
    <w:rsid w:val="00B76917"/>
    <w:rsid w:val="00B76A3A"/>
    <w:rsid w:val="00B76A42"/>
    <w:rsid w:val="00B76A6F"/>
    <w:rsid w:val="00B76AB6"/>
    <w:rsid w:val="00B76B0E"/>
    <w:rsid w:val="00B76BE6"/>
    <w:rsid w:val="00B76C1C"/>
    <w:rsid w:val="00B76C2C"/>
    <w:rsid w:val="00B76DF7"/>
    <w:rsid w:val="00B7714F"/>
    <w:rsid w:val="00B77280"/>
    <w:rsid w:val="00B772C5"/>
    <w:rsid w:val="00B77333"/>
    <w:rsid w:val="00B77424"/>
    <w:rsid w:val="00B7744E"/>
    <w:rsid w:val="00B774D2"/>
    <w:rsid w:val="00B7753A"/>
    <w:rsid w:val="00B77616"/>
    <w:rsid w:val="00B776C5"/>
    <w:rsid w:val="00B779F1"/>
    <w:rsid w:val="00B77A03"/>
    <w:rsid w:val="00B77A4A"/>
    <w:rsid w:val="00B77A6E"/>
    <w:rsid w:val="00B77A7C"/>
    <w:rsid w:val="00B77A9E"/>
    <w:rsid w:val="00B77AA4"/>
    <w:rsid w:val="00B77B31"/>
    <w:rsid w:val="00B77C23"/>
    <w:rsid w:val="00B77C3F"/>
    <w:rsid w:val="00B77C87"/>
    <w:rsid w:val="00B77D04"/>
    <w:rsid w:val="00B77E02"/>
    <w:rsid w:val="00B77E48"/>
    <w:rsid w:val="00B77E7C"/>
    <w:rsid w:val="00B77F20"/>
    <w:rsid w:val="00B77FA8"/>
    <w:rsid w:val="00B77FBC"/>
    <w:rsid w:val="00B77FE9"/>
    <w:rsid w:val="00B8002F"/>
    <w:rsid w:val="00B8004E"/>
    <w:rsid w:val="00B800DB"/>
    <w:rsid w:val="00B80181"/>
    <w:rsid w:val="00B80195"/>
    <w:rsid w:val="00B802F4"/>
    <w:rsid w:val="00B80360"/>
    <w:rsid w:val="00B80410"/>
    <w:rsid w:val="00B80469"/>
    <w:rsid w:val="00B8050C"/>
    <w:rsid w:val="00B807AD"/>
    <w:rsid w:val="00B80836"/>
    <w:rsid w:val="00B80896"/>
    <w:rsid w:val="00B80897"/>
    <w:rsid w:val="00B80B7C"/>
    <w:rsid w:val="00B80BFC"/>
    <w:rsid w:val="00B80BFE"/>
    <w:rsid w:val="00B80C96"/>
    <w:rsid w:val="00B80DF7"/>
    <w:rsid w:val="00B80E16"/>
    <w:rsid w:val="00B80E62"/>
    <w:rsid w:val="00B81002"/>
    <w:rsid w:val="00B8100A"/>
    <w:rsid w:val="00B81048"/>
    <w:rsid w:val="00B8112C"/>
    <w:rsid w:val="00B81251"/>
    <w:rsid w:val="00B81368"/>
    <w:rsid w:val="00B81374"/>
    <w:rsid w:val="00B81437"/>
    <w:rsid w:val="00B8147B"/>
    <w:rsid w:val="00B81566"/>
    <w:rsid w:val="00B81576"/>
    <w:rsid w:val="00B81584"/>
    <w:rsid w:val="00B81742"/>
    <w:rsid w:val="00B81788"/>
    <w:rsid w:val="00B817ED"/>
    <w:rsid w:val="00B81A3D"/>
    <w:rsid w:val="00B81BD8"/>
    <w:rsid w:val="00B81C10"/>
    <w:rsid w:val="00B81CA1"/>
    <w:rsid w:val="00B81EB1"/>
    <w:rsid w:val="00B8204B"/>
    <w:rsid w:val="00B822A9"/>
    <w:rsid w:val="00B82395"/>
    <w:rsid w:val="00B82397"/>
    <w:rsid w:val="00B823E3"/>
    <w:rsid w:val="00B823F1"/>
    <w:rsid w:val="00B82583"/>
    <w:rsid w:val="00B82631"/>
    <w:rsid w:val="00B8271A"/>
    <w:rsid w:val="00B8276D"/>
    <w:rsid w:val="00B8281D"/>
    <w:rsid w:val="00B82889"/>
    <w:rsid w:val="00B82905"/>
    <w:rsid w:val="00B82A48"/>
    <w:rsid w:val="00B82B0E"/>
    <w:rsid w:val="00B82BE8"/>
    <w:rsid w:val="00B82C47"/>
    <w:rsid w:val="00B82D49"/>
    <w:rsid w:val="00B82D59"/>
    <w:rsid w:val="00B82E3B"/>
    <w:rsid w:val="00B8307D"/>
    <w:rsid w:val="00B830E8"/>
    <w:rsid w:val="00B831AE"/>
    <w:rsid w:val="00B831F5"/>
    <w:rsid w:val="00B83336"/>
    <w:rsid w:val="00B833DC"/>
    <w:rsid w:val="00B83559"/>
    <w:rsid w:val="00B8368B"/>
    <w:rsid w:val="00B836CA"/>
    <w:rsid w:val="00B836E1"/>
    <w:rsid w:val="00B838B6"/>
    <w:rsid w:val="00B839A2"/>
    <w:rsid w:val="00B83BA7"/>
    <w:rsid w:val="00B83C24"/>
    <w:rsid w:val="00B83D02"/>
    <w:rsid w:val="00B83E0E"/>
    <w:rsid w:val="00B83E38"/>
    <w:rsid w:val="00B83EF7"/>
    <w:rsid w:val="00B83F8A"/>
    <w:rsid w:val="00B840BD"/>
    <w:rsid w:val="00B840F3"/>
    <w:rsid w:val="00B84492"/>
    <w:rsid w:val="00B844EB"/>
    <w:rsid w:val="00B844FB"/>
    <w:rsid w:val="00B84551"/>
    <w:rsid w:val="00B846B6"/>
    <w:rsid w:val="00B8481D"/>
    <w:rsid w:val="00B8493A"/>
    <w:rsid w:val="00B84AB0"/>
    <w:rsid w:val="00B84BA9"/>
    <w:rsid w:val="00B84C46"/>
    <w:rsid w:val="00B84D2D"/>
    <w:rsid w:val="00B84D59"/>
    <w:rsid w:val="00B84E54"/>
    <w:rsid w:val="00B84E5D"/>
    <w:rsid w:val="00B84EFD"/>
    <w:rsid w:val="00B8517D"/>
    <w:rsid w:val="00B851AE"/>
    <w:rsid w:val="00B8535E"/>
    <w:rsid w:val="00B85638"/>
    <w:rsid w:val="00B85721"/>
    <w:rsid w:val="00B857B6"/>
    <w:rsid w:val="00B85847"/>
    <w:rsid w:val="00B85BA0"/>
    <w:rsid w:val="00B85C21"/>
    <w:rsid w:val="00B85C30"/>
    <w:rsid w:val="00B85D35"/>
    <w:rsid w:val="00B85D37"/>
    <w:rsid w:val="00B85E1C"/>
    <w:rsid w:val="00B85EA1"/>
    <w:rsid w:val="00B85F0E"/>
    <w:rsid w:val="00B85F5E"/>
    <w:rsid w:val="00B85F78"/>
    <w:rsid w:val="00B86022"/>
    <w:rsid w:val="00B8602B"/>
    <w:rsid w:val="00B86191"/>
    <w:rsid w:val="00B8620F"/>
    <w:rsid w:val="00B86428"/>
    <w:rsid w:val="00B864D9"/>
    <w:rsid w:val="00B8650C"/>
    <w:rsid w:val="00B865FB"/>
    <w:rsid w:val="00B866C7"/>
    <w:rsid w:val="00B866EA"/>
    <w:rsid w:val="00B8678F"/>
    <w:rsid w:val="00B86952"/>
    <w:rsid w:val="00B86990"/>
    <w:rsid w:val="00B86AF8"/>
    <w:rsid w:val="00B86BF6"/>
    <w:rsid w:val="00B86E2E"/>
    <w:rsid w:val="00B86F0C"/>
    <w:rsid w:val="00B86F35"/>
    <w:rsid w:val="00B86F50"/>
    <w:rsid w:val="00B87169"/>
    <w:rsid w:val="00B871AA"/>
    <w:rsid w:val="00B871E1"/>
    <w:rsid w:val="00B873D3"/>
    <w:rsid w:val="00B873F0"/>
    <w:rsid w:val="00B873FF"/>
    <w:rsid w:val="00B87926"/>
    <w:rsid w:val="00B87AC8"/>
    <w:rsid w:val="00B87B00"/>
    <w:rsid w:val="00B87B30"/>
    <w:rsid w:val="00B87B69"/>
    <w:rsid w:val="00B87C56"/>
    <w:rsid w:val="00B87CDA"/>
    <w:rsid w:val="00B87EDE"/>
    <w:rsid w:val="00B90135"/>
    <w:rsid w:val="00B901DB"/>
    <w:rsid w:val="00B90286"/>
    <w:rsid w:val="00B902C3"/>
    <w:rsid w:val="00B90382"/>
    <w:rsid w:val="00B9056C"/>
    <w:rsid w:val="00B90585"/>
    <w:rsid w:val="00B90622"/>
    <w:rsid w:val="00B90775"/>
    <w:rsid w:val="00B9081D"/>
    <w:rsid w:val="00B908DE"/>
    <w:rsid w:val="00B90AC5"/>
    <w:rsid w:val="00B90B2A"/>
    <w:rsid w:val="00B90CCE"/>
    <w:rsid w:val="00B90CF0"/>
    <w:rsid w:val="00B90D9D"/>
    <w:rsid w:val="00B90DB5"/>
    <w:rsid w:val="00B90DD3"/>
    <w:rsid w:val="00B90DF1"/>
    <w:rsid w:val="00B90EA7"/>
    <w:rsid w:val="00B90EBA"/>
    <w:rsid w:val="00B91051"/>
    <w:rsid w:val="00B9113B"/>
    <w:rsid w:val="00B91141"/>
    <w:rsid w:val="00B91191"/>
    <w:rsid w:val="00B912A4"/>
    <w:rsid w:val="00B91314"/>
    <w:rsid w:val="00B91438"/>
    <w:rsid w:val="00B9151F"/>
    <w:rsid w:val="00B91560"/>
    <w:rsid w:val="00B915D6"/>
    <w:rsid w:val="00B91628"/>
    <w:rsid w:val="00B91721"/>
    <w:rsid w:val="00B91771"/>
    <w:rsid w:val="00B9177C"/>
    <w:rsid w:val="00B918E7"/>
    <w:rsid w:val="00B91AED"/>
    <w:rsid w:val="00B91D09"/>
    <w:rsid w:val="00B91D8D"/>
    <w:rsid w:val="00B91E31"/>
    <w:rsid w:val="00B91F02"/>
    <w:rsid w:val="00B91F3D"/>
    <w:rsid w:val="00B91FB7"/>
    <w:rsid w:val="00B91FBD"/>
    <w:rsid w:val="00B9217E"/>
    <w:rsid w:val="00B922B2"/>
    <w:rsid w:val="00B923F1"/>
    <w:rsid w:val="00B924F3"/>
    <w:rsid w:val="00B925C2"/>
    <w:rsid w:val="00B925E7"/>
    <w:rsid w:val="00B9275C"/>
    <w:rsid w:val="00B9277C"/>
    <w:rsid w:val="00B92AD8"/>
    <w:rsid w:val="00B92AEC"/>
    <w:rsid w:val="00B92B49"/>
    <w:rsid w:val="00B92C63"/>
    <w:rsid w:val="00B9300C"/>
    <w:rsid w:val="00B930C4"/>
    <w:rsid w:val="00B93257"/>
    <w:rsid w:val="00B93321"/>
    <w:rsid w:val="00B93514"/>
    <w:rsid w:val="00B9353E"/>
    <w:rsid w:val="00B9364E"/>
    <w:rsid w:val="00B93693"/>
    <w:rsid w:val="00B9371D"/>
    <w:rsid w:val="00B93777"/>
    <w:rsid w:val="00B937AE"/>
    <w:rsid w:val="00B937B3"/>
    <w:rsid w:val="00B938F6"/>
    <w:rsid w:val="00B939B0"/>
    <w:rsid w:val="00B939D4"/>
    <w:rsid w:val="00B93A89"/>
    <w:rsid w:val="00B93B14"/>
    <w:rsid w:val="00B93BFD"/>
    <w:rsid w:val="00B93D41"/>
    <w:rsid w:val="00B93DDD"/>
    <w:rsid w:val="00B93E5A"/>
    <w:rsid w:val="00B93F4C"/>
    <w:rsid w:val="00B9409A"/>
    <w:rsid w:val="00B940A0"/>
    <w:rsid w:val="00B94174"/>
    <w:rsid w:val="00B9424F"/>
    <w:rsid w:val="00B942B6"/>
    <w:rsid w:val="00B942B7"/>
    <w:rsid w:val="00B943D2"/>
    <w:rsid w:val="00B94568"/>
    <w:rsid w:val="00B94584"/>
    <w:rsid w:val="00B945FD"/>
    <w:rsid w:val="00B94650"/>
    <w:rsid w:val="00B94669"/>
    <w:rsid w:val="00B94768"/>
    <w:rsid w:val="00B9479C"/>
    <w:rsid w:val="00B947AA"/>
    <w:rsid w:val="00B94890"/>
    <w:rsid w:val="00B948AE"/>
    <w:rsid w:val="00B94A83"/>
    <w:rsid w:val="00B94B0F"/>
    <w:rsid w:val="00B94BA2"/>
    <w:rsid w:val="00B94BE3"/>
    <w:rsid w:val="00B94BFB"/>
    <w:rsid w:val="00B94C20"/>
    <w:rsid w:val="00B94C26"/>
    <w:rsid w:val="00B94C32"/>
    <w:rsid w:val="00B94C41"/>
    <w:rsid w:val="00B94CFA"/>
    <w:rsid w:val="00B94D66"/>
    <w:rsid w:val="00B94E6F"/>
    <w:rsid w:val="00B94EA4"/>
    <w:rsid w:val="00B94EFE"/>
    <w:rsid w:val="00B95180"/>
    <w:rsid w:val="00B9524F"/>
    <w:rsid w:val="00B95321"/>
    <w:rsid w:val="00B95329"/>
    <w:rsid w:val="00B95375"/>
    <w:rsid w:val="00B95395"/>
    <w:rsid w:val="00B953FE"/>
    <w:rsid w:val="00B95661"/>
    <w:rsid w:val="00B9573D"/>
    <w:rsid w:val="00B9577A"/>
    <w:rsid w:val="00B95797"/>
    <w:rsid w:val="00B95847"/>
    <w:rsid w:val="00B958AF"/>
    <w:rsid w:val="00B958BB"/>
    <w:rsid w:val="00B9592C"/>
    <w:rsid w:val="00B95969"/>
    <w:rsid w:val="00B959AE"/>
    <w:rsid w:val="00B959B6"/>
    <w:rsid w:val="00B95B71"/>
    <w:rsid w:val="00B95C84"/>
    <w:rsid w:val="00B95CC3"/>
    <w:rsid w:val="00B95D39"/>
    <w:rsid w:val="00B95DDE"/>
    <w:rsid w:val="00B95E67"/>
    <w:rsid w:val="00B95EA3"/>
    <w:rsid w:val="00B95ED1"/>
    <w:rsid w:val="00B95F7B"/>
    <w:rsid w:val="00B96128"/>
    <w:rsid w:val="00B96146"/>
    <w:rsid w:val="00B961A8"/>
    <w:rsid w:val="00B961E5"/>
    <w:rsid w:val="00B96220"/>
    <w:rsid w:val="00B96297"/>
    <w:rsid w:val="00B962BA"/>
    <w:rsid w:val="00B962FB"/>
    <w:rsid w:val="00B96372"/>
    <w:rsid w:val="00B963B9"/>
    <w:rsid w:val="00B963BA"/>
    <w:rsid w:val="00B96449"/>
    <w:rsid w:val="00B964F0"/>
    <w:rsid w:val="00B96543"/>
    <w:rsid w:val="00B968B8"/>
    <w:rsid w:val="00B969A8"/>
    <w:rsid w:val="00B96A23"/>
    <w:rsid w:val="00B96B55"/>
    <w:rsid w:val="00B96B86"/>
    <w:rsid w:val="00B96C16"/>
    <w:rsid w:val="00B96C93"/>
    <w:rsid w:val="00B96CF3"/>
    <w:rsid w:val="00B96D82"/>
    <w:rsid w:val="00B96DE2"/>
    <w:rsid w:val="00B96E8C"/>
    <w:rsid w:val="00B970B8"/>
    <w:rsid w:val="00B97196"/>
    <w:rsid w:val="00B972DE"/>
    <w:rsid w:val="00B97444"/>
    <w:rsid w:val="00B9746B"/>
    <w:rsid w:val="00B974D6"/>
    <w:rsid w:val="00B975F7"/>
    <w:rsid w:val="00B97686"/>
    <w:rsid w:val="00B97828"/>
    <w:rsid w:val="00B9784E"/>
    <w:rsid w:val="00B97990"/>
    <w:rsid w:val="00B97BE2"/>
    <w:rsid w:val="00B97D09"/>
    <w:rsid w:val="00B97D44"/>
    <w:rsid w:val="00B97DCA"/>
    <w:rsid w:val="00B9888D"/>
    <w:rsid w:val="00BA003A"/>
    <w:rsid w:val="00BA0085"/>
    <w:rsid w:val="00BA0140"/>
    <w:rsid w:val="00BA01CA"/>
    <w:rsid w:val="00BA02FE"/>
    <w:rsid w:val="00BA049A"/>
    <w:rsid w:val="00BA04BA"/>
    <w:rsid w:val="00BA050E"/>
    <w:rsid w:val="00BA064C"/>
    <w:rsid w:val="00BA065B"/>
    <w:rsid w:val="00BA089A"/>
    <w:rsid w:val="00BA0947"/>
    <w:rsid w:val="00BA0A25"/>
    <w:rsid w:val="00BA0A81"/>
    <w:rsid w:val="00BA0ADB"/>
    <w:rsid w:val="00BA0B1E"/>
    <w:rsid w:val="00BA0DD7"/>
    <w:rsid w:val="00BA0DEF"/>
    <w:rsid w:val="00BA0E21"/>
    <w:rsid w:val="00BA1117"/>
    <w:rsid w:val="00BA112D"/>
    <w:rsid w:val="00BA115F"/>
    <w:rsid w:val="00BA1216"/>
    <w:rsid w:val="00BA1299"/>
    <w:rsid w:val="00BA12A1"/>
    <w:rsid w:val="00BA1346"/>
    <w:rsid w:val="00BA144D"/>
    <w:rsid w:val="00BA14C5"/>
    <w:rsid w:val="00BA15D9"/>
    <w:rsid w:val="00BA17FD"/>
    <w:rsid w:val="00BA18D7"/>
    <w:rsid w:val="00BA199C"/>
    <w:rsid w:val="00BA1B57"/>
    <w:rsid w:val="00BA1B7C"/>
    <w:rsid w:val="00BA1C8D"/>
    <w:rsid w:val="00BA1CFB"/>
    <w:rsid w:val="00BA1D7E"/>
    <w:rsid w:val="00BA1D87"/>
    <w:rsid w:val="00BA1D8F"/>
    <w:rsid w:val="00BA1DAF"/>
    <w:rsid w:val="00BA1E9F"/>
    <w:rsid w:val="00BA1FB3"/>
    <w:rsid w:val="00BA1FF3"/>
    <w:rsid w:val="00BA2074"/>
    <w:rsid w:val="00BA213A"/>
    <w:rsid w:val="00BA215C"/>
    <w:rsid w:val="00BA217E"/>
    <w:rsid w:val="00BA2348"/>
    <w:rsid w:val="00BA2375"/>
    <w:rsid w:val="00BA2647"/>
    <w:rsid w:val="00BA2702"/>
    <w:rsid w:val="00BA275C"/>
    <w:rsid w:val="00BA2AB9"/>
    <w:rsid w:val="00BA2D7A"/>
    <w:rsid w:val="00BA2DC5"/>
    <w:rsid w:val="00BA2DCB"/>
    <w:rsid w:val="00BA2DDF"/>
    <w:rsid w:val="00BA2E3F"/>
    <w:rsid w:val="00BA2EAD"/>
    <w:rsid w:val="00BA3104"/>
    <w:rsid w:val="00BA315B"/>
    <w:rsid w:val="00BA3228"/>
    <w:rsid w:val="00BA3248"/>
    <w:rsid w:val="00BA32B5"/>
    <w:rsid w:val="00BA3304"/>
    <w:rsid w:val="00BA33DD"/>
    <w:rsid w:val="00BA34D9"/>
    <w:rsid w:val="00BA34DD"/>
    <w:rsid w:val="00BA34FD"/>
    <w:rsid w:val="00BA3555"/>
    <w:rsid w:val="00BA371E"/>
    <w:rsid w:val="00BA37F2"/>
    <w:rsid w:val="00BA3810"/>
    <w:rsid w:val="00BA384D"/>
    <w:rsid w:val="00BA3928"/>
    <w:rsid w:val="00BA3930"/>
    <w:rsid w:val="00BA3948"/>
    <w:rsid w:val="00BA3B58"/>
    <w:rsid w:val="00BA3FC1"/>
    <w:rsid w:val="00BA4120"/>
    <w:rsid w:val="00BA419C"/>
    <w:rsid w:val="00BA4230"/>
    <w:rsid w:val="00BA43A1"/>
    <w:rsid w:val="00BA44CC"/>
    <w:rsid w:val="00BA461A"/>
    <w:rsid w:val="00BA494E"/>
    <w:rsid w:val="00BA4A93"/>
    <w:rsid w:val="00BA4C52"/>
    <w:rsid w:val="00BA4D29"/>
    <w:rsid w:val="00BA4D76"/>
    <w:rsid w:val="00BA4DD1"/>
    <w:rsid w:val="00BA4E29"/>
    <w:rsid w:val="00BA507C"/>
    <w:rsid w:val="00BA5097"/>
    <w:rsid w:val="00BA519F"/>
    <w:rsid w:val="00BA51E9"/>
    <w:rsid w:val="00BA522C"/>
    <w:rsid w:val="00BA52EE"/>
    <w:rsid w:val="00BA5425"/>
    <w:rsid w:val="00BA54F6"/>
    <w:rsid w:val="00BA553E"/>
    <w:rsid w:val="00BA5774"/>
    <w:rsid w:val="00BA5783"/>
    <w:rsid w:val="00BA5784"/>
    <w:rsid w:val="00BA5850"/>
    <w:rsid w:val="00BA5856"/>
    <w:rsid w:val="00BA5873"/>
    <w:rsid w:val="00BA58C7"/>
    <w:rsid w:val="00BA5980"/>
    <w:rsid w:val="00BA59E3"/>
    <w:rsid w:val="00BA5A4D"/>
    <w:rsid w:val="00BA5A97"/>
    <w:rsid w:val="00BA5AC9"/>
    <w:rsid w:val="00BA5B62"/>
    <w:rsid w:val="00BA5C05"/>
    <w:rsid w:val="00BA5C91"/>
    <w:rsid w:val="00BA5D4D"/>
    <w:rsid w:val="00BA5EDE"/>
    <w:rsid w:val="00BA60D9"/>
    <w:rsid w:val="00BA630D"/>
    <w:rsid w:val="00BA631B"/>
    <w:rsid w:val="00BA6332"/>
    <w:rsid w:val="00BA648A"/>
    <w:rsid w:val="00BA64EC"/>
    <w:rsid w:val="00BA6508"/>
    <w:rsid w:val="00BA6533"/>
    <w:rsid w:val="00BA6677"/>
    <w:rsid w:val="00BA66ED"/>
    <w:rsid w:val="00BA6710"/>
    <w:rsid w:val="00BA681E"/>
    <w:rsid w:val="00BA6842"/>
    <w:rsid w:val="00BA6845"/>
    <w:rsid w:val="00BA6856"/>
    <w:rsid w:val="00BA6982"/>
    <w:rsid w:val="00BA698B"/>
    <w:rsid w:val="00BA69D8"/>
    <w:rsid w:val="00BA6A46"/>
    <w:rsid w:val="00BA6A71"/>
    <w:rsid w:val="00BA6A87"/>
    <w:rsid w:val="00BA6AF7"/>
    <w:rsid w:val="00BA6B12"/>
    <w:rsid w:val="00BA6B7D"/>
    <w:rsid w:val="00BA6C70"/>
    <w:rsid w:val="00BA6CF6"/>
    <w:rsid w:val="00BA6EA9"/>
    <w:rsid w:val="00BA701D"/>
    <w:rsid w:val="00BA7093"/>
    <w:rsid w:val="00BA713C"/>
    <w:rsid w:val="00BA71A9"/>
    <w:rsid w:val="00BA73A1"/>
    <w:rsid w:val="00BA74C5"/>
    <w:rsid w:val="00BA7668"/>
    <w:rsid w:val="00BA766B"/>
    <w:rsid w:val="00BA767B"/>
    <w:rsid w:val="00BA773F"/>
    <w:rsid w:val="00BA7884"/>
    <w:rsid w:val="00BA78BB"/>
    <w:rsid w:val="00BA7986"/>
    <w:rsid w:val="00BA79C2"/>
    <w:rsid w:val="00BA79C7"/>
    <w:rsid w:val="00BA7A0C"/>
    <w:rsid w:val="00BA7AAE"/>
    <w:rsid w:val="00BA7CB9"/>
    <w:rsid w:val="00BA7CD4"/>
    <w:rsid w:val="00BA7D23"/>
    <w:rsid w:val="00BA7D8B"/>
    <w:rsid w:val="00BA7DDB"/>
    <w:rsid w:val="00BA7DF6"/>
    <w:rsid w:val="00BA7EF7"/>
    <w:rsid w:val="00BA7F17"/>
    <w:rsid w:val="00BA7F3B"/>
    <w:rsid w:val="00BA7FB2"/>
    <w:rsid w:val="00BAD90C"/>
    <w:rsid w:val="00BB019D"/>
    <w:rsid w:val="00BB0259"/>
    <w:rsid w:val="00BB02E8"/>
    <w:rsid w:val="00BB0378"/>
    <w:rsid w:val="00BB0409"/>
    <w:rsid w:val="00BB0472"/>
    <w:rsid w:val="00BB0506"/>
    <w:rsid w:val="00BB05EF"/>
    <w:rsid w:val="00BB05F2"/>
    <w:rsid w:val="00BB0623"/>
    <w:rsid w:val="00BB0782"/>
    <w:rsid w:val="00BB08E0"/>
    <w:rsid w:val="00BB097D"/>
    <w:rsid w:val="00BB0B47"/>
    <w:rsid w:val="00BB0C85"/>
    <w:rsid w:val="00BB0D06"/>
    <w:rsid w:val="00BB0DCC"/>
    <w:rsid w:val="00BB0E86"/>
    <w:rsid w:val="00BB1032"/>
    <w:rsid w:val="00BB1067"/>
    <w:rsid w:val="00BB116C"/>
    <w:rsid w:val="00BB1193"/>
    <w:rsid w:val="00BB1268"/>
    <w:rsid w:val="00BB134B"/>
    <w:rsid w:val="00BB1377"/>
    <w:rsid w:val="00BB157B"/>
    <w:rsid w:val="00BB166F"/>
    <w:rsid w:val="00BB19B7"/>
    <w:rsid w:val="00BB1A46"/>
    <w:rsid w:val="00BB1A8F"/>
    <w:rsid w:val="00BB1AAD"/>
    <w:rsid w:val="00BB1B2A"/>
    <w:rsid w:val="00BB1B93"/>
    <w:rsid w:val="00BB1BEC"/>
    <w:rsid w:val="00BB1BF2"/>
    <w:rsid w:val="00BB1E5A"/>
    <w:rsid w:val="00BB1F0F"/>
    <w:rsid w:val="00BB1F3D"/>
    <w:rsid w:val="00BB205D"/>
    <w:rsid w:val="00BB207D"/>
    <w:rsid w:val="00BB20E5"/>
    <w:rsid w:val="00BB2101"/>
    <w:rsid w:val="00BB2259"/>
    <w:rsid w:val="00BB22D8"/>
    <w:rsid w:val="00BB2315"/>
    <w:rsid w:val="00BB232A"/>
    <w:rsid w:val="00BB23A1"/>
    <w:rsid w:val="00BB2423"/>
    <w:rsid w:val="00BB25A5"/>
    <w:rsid w:val="00BB25E8"/>
    <w:rsid w:val="00BB2682"/>
    <w:rsid w:val="00BB27DD"/>
    <w:rsid w:val="00BB2871"/>
    <w:rsid w:val="00BB2CC3"/>
    <w:rsid w:val="00BB2D3A"/>
    <w:rsid w:val="00BB2DCE"/>
    <w:rsid w:val="00BB2E86"/>
    <w:rsid w:val="00BB2FDC"/>
    <w:rsid w:val="00BB303B"/>
    <w:rsid w:val="00BB307D"/>
    <w:rsid w:val="00BB30CC"/>
    <w:rsid w:val="00BB319A"/>
    <w:rsid w:val="00BB33E9"/>
    <w:rsid w:val="00BB36C0"/>
    <w:rsid w:val="00BB3709"/>
    <w:rsid w:val="00BB381E"/>
    <w:rsid w:val="00BB38A9"/>
    <w:rsid w:val="00BB3951"/>
    <w:rsid w:val="00BB39B6"/>
    <w:rsid w:val="00BB3A34"/>
    <w:rsid w:val="00BB3A7B"/>
    <w:rsid w:val="00BB3A98"/>
    <w:rsid w:val="00BB3AFD"/>
    <w:rsid w:val="00BB3B10"/>
    <w:rsid w:val="00BB3EF2"/>
    <w:rsid w:val="00BB3EF6"/>
    <w:rsid w:val="00BB3F38"/>
    <w:rsid w:val="00BB3F5C"/>
    <w:rsid w:val="00BB3F96"/>
    <w:rsid w:val="00BB40A1"/>
    <w:rsid w:val="00BB41A8"/>
    <w:rsid w:val="00BB41FC"/>
    <w:rsid w:val="00BB4215"/>
    <w:rsid w:val="00BB42A1"/>
    <w:rsid w:val="00BB4361"/>
    <w:rsid w:val="00BB442E"/>
    <w:rsid w:val="00BB4598"/>
    <w:rsid w:val="00BB459E"/>
    <w:rsid w:val="00BB4655"/>
    <w:rsid w:val="00BB4760"/>
    <w:rsid w:val="00BB478B"/>
    <w:rsid w:val="00BB47D8"/>
    <w:rsid w:val="00BB4877"/>
    <w:rsid w:val="00BB488A"/>
    <w:rsid w:val="00BB4984"/>
    <w:rsid w:val="00BB4A9E"/>
    <w:rsid w:val="00BB4AA4"/>
    <w:rsid w:val="00BB4AAF"/>
    <w:rsid w:val="00BB4B04"/>
    <w:rsid w:val="00BB4C2F"/>
    <w:rsid w:val="00BB4D3A"/>
    <w:rsid w:val="00BB4E64"/>
    <w:rsid w:val="00BB4FCF"/>
    <w:rsid w:val="00BB507B"/>
    <w:rsid w:val="00BB50AB"/>
    <w:rsid w:val="00BB50AE"/>
    <w:rsid w:val="00BB5106"/>
    <w:rsid w:val="00BB51E2"/>
    <w:rsid w:val="00BB52AA"/>
    <w:rsid w:val="00BB52B6"/>
    <w:rsid w:val="00BB52CE"/>
    <w:rsid w:val="00BB53F5"/>
    <w:rsid w:val="00BB5560"/>
    <w:rsid w:val="00BB5966"/>
    <w:rsid w:val="00BB5AA3"/>
    <w:rsid w:val="00BB5AE6"/>
    <w:rsid w:val="00BB5B2A"/>
    <w:rsid w:val="00BB5BFA"/>
    <w:rsid w:val="00BB5C0A"/>
    <w:rsid w:val="00BB5CB4"/>
    <w:rsid w:val="00BB5DB7"/>
    <w:rsid w:val="00BB5DD0"/>
    <w:rsid w:val="00BB5ECF"/>
    <w:rsid w:val="00BB5F8C"/>
    <w:rsid w:val="00BB603D"/>
    <w:rsid w:val="00BB60ED"/>
    <w:rsid w:val="00BB61A6"/>
    <w:rsid w:val="00BB64B5"/>
    <w:rsid w:val="00BB671C"/>
    <w:rsid w:val="00BB676C"/>
    <w:rsid w:val="00BB677A"/>
    <w:rsid w:val="00BB679E"/>
    <w:rsid w:val="00BB6849"/>
    <w:rsid w:val="00BB685D"/>
    <w:rsid w:val="00BB68B4"/>
    <w:rsid w:val="00BB68C5"/>
    <w:rsid w:val="00BB6A24"/>
    <w:rsid w:val="00BB6AC7"/>
    <w:rsid w:val="00BB6DE1"/>
    <w:rsid w:val="00BB6E6A"/>
    <w:rsid w:val="00BB7087"/>
    <w:rsid w:val="00BB71F2"/>
    <w:rsid w:val="00BB721A"/>
    <w:rsid w:val="00BB7255"/>
    <w:rsid w:val="00BB738C"/>
    <w:rsid w:val="00BB740B"/>
    <w:rsid w:val="00BB74C4"/>
    <w:rsid w:val="00BB750D"/>
    <w:rsid w:val="00BB75D6"/>
    <w:rsid w:val="00BB7652"/>
    <w:rsid w:val="00BB7708"/>
    <w:rsid w:val="00BB77B0"/>
    <w:rsid w:val="00BB7B7A"/>
    <w:rsid w:val="00BB7C2F"/>
    <w:rsid w:val="00BB7C5B"/>
    <w:rsid w:val="00BB7C63"/>
    <w:rsid w:val="00BB7C67"/>
    <w:rsid w:val="00BB7CE2"/>
    <w:rsid w:val="00BB7D2D"/>
    <w:rsid w:val="00BB7DB1"/>
    <w:rsid w:val="00BB7DD9"/>
    <w:rsid w:val="00BB7E4E"/>
    <w:rsid w:val="00BB7E7F"/>
    <w:rsid w:val="00BB7F16"/>
    <w:rsid w:val="00BC025A"/>
    <w:rsid w:val="00BC02AB"/>
    <w:rsid w:val="00BC031C"/>
    <w:rsid w:val="00BC0404"/>
    <w:rsid w:val="00BC0405"/>
    <w:rsid w:val="00BC0576"/>
    <w:rsid w:val="00BC05B9"/>
    <w:rsid w:val="00BC0623"/>
    <w:rsid w:val="00BC0753"/>
    <w:rsid w:val="00BC077C"/>
    <w:rsid w:val="00BC085D"/>
    <w:rsid w:val="00BC08DD"/>
    <w:rsid w:val="00BC0960"/>
    <w:rsid w:val="00BC0992"/>
    <w:rsid w:val="00BC0AD8"/>
    <w:rsid w:val="00BC0B09"/>
    <w:rsid w:val="00BC0B36"/>
    <w:rsid w:val="00BC0B62"/>
    <w:rsid w:val="00BC0BAD"/>
    <w:rsid w:val="00BC0C14"/>
    <w:rsid w:val="00BC0D2D"/>
    <w:rsid w:val="00BC0D59"/>
    <w:rsid w:val="00BC0DAB"/>
    <w:rsid w:val="00BC0EF4"/>
    <w:rsid w:val="00BC10DA"/>
    <w:rsid w:val="00BC11A8"/>
    <w:rsid w:val="00BC11EB"/>
    <w:rsid w:val="00BC121A"/>
    <w:rsid w:val="00BC1226"/>
    <w:rsid w:val="00BC12BE"/>
    <w:rsid w:val="00BC146E"/>
    <w:rsid w:val="00BC16CB"/>
    <w:rsid w:val="00BC172C"/>
    <w:rsid w:val="00BC1776"/>
    <w:rsid w:val="00BC177C"/>
    <w:rsid w:val="00BC17C7"/>
    <w:rsid w:val="00BC1894"/>
    <w:rsid w:val="00BC1897"/>
    <w:rsid w:val="00BC1B55"/>
    <w:rsid w:val="00BC1C0B"/>
    <w:rsid w:val="00BC1CD7"/>
    <w:rsid w:val="00BC1D53"/>
    <w:rsid w:val="00BC1DAF"/>
    <w:rsid w:val="00BC1FAC"/>
    <w:rsid w:val="00BC2027"/>
    <w:rsid w:val="00BC22A6"/>
    <w:rsid w:val="00BC2304"/>
    <w:rsid w:val="00BC2334"/>
    <w:rsid w:val="00BC238A"/>
    <w:rsid w:val="00BC23C6"/>
    <w:rsid w:val="00BC2477"/>
    <w:rsid w:val="00BC24ED"/>
    <w:rsid w:val="00BC2513"/>
    <w:rsid w:val="00BC2515"/>
    <w:rsid w:val="00BC2910"/>
    <w:rsid w:val="00BC29F9"/>
    <w:rsid w:val="00BC2A21"/>
    <w:rsid w:val="00BC2AF0"/>
    <w:rsid w:val="00BC2B26"/>
    <w:rsid w:val="00BC2BA2"/>
    <w:rsid w:val="00BC2BA9"/>
    <w:rsid w:val="00BC2BB0"/>
    <w:rsid w:val="00BC2D17"/>
    <w:rsid w:val="00BC2D4B"/>
    <w:rsid w:val="00BC2DA4"/>
    <w:rsid w:val="00BC2DF8"/>
    <w:rsid w:val="00BC2F06"/>
    <w:rsid w:val="00BC2F9E"/>
    <w:rsid w:val="00BC3010"/>
    <w:rsid w:val="00BC32F2"/>
    <w:rsid w:val="00BC3323"/>
    <w:rsid w:val="00BC333C"/>
    <w:rsid w:val="00BC33EC"/>
    <w:rsid w:val="00BC3441"/>
    <w:rsid w:val="00BC3452"/>
    <w:rsid w:val="00BC3528"/>
    <w:rsid w:val="00BC352D"/>
    <w:rsid w:val="00BC36AC"/>
    <w:rsid w:val="00BC372A"/>
    <w:rsid w:val="00BC37D9"/>
    <w:rsid w:val="00BC37E0"/>
    <w:rsid w:val="00BC3958"/>
    <w:rsid w:val="00BC3A1D"/>
    <w:rsid w:val="00BC3F70"/>
    <w:rsid w:val="00BC4069"/>
    <w:rsid w:val="00BC4147"/>
    <w:rsid w:val="00BC41B1"/>
    <w:rsid w:val="00BC420F"/>
    <w:rsid w:val="00BC42BD"/>
    <w:rsid w:val="00BC432A"/>
    <w:rsid w:val="00BC43DF"/>
    <w:rsid w:val="00BC4451"/>
    <w:rsid w:val="00BC4520"/>
    <w:rsid w:val="00BC4532"/>
    <w:rsid w:val="00BC484D"/>
    <w:rsid w:val="00BC4900"/>
    <w:rsid w:val="00BC4947"/>
    <w:rsid w:val="00BC49BB"/>
    <w:rsid w:val="00BC4ADF"/>
    <w:rsid w:val="00BC4B00"/>
    <w:rsid w:val="00BC4B2A"/>
    <w:rsid w:val="00BC4C12"/>
    <w:rsid w:val="00BC4D6D"/>
    <w:rsid w:val="00BC4DC0"/>
    <w:rsid w:val="00BC4E89"/>
    <w:rsid w:val="00BC4EC3"/>
    <w:rsid w:val="00BC4F84"/>
    <w:rsid w:val="00BC501D"/>
    <w:rsid w:val="00BC51B7"/>
    <w:rsid w:val="00BC51BB"/>
    <w:rsid w:val="00BC5207"/>
    <w:rsid w:val="00BC520A"/>
    <w:rsid w:val="00BC5317"/>
    <w:rsid w:val="00BC53ED"/>
    <w:rsid w:val="00BC5400"/>
    <w:rsid w:val="00BC55FD"/>
    <w:rsid w:val="00BC5623"/>
    <w:rsid w:val="00BC576A"/>
    <w:rsid w:val="00BC57E5"/>
    <w:rsid w:val="00BC5832"/>
    <w:rsid w:val="00BC593D"/>
    <w:rsid w:val="00BC5983"/>
    <w:rsid w:val="00BC5A72"/>
    <w:rsid w:val="00BC5B6C"/>
    <w:rsid w:val="00BC5CEA"/>
    <w:rsid w:val="00BC5D22"/>
    <w:rsid w:val="00BC5DFC"/>
    <w:rsid w:val="00BC5E02"/>
    <w:rsid w:val="00BC602B"/>
    <w:rsid w:val="00BC6041"/>
    <w:rsid w:val="00BC6076"/>
    <w:rsid w:val="00BC60CD"/>
    <w:rsid w:val="00BC61C0"/>
    <w:rsid w:val="00BC6235"/>
    <w:rsid w:val="00BC6270"/>
    <w:rsid w:val="00BC628F"/>
    <w:rsid w:val="00BC63EA"/>
    <w:rsid w:val="00BC64BA"/>
    <w:rsid w:val="00BC6503"/>
    <w:rsid w:val="00BC658F"/>
    <w:rsid w:val="00BC65AD"/>
    <w:rsid w:val="00BC6660"/>
    <w:rsid w:val="00BC6667"/>
    <w:rsid w:val="00BC66A1"/>
    <w:rsid w:val="00BC6733"/>
    <w:rsid w:val="00BC6755"/>
    <w:rsid w:val="00BC6981"/>
    <w:rsid w:val="00BC69C8"/>
    <w:rsid w:val="00BC6AA8"/>
    <w:rsid w:val="00BC6AFE"/>
    <w:rsid w:val="00BC6D18"/>
    <w:rsid w:val="00BC6D47"/>
    <w:rsid w:val="00BC6D4C"/>
    <w:rsid w:val="00BC6F0E"/>
    <w:rsid w:val="00BC6FA7"/>
    <w:rsid w:val="00BC7044"/>
    <w:rsid w:val="00BC70E6"/>
    <w:rsid w:val="00BC7101"/>
    <w:rsid w:val="00BC712A"/>
    <w:rsid w:val="00BC7228"/>
    <w:rsid w:val="00BC735C"/>
    <w:rsid w:val="00BC7364"/>
    <w:rsid w:val="00BC7419"/>
    <w:rsid w:val="00BC7473"/>
    <w:rsid w:val="00BC7545"/>
    <w:rsid w:val="00BC7661"/>
    <w:rsid w:val="00BC7691"/>
    <w:rsid w:val="00BC7720"/>
    <w:rsid w:val="00BC7737"/>
    <w:rsid w:val="00BC77DD"/>
    <w:rsid w:val="00BC79A5"/>
    <w:rsid w:val="00BC7A19"/>
    <w:rsid w:val="00BC7A96"/>
    <w:rsid w:val="00BC7BA4"/>
    <w:rsid w:val="00BC7BFB"/>
    <w:rsid w:val="00BC7C18"/>
    <w:rsid w:val="00BC7C32"/>
    <w:rsid w:val="00BC7C53"/>
    <w:rsid w:val="00BC7C85"/>
    <w:rsid w:val="00BC7CA5"/>
    <w:rsid w:val="00BC7CC3"/>
    <w:rsid w:val="00BC7EB2"/>
    <w:rsid w:val="00BC7FEE"/>
    <w:rsid w:val="00BD0017"/>
    <w:rsid w:val="00BD0100"/>
    <w:rsid w:val="00BD0126"/>
    <w:rsid w:val="00BD0147"/>
    <w:rsid w:val="00BD01F7"/>
    <w:rsid w:val="00BD04F1"/>
    <w:rsid w:val="00BD051E"/>
    <w:rsid w:val="00BD0575"/>
    <w:rsid w:val="00BD0621"/>
    <w:rsid w:val="00BD074A"/>
    <w:rsid w:val="00BD081A"/>
    <w:rsid w:val="00BD082A"/>
    <w:rsid w:val="00BD0871"/>
    <w:rsid w:val="00BD093D"/>
    <w:rsid w:val="00BD09C9"/>
    <w:rsid w:val="00BD09F1"/>
    <w:rsid w:val="00BD09F5"/>
    <w:rsid w:val="00BD0C06"/>
    <w:rsid w:val="00BD0C51"/>
    <w:rsid w:val="00BD0C7E"/>
    <w:rsid w:val="00BD0D09"/>
    <w:rsid w:val="00BD0D3A"/>
    <w:rsid w:val="00BD0DC6"/>
    <w:rsid w:val="00BD0DD8"/>
    <w:rsid w:val="00BD0E1F"/>
    <w:rsid w:val="00BD0EBF"/>
    <w:rsid w:val="00BD101C"/>
    <w:rsid w:val="00BD1020"/>
    <w:rsid w:val="00BD1129"/>
    <w:rsid w:val="00BD113C"/>
    <w:rsid w:val="00BD1144"/>
    <w:rsid w:val="00BD12DD"/>
    <w:rsid w:val="00BD131A"/>
    <w:rsid w:val="00BD1438"/>
    <w:rsid w:val="00BD143B"/>
    <w:rsid w:val="00BD1469"/>
    <w:rsid w:val="00BD1475"/>
    <w:rsid w:val="00BD1563"/>
    <w:rsid w:val="00BD1564"/>
    <w:rsid w:val="00BD1567"/>
    <w:rsid w:val="00BD16EA"/>
    <w:rsid w:val="00BD1748"/>
    <w:rsid w:val="00BD17F5"/>
    <w:rsid w:val="00BD18C7"/>
    <w:rsid w:val="00BD1954"/>
    <w:rsid w:val="00BD1A16"/>
    <w:rsid w:val="00BD1B8D"/>
    <w:rsid w:val="00BD1BB1"/>
    <w:rsid w:val="00BD1C1A"/>
    <w:rsid w:val="00BD1D8A"/>
    <w:rsid w:val="00BD1D99"/>
    <w:rsid w:val="00BD1E48"/>
    <w:rsid w:val="00BD1E77"/>
    <w:rsid w:val="00BD1EEA"/>
    <w:rsid w:val="00BD1F1E"/>
    <w:rsid w:val="00BD1F23"/>
    <w:rsid w:val="00BD2100"/>
    <w:rsid w:val="00BD2138"/>
    <w:rsid w:val="00BD21F2"/>
    <w:rsid w:val="00BD23B3"/>
    <w:rsid w:val="00BD2515"/>
    <w:rsid w:val="00BD2522"/>
    <w:rsid w:val="00BD25C0"/>
    <w:rsid w:val="00BD26C2"/>
    <w:rsid w:val="00BD2700"/>
    <w:rsid w:val="00BD277C"/>
    <w:rsid w:val="00BD2963"/>
    <w:rsid w:val="00BD296B"/>
    <w:rsid w:val="00BD2C0D"/>
    <w:rsid w:val="00BD2C38"/>
    <w:rsid w:val="00BD2D37"/>
    <w:rsid w:val="00BD2D72"/>
    <w:rsid w:val="00BD2DE0"/>
    <w:rsid w:val="00BD2DE4"/>
    <w:rsid w:val="00BD2E29"/>
    <w:rsid w:val="00BD2EB7"/>
    <w:rsid w:val="00BD2FCD"/>
    <w:rsid w:val="00BD2FD5"/>
    <w:rsid w:val="00BD309C"/>
    <w:rsid w:val="00BD333B"/>
    <w:rsid w:val="00BD3397"/>
    <w:rsid w:val="00BD3420"/>
    <w:rsid w:val="00BD3432"/>
    <w:rsid w:val="00BD359D"/>
    <w:rsid w:val="00BD35F0"/>
    <w:rsid w:val="00BD3655"/>
    <w:rsid w:val="00BD3695"/>
    <w:rsid w:val="00BD372F"/>
    <w:rsid w:val="00BD374A"/>
    <w:rsid w:val="00BD37CF"/>
    <w:rsid w:val="00BD37EE"/>
    <w:rsid w:val="00BD3828"/>
    <w:rsid w:val="00BD395F"/>
    <w:rsid w:val="00BD3AAF"/>
    <w:rsid w:val="00BD3B57"/>
    <w:rsid w:val="00BD3B70"/>
    <w:rsid w:val="00BD3C3C"/>
    <w:rsid w:val="00BD3D27"/>
    <w:rsid w:val="00BD3D42"/>
    <w:rsid w:val="00BD3F33"/>
    <w:rsid w:val="00BD3F6E"/>
    <w:rsid w:val="00BD3FA1"/>
    <w:rsid w:val="00BD3FB7"/>
    <w:rsid w:val="00BD421B"/>
    <w:rsid w:val="00BD422E"/>
    <w:rsid w:val="00BD4252"/>
    <w:rsid w:val="00BD4275"/>
    <w:rsid w:val="00BD42DC"/>
    <w:rsid w:val="00BD4310"/>
    <w:rsid w:val="00BD4492"/>
    <w:rsid w:val="00BD4498"/>
    <w:rsid w:val="00BD44D7"/>
    <w:rsid w:val="00BD4560"/>
    <w:rsid w:val="00BD45A6"/>
    <w:rsid w:val="00BD47C1"/>
    <w:rsid w:val="00BD48DE"/>
    <w:rsid w:val="00BD4A09"/>
    <w:rsid w:val="00BD4BEA"/>
    <w:rsid w:val="00BD4E6F"/>
    <w:rsid w:val="00BD4E75"/>
    <w:rsid w:val="00BD4E93"/>
    <w:rsid w:val="00BD4F20"/>
    <w:rsid w:val="00BD5187"/>
    <w:rsid w:val="00BD51D3"/>
    <w:rsid w:val="00BD5333"/>
    <w:rsid w:val="00BD5381"/>
    <w:rsid w:val="00BD53B0"/>
    <w:rsid w:val="00BD53B2"/>
    <w:rsid w:val="00BD54BB"/>
    <w:rsid w:val="00BD5531"/>
    <w:rsid w:val="00BD5555"/>
    <w:rsid w:val="00BD575C"/>
    <w:rsid w:val="00BD580A"/>
    <w:rsid w:val="00BD587A"/>
    <w:rsid w:val="00BD59DA"/>
    <w:rsid w:val="00BD5B14"/>
    <w:rsid w:val="00BD5BAE"/>
    <w:rsid w:val="00BD5CE5"/>
    <w:rsid w:val="00BD5D1A"/>
    <w:rsid w:val="00BD5D1E"/>
    <w:rsid w:val="00BD5D47"/>
    <w:rsid w:val="00BD5D81"/>
    <w:rsid w:val="00BD5DB8"/>
    <w:rsid w:val="00BD5E12"/>
    <w:rsid w:val="00BD5EE5"/>
    <w:rsid w:val="00BD5FB4"/>
    <w:rsid w:val="00BD62AF"/>
    <w:rsid w:val="00BD6352"/>
    <w:rsid w:val="00BD6378"/>
    <w:rsid w:val="00BD6530"/>
    <w:rsid w:val="00BD65CF"/>
    <w:rsid w:val="00BD67CA"/>
    <w:rsid w:val="00BD67D3"/>
    <w:rsid w:val="00BD67DB"/>
    <w:rsid w:val="00BD6807"/>
    <w:rsid w:val="00BD680F"/>
    <w:rsid w:val="00BD6820"/>
    <w:rsid w:val="00BD6A83"/>
    <w:rsid w:val="00BD6B3B"/>
    <w:rsid w:val="00BD6BE8"/>
    <w:rsid w:val="00BD6C72"/>
    <w:rsid w:val="00BD6D4B"/>
    <w:rsid w:val="00BD6E24"/>
    <w:rsid w:val="00BD6F10"/>
    <w:rsid w:val="00BD7041"/>
    <w:rsid w:val="00BD707C"/>
    <w:rsid w:val="00BD7090"/>
    <w:rsid w:val="00BD70AA"/>
    <w:rsid w:val="00BD711B"/>
    <w:rsid w:val="00BD7143"/>
    <w:rsid w:val="00BD715D"/>
    <w:rsid w:val="00BD7169"/>
    <w:rsid w:val="00BD723F"/>
    <w:rsid w:val="00BD7252"/>
    <w:rsid w:val="00BD7392"/>
    <w:rsid w:val="00BD73F7"/>
    <w:rsid w:val="00BD742B"/>
    <w:rsid w:val="00BD74AA"/>
    <w:rsid w:val="00BD74D9"/>
    <w:rsid w:val="00BD7666"/>
    <w:rsid w:val="00BD7692"/>
    <w:rsid w:val="00BD784D"/>
    <w:rsid w:val="00BD785B"/>
    <w:rsid w:val="00BD7A7F"/>
    <w:rsid w:val="00BD7AF8"/>
    <w:rsid w:val="00BD7BF8"/>
    <w:rsid w:val="00BD7DA8"/>
    <w:rsid w:val="00BD7DBD"/>
    <w:rsid w:val="00BD7DC1"/>
    <w:rsid w:val="00BD7E1F"/>
    <w:rsid w:val="00BD7E22"/>
    <w:rsid w:val="00BD7ECB"/>
    <w:rsid w:val="00BD7EDB"/>
    <w:rsid w:val="00BD7F95"/>
    <w:rsid w:val="00BD7FF7"/>
    <w:rsid w:val="00BDB37A"/>
    <w:rsid w:val="00BE00FD"/>
    <w:rsid w:val="00BE011E"/>
    <w:rsid w:val="00BE012B"/>
    <w:rsid w:val="00BE0153"/>
    <w:rsid w:val="00BE01BE"/>
    <w:rsid w:val="00BE0435"/>
    <w:rsid w:val="00BE0458"/>
    <w:rsid w:val="00BE047B"/>
    <w:rsid w:val="00BE04C5"/>
    <w:rsid w:val="00BE052D"/>
    <w:rsid w:val="00BE059B"/>
    <w:rsid w:val="00BE059E"/>
    <w:rsid w:val="00BE060F"/>
    <w:rsid w:val="00BE06D1"/>
    <w:rsid w:val="00BE06E3"/>
    <w:rsid w:val="00BE0715"/>
    <w:rsid w:val="00BE0792"/>
    <w:rsid w:val="00BE08B9"/>
    <w:rsid w:val="00BE0AC0"/>
    <w:rsid w:val="00BE0C25"/>
    <w:rsid w:val="00BE0D4B"/>
    <w:rsid w:val="00BE0DED"/>
    <w:rsid w:val="00BE0ED0"/>
    <w:rsid w:val="00BE0FB1"/>
    <w:rsid w:val="00BE10CF"/>
    <w:rsid w:val="00BE113C"/>
    <w:rsid w:val="00BE1311"/>
    <w:rsid w:val="00BE13B5"/>
    <w:rsid w:val="00BE1491"/>
    <w:rsid w:val="00BE1632"/>
    <w:rsid w:val="00BE1A7E"/>
    <w:rsid w:val="00BE1AAF"/>
    <w:rsid w:val="00BE1AFA"/>
    <w:rsid w:val="00BE1BA3"/>
    <w:rsid w:val="00BE1BEC"/>
    <w:rsid w:val="00BE1C5A"/>
    <w:rsid w:val="00BE1D2F"/>
    <w:rsid w:val="00BE1D31"/>
    <w:rsid w:val="00BE1F43"/>
    <w:rsid w:val="00BE2016"/>
    <w:rsid w:val="00BE20E8"/>
    <w:rsid w:val="00BE21A1"/>
    <w:rsid w:val="00BE228E"/>
    <w:rsid w:val="00BE2386"/>
    <w:rsid w:val="00BE238B"/>
    <w:rsid w:val="00BE2399"/>
    <w:rsid w:val="00BE24E1"/>
    <w:rsid w:val="00BE261B"/>
    <w:rsid w:val="00BE2643"/>
    <w:rsid w:val="00BE270D"/>
    <w:rsid w:val="00BE284A"/>
    <w:rsid w:val="00BE2ACC"/>
    <w:rsid w:val="00BE2C44"/>
    <w:rsid w:val="00BE2DCF"/>
    <w:rsid w:val="00BE2E5E"/>
    <w:rsid w:val="00BE2F43"/>
    <w:rsid w:val="00BE2F70"/>
    <w:rsid w:val="00BE3005"/>
    <w:rsid w:val="00BE301C"/>
    <w:rsid w:val="00BE305F"/>
    <w:rsid w:val="00BE3118"/>
    <w:rsid w:val="00BE320C"/>
    <w:rsid w:val="00BE3262"/>
    <w:rsid w:val="00BE357D"/>
    <w:rsid w:val="00BE35D2"/>
    <w:rsid w:val="00BE35F2"/>
    <w:rsid w:val="00BE3778"/>
    <w:rsid w:val="00BE3796"/>
    <w:rsid w:val="00BE3807"/>
    <w:rsid w:val="00BE382A"/>
    <w:rsid w:val="00BE383A"/>
    <w:rsid w:val="00BE38CE"/>
    <w:rsid w:val="00BE38CF"/>
    <w:rsid w:val="00BE3921"/>
    <w:rsid w:val="00BE39EE"/>
    <w:rsid w:val="00BE3BCB"/>
    <w:rsid w:val="00BE3C59"/>
    <w:rsid w:val="00BE3D51"/>
    <w:rsid w:val="00BE3D9D"/>
    <w:rsid w:val="00BE3DCA"/>
    <w:rsid w:val="00BE3FE0"/>
    <w:rsid w:val="00BE40A6"/>
    <w:rsid w:val="00BE4386"/>
    <w:rsid w:val="00BE4499"/>
    <w:rsid w:val="00BE44B2"/>
    <w:rsid w:val="00BE45D2"/>
    <w:rsid w:val="00BE467C"/>
    <w:rsid w:val="00BE4883"/>
    <w:rsid w:val="00BE48CC"/>
    <w:rsid w:val="00BE48D1"/>
    <w:rsid w:val="00BE4BBF"/>
    <w:rsid w:val="00BE4BE5"/>
    <w:rsid w:val="00BE4BFA"/>
    <w:rsid w:val="00BE4DC7"/>
    <w:rsid w:val="00BE4DEB"/>
    <w:rsid w:val="00BE4E01"/>
    <w:rsid w:val="00BE4E46"/>
    <w:rsid w:val="00BE4E8A"/>
    <w:rsid w:val="00BE4E9E"/>
    <w:rsid w:val="00BE5043"/>
    <w:rsid w:val="00BE50B4"/>
    <w:rsid w:val="00BE5129"/>
    <w:rsid w:val="00BE51E5"/>
    <w:rsid w:val="00BE5299"/>
    <w:rsid w:val="00BE52B7"/>
    <w:rsid w:val="00BE5306"/>
    <w:rsid w:val="00BE5347"/>
    <w:rsid w:val="00BE543B"/>
    <w:rsid w:val="00BE5466"/>
    <w:rsid w:val="00BE549C"/>
    <w:rsid w:val="00BE558B"/>
    <w:rsid w:val="00BE558D"/>
    <w:rsid w:val="00BE55BB"/>
    <w:rsid w:val="00BE55C3"/>
    <w:rsid w:val="00BE5733"/>
    <w:rsid w:val="00BE5813"/>
    <w:rsid w:val="00BE58B8"/>
    <w:rsid w:val="00BE58CB"/>
    <w:rsid w:val="00BE5915"/>
    <w:rsid w:val="00BE5945"/>
    <w:rsid w:val="00BE59B2"/>
    <w:rsid w:val="00BE59F7"/>
    <w:rsid w:val="00BE5A33"/>
    <w:rsid w:val="00BE5B19"/>
    <w:rsid w:val="00BE5B7B"/>
    <w:rsid w:val="00BE5D89"/>
    <w:rsid w:val="00BE5DAC"/>
    <w:rsid w:val="00BE5EE7"/>
    <w:rsid w:val="00BE5F83"/>
    <w:rsid w:val="00BE5FA6"/>
    <w:rsid w:val="00BE5FF7"/>
    <w:rsid w:val="00BE6022"/>
    <w:rsid w:val="00BE6184"/>
    <w:rsid w:val="00BE61F6"/>
    <w:rsid w:val="00BE620F"/>
    <w:rsid w:val="00BE62D4"/>
    <w:rsid w:val="00BE6309"/>
    <w:rsid w:val="00BE63CF"/>
    <w:rsid w:val="00BE6414"/>
    <w:rsid w:val="00BE6458"/>
    <w:rsid w:val="00BE6487"/>
    <w:rsid w:val="00BE6907"/>
    <w:rsid w:val="00BE6940"/>
    <w:rsid w:val="00BE6A04"/>
    <w:rsid w:val="00BE6A6A"/>
    <w:rsid w:val="00BE6A85"/>
    <w:rsid w:val="00BE6B68"/>
    <w:rsid w:val="00BE6BC7"/>
    <w:rsid w:val="00BE6C7D"/>
    <w:rsid w:val="00BE6CC4"/>
    <w:rsid w:val="00BE6CD8"/>
    <w:rsid w:val="00BE6CF5"/>
    <w:rsid w:val="00BE6D9C"/>
    <w:rsid w:val="00BE6E6C"/>
    <w:rsid w:val="00BE7004"/>
    <w:rsid w:val="00BE700D"/>
    <w:rsid w:val="00BE70BB"/>
    <w:rsid w:val="00BE70C9"/>
    <w:rsid w:val="00BE7331"/>
    <w:rsid w:val="00BE7359"/>
    <w:rsid w:val="00BE74A1"/>
    <w:rsid w:val="00BE76B5"/>
    <w:rsid w:val="00BE77F0"/>
    <w:rsid w:val="00BE7802"/>
    <w:rsid w:val="00BE7896"/>
    <w:rsid w:val="00BE78AC"/>
    <w:rsid w:val="00BE78BA"/>
    <w:rsid w:val="00BE7906"/>
    <w:rsid w:val="00BE7C5A"/>
    <w:rsid w:val="00BE7C6A"/>
    <w:rsid w:val="00BE7D13"/>
    <w:rsid w:val="00BE7D86"/>
    <w:rsid w:val="00BE7F37"/>
    <w:rsid w:val="00BE7FE9"/>
    <w:rsid w:val="00BE7FF8"/>
    <w:rsid w:val="00BF00A5"/>
    <w:rsid w:val="00BF00DE"/>
    <w:rsid w:val="00BF010B"/>
    <w:rsid w:val="00BF011D"/>
    <w:rsid w:val="00BF0166"/>
    <w:rsid w:val="00BF01A1"/>
    <w:rsid w:val="00BF01DE"/>
    <w:rsid w:val="00BF024C"/>
    <w:rsid w:val="00BF02DE"/>
    <w:rsid w:val="00BF042B"/>
    <w:rsid w:val="00BF056D"/>
    <w:rsid w:val="00BF0572"/>
    <w:rsid w:val="00BF06BD"/>
    <w:rsid w:val="00BF0709"/>
    <w:rsid w:val="00BF0710"/>
    <w:rsid w:val="00BF0748"/>
    <w:rsid w:val="00BF07B8"/>
    <w:rsid w:val="00BF097A"/>
    <w:rsid w:val="00BF098A"/>
    <w:rsid w:val="00BF0A39"/>
    <w:rsid w:val="00BF0A57"/>
    <w:rsid w:val="00BF0A67"/>
    <w:rsid w:val="00BF0C3F"/>
    <w:rsid w:val="00BF0D7A"/>
    <w:rsid w:val="00BF0E7C"/>
    <w:rsid w:val="00BF0F14"/>
    <w:rsid w:val="00BF0FCF"/>
    <w:rsid w:val="00BF0FE9"/>
    <w:rsid w:val="00BF1045"/>
    <w:rsid w:val="00BF1238"/>
    <w:rsid w:val="00BF143E"/>
    <w:rsid w:val="00BF14AA"/>
    <w:rsid w:val="00BF1686"/>
    <w:rsid w:val="00BF1748"/>
    <w:rsid w:val="00BF1817"/>
    <w:rsid w:val="00BF1883"/>
    <w:rsid w:val="00BF1912"/>
    <w:rsid w:val="00BF1A57"/>
    <w:rsid w:val="00BF1ACB"/>
    <w:rsid w:val="00BF1AF8"/>
    <w:rsid w:val="00BF1B0C"/>
    <w:rsid w:val="00BF1C21"/>
    <w:rsid w:val="00BF1CC6"/>
    <w:rsid w:val="00BF1D21"/>
    <w:rsid w:val="00BF1DAE"/>
    <w:rsid w:val="00BF1DEC"/>
    <w:rsid w:val="00BF1ECD"/>
    <w:rsid w:val="00BF1EE6"/>
    <w:rsid w:val="00BF1F15"/>
    <w:rsid w:val="00BF1F9C"/>
    <w:rsid w:val="00BF2072"/>
    <w:rsid w:val="00BF208D"/>
    <w:rsid w:val="00BF20F5"/>
    <w:rsid w:val="00BF2162"/>
    <w:rsid w:val="00BF233B"/>
    <w:rsid w:val="00BF235F"/>
    <w:rsid w:val="00BF2374"/>
    <w:rsid w:val="00BF25CB"/>
    <w:rsid w:val="00BF2640"/>
    <w:rsid w:val="00BF2729"/>
    <w:rsid w:val="00BF2761"/>
    <w:rsid w:val="00BF2772"/>
    <w:rsid w:val="00BF2804"/>
    <w:rsid w:val="00BF2991"/>
    <w:rsid w:val="00BF2BD0"/>
    <w:rsid w:val="00BF2C18"/>
    <w:rsid w:val="00BF2C54"/>
    <w:rsid w:val="00BF2D50"/>
    <w:rsid w:val="00BF2D9F"/>
    <w:rsid w:val="00BF2E8D"/>
    <w:rsid w:val="00BF2F59"/>
    <w:rsid w:val="00BF3034"/>
    <w:rsid w:val="00BF30CB"/>
    <w:rsid w:val="00BF3109"/>
    <w:rsid w:val="00BF325A"/>
    <w:rsid w:val="00BF3361"/>
    <w:rsid w:val="00BF337E"/>
    <w:rsid w:val="00BF339B"/>
    <w:rsid w:val="00BF34E5"/>
    <w:rsid w:val="00BF3516"/>
    <w:rsid w:val="00BF35A1"/>
    <w:rsid w:val="00BF35CF"/>
    <w:rsid w:val="00BF35EC"/>
    <w:rsid w:val="00BF360B"/>
    <w:rsid w:val="00BF3688"/>
    <w:rsid w:val="00BF3862"/>
    <w:rsid w:val="00BF3880"/>
    <w:rsid w:val="00BF38AD"/>
    <w:rsid w:val="00BF3A0D"/>
    <w:rsid w:val="00BF3A4B"/>
    <w:rsid w:val="00BF3DDA"/>
    <w:rsid w:val="00BF3DEE"/>
    <w:rsid w:val="00BF3E49"/>
    <w:rsid w:val="00BF3EC9"/>
    <w:rsid w:val="00BF3F0A"/>
    <w:rsid w:val="00BF3F36"/>
    <w:rsid w:val="00BF3F9F"/>
    <w:rsid w:val="00BF4143"/>
    <w:rsid w:val="00BF4207"/>
    <w:rsid w:val="00BF4239"/>
    <w:rsid w:val="00BF4253"/>
    <w:rsid w:val="00BF42E7"/>
    <w:rsid w:val="00BF431E"/>
    <w:rsid w:val="00BF4448"/>
    <w:rsid w:val="00BF446B"/>
    <w:rsid w:val="00BF4482"/>
    <w:rsid w:val="00BF4748"/>
    <w:rsid w:val="00BF47F3"/>
    <w:rsid w:val="00BF4808"/>
    <w:rsid w:val="00BF480D"/>
    <w:rsid w:val="00BF49F8"/>
    <w:rsid w:val="00BF4A43"/>
    <w:rsid w:val="00BF4A72"/>
    <w:rsid w:val="00BF4A79"/>
    <w:rsid w:val="00BF4AD3"/>
    <w:rsid w:val="00BF4B0B"/>
    <w:rsid w:val="00BF4B0E"/>
    <w:rsid w:val="00BF4B60"/>
    <w:rsid w:val="00BF4C27"/>
    <w:rsid w:val="00BF4C59"/>
    <w:rsid w:val="00BF4D47"/>
    <w:rsid w:val="00BF4F4E"/>
    <w:rsid w:val="00BF4FF7"/>
    <w:rsid w:val="00BF504C"/>
    <w:rsid w:val="00BF50C0"/>
    <w:rsid w:val="00BF5128"/>
    <w:rsid w:val="00BF521B"/>
    <w:rsid w:val="00BF52E2"/>
    <w:rsid w:val="00BF5451"/>
    <w:rsid w:val="00BF55AB"/>
    <w:rsid w:val="00BF5617"/>
    <w:rsid w:val="00BF5645"/>
    <w:rsid w:val="00BF5781"/>
    <w:rsid w:val="00BF5861"/>
    <w:rsid w:val="00BF59E8"/>
    <w:rsid w:val="00BF5A3E"/>
    <w:rsid w:val="00BF5A9B"/>
    <w:rsid w:val="00BF5AAB"/>
    <w:rsid w:val="00BF5CE9"/>
    <w:rsid w:val="00BF5D12"/>
    <w:rsid w:val="00BF5DE4"/>
    <w:rsid w:val="00BF5F8A"/>
    <w:rsid w:val="00BF6149"/>
    <w:rsid w:val="00BF6184"/>
    <w:rsid w:val="00BF62BC"/>
    <w:rsid w:val="00BF6664"/>
    <w:rsid w:val="00BF675A"/>
    <w:rsid w:val="00BF682E"/>
    <w:rsid w:val="00BF685A"/>
    <w:rsid w:val="00BF688C"/>
    <w:rsid w:val="00BF6945"/>
    <w:rsid w:val="00BF6A05"/>
    <w:rsid w:val="00BF6B37"/>
    <w:rsid w:val="00BF6BC1"/>
    <w:rsid w:val="00BF6C3B"/>
    <w:rsid w:val="00BF6CF0"/>
    <w:rsid w:val="00BF6D70"/>
    <w:rsid w:val="00BF6DC9"/>
    <w:rsid w:val="00BF6ED7"/>
    <w:rsid w:val="00BF7097"/>
    <w:rsid w:val="00BF7136"/>
    <w:rsid w:val="00BF7139"/>
    <w:rsid w:val="00BF71BC"/>
    <w:rsid w:val="00BF720A"/>
    <w:rsid w:val="00BF7390"/>
    <w:rsid w:val="00BF7396"/>
    <w:rsid w:val="00BF7587"/>
    <w:rsid w:val="00BF7602"/>
    <w:rsid w:val="00BF7735"/>
    <w:rsid w:val="00BF7873"/>
    <w:rsid w:val="00BF7A42"/>
    <w:rsid w:val="00BF7A77"/>
    <w:rsid w:val="00BF7A9A"/>
    <w:rsid w:val="00BF7AAA"/>
    <w:rsid w:val="00BF7AF6"/>
    <w:rsid w:val="00BF7B1F"/>
    <w:rsid w:val="00BF7B93"/>
    <w:rsid w:val="00BF7C0C"/>
    <w:rsid w:val="00BF7CD8"/>
    <w:rsid w:val="00BF7D3A"/>
    <w:rsid w:val="00BF7D5C"/>
    <w:rsid w:val="00BF7DF8"/>
    <w:rsid w:val="00BF7E64"/>
    <w:rsid w:val="00BF7F46"/>
    <w:rsid w:val="00C00016"/>
    <w:rsid w:val="00C00086"/>
    <w:rsid w:val="00C000EF"/>
    <w:rsid w:val="00C001FF"/>
    <w:rsid w:val="00C002BD"/>
    <w:rsid w:val="00C0038F"/>
    <w:rsid w:val="00C005B7"/>
    <w:rsid w:val="00C005E3"/>
    <w:rsid w:val="00C00719"/>
    <w:rsid w:val="00C0072C"/>
    <w:rsid w:val="00C0075E"/>
    <w:rsid w:val="00C0085D"/>
    <w:rsid w:val="00C008CC"/>
    <w:rsid w:val="00C00978"/>
    <w:rsid w:val="00C00F28"/>
    <w:rsid w:val="00C01038"/>
    <w:rsid w:val="00C011F2"/>
    <w:rsid w:val="00C01212"/>
    <w:rsid w:val="00C01241"/>
    <w:rsid w:val="00C012D1"/>
    <w:rsid w:val="00C01362"/>
    <w:rsid w:val="00C013E2"/>
    <w:rsid w:val="00C01409"/>
    <w:rsid w:val="00C01424"/>
    <w:rsid w:val="00C0148B"/>
    <w:rsid w:val="00C015AC"/>
    <w:rsid w:val="00C016BB"/>
    <w:rsid w:val="00C019E0"/>
    <w:rsid w:val="00C01A0F"/>
    <w:rsid w:val="00C01BDE"/>
    <w:rsid w:val="00C01C50"/>
    <w:rsid w:val="00C01CEB"/>
    <w:rsid w:val="00C01D5C"/>
    <w:rsid w:val="00C01E29"/>
    <w:rsid w:val="00C01E46"/>
    <w:rsid w:val="00C01EF2"/>
    <w:rsid w:val="00C01F03"/>
    <w:rsid w:val="00C02014"/>
    <w:rsid w:val="00C0212B"/>
    <w:rsid w:val="00C0217A"/>
    <w:rsid w:val="00C023CC"/>
    <w:rsid w:val="00C02562"/>
    <w:rsid w:val="00C025B5"/>
    <w:rsid w:val="00C025C1"/>
    <w:rsid w:val="00C02899"/>
    <w:rsid w:val="00C028E9"/>
    <w:rsid w:val="00C029F5"/>
    <w:rsid w:val="00C02A7E"/>
    <w:rsid w:val="00C02D35"/>
    <w:rsid w:val="00C02DA8"/>
    <w:rsid w:val="00C02DFB"/>
    <w:rsid w:val="00C02F4C"/>
    <w:rsid w:val="00C031AB"/>
    <w:rsid w:val="00C03262"/>
    <w:rsid w:val="00C03295"/>
    <w:rsid w:val="00C03371"/>
    <w:rsid w:val="00C03438"/>
    <w:rsid w:val="00C034F6"/>
    <w:rsid w:val="00C03645"/>
    <w:rsid w:val="00C0370B"/>
    <w:rsid w:val="00C03791"/>
    <w:rsid w:val="00C03847"/>
    <w:rsid w:val="00C038FC"/>
    <w:rsid w:val="00C0394E"/>
    <w:rsid w:val="00C039C5"/>
    <w:rsid w:val="00C039D2"/>
    <w:rsid w:val="00C03AFF"/>
    <w:rsid w:val="00C03B17"/>
    <w:rsid w:val="00C03C1F"/>
    <w:rsid w:val="00C03CAC"/>
    <w:rsid w:val="00C03D2B"/>
    <w:rsid w:val="00C03DB8"/>
    <w:rsid w:val="00C03E34"/>
    <w:rsid w:val="00C03ECF"/>
    <w:rsid w:val="00C03FC9"/>
    <w:rsid w:val="00C04061"/>
    <w:rsid w:val="00C0422A"/>
    <w:rsid w:val="00C04274"/>
    <w:rsid w:val="00C04289"/>
    <w:rsid w:val="00C042AB"/>
    <w:rsid w:val="00C0433B"/>
    <w:rsid w:val="00C0446E"/>
    <w:rsid w:val="00C044A3"/>
    <w:rsid w:val="00C044C3"/>
    <w:rsid w:val="00C0465F"/>
    <w:rsid w:val="00C04693"/>
    <w:rsid w:val="00C047C4"/>
    <w:rsid w:val="00C048E5"/>
    <w:rsid w:val="00C048FA"/>
    <w:rsid w:val="00C04977"/>
    <w:rsid w:val="00C049A0"/>
    <w:rsid w:val="00C049DC"/>
    <w:rsid w:val="00C04ACC"/>
    <w:rsid w:val="00C04C57"/>
    <w:rsid w:val="00C04CA7"/>
    <w:rsid w:val="00C04D45"/>
    <w:rsid w:val="00C04D48"/>
    <w:rsid w:val="00C04DA8"/>
    <w:rsid w:val="00C04DCE"/>
    <w:rsid w:val="00C04F6A"/>
    <w:rsid w:val="00C05051"/>
    <w:rsid w:val="00C05092"/>
    <w:rsid w:val="00C05104"/>
    <w:rsid w:val="00C0514A"/>
    <w:rsid w:val="00C051FC"/>
    <w:rsid w:val="00C052CC"/>
    <w:rsid w:val="00C05337"/>
    <w:rsid w:val="00C05436"/>
    <w:rsid w:val="00C05526"/>
    <w:rsid w:val="00C055FE"/>
    <w:rsid w:val="00C05609"/>
    <w:rsid w:val="00C05745"/>
    <w:rsid w:val="00C05776"/>
    <w:rsid w:val="00C0592B"/>
    <w:rsid w:val="00C05948"/>
    <w:rsid w:val="00C05A3E"/>
    <w:rsid w:val="00C05A69"/>
    <w:rsid w:val="00C05B74"/>
    <w:rsid w:val="00C05D3C"/>
    <w:rsid w:val="00C05D60"/>
    <w:rsid w:val="00C05F2C"/>
    <w:rsid w:val="00C05F82"/>
    <w:rsid w:val="00C05F87"/>
    <w:rsid w:val="00C06054"/>
    <w:rsid w:val="00C0606D"/>
    <w:rsid w:val="00C06098"/>
    <w:rsid w:val="00C060D7"/>
    <w:rsid w:val="00C061F5"/>
    <w:rsid w:val="00C062F4"/>
    <w:rsid w:val="00C0640A"/>
    <w:rsid w:val="00C06469"/>
    <w:rsid w:val="00C06489"/>
    <w:rsid w:val="00C0656B"/>
    <w:rsid w:val="00C06698"/>
    <w:rsid w:val="00C06740"/>
    <w:rsid w:val="00C06761"/>
    <w:rsid w:val="00C068A0"/>
    <w:rsid w:val="00C068C9"/>
    <w:rsid w:val="00C068D5"/>
    <w:rsid w:val="00C06930"/>
    <w:rsid w:val="00C06943"/>
    <w:rsid w:val="00C06CF3"/>
    <w:rsid w:val="00C06D1F"/>
    <w:rsid w:val="00C06DF5"/>
    <w:rsid w:val="00C06F4F"/>
    <w:rsid w:val="00C06FFF"/>
    <w:rsid w:val="00C0709A"/>
    <w:rsid w:val="00C0726F"/>
    <w:rsid w:val="00C07545"/>
    <w:rsid w:val="00C07618"/>
    <w:rsid w:val="00C076A9"/>
    <w:rsid w:val="00C076CF"/>
    <w:rsid w:val="00C07903"/>
    <w:rsid w:val="00C07959"/>
    <w:rsid w:val="00C07982"/>
    <w:rsid w:val="00C079BD"/>
    <w:rsid w:val="00C079E4"/>
    <w:rsid w:val="00C07A08"/>
    <w:rsid w:val="00C07A68"/>
    <w:rsid w:val="00C07A8D"/>
    <w:rsid w:val="00C07BF3"/>
    <w:rsid w:val="00C07C38"/>
    <w:rsid w:val="00C07C3A"/>
    <w:rsid w:val="00C07C51"/>
    <w:rsid w:val="00C07E4C"/>
    <w:rsid w:val="00C07F04"/>
    <w:rsid w:val="00C07F3C"/>
    <w:rsid w:val="00C1002E"/>
    <w:rsid w:val="00C10065"/>
    <w:rsid w:val="00C10081"/>
    <w:rsid w:val="00C100F8"/>
    <w:rsid w:val="00C10188"/>
    <w:rsid w:val="00C102C3"/>
    <w:rsid w:val="00C102EF"/>
    <w:rsid w:val="00C1035B"/>
    <w:rsid w:val="00C10447"/>
    <w:rsid w:val="00C1057C"/>
    <w:rsid w:val="00C106E4"/>
    <w:rsid w:val="00C107B8"/>
    <w:rsid w:val="00C10899"/>
    <w:rsid w:val="00C108DA"/>
    <w:rsid w:val="00C108E9"/>
    <w:rsid w:val="00C1090E"/>
    <w:rsid w:val="00C1094E"/>
    <w:rsid w:val="00C109B7"/>
    <w:rsid w:val="00C109B9"/>
    <w:rsid w:val="00C10AA8"/>
    <w:rsid w:val="00C10AE9"/>
    <w:rsid w:val="00C10B54"/>
    <w:rsid w:val="00C10C75"/>
    <w:rsid w:val="00C10C9E"/>
    <w:rsid w:val="00C10D7E"/>
    <w:rsid w:val="00C10E37"/>
    <w:rsid w:val="00C10F2B"/>
    <w:rsid w:val="00C10FFD"/>
    <w:rsid w:val="00C11041"/>
    <w:rsid w:val="00C110F4"/>
    <w:rsid w:val="00C11144"/>
    <w:rsid w:val="00C111A3"/>
    <w:rsid w:val="00C11447"/>
    <w:rsid w:val="00C117B2"/>
    <w:rsid w:val="00C117E0"/>
    <w:rsid w:val="00C1180B"/>
    <w:rsid w:val="00C11869"/>
    <w:rsid w:val="00C118CC"/>
    <w:rsid w:val="00C11A6F"/>
    <w:rsid w:val="00C11AD2"/>
    <w:rsid w:val="00C11AFD"/>
    <w:rsid w:val="00C11B08"/>
    <w:rsid w:val="00C11B10"/>
    <w:rsid w:val="00C11B15"/>
    <w:rsid w:val="00C11BC4"/>
    <w:rsid w:val="00C11C6A"/>
    <w:rsid w:val="00C11CB4"/>
    <w:rsid w:val="00C11E2E"/>
    <w:rsid w:val="00C11EF5"/>
    <w:rsid w:val="00C11F7F"/>
    <w:rsid w:val="00C12059"/>
    <w:rsid w:val="00C12140"/>
    <w:rsid w:val="00C121B7"/>
    <w:rsid w:val="00C121C9"/>
    <w:rsid w:val="00C12292"/>
    <w:rsid w:val="00C12343"/>
    <w:rsid w:val="00C123DB"/>
    <w:rsid w:val="00C12530"/>
    <w:rsid w:val="00C12532"/>
    <w:rsid w:val="00C125B6"/>
    <w:rsid w:val="00C129F1"/>
    <w:rsid w:val="00C12A52"/>
    <w:rsid w:val="00C12BA4"/>
    <w:rsid w:val="00C12BF8"/>
    <w:rsid w:val="00C12C48"/>
    <w:rsid w:val="00C12DF8"/>
    <w:rsid w:val="00C12E0B"/>
    <w:rsid w:val="00C12EB9"/>
    <w:rsid w:val="00C12EC6"/>
    <w:rsid w:val="00C1323C"/>
    <w:rsid w:val="00C132EA"/>
    <w:rsid w:val="00C13470"/>
    <w:rsid w:val="00C134D8"/>
    <w:rsid w:val="00C13614"/>
    <w:rsid w:val="00C13709"/>
    <w:rsid w:val="00C137A6"/>
    <w:rsid w:val="00C13878"/>
    <w:rsid w:val="00C138BA"/>
    <w:rsid w:val="00C138F8"/>
    <w:rsid w:val="00C13A7C"/>
    <w:rsid w:val="00C13BC5"/>
    <w:rsid w:val="00C13BFD"/>
    <w:rsid w:val="00C13C27"/>
    <w:rsid w:val="00C13C5B"/>
    <w:rsid w:val="00C13C81"/>
    <w:rsid w:val="00C13CF2"/>
    <w:rsid w:val="00C13DD5"/>
    <w:rsid w:val="00C13E05"/>
    <w:rsid w:val="00C13E3E"/>
    <w:rsid w:val="00C13F26"/>
    <w:rsid w:val="00C13F46"/>
    <w:rsid w:val="00C140BF"/>
    <w:rsid w:val="00C1415C"/>
    <w:rsid w:val="00C14222"/>
    <w:rsid w:val="00C1422F"/>
    <w:rsid w:val="00C14285"/>
    <w:rsid w:val="00C14288"/>
    <w:rsid w:val="00C142EE"/>
    <w:rsid w:val="00C143D1"/>
    <w:rsid w:val="00C14477"/>
    <w:rsid w:val="00C14635"/>
    <w:rsid w:val="00C1469E"/>
    <w:rsid w:val="00C146F1"/>
    <w:rsid w:val="00C14722"/>
    <w:rsid w:val="00C149A0"/>
    <w:rsid w:val="00C14BE7"/>
    <w:rsid w:val="00C14C94"/>
    <w:rsid w:val="00C14D9A"/>
    <w:rsid w:val="00C14E30"/>
    <w:rsid w:val="00C14E6D"/>
    <w:rsid w:val="00C14EE7"/>
    <w:rsid w:val="00C150CC"/>
    <w:rsid w:val="00C150EC"/>
    <w:rsid w:val="00C150FB"/>
    <w:rsid w:val="00C15212"/>
    <w:rsid w:val="00C15371"/>
    <w:rsid w:val="00C153CC"/>
    <w:rsid w:val="00C153E0"/>
    <w:rsid w:val="00C1542A"/>
    <w:rsid w:val="00C154E8"/>
    <w:rsid w:val="00C155E0"/>
    <w:rsid w:val="00C15625"/>
    <w:rsid w:val="00C15630"/>
    <w:rsid w:val="00C15695"/>
    <w:rsid w:val="00C156B9"/>
    <w:rsid w:val="00C15709"/>
    <w:rsid w:val="00C157F1"/>
    <w:rsid w:val="00C157FD"/>
    <w:rsid w:val="00C15805"/>
    <w:rsid w:val="00C1591D"/>
    <w:rsid w:val="00C15BEB"/>
    <w:rsid w:val="00C15BEE"/>
    <w:rsid w:val="00C15C7C"/>
    <w:rsid w:val="00C15C82"/>
    <w:rsid w:val="00C15CF6"/>
    <w:rsid w:val="00C15CFB"/>
    <w:rsid w:val="00C16030"/>
    <w:rsid w:val="00C160BA"/>
    <w:rsid w:val="00C160DC"/>
    <w:rsid w:val="00C16111"/>
    <w:rsid w:val="00C161CF"/>
    <w:rsid w:val="00C1663F"/>
    <w:rsid w:val="00C16893"/>
    <w:rsid w:val="00C1696F"/>
    <w:rsid w:val="00C16AA2"/>
    <w:rsid w:val="00C16B74"/>
    <w:rsid w:val="00C16C33"/>
    <w:rsid w:val="00C16DB6"/>
    <w:rsid w:val="00C16EA4"/>
    <w:rsid w:val="00C16EB9"/>
    <w:rsid w:val="00C17219"/>
    <w:rsid w:val="00C172DE"/>
    <w:rsid w:val="00C1734F"/>
    <w:rsid w:val="00C174A8"/>
    <w:rsid w:val="00C17569"/>
    <w:rsid w:val="00C1766B"/>
    <w:rsid w:val="00C177A0"/>
    <w:rsid w:val="00C177F7"/>
    <w:rsid w:val="00C17850"/>
    <w:rsid w:val="00C1785E"/>
    <w:rsid w:val="00C178C9"/>
    <w:rsid w:val="00C178D7"/>
    <w:rsid w:val="00C178ED"/>
    <w:rsid w:val="00C179EA"/>
    <w:rsid w:val="00C17C33"/>
    <w:rsid w:val="00C17C54"/>
    <w:rsid w:val="00C17CA4"/>
    <w:rsid w:val="00C17CED"/>
    <w:rsid w:val="00C17D06"/>
    <w:rsid w:val="00C17F10"/>
    <w:rsid w:val="00C17F7B"/>
    <w:rsid w:val="00C17F93"/>
    <w:rsid w:val="00C2025B"/>
    <w:rsid w:val="00C2027E"/>
    <w:rsid w:val="00C203FB"/>
    <w:rsid w:val="00C205B6"/>
    <w:rsid w:val="00C20697"/>
    <w:rsid w:val="00C20977"/>
    <w:rsid w:val="00C209B0"/>
    <w:rsid w:val="00C20A6C"/>
    <w:rsid w:val="00C20A71"/>
    <w:rsid w:val="00C20B3F"/>
    <w:rsid w:val="00C20BDE"/>
    <w:rsid w:val="00C20C4E"/>
    <w:rsid w:val="00C20C78"/>
    <w:rsid w:val="00C20CF9"/>
    <w:rsid w:val="00C20D73"/>
    <w:rsid w:val="00C20DA8"/>
    <w:rsid w:val="00C20DD0"/>
    <w:rsid w:val="00C20EC6"/>
    <w:rsid w:val="00C20EE1"/>
    <w:rsid w:val="00C20EEF"/>
    <w:rsid w:val="00C20F3F"/>
    <w:rsid w:val="00C21278"/>
    <w:rsid w:val="00C21390"/>
    <w:rsid w:val="00C2167E"/>
    <w:rsid w:val="00C21801"/>
    <w:rsid w:val="00C2186D"/>
    <w:rsid w:val="00C21978"/>
    <w:rsid w:val="00C21992"/>
    <w:rsid w:val="00C21A72"/>
    <w:rsid w:val="00C21B87"/>
    <w:rsid w:val="00C21C61"/>
    <w:rsid w:val="00C21D06"/>
    <w:rsid w:val="00C21DDE"/>
    <w:rsid w:val="00C21E15"/>
    <w:rsid w:val="00C21E2A"/>
    <w:rsid w:val="00C22118"/>
    <w:rsid w:val="00C2218D"/>
    <w:rsid w:val="00C2236B"/>
    <w:rsid w:val="00C2247E"/>
    <w:rsid w:val="00C22567"/>
    <w:rsid w:val="00C225C4"/>
    <w:rsid w:val="00C22614"/>
    <w:rsid w:val="00C22657"/>
    <w:rsid w:val="00C2265A"/>
    <w:rsid w:val="00C227A0"/>
    <w:rsid w:val="00C228BA"/>
    <w:rsid w:val="00C228C6"/>
    <w:rsid w:val="00C228CB"/>
    <w:rsid w:val="00C22959"/>
    <w:rsid w:val="00C22AE1"/>
    <w:rsid w:val="00C22B05"/>
    <w:rsid w:val="00C22C0A"/>
    <w:rsid w:val="00C22C0E"/>
    <w:rsid w:val="00C22D67"/>
    <w:rsid w:val="00C22D78"/>
    <w:rsid w:val="00C22DA5"/>
    <w:rsid w:val="00C22E6B"/>
    <w:rsid w:val="00C22F50"/>
    <w:rsid w:val="00C22F8E"/>
    <w:rsid w:val="00C22FA5"/>
    <w:rsid w:val="00C23069"/>
    <w:rsid w:val="00C230DC"/>
    <w:rsid w:val="00C231B8"/>
    <w:rsid w:val="00C231EB"/>
    <w:rsid w:val="00C23263"/>
    <w:rsid w:val="00C2344E"/>
    <w:rsid w:val="00C235D9"/>
    <w:rsid w:val="00C23697"/>
    <w:rsid w:val="00C23845"/>
    <w:rsid w:val="00C238ED"/>
    <w:rsid w:val="00C23E8D"/>
    <w:rsid w:val="00C23E93"/>
    <w:rsid w:val="00C23E95"/>
    <w:rsid w:val="00C24022"/>
    <w:rsid w:val="00C240D3"/>
    <w:rsid w:val="00C24115"/>
    <w:rsid w:val="00C241E7"/>
    <w:rsid w:val="00C24223"/>
    <w:rsid w:val="00C243FA"/>
    <w:rsid w:val="00C24553"/>
    <w:rsid w:val="00C24586"/>
    <w:rsid w:val="00C2466C"/>
    <w:rsid w:val="00C2466D"/>
    <w:rsid w:val="00C24784"/>
    <w:rsid w:val="00C248A0"/>
    <w:rsid w:val="00C248B1"/>
    <w:rsid w:val="00C248C4"/>
    <w:rsid w:val="00C24A0A"/>
    <w:rsid w:val="00C24C64"/>
    <w:rsid w:val="00C24E49"/>
    <w:rsid w:val="00C24E9E"/>
    <w:rsid w:val="00C24EF1"/>
    <w:rsid w:val="00C24F57"/>
    <w:rsid w:val="00C2515C"/>
    <w:rsid w:val="00C2523A"/>
    <w:rsid w:val="00C2524D"/>
    <w:rsid w:val="00C2528E"/>
    <w:rsid w:val="00C252B7"/>
    <w:rsid w:val="00C252C1"/>
    <w:rsid w:val="00C25362"/>
    <w:rsid w:val="00C253AC"/>
    <w:rsid w:val="00C2548F"/>
    <w:rsid w:val="00C2549A"/>
    <w:rsid w:val="00C256F5"/>
    <w:rsid w:val="00C25761"/>
    <w:rsid w:val="00C25779"/>
    <w:rsid w:val="00C2578D"/>
    <w:rsid w:val="00C258C6"/>
    <w:rsid w:val="00C258E5"/>
    <w:rsid w:val="00C258FD"/>
    <w:rsid w:val="00C25995"/>
    <w:rsid w:val="00C25B16"/>
    <w:rsid w:val="00C25B5C"/>
    <w:rsid w:val="00C25BEE"/>
    <w:rsid w:val="00C26041"/>
    <w:rsid w:val="00C261A6"/>
    <w:rsid w:val="00C26200"/>
    <w:rsid w:val="00C262EC"/>
    <w:rsid w:val="00C262EE"/>
    <w:rsid w:val="00C263BE"/>
    <w:rsid w:val="00C263C7"/>
    <w:rsid w:val="00C265BB"/>
    <w:rsid w:val="00C26723"/>
    <w:rsid w:val="00C26738"/>
    <w:rsid w:val="00C2679E"/>
    <w:rsid w:val="00C267C6"/>
    <w:rsid w:val="00C267E9"/>
    <w:rsid w:val="00C268AC"/>
    <w:rsid w:val="00C26974"/>
    <w:rsid w:val="00C26A2B"/>
    <w:rsid w:val="00C26A2F"/>
    <w:rsid w:val="00C26A3C"/>
    <w:rsid w:val="00C26AA9"/>
    <w:rsid w:val="00C26DB2"/>
    <w:rsid w:val="00C26DBF"/>
    <w:rsid w:val="00C26DE8"/>
    <w:rsid w:val="00C26DFA"/>
    <w:rsid w:val="00C26E9F"/>
    <w:rsid w:val="00C26FA6"/>
    <w:rsid w:val="00C274C3"/>
    <w:rsid w:val="00C2752F"/>
    <w:rsid w:val="00C2768B"/>
    <w:rsid w:val="00C27721"/>
    <w:rsid w:val="00C27831"/>
    <w:rsid w:val="00C27911"/>
    <w:rsid w:val="00C27915"/>
    <w:rsid w:val="00C27980"/>
    <w:rsid w:val="00C27A80"/>
    <w:rsid w:val="00C27ADC"/>
    <w:rsid w:val="00C27B2B"/>
    <w:rsid w:val="00C27B75"/>
    <w:rsid w:val="00C27B97"/>
    <w:rsid w:val="00C27BC3"/>
    <w:rsid w:val="00C27D99"/>
    <w:rsid w:val="00C27DDE"/>
    <w:rsid w:val="00C27E72"/>
    <w:rsid w:val="00C27EDD"/>
    <w:rsid w:val="00C27FE2"/>
    <w:rsid w:val="00C30050"/>
    <w:rsid w:val="00C30096"/>
    <w:rsid w:val="00C300E8"/>
    <w:rsid w:val="00C301D0"/>
    <w:rsid w:val="00C3032C"/>
    <w:rsid w:val="00C30466"/>
    <w:rsid w:val="00C304BC"/>
    <w:rsid w:val="00C304C5"/>
    <w:rsid w:val="00C30618"/>
    <w:rsid w:val="00C30693"/>
    <w:rsid w:val="00C306AD"/>
    <w:rsid w:val="00C3079B"/>
    <w:rsid w:val="00C307FF"/>
    <w:rsid w:val="00C3083C"/>
    <w:rsid w:val="00C3088B"/>
    <w:rsid w:val="00C308F0"/>
    <w:rsid w:val="00C3095A"/>
    <w:rsid w:val="00C309BF"/>
    <w:rsid w:val="00C30A74"/>
    <w:rsid w:val="00C30BF7"/>
    <w:rsid w:val="00C30C32"/>
    <w:rsid w:val="00C30D3C"/>
    <w:rsid w:val="00C30D80"/>
    <w:rsid w:val="00C30DA8"/>
    <w:rsid w:val="00C30E10"/>
    <w:rsid w:val="00C30E46"/>
    <w:rsid w:val="00C30F38"/>
    <w:rsid w:val="00C310B0"/>
    <w:rsid w:val="00C310FF"/>
    <w:rsid w:val="00C3142B"/>
    <w:rsid w:val="00C316C7"/>
    <w:rsid w:val="00C316CE"/>
    <w:rsid w:val="00C31813"/>
    <w:rsid w:val="00C31834"/>
    <w:rsid w:val="00C3185A"/>
    <w:rsid w:val="00C318A8"/>
    <w:rsid w:val="00C318BD"/>
    <w:rsid w:val="00C31DC1"/>
    <w:rsid w:val="00C31F91"/>
    <w:rsid w:val="00C31F9C"/>
    <w:rsid w:val="00C32045"/>
    <w:rsid w:val="00C3205A"/>
    <w:rsid w:val="00C320A1"/>
    <w:rsid w:val="00C3212B"/>
    <w:rsid w:val="00C3215B"/>
    <w:rsid w:val="00C321A2"/>
    <w:rsid w:val="00C32234"/>
    <w:rsid w:val="00C32503"/>
    <w:rsid w:val="00C325A9"/>
    <w:rsid w:val="00C326BD"/>
    <w:rsid w:val="00C326EF"/>
    <w:rsid w:val="00C327F4"/>
    <w:rsid w:val="00C327FD"/>
    <w:rsid w:val="00C328EA"/>
    <w:rsid w:val="00C329A9"/>
    <w:rsid w:val="00C32C0C"/>
    <w:rsid w:val="00C32CAF"/>
    <w:rsid w:val="00C32D87"/>
    <w:rsid w:val="00C32E22"/>
    <w:rsid w:val="00C32F26"/>
    <w:rsid w:val="00C32F2E"/>
    <w:rsid w:val="00C32FE9"/>
    <w:rsid w:val="00C33129"/>
    <w:rsid w:val="00C331C3"/>
    <w:rsid w:val="00C332D1"/>
    <w:rsid w:val="00C33367"/>
    <w:rsid w:val="00C333B7"/>
    <w:rsid w:val="00C333C8"/>
    <w:rsid w:val="00C3348B"/>
    <w:rsid w:val="00C334A9"/>
    <w:rsid w:val="00C33636"/>
    <w:rsid w:val="00C33768"/>
    <w:rsid w:val="00C337A9"/>
    <w:rsid w:val="00C3394C"/>
    <w:rsid w:val="00C339F5"/>
    <w:rsid w:val="00C33A27"/>
    <w:rsid w:val="00C33B54"/>
    <w:rsid w:val="00C33C48"/>
    <w:rsid w:val="00C33C7B"/>
    <w:rsid w:val="00C33F36"/>
    <w:rsid w:val="00C33FC3"/>
    <w:rsid w:val="00C3404F"/>
    <w:rsid w:val="00C34070"/>
    <w:rsid w:val="00C34134"/>
    <w:rsid w:val="00C341D5"/>
    <w:rsid w:val="00C341F9"/>
    <w:rsid w:val="00C34240"/>
    <w:rsid w:val="00C34476"/>
    <w:rsid w:val="00C344A3"/>
    <w:rsid w:val="00C344E1"/>
    <w:rsid w:val="00C346A7"/>
    <w:rsid w:val="00C34774"/>
    <w:rsid w:val="00C34962"/>
    <w:rsid w:val="00C34985"/>
    <w:rsid w:val="00C349AE"/>
    <w:rsid w:val="00C34ADC"/>
    <w:rsid w:val="00C34B19"/>
    <w:rsid w:val="00C34B8B"/>
    <w:rsid w:val="00C34BC4"/>
    <w:rsid w:val="00C34C2A"/>
    <w:rsid w:val="00C34D83"/>
    <w:rsid w:val="00C34DCA"/>
    <w:rsid w:val="00C34E1F"/>
    <w:rsid w:val="00C34E2D"/>
    <w:rsid w:val="00C34F45"/>
    <w:rsid w:val="00C35088"/>
    <w:rsid w:val="00C350FC"/>
    <w:rsid w:val="00C35192"/>
    <w:rsid w:val="00C351E2"/>
    <w:rsid w:val="00C35283"/>
    <w:rsid w:val="00C352C7"/>
    <w:rsid w:val="00C353D3"/>
    <w:rsid w:val="00C3547F"/>
    <w:rsid w:val="00C354C7"/>
    <w:rsid w:val="00C354CA"/>
    <w:rsid w:val="00C355D4"/>
    <w:rsid w:val="00C3562B"/>
    <w:rsid w:val="00C35702"/>
    <w:rsid w:val="00C357C0"/>
    <w:rsid w:val="00C357F8"/>
    <w:rsid w:val="00C35876"/>
    <w:rsid w:val="00C35917"/>
    <w:rsid w:val="00C35A76"/>
    <w:rsid w:val="00C35A9A"/>
    <w:rsid w:val="00C35AD3"/>
    <w:rsid w:val="00C35C07"/>
    <w:rsid w:val="00C35D2A"/>
    <w:rsid w:val="00C35EBC"/>
    <w:rsid w:val="00C35ED1"/>
    <w:rsid w:val="00C3606B"/>
    <w:rsid w:val="00C361F2"/>
    <w:rsid w:val="00C36323"/>
    <w:rsid w:val="00C3638A"/>
    <w:rsid w:val="00C36414"/>
    <w:rsid w:val="00C3655A"/>
    <w:rsid w:val="00C36594"/>
    <w:rsid w:val="00C365A4"/>
    <w:rsid w:val="00C36872"/>
    <w:rsid w:val="00C368A7"/>
    <w:rsid w:val="00C3690F"/>
    <w:rsid w:val="00C369B9"/>
    <w:rsid w:val="00C36A5D"/>
    <w:rsid w:val="00C36B58"/>
    <w:rsid w:val="00C36C20"/>
    <w:rsid w:val="00C36C4C"/>
    <w:rsid w:val="00C36CD5"/>
    <w:rsid w:val="00C36D77"/>
    <w:rsid w:val="00C36E07"/>
    <w:rsid w:val="00C36ECE"/>
    <w:rsid w:val="00C36F9F"/>
    <w:rsid w:val="00C370E2"/>
    <w:rsid w:val="00C3719D"/>
    <w:rsid w:val="00C371A1"/>
    <w:rsid w:val="00C37214"/>
    <w:rsid w:val="00C37345"/>
    <w:rsid w:val="00C37363"/>
    <w:rsid w:val="00C373DD"/>
    <w:rsid w:val="00C3742E"/>
    <w:rsid w:val="00C37536"/>
    <w:rsid w:val="00C375D5"/>
    <w:rsid w:val="00C376BB"/>
    <w:rsid w:val="00C377EC"/>
    <w:rsid w:val="00C37966"/>
    <w:rsid w:val="00C37C9B"/>
    <w:rsid w:val="00C37CAA"/>
    <w:rsid w:val="00C37DD2"/>
    <w:rsid w:val="00C37EA7"/>
    <w:rsid w:val="00C37FAA"/>
    <w:rsid w:val="00C400DC"/>
    <w:rsid w:val="00C401B0"/>
    <w:rsid w:val="00C40284"/>
    <w:rsid w:val="00C40317"/>
    <w:rsid w:val="00C403D7"/>
    <w:rsid w:val="00C40544"/>
    <w:rsid w:val="00C40632"/>
    <w:rsid w:val="00C40644"/>
    <w:rsid w:val="00C40709"/>
    <w:rsid w:val="00C40734"/>
    <w:rsid w:val="00C407F7"/>
    <w:rsid w:val="00C408B3"/>
    <w:rsid w:val="00C409C0"/>
    <w:rsid w:val="00C40A4C"/>
    <w:rsid w:val="00C40A56"/>
    <w:rsid w:val="00C40A9A"/>
    <w:rsid w:val="00C40AC5"/>
    <w:rsid w:val="00C40BBB"/>
    <w:rsid w:val="00C40C96"/>
    <w:rsid w:val="00C40C9E"/>
    <w:rsid w:val="00C40CA8"/>
    <w:rsid w:val="00C40D45"/>
    <w:rsid w:val="00C40D99"/>
    <w:rsid w:val="00C40ED3"/>
    <w:rsid w:val="00C41095"/>
    <w:rsid w:val="00C410B0"/>
    <w:rsid w:val="00C4116E"/>
    <w:rsid w:val="00C41185"/>
    <w:rsid w:val="00C411D5"/>
    <w:rsid w:val="00C41253"/>
    <w:rsid w:val="00C4129C"/>
    <w:rsid w:val="00C4139B"/>
    <w:rsid w:val="00C4140D"/>
    <w:rsid w:val="00C41416"/>
    <w:rsid w:val="00C41480"/>
    <w:rsid w:val="00C41494"/>
    <w:rsid w:val="00C414A9"/>
    <w:rsid w:val="00C414CD"/>
    <w:rsid w:val="00C41515"/>
    <w:rsid w:val="00C416B1"/>
    <w:rsid w:val="00C4171C"/>
    <w:rsid w:val="00C41770"/>
    <w:rsid w:val="00C41786"/>
    <w:rsid w:val="00C418E9"/>
    <w:rsid w:val="00C41901"/>
    <w:rsid w:val="00C41B89"/>
    <w:rsid w:val="00C41BB7"/>
    <w:rsid w:val="00C41D6D"/>
    <w:rsid w:val="00C41F14"/>
    <w:rsid w:val="00C41F31"/>
    <w:rsid w:val="00C4200D"/>
    <w:rsid w:val="00C42073"/>
    <w:rsid w:val="00C42084"/>
    <w:rsid w:val="00C420BC"/>
    <w:rsid w:val="00C420D8"/>
    <w:rsid w:val="00C4219B"/>
    <w:rsid w:val="00C42286"/>
    <w:rsid w:val="00C4228B"/>
    <w:rsid w:val="00C422B2"/>
    <w:rsid w:val="00C42380"/>
    <w:rsid w:val="00C42385"/>
    <w:rsid w:val="00C42649"/>
    <w:rsid w:val="00C4284B"/>
    <w:rsid w:val="00C428C3"/>
    <w:rsid w:val="00C4293F"/>
    <w:rsid w:val="00C42986"/>
    <w:rsid w:val="00C429FD"/>
    <w:rsid w:val="00C42C27"/>
    <w:rsid w:val="00C42CD1"/>
    <w:rsid w:val="00C42D3F"/>
    <w:rsid w:val="00C42DA9"/>
    <w:rsid w:val="00C42DC2"/>
    <w:rsid w:val="00C42EE8"/>
    <w:rsid w:val="00C42F14"/>
    <w:rsid w:val="00C42F76"/>
    <w:rsid w:val="00C43199"/>
    <w:rsid w:val="00C431B3"/>
    <w:rsid w:val="00C431C9"/>
    <w:rsid w:val="00C4346A"/>
    <w:rsid w:val="00C434F9"/>
    <w:rsid w:val="00C435FF"/>
    <w:rsid w:val="00C43622"/>
    <w:rsid w:val="00C4366F"/>
    <w:rsid w:val="00C436E3"/>
    <w:rsid w:val="00C43703"/>
    <w:rsid w:val="00C4370B"/>
    <w:rsid w:val="00C437BA"/>
    <w:rsid w:val="00C437CC"/>
    <w:rsid w:val="00C438F5"/>
    <w:rsid w:val="00C438FA"/>
    <w:rsid w:val="00C4398C"/>
    <w:rsid w:val="00C43AE5"/>
    <w:rsid w:val="00C43AFD"/>
    <w:rsid w:val="00C43AFF"/>
    <w:rsid w:val="00C43B05"/>
    <w:rsid w:val="00C43C31"/>
    <w:rsid w:val="00C43CE5"/>
    <w:rsid w:val="00C44082"/>
    <w:rsid w:val="00C4412A"/>
    <w:rsid w:val="00C44195"/>
    <w:rsid w:val="00C441A1"/>
    <w:rsid w:val="00C4426F"/>
    <w:rsid w:val="00C442B5"/>
    <w:rsid w:val="00C44342"/>
    <w:rsid w:val="00C44388"/>
    <w:rsid w:val="00C44527"/>
    <w:rsid w:val="00C446F4"/>
    <w:rsid w:val="00C44752"/>
    <w:rsid w:val="00C44904"/>
    <w:rsid w:val="00C44AC8"/>
    <w:rsid w:val="00C44B80"/>
    <w:rsid w:val="00C44BEE"/>
    <w:rsid w:val="00C44C40"/>
    <w:rsid w:val="00C44DE3"/>
    <w:rsid w:val="00C44E70"/>
    <w:rsid w:val="00C44E7D"/>
    <w:rsid w:val="00C44F0E"/>
    <w:rsid w:val="00C44F38"/>
    <w:rsid w:val="00C44F81"/>
    <w:rsid w:val="00C44FF9"/>
    <w:rsid w:val="00C45004"/>
    <w:rsid w:val="00C4500B"/>
    <w:rsid w:val="00C450DF"/>
    <w:rsid w:val="00C45145"/>
    <w:rsid w:val="00C45184"/>
    <w:rsid w:val="00C451DD"/>
    <w:rsid w:val="00C45200"/>
    <w:rsid w:val="00C45238"/>
    <w:rsid w:val="00C45278"/>
    <w:rsid w:val="00C4537C"/>
    <w:rsid w:val="00C45386"/>
    <w:rsid w:val="00C453D4"/>
    <w:rsid w:val="00C4541F"/>
    <w:rsid w:val="00C4544F"/>
    <w:rsid w:val="00C45479"/>
    <w:rsid w:val="00C4548C"/>
    <w:rsid w:val="00C454CF"/>
    <w:rsid w:val="00C45518"/>
    <w:rsid w:val="00C45564"/>
    <w:rsid w:val="00C455AF"/>
    <w:rsid w:val="00C458EF"/>
    <w:rsid w:val="00C45969"/>
    <w:rsid w:val="00C45AB0"/>
    <w:rsid w:val="00C45ABF"/>
    <w:rsid w:val="00C45AFB"/>
    <w:rsid w:val="00C45B32"/>
    <w:rsid w:val="00C45BE8"/>
    <w:rsid w:val="00C45CC2"/>
    <w:rsid w:val="00C45D88"/>
    <w:rsid w:val="00C45DEF"/>
    <w:rsid w:val="00C45E40"/>
    <w:rsid w:val="00C45F18"/>
    <w:rsid w:val="00C46090"/>
    <w:rsid w:val="00C460DD"/>
    <w:rsid w:val="00C4613E"/>
    <w:rsid w:val="00C461BE"/>
    <w:rsid w:val="00C46335"/>
    <w:rsid w:val="00C46424"/>
    <w:rsid w:val="00C46477"/>
    <w:rsid w:val="00C46547"/>
    <w:rsid w:val="00C46680"/>
    <w:rsid w:val="00C46802"/>
    <w:rsid w:val="00C468BE"/>
    <w:rsid w:val="00C46900"/>
    <w:rsid w:val="00C46A08"/>
    <w:rsid w:val="00C46C78"/>
    <w:rsid w:val="00C46D27"/>
    <w:rsid w:val="00C46E5C"/>
    <w:rsid w:val="00C46E8B"/>
    <w:rsid w:val="00C46ED8"/>
    <w:rsid w:val="00C46EEA"/>
    <w:rsid w:val="00C46F10"/>
    <w:rsid w:val="00C46FA1"/>
    <w:rsid w:val="00C470E9"/>
    <w:rsid w:val="00C47170"/>
    <w:rsid w:val="00C471BB"/>
    <w:rsid w:val="00C4730F"/>
    <w:rsid w:val="00C473D0"/>
    <w:rsid w:val="00C47439"/>
    <w:rsid w:val="00C476CA"/>
    <w:rsid w:val="00C4771E"/>
    <w:rsid w:val="00C477AA"/>
    <w:rsid w:val="00C47960"/>
    <w:rsid w:val="00C479F1"/>
    <w:rsid w:val="00C479F7"/>
    <w:rsid w:val="00C47ABF"/>
    <w:rsid w:val="00C47AC1"/>
    <w:rsid w:val="00C47AE1"/>
    <w:rsid w:val="00C47B2C"/>
    <w:rsid w:val="00C47BBE"/>
    <w:rsid w:val="00C47C41"/>
    <w:rsid w:val="00C47C89"/>
    <w:rsid w:val="00C47CFA"/>
    <w:rsid w:val="00C47E56"/>
    <w:rsid w:val="00C47EE1"/>
    <w:rsid w:val="00C47F99"/>
    <w:rsid w:val="00C50049"/>
    <w:rsid w:val="00C5004A"/>
    <w:rsid w:val="00C5005A"/>
    <w:rsid w:val="00C5011A"/>
    <w:rsid w:val="00C50194"/>
    <w:rsid w:val="00C50246"/>
    <w:rsid w:val="00C50381"/>
    <w:rsid w:val="00C504CA"/>
    <w:rsid w:val="00C50563"/>
    <w:rsid w:val="00C505B3"/>
    <w:rsid w:val="00C50650"/>
    <w:rsid w:val="00C50775"/>
    <w:rsid w:val="00C50884"/>
    <w:rsid w:val="00C50BAA"/>
    <w:rsid w:val="00C50DAE"/>
    <w:rsid w:val="00C51168"/>
    <w:rsid w:val="00C5117B"/>
    <w:rsid w:val="00C5118E"/>
    <w:rsid w:val="00C515A3"/>
    <w:rsid w:val="00C5160F"/>
    <w:rsid w:val="00C516F0"/>
    <w:rsid w:val="00C51716"/>
    <w:rsid w:val="00C517B5"/>
    <w:rsid w:val="00C517F5"/>
    <w:rsid w:val="00C5181D"/>
    <w:rsid w:val="00C51969"/>
    <w:rsid w:val="00C519A2"/>
    <w:rsid w:val="00C519B3"/>
    <w:rsid w:val="00C51A9C"/>
    <w:rsid w:val="00C51F07"/>
    <w:rsid w:val="00C51F48"/>
    <w:rsid w:val="00C51F6F"/>
    <w:rsid w:val="00C52206"/>
    <w:rsid w:val="00C5221F"/>
    <w:rsid w:val="00C52232"/>
    <w:rsid w:val="00C52273"/>
    <w:rsid w:val="00C5229F"/>
    <w:rsid w:val="00C52371"/>
    <w:rsid w:val="00C5237C"/>
    <w:rsid w:val="00C523C9"/>
    <w:rsid w:val="00C52642"/>
    <w:rsid w:val="00C5272B"/>
    <w:rsid w:val="00C52980"/>
    <w:rsid w:val="00C52AF1"/>
    <w:rsid w:val="00C52B31"/>
    <w:rsid w:val="00C52C2C"/>
    <w:rsid w:val="00C52E6C"/>
    <w:rsid w:val="00C52E7A"/>
    <w:rsid w:val="00C52E80"/>
    <w:rsid w:val="00C52E90"/>
    <w:rsid w:val="00C52F34"/>
    <w:rsid w:val="00C52F3C"/>
    <w:rsid w:val="00C52FC1"/>
    <w:rsid w:val="00C53112"/>
    <w:rsid w:val="00C53187"/>
    <w:rsid w:val="00C531D5"/>
    <w:rsid w:val="00C531FE"/>
    <w:rsid w:val="00C53245"/>
    <w:rsid w:val="00C53397"/>
    <w:rsid w:val="00C53477"/>
    <w:rsid w:val="00C53488"/>
    <w:rsid w:val="00C53542"/>
    <w:rsid w:val="00C5358A"/>
    <w:rsid w:val="00C5359C"/>
    <w:rsid w:val="00C535D3"/>
    <w:rsid w:val="00C535DC"/>
    <w:rsid w:val="00C53638"/>
    <w:rsid w:val="00C53796"/>
    <w:rsid w:val="00C53805"/>
    <w:rsid w:val="00C53A27"/>
    <w:rsid w:val="00C53AD2"/>
    <w:rsid w:val="00C53AE8"/>
    <w:rsid w:val="00C53CAD"/>
    <w:rsid w:val="00C53CD9"/>
    <w:rsid w:val="00C53EE6"/>
    <w:rsid w:val="00C540E1"/>
    <w:rsid w:val="00C5415C"/>
    <w:rsid w:val="00C54392"/>
    <w:rsid w:val="00C543AF"/>
    <w:rsid w:val="00C543BE"/>
    <w:rsid w:val="00C543C0"/>
    <w:rsid w:val="00C544BD"/>
    <w:rsid w:val="00C5452A"/>
    <w:rsid w:val="00C5492B"/>
    <w:rsid w:val="00C54A8B"/>
    <w:rsid w:val="00C54B7B"/>
    <w:rsid w:val="00C54B8A"/>
    <w:rsid w:val="00C54CDD"/>
    <w:rsid w:val="00C54D7D"/>
    <w:rsid w:val="00C54E54"/>
    <w:rsid w:val="00C54ED7"/>
    <w:rsid w:val="00C55094"/>
    <w:rsid w:val="00C550A8"/>
    <w:rsid w:val="00C550F0"/>
    <w:rsid w:val="00C552AC"/>
    <w:rsid w:val="00C55366"/>
    <w:rsid w:val="00C5548F"/>
    <w:rsid w:val="00C554F3"/>
    <w:rsid w:val="00C555D2"/>
    <w:rsid w:val="00C555EF"/>
    <w:rsid w:val="00C5563D"/>
    <w:rsid w:val="00C5569E"/>
    <w:rsid w:val="00C556AB"/>
    <w:rsid w:val="00C556C5"/>
    <w:rsid w:val="00C556E9"/>
    <w:rsid w:val="00C5580E"/>
    <w:rsid w:val="00C5589D"/>
    <w:rsid w:val="00C558EA"/>
    <w:rsid w:val="00C55A05"/>
    <w:rsid w:val="00C55A59"/>
    <w:rsid w:val="00C55BB0"/>
    <w:rsid w:val="00C55C08"/>
    <w:rsid w:val="00C55C59"/>
    <w:rsid w:val="00C55CD1"/>
    <w:rsid w:val="00C55E91"/>
    <w:rsid w:val="00C55F6A"/>
    <w:rsid w:val="00C56334"/>
    <w:rsid w:val="00C5637C"/>
    <w:rsid w:val="00C56579"/>
    <w:rsid w:val="00C567EC"/>
    <w:rsid w:val="00C568B0"/>
    <w:rsid w:val="00C568CE"/>
    <w:rsid w:val="00C56970"/>
    <w:rsid w:val="00C5698D"/>
    <w:rsid w:val="00C569EF"/>
    <w:rsid w:val="00C569F6"/>
    <w:rsid w:val="00C56B84"/>
    <w:rsid w:val="00C56C76"/>
    <w:rsid w:val="00C56D79"/>
    <w:rsid w:val="00C56E07"/>
    <w:rsid w:val="00C56E12"/>
    <w:rsid w:val="00C56E1D"/>
    <w:rsid w:val="00C56EDC"/>
    <w:rsid w:val="00C56EE0"/>
    <w:rsid w:val="00C56F5D"/>
    <w:rsid w:val="00C57033"/>
    <w:rsid w:val="00C57066"/>
    <w:rsid w:val="00C570D3"/>
    <w:rsid w:val="00C570F7"/>
    <w:rsid w:val="00C57295"/>
    <w:rsid w:val="00C573FA"/>
    <w:rsid w:val="00C5742D"/>
    <w:rsid w:val="00C57622"/>
    <w:rsid w:val="00C576AB"/>
    <w:rsid w:val="00C5778C"/>
    <w:rsid w:val="00C577E5"/>
    <w:rsid w:val="00C57ABF"/>
    <w:rsid w:val="00C57AF7"/>
    <w:rsid w:val="00C57BA1"/>
    <w:rsid w:val="00C57CC7"/>
    <w:rsid w:val="00C57E01"/>
    <w:rsid w:val="00C57E94"/>
    <w:rsid w:val="00C600E6"/>
    <w:rsid w:val="00C601C1"/>
    <w:rsid w:val="00C601D0"/>
    <w:rsid w:val="00C602EC"/>
    <w:rsid w:val="00C60353"/>
    <w:rsid w:val="00C6058F"/>
    <w:rsid w:val="00C6059C"/>
    <w:rsid w:val="00C607CB"/>
    <w:rsid w:val="00C608D0"/>
    <w:rsid w:val="00C60A21"/>
    <w:rsid w:val="00C60C26"/>
    <w:rsid w:val="00C60C84"/>
    <w:rsid w:val="00C60D5F"/>
    <w:rsid w:val="00C60DB0"/>
    <w:rsid w:val="00C60E58"/>
    <w:rsid w:val="00C60F71"/>
    <w:rsid w:val="00C60F8C"/>
    <w:rsid w:val="00C61006"/>
    <w:rsid w:val="00C61024"/>
    <w:rsid w:val="00C6109E"/>
    <w:rsid w:val="00C61191"/>
    <w:rsid w:val="00C611CF"/>
    <w:rsid w:val="00C612B8"/>
    <w:rsid w:val="00C612BC"/>
    <w:rsid w:val="00C612E3"/>
    <w:rsid w:val="00C61432"/>
    <w:rsid w:val="00C614B9"/>
    <w:rsid w:val="00C614E4"/>
    <w:rsid w:val="00C61545"/>
    <w:rsid w:val="00C6154B"/>
    <w:rsid w:val="00C61556"/>
    <w:rsid w:val="00C61599"/>
    <w:rsid w:val="00C616B5"/>
    <w:rsid w:val="00C617E1"/>
    <w:rsid w:val="00C617EC"/>
    <w:rsid w:val="00C61998"/>
    <w:rsid w:val="00C619E1"/>
    <w:rsid w:val="00C61C19"/>
    <w:rsid w:val="00C61CB3"/>
    <w:rsid w:val="00C61E4E"/>
    <w:rsid w:val="00C61F73"/>
    <w:rsid w:val="00C61F81"/>
    <w:rsid w:val="00C6217D"/>
    <w:rsid w:val="00C6225B"/>
    <w:rsid w:val="00C6230D"/>
    <w:rsid w:val="00C62365"/>
    <w:rsid w:val="00C6237F"/>
    <w:rsid w:val="00C6241F"/>
    <w:rsid w:val="00C624EB"/>
    <w:rsid w:val="00C6259E"/>
    <w:rsid w:val="00C625E0"/>
    <w:rsid w:val="00C626DD"/>
    <w:rsid w:val="00C62751"/>
    <w:rsid w:val="00C62936"/>
    <w:rsid w:val="00C62A1A"/>
    <w:rsid w:val="00C62A8A"/>
    <w:rsid w:val="00C62AD3"/>
    <w:rsid w:val="00C62B6F"/>
    <w:rsid w:val="00C62E22"/>
    <w:rsid w:val="00C62E2B"/>
    <w:rsid w:val="00C62E5D"/>
    <w:rsid w:val="00C62E66"/>
    <w:rsid w:val="00C62EB6"/>
    <w:rsid w:val="00C62FA2"/>
    <w:rsid w:val="00C630E5"/>
    <w:rsid w:val="00C6313B"/>
    <w:rsid w:val="00C63146"/>
    <w:rsid w:val="00C632BC"/>
    <w:rsid w:val="00C632C1"/>
    <w:rsid w:val="00C633DF"/>
    <w:rsid w:val="00C63543"/>
    <w:rsid w:val="00C6362F"/>
    <w:rsid w:val="00C6367E"/>
    <w:rsid w:val="00C63770"/>
    <w:rsid w:val="00C6378E"/>
    <w:rsid w:val="00C6384B"/>
    <w:rsid w:val="00C639B5"/>
    <w:rsid w:val="00C63AD2"/>
    <w:rsid w:val="00C63B61"/>
    <w:rsid w:val="00C63C2E"/>
    <w:rsid w:val="00C63F36"/>
    <w:rsid w:val="00C63F53"/>
    <w:rsid w:val="00C6406D"/>
    <w:rsid w:val="00C64079"/>
    <w:rsid w:val="00C6418F"/>
    <w:rsid w:val="00C64239"/>
    <w:rsid w:val="00C64343"/>
    <w:rsid w:val="00C64344"/>
    <w:rsid w:val="00C64408"/>
    <w:rsid w:val="00C6444E"/>
    <w:rsid w:val="00C644CF"/>
    <w:rsid w:val="00C645B0"/>
    <w:rsid w:val="00C6467D"/>
    <w:rsid w:val="00C6469E"/>
    <w:rsid w:val="00C6485B"/>
    <w:rsid w:val="00C6486D"/>
    <w:rsid w:val="00C64874"/>
    <w:rsid w:val="00C64922"/>
    <w:rsid w:val="00C64CC1"/>
    <w:rsid w:val="00C64D50"/>
    <w:rsid w:val="00C64D98"/>
    <w:rsid w:val="00C64E8B"/>
    <w:rsid w:val="00C64F35"/>
    <w:rsid w:val="00C65081"/>
    <w:rsid w:val="00C6528A"/>
    <w:rsid w:val="00C65439"/>
    <w:rsid w:val="00C65490"/>
    <w:rsid w:val="00C654BB"/>
    <w:rsid w:val="00C65561"/>
    <w:rsid w:val="00C65656"/>
    <w:rsid w:val="00C6568D"/>
    <w:rsid w:val="00C656B2"/>
    <w:rsid w:val="00C65783"/>
    <w:rsid w:val="00C65787"/>
    <w:rsid w:val="00C65814"/>
    <w:rsid w:val="00C6584E"/>
    <w:rsid w:val="00C658ED"/>
    <w:rsid w:val="00C65959"/>
    <w:rsid w:val="00C65984"/>
    <w:rsid w:val="00C65A2B"/>
    <w:rsid w:val="00C65D6B"/>
    <w:rsid w:val="00C65DD3"/>
    <w:rsid w:val="00C65E5F"/>
    <w:rsid w:val="00C65F84"/>
    <w:rsid w:val="00C65F85"/>
    <w:rsid w:val="00C660AF"/>
    <w:rsid w:val="00C660EB"/>
    <w:rsid w:val="00C66195"/>
    <w:rsid w:val="00C661B2"/>
    <w:rsid w:val="00C661F0"/>
    <w:rsid w:val="00C6627E"/>
    <w:rsid w:val="00C66495"/>
    <w:rsid w:val="00C664C9"/>
    <w:rsid w:val="00C66521"/>
    <w:rsid w:val="00C66644"/>
    <w:rsid w:val="00C666CC"/>
    <w:rsid w:val="00C6676A"/>
    <w:rsid w:val="00C66813"/>
    <w:rsid w:val="00C66824"/>
    <w:rsid w:val="00C66853"/>
    <w:rsid w:val="00C66922"/>
    <w:rsid w:val="00C6699A"/>
    <w:rsid w:val="00C669FA"/>
    <w:rsid w:val="00C66B87"/>
    <w:rsid w:val="00C66BFC"/>
    <w:rsid w:val="00C66CD9"/>
    <w:rsid w:val="00C66D58"/>
    <w:rsid w:val="00C66DB4"/>
    <w:rsid w:val="00C66E08"/>
    <w:rsid w:val="00C66E74"/>
    <w:rsid w:val="00C66F3C"/>
    <w:rsid w:val="00C66FD1"/>
    <w:rsid w:val="00C67092"/>
    <w:rsid w:val="00C67098"/>
    <w:rsid w:val="00C6711B"/>
    <w:rsid w:val="00C6725B"/>
    <w:rsid w:val="00C672D3"/>
    <w:rsid w:val="00C673A9"/>
    <w:rsid w:val="00C673EA"/>
    <w:rsid w:val="00C6761B"/>
    <w:rsid w:val="00C67626"/>
    <w:rsid w:val="00C6766A"/>
    <w:rsid w:val="00C67780"/>
    <w:rsid w:val="00C677C6"/>
    <w:rsid w:val="00C6784E"/>
    <w:rsid w:val="00C67A37"/>
    <w:rsid w:val="00C67A52"/>
    <w:rsid w:val="00C67B3D"/>
    <w:rsid w:val="00C67B57"/>
    <w:rsid w:val="00C67B65"/>
    <w:rsid w:val="00C67BBD"/>
    <w:rsid w:val="00C67CDD"/>
    <w:rsid w:val="00C67D44"/>
    <w:rsid w:val="00C67E31"/>
    <w:rsid w:val="00C67E4D"/>
    <w:rsid w:val="00C67ED5"/>
    <w:rsid w:val="00C67F7E"/>
    <w:rsid w:val="00C7006E"/>
    <w:rsid w:val="00C701AD"/>
    <w:rsid w:val="00C70203"/>
    <w:rsid w:val="00C702B8"/>
    <w:rsid w:val="00C703AE"/>
    <w:rsid w:val="00C70516"/>
    <w:rsid w:val="00C705A3"/>
    <w:rsid w:val="00C705B1"/>
    <w:rsid w:val="00C70672"/>
    <w:rsid w:val="00C70756"/>
    <w:rsid w:val="00C70817"/>
    <w:rsid w:val="00C70944"/>
    <w:rsid w:val="00C70A0C"/>
    <w:rsid w:val="00C70B39"/>
    <w:rsid w:val="00C70BE0"/>
    <w:rsid w:val="00C70BED"/>
    <w:rsid w:val="00C70E94"/>
    <w:rsid w:val="00C70E9E"/>
    <w:rsid w:val="00C70ECF"/>
    <w:rsid w:val="00C70F63"/>
    <w:rsid w:val="00C70F90"/>
    <w:rsid w:val="00C71299"/>
    <w:rsid w:val="00C7155E"/>
    <w:rsid w:val="00C71643"/>
    <w:rsid w:val="00C71687"/>
    <w:rsid w:val="00C7168D"/>
    <w:rsid w:val="00C716C4"/>
    <w:rsid w:val="00C717F4"/>
    <w:rsid w:val="00C71877"/>
    <w:rsid w:val="00C71AE2"/>
    <w:rsid w:val="00C71B42"/>
    <w:rsid w:val="00C71DC7"/>
    <w:rsid w:val="00C71E82"/>
    <w:rsid w:val="00C7200F"/>
    <w:rsid w:val="00C722E0"/>
    <w:rsid w:val="00C724CD"/>
    <w:rsid w:val="00C72556"/>
    <w:rsid w:val="00C726D2"/>
    <w:rsid w:val="00C726F7"/>
    <w:rsid w:val="00C72754"/>
    <w:rsid w:val="00C727CD"/>
    <w:rsid w:val="00C72AA7"/>
    <w:rsid w:val="00C72AB4"/>
    <w:rsid w:val="00C72C3C"/>
    <w:rsid w:val="00C72C4C"/>
    <w:rsid w:val="00C72C65"/>
    <w:rsid w:val="00C72D0B"/>
    <w:rsid w:val="00C72E4A"/>
    <w:rsid w:val="00C72E7C"/>
    <w:rsid w:val="00C72ED4"/>
    <w:rsid w:val="00C72EE4"/>
    <w:rsid w:val="00C72F28"/>
    <w:rsid w:val="00C72F3E"/>
    <w:rsid w:val="00C731F0"/>
    <w:rsid w:val="00C732B7"/>
    <w:rsid w:val="00C7330E"/>
    <w:rsid w:val="00C7340B"/>
    <w:rsid w:val="00C734E7"/>
    <w:rsid w:val="00C735EA"/>
    <w:rsid w:val="00C736E8"/>
    <w:rsid w:val="00C7372E"/>
    <w:rsid w:val="00C737FA"/>
    <w:rsid w:val="00C73880"/>
    <w:rsid w:val="00C7395E"/>
    <w:rsid w:val="00C7397B"/>
    <w:rsid w:val="00C73A59"/>
    <w:rsid w:val="00C73A8B"/>
    <w:rsid w:val="00C73AEA"/>
    <w:rsid w:val="00C73B6D"/>
    <w:rsid w:val="00C73CAF"/>
    <w:rsid w:val="00C73D6F"/>
    <w:rsid w:val="00C73D9F"/>
    <w:rsid w:val="00C73E8E"/>
    <w:rsid w:val="00C73F2F"/>
    <w:rsid w:val="00C73F74"/>
    <w:rsid w:val="00C73FFD"/>
    <w:rsid w:val="00C74155"/>
    <w:rsid w:val="00C74364"/>
    <w:rsid w:val="00C74402"/>
    <w:rsid w:val="00C74423"/>
    <w:rsid w:val="00C744B2"/>
    <w:rsid w:val="00C744CD"/>
    <w:rsid w:val="00C74509"/>
    <w:rsid w:val="00C7453F"/>
    <w:rsid w:val="00C7455F"/>
    <w:rsid w:val="00C74596"/>
    <w:rsid w:val="00C745FE"/>
    <w:rsid w:val="00C74613"/>
    <w:rsid w:val="00C74665"/>
    <w:rsid w:val="00C74843"/>
    <w:rsid w:val="00C74922"/>
    <w:rsid w:val="00C7498D"/>
    <w:rsid w:val="00C74BB3"/>
    <w:rsid w:val="00C74BBD"/>
    <w:rsid w:val="00C74C7A"/>
    <w:rsid w:val="00C74CBE"/>
    <w:rsid w:val="00C74E3B"/>
    <w:rsid w:val="00C74E8A"/>
    <w:rsid w:val="00C7545F"/>
    <w:rsid w:val="00C755EF"/>
    <w:rsid w:val="00C75780"/>
    <w:rsid w:val="00C757EF"/>
    <w:rsid w:val="00C7580E"/>
    <w:rsid w:val="00C75866"/>
    <w:rsid w:val="00C7587F"/>
    <w:rsid w:val="00C75884"/>
    <w:rsid w:val="00C75956"/>
    <w:rsid w:val="00C75A26"/>
    <w:rsid w:val="00C75ABC"/>
    <w:rsid w:val="00C75AC8"/>
    <w:rsid w:val="00C75AEC"/>
    <w:rsid w:val="00C75AFD"/>
    <w:rsid w:val="00C75B10"/>
    <w:rsid w:val="00C75B17"/>
    <w:rsid w:val="00C75E1F"/>
    <w:rsid w:val="00C75EEE"/>
    <w:rsid w:val="00C75F7C"/>
    <w:rsid w:val="00C75F87"/>
    <w:rsid w:val="00C75FD1"/>
    <w:rsid w:val="00C7614F"/>
    <w:rsid w:val="00C76169"/>
    <w:rsid w:val="00C763AF"/>
    <w:rsid w:val="00C76405"/>
    <w:rsid w:val="00C76425"/>
    <w:rsid w:val="00C76506"/>
    <w:rsid w:val="00C765C8"/>
    <w:rsid w:val="00C766BD"/>
    <w:rsid w:val="00C76717"/>
    <w:rsid w:val="00C7681B"/>
    <w:rsid w:val="00C76826"/>
    <w:rsid w:val="00C76937"/>
    <w:rsid w:val="00C7694A"/>
    <w:rsid w:val="00C76982"/>
    <w:rsid w:val="00C76B07"/>
    <w:rsid w:val="00C76C67"/>
    <w:rsid w:val="00C76D86"/>
    <w:rsid w:val="00C76D8C"/>
    <w:rsid w:val="00C76ECA"/>
    <w:rsid w:val="00C76EE4"/>
    <w:rsid w:val="00C76EE7"/>
    <w:rsid w:val="00C7716A"/>
    <w:rsid w:val="00C7722C"/>
    <w:rsid w:val="00C773B8"/>
    <w:rsid w:val="00C77453"/>
    <w:rsid w:val="00C776D3"/>
    <w:rsid w:val="00C776D7"/>
    <w:rsid w:val="00C7779F"/>
    <w:rsid w:val="00C778F7"/>
    <w:rsid w:val="00C77ADF"/>
    <w:rsid w:val="00C77B91"/>
    <w:rsid w:val="00C77DDF"/>
    <w:rsid w:val="00C77ED7"/>
    <w:rsid w:val="00C77F48"/>
    <w:rsid w:val="00C77F51"/>
    <w:rsid w:val="00C80088"/>
    <w:rsid w:val="00C8010B"/>
    <w:rsid w:val="00C8019D"/>
    <w:rsid w:val="00C80296"/>
    <w:rsid w:val="00C80390"/>
    <w:rsid w:val="00C80531"/>
    <w:rsid w:val="00C80565"/>
    <w:rsid w:val="00C805F7"/>
    <w:rsid w:val="00C8066F"/>
    <w:rsid w:val="00C806CB"/>
    <w:rsid w:val="00C8088E"/>
    <w:rsid w:val="00C808C2"/>
    <w:rsid w:val="00C808D7"/>
    <w:rsid w:val="00C80986"/>
    <w:rsid w:val="00C80996"/>
    <w:rsid w:val="00C80B46"/>
    <w:rsid w:val="00C80C4E"/>
    <w:rsid w:val="00C80D71"/>
    <w:rsid w:val="00C80D7F"/>
    <w:rsid w:val="00C8105A"/>
    <w:rsid w:val="00C81187"/>
    <w:rsid w:val="00C81348"/>
    <w:rsid w:val="00C81353"/>
    <w:rsid w:val="00C813AC"/>
    <w:rsid w:val="00C813B8"/>
    <w:rsid w:val="00C81448"/>
    <w:rsid w:val="00C81450"/>
    <w:rsid w:val="00C814E8"/>
    <w:rsid w:val="00C81558"/>
    <w:rsid w:val="00C81562"/>
    <w:rsid w:val="00C81774"/>
    <w:rsid w:val="00C81871"/>
    <w:rsid w:val="00C8193D"/>
    <w:rsid w:val="00C81C73"/>
    <w:rsid w:val="00C81DEB"/>
    <w:rsid w:val="00C81FC1"/>
    <w:rsid w:val="00C81FDD"/>
    <w:rsid w:val="00C82004"/>
    <w:rsid w:val="00C82152"/>
    <w:rsid w:val="00C82195"/>
    <w:rsid w:val="00C82251"/>
    <w:rsid w:val="00C82455"/>
    <w:rsid w:val="00C82478"/>
    <w:rsid w:val="00C825F2"/>
    <w:rsid w:val="00C826EE"/>
    <w:rsid w:val="00C8281C"/>
    <w:rsid w:val="00C82872"/>
    <w:rsid w:val="00C8297C"/>
    <w:rsid w:val="00C82995"/>
    <w:rsid w:val="00C82A74"/>
    <w:rsid w:val="00C82B48"/>
    <w:rsid w:val="00C82B86"/>
    <w:rsid w:val="00C82C34"/>
    <w:rsid w:val="00C82C61"/>
    <w:rsid w:val="00C82D25"/>
    <w:rsid w:val="00C82D2B"/>
    <w:rsid w:val="00C82D72"/>
    <w:rsid w:val="00C82F06"/>
    <w:rsid w:val="00C82F64"/>
    <w:rsid w:val="00C82FAD"/>
    <w:rsid w:val="00C83082"/>
    <w:rsid w:val="00C83103"/>
    <w:rsid w:val="00C83180"/>
    <w:rsid w:val="00C831C7"/>
    <w:rsid w:val="00C832D8"/>
    <w:rsid w:val="00C83306"/>
    <w:rsid w:val="00C833FF"/>
    <w:rsid w:val="00C83521"/>
    <w:rsid w:val="00C835C1"/>
    <w:rsid w:val="00C83712"/>
    <w:rsid w:val="00C83776"/>
    <w:rsid w:val="00C8388B"/>
    <w:rsid w:val="00C838A0"/>
    <w:rsid w:val="00C83A3B"/>
    <w:rsid w:val="00C83A65"/>
    <w:rsid w:val="00C83AF9"/>
    <w:rsid w:val="00C83B3C"/>
    <w:rsid w:val="00C83B94"/>
    <w:rsid w:val="00C83C47"/>
    <w:rsid w:val="00C83DB6"/>
    <w:rsid w:val="00C83DEF"/>
    <w:rsid w:val="00C83E70"/>
    <w:rsid w:val="00C8415C"/>
    <w:rsid w:val="00C842B4"/>
    <w:rsid w:val="00C842B6"/>
    <w:rsid w:val="00C8432E"/>
    <w:rsid w:val="00C84396"/>
    <w:rsid w:val="00C843C9"/>
    <w:rsid w:val="00C84402"/>
    <w:rsid w:val="00C8446C"/>
    <w:rsid w:val="00C84550"/>
    <w:rsid w:val="00C84652"/>
    <w:rsid w:val="00C8483C"/>
    <w:rsid w:val="00C84A47"/>
    <w:rsid w:val="00C84BCB"/>
    <w:rsid w:val="00C84CE4"/>
    <w:rsid w:val="00C84DDA"/>
    <w:rsid w:val="00C85012"/>
    <w:rsid w:val="00C850F8"/>
    <w:rsid w:val="00C8517F"/>
    <w:rsid w:val="00C85203"/>
    <w:rsid w:val="00C85394"/>
    <w:rsid w:val="00C85416"/>
    <w:rsid w:val="00C85647"/>
    <w:rsid w:val="00C857B9"/>
    <w:rsid w:val="00C8580D"/>
    <w:rsid w:val="00C85A2D"/>
    <w:rsid w:val="00C85B93"/>
    <w:rsid w:val="00C85DF2"/>
    <w:rsid w:val="00C85FA5"/>
    <w:rsid w:val="00C8608A"/>
    <w:rsid w:val="00C860C9"/>
    <w:rsid w:val="00C860DA"/>
    <w:rsid w:val="00C861A4"/>
    <w:rsid w:val="00C861F0"/>
    <w:rsid w:val="00C86395"/>
    <w:rsid w:val="00C864CB"/>
    <w:rsid w:val="00C864DC"/>
    <w:rsid w:val="00C865F8"/>
    <w:rsid w:val="00C866DE"/>
    <w:rsid w:val="00C86704"/>
    <w:rsid w:val="00C86707"/>
    <w:rsid w:val="00C8678A"/>
    <w:rsid w:val="00C867D9"/>
    <w:rsid w:val="00C86815"/>
    <w:rsid w:val="00C8694A"/>
    <w:rsid w:val="00C86996"/>
    <w:rsid w:val="00C869E9"/>
    <w:rsid w:val="00C86C12"/>
    <w:rsid w:val="00C86DD4"/>
    <w:rsid w:val="00C86E58"/>
    <w:rsid w:val="00C86EBC"/>
    <w:rsid w:val="00C86F12"/>
    <w:rsid w:val="00C86FA1"/>
    <w:rsid w:val="00C86FAD"/>
    <w:rsid w:val="00C86FCF"/>
    <w:rsid w:val="00C87098"/>
    <w:rsid w:val="00C870AA"/>
    <w:rsid w:val="00C87263"/>
    <w:rsid w:val="00C872B9"/>
    <w:rsid w:val="00C873FD"/>
    <w:rsid w:val="00C87404"/>
    <w:rsid w:val="00C87432"/>
    <w:rsid w:val="00C875B8"/>
    <w:rsid w:val="00C87624"/>
    <w:rsid w:val="00C876D5"/>
    <w:rsid w:val="00C877C8"/>
    <w:rsid w:val="00C87822"/>
    <w:rsid w:val="00C878B4"/>
    <w:rsid w:val="00C878E7"/>
    <w:rsid w:val="00C879AF"/>
    <w:rsid w:val="00C879BA"/>
    <w:rsid w:val="00C87A45"/>
    <w:rsid w:val="00C87A56"/>
    <w:rsid w:val="00C87A5F"/>
    <w:rsid w:val="00C87AB1"/>
    <w:rsid w:val="00C87B69"/>
    <w:rsid w:val="00C87BC6"/>
    <w:rsid w:val="00C87BD8"/>
    <w:rsid w:val="00C87C33"/>
    <w:rsid w:val="00C87E9E"/>
    <w:rsid w:val="00C87F42"/>
    <w:rsid w:val="00C90046"/>
    <w:rsid w:val="00C90226"/>
    <w:rsid w:val="00C9053F"/>
    <w:rsid w:val="00C906A5"/>
    <w:rsid w:val="00C90747"/>
    <w:rsid w:val="00C90761"/>
    <w:rsid w:val="00C907E4"/>
    <w:rsid w:val="00C9086E"/>
    <w:rsid w:val="00C9090A"/>
    <w:rsid w:val="00C90977"/>
    <w:rsid w:val="00C909AD"/>
    <w:rsid w:val="00C90B63"/>
    <w:rsid w:val="00C90B8C"/>
    <w:rsid w:val="00C90C22"/>
    <w:rsid w:val="00C90CA4"/>
    <w:rsid w:val="00C90CA7"/>
    <w:rsid w:val="00C90EC6"/>
    <w:rsid w:val="00C90EDD"/>
    <w:rsid w:val="00C90F23"/>
    <w:rsid w:val="00C90F36"/>
    <w:rsid w:val="00C90FF8"/>
    <w:rsid w:val="00C91151"/>
    <w:rsid w:val="00C91234"/>
    <w:rsid w:val="00C913B6"/>
    <w:rsid w:val="00C9140D"/>
    <w:rsid w:val="00C914A6"/>
    <w:rsid w:val="00C9153C"/>
    <w:rsid w:val="00C91588"/>
    <w:rsid w:val="00C91732"/>
    <w:rsid w:val="00C917AD"/>
    <w:rsid w:val="00C917FB"/>
    <w:rsid w:val="00C91868"/>
    <w:rsid w:val="00C919CB"/>
    <w:rsid w:val="00C91ADF"/>
    <w:rsid w:val="00C91B5B"/>
    <w:rsid w:val="00C91B8E"/>
    <w:rsid w:val="00C91D12"/>
    <w:rsid w:val="00C91D44"/>
    <w:rsid w:val="00C91E24"/>
    <w:rsid w:val="00C91FF7"/>
    <w:rsid w:val="00C920DB"/>
    <w:rsid w:val="00C9215C"/>
    <w:rsid w:val="00C921BA"/>
    <w:rsid w:val="00C922B5"/>
    <w:rsid w:val="00C922E6"/>
    <w:rsid w:val="00C92387"/>
    <w:rsid w:val="00C92423"/>
    <w:rsid w:val="00C924A1"/>
    <w:rsid w:val="00C92513"/>
    <w:rsid w:val="00C92692"/>
    <w:rsid w:val="00C927ED"/>
    <w:rsid w:val="00C9284B"/>
    <w:rsid w:val="00C9295C"/>
    <w:rsid w:val="00C92B08"/>
    <w:rsid w:val="00C92B57"/>
    <w:rsid w:val="00C92B7A"/>
    <w:rsid w:val="00C92D36"/>
    <w:rsid w:val="00C92DB8"/>
    <w:rsid w:val="00C92E4E"/>
    <w:rsid w:val="00C92E8D"/>
    <w:rsid w:val="00C92EC9"/>
    <w:rsid w:val="00C92F2F"/>
    <w:rsid w:val="00C92FAA"/>
    <w:rsid w:val="00C92FD2"/>
    <w:rsid w:val="00C92FF6"/>
    <w:rsid w:val="00C93077"/>
    <w:rsid w:val="00C930D0"/>
    <w:rsid w:val="00C9313E"/>
    <w:rsid w:val="00C93391"/>
    <w:rsid w:val="00C93398"/>
    <w:rsid w:val="00C933AC"/>
    <w:rsid w:val="00C93443"/>
    <w:rsid w:val="00C9345E"/>
    <w:rsid w:val="00C93511"/>
    <w:rsid w:val="00C93569"/>
    <w:rsid w:val="00C935C6"/>
    <w:rsid w:val="00C9361B"/>
    <w:rsid w:val="00C93752"/>
    <w:rsid w:val="00C93A5E"/>
    <w:rsid w:val="00C93ACD"/>
    <w:rsid w:val="00C93B05"/>
    <w:rsid w:val="00C93C20"/>
    <w:rsid w:val="00C93C69"/>
    <w:rsid w:val="00C93C92"/>
    <w:rsid w:val="00C93CCC"/>
    <w:rsid w:val="00C93D92"/>
    <w:rsid w:val="00C93E12"/>
    <w:rsid w:val="00C93E57"/>
    <w:rsid w:val="00C93FE1"/>
    <w:rsid w:val="00C940CB"/>
    <w:rsid w:val="00C94114"/>
    <w:rsid w:val="00C9480E"/>
    <w:rsid w:val="00C948C6"/>
    <w:rsid w:val="00C948EB"/>
    <w:rsid w:val="00C949D3"/>
    <w:rsid w:val="00C949DC"/>
    <w:rsid w:val="00C949E2"/>
    <w:rsid w:val="00C949E7"/>
    <w:rsid w:val="00C94A2A"/>
    <w:rsid w:val="00C94BE7"/>
    <w:rsid w:val="00C94C6D"/>
    <w:rsid w:val="00C94ED8"/>
    <w:rsid w:val="00C94EF6"/>
    <w:rsid w:val="00C94F0A"/>
    <w:rsid w:val="00C94F33"/>
    <w:rsid w:val="00C9507F"/>
    <w:rsid w:val="00C950DF"/>
    <w:rsid w:val="00C95137"/>
    <w:rsid w:val="00C951F0"/>
    <w:rsid w:val="00C952E9"/>
    <w:rsid w:val="00C952FE"/>
    <w:rsid w:val="00C95453"/>
    <w:rsid w:val="00C955E1"/>
    <w:rsid w:val="00C95725"/>
    <w:rsid w:val="00C957F1"/>
    <w:rsid w:val="00C95B8B"/>
    <w:rsid w:val="00C95BD9"/>
    <w:rsid w:val="00C95D7A"/>
    <w:rsid w:val="00C95DC2"/>
    <w:rsid w:val="00C95F2B"/>
    <w:rsid w:val="00C95FF3"/>
    <w:rsid w:val="00C962C5"/>
    <w:rsid w:val="00C9649F"/>
    <w:rsid w:val="00C964C4"/>
    <w:rsid w:val="00C9650E"/>
    <w:rsid w:val="00C9653C"/>
    <w:rsid w:val="00C965A7"/>
    <w:rsid w:val="00C965C3"/>
    <w:rsid w:val="00C966F8"/>
    <w:rsid w:val="00C967B2"/>
    <w:rsid w:val="00C96970"/>
    <w:rsid w:val="00C96AA2"/>
    <w:rsid w:val="00C96B24"/>
    <w:rsid w:val="00C96BD5"/>
    <w:rsid w:val="00C96C8E"/>
    <w:rsid w:val="00C96D17"/>
    <w:rsid w:val="00C96F9C"/>
    <w:rsid w:val="00C971B5"/>
    <w:rsid w:val="00C9731A"/>
    <w:rsid w:val="00C973E7"/>
    <w:rsid w:val="00C97487"/>
    <w:rsid w:val="00C974C0"/>
    <w:rsid w:val="00C97500"/>
    <w:rsid w:val="00C97592"/>
    <w:rsid w:val="00C9767E"/>
    <w:rsid w:val="00C976FB"/>
    <w:rsid w:val="00C97A99"/>
    <w:rsid w:val="00C97AA2"/>
    <w:rsid w:val="00C97ACC"/>
    <w:rsid w:val="00C97B34"/>
    <w:rsid w:val="00C97B74"/>
    <w:rsid w:val="00C97D2A"/>
    <w:rsid w:val="00C97D36"/>
    <w:rsid w:val="00C97DB0"/>
    <w:rsid w:val="00C97E13"/>
    <w:rsid w:val="00C97E5C"/>
    <w:rsid w:val="00C97EC4"/>
    <w:rsid w:val="00C97FE4"/>
    <w:rsid w:val="00CA00F4"/>
    <w:rsid w:val="00CA0166"/>
    <w:rsid w:val="00CA0235"/>
    <w:rsid w:val="00CA03BE"/>
    <w:rsid w:val="00CA04AA"/>
    <w:rsid w:val="00CA051B"/>
    <w:rsid w:val="00CA0687"/>
    <w:rsid w:val="00CA06B4"/>
    <w:rsid w:val="00CA06EF"/>
    <w:rsid w:val="00CA06F2"/>
    <w:rsid w:val="00CA0727"/>
    <w:rsid w:val="00CA07CC"/>
    <w:rsid w:val="00CA087A"/>
    <w:rsid w:val="00CA099E"/>
    <w:rsid w:val="00CA09A0"/>
    <w:rsid w:val="00CA0A9B"/>
    <w:rsid w:val="00CA0BC8"/>
    <w:rsid w:val="00CA0C3F"/>
    <w:rsid w:val="00CA0CE3"/>
    <w:rsid w:val="00CA0CED"/>
    <w:rsid w:val="00CA0D23"/>
    <w:rsid w:val="00CA0DC2"/>
    <w:rsid w:val="00CA0E68"/>
    <w:rsid w:val="00CA0F18"/>
    <w:rsid w:val="00CA0FB4"/>
    <w:rsid w:val="00CA10C2"/>
    <w:rsid w:val="00CA10DF"/>
    <w:rsid w:val="00CA118C"/>
    <w:rsid w:val="00CA12F2"/>
    <w:rsid w:val="00CA1406"/>
    <w:rsid w:val="00CA150B"/>
    <w:rsid w:val="00CA15A7"/>
    <w:rsid w:val="00CA15DA"/>
    <w:rsid w:val="00CA1664"/>
    <w:rsid w:val="00CA1768"/>
    <w:rsid w:val="00CA19CB"/>
    <w:rsid w:val="00CA1A25"/>
    <w:rsid w:val="00CA1AB9"/>
    <w:rsid w:val="00CA1AC6"/>
    <w:rsid w:val="00CA1AFA"/>
    <w:rsid w:val="00CA1D03"/>
    <w:rsid w:val="00CA1D84"/>
    <w:rsid w:val="00CA1EDA"/>
    <w:rsid w:val="00CA207B"/>
    <w:rsid w:val="00CA20A6"/>
    <w:rsid w:val="00CA212F"/>
    <w:rsid w:val="00CA2321"/>
    <w:rsid w:val="00CA24D6"/>
    <w:rsid w:val="00CA24DB"/>
    <w:rsid w:val="00CA2540"/>
    <w:rsid w:val="00CA26D4"/>
    <w:rsid w:val="00CA2768"/>
    <w:rsid w:val="00CA2771"/>
    <w:rsid w:val="00CA2779"/>
    <w:rsid w:val="00CA27E5"/>
    <w:rsid w:val="00CA28A6"/>
    <w:rsid w:val="00CA28D6"/>
    <w:rsid w:val="00CA291A"/>
    <w:rsid w:val="00CA296D"/>
    <w:rsid w:val="00CA29B1"/>
    <w:rsid w:val="00CA2C2D"/>
    <w:rsid w:val="00CA2C47"/>
    <w:rsid w:val="00CA2C9E"/>
    <w:rsid w:val="00CA2D78"/>
    <w:rsid w:val="00CA2DD9"/>
    <w:rsid w:val="00CA2F74"/>
    <w:rsid w:val="00CA2FAE"/>
    <w:rsid w:val="00CA2FBE"/>
    <w:rsid w:val="00CA3014"/>
    <w:rsid w:val="00CA3110"/>
    <w:rsid w:val="00CA32E5"/>
    <w:rsid w:val="00CA343A"/>
    <w:rsid w:val="00CA3481"/>
    <w:rsid w:val="00CA356D"/>
    <w:rsid w:val="00CA3667"/>
    <w:rsid w:val="00CA3762"/>
    <w:rsid w:val="00CA3788"/>
    <w:rsid w:val="00CA37F4"/>
    <w:rsid w:val="00CA380B"/>
    <w:rsid w:val="00CA381C"/>
    <w:rsid w:val="00CA3834"/>
    <w:rsid w:val="00CA38E0"/>
    <w:rsid w:val="00CA39E1"/>
    <w:rsid w:val="00CA3A78"/>
    <w:rsid w:val="00CA3D9B"/>
    <w:rsid w:val="00CA3E44"/>
    <w:rsid w:val="00CA3F37"/>
    <w:rsid w:val="00CA4119"/>
    <w:rsid w:val="00CA415E"/>
    <w:rsid w:val="00CA417C"/>
    <w:rsid w:val="00CA4198"/>
    <w:rsid w:val="00CA41F2"/>
    <w:rsid w:val="00CA41FD"/>
    <w:rsid w:val="00CA426A"/>
    <w:rsid w:val="00CA4322"/>
    <w:rsid w:val="00CA4417"/>
    <w:rsid w:val="00CA44AD"/>
    <w:rsid w:val="00CA45E0"/>
    <w:rsid w:val="00CA460D"/>
    <w:rsid w:val="00CA469F"/>
    <w:rsid w:val="00CA4776"/>
    <w:rsid w:val="00CA47DB"/>
    <w:rsid w:val="00CA492A"/>
    <w:rsid w:val="00CA4998"/>
    <w:rsid w:val="00CA49AC"/>
    <w:rsid w:val="00CA4ADF"/>
    <w:rsid w:val="00CA4D1E"/>
    <w:rsid w:val="00CA4D5E"/>
    <w:rsid w:val="00CA4D81"/>
    <w:rsid w:val="00CA4D99"/>
    <w:rsid w:val="00CA4DF7"/>
    <w:rsid w:val="00CA4E03"/>
    <w:rsid w:val="00CA4E99"/>
    <w:rsid w:val="00CA4ED0"/>
    <w:rsid w:val="00CA5180"/>
    <w:rsid w:val="00CA528D"/>
    <w:rsid w:val="00CA5390"/>
    <w:rsid w:val="00CA53ED"/>
    <w:rsid w:val="00CA54DF"/>
    <w:rsid w:val="00CA5604"/>
    <w:rsid w:val="00CA5772"/>
    <w:rsid w:val="00CA5789"/>
    <w:rsid w:val="00CA57B0"/>
    <w:rsid w:val="00CA580A"/>
    <w:rsid w:val="00CA584F"/>
    <w:rsid w:val="00CA5896"/>
    <w:rsid w:val="00CA5940"/>
    <w:rsid w:val="00CA5991"/>
    <w:rsid w:val="00CA5B45"/>
    <w:rsid w:val="00CA5B74"/>
    <w:rsid w:val="00CA5BC0"/>
    <w:rsid w:val="00CA5D63"/>
    <w:rsid w:val="00CA5DC4"/>
    <w:rsid w:val="00CA5E13"/>
    <w:rsid w:val="00CA5E9C"/>
    <w:rsid w:val="00CA6085"/>
    <w:rsid w:val="00CA6274"/>
    <w:rsid w:val="00CA6353"/>
    <w:rsid w:val="00CA63A3"/>
    <w:rsid w:val="00CA646B"/>
    <w:rsid w:val="00CA6615"/>
    <w:rsid w:val="00CA6632"/>
    <w:rsid w:val="00CA67AA"/>
    <w:rsid w:val="00CA67BF"/>
    <w:rsid w:val="00CA6928"/>
    <w:rsid w:val="00CA6978"/>
    <w:rsid w:val="00CA6A48"/>
    <w:rsid w:val="00CA6A4B"/>
    <w:rsid w:val="00CA6B24"/>
    <w:rsid w:val="00CA6C1E"/>
    <w:rsid w:val="00CA6D3B"/>
    <w:rsid w:val="00CA6D4E"/>
    <w:rsid w:val="00CA6DE6"/>
    <w:rsid w:val="00CA6E2D"/>
    <w:rsid w:val="00CA6EB4"/>
    <w:rsid w:val="00CA6FEE"/>
    <w:rsid w:val="00CA6FF6"/>
    <w:rsid w:val="00CA7146"/>
    <w:rsid w:val="00CA71CC"/>
    <w:rsid w:val="00CA7282"/>
    <w:rsid w:val="00CA73D4"/>
    <w:rsid w:val="00CA73DD"/>
    <w:rsid w:val="00CA7443"/>
    <w:rsid w:val="00CA744F"/>
    <w:rsid w:val="00CA756B"/>
    <w:rsid w:val="00CA7617"/>
    <w:rsid w:val="00CA76F5"/>
    <w:rsid w:val="00CA774C"/>
    <w:rsid w:val="00CA78A0"/>
    <w:rsid w:val="00CA78C0"/>
    <w:rsid w:val="00CA7957"/>
    <w:rsid w:val="00CA79FF"/>
    <w:rsid w:val="00CA7A8E"/>
    <w:rsid w:val="00CA7B25"/>
    <w:rsid w:val="00CA7BE4"/>
    <w:rsid w:val="00CA7C39"/>
    <w:rsid w:val="00CA7C3A"/>
    <w:rsid w:val="00CA7D49"/>
    <w:rsid w:val="00CA7DC6"/>
    <w:rsid w:val="00CA7E84"/>
    <w:rsid w:val="00CA7ECD"/>
    <w:rsid w:val="00CA7FA9"/>
    <w:rsid w:val="00CB0084"/>
    <w:rsid w:val="00CB00FC"/>
    <w:rsid w:val="00CB0321"/>
    <w:rsid w:val="00CB03E7"/>
    <w:rsid w:val="00CB03EA"/>
    <w:rsid w:val="00CB045A"/>
    <w:rsid w:val="00CB0512"/>
    <w:rsid w:val="00CB070C"/>
    <w:rsid w:val="00CB07DC"/>
    <w:rsid w:val="00CB0839"/>
    <w:rsid w:val="00CB084B"/>
    <w:rsid w:val="00CB0BB7"/>
    <w:rsid w:val="00CB0BFE"/>
    <w:rsid w:val="00CB0DCA"/>
    <w:rsid w:val="00CB0E30"/>
    <w:rsid w:val="00CB0E7C"/>
    <w:rsid w:val="00CB0EF4"/>
    <w:rsid w:val="00CB0F06"/>
    <w:rsid w:val="00CB0FFB"/>
    <w:rsid w:val="00CB1020"/>
    <w:rsid w:val="00CB108C"/>
    <w:rsid w:val="00CB120F"/>
    <w:rsid w:val="00CB1226"/>
    <w:rsid w:val="00CB12AA"/>
    <w:rsid w:val="00CB1358"/>
    <w:rsid w:val="00CB13C1"/>
    <w:rsid w:val="00CB1486"/>
    <w:rsid w:val="00CB14B1"/>
    <w:rsid w:val="00CB154E"/>
    <w:rsid w:val="00CB15C7"/>
    <w:rsid w:val="00CB15F3"/>
    <w:rsid w:val="00CB164C"/>
    <w:rsid w:val="00CB1753"/>
    <w:rsid w:val="00CB180C"/>
    <w:rsid w:val="00CB18B5"/>
    <w:rsid w:val="00CB1A7E"/>
    <w:rsid w:val="00CB1ACC"/>
    <w:rsid w:val="00CB1C89"/>
    <w:rsid w:val="00CB1D33"/>
    <w:rsid w:val="00CB1D5D"/>
    <w:rsid w:val="00CB200E"/>
    <w:rsid w:val="00CB2063"/>
    <w:rsid w:val="00CB217F"/>
    <w:rsid w:val="00CB2199"/>
    <w:rsid w:val="00CB2259"/>
    <w:rsid w:val="00CB2289"/>
    <w:rsid w:val="00CB22C7"/>
    <w:rsid w:val="00CB22E4"/>
    <w:rsid w:val="00CB2561"/>
    <w:rsid w:val="00CB2612"/>
    <w:rsid w:val="00CB2633"/>
    <w:rsid w:val="00CB26B6"/>
    <w:rsid w:val="00CB26C5"/>
    <w:rsid w:val="00CB26D1"/>
    <w:rsid w:val="00CB26D4"/>
    <w:rsid w:val="00CB27E9"/>
    <w:rsid w:val="00CB2920"/>
    <w:rsid w:val="00CB2BA5"/>
    <w:rsid w:val="00CB2BDE"/>
    <w:rsid w:val="00CB2C0E"/>
    <w:rsid w:val="00CB2D34"/>
    <w:rsid w:val="00CB2E17"/>
    <w:rsid w:val="00CB2E28"/>
    <w:rsid w:val="00CB2E5B"/>
    <w:rsid w:val="00CB2E62"/>
    <w:rsid w:val="00CB2EB8"/>
    <w:rsid w:val="00CB306F"/>
    <w:rsid w:val="00CB30EE"/>
    <w:rsid w:val="00CB310B"/>
    <w:rsid w:val="00CB3162"/>
    <w:rsid w:val="00CB329F"/>
    <w:rsid w:val="00CB33AC"/>
    <w:rsid w:val="00CB34CA"/>
    <w:rsid w:val="00CB3511"/>
    <w:rsid w:val="00CB3628"/>
    <w:rsid w:val="00CB3632"/>
    <w:rsid w:val="00CB36ED"/>
    <w:rsid w:val="00CB3783"/>
    <w:rsid w:val="00CB3825"/>
    <w:rsid w:val="00CB386F"/>
    <w:rsid w:val="00CB3927"/>
    <w:rsid w:val="00CB3952"/>
    <w:rsid w:val="00CB3985"/>
    <w:rsid w:val="00CB39CD"/>
    <w:rsid w:val="00CB39CE"/>
    <w:rsid w:val="00CB3A54"/>
    <w:rsid w:val="00CB3B09"/>
    <w:rsid w:val="00CB3B82"/>
    <w:rsid w:val="00CB3DD0"/>
    <w:rsid w:val="00CB3E1E"/>
    <w:rsid w:val="00CB3F54"/>
    <w:rsid w:val="00CB3FE1"/>
    <w:rsid w:val="00CB3FEA"/>
    <w:rsid w:val="00CB4388"/>
    <w:rsid w:val="00CB4470"/>
    <w:rsid w:val="00CB44F3"/>
    <w:rsid w:val="00CB461F"/>
    <w:rsid w:val="00CB4626"/>
    <w:rsid w:val="00CB4769"/>
    <w:rsid w:val="00CB48FC"/>
    <w:rsid w:val="00CB4954"/>
    <w:rsid w:val="00CB49B7"/>
    <w:rsid w:val="00CB4CB2"/>
    <w:rsid w:val="00CB4E91"/>
    <w:rsid w:val="00CB4EAC"/>
    <w:rsid w:val="00CB4FAB"/>
    <w:rsid w:val="00CB5019"/>
    <w:rsid w:val="00CB50A0"/>
    <w:rsid w:val="00CB50D2"/>
    <w:rsid w:val="00CB514D"/>
    <w:rsid w:val="00CB53B9"/>
    <w:rsid w:val="00CB5427"/>
    <w:rsid w:val="00CB564B"/>
    <w:rsid w:val="00CB5686"/>
    <w:rsid w:val="00CB573A"/>
    <w:rsid w:val="00CB5756"/>
    <w:rsid w:val="00CB578D"/>
    <w:rsid w:val="00CB57FD"/>
    <w:rsid w:val="00CB580C"/>
    <w:rsid w:val="00CB5953"/>
    <w:rsid w:val="00CB5962"/>
    <w:rsid w:val="00CB5986"/>
    <w:rsid w:val="00CB5A83"/>
    <w:rsid w:val="00CB5B98"/>
    <w:rsid w:val="00CB5BAF"/>
    <w:rsid w:val="00CB5BE6"/>
    <w:rsid w:val="00CB5C32"/>
    <w:rsid w:val="00CB5C5D"/>
    <w:rsid w:val="00CB5CB1"/>
    <w:rsid w:val="00CB5D3B"/>
    <w:rsid w:val="00CB5D9C"/>
    <w:rsid w:val="00CB5F02"/>
    <w:rsid w:val="00CB5F6D"/>
    <w:rsid w:val="00CB5F70"/>
    <w:rsid w:val="00CB5FEF"/>
    <w:rsid w:val="00CB6039"/>
    <w:rsid w:val="00CB623E"/>
    <w:rsid w:val="00CB6257"/>
    <w:rsid w:val="00CB6268"/>
    <w:rsid w:val="00CB62D1"/>
    <w:rsid w:val="00CB6452"/>
    <w:rsid w:val="00CB65C1"/>
    <w:rsid w:val="00CB65C5"/>
    <w:rsid w:val="00CB66FA"/>
    <w:rsid w:val="00CB675E"/>
    <w:rsid w:val="00CB6CA9"/>
    <w:rsid w:val="00CB6E40"/>
    <w:rsid w:val="00CB6EA4"/>
    <w:rsid w:val="00CB6ED3"/>
    <w:rsid w:val="00CB708C"/>
    <w:rsid w:val="00CB7224"/>
    <w:rsid w:val="00CB7227"/>
    <w:rsid w:val="00CB7231"/>
    <w:rsid w:val="00CB7244"/>
    <w:rsid w:val="00CB72C3"/>
    <w:rsid w:val="00CB7482"/>
    <w:rsid w:val="00CB749D"/>
    <w:rsid w:val="00CB74CC"/>
    <w:rsid w:val="00CB75EB"/>
    <w:rsid w:val="00CB76B7"/>
    <w:rsid w:val="00CB77F6"/>
    <w:rsid w:val="00CB78CF"/>
    <w:rsid w:val="00CB78D9"/>
    <w:rsid w:val="00CB7A32"/>
    <w:rsid w:val="00CB7A3D"/>
    <w:rsid w:val="00CB7BCA"/>
    <w:rsid w:val="00CB7C86"/>
    <w:rsid w:val="00CB7D79"/>
    <w:rsid w:val="00CB7D88"/>
    <w:rsid w:val="00CB7D9B"/>
    <w:rsid w:val="00CB7DB3"/>
    <w:rsid w:val="00CB7DF9"/>
    <w:rsid w:val="00CB7E35"/>
    <w:rsid w:val="00CB7E3B"/>
    <w:rsid w:val="00CB7E6A"/>
    <w:rsid w:val="00CB7E8C"/>
    <w:rsid w:val="00CB7F99"/>
    <w:rsid w:val="00CC0104"/>
    <w:rsid w:val="00CC026C"/>
    <w:rsid w:val="00CC031B"/>
    <w:rsid w:val="00CC0344"/>
    <w:rsid w:val="00CC06D7"/>
    <w:rsid w:val="00CC0766"/>
    <w:rsid w:val="00CC07A7"/>
    <w:rsid w:val="00CC07F7"/>
    <w:rsid w:val="00CC092A"/>
    <w:rsid w:val="00CC09E7"/>
    <w:rsid w:val="00CC0A38"/>
    <w:rsid w:val="00CC0AD9"/>
    <w:rsid w:val="00CC0C1F"/>
    <w:rsid w:val="00CC0DB8"/>
    <w:rsid w:val="00CC0FEE"/>
    <w:rsid w:val="00CC1090"/>
    <w:rsid w:val="00CC1203"/>
    <w:rsid w:val="00CC120D"/>
    <w:rsid w:val="00CC1240"/>
    <w:rsid w:val="00CC12F4"/>
    <w:rsid w:val="00CC12FF"/>
    <w:rsid w:val="00CC1365"/>
    <w:rsid w:val="00CC1429"/>
    <w:rsid w:val="00CC145A"/>
    <w:rsid w:val="00CC14A2"/>
    <w:rsid w:val="00CC14EB"/>
    <w:rsid w:val="00CC179B"/>
    <w:rsid w:val="00CC180A"/>
    <w:rsid w:val="00CC1824"/>
    <w:rsid w:val="00CC19AD"/>
    <w:rsid w:val="00CC19D3"/>
    <w:rsid w:val="00CC19F2"/>
    <w:rsid w:val="00CC1B33"/>
    <w:rsid w:val="00CC1C3E"/>
    <w:rsid w:val="00CC1E46"/>
    <w:rsid w:val="00CC1EFB"/>
    <w:rsid w:val="00CC2165"/>
    <w:rsid w:val="00CC21AB"/>
    <w:rsid w:val="00CC220F"/>
    <w:rsid w:val="00CC2268"/>
    <w:rsid w:val="00CC2349"/>
    <w:rsid w:val="00CC239A"/>
    <w:rsid w:val="00CC24B1"/>
    <w:rsid w:val="00CC24D2"/>
    <w:rsid w:val="00CC25C8"/>
    <w:rsid w:val="00CC2617"/>
    <w:rsid w:val="00CC261F"/>
    <w:rsid w:val="00CC2700"/>
    <w:rsid w:val="00CC28AA"/>
    <w:rsid w:val="00CC2AC6"/>
    <w:rsid w:val="00CC2BA5"/>
    <w:rsid w:val="00CC2C08"/>
    <w:rsid w:val="00CC2C28"/>
    <w:rsid w:val="00CC2CDF"/>
    <w:rsid w:val="00CC2D03"/>
    <w:rsid w:val="00CC304B"/>
    <w:rsid w:val="00CC327A"/>
    <w:rsid w:val="00CC32C5"/>
    <w:rsid w:val="00CC32FB"/>
    <w:rsid w:val="00CC3319"/>
    <w:rsid w:val="00CC3544"/>
    <w:rsid w:val="00CC3658"/>
    <w:rsid w:val="00CC3893"/>
    <w:rsid w:val="00CC38D7"/>
    <w:rsid w:val="00CC3A00"/>
    <w:rsid w:val="00CC3AA1"/>
    <w:rsid w:val="00CC3BF3"/>
    <w:rsid w:val="00CC3D22"/>
    <w:rsid w:val="00CC3F9D"/>
    <w:rsid w:val="00CC3FE6"/>
    <w:rsid w:val="00CC41E3"/>
    <w:rsid w:val="00CC4341"/>
    <w:rsid w:val="00CC4387"/>
    <w:rsid w:val="00CC4441"/>
    <w:rsid w:val="00CC44C7"/>
    <w:rsid w:val="00CC44EA"/>
    <w:rsid w:val="00CC47BE"/>
    <w:rsid w:val="00CC47C5"/>
    <w:rsid w:val="00CC47D0"/>
    <w:rsid w:val="00CC4911"/>
    <w:rsid w:val="00CC49D4"/>
    <w:rsid w:val="00CC49DD"/>
    <w:rsid w:val="00CC4A53"/>
    <w:rsid w:val="00CC4ABB"/>
    <w:rsid w:val="00CC4AD2"/>
    <w:rsid w:val="00CC4C3C"/>
    <w:rsid w:val="00CC4C86"/>
    <w:rsid w:val="00CC4FC1"/>
    <w:rsid w:val="00CC5110"/>
    <w:rsid w:val="00CC51EE"/>
    <w:rsid w:val="00CC5469"/>
    <w:rsid w:val="00CC5486"/>
    <w:rsid w:val="00CC551F"/>
    <w:rsid w:val="00CC56E3"/>
    <w:rsid w:val="00CC5753"/>
    <w:rsid w:val="00CC5776"/>
    <w:rsid w:val="00CC5804"/>
    <w:rsid w:val="00CC5983"/>
    <w:rsid w:val="00CC5A11"/>
    <w:rsid w:val="00CC5A13"/>
    <w:rsid w:val="00CC5A1F"/>
    <w:rsid w:val="00CC5A72"/>
    <w:rsid w:val="00CC5B4F"/>
    <w:rsid w:val="00CC5B76"/>
    <w:rsid w:val="00CC5C87"/>
    <w:rsid w:val="00CC5E06"/>
    <w:rsid w:val="00CC6004"/>
    <w:rsid w:val="00CC6009"/>
    <w:rsid w:val="00CC60D1"/>
    <w:rsid w:val="00CC614C"/>
    <w:rsid w:val="00CC6171"/>
    <w:rsid w:val="00CC61EC"/>
    <w:rsid w:val="00CC61FB"/>
    <w:rsid w:val="00CC6229"/>
    <w:rsid w:val="00CC6375"/>
    <w:rsid w:val="00CC6383"/>
    <w:rsid w:val="00CC6535"/>
    <w:rsid w:val="00CC659B"/>
    <w:rsid w:val="00CC66CF"/>
    <w:rsid w:val="00CC66F6"/>
    <w:rsid w:val="00CC684C"/>
    <w:rsid w:val="00CC6879"/>
    <w:rsid w:val="00CC6993"/>
    <w:rsid w:val="00CC6AF6"/>
    <w:rsid w:val="00CC6B31"/>
    <w:rsid w:val="00CC6CC8"/>
    <w:rsid w:val="00CC6CF1"/>
    <w:rsid w:val="00CC6DB5"/>
    <w:rsid w:val="00CC6ED0"/>
    <w:rsid w:val="00CC7066"/>
    <w:rsid w:val="00CC71DB"/>
    <w:rsid w:val="00CC725F"/>
    <w:rsid w:val="00CC72D4"/>
    <w:rsid w:val="00CC739C"/>
    <w:rsid w:val="00CC7449"/>
    <w:rsid w:val="00CC75A5"/>
    <w:rsid w:val="00CC75B4"/>
    <w:rsid w:val="00CC75D3"/>
    <w:rsid w:val="00CC77D4"/>
    <w:rsid w:val="00CC7825"/>
    <w:rsid w:val="00CC78AD"/>
    <w:rsid w:val="00CC79E4"/>
    <w:rsid w:val="00CC7A13"/>
    <w:rsid w:val="00CC7A26"/>
    <w:rsid w:val="00CC7B64"/>
    <w:rsid w:val="00CC7C36"/>
    <w:rsid w:val="00CC7C8C"/>
    <w:rsid w:val="00CC7CC1"/>
    <w:rsid w:val="00CC7FFC"/>
    <w:rsid w:val="00CD00A9"/>
    <w:rsid w:val="00CD0128"/>
    <w:rsid w:val="00CD02A9"/>
    <w:rsid w:val="00CD02D9"/>
    <w:rsid w:val="00CD048F"/>
    <w:rsid w:val="00CD04A9"/>
    <w:rsid w:val="00CD055F"/>
    <w:rsid w:val="00CD05B4"/>
    <w:rsid w:val="00CD05DE"/>
    <w:rsid w:val="00CD06FB"/>
    <w:rsid w:val="00CD06FE"/>
    <w:rsid w:val="00CD0811"/>
    <w:rsid w:val="00CD085C"/>
    <w:rsid w:val="00CD08B8"/>
    <w:rsid w:val="00CD09DF"/>
    <w:rsid w:val="00CD0A04"/>
    <w:rsid w:val="00CD0AC5"/>
    <w:rsid w:val="00CD0BB4"/>
    <w:rsid w:val="00CD0C38"/>
    <w:rsid w:val="00CD0CBB"/>
    <w:rsid w:val="00CD0DB1"/>
    <w:rsid w:val="00CD0DD6"/>
    <w:rsid w:val="00CD0DE9"/>
    <w:rsid w:val="00CD0F1C"/>
    <w:rsid w:val="00CD1132"/>
    <w:rsid w:val="00CD124F"/>
    <w:rsid w:val="00CD133B"/>
    <w:rsid w:val="00CD147C"/>
    <w:rsid w:val="00CD14A2"/>
    <w:rsid w:val="00CD16CC"/>
    <w:rsid w:val="00CD16D5"/>
    <w:rsid w:val="00CD1713"/>
    <w:rsid w:val="00CD184D"/>
    <w:rsid w:val="00CD1870"/>
    <w:rsid w:val="00CD1A7D"/>
    <w:rsid w:val="00CD1B78"/>
    <w:rsid w:val="00CD1B7B"/>
    <w:rsid w:val="00CD1BA2"/>
    <w:rsid w:val="00CD1C01"/>
    <w:rsid w:val="00CD1D75"/>
    <w:rsid w:val="00CD1DA9"/>
    <w:rsid w:val="00CD1DB9"/>
    <w:rsid w:val="00CD1E06"/>
    <w:rsid w:val="00CD1EB4"/>
    <w:rsid w:val="00CD2088"/>
    <w:rsid w:val="00CD208D"/>
    <w:rsid w:val="00CD24D6"/>
    <w:rsid w:val="00CD253A"/>
    <w:rsid w:val="00CD2565"/>
    <w:rsid w:val="00CD257C"/>
    <w:rsid w:val="00CD2603"/>
    <w:rsid w:val="00CD26C6"/>
    <w:rsid w:val="00CD2789"/>
    <w:rsid w:val="00CD2A6F"/>
    <w:rsid w:val="00CD2A70"/>
    <w:rsid w:val="00CD2AB6"/>
    <w:rsid w:val="00CD2DAB"/>
    <w:rsid w:val="00CD2DCA"/>
    <w:rsid w:val="00CD2F57"/>
    <w:rsid w:val="00CD3179"/>
    <w:rsid w:val="00CD31A3"/>
    <w:rsid w:val="00CD3221"/>
    <w:rsid w:val="00CD3467"/>
    <w:rsid w:val="00CD34CA"/>
    <w:rsid w:val="00CD3501"/>
    <w:rsid w:val="00CD37C1"/>
    <w:rsid w:val="00CD392A"/>
    <w:rsid w:val="00CD399E"/>
    <w:rsid w:val="00CD3A7B"/>
    <w:rsid w:val="00CD3ACF"/>
    <w:rsid w:val="00CD3B4F"/>
    <w:rsid w:val="00CD3BFF"/>
    <w:rsid w:val="00CD3E8A"/>
    <w:rsid w:val="00CD3F1F"/>
    <w:rsid w:val="00CD3F3A"/>
    <w:rsid w:val="00CD3FB3"/>
    <w:rsid w:val="00CD40E7"/>
    <w:rsid w:val="00CD426E"/>
    <w:rsid w:val="00CD42BB"/>
    <w:rsid w:val="00CD42DB"/>
    <w:rsid w:val="00CD4421"/>
    <w:rsid w:val="00CD4487"/>
    <w:rsid w:val="00CD449A"/>
    <w:rsid w:val="00CD44B1"/>
    <w:rsid w:val="00CD44EA"/>
    <w:rsid w:val="00CD450A"/>
    <w:rsid w:val="00CD45C3"/>
    <w:rsid w:val="00CD4633"/>
    <w:rsid w:val="00CD4684"/>
    <w:rsid w:val="00CD493F"/>
    <w:rsid w:val="00CD4954"/>
    <w:rsid w:val="00CD499E"/>
    <w:rsid w:val="00CD4A5A"/>
    <w:rsid w:val="00CD4B71"/>
    <w:rsid w:val="00CD4C2B"/>
    <w:rsid w:val="00CD4DEA"/>
    <w:rsid w:val="00CD4EBD"/>
    <w:rsid w:val="00CD4EBE"/>
    <w:rsid w:val="00CD4F2E"/>
    <w:rsid w:val="00CD4FC2"/>
    <w:rsid w:val="00CD5003"/>
    <w:rsid w:val="00CD5017"/>
    <w:rsid w:val="00CD5055"/>
    <w:rsid w:val="00CD5066"/>
    <w:rsid w:val="00CD50D6"/>
    <w:rsid w:val="00CD50EA"/>
    <w:rsid w:val="00CD5185"/>
    <w:rsid w:val="00CD51DE"/>
    <w:rsid w:val="00CD521D"/>
    <w:rsid w:val="00CD538B"/>
    <w:rsid w:val="00CD5436"/>
    <w:rsid w:val="00CD55D9"/>
    <w:rsid w:val="00CD55EC"/>
    <w:rsid w:val="00CD56AF"/>
    <w:rsid w:val="00CD5789"/>
    <w:rsid w:val="00CD57A1"/>
    <w:rsid w:val="00CD58C0"/>
    <w:rsid w:val="00CD5A0B"/>
    <w:rsid w:val="00CD5AB9"/>
    <w:rsid w:val="00CD5ADE"/>
    <w:rsid w:val="00CD5B02"/>
    <w:rsid w:val="00CD5CF2"/>
    <w:rsid w:val="00CD6119"/>
    <w:rsid w:val="00CD6135"/>
    <w:rsid w:val="00CD6166"/>
    <w:rsid w:val="00CD61B6"/>
    <w:rsid w:val="00CD62AF"/>
    <w:rsid w:val="00CD63E1"/>
    <w:rsid w:val="00CD6589"/>
    <w:rsid w:val="00CD66A3"/>
    <w:rsid w:val="00CD66E7"/>
    <w:rsid w:val="00CD674D"/>
    <w:rsid w:val="00CD68B6"/>
    <w:rsid w:val="00CD6936"/>
    <w:rsid w:val="00CD6957"/>
    <w:rsid w:val="00CD6986"/>
    <w:rsid w:val="00CD6B60"/>
    <w:rsid w:val="00CD6B97"/>
    <w:rsid w:val="00CD6BBC"/>
    <w:rsid w:val="00CD6C5E"/>
    <w:rsid w:val="00CD6CA4"/>
    <w:rsid w:val="00CD6D31"/>
    <w:rsid w:val="00CD6F18"/>
    <w:rsid w:val="00CD6F9B"/>
    <w:rsid w:val="00CD7025"/>
    <w:rsid w:val="00CD714F"/>
    <w:rsid w:val="00CD718E"/>
    <w:rsid w:val="00CD71D6"/>
    <w:rsid w:val="00CD7250"/>
    <w:rsid w:val="00CD758F"/>
    <w:rsid w:val="00CD761B"/>
    <w:rsid w:val="00CD7703"/>
    <w:rsid w:val="00CD77F1"/>
    <w:rsid w:val="00CD789A"/>
    <w:rsid w:val="00CD7947"/>
    <w:rsid w:val="00CD7A38"/>
    <w:rsid w:val="00CD7A71"/>
    <w:rsid w:val="00CD7B7C"/>
    <w:rsid w:val="00CD7B8E"/>
    <w:rsid w:val="00CD7B97"/>
    <w:rsid w:val="00CD7BE4"/>
    <w:rsid w:val="00CE0052"/>
    <w:rsid w:val="00CE016B"/>
    <w:rsid w:val="00CE0420"/>
    <w:rsid w:val="00CE0473"/>
    <w:rsid w:val="00CE0479"/>
    <w:rsid w:val="00CE0485"/>
    <w:rsid w:val="00CE04FA"/>
    <w:rsid w:val="00CE0512"/>
    <w:rsid w:val="00CE071B"/>
    <w:rsid w:val="00CE075A"/>
    <w:rsid w:val="00CE0874"/>
    <w:rsid w:val="00CE09EC"/>
    <w:rsid w:val="00CE0B2E"/>
    <w:rsid w:val="00CE0C6F"/>
    <w:rsid w:val="00CE0C92"/>
    <w:rsid w:val="00CE0D0C"/>
    <w:rsid w:val="00CE0D3E"/>
    <w:rsid w:val="00CE0E94"/>
    <w:rsid w:val="00CE0F25"/>
    <w:rsid w:val="00CE11C1"/>
    <w:rsid w:val="00CE124C"/>
    <w:rsid w:val="00CE1413"/>
    <w:rsid w:val="00CE142F"/>
    <w:rsid w:val="00CE143E"/>
    <w:rsid w:val="00CE15ED"/>
    <w:rsid w:val="00CE160B"/>
    <w:rsid w:val="00CE161D"/>
    <w:rsid w:val="00CE161E"/>
    <w:rsid w:val="00CE1627"/>
    <w:rsid w:val="00CE1826"/>
    <w:rsid w:val="00CE18E1"/>
    <w:rsid w:val="00CE1B69"/>
    <w:rsid w:val="00CE1E97"/>
    <w:rsid w:val="00CE1F32"/>
    <w:rsid w:val="00CE2019"/>
    <w:rsid w:val="00CE20E9"/>
    <w:rsid w:val="00CE2159"/>
    <w:rsid w:val="00CE21B7"/>
    <w:rsid w:val="00CE21E1"/>
    <w:rsid w:val="00CE2227"/>
    <w:rsid w:val="00CE239B"/>
    <w:rsid w:val="00CE23DF"/>
    <w:rsid w:val="00CE24F1"/>
    <w:rsid w:val="00CE2598"/>
    <w:rsid w:val="00CE25DE"/>
    <w:rsid w:val="00CE2836"/>
    <w:rsid w:val="00CE28DB"/>
    <w:rsid w:val="00CE2950"/>
    <w:rsid w:val="00CE2C13"/>
    <w:rsid w:val="00CE2DC7"/>
    <w:rsid w:val="00CE2E6F"/>
    <w:rsid w:val="00CE2E9F"/>
    <w:rsid w:val="00CE2F11"/>
    <w:rsid w:val="00CE3027"/>
    <w:rsid w:val="00CE30B0"/>
    <w:rsid w:val="00CE3267"/>
    <w:rsid w:val="00CE32AF"/>
    <w:rsid w:val="00CE32B0"/>
    <w:rsid w:val="00CE32ED"/>
    <w:rsid w:val="00CE3375"/>
    <w:rsid w:val="00CE3657"/>
    <w:rsid w:val="00CE36E4"/>
    <w:rsid w:val="00CE36F4"/>
    <w:rsid w:val="00CE379B"/>
    <w:rsid w:val="00CE379E"/>
    <w:rsid w:val="00CE37A0"/>
    <w:rsid w:val="00CE3A77"/>
    <w:rsid w:val="00CE3BF4"/>
    <w:rsid w:val="00CE3C77"/>
    <w:rsid w:val="00CE3D3E"/>
    <w:rsid w:val="00CE3E02"/>
    <w:rsid w:val="00CE3EBA"/>
    <w:rsid w:val="00CE3ED7"/>
    <w:rsid w:val="00CE3FD9"/>
    <w:rsid w:val="00CE4090"/>
    <w:rsid w:val="00CE413F"/>
    <w:rsid w:val="00CE41BA"/>
    <w:rsid w:val="00CE4379"/>
    <w:rsid w:val="00CE4380"/>
    <w:rsid w:val="00CE43FB"/>
    <w:rsid w:val="00CE4500"/>
    <w:rsid w:val="00CE45E1"/>
    <w:rsid w:val="00CE470E"/>
    <w:rsid w:val="00CE48B5"/>
    <w:rsid w:val="00CE4A2B"/>
    <w:rsid w:val="00CE4AE6"/>
    <w:rsid w:val="00CE4BE8"/>
    <w:rsid w:val="00CE4D29"/>
    <w:rsid w:val="00CE4D81"/>
    <w:rsid w:val="00CE4D90"/>
    <w:rsid w:val="00CE4DD5"/>
    <w:rsid w:val="00CE4DF2"/>
    <w:rsid w:val="00CE5002"/>
    <w:rsid w:val="00CE522A"/>
    <w:rsid w:val="00CE5250"/>
    <w:rsid w:val="00CE52A5"/>
    <w:rsid w:val="00CE52EF"/>
    <w:rsid w:val="00CE5340"/>
    <w:rsid w:val="00CE548F"/>
    <w:rsid w:val="00CE54BE"/>
    <w:rsid w:val="00CE5574"/>
    <w:rsid w:val="00CE559E"/>
    <w:rsid w:val="00CE55C9"/>
    <w:rsid w:val="00CE5603"/>
    <w:rsid w:val="00CE565D"/>
    <w:rsid w:val="00CE573D"/>
    <w:rsid w:val="00CE57DA"/>
    <w:rsid w:val="00CE58E4"/>
    <w:rsid w:val="00CE5993"/>
    <w:rsid w:val="00CE5B18"/>
    <w:rsid w:val="00CE5C1A"/>
    <w:rsid w:val="00CE5C54"/>
    <w:rsid w:val="00CE5DAE"/>
    <w:rsid w:val="00CE5E3A"/>
    <w:rsid w:val="00CE5EBD"/>
    <w:rsid w:val="00CE5EEE"/>
    <w:rsid w:val="00CE602B"/>
    <w:rsid w:val="00CE60DC"/>
    <w:rsid w:val="00CE619B"/>
    <w:rsid w:val="00CE6283"/>
    <w:rsid w:val="00CE62BC"/>
    <w:rsid w:val="00CE62C9"/>
    <w:rsid w:val="00CE63B9"/>
    <w:rsid w:val="00CE64DF"/>
    <w:rsid w:val="00CE6536"/>
    <w:rsid w:val="00CE656D"/>
    <w:rsid w:val="00CE66A6"/>
    <w:rsid w:val="00CE674E"/>
    <w:rsid w:val="00CE6779"/>
    <w:rsid w:val="00CE6814"/>
    <w:rsid w:val="00CE6859"/>
    <w:rsid w:val="00CE6863"/>
    <w:rsid w:val="00CE699C"/>
    <w:rsid w:val="00CE69F3"/>
    <w:rsid w:val="00CE6AC3"/>
    <w:rsid w:val="00CE6ADC"/>
    <w:rsid w:val="00CE6BE1"/>
    <w:rsid w:val="00CE6C7C"/>
    <w:rsid w:val="00CE6E34"/>
    <w:rsid w:val="00CE6F08"/>
    <w:rsid w:val="00CE7056"/>
    <w:rsid w:val="00CE705D"/>
    <w:rsid w:val="00CE71C0"/>
    <w:rsid w:val="00CE71CB"/>
    <w:rsid w:val="00CE7292"/>
    <w:rsid w:val="00CE72AE"/>
    <w:rsid w:val="00CE735B"/>
    <w:rsid w:val="00CE73F8"/>
    <w:rsid w:val="00CE7479"/>
    <w:rsid w:val="00CE75BC"/>
    <w:rsid w:val="00CE7637"/>
    <w:rsid w:val="00CE768B"/>
    <w:rsid w:val="00CE76D1"/>
    <w:rsid w:val="00CE773E"/>
    <w:rsid w:val="00CE7AE3"/>
    <w:rsid w:val="00CE7C81"/>
    <w:rsid w:val="00CE7D4E"/>
    <w:rsid w:val="00CE7DBF"/>
    <w:rsid w:val="00CE7EA3"/>
    <w:rsid w:val="00CE7F32"/>
    <w:rsid w:val="00CE7FD9"/>
    <w:rsid w:val="00CF006A"/>
    <w:rsid w:val="00CF017D"/>
    <w:rsid w:val="00CF01F6"/>
    <w:rsid w:val="00CF0392"/>
    <w:rsid w:val="00CF03F7"/>
    <w:rsid w:val="00CF0423"/>
    <w:rsid w:val="00CF042E"/>
    <w:rsid w:val="00CF0438"/>
    <w:rsid w:val="00CF047A"/>
    <w:rsid w:val="00CF052C"/>
    <w:rsid w:val="00CF0539"/>
    <w:rsid w:val="00CF072B"/>
    <w:rsid w:val="00CF09FD"/>
    <w:rsid w:val="00CF0A2C"/>
    <w:rsid w:val="00CF0A9A"/>
    <w:rsid w:val="00CF0AA9"/>
    <w:rsid w:val="00CF0EA4"/>
    <w:rsid w:val="00CF0F00"/>
    <w:rsid w:val="00CF0FD4"/>
    <w:rsid w:val="00CF1080"/>
    <w:rsid w:val="00CF1118"/>
    <w:rsid w:val="00CF1156"/>
    <w:rsid w:val="00CF1238"/>
    <w:rsid w:val="00CF129E"/>
    <w:rsid w:val="00CF12BD"/>
    <w:rsid w:val="00CF13C7"/>
    <w:rsid w:val="00CF13D3"/>
    <w:rsid w:val="00CF13FA"/>
    <w:rsid w:val="00CF1573"/>
    <w:rsid w:val="00CF1611"/>
    <w:rsid w:val="00CF1625"/>
    <w:rsid w:val="00CF163D"/>
    <w:rsid w:val="00CF1671"/>
    <w:rsid w:val="00CF178A"/>
    <w:rsid w:val="00CF179E"/>
    <w:rsid w:val="00CF18F8"/>
    <w:rsid w:val="00CF1C02"/>
    <w:rsid w:val="00CF1CBC"/>
    <w:rsid w:val="00CF1DAF"/>
    <w:rsid w:val="00CF1E1E"/>
    <w:rsid w:val="00CF1EA7"/>
    <w:rsid w:val="00CF20EC"/>
    <w:rsid w:val="00CF2106"/>
    <w:rsid w:val="00CF2145"/>
    <w:rsid w:val="00CF2217"/>
    <w:rsid w:val="00CF2298"/>
    <w:rsid w:val="00CF22C8"/>
    <w:rsid w:val="00CF248D"/>
    <w:rsid w:val="00CF24FD"/>
    <w:rsid w:val="00CF2553"/>
    <w:rsid w:val="00CF26D9"/>
    <w:rsid w:val="00CF2703"/>
    <w:rsid w:val="00CF2849"/>
    <w:rsid w:val="00CF286D"/>
    <w:rsid w:val="00CF2963"/>
    <w:rsid w:val="00CF2990"/>
    <w:rsid w:val="00CF29F3"/>
    <w:rsid w:val="00CF2BA8"/>
    <w:rsid w:val="00CF2C3C"/>
    <w:rsid w:val="00CF2CB3"/>
    <w:rsid w:val="00CF2CC2"/>
    <w:rsid w:val="00CF2CCB"/>
    <w:rsid w:val="00CF2CE6"/>
    <w:rsid w:val="00CF2D1A"/>
    <w:rsid w:val="00CF2F4F"/>
    <w:rsid w:val="00CF3042"/>
    <w:rsid w:val="00CF309D"/>
    <w:rsid w:val="00CF30DF"/>
    <w:rsid w:val="00CF319F"/>
    <w:rsid w:val="00CF31E6"/>
    <w:rsid w:val="00CF32C0"/>
    <w:rsid w:val="00CF32D3"/>
    <w:rsid w:val="00CF32D8"/>
    <w:rsid w:val="00CF32FF"/>
    <w:rsid w:val="00CF3398"/>
    <w:rsid w:val="00CF33F0"/>
    <w:rsid w:val="00CF3497"/>
    <w:rsid w:val="00CF356C"/>
    <w:rsid w:val="00CF3698"/>
    <w:rsid w:val="00CF3A22"/>
    <w:rsid w:val="00CF3BBB"/>
    <w:rsid w:val="00CF3BE1"/>
    <w:rsid w:val="00CF3CB4"/>
    <w:rsid w:val="00CF3CB6"/>
    <w:rsid w:val="00CF3D2C"/>
    <w:rsid w:val="00CF3D88"/>
    <w:rsid w:val="00CF3E79"/>
    <w:rsid w:val="00CF3F04"/>
    <w:rsid w:val="00CF3FCC"/>
    <w:rsid w:val="00CF4072"/>
    <w:rsid w:val="00CF409D"/>
    <w:rsid w:val="00CF40EE"/>
    <w:rsid w:val="00CF41E7"/>
    <w:rsid w:val="00CF42B6"/>
    <w:rsid w:val="00CF43D6"/>
    <w:rsid w:val="00CF44F4"/>
    <w:rsid w:val="00CF4591"/>
    <w:rsid w:val="00CF4608"/>
    <w:rsid w:val="00CF4676"/>
    <w:rsid w:val="00CF4728"/>
    <w:rsid w:val="00CF4731"/>
    <w:rsid w:val="00CF477F"/>
    <w:rsid w:val="00CF4892"/>
    <w:rsid w:val="00CF48A2"/>
    <w:rsid w:val="00CF48B3"/>
    <w:rsid w:val="00CF49AF"/>
    <w:rsid w:val="00CF4A04"/>
    <w:rsid w:val="00CF4A26"/>
    <w:rsid w:val="00CF4A68"/>
    <w:rsid w:val="00CF4A8A"/>
    <w:rsid w:val="00CF4B7B"/>
    <w:rsid w:val="00CF4D20"/>
    <w:rsid w:val="00CF4DE1"/>
    <w:rsid w:val="00CF4E93"/>
    <w:rsid w:val="00CF4FA6"/>
    <w:rsid w:val="00CF5029"/>
    <w:rsid w:val="00CF5222"/>
    <w:rsid w:val="00CF5262"/>
    <w:rsid w:val="00CF526E"/>
    <w:rsid w:val="00CF5382"/>
    <w:rsid w:val="00CF555F"/>
    <w:rsid w:val="00CF5AAC"/>
    <w:rsid w:val="00CF5C5F"/>
    <w:rsid w:val="00CF5CB3"/>
    <w:rsid w:val="00CF5FC7"/>
    <w:rsid w:val="00CF6010"/>
    <w:rsid w:val="00CF63AC"/>
    <w:rsid w:val="00CF64E7"/>
    <w:rsid w:val="00CF6515"/>
    <w:rsid w:val="00CF663E"/>
    <w:rsid w:val="00CF66A9"/>
    <w:rsid w:val="00CF66C9"/>
    <w:rsid w:val="00CF66F3"/>
    <w:rsid w:val="00CF6747"/>
    <w:rsid w:val="00CF67A0"/>
    <w:rsid w:val="00CF6956"/>
    <w:rsid w:val="00CF6C22"/>
    <w:rsid w:val="00CF6C88"/>
    <w:rsid w:val="00CF6CB4"/>
    <w:rsid w:val="00CF6D39"/>
    <w:rsid w:val="00CF6DEA"/>
    <w:rsid w:val="00CF6E98"/>
    <w:rsid w:val="00CF6ED2"/>
    <w:rsid w:val="00CF701F"/>
    <w:rsid w:val="00CF70D6"/>
    <w:rsid w:val="00CF7135"/>
    <w:rsid w:val="00CF7214"/>
    <w:rsid w:val="00CF728F"/>
    <w:rsid w:val="00CF7302"/>
    <w:rsid w:val="00CF731D"/>
    <w:rsid w:val="00CF73DC"/>
    <w:rsid w:val="00CF7472"/>
    <w:rsid w:val="00CF751D"/>
    <w:rsid w:val="00CF7564"/>
    <w:rsid w:val="00CF763C"/>
    <w:rsid w:val="00CF7694"/>
    <w:rsid w:val="00CF772D"/>
    <w:rsid w:val="00CF7740"/>
    <w:rsid w:val="00CF779C"/>
    <w:rsid w:val="00CF77D0"/>
    <w:rsid w:val="00CF77E9"/>
    <w:rsid w:val="00CF7831"/>
    <w:rsid w:val="00CF7842"/>
    <w:rsid w:val="00CF7991"/>
    <w:rsid w:val="00CF7993"/>
    <w:rsid w:val="00CF79AB"/>
    <w:rsid w:val="00CF79FE"/>
    <w:rsid w:val="00CF7A00"/>
    <w:rsid w:val="00CF7B3A"/>
    <w:rsid w:val="00CF7C7F"/>
    <w:rsid w:val="00CF7D7D"/>
    <w:rsid w:val="00CF7DF5"/>
    <w:rsid w:val="00CF7EC5"/>
    <w:rsid w:val="00CF7EF0"/>
    <w:rsid w:val="00D0021C"/>
    <w:rsid w:val="00D002D8"/>
    <w:rsid w:val="00D002DC"/>
    <w:rsid w:val="00D002DE"/>
    <w:rsid w:val="00D00345"/>
    <w:rsid w:val="00D003CD"/>
    <w:rsid w:val="00D00414"/>
    <w:rsid w:val="00D00568"/>
    <w:rsid w:val="00D00572"/>
    <w:rsid w:val="00D005C5"/>
    <w:rsid w:val="00D006CC"/>
    <w:rsid w:val="00D00802"/>
    <w:rsid w:val="00D008A3"/>
    <w:rsid w:val="00D0094F"/>
    <w:rsid w:val="00D00992"/>
    <w:rsid w:val="00D009B3"/>
    <w:rsid w:val="00D00AEB"/>
    <w:rsid w:val="00D00C2B"/>
    <w:rsid w:val="00D00C67"/>
    <w:rsid w:val="00D00D78"/>
    <w:rsid w:val="00D00DC2"/>
    <w:rsid w:val="00D00F82"/>
    <w:rsid w:val="00D00FC0"/>
    <w:rsid w:val="00D00FD3"/>
    <w:rsid w:val="00D01003"/>
    <w:rsid w:val="00D010C9"/>
    <w:rsid w:val="00D011E2"/>
    <w:rsid w:val="00D01256"/>
    <w:rsid w:val="00D012DD"/>
    <w:rsid w:val="00D01379"/>
    <w:rsid w:val="00D01450"/>
    <w:rsid w:val="00D0155F"/>
    <w:rsid w:val="00D01621"/>
    <w:rsid w:val="00D0167E"/>
    <w:rsid w:val="00D01693"/>
    <w:rsid w:val="00D018BD"/>
    <w:rsid w:val="00D018E8"/>
    <w:rsid w:val="00D01A31"/>
    <w:rsid w:val="00D01D4E"/>
    <w:rsid w:val="00D01DBD"/>
    <w:rsid w:val="00D01DC0"/>
    <w:rsid w:val="00D01DE7"/>
    <w:rsid w:val="00D01E9B"/>
    <w:rsid w:val="00D01FF0"/>
    <w:rsid w:val="00D0202D"/>
    <w:rsid w:val="00D02134"/>
    <w:rsid w:val="00D02200"/>
    <w:rsid w:val="00D0223D"/>
    <w:rsid w:val="00D022D6"/>
    <w:rsid w:val="00D022E2"/>
    <w:rsid w:val="00D023D4"/>
    <w:rsid w:val="00D02431"/>
    <w:rsid w:val="00D024DA"/>
    <w:rsid w:val="00D02549"/>
    <w:rsid w:val="00D02667"/>
    <w:rsid w:val="00D026D5"/>
    <w:rsid w:val="00D026E9"/>
    <w:rsid w:val="00D027BB"/>
    <w:rsid w:val="00D027CB"/>
    <w:rsid w:val="00D02A87"/>
    <w:rsid w:val="00D02B66"/>
    <w:rsid w:val="00D02CA6"/>
    <w:rsid w:val="00D02CBC"/>
    <w:rsid w:val="00D02D2B"/>
    <w:rsid w:val="00D02DEB"/>
    <w:rsid w:val="00D02E4B"/>
    <w:rsid w:val="00D02EB0"/>
    <w:rsid w:val="00D02FE0"/>
    <w:rsid w:val="00D02FFC"/>
    <w:rsid w:val="00D03013"/>
    <w:rsid w:val="00D03039"/>
    <w:rsid w:val="00D03053"/>
    <w:rsid w:val="00D03063"/>
    <w:rsid w:val="00D03066"/>
    <w:rsid w:val="00D03176"/>
    <w:rsid w:val="00D03199"/>
    <w:rsid w:val="00D0339E"/>
    <w:rsid w:val="00D0339F"/>
    <w:rsid w:val="00D03428"/>
    <w:rsid w:val="00D0342A"/>
    <w:rsid w:val="00D03450"/>
    <w:rsid w:val="00D035D6"/>
    <w:rsid w:val="00D035ED"/>
    <w:rsid w:val="00D035FE"/>
    <w:rsid w:val="00D0360A"/>
    <w:rsid w:val="00D03736"/>
    <w:rsid w:val="00D037A0"/>
    <w:rsid w:val="00D037E9"/>
    <w:rsid w:val="00D039F5"/>
    <w:rsid w:val="00D03A22"/>
    <w:rsid w:val="00D03A2B"/>
    <w:rsid w:val="00D03B66"/>
    <w:rsid w:val="00D03BD5"/>
    <w:rsid w:val="00D03D6B"/>
    <w:rsid w:val="00D03DED"/>
    <w:rsid w:val="00D04083"/>
    <w:rsid w:val="00D041D6"/>
    <w:rsid w:val="00D0421A"/>
    <w:rsid w:val="00D0430D"/>
    <w:rsid w:val="00D04351"/>
    <w:rsid w:val="00D04467"/>
    <w:rsid w:val="00D04488"/>
    <w:rsid w:val="00D04553"/>
    <w:rsid w:val="00D0457B"/>
    <w:rsid w:val="00D04684"/>
    <w:rsid w:val="00D046A7"/>
    <w:rsid w:val="00D04772"/>
    <w:rsid w:val="00D047A0"/>
    <w:rsid w:val="00D048C0"/>
    <w:rsid w:val="00D04930"/>
    <w:rsid w:val="00D049D4"/>
    <w:rsid w:val="00D04B8C"/>
    <w:rsid w:val="00D04C6B"/>
    <w:rsid w:val="00D04CF1"/>
    <w:rsid w:val="00D04DFB"/>
    <w:rsid w:val="00D04E74"/>
    <w:rsid w:val="00D04F0D"/>
    <w:rsid w:val="00D052A6"/>
    <w:rsid w:val="00D053B7"/>
    <w:rsid w:val="00D054F9"/>
    <w:rsid w:val="00D05509"/>
    <w:rsid w:val="00D05536"/>
    <w:rsid w:val="00D0554B"/>
    <w:rsid w:val="00D0557F"/>
    <w:rsid w:val="00D055BA"/>
    <w:rsid w:val="00D055FF"/>
    <w:rsid w:val="00D05703"/>
    <w:rsid w:val="00D05721"/>
    <w:rsid w:val="00D05739"/>
    <w:rsid w:val="00D05746"/>
    <w:rsid w:val="00D058FC"/>
    <w:rsid w:val="00D05928"/>
    <w:rsid w:val="00D05D52"/>
    <w:rsid w:val="00D05D8A"/>
    <w:rsid w:val="00D05D9E"/>
    <w:rsid w:val="00D05E5F"/>
    <w:rsid w:val="00D05EEF"/>
    <w:rsid w:val="00D05F1A"/>
    <w:rsid w:val="00D05F28"/>
    <w:rsid w:val="00D05FAA"/>
    <w:rsid w:val="00D060E9"/>
    <w:rsid w:val="00D061C0"/>
    <w:rsid w:val="00D0640F"/>
    <w:rsid w:val="00D06525"/>
    <w:rsid w:val="00D0657A"/>
    <w:rsid w:val="00D06663"/>
    <w:rsid w:val="00D067C7"/>
    <w:rsid w:val="00D0684F"/>
    <w:rsid w:val="00D06B4B"/>
    <w:rsid w:val="00D06C4E"/>
    <w:rsid w:val="00D06DEE"/>
    <w:rsid w:val="00D06E25"/>
    <w:rsid w:val="00D06E73"/>
    <w:rsid w:val="00D06ECD"/>
    <w:rsid w:val="00D06F52"/>
    <w:rsid w:val="00D07153"/>
    <w:rsid w:val="00D071F1"/>
    <w:rsid w:val="00D071FD"/>
    <w:rsid w:val="00D0721F"/>
    <w:rsid w:val="00D0733B"/>
    <w:rsid w:val="00D07341"/>
    <w:rsid w:val="00D07348"/>
    <w:rsid w:val="00D07418"/>
    <w:rsid w:val="00D07544"/>
    <w:rsid w:val="00D07556"/>
    <w:rsid w:val="00D07625"/>
    <w:rsid w:val="00D07721"/>
    <w:rsid w:val="00D078ED"/>
    <w:rsid w:val="00D079D6"/>
    <w:rsid w:val="00D07A2D"/>
    <w:rsid w:val="00D07B8C"/>
    <w:rsid w:val="00D07B9A"/>
    <w:rsid w:val="00D07C08"/>
    <w:rsid w:val="00D07CEA"/>
    <w:rsid w:val="00D07D01"/>
    <w:rsid w:val="00D07D62"/>
    <w:rsid w:val="00D07D71"/>
    <w:rsid w:val="00D07D96"/>
    <w:rsid w:val="00D07EFC"/>
    <w:rsid w:val="00D07F07"/>
    <w:rsid w:val="00D100B3"/>
    <w:rsid w:val="00D100E1"/>
    <w:rsid w:val="00D1013D"/>
    <w:rsid w:val="00D1018E"/>
    <w:rsid w:val="00D103BA"/>
    <w:rsid w:val="00D103C4"/>
    <w:rsid w:val="00D104A2"/>
    <w:rsid w:val="00D1068F"/>
    <w:rsid w:val="00D106A3"/>
    <w:rsid w:val="00D10728"/>
    <w:rsid w:val="00D10893"/>
    <w:rsid w:val="00D108A3"/>
    <w:rsid w:val="00D10990"/>
    <w:rsid w:val="00D109C2"/>
    <w:rsid w:val="00D109E6"/>
    <w:rsid w:val="00D10B45"/>
    <w:rsid w:val="00D10C7B"/>
    <w:rsid w:val="00D10CEB"/>
    <w:rsid w:val="00D10CF8"/>
    <w:rsid w:val="00D10D87"/>
    <w:rsid w:val="00D10F66"/>
    <w:rsid w:val="00D10F7B"/>
    <w:rsid w:val="00D11009"/>
    <w:rsid w:val="00D11085"/>
    <w:rsid w:val="00D110E7"/>
    <w:rsid w:val="00D110E8"/>
    <w:rsid w:val="00D11100"/>
    <w:rsid w:val="00D11304"/>
    <w:rsid w:val="00D1140F"/>
    <w:rsid w:val="00D11650"/>
    <w:rsid w:val="00D116E8"/>
    <w:rsid w:val="00D11715"/>
    <w:rsid w:val="00D11811"/>
    <w:rsid w:val="00D118F8"/>
    <w:rsid w:val="00D1197C"/>
    <w:rsid w:val="00D119A8"/>
    <w:rsid w:val="00D119C2"/>
    <w:rsid w:val="00D119EB"/>
    <w:rsid w:val="00D11DDC"/>
    <w:rsid w:val="00D11F84"/>
    <w:rsid w:val="00D11FC9"/>
    <w:rsid w:val="00D1207B"/>
    <w:rsid w:val="00D12088"/>
    <w:rsid w:val="00D12257"/>
    <w:rsid w:val="00D12453"/>
    <w:rsid w:val="00D12493"/>
    <w:rsid w:val="00D12519"/>
    <w:rsid w:val="00D12522"/>
    <w:rsid w:val="00D12556"/>
    <w:rsid w:val="00D12926"/>
    <w:rsid w:val="00D12940"/>
    <w:rsid w:val="00D129F6"/>
    <w:rsid w:val="00D12B10"/>
    <w:rsid w:val="00D12B11"/>
    <w:rsid w:val="00D12B7E"/>
    <w:rsid w:val="00D12BAF"/>
    <w:rsid w:val="00D12BDB"/>
    <w:rsid w:val="00D12D78"/>
    <w:rsid w:val="00D12DAB"/>
    <w:rsid w:val="00D12E85"/>
    <w:rsid w:val="00D12EFA"/>
    <w:rsid w:val="00D12F70"/>
    <w:rsid w:val="00D12FCE"/>
    <w:rsid w:val="00D1310E"/>
    <w:rsid w:val="00D13121"/>
    <w:rsid w:val="00D13188"/>
    <w:rsid w:val="00D13465"/>
    <w:rsid w:val="00D13501"/>
    <w:rsid w:val="00D13643"/>
    <w:rsid w:val="00D136CB"/>
    <w:rsid w:val="00D136F1"/>
    <w:rsid w:val="00D1371E"/>
    <w:rsid w:val="00D13720"/>
    <w:rsid w:val="00D138A2"/>
    <w:rsid w:val="00D13A5C"/>
    <w:rsid w:val="00D13AD3"/>
    <w:rsid w:val="00D13AF3"/>
    <w:rsid w:val="00D13D6C"/>
    <w:rsid w:val="00D13E79"/>
    <w:rsid w:val="00D13EF3"/>
    <w:rsid w:val="00D1413A"/>
    <w:rsid w:val="00D14204"/>
    <w:rsid w:val="00D1431D"/>
    <w:rsid w:val="00D143B8"/>
    <w:rsid w:val="00D1449F"/>
    <w:rsid w:val="00D144E2"/>
    <w:rsid w:val="00D146AC"/>
    <w:rsid w:val="00D147E5"/>
    <w:rsid w:val="00D14877"/>
    <w:rsid w:val="00D14985"/>
    <w:rsid w:val="00D149D7"/>
    <w:rsid w:val="00D14A0E"/>
    <w:rsid w:val="00D14AF0"/>
    <w:rsid w:val="00D14C86"/>
    <w:rsid w:val="00D14CC1"/>
    <w:rsid w:val="00D14CE7"/>
    <w:rsid w:val="00D14DFA"/>
    <w:rsid w:val="00D14E31"/>
    <w:rsid w:val="00D14E76"/>
    <w:rsid w:val="00D14FD4"/>
    <w:rsid w:val="00D14FDB"/>
    <w:rsid w:val="00D1506F"/>
    <w:rsid w:val="00D150B6"/>
    <w:rsid w:val="00D15337"/>
    <w:rsid w:val="00D15438"/>
    <w:rsid w:val="00D155F7"/>
    <w:rsid w:val="00D1561E"/>
    <w:rsid w:val="00D1566D"/>
    <w:rsid w:val="00D15691"/>
    <w:rsid w:val="00D15908"/>
    <w:rsid w:val="00D15993"/>
    <w:rsid w:val="00D159C0"/>
    <w:rsid w:val="00D15B60"/>
    <w:rsid w:val="00D15C6A"/>
    <w:rsid w:val="00D15CF8"/>
    <w:rsid w:val="00D15D6B"/>
    <w:rsid w:val="00D15EB4"/>
    <w:rsid w:val="00D15F3F"/>
    <w:rsid w:val="00D15FCC"/>
    <w:rsid w:val="00D160AA"/>
    <w:rsid w:val="00D160D0"/>
    <w:rsid w:val="00D16147"/>
    <w:rsid w:val="00D16230"/>
    <w:rsid w:val="00D162C2"/>
    <w:rsid w:val="00D16438"/>
    <w:rsid w:val="00D1643F"/>
    <w:rsid w:val="00D16506"/>
    <w:rsid w:val="00D16609"/>
    <w:rsid w:val="00D16623"/>
    <w:rsid w:val="00D16676"/>
    <w:rsid w:val="00D166FA"/>
    <w:rsid w:val="00D16761"/>
    <w:rsid w:val="00D1685E"/>
    <w:rsid w:val="00D1688A"/>
    <w:rsid w:val="00D168B6"/>
    <w:rsid w:val="00D16BA2"/>
    <w:rsid w:val="00D16C44"/>
    <w:rsid w:val="00D16C65"/>
    <w:rsid w:val="00D16D93"/>
    <w:rsid w:val="00D16E21"/>
    <w:rsid w:val="00D16E77"/>
    <w:rsid w:val="00D16E95"/>
    <w:rsid w:val="00D17014"/>
    <w:rsid w:val="00D17020"/>
    <w:rsid w:val="00D171D1"/>
    <w:rsid w:val="00D17410"/>
    <w:rsid w:val="00D174D2"/>
    <w:rsid w:val="00D1769C"/>
    <w:rsid w:val="00D176D3"/>
    <w:rsid w:val="00D177E4"/>
    <w:rsid w:val="00D17823"/>
    <w:rsid w:val="00D17AF9"/>
    <w:rsid w:val="00D17B7F"/>
    <w:rsid w:val="00D17BFB"/>
    <w:rsid w:val="00D17C7B"/>
    <w:rsid w:val="00D17D3C"/>
    <w:rsid w:val="00D17D47"/>
    <w:rsid w:val="00D17D63"/>
    <w:rsid w:val="00D17E2A"/>
    <w:rsid w:val="00D20033"/>
    <w:rsid w:val="00D20042"/>
    <w:rsid w:val="00D20080"/>
    <w:rsid w:val="00D200C1"/>
    <w:rsid w:val="00D200CF"/>
    <w:rsid w:val="00D20188"/>
    <w:rsid w:val="00D201E7"/>
    <w:rsid w:val="00D203FA"/>
    <w:rsid w:val="00D2055F"/>
    <w:rsid w:val="00D2071C"/>
    <w:rsid w:val="00D20755"/>
    <w:rsid w:val="00D207CE"/>
    <w:rsid w:val="00D20866"/>
    <w:rsid w:val="00D20A56"/>
    <w:rsid w:val="00D20AB5"/>
    <w:rsid w:val="00D20C9F"/>
    <w:rsid w:val="00D20E54"/>
    <w:rsid w:val="00D21074"/>
    <w:rsid w:val="00D21086"/>
    <w:rsid w:val="00D210A3"/>
    <w:rsid w:val="00D2112D"/>
    <w:rsid w:val="00D2120A"/>
    <w:rsid w:val="00D216CC"/>
    <w:rsid w:val="00D21725"/>
    <w:rsid w:val="00D21876"/>
    <w:rsid w:val="00D218CD"/>
    <w:rsid w:val="00D218E2"/>
    <w:rsid w:val="00D21907"/>
    <w:rsid w:val="00D21915"/>
    <w:rsid w:val="00D2199E"/>
    <w:rsid w:val="00D21B13"/>
    <w:rsid w:val="00D21BFF"/>
    <w:rsid w:val="00D21C29"/>
    <w:rsid w:val="00D21CE7"/>
    <w:rsid w:val="00D21D18"/>
    <w:rsid w:val="00D21E38"/>
    <w:rsid w:val="00D21EB2"/>
    <w:rsid w:val="00D21FF3"/>
    <w:rsid w:val="00D220AC"/>
    <w:rsid w:val="00D22159"/>
    <w:rsid w:val="00D221B7"/>
    <w:rsid w:val="00D221EC"/>
    <w:rsid w:val="00D221F0"/>
    <w:rsid w:val="00D2225F"/>
    <w:rsid w:val="00D22353"/>
    <w:rsid w:val="00D223D7"/>
    <w:rsid w:val="00D2260A"/>
    <w:rsid w:val="00D22621"/>
    <w:rsid w:val="00D2287C"/>
    <w:rsid w:val="00D22A0B"/>
    <w:rsid w:val="00D22A38"/>
    <w:rsid w:val="00D22A60"/>
    <w:rsid w:val="00D22A9D"/>
    <w:rsid w:val="00D22B7C"/>
    <w:rsid w:val="00D22BB3"/>
    <w:rsid w:val="00D22BC7"/>
    <w:rsid w:val="00D22D97"/>
    <w:rsid w:val="00D22F9A"/>
    <w:rsid w:val="00D2304B"/>
    <w:rsid w:val="00D230AC"/>
    <w:rsid w:val="00D23132"/>
    <w:rsid w:val="00D23244"/>
    <w:rsid w:val="00D23313"/>
    <w:rsid w:val="00D2348A"/>
    <w:rsid w:val="00D234C9"/>
    <w:rsid w:val="00D235AB"/>
    <w:rsid w:val="00D236E0"/>
    <w:rsid w:val="00D237F6"/>
    <w:rsid w:val="00D2383A"/>
    <w:rsid w:val="00D23876"/>
    <w:rsid w:val="00D23B8E"/>
    <w:rsid w:val="00D23CE0"/>
    <w:rsid w:val="00D23E7F"/>
    <w:rsid w:val="00D23F88"/>
    <w:rsid w:val="00D24023"/>
    <w:rsid w:val="00D24346"/>
    <w:rsid w:val="00D244CF"/>
    <w:rsid w:val="00D24520"/>
    <w:rsid w:val="00D24529"/>
    <w:rsid w:val="00D24600"/>
    <w:rsid w:val="00D24779"/>
    <w:rsid w:val="00D2477C"/>
    <w:rsid w:val="00D2481A"/>
    <w:rsid w:val="00D248D5"/>
    <w:rsid w:val="00D249D9"/>
    <w:rsid w:val="00D24A47"/>
    <w:rsid w:val="00D24B79"/>
    <w:rsid w:val="00D24BBD"/>
    <w:rsid w:val="00D24BC1"/>
    <w:rsid w:val="00D24CB2"/>
    <w:rsid w:val="00D24D8F"/>
    <w:rsid w:val="00D24E3D"/>
    <w:rsid w:val="00D24EAD"/>
    <w:rsid w:val="00D24EDF"/>
    <w:rsid w:val="00D24F52"/>
    <w:rsid w:val="00D24F56"/>
    <w:rsid w:val="00D25163"/>
    <w:rsid w:val="00D251C6"/>
    <w:rsid w:val="00D25283"/>
    <w:rsid w:val="00D25365"/>
    <w:rsid w:val="00D253DC"/>
    <w:rsid w:val="00D254ED"/>
    <w:rsid w:val="00D255F2"/>
    <w:rsid w:val="00D256C9"/>
    <w:rsid w:val="00D25739"/>
    <w:rsid w:val="00D257C0"/>
    <w:rsid w:val="00D2598D"/>
    <w:rsid w:val="00D25B73"/>
    <w:rsid w:val="00D25C01"/>
    <w:rsid w:val="00D25C10"/>
    <w:rsid w:val="00D25CEF"/>
    <w:rsid w:val="00D25DCC"/>
    <w:rsid w:val="00D25DEF"/>
    <w:rsid w:val="00D25F70"/>
    <w:rsid w:val="00D25FB4"/>
    <w:rsid w:val="00D26013"/>
    <w:rsid w:val="00D2607E"/>
    <w:rsid w:val="00D260AF"/>
    <w:rsid w:val="00D2616C"/>
    <w:rsid w:val="00D2624F"/>
    <w:rsid w:val="00D262D9"/>
    <w:rsid w:val="00D2631D"/>
    <w:rsid w:val="00D264BF"/>
    <w:rsid w:val="00D26594"/>
    <w:rsid w:val="00D265F5"/>
    <w:rsid w:val="00D2668A"/>
    <w:rsid w:val="00D266D5"/>
    <w:rsid w:val="00D2684E"/>
    <w:rsid w:val="00D268FD"/>
    <w:rsid w:val="00D26913"/>
    <w:rsid w:val="00D269C4"/>
    <w:rsid w:val="00D26A16"/>
    <w:rsid w:val="00D26A28"/>
    <w:rsid w:val="00D26A54"/>
    <w:rsid w:val="00D26A84"/>
    <w:rsid w:val="00D26C28"/>
    <w:rsid w:val="00D26CF9"/>
    <w:rsid w:val="00D26D4E"/>
    <w:rsid w:val="00D26DD6"/>
    <w:rsid w:val="00D26EC8"/>
    <w:rsid w:val="00D26F9F"/>
    <w:rsid w:val="00D26FFC"/>
    <w:rsid w:val="00D27047"/>
    <w:rsid w:val="00D27078"/>
    <w:rsid w:val="00D27234"/>
    <w:rsid w:val="00D272D5"/>
    <w:rsid w:val="00D273A0"/>
    <w:rsid w:val="00D2740C"/>
    <w:rsid w:val="00D27422"/>
    <w:rsid w:val="00D2748D"/>
    <w:rsid w:val="00D274C0"/>
    <w:rsid w:val="00D2751C"/>
    <w:rsid w:val="00D275DF"/>
    <w:rsid w:val="00D276CC"/>
    <w:rsid w:val="00D27737"/>
    <w:rsid w:val="00D278B2"/>
    <w:rsid w:val="00D27A41"/>
    <w:rsid w:val="00D27AAF"/>
    <w:rsid w:val="00D27AC8"/>
    <w:rsid w:val="00D27B3F"/>
    <w:rsid w:val="00D27BC4"/>
    <w:rsid w:val="00D27E03"/>
    <w:rsid w:val="00D27F09"/>
    <w:rsid w:val="00D27F49"/>
    <w:rsid w:val="00D27FB5"/>
    <w:rsid w:val="00D300BA"/>
    <w:rsid w:val="00D30151"/>
    <w:rsid w:val="00D301BD"/>
    <w:rsid w:val="00D301E3"/>
    <w:rsid w:val="00D303B2"/>
    <w:rsid w:val="00D30411"/>
    <w:rsid w:val="00D304BC"/>
    <w:rsid w:val="00D3050B"/>
    <w:rsid w:val="00D30635"/>
    <w:rsid w:val="00D30798"/>
    <w:rsid w:val="00D307E8"/>
    <w:rsid w:val="00D307EC"/>
    <w:rsid w:val="00D30919"/>
    <w:rsid w:val="00D309AE"/>
    <w:rsid w:val="00D30DF5"/>
    <w:rsid w:val="00D30EB0"/>
    <w:rsid w:val="00D30EC8"/>
    <w:rsid w:val="00D30FB6"/>
    <w:rsid w:val="00D31123"/>
    <w:rsid w:val="00D31223"/>
    <w:rsid w:val="00D31234"/>
    <w:rsid w:val="00D31380"/>
    <w:rsid w:val="00D31432"/>
    <w:rsid w:val="00D314E4"/>
    <w:rsid w:val="00D3154F"/>
    <w:rsid w:val="00D315AC"/>
    <w:rsid w:val="00D31638"/>
    <w:rsid w:val="00D316C8"/>
    <w:rsid w:val="00D31756"/>
    <w:rsid w:val="00D31829"/>
    <w:rsid w:val="00D318B9"/>
    <w:rsid w:val="00D318C2"/>
    <w:rsid w:val="00D318C5"/>
    <w:rsid w:val="00D31956"/>
    <w:rsid w:val="00D31AD6"/>
    <w:rsid w:val="00D31AE4"/>
    <w:rsid w:val="00D31B5A"/>
    <w:rsid w:val="00D31CFD"/>
    <w:rsid w:val="00D31D28"/>
    <w:rsid w:val="00D31EE3"/>
    <w:rsid w:val="00D31F1F"/>
    <w:rsid w:val="00D31F47"/>
    <w:rsid w:val="00D31FC5"/>
    <w:rsid w:val="00D320B2"/>
    <w:rsid w:val="00D32136"/>
    <w:rsid w:val="00D32203"/>
    <w:rsid w:val="00D322C9"/>
    <w:rsid w:val="00D322E2"/>
    <w:rsid w:val="00D323A3"/>
    <w:rsid w:val="00D323AE"/>
    <w:rsid w:val="00D32455"/>
    <w:rsid w:val="00D32651"/>
    <w:rsid w:val="00D32680"/>
    <w:rsid w:val="00D32751"/>
    <w:rsid w:val="00D3276D"/>
    <w:rsid w:val="00D32837"/>
    <w:rsid w:val="00D32BB9"/>
    <w:rsid w:val="00D32C57"/>
    <w:rsid w:val="00D32D33"/>
    <w:rsid w:val="00D32DCF"/>
    <w:rsid w:val="00D32E29"/>
    <w:rsid w:val="00D32ECC"/>
    <w:rsid w:val="00D32FA0"/>
    <w:rsid w:val="00D32FB2"/>
    <w:rsid w:val="00D33113"/>
    <w:rsid w:val="00D33199"/>
    <w:rsid w:val="00D331C4"/>
    <w:rsid w:val="00D331F8"/>
    <w:rsid w:val="00D3325E"/>
    <w:rsid w:val="00D332FF"/>
    <w:rsid w:val="00D3333A"/>
    <w:rsid w:val="00D3348F"/>
    <w:rsid w:val="00D334B1"/>
    <w:rsid w:val="00D334B3"/>
    <w:rsid w:val="00D3366B"/>
    <w:rsid w:val="00D3383A"/>
    <w:rsid w:val="00D339C3"/>
    <w:rsid w:val="00D339DE"/>
    <w:rsid w:val="00D33A40"/>
    <w:rsid w:val="00D33A72"/>
    <w:rsid w:val="00D33B6C"/>
    <w:rsid w:val="00D33BB6"/>
    <w:rsid w:val="00D33F5D"/>
    <w:rsid w:val="00D33F86"/>
    <w:rsid w:val="00D33FB8"/>
    <w:rsid w:val="00D34144"/>
    <w:rsid w:val="00D3422D"/>
    <w:rsid w:val="00D34355"/>
    <w:rsid w:val="00D344FA"/>
    <w:rsid w:val="00D34682"/>
    <w:rsid w:val="00D3497D"/>
    <w:rsid w:val="00D34B89"/>
    <w:rsid w:val="00D34BC4"/>
    <w:rsid w:val="00D34D5F"/>
    <w:rsid w:val="00D34D7F"/>
    <w:rsid w:val="00D34EC5"/>
    <w:rsid w:val="00D34F41"/>
    <w:rsid w:val="00D34F5D"/>
    <w:rsid w:val="00D34FA4"/>
    <w:rsid w:val="00D3506D"/>
    <w:rsid w:val="00D351C1"/>
    <w:rsid w:val="00D3547A"/>
    <w:rsid w:val="00D354CA"/>
    <w:rsid w:val="00D35516"/>
    <w:rsid w:val="00D355F0"/>
    <w:rsid w:val="00D35826"/>
    <w:rsid w:val="00D358A2"/>
    <w:rsid w:val="00D359BF"/>
    <w:rsid w:val="00D35A1F"/>
    <w:rsid w:val="00D35A33"/>
    <w:rsid w:val="00D35B3E"/>
    <w:rsid w:val="00D35B48"/>
    <w:rsid w:val="00D35C2D"/>
    <w:rsid w:val="00D35C3D"/>
    <w:rsid w:val="00D35CB1"/>
    <w:rsid w:val="00D35CE1"/>
    <w:rsid w:val="00D35DB2"/>
    <w:rsid w:val="00D35FBE"/>
    <w:rsid w:val="00D36014"/>
    <w:rsid w:val="00D36165"/>
    <w:rsid w:val="00D361F0"/>
    <w:rsid w:val="00D36387"/>
    <w:rsid w:val="00D3638E"/>
    <w:rsid w:val="00D36651"/>
    <w:rsid w:val="00D3678E"/>
    <w:rsid w:val="00D3696C"/>
    <w:rsid w:val="00D36A58"/>
    <w:rsid w:val="00D36C03"/>
    <w:rsid w:val="00D36C73"/>
    <w:rsid w:val="00D36CB3"/>
    <w:rsid w:val="00D36CD6"/>
    <w:rsid w:val="00D36D1A"/>
    <w:rsid w:val="00D36D31"/>
    <w:rsid w:val="00D36DBC"/>
    <w:rsid w:val="00D36FAA"/>
    <w:rsid w:val="00D37035"/>
    <w:rsid w:val="00D3705C"/>
    <w:rsid w:val="00D37095"/>
    <w:rsid w:val="00D370F0"/>
    <w:rsid w:val="00D371F3"/>
    <w:rsid w:val="00D371F4"/>
    <w:rsid w:val="00D3724C"/>
    <w:rsid w:val="00D37356"/>
    <w:rsid w:val="00D373EE"/>
    <w:rsid w:val="00D3741B"/>
    <w:rsid w:val="00D3756F"/>
    <w:rsid w:val="00D3758D"/>
    <w:rsid w:val="00D3776B"/>
    <w:rsid w:val="00D377AE"/>
    <w:rsid w:val="00D377BE"/>
    <w:rsid w:val="00D37991"/>
    <w:rsid w:val="00D37AD9"/>
    <w:rsid w:val="00D37D24"/>
    <w:rsid w:val="00D37E53"/>
    <w:rsid w:val="00D37F8A"/>
    <w:rsid w:val="00D37FD2"/>
    <w:rsid w:val="00D4000A"/>
    <w:rsid w:val="00D4018C"/>
    <w:rsid w:val="00D40498"/>
    <w:rsid w:val="00D40533"/>
    <w:rsid w:val="00D4054D"/>
    <w:rsid w:val="00D4087A"/>
    <w:rsid w:val="00D40998"/>
    <w:rsid w:val="00D409A9"/>
    <w:rsid w:val="00D40A63"/>
    <w:rsid w:val="00D40AA4"/>
    <w:rsid w:val="00D40B27"/>
    <w:rsid w:val="00D40CD9"/>
    <w:rsid w:val="00D40DF2"/>
    <w:rsid w:val="00D40E5A"/>
    <w:rsid w:val="00D40F57"/>
    <w:rsid w:val="00D410B6"/>
    <w:rsid w:val="00D41154"/>
    <w:rsid w:val="00D411FA"/>
    <w:rsid w:val="00D41375"/>
    <w:rsid w:val="00D414AA"/>
    <w:rsid w:val="00D41610"/>
    <w:rsid w:val="00D41627"/>
    <w:rsid w:val="00D41632"/>
    <w:rsid w:val="00D41846"/>
    <w:rsid w:val="00D4186F"/>
    <w:rsid w:val="00D4195C"/>
    <w:rsid w:val="00D41969"/>
    <w:rsid w:val="00D419B2"/>
    <w:rsid w:val="00D419DF"/>
    <w:rsid w:val="00D41AA6"/>
    <w:rsid w:val="00D41BFB"/>
    <w:rsid w:val="00D41C5B"/>
    <w:rsid w:val="00D41E55"/>
    <w:rsid w:val="00D41F35"/>
    <w:rsid w:val="00D42044"/>
    <w:rsid w:val="00D420FE"/>
    <w:rsid w:val="00D4220F"/>
    <w:rsid w:val="00D423B2"/>
    <w:rsid w:val="00D42461"/>
    <w:rsid w:val="00D424A7"/>
    <w:rsid w:val="00D4250C"/>
    <w:rsid w:val="00D42538"/>
    <w:rsid w:val="00D425BC"/>
    <w:rsid w:val="00D42629"/>
    <w:rsid w:val="00D429AB"/>
    <w:rsid w:val="00D42A98"/>
    <w:rsid w:val="00D42AA3"/>
    <w:rsid w:val="00D42BB5"/>
    <w:rsid w:val="00D42BCC"/>
    <w:rsid w:val="00D42D87"/>
    <w:rsid w:val="00D42F0D"/>
    <w:rsid w:val="00D42F57"/>
    <w:rsid w:val="00D43051"/>
    <w:rsid w:val="00D4309D"/>
    <w:rsid w:val="00D430C9"/>
    <w:rsid w:val="00D4317F"/>
    <w:rsid w:val="00D43229"/>
    <w:rsid w:val="00D4338D"/>
    <w:rsid w:val="00D435E8"/>
    <w:rsid w:val="00D436A2"/>
    <w:rsid w:val="00D437C6"/>
    <w:rsid w:val="00D43822"/>
    <w:rsid w:val="00D43876"/>
    <w:rsid w:val="00D438FC"/>
    <w:rsid w:val="00D43943"/>
    <w:rsid w:val="00D439DD"/>
    <w:rsid w:val="00D43A42"/>
    <w:rsid w:val="00D43A45"/>
    <w:rsid w:val="00D43B35"/>
    <w:rsid w:val="00D43BFC"/>
    <w:rsid w:val="00D43D16"/>
    <w:rsid w:val="00D43DC5"/>
    <w:rsid w:val="00D43F41"/>
    <w:rsid w:val="00D43FB9"/>
    <w:rsid w:val="00D44086"/>
    <w:rsid w:val="00D44282"/>
    <w:rsid w:val="00D442AD"/>
    <w:rsid w:val="00D442B8"/>
    <w:rsid w:val="00D442C9"/>
    <w:rsid w:val="00D442E4"/>
    <w:rsid w:val="00D443A5"/>
    <w:rsid w:val="00D44415"/>
    <w:rsid w:val="00D44495"/>
    <w:rsid w:val="00D446C5"/>
    <w:rsid w:val="00D44729"/>
    <w:rsid w:val="00D44A27"/>
    <w:rsid w:val="00D44ACC"/>
    <w:rsid w:val="00D44AE5"/>
    <w:rsid w:val="00D44B94"/>
    <w:rsid w:val="00D44C0A"/>
    <w:rsid w:val="00D44CF3"/>
    <w:rsid w:val="00D44D09"/>
    <w:rsid w:val="00D44D7D"/>
    <w:rsid w:val="00D44F33"/>
    <w:rsid w:val="00D44F34"/>
    <w:rsid w:val="00D44F9C"/>
    <w:rsid w:val="00D44FC1"/>
    <w:rsid w:val="00D44FDE"/>
    <w:rsid w:val="00D450BB"/>
    <w:rsid w:val="00D4514B"/>
    <w:rsid w:val="00D4517B"/>
    <w:rsid w:val="00D45230"/>
    <w:rsid w:val="00D45397"/>
    <w:rsid w:val="00D4545E"/>
    <w:rsid w:val="00D455FF"/>
    <w:rsid w:val="00D456D8"/>
    <w:rsid w:val="00D458CC"/>
    <w:rsid w:val="00D458FB"/>
    <w:rsid w:val="00D45956"/>
    <w:rsid w:val="00D4597B"/>
    <w:rsid w:val="00D45A29"/>
    <w:rsid w:val="00D45BA7"/>
    <w:rsid w:val="00D45C37"/>
    <w:rsid w:val="00D45DB1"/>
    <w:rsid w:val="00D45DE6"/>
    <w:rsid w:val="00D45EB1"/>
    <w:rsid w:val="00D46081"/>
    <w:rsid w:val="00D460FA"/>
    <w:rsid w:val="00D46163"/>
    <w:rsid w:val="00D4617C"/>
    <w:rsid w:val="00D46297"/>
    <w:rsid w:val="00D463A7"/>
    <w:rsid w:val="00D464A3"/>
    <w:rsid w:val="00D4652F"/>
    <w:rsid w:val="00D466E5"/>
    <w:rsid w:val="00D46765"/>
    <w:rsid w:val="00D4676B"/>
    <w:rsid w:val="00D467A4"/>
    <w:rsid w:val="00D467C0"/>
    <w:rsid w:val="00D46863"/>
    <w:rsid w:val="00D468D4"/>
    <w:rsid w:val="00D46A58"/>
    <w:rsid w:val="00D46ADB"/>
    <w:rsid w:val="00D46C42"/>
    <w:rsid w:val="00D46DCD"/>
    <w:rsid w:val="00D46E30"/>
    <w:rsid w:val="00D46FC6"/>
    <w:rsid w:val="00D47094"/>
    <w:rsid w:val="00D470E9"/>
    <w:rsid w:val="00D47248"/>
    <w:rsid w:val="00D47264"/>
    <w:rsid w:val="00D47406"/>
    <w:rsid w:val="00D47413"/>
    <w:rsid w:val="00D47444"/>
    <w:rsid w:val="00D47532"/>
    <w:rsid w:val="00D476EF"/>
    <w:rsid w:val="00D4791F"/>
    <w:rsid w:val="00D47936"/>
    <w:rsid w:val="00D47ACE"/>
    <w:rsid w:val="00D47B0B"/>
    <w:rsid w:val="00D47BEE"/>
    <w:rsid w:val="00D47D32"/>
    <w:rsid w:val="00D47E24"/>
    <w:rsid w:val="00D47ED0"/>
    <w:rsid w:val="00D47F7B"/>
    <w:rsid w:val="00D47FF1"/>
    <w:rsid w:val="00D50199"/>
    <w:rsid w:val="00D503BC"/>
    <w:rsid w:val="00D505FF"/>
    <w:rsid w:val="00D50615"/>
    <w:rsid w:val="00D50659"/>
    <w:rsid w:val="00D506ED"/>
    <w:rsid w:val="00D506FA"/>
    <w:rsid w:val="00D507B6"/>
    <w:rsid w:val="00D508EE"/>
    <w:rsid w:val="00D5094F"/>
    <w:rsid w:val="00D50C20"/>
    <w:rsid w:val="00D50EDF"/>
    <w:rsid w:val="00D50F6E"/>
    <w:rsid w:val="00D50F92"/>
    <w:rsid w:val="00D50FD9"/>
    <w:rsid w:val="00D51135"/>
    <w:rsid w:val="00D5114E"/>
    <w:rsid w:val="00D512F7"/>
    <w:rsid w:val="00D513DA"/>
    <w:rsid w:val="00D513F5"/>
    <w:rsid w:val="00D514CA"/>
    <w:rsid w:val="00D516C3"/>
    <w:rsid w:val="00D51706"/>
    <w:rsid w:val="00D51724"/>
    <w:rsid w:val="00D51731"/>
    <w:rsid w:val="00D51977"/>
    <w:rsid w:val="00D51C91"/>
    <w:rsid w:val="00D51CBB"/>
    <w:rsid w:val="00D51D01"/>
    <w:rsid w:val="00D51DB0"/>
    <w:rsid w:val="00D51F85"/>
    <w:rsid w:val="00D51FD1"/>
    <w:rsid w:val="00D51FEA"/>
    <w:rsid w:val="00D51FF4"/>
    <w:rsid w:val="00D5213D"/>
    <w:rsid w:val="00D5215A"/>
    <w:rsid w:val="00D52183"/>
    <w:rsid w:val="00D522FD"/>
    <w:rsid w:val="00D52594"/>
    <w:rsid w:val="00D52675"/>
    <w:rsid w:val="00D526B9"/>
    <w:rsid w:val="00D52705"/>
    <w:rsid w:val="00D528BB"/>
    <w:rsid w:val="00D528C6"/>
    <w:rsid w:val="00D528E0"/>
    <w:rsid w:val="00D528ED"/>
    <w:rsid w:val="00D5292A"/>
    <w:rsid w:val="00D529BC"/>
    <w:rsid w:val="00D52C32"/>
    <w:rsid w:val="00D52C62"/>
    <w:rsid w:val="00D52C6B"/>
    <w:rsid w:val="00D52CA8"/>
    <w:rsid w:val="00D52CC0"/>
    <w:rsid w:val="00D52CCA"/>
    <w:rsid w:val="00D52D01"/>
    <w:rsid w:val="00D52D22"/>
    <w:rsid w:val="00D52D8B"/>
    <w:rsid w:val="00D5305F"/>
    <w:rsid w:val="00D5308A"/>
    <w:rsid w:val="00D530E7"/>
    <w:rsid w:val="00D5324A"/>
    <w:rsid w:val="00D532A9"/>
    <w:rsid w:val="00D532C1"/>
    <w:rsid w:val="00D5331F"/>
    <w:rsid w:val="00D5335D"/>
    <w:rsid w:val="00D53460"/>
    <w:rsid w:val="00D535D9"/>
    <w:rsid w:val="00D53654"/>
    <w:rsid w:val="00D536E4"/>
    <w:rsid w:val="00D537B8"/>
    <w:rsid w:val="00D5381E"/>
    <w:rsid w:val="00D53984"/>
    <w:rsid w:val="00D53B49"/>
    <w:rsid w:val="00D53CBE"/>
    <w:rsid w:val="00D53CF7"/>
    <w:rsid w:val="00D540E9"/>
    <w:rsid w:val="00D541B7"/>
    <w:rsid w:val="00D54282"/>
    <w:rsid w:val="00D54296"/>
    <w:rsid w:val="00D542D4"/>
    <w:rsid w:val="00D54333"/>
    <w:rsid w:val="00D543F5"/>
    <w:rsid w:val="00D543FE"/>
    <w:rsid w:val="00D54496"/>
    <w:rsid w:val="00D5457C"/>
    <w:rsid w:val="00D54598"/>
    <w:rsid w:val="00D5460B"/>
    <w:rsid w:val="00D5465B"/>
    <w:rsid w:val="00D5469E"/>
    <w:rsid w:val="00D54746"/>
    <w:rsid w:val="00D54769"/>
    <w:rsid w:val="00D548B1"/>
    <w:rsid w:val="00D54921"/>
    <w:rsid w:val="00D54C73"/>
    <w:rsid w:val="00D54C7E"/>
    <w:rsid w:val="00D54F46"/>
    <w:rsid w:val="00D5503B"/>
    <w:rsid w:val="00D5508E"/>
    <w:rsid w:val="00D550A0"/>
    <w:rsid w:val="00D5522D"/>
    <w:rsid w:val="00D552D3"/>
    <w:rsid w:val="00D55322"/>
    <w:rsid w:val="00D5532E"/>
    <w:rsid w:val="00D55339"/>
    <w:rsid w:val="00D55375"/>
    <w:rsid w:val="00D554B7"/>
    <w:rsid w:val="00D55508"/>
    <w:rsid w:val="00D5557C"/>
    <w:rsid w:val="00D555B0"/>
    <w:rsid w:val="00D55610"/>
    <w:rsid w:val="00D556A1"/>
    <w:rsid w:val="00D556AD"/>
    <w:rsid w:val="00D55740"/>
    <w:rsid w:val="00D55865"/>
    <w:rsid w:val="00D55941"/>
    <w:rsid w:val="00D55986"/>
    <w:rsid w:val="00D55B39"/>
    <w:rsid w:val="00D55B7D"/>
    <w:rsid w:val="00D55CE9"/>
    <w:rsid w:val="00D55DB1"/>
    <w:rsid w:val="00D55E5C"/>
    <w:rsid w:val="00D55EC5"/>
    <w:rsid w:val="00D55F88"/>
    <w:rsid w:val="00D56010"/>
    <w:rsid w:val="00D56011"/>
    <w:rsid w:val="00D56096"/>
    <w:rsid w:val="00D5620B"/>
    <w:rsid w:val="00D56223"/>
    <w:rsid w:val="00D56328"/>
    <w:rsid w:val="00D5638C"/>
    <w:rsid w:val="00D56454"/>
    <w:rsid w:val="00D565E2"/>
    <w:rsid w:val="00D565EF"/>
    <w:rsid w:val="00D5666A"/>
    <w:rsid w:val="00D566D2"/>
    <w:rsid w:val="00D56789"/>
    <w:rsid w:val="00D568EB"/>
    <w:rsid w:val="00D569CA"/>
    <w:rsid w:val="00D56A82"/>
    <w:rsid w:val="00D56AEC"/>
    <w:rsid w:val="00D56C90"/>
    <w:rsid w:val="00D56D7F"/>
    <w:rsid w:val="00D56E14"/>
    <w:rsid w:val="00D56EB8"/>
    <w:rsid w:val="00D56F26"/>
    <w:rsid w:val="00D5707C"/>
    <w:rsid w:val="00D57152"/>
    <w:rsid w:val="00D571DE"/>
    <w:rsid w:val="00D5730B"/>
    <w:rsid w:val="00D57403"/>
    <w:rsid w:val="00D5742B"/>
    <w:rsid w:val="00D574A4"/>
    <w:rsid w:val="00D574D5"/>
    <w:rsid w:val="00D575B9"/>
    <w:rsid w:val="00D575DD"/>
    <w:rsid w:val="00D575F7"/>
    <w:rsid w:val="00D576A7"/>
    <w:rsid w:val="00D57771"/>
    <w:rsid w:val="00D577CE"/>
    <w:rsid w:val="00D57884"/>
    <w:rsid w:val="00D5796B"/>
    <w:rsid w:val="00D579A8"/>
    <w:rsid w:val="00D57BD1"/>
    <w:rsid w:val="00D57C0C"/>
    <w:rsid w:val="00D57D01"/>
    <w:rsid w:val="00D57D85"/>
    <w:rsid w:val="00D57E4B"/>
    <w:rsid w:val="00D57E4E"/>
    <w:rsid w:val="00D57E65"/>
    <w:rsid w:val="00D57E66"/>
    <w:rsid w:val="00D57EBF"/>
    <w:rsid w:val="00D57EE8"/>
    <w:rsid w:val="00D57FD9"/>
    <w:rsid w:val="00D600BD"/>
    <w:rsid w:val="00D600EA"/>
    <w:rsid w:val="00D60148"/>
    <w:rsid w:val="00D601E3"/>
    <w:rsid w:val="00D60426"/>
    <w:rsid w:val="00D6072C"/>
    <w:rsid w:val="00D60762"/>
    <w:rsid w:val="00D60786"/>
    <w:rsid w:val="00D6087D"/>
    <w:rsid w:val="00D608B0"/>
    <w:rsid w:val="00D608FD"/>
    <w:rsid w:val="00D60A15"/>
    <w:rsid w:val="00D60B4D"/>
    <w:rsid w:val="00D60B83"/>
    <w:rsid w:val="00D6108C"/>
    <w:rsid w:val="00D610A7"/>
    <w:rsid w:val="00D610F1"/>
    <w:rsid w:val="00D61358"/>
    <w:rsid w:val="00D61453"/>
    <w:rsid w:val="00D61483"/>
    <w:rsid w:val="00D614F5"/>
    <w:rsid w:val="00D6165C"/>
    <w:rsid w:val="00D616E2"/>
    <w:rsid w:val="00D617B0"/>
    <w:rsid w:val="00D6184E"/>
    <w:rsid w:val="00D61A2C"/>
    <w:rsid w:val="00D61CAF"/>
    <w:rsid w:val="00D61CD3"/>
    <w:rsid w:val="00D61D26"/>
    <w:rsid w:val="00D61E39"/>
    <w:rsid w:val="00D61E86"/>
    <w:rsid w:val="00D61EFC"/>
    <w:rsid w:val="00D61FD9"/>
    <w:rsid w:val="00D620A0"/>
    <w:rsid w:val="00D62174"/>
    <w:rsid w:val="00D6217C"/>
    <w:rsid w:val="00D622EF"/>
    <w:rsid w:val="00D62364"/>
    <w:rsid w:val="00D62436"/>
    <w:rsid w:val="00D625D2"/>
    <w:rsid w:val="00D625D9"/>
    <w:rsid w:val="00D625E3"/>
    <w:rsid w:val="00D627AB"/>
    <w:rsid w:val="00D627FA"/>
    <w:rsid w:val="00D62A4F"/>
    <w:rsid w:val="00D62A9B"/>
    <w:rsid w:val="00D62A9C"/>
    <w:rsid w:val="00D62ABE"/>
    <w:rsid w:val="00D62C7B"/>
    <w:rsid w:val="00D62DA7"/>
    <w:rsid w:val="00D62E91"/>
    <w:rsid w:val="00D62FBB"/>
    <w:rsid w:val="00D63003"/>
    <w:rsid w:val="00D63193"/>
    <w:rsid w:val="00D632B8"/>
    <w:rsid w:val="00D633A2"/>
    <w:rsid w:val="00D633BA"/>
    <w:rsid w:val="00D6343E"/>
    <w:rsid w:val="00D634A4"/>
    <w:rsid w:val="00D634FC"/>
    <w:rsid w:val="00D6378D"/>
    <w:rsid w:val="00D638CE"/>
    <w:rsid w:val="00D63902"/>
    <w:rsid w:val="00D63931"/>
    <w:rsid w:val="00D6395B"/>
    <w:rsid w:val="00D63960"/>
    <w:rsid w:val="00D639A3"/>
    <w:rsid w:val="00D639A9"/>
    <w:rsid w:val="00D63A93"/>
    <w:rsid w:val="00D63B21"/>
    <w:rsid w:val="00D63B66"/>
    <w:rsid w:val="00D63C90"/>
    <w:rsid w:val="00D63D4F"/>
    <w:rsid w:val="00D63D51"/>
    <w:rsid w:val="00D63D66"/>
    <w:rsid w:val="00D63DEF"/>
    <w:rsid w:val="00D63E95"/>
    <w:rsid w:val="00D63F4A"/>
    <w:rsid w:val="00D6400F"/>
    <w:rsid w:val="00D64128"/>
    <w:rsid w:val="00D641E1"/>
    <w:rsid w:val="00D642E4"/>
    <w:rsid w:val="00D642F0"/>
    <w:rsid w:val="00D6430A"/>
    <w:rsid w:val="00D64352"/>
    <w:rsid w:val="00D643E9"/>
    <w:rsid w:val="00D64408"/>
    <w:rsid w:val="00D64411"/>
    <w:rsid w:val="00D64480"/>
    <w:rsid w:val="00D645BA"/>
    <w:rsid w:val="00D6460B"/>
    <w:rsid w:val="00D64711"/>
    <w:rsid w:val="00D6471F"/>
    <w:rsid w:val="00D64750"/>
    <w:rsid w:val="00D647B4"/>
    <w:rsid w:val="00D6492E"/>
    <w:rsid w:val="00D64931"/>
    <w:rsid w:val="00D64932"/>
    <w:rsid w:val="00D64B46"/>
    <w:rsid w:val="00D64B94"/>
    <w:rsid w:val="00D64C0D"/>
    <w:rsid w:val="00D64C4D"/>
    <w:rsid w:val="00D64CC6"/>
    <w:rsid w:val="00D64CF7"/>
    <w:rsid w:val="00D64DF7"/>
    <w:rsid w:val="00D64F61"/>
    <w:rsid w:val="00D65123"/>
    <w:rsid w:val="00D65186"/>
    <w:rsid w:val="00D653BE"/>
    <w:rsid w:val="00D653EC"/>
    <w:rsid w:val="00D65428"/>
    <w:rsid w:val="00D65543"/>
    <w:rsid w:val="00D655C2"/>
    <w:rsid w:val="00D65699"/>
    <w:rsid w:val="00D65734"/>
    <w:rsid w:val="00D657F0"/>
    <w:rsid w:val="00D65959"/>
    <w:rsid w:val="00D659D1"/>
    <w:rsid w:val="00D65A4E"/>
    <w:rsid w:val="00D65B72"/>
    <w:rsid w:val="00D65BDA"/>
    <w:rsid w:val="00D65E9B"/>
    <w:rsid w:val="00D65ED1"/>
    <w:rsid w:val="00D65FD8"/>
    <w:rsid w:val="00D6608A"/>
    <w:rsid w:val="00D660B0"/>
    <w:rsid w:val="00D660E1"/>
    <w:rsid w:val="00D66103"/>
    <w:rsid w:val="00D66154"/>
    <w:rsid w:val="00D6620C"/>
    <w:rsid w:val="00D662BE"/>
    <w:rsid w:val="00D66383"/>
    <w:rsid w:val="00D6640E"/>
    <w:rsid w:val="00D6644D"/>
    <w:rsid w:val="00D664A9"/>
    <w:rsid w:val="00D66532"/>
    <w:rsid w:val="00D66610"/>
    <w:rsid w:val="00D666BC"/>
    <w:rsid w:val="00D66938"/>
    <w:rsid w:val="00D669A8"/>
    <w:rsid w:val="00D66A20"/>
    <w:rsid w:val="00D66A23"/>
    <w:rsid w:val="00D66A26"/>
    <w:rsid w:val="00D66A64"/>
    <w:rsid w:val="00D66AC9"/>
    <w:rsid w:val="00D66BAA"/>
    <w:rsid w:val="00D66D2C"/>
    <w:rsid w:val="00D66D77"/>
    <w:rsid w:val="00D66DF1"/>
    <w:rsid w:val="00D66E32"/>
    <w:rsid w:val="00D67209"/>
    <w:rsid w:val="00D6722E"/>
    <w:rsid w:val="00D6734A"/>
    <w:rsid w:val="00D67442"/>
    <w:rsid w:val="00D6751F"/>
    <w:rsid w:val="00D6752E"/>
    <w:rsid w:val="00D67540"/>
    <w:rsid w:val="00D67663"/>
    <w:rsid w:val="00D6782D"/>
    <w:rsid w:val="00D678F9"/>
    <w:rsid w:val="00D6794C"/>
    <w:rsid w:val="00D67969"/>
    <w:rsid w:val="00D67AAE"/>
    <w:rsid w:val="00D67AB1"/>
    <w:rsid w:val="00D67D06"/>
    <w:rsid w:val="00D67D99"/>
    <w:rsid w:val="00D67E68"/>
    <w:rsid w:val="00D70168"/>
    <w:rsid w:val="00D70217"/>
    <w:rsid w:val="00D7085A"/>
    <w:rsid w:val="00D708BC"/>
    <w:rsid w:val="00D708DB"/>
    <w:rsid w:val="00D7093D"/>
    <w:rsid w:val="00D70B22"/>
    <w:rsid w:val="00D70BB7"/>
    <w:rsid w:val="00D70C67"/>
    <w:rsid w:val="00D70CDC"/>
    <w:rsid w:val="00D70D28"/>
    <w:rsid w:val="00D70DCC"/>
    <w:rsid w:val="00D70DD7"/>
    <w:rsid w:val="00D70E18"/>
    <w:rsid w:val="00D70E8B"/>
    <w:rsid w:val="00D7101C"/>
    <w:rsid w:val="00D7106E"/>
    <w:rsid w:val="00D713B8"/>
    <w:rsid w:val="00D713F1"/>
    <w:rsid w:val="00D71474"/>
    <w:rsid w:val="00D71477"/>
    <w:rsid w:val="00D7148E"/>
    <w:rsid w:val="00D71534"/>
    <w:rsid w:val="00D7156D"/>
    <w:rsid w:val="00D71586"/>
    <w:rsid w:val="00D716F9"/>
    <w:rsid w:val="00D71715"/>
    <w:rsid w:val="00D71774"/>
    <w:rsid w:val="00D717BA"/>
    <w:rsid w:val="00D7182C"/>
    <w:rsid w:val="00D71846"/>
    <w:rsid w:val="00D7192F"/>
    <w:rsid w:val="00D71B85"/>
    <w:rsid w:val="00D71CEE"/>
    <w:rsid w:val="00D71CF5"/>
    <w:rsid w:val="00D71D5F"/>
    <w:rsid w:val="00D71D71"/>
    <w:rsid w:val="00D71E1E"/>
    <w:rsid w:val="00D71E8E"/>
    <w:rsid w:val="00D71F0C"/>
    <w:rsid w:val="00D71F23"/>
    <w:rsid w:val="00D7220A"/>
    <w:rsid w:val="00D7231F"/>
    <w:rsid w:val="00D72414"/>
    <w:rsid w:val="00D72546"/>
    <w:rsid w:val="00D72627"/>
    <w:rsid w:val="00D72643"/>
    <w:rsid w:val="00D726B3"/>
    <w:rsid w:val="00D7270C"/>
    <w:rsid w:val="00D727C9"/>
    <w:rsid w:val="00D728D5"/>
    <w:rsid w:val="00D72920"/>
    <w:rsid w:val="00D72A9E"/>
    <w:rsid w:val="00D72BAC"/>
    <w:rsid w:val="00D72DD4"/>
    <w:rsid w:val="00D72E00"/>
    <w:rsid w:val="00D72F3F"/>
    <w:rsid w:val="00D72FAE"/>
    <w:rsid w:val="00D72FC3"/>
    <w:rsid w:val="00D73082"/>
    <w:rsid w:val="00D73259"/>
    <w:rsid w:val="00D73289"/>
    <w:rsid w:val="00D732BB"/>
    <w:rsid w:val="00D73484"/>
    <w:rsid w:val="00D73511"/>
    <w:rsid w:val="00D7354A"/>
    <w:rsid w:val="00D73679"/>
    <w:rsid w:val="00D738B7"/>
    <w:rsid w:val="00D73A85"/>
    <w:rsid w:val="00D73B03"/>
    <w:rsid w:val="00D73DE2"/>
    <w:rsid w:val="00D73FEC"/>
    <w:rsid w:val="00D740A0"/>
    <w:rsid w:val="00D740D2"/>
    <w:rsid w:val="00D743C1"/>
    <w:rsid w:val="00D743E3"/>
    <w:rsid w:val="00D744AF"/>
    <w:rsid w:val="00D7459F"/>
    <w:rsid w:val="00D7471F"/>
    <w:rsid w:val="00D74721"/>
    <w:rsid w:val="00D749C7"/>
    <w:rsid w:val="00D74B2B"/>
    <w:rsid w:val="00D74C81"/>
    <w:rsid w:val="00D74C86"/>
    <w:rsid w:val="00D74D03"/>
    <w:rsid w:val="00D74D7E"/>
    <w:rsid w:val="00D74E95"/>
    <w:rsid w:val="00D74F3A"/>
    <w:rsid w:val="00D74F50"/>
    <w:rsid w:val="00D7500E"/>
    <w:rsid w:val="00D75141"/>
    <w:rsid w:val="00D751AB"/>
    <w:rsid w:val="00D7530A"/>
    <w:rsid w:val="00D75413"/>
    <w:rsid w:val="00D7564C"/>
    <w:rsid w:val="00D7572E"/>
    <w:rsid w:val="00D75874"/>
    <w:rsid w:val="00D7599F"/>
    <w:rsid w:val="00D75CA1"/>
    <w:rsid w:val="00D75D11"/>
    <w:rsid w:val="00D75D8C"/>
    <w:rsid w:val="00D75DA7"/>
    <w:rsid w:val="00D76075"/>
    <w:rsid w:val="00D76128"/>
    <w:rsid w:val="00D761D4"/>
    <w:rsid w:val="00D76338"/>
    <w:rsid w:val="00D764A2"/>
    <w:rsid w:val="00D764FF"/>
    <w:rsid w:val="00D7653C"/>
    <w:rsid w:val="00D7654A"/>
    <w:rsid w:val="00D76578"/>
    <w:rsid w:val="00D765E7"/>
    <w:rsid w:val="00D76681"/>
    <w:rsid w:val="00D7674F"/>
    <w:rsid w:val="00D76755"/>
    <w:rsid w:val="00D768B9"/>
    <w:rsid w:val="00D76951"/>
    <w:rsid w:val="00D769EB"/>
    <w:rsid w:val="00D769EF"/>
    <w:rsid w:val="00D76A04"/>
    <w:rsid w:val="00D76A2D"/>
    <w:rsid w:val="00D76B42"/>
    <w:rsid w:val="00D76C46"/>
    <w:rsid w:val="00D76C4F"/>
    <w:rsid w:val="00D76D42"/>
    <w:rsid w:val="00D76E2C"/>
    <w:rsid w:val="00D76F92"/>
    <w:rsid w:val="00D76FAC"/>
    <w:rsid w:val="00D76FE9"/>
    <w:rsid w:val="00D77055"/>
    <w:rsid w:val="00D770F7"/>
    <w:rsid w:val="00D77191"/>
    <w:rsid w:val="00D771F8"/>
    <w:rsid w:val="00D772C4"/>
    <w:rsid w:val="00D77346"/>
    <w:rsid w:val="00D7736D"/>
    <w:rsid w:val="00D775CB"/>
    <w:rsid w:val="00D77725"/>
    <w:rsid w:val="00D778BC"/>
    <w:rsid w:val="00D77959"/>
    <w:rsid w:val="00D77A5A"/>
    <w:rsid w:val="00D77AB7"/>
    <w:rsid w:val="00D77BBA"/>
    <w:rsid w:val="00D77C14"/>
    <w:rsid w:val="00D77C5B"/>
    <w:rsid w:val="00D77D6B"/>
    <w:rsid w:val="00D77EE5"/>
    <w:rsid w:val="00D77F96"/>
    <w:rsid w:val="00D77F98"/>
    <w:rsid w:val="00D8001C"/>
    <w:rsid w:val="00D80180"/>
    <w:rsid w:val="00D80218"/>
    <w:rsid w:val="00D80306"/>
    <w:rsid w:val="00D8036B"/>
    <w:rsid w:val="00D80383"/>
    <w:rsid w:val="00D80447"/>
    <w:rsid w:val="00D804E1"/>
    <w:rsid w:val="00D807A1"/>
    <w:rsid w:val="00D80888"/>
    <w:rsid w:val="00D80B6E"/>
    <w:rsid w:val="00D80B79"/>
    <w:rsid w:val="00D80BE4"/>
    <w:rsid w:val="00D80C3F"/>
    <w:rsid w:val="00D80C4A"/>
    <w:rsid w:val="00D80C4D"/>
    <w:rsid w:val="00D810B9"/>
    <w:rsid w:val="00D811B7"/>
    <w:rsid w:val="00D811CB"/>
    <w:rsid w:val="00D812A1"/>
    <w:rsid w:val="00D812D2"/>
    <w:rsid w:val="00D813A0"/>
    <w:rsid w:val="00D813EC"/>
    <w:rsid w:val="00D81400"/>
    <w:rsid w:val="00D8148A"/>
    <w:rsid w:val="00D814EB"/>
    <w:rsid w:val="00D8164E"/>
    <w:rsid w:val="00D81822"/>
    <w:rsid w:val="00D8199A"/>
    <w:rsid w:val="00D81A42"/>
    <w:rsid w:val="00D81B14"/>
    <w:rsid w:val="00D81B4D"/>
    <w:rsid w:val="00D81B88"/>
    <w:rsid w:val="00D81C4B"/>
    <w:rsid w:val="00D81D36"/>
    <w:rsid w:val="00D81D68"/>
    <w:rsid w:val="00D81EAE"/>
    <w:rsid w:val="00D81FA4"/>
    <w:rsid w:val="00D82030"/>
    <w:rsid w:val="00D820C1"/>
    <w:rsid w:val="00D822E4"/>
    <w:rsid w:val="00D82313"/>
    <w:rsid w:val="00D8236F"/>
    <w:rsid w:val="00D8242C"/>
    <w:rsid w:val="00D82440"/>
    <w:rsid w:val="00D824BC"/>
    <w:rsid w:val="00D825C4"/>
    <w:rsid w:val="00D82676"/>
    <w:rsid w:val="00D82689"/>
    <w:rsid w:val="00D826C0"/>
    <w:rsid w:val="00D826D6"/>
    <w:rsid w:val="00D8271D"/>
    <w:rsid w:val="00D82779"/>
    <w:rsid w:val="00D827AB"/>
    <w:rsid w:val="00D82A1F"/>
    <w:rsid w:val="00D82B0F"/>
    <w:rsid w:val="00D82ED4"/>
    <w:rsid w:val="00D82FC8"/>
    <w:rsid w:val="00D83036"/>
    <w:rsid w:val="00D832AC"/>
    <w:rsid w:val="00D83360"/>
    <w:rsid w:val="00D834BC"/>
    <w:rsid w:val="00D8372F"/>
    <w:rsid w:val="00D8376B"/>
    <w:rsid w:val="00D8377F"/>
    <w:rsid w:val="00D8392D"/>
    <w:rsid w:val="00D839F3"/>
    <w:rsid w:val="00D83A0C"/>
    <w:rsid w:val="00D83A17"/>
    <w:rsid w:val="00D83C98"/>
    <w:rsid w:val="00D83F5D"/>
    <w:rsid w:val="00D840C6"/>
    <w:rsid w:val="00D8411F"/>
    <w:rsid w:val="00D8420B"/>
    <w:rsid w:val="00D84339"/>
    <w:rsid w:val="00D8436A"/>
    <w:rsid w:val="00D84399"/>
    <w:rsid w:val="00D844BB"/>
    <w:rsid w:val="00D844C9"/>
    <w:rsid w:val="00D84514"/>
    <w:rsid w:val="00D845B5"/>
    <w:rsid w:val="00D8460C"/>
    <w:rsid w:val="00D846CE"/>
    <w:rsid w:val="00D8474F"/>
    <w:rsid w:val="00D847FB"/>
    <w:rsid w:val="00D84851"/>
    <w:rsid w:val="00D84866"/>
    <w:rsid w:val="00D84963"/>
    <w:rsid w:val="00D84A05"/>
    <w:rsid w:val="00D84A1C"/>
    <w:rsid w:val="00D84A2E"/>
    <w:rsid w:val="00D84A3E"/>
    <w:rsid w:val="00D84AF0"/>
    <w:rsid w:val="00D84D52"/>
    <w:rsid w:val="00D84E13"/>
    <w:rsid w:val="00D84E6B"/>
    <w:rsid w:val="00D84E89"/>
    <w:rsid w:val="00D84EBD"/>
    <w:rsid w:val="00D84FCC"/>
    <w:rsid w:val="00D84FE7"/>
    <w:rsid w:val="00D85003"/>
    <w:rsid w:val="00D8508B"/>
    <w:rsid w:val="00D8509B"/>
    <w:rsid w:val="00D8524A"/>
    <w:rsid w:val="00D85254"/>
    <w:rsid w:val="00D853E0"/>
    <w:rsid w:val="00D8544F"/>
    <w:rsid w:val="00D8560A"/>
    <w:rsid w:val="00D856AC"/>
    <w:rsid w:val="00D856C5"/>
    <w:rsid w:val="00D856E6"/>
    <w:rsid w:val="00D85799"/>
    <w:rsid w:val="00D8589C"/>
    <w:rsid w:val="00D858AF"/>
    <w:rsid w:val="00D85951"/>
    <w:rsid w:val="00D85B02"/>
    <w:rsid w:val="00D85B0C"/>
    <w:rsid w:val="00D85B81"/>
    <w:rsid w:val="00D85C0F"/>
    <w:rsid w:val="00D85CBA"/>
    <w:rsid w:val="00D85DEA"/>
    <w:rsid w:val="00D85EAF"/>
    <w:rsid w:val="00D8613D"/>
    <w:rsid w:val="00D862EA"/>
    <w:rsid w:val="00D8644B"/>
    <w:rsid w:val="00D864AD"/>
    <w:rsid w:val="00D8656D"/>
    <w:rsid w:val="00D8659C"/>
    <w:rsid w:val="00D86846"/>
    <w:rsid w:val="00D8685C"/>
    <w:rsid w:val="00D86869"/>
    <w:rsid w:val="00D868EB"/>
    <w:rsid w:val="00D86B25"/>
    <w:rsid w:val="00D86B50"/>
    <w:rsid w:val="00D86D74"/>
    <w:rsid w:val="00D86F1B"/>
    <w:rsid w:val="00D86F79"/>
    <w:rsid w:val="00D86F95"/>
    <w:rsid w:val="00D870AF"/>
    <w:rsid w:val="00D8719B"/>
    <w:rsid w:val="00D87218"/>
    <w:rsid w:val="00D87245"/>
    <w:rsid w:val="00D87260"/>
    <w:rsid w:val="00D87378"/>
    <w:rsid w:val="00D8743F"/>
    <w:rsid w:val="00D876B6"/>
    <w:rsid w:val="00D876C5"/>
    <w:rsid w:val="00D87704"/>
    <w:rsid w:val="00D87762"/>
    <w:rsid w:val="00D878C6"/>
    <w:rsid w:val="00D87974"/>
    <w:rsid w:val="00D87A3E"/>
    <w:rsid w:val="00D87A87"/>
    <w:rsid w:val="00D87AC0"/>
    <w:rsid w:val="00D87B9E"/>
    <w:rsid w:val="00D87BE4"/>
    <w:rsid w:val="00D87CFD"/>
    <w:rsid w:val="00D87E84"/>
    <w:rsid w:val="00D87F72"/>
    <w:rsid w:val="00D9003A"/>
    <w:rsid w:val="00D90050"/>
    <w:rsid w:val="00D90202"/>
    <w:rsid w:val="00D9028E"/>
    <w:rsid w:val="00D903A1"/>
    <w:rsid w:val="00D90469"/>
    <w:rsid w:val="00D904AC"/>
    <w:rsid w:val="00D90539"/>
    <w:rsid w:val="00D9058B"/>
    <w:rsid w:val="00D90632"/>
    <w:rsid w:val="00D9092C"/>
    <w:rsid w:val="00D90951"/>
    <w:rsid w:val="00D90A27"/>
    <w:rsid w:val="00D90A87"/>
    <w:rsid w:val="00D90E23"/>
    <w:rsid w:val="00D90EC4"/>
    <w:rsid w:val="00D90FAE"/>
    <w:rsid w:val="00D91057"/>
    <w:rsid w:val="00D911A7"/>
    <w:rsid w:val="00D911D4"/>
    <w:rsid w:val="00D912E3"/>
    <w:rsid w:val="00D913D0"/>
    <w:rsid w:val="00D91436"/>
    <w:rsid w:val="00D914F7"/>
    <w:rsid w:val="00D91584"/>
    <w:rsid w:val="00D91644"/>
    <w:rsid w:val="00D91669"/>
    <w:rsid w:val="00D9172D"/>
    <w:rsid w:val="00D918AD"/>
    <w:rsid w:val="00D918CB"/>
    <w:rsid w:val="00D91A5A"/>
    <w:rsid w:val="00D91A72"/>
    <w:rsid w:val="00D91B79"/>
    <w:rsid w:val="00D91CFE"/>
    <w:rsid w:val="00D91D27"/>
    <w:rsid w:val="00D91D6C"/>
    <w:rsid w:val="00D91FBB"/>
    <w:rsid w:val="00D92039"/>
    <w:rsid w:val="00D92155"/>
    <w:rsid w:val="00D921B9"/>
    <w:rsid w:val="00D9224A"/>
    <w:rsid w:val="00D923C3"/>
    <w:rsid w:val="00D92412"/>
    <w:rsid w:val="00D92436"/>
    <w:rsid w:val="00D925BC"/>
    <w:rsid w:val="00D92652"/>
    <w:rsid w:val="00D92662"/>
    <w:rsid w:val="00D9266B"/>
    <w:rsid w:val="00D92829"/>
    <w:rsid w:val="00D9288C"/>
    <w:rsid w:val="00D92C59"/>
    <w:rsid w:val="00D92CEA"/>
    <w:rsid w:val="00D92D46"/>
    <w:rsid w:val="00D92D60"/>
    <w:rsid w:val="00D92D6B"/>
    <w:rsid w:val="00D92F86"/>
    <w:rsid w:val="00D93050"/>
    <w:rsid w:val="00D931B1"/>
    <w:rsid w:val="00D932B9"/>
    <w:rsid w:val="00D93302"/>
    <w:rsid w:val="00D93420"/>
    <w:rsid w:val="00D9345A"/>
    <w:rsid w:val="00D936E8"/>
    <w:rsid w:val="00D93918"/>
    <w:rsid w:val="00D9394B"/>
    <w:rsid w:val="00D93A5F"/>
    <w:rsid w:val="00D93A69"/>
    <w:rsid w:val="00D93AB2"/>
    <w:rsid w:val="00D93B48"/>
    <w:rsid w:val="00D93C7E"/>
    <w:rsid w:val="00D93D09"/>
    <w:rsid w:val="00D93D9F"/>
    <w:rsid w:val="00D9418F"/>
    <w:rsid w:val="00D941CC"/>
    <w:rsid w:val="00D9434C"/>
    <w:rsid w:val="00D943D6"/>
    <w:rsid w:val="00D944D7"/>
    <w:rsid w:val="00D944F1"/>
    <w:rsid w:val="00D944F8"/>
    <w:rsid w:val="00D9455C"/>
    <w:rsid w:val="00D94589"/>
    <w:rsid w:val="00D94630"/>
    <w:rsid w:val="00D9463F"/>
    <w:rsid w:val="00D94676"/>
    <w:rsid w:val="00D946E6"/>
    <w:rsid w:val="00D9485B"/>
    <w:rsid w:val="00D9491C"/>
    <w:rsid w:val="00D94959"/>
    <w:rsid w:val="00D94E9D"/>
    <w:rsid w:val="00D94EC7"/>
    <w:rsid w:val="00D94F76"/>
    <w:rsid w:val="00D95052"/>
    <w:rsid w:val="00D95185"/>
    <w:rsid w:val="00D95279"/>
    <w:rsid w:val="00D953D4"/>
    <w:rsid w:val="00D953E2"/>
    <w:rsid w:val="00D954BC"/>
    <w:rsid w:val="00D95673"/>
    <w:rsid w:val="00D9577A"/>
    <w:rsid w:val="00D95B15"/>
    <w:rsid w:val="00D95B17"/>
    <w:rsid w:val="00D95B63"/>
    <w:rsid w:val="00D95D35"/>
    <w:rsid w:val="00D95D9B"/>
    <w:rsid w:val="00D95F58"/>
    <w:rsid w:val="00D96215"/>
    <w:rsid w:val="00D96238"/>
    <w:rsid w:val="00D96350"/>
    <w:rsid w:val="00D96459"/>
    <w:rsid w:val="00D9650F"/>
    <w:rsid w:val="00D966B1"/>
    <w:rsid w:val="00D96736"/>
    <w:rsid w:val="00D96855"/>
    <w:rsid w:val="00D9685A"/>
    <w:rsid w:val="00D9692F"/>
    <w:rsid w:val="00D96943"/>
    <w:rsid w:val="00D96AFF"/>
    <w:rsid w:val="00D96BA8"/>
    <w:rsid w:val="00D96D77"/>
    <w:rsid w:val="00D97030"/>
    <w:rsid w:val="00D97054"/>
    <w:rsid w:val="00D97080"/>
    <w:rsid w:val="00D9712E"/>
    <w:rsid w:val="00D972D8"/>
    <w:rsid w:val="00D975AF"/>
    <w:rsid w:val="00D976AD"/>
    <w:rsid w:val="00D978A8"/>
    <w:rsid w:val="00D97AD8"/>
    <w:rsid w:val="00D97B71"/>
    <w:rsid w:val="00D97C4C"/>
    <w:rsid w:val="00D97CAF"/>
    <w:rsid w:val="00D97CC5"/>
    <w:rsid w:val="00D97D2C"/>
    <w:rsid w:val="00D97D57"/>
    <w:rsid w:val="00D97E4C"/>
    <w:rsid w:val="00D97E74"/>
    <w:rsid w:val="00DA00FF"/>
    <w:rsid w:val="00DA01B6"/>
    <w:rsid w:val="00DA0288"/>
    <w:rsid w:val="00DA0296"/>
    <w:rsid w:val="00DA0350"/>
    <w:rsid w:val="00DA0600"/>
    <w:rsid w:val="00DA07B4"/>
    <w:rsid w:val="00DA0856"/>
    <w:rsid w:val="00DA087C"/>
    <w:rsid w:val="00DA0B70"/>
    <w:rsid w:val="00DA0B76"/>
    <w:rsid w:val="00DA0BDB"/>
    <w:rsid w:val="00DA0C1D"/>
    <w:rsid w:val="00DA0D16"/>
    <w:rsid w:val="00DA0F71"/>
    <w:rsid w:val="00DA0FDB"/>
    <w:rsid w:val="00DA110D"/>
    <w:rsid w:val="00DA117E"/>
    <w:rsid w:val="00DA1225"/>
    <w:rsid w:val="00DA137B"/>
    <w:rsid w:val="00DA13C5"/>
    <w:rsid w:val="00DA152B"/>
    <w:rsid w:val="00DA1595"/>
    <w:rsid w:val="00DA15BD"/>
    <w:rsid w:val="00DA177F"/>
    <w:rsid w:val="00DA17A1"/>
    <w:rsid w:val="00DA185D"/>
    <w:rsid w:val="00DA18A2"/>
    <w:rsid w:val="00DA1A10"/>
    <w:rsid w:val="00DA1A83"/>
    <w:rsid w:val="00DA1ACA"/>
    <w:rsid w:val="00DA1AF7"/>
    <w:rsid w:val="00DA1B1F"/>
    <w:rsid w:val="00DA1CEB"/>
    <w:rsid w:val="00DA1CF1"/>
    <w:rsid w:val="00DA1D17"/>
    <w:rsid w:val="00DA1D46"/>
    <w:rsid w:val="00DA1E4C"/>
    <w:rsid w:val="00DA1F8D"/>
    <w:rsid w:val="00DA2192"/>
    <w:rsid w:val="00DA2214"/>
    <w:rsid w:val="00DA2234"/>
    <w:rsid w:val="00DA223D"/>
    <w:rsid w:val="00DA23D0"/>
    <w:rsid w:val="00DA24D5"/>
    <w:rsid w:val="00DA2655"/>
    <w:rsid w:val="00DA269F"/>
    <w:rsid w:val="00DA2755"/>
    <w:rsid w:val="00DA27A9"/>
    <w:rsid w:val="00DA28D4"/>
    <w:rsid w:val="00DA2999"/>
    <w:rsid w:val="00DA29D8"/>
    <w:rsid w:val="00DA2A67"/>
    <w:rsid w:val="00DA2AB2"/>
    <w:rsid w:val="00DA2C7A"/>
    <w:rsid w:val="00DA2F1B"/>
    <w:rsid w:val="00DA2F47"/>
    <w:rsid w:val="00DA3061"/>
    <w:rsid w:val="00DA31B2"/>
    <w:rsid w:val="00DA3246"/>
    <w:rsid w:val="00DA32FB"/>
    <w:rsid w:val="00DA3361"/>
    <w:rsid w:val="00DA347F"/>
    <w:rsid w:val="00DA34D4"/>
    <w:rsid w:val="00DA3505"/>
    <w:rsid w:val="00DA367B"/>
    <w:rsid w:val="00DA3728"/>
    <w:rsid w:val="00DA3752"/>
    <w:rsid w:val="00DA391B"/>
    <w:rsid w:val="00DA39B7"/>
    <w:rsid w:val="00DA3A96"/>
    <w:rsid w:val="00DA3AD8"/>
    <w:rsid w:val="00DA3B72"/>
    <w:rsid w:val="00DA3E6E"/>
    <w:rsid w:val="00DA3EAE"/>
    <w:rsid w:val="00DA3F5E"/>
    <w:rsid w:val="00DA3FC1"/>
    <w:rsid w:val="00DA4029"/>
    <w:rsid w:val="00DA4076"/>
    <w:rsid w:val="00DA40C5"/>
    <w:rsid w:val="00DA4214"/>
    <w:rsid w:val="00DA42A3"/>
    <w:rsid w:val="00DA437A"/>
    <w:rsid w:val="00DA45A2"/>
    <w:rsid w:val="00DA461B"/>
    <w:rsid w:val="00DA4658"/>
    <w:rsid w:val="00DA46C4"/>
    <w:rsid w:val="00DA46CC"/>
    <w:rsid w:val="00DA47AB"/>
    <w:rsid w:val="00DA47CB"/>
    <w:rsid w:val="00DA4836"/>
    <w:rsid w:val="00DA48A7"/>
    <w:rsid w:val="00DA4913"/>
    <w:rsid w:val="00DA4921"/>
    <w:rsid w:val="00DA4926"/>
    <w:rsid w:val="00DA4991"/>
    <w:rsid w:val="00DA4CB9"/>
    <w:rsid w:val="00DA4E1E"/>
    <w:rsid w:val="00DA4F84"/>
    <w:rsid w:val="00DA4F9B"/>
    <w:rsid w:val="00DA4FBB"/>
    <w:rsid w:val="00DA526E"/>
    <w:rsid w:val="00DA52B8"/>
    <w:rsid w:val="00DA53CB"/>
    <w:rsid w:val="00DA540D"/>
    <w:rsid w:val="00DA551B"/>
    <w:rsid w:val="00DA553E"/>
    <w:rsid w:val="00DA5575"/>
    <w:rsid w:val="00DA55E1"/>
    <w:rsid w:val="00DA56FB"/>
    <w:rsid w:val="00DA5706"/>
    <w:rsid w:val="00DA583F"/>
    <w:rsid w:val="00DA584D"/>
    <w:rsid w:val="00DA58C6"/>
    <w:rsid w:val="00DA59F5"/>
    <w:rsid w:val="00DA5A7F"/>
    <w:rsid w:val="00DA5AC8"/>
    <w:rsid w:val="00DA5B98"/>
    <w:rsid w:val="00DA5BA5"/>
    <w:rsid w:val="00DA5C08"/>
    <w:rsid w:val="00DA5C0D"/>
    <w:rsid w:val="00DA5E03"/>
    <w:rsid w:val="00DA5F38"/>
    <w:rsid w:val="00DA5FD7"/>
    <w:rsid w:val="00DA6055"/>
    <w:rsid w:val="00DA60EA"/>
    <w:rsid w:val="00DA60EF"/>
    <w:rsid w:val="00DA629F"/>
    <w:rsid w:val="00DA63F2"/>
    <w:rsid w:val="00DA64CC"/>
    <w:rsid w:val="00DA65A4"/>
    <w:rsid w:val="00DA65CA"/>
    <w:rsid w:val="00DA68EE"/>
    <w:rsid w:val="00DA694E"/>
    <w:rsid w:val="00DA69D0"/>
    <w:rsid w:val="00DA69EB"/>
    <w:rsid w:val="00DA69FA"/>
    <w:rsid w:val="00DA6A0A"/>
    <w:rsid w:val="00DA6A18"/>
    <w:rsid w:val="00DA6AE0"/>
    <w:rsid w:val="00DA6BE8"/>
    <w:rsid w:val="00DA6D79"/>
    <w:rsid w:val="00DA6E1C"/>
    <w:rsid w:val="00DA6E46"/>
    <w:rsid w:val="00DA6EB0"/>
    <w:rsid w:val="00DA70A0"/>
    <w:rsid w:val="00DA7100"/>
    <w:rsid w:val="00DA71BA"/>
    <w:rsid w:val="00DA7221"/>
    <w:rsid w:val="00DA72C0"/>
    <w:rsid w:val="00DA7337"/>
    <w:rsid w:val="00DA7370"/>
    <w:rsid w:val="00DA7395"/>
    <w:rsid w:val="00DA744B"/>
    <w:rsid w:val="00DA74AD"/>
    <w:rsid w:val="00DA74F9"/>
    <w:rsid w:val="00DA7577"/>
    <w:rsid w:val="00DA76E0"/>
    <w:rsid w:val="00DA7718"/>
    <w:rsid w:val="00DA7753"/>
    <w:rsid w:val="00DA780A"/>
    <w:rsid w:val="00DA7868"/>
    <w:rsid w:val="00DA79E1"/>
    <w:rsid w:val="00DA7A0F"/>
    <w:rsid w:val="00DA7A85"/>
    <w:rsid w:val="00DA7AE3"/>
    <w:rsid w:val="00DA7B00"/>
    <w:rsid w:val="00DA7C29"/>
    <w:rsid w:val="00DA7CB7"/>
    <w:rsid w:val="00DA7CFC"/>
    <w:rsid w:val="00DA7DB6"/>
    <w:rsid w:val="00DA7E5B"/>
    <w:rsid w:val="00DA7EA0"/>
    <w:rsid w:val="00DA7EAB"/>
    <w:rsid w:val="00DA7FBA"/>
    <w:rsid w:val="00DB0038"/>
    <w:rsid w:val="00DB006B"/>
    <w:rsid w:val="00DB00E4"/>
    <w:rsid w:val="00DB0152"/>
    <w:rsid w:val="00DB020D"/>
    <w:rsid w:val="00DB0233"/>
    <w:rsid w:val="00DB023B"/>
    <w:rsid w:val="00DB04F9"/>
    <w:rsid w:val="00DB0537"/>
    <w:rsid w:val="00DB0539"/>
    <w:rsid w:val="00DB05E7"/>
    <w:rsid w:val="00DB0627"/>
    <w:rsid w:val="00DB06AA"/>
    <w:rsid w:val="00DB07CA"/>
    <w:rsid w:val="00DB0804"/>
    <w:rsid w:val="00DB0909"/>
    <w:rsid w:val="00DB0947"/>
    <w:rsid w:val="00DB0B97"/>
    <w:rsid w:val="00DB0BDB"/>
    <w:rsid w:val="00DB0E96"/>
    <w:rsid w:val="00DB0F03"/>
    <w:rsid w:val="00DB0F65"/>
    <w:rsid w:val="00DB10A7"/>
    <w:rsid w:val="00DB113D"/>
    <w:rsid w:val="00DB114A"/>
    <w:rsid w:val="00DB1332"/>
    <w:rsid w:val="00DB139C"/>
    <w:rsid w:val="00DB16F4"/>
    <w:rsid w:val="00DB175C"/>
    <w:rsid w:val="00DB176C"/>
    <w:rsid w:val="00DB182E"/>
    <w:rsid w:val="00DB19E0"/>
    <w:rsid w:val="00DB1AE3"/>
    <w:rsid w:val="00DB1B56"/>
    <w:rsid w:val="00DB1B72"/>
    <w:rsid w:val="00DB1BE6"/>
    <w:rsid w:val="00DB1D4E"/>
    <w:rsid w:val="00DB1D4F"/>
    <w:rsid w:val="00DB1E23"/>
    <w:rsid w:val="00DB2013"/>
    <w:rsid w:val="00DB2034"/>
    <w:rsid w:val="00DB21AB"/>
    <w:rsid w:val="00DB21B3"/>
    <w:rsid w:val="00DB2221"/>
    <w:rsid w:val="00DB22C7"/>
    <w:rsid w:val="00DB2443"/>
    <w:rsid w:val="00DB2542"/>
    <w:rsid w:val="00DB2568"/>
    <w:rsid w:val="00DB297C"/>
    <w:rsid w:val="00DB2A4F"/>
    <w:rsid w:val="00DB2BDA"/>
    <w:rsid w:val="00DB2C0B"/>
    <w:rsid w:val="00DB2D2F"/>
    <w:rsid w:val="00DB308D"/>
    <w:rsid w:val="00DB31E0"/>
    <w:rsid w:val="00DB3386"/>
    <w:rsid w:val="00DB33C5"/>
    <w:rsid w:val="00DB3428"/>
    <w:rsid w:val="00DB351F"/>
    <w:rsid w:val="00DB356A"/>
    <w:rsid w:val="00DB35D3"/>
    <w:rsid w:val="00DB3720"/>
    <w:rsid w:val="00DB375F"/>
    <w:rsid w:val="00DB37E4"/>
    <w:rsid w:val="00DB382D"/>
    <w:rsid w:val="00DB3877"/>
    <w:rsid w:val="00DB39F8"/>
    <w:rsid w:val="00DB3AA0"/>
    <w:rsid w:val="00DB3B3F"/>
    <w:rsid w:val="00DB3B40"/>
    <w:rsid w:val="00DB3EB9"/>
    <w:rsid w:val="00DB3EDA"/>
    <w:rsid w:val="00DB3FD2"/>
    <w:rsid w:val="00DB402D"/>
    <w:rsid w:val="00DB4121"/>
    <w:rsid w:val="00DB41FB"/>
    <w:rsid w:val="00DB42CC"/>
    <w:rsid w:val="00DB42EF"/>
    <w:rsid w:val="00DB42FD"/>
    <w:rsid w:val="00DB4326"/>
    <w:rsid w:val="00DB4503"/>
    <w:rsid w:val="00DB4568"/>
    <w:rsid w:val="00DB45AE"/>
    <w:rsid w:val="00DB46A1"/>
    <w:rsid w:val="00DB4723"/>
    <w:rsid w:val="00DB48AF"/>
    <w:rsid w:val="00DB495F"/>
    <w:rsid w:val="00DB49FC"/>
    <w:rsid w:val="00DB4ABE"/>
    <w:rsid w:val="00DB4B5D"/>
    <w:rsid w:val="00DB4C8C"/>
    <w:rsid w:val="00DB4CEF"/>
    <w:rsid w:val="00DB4D02"/>
    <w:rsid w:val="00DB4D8E"/>
    <w:rsid w:val="00DB4DB4"/>
    <w:rsid w:val="00DB4DEF"/>
    <w:rsid w:val="00DB4E40"/>
    <w:rsid w:val="00DB4F78"/>
    <w:rsid w:val="00DB516C"/>
    <w:rsid w:val="00DB53C7"/>
    <w:rsid w:val="00DB54B6"/>
    <w:rsid w:val="00DB55B3"/>
    <w:rsid w:val="00DB56C1"/>
    <w:rsid w:val="00DB57A1"/>
    <w:rsid w:val="00DB57EC"/>
    <w:rsid w:val="00DB5832"/>
    <w:rsid w:val="00DB584F"/>
    <w:rsid w:val="00DB58F6"/>
    <w:rsid w:val="00DB59B0"/>
    <w:rsid w:val="00DB5A67"/>
    <w:rsid w:val="00DB5B47"/>
    <w:rsid w:val="00DB5BAB"/>
    <w:rsid w:val="00DB5BF1"/>
    <w:rsid w:val="00DB5D5C"/>
    <w:rsid w:val="00DB5DDE"/>
    <w:rsid w:val="00DB62A1"/>
    <w:rsid w:val="00DB633E"/>
    <w:rsid w:val="00DB6349"/>
    <w:rsid w:val="00DB641F"/>
    <w:rsid w:val="00DB66A2"/>
    <w:rsid w:val="00DB679F"/>
    <w:rsid w:val="00DB680B"/>
    <w:rsid w:val="00DB6940"/>
    <w:rsid w:val="00DB6959"/>
    <w:rsid w:val="00DB6C80"/>
    <w:rsid w:val="00DB6D8B"/>
    <w:rsid w:val="00DB6DBD"/>
    <w:rsid w:val="00DB6FC1"/>
    <w:rsid w:val="00DB7137"/>
    <w:rsid w:val="00DB714B"/>
    <w:rsid w:val="00DB71A8"/>
    <w:rsid w:val="00DB7246"/>
    <w:rsid w:val="00DB725F"/>
    <w:rsid w:val="00DB72C9"/>
    <w:rsid w:val="00DB73E5"/>
    <w:rsid w:val="00DB7455"/>
    <w:rsid w:val="00DB7596"/>
    <w:rsid w:val="00DB75F8"/>
    <w:rsid w:val="00DB7607"/>
    <w:rsid w:val="00DB7620"/>
    <w:rsid w:val="00DB772D"/>
    <w:rsid w:val="00DB7891"/>
    <w:rsid w:val="00DB78A2"/>
    <w:rsid w:val="00DB7BCB"/>
    <w:rsid w:val="00DB7C2C"/>
    <w:rsid w:val="00DB7C7C"/>
    <w:rsid w:val="00DB7CBA"/>
    <w:rsid w:val="00DB7CBC"/>
    <w:rsid w:val="00DB7D40"/>
    <w:rsid w:val="00DC001C"/>
    <w:rsid w:val="00DC0088"/>
    <w:rsid w:val="00DC00A7"/>
    <w:rsid w:val="00DC0182"/>
    <w:rsid w:val="00DC0213"/>
    <w:rsid w:val="00DC0533"/>
    <w:rsid w:val="00DC054B"/>
    <w:rsid w:val="00DC05F1"/>
    <w:rsid w:val="00DC060C"/>
    <w:rsid w:val="00DC075A"/>
    <w:rsid w:val="00DC0986"/>
    <w:rsid w:val="00DC0A92"/>
    <w:rsid w:val="00DC0C50"/>
    <w:rsid w:val="00DC0CC0"/>
    <w:rsid w:val="00DC0D1D"/>
    <w:rsid w:val="00DC0D9D"/>
    <w:rsid w:val="00DC0E16"/>
    <w:rsid w:val="00DC0EBD"/>
    <w:rsid w:val="00DC0EEB"/>
    <w:rsid w:val="00DC0F46"/>
    <w:rsid w:val="00DC0F9E"/>
    <w:rsid w:val="00DC0FC0"/>
    <w:rsid w:val="00DC1098"/>
    <w:rsid w:val="00DC10AB"/>
    <w:rsid w:val="00DC1151"/>
    <w:rsid w:val="00DC116B"/>
    <w:rsid w:val="00DC1336"/>
    <w:rsid w:val="00DC14D0"/>
    <w:rsid w:val="00DC14F0"/>
    <w:rsid w:val="00DC152D"/>
    <w:rsid w:val="00DC1595"/>
    <w:rsid w:val="00DC15B9"/>
    <w:rsid w:val="00DC15D9"/>
    <w:rsid w:val="00DC16C8"/>
    <w:rsid w:val="00DC183A"/>
    <w:rsid w:val="00DC1861"/>
    <w:rsid w:val="00DC18E2"/>
    <w:rsid w:val="00DC19F7"/>
    <w:rsid w:val="00DC1A92"/>
    <w:rsid w:val="00DC1A9F"/>
    <w:rsid w:val="00DC1BC0"/>
    <w:rsid w:val="00DC1CE8"/>
    <w:rsid w:val="00DC1DD2"/>
    <w:rsid w:val="00DC1DE8"/>
    <w:rsid w:val="00DC204C"/>
    <w:rsid w:val="00DC2132"/>
    <w:rsid w:val="00DC2191"/>
    <w:rsid w:val="00DC2285"/>
    <w:rsid w:val="00DC23FB"/>
    <w:rsid w:val="00DC25B0"/>
    <w:rsid w:val="00DC2670"/>
    <w:rsid w:val="00DC27EC"/>
    <w:rsid w:val="00DC280C"/>
    <w:rsid w:val="00DC2824"/>
    <w:rsid w:val="00DC2AF6"/>
    <w:rsid w:val="00DC2BA8"/>
    <w:rsid w:val="00DC2C3E"/>
    <w:rsid w:val="00DC2CA8"/>
    <w:rsid w:val="00DC2D3E"/>
    <w:rsid w:val="00DC2F57"/>
    <w:rsid w:val="00DC2FA4"/>
    <w:rsid w:val="00DC2FA6"/>
    <w:rsid w:val="00DC3044"/>
    <w:rsid w:val="00DC3062"/>
    <w:rsid w:val="00DC3098"/>
    <w:rsid w:val="00DC30DE"/>
    <w:rsid w:val="00DC30DF"/>
    <w:rsid w:val="00DC3238"/>
    <w:rsid w:val="00DC3242"/>
    <w:rsid w:val="00DC332B"/>
    <w:rsid w:val="00DC3333"/>
    <w:rsid w:val="00DC33E1"/>
    <w:rsid w:val="00DC33E6"/>
    <w:rsid w:val="00DC33F7"/>
    <w:rsid w:val="00DC341E"/>
    <w:rsid w:val="00DC346A"/>
    <w:rsid w:val="00DC3493"/>
    <w:rsid w:val="00DC34CD"/>
    <w:rsid w:val="00DC350F"/>
    <w:rsid w:val="00DC35B0"/>
    <w:rsid w:val="00DC35C9"/>
    <w:rsid w:val="00DC362A"/>
    <w:rsid w:val="00DC3A2B"/>
    <w:rsid w:val="00DC3A79"/>
    <w:rsid w:val="00DC3AAC"/>
    <w:rsid w:val="00DC3AD3"/>
    <w:rsid w:val="00DC3B35"/>
    <w:rsid w:val="00DC3BD0"/>
    <w:rsid w:val="00DC3CC7"/>
    <w:rsid w:val="00DC3D3B"/>
    <w:rsid w:val="00DC3D5C"/>
    <w:rsid w:val="00DC3D96"/>
    <w:rsid w:val="00DC3DF1"/>
    <w:rsid w:val="00DC3E16"/>
    <w:rsid w:val="00DC3E66"/>
    <w:rsid w:val="00DC3F53"/>
    <w:rsid w:val="00DC41D6"/>
    <w:rsid w:val="00DC423A"/>
    <w:rsid w:val="00DC4310"/>
    <w:rsid w:val="00DC465B"/>
    <w:rsid w:val="00DC4739"/>
    <w:rsid w:val="00DC474B"/>
    <w:rsid w:val="00DC4781"/>
    <w:rsid w:val="00DC485C"/>
    <w:rsid w:val="00DC48CB"/>
    <w:rsid w:val="00DC492C"/>
    <w:rsid w:val="00DC49BE"/>
    <w:rsid w:val="00DC4A1B"/>
    <w:rsid w:val="00DC4C6A"/>
    <w:rsid w:val="00DC4C8F"/>
    <w:rsid w:val="00DC4E72"/>
    <w:rsid w:val="00DC4E88"/>
    <w:rsid w:val="00DC4FF8"/>
    <w:rsid w:val="00DC5095"/>
    <w:rsid w:val="00DC5108"/>
    <w:rsid w:val="00DC51FC"/>
    <w:rsid w:val="00DC51FD"/>
    <w:rsid w:val="00DC52EC"/>
    <w:rsid w:val="00DC54B8"/>
    <w:rsid w:val="00DC54E7"/>
    <w:rsid w:val="00DC5541"/>
    <w:rsid w:val="00DC556C"/>
    <w:rsid w:val="00DC5607"/>
    <w:rsid w:val="00DC5626"/>
    <w:rsid w:val="00DC56CE"/>
    <w:rsid w:val="00DC57E3"/>
    <w:rsid w:val="00DC588E"/>
    <w:rsid w:val="00DC5940"/>
    <w:rsid w:val="00DC5AAA"/>
    <w:rsid w:val="00DC5B6E"/>
    <w:rsid w:val="00DC5BCA"/>
    <w:rsid w:val="00DC5BDD"/>
    <w:rsid w:val="00DC5C56"/>
    <w:rsid w:val="00DC5D7F"/>
    <w:rsid w:val="00DC5D80"/>
    <w:rsid w:val="00DC5DF0"/>
    <w:rsid w:val="00DC5E72"/>
    <w:rsid w:val="00DC5FD1"/>
    <w:rsid w:val="00DC601E"/>
    <w:rsid w:val="00DC60B0"/>
    <w:rsid w:val="00DC6181"/>
    <w:rsid w:val="00DC62C0"/>
    <w:rsid w:val="00DC6681"/>
    <w:rsid w:val="00DC66BA"/>
    <w:rsid w:val="00DC66BC"/>
    <w:rsid w:val="00DC670A"/>
    <w:rsid w:val="00DC67D8"/>
    <w:rsid w:val="00DC681A"/>
    <w:rsid w:val="00DC6869"/>
    <w:rsid w:val="00DC6A9F"/>
    <w:rsid w:val="00DC6AF9"/>
    <w:rsid w:val="00DC6B2A"/>
    <w:rsid w:val="00DC6BA8"/>
    <w:rsid w:val="00DC6C32"/>
    <w:rsid w:val="00DC6DA0"/>
    <w:rsid w:val="00DC6DB9"/>
    <w:rsid w:val="00DC6DE6"/>
    <w:rsid w:val="00DC6DFE"/>
    <w:rsid w:val="00DC6E13"/>
    <w:rsid w:val="00DC6EA2"/>
    <w:rsid w:val="00DC6F3B"/>
    <w:rsid w:val="00DC6FC5"/>
    <w:rsid w:val="00DC6FFA"/>
    <w:rsid w:val="00DC7124"/>
    <w:rsid w:val="00DC718F"/>
    <w:rsid w:val="00DC746B"/>
    <w:rsid w:val="00DC75BE"/>
    <w:rsid w:val="00DC766F"/>
    <w:rsid w:val="00DC7729"/>
    <w:rsid w:val="00DC78E2"/>
    <w:rsid w:val="00DC7A92"/>
    <w:rsid w:val="00DC7B0B"/>
    <w:rsid w:val="00DC7BD7"/>
    <w:rsid w:val="00DC7C41"/>
    <w:rsid w:val="00DC7C8D"/>
    <w:rsid w:val="00DC7CBF"/>
    <w:rsid w:val="00DC7D62"/>
    <w:rsid w:val="00DC7DAB"/>
    <w:rsid w:val="00DC7E0D"/>
    <w:rsid w:val="00DC7E39"/>
    <w:rsid w:val="00DC7E3F"/>
    <w:rsid w:val="00DC7E99"/>
    <w:rsid w:val="00DC7F7F"/>
    <w:rsid w:val="00DD00C1"/>
    <w:rsid w:val="00DD014C"/>
    <w:rsid w:val="00DD02D1"/>
    <w:rsid w:val="00DD037D"/>
    <w:rsid w:val="00DD05E5"/>
    <w:rsid w:val="00DD0A50"/>
    <w:rsid w:val="00DD0AA4"/>
    <w:rsid w:val="00DD0AFD"/>
    <w:rsid w:val="00DD0B16"/>
    <w:rsid w:val="00DD0D57"/>
    <w:rsid w:val="00DD0D66"/>
    <w:rsid w:val="00DD0DBE"/>
    <w:rsid w:val="00DD1025"/>
    <w:rsid w:val="00DD102D"/>
    <w:rsid w:val="00DD105B"/>
    <w:rsid w:val="00DD1063"/>
    <w:rsid w:val="00DD113A"/>
    <w:rsid w:val="00DD11FE"/>
    <w:rsid w:val="00DD1388"/>
    <w:rsid w:val="00DD1396"/>
    <w:rsid w:val="00DD1443"/>
    <w:rsid w:val="00DD14E4"/>
    <w:rsid w:val="00DD15ED"/>
    <w:rsid w:val="00DD16F9"/>
    <w:rsid w:val="00DD187A"/>
    <w:rsid w:val="00DD1902"/>
    <w:rsid w:val="00DD1A97"/>
    <w:rsid w:val="00DD1B5D"/>
    <w:rsid w:val="00DD1DD8"/>
    <w:rsid w:val="00DD1EA8"/>
    <w:rsid w:val="00DD1ED1"/>
    <w:rsid w:val="00DD1F36"/>
    <w:rsid w:val="00DD1F7F"/>
    <w:rsid w:val="00DD1FB4"/>
    <w:rsid w:val="00DD1FBC"/>
    <w:rsid w:val="00DD1FC7"/>
    <w:rsid w:val="00DD2023"/>
    <w:rsid w:val="00DD205D"/>
    <w:rsid w:val="00DD2069"/>
    <w:rsid w:val="00DD23B9"/>
    <w:rsid w:val="00DD25D2"/>
    <w:rsid w:val="00DD26C4"/>
    <w:rsid w:val="00DD27A7"/>
    <w:rsid w:val="00DD27B5"/>
    <w:rsid w:val="00DD28F8"/>
    <w:rsid w:val="00DD29CB"/>
    <w:rsid w:val="00DD2A0B"/>
    <w:rsid w:val="00DD2A1D"/>
    <w:rsid w:val="00DD2AF6"/>
    <w:rsid w:val="00DD2B2D"/>
    <w:rsid w:val="00DD2BE7"/>
    <w:rsid w:val="00DD2F4A"/>
    <w:rsid w:val="00DD2FC9"/>
    <w:rsid w:val="00DD30A6"/>
    <w:rsid w:val="00DD30D1"/>
    <w:rsid w:val="00DD3208"/>
    <w:rsid w:val="00DD324E"/>
    <w:rsid w:val="00DD3269"/>
    <w:rsid w:val="00DD329F"/>
    <w:rsid w:val="00DD3305"/>
    <w:rsid w:val="00DD3409"/>
    <w:rsid w:val="00DD340D"/>
    <w:rsid w:val="00DD3650"/>
    <w:rsid w:val="00DD36E3"/>
    <w:rsid w:val="00DD36F4"/>
    <w:rsid w:val="00DD399A"/>
    <w:rsid w:val="00DD3A4F"/>
    <w:rsid w:val="00DD3B6A"/>
    <w:rsid w:val="00DD3B96"/>
    <w:rsid w:val="00DD3C20"/>
    <w:rsid w:val="00DD3C51"/>
    <w:rsid w:val="00DD3C72"/>
    <w:rsid w:val="00DD3C88"/>
    <w:rsid w:val="00DD3DDF"/>
    <w:rsid w:val="00DD3E00"/>
    <w:rsid w:val="00DD3E39"/>
    <w:rsid w:val="00DD3EEC"/>
    <w:rsid w:val="00DD3F24"/>
    <w:rsid w:val="00DD3FF8"/>
    <w:rsid w:val="00DD4018"/>
    <w:rsid w:val="00DD407E"/>
    <w:rsid w:val="00DD4196"/>
    <w:rsid w:val="00DD41BF"/>
    <w:rsid w:val="00DD41D7"/>
    <w:rsid w:val="00DD42A3"/>
    <w:rsid w:val="00DD44B9"/>
    <w:rsid w:val="00DD4691"/>
    <w:rsid w:val="00DD46DF"/>
    <w:rsid w:val="00DD46EF"/>
    <w:rsid w:val="00DD4709"/>
    <w:rsid w:val="00DD4785"/>
    <w:rsid w:val="00DD4827"/>
    <w:rsid w:val="00DD48A0"/>
    <w:rsid w:val="00DD4919"/>
    <w:rsid w:val="00DD49E1"/>
    <w:rsid w:val="00DD4A2E"/>
    <w:rsid w:val="00DD4BE2"/>
    <w:rsid w:val="00DD4C10"/>
    <w:rsid w:val="00DD4C93"/>
    <w:rsid w:val="00DD4D23"/>
    <w:rsid w:val="00DD4D33"/>
    <w:rsid w:val="00DD4E10"/>
    <w:rsid w:val="00DD4EA2"/>
    <w:rsid w:val="00DD4ECE"/>
    <w:rsid w:val="00DD4EE3"/>
    <w:rsid w:val="00DD4FD9"/>
    <w:rsid w:val="00DD508B"/>
    <w:rsid w:val="00DD50F2"/>
    <w:rsid w:val="00DD5120"/>
    <w:rsid w:val="00DD51F6"/>
    <w:rsid w:val="00DD52B9"/>
    <w:rsid w:val="00DD5332"/>
    <w:rsid w:val="00DD53B9"/>
    <w:rsid w:val="00DD53F0"/>
    <w:rsid w:val="00DD564B"/>
    <w:rsid w:val="00DD5754"/>
    <w:rsid w:val="00DD583B"/>
    <w:rsid w:val="00DD58C4"/>
    <w:rsid w:val="00DD5A6E"/>
    <w:rsid w:val="00DD5B7C"/>
    <w:rsid w:val="00DD5C28"/>
    <w:rsid w:val="00DD5D88"/>
    <w:rsid w:val="00DD5DBE"/>
    <w:rsid w:val="00DD5F03"/>
    <w:rsid w:val="00DD5FCB"/>
    <w:rsid w:val="00DD602E"/>
    <w:rsid w:val="00DD6039"/>
    <w:rsid w:val="00DD60A6"/>
    <w:rsid w:val="00DD60FD"/>
    <w:rsid w:val="00DD617F"/>
    <w:rsid w:val="00DD6187"/>
    <w:rsid w:val="00DD624E"/>
    <w:rsid w:val="00DD62BE"/>
    <w:rsid w:val="00DD62C3"/>
    <w:rsid w:val="00DD62D4"/>
    <w:rsid w:val="00DD6345"/>
    <w:rsid w:val="00DD6364"/>
    <w:rsid w:val="00DD6527"/>
    <w:rsid w:val="00DD6619"/>
    <w:rsid w:val="00DD662C"/>
    <w:rsid w:val="00DD663E"/>
    <w:rsid w:val="00DD66EF"/>
    <w:rsid w:val="00DD671F"/>
    <w:rsid w:val="00DD690B"/>
    <w:rsid w:val="00DD69A6"/>
    <w:rsid w:val="00DD69C3"/>
    <w:rsid w:val="00DD6C8E"/>
    <w:rsid w:val="00DD6DA5"/>
    <w:rsid w:val="00DD6DF3"/>
    <w:rsid w:val="00DD6DFA"/>
    <w:rsid w:val="00DD6F72"/>
    <w:rsid w:val="00DD6FBE"/>
    <w:rsid w:val="00DD7083"/>
    <w:rsid w:val="00DD7122"/>
    <w:rsid w:val="00DD71BF"/>
    <w:rsid w:val="00DD7262"/>
    <w:rsid w:val="00DD7307"/>
    <w:rsid w:val="00DD744F"/>
    <w:rsid w:val="00DD7459"/>
    <w:rsid w:val="00DD7497"/>
    <w:rsid w:val="00DD74FC"/>
    <w:rsid w:val="00DD77BE"/>
    <w:rsid w:val="00DD780C"/>
    <w:rsid w:val="00DD795E"/>
    <w:rsid w:val="00DD7963"/>
    <w:rsid w:val="00DD7A8B"/>
    <w:rsid w:val="00DD7AC3"/>
    <w:rsid w:val="00DD7B41"/>
    <w:rsid w:val="00DD7C1F"/>
    <w:rsid w:val="00DD7C8F"/>
    <w:rsid w:val="00DD7D77"/>
    <w:rsid w:val="00DD7E07"/>
    <w:rsid w:val="00DE0088"/>
    <w:rsid w:val="00DE011F"/>
    <w:rsid w:val="00DE0240"/>
    <w:rsid w:val="00DE025D"/>
    <w:rsid w:val="00DE034F"/>
    <w:rsid w:val="00DE0356"/>
    <w:rsid w:val="00DE0500"/>
    <w:rsid w:val="00DE05D7"/>
    <w:rsid w:val="00DE06EC"/>
    <w:rsid w:val="00DE0785"/>
    <w:rsid w:val="00DE0793"/>
    <w:rsid w:val="00DE0951"/>
    <w:rsid w:val="00DE09CD"/>
    <w:rsid w:val="00DE0B6C"/>
    <w:rsid w:val="00DE1308"/>
    <w:rsid w:val="00DE1354"/>
    <w:rsid w:val="00DE1368"/>
    <w:rsid w:val="00DE144A"/>
    <w:rsid w:val="00DE153C"/>
    <w:rsid w:val="00DE156F"/>
    <w:rsid w:val="00DE15CE"/>
    <w:rsid w:val="00DE15D9"/>
    <w:rsid w:val="00DE1648"/>
    <w:rsid w:val="00DE16F4"/>
    <w:rsid w:val="00DE172E"/>
    <w:rsid w:val="00DE1791"/>
    <w:rsid w:val="00DE1982"/>
    <w:rsid w:val="00DE198B"/>
    <w:rsid w:val="00DE19C8"/>
    <w:rsid w:val="00DE1B0C"/>
    <w:rsid w:val="00DE1C01"/>
    <w:rsid w:val="00DE1C38"/>
    <w:rsid w:val="00DE1CB8"/>
    <w:rsid w:val="00DE1D8C"/>
    <w:rsid w:val="00DE1DEB"/>
    <w:rsid w:val="00DE1FF8"/>
    <w:rsid w:val="00DE223C"/>
    <w:rsid w:val="00DE24B4"/>
    <w:rsid w:val="00DE24B7"/>
    <w:rsid w:val="00DE25D9"/>
    <w:rsid w:val="00DE26A0"/>
    <w:rsid w:val="00DE26EA"/>
    <w:rsid w:val="00DE2A34"/>
    <w:rsid w:val="00DE2A4F"/>
    <w:rsid w:val="00DE2B14"/>
    <w:rsid w:val="00DE2B20"/>
    <w:rsid w:val="00DE2ECC"/>
    <w:rsid w:val="00DE2F46"/>
    <w:rsid w:val="00DE2FC5"/>
    <w:rsid w:val="00DE327A"/>
    <w:rsid w:val="00DE336B"/>
    <w:rsid w:val="00DE356C"/>
    <w:rsid w:val="00DE359B"/>
    <w:rsid w:val="00DE3611"/>
    <w:rsid w:val="00DE36CB"/>
    <w:rsid w:val="00DE37D9"/>
    <w:rsid w:val="00DE3A2F"/>
    <w:rsid w:val="00DE3A52"/>
    <w:rsid w:val="00DE3C01"/>
    <w:rsid w:val="00DE3C1C"/>
    <w:rsid w:val="00DE3C6B"/>
    <w:rsid w:val="00DE3D21"/>
    <w:rsid w:val="00DE3D8B"/>
    <w:rsid w:val="00DE3E67"/>
    <w:rsid w:val="00DE402C"/>
    <w:rsid w:val="00DE411A"/>
    <w:rsid w:val="00DE4219"/>
    <w:rsid w:val="00DE4261"/>
    <w:rsid w:val="00DE42E3"/>
    <w:rsid w:val="00DE43F9"/>
    <w:rsid w:val="00DE45C6"/>
    <w:rsid w:val="00DE462E"/>
    <w:rsid w:val="00DE46D1"/>
    <w:rsid w:val="00DE471D"/>
    <w:rsid w:val="00DE473C"/>
    <w:rsid w:val="00DE4854"/>
    <w:rsid w:val="00DE4ACD"/>
    <w:rsid w:val="00DE4B9F"/>
    <w:rsid w:val="00DE4CB0"/>
    <w:rsid w:val="00DE4D08"/>
    <w:rsid w:val="00DE4D54"/>
    <w:rsid w:val="00DE4E82"/>
    <w:rsid w:val="00DE4F8B"/>
    <w:rsid w:val="00DE50E3"/>
    <w:rsid w:val="00DE5141"/>
    <w:rsid w:val="00DE51AA"/>
    <w:rsid w:val="00DE522F"/>
    <w:rsid w:val="00DE52AC"/>
    <w:rsid w:val="00DE53B8"/>
    <w:rsid w:val="00DE54AB"/>
    <w:rsid w:val="00DE5629"/>
    <w:rsid w:val="00DE5658"/>
    <w:rsid w:val="00DE581F"/>
    <w:rsid w:val="00DE5A50"/>
    <w:rsid w:val="00DE5A9A"/>
    <w:rsid w:val="00DE5AF0"/>
    <w:rsid w:val="00DE5B54"/>
    <w:rsid w:val="00DE5BE5"/>
    <w:rsid w:val="00DE5CDF"/>
    <w:rsid w:val="00DE5D44"/>
    <w:rsid w:val="00DE5DA7"/>
    <w:rsid w:val="00DE5E25"/>
    <w:rsid w:val="00DE5E37"/>
    <w:rsid w:val="00DE5EF2"/>
    <w:rsid w:val="00DE5F47"/>
    <w:rsid w:val="00DE6002"/>
    <w:rsid w:val="00DE6080"/>
    <w:rsid w:val="00DE612D"/>
    <w:rsid w:val="00DE6204"/>
    <w:rsid w:val="00DE6263"/>
    <w:rsid w:val="00DE62BE"/>
    <w:rsid w:val="00DE6327"/>
    <w:rsid w:val="00DE6539"/>
    <w:rsid w:val="00DE655C"/>
    <w:rsid w:val="00DE65BF"/>
    <w:rsid w:val="00DE66FB"/>
    <w:rsid w:val="00DE67E0"/>
    <w:rsid w:val="00DE67FD"/>
    <w:rsid w:val="00DE6813"/>
    <w:rsid w:val="00DE6828"/>
    <w:rsid w:val="00DE68C1"/>
    <w:rsid w:val="00DE6908"/>
    <w:rsid w:val="00DE6A53"/>
    <w:rsid w:val="00DE6B08"/>
    <w:rsid w:val="00DE6BF8"/>
    <w:rsid w:val="00DE6C5E"/>
    <w:rsid w:val="00DE6ED4"/>
    <w:rsid w:val="00DE6F56"/>
    <w:rsid w:val="00DE71D2"/>
    <w:rsid w:val="00DE72B7"/>
    <w:rsid w:val="00DE72D2"/>
    <w:rsid w:val="00DE7574"/>
    <w:rsid w:val="00DE7670"/>
    <w:rsid w:val="00DE7801"/>
    <w:rsid w:val="00DE7A25"/>
    <w:rsid w:val="00DE7A44"/>
    <w:rsid w:val="00DE7A4C"/>
    <w:rsid w:val="00DE7A84"/>
    <w:rsid w:val="00DE7A9C"/>
    <w:rsid w:val="00DE7B3E"/>
    <w:rsid w:val="00DE7B94"/>
    <w:rsid w:val="00DE7BC1"/>
    <w:rsid w:val="00DE7CBF"/>
    <w:rsid w:val="00DE7D1B"/>
    <w:rsid w:val="00DE7D65"/>
    <w:rsid w:val="00DE7EAE"/>
    <w:rsid w:val="00DE7ED7"/>
    <w:rsid w:val="00DF0125"/>
    <w:rsid w:val="00DF0215"/>
    <w:rsid w:val="00DF0304"/>
    <w:rsid w:val="00DF032E"/>
    <w:rsid w:val="00DF03EB"/>
    <w:rsid w:val="00DF045B"/>
    <w:rsid w:val="00DF04BB"/>
    <w:rsid w:val="00DF04CD"/>
    <w:rsid w:val="00DF04D0"/>
    <w:rsid w:val="00DF0522"/>
    <w:rsid w:val="00DF05C6"/>
    <w:rsid w:val="00DF05CD"/>
    <w:rsid w:val="00DF05E2"/>
    <w:rsid w:val="00DF06BA"/>
    <w:rsid w:val="00DF0727"/>
    <w:rsid w:val="00DF0728"/>
    <w:rsid w:val="00DF0821"/>
    <w:rsid w:val="00DF0841"/>
    <w:rsid w:val="00DF0896"/>
    <w:rsid w:val="00DF093C"/>
    <w:rsid w:val="00DF0975"/>
    <w:rsid w:val="00DF097B"/>
    <w:rsid w:val="00DF09ED"/>
    <w:rsid w:val="00DF0BBE"/>
    <w:rsid w:val="00DF0E0F"/>
    <w:rsid w:val="00DF0F59"/>
    <w:rsid w:val="00DF0F9C"/>
    <w:rsid w:val="00DF10BE"/>
    <w:rsid w:val="00DF111B"/>
    <w:rsid w:val="00DF1201"/>
    <w:rsid w:val="00DF12F9"/>
    <w:rsid w:val="00DF1301"/>
    <w:rsid w:val="00DF13F3"/>
    <w:rsid w:val="00DF1575"/>
    <w:rsid w:val="00DF1623"/>
    <w:rsid w:val="00DF166B"/>
    <w:rsid w:val="00DF16F2"/>
    <w:rsid w:val="00DF1705"/>
    <w:rsid w:val="00DF17B8"/>
    <w:rsid w:val="00DF19F0"/>
    <w:rsid w:val="00DF1AF0"/>
    <w:rsid w:val="00DF1CDE"/>
    <w:rsid w:val="00DF1E15"/>
    <w:rsid w:val="00DF1E5C"/>
    <w:rsid w:val="00DF1E89"/>
    <w:rsid w:val="00DF1FB7"/>
    <w:rsid w:val="00DF2095"/>
    <w:rsid w:val="00DF20E5"/>
    <w:rsid w:val="00DF2130"/>
    <w:rsid w:val="00DF21AD"/>
    <w:rsid w:val="00DF22B1"/>
    <w:rsid w:val="00DF2359"/>
    <w:rsid w:val="00DF236E"/>
    <w:rsid w:val="00DF23A1"/>
    <w:rsid w:val="00DF243A"/>
    <w:rsid w:val="00DF2541"/>
    <w:rsid w:val="00DF2650"/>
    <w:rsid w:val="00DF292B"/>
    <w:rsid w:val="00DF29E3"/>
    <w:rsid w:val="00DF2A5E"/>
    <w:rsid w:val="00DF2ABE"/>
    <w:rsid w:val="00DF2B18"/>
    <w:rsid w:val="00DF2B5B"/>
    <w:rsid w:val="00DF2B7B"/>
    <w:rsid w:val="00DF2CAB"/>
    <w:rsid w:val="00DF2DAB"/>
    <w:rsid w:val="00DF2E5F"/>
    <w:rsid w:val="00DF2EBF"/>
    <w:rsid w:val="00DF2EEE"/>
    <w:rsid w:val="00DF2FC2"/>
    <w:rsid w:val="00DF30B5"/>
    <w:rsid w:val="00DF3386"/>
    <w:rsid w:val="00DF3394"/>
    <w:rsid w:val="00DF3442"/>
    <w:rsid w:val="00DF3514"/>
    <w:rsid w:val="00DF3539"/>
    <w:rsid w:val="00DF35C0"/>
    <w:rsid w:val="00DF363E"/>
    <w:rsid w:val="00DF3670"/>
    <w:rsid w:val="00DF36E5"/>
    <w:rsid w:val="00DF382C"/>
    <w:rsid w:val="00DF391F"/>
    <w:rsid w:val="00DF3A7B"/>
    <w:rsid w:val="00DF3A83"/>
    <w:rsid w:val="00DF3ACD"/>
    <w:rsid w:val="00DF3B68"/>
    <w:rsid w:val="00DF3B87"/>
    <w:rsid w:val="00DF3BF8"/>
    <w:rsid w:val="00DF3C47"/>
    <w:rsid w:val="00DF3C83"/>
    <w:rsid w:val="00DF3CF4"/>
    <w:rsid w:val="00DF3EFB"/>
    <w:rsid w:val="00DF3F23"/>
    <w:rsid w:val="00DF3FA2"/>
    <w:rsid w:val="00DF3FEB"/>
    <w:rsid w:val="00DF404A"/>
    <w:rsid w:val="00DF4059"/>
    <w:rsid w:val="00DF4384"/>
    <w:rsid w:val="00DF43BF"/>
    <w:rsid w:val="00DF47D5"/>
    <w:rsid w:val="00DF485B"/>
    <w:rsid w:val="00DF4899"/>
    <w:rsid w:val="00DF4BEB"/>
    <w:rsid w:val="00DF4BF6"/>
    <w:rsid w:val="00DF4C51"/>
    <w:rsid w:val="00DF4C59"/>
    <w:rsid w:val="00DF4CE8"/>
    <w:rsid w:val="00DF4DE1"/>
    <w:rsid w:val="00DF4E19"/>
    <w:rsid w:val="00DF4E21"/>
    <w:rsid w:val="00DF4EA2"/>
    <w:rsid w:val="00DF4F14"/>
    <w:rsid w:val="00DF4F41"/>
    <w:rsid w:val="00DF4FBA"/>
    <w:rsid w:val="00DF502B"/>
    <w:rsid w:val="00DF50CA"/>
    <w:rsid w:val="00DF511F"/>
    <w:rsid w:val="00DF5132"/>
    <w:rsid w:val="00DF5134"/>
    <w:rsid w:val="00DF5160"/>
    <w:rsid w:val="00DF51F1"/>
    <w:rsid w:val="00DF523B"/>
    <w:rsid w:val="00DF531A"/>
    <w:rsid w:val="00DF5335"/>
    <w:rsid w:val="00DF550A"/>
    <w:rsid w:val="00DF555B"/>
    <w:rsid w:val="00DF5641"/>
    <w:rsid w:val="00DF566B"/>
    <w:rsid w:val="00DF567F"/>
    <w:rsid w:val="00DF5750"/>
    <w:rsid w:val="00DF581D"/>
    <w:rsid w:val="00DF5AAA"/>
    <w:rsid w:val="00DF5CBC"/>
    <w:rsid w:val="00DF5CD0"/>
    <w:rsid w:val="00DF5E58"/>
    <w:rsid w:val="00DF5EF2"/>
    <w:rsid w:val="00DF5F62"/>
    <w:rsid w:val="00DF6048"/>
    <w:rsid w:val="00DF61C8"/>
    <w:rsid w:val="00DF61DE"/>
    <w:rsid w:val="00DF65AC"/>
    <w:rsid w:val="00DF65B0"/>
    <w:rsid w:val="00DF65C2"/>
    <w:rsid w:val="00DF65CA"/>
    <w:rsid w:val="00DF65D0"/>
    <w:rsid w:val="00DF65FF"/>
    <w:rsid w:val="00DF6618"/>
    <w:rsid w:val="00DF6755"/>
    <w:rsid w:val="00DF6837"/>
    <w:rsid w:val="00DF6990"/>
    <w:rsid w:val="00DF69B1"/>
    <w:rsid w:val="00DF6B4D"/>
    <w:rsid w:val="00DF6B9F"/>
    <w:rsid w:val="00DF6C72"/>
    <w:rsid w:val="00DF6D1C"/>
    <w:rsid w:val="00DF6D33"/>
    <w:rsid w:val="00DF6E77"/>
    <w:rsid w:val="00DF6FCB"/>
    <w:rsid w:val="00DF707A"/>
    <w:rsid w:val="00DF7087"/>
    <w:rsid w:val="00DF7207"/>
    <w:rsid w:val="00DF722D"/>
    <w:rsid w:val="00DF736C"/>
    <w:rsid w:val="00DF73B3"/>
    <w:rsid w:val="00DF7431"/>
    <w:rsid w:val="00DF7603"/>
    <w:rsid w:val="00DF7737"/>
    <w:rsid w:val="00DF78B4"/>
    <w:rsid w:val="00DF79D3"/>
    <w:rsid w:val="00DF7A1B"/>
    <w:rsid w:val="00DF7A21"/>
    <w:rsid w:val="00DF7B1C"/>
    <w:rsid w:val="00DF7EC0"/>
    <w:rsid w:val="00DF7F59"/>
    <w:rsid w:val="00E00019"/>
    <w:rsid w:val="00E00186"/>
    <w:rsid w:val="00E004E2"/>
    <w:rsid w:val="00E00563"/>
    <w:rsid w:val="00E00603"/>
    <w:rsid w:val="00E006CE"/>
    <w:rsid w:val="00E008BD"/>
    <w:rsid w:val="00E008F7"/>
    <w:rsid w:val="00E00A84"/>
    <w:rsid w:val="00E00AF7"/>
    <w:rsid w:val="00E00B91"/>
    <w:rsid w:val="00E00CE1"/>
    <w:rsid w:val="00E00D27"/>
    <w:rsid w:val="00E00D9B"/>
    <w:rsid w:val="00E00E2E"/>
    <w:rsid w:val="00E010F1"/>
    <w:rsid w:val="00E011A6"/>
    <w:rsid w:val="00E0123E"/>
    <w:rsid w:val="00E0125A"/>
    <w:rsid w:val="00E013C1"/>
    <w:rsid w:val="00E0142E"/>
    <w:rsid w:val="00E0146A"/>
    <w:rsid w:val="00E01598"/>
    <w:rsid w:val="00E015EC"/>
    <w:rsid w:val="00E01630"/>
    <w:rsid w:val="00E01789"/>
    <w:rsid w:val="00E01790"/>
    <w:rsid w:val="00E01811"/>
    <w:rsid w:val="00E0189D"/>
    <w:rsid w:val="00E019A3"/>
    <w:rsid w:val="00E01A03"/>
    <w:rsid w:val="00E01A12"/>
    <w:rsid w:val="00E01A86"/>
    <w:rsid w:val="00E01B70"/>
    <w:rsid w:val="00E01BF7"/>
    <w:rsid w:val="00E01C5A"/>
    <w:rsid w:val="00E01D58"/>
    <w:rsid w:val="00E01D68"/>
    <w:rsid w:val="00E01E27"/>
    <w:rsid w:val="00E020AC"/>
    <w:rsid w:val="00E023EE"/>
    <w:rsid w:val="00E02443"/>
    <w:rsid w:val="00E02549"/>
    <w:rsid w:val="00E02723"/>
    <w:rsid w:val="00E0278F"/>
    <w:rsid w:val="00E027B5"/>
    <w:rsid w:val="00E0284D"/>
    <w:rsid w:val="00E0291C"/>
    <w:rsid w:val="00E0293C"/>
    <w:rsid w:val="00E02ACC"/>
    <w:rsid w:val="00E02BE1"/>
    <w:rsid w:val="00E02BE9"/>
    <w:rsid w:val="00E02C20"/>
    <w:rsid w:val="00E02C66"/>
    <w:rsid w:val="00E02CFC"/>
    <w:rsid w:val="00E02D17"/>
    <w:rsid w:val="00E02E04"/>
    <w:rsid w:val="00E02F3B"/>
    <w:rsid w:val="00E030CF"/>
    <w:rsid w:val="00E03207"/>
    <w:rsid w:val="00E03238"/>
    <w:rsid w:val="00E03358"/>
    <w:rsid w:val="00E03359"/>
    <w:rsid w:val="00E034EA"/>
    <w:rsid w:val="00E03510"/>
    <w:rsid w:val="00E0356E"/>
    <w:rsid w:val="00E0368B"/>
    <w:rsid w:val="00E038DF"/>
    <w:rsid w:val="00E038F7"/>
    <w:rsid w:val="00E0397B"/>
    <w:rsid w:val="00E039B3"/>
    <w:rsid w:val="00E039C4"/>
    <w:rsid w:val="00E039CF"/>
    <w:rsid w:val="00E03A07"/>
    <w:rsid w:val="00E03AA9"/>
    <w:rsid w:val="00E03CC4"/>
    <w:rsid w:val="00E03D8C"/>
    <w:rsid w:val="00E03DD5"/>
    <w:rsid w:val="00E03DEF"/>
    <w:rsid w:val="00E03DF5"/>
    <w:rsid w:val="00E03F41"/>
    <w:rsid w:val="00E04004"/>
    <w:rsid w:val="00E042DE"/>
    <w:rsid w:val="00E04346"/>
    <w:rsid w:val="00E04385"/>
    <w:rsid w:val="00E043A1"/>
    <w:rsid w:val="00E04456"/>
    <w:rsid w:val="00E0446F"/>
    <w:rsid w:val="00E0448A"/>
    <w:rsid w:val="00E045AB"/>
    <w:rsid w:val="00E04631"/>
    <w:rsid w:val="00E0465B"/>
    <w:rsid w:val="00E04675"/>
    <w:rsid w:val="00E04691"/>
    <w:rsid w:val="00E04695"/>
    <w:rsid w:val="00E04752"/>
    <w:rsid w:val="00E04806"/>
    <w:rsid w:val="00E0492D"/>
    <w:rsid w:val="00E04B7E"/>
    <w:rsid w:val="00E04CA4"/>
    <w:rsid w:val="00E04CBB"/>
    <w:rsid w:val="00E04D59"/>
    <w:rsid w:val="00E04E0C"/>
    <w:rsid w:val="00E04E8F"/>
    <w:rsid w:val="00E04EEB"/>
    <w:rsid w:val="00E04F5D"/>
    <w:rsid w:val="00E04F7D"/>
    <w:rsid w:val="00E04F94"/>
    <w:rsid w:val="00E050DE"/>
    <w:rsid w:val="00E05143"/>
    <w:rsid w:val="00E05174"/>
    <w:rsid w:val="00E051A4"/>
    <w:rsid w:val="00E051D0"/>
    <w:rsid w:val="00E054AF"/>
    <w:rsid w:val="00E055EB"/>
    <w:rsid w:val="00E05631"/>
    <w:rsid w:val="00E0564F"/>
    <w:rsid w:val="00E0566E"/>
    <w:rsid w:val="00E056E9"/>
    <w:rsid w:val="00E057BD"/>
    <w:rsid w:val="00E05A5D"/>
    <w:rsid w:val="00E05D0F"/>
    <w:rsid w:val="00E05D15"/>
    <w:rsid w:val="00E05D5C"/>
    <w:rsid w:val="00E05DD8"/>
    <w:rsid w:val="00E05E35"/>
    <w:rsid w:val="00E05FDF"/>
    <w:rsid w:val="00E060B3"/>
    <w:rsid w:val="00E06271"/>
    <w:rsid w:val="00E0627B"/>
    <w:rsid w:val="00E0628A"/>
    <w:rsid w:val="00E0629D"/>
    <w:rsid w:val="00E062F9"/>
    <w:rsid w:val="00E063BF"/>
    <w:rsid w:val="00E06501"/>
    <w:rsid w:val="00E06646"/>
    <w:rsid w:val="00E06A0E"/>
    <w:rsid w:val="00E06A1A"/>
    <w:rsid w:val="00E06A50"/>
    <w:rsid w:val="00E06C7D"/>
    <w:rsid w:val="00E06DA1"/>
    <w:rsid w:val="00E06E07"/>
    <w:rsid w:val="00E071D9"/>
    <w:rsid w:val="00E071FA"/>
    <w:rsid w:val="00E072C8"/>
    <w:rsid w:val="00E075AD"/>
    <w:rsid w:val="00E075E0"/>
    <w:rsid w:val="00E076BB"/>
    <w:rsid w:val="00E07822"/>
    <w:rsid w:val="00E07838"/>
    <w:rsid w:val="00E07889"/>
    <w:rsid w:val="00E07B11"/>
    <w:rsid w:val="00E07DA2"/>
    <w:rsid w:val="00E07DF7"/>
    <w:rsid w:val="00E1003F"/>
    <w:rsid w:val="00E10054"/>
    <w:rsid w:val="00E10104"/>
    <w:rsid w:val="00E10135"/>
    <w:rsid w:val="00E103F2"/>
    <w:rsid w:val="00E104F6"/>
    <w:rsid w:val="00E10520"/>
    <w:rsid w:val="00E105D9"/>
    <w:rsid w:val="00E1062C"/>
    <w:rsid w:val="00E106EE"/>
    <w:rsid w:val="00E1079E"/>
    <w:rsid w:val="00E107C3"/>
    <w:rsid w:val="00E108D7"/>
    <w:rsid w:val="00E10925"/>
    <w:rsid w:val="00E10A0C"/>
    <w:rsid w:val="00E10A30"/>
    <w:rsid w:val="00E10A39"/>
    <w:rsid w:val="00E10A71"/>
    <w:rsid w:val="00E10A9A"/>
    <w:rsid w:val="00E10B58"/>
    <w:rsid w:val="00E10CBF"/>
    <w:rsid w:val="00E10D0F"/>
    <w:rsid w:val="00E10DA8"/>
    <w:rsid w:val="00E10DF7"/>
    <w:rsid w:val="00E10E28"/>
    <w:rsid w:val="00E11044"/>
    <w:rsid w:val="00E110B0"/>
    <w:rsid w:val="00E11115"/>
    <w:rsid w:val="00E11202"/>
    <w:rsid w:val="00E11212"/>
    <w:rsid w:val="00E11361"/>
    <w:rsid w:val="00E113AD"/>
    <w:rsid w:val="00E113B4"/>
    <w:rsid w:val="00E11449"/>
    <w:rsid w:val="00E11451"/>
    <w:rsid w:val="00E11457"/>
    <w:rsid w:val="00E114B4"/>
    <w:rsid w:val="00E11517"/>
    <w:rsid w:val="00E116C1"/>
    <w:rsid w:val="00E117A7"/>
    <w:rsid w:val="00E117E1"/>
    <w:rsid w:val="00E11911"/>
    <w:rsid w:val="00E11945"/>
    <w:rsid w:val="00E119AE"/>
    <w:rsid w:val="00E11A56"/>
    <w:rsid w:val="00E11A60"/>
    <w:rsid w:val="00E11B7F"/>
    <w:rsid w:val="00E11BD7"/>
    <w:rsid w:val="00E11C57"/>
    <w:rsid w:val="00E11CC7"/>
    <w:rsid w:val="00E11CC8"/>
    <w:rsid w:val="00E11D50"/>
    <w:rsid w:val="00E11E2B"/>
    <w:rsid w:val="00E11FAE"/>
    <w:rsid w:val="00E12080"/>
    <w:rsid w:val="00E120A1"/>
    <w:rsid w:val="00E122EE"/>
    <w:rsid w:val="00E1232C"/>
    <w:rsid w:val="00E1246A"/>
    <w:rsid w:val="00E12497"/>
    <w:rsid w:val="00E12592"/>
    <w:rsid w:val="00E125B4"/>
    <w:rsid w:val="00E12688"/>
    <w:rsid w:val="00E12836"/>
    <w:rsid w:val="00E1293C"/>
    <w:rsid w:val="00E12E32"/>
    <w:rsid w:val="00E12E86"/>
    <w:rsid w:val="00E12EBC"/>
    <w:rsid w:val="00E12EF1"/>
    <w:rsid w:val="00E12FE4"/>
    <w:rsid w:val="00E1312F"/>
    <w:rsid w:val="00E1313A"/>
    <w:rsid w:val="00E131C8"/>
    <w:rsid w:val="00E133BC"/>
    <w:rsid w:val="00E133CA"/>
    <w:rsid w:val="00E13531"/>
    <w:rsid w:val="00E135A6"/>
    <w:rsid w:val="00E13645"/>
    <w:rsid w:val="00E13729"/>
    <w:rsid w:val="00E139FC"/>
    <w:rsid w:val="00E13A5B"/>
    <w:rsid w:val="00E13BF2"/>
    <w:rsid w:val="00E13D0D"/>
    <w:rsid w:val="00E13ECA"/>
    <w:rsid w:val="00E140F4"/>
    <w:rsid w:val="00E14286"/>
    <w:rsid w:val="00E142A1"/>
    <w:rsid w:val="00E1436B"/>
    <w:rsid w:val="00E143CA"/>
    <w:rsid w:val="00E14519"/>
    <w:rsid w:val="00E14548"/>
    <w:rsid w:val="00E14661"/>
    <w:rsid w:val="00E148C7"/>
    <w:rsid w:val="00E14955"/>
    <w:rsid w:val="00E14A5F"/>
    <w:rsid w:val="00E14CB5"/>
    <w:rsid w:val="00E14D36"/>
    <w:rsid w:val="00E14DD1"/>
    <w:rsid w:val="00E14EC5"/>
    <w:rsid w:val="00E14F05"/>
    <w:rsid w:val="00E14FEE"/>
    <w:rsid w:val="00E1503A"/>
    <w:rsid w:val="00E150FA"/>
    <w:rsid w:val="00E1536C"/>
    <w:rsid w:val="00E1548B"/>
    <w:rsid w:val="00E154DA"/>
    <w:rsid w:val="00E1563D"/>
    <w:rsid w:val="00E1564E"/>
    <w:rsid w:val="00E156BC"/>
    <w:rsid w:val="00E15B15"/>
    <w:rsid w:val="00E15B75"/>
    <w:rsid w:val="00E15BCA"/>
    <w:rsid w:val="00E15BEB"/>
    <w:rsid w:val="00E15D42"/>
    <w:rsid w:val="00E15E3F"/>
    <w:rsid w:val="00E15EDB"/>
    <w:rsid w:val="00E15F10"/>
    <w:rsid w:val="00E15F7B"/>
    <w:rsid w:val="00E16101"/>
    <w:rsid w:val="00E1617C"/>
    <w:rsid w:val="00E161EA"/>
    <w:rsid w:val="00E16384"/>
    <w:rsid w:val="00E163BA"/>
    <w:rsid w:val="00E16406"/>
    <w:rsid w:val="00E1648E"/>
    <w:rsid w:val="00E164C6"/>
    <w:rsid w:val="00E1665F"/>
    <w:rsid w:val="00E166D9"/>
    <w:rsid w:val="00E1687B"/>
    <w:rsid w:val="00E1687F"/>
    <w:rsid w:val="00E168CB"/>
    <w:rsid w:val="00E1694C"/>
    <w:rsid w:val="00E16A13"/>
    <w:rsid w:val="00E16AB2"/>
    <w:rsid w:val="00E16AD1"/>
    <w:rsid w:val="00E16B21"/>
    <w:rsid w:val="00E16B62"/>
    <w:rsid w:val="00E16B86"/>
    <w:rsid w:val="00E16B9D"/>
    <w:rsid w:val="00E16D96"/>
    <w:rsid w:val="00E16DA6"/>
    <w:rsid w:val="00E16EC1"/>
    <w:rsid w:val="00E16ED7"/>
    <w:rsid w:val="00E16EFD"/>
    <w:rsid w:val="00E16F65"/>
    <w:rsid w:val="00E16FD5"/>
    <w:rsid w:val="00E16FEF"/>
    <w:rsid w:val="00E17017"/>
    <w:rsid w:val="00E17192"/>
    <w:rsid w:val="00E171B9"/>
    <w:rsid w:val="00E17308"/>
    <w:rsid w:val="00E1733D"/>
    <w:rsid w:val="00E1740A"/>
    <w:rsid w:val="00E17558"/>
    <w:rsid w:val="00E175BF"/>
    <w:rsid w:val="00E17613"/>
    <w:rsid w:val="00E1796A"/>
    <w:rsid w:val="00E179A8"/>
    <w:rsid w:val="00E17A81"/>
    <w:rsid w:val="00E17B78"/>
    <w:rsid w:val="00E17C39"/>
    <w:rsid w:val="00E17C8D"/>
    <w:rsid w:val="00E17D0B"/>
    <w:rsid w:val="00E17E12"/>
    <w:rsid w:val="00E17FDE"/>
    <w:rsid w:val="00E2000F"/>
    <w:rsid w:val="00E2009F"/>
    <w:rsid w:val="00E20133"/>
    <w:rsid w:val="00E20208"/>
    <w:rsid w:val="00E20228"/>
    <w:rsid w:val="00E20364"/>
    <w:rsid w:val="00E20389"/>
    <w:rsid w:val="00E2039D"/>
    <w:rsid w:val="00E203BE"/>
    <w:rsid w:val="00E206FA"/>
    <w:rsid w:val="00E208DE"/>
    <w:rsid w:val="00E20976"/>
    <w:rsid w:val="00E20C17"/>
    <w:rsid w:val="00E20CE1"/>
    <w:rsid w:val="00E20D55"/>
    <w:rsid w:val="00E20EFC"/>
    <w:rsid w:val="00E20FD1"/>
    <w:rsid w:val="00E21036"/>
    <w:rsid w:val="00E211BC"/>
    <w:rsid w:val="00E211FF"/>
    <w:rsid w:val="00E213BD"/>
    <w:rsid w:val="00E21444"/>
    <w:rsid w:val="00E214A0"/>
    <w:rsid w:val="00E214EC"/>
    <w:rsid w:val="00E2153B"/>
    <w:rsid w:val="00E216B7"/>
    <w:rsid w:val="00E21705"/>
    <w:rsid w:val="00E2170A"/>
    <w:rsid w:val="00E21796"/>
    <w:rsid w:val="00E217B7"/>
    <w:rsid w:val="00E21947"/>
    <w:rsid w:val="00E21948"/>
    <w:rsid w:val="00E21986"/>
    <w:rsid w:val="00E21A86"/>
    <w:rsid w:val="00E21ACE"/>
    <w:rsid w:val="00E21B1E"/>
    <w:rsid w:val="00E21D8B"/>
    <w:rsid w:val="00E21DB4"/>
    <w:rsid w:val="00E21F48"/>
    <w:rsid w:val="00E21FDF"/>
    <w:rsid w:val="00E22054"/>
    <w:rsid w:val="00E2217C"/>
    <w:rsid w:val="00E22197"/>
    <w:rsid w:val="00E221A3"/>
    <w:rsid w:val="00E2227D"/>
    <w:rsid w:val="00E2228D"/>
    <w:rsid w:val="00E224C9"/>
    <w:rsid w:val="00E22584"/>
    <w:rsid w:val="00E225CC"/>
    <w:rsid w:val="00E226ED"/>
    <w:rsid w:val="00E226F0"/>
    <w:rsid w:val="00E2277E"/>
    <w:rsid w:val="00E227F2"/>
    <w:rsid w:val="00E228A0"/>
    <w:rsid w:val="00E22932"/>
    <w:rsid w:val="00E229FC"/>
    <w:rsid w:val="00E22A1A"/>
    <w:rsid w:val="00E22A90"/>
    <w:rsid w:val="00E22C29"/>
    <w:rsid w:val="00E22C62"/>
    <w:rsid w:val="00E22D99"/>
    <w:rsid w:val="00E22DE4"/>
    <w:rsid w:val="00E22EEF"/>
    <w:rsid w:val="00E22F24"/>
    <w:rsid w:val="00E22FAF"/>
    <w:rsid w:val="00E22FBD"/>
    <w:rsid w:val="00E22FE4"/>
    <w:rsid w:val="00E232D7"/>
    <w:rsid w:val="00E23416"/>
    <w:rsid w:val="00E23538"/>
    <w:rsid w:val="00E235FF"/>
    <w:rsid w:val="00E2360C"/>
    <w:rsid w:val="00E2364D"/>
    <w:rsid w:val="00E2378B"/>
    <w:rsid w:val="00E239F2"/>
    <w:rsid w:val="00E23A04"/>
    <w:rsid w:val="00E23BBD"/>
    <w:rsid w:val="00E23BD5"/>
    <w:rsid w:val="00E23D6B"/>
    <w:rsid w:val="00E23DC6"/>
    <w:rsid w:val="00E23EBB"/>
    <w:rsid w:val="00E23ECD"/>
    <w:rsid w:val="00E23F08"/>
    <w:rsid w:val="00E23F99"/>
    <w:rsid w:val="00E2405A"/>
    <w:rsid w:val="00E2406F"/>
    <w:rsid w:val="00E240E5"/>
    <w:rsid w:val="00E24208"/>
    <w:rsid w:val="00E2421C"/>
    <w:rsid w:val="00E24375"/>
    <w:rsid w:val="00E2441B"/>
    <w:rsid w:val="00E24513"/>
    <w:rsid w:val="00E2456B"/>
    <w:rsid w:val="00E245E7"/>
    <w:rsid w:val="00E24859"/>
    <w:rsid w:val="00E248FA"/>
    <w:rsid w:val="00E24A5D"/>
    <w:rsid w:val="00E24CA0"/>
    <w:rsid w:val="00E24D03"/>
    <w:rsid w:val="00E24D22"/>
    <w:rsid w:val="00E24D28"/>
    <w:rsid w:val="00E24E6F"/>
    <w:rsid w:val="00E24E8B"/>
    <w:rsid w:val="00E24F1C"/>
    <w:rsid w:val="00E24F2D"/>
    <w:rsid w:val="00E250C2"/>
    <w:rsid w:val="00E2556A"/>
    <w:rsid w:val="00E257EC"/>
    <w:rsid w:val="00E2598F"/>
    <w:rsid w:val="00E25A3A"/>
    <w:rsid w:val="00E25A94"/>
    <w:rsid w:val="00E25D7C"/>
    <w:rsid w:val="00E25E9C"/>
    <w:rsid w:val="00E25ED0"/>
    <w:rsid w:val="00E25F33"/>
    <w:rsid w:val="00E2600B"/>
    <w:rsid w:val="00E2624B"/>
    <w:rsid w:val="00E262D0"/>
    <w:rsid w:val="00E262E7"/>
    <w:rsid w:val="00E26419"/>
    <w:rsid w:val="00E26480"/>
    <w:rsid w:val="00E264A0"/>
    <w:rsid w:val="00E265A2"/>
    <w:rsid w:val="00E265AE"/>
    <w:rsid w:val="00E26769"/>
    <w:rsid w:val="00E267FF"/>
    <w:rsid w:val="00E268A6"/>
    <w:rsid w:val="00E268FE"/>
    <w:rsid w:val="00E26927"/>
    <w:rsid w:val="00E2693A"/>
    <w:rsid w:val="00E2696A"/>
    <w:rsid w:val="00E26A34"/>
    <w:rsid w:val="00E26B1E"/>
    <w:rsid w:val="00E26B5D"/>
    <w:rsid w:val="00E26C8B"/>
    <w:rsid w:val="00E26D84"/>
    <w:rsid w:val="00E26D91"/>
    <w:rsid w:val="00E26E35"/>
    <w:rsid w:val="00E26EB5"/>
    <w:rsid w:val="00E26EE9"/>
    <w:rsid w:val="00E26F78"/>
    <w:rsid w:val="00E26F84"/>
    <w:rsid w:val="00E27024"/>
    <w:rsid w:val="00E27169"/>
    <w:rsid w:val="00E272C3"/>
    <w:rsid w:val="00E27307"/>
    <w:rsid w:val="00E274A7"/>
    <w:rsid w:val="00E274E9"/>
    <w:rsid w:val="00E275B6"/>
    <w:rsid w:val="00E27624"/>
    <w:rsid w:val="00E27672"/>
    <w:rsid w:val="00E276D6"/>
    <w:rsid w:val="00E27892"/>
    <w:rsid w:val="00E27ACC"/>
    <w:rsid w:val="00E27BBA"/>
    <w:rsid w:val="00E27E80"/>
    <w:rsid w:val="00E27ED3"/>
    <w:rsid w:val="00E27FFE"/>
    <w:rsid w:val="00E30106"/>
    <w:rsid w:val="00E30195"/>
    <w:rsid w:val="00E301B7"/>
    <w:rsid w:val="00E30208"/>
    <w:rsid w:val="00E302EF"/>
    <w:rsid w:val="00E30322"/>
    <w:rsid w:val="00E304A1"/>
    <w:rsid w:val="00E30597"/>
    <w:rsid w:val="00E307C0"/>
    <w:rsid w:val="00E307E8"/>
    <w:rsid w:val="00E308E4"/>
    <w:rsid w:val="00E30906"/>
    <w:rsid w:val="00E309E2"/>
    <w:rsid w:val="00E30A46"/>
    <w:rsid w:val="00E30AB8"/>
    <w:rsid w:val="00E30AF8"/>
    <w:rsid w:val="00E30E34"/>
    <w:rsid w:val="00E30E76"/>
    <w:rsid w:val="00E30EB6"/>
    <w:rsid w:val="00E30F3E"/>
    <w:rsid w:val="00E30F54"/>
    <w:rsid w:val="00E30F96"/>
    <w:rsid w:val="00E30FE9"/>
    <w:rsid w:val="00E3112E"/>
    <w:rsid w:val="00E31234"/>
    <w:rsid w:val="00E312EF"/>
    <w:rsid w:val="00E3138C"/>
    <w:rsid w:val="00E31407"/>
    <w:rsid w:val="00E3150D"/>
    <w:rsid w:val="00E31570"/>
    <w:rsid w:val="00E31665"/>
    <w:rsid w:val="00E317CA"/>
    <w:rsid w:val="00E317CF"/>
    <w:rsid w:val="00E317DD"/>
    <w:rsid w:val="00E317FB"/>
    <w:rsid w:val="00E31942"/>
    <w:rsid w:val="00E31993"/>
    <w:rsid w:val="00E31A2A"/>
    <w:rsid w:val="00E31BB3"/>
    <w:rsid w:val="00E31D40"/>
    <w:rsid w:val="00E31E04"/>
    <w:rsid w:val="00E31E40"/>
    <w:rsid w:val="00E31F16"/>
    <w:rsid w:val="00E32053"/>
    <w:rsid w:val="00E320E6"/>
    <w:rsid w:val="00E3212C"/>
    <w:rsid w:val="00E32325"/>
    <w:rsid w:val="00E32538"/>
    <w:rsid w:val="00E3261F"/>
    <w:rsid w:val="00E32677"/>
    <w:rsid w:val="00E32845"/>
    <w:rsid w:val="00E32961"/>
    <w:rsid w:val="00E329F9"/>
    <w:rsid w:val="00E32AC3"/>
    <w:rsid w:val="00E32B8B"/>
    <w:rsid w:val="00E32C15"/>
    <w:rsid w:val="00E32C24"/>
    <w:rsid w:val="00E32D27"/>
    <w:rsid w:val="00E32D63"/>
    <w:rsid w:val="00E32D7D"/>
    <w:rsid w:val="00E32E53"/>
    <w:rsid w:val="00E330CE"/>
    <w:rsid w:val="00E330D1"/>
    <w:rsid w:val="00E33114"/>
    <w:rsid w:val="00E33135"/>
    <w:rsid w:val="00E331E1"/>
    <w:rsid w:val="00E331E6"/>
    <w:rsid w:val="00E3345A"/>
    <w:rsid w:val="00E335E5"/>
    <w:rsid w:val="00E3360C"/>
    <w:rsid w:val="00E3364D"/>
    <w:rsid w:val="00E33692"/>
    <w:rsid w:val="00E3374C"/>
    <w:rsid w:val="00E33766"/>
    <w:rsid w:val="00E33882"/>
    <w:rsid w:val="00E33962"/>
    <w:rsid w:val="00E33977"/>
    <w:rsid w:val="00E33B73"/>
    <w:rsid w:val="00E33C09"/>
    <w:rsid w:val="00E33C89"/>
    <w:rsid w:val="00E33C9D"/>
    <w:rsid w:val="00E33D1B"/>
    <w:rsid w:val="00E33DC5"/>
    <w:rsid w:val="00E33DFB"/>
    <w:rsid w:val="00E33FDA"/>
    <w:rsid w:val="00E34001"/>
    <w:rsid w:val="00E34049"/>
    <w:rsid w:val="00E34181"/>
    <w:rsid w:val="00E341C2"/>
    <w:rsid w:val="00E34298"/>
    <w:rsid w:val="00E34438"/>
    <w:rsid w:val="00E3444F"/>
    <w:rsid w:val="00E3445E"/>
    <w:rsid w:val="00E34528"/>
    <w:rsid w:val="00E34722"/>
    <w:rsid w:val="00E34731"/>
    <w:rsid w:val="00E3480F"/>
    <w:rsid w:val="00E3482A"/>
    <w:rsid w:val="00E34859"/>
    <w:rsid w:val="00E348E3"/>
    <w:rsid w:val="00E34A5F"/>
    <w:rsid w:val="00E34AB7"/>
    <w:rsid w:val="00E34B53"/>
    <w:rsid w:val="00E34C03"/>
    <w:rsid w:val="00E34D9A"/>
    <w:rsid w:val="00E34E70"/>
    <w:rsid w:val="00E34F72"/>
    <w:rsid w:val="00E35132"/>
    <w:rsid w:val="00E351AC"/>
    <w:rsid w:val="00E351E1"/>
    <w:rsid w:val="00E352F0"/>
    <w:rsid w:val="00E35371"/>
    <w:rsid w:val="00E355E8"/>
    <w:rsid w:val="00E3560C"/>
    <w:rsid w:val="00E357D3"/>
    <w:rsid w:val="00E357FF"/>
    <w:rsid w:val="00E35A7E"/>
    <w:rsid w:val="00E35B10"/>
    <w:rsid w:val="00E35B25"/>
    <w:rsid w:val="00E35F09"/>
    <w:rsid w:val="00E360AF"/>
    <w:rsid w:val="00E3619B"/>
    <w:rsid w:val="00E361F7"/>
    <w:rsid w:val="00E36275"/>
    <w:rsid w:val="00E36396"/>
    <w:rsid w:val="00E363AF"/>
    <w:rsid w:val="00E36466"/>
    <w:rsid w:val="00E364F4"/>
    <w:rsid w:val="00E36664"/>
    <w:rsid w:val="00E3666C"/>
    <w:rsid w:val="00E3675D"/>
    <w:rsid w:val="00E367BC"/>
    <w:rsid w:val="00E368F7"/>
    <w:rsid w:val="00E369F4"/>
    <w:rsid w:val="00E36A15"/>
    <w:rsid w:val="00E36A86"/>
    <w:rsid w:val="00E36B1A"/>
    <w:rsid w:val="00E36B4A"/>
    <w:rsid w:val="00E36BE5"/>
    <w:rsid w:val="00E36C55"/>
    <w:rsid w:val="00E36C69"/>
    <w:rsid w:val="00E36CC2"/>
    <w:rsid w:val="00E36D1B"/>
    <w:rsid w:val="00E36D4F"/>
    <w:rsid w:val="00E36ED2"/>
    <w:rsid w:val="00E36F02"/>
    <w:rsid w:val="00E36F26"/>
    <w:rsid w:val="00E36F57"/>
    <w:rsid w:val="00E36F6D"/>
    <w:rsid w:val="00E36FD9"/>
    <w:rsid w:val="00E37017"/>
    <w:rsid w:val="00E3708B"/>
    <w:rsid w:val="00E37107"/>
    <w:rsid w:val="00E37150"/>
    <w:rsid w:val="00E372E1"/>
    <w:rsid w:val="00E37329"/>
    <w:rsid w:val="00E3732D"/>
    <w:rsid w:val="00E373AD"/>
    <w:rsid w:val="00E37406"/>
    <w:rsid w:val="00E37560"/>
    <w:rsid w:val="00E3757F"/>
    <w:rsid w:val="00E37642"/>
    <w:rsid w:val="00E3765D"/>
    <w:rsid w:val="00E37676"/>
    <w:rsid w:val="00E3777B"/>
    <w:rsid w:val="00E37994"/>
    <w:rsid w:val="00E37A69"/>
    <w:rsid w:val="00E37A6B"/>
    <w:rsid w:val="00E37B31"/>
    <w:rsid w:val="00E37BD3"/>
    <w:rsid w:val="00E37D5E"/>
    <w:rsid w:val="00E37D75"/>
    <w:rsid w:val="00E37EC0"/>
    <w:rsid w:val="00E37F19"/>
    <w:rsid w:val="00E37F60"/>
    <w:rsid w:val="00E37F66"/>
    <w:rsid w:val="00E400A6"/>
    <w:rsid w:val="00E400EB"/>
    <w:rsid w:val="00E4018D"/>
    <w:rsid w:val="00E4025F"/>
    <w:rsid w:val="00E40261"/>
    <w:rsid w:val="00E40437"/>
    <w:rsid w:val="00E4049C"/>
    <w:rsid w:val="00E404C8"/>
    <w:rsid w:val="00E40568"/>
    <w:rsid w:val="00E40605"/>
    <w:rsid w:val="00E407B6"/>
    <w:rsid w:val="00E408A2"/>
    <w:rsid w:val="00E40946"/>
    <w:rsid w:val="00E40B1D"/>
    <w:rsid w:val="00E40B91"/>
    <w:rsid w:val="00E40B9F"/>
    <w:rsid w:val="00E40BDE"/>
    <w:rsid w:val="00E40BEF"/>
    <w:rsid w:val="00E40C7C"/>
    <w:rsid w:val="00E40C8B"/>
    <w:rsid w:val="00E40CDD"/>
    <w:rsid w:val="00E40D3B"/>
    <w:rsid w:val="00E40DE8"/>
    <w:rsid w:val="00E40E9D"/>
    <w:rsid w:val="00E40EF2"/>
    <w:rsid w:val="00E40FC1"/>
    <w:rsid w:val="00E41035"/>
    <w:rsid w:val="00E4109B"/>
    <w:rsid w:val="00E41142"/>
    <w:rsid w:val="00E41198"/>
    <w:rsid w:val="00E41246"/>
    <w:rsid w:val="00E41271"/>
    <w:rsid w:val="00E41298"/>
    <w:rsid w:val="00E412D2"/>
    <w:rsid w:val="00E4139D"/>
    <w:rsid w:val="00E4148E"/>
    <w:rsid w:val="00E414FB"/>
    <w:rsid w:val="00E41755"/>
    <w:rsid w:val="00E41780"/>
    <w:rsid w:val="00E41783"/>
    <w:rsid w:val="00E417F5"/>
    <w:rsid w:val="00E418CA"/>
    <w:rsid w:val="00E4195A"/>
    <w:rsid w:val="00E41A5B"/>
    <w:rsid w:val="00E41A84"/>
    <w:rsid w:val="00E41B09"/>
    <w:rsid w:val="00E41D18"/>
    <w:rsid w:val="00E41DEC"/>
    <w:rsid w:val="00E41E27"/>
    <w:rsid w:val="00E41E64"/>
    <w:rsid w:val="00E41E98"/>
    <w:rsid w:val="00E41F03"/>
    <w:rsid w:val="00E41F53"/>
    <w:rsid w:val="00E41F85"/>
    <w:rsid w:val="00E42023"/>
    <w:rsid w:val="00E420AB"/>
    <w:rsid w:val="00E420EA"/>
    <w:rsid w:val="00E421A0"/>
    <w:rsid w:val="00E42318"/>
    <w:rsid w:val="00E42342"/>
    <w:rsid w:val="00E42357"/>
    <w:rsid w:val="00E42448"/>
    <w:rsid w:val="00E4254E"/>
    <w:rsid w:val="00E42617"/>
    <w:rsid w:val="00E426BB"/>
    <w:rsid w:val="00E428A7"/>
    <w:rsid w:val="00E428C8"/>
    <w:rsid w:val="00E428DB"/>
    <w:rsid w:val="00E42941"/>
    <w:rsid w:val="00E42A44"/>
    <w:rsid w:val="00E42A82"/>
    <w:rsid w:val="00E42B3A"/>
    <w:rsid w:val="00E42B40"/>
    <w:rsid w:val="00E42B43"/>
    <w:rsid w:val="00E42B6F"/>
    <w:rsid w:val="00E42BF4"/>
    <w:rsid w:val="00E42C23"/>
    <w:rsid w:val="00E42C4A"/>
    <w:rsid w:val="00E42E46"/>
    <w:rsid w:val="00E42EC1"/>
    <w:rsid w:val="00E42EE4"/>
    <w:rsid w:val="00E42F21"/>
    <w:rsid w:val="00E430D1"/>
    <w:rsid w:val="00E4312B"/>
    <w:rsid w:val="00E43197"/>
    <w:rsid w:val="00E431F2"/>
    <w:rsid w:val="00E4321B"/>
    <w:rsid w:val="00E43298"/>
    <w:rsid w:val="00E4330E"/>
    <w:rsid w:val="00E43403"/>
    <w:rsid w:val="00E4348A"/>
    <w:rsid w:val="00E434C8"/>
    <w:rsid w:val="00E434EA"/>
    <w:rsid w:val="00E434F5"/>
    <w:rsid w:val="00E43522"/>
    <w:rsid w:val="00E43535"/>
    <w:rsid w:val="00E43556"/>
    <w:rsid w:val="00E435B9"/>
    <w:rsid w:val="00E43610"/>
    <w:rsid w:val="00E437AF"/>
    <w:rsid w:val="00E43A35"/>
    <w:rsid w:val="00E43C50"/>
    <w:rsid w:val="00E43C91"/>
    <w:rsid w:val="00E43D99"/>
    <w:rsid w:val="00E43E09"/>
    <w:rsid w:val="00E43F94"/>
    <w:rsid w:val="00E4419D"/>
    <w:rsid w:val="00E44396"/>
    <w:rsid w:val="00E4448C"/>
    <w:rsid w:val="00E444F6"/>
    <w:rsid w:val="00E44525"/>
    <w:rsid w:val="00E44595"/>
    <w:rsid w:val="00E446B2"/>
    <w:rsid w:val="00E447EA"/>
    <w:rsid w:val="00E44878"/>
    <w:rsid w:val="00E44913"/>
    <w:rsid w:val="00E449B9"/>
    <w:rsid w:val="00E44A20"/>
    <w:rsid w:val="00E450B9"/>
    <w:rsid w:val="00E454F4"/>
    <w:rsid w:val="00E45524"/>
    <w:rsid w:val="00E4557B"/>
    <w:rsid w:val="00E456DE"/>
    <w:rsid w:val="00E45722"/>
    <w:rsid w:val="00E45813"/>
    <w:rsid w:val="00E4584F"/>
    <w:rsid w:val="00E4596C"/>
    <w:rsid w:val="00E45ABA"/>
    <w:rsid w:val="00E45ABF"/>
    <w:rsid w:val="00E45B04"/>
    <w:rsid w:val="00E45BE4"/>
    <w:rsid w:val="00E45D8A"/>
    <w:rsid w:val="00E45D8D"/>
    <w:rsid w:val="00E45E88"/>
    <w:rsid w:val="00E4607E"/>
    <w:rsid w:val="00E46140"/>
    <w:rsid w:val="00E4618D"/>
    <w:rsid w:val="00E463F3"/>
    <w:rsid w:val="00E4649D"/>
    <w:rsid w:val="00E46590"/>
    <w:rsid w:val="00E465E8"/>
    <w:rsid w:val="00E46633"/>
    <w:rsid w:val="00E4666D"/>
    <w:rsid w:val="00E4667F"/>
    <w:rsid w:val="00E4669F"/>
    <w:rsid w:val="00E467C2"/>
    <w:rsid w:val="00E46801"/>
    <w:rsid w:val="00E4685E"/>
    <w:rsid w:val="00E46872"/>
    <w:rsid w:val="00E46ACD"/>
    <w:rsid w:val="00E46B3F"/>
    <w:rsid w:val="00E46B71"/>
    <w:rsid w:val="00E46CEB"/>
    <w:rsid w:val="00E46D33"/>
    <w:rsid w:val="00E46E63"/>
    <w:rsid w:val="00E47085"/>
    <w:rsid w:val="00E47104"/>
    <w:rsid w:val="00E471C6"/>
    <w:rsid w:val="00E47484"/>
    <w:rsid w:val="00E4748F"/>
    <w:rsid w:val="00E47499"/>
    <w:rsid w:val="00E474E3"/>
    <w:rsid w:val="00E47793"/>
    <w:rsid w:val="00E477A1"/>
    <w:rsid w:val="00E477D8"/>
    <w:rsid w:val="00E4781C"/>
    <w:rsid w:val="00E478E6"/>
    <w:rsid w:val="00E478ED"/>
    <w:rsid w:val="00E4791B"/>
    <w:rsid w:val="00E47A89"/>
    <w:rsid w:val="00E47AAC"/>
    <w:rsid w:val="00E47AF0"/>
    <w:rsid w:val="00E47B7D"/>
    <w:rsid w:val="00E47C60"/>
    <w:rsid w:val="00E47C9B"/>
    <w:rsid w:val="00E47DE6"/>
    <w:rsid w:val="00E47E2B"/>
    <w:rsid w:val="00E47F68"/>
    <w:rsid w:val="00E50003"/>
    <w:rsid w:val="00E50349"/>
    <w:rsid w:val="00E503D2"/>
    <w:rsid w:val="00E50493"/>
    <w:rsid w:val="00E504F9"/>
    <w:rsid w:val="00E505E6"/>
    <w:rsid w:val="00E50635"/>
    <w:rsid w:val="00E507AD"/>
    <w:rsid w:val="00E507C6"/>
    <w:rsid w:val="00E50851"/>
    <w:rsid w:val="00E508C8"/>
    <w:rsid w:val="00E50925"/>
    <w:rsid w:val="00E509FD"/>
    <w:rsid w:val="00E50AB3"/>
    <w:rsid w:val="00E50CD7"/>
    <w:rsid w:val="00E50D58"/>
    <w:rsid w:val="00E50D68"/>
    <w:rsid w:val="00E50F1D"/>
    <w:rsid w:val="00E50F8C"/>
    <w:rsid w:val="00E50FE4"/>
    <w:rsid w:val="00E510B5"/>
    <w:rsid w:val="00E511D5"/>
    <w:rsid w:val="00E511D7"/>
    <w:rsid w:val="00E5134D"/>
    <w:rsid w:val="00E51406"/>
    <w:rsid w:val="00E514C3"/>
    <w:rsid w:val="00E5157B"/>
    <w:rsid w:val="00E515EC"/>
    <w:rsid w:val="00E516AE"/>
    <w:rsid w:val="00E516C3"/>
    <w:rsid w:val="00E516CE"/>
    <w:rsid w:val="00E5173A"/>
    <w:rsid w:val="00E51A1D"/>
    <w:rsid w:val="00E51AFF"/>
    <w:rsid w:val="00E51B83"/>
    <w:rsid w:val="00E51EA8"/>
    <w:rsid w:val="00E5201F"/>
    <w:rsid w:val="00E52071"/>
    <w:rsid w:val="00E52114"/>
    <w:rsid w:val="00E5212C"/>
    <w:rsid w:val="00E52145"/>
    <w:rsid w:val="00E5216B"/>
    <w:rsid w:val="00E521D8"/>
    <w:rsid w:val="00E52293"/>
    <w:rsid w:val="00E5265C"/>
    <w:rsid w:val="00E52772"/>
    <w:rsid w:val="00E52AA7"/>
    <w:rsid w:val="00E52AB7"/>
    <w:rsid w:val="00E52C5E"/>
    <w:rsid w:val="00E52D12"/>
    <w:rsid w:val="00E52D63"/>
    <w:rsid w:val="00E52D6D"/>
    <w:rsid w:val="00E52E11"/>
    <w:rsid w:val="00E52E19"/>
    <w:rsid w:val="00E52E8B"/>
    <w:rsid w:val="00E52EB0"/>
    <w:rsid w:val="00E5304E"/>
    <w:rsid w:val="00E530C5"/>
    <w:rsid w:val="00E530E2"/>
    <w:rsid w:val="00E532FD"/>
    <w:rsid w:val="00E5339F"/>
    <w:rsid w:val="00E5353F"/>
    <w:rsid w:val="00E535AE"/>
    <w:rsid w:val="00E53638"/>
    <w:rsid w:val="00E5366E"/>
    <w:rsid w:val="00E536B4"/>
    <w:rsid w:val="00E536EA"/>
    <w:rsid w:val="00E53906"/>
    <w:rsid w:val="00E53A5B"/>
    <w:rsid w:val="00E53AD8"/>
    <w:rsid w:val="00E53B31"/>
    <w:rsid w:val="00E53C44"/>
    <w:rsid w:val="00E53D26"/>
    <w:rsid w:val="00E53E1D"/>
    <w:rsid w:val="00E53F2E"/>
    <w:rsid w:val="00E53FAD"/>
    <w:rsid w:val="00E54126"/>
    <w:rsid w:val="00E54174"/>
    <w:rsid w:val="00E541D4"/>
    <w:rsid w:val="00E54282"/>
    <w:rsid w:val="00E542C0"/>
    <w:rsid w:val="00E54476"/>
    <w:rsid w:val="00E54552"/>
    <w:rsid w:val="00E547C4"/>
    <w:rsid w:val="00E548D9"/>
    <w:rsid w:val="00E54948"/>
    <w:rsid w:val="00E549E6"/>
    <w:rsid w:val="00E54A73"/>
    <w:rsid w:val="00E54B5E"/>
    <w:rsid w:val="00E54B92"/>
    <w:rsid w:val="00E54B98"/>
    <w:rsid w:val="00E54BD7"/>
    <w:rsid w:val="00E54BE2"/>
    <w:rsid w:val="00E54C1C"/>
    <w:rsid w:val="00E54D82"/>
    <w:rsid w:val="00E54E08"/>
    <w:rsid w:val="00E54E8C"/>
    <w:rsid w:val="00E54EB2"/>
    <w:rsid w:val="00E54ECE"/>
    <w:rsid w:val="00E54ED9"/>
    <w:rsid w:val="00E54F2C"/>
    <w:rsid w:val="00E54F4E"/>
    <w:rsid w:val="00E55066"/>
    <w:rsid w:val="00E550DD"/>
    <w:rsid w:val="00E55181"/>
    <w:rsid w:val="00E551D1"/>
    <w:rsid w:val="00E55247"/>
    <w:rsid w:val="00E55250"/>
    <w:rsid w:val="00E552C2"/>
    <w:rsid w:val="00E55378"/>
    <w:rsid w:val="00E55393"/>
    <w:rsid w:val="00E55511"/>
    <w:rsid w:val="00E5552A"/>
    <w:rsid w:val="00E555D6"/>
    <w:rsid w:val="00E555EC"/>
    <w:rsid w:val="00E5560C"/>
    <w:rsid w:val="00E5562A"/>
    <w:rsid w:val="00E55638"/>
    <w:rsid w:val="00E55723"/>
    <w:rsid w:val="00E55815"/>
    <w:rsid w:val="00E55830"/>
    <w:rsid w:val="00E558AB"/>
    <w:rsid w:val="00E558D0"/>
    <w:rsid w:val="00E55ADE"/>
    <w:rsid w:val="00E55BB4"/>
    <w:rsid w:val="00E55C00"/>
    <w:rsid w:val="00E55D04"/>
    <w:rsid w:val="00E55D31"/>
    <w:rsid w:val="00E55D46"/>
    <w:rsid w:val="00E55D6C"/>
    <w:rsid w:val="00E55F76"/>
    <w:rsid w:val="00E560C4"/>
    <w:rsid w:val="00E560DC"/>
    <w:rsid w:val="00E562A7"/>
    <w:rsid w:val="00E5634D"/>
    <w:rsid w:val="00E56364"/>
    <w:rsid w:val="00E564E8"/>
    <w:rsid w:val="00E56515"/>
    <w:rsid w:val="00E567CA"/>
    <w:rsid w:val="00E5695B"/>
    <w:rsid w:val="00E56995"/>
    <w:rsid w:val="00E56A68"/>
    <w:rsid w:val="00E56B3A"/>
    <w:rsid w:val="00E56B67"/>
    <w:rsid w:val="00E56BF7"/>
    <w:rsid w:val="00E56CB0"/>
    <w:rsid w:val="00E56D1A"/>
    <w:rsid w:val="00E56DCA"/>
    <w:rsid w:val="00E56DD2"/>
    <w:rsid w:val="00E56E89"/>
    <w:rsid w:val="00E56EB5"/>
    <w:rsid w:val="00E56EE0"/>
    <w:rsid w:val="00E56FF9"/>
    <w:rsid w:val="00E56FFA"/>
    <w:rsid w:val="00E5708D"/>
    <w:rsid w:val="00E57293"/>
    <w:rsid w:val="00E5743E"/>
    <w:rsid w:val="00E574CF"/>
    <w:rsid w:val="00E576E3"/>
    <w:rsid w:val="00E577D3"/>
    <w:rsid w:val="00E5787A"/>
    <w:rsid w:val="00E5788C"/>
    <w:rsid w:val="00E578D2"/>
    <w:rsid w:val="00E5791A"/>
    <w:rsid w:val="00E579C7"/>
    <w:rsid w:val="00E579D1"/>
    <w:rsid w:val="00E57AD7"/>
    <w:rsid w:val="00E57AE3"/>
    <w:rsid w:val="00E57BE8"/>
    <w:rsid w:val="00E57C3E"/>
    <w:rsid w:val="00E57CF5"/>
    <w:rsid w:val="00E57D58"/>
    <w:rsid w:val="00E57D6A"/>
    <w:rsid w:val="00E57E8E"/>
    <w:rsid w:val="00E57ECB"/>
    <w:rsid w:val="00E57F5A"/>
    <w:rsid w:val="00E57FA4"/>
    <w:rsid w:val="00E57FB1"/>
    <w:rsid w:val="00E60019"/>
    <w:rsid w:val="00E60086"/>
    <w:rsid w:val="00E60128"/>
    <w:rsid w:val="00E601C5"/>
    <w:rsid w:val="00E60239"/>
    <w:rsid w:val="00E60258"/>
    <w:rsid w:val="00E6026D"/>
    <w:rsid w:val="00E602FF"/>
    <w:rsid w:val="00E6049D"/>
    <w:rsid w:val="00E6051D"/>
    <w:rsid w:val="00E60530"/>
    <w:rsid w:val="00E6053B"/>
    <w:rsid w:val="00E6060B"/>
    <w:rsid w:val="00E60637"/>
    <w:rsid w:val="00E6066A"/>
    <w:rsid w:val="00E606B9"/>
    <w:rsid w:val="00E607BE"/>
    <w:rsid w:val="00E608DE"/>
    <w:rsid w:val="00E60983"/>
    <w:rsid w:val="00E609DA"/>
    <w:rsid w:val="00E60B12"/>
    <w:rsid w:val="00E60BA2"/>
    <w:rsid w:val="00E60BAE"/>
    <w:rsid w:val="00E60D4C"/>
    <w:rsid w:val="00E60DE4"/>
    <w:rsid w:val="00E610DF"/>
    <w:rsid w:val="00E61110"/>
    <w:rsid w:val="00E6111F"/>
    <w:rsid w:val="00E61130"/>
    <w:rsid w:val="00E612B2"/>
    <w:rsid w:val="00E613B7"/>
    <w:rsid w:val="00E614BC"/>
    <w:rsid w:val="00E616B0"/>
    <w:rsid w:val="00E61773"/>
    <w:rsid w:val="00E61836"/>
    <w:rsid w:val="00E61997"/>
    <w:rsid w:val="00E61A9E"/>
    <w:rsid w:val="00E61AAB"/>
    <w:rsid w:val="00E61B9A"/>
    <w:rsid w:val="00E61C93"/>
    <w:rsid w:val="00E61CD6"/>
    <w:rsid w:val="00E61CD9"/>
    <w:rsid w:val="00E61E3F"/>
    <w:rsid w:val="00E61FE8"/>
    <w:rsid w:val="00E6201A"/>
    <w:rsid w:val="00E6203D"/>
    <w:rsid w:val="00E620E8"/>
    <w:rsid w:val="00E6214E"/>
    <w:rsid w:val="00E621FC"/>
    <w:rsid w:val="00E625DD"/>
    <w:rsid w:val="00E625E8"/>
    <w:rsid w:val="00E6271D"/>
    <w:rsid w:val="00E627C3"/>
    <w:rsid w:val="00E628E0"/>
    <w:rsid w:val="00E628F0"/>
    <w:rsid w:val="00E62A23"/>
    <w:rsid w:val="00E62AAE"/>
    <w:rsid w:val="00E62AEB"/>
    <w:rsid w:val="00E62D24"/>
    <w:rsid w:val="00E62E12"/>
    <w:rsid w:val="00E630C8"/>
    <w:rsid w:val="00E63176"/>
    <w:rsid w:val="00E63292"/>
    <w:rsid w:val="00E63543"/>
    <w:rsid w:val="00E6357C"/>
    <w:rsid w:val="00E63595"/>
    <w:rsid w:val="00E63600"/>
    <w:rsid w:val="00E6360D"/>
    <w:rsid w:val="00E637BF"/>
    <w:rsid w:val="00E637C1"/>
    <w:rsid w:val="00E638D1"/>
    <w:rsid w:val="00E63909"/>
    <w:rsid w:val="00E6393F"/>
    <w:rsid w:val="00E63AB6"/>
    <w:rsid w:val="00E63B07"/>
    <w:rsid w:val="00E63D08"/>
    <w:rsid w:val="00E63F16"/>
    <w:rsid w:val="00E64168"/>
    <w:rsid w:val="00E64190"/>
    <w:rsid w:val="00E641FC"/>
    <w:rsid w:val="00E642B7"/>
    <w:rsid w:val="00E644DF"/>
    <w:rsid w:val="00E64556"/>
    <w:rsid w:val="00E646EB"/>
    <w:rsid w:val="00E6474A"/>
    <w:rsid w:val="00E6477A"/>
    <w:rsid w:val="00E6478E"/>
    <w:rsid w:val="00E647B1"/>
    <w:rsid w:val="00E647F7"/>
    <w:rsid w:val="00E64999"/>
    <w:rsid w:val="00E64A4D"/>
    <w:rsid w:val="00E64B8F"/>
    <w:rsid w:val="00E64D08"/>
    <w:rsid w:val="00E64DF9"/>
    <w:rsid w:val="00E64EDD"/>
    <w:rsid w:val="00E64EE9"/>
    <w:rsid w:val="00E65164"/>
    <w:rsid w:val="00E65471"/>
    <w:rsid w:val="00E654A8"/>
    <w:rsid w:val="00E6567C"/>
    <w:rsid w:val="00E657BA"/>
    <w:rsid w:val="00E657BD"/>
    <w:rsid w:val="00E658E9"/>
    <w:rsid w:val="00E659A9"/>
    <w:rsid w:val="00E659B2"/>
    <w:rsid w:val="00E65B2C"/>
    <w:rsid w:val="00E65CEF"/>
    <w:rsid w:val="00E65D88"/>
    <w:rsid w:val="00E65E79"/>
    <w:rsid w:val="00E65F8F"/>
    <w:rsid w:val="00E66109"/>
    <w:rsid w:val="00E66164"/>
    <w:rsid w:val="00E66182"/>
    <w:rsid w:val="00E661CE"/>
    <w:rsid w:val="00E661DA"/>
    <w:rsid w:val="00E662ED"/>
    <w:rsid w:val="00E66485"/>
    <w:rsid w:val="00E66512"/>
    <w:rsid w:val="00E665F5"/>
    <w:rsid w:val="00E66685"/>
    <w:rsid w:val="00E666E6"/>
    <w:rsid w:val="00E66821"/>
    <w:rsid w:val="00E66847"/>
    <w:rsid w:val="00E6693F"/>
    <w:rsid w:val="00E669F0"/>
    <w:rsid w:val="00E66A2E"/>
    <w:rsid w:val="00E66B9E"/>
    <w:rsid w:val="00E66C21"/>
    <w:rsid w:val="00E66E30"/>
    <w:rsid w:val="00E66E44"/>
    <w:rsid w:val="00E66F18"/>
    <w:rsid w:val="00E66F2B"/>
    <w:rsid w:val="00E670B5"/>
    <w:rsid w:val="00E670C0"/>
    <w:rsid w:val="00E671DC"/>
    <w:rsid w:val="00E67278"/>
    <w:rsid w:val="00E672FD"/>
    <w:rsid w:val="00E67337"/>
    <w:rsid w:val="00E6745F"/>
    <w:rsid w:val="00E675A1"/>
    <w:rsid w:val="00E67641"/>
    <w:rsid w:val="00E6772A"/>
    <w:rsid w:val="00E67738"/>
    <w:rsid w:val="00E6776C"/>
    <w:rsid w:val="00E677DD"/>
    <w:rsid w:val="00E67905"/>
    <w:rsid w:val="00E67A1B"/>
    <w:rsid w:val="00E67AA8"/>
    <w:rsid w:val="00E67B7B"/>
    <w:rsid w:val="00E67D76"/>
    <w:rsid w:val="00E67DDB"/>
    <w:rsid w:val="00E67DFA"/>
    <w:rsid w:val="00E67F8D"/>
    <w:rsid w:val="00E700A6"/>
    <w:rsid w:val="00E70233"/>
    <w:rsid w:val="00E7044C"/>
    <w:rsid w:val="00E705D3"/>
    <w:rsid w:val="00E708CE"/>
    <w:rsid w:val="00E709A4"/>
    <w:rsid w:val="00E709FB"/>
    <w:rsid w:val="00E70A37"/>
    <w:rsid w:val="00E70A8E"/>
    <w:rsid w:val="00E70B3D"/>
    <w:rsid w:val="00E70B5D"/>
    <w:rsid w:val="00E70C05"/>
    <w:rsid w:val="00E70C2B"/>
    <w:rsid w:val="00E70C4B"/>
    <w:rsid w:val="00E70DC2"/>
    <w:rsid w:val="00E70E65"/>
    <w:rsid w:val="00E710B9"/>
    <w:rsid w:val="00E7115B"/>
    <w:rsid w:val="00E71197"/>
    <w:rsid w:val="00E711AF"/>
    <w:rsid w:val="00E71238"/>
    <w:rsid w:val="00E71254"/>
    <w:rsid w:val="00E712C5"/>
    <w:rsid w:val="00E71455"/>
    <w:rsid w:val="00E714B2"/>
    <w:rsid w:val="00E715D7"/>
    <w:rsid w:val="00E71631"/>
    <w:rsid w:val="00E7167A"/>
    <w:rsid w:val="00E717A1"/>
    <w:rsid w:val="00E7182F"/>
    <w:rsid w:val="00E718CA"/>
    <w:rsid w:val="00E718F9"/>
    <w:rsid w:val="00E71A83"/>
    <w:rsid w:val="00E71B4E"/>
    <w:rsid w:val="00E71BD5"/>
    <w:rsid w:val="00E71D72"/>
    <w:rsid w:val="00E72054"/>
    <w:rsid w:val="00E720F7"/>
    <w:rsid w:val="00E722DB"/>
    <w:rsid w:val="00E722F1"/>
    <w:rsid w:val="00E72309"/>
    <w:rsid w:val="00E7253A"/>
    <w:rsid w:val="00E72666"/>
    <w:rsid w:val="00E72769"/>
    <w:rsid w:val="00E727A8"/>
    <w:rsid w:val="00E727D3"/>
    <w:rsid w:val="00E72835"/>
    <w:rsid w:val="00E72879"/>
    <w:rsid w:val="00E7294D"/>
    <w:rsid w:val="00E7295E"/>
    <w:rsid w:val="00E72A6F"/>
    <w:rsid w:val="00E72BFC"/>
    <w:rsid w:val="00E72D71"/>
    <w:rsid w:val="00E72E95"/>
    <w:rsid w:val="00E72ED1"/>
    <w:rsid w:val="00E73505"/>
    <w:rsid w:val="00E736A7"/>
    <w:rsid w:val="00E7372D"/>
    <w:rsid w:val="00E7378E"/>
    <w:rsid w:val="00E73837"/>
    <w:rsid w:val="00E738C7"/>
    <w:rsid w:val="00E738F7"/>
    <w:rsid w:val="00E738F9"/>
    <w:rsid w:val="00E7397D"/>
    <w:rsid w:val="00E73A45"/>
    <w:rsid w:val="00E73A6A"/>
    <w:rsid w:val="00E73AA9"/>
    <w:rsid w:val="00E73B7F"/>
    <w:rsid w:val="00E73CEF"/>
    <w:rsid w:val="00E73ECE"/>
    <w:rsid w:val="00E73F6F"/>
    <w:rsid w:val="00E73F88"/>
    <w:rsid w:val="00E74128"/>
    <w:rsid w:val="00E7423C"/>
    <w:rsid w:val="00E74311"/>
    <w:rsid w:val="00E7431A"/>
    <w:rsid w:val="00E74477"/>
    <w:rsid w:val="00E744B0"/>
    <w:rsid w:val="00E745BF"/>
    <w:rsid w:val="00E74638"/>
    <w:rsid w:val="00E74770"/>
    <w:rsid w:val="00E7488B"/>
    <w:rsid w:val="00E74A69"/>
    <w:rsid w:val="00E74C09"/>
    <w:rsid w:val="00E74D39"/>
    <w:rsid w:val="00E74DD3"/>
    <w:rsid w:val="00E74F54"/>
    <w:rsid w:val="00E74F84"/>
    <w:rsid w:val="00E7509F"/>
    <w:rsid w:val="00E7510E"/>
    <w:rsid w:val="00E75196"/>
    <w:rsid w:val="00E7519D"/>
    <w:rsid w:val="00E751E9"/>
    <w:rsid w:val="00E75213"/>
    <w:rsid w:val="00E7521B"/>
    <w:rsid w:val="00E75273"/>
    <w:rsid w:val="00E7535D"/>
    <w:rsid w:val="00E753FE"/>
    <w:rsid w:val="00E755AC"/>
    <w:rsid w:val="00E75603"/>
    <w:rsid w:val="00E75650"/>
    <w:rsid w:val="00E7568A"/>
    <w:rsid w:val="00E75765"/>
    <w:rsid w:val="00E759BA"/>
    <w:rsid w:val="00E75C38"/>
    <w:rsid w:val="00E75C91"/>
    <w:rsid w:val="00E75CE0"/>
    <w:rsid w:val="00E75D2C"/>
    <w:rsid w:val="00E75FE6"/>
    <w:rsid w:val="00E75FF4"/>
    <w:rsid w:val="00E76077"/>
    <w:rsid w:val="00E7650E"/>
    <w:rsid w:val="00E765E4"/>
    <w:rsid w:val="00E766AC"/>
    <w:rsid w:val="00E767AA"/>
    <w:rsid w:val="00E76826"/>
    <w:rsid w:val="00E768E3"/>
    <w:rsid w:val="00E768F1"/>
    <w:rsid w:val="00E769B5"/>
    <w:rsid w:val="00E76A58"/>
    <w:rsid w:val="00E76A98"/>
    <w:rsid w:val="00E76AAC"/>
    <w:rsid w:val="00E76B5D"/>
    <w:rsid w:val="00E76D69"/>
    <w:rsid w:val="00E76D89"/>
    <w:rsid w:val="00E76DC9"/>
    <w:rsid w:val="00E76E91"/>
    <w:rsid w:val="00E76EF2"/>
    <w:rsid w:val="00E7700A"/>
    <w:rsid w:val="00E77091"/>
    <w:rsid w:val="00E77255"/>
    <w:rsid w:val="00E7728E"/>
    <w:rsid w:val="00E772DF"/>
    <w:rsid w:val="00E772E6"/>
    <w:rsid w:val="00E773E3"/>
    <w:rsid w:val="00E77412"/>
    <w:rsid w:val="00E77477"/>
    <w:rsid w:val="00E77547"/>
    <w:rsid w:val="00E7768B"/>
    <w:rsid w:val="00E77755"/>
    <w:rsid w:val="00E7776E"/>
    <w:rsid w:val="00E777B1"/>
    <w:rsid w:val="00E77858"/>
    <w:rsid w:val="00E779C5"/>
    <w:rsid w:val="00E77A1B"/>
    <w:rsid w:val="00E77A83"/>
    <w:rsid w:val="00E77ADB"/>
    <w:rsid w:val="00E77AE3"/>
    <w:rsid w:val="00E77B7E"/>
    <w:rsid w:val="00E77DA2"/>
    <w:rsid w:val="00E77E1D"/>
    <w:rsid w:val="00E77F43"/>
    <w:rsid w:val="00E8010E"/>
    <w:rsid w:val="00E8012C"/>
    <w:rsid w:val="00E80159"/>
    <w:rsid w:val="00E80210"/>
    <w:rsid w:val="00E803CC"/>
    <w:rsid w:val="00E80411"/>
    <w:rsid w:val="00E80552"/>
    <w:rsid w:val="00E80597"/>
    <w:rsid w:val="00E80673"/>
    <w:rsid w:val="00E806A2"/>
    <w:rsid w:val="00E806B6"/>
    <w:rsid w:val="00E807EC"/>
    <w:rsid w:val="00E80AA0"/>
    <w:rsid w:val="00E80B86"/>
    <w:rsid w:val="00E80B99"/>
    <w:rsid w:val="00E80C59"/>
    <w:rsid w:val="00E80C72"/>
    <w:rsid w:val="00E80E67"/>
    <w:rsid w:val="00E80EBE"/>
    <w:rsid w:val="00E81021"/>
    <w:rsid w:val="00E810CD"/>
    <w:rsid w:val="00E81160"/>
    <w:rsid w:val="00E8119F"/>
    <w:rsid w:val="00E8124C"/>
    <w:rsid w:val="00E81387"/>
    <w:rsid w:val="00E813DC"/>
    <w:rsid w:val="00E813FA"/>
    <w:rsid w:val="00E81484"/>
    <w:rsid w:val="00E814AE"/>
    <w:rsid w:val="00E81502"/>
    <w:rsid w:val="00E8159E"/>
    <w:rsid w:val="00E8161F"/>
    <w:rsid w:val="00E81688"/>
    <w:rsid w:val="00E8168E"/>
    <w:rsid w:val="00E817BD"/>
    <w:rsid w:val="00E819FC"/>
    <w:rsid w:val="00E81C4D"/>
    <w:rsid w:val="00E81C57"/>
    <w:rsid w:val="00E81CDC"/>
    <w:rsid w:val="00E81D03"/>
    <w:rsid w:val="00E81EF2"/>
    <w:rsid w:val="00E81FAC"/>
    <w:rsid w:val="00E822BE"/>
    <w:rsid w:val="00E824D2"/>
    <w:rsid w:val="00E8257F"/>
    <w:rsid w:val="00E82611"/>
    <w:rsid w:val="00E8266F"/>
    <w:rsid w:val="00E8271F"/>
    <w:rsid w:val="00E8282C"/>
    <w:rsid w:val="00E828F9"/>
    <w:rsid w:val="00E82B44"/>
    <w:rsid w:val="00E82B67"/>
    <w:rsid w:val="00E82BB1"/>
    <w:rsid w:val="00E82BB6"/>
    <w:rsid w:val="00E82BFB"/>
    <w:rsid w:val="00E82D47"/>
    <w:rsid w:val="00E82D4A"/>
    <w:rsid w:val="00E82E14"/>
    <w:rsid w:val="00E82E1A"/>
    <w:rsid w:val="00E82F01"/>
    <w:rsid w:val="00E82F5B"/>
    <w:rsid w:val="00E82F8B"/>
    <w:rsid w:val="00E83050"/>
    <w:rsid w:val="00E83068"/>
    <w:rsid w:val="00E830BB"/>
    <w:rsid w:val="00E830C3"/>
    <w:rsid w:val="00E8318E"/>
    <w:rsid w:val="00E83273"/>
    <w:rsid w:val="00E832A4"/>
    <w:rsid w:val="00E833B6"/>
    <w:rsid w:val="00E833F3"/>
    <w:rsid w:val="00E834BD"/>
    <w:rsid w:val="00E8358A"/>
    <w:rsid w:val="00E83651"/>
    <w:rsid w:val="00E836BE"/>
    <w:rsid w:val="00E836DA"/>
    <w:rsid w:val="00E83832"/>
    <w:rsid w:val="00E8397B"/>
    <w:rsid w:val="00E839BD"/>
    <w:rsid w:val="00E839FE"/>
    <w:rsid w:val="00E83B06"/>
    <w:rsid w:val="00E83BD1"/>
    <w:rsid w:val="00E83C75"/>
    <w:rsid w:val="00E83C97"/>
    <w:rsid w:val="00E83D7B"/>
    <w:rsid w:val="00E83DCF"/>
    <w:rsid w:val="00E83DFF"/>
    <w:rsid w:val="00E83F40"/>
    <w:rsid w:val="00E83F99"/>
    <w:rsid w:val="00E840D9"/>
    <w:rsid w:val="00E840E1"/>
    <w:rsid w:val="00E840F4"/>
    <w:rsid w:val="00E84160"/>
    <w:rsid w:val="00E841ED"/>
    <w:rsid w:val="00E84513"/>
    <w:rsid w:val="00E84554"/>
    <w:rsid w:val="00E84625"/>
    <w:rsid w:val="00E8466E"/>
    <w:rsid w:val="00E846E6"/>
    <w:rsid w:val="00E847FA"/>
    <w:rsid w:val="00E84813"/>
    <w:rsid w:val="00E84993"/>
    <w:rsid w:val="00E849D3"/>
    <w:rsid w:val="00E849D9"/>
    <w:rsid w:val="00E84A66"/>
    <w:rsid w:val="00E84DC2"/>
    <w:rsid w:val="00E84EAF"/>
    <w:rsid w:val="00E84EC1"/>
    <w:rsid w:val="00E84EC8"/>
    <w:rsid w:val="00E84F25"/>
    <w:rsid w:val="00E850B8"/>
    <w:rsid w:val="00E852E5"/>
    <w:rsid w:val="00E85395"/>
    <w:rsid w:val="00E853B6"/>
    <w:rsid w:val="00E853D1"/>
    <w:rsid w:val="00E853F1"/>
    <w:rsid w:val="00E854FC"/>
    <w:rsid w:val="00E85628"/>
    <w:rsid w:val="00E85636"/>
    <w:rsid w:val="00E85642"/>
    <w:rsid w:val="00E856B7"/>
    <w:rsid w:val="00E85714"/>
    <w:rsid w:val="00E85876"/>
    <w:rsid w:val="00E859FB"/>
    <w:rsid w:val="00E85A1D"/>
    <w:rsid w:val="00E85AC8"/>
    <w:rsid w:val="00E85BAA"/>
    <w:rsid w:val="00E85BFF"/>
    <w:rsid w:val="00E85C3E"/>
    <w:rsid w:val="00E85CAD"/>
    <w:rsid w:val="00E85D38"/>
    <w:rsid w:val="00E85DE3"/>
    <w:rsid w:val="00E85F93"/>
    <w:rsid w:val="00E85FD8"/>
    <w:rsid w:val="00E85FF0"/>
    <w:rsid w:val="00E86145"/>
    <w:rsid w:val="00E8615E"/>
    <w:rsid w:val="00E861C7"/>
    <w:rsid w:val="00E8624C"/>
    <w:rsid w:val="00E8624F"/>
    <w:rsid w:val="00E86399"/>
    <w:rsid w:val="00E8639F"/>
    <w:rsid w:val="00E86421"/>
    <w:rsid w:val="00E8649D"/>
    <w:rsid w:val="00E86668"/>
    <w:rsid w:val="00E867D2"/>
    <w:rsid w:val="00E867EF"/>
    <w:rsid w:val="00E868B9"/>
    <w:rsid w:val="00E868C1"/>
    <w:rsid w:val="00E86B5C"/>
    <w:rsid w:val="00E86BE4"/>
    <w:rsid w:val="00E86D63"/>
    <w:rsid w:val="00E86DD6"/>
    <w:rsid w:val="00E86FC8"/>
    <w:rsid w:val="00E87028"/>
    <w:rsid w:val="00E870B0"/>
    <w:rsid w:val="00E87119"/>
    <w:rsid w:val="00E8723F"/>
    <w:rsid w:val="00E87295"/>
    <w:rsid w:val="00E872BF"/>
    <w:rsid w:val="00E872EA"/>
    <w:rsid w:val="00E87449"/>
    <w:rsid w:val="00E8748F"/>
    <w:rsid w:val="00E8750D"/>
    <w:rsid w:val="00E875DB"/>
    <w:rsid w:val="00E876F7"/>
    <w:rsid w:val="00E87803"/>
    <w:rsid w:val="00E878C9"/>
    <w:rsid w:val="00E878D7"/>
    <w:rsid w:val="00E879B5"/>
    <w:rsid w:val="00E879CC"/>
    <w:rsid w:val="00E87A5A"/>
    <w:rsid w:val="00E87A69"/>
    <w:rsid w:val="00E87AE2"/>
    <w:rsid w:val="00E87B41"/>
    <w:rsid w:val="00E87B42"/>
    <w:rsid w:val="00E87C73"/>
    <w:rsid w:val="00E87CC9"/>
    <w:rsid w:val="00E87F0A"/>
    <w:rsid w:val="00E87F51"/>
    <w:rsid w:val="00E87FE4"/>
    <w:rsid w:val="00E900D1"/>
    <w:rsid w:val="00E9025F"/>
    <w:rsid w:val="00E9026E"/>
    <w:rsid w:val="00E9030A"/>
    <w:rsid w:val="00E90335"/>
    <w:rsid w:val="00E90342"/>
    <w:rsid w:val="00E903B9"/>
    <w:rsid w:val="00E90432"/>
    <w:rsid w:val="00E90454"/>
    <w:rsid w:val="00E90463"/>
    <w:rsid w:val="00E9063A"/>
    <w:rsid w:val="00E90886"/>
    <w:rsid w:val="00E90A1A"/>
    <w:rsid w:val="00E90BDF"/>
    <w:rsid w:val="00E90C4F"/>
    <w:rsid w:val="00E90C59"/>
    <w:rsid w:val="00E90D8B"/>
    <w:rsid w:val="00E90D90"/>
    <w:rsid w:val="00E90DA7"/>
    <w:rsid w:val="00E90E07"/>
    <w:rsid w:val="00E90E0B"/>
    <w:rsid w:val="00E90E20"/>
    <w:rsid w:val="00E90E36"/>
    <w:rsid w:val="00E90F10"/>
    <w:rsid w:val="00E90FE7"/>
    <w:rsid w:val="00E910A5"/>
    <w:rsid w:val="00E91131"/>
    <w:rsid w:val="00E91168"/>
    <w:rsid w:val="00E9120C"/>
    <w:rsid w:val="00E91352"/>
    <w:rsid w:val="00E9142E"/>
    <w:rsid w:val="00E91507"/>
    <w:rsid w:val="00E915A7"/>
    <w:rsid w:val="00E91688"/>
    <w:rsid w:val="00E91753"/>
    <w:rsid w:val="00E9179D"/>
    <w:rsid w:val="00E91831"/>
    <w:rsid w:val="00E91916"/>
    <w:rsid w:val="00E919B8"/>
    <w:rsid w:val="00E91A08"/>
    <w:rsid w:val="00E91A6A"/>
    <w:rsid w:val="00E91A9A"/>
    <w:rsid w:val="00E91B5B"/>
    <w:rsid w:val="00E91B61"/>
    <w:rsid w:val="00E91BA9"/>
    <w:rsid w:val="00E91D3D"/>
    <w:rsid w:val="00E91F02"/>
    <w:rsid w:val="00E920B3"/>
    <w:rsid w:val="00E92100"/>
    <w:rsid w:val="00E92152"/>
    <w:rsid w:val="00E921BE"/>
    <w:rsid w:val="00E92213"/>
    <w:rsid w:val="00E922B7"/>
    <w:rsid w:val="00E9245A"/>
    <w:rsid w:val="00E924A5"/>
    <w:rsid w:val="00E9250E"/>
    <w:rsid w:val="00E92676"/>
    <w:rsid w:val="00E92696"/>
    <w:rsid w:val="00E926A6"/>
    <w:rsid w:val="00E926DE"/>
    <w:rsid w:val="00E92910"/>
    <w:rsid w:val="00E92964"/>
    <w:rsid w:val="00E929BC"/>
    <w:rsid w:val="00E92A07"/>
    <w:rsid w:val="00E92B25"/>
    <w:rsid w:val="00E92BED"/>
    <w:rsid w:val="00E92C02"/>
    <w:rsid w:val="00E92DCD"/>
    <w:rsid w:val="00E92E19"/>
    <w:rsid w:val="00E93166"/>
    <w:rsid w:val="00E93340"/>
    <w:rsid w:val="00E933EF"/>
    <w:rsid w:val="00E93478"/>
    <w:rsid w:val="00E93536"/>
    <w:rsid w:val="00E93549"/>
    <w:rsid w:val="00E93555"/>
    <w:rsid w:val="00E935B0"/>
    <w:rsid w:val="00E93637"/>
    <w:rsid w:val="00E9368C"/>
    <w:rsid w:val="00E9376B"/>
    <w:rsid w:val="00E93803"/>
    <w:rsid w:val="00E938B7"/>
    <w:rsid w:val="00E93B25"/>
    <w:rsid w:val="00E93C4D"/>
    <w:rsid w:val="00E93EDC"/>
    <w:rsid w:val="00E93FD6"/>
    <w:rsid w:val="00E9400C"/>
    <w:rsid w:val="00E94044"/>
    <w:rsid w:val="00E9408E"/>
    <w:rsid w:val="00E940C3"/>
    <w:rsid w:val="00E940C7"/>
    <w:rsid w:val="00E9424B"/>
    <w:rsid w:val="00E942E5"/>
    <w:rsid w:val="00E9433C"/>
    <w:rsid w:val="00E94464"/>
    <w:rsid w:val="00E9452A"/>
    <w:rsid w:val="00E945CA"/>
    <w:rsid w:val="00E94653"/>
    <w:rsid w:val="00E9484D"/>
    <w:rsid w:val="00E94A98"/>
    <w:rsid w:val="00E94B27"/>
    <w:rsid w:val="00E94BF0"/>
    <w:rsid w:val="00E94C3A"/>
    <w:rsid w:val="00E94C5E"/>
    <w:rsid w:val="00E94CAF"/>
    <w:rsid w:val="00E94D68"/>
    <w:rsid w:val="00E94E7E"/>
    <w:rsid w:val="00E94F07"/>
    <w:rsid w:val="00E94F4B"/>
    <w:rsid w:val="00E9501C"/>
    <w:rsid w:val="00E95035"/>
    <w:rsid w:val="00E950D8"/>
    <w:rsid w:val="00E9518F"/>
    <w:rsid w:val="00E95224"/>
    <w:rsid w:val="00E95274"/>
    <w:rsid w:val="00E95281"/>
    <w:rsid w:val="00E95288"/>
    <w:rsid w:val="00E953CE"/>
    <w:rsid w:val="00E95420"/>
    <w:rsid w:val="00E95475"/>
    <w:rsid w:val="00E954FC"/>
    <w:rsid w:val="00E9557C"/>
    <w:rsid w:val="00E95607"/>
    <w:rsid w:val="00E9563E"/>
    <w:rsid w:val="00E956F4"/>
    <w:rsid w:val="00E9587B"/>
    <w:rsid w:val="00E9588E"/>
    <w:rsid w:val="00E95958"/>
    <w:rsid w:val="00E959C4"/>
    <w:rsid w:val="00E95A3A"/>
    <w:rsid w:val="00E95ABA"/>
    <w:rsid w:val="00E95ADF"/>
    <w:rsid w:val="00E95C99"/>
    <w:rsid w:val="00E95CE2"/>
    <w:rsid w:val="00E95D12"/>
    <w:rsid w:val="00E96166"/>
    <w:rsid w:val="00E96358"/>
    <w:rsid w:val="00E963B7"/>
    <w:rsid w:val="00E9677A"/>
    <w:rsid w:val="00E967E9"/>
    <w:rsid w:val="00E968B7"/>
    <w:rsid w:val="00E96996"/>
    <w:rsid w:val="00E96B64"/>
    <w:rsid w:val="00E96C9F"/>
    <w:rsid w:val="00E96D57"/>
    <w:rsid w:val="00E96DC2"/>
    <w:rsid w:val="00E96DD4"/>
    <w:rsid w:val="00E96E6B"/>
    <w:rsid w:val="00E96EDB"/>
    <w:rsid w:val="00E96F04"/>
    <w:rsid w:val="00E97055"/>
    <w:rsid w:val="00E972D7"/>
    <w:rsid w:val="00E97318"/>
    <w:rsid w:val="00E97460"/>
    <w:rsid w:val="00E9766F"/>
    <w:rsid w:val="00E97687"/>
    <w:rsid w:val="00E976DE"/>
    <w:rsid w:val="00E976FA"/>
    <w:rsid w:val="00E97770"/>
    <w:rsid w:val="00E97929"/>
    <w:rsid w:val="00E97999"/>
    <w:rsid w:val="00E979DE"/>
    <w:rsid w:val="00E97B88"/>
    <w:rsid w:val="00E97C0B"/>
    <w:rsid w:val="00E97C6A"/>
    <w:rsid w:val="00E97CAB"/>
    <w:rsid w:val="00E97D23"/>
    <w:rsid w:val="00EA001C"/>
    <w:rsid w:val="00EA01C9"/>
    <w:rsid w:val="00EA01D3"/>
    <w:rsid w:val="00EA01EC"/>
    <w:rsid w:val="00EA02B7"/>
    <w:rsid w:val="00EA03FB"/>
    <w:rsid w:val="00EA0417"/>
    <w:rsid w:val="00EA044B"/>
    <w:rsid w:val="00EA049E"/>
    <w:rsid w:val="00EA04CC"/>
    <w:rsid w:val="00EA054A"/>
    <w:rsid w:val="00EA067D"/>
    <w:rsid w:val="00EA06B1"/>
    <w:rsid w:val="00EA081C"/>
    <w:rsid w:val="00EA0937"/>
    <w:rsid w:val="00EA0C20"/>
    <w:rsid w:val="00EA0CD0"/>
    <w:rsid w:val="00EA0DAD"/>
    <w:rsid w:val="00EA0E66"/>
    <w:rsid w:val="00EA1042"/>
    <w:rsid w:val="00EA10F2"/>
    <w:rsid w:val="00EA1134"/>
    <w:rsid w:val="00EA1154"/>
    <w:rsid w:val="00EA11C3"/>
    <w:rsid w:val="00EA1205"/>
    <w:rsid w:val="00EA1496"/>
    <w:rsid w:val="00EA1515"/>
    <w:rsid w:val="00EA159C"/>
    <w:rsid w:val="00EA16EC"/>
    <w:rsid w:val="00EA176E"/>
    <w:rsid w:val="00EA179E"/>
    <w:rsid w:val="00EA183D"/>
    <w:rsid w:val="00EA18B0"/>
    <w:rsid w:val="00EA196D"/>
    <w:rsid w:val="00EA1BC0"/>
    <w:rsid w:val="00EA1C57"/>
    <w:rsid w:val="00EA1C7F"/>
    <w:rsid w:val="00EA1CF1"/>
    <w:rsid w:val="00EA1E46"/>
    <w:rsid w:val="00EA1F8C"/>
    <w:rsid w:val="00EA1FC8"/>
    <w:rsid w:val="00EA201D"/>
    <w:rsid w:val="00EA21AE"/>
    <w:rsid w:val="00EA2254"/>
    <w:rsid w:val="00EA22B4"/>
    <w:rsid w:val="00EA2418"/>
    <w:rsid w:val="00EA2516"/>
    <w:rsid w:val="00EA253D"/>
    <w:rsid w:val="00EA253F"/>
    <w:rsid w:val="00EA25B6"/>
    <w:rsid w:val="00EA25CA"/>
    <w:rsid w:val="00EA25D2"/>
    <w:rsid w:val="00EA26CD"/>
    <w:rsid w:val="00EA28C1"/>
    <w:rsid w:val="00EA2996"/>
    <w:rsid w:val="00EA2A13"/>
    <w:rsid w:val="00EA2A25"/>
    <w:rsid w:val="00EA2B68"/>
    <w:rsid w:val="00EA2BA9"/>
    <w:rsid w:val="00EA2CC2"/>
    <w:rsid w:val="00EA2DBF"/>
    <w:rsid w:val="00EA2DD5"/>
    <w:rsid w:val="00EA2DFA"/>
    <w:rsid w:val="00EA2E32"/>
    <w:rsid w:val="00EA2EC8"/>
    <w:rsid w:val="00EA2F06"/>
    <w:rsid w:val="00EA3072"/>
    <w:rsid w:val="00EA30F1"/>
    <w:rsid w:val="00EA311D"/>
    <w:rsid w:val="00EA3419"/>
    <w:rsid w:val="00EA345A"/>
    <w:rsid w:val="00EA3572"/>
    <w:rsid w:val="00EA363E"/>
    <w:rsid w:val="00EA3663"/>
    <w:rsid w:val="00EA3689"/>
    <w:rsid w:val="00EA36C2"/>
    <w:rsid w:val="00EA383B"/>
    <w:rsid w:val="00EA3875"/>
    <w:rsid w:val="00EA38EF"/>
    <w:rsid w:val="00EA3A72"/>
    <w:rsid w:val="00EA3B3D"/>
    <w:rsid w:val="00EA3B65"/>
    <w:rsid w:val="00EA3C07"/>
    <w:rsid w:val="00EA3CF2"/>
    <w:rsid w:val="00EA3D02"/>
    <w:rsid w:val="00EA3DA3"/>
    <w:rsid w:val="00EA3E3C"/>
    <w:rsid w:val="00EA3EFD"/>
    <w:rsid w:val="00EA42DB"/>
    <w:rsid w:val="00EA42EA"/>
    <w:rsid w:val="00EA43BB"/>
    <w:rsid w:val="00EA4461"/>
    <w:rsid w:val="00EA44FF"/>
    <w:rsid w:val="00EA45E3"/>
    <w:rsid w:val="00EA4609"/>
    <w:rsid w:val="00EA4747"/>
    <w:rsid w:val="00EA478C"/>
    <w:rsid w:val="00EA4831"/>
    <w:rsid w:val="00EA495A"/>
    <w:rsid w:val="00EA4B37"/>
    <w:rsid w:val="00EA4CF7"/>
    <w:rsid w:val="00EA4E9C"/>
    <w:rsid w:val="00EA4ECA"/>
    <w:rsid w:val="00EA4F3C"/>
    <w:rsid w:val="00EA4FCB"/>
    <w:rsid w:val="00EA5087"/>
    <w:rsid w:val="00EA525F"/>
    <w:rsid w:val="00EA52E4"/>
    <w:rsid w:val="00EA5362"/>
    <w:rsid w:val="00EA55A8"/>
    <w:rsid w:val="00EA5665"/>
    <w:rsid w:val="00EA5697"/>
    <w:rsid w:val="00EA57C1"/>
    <w:rsid w:val="00EA5844"/>
    <w:rsid w:val="00EA58E8"/>
    <w:rsid w:val="00EA5921"/>
    <w:rsid w:val="00EA5984"/>
    <w:rsid w:val="00EA5AE9"/>
    <w:rsid w:val="00EA5AF7"/>
    <w:rsid w:val="00EA5B6D"/>
    <w:rsid w:val="00EA5B9C"/>
    <w:rsid w:val="00EA5BBE"/>
    <w:rsid w:val="00EA5C2E"/>
    <w:rsid w:val="00EA5E25"/>
    <w:rsid w:val="00EA5EF0"/>
    <w:rsid w:val="00EA612E"/>
    <w:rsid w:val="00EA61D9"/>
    <w:rsid w:val="00EA6391"/>
    <w:rsid w:val="00EA652C"/>
    <w:rsid w:val="00EA66C8"/>
    <w:rsid w:val="00EA689B"/>
    <w:rsid w:val="00EA6907"/>
    <w:rsid w:val="00EA695F"/>
    <w:rsid w:val="00EA6AB4"/>
    <w:rsid w:val="00EA6BB5"/>
    <w:rsid w:val="00EA6C9C"/>
    <w:rsid w:val="00EA6CB0"/>
    <w:rsid w:val="00EA6CBF"/>
    <w:rsid w:val="00EA6D9E"/>
    <w:rsid w:val="00EA6F74"/>
    <w:rsid w:val="00EA70C2"/>
    <w:rsid w:val="00EA71A9"/>
    <w:rsid w:val="00EA71D6"/>
    <w:rsid w:val="00EA724A"/>
    <w:rsid w:val="00EA725F"/>
    <w:rsid w:val="00EA7347"/>
    <w:rsid w:val="00EA7560"/>
    <w:rsid w:val="00EA7673"/>
    <w:rsid w:val="00EA76F1"/>
    <w:rsid w:val="00EA76F4"/>
    <w:rsid w:val="00EA7714"/>
    <w:rsid w:val="00EA7726"/>
    <w:rsid w:val="00EA780E"/>
    <w:rsid w:val="00EA7855"/>
    <w:rsid w:val="00EA7873"/>
    <w:rsid w:val="00EA7882"/>
    <w:rsid w:val="00EA78F7"/>
    <w:rsid w:val="00EA79E1"/>
    <w:rsid w:val="00EA79E9"/>
    <w:rsid w:val="00EA79FE"/>
    <w:rsid w:val="00EA7A42"/>
    <w:rsid w:val="00EA7B00"/>
    <w:rsid w:val="00EA7B68"/>
    <w:rsid w:val="00EA7C0C"/>
    <w:rsid w:val="00EA7C19"/>
    <w:rsid w:val="00EA7C1D"/>
    <w:rsid w:val="00EA7DA5"/>
    <w:rsid w:val="00EA7F0A"/>
    <w:rsid w:val="00EA7F11"/>
    <w:rsid w:val="00EA7F1F"/>
    <w:rsid w:val="00EA7F20"/>
    <w:rsid w:val="00EB00FD"/>
    <w:rsid w:val="00EB0232"/>
    <w:rsid w:val="00EB0282"/>
    <w:rsid w:val="00EB02C7"/>
    <w:rsid w:val="00EB032A"/>
    <w:rsid w:val="00EB041D"/>
    <w:rsid w:val="00EB06E8"/>
    <w:rsid w:val="00EB08DC"/>
    <w:rsid w:val="00EB0925"/>
    <w:rsid w:val="00EB0931"/>
    <w:rsid w:val="00EB0999"/>
    <w:rsid w:val="00EB09A1"/>
    <w:rsid w:val="00EB0AE5"/>
    <w:rsid w:val="00EB0B04"/>
    <w:rsid w:val="00EB0E1D"/>
    <w:rsid w:val="00EB0F24"/>
    <w:rsid w:val="00EB1000"/>
    <w:rsid w:val="00EB1022"/>
    <w:rsid w:val="00EB1026"/>
    <w:rsid w:val="00EB1069"/>
    <w:rsid w:val="00EB10A8"/>
    <w:rsid w:val="00EB11CA"/>
    <w:rsid w:val="00EB1202"/>
    <w:rsid w:val="00EB169B"/>
    <w:rsid w:val="00EB16B8"/>
    <w:rsid w:val="00EB1752"/>
    <w:rsid w:val="00EB18D2"/>
    <w:rsid w:val="00EB18D7"/>
    <w:rsid w:val="00EB1931"/>
    <w:rsid w:val="00EB1989"/>
    <w:rsid w:val="00EB1A10"/>
    <w:rsid w:val="00EB1B78"/>
    <w:rsid w:val="00EB1CD1"/>
    <w:rsid w:val="00EB1D72"/>
    <w:rsid w:val="00EB1EB5"/>
    <w:rsid w:val="00EB1FCC"/>
    <w:rsid w:val="00EB20B8"/>
    <w:rsid w:val="00EB234B"/>
    <w:rsid w:val="00EB2404"/>
    <w:rsid w:val="00EB2552"/>
    <w:rsid w:val="00EB26CC"/>
    <w:rsid w:val="00EB2704"/>
    <w:rsid w:val="00EB2716"/>
    <w:rsid w:val="00EB280D"/>
    <w:rsid w:val="00EB2844"/>
    <w:rsid w:val="00EB28B9"/>
    <w:rsid w:val="00EB28C9"/>
    <w:rsid w:val="00EB28DE"/>
    <w:rsid w:val="00EB28F4"/>
    <w:rsid w:val="00EB2902"/>
    <w:rsid w:val="00EB2B76"/>
    <w:rsid w:val="00EB2BCD"/>
    <w:rsid w:val="00EB2BE4"/>
    <w:rsid w:val="00EB2C47"/>
    <w:rsid w:val="00EB2C56"/>
    <w:rsid w:val="00EB2C8E"/>
    <w:rsid w:val="00EB2F31"/>
    <w:rsid w:val="00EB3019"/>
    <w:rsid w:val="00EB3074"/>
    <w:rsid w:val="00EB30C8"/>
    <w:rsid w:val="00EB30CD"/>
    <w:rsid w:val="00EB314E"/>
    <w:rsid w:val="00EB3160"/>
    <w:rsid w:val="00EB3190"/>
    <w:rsid w:val="00EB3296"/>
    <w:rsid w:val="00EB32D8"/>
    <w:rsid w:val="00EB32E3"/>
    <w:rsid w:val="00EB34D4"/>
    <w:rsid w:val="00EB350C"/>
    <w:rsid w:val="00EB3693"/>
    <w:rsid w:val="00EB36F3"/>
    <w:rsid w:val="00EB3765"/>
    <w:rsid w:val="00EB37F5"/>
    <w:rsid w:val="00EB3854"/>
    <w:rsid w:val="00EB38F6"/>
    <w:rsid w:val="00EB3B45"/>
    <w:rsid w:val="00EB3CA4"/>
    <w:rsid w:val="00EB3D5E"/>
    <w:rsid w:val="00EB3ED7"/>
    <w:rsid w:val="00EB3EED"/>
    <w:rsid w:val="00EB3F16"/>
    <w:rsid w:val="00EB3F2F"/>
    <w:rsid w:val="00EB4147"/>
    <w:rsid w:val="00EB4165"/>
    <w:rsid w:val="00EB4187"/>
    <w:rsid w:val="00EB43B6"/>
    <w:rsid w:val="00EB43F7"/>
    <w:rsid w:val="00EB440B"/>
    <w:rsid w:val="00EB44CA"/>
    <w:rsid w:val="00EB4590"/>
    <w:rsid w:val="00EB45B9"/>
    <w:rsid w:val="00EB469C"/>
    <w:rsid w:val="00EB46CB"/>
    <w:rsid w:val="00EB474C"/>
    <w:rsid w:val="00EB4BFA"/>
    <w:rsid w:val="00EB4D1C"/>
    <w:rsid w:val="00EB4D4D"/>
    <w:rsid w:val="00EB4D60"/>
    <w:rsid w:val="00EB4D6F"/>
    <w:rsid w:val="00EB4DFA"/>
    <w:rsid w:val="00EB4E3D"/>
    <w:rsid w:val="00EB5086"/>
    <w:rsid w:val="00EB51AE"/>
    <w:rsid w:val="00EB5210"/>
    <w:rsid w:val="00EB5307"/>
    <w:rsid w:val="00EB536F"/>
    <w:rsid w:val="00EB5430"/>
    <w:rsid w:val="00EB5470"/>
    <w:rsid w:val="00EB5537"/>
    <w:rsid w:val="00EB55E7"/>
    <w:rsid w:val="00EB5611"/>
    <w:rsid w:val="00EB561B"/>
    <w:rsid w:val="00EB5693"/>
    <w:rsid w:val="00EB56A8"/>
    <w:rsid w:val="00EB5726"/>
    <w:rsid w:val="00EB5750"/>
    <w:rsid w:val="00EB5774"/>
    <w:rsid w:val="00EB5869"/>
    <w:rsid w:val="00EB5929"/>
    <w:rsid w:val="00EB5964"/>
    <w:rsid w:val="00EB5A50"/>
    <w:rsid w:val="00EB5C0D"/>
    <w:rsid w:val="00EB5C24"/>
    <w:rsid w:val="00EB5D15"/>
    <w:rsid w:val="00EB5E41"/>
    <w:rsid w:val="00EB5E49"/>
    <w:rsid w:val="00EB60D6"/>
    <w:rsid w:val="00EB61AC"/>
    <w:rsid w:val="00EB6300"/>
    <w:rsid w:val="00EB6394"/>
    <w:rsid w:val="00EB642F"/>
    <w:rsid w:val="00EB647D"/>
    <w:rsid w:val="00EB64F6"/>
    <w:rsid w:val="00EB661B"/>
    <w:rsid w:val="00EB6888"/>
    <w:rsid w:val="00EB69C4"/>
    <w:rsid w:val="00EB6A0E"/>
    <w:rsid w:val="00EB6C6C"/>
    <w:rsid w:val="00EB6CC5"/>
    <w:rsid w:val="00EB6CDD"/>
    <w:rsid w:val="00EB6DF7"/>
    <w:rsid w:val="00EB6E07"/>
    <w:rsid w:val="00EB6E4C"/>
    <w:rsid w:val="00EB6EBA"/>
    <w:rsid w:val="00EB7038"/>
    <w:rsid w:val="00EB7064"/>
    <w:rsid w:val="00EB70EA"/>
    <w:rsid w:val="00EB71D9"/>
    <w:rsid w:val="00EB7254"/>
    <w:rsid w:val="00EB72D6"/>
    <w:rsid w:val="00EB7332"/>
    <w:rsid w:val="00EB73FC"/>
    <w:rsid w:val="00EB7407"/>
    <w:rsid w:val="00EB74CD"/>
    <w:rsid w:val="00EB74E0"/>
    <w:rsid w:val="00EB761A"/>
    <w:rsid w:val="00EB7646"/>
    <w:rsid w:val="00EB76BB"/>
    <w:rsid w:val="00EB7715"/>
    <w:rsid w:val="00EB774C"/>
    <w:rsid w:val="00EB7755"/>
    <w:rsid w:val="00EB795B"/>
    <w:rsid w:val="00EB79C3"/>
    <w:rsid w:val="00EB7A0A"/>
    <w:rsid w:val="00EB7AA6"/>
    <w:rsid w:val="00EB7B78"/>
    <w:rsid w:val="00EB7BBF"/>
    <w:rsid w:val="00EB7D29"/>
    <w:rsid w:val="00EB7E23"/>
    <w:rsid w:val="00EB7EFC"/>
    <w:rsid w:val="00EB7F2E"/>
    <w:rsid w:val="00EB7FC0"/>
    <w:rsid w:val="00EB7FC7"/>
    <w:rsid w:val="00EC001F"/>
    <w:rsid w:val="00EC0038"/>
    <w:rsid w:val="00EC00B5"/>
    <w:rsid w:val="00EC013E"/>
    <w:rsid w:val="00EC01DE"/>
    <w:rsid w:val="00EC01E9"/>
    <w:rsid w:val="00EC024C"/>
    <w:rsid w:val="00EC02F8"/>
    <w:rsid w:val="00EC031A"/>
    <w:rsid w:val="00EC0378"/>
    <w:rsid w:val="00EC03CC"/>
    <w:rsid w:val="00EC048B"/>
    <w:rsid w:val="00EC04CB"/>
    <w:rsid w:val="00EC07A8"/>
    <w:rsid w:val="00EC07C9"/>
    <w:rsid w:val="00EC08BE"/>
    <w:rsid w:val="00EC08FE"/>
    <w:rsid w:val="00EC0AC6"/>
    <w:rsid w:val="00EC0DA6"/>
    <w:rsid w:val="00EC0DE1"/>
    <w:rsid w:val="00EC0DE9"/>
    <w:rsid w:val="00EC0EA3"/>
    <w:rsid w:val="00EC1051"/>
    <w:rsid w:val="00EC11E6"/>
    <w:rsid w:val="00EC1596"/>
    <w:rsid w:val="00EC15C9"/>
    <w:rsid w:val="00EC15EB"/>
    <w:rsid w:val="00EC168B"/>
    <w:rsid w:val="00EC169E"/>
    <w:rsid w:val="00EC17F2"/>
    <w:rsid w:val="00EC1842"/>
    <w:rsid w:val="00EC1BD7"/>
    <w:rsid w:val="00EC1E03"/>
    <w:rsid w:val="00EC1E18"/>
    <w:rsid w:val="00EC1EDF"/>
    <w:rsid w:val="00EC1F2F"/>
    <w:rsid w:val="00EC1FA4"/>
    <w:rsid w:val="00EC2187"/>
    <w:rsid w:val="00EC2192"/>
    <w:rsid w:val="00EC21B5"/>
    <w:rsid w:val="00EC21D5"/>
    <w:rsid w:val="00EC22D1"/>
    <w:rsid w:val="00EC233C"/>
    <w:rsid w:val="00EC237B"/>
    <w:rsid w:val="00EC2464"/>
    <w:rsid w:val="00EC24B1"/>
    <w:rsid w:val="00EC24B8"/>
    <w:rsid w:val="00EC279F"/>
    <w:rsid w:val="00EC2836"/>
    <w:rsid w:val="00EC283E"/>
    <w:rsid w:val="00EC292D"/>
    <w:rsid w:val="00EC2945"/>
    <w:rsid w:val="00EC2A98"/>
    <w:rsid w:val="00EC2A9E"/>
    <w:rsid w:val="00EC2BD2"/>
    <w:rsid w:val="00EC2CF3"/>
    <w:rsid w:val="00EC2E9E"/>
    <w:rsid w:val="00EC2F81"/>
    <w:rsid w:val="00EC2FE4"/>
    <w:rsid w:val="00EC2FEF"/>
    <w:rsid w:val="00EC3165"/>
    <w:rsid w:val="00EC330E"/>
    <w:rsid w:val="00EC35A5"/>
    <w:rsid w:val="00EC35DF"/>
    <w:rsid w:val="00EC36A2"/>
    <w:rsid w:val="00EC370A"/>
    <w:rsid w:val="00EC3738"/>
    <w:rsid w:val="00EC37B4"/>
    <w:rsid w:val="00EC38E3"/>
    <w:rsid w:val="00EC3954"/>
    <w:rsid w:val="00EC39BB"/>
    <w:rsid w:val="00EC3A38"/>
    <w:rsid w:val="00EC3B7D"/>
    <w:rsid w:val="00EC3B8F"/>
    <w:rsid w:val="00EC3CFA"/>
    <w:rsid w:val="00EC3D30"/>
    <w:rsid w:val="00EC3DDE"/>
    <w:rsid w:val="00EC3E0C"/>
    <w:rsid w:val="00EC3E54"/>
    <w:rsid w:val="00EC3EA9"/>
    <w:rsid w:val="00EC3F61"/>
    <w:rsid w:val="00EC3F9F"/>
    <w:rsid w:val="00EC40BB"/>
    <w:rsid w:val="00EC4224"/>
    <w:rsid w:val="00EC4229"/>
    <w:rsid w:val="00EC428B"/>
    <w:rsid w:val="00EC44BF"/>
    <w:rsid w:val="00EC45CE"/>
    <w:rsid w:val="00EC45E6"/>
    <w:rsid w:val="00EC4781"/>
    <w:rsid w:val="00EC4784"/>
    <w:rsid w:val="00EC4852"/>
    <w:rsid w:val="00EC4857"/>
    <w:rsid w:val="00EC4916"/>
    <w:rsid w:val="00EC4A9A"/>
    <w:rsid w:val="00EC4ADC"/>
    <w:rsid w:val="00EC4CFC"/>
    <w:rsid w:val="00EC4E21"/>
    <w:rsid w:val="00EC4E25"/>
    <w:rsid w:val="00EC4E76"/>
    <w:rsid w:val="00EC4EDD"/>
    <w:rsid w:val="00EC4EE4"/>
    <w:rsid w:val="00EC4F4E"/>
    <w:rsid w:val="00EC4FB5"/>
    <w:rsid w:val="00EC4FBD"/>
    <w:rsid w:val="00EC4FF3"/>
    <w:rsid w:val="00EC5031"/>
    <w:rsid w:val="00EC51F6"/>
    <w:rsid w:val="00EC522C"/>
    <w:rsid w:val="00EC5374"/>
    <w:rsid w:val="00EC5455"/>
    <w:rsid w:val="00EC5457"/>
    <w:rsid w:val="00EC549B"/>
    <w:rsid w:val="00EC5528"/>
    <w:rsid w:val="00EC57C9"/>
    <w:rsid w:val="00EC596B"/>
    <w:rsid w:val="00EC59C0"/>
    <w:rsid w:val="00EC5A49"/>
    <w:rsid w:val="00EC5A5C"/>
    <w:rsid w:val="00EC5AD3"/>
    <w:rsid w:val="00EC5B51"/>
    <w:rsid w:val="00EC5C24"/>
    <w:rsid w:val="00EC5C5B"/>
    <w:rsid w:val="00EC5C81"/>
    <w:rsid w:val="00EC5C91"/>
    <w:rsid w:val="00EC5D2E"/>
    <w:rsid w:val="00EC5D61"/>
    <w:rsid w:val="00EC5D96"/>
    <w:rsid w:val="00EC5E16"/>
    <w:rsid w:val="00EC5F3E"/>
    <w:rsid w:val="00EC5F81"/>
    <w:rsid w:val="00EC6031"/>
    <w:rsid w:val="00EC6077"/>
    <w:rsid w:val="00EC60D3"/>
    <w:rsid w:val="00EC60DD"/>
    <w:rsid w:val="00EC60FA"/>
    <w:rsid w:val="00EC6107"/>
    <w:rsid w:val="00EC6120"/>
    <w:rsid w:val="00EC6162"/>
    <w:rsid w:val="00EC6427"/>
    <w:rsid w:val="00EC6496"/>
    <w:rsid w:val="00EC65E2"/>
    <w:rsid w:val="00EC6667"/>
    <w:rsid w:val="00EC6850"/>
    <w:rsid w:val="00EC6897"/>
    <w:rsid w:val="00EC689F"/>
    <w:rsid w:val="00EC694D"/>
    <w:rsid w:val="00EC6BBF"/>
    <w:rsid w:val="00EC6BEA"/>
    <w:rsid w:val="00EC6D06"/>
    <w:rsid w:val="00EC6D11"/>
    <w:rsid w:val="00EC6D26"/>
    <w:rsid w:val="00EC6D7D"/>
    <w:rsid w:val="00EC6E50"/>
    <w:rsid w:val="00EC6EDF"/>
    <w:rsid w:val="00EC6F0F"/>
    <w:rsid w:val="00EC6F25"/>
    <w:rsid w:val="00EC6F4D"/>
    <w:rsid w:val="00EC7084"/>
    <w:rsid w:val="00EC70B9"/>
    <w:rsid w:val="00EC716B"/>
    <w:rsid w:val="00EC71A1"/>
    <w:rsid w:val="00EC722B"/>
    <w:rsid w:val="00EC73B1"/>
    <w:rsid w:val="00EC7406"/>
    <w:rsid w:val="00EC7441"/>
    <w:rsid w:val="00EC744D"/>
    <w:rsid w:val="00EC751D"/>
    <w:rsid w:val="00EC7570"/>
    <w:rsid w:val="00EC75BE"/>
    <w:rsid w:val="00EC75E9"/>
    <w:rsid w:val="00EC76E0"/>
    <w:rsid w:val="00EC7761"/>
    <w:rsid w:val="00EC7768"/>
    <w:rsid w:val="00EC7837"/>
    <w:rsid w:val="00EC79DA"/>
    <w:rsid w:val="00EC7B61"/>
    <w:rsid w:val="00EC7B72"/>
    <w:rsid w:val="00EC7BA4"/>
    <w:rsid w:val="00EC7BE3"/>
    <w:rsid w:val="00EC7C64"/>
    <w:rsid w:val="00EC7DB2"/>
    <w:rsid w:val="00EC7DC9"/>
    <w:rsid w:val="00EC7DEC"/>
    <w:rsid w:val="00EC7E58"/>
    <w:rsid w:val="00ED0002"/>
    <w:rsid w:val="00ED004F"/>
    <w:rsid w:val="00ED007F"/>
    <w:rsid w:val="00ED019A"/>
    <w:rsid w:val="00ED025F"/>
    <w:rsid w:val="00ED0296"/>
    <w:rsid w:val="00ED032F"/>
    <w:rsid w:val="00ED045F"/>
    <w:rsid w:val="00ED04A5"/>
    <w:rsid w:val="00ED0566"/>
    <w:rsid w:val="00ED05D4"/>
    <w:rsid w:val="00ED0750"/>
    <w:rsid w:val="00ED0799"/>
    <w:rsid w:val="00ED093A"/>
    <w:rsid w:val="00ED097C"/>
    <w:rsid w:val="00ED09D9"/>
    <w:rsid w:val="00ED0AEA"/>
    <w:rsid w:val="00ED0D22"/>
    <w:rsid w:val="00ED0D63"/>
    <w:rsid w:val="00ED0E6F"/>
    <w:rsid w:val="00ED0E83"/>
    <w:rsid w:val="00ED0EA7"/>
    <w:rsid w:val="00ED0EAE"/>
    <w:rsid w:val="00ED0EDD"/>
    <w:rsid w:val="00ED0F9E"/>
    <w:rsid w:val="00ED0FEC"/>
    <w:rsid w:val="00ED103C"/>
    <w:rsid w:val="00ED1041"/>
    <w:rsid w:val="00ED1183"/>
    <w:rsid w:val="00ED13F2"/>
    <w:rsid w:val="00ED1425"/>
    <w:rsid w:val="00ED1472"/>
    <w:rsid w:val="00ED1490"/>
    <w:rsid w:val="00ED166A"/>
    <w:rsid w:val="00ED1682"/>
    <w:rsid w:val="00ED1704"/>
    <w:rsid w:val="00ED17D0"/>
    <w:rsid w:val="00ED1804"/>
    <w:rsid w:val="00ED1864"/>
    <w:rsid w:val="00ED18EA"/>
    <w:rsid w:val="00ED1B61"/>
    <w:rsid w:val="00ED1F6C"/>
    <w:rsid w:val="00ED1F88"/>
    <w:rsid w:val="00ED1FBF"/>
    <w:rsid w:val="00ED219E"/>
    <w:rsid w:val="00ED22AA"/>
    <w:rsid w:val="00ED22DA"/>
    <w:rsid w:val="00ED255B"/>
    <w:rsid w:val="00ED25CC"/>
    <w:rsid w:val="00ED272A"/>
    <w:rsid w:val="00ED273D"/>
    <w:rsid w:val="00ED278E"/>
    <w:rsid w:val="00ED2818"/>
    <w:rsid w:val="00ED28D6"/>
    <w:rsid w:val="00ED28E0"/>
    <w:rsid w:val="00ED2A09"/>
    <w:rsid w:val="00ED2B85"/>
    <w:rsid w:val="00ED2D2E"/>
    <w:rsid w:val="00ED2DDA"/>
    <w:rsid w:val="00ED2DF5"/>
    <w:rsid w:val="00ED2E3B"/>
    <w:rsid w:val="00ED2EB3"/>
    <w:rsid w:val="00ED2EF1"/>
    <w:rsid w:val="00ED2F29"/>
    <w:rsid w:val="00ED2F87"/>
    <w:rsid w:val="00ED3089"/>
    <w:rsid w:val="00ED311A"/>
    <w:rsid w:val="00ED3234"/>
    <w:rsid w:val="00ED3275"/>
    <w:rsid w:val="00ED32C4"/>
    <w:rsid w:val="00ED332A"/>
    <w:rsid w:val="00ED33F4"/>
    <w:rsid w:val="00ED34D6"/>
    <w:rsid w:val="00ED354C"/>
    <w:rsid w:val="00ED3573"/>
    <w:rsid w:val="00ED3590"/>
    <w:rsid w:val="00ED362E"/>
    <w:rsid w:val="00ED36A6"/>
    <w:rsid w:val="00ED370D"/>
    <w:rsid w:val="00ED373C"/>
    <w:rsid w:val="00ED37BF"/>
    <w:rsid w:val="00ED38B3"/>
    <w:rsid w:val="00ED3B45"/>
    <w:rsid w:val="00ED3D78"/>
    <w:rsid w:val="00ED3DD6"/>
    <w:rsid w:val="00ED3FA5"/>
    <w:rsid w:val="00ED4058"/>
    <w:rsid w:val="00ED422D"/>
    <w:rsid w:val="00ED4281"/>
    <w:rsid w:val="00ED4291"/>
    <w:rsid w:val="00ED42C1"/>
    <w:rsid w:val="00ED439C"/>
    <w:rsid w:val="00ED4676"/>
    <w:rsid w:val="00ED4795"/>
    <w:rsid w:val="00ED489F"/>
    <w:rsid w:val="00ED49BE"/>
    <w:rsid w:val="00ED49F1"/>
    <w:rsid w:val="00ED4AB7"/>
    <w:rsid w:val="00ED4B01"/>
    <w:rsid w:val="00ED4B18"/>
    <w:rsid w:val="00ED4BB3"/>
    <w:rsid w:val="00ED4EB5"/>
    <w:rsid w:val="00ED4EB6"/>
    <w:rsid w:val="00ED4F07"/>
    <w:rsid w:val="00ED4F4B"/>
    <w:rsid w:val="00ED4F65"/>
    <w:rsid w:val="00ED501A"/>
    <w:rsid w:val="00ED5077"/>
    <w:rsid w:val="00ED509C"/>
    <w:rsid w:val="00ED5110"/>
    <w:rsid w:val="00ED521B"/>
    <w:rsid w:val="00ED521C"/>
    <w:rsid w:val="00ED527E"/>
    <w:rsid w:val="00ED53E7"/>
    <w:rsid w:val="00ED53E8"/>
    <w:rsid w:val="00ED54CB"/>
    <w:rsid w:val="00ED5755"/>
    <w:rsid w:val="00ED575D"/>
    <w:rsid w:val="00ED5949"/>
    <w:rsid w:val="00ED5AD0"/>
    <w:rsid w:val="00ED5B69"/>
    <w:rsid w:val="00ED5C08"/>
    <w:rsid w:val="00ED5DB1"/>
    <w:rsid w:val="00ED5EA3"/>
    <w:rsid w:val="00ED5FD5"/>
    <w:rsid w:val="00ED60C3"/>
    <w:rsid w:val="00ED6166"/>
    <w:rsid w:val="00ED61F2"/>
    <w:rsid w:val="00ED62C0"/>
    <w:rsid w:val="00ED635D"/>
    <w:rsid w:val="00ED6389"/>
    <w:rsid w:val="00ED6453"/>
    <w:rsid w:val="00ED64FD"/>
    <w:rsid w:val="00ED65AA"/>
    <w:rsid w:val="00ED65E4"/>
    <w:rsid w:val="00ED667D"/>
    <w:rsid w:val="00ED66DE"/>
    <w:rsid w:val="00ED6760"/>
    <w:rsid w:val="00ED6771"/>
    <w:rsid w:val="00ED67DA"/>
    <w:rsid w:val="00ED68E6"/>
    <w:rsid w:val="00ED69BA"/>
    <w:rsid w:val="00ED6A85"/>
    <w:rsid w:val="00ED6C35"/>
    <w:rsid w:val="00ED6C71"/>
    <w:rsid w:val="00ED6C98"/>
    <w:rsid w:val="00ED6D19"/>
    <w:rsid w:val="00ED6E15"/>
    <w:rsid w:val="00ED6F3E"/>
    <w:rsid w:val="00ED7011"/>
    <w:rsid w:val="00ED702A"/>
    <w:rsid w:val="00ED707C"/>
    <w:rsid w:val="00ED7118"/>
    <w:rsid w:val="00ED71AA"/>
    <w:rsid w:val="00ED72F2"/>
    <w:rsid w:val="00ED7380"/>
    <w:rsid w:val="00ED7440"/>
    <w:rsid w:val="00ED74FA"/>
    <w:rsid w:val="00ED75C3"/>
    <w:rsid w:val="00ED7699"/>
    <w:rsid w:val="00ED776E"/>
    <w:rsid w:val="00ED7833"/>
    <w:rsid w:val="00ED7997"/>
    <w:rsid w:val="00ED7A9C"/>
    <w:rsid w:val="00ED7C08"/>
    <w:rsid w:val="00ED7C76"/>
    <w:rsid w:val="00ED7E35"/>
    <w:rsid w:val="00EDE2C2"/>
    <w:rsid w:val="00EE0011"/>
    <w:rsid w:val="00EE007D"/>
    <w:rsid w:val="00EE0221"/>
    <w:rsid w:val="00EE022E"/>
    <w:rsid w:val="00EE02DF"/>
    <w:rsid w:val="00EE03E5"/>
    <w:rsid w:val="00EE05B0"/>
    <w:rsid w:val="00EE0651"/>
    <w:rsid w:val="00EE0708"/>
    <w:rsid w:val="00EE084D"/>
    <w:rsid w:val="00EE0910"/>
    <w:rsid w:val="00EE099B"/>
    <w:rsid w:val="00EE09CF"/>
    <w:rsid w:val="00EE0CBF"/>
    <w:rsid w:val="00EE0D16"/>
    <w:rsid w:val="00EE0D1D"/>
    <w:rsid w:val="00EE0F27"/>
    <w:rsid w:val="00EE1078"/>
    <w:rsid w:val="00EE11CE"/>
    <w:rsid w:val="00EE121B"/>
    <w:rsid w:val="00EE125F"/>
    <w:rsid w:val="00EE14F1"/>
    <w:rsid w:val="00EE161C"/>
    <w:rsid w:val="00EE1681"/>
    <w:rsid w:val="00EE18AF"/>
    <w:rsid w:val="00EE1A38"/>
    <w:rsid w:val="00EE1B67"/>
    <w:rsid w:val="00EE1C7B"/>
    <w:rsid w:val="00EE1CE4"/>
    <w:rsid w:val="00EE1D73"/>
    <w:rsid w:val="00EE1DFE"/>
    <w:rsid w:val="00EE1E1F"/>
    <w:rsid w:val="00EE1EB6"/>
    <w:rsid w:val="00EE20B6"/>
    <w:rsid w:val="00EE2189"/>
    <w:rsid w:val="00EE21BB"/>
    <w:rsid w:val="00EE21D7"/>
    <w:rsid w:val="00EE2269"/>
    <w:rsid w:val="00EE22DF"/>
    <w:rsid w:val="00EE233E"/>
    <w:rsid w:val="00EE2360"/>
    <w:rsid w:val="00EE23AD"/>
    <w:rsid w:val="00EE23C8"/>
    <w:rsid w:val="00EE2764"/>
    <w:rsid w:val="00EE27D4"/>
    <w:rsid w:val="00EE27EA"/>
    <w:rsid w:val="00EE2852"/>
    <w:rsid w:val="00EE2A02"/>
    <w:rsid w:val="00EE2C7C"/>
    <w:rsid w:val="00EE2CB4"/>
    <w:rsid w:val="00EE2E9E"/>
    <w:rsid w:val="00EE3002"/>
    <w:rsid w:val="00EE3009"/>
    <w:rsid w:val="00EE300F"/>
    <w:rsid w:val="00EE301C"/>
    <w:rsid w:val="00EE3105"/>
    <w:rsid w:val="00EE31B2"/>
    <w:rsid w:val="00EE320D"/>
    <w:rsid w:val="00EE32B2"/>
    <w:rsid w:val="00EE3339"/>
    <w:rsid w:val="00EE3428"/>
    <w:rsid w:val="00EE3475"/>
    <w:rsid w:val="00EE3494"/>
    <w:rsid w:val="00EE3530"/>
    <w:rsid w:val="00EE354B"/>
    <w:rsid w:val="00EE35C2"/>
    <w:rsid w:val="00EE35FF"/>
    <w:rsid w:val="00EE3630"/>
    <w:rsid w:val="00EE3641"/>
    <w:rsid w:val="00EE36B5"/>
    <w:rsid w:val="00EE3833"/>
    <w:rsid w:val="00EE392B"/>
    <w:rsid w:val="00EE3A05"/>
    <w:rsid w:val="00EE3A31"/>
    <w:rsid w:val="00EE3AE9"/>
    <w:rsid w:val="00EE3CC3"/>
    <w:rsid w:val="00EE3E59"/>
    <w:rsid w:val="00EE3E67"/>
    <w:rsid w:val="00EE3EAE"/>
    <w:rsid w:val="00EE401D"/>
    <w:rsid w:val="00EE40E9"/>
    <w:rsid w:val="00EE411B"/>
    <w:rsid w:val="00EE419E"/>
    <w:rsid w:val="00EE41AF"/>
    <w:rsid w:val="00EE42FB"/>
    <w:rsid w:val="00EE4367"/>
    <w:rsid w:val="00EE437A"/>
    <w:rsid w:val="00EE444A"/>
    <w:rsid w:val="00EE450D"/>
    <w:rsid w:val="00EE45D2"/>
    <w:rsid w:val="00EE45DC"/>
    <w:rsid w:val="00EE4600"/>
    <w:rsid w:val="00EE472D"/>
    <w:rsid w:val="00EE47CC"/>
    <w:rsid w:val="00EE47FA"/>
    <w:rsid w:val="00EE486B"/>
    <w:rsid w:val="00EE4905"/>
    <w:rsid w:val="00EE4942"/>
    <w:rsid w:val="00EE49AD"/>
    <w:rsid w:val="00EE4C22"/>
    <w:rsid w:val="00EE4C42"/>
    <w:rsid w:val="00EE4DB0"/>
    <w:rsid w:val="00EE4DB7"/>
    <w:rsid w:val="00EE4DC0"/>
    <w:rsid w:val="00EE4E15"/>
    <w:rsid w:val="00EE4EDA"/>
    <w:rsid w:val="00EE4FDB"/>
    <w:rsid w:val="00EE5174"/>
    <w:rsid w:val="00EE52CB"/>
    <w:rsid w:val="00EE53DB"/>
    <w:rsid w:val="00EE5525"/>
    <w:rsid w:val="00EE552C"/>
    <w:rsid w:val="00EE55AC"/>
    <w:rsid w:val="00EE55B7"/>
    <w:rsid w:val="00EE56C6"/>
    <w:rsid w:val="00EE574F"/>
    <w:rsid w:val="00EE578C"/>
    <w:rsid w:val="00EE5A0A"/>
    <w:rsid w:val="00EE5A5C"/>
    <w:rsid w:val="00EE5B13"/>
    <w:rsid w:val="00EE5B8B"/>
    <w:rsid w:val="00EE5B8D"/>
    <w:rsid w:val="00EE5BA5"/>
    <w:rsid w:val="00EE5BD9"/>
    <w:rsid w:val="00EE5C6B"/>
    <w:rsid w:val="00EE5C9F"/>
    <w:rsid w:val="00EE5CB8"/>
    <w:rsid w:val="00EE5E6B"/>
    <w:rsid w:val="00EE602E"/>
    <w:rsid w:val="00EE609E"/>
    <w:rsid w:val="00EE60AF"/>
    <w:rsid w:val="00EE6157"/>
    <w:rsid w:val="00EE61BA"/>
    <w:rsid w:val="00EE621C"/>
    <w:rsid w:val="00EE628C"/>
    <w:rsid w:val="00EE6361"/>
    <w:rsid w:val="00EE6377"/>
    <w:rsid w:val="00EE64AC"/>
    <w:rsid w:val="00EE66F0"/>
    <w:rsid w:val="00EE6736"/>
    <w:rsid w:val="00EE6811"/>
    <w:rsid w:val="00EE6885"/>
    <w:rsid w:val="00EE68A2"/>
    <w:rsid w:val="00EE68BF"/>
    <w:rsid w:val="00EE69E7"/>
    <w:rsid w:val="00EE69FA"/>
    <w:rsid w:val="00EE6A26"/>
    <w:rsid w:val="00EE6AF4"/>
    <w:rsid w:val="00EE6B78"/>
    <w:rsid w:val="00EE6BD4"/>
    <w:rsid w:val="00EE6D68"/>
    <w:rsid w:val="00EE6DBE"/>
    <w:rsid w:val="00EE6EB2"/>
    <w:rsid w:val="00EE6EE1"/>
    <w:rsid w:val="00EE6F3E"/>
    <w:rsid w:val="00EE70ED"/>
    <w:rsid w:val="00EE7153"/>
    <w:rsid w:val="00EE71F9"/>
    <w:rsid w:val="00EE73E6"/>
    <w:rsid w:val="00EE74DD"/>
    <w:rsid w:val="00EE74FC"/>
    <w:rsid w:val="00EE7513"/>
    <w:rsid w:val="00EE76A5"/>
    <w:rsid w:val="00EE76AF"/>
    <w:rsid w:val="00EE7753"/>
    <w:rsid w:val="00EE77BB"/>
    <w:rsid w:val="00EE7897"/>
    <w:rsid w:val="00EE78BE"/>
    <w:rsid w:val="00EE7958"/>
    <w:rsid w:val="00EE79AF"/>
    <w:rsid w:val="00EE7AF5"/>
    <w:rsid w:val="00EE7B4C"/>
    <w:rsid w:val="00EE7B98"/>
    <w:rsid w:val="00EE7C5A"/>
    <w:rsid w:val="00EE7D0E"/>
    <w:rsid w:val="00EE7E2E"/>
    <w:rsid w:val="00EE7E35"/>
    <w:rsid w:val="00EE7F0E"/>
    <w:rsid w:val="00EF00DC"/>
    <w:rsid w:val="00EF0189"/>
    <w:rsid w:val="00EF02AF"/>
    <w:rsid w:val="00EF03C6"/>
    <w:rsid w:val="00EF0433"/>
    <w:rsid w:val="00EF04A1"/>
    <w:rsid w:val="00EF04EC"/>
    <w:rsid w:val="00EF0597"/>
    <w:rsid w:val="00EF0608"/>
    <w:rsid w:val="00EF06CA"/>
    <w:rsid w:val="00EF06E1"/>
    <w:rsid w:val="00EF0714"/>
    <w:rsid w:val="00EF0800"/>
    <w:rsid w:val="00EF0949"/>
    <w:rsid w:val="00EF095E"/>
    <w:rsid w:val="00EF0A6F"/>
    <w:rsid w:val="00EF0D1E"/>
    <w:rsid w:val="00EF0D5C"/>
    <w:rsid w:val="00EF0DA4"/>
    <w:rsid w:val="00EF0F0E"/>
    <w:rsid w:val="00EF108B"/>
    <w:rsid w:val="00EF1116"/>
    <w:rsid w:val="00EF12E7"/>
    <w:rsid w:val="00EF1309"/>
    <w:rsid w:val="00EF1335"/>
    <w:rsid w:val="00EF13E5"/>
    <w:rsid w:val="00EF14AC"/>
    <w:rsid w:val="00EF15DD"/>
    <w:rsid w:val="00EF1723"/>
    <w:rsid w:val="00EF17A7"/>
    <w:rsid w:val="00EF183F"/>
    <w:rsid w:val="00EF1868"/>
    <w:rsid w:val="00EF1AE9"/>
    <w:rsid w:val="00EF1C36"/>
    <w:rsid w:val="00EF1D03"/>
    <w:rsid w:val="00EF1E3F"/>
    <w:rsid w:val="00EF1EC4"/>
    <w:rsid w:val="00EF2088"/>
    <w:rsid w:val="00EF20E6"/>
    <w:rsid w:val="00EF21E6"/>
    <w:rsid w:val="00EF237A"/>
    <w:rsid w:val="00EF237F"/>
    <w:rsid w:val="00EF23B5"/>
    <w:rsid w:val="00EF242E"/>
    <w:rsid w:val="00EF2625"/>
    <w:rsid w:val="00EF26D9"/>
    <w:rsid w:val="00EF2773"/>
    <w:rsid w:val="00EF27E1"/>
    <w:rsid w:val="00EF29D2"/>
    <w:rsid w:val="00EF2A6A"/>
    <w:rsid w:val="00EF2A74"/>
    <w:rsid w:val="00EF2B28"/>
    <w:rsid w:val="00EF2C18"/>
    <w:rsid w:val="00EF2CD2"/>
    <w:rsid w:val="00EF2D8B"/>
    <w:rsid w:val="00EF2D9C"/>
    <w:rsid w:val="00EF2EC8"/>
    <w:rsid w:val="00EF2F27"/>
    <w:rsid w:val="00EF2F89"/>
    <w:rsid w:val="00EF317B"/>
    <w:rsid w:val="00EF3262"/>
    <w:rsid w:val="00EF3278"/>
    <w:rsid w:val="00EF3378"/>
    <w:rsid w:val="00EF33DE"/>
    <w:rsid w:val="00EF33E2"/>
    <w:rsid w:val="00EF35E0"/>
    <w:rsid w:val="00EF3600"/>
    <w:rsid w:val="00EF3637"/>
    <w:rsid w:val="00EF364D"/>
    <w:rsid w:val="00EF36E9"/>
    <w:rsid w:val="00EF36FA"/>
    <w:rsid w:val="00EF373C"/>
    <w:rsid w:val="00EF3764"/>
    <w:rsid w:val="00EF37AD"/>
    <w:rsid w:val="00EF38ED"/>
    <w:rsid w:val="00EF3914"/>
    <w:rsid w:val="00EF3916"/>
    <w:rsid w:val="00EF394A"/>
    <w:rsid w:val="00EF3A76"/>
    <w:rsid w:val="00EF3A7F"/>
    <w:rsid w:val="00EF3B0B"/>
    <w:rsid w:val="00EF3B5F"/>
    <w:rsid w:val="00EF3B9D"/>
    <w:rsid w:val="00EF416F"/>
    <w:rsid w:val="00EF42C0"/>
    <w:rsid w:val="00EF43EC"/>
    <w:rsid w:val="00EF4481"/>
    <w:rsid w:val="00EF4569"/>
    <w:rsid w:val="00EF461B"/>
    <w:rsid w:val="00EF4631"/>
    <w:rsid w:val="00EF4739"/>
    <w:rsid w:val="00EF47FF"/>
    <w:rsid w:val="00EF4812"/>
    <w:rsid w:val="00EF4AB2"/>
    <w:rsid w:val="00EF4BF2"/>
    <w:rsid w:val="00EF4C11"/>
    <w:rsid w:val="00EF4C8A"/>
    <w:rsid w:val="00EF4D21"/>
    <w:rsid w:val="00EF503E"/>
    <w:rsid w:val="00EF50AE"/>
    <w:rsid w:val="00EF50E0"/>
    <w:rsid w:val="00EF50F2"/>
    <w:rsid w:val="00EF51A1"/>
    <w:rsid w:val="00EF5272"/>
    <w:rsid w:val="00EF52FE"/>
    <w:rsid w:val="00EF548C"/>
    <w:rsid w:val="00EF5499"/>
    <w:rsid w:val="00EF5556"/>
    <w:rsid w:val="00EF55DC"/>
    <w:rsid w:val="00EF55F3"/>
    <w:rsid w:val="00EF56F0"/>
    <w:rsid w:val="00EF577F"/>
    <w:rsid w:val="00EF57EA"/>
    <w:rsid w:val="00EF5829"/>
    <w:rsid w:val="00EF58E4"/>
    <w:rsid w:val="00EF5902"/>
    <w:rsid w:val="00EF599F"/>
    <w:rsid w:val="00EF59ED"/>
    <w:rsid w:val="00EF5A46"/>
    <w:rsid w:val="00EF5A8D"/>
    <w:rsid w:val="00EF5AF4"/>
    <w:rsid w:val="00EF5BBB"/>
    <w:rsid w:val="00EF5C85"/>
    <w:rsid w:val="00EF5D0A"/>
    <w:rsid w:val="00EF5D5D"/>
    <w:rsid w:val="00EF5DA1"/>
    <w:rsid w:val="00EF5DD2"/>
    <w:rsid w:val="00EF5E78"/>
    <w:rsid w:val="00EF5F84"/>
    <w:rsid w:val="00EF5FCA"/>
    <w:rsid w:val="00EF60B1"/>
    <w:rsid w:val="00EF6105"/>
    <w:rsid w:val="00EF616D"/>
    <w:rsid w:val="00EF628C"/>
    <w:rsid w:val="00EF655F"/>
    <w:rsid w:val="00EF658F"/>
    <w:rsid w:val="00EF660A"/>
    <w:rsid w:val="00EF683A"/>
    <w:rsid w:val="00EF68B0"/>
    <w:rsid w:val="00EF6C8B"/>
    <w:rsid w:val="00EF6CA3"/>
    <w:rsid w:val="00EF6CAE"/>
    <w:rsid w:val="00EF6D3F"/>
    <w:rsid w:val="00EF6DCB"/>
    <w:rsid w:val="00EF6E02"/>
    <w:rsid w:val="00EF6E24"/>
    <w:rsid w:val="00EF6EB4"/>
    <w:rsid w:val="00EF6EEB"/>
    <w:rsid w:val="00EF6F18"/>
    <w:rsid w:val="00EF7019"/>
    <w:rsid w:val="00EF7089"/>
    <w:rsid w:val="00EF7097"/>
    <w:rsid w:val="00EF7165"/>
    <w:rsid w:val="00EF716E"/>
    <w:rsid w:val="00EF71A3"/>
    <w:rsid w:val="00EF7217"/>
    <w:rsid w:val="00EF72F2"/>
    <w:rsid w:val="00EF73E8"/>
    <w:rsid w:val="00EF73F2"/>
    <w:rsid w:val="00EF751C"/>
    <w:rsid w:val="00EF76A7"/>
    <w:rsid w:val="00EF76B1"/>
    <w:rsid w:val="00EF77A7"/>
    <w:rsid w:val="00EF785D"/>
    <w:rsid w:val="00EF78AF"/>
    <w:rsid w:val="00EF78BA"/>
    <w:rsid w:val="00EF78D4"/>
    <w:rsid w:val="00EF79AD"/>
    <w:rsid w:val="00EF79B4"/>
    <w:rsid w:val="00EF79F1"/>
    <w:rsid w:val="00EF7B50"/>
    <w:rsid w:val="00EF7B6F"/>
    <w:rsid w:val="00EF7D8B"/>
    <w:rsid w:val="00EF7D8D"/>
    <w:rsid w:val="00EF7E4D"/>
    <w:rsid w:val="00EF7F55"/>
    <w:rsid w:val="00F000F6"/>
    <w:rsid w:val="00F0013B"/>
    <w:rsid w:val="00F00171"/>
    <w:rsid w:val="00F0017A"/>
    <w:rsid w:val="00F0019B"/>
    <w:rsid w:val="00F00316"/>
    <w:rsid w:val="00F003F8"/>
    <w:rsid w:val="00F00403"/>
    <w:rsid w:val="00F005CC"/>
    <w:rsid w:val="00F005FF"/>
    <w:rsid w:val="00F0065A"/>
    <w:rsid w:val="00F006B6"/>
    <w:rsid w:val="00F0093F"/>
    <w:rsid w:val="00F00A07"/>
    <w:rsid w:val="00F00A7E"/>
    <w:rsid w:val="00F00ADF"/>
    <w:rsid w:val="00F00B48"/>
    <w:rsid w:val="00F00C76"/>
    <w:rsid w:val="00F00CAB"/>
    <w:rsid w:val="00F00D0A"/>
    <w:rsid w:val="00F00D27"/>
    <w:rsid w:val="00F00F65"/>
    <w:rsid w:val="00F0102E"/>
    <w:rsid w:val="00F011F9"/>
    <w:rsid w:val="00F012C6"/>
    <w:rsid w:val="00F01432"/>
    <w:rsid w:val="00F015AD"/>
    <w:rsid w:val="00F01816"/>
    <w:rsid w:val="00F01886"/>
    <w:rsid w:val="00F019E9"/>
    <w:rsid w:val="00F01A31"/>
    <w:rsid w:val="00F01A50"/>
    <w:rsid w:val="00F01B94"/>
    <w:rsid w:val="00F01C40"/>
    <w:rsid w:val="00F01C9B"/>
    <w:rsid w:val="00F01DA6"/>
    <w:rsid w:val="00F01EB2"/>
    <w:rsid w:val="00F01EF4"/>
    <w:rsid w:val="00F01FA5"/>
    <w:rsid w:val="00F02120"/>
    <w:rsid w:val="00F0228F"/>
    <w:rsid w:val="00F02308"/>
    <w:rsid w:val="00F02329"/>
    <w:rsid w:val="00F02390"/>
    <w:rsid w:val="00F02431"/>
    <w:rsid w:val="00F024E9"/>
    <w:rsid w:val="00F025A1"/>
    <w:rsid w:val="00F025AC"/>
    <w:rsid w:val="00F02693"/>
    <w:rsid w:val="00F0269F"/>
    <w:rsid w:val="00F026F9"/>
    <w:rsid w:val="00F02781"/>
    <w:rsid w:val="00F02A01"/>
    <w:rsid w:val="00F02A16"/>
    <w:rsid w:val="00F02A8B"/>
    <w:rsid w:val="00F02A9A"/>
    <w:rsid w:val="00F02AC6"/>
    <w:rsid w:val="00F02AC8"/>
    <w:rsid w:val="00F02AEE"/>
    <w:rsid w:val="00F02B50"/>
    <w:rsid w:val="00F02BBD"/>
    <w:rsid w:val="00F02C15"/>
    <w:rsid w:val="00F02CA0"/>
    <w:rsid w:val="00F02D8F"/>
    <w:rsid w:val="00F02E46"/>
    <w:rsid w:val="00F02E8E"/>
    <w:rsid w:val="00F03069"/>
    <w:rsid w:val="00F030AC"/>
    <w:rsid w:val="00F030FB"/>
    <w:rsid w:val="00F031D1"/>
    <w:rsid w:val="00F03272"/>
    <w:rsid w:val="00F0327D"/>
    <w:rsid w:val="00F0328F"/>
    <w:rsid w:val="00F032DE"/>
    <w:rsid w:val="00F03587"/>
    <w:rsid w:val="00F0365D"/>
    <w:rsid w:val="00F036AB"/>
    <w:rsid w:val="00F0371F"/>
    <w:rsid w:val="00F03797"/>
    <w:rsid w:val="00F0379C"/>
    <w:rsid w:val="00F037C4"/>
    <w:rsid w:val="00F03842"/>
    <w:rsid w:val="00F03893"/>
    <w:rsid w:val="00F038AE"/>
    <w:rsid w:val="00F03991"/>
    <w:rsid w:val="00F03C32"/>
    <w:rsid w:val="00F03CAA"/>
    <w:rsid w:val="00F03E85"/>
    <w:rsid w:val="00F03FAB"/>
    <w:rsid w:val="00F04039"/>
    <w:rsid w:val="00F040B6"/>
    <w:rsid w:val="00F041A3"/>
    <w:rsid w:val="00F041E3"/>
    <w:rsid w:val="00F04251"/>
    <w:rsid w:val="00F04269"/>
    <w:rsid w:val="00F04440"/>
    <w:rsid w:val="00F04443"/>
    <w:rsid w:val="00F0445C"/>
    <w:rsid w:val="00F045AB"/>
    <w:rsid w:val="00F045D6"/>
    <w:rsid w:val="00F045DF"/>
    <w:rsid w:val="00F047A1"/>
    <w:rsid w:val="00F04819"/>
    <w:rsid w:val="00F04887"/>
    <w:rsid w:val="00F048C5"/>
    <w:rsid w:val="00F048E6"/>
    <w:rsid w:val="00F04925"/>
    <w:rsid w:val="00F0492C"/>
    <w:rsid w:val="00F04B8B"/>
    <w:rsid w:val="00F04BAD"/>
    <w:rsid w:val="00F04C8C"/>
    <w:rsid w:val="00F04D86"/>
    <w:rsid w:val="00F050B4"/>
    <w:rsid w:val="00F050EF"/>
    <w:rsid w:val="00F051FC"/>
    <w:rsid w:val="00F05342"/>
    <w:rsid w:val="00F053B6"/>
    <w:rsid w:val="00F05434"/>
    <w:rsid w:val="00F05440"/>
    <w:rsid w:val="00F0547F"/>
    <w:rsid w:val="00F054BD"/>
    <w:rsid w:val="00F05630"/>
    <w:rsid w:val="00F056D7"/>
    <w:rsid w:val="00F0570F"/>
    <w:rsid w:val="00F0574A"/>
    <w:rsid w:val="00F057D4"/>
    <w:rsid w:val="00F057EB"/>
    <w:rsid w:val="00F05AFE"/>
    <w:rsid w:val="00F05BFF"/>
    <w:rsid w:val="00F05C49"/>
    <w:rsid w:val="00F05E1F"/>
    <w:rsid w:val="00F05ED3"/>
    <w:rsid w:val="00F0607E"/>
    <w:rsid w:val="00F0614C"/>
    <w:rsid w:val="00F0641D"/>
    <w:rsid w:val="00F064AB"/>
    <w:rsid w:val="00F064ED"/>
    <w:rsid w:val="00F06734"/>
    <w:rsid w:val="00F06843"/>
    <w:rsid w:val="00F06911"/>
    <w:rsid w:val="00F06AAB"/>
    <w:rsid w:val="00F06AE6"/>
    <w:rsid w:val="00F06EB7"/>
    <w:rsid w:val="00F06F4C"/>
    <w:rsid w:val="00F06FA3"/>
    <w:rsid w:val="00F06FB7"/>
    <w:rsid w:val="00F0709A"/>
    <w:rsid w:val="00F0717D"/>
    <w:rsid w:val="00F0717E"/>
    <w:rsid w:val="00F0728F"/>
    <w:rsid w:val="00F0735E"/>
    <w:rsid w:val="00F07441"/>
    <w:rsid w:val="00F074CB"/>
    <w:rsid w:val="00F07507"/>
    <w:rsid w:val="00F0750B"/>
    <w:rsid w:val="00F0753A"/>
    <w:rsid w:val="00F07883"/>
    <w:rsid w:val="00F078DC"/>
    <w:rsid w:val="00F07901"/>
    <w:rsid w:val="00F079D4"/>
    <w:rsid w:val="00F079F4"/>
    <w:rsid w:val="00F07B6D"/>
    <w:rsid w:val="00F07C07"/>
    <w:rsid w:val="00F07CDC"/>
    <w:rsid w:val="00F07D6D"/>
    <w:rsid w:val="00F07D82"/>
    <w:rsid w:val="00F07E30"/>
    <w:rsid w:val="00F07FB1"/>
    <w:rsid w:val="00F100D3"/>
    <w:rsid w:val="00F10149"/>
    <w:rsid w:val="00F102BF"/>
    <w:rsid w:val="00F102C6"/>
    <w:rsid w:val="00F1061E"/>
    <w:rsid w:val="00F106C3"/>
    <w:rsid w:val="00F10AB1"/>
    <w:rsid w:val="00F10B47"/>
    <w:rsid w:val="00F10B49"/>
    <w:rsid w:val="00F10B83"/>
    <w:rsid w:val="00F10B9F"/>
    <w:rsid w:val="00F10BE6"/>
    <w:rsid w:val="00F10D7B"/>
    <w:rsid w:val="00F10F42"/>
    <w:rsid w:val="00F10F7D"/>
    <w:rsid w:val="00F110B6"/>
    <w:rsid w:val="00F110CC"/>
    <w:rsid w:val="00F11184"/>
    <w:rsid w:val="00F111AA"/>
    <w:rsid w:val="00F1126D"/>
    <w:rsid w:val="00F11370"/>
    <w:rsid w:val="00F1139B"/>
    <w:rsid w:val="00F114F0"/>
    <w:rsid w:val="00F11530"/>
    <w:rsid w:val="00F11613"/>
    <w:rsid w:val="00F119D6"/>
    <w:rsid w:val="00F119F7"/>
    <w:rsid w:val="00F11A87"/>
    <w:rsid w:val="00F11C95"/>
    <w:rsid w:val="00F11CD6"/>
    <w:rsid w:val="00F11F9C"/>
    <w:rsid w:val="00F1215B"/>
    <w:rsid w:val="00F12221"/>
    <w:rsid w:val="00F122DB"/>
    <w:rsid w:val="00F122EB"/>
    <w:rsid w:val="00F12341"/>
    <w:rsid w:val="00F12352"/>
    <w:rsid w:val="00F1251C"/>
    <w:rsid w:val="00F12709"/>
    <w:rsid w:val="00F12723"/>
    <w:rsid w:val="00F12809"/>
    <w:rsid w:val="00F128DF"/>
    <w:rsid w:val="00F129AA"/>
    <w:rsid w:val="00F129AE"/>
    <w:rsid w:val="00F12A45"/>
    <w:rsid w:val="00F12A86"/>
    <w:rsid w:val="00F12AA3"/>
    <w:rsid w:val="00F12CFA"/>
    <w:rsid w:val="00F12D5E"/>
    <w:rsid w:val="00F12DE7"/>
    <w:rsid w:val="00F12EF3"/>
    <w:rsid w:val="00F12F3A"/>
    <w:rsid w:val="00F12F9E"/>
    <w:rsid w:val="00F130DC"/>
    <w:rsid w:val="00F13140"/>
    <w:rsid w:val="00F13262"/>
    <w:rsid w:val="00F1333D"/>
    <w:rsid w:val="00F133AA"/>
    <w:rsid w:val="00F13471"/>
    <w:rsid w:val="00F134ED"/>
    <w:rsid w:val="00F1351B"/>
    <w:rsid w:val="00F1377C"/>
    <w:rsid w:val="00F137F8"/>
    <w:rsid w:val="00F139CB"/>
    <w:rsid w:val="00F13B16"/>
    <w:rsid w:val="00F13B69"/>
    <w:rsid w:val="00F13BC6"/>
    <w:rsid w:val="00F13C91"/>
    <w:rsid w:val="00F13CB3"/>
    <w:rsid w:val="00F13D39"/>
    <w:rsid w:val="00F13F4A"/>
    <w:rsid w:val="00F14264"/>
    <w:rsid w:val="00F1427D"/>
    <w:rsid w:val="00F14526"/>
    <w:rsid w:val="00F14653"/>
    <w:rsid w:val="00F14656"/>
    <w:rsid w:val="00F147A9"/>
    <w:rsid w:val="00F147B3"/>
    <w:rsid w:val="00F147CA"/>
    <w:rsid w:val="00F14928"/>
    <w:rsid w:val="00F14B9E"/>
    <w:rsid w:val="00F14BBB"/>
    <w:rsid w:val="00F14BEA"/>
    <w:rsid w:val="00F14C24"/>
    <w:rsid w:val="00F14E88"/>
    <w:rsid w:val="00F14FC6"/>
    <w:rsid w:val="00F14FF5"/>
    <w:rsid w:val="00F15140"/>
    <w:rsid w:val="00F151E5"/>
    <w:rsid w:val="00F1520C"/>
    <w:rsid w:val="00F15386"/>
    <w:rsid w:val="00F153BC"/>
    <w:rsid w:val="00F155CD"/>
    <w:rsid w:val="00F1570E"/>
    <w:rsid w:val="00F15722"/>
    <w:rsid w:val="00F15781"/>
    <w:rsid w:val="00F159DB"/>
    <w:rsid w:val="00F159F7"/>
    <w:rsid w:val="00F15A4F"/>
    <w:rsid w:val="00F15A61"/>
    <w:rsid w:val="00F15B16"/>
    <w:rsid w:val="00F15BC9"/>
    <w:rsid w:val="00F15BF9"/>
    <w:rsid w:val="00F15F83"/>
    <w:rsid w:val="00F15F96"/>
    <w:rsid w:val="00F16031"/>
    <w:rsid w:val="00F16045"/>
    <w:rsid w:val="00F16195"/>
    <w:rsid w:val="00F1624F"/>
    <w:rsid w:val="00F16416"/>
    <w:rsid w:val="00F164C1"/>
    <w:rsid w:val="00F164FA"/>
    <w:rsid w:val="00F1652C"/>
    <w:rsid w:val="00F165DA"/>
    <w:rsid w:val="00F1662E"/>
    <w:rsid w:val="00F166D1"/>
    <w:rsid w:val="00F166D2"/>
    <w:rsid w:val="00F16770"/>
    <w:rsid w:val="00F167A2"/>
    <w:rsid w:val="00F167C2"/>
    <w:rsid w:val="00F16ACD"/>
    <w:rsid w:val="00F16B09"/>
    <w:rsid w:val="00F16B94"/>
    <w:rsid w:val="00F16C4A"/>
    <w:rsid w:val="00F16C5D"/>
    <w:rsid w:val="00F16DBF"/>
    <w:rsid w:val="00F16E7B"/>
    <w:rsid w:val="00F16F5C"/>
    <w:rsid w:val="00F16F89"/>
    <w:rsid w:val="00F1711F"/>
    <w:rsid w:val="00F1719F"/>
    <w:rsid w:val="00F171B7"/>
    <w:rsid w:val="00F17230"/>
    <w:rsid w:val="00F17738"/>
    <w:rsid w:val="00F177FE"/>
    <w:rsid w:val="00F1791C"/>
    <w:rsid w:val="00F1791E"/>
    <w:rsid w:val="00F17B17"/>
    <w:rsid w:val="00F17BAF"/>
    <w:rsid w:val="00F17C94"/>
    <w:rsid w:val="00F17CC9"/>
    <w:rsid w:val="00F17D82"/>
    <w:rsid w:val="00F17D95"/>
    <w:rsid w:val="00F17DFF"/>
    <w:rsid w:val="00F17E96"/>
    <w:rsid w:val="00F17E9E"/>
    <w:rsid w:val="00F17F5B"/>
    <w:rsid w:val="00F17FB1"/>
    <w:rsid w:val="00F20098"/>
    <w:rsid w:val="00F20118"/>
    <w:rsid w:val="00F2028C"/>
    <w:rsid w:val="00F2030C"/>
    <w:rsid w:val="00F20320"/>
    <w:rsid w:val="00F20348"/>
    <w:rsid w:val="00F20353"/>
    <w:rsid w:val="00F2046B"/>
    <w:rsid w:val="00F204BF"/>
    <w:rsid w:val="00F20550"/>
    <w:rsid w:val="00F20665"/>
    <w:rsid w:val="00F20735"/>
    <w:rsid w:val="00F207C4"/>
    <w:rsid w:val="00F20832"/>
    <w:rsid w:val="00F208F2"/>
    <w:rsid w:val="00F209D1"/>
    <w:rsid w:val="00F20AC8"/>
    <w:rsid w:val="00F20B55"/>
    <w:rsid w:val="00F20DC0"/>
    <w:rsid w:val="00F21036"/>
    <w:rsid w:val="00F21189"/>
    <w:rsid w:val="00F21241"/>
    <w:rsid w:val="00F212AF"/>
    <w:rsid w:val="00F21379"/>
    <w:rsid w:val="00F213CA"/>
    <w:rsid w:val="00F2149D"/>
    <w:rsid w:val="00F214A4"/>
    <w:rsid w:val="00F21533"/>
    <w:rsid w:val="00F215B6"/>
    <w:rsid w:val="00F215D5"/>
    <w:rsid w:val="00F217CB"/>
    <w:rsid w:val="00F218DB"/>
    <w:rsid w:val="00F21902"/>
    <w:rsid w:val="00F2196F"/>
    <w:rsid w:val="00F21A7F"/>
    <w:rsid w:val="00F21AA7"/>
    <w:rsid w:val="00F21ACE"/>
    <w:rsid w:val="00F21B09"/>
    <w:rsid w:val="00F21B61"/>
    <w:rsid w:val="00F21CFA"/>
    <w:rsid w:val="00F21D06"/>
    <w:rsid w:val="00F21D6D"/>
    <w:rsid w:val="00F21E3C"/>
    <w:rsid w:val="00F22101"/>
    <w:rsid w:val="00F222D5"/>
    <w:rsid w:val="00F222F5"/>
    <w:rsid w:val="00F22340"/>
    <w:rsid w:val="00F2259E"/>
    <w:rsid w:val="00F22606"/>
    <w:rsid w:val="00F2265C"/>
    <w:rsid w:val="00F226B6"/>
    <w:rsid w:val="00F22715"/>
    <w:rsid w:val="00F22863"/>
    <w:rsid w:val="00F2286E"/>
    <w:rsid w:val="00F22991"/>
    <w:rsid w:val="00F22B8B"/>
    <w:rsid w:val="00F22D22"/>
    <w:rsid w:val="00F22D9E"/>
    <w:rsid w:val="00F22DDC"/>
    <w:rsid w:val="00F22FC3"/>
    <w:rsid w:val="00F23116"/>
    <w:rsid w:val="00F23477"/>
    <w:rsid w:val="00F23594"/>
    <w:rsid w:val="00F2359C"/>
    <w:rsid w:val="00F235EB"/>
    <w:rsid w:val="00F2360D"/>
    <w:rsid w:val="00F23645"/>
    <w:rsid w:val="00F23715"/>
    <w:rsid w:val="00F237ED"/>
    <w:rsid w:val="00F239FD"/>
    <w:rsid w:val="00F23BD1"/>
    <w:rsid w:val="00F23BD3"/>
    <w:rsid w:val="00F23BD7"/>
    <w:rsid w:val="00F23C02"/>
    <w:rsid w:val="00F23C70"/>
    <w:rsid w:val="00F23C7C"/>
    <w:rsid w:val="00F23CD1"/>
    <w:rsid w:val="00F23D06"/>
    <w:rsid w:val="00F23DCD"/>
    <w:rsid w:val="00F23E1D"/>
    <w:rsid w:val="00F23EA8"/>
    <w:rsid w:val="00F23EB4"/>
    <w:rsid w:val="00F23ECA"/>
    <w:rsid w:val="00F23FCC"/>
    <w:rsid w:val="00F24010"/>
    <w:rsid w:val="00F2404F"/>
    <w:rsid w:val="00F24209"/>
    <w:rsid w:val="00F24306"/>
    <w:rsid w:val="00F24339"/>
    <w:rsid w:val="00F24345"/>
    <w:rsid w:val="00F24445"/>
    <w:rsid w:val="00F2450E"/>
    <w:rsid w:val="00F24572"/>
    <w:rsid w:val="00F245EE"/>
    <w:rsid w:val="00F24851"/>
    <w:rsid w:val="00F24881"/>
    <w:rsid w:val="00F24884"/>
    <w:rsid w:val="00F248A3"/>
    <w:rsid w:val="00F24BB9"/>
    <w:rsid w:val="00F24BDB"/>
    <w:rsid w:val="00F2501B"/>
    <w:rsid w:val="00F25133"/>
    <w:rsid w:val="00F251AA"/>
    <w:rsid w:val="00F2530E"/>
    <w:rsid w:val="00F25311"/>
    <w:rsid w:val="00F253B8"/>
    <w:rsid w:val="00F253C9"/>
    <w:rsid w:val="00F254C5"/>
    <w:rsid w:val="00F25546"/>
    <w:rsid w:val="00F25734"/>
    <w:rsid w:val="00F257AE"/>
    <w:rsid w:val="00F25870"/>
    <w:rsid w:val="00F259FD"/>
    <w:rsid w:val="00F25A52"/>
    <w:rsid w:val="00F25BBA"/>
    <w:rsid w:val="00F25BEC"/>
    <w:rsid w:val="00F25CE6"/>
    <w:rsid w:val="00F25D2B"/>
    <w:rsid w:val="00F25D93"/>
    <w:rsid w:val="00F25EC3"/>
    <w:rsid w:val="00F25F0E"/>
    <w:rsid w:val="00F25F25"/>
    <w:rsid w:val="00F260B7"/>
    <w:rsid w:val="00F26217"/>
    <w:rsid w:val="00F262C9"/>
    <w:rsid w:val="00F263D8"/>
    <w:rsid w:val="00F26472"/>
    <w:rsid w:val="00F264B1"/>
    <w:rsid w:val="00F264CC"/>
    <w:rsid w:val="00F265A9"/>
    <w:rsid w:val="00F265CC"/>
    <w:rsid w:val="00F2666F"/>
    <w:rsid w:val="00F266AB"/>
    <w:rsid w:val="00F26725"/>
    <w:rsid w:val="00F2673C"/>
    <w:rsid w:val="00F2675E"/>
    <w:rsid w:val="00F267F4"/>
    <w:rsid w:val="00F2683B"/>
    <w:rsid w:val="00F26901"/>
    <w:rsid w:val="00F26922"/>
    <w:rsid w:val="00F269BB"/>
    <w:rsid w:val="00F26AB5"/>
    <w:rsid w:val="00F26C48"/>
    <w:rsid w:val="00F26C8C"/>
    <w:rsid w:val="00F26CA9"/>
    <w:rsid w:val="00F26CB8"/>
    <w:rsid w:val="00F26D45"/>
    <w:rsid w:val="00F26D4C"/>
    <w:rsid w:val="00F26DB4"/>
    <w:rsid w:val="00F26DBE"/>
    <w:rsid w:val="00F26E20"/>
    <w:rsid w:val="00F26E3C"/>
    <w:rsid w:val="00F27015"/>
    <w:rsid w:val="00F2701C"/>
    <w:rsid w:val="00F27117"/>
    <w:rsid w:val="00F271C2"/>
    <w:rsid w:val="00F2739C"/>
    <w:rsid w:val="00F273A3"/>
    <w:rsid w:val="00F273D9"/>
    <w:rsid w:val="00F2749D"/>
    <w:rsid w:val="00F274A5"/>
    <w:rsid w:val="00F27654"/>
    <w:rsid w:val="00F276A8"/>
    <w:rsid w:val="00F27787"/>
    <w:rsid w:val="00F27848"/>
    <w:rsid w:val="00F278C3"/>
    <w:rsid w:val="00F279E6"/>
    <w:rsid w:val="00F27AC5"/>
    <w:rsid w:val="00F27B5E"/>
    <w:rsid w:val="00F27C01"/>
    <w:rsid w:val="00F27CF4"/>
    <w:rsid w:val="00F27DE7"/>
    <w:rsid w:val="00F30008"/>
    <w:rsid w:val="00F3008E"/>
    <w:rsid w:val="00F300F7"/>
    <w:rsid w:val="00F30140"/>
    <w:rsid w:val="00F301F8"/>
    <w:rsid w:val="00F302A9"/>
    <w:rsid w:val="00F3034C"/>
    <w:rsid w:val="00F30429"/>
    <w:rsid w:val="00F3059D"/>
    <w:rsid w:val="00F305CE"/>
    <w:rsid w:val="00F306CC"/>
    <w:rsid w:val="00F308DE"/>
    <w:rsid w:val="00F308E6"/>
    <w:rsid w:val="00F309D2"/>
    <w:rsid w:val="00F309E8"/>
    <w:rsid w:val="00F30B6D"/>
    <w:rsid w:val="00F30B91"/>
    <w:rsid w:val="00F30BAE"/>
    <w:rsid w:val="00F30BE3"/>
    <w:rsid w:val="00F30C3B"/>
    <w:rsid w:val="00F30D5E"/>
    <w:rsid w:val="00F30D8E"/>
    <w:rsid w:val="00F30DAC"/>
    <w:rsid w:val="00F30DEC"/>
    <w:rsid w:val="00F30F43"/>
    <w:rsid w:val="00F3106E"/>
    <w:rsid w:val="00F310B3"/>
    <w:rsid w:val="00F31246"/>
    <w:rsid w:val="00F3126B"/>
    <w:rsid w:val="00F313F4"/>
    <w:rsid w:val="00F313FD"/>
    <w:rsid w:val="00F31452"/>
    <w:rsid w:val="00F3155D"/>
    <w:rsid w:val="00F3167F"/>
    <w:rsid w:val="00F316DC"/>
    <w:rsid w:val="00F31806"/>
    <w:rsid w:val="00F3181F"/>
    <w:rsid w:val="00F31822"/>
    <w:rsid w:val="00F31856"/>
    <w:rsid w:val="00F31918"/>
    <w:rsid w:val="00F31B6A"/>
    <w:rsid w:val="00F31CDD"/>
    <w:rsid w:val="00F31F13"/>
    <w:rsid w:val="00F3204F"/>
    <w:rsid w:val="00F322A2"/>
    <w:rsid w:val="00F32384"/>
    <w:rsid w:val="00F32448"/>
    <w:rsid w:val="00F32515"/>
    <w:rsid w:val="00F3261B"/>
    <w:rsid w:val="00F3266C"/>
    <w:rsid w:val="00F32685"/>
    <w:rsid w:val="00F327EC"/>
    <w:rsid w:val="00F32AB2"/>
    <w:rsid w:val="00F32AD8"/>
    <w:rsid w:val="00F32AEF"/>
    <w:rsid w:val="00F32CDA"/>
    <w:rsid w:val="00F32E6B"/>
    <w:rsid w:val="00F32FB1"/>
    <w:rsid w:val="00F32FE1"/>
    <w:rsid w:val="00F33059"/>
    <w:rsid w:val="00F33282"/>
    <w:rsid w:val="00F33316"/>
    <w:rsid w:val="00F333F5"/>
    <w:rsid w:val="00F3348E"/>
    <w:rsid w:val="00F334D5"/>
    <w:rsid w:val="00F33528"/>
    <w:rsid w:val="00F33691"/>
    <w:rsid w:val="00F3380E"/>
    <w:rsid w:val="00F3389D"/>
    <w:rsid w:val="00F33B78"/>
    <w:rsid w:val="00F33BBB"/>
    <w:rsid w:val="00F33C06"/>
    <w:rsid w:val="00F33D0B"/>
    <w:rsid w:val="00F33D26"/>
    <w:rsid w:val="00F33DAA"/>
    <w:rsid w:val="00F33E0A"/>
    <w:rsid w:val="00F33E64"/>
    <w:rsid w:val="00F33FB6"/>
    <w:rsid w:val="00F33FC6"/>
    <w:rsid w:val="00F3412F"/>
    <w:rsid w:val="00F34286"/>
    <w:rsid w:val="00F3428B"/>
    <w:rsid w:val="00F342BD"/>
    <w:rsid w:val="00F3433B"/>
    <w:rsid w:val="00F34344"/>
    <w:rsid w:val="00F343C0"/>
    <w:rsid w:val="00F343F8"/>
    <w:rsid w:val="00F34402"/>
    <w:rsid w:val="00F34537"/>
    <w:rsid w:val="00F347C7"/>
    <w:rsid w:val="00F3484C"/>
    <w:rsid w:val="00F34877"/>
    <w:rsid w:val="00F348CB"/>
    <w:rsid w:val="00F34963"/>
    <w:rsid w:val="00F34A46"/>
    <w:rsid w:val="00F34AB3"/>
    <w:rsid w:val="00F34B08"/>
    <w:rsid w:val="00F34B21"/>
    <w:rsid w:val="00F34B59"/>
    <w:rsid w:val="00F34BD0"/>
    <w:rsid w:val="00F34BD4"/>
    <w:rsid w:val="00F34C4B"/>
    <w:rsid w:val="00F34E37"/>
    <w:rsid w:val="00F34EFA"/>
    <w:rsid w:val="00F34F18"/>
    <w:rsid w:val="00F34F5E"/>
    <w:rsid w:val="00F34F99"/>
    <w:rsid w:val="00F3501A"/>
    <w:rsid w:val="00F3501C"/>
    <w:rsid w:val="00F35043"/>
    <w:rsid w:val="00F35080"/>
    <w:rsid w:val="00F3509E"/>
    <w:rsid w:val="00F350EE"/>
    <w:rsid w:val="00F35172"/>
    <w:rsid w:val="00F3521A"/>
    <w:rsid w:val="00F35498"/>
    <w:rsid w:val="00F35579"/>
    <w:rsid w:val="00F355B7"/>
    <w:rsid w:val="00F35611"/>
    <w:rsid w:val="00F35644"/>
    <w:rsid w:val="00F35645"/>
    <w:rsid w:val="00F3577D"/>
    <w:rsid w:val="00F3592F"/>
    <w:rsid w:val="00F35964"/>
    <w:rsid w:val="00F35A37"/>
    <w:rsid w:val="00F35A41"/>
    <w:rsid w:val="00F35A8F"/>
    <w:rsid w:val="00F35BEF"/>
    <w:rsid w:val="00F35CB2"/>
    <w:rsid w:val="00F35D44"/>
    <w:rsid w:val="00F35DF1"/>
    <w:rsid w:val="00F35E75"/>
    <w:rsid w:val="00F35EBE"/>
    <w:rsid w:val="00F35FA3"/>
    <w:rsid w:val="00F35FC4"/>
    <w:rsid w:val="00F3611F"/>
    <w:rsid w:val="00F36150"/>
    <w:rsid w:val="00F361A0"/>
    <w:rsid w:val="00F36200"/>
    <w:rsid w:val="00F36238"/>
    <w:rsid w:val="00F3628E"/>
    <w:rsid w:val="00F362D6"/>
    <w:rsid w:val="00F362DE"/>
    <w:rsid w:val="00F3631F"/>
    <w:rsid w:val="00F36581"/>
    <w:rsid w:val="00F36593"/>
    <w:rsid w:val="00F36643"/>
    <w:rsid w:val="00F366D5"/>
    <w:rsid w:val="00F366ED"/>
    <w:rsid w:val="00F367A5"/>
    <w:rsid w:val="00F367D0"/>
    <w:rsid w:val="00F369FD"/>
    <w:rsid w:val="00F36AFA"/>
    <w:rsid w:val="00F36BD6"/>
    <w:rsid w:val="00F36CD5"/>
    <w:rsid w:val="00F36D36"/>
    <w:rsid w:val="00F36D91"/>
    <w:rsid w:val="00F36DF5"/>
    <w:rsid w:val="00F37154"/>
    <w:rsid w:val="00F371C7"/>
    <w:rsid w:val="00F372F6"/>
    <w:rsid w:val="00F3735E"/>
    <w:rsid w:val="00F37738"/>
    <w:rsid w:val="00F377B2"/>
    <w:rsid w:val="00F378A6"/>
    <w:rsid w:val="00F378F0"/>
    <w:rsid w:val="00F378F4"/>
    <w:rsid w:val="00F37920"/>
    <w:rsid w:val="00F3792F"/>
    <w:rsid w:val="00F37930"/>
    <w:rsid w:val="00F37938"/>
    <w:rsid w:val="00F37A41"/>
    <w:rsid w:val="00F37B29"/>
    <w:rsid w:val="00F37C0F"/>
    <w:rsid w:val="00F37C3F"/>
    <w:rsid w:val="00F37C9B"/>
    <w:rsid w:val="00F37E0F"/>
    <w:rsid w:val="00F37E24"/>
    <w:rsid w:val="00F37ED2"/>
    <w:rsid w:val="00F40030"/>
    <w:rsid w:val="00F40072"/>
    <w:rsid w:val="00F40082"/>
    <w:rsid w:val="00F40103"/>
    <w:rsid w:val="00F40139"/>
    <w:rsid w:val="00F40142"/>
    <w:rsid w:val="00F40179"/>
    <w:rsid w:val="00F40188"/>
    <w:rsid w:val="00F4018B"/>
    <w:rsid w:val="00F40197"/>
    <w:rsid w:val="00F40238"/>
    <w:rsid w:val="00F40271"/>
    <w:rsid w:val="00F4068C"/>
    <w:rsid w:val="00F4073D"/>
    <w:rsid w:val="00F4078C"/>
    <w:rsid w:val="00F407AE"/>
    <w:rsid w:val="00F407E2"/>
    <w:rsid w:val="00F40839"/>
    <w:rsid w:val="00F408C1"/>
    <w:rsid w:val="00F4091C"/>
    <w:rsid w:val="00F409B9"/>
    <w:rsid w:val="00F409F2"/>
    <w:rsid w:val="00F40CD6"/>
    <w:rsid w:val="00F40D99"/>
    <w:rsid w:val="00F40DC7"/>
    <w:rsid w:val="00F40F1B"/>
    <w:rsid w:val="00F40FEC"/>
    <w:rsid w:val="00F41082"/>
    <w:rsid w:val="00F410F3"/>
    <w:rsid w:val="00F41150"/>
    <w:rsid w:val="00F411FD"/>
    <w:rsid w:val="00F4123B"/>
    <w:rsid w:val="00F41263"/>
    <w:rsid w:val="00F412A5"/>
    <w:rsid w:val="00F412E7"/>
    <w:rsid w:val="00F41322"/>
    <w:rsid w:val="00F41338"/>
    <w:rsid w:val="00F413F1"/>
    <w:rsid w:val="00F415C2"/>
    <w:rsid w:val="00F415CD"/>
    <w:rsid w:val="00F415ED"/>
    <w:rsid w:val="00F41631"/>
    <w:rsid w:val="00F416A6"/>
    <w:rsid w:val="00F416C4"/>
    <w:rsid w:val="00F41751"/>
    <w:rsid w:val="00F417CC"/>
    <w:rsid w:val="00F41A5E"/>
    <w:rsid w:val="00F41AB1"/>
    <w:rsid w:val="00F41BA4"/>
    <w:rsid w:val="00F41BEA"/>
    <w:rsid w:val="00F41C8C"/>
    <w:rsid w:val="00F41D03"/>
    <w:rsid w:val="00F41E2A"/>
    <w:rsid w:val="00F41EBC"/>
    <w:rsid w:val="00F41F59"/>
    <w:rsid w:val="00F41F81"/>
    <w:rsid w:val="00F42014"/>
    <w:rsid w:val="00F4205F"/>
    <w:rsid w:val="00F42096"/>
    <w:rsid w:val="00F421E2"/>
    <w:rsid w:val="00F42211"/>
    <w:rsid w:val="00F42255"/>
    <w:rsid w:val="00F422BF"/>
    <w:rsid w:val="00F42385"/>
    <w:rsid w:val="00F42A13"/>
    <w:rsid w:val="00F42A26"/>
    <w:rsid w:val="00F42AB4"/>
    <w:rsid w:val="00F42B8C"/>
    <w:rsid w:val="00F42C19"/>
    <w:rsid w:val="00F42C83"/>
    <w:rsid w:val="00F42CD9"/>
    <w:rsid w:val="00F42D92"/>
    <w:rsid w:val="00F42E44"/>
    <w:rsid w:val="00F42EB2"/>
    <w:rsid w:val="00F4312F"/>
    <w:rsid w:val="00F43344"/>
    <w:rsid w:val="00F43418"/>
    <w:rsid w:val="00F43777"/>
    <w:rsid w:val="00F4379E"/>
    <w:rsid w:val="00F437D5"/>
    <w:rsid w:val="00F437E1"/>
    <w:rsid w:val="00F437F6"/>
    <w:rsid w:val="00F437FE"/>
    <w:rsid w:val="00F43855"/>
    <w:rsid w:val="00F43987"/>
    <w:rsid w:val="00F439C4"/>
    <w:rsid w:val="00F43A8D"/>
    <w:rsid w:val="00F43A8E"/>
    <w:rsid w:val="00F43B5C"/>
    <w:rsid w:val="00F43C56"/>
    <w:rsid w:val="00F43C5A"/>
    <w:rsid w:val="00F43C8A"/>
    <w:rsid w:val="00F43D24"/>
    <w:rsid w:val="00F43D41"/>
    <w:rsid w:val="00F43D75"/>
    <w:rsid w:val="00F43E6A"/>
    <w:rsid w:val="00F43EE0"/>
    <w:rsid w:val="00F440B1"/>
    <w:rsid w:val="00F441D4"/>
    <w:rsid w:val="00F44333"/>
    <w:rsid w:val="00F444E2"/>
    <w:rsid w:val="00F446C1"/>
    <w:rsid w:val="00F44717"/>
    <w:rsid w:val="00F4473A"/>
    <w:rsid w:val="00F4483A"/>
    <w:rsid w:val="00F449B0"/>
    <w:rsid w:val="00F449D3"/>
    <w:rsid w:val="00F44AFB"/>
    <w:rsid w:val="00F44B10"/>
    <w:rsid w:val="00F44BCC"/>
    <w:rsid w:val="00F44C07"/>
    <w:rsid w:val="00F44C0C"/>
    <w:rsid w:val="00F44CCB"/>
    <w:rsid w:val="00F44D3F"/>
    <w:rsid w:val="00F44F56"/>
    <w:rsid w:val="00F44F72"/>
    <w:rsid w:val="00F44FC4"/>
    <w:rsid w:val="00F45047"/>
    <w:rsid w:val="00F45081"/>
    <w:rsid w:val="00F4509A"/>
    <w:rsid w:val="00F4518D"/>
    <w:rsid w:val="00F4518E"/>
    <w:rsid w:val="00F45229"/>
    <w:rsid w:val="00F4535E"/>
    <w:rsid w:val="00F45368"/>
    <w:rsid w:val="00F45625"/>
    <w:rsid w:val="00F4565A"/>
    <w:rsid w:val="00F456EC"/>
    <w:rsid w:val="00F45847"/>
    <w:rsid w:val="00F4588F"/>
    <w:rsid w:val="00F459BC"/>
    <w:rsid w:val="00F45A1C"/>
    <w:rsid w:val="00F45A8C"/>
    <w:rsid w:val="00F45E01"/>
    <w:rsid w:val="00F45E99"/>
    <w:rsid w:val="00F45F93"/>
    <w:rsid w:val="00F46009"/>
    <w:rsid w:val="00F4618D"/>
    <w:rsid w:val="00F46370"/>
    <w:rsid w:val="00F46389"/>
    <w:rsid w:val="00F463BE"/>
    <w:rsid w:val="00F465CF"/>
    <w:rsid w:val="00F46620"/>
    <w:rsid w:val="00F46861"/>
    <w:rsid w:val="00F468FE"/>
    <w:rsid w:val="00F469E2"/>
    <w:rsid w:val="00F46A09"/>
    <w:rsid w:val="00F46B17"/>
    <w:rsid w:val="00F46B6C"/>
    <w:rsid w:val="00F46C18"/>
    <w:rsid w:val="00F46C60"/>
    <w:rsid w:val="00F46C69"/>
    <w:rsid w:val="00F46C92"/>
    <w:rsid w:val="00F46DE0"/>
    <w:rsid w:val="00F46E05"/>
    <w:rsid w:val="00F46F46"/>
    <w:rsid w:val="00F470EF"/>
    <w:rsid w:val="00F471BD"/>
    <w:rsid w:val="00F472BA"/>
    <w:rsid w:val="00F47303"/>
    <w:rsid w:val="00F47430"/>
    <w:rsid w:val="00F4758C"/>
    <w:rsid w:val="00F47623"/>
    <w:rsid w:val="00F47667"/>
    <w:rsid w:val="00F476EA"/>
    <w:rsid w:val="00F477CE"/>
    <w:rsid w:val="00F477D1"/>
    <w:rsid w:val="00F477E4"/>
    <w:rsid w:val="00F47832"/>
    <w:rsid w:val="00F47881"/>
    <w:rsid w:val="00F478F6"/>
    <w:rsid w:val="00F4792F"/>
    <w:rsid w:val="00F47962"/>
    <w:rsid w:val="00F47B91"/>
    <w:rsid w:val="00F47BDC"/>
    <w:rsid w:val="00F47C36"/>
    <w:rsid w:val="00F47D37"/>
    <w:rsid w:val="00F47FB8"/>
    <w:rsid w:val="00F48076"/>
    <w:rsid w:val="00F50030"/>
    <w:rsid w:val="00F50065"/>
    <w:rsid w:val="00F501C7"/>
    <w:rsid w:val="00F501F1"/>
    <w:rsid w:val="00F504BC"/>
    <w:rsid w:val="00F505D1"/>
    <w:rsid w:val="00F50848"/>
    <w:rsid w:val="00F5084D"/>
    <w:rsid w:val="00F50A09"/>
    <w:rsid w:val="00F50A1C"/>
    <w:rsid w:val="00F50A2E"/>
    <w:rsid w:val="00F50B9E"/>
    <w:rsid w:val="00F50C9D"/>
    <w:rsid w:val="00F50D5B"/>
    <w:rsid w:val="00F50EF1"/>
    <w:rsid w:val="00F50FAE"/>
    <w:rsid w:val="00F51066"/>
    <w:rsid w:val="00F51221"/>
    <w:rsid w:val="00F512FA"/>
    <w:rsid w:val="00F513BF"/>
    <w:rsid w:val="00F5141E"/>
    <w:rsid w:val="00F51545"/>
    <w:rsid w:val="00F51554"/>
    <w:rsid w:val="00F51786"/>
    <w:rsid w:val="00F519DD"/>
    <w:rsid w:val="00F51B13"/>
    <w:rsid w:val="00F51B31"/>
    <w:rsid w:val="00F51B46"/>
    <w:rsid w:val="00F51C1D"/>
    <w:rsid w:val="00F51CBA"/>
    <w:rsid w:val="00F51DA2"/>
    <w:rsid w:val="00F51DC2"/>
    <w:rsid w:val="00F51EA1"/>
    <w:rsid w:val="00F51F41"/>
    <w:rsid w:val="00F51F89"/>
    <w:rsid w:val="00F5205F"/>
    <w:rsid w:val="00F52148"/>
    <w:rsid w:val="00F5249A"/>
    <w:rsid w:val="00F5257D"/>
    <w:rsid w:val="00F525E9"/>
    <w:rsid w:val="00F526FC"/>
    <w:rsid w:val="00F52711"/>
    <w:rsid w:val="00F52727"/>
    <w:rsid w:val="00F5277F"/>
    <w:rsid w:val="00F5281B"/>
    <w:rsid w:val="00F5288B"/>
    <w:rsid w:val="00F52B2F"/>
    <w:rsid w:val="00F52B36"/>
    <w:rsid w:val="00F52C17"/>
    <w:rsid w:val="00F52C45"/>
    <w:rsid w:val="00F52C4D"/>
    <w:rsid w:val="00F52CA7"/>
    <w:rsid w:val="00F52DB5"/>
    <w:rsid w:val="00F52E32"/>
    <w:rsid w:val="00F52EC9"/>
    <w:rsid w:val="00F53095"/>
    <w:rsid w:val="00F530E0"/>
    <w:rsid w:val="00F53125"/>
    <w:rsid w:val="00F531E8"/>
    <w:rsid w:val="00F53214"/>
    <w:rsid w:val="00F532C0"/>
    <w:rsid w:val="00F53305"/>
    <w:rsid w:val="00F534A4"/>
    <w:rsid w:val="00F535E9"/>
    <w:rsid w:val="00F535EE"/>
    <w:rsid w:val="00F53664"/>
    <w:rsid w:val="00F5369D"/>
    <w:rsid w:val="00F5388B"/>
    <w:rsid w:val="00F53931"/>
    <w:rsid w:val="00F53941"/>
    <w:rsid w:val="00F53976"/>
    <w:rsid w:val="00F53A48"/>
    <w:rsid w:val="00F53B7C"/>
    <w:rsid w:val="00F53C25"/>
    <w:rsid w:val="00F53D1C"/>
    <w:rsid w:val="00F53E38"/>
    <w:rsid w:val="00F53F3E"/>
    <w:rsid w:val="00F53FF9"/>
    <w:rsid w:val="00F5403D"/>
    <w:rsid w:val="00F54091"/>
    <w:rsid w:val="00F54193"/>
    <w:rsid w:val="00F541C3"/>
    <w:rsid w:val="00F54390"/>
    <w:rsid w:val="00F543BA"/>
    <w:rsid w:val="00F54494"/>
    <w:rsid w:val="00F54578"/>
    <w:rsid w:val="00F545F8"/>
    <w:rsid w:val="00F5475F"/>
    <w:rsid w:val="00F54760"/>
    <w:rsid w:val="00F547A4"/>
    <w:rsid w:val="00F54AF3"/>
    <w:rsid w:val="00F54BE1"/>
    <w:rsid w:val="00F54C33"/>
    <w:rsid w:val="00F54F37"/>
    <w:rsid w:val="00F55007"/>
    <w:rsid w:val="00F55253"/>
    <w:rsid w:val="00F55261"/>
    <w:rsid w:val="00F552C8"/>
    <w:rsid w:val="00F5533A"/>
    <w:rsid w:val="00F5542A"/>
    <w:rsid w:val="00F55612"/>
    <w:rsid w:val="00F556B0"/>
    <w:rsid w:val="00F556ED"/>
    <w:rsid w:val="00F55977"/>
    <w:rsid w:val="00F55A7C"/>
    <w:rsid w:val="00F55B60"/>
    <w:rsid w:val="00F55FB6"/>
    <w:rsid w:val="00F56020"/>
    <w:rsid w:val="00F56456"/>
    <w:rsid w:val="00F56462"/>
    <w:rsid w:val="00F5650D"/>
    <w:rsid w:val="00F5664E"/>
    <w:rsid w:val="00F5666C"/>
    <w:rsid w:val="00F56740"/>
    <w:rsid w:val="00F5688C"/>
    <w:rsid w:val="00F56891"/>
    <w:rsid w:val="00F568C9"/>
    <w:rsid w:val="00F568E9"/>
    <w:rsid w:val="00F56A5B"/>
    <w:rsid w:val="00F56B01"/>
    <w:rsid w:val="00F56B31"/>
    <w:rsid w:val="00F56C1F"/>
    <w:rsid w:val="00F56C57"/>
    <w:rsid w:val="00F56D29"/>
    <w:rsid w:val="00F56F59"/>
    <w:rsid w:val="00F5708B"/>
    <w:rsid w:val="00F57263"/>
    <w:rsid w:val="00F57358"/>
    <w:rsid w:val="00F573DE"/>
    <w:rsid w:val="00F574DE"/>
    <w:rsid w:val="00F575E5"/>
    <w:rsid w:val="00F575EF"/>
    <w:rsid w:val="00F5760A"/>
    <w:rsid w:val="00F5772F"/>
    <w:rsid w:val="00F577C3"/>
    <w:rsid w:val="00F577E7"/>
    <w:rsid w:val="00F57875"/>
    <w:rsid w:val="00F57AF3"/>
    <w:rsid w:val="00F57BAD"/>
    <w:rsid w:val="00F57BEC"/>
    <w:rsid w:val="00F57C75"/>
    <w:rsid w:val="00F57CA6"/>
    <w:rsid w:val="00F57CE9"/>
    <w:rsid w:val="00F57D0F"/>
    <w:rsid w:val="00F57E61"/>
    <w:rsid w:val="00F57EA5"/>
    <w:rsid w:val="00F57F9B"/>
    <w:rsid w:val="00F57FF3"/>
    <w:rsid w:val="00F60011"/>
    <w:rsid w:val="00F60065"/>
    <w:rsid w:val="00F60070"/>
    <w:rsid w:val="00F601AF"/>
    <w:rsid w:val="00F6028B"/>
    <w:rsid w:val="00F60321"/>
    <w:rsid w:val="00F60350"/>
    <w:rsid w:val="00F60359"/>
    <w:rsid w:val="00F6035F"/>
    <w:rsid w:val="00F6036B"/>
    <w:rsid w:val="00F603CA"/>
    <w:rsid w:val="00F604BE"/>
    <w:rsid w:val="00F6052F"/>
    <w:rsid w:val="00F605B0"/>
    <w:rsid w:val="00F605F2"/>
    <w:rsid w:val="00F60708"/>
    <w:rsid w:val="00F609BF"/>
    <w:rsid w:val="00F60B92"/>
    <w:rsid w:val="00F60BFD"/>
    <w:rsid w:val="00F60C34"/>
    <w:rsid w:val="00F60CB2"/>
    <w:rsid w:val="00F60DCB"/>
    <w:rsid w:val="00F60E76"/>
    <w:rsid w:val="00F6116B"/>
    <w:rsid w:val="00F611BD"/>
    <w:rsid w:val="00F61253"/>
    <w:rsid w:val="00F6144A"/>
    <w:rsid w:val="00F61473"/>
    <w:rsid w:val="00F614C6"/>
    <w:rsid w:val="00F6153D"/>
    <w:rsid w:val="00F615E9"/>
    <w:rsid w:val="00F61646"/>
    <w:rsid w:val="00F61670"/>
    <w:rsid w:val="00F61701"/>
    <w:rsid w:val="00F617EE"/>
    <w:rsid w:val="00F618BB"/>
    <w:rsid w:val="00F618FF"/>
    <w:rsid w:val="00F6190E"/>
    <w:rsid w:val="00F61AAD"/>
    <w:rsid w:val="00F61B16"/>
    <w:rsid w:val="00F61C86"/>
    <w:rsid w:val="00F61F55"/>
    <w:rsid w:val="00F61F81"/>
    <w:rsid w:val="00F6207E"/>
    <w:rsid w:val="00F62197"/>
    <w:rsid w:val="00F625CA"/>
    <w:rsid w:val="00F625D0"/>
    <w:rsid w:val="00F626DC"/>
    <w:rsid w:val="00F62756"/>
    <w:rsid w:val="00F62760"/>
    <w:rsid w:val="00F62879"/>
    <w:rsid w:val="00F62941"/>
    <w:rsid w:val="00F62951"/>
    <w:rsid w:val="00F629B7"/>
    <w:rsid w:val="00F629C0"/>
    <w:rsid w:val="00F62AF8"/>
    <w:rsid w:val="00F62B73"/>
    <w:rsid w:val="00F62BC5"/>
    <w:rsid w:val="00F62C9E"/>
    <w:rsid w:val="00F62E30"/>
    <w:rsid w:val="00F62E3F"/>
    <w:rsid w:val="00F62F24"/>
    <w:rsid w:val="00F62F64"/>
    <w:rsid w:val="00F62FDE"/>
    <w:rsid w:val="00F62FF4"/>
    <w:rsid w:val="00F63341"/>
    <w:rsid w:val="00F633B7"/>
    <w:rsid w:val="00F633BA"/>
    <w:rsid w:val="00F63534"/>
    <w:rsid w:val="00F635D4"/>
    <w:rsid w:val="00F63602"/>
    <w:rsid w:val="00F63795"/>
    <w:rsid w:val="00F638B3"/>
    <w:rsid w:val="00F638C8"/>
    <w:rsid w:val="00F63B4A"/>
    <w:rsid w:val="00F63B7C"/>
    <w:rsid w:val="00F63F9A"/>
    <w:rsid w:val="00F64099"/>
    <w:rsid w:val="00F640E7"/>
    <w:rsid w:val="00F6411F"/>
    <w:rsid w:val="00F64126"/>
    <w:rsid w:val="00F642BE"/>
    <w:rsid w:val="00F64412"/>
    <w:rsid w:val="00F645B1"/>
    <w:rsid w:val="00F6467E"/>
    <w:rsid w:val="00F646F9"/>
    <w:rsid w:val="00F648FF"/>
    <w:rsid w:val="00F64C74"/>
    <w:rsid w:val="00F64CA5"/>
    <w:rsid w:val="00F64D67"/>
    <w:rsid w:val="00F64DD4"/>
    <w:rsid w:val="00F64E67"/>
    <w:rsid w:val="00F64F00"/>
    <w:rsid w:val="00F65065"/>
    <w:rsid w:val="00F650D4"/>
    <w:rsid w:val="00F65230"/>
    <w:rsid w:val="00F65231"/>
    <w:rsid w:val="00F653FF"/>
    <w:rsid w:val="00F6540F"/>
    <w:rsid w:val="00F6563C"/>
    <w:rsid w:val="00F657A5"/>
    <w:rsid w:val="00F65888"/>
    <w:rsid w:val="00F658B3"/>
    <w:rsid w:val="00F6592A"/>
    <w:rsid w:val="00F65A30"/>
    <w:rsid w:val="00F65A8B"/>
    <w:rsid w:val="00F65B8F"/>
    <w:rsid w:val="00F65B92"/>
    <w:rsid w:val="00F65CB8"/>
    <w:rsid w:val="00F65CF4"/>
    <w:rsid w:val="00F65DE0"/>
    <w:rsid w:val="00F65DFA"/>
    <w:rsid w:val="00F65FD5"/>
    <w:rsid w:val="00F66163"/>
    <w:rsid w:val="00F6618E"/>
    <w:rsid w:val="00F661E1"/>
    <w:rsid w:val="00F664F8"/>
    <w:rsid w:val="00F66655"/>
    <w:rsid w:val="00F666FF"/>
    <w:rsid w:val="00F6676C"/>
    <w:rsid w:val="00F6677A"/>
    <w:rsid w:val="00F6677B"/>
    <w:rsid w:val="00F66838"/>
    <w:rsid w:val="00F66983"/>
    <w:rsid w:val="00F66A48"/>
    <w:rsid w:val="00F66A58"/>
    <w:rsid w:val="00F66B71"/>
    <w:rsid w:val="00F66B73"/>
    <w:rsid w:val="00F66B9A"/>
    <w:rsid w:val="00F66BAE"/>
    <w:rsid w:val="00F66C37"/>
    <w:rsid w:val="00F66CE2"/>
    <w:rsid w:val="00F66D20"/>
    <w:rsid w:val="00F66D45"/>
    <w:rsid w:val="00F66DAF"/>
    <w:rsid w:val="00F66F10"/>
    <w:rsid w:val="00F66F8A"/>
    <w:rsid w:val="00F66FE4"/>
    <w:rsid w:val="00F67097"/>
    <w:rsid w:val="00F670F1"/>
    <w:rsid w:val="00F67119"/>
    <w:rsid w:val="00F67131"/>
    <w:rsid w:val="00F67220"/>
    <w:rsid w:val="00F672FB"/>
    <w:rsid w:val="00F673B9"/>
    <w:rsid w:val="00F674C9"/>
    <w:rsid w:val="00F674F8"/>
    <w:rsid w:val="00F6765B"/>
    <w:rsid w:val="00F677A5"/>
    <w:rsid w:val="00F67890"/>
    <w:rsid w:val="00F67936"/>
    <w:rsid w:val="00F679BF"/>
    <w:rsid w:val="00F67A3D"/>
    <w:rsid w:val="00F67A9B"/>
    <w:rsid w:val="00F67B5E"/>
    <w:rsid w:val="00F67C97"/>
    <w:rsid w:val="00F67CED"/>
    <w:rsid w:val="00F67D11"/>
    <w:rsid w:val="00F67D41"/>
    <w:rsid w:val="00F67D87"/>
    <w:rsid w:val="00F67DB7"/>
    <w:rsid w:val="00F67F61"/>
    <w:rsid w:val="00F67F86"/>
    <w:rsid w:val="00F67FF7"/>
    <w:rsid w:val="00F70043"/>
    <w:rsid w:val="00F70135"/>
    <w:rsid w:val="00F70273"/>
    <w:rsid w:val="00F704CD"/>
    <w:rsid w:val="00F70510"/>
    <w:rsid w:val="00F705C5"/>
    <w:rsid w:val="00F705C8"/>
    <w:rsid w:val="00F705EE"/>
    <w:rsid w:val="00F706D6"/>
    <w:rsid w:val="00F7072C"/>
    <w:rsid w:val="00F70765"/>
    <w:rsid w:val="00F7087F"/>
    <w:rsid w:val="00F70887"/>
    <w:rsid w:val="00F708E3"/>
    <w:rsid w:val="00F70954"/>
    <w:rsid w:val="00F70A0A"/>
    <w:rsid w:val="00F70A85"/>
    <w:rsid w:val="00F70AFE"/>
    <w:rsid w:val="00F70CB9"/>
    <w:rsid w:val="00F70CC5"/>
    <w:rsid w:val="00F70D2E"/>
    <w:rsid w:val="00F70F3A"/>
    <w:rsid w:val="00F70F3E"/>
    <w:rsid w:val="00F70F9E"/>
    <w:rsid w:val="00F71052"/>
    <w:rsid w:val="00F71064"/>
    <w:rsid w:val="00F7107B"/>
    <w:rsid w:val="00F71167"/>
    <w:rsid w:val="00F71176"/>
    <w:rsid w:val="00F71233"/>
    <w:rsid w:val="00F712D1"/>
    <w:rsid w:val="00F71379"/>
    <w:rsid w:val="00F713D5"/>
    <w:rsid w:val="00F713FC"/>
    <w:rsid w:val="00F71523"/>
    <w:rsid w:val="00F716CE"/>
    <w:rsid w:val="00F716D5"/>
    <w:rsid w:val="00F7180F"/>
    <w:rsid w:val="00F718D7"/>
    <w:rsid w:val="00F71987"/>
    <w:rsid w:val="00F71A63"/>
    <w:rsid w:val="00F71BDF"/>
    <w:rsid w:val="00F71C01"/>
    <w:rsid w:val="00F71C79"/>
    <w:rsid w:val="00F71CC2"/>
    <w:rsid w:val="00F71CE6"/>
    <w:rsid w:val="00F71D85"/>
    <w:rsid w:val="00F71D96"/>
    <w:rsid w:val="00F71EAB"/>
    <w:rsid w:val="00F71F62"/>
    <w:rsid w:val="00F72127"/>
    <w:rsid w:val="00F721EE"/>
    <w:rsid w:val="00F72237"/>
    <w:rsid w:val="00F723CF"/>
    <w:rsid w:val="00F72483"/>
    <w:rsid w:val="00F724F8"/>
    <w:rsid w:val="00F72560"/>
    <w:rsid w:val="00F725DE"/>
    <w:rsid w:val="00F7263E"/>
    <w:rsid w:val="00F72AEF"/>
    <w:rsid w:val="00F72AF1"/>
    <w:rsid w:val="00F72B54"/>
    <w:rsid w:val="00F72BA5"/>
    <w:rsid w:val="00F72BEA"/>
    <w:rsid w:val="00F72C35"/>
    <w:rsid w:val="00F72C6A"/>
    <w:rsid w:val="00F72C7C"/>
    <w:rsid w:val="00F72C9B"/>
    <w:rsid w:val="00F72D61"/>
    <w:rsid w:val="00F72D8C"/>
    <w:rsid w:val="00F72F93"/>
    <w:rsid w:val="00F72FAC"/>
    <w:rsid w:val="00F7306E"/>
    <w:rsid w:val="00F7309C"/>
    <w:rsid w:val="00F731A9"/>
    <w:rsid w:val="00F732E1"/>
    <w:rsid w:val="00F7332B"/>
    <w:rsid w:val="00F733A1"/>
    <w:rsid w:val="00F734C4"/>
    <w:rsid w:val="00F735C1"/>
    <w:rsid w:val="00F736F5"/>
    <w:rsid w:val="00F73726"/>
    <w:rsid w:val="00F73747"/>
    <w:rsid w:val="00F737AD"/>
    <w:rsid w:val="00F737BE"/>
    <w:rsid w:val="00F737D7"/>
    <w:rsid w:val="00F738B6"/>
    <w:rsid w:val="00F738BC"/>
    <w:rsid w:val="00F738CB"/>
    <w:rsid w:val="00F73C1D"/>
    <w:rsid w:val="00F73C3E"/>
    <w:rsid w:val="00F73CEC"/>
    <w:rsid w:val="00F73ECB"/>
    <w:rsid w:val="00F73F46"/>
    <w:rsid w:val="00F73F9F"/>
    <w:rsid w:val="00F73FB3"/>
    <w:rsid w:val="00F74053"/>
    <w:rsid w:val="00F74071"/>
    <w:rsid w:val="00F7419B"/>
    <w:rsid w:val="00F741AC"/>
    <w:rsid w:val="00F74239"/>
    <w:rsid w:val="00F74248"/>
    <w:rsid w:val="00F742F5"/>
    <w:rsid w:val="00F74350"/>
    <w:rsid w:val="00F74395"/>
    <w:rsid w:val="00F7447F"/>
    <w:rsid w:val="00F744BA"/>
    <w:rsid w:val="00F745C9"/>
    <w:rsid w:val="00F7481C"/>
    <w:rsid w:val="00F74869"/>
    <w:rsid w:val="00F7491C"/>
    <w:rsid w:val="00F74930"/>
    <w:rsid w:val="00F74948"/>
    <w:rsid w:val="00F74A4C"/>
    <w:rsid w:val="00F74A9A"/>
    <w:rsid w:val="00F74ABE"/>
    <w:rsid w:val="00F74BED"/>
    <w:rsid w:val="00F74C5D"/>
    <w:rsid w:val="00F74D16"/>
    <w:rsid w:val="00F74D1E"/>
    <w:rsid w:val="00F74D71"/>
    <w:rsid w:val="00F74DAD"/>
    <w:rsid w:val="00F74F23"/>
    <w:rsid w:val="00F74FB4"/>
    <w:rsid w:val="00F74FCA"/>
    <w:rsid w:val="00F752DB"/>
    <w:rsid w:val="00F75311"/>
    <w:rsid w:val="00F75319"/>
    <w:rsid w:val="00F75384"/>
    <w:rsid w:val="00F75475"/>
    <w:rsid w:val="00F755DF"/>
    <w:rsid w:val="00F7566E"/>
    <w:rsid w:val="00F75698"/>
    <w:rsid w:val="00F757EA"/>
    <w:rsid w:val="00F75CA3"/>
    <w:rsid w:val="00F75CB1"/>
    <w:rsid w:val="00F75CD4"/>
    <w:rsid w:val="00F75D6A"/>
    <w:rsid w:val="00F75DCF"/>
    <w:rsid w:val="00F75E99"/>
    <w:rsid w:val="00F75F2E"/>
    <w:rsid w:val="00F7627A"/>
    <w:rsid w:val="00F762DB"/>
    <w:rsid w:val="00F76365"/>
    <w:rsid w:val="00F764DC"/>
    <w:rsid w:val="00F76517"/>
    <w:rsid w:val="00F76521"/>
    <w:rsid w:val="00F7658F"/>
    <w:rsid w:val="00F76628"/>
    <w:rsid w:val="00F76672"/>
    <w:rsid w:val="00F76677"/>
    <w:rsid w:val="00F76B06"/>
    <w:rsid w:val="00F76C50"/>
    <w:rsid w:val="00F76D11"/>
    <w:rsid w:val="00F76D4C"/>
    <w:rsid w:val="00F76D83"/>
    <w:rsid w:val="00F76DB8"/>
    <w:rsid w:val="00F76DD4"/>
    <w:rsid w:val="00F76E13"/>
    <w:rsid w:val="00F76E95"/>
    <w:rsid w:val="00F77021"/>
    <w:rsid w:val="00F77057"/>
    <w:rsid w:val="00F77168"/>
    <w:rsid w:val="00F771F4"/>
    <w:rsid w:val="00F77221"/>
    <w:rsid w:val="00F7722A"/>
    <w:rsid w:val="00F77487"/>
    <w:rsid w:val="00F7751A"/>
    <w:rsid w:val="00F775AE"/>
    <w:rsid w:val="00F777A4"/>
    <w:rsid w:val="00F7787B"/>
    <w:rsid w:val="00F77911"/>
    <w:rsid w:val="00F7799E"/>
    <w:rsid w:val="00F779B2"/>
    <w:rsid w:val="00F779FC"/>
    <w:rsid w:val="00F77A08"/>
    <w:rsid w:val="00F77A5A"/>
    <w:rsid w:val="00F77CCC"/>
    <w:rsid w:val="00F77CF0"/>
    <w:rsid w:val="00F77D57"/>
    <w:rsid w:val="00F77D5E"/>
    <w:rsid w:val="00F77E9C"/>
    <w:rsid w:val="00F77EDA"/>
    <w:rsid w:val="00F77F9D"/>
    <w:rsid w:val="00F8001C"/>
    <w:rsid w:val="00F8015F"/>
    <w:rsid w:val="00F80166"/>
    <w:rsid w:val="00F8016C"/>
    <w:rsid w:val="00F801A6"/>
    <w:rsid w:val="00F801C1"/>
    <w:rsid w:val="00F801C6"/>
    <w:rsid w:val="00F802CA"/>
    <w:rsid w:val="00F802CF"/>
    <w:rsid w:val="00F802D9"/>
    <w:rsid w:val="00F8037B"/>
    <w:rsid w:val="00F8039D"/>
    <w:rsid w:val="00F80531"/>
    <w:rsid w:val="00F805B8"/>
    <w:rsid w:val="00F805CE"/>
    <w:rsid w:val="00F806B6"/>
    <w:rsid w:val="00F80762"/>
    <w:rsid w:val="00F80821"/>
    <w:rsid w:val="00F80860"/>
    <w:rsid w:val="00F80B58"/>
    <w:rsid w:val="00F80C3B"/>
    <w:rsid w:val="00F80DCC"/>
    <w:rsid w:val="00F80F19"/>
    <w:rsid w:val="00F8102D"/>
    <w:rsid w:val="00F81037"/>
    <w:rsid w:val="00F8116B"/>
    <w:rsid w:val="00F812E1"/>
    <w:rsid w:val="00F812E5"/>
    <w:rsid w:val="00F81304"/>
    <w:rsid w:val="00F8141E"/>
    <w:rsid w:val="00F81433"/>
    <w:rsid w:val="00F81473"/>
    <w:rsid w:val="00F8147C"/>
    <w:rsid w:val="00F815D9"/>
    <w:rsid w:val="00F8162C"/>
    <w:rsid w:val="00F81659"/>
    <w:rsid w:val="00F816CD"/>
    <w:rsid w:val="00F816FB"/>
    <w:rsid w:val="00F81826"/>
    <w:rsid w:val="00F8190B"/>
    <w:rsid w:val="00F81978"/>
    <w:rsid w:val="00F81AA7"/>
    <w:rsid w:val="00F81ABD"/>
    <w:rsid w:val="00F81B13"/>
    <w:rsid w:val="00F81B36"/>
    <w:rsid w:val="00F81B7A"/>
    <w:rsid w:val="00F81C7E"/>
    <w:rsid w:val="00F81C8B"/>
    <w:rsid w:val="00F81D09"/>
    <w:rsid w:val="00F81D9D"/>
    <w:rsid w:val="00F81DF9"/>
    <w:rsid w:val="00F81F8B"/>
    <w:rsid w:val="00F81F91"/>
    <w:rsid w:val="00F81FA7"/>
    <w:rsid w:val="00F821B5"/>
    <w:rsid w:val="00F821BF"/>
    <w:rsid w:val="00F82326"/>
    <w:rsid w:val="00F823B0"/>
    <w:rsid w:val="00F823FE"/>
    <w:rsid w:val="00F8242F"/>
    <w:rsid w:val="00F8247C"/>
    <w:rsid w:val="00F824F6"/>
    <w:rsid w:val="00F82611"/>
    <w:rsid w:val="00F82621"/>
    <w:rsid w:val="00F82744"/>
    <w:rsid w:val="00F82783"/>
    <w:rsid w:val="00F8278B"/>
    <w:rsid w:val="00F827B4"/>
    <w:rsid w:val="00F82838"/>
    <w:rsid w:val="00F82851"/>
    <w:rsid w:val="00F8286B"/>
    <w:rsid w:val="00F8287A"/>
    <w:rsid w:val="00F828DB"/>
    <w:rsid w:val="00F828F4"/>
    <w:rsid w:val="00F8291E"/>
    <w:rsid w:val="00F829AA"/>
    <w:rsid w:val="00F82C11"/>
    <w:rsid w:val="00F82C75"/>
    <w:rsid w:val="00F82C9F"/>
    <w:rsid w:val="00F82D9B"/>
    <w:rsid w:val="00F82DBC"/>
    <w:rsid w:val="00F82DC2"/>
    <w:rsid w:val="00F82E3C"/>
    <w:rsid w:val="00F82E83"/>
    <w:rsid w:val="00F82FBC"/>
    <w:rsid w:val="00F83070"/>
    <w:rsid w:val="00F830A7"/>
    <w:rsid w:val="00F830E5"/>
    <w:rsid w:val="00F8316C"/>
    <w:rsid w:val="00F831C7"/>
    <w:rsid w:val="00F83246"/>
    <w:rsid w:val="00F832AF"/>
    <w:rsid w:val="00F832DE"/>
    <w:rsid w:val="00F83315"/>
    <w:rsid w:val="00F83367"/>
    <w:rsid w:val="00F83397"/>
    <w:rsid w:val="00F83405"/>
    <w:rsid w:val="00F8351A"/>
    <w:rsid w:val="00F8359A"/>
    <w:rsid w:val="00F835E2"/>
    <w:rsid w:val="00F8364D"/>
    <w:rsid w:val="00F83681"/>
    <w:rsid w:val="00F836C5"/>
    <w:rsid w:val="00F83727"/>
    <w:rsid w:val="00F8375D"/>
    <w:rsid w:val="00F837BB"/>
    <w:rsid w:val="00F837FB"/>
    <w:rsid w:val="00F83814"/>
    <w:rsid w:val="00F83879"/>
    <w:rsid w:val="00F838BB"/>
    <w:rsid w:val="00F83AC3"/>
    <w:rsid w:val="00F83AFD"/>
    <w:rsid w:val="00F83B36"/>
    <w:rsid w:val="00F83C0A"/>
    <w:rsid w:val="00F83C8B"/>
    <w:rsid w:val="00F83F23"/>
    <w:rsid w:val="00F83FEA"/>
    <w:rsid w:val="00F84151"/>
    <w:rsid w:val="00F84166"/>
    <w:rsid w:val="00F842C8"/>
    <w:rsid w:val="00F842E1"/>
    <w:rsid w:val="00F8430A"/>
    <w:rsid w:val="00F84338"/>
    <w:rsid w:val="00F84429"/>
    <w:rsid w:val="00F8448B"/>
    <w:rsid w:val="00F8449C"/>
    <w:rsid w:val="00F844E8"/>
    <w:rsid w:val="00F84621"/>
    <w:rsid w:val="00F84645"/>
    <w:rsid w:val="00F847DC"/>
    <w:rsid w:val="00F84807"/>
    <w:rsid w:val="00F84830"/>
    <w:rsid w:val="00F848F7"/>
    <w:rsid w:val="00F84A60"/>
    <w:rsid w:val="00F84AA9"/>
    <w:rsid w:val="00F84B90"/>
    <w:rsid w:val="00F84B9F"/>
    <w:rsid w:val="00F84E0F"/>
    <w:rsid w:val="00F84E7A"/>
    <w:rsid w:val="00F84F40"/>
    <w:rsid w:val="00F84F8A"/>
    <w:rsid w:val="00F84FF5"/>
    <w:rsid w:val="00F85047"/>
    <w:rsid w:val="00F85246"/>
    <w:rsid w:val="00F85255"/>
    <w:rsid w:val="00F85325"/>
    <w:rsid w:val="00F854D5"/>
    <w:rsid w:val="00F8550C"/>
    <w:rsid w:val="00F855C9"/>
    <w:rsid w:val="00F856A7"/>
    <w:rsid w:val="00F85795"/>
    <w:rsid w:val="00F858D8"/>
    <w:rsid w:val="00F858E2"/>
    <w:rsid w:val="00F85963"/>
    <w:rsid w:val="00F85ADF"/>
    <w:rsid w:val="00F85B2A"/>
    <w:rsid w:val="00F85C2E"/>
    <w:rsid w:val="00F85E44"/>
    <w:rsid w:val="00F85ED8"/>
    <w:rsid w:val="00F8613B"/>
    <w:rsid w:val="00F8615A"/>
    <w:rsid w:val="00F86165"/>
    <w:rsid w:val="00F861E4"/>
    <w:rsid w:val="00F862CF"/>
    <w:rsid w:val="00F86323"/>
    <w:rsid w:val="00F8632F"/>
    <w:rsid w:val="00F86477"/>
    <w:rsid w:val="00F865E9"/>
    <w:rsid w:val="00F86684"/>
    <w:rsid w:val="00F8668E"/>
    <w:rsid w:val="00F86692"/>
    <w:rsid w:val="00F86749"/>
    <w:rsid w:val="00F86885"/>
    <w:rsid w:val="00F868AB"/>
    <w:rsid w:val="00F868BC"/>
    <w:rsid w:val="00F86975"/>
    <w:rsid w:val="00F86A1D"/>
    <w:rsid w:val="00F86AC9"/>
    <w:rsid w:val="00F86AF3"/>
    <w:rsid w:val="00F86B08"/>
    <w:rsid w:val="00F86E27"/>
    <w:rsid w:val="00F86EDA"/>
    <w:rsid w:val="00F86F98"/>
    <w:rsid w:val="00F87054"/>
    <w:rsid w:val="00F870D5"/>
    <w:rsid w:val="00F8714B"/>
    <w:rsid w:val="00F8715C"/>
    <w:rsid w:val="00F87195"/>
    <w:rsid w:val="00F8727C"/>
    <w:rsid w:val="00F87332"/>
    <w:rsid w:val="00F87450"/>
    <w:rsid w:val="00F87904"/>
    <w:rsid w:val="00F879C6"/>
    <w:rsid w:val="00F87C58"/>
    <w:rsid w:val="00F87CFD"/>
    <w:rsid w:val="00F87D9E"/>
    <w:rsid w:val="00F87DC7"/>
    <w:rsid w:val="00F87F17"/>
    <w:rsid w:val="00F900FA"/>
    <w:rsid w:val="00F9016E"/>
    <w:rsid w:val="00F9019D"/>
    <w:rsid w:val="00F90372"/>
    <w:rsid w:val="00F9052C"/>
    <w:rsid w:val="00F905B3"/>
    <w:rsid w:val="00F906D4"/>
    <w:rsid w:val="00F90712"/>
    <w:rsid w:val="00F90730"/>
    <w:rsid w:val="00F90755"/>
    <w:rsid w:val="00F907D5"/>
    <w:rsid w:val="00F90831"/>
    <w:rsid w:val="00F90855"/>
    <w:rsid w:val="00F90860"/>
    <w:rsid w:val="00F90A33"/>
    <w:rsid w:val="00F90AD8"/>
    <w:rsid w:val="00F90ADD"/>
    <w:rsid w:val="00F90B45"/>
    <w:rsid w:val="00F90B59"/>
    <w:rsid w:val="00F90BC2"/>
    <w:rsid w:val="00F90BE2"/>
    <w:rsid w:val="00F90BF8"/>
    <w:rsid w:val="00F90C65"/>
    <w:rsid w:val="00F90C8E"/>
    <w:rsid w:val="00F90CE5"/>
    <w:rsid w:val="00F90F91"/>
    <w:rsid w:val="00F91078"/>
    <w:rsid w:val="00F91151"/>
    <w:rsid w:val="00F911B4"/>
    <w:rsid w:val="00F91834"/>
    <w:rsid w:val="00F918F5"/>
    <w:rsid w:val="00F91B93"/>
    <w:rsid w:val="00F91CC2"/>
    <w:rsid w:val="00F91FE7"/>
    <w:rsid w:val="00F92069"/>
    <w:rsid w:val="00F920B2"/>
    <w:rsid w:val="00F9216C"/>
    <w:rsid w:val="00F922D0"/>
    <w:rsid w:val="00F92744"/>
    <w:rsid w:val="00F92796"/>
    <w:rsid w:val="00F927D9"/>
    <w:rsid w:val="00F92942"/>
    <w:rsid w:val="00F92AE8"/>
    <w:rsid w:val="00F92B4E"/>
    <w:rsid w:val="00F92BCC"/>
    <w:rsid w:val="00F92C12"/>
    <w:rsid w:val="00F92C3F"/>
    <w:rsid w:val="00F92C8B"/>
    <w:rsid w:val="00F92DCE"/>
    <w:rsid w:val="00F92E61"/>
    <w:rsid w:val="00F92E73"/>
    <w:rsid w:val="00F92EA8"/>
    <w:rsid w:val="00F92ECF"/>
    <w:rsid w:val="00F92EF5"/>
    <w:rsid w:val="00F92F03"/>
    <w:rsid w:val="00F93211"/>
    <w:rsid w:val="00F93361"/>
    <w:rsid w:val="00F93375"/>
    <w:rsid w:val="00F93483"/>
    <w:rsid w:val="00F934EC"/>
    <w:rsid w:val="00F9353A"/>
    <w:rsid w:val="00F9363B"/>
    <w:rsid w:val="00F93785"/>
    <w:rsid w:val="00F937C4"/>
    <w:rsid w:val="00F937CE"/>
    <w:rsid w:val="00F937EB"/>
    <w:rsid w:val="00F93845"/>
    <w:rsid w:val="00F938A4"/>
    <w:rsid w:val="00F9391A"/>
    <w:rsid w:val="00F93949"/>
    <w:rsid w:val="00F939DE"/>
    <w:rsid w:val="00F93A04"/>
    <w:rsid w:val="00F93ABA"/>
    <w:rsid w:val="00F93BF4"/>
    <w:rsid w:val="00F93E87"/>
    <w:rsid w:val="00F93F07"/>
    <w:rsid w:val="00F942F7"/>
    <w:rsid w:val="00F94445"/>
    <w:rsid w:val="00F94451"/>
    <w:rsid w:val="00F94527"/>
    <w:rsid w:val="00F94804"/>
    <w:rsid w:val="00F94A11"/>
    <w:rsid w:val="00F94B6A"/>
    <w:rsid w:val="00F94CB7"/>
    <w:rsid w:val="00F94CE2"/>
    <w:rsid w:val="00F94D02"/>
    <w:rsid w:val="00F94E08"/>
    <w:rsid w:val="00F94EAD"/>
    <w:rsid w:val="00F94EB1"/>
    <w:rsid w:val="00F94F18"/>
    <w:rsid w:val="00F9504F"/>
    <w:rsid w:val="00F9508E"/>
    <w:rsid w:val="00F9509C"/>
    <w:rsid w:val="00F952DC"/>
    <w:rsid w:val="00F953FD"/>
    <w:rsid w:val="00F9555A"/>
    <w:rsid w:val="00F956B4"/>
    <w:rsid w:val="00F95892"/>
    <w:rsid w:val="00F95B18"/>
    <w:rsid w:val="00F95B4E"/>
    <w:rsid w:val="00F95C9F"/>
    <w:rsid w:val="00F95CC0"/>
    <w:rsid w:val="00F95CE1"/>
    <w:rsid w:val="00F95CF3"/>
    <w:rsid w:val="00F95D14"/>
    <w:rsid w:val="00F95D75"/>
    <w:rsid w:val="00F9600A"/>
    <w:rsid w:val="00F9609C"/>
    <w:rsid w:val="00F960A9"/>
    <w:rsid w:val="00F9613F"/>
    <w:rsid w:val="00F961C3"/>
    <w:rsid w:val="00F96242"/>
    <w:rsid w:val="00F96251"/>
    <w:rsid w:val="00F9629E"/>
    <w:rsid w:val="00F962B6"/>
    <w:rsid w:val="00F963C7"/>
    <w:rsid w:val="00F9650A"/>
    <w:rsid w:val="00F96526"/>
    <w:rsid w:val="00F96539"/>
    <w:rsid w:val="00F96630"/>
    <w:rsid w:val="00F9684C"/>
    <w:rsid w:val="00F96893"/>
    <w:rsid w:val="00F96A73"/>
    <w:rsid w:val="00F96BEB"/>
    <w:rsid w:val="00F96CF3"/>
    <w:rsid w:val="00F96DD1"/>
    <w:rsid w:val="00F96DF9"/>
    <w:rsid w:val="00F96FD2"/>
    <w:rsid w:val="00F96FE3"/>
    <w:rsid w:val="00F97120"/>
    <w:rsid w:val="00F97194"/>
    <w:rsid w:val="00F971BE"/>
    <w:rsid w:val="00F9727B"/>
    <w:rsid w:val="00F9737D"/>
    <w:rsid w:val="00F974E7"/>
    <w:rsid w:val="00F974F3"/>
    <w:rsid w:val="00F97665"/>
    <w:rsid w:val="00F97796"/>
    <w:rsid w:val="00F977EF"/>
    <w:rsid w:val="00F9780A"/>
    <w:rsid w:val="00F978F5"/>
    <w:rsid w:val="00F97982"/>
    <w:rsid w:val="00F979E6"/>
    <w:rsid w:val="00F97AC2"/>
    <w:rsid w:val="00F97AD8"/>
    <w:rsid w:val="00F97B01"/>
    <w:rsid w:val="00F97B12"/>
    <w:rsid w:val="00F97B4C"/>
    <w:rsid w:val="00F97BB5"/>
    <w:rsid w:val="00F97C54"/>
    <w:rsid w:val="00F97C81"/>
    <w:rsid w:val="00F97DFE"/>
    <w:rsid w:val="00F97E2E"/>
    <w:rsid w:val="00F97E4C"/>
    <w:rsid w:val="00F97F56"/>
    <w:rsid w:val="00FA0112"/>
    <w:rsid w:val="00FA01C2"/>
    <w:rsid w:val="00FA01C4"/>
    <w:rsid w:val="00FA0216"/>
    <w:rsid w:val="00FA02A7"/>
    <w:rsid w:val="00FA0308"/>
    <w:rsid w:val="00FA038E"/>
    <w:rsid w:val="00FA03B3"/>
    <w:rsid w:val="00FA0772"/>
    <w:rsid w:val="00FA07D4"/>
    <w:rsid w:val="00FA0832"/>
    <w:rsid w:val="00FA085E"/>
    <w:rsid w:val="00FA08D7"/>
    <w:rsid w:val="00FA09D1"/>
    <w:rsid w:val="00FA0BA5"/>
    <w:rsid w:val="00FA0C05"/>
    <w:rsid w:val="00FA0D62"/>
    <w:rsid w:val="00FA1021"/>
    <w:rsid w:val="00FA128C"/>
    <w:rsid w:val="00FA1420"/>
    <w:rsid w:val="00FA14BA"/>
    <w:rsid w:val="00FA14F8"/>
    <w:rsid w:val="00FA1504"/>
    <w:rsid w:val="00FA1730"/>
    <w:rsid w:val="00FA1763"/>
    <w:rsid w:val="00FA17B2"/>
    <w:rsid w:val="00FA17DD"/>
    <w:rsid w:val="00FA182F"/>
    <w:rsid w:val="00FA1857"/>
    <w:rsid w:val="00FA1953"/>
    <w:rsid w:val="00FA1BBB"/>
    <w:rsid w:val="00FA1D2E"/>
    <w:rsid w:val="00FA1D50"/>
    <w:rsid w:val="00FA1D89"/>
    <w:rsid w:val="00FA1DCB"/>
    <w:rsid w:val="00FA1DD1"/>
    <w:rsid w:val="00FA1E9A"/>
    <w:rsid w:val="00FA1FE2"/>
    <w:rsid w:val="00FA218C"/>
    <w:rsid w:val="00FA227D"/>
    <w:rsid w:val="00FA2355"/>
    <w:rsid w:val="00FA239A"/>
    <w:rsid w:val="00FA23F3"/>
    <w:rsid w:val="00FA24FD"/>
    <w:rsid w:val="00FA2511"/>
    <w:rsid w:val="00FA268A"/>
    <w:rsid w:val="00FA271B"/>
    <w:rsid w:val="00FA296D"/>
    <w:rsid w:val="00FA2A54"/>
    <w:rsid w:val="00FA2A62"/>
    <w:rsid w:val="00FA2D44"/>
    <w:rsid w:val="00FA2E1C"/>
    <w:rsid w:val="00FA2E63"/>
    <w:rsid w:val="00FA2F95"/>
    <w:rsid w:val="00FA3287"/>
    <w:rsid w:val="00FA335D"/>
    <w:rsid w:val="00FA3385"/>
    <w:rsid w:val="00FA3577"/>
    <w:rsid w:val="00FA365E"/>
    <w:rsid w:val="00FA3707"/>
    <w:rsid w:val="00FA37F6"/>
    <w:rsid w:val="00FA3844"/>
    <w:rsid w:val="00FA3898"/>
    <w:rsid w:val="00FA38F2"/>
    <w:rsid w:val="00FA3A04"/>
    <w:rsid w:val="00FA3A89"/>
    <w:rsid w:val="00FA3A8D"/>
    <w:rsid w:val="00FA3AE4"/>
    <w:rsid w:val="00FA3B95"/>
    <w:rsid w:val="00FA3DA0"/>
    <w:rsid w:val="00FA3DA9"/>
    <w:rsid w:val="00FA3E9C"/>
    <w:rsid w:val="00FA3EF7"/>
    <w:rsid w:val="00FA3F60"/>
    <w:rsid w:val="00FA3FEB"/>
    <w:rsid w:val="00FA4138"/>
    <w:rsid w:val="00FA426D"/>
    <w:rsid w:val="00FA44EF"/>
    <w:rsid w:val="00FA451D"/>
    <w:rsid w:val="00FA4592"/>
    <w:rsid w:val="00FA4689"/>
    <w:rsid w:val="00FA4692"/>
    <w:rsid w:val="00FA473A"/>
    <w:rsid w:val="00FA48F4"/>
    <w:rsid w:val="00FA49E4"/>
    <w:rsid w:val="00FA4A16"/>
    <w:rsid w:val="00FA4B19"/>
    <w:rsid w:val="00FA4C62"/>
    <w:rsid w:val="00FA4C9E"/>
    <w:rsid w:val="00FA4CCE"/>
    <w:rsid w:val="00FA4CD7"/>
    <w:rsid w:val="00FA4E67"/>
    <w:rsid w:val="00FA4ED0"/>
    <w:rsid w:val="00FA4EF9"/>
    <w:rsid w:val="00FA4F55"/>
    <w:rsid w:val="00FA4F64"/>
    <w:rsid w:val="00FA50F2"/>
    <w:rsid w:val="00FA5345"/>
    <w:rsid w:val="00FA5468"/>
    <w:rsid w:val="00FA5493"/>
    <w:rsid w:val="00FA54DF"/>
    <w:rsid w:val="00FA5737"/>
    <w:rsid w:val="00FA585E"/>
    <w:rsid w:val="00FA5AB9"/>
    <w:rsid w:val="00FA5B2D"/>
    <w:rsid w:val="00FA5BB7"/>
    <w:rsid w:val="00FA5C14"/>
    <w:rsid w:val="00FA5C63"/>
    <w:rsid w:val="00FA5C8B"/>
    <w:rsid w:val="00FA5C8C"/>
    <w:rsid w:val="00FA5D0C"/>
    <w:rsid w:val="00FA5DAE"/>
    <w:rsid w:val="00FA5DC4"/>
    <w:rsid w:val="00FA5EB8"/>
    <w:rsid w:val="00FA5EE4"/>
    <w:rsid w:val="00FA5FBB"/>
    <w:rsid w:val="00FA606F"/>
    <w:rsid w:val="00FA6085"/>
    <w:rsid w:val="00FA60D9"/>
    <w:rsid w:val="00FA6109"/>
    <w:rsid w:val="00FA61E3"/>
    <w:rsid w:val="00FA62A2"/>
    <w:rsid w:val="00FA633F"/>
    <w:rsid w:val="00FA65B7"/>
    <w:rsid w:val="00FA6798"/>
    <w:rsid w:val="00FA6828"/>
    <w:rsid w:val="00FA6988"/>
    <w:rsid w:val="00FA69F5"/>
    <w:rsid w:val="00FA6AD0"/>
    <w:rsid w:val="00FA6AF5"/>
    <w:rsid w:val="00FA6B07"/>
    <w:rsid w:val="00FA6B1F"/>
    <w:rsid w:val="00FA6B67"/>
    <w:rsid w:val="00FA6B8B"/>
    <w:rsid w:val="00FA6BB5"/>
    <w:rsid w:val="00FA6E72"/>
    <w:rsid w:val="00FA6FCD"/>
    <w:rsid w:val="00FA703B"/>
    <w:rsid w:val="00FA7074"/>
    <w:rsid w:val="00FA70D7"/>
    <w:rsid w:val="00FA7145"/>
    <w:rsid w:val="00FA714E"/>
    <w:rsid w:val="00FA719F"/>
    <w:rsid w:val="00FA724D"/>
    <w:rsid w:val="00FA72FD"/>
    <w:rsid w:val="00FA7360"/>
    <w:rsid w:val="00FA73F7"/>
    <w:rsid w:val="00FA74C1"/>
    <w:rsid w:val="00FA75BC"/>
    <w:rsid w:val="00FA7651"/>
    <w:rsid w:val="00FA7823"/>
    <w:rsid w:val="00FA7839"/>
    <w:rsid w:val="00FA78FD"/>
    <w:rsid w:val="00FA79A9"/>
    <w:rsid w:val="00FA7B19"/>
    <w:rsid w:val="00FA7B81"/>
    <w:rsid w:val="00FA7BE9"/>
    <w:rsid w:val="00FA7C5A"/>
    <w:rsid w:val="00FA7D11"/>
    <w:rsid w:val="00FA7E03"/>
    <w:rsid w:val="00FA7E80"/>
    <w:rsid w:val="00FA7ED8"/>
    <w:rsid w:val="00FA7F3B"/>
    <w:rsid w:val="00FA7F94"/>
    <w:rsid w:val="00FB00E5"/>
    <w:rsid w:val="00FB0109"/>
    <w:rsid w:val="00FB01A6"/>
    <w:rsid w:val="00FB0208"/>
    <w:rsid w:val="00FB0211"/>
    <w:rsid w:val="00FB0273"/>
    <w:rsid w:val="00FB02A7"/>
    <w:rsid w:val="00FB031B"/>
    <w:rsid w:val="00FB0473"/>
    <w:rsid w:val="00FB0487"/>
    <w:rsid w:val="00FB04E9"/>
    <w:rsid w:val="00FB054F"/>
    <w:rsid w:val="00FB0556"/>
    <w:rsid w:val="00FB0638"/>
    <w:rsid w:val="00FB073A"/>
    <w:rsid w:val="00FB08D3"/>
    <w:rsid w:val="00FB094F"/>
    <w:rsid w:val="00FB097D"/>
    <w:rsid w:val="00FB0A13"/>
    <w:rsid w:val="00FB0F29"/>
    <w:rsid w:val="00FB1220"/>
    <w:rsid w:val="00FB136C"/>
    <w:rsid w:val="00FB142F"/>
    <w:rsid w:val="00FB1445"/>
    <w:rsid w:val="00FB16BF"/>
    <w:rsid w:val="00FB1776"/>
    <w:rsid w:val="00FB1A61"/>
    <w:rsid w:val="00FB1C03"/>
    <w:rsid w:val="00FB1E1C"/>
    <w:rsid w:val="00FB1E78"/>
    <w:rsid w:val="00FB1F1A"/>
    <w:rsid w:val="00FB1FCF"/>
    <w:rsid w:val="00FB2028"/>
    <w:rsid w:val="00FB208E"/>
    <w:rsid w:val="00FB2200"/>
    <w:rsid w:val="00FB2272"/>
    <w:rsid w:val="00FB2295"/>
    <w:rsid w:val="00FB239F"/>
    <w:rsid w:val="00FB2491"/>
    <w:rsid w:val="00FB287C"/>
    <w:rsid w:val="00FB2914"/>
    <w:rsid w:val="00FB2958"/>
    <w:rsid w:val="00FB2B21"/>
    <w:rsid w:val="00FB2B22"/>
    <w:rsid w:val="00FB2DE3"/>
    <w:rsid w:val="00FB305B"/>
    <w:rsid w:val="00FB32D2"/>
    <w:rsid w:val="00FB3308"/>
    <w:rsid w:val="00FB3437"/>
    <w:rsid w:val="00FB36FE"/>
    <w:rsid w:val="00FB39AB"/>
    <w:rsid w:val="00FB3AE9"/>
    <w:rsid w:val="00FB3B83"/>
    <w:rsid w:val="00FB3B9A"/>
    <w:rsid w:val="00FB3E26"/>
    <w:rsid w:val="00FB3E74"/>
    <w:rsid w:val="00FB3E7A"/>
    <w:rsid w:val="00FB3F5F"/>
    <w:rsid w:val="00FB3FE8"/>
    <w:rsid w:val="00FB4001"/>
    <w:rsid w:val="00FB40B6"/>
    <w:rsid w:val="00FB41AE"/>
    <w:rsid w:val="00FB41F5"/>
    <w:rsid w:val="00FB4227"/>
    <w:rsid w:val="00FB426F"/>
    <w:rsid w:val="00FB4289"/>
    <w:rsid w:val="00FB43E4"/>
    <w:rsid w:val="00FB4431"/>
    <w:rsid w:val="00FB4432"/>
    <w:rsid w:val="00FB449B"/>
    <w:rsid w:val="00FB453F"/>
    <w:rsid w:val="00FB46D1"/>
    <w:rsid w:val="00FB476F"/>
    <w:rsid w:val="00FB4799"/>
    <w:rsid w:val="00FB47A6"/>
    <w:rsid w:val="00FB485F"/>
    <w:rsid w:val="00FB4863"/>
    <w:rsid w:val="00FB4A64"/>
    <w:rsid w:val="00FB4CAA"/>
    <w:rsid w:val="00FB4D4B"/>
    <w:rsid w:val="00FB5009"/>
    <w:rsid w:val="00FB5094"/>
    <w:rsid w:val="00FB50BF"/>
    <w:rsid w:val="00FB50F0"/>
    <w:rsid w:val="00FB5193"/>
    <w:rsid w:val="00FB52EF"/>
    <w:rsid w:val="00FB540C"/>
    <w:rsid w:val="00FB54AB"/>
    <w:rsid w:val="00FB56D9"/>
    <w:rsid w:val="00FB577E"/>
    <w:rsid w:val="00FB5799"/>
    <w:rsid w:val="00FB57A2"/>
    <w:rsid w:val="00FB5889"/>
    <w:rsid w:val="00FB58ED"/>
    <w:rsid w:val="00FB5914"/>
    <w:rsid w:val="00FB5972"/>
    <w:rsid w:val="00FB5B4F"/>
    <w:rsid w:val="00FB5BE7"/>
    <w:rsid w:val="00FB5C41"/>
    <w:rsid w:val="00FB5DD7"/>
    <w:rsid w:val="00FB5DE4"/>
    <w:rsid w:val="00FB5ED5"/>
    <w:rsid w:val="00FB5F12"/>
    <w:rsid w:val="00FB6093"/>
    <w:rsid w:val="00FB60F9"/>
    <w:rsid w:val="00FB6182"/>
    <w:rsid w:val="00FB6194"/>
    <w:rsid w:val="00FB62A9"/>
    <w:rsid w:val="00FB6329"/>
    <w:rsid w:val="00FB6385"/>
    <w:rsid w:val="00FB6567"/>
    <w:rsid w:val="00FB6586"/>
    <w:rsid w:val="00FB65EE"/>
    <w:rsid w:val="00FB662A"/>
    <w:rsid w:val="00FB6637"/>
    <w:rsid w:val="00FB66B1"/>
    <w:rsid w:val="00FB6880"/>
    <w:rsid w:val="00FB68C7"/>
    <w:rsid w:val="00FB69FE"/>
    <w:rsid w:val="00FB6A8A"/>
    <w:rsid w:val="00FB6A96"/>
    <w:rsid w:val="00FB6B04"/>
    <w:rsid w:val="00FB6D0E"/>
    <w:rsid w:val="00FB6D1C"/>
    <w:rsid w:val="00FB6EE8"/>
    <w:rsid w:val="00FB6F3D"/>
    <w:rsid w:val="00FB7005"/>
    <w:rsid w:val="00FB707A"/>
    <w:rsid w:val="00FB7159"/>
    <w:rsid w:val="00FB7487"/>
    <w:rsid w:val="00FB75AB"/>
    <w:rsid w:val="00FB75B5"/>
    <w:rsid w:val="00FB75EF"/>
    <w:rsid w:val="00FB7861"/>
    <w:rsid w:val="00FB7C2D"/>
    <w:rsid w:val="00FB7D90"/>
    <w:rsid w:val="00FB7DAC"/>
    <w:rsid w:val="00FB7DFC"/>
    <w:rsid w:val="00FB7E75"/>
    <w:rsid w:val="00FB7F8C"/>
    <w:rsid w:val="00FB7F8E"/>
    <w:rsid w:val="00FC00E9"/>
    <w:rsid w:val="00FC0185"/>
    <w:rsid w:val="00FC02BE"/>
    <w:rsid w:val="00FC032C"/>
    <w:rsid w:val="00FC03BC"/>
    <w:rsid w:val="00FC05C3"/>
    <w:rsid w:val="00FC074B"/>
    <w:rsid w:val="00FC07B5"/>
    <w:rsid w:val="00FC080D"/>
    <w:rsid w:val="00FC0B8A"/>
    <w:rsid w:val="00FC0D0B"/>
    <w:rsid w:val="00FC0D0D"/>
    <w:rsid w:val="00FC11B9"/>
    <w:rsid w:val="00FC1257"/>
    <w:rsid w:val="00FC14EB"/>
    <w:rsid w:val="00FC158C"/>
    <w:rsid w:val="00FC1609"/>
    <w:rsid w:val="00FC1619"/>
    <w:rsid w:val="00FC166B"/>
    <w:rsid w:val="00FC172F"/>
    <w:rsid w:val="00FC1753"/>
    <w:rsid w:val="00FC1760"/>
    <w:rsid w:val="00FC177A"/>
    <w:rsid w:val="00FC17AA"/>
    <w:rsid w:val="00FC1807"/>
    <w:rsid w:val="00FC18F5"/>
    <w:rsid w:val="00FC191D"/>
    <w:rsid w:val="00FC19A2"/>
    <w:rsid w:val="00FC1A50"/>
    <w:rsid w:val="00FC1B20"/>
    <w:rsid w:val="00FC1D12"/>
    <w:rsid w:val="00FC1D9F"/>
    <w:rsid w:val="00FC2060"/>
    <w:rsid w:val="00FC20AE"/>
    <w:rsid w:val="00FC219C"/>
    <w:rsid w:val="00FC2213"/>
    <w:rsid w:val="00FC22E8"/>
    <w:rsid w:val="00FC2357"/>
    <w:rsid w:val="00FC249A"/>
    <w:rsid w:val="00FC26F7"/>
    <w:rsid w:val="00FC2757"/>
    <w:rsid w:val="00FC279D"/>
    <w:rsid w:val="00FC280F"/>
    <w:rsid w:val="00FC282C"/>
    <w:rsid w:val="00FC287E"/>
    <w:rsid w:val="00FC28B2"/>
    <w:rsid w:val="00FC2CC0"/>
    <w:rsid w:val="00FC2CFE"/>
    <w:rsid w:val="00FC2D6B"/>
    <w:rsid w:val="00FC2D7A"/>
    <w:rsid w:val="00FC2F12"/>
    <w:rsid w:val="00FC2FCD"/>
    <w:rsid w:val="00FC3072"/>
    <w:rsid w:val="00FC3283"/>
    <w:rsid w:val="00FC32E3"/>
    <w:rsid w:val="00FC336F"/>
    <w:rsid w:val="00FC33D0"/>
    <w:rsid w:val="00FC3532"/>
    <w:rsid w:val="00FC3696"/>
    <w:rsid w:val="00FC3890"/>
    <w:rsid w:val="00FC3975"/>
    <w:rsid w:val="00FC3A86"/>
    <w:rsid w:val="00FC3AE5"/>
    <w:rsid w:val="00FC3BF6"/>
    <w:rsid w:val="00FC3C96"/>
    <w:rsid w:val="00FC3CDC"/>
    <w:rsid w:val="00FC3D14"/>
    <w:rsid w:val="00FC3D53"/>
    <w:rsid w:val="00FC3D6A"/>
    <w:rsid w:val="00FC3DB9"/>
    <w:rsid w:val="00FC3E3E"/>
    <w:rsid w:val="00FC3E90"/>
    <w:rsid w:val="00FC41D6"/>
    <w:rsid w:val="00FC41FA"/>
    <w:rsid w:val="00FC4216"/>
    <w:rsid w:val="00FC4226"/>
    <w:rsid w:val="00FC4238"/>
    <w:rsid w:val="00FC43BB"/>
    <w:rsid w:val="00FC43F3"/>
    <w:rsid w:val="00FC43F9"/>
    <w:rsid w:val="00FC44AE"/>
    <w:rsid w:val="00FC4773"/>
    <w:rsid w:val="00FC47AC"/>
    <w:rsid w:val="00FC49E0"/>
    <w:rsid w:val="00FC4AD1"/>
    <w:rsid w:val="00FC4B4B"/>
    <w:rsid w:val="00FC4C39"/>
    <w:rsid w:val="00FC4DE4"/>
    <w:rsid w:val="00FC4E45"/>
    <w:rsid w:val="00FC4FA8"/>
    <w:rsid w:val="00FC50CD"/>
    <w:rsid w:val="00FC5293"/>
    <w:rsid w:val="00FC530F"/>
    <w:rsid w:val="00FC531F"/>
    <w:rsid w:val="00FC532E"/>
    <w:rsid w:val="00FC53C2"/>
    <w:rsid w:val="00FC53E0"/>
    <w:rsid w:val="00FC552D"/>
    <w:rsid w:val="00FC561D"/>
    <w:rsid w:val="00FC56B0"/>
    <w:rsid w:val="00FC571C"/>
    <w:rsid w:val="00FC575E"/>
    <w:rsid w:val="00FC590F"/>
    <w:rsid w:val="00FC591B"/>
    <w:rsid w:val="00FC59A5"/>
    <w:rsid w:val="00FC59CA"/>
    <w:rsid w:val="00FC5CB7"/>
    <w:rsid w:val="00FC5CC9"/>
    <w:rsid w:val="00FC5D8B"/>
    <w:rsid w:val="00FC5E79"/>
    <w:rsid w:val="00FC5E9B"/>
    <w:rsid w:val="00FC5F35"/>
    <w:rsid w:val="00FC5FDC"/>
    <w:rsid w:val="00FC6097"/>
    <w:rsid w:val="00FC61CF"/>
    <w:rsid w:val="00FC61FD"/>
    <w:rsid w:val="00FC64C9"/>
    <w:rsid w:val="00FC662C"/>
    <w:rsid w:val="00FC6771"/>
    <w:rsid w:val="00FC67E5"/>
    <w:rsid w:val="00FC6840"/>
    <w:rsid w:val="00FC699E"/>
    <w:rsid w:val="00FC69D2"/>
    <w:rsid w:val="00FC69F5"/>
    <w:rsid w:val="00FC6AF5"/>
    <w:rsid w:val="00FC6B8F"/>
    <w:rsid w:val="00FC6EFF"/>
    <w:rsid w:val="00FC6F3E"/>
    <w:rsid w:val="00FC7126"/>
    <w:rsid w:val="00FC7129"/>
    <w:rsid w:val="00FC71C1"/>
    <w:rsid w:val="00FC71F1"/>
    <w:rsid w:val="00FC71F5"/>
    <w:rsid w:val="00FC7206"/>
    <w:rsid w:val="00FC7371"/>
    <w:rsid w:val="00FC740D"/>
    <w:rsid w:val="00FC7577"/>
    <w:rsid w:val="00FC769A"/>
    <w:rsid w:val="00FC76CA"/>
    <w:rsid w:val="00FC77D5"/>
    <w:rsid w:val="00FC791C"/>
    <w:rsid w:val="00FC7959"/>
    <w:rsid w:val="00FC79ED"/>
    <w:rsid w:val="00FC7C54"/>
    <w:rsid w:val="00FC7E43"/>
    <w:rsid w:val="00FC7EFB"/>
    <w:rsid w:val="00FC7FC9"/>
    <w:rsid w:val="00FD0049"/>
    <w:rsid w:val="00FD0266"/>
    <w:rsid w:val="00FD0347"/>
    <w:rsid w:val="00FD035D"/>
    <w:rsid w:val="00FD04EE"/>
    <w:rsid w:val="00FD0574"/>
    <w:rsid w:val="00FD06BC"/>
    <w:rsid w:val="00FD075A"/>
    <w:rsid w:val="00FD07C4"/>
    <w:rsid w:val="00FD0816"/>
    <w:rsid w:val="00FD08DB"/>
    <w:rsid w:val="00FD08E4"/>
    <w:rsid w:val="00FD096B"/>
    <w:rsid w:val="00FD0979"/>
    <w:rsid w:val="00FD0A65"/>
    <w:rsid w:val="00FD0D04"/>
    <w:rsid w:val="00FD0D05"/>
    <w:rsid w:val="00FD0D37"/>
    <w:rsid w:val="00FD0D7A"/>
    <w:rsid w:val="00FD0DE9"/>
    <w:rsid w:val="00FD0E56"/>
    <w:rsid w:val="00FD0EF7"/>
    <w:rsid w:val="00FD0FA0"/>
    <w:rsid w:val="00FD10CF"/>
    <w:rsid w:val="00FD1203"/>
    <w:rsid w:val="00FD12AE"/>
    <w:rsid w:val="00FD1439"/>
    <w:rsid w:val="00FD1511"/>
    <w:rsid w:val="00FD15D7"/>
    <w:rsid w:val="00FD179B"/>
    <w:rsid w:val="00FD17CE"/>
    <w:rsid w:val="00FD17D4"/>
    <w:rsid w:val="00FD1824"/>
    <w:rsid w:val="00FD19F4"/>
    <w:rsid w:val="00FD1A62"/>
    <w:rsid w:val="00FD1BD8"/>
    <w:rsid w:val="00FD1E18"/>
    <w:rsid w:val="00FD24C3"/>
    <w:rsid w:val="00FD25D4"/>
    <w:rsid w:val="00FD25EA"/>
    <w:rsid w:val="00FD28EF"/>
    <w:rsid w:val="00FD292D"/>
    <w:rsid w:val="00FD2932"/>
    <w:rsid w:val="00FD2973"/>
    <w:rsid w:val="00FD2A5D"/>
    <w:rsid w:val="00FD2ADE"/>
    <w:rsid w:val="00FD2D4B"/>
    <w:rsid w:val="00FD2DE1"/>
    <w:rsid w:val="00FD2F5B"/>
    <w:rsid w:val="00FD3002"/>
    <w:rsid w:val="00FD3052"/>
    <w:rsid w:val="00FD3097"/>
    <w:rsid w:val="00FD31D5"/>
    <w:rsid w:val="00FD3267"/>
    <w:rsid w:val="00FD33DD"/>
    <w:rsid w:val="00FD34EE"/>
    <w:rsid w:val="00FD35BD"/>
    <w:rsid w:val="00FD36A9"/>
    <w:rsid w:val="00FD3738"/>
    <w:rsid w:val="00FD37C5"/>
    <w:rsid w:val="00FD399F"/>
    <w:rsid w:val="00FD3C52"/>
    <w:rsid w:val="00FD3C54"/>
    <w:rsid w:val="00FD3D1C"/>
    <w:rsid w:val="00FD3D78"/>
    <w:rsid w:val="00FD3E93"/>
    <w:rsid w:val="00FD416A"/>
    <w:rsid w:val="00FD4343"/>
    <w:rsid w:val="00FD437F"/>
    <w:rsid w:val="00FD44A9"/>
    <w:rsid w:val="00FD44C3"/>
    <w:rsid w:val="00FD466B"/>
    <w:rsid w:val="00FD472B"/>
    <w:rsid w:val="00FD48E0"/>
    <w:rsid w:val="00FD4920"/>
    <w:rsid w:val="00FD49A0"/>
    <w:rsid w:val="00FD49A1"/>
    <w:rsid w:val="00FD49F9"/>
    <w:rsid w:val="00FD4BA2"/>
    <w:rsid w:val="00FD4C44"/>
    <w:rsid w:val="00FD4C53"/>
    <w:rsid w:val="00FD4D0C"/>
    <w:rsid w:val="00FD4DDB"/>
    <w:rsid w:val="00FD4E38"/>
    <w:rsid w:val="00FD4EEB"/>
    <w:rsid w:val="00FD4EED"/>
    <w:rsid w:val="00FD4FAB"/>
    <w:rsid w:val="00FD500A"/>
    <w:rsid w:val="00FD5164"/>
    <w:rsid w:val="00FD516F"/>
    <w:rsid w:val="00FD530B"/>
    <w:rsid w:val="00FD532D"/>
    <w:rsid w:val="00FD5375"/>
    <w:rsid w:val="00FD5398"/>
    <w:rsid w:val="00FD5643"/>
    <w:rsid w:val="00FD5648"/>
    <w:rsid w:val="00FD5909"/>
    <w:rsid w:val="00FD593B"/>
    <w:rsid w:val="00FD5A4F"/>
    <w:rsid w:val="00FD5A99"/>
    <w:rsid w:val="00FD5AA4"/>
    <w:rsid w:val="00FD5BA1"/>
    <w:rsid w:val="00FD5BF7"/>
    <w:rsid w:val="00FD5C39"/>
    <w:rsid w:val="00FD5D50"/>
    <w:rsid w:val="00FD5E50"/>
    <w:rsid w:val="00FD5EB5"/>
    <w:rsid w:val="00FD5ECD"/>
    <w:rsid w:val="00FD5EF3"/>
    <w:rsid w:val="00FD5F55"/>
    <w:rsid w:val="00FD6265"/>
    <w:rsid w:val="00FD630B"/>
    <w:rsid w:val="00FD63BB"/>
    <w:rsid w:val="00FD64F8"/>
    <w:rsid w:val="00FD6514"/>
    <w:rsid w:val="00FD65AD"/>
    <w:rsid w:val="00FD6648"/>
    <w:rsid w:val="00FD66BA"/>
    <w:rsid w:val="00FD67AC"/>
    <w:rsid w:val="00FD6966"/>
    <w:rsid w:val="00FD6B3A"/>
    <w:rsid w:val="00FD6BF4"/>
    <w:rsid w:val="00FD6E34"/>
    <w:rsid w:val="00FD6EA4"/>
    <w:rsid w:val="00FD6EFE"/>
    <w:rsid w:val="00FD724C"/>
    <w:rsid w:val="00FD72AB"/>
    <w:rsid w:val="00FD7387"/>
    <w:rsid w:val="00FD74D7"/>
    <w:rsid w:val="00FD752C"/>
    <w:rsid w:val="00FD75C1"/>
    <w:rsid w:val="00FD7783"/>
    <w:rsid w:val="00FD7846"/>
    <w:rsid w:val="00FD7854"/>
    <w:rsid w:val="00FD79B7"/>
    <w:rsid w:val="00FD79F8"/>
    <w:rsid w:val="00FD7AC9"/>
    <w:rsid w:val="00FD7C6E"/>
    <w:rsid w:val="00FD7CD6"/>
    <w:rsid w:val="00FD7CF6"/>
    <w:rsid w:val="00FD7D1A"/>
    <w:rsid w:val="00FD7E6F"/>
    <w:rsid w:val="00FD7FB8"/>
    <w:rsid w:val="00FE02A9"/>
    <w:rsid w:val="00FE02CF"/>
    <w:rsid w:val="00FE0328"/>
    <w:rsid w:val="00FE0446"/>
    <w:rsid w:val="00FE04F2"/>
    <w:rsid w:val="00FE0505"/>
    <w:rsid w:val="00FE06C9"/>
    <w:rsid w:val="00FE07D8"/>
    <w:rsid w:val="00FE083F"/>
    <w:rsid w:val="00FE0880"/>
    <w:rsid w:val="00FE0A1D"/>
    <w:rsid w:val="00FE0A5A"/>
    <w:rsid w:val="00FE0AA0"/>
    <w:rsid w:val="00FE0B3B"/>
    <w:rsid w:val="00FE0B41"/>
    <w:rsid w:val="00FE0D55"/>
    <w:rsid w:val="00FE0D75"/>
    <w:rsid w:val="00FE0E5A"/>
    <w:rsid w:val="00FE0E5D"/>
    <w:rsid w:val="00FE0F1A"/>
    <w:rsid w:val="00FE0FA6"/>
    <w:rsid w:val="00FE1178"/>
    <w:rsid w:val="00FE12C4"/>
    <w:rsid w:val="00FE13B0"/>
    <w:rsid w:val="00FE13BE"/>
    <w:rsid w:val="00FE142F"/>
    <w:rsid w:val="00FE1597"/>
    <w:rsid w:val="00FE1744"/>
    <w:rsid w:val="00FE1827"/>
    <w:rsid w:val="00FE194D"/>
    <w:rsid w:val="00FE19A6"/>
    <w:rsid w:val="00FE19C1"/>
    <w:rsid w:val="00FE1BD8"/>
    <w:rsid w:val="00FE1CB0"/>
    <w:rsid w:val="00FE1CFB"/>
    <w:rsid w:val="00FE1D9C"/>
    <w:rsid w:val="00FE1F44"/>
    <w:rsid w:val="00FE1F53"/>
    <w:rsid w:val="00FE1F5C"/>
    <w:rsid w:val="00FE2012"/>
    <w:rsid w:val="00FE203F"/>
    <w:rsid w:val="00FE2192"/>
    <w:rsid w:val="00FE2208"/>
    <w:rsid w:val="00FE23F3"/>
    <w:rsid w:val="00FE241B"/>
    <w:rsid w:val="00FE25C8"/>
    <w:rsid w:val="00FE25E7"/>
    <w:rsid w:val="00FE26C7"/>
    <w:rsid w:val="00FE26FB"/>
    <w:rsid w:val="00FE2950"/>
    <w:rsid w:val="00FE2A3E"/>
    <w:rsid w:val="00FE2AAB"/>
    <w:rsid w:val="00FE2B62"/>
    <w:rsid w:val="00FE2BDE"/>
    <w:rsid w:val="00FE2C79"/>
    <w:rsid w:val="00FE2CA7"/>
    <w:rsid w:val="00FE2E17"/>
    <w:rsid w:val="00FE2EDD"/>
    <w:rsid w:val="00FE2FC7"/>
    <w:rsid w:val="00FE33C1"/>
    <w:rsid w:val="00FE3487"/>
    <w:rsid w:val="00FE34BB"/>
    <w:rsid w:val="00FE355F"/>
    <w:rsid w:val="00FE360A"/>
    <w:rsid w:val="00FE3648"/>
    <w:rsid w:val="00FE3655"/>
    <w:rsid w:val="00FE36B7"/>
    <w:rsid w:val="00FE37FE"/>
    <w:rsid w:val="00FE3866"/>
    <w:rsid w:val="00FE38B1"/>
    <w:rsid w:val="00FE392A"/>
    <w:rsid w:val="00FE3933"/>
    <w:rsid w:val="00FE398B"/>
    <w:rsid w:val="00FE3C36"/>
    <w:rsid w:val="00FE3C83"/>
    <w:rsid w:val="00FE3DE5"/>
    <w:rsid w:val="00FE3F31"/>
    <w:rsid w:val="00FE3F80"/>
    <w:rsid w:val="00FE4022"/>
    <w:rsid w:val="00FE4220"/>
    <w:rsid w:val="00FE4292"/>
    <w:rsid w:val="00FE4316"/>
    <w:rsid w:val="00FE442C"/>
    <w:rsid w:val="00FE44D9"/>
    <w:rsid w:val="00FE46E1"/>
    <w:rsid w:val="00FE4722"/>
    <w:rsid w:val="00FE4780"/>
    <w:rsid w:val="00FE48A3"/>
    <w:rsid w:val="00FE4924"/>
    <w:rsid w:val="00FE4981"/>
    <w:rsid w:val="00FE4999"/>
    <w:rsid w:val="00FE499C"/>
    <w:rsid w:val="00FE4A1A"/>
    <w:rsid w:val="00FE4BC8"/>
    <w:rsid w:val="00FE4C28"/>
    <w:rsid w:val="00FE4DEB"/>
    <w:rsid w:val="00FE4E3D"/>
    <w:rsid w:val="00FE4EC6"/>
    <w:rsid w:val="00FE4F00"/>
    <w:rsid w:val="00FE4F32"/>
    <w:rsid w:val="00FE4FDC"/>
    <w:rsid w:val="00FE50C2"/>
    <w:rsid w:val="00FE5133"/>
    <w:rsid w:val="00FE515D"/>
    <w:rsid w:val="00FE53C5"/>
    <w:rsid w:val="00FE552B"/>
    <w:rsid w:val="00FE5585"/>
    <w:rsid w:val="00FE568F"/>
    <w:rsid w:val="00FE56C2"/>
    <w:rsid w:val="00FE5807"/>
    <w:rsid w:val="00FE58C9"/>
    <w:rsid w:val="00FE599A"/>
    <w:rsid w:val="00FE5AC7"/>
    <w:rsid w:val="00FE5B09"/>
    <w:rsid w:val="00FE6020"/>
    <w:rsid w:val="00FE606B"/>
    <w:rsid w:val="00FE6151"/>
    <w:rsid w:val="00FE649A"/>
    <w:rsid w:val="00FE6513"/>
    <w:rsid w:val="00FE65E0"/>
    <w:rsid w:val="00FE65E9"/>
    <w:rsid w:val="00FE669E"/>
    <w:rsid w:val="00FE66C7"/>
    <w:rsid w:val="00FE671F"/>
    <w:rsid w:val="00FE680D"/>
    <w:rsid w:val="00FE6874"/>
    <w:rsid w:val="00FE69AB"/>
    <w:rsid w:val="00FE6A7F"/>
    <w:rsid w:val="00FE6AA8"/>
    <w:rsid w:val="00FE6B33"/>
    <w:rsid w:val="00FE6B42"/>
    <w:rsid w:val="00FE6BF3"/>
    <w:rsid w:val="00FE6EE0"/>
    <w:rsid w:val="00FE7007"/>
    <w:rsid w:val="00FE7220"/>
    <w:rsid w:val="00FE7274"/>
    <w:rsid w:val="00FE7277"/>
    <w:rsid w:val="00FE72E2"/>
    <w:rsid w:val="00FE7333"/>
    <w:rsid w:val="00FE7446"/>
    <w:rsid w:val="00FE74B0"/>
    <w:rsid w:val="00FE7562"/>
    <w:rsid w:val="00FE75E1"/>
    <w:rsid w:val="00FE7679"/>
    <w:rsid w:val="00FE76BD"/>
    <w:rsid w:val="00FE7706"/>
    <w:rsid w:val="00FE7722"/>
    <w:rsid w:val="00FE7988"/>
    <w:rsid w:val="00FE7999"/>
    <w:rsid w:val="00FE7BAF"/>
    <w:rsid w:val="00FE7D5D"/>
    <w:rsid w:val="00FE7F2D"/>
    <w:rsid w:val="00FE7FA1"/>
    <w:rsid w:val="00FF0022"/>
    <w:rsid w:val="00FF0063"/>
    <w:rsid w:val="00FF00BF"/>
    <w:rsid w:val="00FF01A7"/>
    <w:rsid w:val="00FF0378"/>
    <w:rsid w:val="00FF0437"/>
    <w:rsid w:val="00FF04CA"/>
    <w:rsid w:val="00FF0504"/>
    <w:rsid w:val="00FF061A"/>
    <w:rsid w:val="00FF075D"/>
    <w:rsid w:val="00FF08A4"/>
    <w:rsid w:val="00FF0A78"/>
    <w:rsid w:val="00FF0BEA"/>
    <w:rsid w:val="00FF0C90"/>
    <w:rsid w:val="00FF0CBB"/>
    <w:rsid w:val="00FF0D0B"/>
    <w:rsid w:val="00FF0D2D"/>
    <w:rsid w:val="00FF0E4C"/>
    <w:rsid w:val="00FF0F4E"/>
    <w:rsid w:val="00FF0FC1"/>
    <w:rsid w:val="00FF1060"/>
    <w:rsid w:val="00FF10D6"/>
    <w:rsid w:val="00FF10DA"/>
    <w:rsid w:val="00FF118A"/>
    <w:rsid w:val="00FF11B8"/>
    <w:rsid w:val="00FF11E3"/>
    <w:rsid w:val="00FF1221"/>
    <w:rsid w:val="00FF123B"/>
    <w:rsid w:val="00FF12BC"/>
    <w:rsid w:val="00FF134F"/>
    <w:rsid w:val="00FF1362"/>
    <w:rsid w:val="00FF1467"/>
    <w:rsid w:val="00FF1528"/>
    <w:rsid w:val="00FF1587"/>
    <w:rsid w:val="00FF159A"/>
    <w:rsid w:val="00FF16BD"/>
    <w:rsid w:val="00FF17EF"/>
    <w:rsid w:val="00FF1849"/>
    <w:rsid w:val="00FF1983"/>
    <w:rsid w:val="00FF19B0"/>
    <w:rsid w:val="00FF1A95"/>
    <w:rsid w:val="00FF1C50"/>
    <w:rsid w:val="00FF1C6E"/>
    <w:rsid w:val="00FF1D03"/>
    <w:rsid w:val="00FF1D21"/>
    <w:rsid w:val="00FF1D40"/>
    <w:rsid w:val="00FF1FD9"/>
    <w:rsid w:val="00FF2181"/>
    <w:rsid w:val="00FF21C4"/>
    <w:rsid w:val="00FF21F4"/>
    <w:rsid w:val="00FF22D8"/>
    <w:rsid w:val="00FF22F5"/>
    <w:rsid w:val="00FF2329"/>
    <w:rsid w:val="00FF23CB"/>
    <w:rsid w:val="00FF242C"/>
    <w:rsid w:val="00FF24CC"/>
    <w:rsid w:val="00FF2580"/>
    <w:rsid w:val="00FF25A6"/>
    <w:rsid w:val="00FF25B8"/>
    <w:rsid w:val="00FF26F1"/>
    <w:rsid w:val="00FF2825"/>
    <w:rsid w:val="00FF2863"/>
    <w:rsid w:val="00FF2866"/>
    <w:rsid w:val="00FF289D"/>
    <w:rsid w:val="00FF2BC4"/>
    <w:rsid w:val="00FF2CBB"/>
    <w:rsid w:val="00FF2D79"/>
    <w:rsid w:val="00FF2E15"/>
    <w:rsid w:val="00FF2E75"/>
    <w:rsid w:val="00FF2EF1"/>
    <w:rsid w:val="00FF2F9B"/>
    <w:rsid w:val="00FF3008"/>
    <w:rsid w:val="00FF3115"/>
    <w:rsid w:val="00FF3134"/>
    <w:rsid w:val="00FF3144"/>
    <w:rsid w:val="00FF31C4"/>
    <w:rsid w:val="00FF32E4"/>
    <w:rsid w:val="00FF3410"/>
    <w:rsid w:val="00FF3496"/>
    <w:rsid w:val="00FF3511"/>
    <w:rsid w:val="00FF3653"/>
    <w:rsid w:val="00FF36EB"/>
    <w:rsid w:val="00FF37AF"/>
    <w:rsid w:val="00FF383C"/>
    <w:rsid w:val="00FF387E"/>
    <w:rsid w:val="00FF396E"/>
    <w:rsid w:val="00FF3A04"/>
    <w:rsid w:val="00FF3BAD"/>
    <w:rsid w:val="00FF3C03"/>
    <w:rsid w:val="00FF3E3F"/>
    <w:rsid w:val="00FF3E48"/>
    <w:rsid w:val="00FF3EEC"/>
    <w:rsid w:val="00FF3F6E"/>
    <w:rsid w:val="00FF4009"/>
    <w:rsid w:val="00FF404B"/>
    <w:rsid w:val="00FF4082"/>
    <w:rsid w:val="00FF41DB"/>
    <w:rsid w:val="00FF4235"/>
    <w:rsid w:val="00FF42C6"/>
    <w:rsid w:val="00FF4367"/>
    <w:rsid w:val="00FF456F"/>
    <w:rsid w:val="00FF4631"/>
    <w:rsid w:val="00FF464D"/>
    <w:rsid w:val="00FF465D"/>
    <w:rsid w:val="00FF46AD"/>
    <w:rsid w:val="00FF4926"/>
    <w:rsid w:val="00FF4981"/>
    <w:rsid w:val="00FF49A6"/>
    <w:rsid w:val="00FF49C5"/>
    <w:rsid w:val="00FF4A07"/>
    <w:rsid w:val="00FF4A87"/>
    <w:rsid w:val="00FF4ABE"/>
    <w:rsid w:val="00FF4BD1"/>
    <w:rsid w:val="00FF4D49"/>
    <w:rsid w:val="00FF4E18"/>
    <w:rsid w:val="00FF4F54"/>
    <w:rsid w:val="00FF5081"/>
    <w:rsid w:val="00FF51FA"/>
    <w:rsid w:val="00FF521F"/>
    <w:rsid w:val="00FF527A"/>
    <w:rsid w:val="00FF528D"/>
    <w:rsid w:val="00FF52A8"/>
    <w:rsid w:val="00FF530D"/>
    <w:rsid w:val="00FF53EF"/>
    <w:rsid w:val="00FF53FA"/>
    <w:rsid w:val="00FF5542"/>
    <w:rsid w:val="00FF5673"/>
    <w:rsid w:val="00FF5732"/>
    <w:rsid w:val="00FF58A2"/>
    <w:rsid w:val="00FF592B"/>
    <w:rsid w:val="00FF5960"/>
    <w:rsid w:val="00FF596A"/>
    <w:rsid w:val="00FF5A2A"/>
    <w:rsid w:val="00FF5A3F"/>
    <w:rsid w:val="00FF5BD3"/>
    <w:rsid w:val="00FF5BFF"/>
    <w:rsid w:val="00FF5DC1"/>
    <w:rsid w:val="00FF5E78"/>
    <w:rsid w:val="00FF62A5"/>
    <w:rsid w:val="00FF6363"/>
    <w:rsid w:val="00FF63C4"/>
    <w:rsid w:val="00FF6433"/>
    <w:rsid w:val="00FF6448"/>
    <w:rsid w:val="00FF6544"/>
    <w:rsid w:val="00FF6608"/>
    <w:rsid w:val="00FF6660"/>
    <w:rsid w:val="00FF666E"/>
    <w:rsid w:val="00FF66CA"/>
    <w:rsid w:val="00FF6719"/>
    <w:rsid w:val="00FF6721"/>
    <w:rsid w:val="00FF6774"/>
    <w:rsid w:val="00FF67F4"/>
    <w:rsid w:val="00FF682B"/>
    <w:rsid w:val="00FF6896"/>
    <w:rsid w:val="00FF68B6"/>
    <w:rsid w:val="00FF68C8"/>
    <w:rsid w:val="00FF68F3"/>
    <w:rsid w:val="00FF68F6"/>
    <w:rsid w:val="00FF696F"/>
    <w:rsid w:val="00FF6986"/>
    <w:rsid w:val="00FF699E"/>
    <w:rsid w:val="00FF6A89"/>
    <w:rsid w:val="00FF6ACE"/>
    <w:rsid w:val="00FF6B9F"/>
    <w:rsid w:val="00FF6CDA"/>
    <w:rsid w:val="00FF6D0B"/>
    <w:rsid w:val="00FF6DFF"/>
    <w:rsid w:val="00FF6F0B"/>
    <w:rsid w:val="00FF6FC3"/>
    <w:rsid w:val="00FF7047"/>
    <w:rsid w:val="00FF7137"/>
    <w:rsid w:val="00FF71C9"/>
    <w:rsid w:val="00FF7282"/>
    <w:rsid w:val="00FF72D0"/>
    <w:rsid w:val="00FF735A"/>
    <w:rsid w:val="00FF747F"/>
    <w:rsid w:val="00FF75B3"/>
    <w:rsid w:val="00FF75BA"/>
    <w:rsid w:val="00FF7632"/>
    <w:rsid w:val="00FF7889"/>
    <w:rsid w:val="00FF78CF"/>
    <w:rsid w:val="00FF791D"/>
    <w:rsid w:val="00FF797B"/>
    <w:rsid w:val="00FF79A8"/>
    <w:rsid w:val="00FF7B13"/>
    <w:rsid w:val="00FF7B8B"/>
    <w:rsid w:val="00FF7BA5"/>
    <w:rsid w:val="00FF7CC9"/>
    <w:rsid w:val="00FF7DA2"/>
    <w:rsid w:val="00FF7DBF"/>
    <w:rsid w:val="00FF7DDF"/>
    <w:rsid w:val="00FF7EA1"/>
    <w:rsid w:val="00FF7FB6"/>
    <w:rsid w:val="010222FA"/>
    <w:rsid w:val="011D2D43"/>
    <w:rsid w:val="012423F8"/>
    <w:rsid w:val="0127ED36"/>
    <w:rsid w:val="0135CF99"/>
    <w:rsid w:val="014171FE"/>
    <w:rsid w:val="01430E8A"/>
    <w:rsid w:val="0147A6DF"/>
    <w:rsid w:val="0148CA3F"/>
    <w:rsid w:val="014DBB7B"/>
    <w:rsid w:val="01501132"/>
    <w:rsid w:val="0164DCA3"/>
    <w:rsid w:val="01663B33"/>
    <w:rsid w:val="017BF3ED"/>
    <w:rsid w:val="01847985"/>
    <w:rsid w:val="01889508"/>
    <w:rsid w:val="019B14E3"/>
    <w:rsid w:val="019C60F8"/>
    <w:rsid w:val="01AB3B26"/>
    <w:rsid w:val="01AF64AE"/>
    <w:rsid w:val="01B74CF6"/>
    <w:rsid w:val="01C19FFD"/>
    <w:rsid w:val="01CE51D5"/>
    <w:rsid w:val="01D0C345"/>
    <w:rsid w:val="01D9AD2D"/>
    <w:rsid w:val="01DC4A75"/>
    <w:rsid w:val="01DCF946"/>
    <w:rsid w:val="01DD76D5"/>
    <w:rsid w:val="01E09E03"/>
    <w:rsid w:val="01EB1CBF"/>
    <w:rsid w:val="01F2FFEC"/>
    <w:rsid w:val="01F8931D"/>
    <w:rsid w:val="0200980B"/>
    <w:rsid w:val="02048440"/>
    <w:rsid w:val="021EB9EB"/>
    <w:rsid w:val="0221A7CD"/>
    <w:rsid w:val="02256E8F"/>
    <w:rsid w:val="02299D2E"/>
    <w:rsid w:val="022E496B"/>
    <w:rsid w:val="023EC50B"/>
    <w:rsid w:val="02442DCB"/>
    <w:rsid w:val="024C87D5"/>
    <w:rsid w:val="024DD330"/>
    <w:rsid w:val="024EB446"/>
    <w:rsid w:val="0252920A"/>
    <w:rsid w:val="025C3BE1"/>
    <w:rsid w:val="02665DFC"/>
    <w:rsid w:val="02669951"/>
    <w:rsid w:val="0273E8FB"/>
    <w:rsid w:val="02749C77"/>
    <w:rsid w:val="027516C9"/>
    <w:rsid w:val="0279CE7A"/>
    <w:rsid w:val="02909792"/>
    <w:rsid w:val="029E4694"/>
    <w:rsid w:val="02B790C0"/>
    <w:rsid w:val="02BC2CE4"/>
    <w:rsid w:val="02C2385D"/>
    <w:rsid w:val="02C6054F"/>
    <w:rsid w:val="02CE39D8"/>
    <w:rsid w:val="02D377FB"/>
    <w:rsid w:val="02E4DC0F"/>
    <w:rsid w:val="02ECCB37"/>
    <w:rsid w:val="02ED871F"/>
    <w:rsid w:val="0307E1D2"/>
    <w:rsid w:val="0310CCBA"/>
    <w:rsid w:val="031AB30A"/>
    <w:rsid w:val="031C57D5"/>
    <w:rsid w:val="0322B3ED"/>
    <w:rsid w:val="0327D035"/>
    <w:rsid w:val="0328C2B5"/>
    <w:rsid w:val="032E0DC4"/>
    <w:rsid w:val="03302744"/>
    <w:rsid w:val="0333FB20"/>
    <w:rsid w:val="03353F06"/>
    <w:rsid w:val="033C2F44"/>
    <w:rsid w:val="034A7252"/>
    <w:rsid w:val="034EF953"/>
    <w:rsid w:val="03565EE2"/>
    <w:rsid w:val="03592F68"/>
    <w:rsid w:val="0359D770"/>
    <w:rsid w:val="0360F490"/>
    <w:rsid w:val="036AA067"/>
    <w:rsid w:val="0370D905"/>
    <w:rsid w:val="0377854B"/>
    <w:rsid w:val="03891CF6"/>
    <w:rsid w:val="038E8794"/>
    <w:rsid w:val="0394BCFD"/>
    <w:rsid w:val="039A4BF9"/>
    <w:rsid w:val="03A0B58A"/>
    <w:rsid w:val="03A65AC9"/>
    <w:rsid w:val="03BCD2C7"/>
    <w:rsid w:val="03BFB03F"/>
    <w:rsid w:val="03D181D5"/>
    <w:rsid w:val="03D3A971"/>
    <w:rsid w:val="03DDFE74"/>
    <w:rsid w:val="03E5B396"/>
    <w:rsid w:val="03EED0A8"/>
    <w:rsid w:val="03EF8826"/>
    <w:rsid w:val="03F672B6"/>
    <w:rsid w:val="03FD802A"/>
    <w:rsid w:val="040FDBFA"/>
    <w:rsid w:val="040FE98C"/>
    <w:rsid w:val="04145013"/>
    <w:rsid w:val="041D8F59"/>
    <w:rsid w:val="04276CB6"/>
    <w:rsid w:val="04287310"/>
    <w:rsid w:val="0428E938"/>
    <w:rsid w:val="04290A3D"/>
    <w:rsid w:val="0429728B"/>
    <w:rsid w:val="043A75EA"/>
    <w:rsid w:val="04418FC8"/>
    <w:rsid w:val="044F42AD"/>
    <w:rsid w:val="046386AD"/>
    <w:rsid w:val="046C362D"/>
    <w:rsid w:val="0470AB32"/>
    <w:rsid w:val="047A3E59"/>
    <w:rsid w:val="047B402D"/>
    <w:rsid w:val="047E45B4"/>
    <w:rsid w:val="047EDC78"/>
    <w:rsid w:val="048EE742"/>
    <w:rsid w:val="049C523A"/>
    <w:rsid w:val="04A1B7C8"/>
    <w:rsid w:val="04A2F0B4"/>
    <w:rsid w:val="04A8C8CD"/>
    <w:rsid w:val="04B2EA41"/>
    <w:rsid w:val="04BFE16D"/>
    <w:rsid w:val="04C27427"/>
    <w:rsid w:val="04E09D74"/>
    <w:rsid w:val="04E6563D"/>
    <w:rsid w:val="04F159C0"/>
    <w:rsid w:val="04F96F9B"/>
    <w:rsid w:val="04FA2621"/>
    <w:rsid w:val="04FC4704"/>
    <w:rsid w:val="050C0594"/>
    <w:rsid w:val="050D3C94"/>
    <w:rsid w:val="05102EAC"/>
    <w:rsid w:val="05113FEF"/>
    <w:rsid w:val="0513793F"/>
    <w:rsid w:val="051C2A4A"/>
    <w:rsid w:val="051D4D64"/>
    <w:rsid w:val="0529E9D6"/>
    <w:rsid w:val="053A288E"/>
    <w:rsid w:val="05411ACB"/>
    <w:rsid w:val="0549A6ED"/>
    <w:rsid w:val="05585E42"/>
    <w:rsid w:val="056BDC52"/>
    <w:rsid w:val="0571F77D"/>
    <w:rsid w:val="057DD4CC"/>
    <w:rsid w:val="057F8AB4"/>
    <w:rsid w:val="058980BA"/>
    <w:rsid w:val="0593093A"/>
    <w:rsid w:val="0599E609"/>
    <w:rsid w:val="05A16506"/>
    <w:rsid w:val="05A2D048"/>
    <w:rsid w:val="05AB3D86"/>
    <w:rsid w:val="05AE3F8C"/>
    <w:rsid w:val="05AECF10"/>
    <w:rsid w:val="05B0100B"/>
    <w:rsid w:val="05B1FDEA"/>
    <w:rsid w:val="05B26F4E"/>
    <w:rsid w:val="05BA82F7"/>
    <w:rsid w:val="05BDEF4E"/>
    <w:rsid w:val="05BFE507"/>
    <w:rsid w:val="05CAD6F4"/>
    <w:rsid w:val="05D40073"/>
    <w:rsid w:val="05D99EF2"/>
    <w:rsid w:val="05DF92E3"/>
    <w:rsid w:val="05F4826D"/>
    <w:rsid w:val="05F56C37"/>
    <w:rsid w:val="05FC7334"/>
    <w:rsid w:val="060671A8"/>
    <w:rsid w:val="060E5997"/>
    <w:rsid w:val="061B8631"/>
    <w:rsid w:val="061D3BE2"/>
    <w:rsid w:val="06243673"/>
    <w:rsid w:val="0629615C"/>
    <w:rsid w:val="062996F8"/>
    <w:rsid w:val="062CD197"/>
    <w:rsid w:val="0638113F"/>
    <w:rsid w:val="064FC654"/>
    <w:rsid w:val="06504BE9"/>
    <w:rsid w:val="065282BD"/>
    <w:rsid w:val="065D9F8D"/>
    <w:rsid w:val="065E7591"/>
    <w:rsid w:val="066BD505"/>
    <w:rsid w:val="066D366A"/>
    <w:rsid w:val="0670B8F6"/>
    <w:rsid w:val="0674C876"/>
    <w:rsid w:val="0680C4DD"/>
    <w:rsid w:val="0682D361"/>
    <w:rsid w:val="06885E9E"/>
    <w:rsid w:val="069D4658"/>
    <w:rsid w:val="06A3B3E1"/>
    <w:rsid w:val="06AE2451"/>
    <w:rsid w:val="06AE249D"/>
    <w:rsid w:val="06B7729D"/>
    <w:rsid w:val="06B851B3"/>
    <w:rsid w:val="06C08C00"/>
    <w:rsid w:val="06C245AA"/>
    <w:rsid w:val="06C7C8E6"/>
    <w:rsid w:val="06C91436"/>
    <w:rsid w:val="06D010CF"/>
    <w:rsid w:val="06EA0144"/>
    <w:rsid w:val="06EC67BD"/>
    <w:rsid w:val="06EDE094"/>
    <w:rsid w:val="06F63F2E"/>
    <w:rsid w:val="06FED4B9"/>
    <w:rsid w:val="07053600"/>
    <w:rsid w:val="07076B37"/>
    <w:rsid w:val="0707F2D5"/>
    <w:rsid w:val="070CCF36"/>
    <w:rsid w:val="0719F554"/>
    <w:rsid w:val="071A5674"/>
    <w:rsid w:val="071FF245"/>
    <w:rsid w:val="0722DC69"/>
    <w:rsid w:val="072547CB"/>
    <w:rsid w:val="07334C8D"/>
    <w:rsid w:val="0736B289"/>
    <w:rsid w:val="07385430"/>
    <w:rsid w:val="0744C7C7"/>
    <w:rsid w:val="0746F2D6"/>
    <w:rsid w:val="0747BFB4"/>
    <w:rsid w:val="074EEEE5"/>
    <w:rsid w:val="07603F6D"/>
    <w:rsid w:val="0767FBF0"/>
    <w:rsid w:val="076B8202"/>
    <w:rsid w:val="076F17B7"/>
    <w:rsid w:val="076F737B"/>
    <w:rsid w:val="0773BD87"/>
    <w:rsid w:val="0773E2C6"/>
    <w:rsid w:val="077BBF4A"/>
    <w:rsid w:val="0782EC96"/>
    <w:rsid w:val="078A15CB"/>
    <w:rsid w:val="07942432"/>
    <w:rsid w:val="0796D808"/>
    <w:rsid w:val="079D0EBC"/>
    <w:rsid w:val="07A4BBB6"/>
    <w:rsid w:val="07ACCA47"/>
    <w:rsid w:val="07B018B3"/>
    <w:rsid w:val="07B47307"/>
    <w:rsid w:val="07B65227"/>
    <w:rsid w:val="07B79A35"/>
    <w:rsid w:val="07BAB590"/>
    <w:rsid w:val="07C1FC74"/>
    <w:rsid w:val="07CD36EA"/>
    <w:rsid w:val="07E14FAD"/>
    <w:rsid w:val="07E408AC"/>
    <w:rsid w:val="07F19BE7"/>
    <w:rsid w:val="07F3B974"/>
    <w:rsid w:val="08043648"/>
    <w:rsid w:val="08072AED"/>
    <w:rsid w:val="080C626F"/>
    <w:rsid w:val="08111F3F"/>
    <w:rsid w:val="0812E24B"/>
    <w:rsid w:val="08153524"/>
    <w:rsid w:val="08217DBF"/>
    <w:rsid w:val="082293C2"/>
    <w:rsid w:val="082971A6"/>
    <w:rsid w:val="0829D02C"/>
    <w:rsid w:val="08357301"/>
    <w:rsid w:val="08426EE9"/>
    <w:rsid w:val="08456F73"/>
    <w:rsid w:val="084831FA"/>
    <w:rsid w:val="08522B49"/>
    <w:rsid w:val="086696BA"/>
    <w:rsid w:val="0868A33D"/>
    <w:rsid w:val="087105D6"/>
    <w:rsid w:val="08719594"/>
    <w:rsid w:val="088CCC95"/>
    <w:rsid w:val="0892A800"/>
    <w:rsid w:val="08982E3D"/>
    <w:rsid w:val="08A2CCC9"/>
    <w:rsid w:val="08CE1A26"/>
    <w:rsid w:val="08D940E4"/>
    <w:rsid w:val="08EEABD1"/>
    <w:rsid w:val="08F43A31"/>
    <w:rsid w:val="08F695BF"/>
    <w:rsid w:val="08FF20F8"/>
    <w:rsid w:val="0905AA05"/>
    <w:rsid w:val="09086DA3"/>
    <w:rsid w:val="090D03B9"/>
    <w:rsid w:val="090DA9E7"/>
    <w:rsid w:val="091449D2"/>
    <w:rsid w:val="0919E385"/>
    <w:rsid w:val="091A78A7"/>
    <w:rsid w:val="091C705A"/>
    <w:rsid w:val="0921F61A"/>
    <w:rsid w:val="092DE32E"/>
    <w:rsid w:val="0931D32F"/>
    <w:rsid w:val="0932EE08"/>
    <w:rsid w:val="0936B664"/>
    <w:rsid w:val="0939725A"/>
    <w:rsid w:val="093DD56B"/>
    <w:rsid w:val="094D5C94"/>
    <w:rsid w:val="0951D383"/>
    <w:rsid w:val="0959EFC7"/>
    <w:rsid w:val="09673C0B"/>
    <w:rsid w:val="0973F404"/>
    <w:rsid w:val="0974C73C"/>
    <w:rsid w:val="0974DF85"/>
    <w:rsid w:val="097C3C2A"/>
    <w:rsid w:val="097DDFBF"/>
    <w:rsid w:val="098936BD"/>
    <w:rsid w:val="0996318F"/>
    <w:rsid w:val="099ABB74"/>
    <w:rsid w:val="099E47FA"/>
    <w:rsid w:val="09A5ADF7"/>
    <w:rsid w:val="09A97B16"/>
    <w:rsid w:val="09B13788"/>
    <w:rsid w:val="09B5C8DA"/>
    <w:rsid w:val="09BEB266"/>
    <w:rsid w:val="09C85682"/>
    <w:rsid w:val="09CCAFED"/>
    <w:rsid w:val="09D12E9C"/>
    <w:rsid w:val="09D5253A"/>
    <w:rsid w:val="09D80637"/>
    <w:rsid w:val="09F6228C"/>
    <w:rsid w:val="0A0E747A"/>
    <w:rsid w:val="0A14F154"/>
    <w:rsid w:val="0A16AA4E"/>
    <w:rsid w:val="0A28C4E4"/>
    <w:rsid w:val="0A2FEFAE"/>
    <w:rsid w:val="0A3AC459"/>
    <w:rsid w:val="0A3C159A"/>
    <w:rsid w:val="0A40CDA4"/>
    <w:rsid w:val="0A42E3DB"/>
    <w:rsid w:val="0A46A1D7"/>
    <w:rsid w:val="0A46F2EE"/>
    <w:rsid w:val="0A482223"/>
    <w:rsid w:val="0A5433FA"/>
    <w:rsid w:val="0A56FFFD"/>
    <w:rsid w:val="0A61AD34"/>
    <w:rsid w:val="0A665E27"/>
    <w:rsid w:val="0A67C786"/>
    <w:rsid w:val="0A7186A6"/>
    <w:rsid w:val="0A8CF85E"/>
    <w:rsid w:val="0A8F2032"/>
    <w:rsid w:val="0A93AA43"/>
    <w:rsid w:val="0A943635"/>
    <w:rsid w:val="0A996F57"/>
    <w:rsid w:val="0AA79376"/>
    <w:rsid w:val="0AA98856"/>
    <w:rsid w:val="0AAD0718"/>
    <w:rsid w:val="0AB5366C"/>
    <w:rsid w:val="0AB6D60F"/>
    <w:rsid w:val="0ABCA103"/>
    <w:rsid w:val="0AC116C4"/>
    <w:rsid w:val="0ACC431D"/>
    <w:rsid w:val="0ACD7CB6"/>
    <w:rsid w:val="0AD39020"/>
    <w:rsid w:val="0AD6A867"/>
    <w:rsid w:val="0ADC7E7E"/>
    <w:rsid w:val="0AEDD90F"/>
    <w:rsid w:val="0AEF8A55"/>
    <w:rsid w:val="0AF99401"/>
    <w:rsid w:val="0AFC57C8"/>
    <w:rsid w:val="0B0338DE"/>
    <w:rsid w:val="0B037063"/>
    <w:rsid w:val="0B09D60F"/>
    <w:rsid w:val="0B0D2F13"/>
    <w:rsid w:val="0B0E6868"/>
    <w:rsid w:val="0B103EB3"/>
    <w:rsid w:val="0B18933F"/>
    <w:rsid w:val="0B1A3AD7"/>
    <w:rsid w:val="0B200BE6"/>
    <w:rsid w:val="0B2BCC05"/>
    <w:rsid w:val="0B37EF3D"/>
    <w:rsid w:val="0B49292F"/>
    <w:rsid w:val="0B4BE11E"/>
    <w:rsid w:val="0B55FAD3"/>
    <w:rsid w:val="0B573891"/>
    <w:rsid w:val="0B5F8BCB"/>
    <w:rsid w:val="0B719064"/>
    <w:rsid w:val="0B770C3B"/>
    <w:rsid w:val="0B94EBAD"/>
    <w:rsid w:val="0BA00BDA"/>
    <w:rsid w:val="0BB42EE2"/>
    <w:rsid w:val="0BB926B7"/>
    <w:rsid w:val="0BBE9BB8"/>
    <w:rsid w:val="0BC47F75"/>
    <w:rsid w:val="0BC4E17C"/>
    <w:rsid w:val="0BC4EF54"/>
    <w:rsid w:val="0BD43C4B"/>
    <w:rsid w:val="0BD7EEBB"/>
    <w:rsid w:val="0BE14ABD"/>
    <w:rsid w:val="0BE5DCFE"/>
    <w:rsid w:val="0BE95009"/>
    <w:rsid w:val="0BFF797C"/>
    <w:rsid w:val="0C0BCC8C"/>
    <w:rsid w:val="0C0BDA5E"/>
    <w:rsid w:val="0C0D614B"/>
    <w:rsid w:val="0C1B1682"/>
    <w:rsid w:val="0C2293BF"/>
    <w:rsid w:val="0C265FFF"/>
    <w:rsid w:val="0C32D886"/>
    <w:rsid w:val="0C3C96E5"/>
    <w:rsid w:val="0C4CD35B"/>
    <w:rsid w:val="0C550748"/>
    <w:rsid w:val="0C566FAE"/>
    <w:rsid w:val="0C5F3D47"/>
    <w:rsid w:val="0C6403A2"/>
    <w:rsid w:val="0C72A0D8"/>
    <w:rsid w:val="0C786084"/>
    <w:rsid w:val="0C789240"/>
    <w:rsid w:val="0C7DBDC2"/>
    <w:rsid w:val="0CA451D7"/>
    <w:rsid w:val="0CB32D39"/>
    <w:rsid w:val="0CB7FD63"/>
    <w:rsid w:val="0CDDA3AF"/>
    <w:rsid w:val="0CE0518F"/>
    <w:rsid w:val="0CF415B1"/>
    <w:rsid w:val="0CF4CCB9"/>
    <w:rsid w:val="0CF5BBB0"/>
    <w:rsid w:val="0CFA2594"/>
    <w:rsid w:val="0D00E2AA"/>
    <w:rsid w:val="0D056309"/>
    <w:rsid w:val="0D06352A"/>
    <w:rsid w:val="0D0F29AA"/>
    <w:rsid w:val="0D12EAB4"/>
    <w:rsid w:val="0D19CEE0"/>
    <w:rsid w:val="0D2145BC"/>
    <w:rsid w:val="0D24198E"/>
    <w:rsid w:val="0D2D2BD6"/>
    <w:rsid w:val="0D3D5505"/>
    <w:rsid w:val="0D3E8261"/>
    <w:rsid w:val="0D5CDB36"/>
    <w:rsid w:val="0D615532"/>
    <w:rsid w:val="0D62040A"/>
    <w:rsid w:val="0D75B113"/>
    <w:rsid w:val="0D921F82"/>
    <w:rsid w:val="0D930912"/>
    <w:rsid w:val="0DA01C2F"/>
    <w:rsid w:val="0DA89ACE"/>
    <w:rsid w:val="0DB0A31F"/>
    <w:rsid w:val="0DB124C5"/>
    <w:rsid w:val="0DB3EE54"/>
    <w:rsid w:val="0DC1B45E"/>
    <w:rsid w:val="0DC4AF4B"/>
    <w:rsid w:val="0DC60164"/>
    <w:rsid w:val="0DD3D867"/>
    <w:rsid w:val="0DD84224"/>
    <w:rsid w:val="0DD8EC9B"/>
    <w:rsid w:val="0DE19CB0"/>
    <w:rsid w:val="0DE1DCBB"/>
    <w:rsid w:val="0DE6CD99"/>
    <w:rsid w:val="0DEB4FA3"/>
    <w:rsid w:val="0DEBA484"/>
    <w:rsid w:val="0DED8903"/>
    <w:rsid w:val="0DF2B9B0"/>
    <w:rsid w:val="0DF6D1DF"/>
    <w:rsid w:val="0DF9E499"/>
    <w:rsid w:val="0DFF305C"/>
    <w:rsid w:val="0E01ECED"/>
    <w:rsid w:val="0E04C448"/>
    <w:rsid w:val="0E0C05F1"/>
    <w:rsid w:val="0E0CB1A7"/>
    <w:rsid w:val="0E1141AA"/>
    <w:rsid w:val="0E1A17C3"/>
    <w:rsid w:val="0E1A3033"/>
    <w:rsid w:val="0E1CA6F5"/>
    <w:rsid w:val="0E228168"/>
    <w:rsid w:val="0E247A19"/>
    <w:rsid w:val="0E248FCE"/>
    <w:rsid w:val="0E26B882"/>
    <w:rsid w:val="0E29ED9E"/>
    <w:rsid w:val="0E29EF33"/>
    <w:rsid w:val="0E31F09A"/>
    <w:rsid w:val="0E42E110"/>
    <w:rsid w:val="0E4624AF"/>
    <w:rsid w:val="0E57A79D"/>
    <w:rsid w:val="0E5978D9"/>
    <w:rsid w:val="0E5AFB3F"/>
    <w:rsid w:val="0E6214FE"/>
    <w:rsid w:val="0E68E832"/>
    <w:rsid w:val="0E7397F5"/>
    <w:rsid w:val="0E73D51B"/>
    <w:rsid w:val="0E7A7715"/>
    <w:rsid w:val="0E7F7624"/>
    <w:rsid w:val="0E88E10A"/>
    <w:rsid w:val="0E8E633C"/>
    <w:rsid w:val="0E94E157"/>
    <w:rsid w:val="0E96ECB4"/>
    <w:rsid w:val="0E9D18DF"/>
    <w:rsid w:val="0EA694D4"/>
    <w:rsid w:val="0EB1D95C"/>
    <w:rsid w:val="0EB1FFE2"/>
    <w:rsid w:val="0EC53915"/>
    <w:rsid w:val="0ECFB94A"/>
    <w:rsid w:val="0ED00EE1"/>
    <w:rsid w:val="0ED7F0EE"/>
    <w:rsid w:val="0EDCDB8A"/>
    <w:rsid w:val="0EDDAE14"/>
    <w:rsid w:val="0EE02B5B"/>
    <w:rsid w:val="0EE13DA5"/>
    <w:rsid w:val="0EE9095B"/>
    <w:rsid w:val="0EF62D83"/>
    <w:rsid w:val="0F0C4E94"/>
    <w:rsid w:val="0F0CAF3A"/>
    <w:rsid w:val="0F0FF9B0"/>
    <w:rsid w:val="0F111AC2"/>
    <w:rsid w:val="0F14EDC0"/>
    <w:rsid w:val="0F16F1FB"/>
    <w:rsid w:val="0F1A8EB0"/>
    <w:rsid w:val="0F22026E"/>
    <w:rsid w:val="0F24183D"/>
    <w:rsid w:val="0F362E53"/>
    <w:rsid w:val="0F387C99"/>
    <w:rsid w:val="0F3DF6CE"/>
    <w:rsid w:val="0F3E526C"/>
    <w:rsid w:val="0F51F729"/>
    <w:rsid w:val="0F5E4764"/>
    <w:rsid w:val="0F626214"/>
    <w:rsid w:val="0F793A1A"/>
    <w:rsid w:val="0F79BD71"/>
    <w:rsid w:val="0F8ADC49"/>
    <w:rsid w:val="0F8CB019"/>
    <w:rsid w:val="0F93C4E8"/>
    <w:rsid w:val="0F9689DB"/>
    <w:rsid w:val="0FA40B3A"/>
    <w:rsid w:val="0FA61F26"/>
    <w:rsid w:val="0FA6E1D4"/>
    <w:rsid w:val="0FABBA52"/>
    <w:rsid w:val="0FB371D7"/>
    <w:rsid w:val="0FBF1AE4"/>
    <w:rsid w:val="0FC081FE"/>
    <w:rsid w:val="0FC52687"/>
    <w:rsid w:val="0FCFE031"/>
    <w:rsid w:val="0FD49512"/>
    <w:rsid w:val="0FD50CDA"/>
    <w:rsid w:val="0FDC9DF2"/>
    <w:rsid w:val="0FDF6952"/>
    <w:rsid w:val="0FE0E4D9"/>
    <w:rsid w:val="0FE7A72C"/>
    <w:rsid w:val="0FE83542"/>
    <w:rsid w:val="0FEE99C9"/>
    <w:rsid w:val="0FF29D92"/>
    <w:rsid w:val="0FF7C981"/>
    <w:rsid w:val="10005F09"/>
    <w:rsid w:val="1003CAE7"/>
    <w:rsid w:val="100A3A1C"/>
    <w:rsid w:val="100A9E26"/>
    <w:rsid w:val="1014744B"/>
    <w:rsid w:val="1015DE0C"/>
    <w:rsid w:val="101766D6"/>
    <w:rsid w:val="1022EC5E"/>
    <w:rsid w:val="1023442B"/>
    <w:rsid w:val="1027465C"/>
    <w:rsid w:val="1032FD47"/>
    <w:rsid w:val="1037A685"/>
    <w:rsid w:val="104A5DF8"/>
    <w:rsid w:val="104ABA20"/>
    <w:rsid w:val="105C40F5"/>
    <w:rsid w:val="1060DC7A"/>
    <w:rsid w:val="10643F35"/>
    <w:rsid w:val="1084691E"/>
    <w:rsid w:val="10877F58"/>
    <w:rsid w:val="1092CBF0"/>
    <w:rsid w:val="1096DCAA"/>
    <w:rsid w:val="1099F3A4"/>
    <w:rsid w:val="109A451B"/>
    <w:rsid w:val="10A9E38F"/>
    <w:rsid w:val="10AA542B"/>
    <w:rsid w:val="10AF5232"/>
    <w:rsid w:val="10BBAC9B"/>
    <w:rsid w:val="10C7949B"/>
    <w:rsid w:val="10C92442"/>
    <w:rsid w:val="10DA1D20"/>
    <w:rsid w:val="10DC663E"/>
    <w:rsid w:val="10DCF15A"/>
    <w:rsid w:val="1108D9AC"/>
    <w:rsid w:val="110997C7"/>
    <w:rsid w:val="110ABA23"/>
    <w:rsid w:val="110CF93C"/>
    <w:rsid w:val="1112E241"/>
    <w:rsid w:val="111334EE"/>
    <w:rsid w:val="111AFA2A"/>
    <w:rsid w:val="1121A13B"/>
    <w:rsid w:val="112720FE"/>
    <w:rsid w:val="11350FA2"/>
    <w:rsid w:val="113C0144"/>
    <w:rsid w:val="113DC950"/>
    <w:rsid w:val="11417F17"/>
    <w:rsid w:val="114A3007"/>
    <w:rsid w:val="1150EB10"/>
    <w:rsid w:val="116ABE45"/>
    <w:rsid w:val="11739285"/>
    <w:rsid w:val="11A54A62"/>
    <w:rsid w:val="11AC3CE7"/>
    <w:rsid w:val="11B126AF"/>
    <w:rsid w:val="11D7446F"/>
    <w:rsid w:val="11DD41F1"/>
    <w:rsid w:val="11DDE8AD"/>
    <w:rsid w:val="11F9A451"/>
    <w:rsid w:val="120E0776"/>
    <w:rsid w:val="120F901B"/>
    <w:rsid w:val="121680D3"/>
    <w:rsid w:val="12186DC3"/>
    <w:rsid w:val="122ED403"/>
    <w:rsid w:val="1239535F"/>
    <w:rsid w:val="1241BA31"/>
    <w:rsid w:val="1243720C"/>
    <w:rsid w:val="12495CE5"/>
    <w:rsid w:val="1257AB23"/>
    <w:rsid w:val="1258B684"/>
    <w:rsid w:val="12650A73"/>
    <w:rsid w:val="1267CF38"/>
    <w:rsid w:val="127E5766"/>
    <w:rsid w:val="12892916"/>
    <w:rsid w:val="128BAB93"/>
    <w:rsid w:val="1290627E"/>
    <w:rsid w:val="129F8D11"/>
    <w:rsid w:val="12A3945D"/>
    <w:rsid w:val="12A624DF"/>
    <w:rsid w:val="12A9F2D9"/>
    <w:rsid w:val="12BB1CB5"/>
    <w:rsid w:val="12C92B41"/>
    <w:rsid w:val="12DB36AD"/>
    <w:rsid w:val="12DB5ECD"/>
    <w:rsid w:val="12E36EAB"/>
    <w:rsid w:val="12E5D8D7"/>
    <w:rsid w:val="12ED6D97"/>
    <w:rsid w:val="12EF27D3"/>
    <w:rsid w:val="12F1DACE"/>
    <w:rsid w:val="12FBAD5F"/>
    <w:rsid w:val="1300921C"/>
    <w:rsid w:val="13095C61"/>
    <w:rsid w:val="130DE21F"/>
    <w:rsid w:val="1311B727"/>
    <w:rsid w:val="132532D9"/>
    <w:rsid w:val="132CED8E"/>
    <w:rsid w:val="133110DB"/>
    <w:rsid w:val="133ACFCF"/>
    <w:rsid w:val="134827BC"/>
    <w:rsid w:val="13497E34"/>
    <w:rsid w:val="13589366"/>
    <w:rsid w:val="1358CA36"/>
    <w:rsid w:val="13595E0E"/>
    <w:rsid w:val="135DC24B"/>
    <w:rsid w:val="135E9208"/>
    <w:rsid w:val="1364DF6E"/>
    <w:rsid w:val="1366CAC3"/>
    <w:rsid w:val="136A677F"/>
    <w:rsid w:val="1372DF98"/>
    <w:rsid w:val="13744CDA"/>
    <w:rsid w:val="137D4E0F"/>
    <w:rsid w:val="13806333"/>
    <w:rsid w:val="13898AC3"/>
    <w:rsid w:val="1393AB1A"/>
    <w:rsid w:val="1397E143"/>
    <w:rsid w:val="1397EFFE"/>
    <w:rsid w:val="139CB3B3"/>
    <w:rsid w:val="13A25913"/>
    <w:rsid w:val="13B0F022"/>
    <w:rsid w:val="13B4FEF2"/>
    <w:rsid w:val="13B6B333"/>
    <w:rsid w:val="13C2C156"/>
    <w:rsid w:val="13C92632"/>
    <w:rsid w:val="13E5CD43"/>
    <w:rsid w:val="13E7475B"/>
    <w:rsid w:val="13EA11FC"/>
    <w:rsid w:val="13EC1FA3"/>
    <w:rsid w:val="13EC9683"/>
    <w:rsid w:val="13EE7BD3"/>
    <w:rsid w:val="13F6DA77"/>
    <w:rsid w:val="13F70A04"/>
    <w:rsid w:val="13F8C979"/>
    <w:rsid w:val="13FDA1C6"/>
    <w:rsid w:val="14009725"/>
    <w:rsid w:val="14016210"/>
    <w:rsid w:val="14060F9E"/>
    <w:rsid w:val="1406426F"/>
    <w:rsid w:val="142C7D39"/>
    <w:rsid w:val="14344DD3"/>
    <w:rsid w:val="1434FEE9"/>
    <w:rsid w:val="143E2789"/>
    <w:rsid w:val="14502CCD"/>
    <w:rsid w:val="14598313"/>
    <w:rsid w:val="146176FB"/>
    <w:rsid w:val="1465E5C8"/>
    <w:rsid w:val="1469B6F0"/>
    <w:rsid w:val="14707036"/>
    <w:rsid w:val="147209CF"/>
    <w:rsid w:val="14771288"/>
    <w:rsid w:val="147C8D6A"/>
    <w:rsid w:val="1484E032"/>
    <w:rsid w:val="148878D3"/>
    <w:rsid w:val="148F7D4A"/>
    <w:rsid w:val="1494BA43"/>
    <w:rsid w:val="14972B6A"/>
    <w:rsid w:val="149853CF"/>
    <w:rsid w:val="149C87BC"/>
    <w:rsid w:val="149D24FE"/>
    <w:rsid w:val="149F47A7"/>
    <w:rsid w:val="14A09062"/>
    <w:rsid w:val="14A70955"/>
    <w:rsid w:val="14AB30C2"/>
    <w:rsid w:val="14CA7A62"/>
    <w:rsid w:val="14CC0257"/>
    <w:rsid w:val="14D1C567"/>
    <w:rsid w:val="14DA99A0"/>
    <w:rsid w:val="14EB1948"/>
    <w:rsid w:val="14FF09B0"/>
    <w:rsid w:val="151A9349"/>
    <w:rsid w:val="15202FC7"/>
    <w:rsid w:val="15232014"/>
    <w:rsid w:val="1525988D"/>
    <w:rsid w:val="1525C3D4"/>
    <w:rsid w:val="152EEF6F"/>
    <w:rsid w:val="1539F404"/>
    <w:rsid w:val="153F0AB9"/>
    <w:rsid w:val="154C4086"/>
    <w:rsid w:val="154FA318"/>
    <w:rsid w:val="155D4DD2"/>
    <w:rsid w:val="1560991C"/>
    <w:rsid w:val="156394DD"/>
    <w:rsid w:val="15717099"/>
    <w:rsid w:val="1571E842"/>
    <w:rsid w:val="157544C9"/>
    <w:rsid w:val="157A88E8"/>
    <w:rsid w:val="157BBE4B"/>
    <w:rsid w:val="157C3BC6"/>
    <w:rsid w:val="1581D121"/>
    <w:rsid w:val="1587C5B1"/>
    <w:rsid w:val="1588EA8C"/>
    <w:rsid w:val="158909D2"/>
    <w:rsid w:val="158AC706"/>
    <w:rsid w:val="158F5992"/>
    <w:rsid w:val="159D8977"/>
    <w:rsid w:val="15A7663E"/>
    <w:rsid w:val="15AF0D18"/>
    <w:rsid w:val="15AF67C3"/>
    <w:rsid w:val="15B1F062"/>
    <w:rsid w:val="15B882CF"/>
    <w:rsid w:val="15C199A8"/>
    <w:rsid w:val="15E7615D"/>
    <w:rsid w:val="1603A486"/>
    <w:rsid w:val="160CD3AB"/>
    <w:rsid w:val="1612AF6B"/>
    <w:rsid w:val="161D8369"/>
    <w:rsid w:val="162E6EB5"/>
    <w:rsid w:val="1647D889"/>
    <w:rsid w:val="164BE08D"/>
    <w:rsid w:val="16513765"/>
    <w:rsid w:val="1655540A"/>
    <w:rsid w:val="1659CF04"/>
    <w:rsid w:val="165F22F0"/>
    <w:rsid w:val="1678286A"/>
    <w:rsid w:val="167BFADD"/>
    <w:rsid w:val="167C2DAE"/>
    <w:rsid w:val="168F215B"/>
    <w:rsid w:val="1699A7F1"/>
    <w:rsid w:val="169AA3B8"/>
    <w:rsid w:val="169B6487"/>
    <w:rsid w:val="16A464D8"/>
    <w:rsid w:val="16A8F390"/>
    <w:rsid w:val="16AC222E"/>
    <w:rsid w:val="16B14F48"/>
    <w:rsid w:val="16BAB62F"/>
    <w:rsid w:val="16BD1F59"/>
    <w:rsid w:val="16C73E93"/>
    <w:rsid w:val="16CA8267"/>
    <w:rsid w:val="16CB2EA5"/>
    <w:rsid w:val="16D8A0C1"/>
    <w:rsid w:val="16DA3E6D"/>
    <w:rsid w:val="16DB3159"/>
    <w:rsid w:val="16DE9F23"/>
    <w:rsid w:val="16E1577C"/>
    <w:rsid w:val="16E1F44C"/>
    <w:rsid w:val="16E41B8C"/>
    <w:rsid w:val="16E43FFB"/>
    <w:rsid w:val="16E869C4"/>
    <w:rsid w:val="16EA84C9"/>
    <w:rsid w:val="16EBD848"/>
    <w:rsid w:val="16EE9418"/>
    <w:rsid w:val="16F1A1C7"/>
    <w:rsid w:val="16F429DD"/>
    <w:rsid w:val="16FBC3F9"/>
    <w:rsid w:val="16FBF34A"/>
    <w:rsid w:val="16FF7900"/>
    <w:rsid w:val="171217DA"/>
    <w:rsid w:val="17171600"/>
    <w:rsid w:val="171B61F3"/>
    <w:rsid w:val="171E431F"/>
    <w:rsid w:val="17249FC3"/>
    <w:rsid w:val="1728C17B"/>
    <w:rsid w:val="172A60AE"/>
    <w:rsid w:val="172D8542"/>
    <w:rsid w:val="17353AE8"/>
    <w:rsid w:val="174E9CBB"/>
    <w:rsid w:val="176005AA"/>
    <w:rsid w:val="177A4C6B"/>
    <w:rsid w:val="178330BA"/>
    <w:rsid w:val="1789FC62"/>
    <w:rsid w:val="17975155"/>
    <w:rsid w:val="17975229"/>
    <w:rsid w:val="179917D6"/>
    <w:rsid w:val="17997C64"/>
    <w:rsid w:val="179A0332"/>
    <w:rsid w:val="17AACFEB"/>
    <w:rsid w:val="17AD5284"/>
    <w:rsid w:val="17B1EDE9"/>
    <w:rsid w:val="17BC0D55"/>
    <w:rsid w:val="17C47F23"/>
    <w:rsid w:val="17CC79CC"/>
    <w:rsid w:val="17DC556C"/>
    <w:rsid w:val="17EF94C6"/>
    <w:rsid w:val="17F550BC"/>
    <w:rsid w:val="17F91436"/>
    <w:rsid w:val="18055440"/>
    <w:rsid w:val="180FFEA1"/>
    <w:rsid w:val="1812D908"/>
    <w:rsid w:val="18157D17"/>
    <w:rsid w:val="1815C511"/>
    <w:rsid w:val="181A06C1"/>
    <w:rsid w:val="182DB3CB"/>
    <w:rsid w:val="18374062"/>
    <w:rsid w:val="185B5E93"/>
    <w:rsid w:val="186DEF72"/>
    <w:rsid w:val="186E76E3"/>
    <w:rsid w:val="1872C2B1"/>
    <w:rsid w:val="18735AD8"/>
    <w:rsid w:val="187E01B5"/>
    <w:rsid w:val="18868C54"/>
    <w:rsid w:val="188B7842"/>
    <w:rsid w:val="189295CA"/>
    <w:rsid w:val="1894393B"/>
    <w:rsid w:val="18A1DB7B"/>
    <w:rsid w:val="18A703C2"/>
    <w:rsid w:val="18C3539B"/>
    <w:rsid w:val="18C6C0CA"/>
    <w:rsid w:val="18CDF699"/>
    <w:rsid w:val="18CEA444"/>
    <w:rsid w:val="18E0209C"/>
    <w:rsid w:val="18EAB0CC"/>
    <w:rsid w:val="18EC00B3"/>
    <w:rsid w:val="18F3FDB0"/>
    <w:rsid w:val="18F503BE"/>
    <w:rsid w:val="190A84EA"/>
    <w:rsid w:val="190C2DFC"/>
    <w:rsid w:val="19136D2A"/>
    <w:rsid w:val="191B18CE"/>
    <w:rsid w:val="191DC3F1"/>
    <w:rsid w:val="1921FD50"/>
    <w:rsid w:val="192D7D69"/>
    <w:rsid w:val="1935E3D9"/>
    <w:rsid w:val="193713FF"/>
    <w:rsid w:val="19447D26"/>
    <w:rsid w:val="195DA9F3"/>
    <w:rsid w:val="1962A461"/>
    <w:rsid w:val="19677546"/>
    <w:rsid w:val="1982882E"/>
    <w:rsid w:val="19864912"/>
    <w:rsid w:val="198DAA93"/>
    <w:rsid w:val="198F7B37"/>
    <w:rsid w:val="1990E1D1"/>
    <w:rsid w:val="1993C2B8"/>
    <w:rsid w:val="19961BC4"/>
    <w:rsid w:val="199D5DC7"/>
    <w:rsid w:val="19A0DDAA"/>
    <w:rsid w:val="19B30427"/>
    <w:rsid w:val="19B7F421"/>
    <w:rsid w:val="19BABEFB"/>
    <w:rsid w:val="19BF599C"/>
    <w:rsid w:val="19C1B743"/>
    <w:rsid w:val="19C51FD8"/>
    <w:rsid w:val="19D82B4C"/>
    <w:rsid w:val="19D9117C"/>
    <w:rsid w:val="19DEBFA0"/>
    <w:rsid w:val="19E04BBB"/>
    <w:rsid w:val="19E15088"/>
    <w:rsid w:val="19ECA9F4"/>
    <w:rsid w:val="19F6896A"/>
    <w:rsid w:val="19F98415"/>
    <w:rsid w:val="19FC602F"/>
    <w:rsid w:val="1A1548A9"/>
    <w:rsid w:val="1A18DD96"/>
    <w:rsid w:val="1A2C0E51"/>
    <w:rsid w:val="1A2E75D0"/>
    <w:rsid w:val="1A31A0E3"/>
    <w:rsid w:val="1A3BDF1F"/>
    <w:rsid w:val="1A3E7B04"/>
    <w:rsid w:val="1A463342"/>
    <w:rsid w:val="1A467092"/>
    <w:rsid w:val="1A4EDF65"/>
    <w:rsid w:val="1A51BE68"/>
    <w:rsid w:val="1A5469BF"/>
    <w:rsid w:val="1A5DDD38"/>
    <w:rsid w:val="1A5FDF22"/>
    <w:rsid w:val="1A6F6884"/>
    <w:rsid w:val="1A7BAA16"/>
    <w:rsid w:val="1A849575"/>
    <w:rsid w:val="1A92A509"/>
    <w:rsid w:val="1A98E59E"/>
    <w:rsid w:val="1ABEE4CB"/>
    <w:rsid w:val="1ABFBFFA"/>
    <w:rsid w:val="1ACEA05F"/>
    <w:rsid w:val="1AE45BCE"/>
    <w:rsid w:val="1AEB2ECE"/>
    <w:rsid w:val="1AEFB4AE"/>
    <w:rsid w:val="1AF01B0F"/>
    <w:rsid w:val="1AF5C66A"/>
    <w:rsid w:val="1AFB068B"/>
    <w:rsid w:val="1AFB5471"/>
    <w:rsid w:val="1AFCFE19"/>
    <w:rsid w:val="1AFEF8BA"/>
    <w:rsid w:val="1B075AC3"/>
    <w:rsid w:val="1B0C1F4A"/>
    <w:rsid w:val="1B0CD15C"/>
    <w:rsid w:val="1B0F93E3"/>
    <w:rsid w:val="1B135EB6"/>
    <w:rsid w:val="1B2B4D01"/>
    <w:rsid w:val="1B2EEF21"/>
    <w:rsid w:val="1B30A766"/>
    <w:rsid w:val="1B33A7C0"/>
    <w:rsid w:val="1B35DEFC"/>
    <w:rsid w:val="1B463AF2"/>
    <w:rsid w:val="1B5B27CA"/>
    <w:rsid w:val="1B62CB98"/>
    <w:rsid w:val="1B6511D1"/>
    <w:rsid w:val="1B6525FE"/>
    <w:rsid w:val="1B75146F"/>
    <w:rsid w:val="1B8FEA79"/>
    <w:rsid w:val="1B93CCF6"/>
    <w:rsid w:val="1B95F189"/>
    <w:rsid w:val="1B97D694"/>
    <w:rsid w:val="1BAD265F"/>
    <w:rsid w:val="1BB3B1A9"/>
    <w:rsid w:val="1BBD62CD"/>
    <w:rsid w:val="1BBDE5AF"/>
    <w:rsid w:val="1BBFC55B"/>
    <w:rsid w:val="1BC86719"/>
    <w:rsid w:val="1BCDE2BA"/>
    <w:rsid w:val="1BE2A06F"/>
    <w:rsid w:val="1BEE3566"/>
    <w:rsid w:val="1BF732E6"/>
    <w:rsid w:val="1C0976EE"/>
    <w:rsid w:val="1C0D69E9"/>
    <w:rsid w:val="1C1803D2"/>
    <w:rsid w:val="1C1BF59A"/>
    <w:rsid w:val="1C1E9FBA"/>
    <w:rsid w:val="1C263C22"/>
    <w:rsid w:val="1C339AB2"/>
    <w:rsid w:val="1C357D50"/>
    <w:rsid w:val="1C39B70E"/>
    <w:rsid w:val="1C47AABA"/>
    <w:rsid w:val="1C51540C"/>
    <w:rsid w:val="1C53F70A"/>
    <w:rsid w:val="1C5F050F"/>
    <w:rsid w:val="1C66B022"/>
    <w:rsid w:val="1C7FD5E1"/>
    <w:rsid w:val="1C8235C2"/>
    <w:rsid w:val="1C8860F0"/>
    <w:rsid w:val="1C92B04A"/>
    <w:rsid w:val="1C953043"/>
    <w:rsid w:val="1C98EEEA"/>
    <w:rsid w:val="1C99F69C"/>
    <w:rsid w:val="1CA3FBFE"/>
    <w:rsid w:val="1CA4A286"/>
    <w:rsid w:val="1CA76835"/>
    <w:rsid w:val="1CAE5F6D"/>
    <w:rsid w:val="1CAEB542"/>
    <w:rsid w:val="1CB284D0"/>
    <w:rsid w:val="1CC1AE21"/>
    <w:rsid w:val="1CC5518A"/>
    <w:rsid w:val="1CC56A6F"/>
    <w:rsid w:val="1CD268C0"/>
    <w:rsid w:val="1CDB925A"/>
    <w:rsid w:val="1CDD91AC"/>
    <w:rsid w:val="1CE625CE"/>
    <w:rsid w:val="1CECACC5"/>
    <w:rsid w:val="1CF36410"/>
    <w:rsid w:val="1CF69043"/>
    <w:rsid w:val="1CFA3E54"/>
    <w:rsid w:val="1CFDB4AD"/>
    <w:rsid w:val="1CFED4EC"/>
    <w:rsid w:val="1D0AE2AE"/>
    <w:rsid w:val="1D127BE5"/>
    <w:rsid w:val="1D1ABF82"/>
    <w:rsid w:val="1D1B10A7"/>
    <w:rsid w:val="1D400039"/>
    <w:rsid w:val="1D40330A"/>
    <w:rsid w:val="1D46B139"/>
    <w:rsid w:val="1D4EAB5C"/>
    <w:rsid w:val="1D575A45"/>
    <w:rsid w:val="1D58E092"/>
    <w:rsid w:val="1D5CF1D4"/>
    <w:rsid w:val="1D5DE454"/>
    <w:rsid w:val="1D6105B3"/>
    <w:rsid w:val="1D69DD42"/>
    <w:rsid w:val="1D73C1FE"/>
    <w:rsid w:val="1D77858F"/>
    <w:rsid w:val="1D796D82"/>
    <w:rsid w:val="1D889B29"/>
    <w:rsid w:val="1D893235"/>
    <w:rsid w:val="1D8EC134"/>
    <w:rsid w:val="1D8F1378"/>
    <w:rsid w:val="1D94C193"/>
    <w:rsid w:val="1D9846A8"/>
    <w:rsid w:val="1DA2E478"/>
    <w:rsid w:val="1DA92080"/>
    <w:rsid w:val="1DAABB69"/>
    <w:rsid w:val="1DB03B6A"/>
    <w:rsid w:val="1DC60783"/>
    <w:rsid w:val="1DC6507A"/>
    <w:rsid w:val="1DCA2D15"/>
    <w:rsid w:val="1DCA4826"/>
    <w:rsid w:val="1DD93F7E"/>
    <w:rsid w:val="1DDE3774"/>
    <w:rsid w:val="1DDE5A07"/>
    <w:rsid w:val="1DEA9F75"/>
    <w:rsid w:val="1DFB7F20"/>
    <w:rsid w:val="1DFEE3B7"/>
    <w:rsid w:val="1E0019DB"/>
    <w:rsid w:val="1E0B1D7C"/>
    <w:rsid w:val="1E0EDB67"/>
    <w:rsid w:val="1E10E8D7"/>
    <w:rsid w:val="1E1E6508"/>
    <w:rsid w:val="1E1FC115"/>
    <w:rsid w:val="1E26E941"/>
    <w:rsid w:val="1E286D0B"/>
    <w:rsid w:val="1E2D2808"/>
    <w:rsid w:val="1E45EEC4"/>
    <w:rsid w:val="1E5AC146"/>
    <w:rsid w:val="1E5FF760"/>
    <w:rsid w:val="1E6B1491"/>
    <w:rsid w:val="1E6DA662"/>
    <w:rsid w:val="1E738F35"/>
    <w:rsid w:val="1E7B05C3"/>
    <w:rsid w:val="1E7D620C"/>
    <w:rsid w:val="1E807303"/>
    <w:rsid w:val="1E83A52D"/>
    <w:rsid w:val="1E892011"/>
    <w:rsid w:val="1E8EB80E"/>
    <w:rsid w:val="1E99C46B"/>
    <w:rsid w:val="1E9CD940"/>
    <w:rsid w:val="1E9E549C"/>
    <w:rsid w:val="1EA081C3"/>
    <w:rsid w:val="1EA15047"/>
    <w:rsid w:val="1EB7EBD3"/>
    <w:rsid w:val="1EBCD489"/>
    <w:rsid w:val="1EC67C8B"/>
    <w:rsid w:val="1EC925C3"/>
    <w:rsid w:val="1ECF0F0E"/>
    <w:rsid w:val="1EE5D767"/>
    <w:rsid w:val="1EEB449F"/>
    <w:rsid w:val="1EEB74EA"/>
    <w:rsid w:val="1EEEEC21"/>
    <w:rsid w:val="1EEFD4D2"/>
    <w:rsid w:val="1EF2F14A"/>
    <w:rsid w:val="1EF93A0B"/>
    <w:rsid w:val="1EFFD9F8"/>
    <w:rsid w:val="1F01CB78"/>
    <w:rsid w:val="1F0BF793"/>
    <w:rsid w:val="1F0CF8B3"/>
    <w:rsid w:val="1F12E383"/>
    <w:rsid w:val="1F1478E3"/>
    <w:rsid w:val="1F1E486C"/>
    <w:rsid w:val="1F1F9115"/>
    <w:rsid w:val="1F2474F5"/>
    <w:rsid w:val="1F257181"/>
    <w:rsid w:val="1F27924C"/>
    <w:rsid w:val="1F2D5ED5"/>
    <w:rsid w:val="1F3446A3"/>
    <w:rsid w:val="1F3FACA5"/>
    <w:rsid w:val="1F56FCA9"/>
    <w:rsid w:val="1F625A17"/>
    <w:rsid w:val="1F6B0CE9"/>
    <w:rsid w:val="1F6B1183"/>
    <w:rsid w:val="1F7ABBFE"/>
    <w:rsid w:val="1F7E3D25"/>
    <w:rsid w:val="1F7ED50D"/>
    <w:rsid w:val="1F81B28F"/>
    <w:rsid w:val="1F8A124E"/>
    <w:rsid w:val="1F986516"/>
    <w:rsid w:val="1F99D5B1"/>
    <w:rsid w:val="1F9C622F"/>
    <w:rsid w:val="1FA0523B"/>
    <w:rsid w:val="1FA2C8DC"/>
    <w:rsid w:val="1FA403F9"/>
    <w:rsid w:val="1FAA0AC1"/>
    <w:rsid w:val="1FAADD12"/>
    <w:rsid w:val="1FAF0458"/>
    <w:rsid w:val="1FAFAFA3"/>
    <w:rsid w:val="1FB1BCE7"/>
    <w:rsid w:val="1FB5DF4B"/>
    <w:rsid w:val="1FB75044"/>
    <w:rsid w:val="1FBB9773"/>
    <w:rsid w:val="1FC2E0C3"/>
    <w:rsid w:val="1FDAB145"/>
    <w:rsid w:val="1FDEFE76"/>
    <w:rsid w:val="1FE02C54"/>
    <w:rsid w:val="1FF400ED"/>
    <w:rsid w:val="1FF448AF"/>
    <w:rsid w:val="1FF592B3"/>
    <w:rsid w:val="2000234F"/>
    <w:rsid w:val="2000C479"/>
    <w:rsid w:val="20049575"/>
    <w:rsid w:val="200547E3"/>
    <w:rsid w:val="2011DCEA"/>
    <w:rsid w:val="201AA124"/>
    <w:rsid w:val="2020E4C3"/>
    <w:rsid w:val="20221852"/>
    <w:rsid w:val="202A9643"/>
    <w:rsid w:val="2032B09E"/>
    <w:rsid w:val="204342D3"/>
    <w:rsid w:val="20435D34"/>
    <w:rsid w:val="2051786C"/>
    <w:rsid w:val="205201A1"/>
    <w:rsid w:val="205D56D6"/>
    <w:rsid w:val="206BB715"/>
    <w:rsid w:val="206BBD00"/>
    <w:rsid w:val="206C67F3"/>
    <w:rsid w:val="206E6DF5"/>
    <w:rsid w:val="206F8D32"/>
    <w:rsid w:val="208FE149"/>
    <w:rsid w:val="2094A6E7"/>
    <w:rsid w:val="2094F274"/>
    <w:rsid w:val="20A35C2E"/>
    <w:rsid w:val="20B347CA"/>
    <w:rsid w:val="20BC9780"/>
    <w:rsid w:val="20BE9EBE"/>
    <w:rsid w:val="20C34B9C"/>
    <w:rsid w:val="20E145CF"/>
    <w:rsid w:val="20E412CE"/>
    <w:rsid w:val="20E57C6F"/>
    <w:rsid w:val="20E9472F"/>
    <w:rsid w:val="21005CE3"/>
    <w:rsid w:val="2107D15D"/>
    <w:rsid w:val="2117FF47"/>
    <w:rsid w:val="211C4942"/>
    <w:rsid w:val="211EF957"/>
    <w:rsid w:val="21237098"/>
    <w:rsid w:val="21286638"/>
    <w:rsid w:val="213761BA"/>
    <w:rsid w:val="2139CE02"/>
    <w:rsid w:val="213FA189"/>
    <w:rsid w:val="215914BA"/>
    <w:rsid w:val="21667BA4"/>
    <w:rsid w:val="21695D67"/>
    <w:rsid w:val="21741AC2"/>
    <w:rsid w:val="21827757"/>
    <w:rsid w:val="2198283D"/>
    <w:rsid w:val="219C19B4"/>
    <w:rsid w:val="21B1A673"/>
    <w:rsid w:val="21BA3B8D"/>
    <w:rsid w:val="21BA9E77"/>
    <w:rsid w:val="21BFDC74"/>
    <w:rsid w:val="21C2C1B7"/>
    <w:rsid w:val="21C3FE2C"/>
    <w:rsid w:val="21C648F5"/>
    <w:rsid w:val="21C6F9EC"/>
    <w:rsid w:val="21CDF01D"/>
    <w:rsid w:val="21CEBC0C"/>
    <w:rsid w:val="21CF9FD7"/>
    <w:rsid w:val="21D59D40"/>
    <w:rsid w:val="21E29EF5"/>
    <w:rsid w:val="21E955EE"/>
    <w:rsid w:val="21EF9C7D"/>
    <w:rsid w:val="21FCE5DD"/>
    <w:rsid w:val="2200B5A2"/>
    <w:rsid w:val="2201FF02"/>
    <w:rsid w:val="2206C226"/>
    <w:rsid w:val="2206EC67"/>
    <w:rsid w:val="22081B57"/>
    <w:rsid w:val="2213D599"/>
    <w:rsid w:val="2231C151"/>
    <w:rsid w:val="22390662"/>
    <w:rsid w:val="2240645F"/>
    <w:rsid w:val="2245FB08"/>
    <w:rsid w:val="224F43FB"/>
    <w:rsid w:val="2257F688"/>
    <w:rsid w:val="225E5BA0"/>
    <w:rsid w:val="225EE670"/>
    <w:rsid w:val="22635EC9"/>
    <w:rsid w:val="2265C03B"/>
    <w:rsid w:val="2269CB5B"/>
    <w:rsid w:val="2275855A"/>
    <w:rsid w:val="2275F2F3"/>
    <w:rsid w:val="2279DBA5"/>
    <w:rsid w:val="2282CFE4"/>
    <w:rsid w:val="2287289D"/>
    <w:rsid w:val="22934907"/>
    <w:rsid w:val="2294EF47"/>
    <w:rsid w:val="2298354B"/>
    <w:rsid w:val="229A1263"/>
    <w:rsid w:val="229F64A0"/>
    <w:rsid w:val="22BAC7A1"/>
    <w:rsid w:val="22C0D933"/>
    <w:rsid w:val="22CA197A"/>
    <w:rsid w:val="22CB9035"/>
    <w:rsid w:val="22CF3ABE"/>
    <w:rsid w:val="22D09007"/>
    <w:rsid w:val="22D77A4D"/>
    <w:rsid w:val="22E411AE"/>
    <w:rsid w:val="22E825C6"/>
    <w:rsid w:val="22E91855"/>
    <w:rsid w:val="22F3BD9D"/>
    <w:rsid w:val="22FB411D"/>
    <w:rsid w:val="22FB8D40"/>
    <w:rsid w:val="2300EA29"/>
    <w:rsid w:val="23264A8F"/>
    <w:rsid w:val="23362E8B"/>
    <w:rsid w:val="233B37A2"/>
    <w:rsid w:val="234499BB"/>
    <w:rsid w:val="234664E3"/>
    <w:rsid w:val="234A691E"/>
    <w:rsid w:val="235AE4C8"/>
    <w:rsid w:val="235DD64F"/>
    <w:rsid w:val="2367407E"/>
    <w:rsid w:val="236B12BC"/>
    <w:rsid w:val="236E6463"/>
    <w:rsid w:val="23826A7C"/>
    <w:rsid w:val="238366EB"/>
    <w:rsid w:val="238AC857"/>
    <w:rsid w:val="239285DD"/>
    <w:rsid w:val="23AB8412"/>
    <w:rsid w:val="23AD7AA8"/>
    <w:rsid w:val="23AFBA42"/>
    <w:rsid w:val="23B3425B"/>
    <w:rsid w:val="23BF208A"/>
    <w:rsid w:val="23C452FA"/>
    <w:rsid w:val="23CC073A"/>
    <w:rsid w:val="23D0F9B0"/>
    <w:rsid w:val="23D4A7E0"/>
    <w:rsid w:val="23D6F1CA"/>
    <w:rsid w:val="23DC720F"/>
    <w:rsid w:val="23E3BCA4"/>
    <w:rsid w:val="23E8096B"/>
    <w:rsid w:val="23FF0FF7"/>
    <w:rsid w:val="24003813"/>
    <w:rsid w:val="24206B38"/>
    <w:rsid w:val="242D36BD"/>
    <w:rsid w:val="242D7B74"/>
    <w:rsid w:val="2433AD1D"/>
    <w:rsid w:val="24373338"/>
    <w:rsid w:val="2437C3F9"/>
    <w:rsid w:val="24436E7E"/>
    <w:rsid w:val="2447CDC4"/>
    <w:rsid w:val="244A02FD"/>
    <w:rsid w:val="244A3EC1"/>
    <w:rsid w:val="245024F8"/>
    <w:rsid w:val="24531C63"/>
    <w:rsid w:val="2453FB71"/>
    <w:rsid w:val="2457B592"/>
    <w:rsid w:val="245D4608"/>
    <w:rsid w:val="2469A719"/>
    <w:rsid w:val="246BF5BB"/>
    <w:rsid w:val="248AB16D"/>
    <w:rsid w:val="2495ECBC"/>
    <w:rsid w:val="249B7CCC"/>
    <w:rsid w:val="24A4F409"/>
    <w:rsid w:val="24B67D4E"/>
    <w:rsid w:val="24B9A7C5"/>
    <w:rsid w:val="24BC9554"/>
    <w:rsid w:val="24C1EE46"/>
    <w:rsid w:val="24C6397E"/>
    <w:rsid w:val="24C78276"/>
    <w:rsid w:val="24C79054"/>
    <w:rsid w:val="24D589B2"/>
    <w:rsid w:val="24DA12BE"/>
    <w:rsid w:val="24E1AED8"/>
    <w:rsid w:val="24EF42FA"/>
    <w:rsid w:val="24FC3B18"/>
    <w:rsid w:val="250188A3"/>
    <w:rsid w:val="2509CE32"/>
    <w:rsid w:val="25125662"/>
    <w:rsid w:val="251AE713"/>
    <w:rsid w:val="25236F05"/>
    <w:rsid w:val="2544E54E"/>
    <w:rsid w:val="255D728F"/>
    <w:rsid w:val="255ED7C8"/>
    <w:rsid w:val="25630C6E"/>
    <w:rsid w:val="256FB1CE"/>
    <w:rsid w:val="257C0F74"/>
    <w:rsid w:val="2583368F"/>
    <w:rsid w:val="25866342"/>
    <w:rsid w:val="2593F4A6"/>
    <w:rsid w:val="25968B33"/>
    <w:rsid w:val="2598AFA7"/>
    <w:rsid w:val="259E29DE"/>
    <w:rsid w:val="25DCF364"/>
    <w:rsid w:val="25DF7D38"/>
    <w:rsid w:val="25E1757B"/>
    <w:rsid w:val="25E4A399"/>
    <w:rsid w:val="25E9FB0E"/>
    <w:rsid w:val="25ECEED1"/>
    <w:rsid w:val="25FB7C1D"/>
    <w:rsid w:val="25FB8222"/>
    <w:rsid w:val="25FD63C2"/>
    <w:rsid w:val="2604DE27"/>
    <w:rsid w:val="260877D7"/>
    <w:rsid w:val="2614431B"/>
    <w:rsid w:val="26267892"/>
    <w:rsid w:val="262A3AF5"/>
    <w:rsid w:val="26305CC1"/>
    <w:rsid w:val="26362934"/>
    <w:rsid w:val="26383EB4"/>
    <w:rsid w:val="2638CBDE"/>
    <w:rsid w:val="265084FC"/>
    <w:rsid w:val="265D6845"/>
    <w:rsid w:val="265EEED8"/>
    <w:rsid w:val="2660F245"/>
    <w:rsid w:val="2662474D"/>
    <w:rsid w:val="266C695E"/>
    <w:rsid w:val="266CBEFB"/>
    <w:rsid w:val="267DD058"/>
    <w:rsid w:val="2683A4C2"/>
    <w:rsid w:val="26880D2E"/>
    <w:rsid w:val="2688C698"/>
    <w:rsid w:val="268C5B96"/>
    <w:rsid w:val="2692B753"/>
    <w:rsid w:val="2694F321"/>
    <w:rsid w:val="26954754"/>
    <w:rsid w:val="269FEE77"/>
    <w:rsid w:val="26AA0BE7"/>
    <w:rsid w:val="26AB456F"/>
    <w:rsid w:val="26BEB551"/>
    <w:rsid w:val="26C9FDC0"/>
    <w:rsid w:val="26CE5EC2"/>
    <w:rsid w:val="26D15285"/>
    <w:rsid w:val="26E5A061"/>
    <w:rsid w:val="26F4F38A"/>
    <w:rsid w:val="26FCAF2E"/>
    <w:rsid w:val="27054073"/>
    <w:rsid w:val="2707DFDC"/>
    <w:rsid w:val="27084AA2"/>
    <w:rsid w:val="2709D81A"/>
    <w:rsid w:val="271BDB39"/>
    <w:rsid w:val="271E9DBA"/>
    <w:rsid w:val="2727FE3B"/>
    <w:rsid w:val="272AF13D"/>
    <w:rsid w:val="272D02A8"/>
    <w:rsid w:val="272FF9F3"/>
    <w:rsid w:val="27325B94"/>
    <w:rsid w:val="27385980"/>
    <w:rsid w:val="2742A7DE"/>
    <w:rsid w:val="2744F003"/>
    <w:rsid w:val="274A6044"/>
    <w:rsid w:val="27584AE2"/>
    <w:rsid w:val="2763B869"/>
    <w:rsid w:val="277AFCDC"/>
    <w:rsid w:val="277D912F"/>
    <w:rsid w:val="278EA0C1"/>
    <w:rsid w:val="2790C1E8"/>
    <w:rsid w:val="279684F9"/>
    <w:rsid w:val="2796B635"/>
    <w:rsid w:val="2797863E"/>
    <w:rsid w:val="27B27A75"/>
    <w:rsid w:val="27C631BE"/>
    <w:rsid w:val="27CAD889"/>
    <w:rsid w:val="27CB9C59"/>
    <w:rsid w:val="27DCDB19"/>
    <w:rsid w:val="27F277A1"/>
    <w:rsid w:val="27FA1E69"/>
    <w:rsid w:val="280056B2"/>
    <w:rsid w:val="280CA3A9"/>
    <w:rsid w:val="2814A052"/>
    <w:rsid w:val="2816DBEE"/>
    <w:rsid w:val="281D26F6"/>
    <w:rsid w:val="281DF384"/>
    <w:rsid w:val="2821960F"/>
    <w:rsid w:val="282EB951"/>
    <w:rsid w:val="28321D53"/>
    <w:rsid w:val="2832CF0C"/>
    <w:rsid w:val="28454665"/>
    <w:rsid w:val="284621FD"/>
    <w:rsid w:val="2848DB77"/>
    <w:rsid w:val="284D27BC"/>
    <w:rsid w:val="284E4958"/>
    <w:rsid w:val="2851EAC0"/>
    <w:rsid w:val="28596F9E"/>
    <w:rsid w:val="28657225"/>
    <w:rsid w:val="2865AE94"/>
    <w:rsid w:val="28670FD1"/>
    <w:rsid w:val="2869B683"/>
    <w:rsid w:val="286CC4D1"/>
    <w:rsid w:val="286D22E6"/>
    <w:rsid w:val="28753645"/>
    <w:rsid w:val="2877613B"/>
    <w:rsid w:val="287E984A"/>
    <w:rsid w:val="2894C790"/>
    <w:rsid w:val="28953E0C"/>
    <w:rsid w:val="289664D6"/>
    <w:rsid w:val="28974FB1"/>
    <w:rsid w:val="289B64CE"/>
    <w:rsid w:val="289D97F0"/>
    <w:rsid w:val="28A4B939"/>
    <w:rsid w:val="28AB7DE9"/>
    <w:rsid w:val="28B659B2"/>
    <w:rsid w:val="28B6A549"/>
    <w:rsid w:val="28B85A85"/>
    <w:rsid w:val="28BD66DF"/>
    <w:rsid w:val="28C84ABF"/>
    <w:rsid w:val="28CC3BF1"/>
    <w:rsid w:val="28CE28B7"/>
    <w:rsid w:val="28DCAD4A"/>
    <w:rsid w:val="28E20BF9"/>
    <w:rsid w:val="28E99233"/>
    <w:rsid w:val="28EC5477"/>
    <w:rsid w:val="28F1B8F5"/>
    <w:rsid w:val="28F7FF33"/>
    <w:rsid w:val="28FFD14E"/>
    <w:rsid w:val="290218EA"/>
    <w:rsid w:val="29104C36"/>
    <w:rsid w:val="2914AF77"/>
    <w:rsid w:val="291C0D41"/>
    <w:rsid w:val="2922EE24"/>
    <w:rsid w:val="29245CC2"/>
    <w:rsid w:val="292592E3"/>
    <w:rsid w:val="2942BB94"/>
    <w:rsid w:val="294ED687"/>
    <w:rsid w:val="2953E08C"/>
    <w:rsid w:val="295DB4AD"/>
    <w:rsid w:val="296126A8"/>
    <w:rsid w:val="296FAB0E"/>
    <w:rsid w:val="2972C6DD"/>
    <w:rsid w:val="29775BBD"/>
    <w:rsid w:val="297AA0A4"/>
    <w:rsid w:val="2983577C"/>
    <w:rsid w:val="298853B5"/>
    <w:rsid w:val="298B8F63"/>
    <w:rsid w:val="2992044C"/>
    <w:rsid w:val="2998576E"/>
    <w:rsid w:val="29A59DFA"/>
    <w:rsid w:val="29BAF53A"/>
    <w:rsid w:val="29BBEBB4"/>
    <w:rsid w:val="29BC32E7"/>
    <w:rsid w:val="29C6DE7D"/>
    <w:rsid w:val="29D26D4B"/>
    <w:rsid w:val="29D6EF66"/>
    <w:rsid w:val="29FEDAB2"/>
    <w:rsid w:val="2A0067A4"/>
    <w:rsid w:val="2A0DFF79"/>
    <w:rsid w:val="2A1047BE"/>
    <w:rsid w:val="2A19C1D7"/>
    <w:rsid w:val="2A1A1C56"/>
    <w:rsid w:val="2A204C91"/>
    <w:rsid w:val="2A2226D6"/>
    <w:rsid w:val="2A32BBB8"/>
    <w:rsid w:val="2A370E90"/>
    <w:rsid w:val="2A427AAD"/>
    <w:rsid w:val="2A4B2294"/>
    <w:rsid w:val="2A550423"/>
    <w:rsid w:val="2A55D6C1"/>
    <w:rsid w:val="2A5897E3"/>
    <w:rsid w:val="2A721F8F"/>
    <w:rsid w:val="2A814241"/>
    <w:rsid w:val="2A874F7E"/>
    <w:rsid w:val="2A889754"/>
    <w:rsid w:val="2A88C890"/>
    <w:rsid w:val="2A8E1F5F"/>
    <w:rsid w:val="2A958232"/>
    <w:rsid w:val="2A9790AB"/>
    <w:rsid w:val="2AA1A7F1"/>
    <w:rsid w:val="2AA33E9B"/>
    <w:rsid w:val="2AA3CADA"/>
    <w:rsid w:val="2AA3E068"/>
    <w:rsid w:val="2AAB3799"/>
    <w:rsid w:val="2AAB6677"/>
    <w:rsid w:val="2AAB7E8E"/>
    <w:rsid w:val="2ABD1DAB"/>
    <w:rsid w:val="2ABE676A"/>
    <w:rsid w:val="2AC1AFF7"/>
    <w:rsid w:val="2AD3AC2C"/>
    <w:rsid w:val="2ADA36FF"/>
    <w:rsid w:val="2AE6925A"/>
    <w:rsid w:val="2AF3C297"/>
    <w:rsid w:val="2B06A052"/>
    <w:rsid w:val="2B12B66E"/>
    <w:rsid w:val="2B1BC189"/>
    <w:rsid w:val="2B1F9B2F"/>
    <w:rsid w:val="2B1FCD5C"/>
    <w:rsid w:val="2B2756EA"/>
    <w:rsid w:val="2B31E81E"/>
    <w:rsid w:val="2B35DA05"/>
    <w:rsid w:val="2B3F9F5A"/>
    <w:rsid w:val="2B498019"/>
    <w:rsid w:val="2B4E3F93"/>
    <w:rsid w:val="2B63AF79"/>
    <w:rsid w:val="2B63BD35"/>
    <w:rsid w:val="2B651D4E"/>
    <w:rsid w:val="2B695657"/>
    <w:rsid w:val="2B6DA194"/>
    <w:rsid w:val="2B6F758E"/>
    <w:rsid w:val="2B70F168"/>
    <w:rsid w:val="2B74B712"/>
    <w:rsid w:val="2B804A29"/>
    <w:rsid w:val="2B812496"/>
    <w:rsid w:val="2B8D4656"/>
    <w:rsid w:val="2B8E190C"/>
    <w:rsid w:val="2B94A0B4"/>
    <w:rsid w:val="2B94A0FD"/>
    <w:rsid w:val="2B9C14BA"/>
    <w:rsid w:val="2B9E37E3"/>
    <w:rsid w:val="2BA2084A"/>
    <w:rsid w:val="2BAA7A8C"/>
    <w:rsid w:val="2BB3A6BB"/>
    <w:rsid w:val="2BB45278"/>
    <w:rsid w:val="2BBB63D1"/>
    <w:rsid w:val="2BC17675"/>
    <w:rsid w:val="2BCCC920"/>
    <w:rsid w:val="2BCF321F"/>
    <w:rsid w:val="2BD2BA58"/>
    <w:rsid w:val="2BE09BC6"/>
    <w:rsid w:val="2BE2E846"/>
    <w:rsid w:val="2BEC2BFC"/>
    <w:rsid w:val="2BF5CC04"/>
    <w:rsid w:val="2C00089A"/>
    <w:rsid w:val="2C029F58"/>
    <w:rsid w:val="2C04FB40"/>
    <w:rsid w:val="2C0FF50D"/>
    <w:rsid w:val="2C15743F"/>
    <w:rsid w:val="2C174B7C"/>
    <w:rsid w:val="2C1C6B96"/>
    <w:rsid w:val="2C1E3C10"/>
    <w:rsid w:val="2C2381C4"/>
    <w:rsid w:val="2C25C5C6"/>
    <w:rsid w:val="2C28A616"/>
    <w:rsid w:val="2C2D4148"/>
    <w:rsid w:val="2C34500A"/>
    <w:rsid w:val="2C37BBEB"/>
    <w:rsid w:val="2C3B8E9F"/>
    <w:rsid w:val="2C3CEC6D"/>
    <w:rsid w:val="2C40C1D8"/>
    <w:rsid w:val="2C456FD5"/>
    <w:rsid w:val="2C47F333"/>
    <w:rsid w:val="2C4FC708"/>
    <w:rsid w:val="2C805842"/>
    <w:rsid w:val="2C81E654"/>
    <w:rsid w:val="2C8FFB6B"/>
    <w:rsid w:val="2C93F1D7"/>
    <w:rsid w:val="2C9DA923"/>
    <w:rsid w:val="2CA6B7E3"/>
    <w:rsid w:val="2CABACDA"/>
    <w:rsid w:val="2CB6735A"/>
    <w:rsid w:val="2CB9B8E2"/>
    <w:rsid w:val="2CC513E3"/>
    <w:rsid w:val="2CCBCE33"/>
    <w:rsid w:val="2CD0F0AF"/>
    <w:rsid w:val="2CDAAF70"/>
    <w:rsid w:val="2CE43FF7"/>
    <w:rsid w:val="2CF05825"/>
    <w:rsid w:val="2CF88363"/>
    <w:rsid w:val="2CFE39D9"/>
    <w:rsid w:val="2CFF7484"/>
    <w:rsid w:val="2D02F233"/>
    <w:rsid w:val="2D0CD755"/>
    <w:rsid w:val="2D125B9A"/>
    <w:rsid w:val="2D155279"/>
    <w:rsid w:val="2D1AF327"/>
    <w:rsid w:val="2D1E8E07"/>
    <w:rsid w:val="2D26BFEC"/>
    <w:rsid w:val="2D275581"/>
    <w:rsid w:val="2D2A20EE"/>
    <w:rsid w:val="2D2B5880"/>
    <w:rsid w:val="2D2E49E7"/>
    <w:rsid w:val="2D3706EF"/>
    <w:rsid w:val="2D429640"/>
    <w:rsid w:val="2D464C34"/>
    <w:rsid w:val="2D54FA01"/>
    <w:rsid w:val="2D5FA3BB"/>
    <w:rsid w:val="2D63B895"/>
    <w:rsid w:val="2D6B9464"/>
    <w:rsid w:val="2D754242"/>
    <w:rsid w:val="2D838727"/>
    <w:rsid w:val="2D95E4B6"/>
    <w:rsid w:val="2D97B86D"/>
    <w:rsid w:val="2D9DE827"/>
    <w:rsid w:val="2DA4D0C4"/>
    <w:rsid w:val="2DAB1C9D"/>
    <w:rsid w:val="2DAB6509"/>
    <w:rsid w:val="2DAB81E3"/>
    <w:rsid w:val="2DAB9713"/>
    <w:rsid w:val="2DB49F11"/>
    <w:rsid w:val="2DB57256"/>
    <w:rsid w:val="2DBDF064"/>
    <w:rsid w:val="2DC6136F"/>
    <w:rsid w:val="2DC6CBBE"/>
    <w:rsid w:val="2DCC8FF7"/>
    <w:rsid w:val="2DCDE718"/>
    <w:rsid w:val="2DD87F65"/>
    <w:rsid w:val="2DDA4E33"/>
    <w:rsid w:val="2DE12F09"/>
    <w:rsid w:val="2DE1427C"/>
    <w:rsid w:val="2DE3BD87"/>
    <w:rsid w:val="2DEA90BC"/>
    <w:rsid w:val="2DEC89E0"/>
    <w:rsid w:val="2DFB09D9"/>
    <w:rsid w:val="2DFFEA10"/>
    <w:rsid w:val="2E02D220"/>
    <w:rsid w:val="2E04E3C7"/>
    <w:rsid w:val="2E1B9928"/>
    <w:rsid w:val="2E1C5C11"/>
    <w:rsid w:val="2E22523D"/>
    <w:rsid w:val="2E2302A4"/>
    <w:rsid w:val="2E242766"/>
    <w:rsid w:val="2E33E55D"/>
    <w:rsid w:val="2E4E9DA1"/>
    <w:rsid w:val="2E569831"/>
    <w:rsid w:val="2E658288"/>
    <w:rsid w:val="2E74049B"/>
    <w:rsid w:val="2E7CD8C5"/>
    <w:rsid w:val="2E8B5210"/>
    <w:rsid w:val="2E94057D"/>
    <w:rsid w:val="2E9F1F6E"/>
    <w:rsid w:val="2EA6F6C2"/>
    <w:rsid w:val="2EB09710"/>
    <w:rsid w:val="2EB48E0F"/>
    <w:rsid w:val="2EB5AC57"/>
    <w:rsid w:val="2EB7449A"/>
    <w:rsid w:val="2EBCDC02"/>
    <w:rsid w:val="2EC03B14"/>
    <w:rsid w:val="2EC53963"/>
    <w:rsid w:val="2EC58DF0"/>
    <w:rsid w:val="2ECBAAE0"/>
    <w:rsid w:val="2ED7BEAB"/>
    <w:rsid w:val="2EDBD504"/>
    <w:rsid w:val="2EE21F53"/>
    <w:rsid w:val="2EEA7813"/>
    <w:rsid w:val="2EF182D5"/>
    <w:rsid w:val="2EF24976"/>
    <w:rsid w:val="2EFC071B"/>
    <w:rsid w:val="2EFC0936"/>
    <w:rsid w:val="2F088178"/>
    <w:rsid w:val="2F08E71A"/>
    <w:rsid w:val="2F20DB8B"/>
    <w:rsid w:val="2F2F73B7"/>
    <w:rsid w:val="2F323E10"/>
    <w:rsid w:val="2F35243E"/>
    <w:rsid w:val="2F354ADF"/>
    <w:rsid w:val="2F37B540"/>
    <w:rsid w:val="2F40257E"/>
    <w:rsid w:val="2F46DC51"/>
    <w:rsid w:val="2F52D719"/>
    <w:rsid w:val="2F5837EC"/>
    <w:rsid w:val="2F5F89BD"/>
    <w:rsid w:val="2F76997D"/>
    <w:rsid w:val="2F813591"/>
    <w:rsid w:val="2F8484C2"/>
    <w:rsid w:val="2F85C4FF"/>
    <w:rsid w:val="2F9E3F9C"/>
    <w:rsid w:val="2FA1D939"/>
    <w:rsid w:val="2FA35384"/>
    <w:rsid w:val="2FA880D2"/>
    <w:rsid w:val="2FD18656"/>
    <w:rsid w:val="2FD51284"/>
    <w:rsid w:val="2FD845CF"/>
    <w:rsid w:val="2FDF7B24"/>
    <w:rsid w:val="2FEF46CF"/>
    <w:rsid w:val="2FEFBFA0"/>
    <w:rsid w:val="2FF72F97"/>
    <w:rsid w:val="2FFA61DE"/>
    <w:rsid w:val="300DBD8B"/>
    <w:rsid w:val="3016AB85"/>
    <w:rsid w:val="30262076"/>
    <w:rsid w:val="3038E92D"/>
    <w:rsid w:val="303C75FD"/>
    <w:rsid w:val="303F4B16"/>
    <w:rsid w:val="3040662C"/>
    <w:rsid w:val="30474A01"/>
    <w:rsid w:val="30490B58"/>
    <w:rsid w:val="30493213"/>
    <w:rsid w:val="3058C78A"/>
    <w:rsid w:val="3071BD00"/>
    <w:rsid w:val="3071E4FB"/>
    <w:rsid w:val="308ABA34"/>
    <w:rsid w:val="308F9A95"/>
    <w:rsid w:val="3092971C"/>
    <w:rsid w:val="3098BFE3"/>
    <w:rsid w:val="30A632A2"/>
    <w:rsid w:val="30ACCFA7"/>
    <w:rsid w:val="30BF2E90"/>
    <w:rsid w:val="30D68687"/>
    <w:rsid w:val="30E0AC89"/>
    <w:rsid w:val="30E125DE"/>
    <w:rsid w:val="30E43589"/>
    <w:rsid w:val="30E49B1A"/>
    <w:rsid w:val="30E76C3C"/>
    <w:rsid w:val="30E93FCC"/>
    <w:rsid w:val="30F73029"/>
    <w:rsid w:val="30FD72B8"/>
    <w:rsid w:val="3104F062"/>
    <w:rsid w:val="3107E7C8"/>
    <w:rsid w:val="310F2743"/>
    <w:rsid w:val="3120466F"/>
    <w:rsid w:val="312F5396"/>
    <w:rsid w:val="31339D9E"/>
    <w:rsid w:val="3148ED5C"/>
    <w:rsid w:val="3151459C"/>
    <w:rsid w:val="3151EB07"/>
    <w:rsid w:val="315D0AD2"/>
    <w:rsid w:val="3161A018"/>
    <w:rsid w:val="3178A9A6"/>
    <w:rsid w:val="317CAC2A"/>
    <w:rsid w:val="318493D5"/>
    <w:rsid w:val="3184A5FD"/>
    <w:rsid w:val="31858979"/>
    <w:rsid w:val="318CF2AE"/>
    <w:rsid w:val="319BCD3D"/>
    <w:rsid w:val="31ABBEF5"/>
    <w:rsid w:val="31ACCCA5"/>
    <w:rsid w:val="31B51E27"/>
    <w:rsid w:val="31B547F3"/>
    <w:rsid w:val="31B5F9F0"/>
    <w:rsid w:val="31B7EAE6"/>
    <w:rsid w:val="31C01E83"/>
    <w:rsid w:val="31C2D672"/>
    <w:rsid w:val="31CA4B43"/>
    <w:rsid w:val="31D30AE6"/>
    <w:rsid w:val="31E94C85"/>
    <w:rsid w:val="31E9C200"/>
    <w:rsid w:val="31EA6908"/>
    <w:rsid w:val="31EAF8AD"/>
    <w:rsid w:val="31F68B9A"/>
    <w:rsid w:val="31FA46EC"/>
    <w:rsid w:val="3201E786"/>
    <w:rsid w:val="3203890B"/>
    <w:rsid w:val="320B9457"/>
    <w:rsid w:val="320DC0A2"/>
    <w:rsid w:val="32101319"/>
    <w:rsid w:val="3212F2E2"/>
    <w:rsid w:val="321C0E5D"/>
    <w:rsid w:val="321D86F4"/>
    <w:rsid w:val="32229573"/>
    <w:rsid w:val="323204EF"/>
    <w:rsid w:val="32412B81"/>
    <w:rsid w:val="3249A357"/>
    <w:rsid w:val="324AD247"/>
    <w:rsid w:val="324B4D19"/>
    <w:rsid w:val="3263B2E4"/>
    <w:rsid w:val="3269337F"/>
    <w:rsid w:val="326DCDBE"/>
    <w:rsid w:val="32753532"/>
    <w:rsid w:val="32805C2C"/>
    <w:rsid w:val="3286FE07"/>
    <w:rsid w:val="3288B647"/>
    <w:rsid w:val="32AA5C0F"/>
    <w:rsid w:val="32AC7711"/>
    <w:rsid w:val="32AFB4C9"/>
    <w:rsid w:val="32B23991"/>
    <w:rsid w:val="32D3A07E"/>
    <w:rsid w:val="32E9FE2F"/>
    <w:rsid w:val="32F2FBA9"/>
    <w:rsid w:val="32F67622"/>
    <w:rsid w:val="32FCFAF2"/>
    <w:rsid w:val="3300016D"/>
    <w:rsid w:val="33071A7C"/>
    <w:rsid w:val="33134CAC"/>
    <w:rsid w:val="331D6683"/>
    <w:rsid w:val="33264BD3"/>
    <w:rsid w:val="33342EC3"/>
    <w:rsid w:val="3337199F"/>
    <w:rsid w:val="334218E9"/>
    <w:rsid w:val="33438C6D"/>
    <w:rsid w:val="33447DA1"/>
    <w:rsid w:val="334A2E5D"/>
    <w:rsid w:val="33507CB9"/>
    <w:rsid w:val="33565C3A"/>
    <w:rsid w:val="33655DFD"/>
    <w:rsid w:val="3368B524"/>
    <w:rsid w:val="336C8A3C"/>
    <w:rsid w:val="337A68AC"/>
    <w:rsid w:val="33833BAE"/>
    <w:rsid w:val="3384E4C9"/>
    <w:rsid w:val="338A1CA8"/>
    <w:rsid w:val="338BB25A"/>
    <w:rsid w:val="3397039D"/>
    <w:rsid w:val="33979CAF"/>
    <w:rsid w:val="3397D00D"/>
    <w:rsid w:val="339BF31F"/>
    <w:rsid w:val="33A01E1A"/>
    <w:rsid w:val="33A45B96"/>
    <w:rsid w:val="33B18E0C"/>
    <w:rsid w:val="33B85CA4"/>
    <w:rsid w:val="33BD0F9C"/>
    <w:rsid w:val="33C6DED0"/>
    <w:rsid w:val="33CCB9A4"/>
    <w:rsid w:val="33D1AC29"/>
    <w:rsid w:val="33D69CEF"/>
    <w:rsid w:val="33DD0E5D"/>
    <w:rsid w:val="33E09FBA"/>
    <w:rsid w:val="33E5E9D1"/>
    <w:rsid w:val="33E977DA"/>
    <w:rsid w:val="33EE4151"/>
    <w:rsid w:val="33FF59E6"/>
    <w:rsid w:val="3410F3CE"/>
    <w:rsid w:val="3414AE62"/>
    <w:rsid w:val="3418C72E"/>
    <w:rsid w:val="3430EE30"/>
    <w:rsid w:val="3436C216"/>
    <w:rsid w:val="3439C6EC"/>
    <w:rsid w:val="343BF9AC"/>
    <w:rsid w:val="344010CC"/>
    <w:rsid w:val="34415996"/>
    <w:rsid w:val="3442455A"/>
    <w:rsid w:val="3459A868"/>
    <w:rsid w:val="345BE09F"/>
    <w:rsid w:val="34700799"/>
    <w:rsid w:val="34781E4C"/>
    <w:rsid w:val="34790E9B"/>
    <w:rsid w:val="34898501"/>
    <w:rsid w:val="3490FB22"/>
    <w:rsid w:val="349327BF"/>
    <w:rsid w:val="3497010A"/>
    <w:rsid w:val="349E2882"/>
    <w:rsid w:val="34A04869"/>
    <w:rsid w:val="34ADE4FA"/>
    <w:rsid w:val="34C6F94D"/>
    <w:rsid w:val="34E1238B"/>
    <w:rsid w:val="34E19E08"/>
    <w:rsid w:val="34E43856"/>
    <w:rsid w:val="34E51A8C"/>
    <w:rsid w:val="34F2CAD9"/>
    <w:rsid w:val="34F33BCE"/>
    <w:rsid w:val="34F40468"/>
    <w:rsid w:val="34FC8BD2"/>
    <w:rsid w:val="350B6C0D"/>
    <w:rsid w:val="3516C08B"/>
    <w:rsid w:val="3520CB50"/>
    <w:rsid w:val="352AA053"/>
    <w:rsid w:val="352F2527"/>
    <w:rsid w:val="3534EF0D"/>
    <w:rsid w:val="3553352C"/>
    <w:rsid w:val="3555777F"/>
    <w:rsid w:val="35618D99"/>
    <w:rsid w:val="3563D131"/>
    <w:rsid w:val="35651783"/>
    <w:rsid w:val="3588A982"/>
    <w:rsid w:val="358B06A6"/>
    <w:rsid w:val="359E9A5B"/>
    <w:rsid w:val="35B4F891"/>
    <w:rsid w:val="35BB9529"/>
    <w:rsid w:val="35BCECBC"/>
    <w:rsid w:val="35C03D07"/>
    <w:rsid w:val="35C06791"/>
    <w:rsid w:val="35C3B485"/>
    <w:rsid w:val="35CB077A"/>
    <w:rsid w:val="35CBFA2E"/>
    <w:rsid w:val="35E4ED7F"/>
    <w:rsid w:val="35E86C36"/>
    <w:rsid w:val="35EF5D3E"/>
    <w:rsid w:val="35F006CE"/>
    <w:rsid w:val="35F2846C"/>
    <w:rsid w:val="35FE3E6B"/>
    <w:rsid w:val="36051429"/>
    <w:rsid w:val="360DB134"/>
    <w:rsid w:val="362D937C"/>
    <w:rsid w:val="36345F65"/>
    <w:rsid w:val="3635DC88"/>
    <w:rsid w:val="363AA4C1"/>
    <w:rsid w:val="363D1F7D"/>
    <w:rsid w:val="3642A558"/>
    <w:rsid w:val="364A55F6"/>
    <w:rsid w:val="364C00D2"/>
    <w:rsid w:val="364EBEF9"/>
    <w:rsid w:val="364EF3D5"/>
    <w:rsid w:val="36677CEA"/>
    <w:rsid w:val="366CBF0D"/>
    <w:rsid w:val="36704AEE"/>
    <w:rsid w:val="367738C6"/>
    <w:rsid w:val="367BBFD9"/>
    <w:rsid w:val="3687BA69"/>
    <w:rsid w:val="3691CDE9"/>
    <w:rsid w:val="3691D461"/>
    <w:rsid w:val="369D058C"/>
    <w:rsid w:val="36A0808B"/>
    <w:rsid w:val="36A78B04"/>
    <w:rsid w:val="36A97E32"/>
    <w:rsid w:val="36AFB489"/>
    <w:rsid w:val="36B7F2CD"/>
    <w:rsid w:val="36C0AF39"/>
    <w:rsid w:val="36CB58B1"/>
    <w:rsid w:val="36D63A02"/>
    <w:rsid w:val="36D800E5"/>
    <w:rsid w:val="36D85AF4"/>
    <w:rsid w:val="36EBC1D3"/>
    <w:rsid w:val="36EF05C0"/>
    <w:rsid w:val="36F8BBE8"/>
    <w:rsid w:val="37030629"/>
    <w:rsid w:val="37038C87"/>
    <w:rsid w:val="3712AD69"/>
    <w:rsid w:val="371C8730"/>
    <w:rsid w:val="371CC79F"/>
    <w:rsid w:val="3724C123"/>
    <w:rsid w:val="37296D4E"/>
    <w:rsid w:val="372B3251"/>
    <w:rsid w:val="3730A842"/>
    <w:rsid w:val="3734276C"/>
    <w:rsid w:val="373843E3"/>
    <w:rsid w:val="373912AA"/>
    <w:rsid w:val="37395FF8"/>
    <w:rsid w:val="373A4490"/>
    <w:rsid w:val="373AE723"/>
    <w:rsid w:val="373EC3EE"/>
    <w:rsid w:val="373FD109"/>
    <w:rsid w:val="3745D521"/>
    <w:rsid w:val="3749181B"/>
    <w:rsid w:val="374E6BE2"/>
    <w:rsid w:val="374FCF05"/>
    <w:rsid w:val="3754FF74"/>
    <w:rsid w:val="3768F7AB"/>
    <w:rsid w:val="377083B9"/>
    <w:rsid w:val="3777F63B"/>
    <w:rsid w:val="377D9437"/>
    <w:rsid w:val="378399BE"/>
    <w:rsid w:val="3785D947"/>
    <w:rsid w:val="3786C549"/>
    <w:rsid w:val="378CC35D"/>
    <w:rsid w:val="378FF491"/>
    <w:rsid w:val="37A6CE0F"/>
    <w:rsid w:val="37ABA8F4"/>
    <w:rsid w:val="37B455E6"/>
    <w:rsid w:val="37BBCCF7"/>
    <w:rsid w:val="37BDEEBF"/>
    <w:rsid w:val="37BEF495"/>
    <w:rsid w:val="37C173AD"/>
    <w:rsid w:val="37C29232"/>
    <w:rsid w:val="37C3ACD2"/>
    <w:rsid w:val="37D19021"/>
    <w:rsid w:val="37D58DF1"/>
    <w:rsid w:val="37DB06CB"/>
    <w:rsid w:val="37DC7364"/>
    <w:rsid w:val="37EC1C9B"/>
    <w:rsid w:val="37F4F467"/>
    <w:rsid w:val="37F68BB3"/>
    <w:rsid w:val="37FDDE41"/>
    <w:rsid w:val="3803A1D8"/>
    <w:rsid w:val="38060BE0"/>
    <w:rsid w:val="3808FA40"/>
    <w:rsid w:val="380C5BE4"/>
    <w:rsid w:val="380F7F97"/>
    <w:rsid w:val="3815343D"/>
    <w:rsid w:val="382A4C6D"/>
    <w:rsid w:val="382F6CF9"/>
    <w:rsid w:val="383507B6"/>
    <w:rsid w:val="38371F51"/>
    <w:rsid w:val="3840AB54"/>
    <w:rsid w:val="3840EBA4"/>
    <w:rsid w:val="384670B2"/>
    <w:rsid w:val="38467CED"/>
    <w:rsid w:val="384B8975"/>
    <w:rsid w:val="384C251F"/>
    <w:rsid w:val="3850119A"/>
    <w:rsid w:val="3855B59D"/>
    <w:rsid w:val="3859C9C0"/>
    <w:rsid w:val="385B8FD8"/>
    <w:rsid w:val="385E1D33"/>
    <w:rsid w:val="38618F16"/>
    <w:rsid w:val="38692CDF"/>
    <w:rsid w:val="38781E8B"/>
    <w:rsid w:val="38813B51"/>
    <w:rsid w:val="3883E00B"/>
    <w:rsid w:val="38855888"/>
    <w:rsid w:val="3887DFAB"/>
    <w:rsid w:val="38882C8D"/>
    <w:rsid w:val="389DA92F"/>
    <w:rsid w:val="38A86523"/>
    <w:rsid w:val="38AA7B16"/>
    <w:rsid w:val="38AACDF2"/>
    <w:rsid w:val="38AD7A0B"/>
    <w:rsid w:val="38B3E62A"/>
    <w:rsid w:val="38B5F4B6"/>
    <w:rsid w:val="38B7F354"/>
    <w:rsid w:val="38BF4C5A"/>
    <w:rsid w:val="38BFF1D0"/>
    <w:rsid w:val="38CC9EEF"/>
    <w:rsid w:val="38D7EFDF"/>
    <w:rsid w:val="38DC472A"/>
    <w:rsid w:val="38EF7745"/>
    <w:rsid w:val="38F95D09"/>
    <w:rsid w:val="38FD1D14"/>
    <w:rsid w:val="3903B969"/>
    <w:rsid w:val="3908FA1B"/>
    <w:rsid w:val="3909CE92"/>
    <w:rsid w:val="390BFA0B"/>
    <w:rsid w:val="391711FA"/>
    <w:rsid w:val="391D4CA2"/>
    <w:rsid w:val="392A4BBF"/>
    <w:rsid w:val="3937C998"/>
    <w:rsid w:val="393B4760"/>
    <w:rsid w:val="3942E7E9"/>
    <w:rsid w:val="3947009E"/>
    <w:rsid w:val="394A6052"/>
    <w:rsid w:val="394BA052"/>
    <w:rsid w:val="3964BFBD"/>
    <w:rsid w:val="39754332"/>
    <w:rsid w:val="397CC516"/>
    <w:rsid w:val="397D7AA9"/>
    <w:rsid w:val="3982809E"/>
    <w:rsid w:val="3985BFA5"/>
    <w:rsid w:val="399366E8"/>
    <w:rsid w:val="399488AE"/>
    <w:rsid w:val="39A3BE29"/>
    <w:rsid w:val="39B0ED73"/>
    <w:rsid w:val="39B37D29"/>
    <w:rsid w:val="39B839F9"/>
    <w:rsid w:val="39C0A72E"/>
    <w:rsid w:val="39DE24AE"/>
    <w:rsid w:val="3A00430A"/>
    <w:rsid w:val="3A01EA60"/>
    <w:rsid w:val="3A066D9C"/>
    <w:rsid w:val="3A0A285A"/>
    <w:rsid w:val="3A0F3560"/>
    <w:rsid w:val="3A13A79E"/>
    <w:rsid w:val="3A19F9BE"/>
    <w:rsid w:val="3A2403AC"/>
    <w:rsid w:val="3A25E743"/>
    <w:rsid w:val="3A3533EB"/>
    <w:rsid w:val="3A368C8A"/>
    <w:rsid w:val="3A3771C6"/>
    <w:rsid w:val="3A3B1A77"/>
    <w:rsid w:val="3A3F3559"/>
    <w:rsid w:val="3A47770B"/>
    <w:rsid w:val="3A517585"/>
    <w:rsid w:val="3A523C4B"/>
    <w:rsid w:val="3A54CEBE"/>
    <w:rsid w:val="3A574B27"/>
    <w:rsid w:val="3A57C3E1"/>
    <w:rsid w:val="3A57DE6C"/>
    <w:rsid w:val="3A63953E"/>
    <w:rsid w:val="3A6A6889"/>
    <w:rsid w:val="3A6EC338"/>
    <w:rsid w:val="3A7C3FD9"/>
    <w:rsid w:val="3A7F9CC6"/>
    <w:rsid w:val="3A8146E7"/>
    <w:rsid w:val="3A88995E"/>
    <w:rsid w:val="3A8D9B71"/>
    <w:rsid w:val="3A9F6CEE"/>
    <w:rsid w:val="3AA5AE58"/>
    <w:rsid w:val="3AABF94C"/>
    <w:rsid w:val="3AC64506"/>
    <w:rsid w:val="3ACEB070"/>
    <w:rsid w:val="3AD0F81F"/>
    <w:rsid w:val="3AE451D8"/>
    <w:rsid w:val="3AE5E2DA"/>
    <w:rsid w:val="3AF2C9B8"/>
    <w:rsid w:val="3B05FE22"/>
    <w:rsid w:val="3B0754C6"/>
    <w:rsid w:val="3B126333"/>
    <w:rsid w:val="3B170766"/>
    <w:rsid w:val="3B1B0077"/>
    <w:rsid w:val="3B1D45CF"/>
    <w:rsid w:val="3B3063B1"/>
    <w:rsid w:val="3B333B9E"/>
    <w:rsid w:val="3B47493F"/>
    <w:rsid w:val="3B57C2DA"/>
    <w:rsid w:val="3B650EC0"/>
    <w:rsid w:val="3B65597E"/>
    <w:rsid w:val="3B65779D"/>
    <w:rsid w:val="3B661807"/>
    <w:rsid w:val="3B666250"/>
    <w:rsid w:val="3B6D0B14"/>
    <w:rsid w:val="3B7765C9"/>
    <w:rsid w:val="3B97FD67"/>
    <w:rsid w:val="3BA106DA"/>
    <w:rsid w:val="3BA7E2E7"/>
    <w:rsid w:val="3BB03ABB"/>
    <w:rsid w:val="3BB7DBEF"/>
    <w:rsid w:val="3BBF9E3A"/>
    <w:rsid w:val="3BC87DEE"/>
    <w:rsid w:val="3BC9C1C1"/>
    <w:rsid w:val="3BEC6B92"/>
    <w:rsid w:val="3BEE0E39"/>
    <w:rsid w:val="3BF7C297"/>
    <w:rsid w:val="3BF7C788"/>
    <w:rsid w:val="3BFAE9DD"/>
    <w:rsid w:val="3BFBF8CD"/>
    <w:rsid w:val="3BFDC3E2"/>
    <w:rsid w:val="3C0866D7"/>
    <w:rsid w:val="3C0A58FA"/>
    <w:rsid w:val="3C1468B6"/>
    <w:rsid w:val="3C1621B6"/>
    <w:rsid w:val="3C190E7B"/>
    <w:rsid w:val="3C19262D"/>
    <w:rsid w:val="3C306139"/>
    <w:rsid w:val="3C33B3DF"/>
    <w:rsid w:val="3C34C3B5"/>
    <w:rsid w:val="3C498EB0"/>
    <w:rsid w:val="3C508CAE"/>
    <w:rsid w:val="3C516B34"/>
    <w:rsid w:val="3C53BFD7"/>
    <w:rsid w:val="3C63284B"/>
    <w:rsid w:val="3C7C33C0"/>
    <w:rsid w:val="3C7D8148"/>
    <w:rsid w:val="3C824FCD"/>
    <w:rsid w:val="3C87A2E4"/>
    <w:rsid w:val="3C8991C0"/>
    <w:rsid w:val="3C8AEDD7"/>
    <w:rsid w:val="3C8B028D"/>
    <w:rsid w:val="3C95B0A7"/>
    <w:rsid w:val="3C95BCB0"/>
    <w:rsid w:val="3CA0587C"/>
    <w:rsid w:val="3CB1A8BE"/>
    <w:rsid w:val="3CB24BB7"/>
    <w:rsid w:val="3CBB015D"/>
    <w:rsid w:val="3CBF8609"/>
    <w:rsid w:val="3CCF7971"/>
    <w:rsid w:val="3CDB4DFB"/>
    <w:rsid w:val="3CE35B3F"/>
    <w:rsid w:val="3CE6FBE2"/>
    <w:rsid w:val="3CE94B56"/>
    <w:rsid w:val="3CF47C97"/>
    <w:rsid w:val="3CF648E5"/>
    <w:rsid w:val="3D076ED9"/>
    <w:rsid w:val="3D0F4CD9"/>
    <w:rsid w:val="3D17C786"/>
    <w:rsid w:val="3D17D9EA"/>
    <w:rsid w:val="3D192985"/>
    <w:rsid w:val="3D1F78D3"/>
    <w:rsid w:val="3D2937CA"/>
    <w:rsid w:val="3D2BAF28"/>
    <w:rsid w:val="3D2C549F"/>
    <w:rsid w:val="3D324A81"/>
    <w:rsid w:val="3D38ACD2"/>
    <w:rsid w:val="3D3B8CC6"/>
    <w:rsid w:val="3D3FFC8F"/>
    <w:rsid w:val="3D453400"/>
    <w:rsid w:val="3D49A2F6"/>
    <w:rsid w:val="3D4BAE22"/>
    <w:rsid w:val="3D4C2294"/>
    <w:rsid w:val="3D63D6C8"/>
    <w:rsid w:val="3D660FE2"/>
    <w:rsid w:val="3D6D041E"/>
    <w:rsid w:val="3D6D8250"/>
    <w:rsid w:val="3D6DE23E"/>
    <w:rsid w:val="3D7C1922"/>
    <w:rsid w:val="3D84CE1A"/>
    <w:rsid w:val="3D871454"/>
    <w:rsid w:val="3D8C9DFF"/>
    <w:rsid w:val="3D927470"/>
    <w:rsid w:val="3DA2C57F"/>
    <w:rsid w:val="3DA6525A"/>
    <w:rsid w:val="3DA9E688"/>
    <w:rsid w:val="3DAB7008"/>
    <w:rsid w:val="3DAE2D09"/>
    <w:rsid w:val="3DB39974"/>
    <w:rsid w:val="3DB5F981"/>
    <w:rsid w:val="3DD14CED"/>
    <w:rsid w:val="3DD194EE"/>
    <w:rsid w:val="3DD2A9E2"/>
    <w:rsid w:val="3DD81188"/>
    <w:rsid w:val="3DDD559A"/>
    <w:rsid w:val="3DE269B9"/>
    <w:rsid w:val="3DE3BFE0"/>
    <w:rsid w:val="3DE409AC"/>
    <w:rsid w:val="3DE668C2"/>
    <w:rsid w:val="3DEB444D"/>
    <w:rsid w:val="3DF02AE1"/>
    <w:rsid w:val="3DF3804C"/>
    <w:rsid w:val="3DFC2BA2"/>
    <w:rsid w:val="3E05B6DD"/>
    <w:rsid w:val="3E0A0D60"/>
    <w:rsid w:val="3E1356E5"/>
    <w:rsid w:val="3E1C42DA"/>
    <w:rsid w:val="3E2332C3"/>
    <w:rsid w:val="3E2BB368"/>
    <w:rsid w:val="3E335DF7"/>
    <w:rsid w:val="3E3D19BD"/>
    <w:rsid w:val="3E45B603"/>
    <w:rsid w:val="3E48B74F"/>
    <w:rsid w:val="3E49FE5E"/>
    <w:rsid w:val="3E5CEEAA"/>
    <w:rsid w:val="3E65FF0D"/>
    <w:rsid w:val="3E736528"/>
    <w:rsid w:val="3E748682"/>
    <w:rsid w:val="3E74DB9A"/>
    <w:rsid w:val="3E7E35E3"/>
    <w:rsid w:val="3E88AA94"/>
    <w:rsid w:val="3E8D6DE4"/>
    <w:rsid w:val="3E900832"/>
    <w:rsid w:val="3E92AE76"/>
    <w:rsid w:val="3E97D022"/>
    <w:rsid w:val="3E9F6704"/>
    <w:rsid w:val="3EA522B8"/>
    <w:rsid w:val="3EA649B9"/>
    <w:rsid w:val="3EB1324B"/>
    <w:rsid w:val="3EB1F390"/>
    <w:rsid w:val="3EB686A2"/>
    <w:rsid w:val="3EBC26C9"/>
    <w:rsid w:val="3EC747F5"/>
    <w:rsid w:val="3EC87434"/>
    <w:rsid w:val="3EC880A4"/>
    <w:rsid w:val="3EC98727"/>
    <w:rsid w:val="3ECFD6EE"/>
    <w:rsid w:val="3ED81024"/>
    <w:rsid w:val="3EDFB397"/>
    <w:rsid w:val="3EE785A6"/>
    <w:rsid w:val="3EF13D1C"/>
    <w:rsid w:val="3EFE3C3E"/>
    <w:rsid w:val="3EFF2023"/>
    <w:rsid w:val="3F011D2A"/>
    <w:rsid w:val="3F02D442"/>
    <w:rsid w:val="3F1DE685"/>
    <w:rsid w:val="3F1ED813"/>
    <w:rsid w:val="3F29EF3A"/>
    <w:rsid w:val="3F394C6D"/>
    <w:rsid w:val="3F3DE8A7"/>
    <w:rsid w:val="3F481E5B"/>
    <w:rsid w:val="3F62D125"/>
    <w:rsid w:val="3F63632B"/>
    <w:rsid w:val="3F63C931"/>
    <w:rsid w:val="3F71296D"/>
    <w:rsid w:val="3F71304E"/>
    <w:rsid w:val="3F766209"/>
    <w:rsid w:val="3F910491"/>
    <w:rsid w:val="3F9962DD"/>
    <w:rsid w:val="3FA8C5F1"/>
    <w:rsid w:val="3FAAB7FA"/>
    <w:rsid w:val="3FB6FDA2"/>
    <w:rsid w:val="3FCA61D8"/>
    <w:rsid w:val="3FCB627B"/>
    <w:rsid w:val="3FCED186"/>
    <w:rsid w:val="3FD3F541"/>
    <w:rsid w:val="3FD8E344"/>
    <w:rsid w:val="3FDF6163"/>
    <w:rsid w:val="3FEBDE08"/>
    <w:rsid w:val="3FEC1171"/>
    <w:rsid w:val="3FF062C1"/>
    <w:rsid w:val="3FF72C89"/>
    <w:rsid w:val="3FFA5658"/>
    <w:rsid w:val="3FFDDEF2"/>
    <w:rsid w:val="3FFEEE63"/>
    <w:rsid w:val="40026FE5"/>
    <w:rsid w:val="4019F5CE"/>
    <w:rsid w:val="401DE745"/>
    <w:rsid w:val="402D6891"/>
    <w:rsid w:val="402F0CBE"/>
    <w:rsid w:val="4030B122"/>
    <w:rsid w:val="403641A6"/>
    <w:rsid w:val="404D8D70"/>
    <w:rsid w:val="405EE33B"/>
    <w:rsid w:val="406907E6"/>
    <w:rsid w:val="406FFE94"/>
    <w:rsid w:val="407A1187"/>
    <w:rsid w:val="4096F288"/>
    <w:rsid w:val="409EDF94"/>
    <w:rsid w:val="40A8F9FB"/>
    <w:rsid w:val="40AC8F1B"/>
    <w:rsid w:val="40BDEF97"/>
    <w:rsid w:val="40C5C2AF"/>
    <w:rsid w:val="40C88B40"/>
    <w:rsid w:val="40D2621D"/>
    <w:rsid w:val="40E49FAC"/>
    <w:rsid w:val="40E5CDB5"/>
    <w:rsid w:val="40EBD403"/>
    <w:rsid w:val="41025171"/>
    <w:rsid w:val="41044285"/>
    <w:rsid w:val="412A05AB"/>
    <w:rsid w:val="412AA4A7"/>
    <w:rsid w:val="412BB6A1"/>
    <w:rsid w:val="412D672E"/>
    <w:rsid w:val="412DCBD5"/>
    <w:rsid w:val="41335AF8"/>
    <w:rsid w:val="413A5233"/>
    <w:rsid w:val="413E5279"/>
    <w:rsid w:val="41423872"/>
    <w:rsid w:val="414310F3"/>
    <w:rsid w:val="414834D2"/>
    <w:rsid w:val="41594F9C"/>
    <w:rsid w:val="4170A6BC"/>
    <w:rsid w:val="417DCF58"/>
    <w:rsid w:val="418E04BC"/>
    <w:rsid w:val="4194E84E"/>
    <w:rsid w:val="4197A0EA"/>
    <w:rsid w:val="419B4FCD"/>
    <w:rsid w:val="41A1CDE4"/>
    <w:rsid w:val="41AA734B"/>
    <w:rsid w:val="41BA5DEC"/>
    <w:rsid w:val="41C51915"/>
    <w:rsid w:val="41C84CCC"/>
    <w:rsid w:val="41C9E296"/>
    <w:rsid w:val="41CB0F9B"/>
    <w:rsid w:val="41CD1BCA"/>
    <w:rsid w:val="41D3AE34"/>
    <w:rsid w:val="41D94210"/>
    <w:rsid w:val="41E7AEFF"/>
    <w:rsid w:val="41ED08BE"/>
    <w:rsid w:val="41FE1C9F"/>
    <w:rsid w:val="41FED220"/>
    <w:rsid w:val="42004B9F"/>
    <w:rsid w:val="4215E352"/>
    <w:rsid w:val="4225FA16"/>
    <w:rsid w:val="4239C5B0"/>
    <w:rsid w:val="424480DD"/>
    <w:rsid w:val="4245A2A5"/>
    <w:rsid w:val="424B8625"/>
    <w:rsid w:val="425549E5"/>
    <w:rsid w:val="42595221"/>
    <w:rsid w:val="4262BEEE"/>
    <w:rsid w:val="426854CB"/>
    <w:rsid w:val="4269E0BD"/>
    <w:rsid w:val="42761CC8"/>
    <w:rsid w:val="427AC9B1"/>
    <w:rsid w:val="42877D61"/>
    <w:rsid w:val="429EB42F"/>
    <w:rsid w:val="42A3669C"/>
    <w:rsid w:val="42A613FB"/>
    <w:rsid w:val="42A8791A"/>
    <w:rsid w:val="42AAB0B5"/>
    <w:rsid w:val="42C3B95B"/>
    <w:rsid w:val="42C5B8B2"/>
    <w:rsid w:val="42CDD2F9"/>
    <w:rsid w:val="42CEDCC4"/>
    <w:rsid w:val="42D299A6"/>
    <w:rsid w:val="42D5F69F"/>
    <w:rsid w:val="42DE5A4C"/>
    <w:rsid w:val="42E6ACA3"/>
    <w:rsid w:val="42EBDEF0"/>
    <w:rsid w:val="42EDA86E"/>
    <w:rsid w:val="42F3753D"/>
    <w:rsid w:val="4302E80B"/>
    <w:rsid w:val="430DD765"/>
    <w:rsid w:val="43108A62"/>
    <w:rsid w:val="431C1984"/>
    <w:rsid w:val="4320B45E"/>
    <w:rsid w:val="4321B9EE"/>
    <w:rsid w:val="43233428"/>
    <w:rsid w:val="4324933D"/>
    <w:rsid w:val="43255DA2"/>
    <w:rsid w:val="43289953"/>
    <w:rsid w:val="43373270"/>
    <w:rsid w:val="4339AD99"/>
    <w:rsid w:val="43416C6C"/>
    <w:rsid w:val="434365AC"/>
    <w:rsid w:val="434ACC6C"/>
    <w:rsid w:val="43580409"/>
    <w:rsid w:val="43589907"/>
    <w:rsid w:val="435C8079"/>
    <w:rsid w:val="43637955"/>
    <w:rsid w:val="43639182"/>
    <w:rsid w:val="4363CB7E"/>
    <w:rsid w:val="436F6B43"/>
    <w:rsid w:val="436F6CA0"/>
    <w:rsid w:val="43735712"/>
    <w:rsid w:val="437898C5"/>
    <w:rsid w:val="437E34DA"/>
    <w:rsid w:val="437F867B"/>
    <w:rsid w:val="438C3DE8"/>
    <w:rsid w:val="4392AE13"/>
    <w:rsid w:val="43969DF5"/>
    <w:rsid w:val="439C127C"/>
    <w:rsid w:val="439E1C54"/>
    <w:rsid w:val="43A1E31A"/>
    <w:rsid w:val="43A3DCBD"/>
    <w:rsid w:val="43A9F0E4"/>
    <w:rsid w:val="43AD44F1"/>
    <w:rsid w:val="43B12582"/>
    <w:rsid w:val="43C9745A"/>
    <w:rsid w:val="43CA1111"/>
    <w:rsid w:val="43D23300"/>
    <w:rsid w:val="43D3B1FF"/>
    <w:rsid w:val="43DCFEA1"/>
    <w:rsid w:val="43E8206A"/>
    <w:rsid w:val="43EA7910"/>
    <w:rsid w:val="43EB86D0"/>
    <w:rsid w:val="43F5F944"/>
    <w:rsid w:val="43FB5C25"/>
    <w:rsid w:val="440B3AC4"/>
    <w:rsid w:val="440D1A5A"/>
    <w:rsid w:val="442891D4"/>
    <w:rsid w:val="44332329"/>
    <w:rsid w:val="443DBBC9"/>
    <w:rsid w:val="4445EB46"/>
    <w:rsid w:val="444B5E46"/>
    <w:rsid w:val="4458C882"/>
    <w:rsid w:val="445B0586"/>
    <w:rsid w:val="4462ABA5"/>
    <w:rsid w:val="4463FDE2"/>
    <w:rsid w:val="4469B4C4"/>
    <w:rsid w:val="4469E50D"/>
    <w:rsid w:val="448305C4"/>
    <w:rsid w:val="44836DC5"/>
    <w:rsid w:val="44847BBC"/>
    <w:rsid w:val="448649EC"/>
    <w:rsid w:val="44894960"/>
    <w:rsid w:val="44A2170E"/>
    <w:rsid w:val="44B1E453"/>
    <w:rsid w:val="44BE394A"/>
    <w:rsid w:val="44BF405D"/>
    <w:rsid w:val="44C61554"/>
    <w:rsid w:val="44C75FB9"/>
    <w:rsid w:val="44CD4BE0"/>
    <w:rsid w:val="44CDAE15"/>
    <w:rsid w:val="44DD3F5C"/>
    <w:rsid w:val="44DD96B1"/>
    <w:rsid w:val="44E35009"/>
    <w:rsid w:val="44EB19E6"/>
    <w:rsid w:val="44ECDDF7"/>
    <w:rsid w:val="44F3E2BE"/>
    <w:rsid w:val="44F7CDFF"/>
    <w:rsid w:val="44F9EB80"/>
    <w:rsid w:val="44FB103E"/>
    <w:rsid w:val="45033B2D"/>
    <w:rsid w:val="450A27D8"/>
    <w:rsid w:val="451725B7"/>
    <w:rsid w:val="452844C7"/>
    <w:rsid w:val="452F0E2D"/>
    <w:rsid w:val="45341736"/>
    <w:rsid w:val="4538A726"/>
    <w:rsid w:val="4544883C"/>
    <w:rsid w:val="4545FC73"/>
    <w:rsid w:val="454C0556"/>
    <w:rsid w:val="454E44FB"/>
    <w:rsid w:val="4567CE95"/>
    <w:rsid w:val="4569B09A"/>
    <w:rsid w:val="4580394C"/>
    <w:rsid w:val="4582C5B1"/>
    <w:rsid w:val="45990724"/>
    <w:rsid w:val="459AE5E0"/>
    <w:rsid w:val="459E045A"/>
    <w:rsid w:val="45A499D1"/>
    <w:rsid w:val="45AC32F2"/>
    <w:rsid w:val="45B820E1"/>
    <w:rsid w:val="45B85F2E"/>
    <w:rsid w:val="45B887AF"/>
    <w:rsid w:val="45BB83C4"/>
    <w:rsid w:val="45BC77E2"/>
    <w:rsid w:val="45C836CF"/>
    <w:rsid w:val="45C86BA2"/>
    <w:rsid w:val="45DA0528"/>
    <w:rsid w:val="45E1D095"/>
    <w:rsid w:val="45E51F5C"/>
    <w:rsid w:val="45EA0108"/>
    <w:rsid w:val="45EB9A3B"/>
    <w:rsid w:val="45EE5115"/>
    <w:rsid w:val="45F195B8"/>
    <w:rsid w:val="46090CDD"/>
    <w:rsid w:val="46092DE6"/>
    <w:rsid w:val="460DCB95"/>
    <w:rsid w:val="46238A46"/>
    <w:rsid w:val="462EE81D"/>
    <w:rsid w:val="464057D9"/>
    <w:rsid w:val="46478C01"/>
    <w:rsid w:val="46513D1F"/>
    <w:rsid w:val="4652F555"/>
    <w:rsid w:val="4659C478"/>
    <w:rsid w:val="46623816"/>
    <w:rsid w:val="466426C1"/>
    <w:rsid w:val="4666BCE8"/>
    <w:rsid w:val="46693E08"/>
    <w:rsid w:val="466D4E8E"/>
    <w:rsid w:val="466F376A"/>
    <w:rsid w:val="46723FE2"/>
    <w:rsid w:val="46739613"/>
    <w:rsid w:val="46786700"/>
    <w:rsid w:val="467C51F5"/>
    <w:rsid w:val="46854852"/>
    <w:rsid w:val="46870AC4"/>
    <w:rsid w:val="468D15ED"/>
    <w:rsid w:val="468F87C5"/>
    <w:rsid w:val="46907441"/>
    <w:rsid w:val="46A91B88"/>
    <w:rsid w:val="46B1D036"/>
    <w:rsid w:val="46BDC296"/>
    <w:rsid w:val="46C5233C"/>
    <w:rsid w:val="46C84D9A"/>
    <w:rsid w:val="46DA8CA6"/>
    <w:rsid w:val="46DFF2DF"/>
    <w:rsid w:val="46EC4917"/>
    <w:rsid w:val="46F156D4"/>
    <w:rsid w:val="46F67055"/>
    <w:rsid w:val="46F85227"/>
    <w:rsid w:val="46FDFA07"/>
    <w:rsid w:val="470CF3AE"/>
    <w:rsid w:val="470EFE4F"/>
    <w:rsid w:val="4712E14C"/>
    <w:rsid w:val="471D9F0A"/>
    <w:rsid w:val="472199E9"/>
    <w:rsid w:val="4723C2E5"/>
    <w:rsid w:val="472A3A12"/>
    <w:rsid w:val="472FB625"/>
    <w:rsid w:val="473171E7"/>
    <w:rsid w:val="47322E37"/>
    <w:rsid w:val="4732C9BB"/>
    <w:rsid w:val="47341684"/>
    <w:rsid w:val="473632B6"/>
    <w:rsid w:val="473B1E6D"/>
    <w:rsid w:val="4744DDEC"/>
    <w:rsid w:val="4744E36C"/>
    <w:rsid w:val="4745FF71"/>
    <w:rsid w:val="4748DFED"/>
    <w:rsid w:val="474B885B"/>
    <w:rsid w:val="474C6C32"/>
    <w:rsid w:val="474EE78A"/>
    <w:rsid w:val="474EF869"/>
    <w:rsid w:val="47634F1C"/>
    <w:rsid w:val="4787CE4D"/>
    <w:rsid w:val="47882AA1"/>
    <w:rsid w:val="4789FB6F"/>
    <w:rsid w:val="478BBC85"/>
    <w:rsid w:val="4795C179"/>
    <w:rsid w:val="47ABB985"/>
    <w:rsid w:val="47B61C09"/>
    <w:rsid w:val="47BD15A9"/>
    <w:rsid w:val="47BF0C52"/>
    <w:rsid w:val="47BF8D9F"/>
    <w:rsid w:val="47CBBC2A"/>
    <w:rsid w:val="47CED469"/>
    <w:rsid w:val="47CFA90C"/>
    <w:rsid w:val="47D391A0"/>
    <w:rsid w:val="47D75C8D"/>
    <w:rsid w:val="47E9D431"/>
    <w:rsid w:val="48030C4D"/>
    <w:rsid w:val="481993D1"/>
    <w:rsid w:val="4827DAB0"/>
    <w:rsid w:val="48318C3E"/>
    <w:rsid w:val="483604CA"/>
    <w:rsid w:val="483E2426"/>
    <w:rsid w:val="483FE709"/>
    <w:rsid w:val="48458C4D"/>
    <w:rsid w:val="48488394"/>
    <w:rsid w:val="484E703D"/>
    <w:rsid w:val="485CB9FA"/>
    <w:rsid w:val="4863E7FA"/>
    <w:rsid w:val="4863FD10"/>
    <w:rsid w:val="486A4A8D"/>
    <w:rsid w:val="486C826E"/>
    <w:rsid w:val="486E9F0A"/>
    <w:rsid w:val="486FF8CD"/>
    <w:rsid w:val="4875EC38"/>
    <w:rsid w:val="487A1AFF"/>
    <w:rsid w:val="487A7D71"/>
    <w:rsid w:val="4882E844"/>
    <w:rsid w:val="488883FE"/>
    <w:rsid w:val="488F7A1E"/>
    <w:rsid w:val="48953195"/>
    <w:rsid w:val="489DCF4D"/>
    <w:rsid w:val="48A00A0E"/>
    <w:rsid w:val="48A32813"/>
    <w:rsid w:val="48A5746C"/>
    <w:rsid w:val="48A7396F"/>
    <w:rsid w:val="48AAFF77"/>
    <w:rsid w:val="48AC363E"/>
    <w:rsid w:val="48B1A33F"/>
    <w:rsid w:val="48B57EEC"/>
    <w:rsid w:val="48B9E685"/>
    <w:rsid w:val="48C5B6A0"/>
    <w:rsid w:val="48C70958"/>
    <w:rsid w:val="48CB2C1B"/>
    <w:rsid w:val="48CCA420"/>
    <w:rsid w:val="48D1DE49"/>
    <w:rsid w:val="48D96E4A"/>
    <w:rsid w:val="48E37C63"/>
    <w:rsid w:val="48FA5F06"/>
    <w:rsid w:val="48FC4E38"/>
    <w:rsid w:val="4900718E"/>
    <w:rsid w:val="49036674"/>
    <w:rsid w:val="490477A9"/>
    <w:rsid w:val="490CC146"/>
    <w:rsid w:val="4911EAB0"/>
    <w:rsid w:val="4913D734"/>
    <w:rsid w:val="4916B98B"/>
    <w:rsid w:val="491DE5EB"/>
    <w:rsid w:val="4924C3B6"/>
    <w:rsid w:val="493B008D"/>
    <w:rsid w:val="493CA971"/>
    <w:rsid w:val="494113DB"/>
    <w:rsid w:val="49433D55"/>
    <w:rsid w:val="494632AD"/>
    <w:rsid w:val="49484B28"/>
    <w:rsid w:val="494AD466"/>
    <w:rsid w:val="4953EC47"/>
    <w:rsid w:val="49636A01"/>
    <w:rsid w:val="4964E94B"/>
    <w:rsid w:val="496B5933"/>
    <w:rsid w:val="49713986"/>
    <w:rsid w:val="49768A2E"/>
    <w:rsid w:val="498B5B72"/>
    <w:rsid w:val="4990B7BF"/>
    <w:rsid w:val="4990CDC2"/>
    <w:rsid w:val="4990F745"/>
    <w:rsid w:val="4993608F"/>
    <w:rsid w:val="4995C061"/>
    <w:rsid w:val="499B2722"/>
    <w:rsid w:val="49A6F29D"/>
    <w:rsid w:val="49AAFC50"/>
    <w:rsid w:val="49ACD31E"/>
    <w:rsid w:val="49B188FC"/>
    <w:rsid w:val="49B3084C"/>
    <w:rsid w:val="49BFA9E0"/>
    <w:rsid w:val="49C00748"/>
    <w:rsid w:val="49C8634C"/>
    <w:rsid w:val="49CA420C"/>
    <w:rsid w:val="49EA5E69"/>
    <w:rsid w:val="49EBEF63"/>
    <w:rsid w:val="49EEBA6E"/>
    <w:rsid w:val="49FABBE1"/>
    <w:rsid w:val="49FBEE3D"/>
    <w:rsid w:val="4A0F7B27"/>
    <w:rsid w:val="4A17808C"/>
    <w:rsid w:val="4A1AECBB"/>
    <w:rsid w:val="4A313D67"/>
    <w:rsid w:val="4A38F2BE"/>
    <w:rsid w:val="4A408000"/>
    <w:rsid w:val="4A412375"/>
    <w:rsid w:val="4A44FC1B"/>
    <w:rsid w:val="4A5B79C7"/>
    <w:rsid w:val="4A5BDB00"/>
    <w:rsid w:val="4A612BAE"/>
    <w:rsid w:val="4A69B1DF"/>
    <w:rsid w:val="4A6A2AD7"/>
    <w:rsid w:val="4A71DEBB"/>
    <w:rsid w:val="4A9B5485"/>
    <w:rsid w:val="4A9E84F9"/>
    <w:rsid w:val="4AA1856A"/>
    <w:rsid w:val="4AA3CAC6"/>
    <w:rsid w:val="4AA47736"/>
    <w:rsid w:val="4AC55B09"/>
    <w:rsid w:val="4ACB3134"/>
    <w:rsid w:val="4AD8E62E"/>
    <w:rsid w:val="4AEA7EA3"/>
    <w:rsid w:val="4AED1159"/>
    <w:rsid w:val="4AFB44B8"/>
    <w:rsid w:val="4B03E81E"/>
    <w:rsid w:val="4B12A6F6"/>
    <w:rsid w:val="4B230886"/>
    <w:rsid w:val="4B2E11A7"/>
    <w:rsid w:val="4B2FEA2D"/>
    <w:rsid w:val="4B363F8E"/>
    <w:rsid w:val="4B3BEBEE"/>
    <w:rsid w:val="4B3DC872"/>
    <w:rsid w:val="4B463DE5"/>
    <w:rsid w:val="4B4D2254"/>
    <w:rsid w:val="4B4E5070"/>
    <w:rsid w:val="4B573665"/>
    <w:rsid w:val="4B5A8DDC"/>
    <w:rsid w:val="4B5AEFAE"/>
    <w:rsid w:val="4B62A6BA"/>
    <w:rsid w:val="4B6669F9"/>
    <w:rsid w:val="4B67A850"/>
    <w:rsid w:val="4B6C831E"/>
    <w:rsid w:val="4B7288DE"/>
    <w:rsid w:val="4B76AA96"/>
    <w:rsid w:val="4B78F60F"/>
    <w:rsid w:val="4B87A757"/>
    <w:rsid w:val="4B8BAD17"/>
    <w:rsid w:val="4B8D45C9"/>
    <w:rsid w:val="4B93FB3E"/>
    <w:rsid w:val="4B95AAE0"/>
    <w:rsid w:val="4B96346E"/>
    <w:rsid w:val="4B98C856"/>
    <w:rsid w:val="4B98F6CE"/>
    <w:rsid w:val="4B9F538F"/>
    <w:rsid w:val="4BB0B6F9"/>
    <w:rsid w:val="4BBF7250"/>
    <w:rsid w:val="4BC060C6"/>
    <w:rsid w:val="4BD6706D"/>
    <w:rsid w:val="4BE17C29"/>
    <w:rsid w:val="4BFC76BC"/>
    <w:rsid w:val="4C0D509A"/>
    <w:rsid w:val="4C13DC7B"/>
    <w:rsid w:val="4C2018E3"/>
    <w:rsid w:val="4C2236FC"/>
    <w:rsid w:val="4C27492F"/>
    <w:rsid w:val="4C2ACAD9"/>
    <w:rsid w:val="4C39C336"/>
    <w:rsid w:val="4C3E1217"/>
    <w:rsid w:val="4C582068"/>
    <w:rsid w:val="4C5D2AD3"/>
    <w:rsid w:val="4C5DC6D3"/>
    <w:rsid w:val="4C7525CE"/>
    <w:rsid w:val="4C7A4175"/>
    <w:rsid w:val="4C7B6D99"/>
    <w:rsid w:val="4C7C815E"/>
    <w:rsid w:val="4C85B856"/>
    <w:rsid w:val="4C86BE3C"/>
    <w:rsid w:val="4C8FA9BE"/>
    <w:rsid w:val="4C910E98"/>
    <w:rsid w:val="4C938710"/>
    <w:rsid w:val="4C976963"/>
    <w:rsid w:val="4C9E18D7"/>
    <w:rsid w:val="4CA10D88"/>
    <w:rsid w:val="4CA607D1"/>
    <w:rsid w:val="4CB07AC9"/>
    <w:rsid w:val="4CB7E8BA"/>
    <w:rsid w:val="4CC02F15"/>
    <w:rsid w:val="4CD0EA34"/>
    <w:rsid w:val="4CE97984"/>
    <w:rsid w:val="4CF0FD1C"/>
    <w:rsid w:val="4D04F333"/>
    <w:rsid w:val="4D05595A"/>
    <w:rsid w:val="4D0738A3"/>
    <w:rsid w:val="4D0768D3"/>
    <w:rsid w:val="4D0A218D"/>
    <w:rsid w:val="4D0BAB59"/>
    <w:rsid w:val="4D0BAF93"/>
    <w:rsid w:val="4D0DDCD8"/>
    <w:rsid w:val="4D1564BC"/>
    <w:rsid w:val="4D1D932C"/>
    <w:rsid w:val="4D1E3171"/>
    <w:rsid w:val="4D3D770A"/>
    <w:rsid w:val="4D54BB8C"/>
    <w:rsid w:val="4D577E13"/>
    <w:rsid w:val="4D5ACB03"/>
    <w:rsid w:val="4D67EF9C"/>
    <w:rsid w:val="4D74068A"/>
    <w:rsid w:val="4D74D0BD"/>
    <w:rsid w:val="4D7D07CB"/>
    <w:rsid w:val="4D807E88"/>
    <w:rsid w:val="4D8463EE"/>
    <w:rsid w:val="4D8EFB72"/>
    <w:rsid w:val="4D8FF35B"/>
    <w:rsid w:val="4D90EAC1"/>
    <w:rsid w:val="4D9E77C7"/>
    <w:rsid w:val="4DA73F25"/>
    <w:rsid w:val="4DB14695"/>
    <w:rsid w:val="4DBB48A4"/>
    <w:rsid w:val="4DC46051"/>
    <w:rsid w:val="4DC4E4F5"/>
    <w:rsid w:val="4DC87875"/>
    <w:rsid w:val="4DCEC443"/>
    <w:rsid w:val="4DD5D4DE"/>
    <w:rsid w:val="4DE90A03"/>
    <w:rsid w:val="4DEA15B6"/>
    <w:rsid w:val="4DEE9199"/>
    <w:rsid w:val="4DF16BAB"/>
    <w:rsid w:val="4DF299B9"/>
    <w:rsid w:val="4DF72E22"/>
    <w:rsid w:val="4E004357"/>
    <w:rsid w:val="4E1016AD"/>
    <w:rsid w:val="4E17F80E"/>
    <w:rsid w:val="4E1E692D"/>
    <w:rsid w:val="4E1FE07D"/>
    <w:rsid w:val="4E2B6323"/>
    <w:rsid w:val="4E2BE5D3"/>
    <w:rsid w:val="4E2EA7E5"/>
    <w:rsid w:val="4E3CFD2D"/>
    <w:rsid w:val="4E4477D8"/>
    <w:rsid w:val="4E4D5455"/>
    <w:rsid w:val="4E54F82A"/>
    <w:rsid w:val="4E5C1736"/>
    <w:rsid w:val="4E5D5086"/>
    <w:rsid w:val="4E63CFD3"/>
    <w:rsid w:val="4E6A497F"/>
    <w:rsid w:val="4E724106"/>
    <w:rsid w:val="4E82B7DB"/>
    <w:rsid w:val="4E857BBB"/>
    <w:rsid w:val="4E871E66"/>
    <w:rsid w:val="4E87C925"/>
    <w:rsid w:val="4E896750"/>
    <w:rsid w:val="4E898F8D"/>
    <w:rsid w:val="4E8BA2D9"/>
    <w:rsid w:val="4E97C816"/>
    <w:rsid w:val="4E9F2A03"/>
    <w:rsid w:val="4EA4FE80"/>
    <w:rsid w:val="4EC04A9A"/>
    <w:rsid w:val="4ECB6E1C"/>
    <w:rsid w:val="4EED673D"/>
    <w:rsid w:val="4EEDB13C"/>
    <w:rsid w:val="4EEF573E"/>
    <w:rsid w:val="4EF371B1"/>
    <w:rsid w:val="4EFA621D"/>
    <w:rsid w:val="4F0AA4F9"/>
    <w:rsid w:val="4F0C34D7"/>
    <w:rsid w:val="4F203C62"/>
    <w:rsid w:val="4F3828C0"/>
    <w:rsid w:val="4F466F3A"/>
    <w:rsid w:val="4F49CE4E"/>
    <w:rsid w:val="4F591F0C"/>
    <w:rsid w:val="4F5B002C"/>
    <w:rsid w:val="4F6A819D"/>
    <w:rsid w:val="4F6D24D8"/>
    <w:rsid w:val="4F6D38A8"/>
    <w:rsid w:val="4F73927B"/>
    <w:rsid w:val="4F7B8977"/>
    <w:rsid w:val="4F894E93"/>
    <w:rsid w:val="4F8C87B8"/>
    <w:rsid w:val="4F93420E"/>
    <w:rsid w:val="4F963FCD"/>
    <w:rsid w:val="4FA74D94"/>
    <w:rsid w:val="4FAE5C4F"/>
    <w:rsid w:val="4FAF1465"/>
    <w:rsid w:val="4FB3810E"/>
    <w:rsid w:val="4FC40B88"/>
    <w:rsid w:val="4FC986BF"/>
    <w:rsid w:val="4FCA3ADD"/>
    <w:rsid w:val="4FCFD244"/>
    <w:rsid w:val="4FE1C1B5"/>
    <w:rsid w:val="4FE266A8"/>
    <w:rsid w:val="4FE420D3"/>
    <w:rsid w:val="4FF379B3"/>
    <w:rsid w:val="4FFFD2EC"/>
    <w:rsid w:val="5002FEE6"/>
    <w:rsid w:val="501477AC"/>
    <w:rsid w:val="5014CC0A"/>
    <w:rsid w:val="5017C476"/>
    <w:rsid w:val="501A14EA"/>
    <w:rsid w:val="501B1477"/>
    <w:rsid w:val="5031C3AA"/>
    <w:rsid w:val="5037571B"/>
    <w:rsid w:val="503757FC"/>
    <w:rsid w:val="503B7B30"/>
    <w:rsid w:val="504719BC"/>
    <w:rsid w:val="50472D18"/>
    <w:rsid w:val="504EF0E2"/>
    <w:rsid w:val="50633D48"/>
    <w:rsid w:val="50696CA3"/>
    <w:rsid w:val="5071BC66"/>
    <w:rsid w:val="5075F657"/>
    <w:rsid w:val="5081F665"/>
    <w:rsid w:val="5083690C"/>
    <w:rsid w:val="5095B4DE"/>
    <w:rsid w:val="50B3EF26"/>
    <w:rsid w:val="50BF149C"/>
    <w:rsid w:val="50C1F531"/>
    <w:rsid w:val="50CA9DDF"/>
    <w:rsid w:val="50D64F36"/>
    <w:rsid w:val="50D94A0C"/>
    <w:rsid w:val="50E07545"/>
    <w:rsid w:val="50ED1145"/>
    <w:rsid w:val="50EE7D3C"/>
    <w:rsid w:val="50F82183"/>
    <w:rsid w:val="50FF2C8C"/>
    <w:rsid w:val="5107F91A"/>
    <w:rsid w:val="510EED9B"/>
    <w:rsid w:val="512052EF"/>
    <w:rsid w:val="513E803B"/>
    <w:rsid w:val="51400856"/>
    <w:rsid w:val="514308B0"/>
    <w:rsid w:val="5147EACC"/>
    <w:rsid w:val="51487FC8"/>
    <w:rsid w:val="51495D3D"/>
    <w:rsid w:val="514C206D"/>
    <w:rsid w:val="515661BB"/>
    <w:rsid w:val="515FB0E6"/>
    <w:rsid w:val="5161839B"/>
    <w:rsid w:val="516C67E5"/>
    <w:rsid w:val="51789284"/>
    <w:rsid w:val="517B1F10"/>
    <w:rsid w:val="517B8122"/>
    <w:rsid w:val="517FCB13"/>
    <w:rsid w:val="5180F2DC"/>
    <w:rsid w:val="518F534E"/>
    <w:rsid w:val="519D0603"/>
    <w:rsid w:val="51A753FC"/>
    <w:rsid w:val="51AB5361"/>
    <w:rsid w:val="51B2457D"/>
    <w:rsid w:val="51C0036F"/>
    <w:rsid w:val="51CE2419"/>
    <w:rsid w:val="51DE7E5C"/>
    <w:rsid w:val="51E098B3"/>
    <w:rsid w:val="51EB86B4"/>
    <w:rsid w:val="51EE6FB3"/>
    <w:rsid w:val="51F5B5ED"/>
    <w:rsid w:val="51FD5639"/>
    <w:rsid w:val="520DFF91"/>
    <w:rsid w:val="520E9E3F"/>
    <w:rsid w:val="52128698"/>
    <w:rsid w:val="522C6362"/>
    <w:rsid w:val="5235FF55"/>
    <w:rsid w:val="5239F466"/>
    <w:rsid w:val="52446404"/>
    <w:rsid w:val="52449193"/>
    <w:rsid w:val="524D0569"/>
    <w:rsid w:val="525A1795"/>
    <w:rsid w:val="526AE5BD"/>
    <w:rsid w:val="5276CA64"/>
    <w:rsid w:val="5291C179"/>
    <w:rsid w:val="52A3841B"/>
    <w:rsid w:val="52A55B7D"/>
    <w:rsid w:val="52A58760"/>
    <w:rsid w:val="52AA0BC8"/>
    <w:rsid w:val="52B1245E"/>
    <w:rsid w:val="52BA4D63"/>
    <w:rsid w:val="52BC554B"/>
    <w:rsid w:val="52C04AE8"/>
    <w:rsid w:val="52CB8F24"/>
    <w:rsid w:val="52D264B6"/>
    <w:rsid w:val="52D32D7A"/>
    <w:rsid w:val="52DCFD79"/>
    <w:rsid w:val="52E1D041"/>
    <w:rsid w:val="52E4B82E"/>
    <w:rsid w:val="52F46523"/>
    <w:rsid w:val="52FB6EEA"/>
    <w:rsid w:val="53020082"/>
    <w:rsid w:val="53042B8E"/>
    <w:rsid w:val="5304A083"/>
    <w:rsid w:val="530B4514"/>
    <w:rsid w:val="530C8A04"/>
    <w:rsid w:val="530E1707"/>
    <w:rsid w:val="53112CC3"/>
    <w:rsid w:val="5318AC2D"/>
    <w:rsid w:val="531E1019"/>
    <w:rsid w:val="531FD239"/>
    <w:rsid w:val="532BE840"/>
    <w:rsid w:val="53473B6B"/>
    <w:rsid w:val="53505203"/>
    <w:rsid w:val="536905ED"/>
    <w:rsid w:val="5377403A"/>
    <w:rsid w:val="5379AC4D"/>
    <w:rsid w:val="537A17DB"/>
    <w:rsid w:val="537B0978"/>
    <w:rsid w:val="5380CC89"/>
    <w:rsid w:val="5384A553"/>
    <w:rsid w:val="5388D537"/>
    <w:rsid w:val="538A1E48"/>
    <w:rsid w:val="538AE2ED"/>
    <w:rsid w:val="538C7B3D"/>
    <w:rsid w:val="5392E7C6"/>
    <w:rsid w:val="53952A09"/>
    <w:rsid w:val="53965BE9"/>
    <w:rsid w:val="539B10BB"/>
    <w:rsid w:val="53A24618"/>
    <w:rsid w:val="53B459F3"/>
    <w:rsid w:val="53B4D4BE"/>
    <w:rsid w:val="53C5FD31"/>
    <w:rsid w:val="53D6FCBA"/>
    <w:rsid w:val="53E409AC"/>
    <w:rsid w:val="53F3932D"/>
    <w:rsid w:val="53F94AE3"/>
    <w:rsid w:val="53FC573B"/>
    <w:rsid w:val="53FE2E28"/>
    <w:rsid w:val="53FF3836"/>
    <w:rsid w:val="53FF8E71"/>
    <w:rsid w:val="5409E3BF"/>
    <w:rsid w:val="540B38D2"/>
    <w:rsid w:val="540E72BE"/>
    <w:rsid w:val="5415576E"/>
    <w:rsid w:val="542C9063"/>
    <w:rsid w:val="5430DCB0"/>
    <w:rsid w:val="543C2244"/>
    <w:rsid w:val="544323B2"/>
    <w:rsid w:val="544A10A6"/>
    <w:rsid w:val="544CA0FC"/>
    <w:rsid w:val="54518D9D"/>
    <w:rsid w:val="545684A1"/>
    <w:rsid w:val="5461DA6C"/>
    <w:rsid w:val="54702D31"/>
    <w:rsid w:val="5473D790"/>
    <w:rsid w:val="54747CA8"/>
    <w:rsid w:val="547AD4D6"/>
    <w:rsid w:val="547F26CE"/>
    <w:rsid w:val="5488DDC3"/>
    <w:rsid w:val="548BB408"/>
    <w:rsid w:val="548BC8A4"/>
    <w:rsid w:val="548C37A8"/>
    <w:rsid w:val="548EC673"/>
    <w:rsid w:val="548F7BB1"/>
    <w:rsid w:val="549450D7"/>
    <w:rsid w:val="54A5F967"/>
    <w:rsid w:val="54A887AE"/>
    <w:rsid w:val="54B646D0"/>
    <w:rsid w:val="54BB3625"/>
    <w:rsid w:val="54BDCF7A"/>
    <w:rsid w:val="54BE4130"/>
    <w:rsid w:val="54D11E17"/>
    <w:rsid w:val="54D94D78"/>
    <w:rsid w:val="54E23427"/>
    <w:rsid w:val="54ED5A21"/>
    <w:rsid w:val="54F31478"/>
    <w:rsid w:val="55056DC6"/>
    <w:rsid w:val="55060B53"/>
    <w:rsid w:val="55076604"/>
    <w:rsid w:val="551B64AA"/>
    <w:rsid w:val="551F0D91"/>
    <w:rsid w:val="552594D4"/>
    <w:rsid w:val="552DBB5D"/>
    <w:rsid w:val="55446ED3"/>
    <w:rsid w:val="5545CFF8"/>
    <w:rsid w:val="5548D79D"/>
    <w:rsid w:val="5552847E"/>
    <w:rsid w:val="55593F94"/>
    <w:rsid w:val="555C6840"/>
    <w:rsid w:val="556581A0"/>
    <w:rsid w:val="55699FAB"/>
    <w:rsid w:val="5571024D"/>
    <w:rsid w:val="557C8FC1"/>
    <w:rsid w:val="557D5E7E"/>
    <w:rsid w:val="55944627"/>
    <w:rsid w:val="55A08A4E"/>
    <w:rsid w:val="55AA1C95"/>
    <w:rsid w:val="55B62476"/>
    <w:rsid w:val="55BE2820"/>
    <w:rsid w:val="55CB49B0"/>
    <w:rsid w:val="55D772C6"/>
    <w:rsid w:val="55DA198A"/>
    <w:rsid w:val="55DEF218"/>
    <w:rsid w:val="55E6B8AA"/>
    <w:rsid w:val="55ECFD8E"/>
    <w:rsid w:val="55EFD640"/>
    <w:rsid w:val="55F2014F"/>
    <w:rsid w:val="55FB2EEF"/>
    <w:rsid w:val="56019E62"/>
    <w:rsid w:val="56060ADA"/>
    <w:rsid w:val="560AE9CE"/>
    <w:rsid w:val="5617B873"/>
    <w:rsid w:val="561A939A"/>
    <w:rsid w:val="561DC467"/>
    <w:rsid w:val="5628B3AF"/>
    <w:rsid w:val="562B0269"/>
    <w:rsid w:val="562D4344"/>
    <w:rsid w:val="56313861"/>
    <w:rsid w:val="5637E339"/>
    <w:rsid w:val="56423335"/>
    <w:rsid w:val="564E113A"/>
    <w:rsid w:val="565BF882"/>
    <w:rsid w:val="566DB4E0"/>
    <w:rsid w:val="56704B9E"/>
    <w:rsid w:val="567311B5"/>
    <w:rsid w:val="56758F5F"/>
    <w:rsid w:val="5679914D"/>
    <w:rsid w:val="567E2DC1"/>
    <w:rsid w:val="56840CE1"/>
    <w:rsid w:val="568B5BFC"/>
    <w:rsid w:val="568DEBF5"/>
    <w:rsid w:val="568DF352"/>
    <w:rsid w:val="5696B832"/>
    <w:rsid w:val="56ADC712"/>
    <w:rsid w:val="56BC30DC"/>
    <w:rsid w:val="56BDB2BE"/>
    <w:rsid w:val="56BF3DC5"/>
    <w:rsid w:val="56C34C55"/>
    <w:rsid w:val="56D9ABCF"/>
    <w:rsid w:val="56E32A8E"/>
    <w:rsid w:val="56EF2722"/>
    <w:rsid w:val="56F7EFA5"/>
    <w:rsid w:val="56F9B60D"/>
    <w:rsid w:val="56FCCCC2"/>
    <w:rsid w:val="56FFFD99"/>
    <w:rsid w:val="57001EE4"/>
    <w:rsid w:val="571B7076"/>
    <w:rsid w:val="571D584D"/>
    <w:rsid w:val="572C4A04"/>
    <w:rsid w:val="573940BC"/>
    <w:rsid w:val="573E4F12"/>
    <w:rsid w:val="5749B01C"/>
    <w:rsid w:val="574B6912"/>
    <w:rsid w:val="574C1C3A"/>
    <w:rsid w:val="574E429B"/>
    <w:rsid w:val="575D42A5"/>
    <w:rsid w:val="576499C2"/>
    <w:rsid w:val="57707807"/>
    <w:rsid w:val="57824323"/>
    <w:rsid w:val="57A006AE"/>
    <w:rsid w:val="57ABC563"/>
    <w:rsid w:val="57ACF195"/>
    <w:rsid w:val="57B82951"/>
    <w:rsid w:val="57BA4D30"/>
    <w:rsid w:val="57CBE343"/>
    <w:rsid w:val="57CEA992"/>
    <w:rsid w:val="57D699D4"/>
    <w:rsid w:val="57D7F0C0"/>
    <w:rsid w:val="57DDD623"/>
    <w:rsid w:val="57E5EF33"/>
    <w:rsid w:val="57E6127E"/>
    <w:rsid w:val="57EBE7E5"/>
    <w:rsid w:val="57EC7DDA"/>
    <w:rsid w:val="57F7C3A0"/>
    <w:rsid w:val="57FAF643"/>
    <w:rsid w:val="5801EDDA"/>
    <w:rsid w:val="58299E0A"/>
    <w:rsid w:val="5835B43F"/>
    <w:rsid w:val="583A16EB"/>
    <w:rsid w:val="583D8828"/>
    <w:rsid w:val="58402D93"/>
    <w:rsid w:val="5848F7F1"/>
    <w:rsid w:val="584EA1D9"/>
    <w:rsid w:val="58509A17"/>
    <w:rsid w:val="5852E174"/>
    <w:rsid w:val="585569D1"/>
    <w:rsid w:val="58566726"/>
    <w:rsid w:val="585C700E"/>
    <w:rsid w:val="5865A6A6"/>
    <w:rsid w:val="5868B4E9"/>
    <w:rsid w:val="58736461"/>
    <w:rsid w:val="587E6861"/>
    <w:rsid w:val="58817B9E"/>
    <w:rsid w:val="588739C5"/>
    <w:rsid w:val="589BDF62"/>
    <w:rsid w:val="58B27528"/>
    <w:rsid w:val="58B32646"/>
    <w:rsid w:val="58BDEA07"/>
    <w:rsid w:val="58CB081F"/>
    <w:rsid w:val="58CB212B"/>
    <w:rsid w:val="58CFD77E"/>
    <w:rsid w:val="58D0CA6A"/>
    <w:rsid w:val="58DB1D58"/>
    <w:rsid w:val="58E5E63F"/>
    <w:rsid w:val="58E5FDA9"/>
    <w:rsid w:val="58ED30BA"/>
    <w:rsid w:val="58F2BD60"/>
    <w:rsid w:val="58F4E9DA"/>
    <w:rsid w:val="58F6493B"/>
    <w:rsid w:val="58F957A6"/>
    <w:rsid w:val="5901023B"/>
    <w:rsid w:val="591032AC"/>
    <w:rsid w:val="5917ACC1"/>
    <w:rsid w:val="591BCE81"/>
    <w:rsid w:val="591C299F"/>
    <w:rsid w:val="59239D0C"/>
    <w:rsid w:val="592632B1"/>
    <w:rsid w:val="592B7D98"/>
    <w:rsid w:val="592CF890"/>
    <w:rsid w:val="592E98B2"/>
    <w:rsid w:val="592F6CEF"/>
    <w:rsid w:val="593B863C"/>
    <w:rsid w:val="594393BC"/>
    <w:rsid w:val="5946DC23"/>
    <w:rsid w:val="594D21B2"/>
    <w:rsid w:val="596212FE"/>
    <w:rsid w:val="5971A2E1"/>
    <w:rsid w:val="598322D2"/>
    <w:rsid w:val="599C0F93"/>
    <w:rsid w:val="599CF28F"/>
    <w:rsid w:val="59A157FE"/>
    <w:rsid w:val="59A29E34"/>
    <w:rsid w:val="59A6970D"/>
    <w:rsid w:val="59ADA55B"/>
    <w:rsid w:val="59B5FC8E"/>
    <w:rsid w:val="59BA6FE5"/>
    <w:rsid w:val="59D1E155"/>
    <w:rsid w:val="59D6C453"/>
    <w:rsid w:val="59E285AF"/>
    <w:rsid w:val="59E44AB2"/>
    <w:rsid w:val="59ECA7E1"/>
    <w:rsid w:val="59F346C7"/>
    <w:rsid w:val="59F351D1"/>
    <w:rsid w:val="59F8C540"/>
    <w:rsid w:val="5A06667C"/>
    <w:rsid w:val="5A0F85D0"/>
    <w:rsid w:val="5A1380D5"/>
    <w:rsid w:val="5A17D3F9"/>
    <w:rsid w:val="5A18D018"/>
    <w:rsid w:val="5A1B049F"/>
    <w:rsid w:val="5A1BBB42"/>
    <w:rsid w:val="5A1CE922"/>
    <w:rsid w:val="5A1EC75F"/>
    <w:rsid w:val="5A1F2314"/>
    <w:rsid w:val="5A1FAD1B"/>
    <w:rsid w:val="5A23FEFD"/>
    <w:rsid w:val="5A24E0AE"/>
    <w:rsid w:val="5A3680D3"/>
    <w:rsid w:val="5A38BF73"/>
    <w:rsid w:val="5A3CB1DC"/>
    <w:rsid w:val="5A49B314"/>
    <w:rsid w:val="5A4A69FE"/>
    <w:rsid w:val="5A614CA1"/>
    <w:rsid w:val="5A6C9235"/>
    <w:rsid w:val="5A770E76"/>
    <w:rsid w:val="5A7B8355"/>
    <w:rsid w:val="5A80EA3F"/>
    <w:rsid w:val="5A8513F7"/>
    <w:rsid w:val="5A908792"/>
    <w:rsid w:val="5A957E6D"/>
    <w:rsid w:val="5A9A3BAC"/>
    <w:rsid w:val="5A9ADCD4"/>
    <w:rsid w:val="5A9FCB98"/>
    <w:rsid w:val="5AA0150B"/>
    <w:rsid w:val="5AA3949A"/>
    <w:rsid w:val="5AB2CF40"/>
    <w:rsid w:val="5AB9E0A7"/>
    <w:rsid w:val="5AC299C0"/>
    <w:rsid w:val="5AC3DF75"/>
    <w:rsid w:val="5AD8030E"/>
    <w:rsid w:val="5ADA9FAA"/>
    <w:rsid w:val="5ADD0495"/>
    <w:rsid w:val="5AECC18D"/>
    <w:rsid w:val="5AECFDED"/>
    <w:rsid w:val="5AEDD219"/>
    <w:rsid w:val="5AEEFFCA"/>
    <w:rsid w:val="5AF12398"/>
    <w:rsid w:val="5AF767B5"/>
    <w:rsid w:val="5AFB5A33"/>
    <w:rsid w:val="5B01D608"/>
    <w:rsid w:val="5B0C01D2"/>
    <w:rsid w:val="5B0C9D60"/>
    <w:rsid w:val="5B0CD3FF"/>
    <w:rsid w:val="5B0DF3BB"/>
    <w:rsid w:val="5B0F9365"/>
    <w:rsid w:val="5B19EE32"/>
    <w:rsid w:val="5B1A002B"/>
    <w:rsid w:val="5B2C4B8A"/>
    <w:rsid w:val="5B35E201"/>
    <w:rsid w:val="5B37495B"/>
    <w:rsid w:val="5B3B3021"/>
    <w:rsid w:val="5B3ECA0A"/>
    <w:rsid w:val="5B48D6C5"/>
    <w:rsid w:val="5B4AB2E5"/>
    <w:rsid w:val="5B500462"/>
    <w:rsid w:val="5B55C718"/>
    <w:rsid w:val="5B5B416E"/>
    <w:rsid w:val="5B5E0BE3"/>
    <w:rsid w:val="5B5E3EDC"/>
    <w:rsid w:val="5B61A9B3"/>
    <w:rsid w:val="5B63F9EC"/>
    <w:rsid w:val="5B68AEF0"/>
    <w:rsid w:val="5B691397"/>
    <w:rsid w:val="5B6C8D23"/>
    <w:rsid w:val="5B6EA6EC"/>
    <w:rsid w:val="5B720BB8"/>
    <w:rsid w:val="5B732F75"/>
    <w:rsid w:val="5B82B3F6"/>
    <w:rsid w:val="5B85AB23"/>
    <w:rsid w:val="5B872C82"/>
    <w:rsid w:val="5B92BDDE"/>
    <w:rsid w:val="5B999B85"/>
    <w:rsid w:val="5BA39D61"/>
    <w:rsid w:val="5BA86DEA"/>
    <w:rsid w:val="5BAB0355"/>
    <w:rsid w:val="5BB0F703"/>
    <w:rsid w:val="5BB30C9F"/>
    <w:rsid w:val="5BB5568F"/>
    <w:rsid w:val="5BB59DFD"/>
    <w:rsid w:val="5BB9346A"/>
    <w:rsid w:val="5BBC8E69"/>
    <w:rsid w:val="5BBC9F9D"/>
    <w:rsid w:val="5BD88457"/>
    <w:rsid w:val="5BEC9A90"/>
    <w:rsid w:val="5BF29245"/>
    <w:rsid w:val="5BF96B24"/>
    <w:rsid w:val="5BFB0E13"/>
    <w:rsid w:val="5BFF9012"/>
    <w:rsid w:val="5C04B92C"/>
    <w:rsid w:val="5C0E07E3"/>
    <w:rsid w:val="5C12377D"/>
    <w:rsid w:val="5C12A2D5"/>
    <w:rsid w:val="5C16D58C"/>
    <w:rsid w:val="5C18EA45"/>
    <w:rsid w:val="5C1AE2EC"/>
    <w:rsid w:val="5C23D263"/>
    <w:rsid w:val="5C34CC53"/>
    <w:rsid w:val="5C389591"/>
    <w:rsid w:val="5C3A5FFA"/>
    <w:rsid w:val="5C3E9A54"/>
    <w:rsid w:val="5C53F713"/>
    <w:rsid w:val="5C5C8980"/>
    <w:rsid w:val="5C68E866"/>
    <w:rsid w:val="5C74B04C"/>
    <w:rsid w:val="5C793B02"/>
    <w:rsid w:val="5C7D54D5"/>
    <w:rsid w:val="5C84954A"/>
    <w:rsid w:val="5C8EA397"/>
    <w:rsid w:val="5CA0F103"/>
    <w:rsid w:val="5CA28E2A"/>
    <w:rsid w:val="5CB661DE"/>
    <w:rsid w:val="5CC6484A"/>
    <w:rsid w:val="5CD062C8"/>
    <w:rsid w:val="5CD1F68C"/>
    <w:rsid w:val="5CD8D05D"/>
    <w:rsid w:val="5CDE6046"/>
    <w:rsid w:val="5CE2E3A7"/>
    <w:rsid w:val="5D025E2D"/>
    <w:rsid w:val="5D09DEC3"/>
    <w:rsid w:val="5D2AB322"/>
    <w:rsid w:val="5D2E44D8"/>
    <w:rsid w:val="5D3B1320"/>
    <w:rsid w:val="5D40F336"/>
    <w:rsid w:val="5D676B69"/>
    <w:rsid w:val="5D677285"/>
    <w:rsid w:val="5D6EF676"/>
    <w:rsid w:val="5D796DD4"/>
    <w:rsid w:val="5D7D6E5C"/>
    <w:rsid w:val="5D88F555"/>
    <w:rsid w:val="5D9855EB"/>
    <w:rsid w:val="5D9B5D7B"/>
    <w:rsid w:val="5D9C1431"/>
    <w:rsid w:val="5DA6238F"/>
    <w:rsid w:val="5DA7C035"/>
    <w:rsid w:val="5DBE89B9"/>
    <w:rsid w:val="5DBEA227"/>
    <w:rsid w:val="5DC9CDE8"/>
    <w:rsid w:val="5DD07D8A"/>
    <w:rsid w:val="5DD0E9F7"/>
    <w:rsid w:val="5DD71F2D"/>
    <w:rsid w:val="5DDED3E8"/>
    <w:rsid w:val="5DDF7163"/>
    <w:rsid w:val="5DE58A22"/>
    <w:rsid w:val="5DF4C7BC"/>
    <w:rsid w:val="5E0AC4BF"/>
    <w:rsid w:val="5E0E1314"/>
    <w:rsid w:val="5E13780F"/>
    <w:rsid w:val="5E210AB1"/>
    <w:rsid w:val="5E24DE5A"/>
    <w:rsid w:val="5E259547"/>
    <w:rsid w:val="5E2764E6"/>
    <w:rsid w:val="5E277909"/>
    <w:rsid w:val="5E2D3DE0"/>
    <w:rsid w:val="5E350B1F"/>
    <w:rsid w:val="5E405D21"/>
    <w:rsid w:val="5E46C115"/>
    <w:rsid w:val="5E498F6E"/>
    <w:rsid w:val="5E70C3B0"/>
    <w:rsid w:val="5E78683E"/>
    <w:rsid w:val="5E82759E"/>
    <w:rsid w:val="5E83A915"/>
    <w:rsid w:val="5E8445C6"/>
    <w:rsid w:val="5E85F7B8"/>
    <w:rsid w:val="5E9EEFE5"/>
    <w:rsid w:val="5E9FF362"/>
    <w:rsid w:val="5EAD5EA6"/>
    <w:rsid w:val="5EAD9877"/>
    <w:rsid w:val="5EB3E10C"/>
    <w:rsid w:val="5EB63AE2"/>
    <w:rsid w:val="5EC1BC84"/>
    <w:rsid w:val="5EC3997E"/>
    <w:rsid w:val="5EC5FDD9"/>
    <w:rsid w:val="5ECC99FF"/>
    <w:rsid w:val="5ED8E521"/>
    <w:rsid w:val="5EE1374F"/>
    <w:rsid w:val="5EE2734D"/>
    <w:rsid w:val="5EE27F37"/>
    <w:rsid w:val="5EE5C173"/>
    <w:rsid w:val="5EFBFD7E"/>
    <w:rsid w:val="5F04307A"/>
    <w:rsid w:val="5F126057"/>
    <w:rsid w:val="5F18B342"/>
    <w:rsid w:val="5F1DC71E"/>
    <w:rsid w:val="5F21056F"/>
    <w:rsid w:val="5F219CE7"/>
    <w:rsid w:val="5F25A273"/>
    <w:rsid w:val="5F2C4FE3"/>
    <w:rsid w:val="5F31FED4"/>
    <w:rsid w:val="5F3241DB"/>
    <w:rsid w:val="5F3C6C60"/>
    <w:rsid w:val="5F441143"/>
    <w:rsid w:val="5F4A56DA"/>
    <w:rsid w:val="5F61ED57"/>
    <w:rsid w:val="5F64B074"/>
    <w:rsid w:val="5F699D94"/>
    <w:rsid w:val="5F76ADDC"/>
    <w:rsid w:val="5F786922"/>
    <w:rsid w:val="5F79AA8B"/>
    <w:rsid w:val="5F809E6B"/>
    <w:rsid w:val="5F80B48D"/>
    <w:rsid w:val="5F831880"/>
    <w:rsid w:val="5F98BCF1"/>
    <w:rsid w:val="5F9EA9B4"/>
    <w:rsid w:val="5FA2C7F4"/>
    <w:rsid w:val="5FAC1C6B"/>
    <w:rsid w:val="5FB8F8DE"/>
    <w:rsid w:val="5FE2E828"/>
    <w:rsid w:val="5FEC5EB0"/>
    <w:rsid w:val="5FF21FFE"/>
    <w:rsid w:val="5FFB9E48"/>
    <w:rsid w:val="5FFFBD5A"/>
    <w:rsid w:val="60039869"/>
    <w:rsid w:val="60069F8E"/>
    <w:rsid w:val="600A59DB"/>
    <w:rsid w:val="600B59B3"/>
    <w:rsid w:val="601E4970"/>
    <w:rsid w:val="60239BB8"/>
    <w:rsid w:val="602AA1EA"/>
    <w:rsid w:val="6030E5ED"/>
    <w:rsid w:val="60382718"/>
    <w:rsid w:val="603A653E"/>
    <w:rsid w:val="6040FB9B"/>
    <w:rsid w:val="6042B873"/>
    <w:rsid w:val="6043795C"/>
    <w:rsid w:val="6058D1EA"/>
    <w:rsid w:val="605A12D5"/>
    <w:rsid w:val="6062B6B9"/>
    <w:rsid w:val="6063D6EB"/>
    <w:rsid w:val="6064D01B"/>
    <w:rsid w:val="606D6E3F"/>
    <w:rsid w:val="60704B83"/>
    <w:rsid w:val="60710BE6"/>
    <w:rsid w:val="6075A7D5"/>
    <w:rsid w:val="607F1FBD"/>
    <w:rsid w:val="6082A05C"/>
    <w:rsid w:val="608D24BE"/>
    <w:rsid w:val="60924BA4"/>
    <w:rsid w:val="60938B7A"/>
    <w:rsid w:val="609C6D8E"/>
    <w:rsid w:val="60A2F683"/>
    <w:rsid w:val="60AA5E87"/>
    <w:rsid w:val="60ADBE3E"/>
    <w:rsid w:val="60B051CE"/>
    <w:rsid w:val="60B67AC1"/>
    <w:rsid w:val="60B9CBE2"/>
    <w:rsid w:val="60BF9857"/>
    <w:rsid w:val="60C58CA4"/>
    <w:rsid w:val="60C5B2B4"/>
    <w:rsid w:val="60C6ED6A"/>
    <w:rsid w:val="60CD1A81"/>
    <w:rsid w:val="60D1D8FF"/>
    <w:rsid w:val="60DE50F9"/>
    <w:rsid w:val="60E4A853"/>
    <w:rsid w:val="60F36396"/>
    <w:rsid w:val="6106630B"/>
    <w:rsid w:val="6107BF49"/>
    <w:rsid w:val="610855DC"/>
    <w:rsid w:val="61194BA7"/>
    <w:rsid w:val="612008F5"/>
    <w:rsid w:val="612362F4"/>
    <w:rsid w:val="6133200F"/>
    <w:rsid w:val="61374399"/>
    <w:rsid w:val="61387F25"/>
    <w:rsid w:val="6145B39F"/>
    <w:rsid w:val="6147A44C"/>
    <w:rsid w:val="614FA164"/>
    <w:rsid w:val="614FD32C"/>
    <w:rsid w:val="61506076"/>
    <w:rsid w:val="61538827"/>
    <w:rsid w:val="615D4F5D"/>
    <w:rsid w:val="615E24A8"/>
    <w:rsid w:val="617A6C3C"/>
    <w:rsid w:val="617C6C71"/>
    <w:rsid w:val="61834B71"/>
    <w:rsid w:val="61A0EAD8"/>
    <w:rsid w:val="61A99254"/>
    <w:rsid w:val="61AB632C"/>
    <w:rsid w:val="61AC7006"/>
    <w:rsid w:val="61ACED61"/>
    <w:rsid w:val="61ACFDDB"/>
    <w:rsid w:val="61B35AB2"/>
    <w:rsid w:val="61B3ABD8"/>
    <w:rsid w:val="61B5CF59"/>
    <w:rsid w:val="61B65A3F"/>
    <w:rsid w:val="61BC5021"/>
    <w:rsid w:val="61C8F6D7"/>
    <w:rsid w:val="61CA09C5"/>
    <w:rsid w:val="61DEAEB3"/>
    <w:rsid w:val="61DFC407"/>
    <w:rsid w:val="61E461D8"/>
    <w:rsid w:val="61E48C3C"/>
    <w:rsid w:val="61E7697E"/>
    <w:rsid w:val="61EB6528"/>
    <w:rsid w:val="61F8DBA6"/>
    <w:rsid w:val="61FA15FE"/>
    <w:rsid w:val="6202D912"/>
    <w:rsid w:val="62030A59"/>
    <w:rsid w:val="62064BCD"/>
    <w:rsid w:val="620AC59D"/>
    <w:rsid w:val="62199590"/>
    <w:rsid w:val="621B6257"/>
    <w:rsid w:val="623B4DB4"/>
    <w:rsid w:val="623E1260"/>
    <w:rsid w:val="6240094F"/>
    <w:rsid w:val="6242E8E0"/>
    <w:rsid w:val="6247D001"/>
    <w:rsid w:val="624DC5E3"/>
    <w:rsid w:val="624E1700"/>
    <w:rsid w:val="625EC152"/>
    <w:rsid w:val="62626205"/>
    <w:rsid w:val="62630DAA"/>
    <w:rsid w:val="626D551F"/>
    <w:rsid w:val="627C625E"/>
    <w:rsid w:val="6281FAB7"/>
    <w:rsid w:val="6285BF77"/>
    <w:rsid w:val="628B4BA7"/>
    <w:rsid w:val="628D1F57"/>
    <w:rsid w:val="6297201A"/>
    <w:rsid w:val="6298C955"/>
    <w:rsid w:val="629B3300"/>
    <w:rsid w:val="629FFA05"/>
    <w:rsid w:val="62A2E3CA"/>
    <w:rsid w:val="62A9E536"/>
    <w:rsid w:val="62AD39B5"/>
    <w:rsid w:val="62ADB206"/>
    <w:rsid w:val="62AE4214"/>
    <w:rsid w:val="62B1BBDE"/>
    <w:rsid w:val="62B36D02"/>
    <w:rsid w:val="62BB5292"/>
    <w:rsid w:val="62D780F0"/>
    <w:rsid w:val="62D899E1"/>
    <w:rsid w:val="62EDE6C6"/>
    <w:rsid w:val="62F5F675"/>
    <w:rsid w:val="62F952F9"/>
    <w:rsid w:val="6300C971"/>
    <w:rsid w:val="6307E1A5"/>
    <w:rsid w:val="630C9E71"/>
    <w:rsid w:val="631126BD"/>
    <w:rsid w:val="631129ED"/>
    <w:rsid w:val="6311E9BD"/>
    <w:rsid w:val="63277436"/>
    <w:rsid w:val="6329F8B4"/>
    <w:rsid w:val="6334BF3B"/>
    <w:rsid w:val="6336AE93"/>
    <w:rsid w:val="63381C68"/>
    <w:rsid w:val="633F701A"/>
    <w:rsid w:val="63414E8C"/>
    <w:rsid w:val="6344F694"/>
    <w:rsid w:val="63494290"/>
    <w:rsid w:val="635BCD9C"/>
    <w:rsid w:val="63635ADF"/>
    <w:rsid w:val="6363CBB3"/>
    <w:rsid w:val="63642FC0"/>
    <w:rsid w:val="636E69B5"/>
    <w:rsid w:val="6370BBFD"/>
    <w:rsid w:val="637170EF"/>
    <w:rsid w:val="6382EEFC"/>
    <w:rsid w:val="638FBCC2"/>
    <w:rsid w:val="63934927"/>
    <w:rsid w:val="63936463"/>
    <w:rsid w:val="6397AD0A"/>
    <w:rsid w:val="63A719D8"/>
    <w:rsid w:val="63AA2A5B"/>
    <w:rsid w:val="63B29007"/>
    <w:rsid w:val="63BBF19D"/>
    <w:rsid w:val="63BE836E"/>
    <w:rsid w:val="63CAC6B8"/>
    <w:rsid w:val="63CF986C"/>
    <w:rsid w:val="63D0C661"/>
    <w:rsid w:val="63D43AC1"/>
    <w:rsid w:val="63D4FF06"/>
    <w:rsid w:val="63DE9FEC"/>
    <w:rsid w:val="63E5E4C2"/>
    <w:rsid w:val="63EAE298"/>
    <w:rsid w:val="63F178F7"/>
    <w:rsid w:val="63F9BE1F"/>
    <w:rsid w:val="641817C9"/>
    <w:rsid w:val="641AD224"/>
    <w:rsid w:val="641D8FAF"/>
    <w:rsid w:val="6424E128"/>
    <w:rsid w:val="64294C68"/>
    <w:rsid w:val="64296234"/>
    <w:rsid w:val="642A84F7"/>
    <w:rsid w:val="6434E627"/>
    <w:rsid w:val="643E1290"/>
    <w:rsid w:val="6442DF40"/>
    <w:rsid w:val="6448B2EE"/>
    <w:rsid w:val="64515467"/>
    <w:rsid w:val="6451CDCB"/>
    <w:rsid w:val="645C4FD0"/>
    <w:rsid w:val="6461A79C"/>
    <w:rsid w:val="64675DBF"/>
    <w:rsid w:val="6468A83A"/>
    <w:rsid w:val="646C4D5B"/>
    <w:rsid w:val="646CEACB"/>
    <w:rsid w:val="64802524"/>
    <w:rsid w:val="648448FD"/>
    <w:rsid w:val="648554DC"/>
    <w:rsid w:val="6487CDAF"/>
    <w:rsid w:val="6497E355"/>
    <w:rsid w:val="64A295EC"/>
    <w:rsid w:val="64A555D2"/>
    <w:rsid w:val="64C2517F"/>
    <w:rsid w:val="64C2B86D"/>
    <w:rsid w:val="64C2ECC8"/>
    <w:rsid w:val="64C3DA2E"/>
    <w:rsid w:val="64C434E9"/>
    <w:rsid w:val="64E6AE6B"/>
    <w:rsid w:val="64F4D495"/>
    <w:rsid w:val="64FFC110"/>
    <w:rsid w:val="65035942"/>
    <w:rsid w:val="6506A99A"/>
    <w:rsid w:val="6519AB4C"/>
    <w:rsid w:val="652301CD"/>
    <w:rsid w:val="652B977E"/>
    <w:rsid w:val="6533CF6F"/>
    <w:rsid w:val="6538505A"/>
    <w:rsid w:val="653DF079"/>
    <w:rsid w:val="65456434"/>
    <w:rsid w:val="654CC0DE"/>
    <w:rsid w:val="655A6AF3"/>
    <w:rsid w:val="6561B42D"/>
    <w:rsid w:val="6575D8EB"/>
    <w:rsid w:val="657B0199"/>
    <w:rsid w:val="65830024"/>
    <w:rsid w:val="658DDE7B"/>
    <w:rsid w:val="65927397"/>
    <w:rsid w:val="659E8E07"/>
    <w:rsid w:val="65A1ED71"/>
    <w:rsid w:val="65A442EC"/>
    <w:rsid w:val="65AA4A15"/>
    <w:rsid w:val="65AD91A2"/>
    <w:rsid w:val="65BFFAFF"/>
    <w:rsid w:val="65C11D66"/>
    <w:rsid w:val="65C946FA"/>
    <w:rsid w:val="65D7034F"/>
    <w:rsid w:val="65DD7313"/>
    <w:rsid w:val="65E7C3E7"/>
    <w:rsid w:val="65F4A908"/>
    <w:rsid w:val="65FF5B75"/>
    <w:rsid w:val="662A3144"/>
    <w:rsid w:val="66412633"/>
    <w:rsid w:val="6643B6CC"/>
    <w:rsid w:val="6644F669"/>
    <w:rsid w:val="66500201"/>
    <w:rsid w:val="665EA6AA"/>
    <w:rsid w:val="666019C1"/>
    <w:rsid w:val="66661870"/>
    <w:rsid w:val="66754A2F"/>
    <w:rsid w:val="66755F5C"/>
    <w:rsid w:val="667A60C5"/>
    <w:rsid w:val="667C9973"/>
    <w:rsid w:val="66904CAC"/>
    <w:rsid w:val="66A2FD75"/>
    <w:rsid w:val="66BC58A3"/>
    <w:rsid w:val="66CC6E59"/>
    <w:rsid w:val="66CEC251"/>
    <w:rsid w:val="66E01A4E"/>
    <w:rsid w:val="66EDA7AF"/>
    <w:rsid w:val="66FA864B"/>
    <w:rsid w:val="670AF7D4"/>
    <w:rsid w:val="670F0EA0"/>
    <w:rsid w:val="672B0FA2"/>
    <w:rsid w:val="672BC890"/>
    <w:rsid w:val="673E64BB"/>
    <w:rsid w:val="674B12DE"/>
    <w:rsid w:val="674D07FA"/>
    <w:rsid w:val="675EA611"/>
    <w:rsid w:val="67674F53"/>
    <w:rsid w:val="67766CAD"/>
    <w:rsid w:val="67794A45"/>
    <w:rsid w:val="67995BDE"/>
    <w:rsid w:val="67A5626D"/>
    <w:rsid w:val="67B2DE9E"/>
    <w:rsid w:val="67B4FC1B"/>
    <w:rsid w:val="67B7B8BC"/>
    <w:rsid w:val="67C78782"/>
    <w:rsid w:val="67CC6BC5"/>
    <w:rsid w:val="67D15932"/>
    <w:rsid w:val="67D4B1BE"/>
    <w:rsid w:val="67DF3514"/>
    <w:rsid w:val="67E6DCB2"/>
    <w:rsid w:val="67F2C69A"/>
    <w:rsid w:val="67F62E6C"/>
    <w:rsid w:val="67F67034"/>
    <w:rsid w:val="67F960EA"/>
    <w:rsid w:val="67FF739F"/>
    <w:rsid w:val="680EA8C4"/>
    <w:rsid w:val="68177CA0"/>
    <w:rsid w:val="681966F5"/>
    <w:rsid w:val="6820BE93"/>
    <w:rsid w:val="6828CCBA"/>
    <w:rsid w:val="6843409A"/>
    <w:rsid w:val="6843B250"/>
    <w:rsid w:val="6847FFA4"/>
    <w:rsid w:val="684F8425"/>
    <w:rsid w:val="6851B7C4"/>
    <w:rsid w:val="6864993F"/>
    <w:rsid w:val="686713A6"/>
    <w:rsid w:val="686CE4FF"/>
    <w:rsid w:val="686D8BF9"/>
    <w:rsid w:val="687A3D8E"/>
    <w:rsid w:val="687AB5E1"/>
    <w:rsid w:val="68800355"/>
    <w:rsid w:val="68881032"/>
    <w:rsid w:val="68907CA7"/>
    <w:rsid w:val="6892BEDA"/>
    <w:rsid w:val="689FD621"/>
    <w:rsid w:val="68A257D7"/>
    <w:rsid w:val="68A94C58"/>
    <w:rsid w:val="68AA688A"/>
    <w:rsid w:val="68AA7AB2"/>
    <w:rsid w:val="68AEB4C0"/>
    <w:rsid w:val="68B3C561"/>
    <w:rsid w:val="68BEBBB2"/>
    <w:rsid w:val="68C4E795"/>
    <w:rsid w:val="68D78DEA"/>
    <w:rsid w:val="68E4508D"/>
    <w:rsid w:val="68EFFC27"/>
    <w:rsid w:val="68FF6FF6"/>
    <w:rsid w:val="69014CB7"/>
    <w:rsid w:val="6912D54F"/>
    <w:rsid w:val="6912FA2F"/>
    <w:rsid w:val="69169C6E"/>
    <w:rsid w:val="6926204F"/>
    <w:rsid w:val="69297FA3"/>
    <w:rsid w:val="6929914F"/>
    <w:rsid w:val="692E05F9"/>
    <w:rsid w:val="69386E68"/>
    <w:rsid w:val="6941265D"/>
    <w:rsid w:val="6941AF56"/>
    <w:rsid w:val="694D895D"/>
    <w:rsid w:val="694E2841"/>
    <w:rsid w:val="69594B82"/>
    <w:rsid w:val="69597A68"/>
    <w:rsid w:val="695D5C42"/>
    <w:rsid w:val="69830368"/>
    <w:rsid w:val="698C9276"/>
    <w:rsid w:val="6993C912"/>
    <w:rsid w:val="69A44B56"/>
    <w:rsid w:val="69AC4938"/>
    <w:rsid w:val="69AE3406"/>
    <w:rsid w:val="69AE351B"/>
    <w:rsid w:val="69B4EDA7"/>
    <w:rsid w:val="69B95DFB"/>
    <w:rsid w:val="69B9BBB1"/>
    <w:rsid w:val="69BA0B14"/>
    <w:rsid w:val="69C7EBEC"/>
    <w:rsid w:val="69CBBE4B"/>
    <w:rsid w:val="69DCE5EC"/>
    <w:rsid w:val="69E93802"/>
    <w:rsid w:val="69F5E2C2"/>
    <w:rsid w:val="69FE0BE9"/>
    <w:rsid w:val="6A0300BA"/>
    <w:rsid w:val="6A15039C"/>
    <w:rsid w:val="6A22BFA4"/>
    <w:rsid w:val="6A325A78"/>
    <w:rsid w:val="6A3816A1"/>
    <w:rsid w:val="6A4B44D0"/>
    <w:rsid w:val="6A63650B"/>
    <w:rsid w:val="6A69F122"/>
    <w:rsid w:val="6A726337"/>
    <w:rsid w:val="6A744484"/>
    <w:rsid w:val="6A87771C"/>
    <w:rsid w:val="6A890EDD"/>
    <w:rsid w:val="6A8A4044"/>
    <w:rsid w:val="6A8E737E"/>
    <w:rsid w:val="6A91889F"/>
    <w:rsid w:val="6AA7553F"/>
    <w:rsid w:val="6AA93F93"/>
    <w:rsid w:val="6AABFE3E"/>
    <w:rsid w:val="6AAFCAA2"/>
    <w:rsid w:val="6AB020BE"/>
    <w:rsid w:val="6AB4BE3A"/>
    <w:rsid w:val="6ACEC61D"/>
    <w:rsid w:val="6AD49E73"/>
    <w:rsid w:val="6AD6F67E"/>
    <w:rsid w:val="6AE6241E"/>
    <w:rsid w:val="6AFD5783"/>
    <w:rsid w:val="6B0C2F43"/>
    <w:rsid w:val="6B0E0611"/>
    <w:rsid w:val="6B18B765"/>
    <w:rsid w:val="6B1F3797"/>
    <w:rsid w:val="6B2F68BD"/>
    <w:rsid w:val="6B3B5066"/>
    <w:rsid w:val="6B3E37FE"/>
    <w:rsid w:val="6B444D68"/>
    <w:rsid w:val="6B44D26B"/>
    <w:rsid w:val="6B493368"/>
    <w:rsid w:val="6B55DBDF"/>
    <w:rsid w:val="6B7BB577"/>
    <w:rsid w:val="6B85DAE6"/>
    <w:rsid w:val="6B8602AB"/>
    <w:rsid w:val="6B8C6E8E"/>
    <w:rsid w:val="6B937C7E"/>
    <w:rsid w:val="6B956F6E"/>
    <w:rsid w:val="6B9E1B61"/>
    <w:rsid w:val="6BB2D738"/>
    <w:rsid w:val="6BBDC5C0"/>
    <w:rsid w:val="6BC833A8"/>
    <w:rsid w:val="6BCE7E70"/>
    <w:rsid w:val="6BCF09FE"/>
    <w:rsid w:val="6BCFEF42"/>
    <w:rsid w:val="6BDD3ADC"/>
    <w:rsid w:val="6BF96159"/>
    <w:rsid w:val="6BFAF4F0"/>
    <w:rsid w:val="6BFD0293"/>
    <w:rsid w:val="6C05D6D3"/>
    <w:rsid w:val="6C063B62"/>
    <w:rsid w:val="6C11020C"/>
    <w:rsid w:val="6C1CF81F"/>
    <w:rsid w:val="6C1FB712"/>
    <w:rsid w:val="6C2121B9"/>
    <w:rsid w:val="6C24E7EA"/>
    <w:rsid w:val="6C2C44B5"/>
    <w:rsid w:val="6C3BA316"/>
    <w:rsid w:val="6C459145"/>
    <w:rsid w:val="6C47F8FD"/>
    <w:rsid w:val="6C6E4379"/>
    <w:rsid w:val="6C70A6A2"/>
    <w:rsid w:val="6C747562"/>
    <w:rsid w:val="6C756EF9"/>
    <w:rsid w:val="6C75FBD9"/>
    <w:rsid w:val="6C76800C"/>
    <w:rsid w:val="6C7FA8C1"/>
    <w:rsid w:val="6C899D93"/>
    <w:rsid w:val="6C8CF66F"/>
    <w:rsid w:val="6C9FC3A5"/>
    <w:rsid w:val="6CB5107A"/>
    <w:rsid w:val="6CB63509"/>
    <w:rsid w:val="6CCAA4A0"/>
    <w:rsid w:val="6CD3822F"/>
    <w:rsid w:val="6CD801E6"/>
    <w:rsid w:val="6CE35F64"/>
    <w:rsid w:val="6CE5E4AF"/>
    <w:rsid w:val="6CECE878"/>
    <w:rsid w:val="6CF0D778"/>
    <w:rsid w:val="6CF8E948"/>
    <w:rsid w:val="6CFAD329"/>
    <w:rsid w:val="6CFB5C83"/>
    <w:rsid w:val="6CFF8CAE"/>
    <w:rsid w:val="6D089DFB"/>
    <w:rsid w:val="6D1287F5"/>
    <w:rsid w:val="6D1787A8"/>
    <w:rsid w:val="6D19D759"/>
    <w:rsid w:val="6D1A2604"/>
    <w:rsid w:val="6D1BC975"/>
    <w:rsid w:val="6D270ABD"/>
    <w:rsid w:val="6D2FA157"/>
    <w:rsid w:val="6D30EDE0"/>
    <w:rsid w:val="6D3621B1"/>
    <w:rsid w:val="6D381D68"/>
    <w:rsid w:val="6D3A89BE"/>
    <w:rsid w:val="6D58403E"/>
    <w:rsid w:val="6D59E25A"/>
    <w:rsid w:val="6D5E898B"/>
    <w:rsid w:val="6D668067"/>
    <w:rsid w:val="6D6690F7"/>
    <w:rsid w:val="6D737AC2"/>
    <w:rsid w:val="6D74CD42"/>
    <w:rsid w:val="6D7CC2BA"/>
    <w:rsid w:val="6D7D9BD4"/>
    <w:rsid w:val="6D820205"/>
    <w:rsid w:val="6D843F86"/>
    <w:rsid w:val="6D84BCD0"/>
    <w:rsid w:val="6D920ADB"/>
    <w:rsid w:val="6D97659D"/>
    <w:rsid w:val="6D9C607A"/>
    <w:rsid w:val="6DA1E07B"/>
    <w:rsid w:val="6DA8CD37"/>
    <w:rsid w:val="6DAA1809"/>
    <w:rsid w:val="6DAAF41B"/>
    <w:rsid w:val="6DC3E814"/>
    <w:rsid w:val="6DC7276A"/>
    <w:rsid w:val="6DC7B44A"/>
    <w:rsid w:val="6DCEDA7F"/>
    <w:rsid w:val="6DDC5210"/>
    <w:rsid w:val="6DE86AFD"/>
    <w:rsid w:val="6DEFF707"/>
    <w:rsid w:val="6DFF46F8"/>
    <w:rsid w:val="6E188633"/>
    <w:rsid w:val="6E18A76C"/>
    <w:rsid w:val="6E190A27"/>
    <w:rsid w:val="6E193778"/>
    <w:rsid w:val="6E1F5798"/>
    <w:rsid w:val="6E27159B"/>
    <w:rsid w:val="6E273580"/>
    <w:rsid w:val="6E2809D7"/>
    <w:rsid w:val="6E368B93"/>
    <w:rsid w:val="6E39A1A4"/>
    <w:rsid w:val="6E3A6B6C"/>
    <w:rsid w:val="6E400C47"/>
    <w:rsid w:val="6E4CA8A9"/>
    <w:rsid w:val="6E51D3FE"/>
    <w:rsid w:val="6E57881A"/>
    <w:rsid w:val="6E68D690"/>
    <w:rsid w:val="6E72FC1B"/>
    <w:rsid w:val="6E7E6CD9"/>
    <w:rsid w:val="6E7E88FF"/>
    <w:rsid w:val="6E857FB1"/>
    <w:rsid w:val="6E8D2427"/>
    <w:rsid w:val="6E98B893"/>
    <w:rsid w:val="6EABBBB2"/>
    <w:rsid w:val="6EB0B200"/>
    <w:rsid w:val="6EB0F546"/>
    <w:rsid w:val="6EB9E8F6"/>
    <w:rsid w:val="6EBAFE02"/>
    <w:rsid w:val="6EBC5586"/>
    <w:rsid w:val="6EBEFA65"/>
    <w:rsid w:val="6EC5516E"/>
    <w:rsid w:val="6EC7CC4E"/>
    <w:rsid w:val="6ECB64D3"/>
    <w:rsid w:val="6ECE1976"/>
    <w:rsid w:val="6ED5244F"/>
    <w:rsid w:val="6ED7F55E"/>
    <w:rsid w:val="6EDA7A9B"/>
    <w:rsid w:val="6EF16996"/>
    <w:rsid w:val="6EF7F57F"/>
    <w:rsid w:val="6EFEB494"/>
    <w:rsid w:val="6F048A49"/>
    <w:rsid w:val="6F179D50"/>
    <w:rsid w:val="6F185CD9"/>
    <w:rsid w:val="6F197C92"/>
    <w:rsid w:val="6F33D974"/>
    <w:rsid w:val="6F3474CF"/>
    <w:rsid w:val="6F360413"/>
    <w:rsid w:val="6F366085"/>
    <w:rsid w:val="6F39C8DA"/>
    <w:rsid w:val="6F3A5F22"/>
    <w:rsid w:val="6F3D3B25"/>
    <w:rsid w:val="6F3EF7A3"/>
    <w:rsid w:val="6F43454B"/>
    <w:rsid w:val="6F43DE25"/>
    <w:rsid w:val="6F4D2961"/>
    <w:rsid w:val="6F4E8CC3"/>
    <w:rsid w:val="6F4FB923"/>
    <w:rsid w:val="6F5AF64C"/>
    <w:rsid w:val="6F6CF305"/>
    <w:rsid w:val="6F7A4395"/>
    <w:rsid w:val="6F808AB0"/>
    <w:rsid w:val="6F83F688"/>
    <w:rsid w:val="6F8C2756"/>
    <w:rsid w:val="6F96BDB5"/>
    <w:rsid w:val="6FA5363F"/>
    <w:rsid w:val="6FA629E7"/>
    <w:rsid w:val="6FA8A34A"/>
    <w:rsid w:val="6FA9C06A"/>
    <w:rsid w:val="6FAEF6E9"/>
    <w:rsid w:val="6FCA8E8E"/>
    <w:rsid w:val="6FE3BE31"/>
    <w:rsid w:val="6FE4BF39"/>
    <w:rsid w:val="6FFA940F"/>
    <w:rsid w:val="6FFB5361"/>
    <w:rsid w:val="6FFD528D"/>
    <w:rsid w:val="7001F14B"/>
    <w:rsid w:val="70053925"/>
    <w:rsid w:val="70097D7B"/>
    <w:rsid w:val="700A381A"/>
    <w:rsid w:val="70168E47"/>
    <w:rsid w:val="70221836"/>
    <w:rsid w:val="702291B5"/>
    <w:rsid w:val="7023B07D"/>
    <w:rsid w:val="7028D04F"/>
    <w:rsid w:val="702B458A"/>
    <w:rsid w:val="702F967B"/>
    <w:rsid w:val="7035BB96"/>
    <w:rsid w:val="703917F0"/>
    <w:rsid w:val="7049AAC1"/>
    <w:rsid w:val="705A47AD"/>
    <w:rsid w:val="705E1E35"/>
    <w:rsid w:val="7061B10B"/>
    <w:rsid w:val="7065655C"/>
    <w:rsid w:val="706A8BFE"/>
    <w:rsid w:val="706E815A"/>
    <w:rsid w:val="7074DEA5"/>
    <w:rsid w:val="70785BA4"/>
    <w:rsid w:val="707B2A3F"/>
    <w:rsid w:val="707CA913"/>
    <w:rsid w:val="708849AC"/>
    <w:rsid w:val="708868A1"/>
    <w:rsid w:val="708A89F7"/>
    <w:rsid w:val="708F12C4"/>
    <w:rsid w:val="709CE98A"/>
    <w:rsid w:val="709FA229"/>
    <w:rsid w:val="70A20701"/>
    <w:rsid w:val="70A48CA8"/>
    <w:rsid w:val="70A82727"/>
    <w:rsid w:val="70AC1B96"/>
    <w:rsid w:val="70BB0B08"/>
    <w:rsid w:val="70C2FE2F"/>
    <w:rsid w:val="70C39E91"/>
    <w:rsid w:val="70C5E98E"/>
    <w:rsid w:val="70C88837"/>
    <w:rsid w:val="70DE7F22"/>
    <w:rsid w:val="70E774DC"/>
    <w:rsid w:val="70F256B4"/>
    <w:rsid w:val="70FC7516"/>
    <w:rsid w:val="70FCDB28"/>
    <w:rsid w:val="710AEA17"/>
    <w:rsid w:val="7111D5C5"/>
    <w:rsid w:val="7141BB4A"/>
    <w:rsid w:val="7141ECB6"/>
    <w:rsid w:val="71437661"/>
    <w:rsid w:val="7144F902"/>
    <w:rsid w:val="7145F6B7"/>
    <w:rsid w:val="714C4D06"/>
    <w:rsid w:val="7153D126"/>
    <w:rsid w:val="7166C20E"/>
    <w:rsid w:val="7188EF32"/>
    <w:rsid w:val="718F2446"/>
    <w:rsid w:val="7199BA7B"/>
    <w:rsid w:val="719DE0B0"/>
    <w:rsid w:val="719EB224"/>
    <w:rsid w:val="71A433EF"/>
    <w:rsid w:val="71B229AF"/>
    <w:rsid w:val="71B7616E"/>
    <w:rsid w:val="71C46074"/>
    <w:rsid w:val="71C49FF6"/>
    <w:rsid w:val="71D07196"/>
    <w:rsid w:val="71D4A024"/>
    <w:rsid w:val="71DB81D4"/>
    <w:rsid w:val="71DDC358"/>
    <w:rsid w:val="71F8A343"/>
    <w:rsid w:val="71F94CF0"/>
    <w:rsid w:val="7204D1C8"/>
    <w:rsid w:val="72057C4F"/>
    <w:rsid w:val="72118908"/>
    <w:rsid w:val="7222A82F"/>
    <w:rsid w:val="7237F02D"/>
    <w:rsid w:val="72513430"/>
    <w:rsid w:val="725EC46B"/>
    <w:rsid w:val="72660BCB"/>
    <w:rsid w:val="7267A6BE"/>
    <w:rsid w:val="726CE4DC"/>
    <w:rsid w:val="72747B99"/>
    <w:rsid w:val="7280B0B4"/>
    <w:rsid w:val="7280F994"/>
    <w:rsid w:val="72819B63"/>
    <w:rsid w:val="7281A032"/>
    <w:rsid w:val="7286DC4E"/>
    <w:rsid w:val="7290F840"/>
    <w:rsid w:val="729A5185"/>
    <w:rsid w:val="729D99B0"/>
    <w:rsid w:val="729F171E"/>
    <w:rsid w:val="72A08E6F"/>
    <w:rsid w:val="72A958B4"/>
    <w:rsid w:val="72C48D90"/>
    <w:rsid w:val="72C49A2E"/>
    <w:rsid w:val="72CE7D0D"/>
    <w:rsid w:val="72D10D2E"/>
    <w:rsid w:val="72DA0744"/>
    <w:rsid w:val="72E8A44B"/>
    <w:rsid w:val="72EB21F1"/>
    <w:rsid w:val="72FB5C65"/>
    <w:rsid w:val="72FD0CFC"/>
    <w:rsid w:val="72FDB9D9"/>
    <w:rsid w:val="73019FA9"/>
    <w:rsid w:val="73021B9B"/>
    <w:rsid w:val="7302B161"/>
    <w:rsid w:val="7302F96A"/>
    <w:rsid w:val="730D58DC"/>
    <w:rsid w:val="730E8DF7"/>
    <w:rsid w:val="73119CEF"/>
    <w:rsid w:val="7314B99A"/>
    <w:rsid w:val="7324083F"/>
    <w:rsid w:val="733C426F"/>
    <w:rsid w:val="7352A9C7"/>
    <w:rsid w:val="73541D1B"/>
    <w:rsid w:val="73590BD1"/>
    <w:rsid w:val="735BAB37"/>
    <w:rsid w:val="7365A033"/>
    <w:rsid w:val="736B604B"/>
    <w:rsid w:val="736CD740"/>
    <w:rsid w:val="73758D32"/>
    <w:rsid w:val="7376D900"/>
    <w:rsid w:val="737C586E"/>
    <w:rsid w:val="737EDB7E"/>
    <w:rsid w:val="738F1A36"/>
    <w:rsid w:val="739E2779"/>
    <w:rsid w:val="739F8BBF"/>
    <w:rsid w:val="73AB11DC"/>
    <w:rsid w:val="73AD3E04"/>
    <w:rsid w:val="73AE103C"/>
    <w:rsid w:val="73B1D1C9"/>
    <w:rsid w:val="73BA20F3"/>
    <w:rsid w:val="73C0A04E"/>
    <w:rsid w:val="73C4B603"/>
    <w:rsid w:val="73CB81A8"/>
    <w:rsid w:val="73CEBA2F"/>
    <w:rsid w:val="73D1D1D2"/>
    <w:rsid w:val="73DB0D24"/>
    <w:rsid w:val="73E2C67A"/>
    <w:rsid w:val="73EC5FE7"/>
    <w:rsid w:val="73FB27EC"/>
    <w:rsid w:val="73FC86B3"/>
    <w:rsid w:val="7408C95C"/>
    <w:rsid w:val="740D9AE6"/>
    <w:rsid w:val="742399D0"/>
    <w:rsid w:val="742CEE13"/>
    <w:rsid w:val="743281C4"/>
    <w:rsid w:val="7445AB71"/>
    <w:rsid w:val="7446936F"/>
    <w:rsid w:val="744BB2B9"/>
    <w:rsid w:val="745A0212"/>
    <w:rsid w:val="745B3C7C"/>
    <w:rsid w:val="745D7FAE"/>
    <w:rsid w:val="7477B3C7"/>
    <w:rsid w:val="7478DA42"/>
    <w:rsid w:val="747A3B7A"/>
    <w:rsid w:val="747C5029"/>
    <w:rsid w:val="74851CB8"/>
    <w:rsid w:val="7487970C"/>
    <w:rsid w:val="748B612C"/>
    <w:rsid w:val="748F3EF1"/>
    <w:rsid w:val="748FF30B"/>
    <w:rsid w:val="7490BD97"/>
    <w:rsid w:val="74998102"/>
    <w:rsid w:val="74B2CF21"/>
    <w:rsid w:val="74B2FE16"/>
    <w:rsid w:val="74B97A70"/>
    <w:rsid w:val="74BAFB77"/>
    <w:rsid w:val="74D422EE"/>
    <w:rsid w:val="74DCF1BD"/>
    <w:rsid w:val="74E78B8F"/>
    <w:rsid w:val="74EB65E2"/>
    <w:rsid w:val="74F7BF95"/>
    <w:rsid w:val="74F8B282"/>
    <w:rsid w:val="74FC716B"/>
    <w:rsid w:val="74FEB673"/>
    <w:rsid w:val="7503CB37"/>
    <w:rsid w:val="7505EE2A"/>
    <w:rsid w:val="75061064"/>
    <w:rsid w:val="7514C22A"/>
    <w:rsid w:val="7515460D"/>
    <w:rsid w:val="751824B1"/>
    <w:rsid w:val="751C9985"/>
    <w:rsid w:val="75293994"/>
    <w:rsid w:val="75293D3D"/>
    <w:rsid w:val="7529EE78"/>
    <w:rsid w:val="752A0D20"/>
    <w:rsid w:val="752AC359"/>
    <w:rsid w:val="75378B87"/>
    <w:rsid w:val="754994AC"/>
    <w:rsid w:val="754BF7DF"/>
    <w:rsid w:val="755AB16B"/>
    <w:rsid w:val="75657172"/>
    <w:rsid w:val="7566C4A6"/>
    <w:rsid w:val="756D5028"/>
    <w:rsid w:val="756F14EA"/>
    <w:rsid w:val="7570BDF4"/>
    <w:rsid w:val="757D2DA0"/>
    <w:rsid w:val="757DA339"/>
    <w:rsid w:val="757FE2D5"/>
    <w:rsid w:val="75817C81"/>
    <w:rsid w:val="75958298"/>
    <w:rsid w:val="7597649A"/>
    <w:rsid w:val="75A975E1"/>
    <w:rsid w:val="75B86EE2"/>
    <w:rsid w:val="75BF39A5"/>
    <w:rsid w:val="75CB90BA"/>
    <w:rsid w:val="75D4318D"/>
    <w:rsid w:val="75D5AA29"/>
    <w:rsid w:val="75D684D5"/>
    <w:rsid w:val="75DAA43A"/>
    <w:rsid w:val="75DBC0B5"/>
    <w:rsid w:val="75E31822"/>
    <w:rsid w:val="75EA26BF"/>
    <w:rsid w:val="75F2FF06"/>
    <w:rsid w:val="75F34534"/>
    <w:rsid w:val="75F75B59"/>
    <w:rsid w:val="75FFCEA8"/>
    <w:rsid w:val="76173D03"/>
    <w:rsid w:val="761BF730"/>
    <w:rsid w:val="762B2C37"/>
    <w:rsid w:val="7632CE36"/>
    <w:rsid w:val="763406CB"/>
    <w:rsid w:val="763C03CC"/>
    <w:rsid w:val="76448072"/>
    <w:rsid w:val="7644EDF3"/>
    <w:rsid w:val="76702620"/>
    <w:rsid w:val="767376E8"/>
    <w:rsid w:val="767BF523"/>
    <w:rsid w:val="7683041F"/>
    <w:rsid w:val="7687B5D1"/>
    <w:rsid w:val="76987B58"/>
    <w:rsid w:val="769CA106"/>
    <w:rsid w:val="76A2D8F0"/>
    <w:rsid w:val="76A3FC31"/>
    <w:rsid w:val="76ABB782"/>
    <w:rsid w:val="76B01E3F"/>
    <w:rsid w:val="76B04A8A"/>
    <w:rsid w:val="76B24576"/>
    <w:rsid w:val="76BE6660"/>
    <w:rsid w:val="76BED94F"/>
    <w:rsid w:val="76C99E88"/>
    <w:rsid w:val="76CDA0D3"/>
    <w:rsid w:val="76DE0EA8"/>
    <w:rsid w:val="76E96FA4"/>
    <w:rsid w:val="76E98453"/>
    <w:rsid w:val="76F693CC"/>
    <w:rsid w:val="770234BD"/>
    <w:rsid w:val="77033C9C"/>
    <w:rsid w:val="7703A48A"/>
    <w:rsid w:val="7704246F"/>
    <w:rsid w:val="7704E24F"/>
    <w:rsid w:val="770C802F"/>
    <w:rsid w:val="77152771"/>
    <w:rsid w:val="771DE979"/>
    <w:rsid w:val="77236717"/>
    <w:rsid w:val="77264C06"/>
    <w:rsid w:val="7726A653"/>
    <w:rsid w:val="772912C1"/>
    <w:rsid w:val="772B960A"/>
    <w:rsid w:val="773D3495"/>
    <w:rsid w:val="773DDA68"/>
    <w:rsid w:val="773F2FDD"/>
    <w:rsid w:val="77490B50"/>
    <w:rsid w:val="774C91B6"/>
    <w:rsid w:val="774E89F4"/>
    <w:rsid w:val="775BBACB"/>
    <w:rsid w:val="77616D3E"/>
    <w:rsid w:val="776437FC"/>
    <w:rsid w:val="77655B7F"/>
    <w:rsid w:val="778D350F"/>
    <w:rsid w:val="77AE82F7"/>
    <w:rsid w:val="77CA9BF7"/>
    <w:rsid w:val="77CEBD9B"/>
    <w:rsid w:val="77D68B0E"/>
    <w:rsid w:val="77D8812F"/>
    <w:rsid w:val="77DD2AE6"/>
    <w:rsid w:val="77E0FDD5"/>
    <w:rsid w:val="77E28DD7"/>
    <w:rsid w:val="77EBDC23"/>
    <w:rsid w:val="77EC246A"/>
    <w:rsid w:val="77F123C8"/>
    <w:rsid w:val="78003D45"/>
    <w:rsid w:val="7806D61A"/>
    <w:rsid w:val="780F4B9F"/>
    <w:rsid w:val="782D5B4D"/>
    <w:rsid w:val="782F88DA"/>
    <w:rsid w:val="7833C76F"/>
    <w:rsid w:val="7854BCA6"/>
    <w:rsid w:val="787DC0FA"/>
    <w:rsid w:val="7882CF96"/>
    <w:rsid w:val="7887A4CD"/>
    <w:rsid w:val="789C6F54"/>
    <w:rsid w:val="78AA2ABA"/>
    <w:rsid w:val="78AF13A8"/>
    <w:rsid w:val="78C3D8EB"/>
    <w:rsid w:val="78CE78B3"/>
    <w:rsid w:val="78DB48F8"/>
    <w:rsid w:val="78DDFB23"/>
    <w:rsid w:val="78EB332B"/>
    <w:rsid w:val="78F95864"/>
    <w:rsid w:val="7902E9A5"/>
    <w:rsid w:val="79039DC3"/>
    <w:rsid w:val="790A1C8E"/>
    <w:rsid w:val="790F2526"/>
    <w:rsid w:val="791D850D"/>
    <w:rsid w:val="79208E9D"/>
    <w:rsid w:val="7924300A"/>
    <w:rsid w:val="792D6E39"/>
    <w:rsid w:val="79306874"/>
    <w:rsid w:val="79388DF8"/>
    <w:rsid w:val="793E2518"/>
    <w:rsid w:val="7941EC47"/>
    <w:rsid w:val="794C93FC"/>
    <w:rsid w:val="7950D406"/>
    <w:rsid w:val="795DE264"/>
    <w:rsid w:val="79668D04"/>
    <w:rsid w:val="796D57C7"/>
    <w:rsid w:val="796F3210"/>
    <w:rsid w:val="79765C79"/>
    <w:rsid w:val="7976A47E"/>
    <w:rsid w:val="7995F0C6"/>
    <w:rsid w:val="7998167D"/>
    <w:rsid w:val="79BB5C9F"/>
    <w:rsid w:val="79CC0D8F"/>
    <w:rsid w:val="79CFB3B0"/>
    <w:rsid w:val="79DBCB2A"/>
    <w:rsid w:val="79FD5F9B"/>
    <w:rsid w:val="7A02836B"/>
    <w:rsid w:val="7A0DC8A2"/>
    <w:rsid w:val="7A0E267A"/>
    <w:rsid w:val="7A221F00"/>
    <w:rsid w:val="7A2CE0F0"/>
    <w:rsid w:val="7A2E03AD"/>
    <w:rsid w:val="7A2FC354"/>
    <w:rsid w:val="7A3ECFC2"/>
    <w:rsid w:val="7A44BC16"/>
    <w:rsid w:val="7A4D9567"/>
    <w:rsid w:val="7A50130E"/>
    <w:rsid w:val="7A558100"/>
    <w:rsid w:val="7A5E2562"/>
    <w:rsid w:val="7A6930E1"/>
    <w:rsid w:val="7A6D1E59"/>
    <w:rsid w:val="7A6D367F"/>
    <w:rsid w:val="7A75A3A7"/>
    <w:rsid w:val="7A81806A"/>
    <w:rsid w:val="7A955989"/>
    <w:rsid w:val="7A9A6E99"/>
    <w:rsid w:val="7A9FA5AF"/>
    <w:rsid w:val="7AAB45E9"/>
    <w:rsid w:val="7AACCDAF"/>
    <w:rsid w:val="7AB6DBB2"/>
    <w:rsid w:val="7AC55A66"/>
    <w:rsid w:val="7ACD9DD1"/>
    <w:rsid w:val="7AD7F628"/>
    <w:rsid w:val="7AE5C37E"/>
    <w:rsid w:val="7AE65EB1"/>
    <w:rsid w:val="7AE9D8AD"/>
    <w:rsid w:val="7AEA1D23"/>
    <w:rsid w:val="7AEA7D4B"/>
    <w:rsid w:val="7AF87350"/>
    <w:rsid w:val="7B01CB82"/>
    <w:rsid w:val="7B04F4AF"/>
    <w:rsid w:val="7B06473C"/>
    <w:rsid w:val="7B1243A3"/>
    <w:rsid w:val="7B143FDC"/>
    <w:rsid w:val="7B16162A"/>
    <w:rsid w:val="7B1979B5"/>
    <w:rsid w:val="7B198049"/>
    <w:rsid w:val="7B1F436D"/>
    <w:rsid w:val="7B22A56F"/>
    <w:rsid w:val="7B23A1EE"/>
    <w:rsid w:val="7B271006"/>
    <w:rsid w:val="7B3BDC8E"/>
    <w:rsid w:val="7B40D19B"/>
    <w:rsid w:val="7B44933E"/>
    <w:rsid w:val="7B453ED4"/>
    <w:rsid w:val="7B4D5F2A"/>
    <w:rsid w:val="7B4E9282"/>
    <w:rsid w:val="7B50AD86"/>
    <w:rsid w:val="7B5945BB"/>
    <w:rsid w:val="7B62B035"/>
    <w:rsid w:val="7B6A7CE6"/>
    <w:rsid w:val="7B6F8FCA"/>
    <w:rsid w:val="7B75B29C"/>
    <w:rsid w:val="7B760676"/>
    <w:rsid w:val="7B774769"/>
    <w:rsid w:val="7B7FC2B2"/>
    <w:rsid w:val="7B80F2F1"/>
    <w:rsid w:val="7B8C2CF2"/>
    <w:rsid w:val="7B8C5C52"/>
    <w:rsid w:val="7B98010C"/>
    <w:rsid w:val="7B985F51"/>
    <w:rsid w:val="7BA03855"/>
    <w:rsid w:val="7BAECB89"/>
    <w:rsid w:val="7BBE0643"/>
    <w:rsid w:val="7BC8314F"/>
    <w:rsid w:val="7BC9B2F1"/>
    <w:rsid w:val="7BCD8E24"/>
    <w:rsid w:val="7BDB0705"/>
    <w:rsid w:val="7BE051FA"/>
    <w:rsid w:val="7BFFB539"/>
    <w:rsid w:val="7C0075D8"/>
    <w:rsid w:val="7C048EDC"/>
    <w:rsid w:val="7C13076B"/>
    <w:rsid w:val="7C227ACF"/>
    <w:rsid w:val="7C2EADFA"/>
    <w:rsid w:val="7C3E490D"/>
    <w:rsid w:val="7C412B32"/>
    <w:rsid w:val="7C46FFE1"/>
    <w:rsid w:val="7C4BC53E"/>
    <w:rsid w:val="7C4E7E26"/>
    <w:rsid w:val="7C528AFB"/>
    <w:rsid w:val="7C62D259"/>
    <w:rsid w:val="7C6B13BE"/>
    <w:rsid w:val="7C6FC3EB"/>
    <w:rsid w:val="7C7CF335"/>
    <w:rsid w:val="7C82589A"/>
    <w:rsid w:val="7C923ADB"/>
    <w:rsid w:val="7C96088C"/>
    <w:rsid w:val="7CA8FBF0"/>
    <w:rsid w:val="7CAC9B7E"/>
    <w:rsid w:val="7CB1CB9E"/>
    <w:rsid w:val="7CBF7BBB"/>
    <w:rsid w:val="7CBFF837"/>
    <w:rsid w:val="7CC28D33"/>
    <w:rsid w:val="7CD9B0C0"/>
    <w:rsid w:val="7CE06CC6"/>
    <w:rsid w:val="7CE55A41"/>
    <w:rsid w:val="7CE81CE3"/>
    <w:rsid w:val="7CED1866"/>
    <w:rsid w:val="7CF34A29"/>
    <w:rsid w:val="7CF94C27"/>
    <w:rsid w:val="7D071154"/>
    <w:rsid w:val="7D1B2332"/>
    <w:rsid w:val="7D1DEF75"/>
    <w:rsid w:val="7D236D0C"/>
    <w:rsid w:val="7D2C7F52"/>
    <w:rsid w:val="7D2D13D2"/>
    <w:rsid w:val="7D37AE68"/>
    <w:rsid w:val="7D38BA8A"/>
    <w:rsid w:val="7D3AA54C"/>
    <w:rsid w:val="7D402FEA"/>
    <w:rsid w:val="7D46F924"/>
    <w:rsid w:val="7D493B24"/>
    <w:rsid w:val="7D52AE6D"/>
    <w:rsid w:val="7D59A213"/>
    <w:rsid w:val="7D5B7D11"/>
    <w:rsid w:val="7D5FC690"/>
    <w:rsid w:val="7D637D47"/>
    <w:rsid w:val="7D643BDC"/>
    <w:rsid w:val="7D6569CA"/>
    <w:rsid w:val="7D6C49DF"/>
    <w:rsid w:val="7D71A4B5"/>
    <w:rsid w:val="7D88711E"/>
    <w:rsid w:val="7D904CAC"/>
    <w:rsid w:val="7DA73237"/>
    <w:rsid w:val="7DAC5AFE"/>
    <w:rsid w:val="7DB74087"/>
    <w:rsid w:val="7DBD621B"/>
    <w:rsid w:val="7DBDEAAB"/>
    <w:rsid w:val="7DBEDC9B"/>
    <w:rsid w:val="7DC778A3"/>
    <w:rsid w:val="7DE4A82A"/>
    <w:rsid w:val="7DF0EEA1"/>
    <w:rsid w:val="7DF1C29E"/>
    <w:rsid w:val="7DF55E5E"/>
    <w:rsid w:val="7DFFA4D4"/>
    <w:rsid w:val="7E01EB87"/>
    <w:rsid w:val="7E0584EE"/>
    <w:rsid w:val="7E0F239A"/>
    <w:rsid w:val="7E12ECC7"/>
    <w:rsid w:val="7E35A6A4"/>
    <w:rsid w:val="7E3B1C5E"/>
    <w:rsid w:val="7E3D5086"/>
    <w:rsid w:val="7E40B8FA"/>
    <w:rsid w:val="7E44E1D2"/>
    <w:rsid w:val="7E471932"/>
    <w:rsid w:val="7E5B5508"/>
    <w:rsid w:val="7E5E7920"/>
    <w:rsid w:val="7E6405E7"/>
    <w:rsid w:val="7E6B0E8C"/>
    <w:rsid w:val="7E6FEF91"/>
    <w:rsid w:val="7E77BAC3"/>
    <w:rsid w:val="7E79D2E4"/>
    <w:rsid w:val="7E809F72"/>
    <w:rsid w:val="7E81807D"/>
    <w:rsid w:val="7E8331AA"/>
    <w:rsid w:val="7E8710AF"/>
    <w:rsid w:val="7E8E8E68"/>
    <w:rsid w:val="7E9033E0"/>
    <w:rsid w:val="7E932C5D"/>
    <w:rsid w:val="7E941AD6"/>
    <w:rsid w:val="7E94D8DF"/>
    <w:rsid w:val="7E96DB77"/>
    <w:rsid w:val="7EB21859"/>
    <w:rsid w:val="7EB89049"/>
    <w:rsid w:val="7EB94662"/>
    <w:rsid w:val="7EBE0E7D"/>
    <w:rsid w:val="7EC35100"/>
    <w:rsid w:val="7EC7E0B7"/>
    <w:rsid w:val="7EE5D4D3"/>
    <w:rsid w:val="7EF644F7"/>
    <w:rsid w:val="7F02486B"/>
    <w:rsid w:val="7F0CAF2A"/>
    <w:rsid w:val="7F105060"/>
    <w:rsid w:val="7F12E7EB"/>
    <w:rsid w:val="7F1A32B2"/>
    <w:rsid w:val="7F1D3303"/>
    <w:rsid w:val="7F1DE709"/>
    <w:rsid w:val="7F1E8179"/>
    <w:rsid w:val="7F25654E"/>
    <w:rsid w:val="7F29707C"/>
    <w:rsid w:val="7F2BA5F7"/>
    <w:rsid w:val="7F2BBF52"/>
    <w:rsid w:val="7F2BEB4E"/>
    <w:rsid w:val="7F2CD4B0"/>
    <w:rsid w:val="7F3035DC"/>
    <w:rsid w:val="7F3C3805"/>
    <w:rsid w:val="7F3C8FE6"/>
    <w:rsid w:val="7F3F12B6"/>
    <w:rsid w:val="7F43CBE6"/>
    <w:rsid w:val="7F4A1E35"/>
    <w:rsid w:val="7F4BFDD9"/>
    <w:rsid w:val="7F4EFA00"/>
    <w:rsid w:val="7F535F08"/>
    <w:rsid w:val="7F545A15"/>
    <w:rsid w:val="7F589522"/>
    <w:rsid w:val="7F682E45"/>
    <w:rsid w:val="7F6D943B"/>
    <w:rsid w:val="7F7343EE"/>
    <w:rsid w:val="7F737B92"/>
    <w:rsid w:val="7F797F8F"/>
    <w:rsid w:val="7F79894E"/>
    <w:rsid w:val="7F859BA7"/>
    <w:rsid w:val="7FB33C7A"/>
    <w:rsid w:val="7FB3DBBB"/>
    <w:rsid w:val="7FB4E3B4"/>
    <w:rsid w:val="7FC911AB"/>
    <w:rsid w:val="7FCAF8D2"/>
    <w:rsid w:val="7FD28357"/>
    <w:rsid w:val="7FD461F7"/>
    <w:rsid w:val="7FDAD14E"/>
    <w:rsid w:val="7FDB4DB8"/>
    <w:rsid w:val="7FECF16C"/>
    <w:rsid w:val="7FFCFCA0"/>
    <w:rsid w:val="7FFE5C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D3598"/>
  <w15:chartTrackingRefBased/>
  <w15:docId w15:val="{410A6CBE-B278-4127-88BD-4E06FD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707"/>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num" w:pos="567"/>
        <w:tab w:val="center" w:pos="4153"/>
        <w:tab w:val="right" w:pos="8306"/>
      </w:tabs>
      <w:ind w:left="567" w:hanging="567"/>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8A25BF"/>
    <w:pPr>
      <w:spacing w:before="240" w:after="60"/>
      <w:jc w:val="center"/>
    </w:pPr>
    <w:rPr>
      <w:rFonts w:ascii="Calibri" w:eastAsia="Times New Roman" w:hAnsi="Calibri" w:cs="Calibri"/>
      <w:b/>
      <w:caps/>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val="0"/>
      <w:caps/>
      <w:sz w:val="24"/>
      <w:szCs w:val="20"/>
      <w:lang w:eastAsia="en-AU"/>
    </w:rPr>
  </w:style>
  <w:style w:type="paragraph" w:customStyle="1" w:styleId="SecurityClassificationFooter">
    <w:name w:val="Security Classification Footer"/>
    <w:link w:val="SecurityClassificationFooterChar"/>
    <w:rsid w:val="00E40261"/>
    <w:pPr>
      <w:tabs>
        <w:tab w:val="num" w:pos="360"/>
        <w:tab w:val="num" w:pos="567"/>
      </w:tabs>
      <w:spacing w:before="60" w:after="240"/>
      <w:ind w:left="567" w:hanging="567"/>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val="0"/>
      <w:caps/>
      <w:sz w:val="24"/>
      <w:szCs w:val="20"/>
      <w:lang w:eastAsia="en-AU"/>
    </w:rPr>
  </w:style>
  <w:style w:type="paragraph" w:customStyle="1" w:styleId="DLMSecurityHeader">
    <w:name w:val="DLM Security Header"/>
    <w:link w:val="DLMSecurityHeaderChar"/>
    <w:rsid w:val="00E40261"/>
    <w:pPr>
      <w:tabs>
        <w:tab w:val="num" w:pos="360"/>
        <w:tab w:val="num" w:pos="520"/>
      </w:tabs>
      <w:spacing w:before="60" w:after="240"/>
      <w:ind w:left="520" w:hanging="52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val="0"/>
      <w:caps/>
      <w:sz w:val="24"/>
      <w:szCs w:val="20"/>
      <w:lang w:eastAsia="en-AU"/>
    </w:rPr>
  </w:style>
  <w:style w:type="paragraph" w:customStyle="1" w:styleId="DLMSecurityFooter">
    <w:name w:val="DLM Security Footer"/>
    <w:link w:val="DLMSecurityFooterChar"/>
    <w:rsid w:val="008A25BF"/>
    <w:pPr>
      <w:spacing w:before="240" w:after="60"/>
      <w:jc w:val="center"/>
    </w:pPr>
    <w:rPr>
      <w:rFonts w:ascii="Calibri" w:eastAsia="Times New Roman" w:hAnsi="Calibri" w:cs="Calibri"/>
      <w:b/>
      <w:caps/>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i w:val="0"/>
      <w:caps/>
      <w:sz w:val="24"/>
      <w:szCs w:val="20"/>
      <w:lang w:eastAsia="en-AU"/>
    </w:rPr>
  </w:style>
  <w:style w:type="paragraph" w:customStyle="1" w:styleId="Classification">
    <w:name w:val="Classification"/>
    <w:basedOn w:val="HeadingBase"/>
    <w:rsid w:val="008A25BF"/>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8A25BF"/>
    <w:pPr>
      <w:numPr>
        <w:numId w:val="1"/>
      </w:numPr>
      <w:tabs>
        <w:tab w:val="clear" w:pos="567"/>
        <w:tab w:val="num" w:pos="360"/>
      </w:tabs>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tabs>
        <w:tab w:val="clear" w:pos="283"/>
        <w:tab w:val="num" w:pos="720"/>
      </w:tabs>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aliases w:val="b,b1,b + line,level 1,Body,Bullet + line,BodyNum,bulleted,Bullet Char1,Bullet Char1 Char Char Char Char,b1 Char Char Char,Bullet Char1 Char Char Char Char Char,Bullet Char1 Char Char Char"/>
    <w:basedOn w:val="Normal"/>
    <w:link w:val="BulletChar"/>
    <w:qFormat/>
    <w:rsid w:val="008A25BF"/>
    <w:pPr>
      <w:numPr>
        <w:numId w:val="5"/>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3"/>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uiPriority w:val="99"/>
    <w:rsid w:val="00BB207D"/>
    <w:rPr>
      <w:sz w:val="16"/>
      <w:szCs w:val="16"/>
    </w:rPr>
  </w:style>
  <w:style w:type="paragraph" w:styleId="CommentText">
    <w:name w:val="annotation text"/>
    <w:basedOn w:val="Normal"/>
    <w:link w:val="CommentTextChar"/>
    <w:uiPriority w:val="99"/>
    <w:rsid w:val="00BB207D"/>
  </w:style>
  <w:style w:type="character" w:customStyle="1" w:styleId="CommentTextChar">
    <w:name w:val="Comment Text Char"/>
    <w:basedOn w:val="DefaultParagraphFont"/>
    <w:link w:val="CommentText"/>
    <w:uiPriority w:val="99"/>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link w:val="DashChar"/>
    <w:qFormat/>
    <w:rsid w:val="008A25BF"/>
    <w:pPr>
      <w:numPr>
        <w:ilvl w:val="1"/>
        <w:numId w:val="5"/>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link w:val="DoubleDotChar"/>
    <w:qFormat/>
    <w:rsid w:val="008A25BF"/>
    <w:pPr>
      <w:numPr>
        <w:ilvl w:val="2"/>
        <w:numId w:val="5"/>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uiPriority w:val="99"/>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uiPriority w:val="99"/>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Revision">
    <w:name w:val="Revision"/>
    <w:hidden/>
    <w:uiPriority w:val="99"/>
    <w:semiHidden/>
    <w:rsid w:val="00733707"/>
    <w:pPr>
      <w:spacing w:after="0" w:line="240" w:lineRule="auto"/>
    </w:pPr>
    <w:rPr>
      <w:rFonts w:ascii="Book Antiqua" w:eastAsia="Times New Roman" w:hAnsi="Book Antiqua" w:cs="Times New Roman"/>
      <w:sz w:val="20"/>
      <w:szCs w:val="20"/>
      <w:lang w:eastAsia="en-AU"/>
    </w:r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733707"/>
    <w:rPr>
      <w:rFonts w:ascii="Book Antiqua" w:eastAsia="Times New Roman" w:hAnsi="Book Antiqua" w:cs="Times New Roman"/>
      <w:sz w:val="20"/>
      <w:szCs w:val="20"/>
      <w:lang w:eastAsia="en-AU"/>
    </w:rPr>
  </w:style>
  <w:style w:type="paragraph" w:styleId="NormalWeb">
    <w:name w:val="Normal (Web)"/>
    <w:basedOn w:val="Normal"/>
    <w:uiPriority w:val="99"/>
    <w:semiHidden/>
    <w:unhideWhenUsed/>
    <w:rsid w:val="00733707"/>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733707"/>
    <w:rPr>
      <w:color w:val="605E5C"/>
      <w:shd w:val="clear" w:color="auto" w:fill="E1DFDD"/>
    </w:rPr>
  </w:style>
  <w:style w:type="paragraph" w:customStyle="1" w:styleId="OutlineNumbered1">
    <w:name w:val="Outline Numbered 1"/>
    <w:basedOn w:val="Normal"/>
    <w:link w:val="OutlineNumbered1Char"/>
    <w:rsid w:val="00081152"/>
    <w:pPr>
      <w:tabs>
        <w:tab w:val="num" w:pos="520"/>
      </w:tabs>
      <w:spacing w:after="160" w:line="259" w:lineRule="auto"/>
      <w:ind w:left="520" w:hanging="520"/>
      <w:jc w:val="left"/>
    </w:pPr>
    <w:rPr>
      <w:rFonts w:asciiTheme="minorHAnsi" w:eastAsiaTheme="minorHAnsi" w:hAnsiTheme="minorHAnsi" w:cstheme="minorBidi"/>
      <w:sz w:val="22"/>
      <w:szCs w:val="22"/>
      <w:lang w:eastAsia="en-US"/>
    </w:rPr>
  </w:style>
  <w:style w:type="character" w:customStyle="1" w:styleId="OutlineNumbered1Char">
    <w:name w:val="Outline Numbered 1 Char"/>
    <w:basedOn w:val="DefaultParagraphFont"/>
    <w:link w:val="OutlineNumbered1"/>
    <w:rsid w:val="00081152"/>
  </w:style>
  <w:style w:type="paragraph" w:styleId="ListParagraph">
    <w:name w:val="List Paragraph"/>
    <w:basedOn w:val="Normal"/>
    <w:uiPriority w:val="34"/>
    <w:qFormat/>
    <w:rsid w:val="00665FC6"/>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DashChar">
    <w:name w:val="Dash Char"/>
    <w:basedOn w:val="DefaultParagraphFont"/>
    <w:link w:val="Dash"/>
    <w:rsid w:val="00AA489C"/>
    <w:rPr>
      <w:rFonts w:ascii="Book Antiqua" w:eastAsia="Times New Roman" w:hAnsi="Book Antiqua" w:cs="Times New Roman"/>
      <w:sz w:val="20"/>
      <w:szCs w:val="20"/>
      <w:lang w:eastAsia="en-AU"/>
    </w:rPr>
  </w:style>
  <w:style w:type="character" w:styleId="UnresolvedMention">
    <w:name w:val="Unresolved Mention"/>
    <w:basedOn w:val="DefaultParagraphFont"/>
    <w:uiPriority w:val="99"/>
    <w:unhideWhenUsed/>
    <w:rsid w:val="00C21A72"/>
    <w:rPr>
      <w:color w:val="605E5C"/>
      <w:shd w:val="clear" w:color="auto" w:fill="E1DFDD"/>
    </w:rPr>
  </w:style>
  <w:style w:type="character" w:styleId="Mention">
    <w:name w:val="Mention"/>
    <w:basedOn w:val="DefaultParagraphFont"/>
    <w:uiPriority w:val="99"/>
    <w:unhideWhenUsed/>
    <w:rsid w:val="00C21A72"/>
    <w:rPr>
      <w:color w:val="2B579A"/>
      <w:shd w:val="clear" w:color="auto" w:fill="E1DFDD"/>
    </w:rPr>
  </w:style>
  <w:style w:type="character" w:customStyle="1" w:styleId="DoubleDotChar">
    <w:name w:val="Double Dot Char"/>
    <w:basedOn w:val="DefaultParagraphFont"/>
    <w:link w:val="DoubleDot"/>
    <w:rsid w:val="0033343A"/>
    <w:rPr>
      <w:rFonts w:ascii="Book Antiqua" w:eastAsia="Times New Roman" w:hAnsi="Book Antiqua" w:cs="Times New Roman"/>
      <w:sz w:val="20"/>
      <w:szCs w:val="20"/>
      <w:lang w:eastAsia="en-AU"/>
    </w:rPr>
  </w:style>
  <w:style w:type="character" w:customStyle="1" w:styleId="time">
    <w:name w:val="time"/>
    <w:basedOn w:val="DefaultParagraphFont"/>
    <w:rsid w:val="00C62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2267">
      <w:bodyDiv w:val="1"/>
      <w:marLeft w:val="0"/>
      <w:marRight w:val="0"/>
      <w:marTop w:val="0"/>
      <w:marBottom w:val="0"/>
      <w:divBdr>
        <w:top w:val="none" w:sz="0" w:space="0" w:color="auto"/>
        <w:left w:val="none" w:sz="0" w:space="0" w:color="auto"/>
        <w:bottom w:val="none" w:sz="0" w:space="0" w:color="auto"/>
        <w:right w:val="none" w:sz="0" w:space="0" w:color="auto"/>
      </w:divBdr>
    </w:div>
    <w:div w:id="84109240">
      <w:bodyDiv w:val="1"/>
      <w:marLeft w:val="0"/>
      <w:marRight w:val="0"/>
      <w:marTop w:val="0"/>
      <w:marBottom w:val="0"/>
      <w:divBdr>
        <w:top w:val="none" w:sz="0" w:space="0" w:color="auto"/>
        <w:left w:val="none" w:sz="0" w:space="0" w:color="auto"/>
        <w:bottom w:val="none" w:sz="0" w:space="0" w:color="auto"/>
        <w:right w:val="none" w:sz="0" w:space="0" w:color="auto"/>
      </w:divBdr>
    </w:div>
    <w:div w:id="96216933">
      <w:bodyDiv w:val="1"/>
      <w:marLeft w:val="0"/>
      <w:marRight w:val="0"/>
      <w:marTop w:val="0"/>
      <w:marBottom w:val="0"/>
      <w:divBdr>
        <w:top w:val="none" w:sz="0" w:space="0" w:color="auto"/>
        <w:left w:val="none" w:sz="0" w:space="0" w:color="auto"/>
        <w:bottom w:val="none" w:sz="0" w:space="0" w:color="auto"/>
        <w:right w:val="none" w:sz="0" w:space="0" w:color="auto"/>
      </w:divBdr>
    </w:div>
    <w:div w:id="120078211">
      <w:bodyDiv w:val="1"/>
      <w:marLeft w:val="0"/>
      <w:marRight w:val="0"/>
      <w:marTop w:val="0"/>
      <w:marBottom w:val="0"/>
      <w:divBdr>
        <w:top w:val="none" w:sz="0" w:space="0" w:color="auto"/>
        <w:left w:val="none" w:sz="0" w:space="0" w:color="auto"/>
        <w:bottom w:val="none" w:sz="0" w:space="0" w:color="auto"/>
        <w:right w:val="none" w:sz="0" w:space="0" w:color="auto"/>
      </w:divBdr>
    </w:div>
    <w:div w:id="135033113">
      <w:bodyDiv w:val="1"/>
      <w:marLeft w:val="0"/>
      <w:marRight w:val="0"/>
      <w:marTop w:val="0"/>
      <w:marBottom w:val="0"/>
      <w:divBdr>
        <w:top w:val="none" w:sz="0" w:space="0" w:color="auto"/>
        <w:left w:val="none" w:sz="0" w:space="0" w:color="auto"/>
        <w:bottom w:val="none" w:sz="0" w:space="0" w:color="auto"/>
        <w:right w:val="none" w:sz="0" w:space="0" w:color="auto"/>
      </w:divBdr>
    </w:div>
    <w:div w:id="144931918">
      <w:bodyDiv w:val="1"/>
      <w:marLeft w:val="0"/>
      <w:marRight w:val="0"/>
      <w:marTop w:val="0"/>
      <w:marBottom w:val="0"/>
      <w:divBdr>
        <w:top w:val="none" w:sz="0" w:space="0" w:color="auto"/>
        <w:left w:val="none" w:sz="0" w:space="0" w:color="auto"/>
        <w:bottom w:val="none" w:sz="0" w:space="0" w:color="auto"/>
        <w:right w:val="none" w:sz="0" w:space="0" w:color="auto"/>
      </w:divBdr>
    </w:div>
    <w:div w:id="155271349">
      <w:bodyDiv w:val="1"/>
      <w:marLeft w:val="0"/>
      <w:marRight w:val="0"/>
      <w:marTop w:val="0"/>
      <w:marBottom w:val="0"/>
      <w:divBdr>
        <w:top w:val="none" w:sz="0" w:space="0" w:color="auto"/>
        <w:left w:val="none" w:sz="0" w:space="0" w:color="auto"/>
        <w:bottom w:val="none" w:sz="0" w:space="0" w:color="auto"/>
        <w:right w:val="none" w:sz="0" w:space="0" w:color="auto"/>
      </w:divBdr>
    </w:div>
    <w:div w:id="163714275">
      <w:bodyDiv w:val="1"/>
      <w:marLeft w:val="0"/>
      <w:marRight w:val="0"/>
      <w:marTop w:val="0"/>
      <w:marBottom w:val="0"/>
      <w:divBdr>
        <w:top w:val="none" w:sz="0" w:space="0" w:color="auto"/>
        <w:left w:val="none" w:sz="0" w:space="0" w:color="auto"/>
        <w:bottom w:val="none" w:sz="0" w:space="0" w:color="auto"/>
        <w:right w:val="none" w:sz="0" w:space="0" w:color="auto"/>
      </w:divBdr>
    </w:div>
    <w:div w:id="211157422">
      <w:bodyDiv w:val="1"/>
      <w:marLeft w:val="0"/>
      <w:marRight w:val="0"/>
      <w:marTop w:val="0"/>
      <w:marBottom w:val="0"/>
      <w:divBdr>
        <w:top w:val="none" w:sz="0" w:space="0" w:color="auto"/>
        <w:left w:val="none" w:sz="0" w:space="0" w:color="auto"/>
        <w:bottom w:val="none" w:sz="0" w:space="0" w:color="auto"/>
        <w:right w:val="none" w:sz="0" w:space="0" w:color="auto"/>
      </w:divBdr>
    </w:div>
    <w:div w:id="231163685">
      <w:bodyDiv w:val="1"/>
      <w:marLeft w:val="0"/>
      <w:marRight w:val="0"/>
      <w:marTop w:val="0"/>
      <w:marBottom w:val="0"/>
      <w:divBdr>
        <w:top w:val="none" w:sz="0" w:space="0" w:color="auto"/>
        <w:left w:val="none" w:sz="0" w:space="0" w:color="auto"/>
        <w:bottom w:val="none" w:sz="0" w:space="0" w:color="auto"/>
        <w:right w:val="none" w:sz="0" w:space="0" w:color="auto"/>
      </w:divBdr>
    </w:div>
    <w:div w:id="235172802">
      <w:bodyDiv w:val="1"/>
      <w:marLeft w:val="0"/>
      <w:marRight w:val="0"/>
      <w:marTop w:val="0"/>
      <w:marBottom w:val="0"/>
      <w:divBdr>
        <w:top w:val="none" w:sz="0" w:space="0" w:color="auto"/>
        <w:left w:val="none" w:sz="0" w:space="0" w:color="auto"/>
        <w:bottom w:val="none" w:sz="0" w:space="0" w:color="auto"/>
        <w:right w:val="none" w:sz="0" w:space="0" w:color="auto"/>
      </w:divBdr>
    </w:div>
    <w:div w:id="243340663">
      <w:bodyDiv w:val="1"/>
      <w:marLeft w:val="0"/>
      <w:marRight w:val="0"/>
      <w:marTop w:val="0"/>
      <w:marBottom w:val="0"/>
      <w:divBdr>
        <w:top w:val="none" w:sz="0" w:space="0" w:color="auto"/>
        <w:left w:val="none" w:sz="0" w:space="0" w:color="auto"/>
        <w:bottom w:val="none" w:sz="0" w:space="0" w:color="auto"/>
        <w:right w:val="none" w:sz="0" w:space="0" w:color="auto"/>
      </w:divBdr>
    </w:div>
    <w:div w:id="245848970">
      <w:bodyDiv w:val="1"/>
      <w:marLeft w:val="0"/>
      <w:marRight w:val="0"/>
      <w:marTop w:val="0"/>
      <w:marBottom w:val="0"/>
      <w:divBdr>
        <w:top w:val="none" w:sz="0" w:space="0" w:color="auto"/>
        <w:left w:val="none" w:sz="0" w:space="0" w:color="auto"/>
        <w:bottom w:val="none" w:sz="0" w:space="0" w:color="auto"/>
        <w:right w:val="none" w:sz="0" w:space="0" w:color="auto"/>
      </w:divBdr>
    </w:div>
    <w:div w:id="304164760">
      <w:bodyDiv w:val="1"/>
      <w:marLeft w:val="0"/>
      <w:marRight w:val="0"/>
      <w:marTop w:val="0"/>
      <w:marBottom w:val="0"/>
      <w:divBdr>
        <w:top w:val="none" w:sz="0" w:space="0" w:color="auto"/>
        <w:left w:val="none" w:sz="0" w:space="0" w:color="auto"/>
        <w:bottom w:val="none" w:sz="0" w:space="0" w:color="auto"/>
        <w:right w:val="none" w:sz="0" w:space="0" w:color="auto"/>
      </w:divBdr>
    </w:div>
    <w:div w:id="360058924">
      <w:bodyDiv w:val="1"/>
      <w:marLeft w:val="0"/>
      <w:marRight w:val="0"/>
      <w:marTop w:val="0"/>
      <w:marBottom w:val="0"/>
      <w:divBdr>
        <w:top w:val="none" w:sz="0" w:space="0" w:color="auto"/>
        <w:left w:val="none" w:sz="0" w:space="0" w:color="auto"/>
        <w:bottom w:val="none" w:sz="0" w:space="0" w:color="auto"/>
        <w:right w:val="none" w:sz="0" w:space="0" w:color="auto"/>
      </w:divBdr>
    </w:div>
    <w:div w:id="363210641">
      <w:bodyDiv w:val="1"/>
      <w:marLeft w:val="0"/>
      <w:marRight w:val="0"/>
      <w:marTop w:val="0"/>
      <w:marBottom w:val="0"/>
      <w:divBdr>
        <w:top w:val="none" w:sz="0" w:space="0" w:color="auto"/>
        <w:left w:val="none" w:sz="0" w:space="0" w:color="auto"/>
        <w:bottom w:val="none" w:sz="0" w:space="0" w:color="auto"/>
        <w:right w:val="none" w:sz="0" w:space="0" w:color="auto"/>
      </w:divBdr>
    </w:div>
    <w:div w:id="388917519">
      <w:bodyDiv w:val="1"/>
      <w:marLeft w:val="0"/>
      <w:marRight w:val="0"/>
      <w:marTop w:val="0"/>
      <w:marBottom w:val="0"/>
      <w:divBdr>
        <w:top w:val="none" w:sz="0" w:space="0" w:color="auto"/>
        <w:left w:val="none" w:sz="0" w:space="0" w:color="auto"/>
        <w:bottom w:val="none" w:sz="0" w:space="0" w:color="auto"/>
        <w:right w:val="none" w:sz="0" w:space="0" w:color="auto"/>
      </w:divBdr>
    </w:div>
    <w:div w:id="432434198">
      <w:bodyDiv w:val="1"/>
      <w:marLeft w:val="0"/>
      <w:marRight w:val="0"/>
      <w:marTop w:val="0"/>
      <w:marBottom w:val="0"/>
      <w:divBdr>
        <w:top w:val="none" w:sz="0" w:space="0" w:color="auto"/>
        <w:left w:val="none" w:sz="0" w:space="0" w:color="auto"/>
        <w:bottom w:val="none" w:sz="0" w:space="0" w:color="auto"/>
        <w:right w:val="none" w:sz="0" w:space="0" w:color="auto"/>
      </w:divBdr>
    </w:div>
    <w:div w:id="433211767">
      <w:bodyDiv w:val="1"/>
      <w:marLeft w:val="0"/>
      <w:marRight w:val="0"/>
      <w:marTop w:val="0"/>
      <w:marBottom w:val="0"/>
      <w:divBdr>
        <w:top w:val="none" w:sz="0" w:space="0" w:color="auto"/>
        <w:left w:val="none" w:sz="0" w:space="0" w:color="auto"/>
        <w:bottom w:val="none" w:sz="0" w:space="0" w:color="auto"/>
        <w:right w:val="none" w:sz="0" w:space="0" w:color="auto"/>
      </w:divBdr>
    </w:div>
    <w:div w:id="465584126">
      <w:bodyDiv w:val="1"/>
      <w:marLeft w:val="0"/>
      <w:marRight w:val="0"/>
      <w:marTop w:val="0"/>
      <w:marBottom w:val="0"/>
      <w:divBdr>
        <w:top w:val="none" w:sz="0" w:space="0" w:color="auto"/>
        <w:left w:val="none" w:sz="0" w:space="0" w:color="auto"/>
        <w:bottom w:val="none" w:sz="0" w:space="0" w:color="auto"/>
        <w:right w:val="none" w:sz="0" w:space="0" w:color="auto"/>
      </w:divBdr>
    </w:div>
    <w:div w:id="478496943">
      <w:bodyDiv w:val="1"/>
      <w:marLeft w:val="0"/>
      <w:marRight w:val="0"/>
      <w:marTop w:val="0"/>
      <w:marBottom w:val="0"/>
      <w:divBdr>
        <w:top w:val="none" w:sz="0" w:space="0" w:color="auto"/>
        <w:left w:val="none" w:sz="0" w:space="0" w:color="auto"/>
        <w:bottom w:val="none" w:sz="0" w:space="0" w:color="auto"/>
        <w:right w:val="none" w:sz="0" w:space="0" w:color="auto"/>
      </w:divBdr>
    </w:div>
    <w:div w:id="480581715">
      <w:bodyDiv w:val="1"/>
      <w:marLeft w:val="0"/>
      <w:marRight w:val="0"/>
      <w:marTop w:val="0"/>
      <w:marBottom w:val="0"/>
      <w:divBdr>
        <w:top w:val="none" w:sz="0" w:space="0" w:color="auto"/>
        <w:left w:val="none" w:sz="0" w:space="0" w:color="auto"/>
        <w:bottom w:val="none" w:sz="0" w:space="0" w:color="auto"/>
        <w:right w:val="none" w:sz="0" w:space="0" w:color="auto"/>
      </w:divBdr>
    </w:div>
    <w:div w:id="515966377">
      <w:bodyDiv w:val="1"/>
      <w:marLeft w:val="0"/>
      <w:marRight w:val="0"/>
      <w:marTop w:val="0"/>
      <w:marBottom w:val="0"/>
      <w:divBdr>
        <w:top w:val="none" w:sz="0" w:space="0" w:color="auto"/>
        <w:left w:val="none" w:sz="0" w:space="0" w:color="auto"/>
        <w:bottom w:val="none" w:sz="0" w:space="0" w:color="auto"/>
        <w:right w:val="none" w:sz="0" w:space="0" w:color="auto"/>
      </w:divBdr>
    </w:div>
    <w:div w:id="547377555">
      <w:bodyDiv w:val="1"/>
      <w:marLeft w:val="0"/>
      <w:marRight w:val="0"/>
      <w:marTop w:val="0"/>
      <w:marBottom w:val="0"/>
      <w:divBdr>
        <w:top w:val="none" w:sz="0" w:space="0" w:color="auto"/>
        <w:left w:val="none" w:sz="0" w:space="0" w:color="auto"/>
        <w:bottom w:val="none" w:sz="0" w:space="0" w:color="auto"/>
        <w:right w:val="none" w:sz="0" w:space="0" w:color="auto"/>
      </w:divBdr>
    </w:div>
    <w:div w:id="561910986">
      <w:bodyDiv w:val="1"/>
      <w:marLeft w:val="0"/>
      <w:marRight w:val="0"/>
      <w:marTop w:val="0"/>
      <w:marBottom w:val="0"/>
      <w:divBdr>
        <w:top w:val="none" w:sz="0" w:space="0" w:color="auto"/>
        <w:left w:val="none" w:sz="0" w:space="0" w:color="auto"/>
        <w:bottom w:val="none" w:sz="0" w:space="0" w:color="auto"/>
        <w:right w:val="none" w:sz="0" w:space="0" w:color="auto"/>
      </w:divBdr>
    </w:div>
    <w:div w:id="564069299">
      <w:bodyDiv w:val="1"/>
      <w:marLeft w:val="0"/>
      <w:marRight w:val="0"/>
      <w:marTop w:val="0"/>
      <w:marBottom w:val="0"/>
      <w:divBdr>
        <w:top w:val="none" w:sz="0" w:space="0" w:color="auto"/>
        <w:left w:val="none" w:sz="0" w:space="0" w:color="auto"/>
        <w:bottom w:val="none" w:sz="0" w:space="0" w:color="auto"/>
        <w:right w:val="none" w:sz="0" w:space="0" w:color="auto"/>
      </w:divBdr>
    </w:div>
    <w:div w:id="616836382">
      <w:bodyDiv w:val="1"/>
      <w:marLeft w:val="0"/>
      <w:marRight w:val="0"/>
      <w:marTop w:val="0"/>
      <w:marBottom w:val="0"/>
      <w:divBdr>
        <w:top w:val="none" w:sz="0" w:space="0" w:color="auto"/>
        <w:left w:val="none" w:sz="0" w:space="0" w:color="auto"/>
        <w:bottom w:val="none" w:sz="0" w:space="0" w:color="auto"/>
        <w:right w:val="none" w:sz="0" w:space="0" w:color="auto"/>
      </w:divBdr>
    </w:div>
    <w:div w:id="641665325">
      <w:bodyDiv w:val="1"/>
      <w:marLeft w:val="0"/>
      <w:marRight w:val="0"/>
      <w:marTop w:val="0"/>
      <w:marBottom w:val="0"/>
      <w:divBdr>
        <w:top w:val="none" w:sz="0" w:space="0" w:color="auto"/>
        <w:left w:val="none" w:sz="0" w:space="0" w:color="auto"/>
        <w:bottom w:val="none" w:sz="0" w:space="0" w:color="auto"/>
        <w:right w:val="none" w:sz="0" w:space="0" w:color="auto"/>
      </w:divBdr>
    </w:div>
    <w:div w:id="652177107">
      <w:bodyDiv w:val="1"/>
      <w:marLeft w:val="0"/>
      <w:marRight w:val="0"/>
      <w:marTop w:val="0"/>
      <w:marBottom w:val="0"/>
      <w:divBdr>
        <w:top w:val="none" w:sz="0" w:space="0" w:color="auto"/>
        <w:left w:val="none" w:sz="0" w:space="0" w:color="auto"/>
        <w:bottom w:val="none" w:sz="0" w:space="0" w:color="auto"/>
        <w:right w:val="none" w:sz="0" w:space="0" w:color="auto"/>
      </w:divBdr>
    </w:div>
    <w:div w:id="689453209">
      <w:bodyDiv w:val="1"/>
      <w:marLeft w:val="0"/>
      <w:marRight w:val="0"/>
      <w:marTop w:val="0"/>
      <w:marBottom w:val="0"/>
      <w:divBdr>
        <w:top w:val="none" w:sz="0" w:space="0" w:color="auto"/>
        <w:left w:val="none" w:sz="0" w:space="0" w:color="auto"/>
        <w:bottom w:val="none" w:sz="0" w:space="0" w:color="auto"/>
        <w:right w:val="none" w:sz="0" w:space="0" w:color="auto"/>
      </w:divBdr>
    </w:div>
    <w:div w:id="775976566">
      <w:bodyDiv w:val="1"/>
      <w:marLeft w:val="0"/>
      <w:marRight w:val="0"/>
      <w:marTop w:val="0"/>
      <w:marBottom w:val="0"/>
      <w:divBdr>
        <w:top w:val="none" w:sz="0" w:space="0" w:color="auto"/>
        <w:left w:val="none" w:sz="0" w:space="0" w:color="auto"/>
        <w:bottom w:val="none" w:sz="0" w:space="0" w:color="auto"/>
        <w:right w:val="none" w:sz="0" w:space="0" w:color="auto"/>
      </w:divBdr>
    </w:div>
    <w:div w:id="809783594">
      <w:bodyDiv w:val="1"/>
      <w:marLeft w:val="0"/>
      <w:marRight w:val="0"/>
      <w:marTop w:val="0"/>
      <w:marBottom w:val="0"/>
      <w:divBdr>
        <w:top w:val="none" w:sz="0" w:space="0" w:color="auto"/>
        <w:left w:val="none" w:sz="0" w:space="0" w:color="auto"/>
        <w:bottom w:val="none" w:sz="0" w:space="0" w:color="auto"/>
        <w:right w:val="none" w:sz="0" w:space="0" w:color="auto"/>
      </w:divBdr>
    </w:div>
    <w:div w:id="823619251">
      <w:bodyDiv w:val="1"/>
      <w:marLeft w:val="0"/>
      <w:marRight w:val="0"/>
      <w:marTop w:val="0"/>
      <w:marBottom w:val="0"/>
      <w:divBdr>
        <w:top w:val="none" w:sz="0" w:space="0" w:color="auto"/>
        <w:left w:val="none" w:sz="0" w:space="0" w:color="auto"/>
        <w:bottom w:val="none" w:sz="0" w:space="0" w:color="auto"/>
        <w:right w:val="none" w:sz="0" w:space="0" w:color="auto"/>
      </w:divBdr>
    </w:div>
    <w:div w:id="840315949">
      <w:bodyDiv w:val="1"/>
      <w:marLeft w:val="0"/>
      <w:marRight w:val="0"/>
      <w:marTop w:val="0"/>
      <w:marBottom w:val="0"/>
      <w:divBdr>
        <w:top w:val="none" w:sz="0" w:space="0" w:color="auto"/>
        <w:left w:val="none" w:sz="0" w:space="0" w:color="auto"/>
        <w:bottom w:val="none" w:sz="0" w:space="0" w:color="auto"/>
        <w:right w:val="none" w:sz="0" w:space="0" w:color="auto"/>
      </w:divBdr>
    </w:div>
    <w:div w:id="841626956">
      <w:bodyDiv w:val="1"/>
      <w:marLeft w:val="0"/>
      <w:marRight w:val="0"/>
      <w:marTop w:val="0"/>
      <w:marBottom w:val="0"/>
      <w:divBdr>
        <w:top w:val="none" w:sz="0" w:space="0" w:color="auto"/>
        <w:left w:val="none" w:sz="0" w:space="0" w:color="auto"/>
        <w:bottom w:val="none" w:sz="0" w:space="0" w:color="auto"/>
        <w:right w:val="none" w:sz="0" w:space="0" w:color="auto"/>
      </w:divBdr>
    </w:div>
    <w:div w:id="906035565">
      <w:bodyDiv w:val="1"/>
      <w:marLeft w:val="0"/>
      <w:marRight w:val="0"/>
      <w:marTop w:val="0"/>
      <w:marBottom w:val="0"/>
      <w:divBdr>
        <w:top w:val="none" w:sz="0" w:space="0" w:color="auto"/>
        <w:left w:val="none" w:sz="0" w:space="0" w:color="auto"/>
        <w:bottom w:val="none" w:sz="0" w:space="0" w:color="auto"/>
        <w:right w:val="none" w:sz="0" w:space="0" w:color="auto"/>
      </w:divBdr>
    </w:div>
    <w:div w:id="917788359">
      <w:bodyDiv w:val="1"/>
      <w:marLeft w:val="0"/>
      <w:marRight w:val="0"/>
      <w:marTop w:val="0"/>
      <w:marBottom w:val="0"/>
      <w:divBdr>
        <w:top w:val="none" w:sz="0" w:space="0" w:color="auto"/>
        <w:left w:val="none" w:sz="0" w:space="0" w:color="auto"/>
        <w:bottom w:val="none" w:sz="0" w:space="0" w:color="auto"/>
        <w:right w:val="none" w:sz="0" w:space="0" w:color="auto"/>
      </w:divBdr>
    </w:div>
    <w:div w:id="987827535">
      <w:bodyDiv w:val="1"/>
      <w:marLeft w:val="0"/>
      <w:marRight w:val="0"/>
      <w:marTop w:val="0"/>
      <w:marBottom w:val="0"/>
      <w:divBdr>
        <w:top w:val="none" w:sz="0" w:space="0" w:color="auto"/>
        <w:left w:val="none" w:sz="0" w:space="0" w:color="auto"/>
        <w:bottom w:val="none" w:sz="0" w:space="0" w:color="auto"/>
        <w:right w:val="none" w:sz="0" w:space="0" w:color="auto"/>
      </w:divBdr>
    </w:div>
    <w:div w:id="993071382">
      <w:bodyDiv w:val="1"/>
      <w:marLeft w:val="0"/>
      <w:marRight w:val="0"/>
      <w:marTop w:val="0"/>
      <w:marBottom w:val="0"/>
      <w:divBdr>
        <w:top w:val="none" w:sz="0" w:space="0" w:color="auto"/>
        <w:left w:val="none" w:sz="0" w:space="0" w:color="auto"/>
        <w:bottom w:val="none" w:sz="0" w:space="0" w:color="auto"/>
        <w:right w:val="none" w:sz="0" w:space="0" w:color="auto"/>
      </w:divBdr>
      <w:divsChild>
        <w:div w:id="68313466">
          <w:marLeft w:val="0"/>
          <w:marRight w:val="0"/>
          <w:marTop w:val="0"/>
          <w:marBottom w:val="0"/>
          <w:divBdr>
            <w:top w:val="none" w:sz="0" w:space="0" w:color="auto"/>
            <w:left w:val="none" w:sz="0" w:space="0" w:color="auto"/>
            <w:bottom w:val="none" w:sz="0" w:space="0" w:color="auto"/>
            <w:right w:val="none" w:sz="0" w:space="0" w:color="auto"/>
          </w:divBdr>
          <w:divsChild>
            <w:div w:id="1826362673">
              <w:marLeft w:val="0"/>
              <w:marRight w:val="0"/>
              <w:marTop w:val="0"/>
              <w:marBottom w:val="0"/>
              <w:divBdr>
                <w:top w:val="none" w:sz="0" w:space="0" w:color="auto"/>
                <w:left w:val="none" w:sz="0" w:space="0" w:color="auto"/>
                <w:bottom w:val="none" w:sz="0" w:space="0" w:color="auto"/>
                <w:right w:val="none" w:sz="0" w:space="0" w:color="auto"/>
              </w:divBdr>
              <w:divsChild>
                <w:div w:id="1264848346">
                  <w:marLeft w:val="0"/>
                  <w:marRight w:val="0"/>
                  <w:marTop w:val="0"/>
                  <w:marBottom w:val="0"/>
                  <w:divBdr>
                    <w:top w:val="none" w:sz="0" w:space="0" w:color="auto"/>
                    <w:left w:val="none" w:sz="0" w:space="0" w:color="auto"/>
                    <w:bottom w:val="none" w:sz="0" w:space="0" w:color="auto"/>
                    <w:right w:val="none" w:sz="0" w:space="0" w:color="auto"/>
                  </w:divBdr>
                  <w:divsChild>
                    <w:div w:id="14444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117902">
          <w:marLeft w:val="0"/>
          <w:marRight w:val="0"/>
          <w:marTop w:val="0"/>
          <w:marBottom w:val="0"/>
          <w:divBdr>
            <w:top w:val="none" w:sz="0" w:space="0" w:color="auto"/>
            <w:left w:val="none" w:sz="0" w:space="0" w:color="auto"/>
            <w:bottom w:val="none" w:sz="0" w:space="0" w:color="auto"/>
            <w:right w:val="none" w:sz="0" w:space="0" w:color="auto"/>
          </w:divBdr>
          <w:divsChild>
            <w:div w:id="31753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08968">
      <w:bodyDiv w:val="1"/>
      <w:marLeft w:val="0"/>
      <w:marRight w:val="0"/>
      <w:marTop w:val="0"/>
      <w:marBottom w:val="0"/>
      <w:divBdr>
        <w:top w:val="none" w:sz="0" w:space="0" w:color="auto"/>
        <w:left w:val="none" w:sz="0" w:space="0" w:color="auto"/>
        <w:bottom w:val="none" w:sz="0" w:space="0" w:color="auto"/>
        <w:right w:val="none" w:sz="0" w:space="0" w:color="auto"/>
      </w:divBdr>
    </w:div>
    <w:div w:id="1066997160">
      <w:bodyDiv w:val="1"/>
      <w:marLeft w:val="0"/>
      <w:marRight w:val="0"/>
      <w:marTop w:val="0"/>
      <w:marBottom w:val="0"/>
      <w:divBdr>
        <w:top w:val="none" w:sz="0" w:space="0" w:color="auto"/>
        <w:left w:val="none" w:sz="0" w:space="0" w:color="auto"/>
        <w:bottom w:val="none" w:sz="0" w:space="0" w:color="auto"/>
        <w:right w:val="none" w:sz="0" w:space="0" w:color="auto"/>
      </w:divBdr>
    </w:div>
    <w:div w:id="1119957821">
      <w:bodyDiv w:val="1"/>
      <w:marLeft w:val="0"/>
      <w:marRight w:val="0"/>
      <w:marTop w:val="0"/>
      <w:marBottom w:val="0"/>
      <w:divBdr>
        <w:top w:val="none" w:sz="0" w:space="0" w:color="auto"/>
        <w:left w:val="none" w:sz="0" w:space="0" w:color="auto"/>
        <w:bottom w:val="none" w:sz="0" w:space="0" w:color="auto"/>
        <w:right w:val="none" w:sz="0" w:space="0" w:color="auto"/>
      </w:divBdr>
    </w:div>
    <w:div w:id="1123304676">
      <w:bodyDiv w:val="1"/>
      <w:marLeft w:val="0"/>
      <w:marRight w:val="0"/>
      <w:marTop w:val="0"/>
      <w:marBottom w:val="0"/>
      <w:divBdr>
        <w:top w:val="none" w:sz="0" w:space="0" w:color="auto"/>
        <w:left w:val="none" w:sz="0" w:space="0" w:color="auto"/>
        <w:bottom w:val="none" w:sz="0" w:space="0" w:color="auto"/>
        <w:right w:val="none" w:sz="0" w:space="0" w:color="auto"/>
      </w:divBdr>
    </w:div>
    <w:div w:id="1148090669">
      <w:bodyDiv w:val="1"/>
      <w:marLeft w:val="0"/>
      <w:marRight w:val="0"/>
      <w:marTop w:val="0"/>
      <w:marBottom w:val="0"/>
      <w:divBdr>
        <w:top w:val="none" w:sz="0" w:space="0" w:color="auto"/>
        <w:left w:val="none" w:sz="0" w:space="0" w:color="auto"/>
        <w:bottom w:val="none" w:sz="0" w:space="0" w:color="auto"/>
        <w:right w:val="none" w:sz="0" w:space="0" w:color="auto"/>
      </w:divBdr>
    </w:div>
    <w:div w:id="1173493302">
      <w:bodyDiv w:val="1"/>
      <w:marLeft w:val="0"/>
      <w:marRight w:val="0"/>
      <w:marTop w:val="0"/>
      <w:marBottom w:val="0"/>
      <w:divBdr>
        <w:top w:val="none" w:sz="0" w:space="0" w:color="auto"/>
        <w:left w:val="none" w:sz="0" w:space="0" w:color="auto"/>
        <w:bottom w:val="none" w:sz="0" w:space="0" w:color="auto"/>
        <w:right w:val="none" w:sz="0" w:space="0" w:color="auto"/>
      </w:divBdr>
    </w:div>
    <w:div w:id="1206717345">
      <w:bodyDiv w:val="1"/>
      <w:marLeft w:val="0"/>
      <w:marRight w:val="0"/>
      <w:marTop w:val="0"/>
      <w:marBottom w:val="0"/>
      <w:divBdr>
        <w:top w:val="none" w:sz="0" w:space="0" w:color="auto"/>
        <w:left w:val="none" w:sz="0" w:space="0" w:color="auto"/>
        <w:bottom w:val="none" w:sz="0" w:space="0" w:color="auto"/>
        <w:right w:val="none" w:sz="0" w:space="0" w:color="auto"/>
      </w:divBdr>
    </w:div>
    <w:div w:id="1217087596">
      <w:bodyDiv w:val="1"/>
      <w:marLeft w:val="0"/>
      <w:marRight w:val="0"/>
      <w:marTop w:val="0"/>
      <w:marBottom w:val="0"/>
      <w:divBdr>
        <w:top w:val="none" w:sz="0" w:space="0" w:color="auto"/>
        <w:left w:val="none" w:sz="0" w:space="0" w:color="auto"/>
        <w:bottom w:val="none" w:sz="0" w:space="0" w:color="auto"/>
        <w:right w:val="none" w:sz="0" w:space="0" w:color="auto"/>
      </w:divBdr>
    </w:div>
    <w:div w:id="1229345154">
      <w:bodyDiv w:val="1"/>
      <w:marLeft w:val="0"/>
      <w:marRight w:val="0"/>
      <w:marTop w:val="0"/>
      <w:marBottom w:val="0"/>
      <w:divBdr>
        <w:top w:val="none" w:sz="0" w:space="0" w:color="auto"/>
        <w:left w:val="none" w:sz="0" w:space="0" w:color="auto"/>
        <w:bottom w:val="none" w:sz="0" w:space="0" w:color="auto"/>
        <w:right w:val="none" w:sz="0" w:space="0" w:color="auto"/>
      </w:divBdr>
    </w:div>
    <w:div w:id="1237863733">
      <w:bodyDiv w:val="1"/>
      <w:marLeft w:val="0"/>
      <w:marRight w:val="0"/>
      <w:marTop w:val="0"/>
      <w:marBottom w:val="0"/>
      <w:divBdr>
        <w:top w:val="none" w:sz="0" w:space="0" w:color="auto"/>
        <w:left w:val="none" w:sz="0" w:space="0" w:color="auto"/>
        <w:bottom w:val="none" w:sz="0" w:space="0" w:color="auto"/>
        <w:right w:val="none" w:sz="0" w:space="0" w:color="auto"/>
      </w:divBdr>
    </w:div>
    <w:div w:id="1273973213">
      <w:bodyDiv w:val="1"/>
      <w:marLeft w:val="0"/>
      <w:marRight w:val="0"/>
      <w:marTop w:val="0"/>
      <w:marBottom w:val="0"/>
      <w:divBdr>
        <w:top w:val="none" w:sz="0" w:space="0" w:color="auto"/>
        <w:left w:val="none" w:sz="0" w:space="0" w:color="auto"/>
        <w:bottom w:val="none" w:sz="0" w:space="0" w:color="auto"/>
        <w:right w:val="none" w:sz="0" w:space="0" w:color="auto"/>
      </w:divBdr>
    </w:div>
    <w:div w:id="1283151072">
      <w:bodyDiv w:val="1"/>
      <w:marLeft w:val="0"/>
      <w:marRight w:val="0"/>
      <w:marTop w:val="0"/>
      <w:marBottom w:val="0"/>
      <w:divBdr>
        <w:top w:val="none" w:sz="0" w:space="0" w:color="auto"/>
        <w:left w:val="none" w:sz="0" w:space="0" w:color="auto"/>
        <w:bottom w:val="none" w:sz="0" w:space="0" w:color="auto"/>
        <w:right w:val="none" w:sz="0" w:space="0" w:color="auto"/>
      </w:divBdr>
    </w:div>
    <w:div w:id="1310018136">
      <w:bodyDiv w:val="1"/>
      <w:marLeft w:val="0"/>
      <w:marRight w:val="0"/>
      <w:marTop w:val="0"/>
      <w:marBottom w:val="0"/>
      <w:divBdr>
        <w:top w:val="none" w:sz="0" w:space="0" w:color="auto"/>
        <w:left w:val="none" w:sz="0" w:space="0" w:color="auto"/>
        <w:bottom w:val="none" w:sz="0" w:space="0" w:color="auto"/>
        <w:right w:val="none" w:sz="0" w:space="0" w:color="auto"/>
      </w:divBdr>
    </w:div>
    <w:div w:id="1334914256">
      <w:bodyDiv w:val="1"/>
      <w:marLeft w:val="0"/>
      <w:marRight w:val="0"/>
      <w:marTop w:val="0"/>
      <w:marBottom w:val="0"/>
      <w:divBdr>
        <w:top w:val="none" w:sz="0" w:space="0" w:color="auto"/>
        <w:left w:val="none" w:sz="0" w:space="0" w:color="auto"/>
        <w:bottom w:val="none" w:sz="0" w:space="0" w:color="auto"/>
        <w:right w:val="none" w:sz="0" w:space="0" w:color="auto"/>
      </w:divBdr>
    </w:div>
    <w:div w:id="1374891834">
      <w:bodyDiv w:val="1"/>
      <w:marLeft w:val="0"/>
      <w:marRight w:val="0"/>
      <w:marTop w:val="0"/>
      <w:marBottom w:val="0"/>
      <w:divBdr>
        <w:top w:val="none" w:sz="0" w:space="0" w:color="auto"/>
        <w:left w:val="none" w:sz="0" w:space="0" w:color="auto"/>
        <w:bottom w:val="none" w:sz="0" w:space="0" w:color="auto"/>
        <w:right w:val="none" w:sz="0" w:space="0" w:color="auto"/>
      </w:divBdr>
    </w:div>
    <w:div w:id="1411197133">
      <w:bodyDiv w:val="1"/>
      <w:marLeft w:val="0"/>
      <w:marRight w:val="0"/>
      <w:marTop w:val="0"/>
      <w:marBottom w:val="0"/>
      <w:divBdr>
        <w:top w:val="none" w:sz="0" w:space="0" w:color="auto"/>
        <w:left w:val="none" w:sz="0" w:space="0" w:color="auto"/>
        <w:bottom w:val="none" w:sz="0" w:space="0" w:color="auto"/>
        <w:right w:val="none" w:sz="0" w:space="0" w:color="auto"/>
      </w:divBdr>
    </w:div>
    <w:div w:id="1497921270">
      <w:bodyDiv w:val="1"/>
      <w:marLeft w:val="0"/>
      <w:marRight w:val="0"/>
      <w:marTop w:val="0"/>
      <w:marBottom w:val="0"/>
      <w:divBdr>
        <w:top w:val="none" w:sz="0" w:space="0" w:color="auto"/>
        <w:left w:val="none" w:sz="0" w:space="0" w:color="auto"/>
        <w:bottom w:val="none" w:sz="0" w:space="0" w:color="auto"/>
        <w:right w:val="none" w:sz="0" w:space="0" w:color="auto"/>
      </w:divBdr>
    </w:div>
    <w:div w:id="1546674239">
      <w:bodyDiv w:val="1"/>
      <w:marLeft w:val="0"/>
      <w:marRight w:val="0"/>
      <w:marTop w:val="0"/>
      <w:marBottom w:val="0"/>
      <w:divBdr>
        <w:top w:val="none" w:sz="0" w:space="0" w:color="auto"/>
        <w:left w:val="none" w:sz="0" w:space="0" w:color="auto"/>
        <w:bottom w:val="none" w:sz="0" w:space="0" w:color="auto"/>
        <w:right w:val="none" w:sz="0" w:space="0" w:color="auto"/>
      </w:divBdr>
    </w:div>
    <w:div w:id="1562011466">
      <w:bodyDiv w:val="1"/>
      <w:marLeft w:val="0"/>
      <w:marRight w:val="0"/>
      <w:marTop w:val="0"/>
      <w:marBottom w:val="0"/>
      <w:divBdr>
        <w:top w:val="none" w:sz="0" w:space="0" w:color="auto"/>
        <w:left w:val="none" w:sz="0" w:space="0" w:color="auto"/>
        <w:bottom w:val="none" w:sz="0" w:space="0" w:color="auto"/>
        <w:right w:val="none" w:sz="0" w:space="0" w:color="auto"/>
      </w:divBdr>
    </w:div>
    <w:div w:id="1582131410">
      <w:bodyDiv w:val="1"/>
      <w:marLeft w:val="0"/>
      <w:marRight w:val="0"/>
      <w:marTop w:val="0"/>
      <w:marBottom w:val="0"/>
      <w:divBdr>
        <w:top w:val="none" w:sz="0" w:space="0" w:color="auto"/>
        <w:left w:val="none" w:sz="0" w:space="0" w:color="auto"/>
        <w:bottom w:val="none" w:sz="0" w:space="0" w:color="auto"/>
        <w:right w:val="none" w:sz="0" w:space="0" w:color="auto"/>
      </w:divBdr>
    </w:div>
    <w:div w:id="1634560930">
      <w:bodyDiv w:val="1"/>
      <w:marLeft w:val="0"/>
      <w:marRight w:val="0"/>
      <w:marTop w:val="0"/>
      <w:marBottom w:val="0"/>
      <w:divBdr>
        <w:top w:val="none" w:sz="0" w:space="0" w:color="auto"/>
        <w:left w:val="none" w:sz="0" w:space="0" w:color="auto"/>
        <w:bottom w:val="none" w:sz="0" w:space="0" w:color="auto"/>
        <w:right w:val="none" w:sz="0" w:space="0" w:color="auto"/>
      </w:divBdr>
    </w:div>
    <w:div w:id="1638531940">
      <w:bodyDiv w:val="1"/>
      <w:marLeft w:val="0"/>
      <w:marRight w:val="0"/>
      <w:marTop w:val="0"/>
      <w:marBottom w:val="0"/>
      <w:divBdr>
        <w:top w:val="none" w:sz="0" w:space="0" w:color="auto"/>
        <w:left w:val="none" w:sz="0" w:space="0" w:color="auto"/>
        <w:bottom w:val="none" w:sz="0" w:space="0" w:color="auto"/>
        <w:right w:val="none" w:sz="0" w:space="0" w:color="auto"/>
      </w:divBdr>
    </w:div>
    <w:div w:id="1735661032">
      <w:bodyDiv w:val="1"/>
      <w:marLeft w:val="0"/>
      <w:marRight w:val="0"/>
      <w:marTop w:val="0"/>
      <w:marBottom w:val="0"/>
      <w:divBdr>
        <w:top w:val="none" w:sz="0" w:space="0" w:color="auto"/>
        <w:left w:val="none" w:sz="0" w:space="0" w:color="auto"/>
        <w:bottom w:val="none" w:sz="0" w:space="0" w:color="auto"/>
        <w:right w:val="none" w:sz="0" w:space="0" w:color="auto"/>
      </w:divBdr>
    </w:div>
    <w:div w:id="1746492830">
      <w:bodyDiv w:val="1"/>
      <w:marLeft w:val="0"/>
      <w:marRight w:val="0"/>
      <w:marTop w:val="0"/>
      <w:marBottom w:val="0"/>
      <w:divBdr>
        <w:top w:val="none" w:sz="0" w:space="0" w:color="auto"/>
        <w:left w:val="none" w:sz="0" w:space="0" w:color="auto"/>
        <w:bottom w:val="none" w:sz="0" w:space="0" w:color="auto"/>
        <w:right w:val="none" w:sz="0" w:space="0" w:color="auto"/>
      </w:divBdr>
    </w:div>
    <w:div w:id="1778133393">
      <w:bodyDiv w:val="1"/>
      <w:marLeft w:val="0"/>
      <w:marRight w:val="0"/>
      <w:marTop w:val="0"/>
      <w:marBottom w:val="0"/>
      <w:divBdr>
        <w:top w:val="none" w:sz="0" w:space="0" w:color="auto"/>
        <w:left w:val="none" w:sz="0" w:space="0" w:color="auto"/>
        <w:bottom w:val="none" w:sz="0" w:space="0" w:color="auto"/>
        <w:right w:val="none" w:sz="0" w:space="0" w:color="auto"/>
      </w:divBdr>
    </w:div>
    <w:div w:id="1799252455">
      <w:bodyDiv w:val="1"/>
      <w:marLeft w:val="0"/>
      <w:marRight w:val="0"/>
      <w:marTop w:val="0"/>
      <w:marBottom w:val="0"/>
      <w:divBdr>
        <w:top w:val="none" w:sz="0" w:space="0" w:color="auto"/>
        <w:left w:val="none" w:sz="0" w:space="0" w:color="auto"/>
        <w:bottom w:val="none" w:sz="0" w:space="0" w:color="auto"/>
        <w:right w:val="none" w:sz="0" w:space="0" w:color="auto"/>
      </w:divBdr>
    </w:div>
    <w:div w:id="1806972156">
      <w:bodyDiv w:val="1"/>
      <w:marLeft w:val="0"/>
      <w:marRight w:val="0"/>
      <w:marTop w:val="0"/>
      <w:marBottom w:val="0"/>
      <w:divBdr>
        <w:top w:val="none" w:sz="0" w:space="0" w:color="auto"/>
        <w:left w:val="none" w:sz="0" w:space="0" w:color="auto"/>
        <w:bottom w:val="none" w:sz="0" w:space="0" w:color="auto"/>
        <w:right w:val="none" w:sz="0" w:space="0" w:color="auto"/>
      </w:divBdr>
    </w:div>
    <w:div w:id="1846246668">
      <w:bodyDiv w:val="1"/>
      <w:marLeft w:val="0"/>
      <w:marRight w:val="0"/>
      <w:marTop w:val="0"/>
      <w:marBottom w:val="0"/>
      <w:divBdr>
        <w:top w:val="none" w:sz="0" w:space="0" w:color="auto"/>
        <w:left w:val="none" w:sz="0" w:space="0" w:color="auto"/>
        <w:bottom w:val="none" w:sz="0" w:space="0" w:color="auto"/>
        <w:right w:val="none" w:sz="0" w:space="0" w:color="auto"/>
      </w:divBdr>
    </w:div>
    <w:div w:id="1886524371">
      <w:bodyDiv w:val="1"/>
      <w:marLeft w:val="0"/>
      <w:marRight w:val="0"/>
      <w:marTop w:val="0"/>
      <w:marBottom w:val="0"/>
      <w:divBdr>
        <w:top w:val="none" w:sz="0" w:space="0" w:color="auto"/>
        <w:left w:val="none" w:sz="0" w:space="0" w:color="auto"/>
        <w:bottom w:val="none" w:sz="0" w:space="0" w:color="auto"/>
        <w:right w:val="none" w:sz="0" w:space="0" w:color="auto"/>
      </w:divBdr>
    </w:div>
    <w:div w:id="1901480247">
      <w:bodyDiv w:val="1"/>
      <w:marLeft w:val="0"/>
      <w:marRight w:val="0"/>
      <w:marTop w:val="0"/>
      <w:marBottom w:val="0"/>
      <w:divBdr>
        <w:top w:val="none" w:sz="0" w:space="0" w:color="auto"/>
        <w:left w:val="none" w:sz="0" w:space="0" w:color="auto"/>
        <w:bottom w:val="none" w:sz="0" w:space="0" w:color="auto"/>
        <w:right w:val="none" w:sz="0" w:space="0" w:color="auto"/>
      </w:divBdr>
    </w:div>
    <w:div w:id="1975669648">
      <w:bodyDiv w:val="1"/>
      <w:marLeft w:val="0"/>
      <w:marRight w:val="0"/>
      <w:marTop w:val="0"/>
      <w:marBottom w:val="0"/>
      <w:divBdr>
        <w:top w:val="none" w:sz="0" w:space="0" w:color="auto"/>
        <w:left w:val="none" w:sz="0" w:space="0" w:color="auto"/>
        <w:bottom w:val="none" w:sz="0" w:space="0" w:color="auto"/>
        <w:right w:val="none" w:sz="0" w:space="0" w:color="auto"/>
      </w:divBdr>
    </w:div>
    <w:div w:id="2005158648">
      <w:bodyDiv w:val="1"/>
      <w:marLeft w:val="0"/>
      <w:marRight w:val="0"/>
      <w:marTop w:val="0"/>
      <w:marBottom w:val="0"/>
      <w:divBdr>
        <w:top w:val="none" w:sz="0" w:space="0" w:color="auto"/>
        <w:left w:val="none" w:sz="0" w:space="0" w:color="auto"/>
        <w:bottom w:val="none" w:sz="0" w:space="0" w:color="auto"/>
        <w:right w:val="none" w:sz="0" w:space="0" w:color="auto"/>
      </w:divBdr>
    </w:div>
    <w:div w:id="2014449224">
      <w:bodyDiv w:val="1"/>
      <w:marLeft w:val="0"/>
      <w:marRight w:val="0"/>
      <w:marTop w:val="0"/>
      <w:marBottom w:val="0"/>
      <w:divBdr>
        <w:top w:val="none" w:sz="0" w:space="0" w:color="auto"/>
        <w:left w:val="none" w:sz="0" w:space="0" w:color="auto"/>
        <w:bottom w:val="none" w:sz="0" w:space="0" w:color="auto"/>
        <w:right w:val="none" w:sz="0" w:space="0" w:color="auto"/>
      </w:divBdr>
    </w:div>
    <w:div w:id="2037269094">
      <w:bodyDiv w:val="1"/>
      <w:marLeft w:val="0"/>
      <w:marRight w:val="0"/>
      <w:marTop w:val="0"/>
      <w:marBottom w:val="0"/>
      <w:divBdr>
        <w:top w:val="none" w:sz="0" w:space="0" w:color="auto"/>
        <w:left w:val="none" w:sz="0" w:space="0" w:color="auto"/>
        <w:bottom w:val="none" w:sz="0" w:space="0" w:color="auto"/>
        <w:right w:val="none" w:sz="0" w:space="0" w:color="auto"/>
      </w:divBdr>
    </w:div>
    <w:div w:id="2039505203">
      <w:bodyDiv w:val="1"/>
      <w:marLeft w:val="0"/>
      <w:marRight w:val="0"/>
      <w:marTop w:val="0"/>
      <w:marBottom w:val="0"/>
      <w:divBdr>
        <w:top w:val="none" w:sz="0" w:space="0" w:color="auto"/>
        <w:left w:val="none" w:sz="0" w:space="0" w:color="auto"/>
        <w:bottom w:val="none" w:sz="0" w:space="0" w:color="auto"/>
        <w:right w:val="none" w:sz="0" w:space="0" w:color="auto"/>
      </w:divBdr>
    </w:div>
    <w:div w:id="2041592043">
      <w:bodyDiv w:val="1"/>
      <w:marLeft w:val="0"/>
      <w:marRight w:val="0"/>
      <w:marTop w:val="0"/>
      <w:marBottom w:val="0"/>
      <w:divBdr>
        <w:top w:val="none" w:sz="0" w:space="0" w:color="auto"/>
        <w:left w:val="none" w:sz="0" w:space="0" w:color="auto"/>
        <w:bottom w:val="none" w:sz="0" w:space="0" w:color="auto"/>
        <w:right w:val="none" w:sz="0" w:space="0" w:color="auto"/>
      </w:divBdr>
    </w:div>
    <w:div w:id="2074808372">
      <w:bodyDiv w:val="1"/>
      <w:marLeft w:val="0"/>
      <w:marRight w:val="0"/>
      <w:marTop w:val="0"/>
      <w:marBottom w:val="0"/>
      <w:divBdr>
        <w:top w:val="none" w:sz="0" w:space="0" w:color="auto"/>
        <w:left w:val="none" w:sz="0" w:space="0" w:color="auto"/>
        <w:bottom w:val="none" w:sz="0" w:space="0" w:color="auto"/>
        <w:right w:val="none" w:sz="0" w:space="0" w:color="auto"/>
      </w:divBdr>
    </w:div>
    <w:div w:id="210575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16800C-9382-407E-85B9-3D0F83DBDCED}">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1A646CC5-EDF0-4CC0-878E-611AA4F5E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BADFE-481A-4484-A9C8-B45EC1E6F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63</TotalTime>
  <Pages>39</Pages>
  <Words>11319</Words>
  <Characters>64524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Company>
  <LinksUpToDate>false</LinksUpToDate>
  <CharactersWithSpaces>75692</CharactersWithSpaces>
  <SharedDoc>false</SharedDoc>
  <HLinks>
    <vt:vector size="66" baseType="variant">
      <vt:variant>
        <vt:i4>1638459</vt:i4>
      </vt:variant>
      <vt:variant>
        <vt:i4>62</vt:i4>
      </vt:variant>
      <vt:variant>
        <vt:i4>0</vt:i4>
      </vt:variant>
      <vt:variant>
        <vt:i4>5</vt:i4>
      </vt:variant>
      <vt:variant>
        <vt:lpwstr/>
      </vt:variant>
      <vt:variant>
        <vt:lpwstr>_Toc99064362</vt:lpwstr>
      </vt:variant>
      <vt:variant>
        <vt:i4>1703995</vt:i4>
      </vt:variant>
      <vt:variant>
        <vt:i4>56</vt:i4>
      </vt:variant>
      <vt:variant>
        <vt:i4>0</vt:i4>
      </vt:variant>
      <vt:variant>
        <vt:i4>5</vt:i4>
      </vt:variant>
      <vt:variant>
        <vt:lpwstr/>
      </vt:variant>
      <vt:variant>
        <vt:lpwstr>_Toc99064361</vt:lpwstr>
      </vt:variant>
      <vt:variant>
        <vt:i4>1769531</vt:i4>
      </vt:variant>
      <vt:variant>
        <vt:i4>50</vt:i4>
      </vt:variant>
      <vt:variant>
        <vt:i4>0</vt:i4>
      </vt:variant>
      <vt:variant>
        <vt:i4>5</vt:i4>
      </vt:variant>
      <vt:variant>
        <vt:lpwstr/>
      </vt:variant>
      <vt:variant>
        <vt:lpwstr>_Toc99064360</vt:lpwstr>
      </vt:variant>
      <vt:variant>
        <vt:i4>1179704</vt:i4>
      </vt:variant>
      <vt:variant>
        <vt:i4>44</vt:i4>
      </vt:variant>
      <vt:variant>
        <vt:i4>0</vt:i4>
      </vt:variant>
      <vt:variant>
        <vt:i4>5</vt:i4>
      </vt:variant>
      <vt:variant>
        <vt:lpwstr/>
      </vt:variant>
      <vt:variant>
        <vt:lpwstr>_Toc99064359</vt:lpwstr>
      </vt:variant>
      <vt:variant>
        <vt:i4>1245240</vt:i4>
      </vt:variant>
      <vt:variant>
        <vt:i4>38</vt:i4>
      </vt:variant>
      <vt:variant>
        <vt:i4>0</vt:i4>
      </vt:variant>
      <vt:variant>
        <vt:i4>5</vt:i4>
      </vt:variant>
      <vt:variant>
        <vt:lpwstr/>
      </vt:variant>
      <vt:variant>
        <vt:lpwstr>_Toc99064358</vt:lpwstr>
      </vt:variant>
      <vt:variant>
        <vt:i4>1835064</vt:i4>
      </vt:variant>
      <vt:variant>
        <vt:i4>32</vt:i4>
      </vt:variant>
      <vt:variant>
        <vt:i4>0</vt:i4>
      </vt:variant>
      <vt:variant>
        <vt:i4>5</vt:i4>
      </vt:variant>
      <vt:variant>
        <vt:lpwstr/>
      </vt:variant>
      <vt:variant>
        <vt:lpwstr>_Toc99064357</vt:lpwstr>
      </vt:variant>
      <vt:variant>
        <vt:i4>1900600</vt:i4>
      </vt:variant>
      <vt:variant>
        <vt:i4>26</vt:i4>
      </vt:variant>
      <vt:variant>
        <vt:i4>0</vt:i4>
      </vt:variant>
      <vt:variant>
        <vt:i4>5</vt:i4>
      </vt:variant>
      <vt:variant>
        <vt:lpwstr/>
      </vt:variant>
      <vt:variant>
        <vt:lpwstr>_Toc99064356</vt:lpwstr>
      </vt:variant>
      <vt:variant>
        <vt:i4>1966136</vt:i4>
      </vt:variant>
      <vt:variant>
        <vt:i4>20</vt:i4>
      </vt:variant>
      <vt:variant>
        <vt:i4>0</vt:i4>
      </vt:variant>
      <vt:variant>
        <vt:i4>5</vt:i4>
      </vt:variant>
      <vt:variant>
        <vt:lpwstr/>
      </vt:variant>
      <vt:variant>
        <vt:lpwstr>_Toc99064355</vt:lpwstr>
      </vt:variant>
      <vt:variant>
        <vt:i4>2031672</vt:i4>
      </vt:variant>
      <vt:variant>
        <vt:i4>14</vt:i4>
      </vt:variant>
      <vt:variant>
        <vt:i4>0</vt:i4>
      </vt:variant>
      <vt:variant>
        <vt:i4>5</vt:i4>
      </vt:variant>
      <vt:variant>
        <vt:lpwstr/>
      </vt:variant>
      <vt:variant>
        <vt:lpwstr>_Toc99064354</vt:lpwstr>
      </vt:variant>
      <vt:variant>
        <vt:i4>1572920</vt:i4>
      </vt:variant>
      <vt:variant>
        <vt:i4>8</vt:i4>
      </vt:variant>
      <vt:variant>
        <vt:i4>0</vt:i4>
      </vt:variant>
      <vt:variant>
        <vt:i4>5</vt:i4>
      </vt:variant>
      <vt:variant>
        <vt:lpwstr/>
      </vt:variant>
      <vt:variant>
        <vt:lpwstr>_Toc99064353</vt:lpwstr>
      </vt:variant>
      <vt:variant>
        <vt:i4>1638456</vt:i4>
      </vt:variant>
      <vt:variant>
        <vt:i4>2</vt:i4>
      </vt:variant>
      <vt:variant>
        <vt:i4>0</vt:i4>
      </vt:variant>
      <vt:variant>
        <vt:i4>5</vt:i4>
      </vt:variant>
      <vt:variant>
        <vt:lpwstr/>
      </vt:variant>
      <vt:variant>
        <vt:lpwstr>_Toc99064352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2: Economic Outlook</dc:subject>
  <dc:creator>Australian Government</dc:creator>
  <cp:keywords/>
  <dc:description/>
  <cp:lastModifiedBy>Palmer, Selene</cp:lastModifiedBy>
  <cp:revision>53</cp:revision>
  <cp:lastPrinted>2022-03-29T00:55:00Z</cp:lastPrinted>
  <dcterms:created xsi:type="dcterms:W3CDTF">2022-03-26T04:41:00Z</dcterms:created>
  <dcterms:modified xsi:type="dcterms:W3CDTF">2022-03-29T00:55:00Z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ies>
</file>