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03D55" w14:textId="6A2AF1D1" w:rsidR="00F961A7" w:rsidRPr="00C11CA5" w:rsidRDefault="00E11F4A" w:rsidP="00D05CC1">
      <w:pPr>
        <w:pStyle w:val="ContentsHeading"/>
        <w:spacing w:after="440"/>
      </w:pPr>
      <w:r w:rsidRPr="00E11F4A">
        <w:rPr>
          <w:sz w:val="16"/>
        </w:rPr>
        <w:fldChar w:fldCharType="begin"/>
      </w:r>
      <w:r w:rsidRPr="00E11F4A">
        <w:rPr>
          <w:sz w:val="16"/>
        </w:rPr>
        <w:instrText xml:space="preserve"> :Start Index: </w:instrText>
      </w:r>
      <w:r w:rsidRPr="00E11F4A">
        <w:rPr>
          <w:sz w:val="16"/>
        </w:rPr>
        <w:fldChar w:fldCharType="end"/>
      </w:r>
      <w:r w:rsidR="009339AE">
        <w:rPr>
          <w:sz w:val="16"/>
        </w:rPr>
        <w:fldChar w:fldCharType="begin"/>
      </w:r>
      <w:r w:rsidR="009339AE">
        <w:rPr>
          <w:sz w:val="16"/>
        </w:rPr>
        <w:instrText xml:space="preserve"> :Accountability:|IESD_KT1|Treasury|IESD|Katherine Tuck|David Cooper|David Cooper|4357 </w:instrText>
      </w:r>
      <w:r w:rsidR="009339AE">
        <w:rPr>
          <w:sz w:val="16"/>
        </w:rPr>
        <w:fldChar w:fldCharType="end"/>
      </w:r>
      <w:r w:rsidR="007D0641">
        <w:rPr>
          <w:sz w:val="16"/>
        </w:rPr>
        <w:fldChar w:fldCharType="begin"/>
      </w:r>
      <w:r w:rsidR="007D0641">
        <w:rPr>
          <w:sz w:val="16"/>
        </w:rPr>
        <w:instrText xml:space="preserve"> :Accountability:|IESD_CG1|Treasury|IESD|Christina Garbin|Tamara Hartwich|Tamara Hartwich|2514 </w:instrText>
      </w:r>
      <w:r w:rsidR="007D0641">
        <w:rPr>
          <w:sz w:val="16"/>
        </w:rPr>
        <w:fldChar w:fldCharType="end"/>
      </w:r>
      <w:r w:rsidR="001F2024">
        <w:rPr>
          <w:sz w:val="16"/>
        </w:rPr>
        <w:fldChar w:fldCharType="begin"/>
      </w:r>
      <w:r w:rsidR="001F2024">
        <w:rPr>
          <w:sz w:val="16"/>
        </w:rPr>
        <w:instrText xml:space="preserve"> :Accountability:|LEIID_LB1|Treasury|LEIID|Laura Berger-Thomson|Jessica Clark|Jessica Clark|3697 </w:instrText>
      </w:r>
      <w:r w:rsidR="001F2024">
        <w:rPr>
          <w:sz w:val="16"/>
        </w:rPr>
        <w:fldChar w:fldCharType="end"/>
      </w:r>
      <w:r w:rsidR="00E479F5">
        <w:rPr>
          <w:sz w:val="16"/>
        </w:rPr>
        <w:fldChar w:fldCharType="begin"/>
      </w:r>
      <w:r w:rsidR="00E479F5">
        <w:rPr>
          <w:sz w:val="16"/>
        </w:rPr>
        <w:instrText xml:space="preserve"> :Accountability:|TAD_KDM2|Treasury|TAD|Katrina Di Marco|Liz Jaspers|Liz Jaspers|3809 </w:instrText>
      </w:r>
      <w:r w:rsidR="00E479F5">
        <w:rPr>
          <w:sz w:val="16"/>
        </w:rPr>
        <w:fldChar w:fldCharType="end"/>
      </w:r>
      <w:r w:rsidR="00D10340">
        <w:rPr>
          <w:sz w:val="16"/>
        </w:rPr>
        <w:fldChar w:fldCharType="begin"/>
      </w:r>
      <w:r w:rsidR="00D10340">
        <w:rPr>
          <w:sz w:val="16"/>
        </w:rPr>
        <w:instrText xml:space="preserve"> :Accountability:|AOFM_RN1|Treasury|AOFM|Rob Nicholl|Megan Hardy|Luke Beveridge|1139 </w:instrText>
      </w:r>
      <w:r w:rsidR="00D10340">
        <w:rPr>
          <w:sz w:val="16"/>
        </w:rPr>
        <w:fldChar w:fldCharType="end"/>
      </w:r>
      <w:r w:rsidR="006E0A66">
        <w:rPr>
          <w:sz w:val="16"/>
        </w:rPr>
        <w:fldChar w:fldCharType="begin"/>
      </w:r>
      <w:r w:rsidR="006E0A66">
        <w:rPr>
          <w:sz w:val="16"/>
        </w:rPr>
        <w:instrText xml:space="preserve"> :Accountability:|LEIID_PB1|Treasury|LEIID|Philippa Brown|Jessica Clark|Simon Davis|2104 </w:instrText>
      </w:r>
      <w:r w:rsidR="006E0A66">
        <w:rPr>
          <w:sz w:val="16"/>
        </w:rPr>
        <w:fldChar w:fldCharType="end"/>
      </w:r>
      <w:r w:rsidR="00633640">
        <w:rPr>
          <w:sz w:val="16"/>
        </w:rPr>
        <w:fldChar w:fldCharType="begin"/>
      </w:r>
      <w:r w:rsidR="00633640">
        <w:rPr>
          <w:sz w:val="16"/>
        </w:rPr>
        <w:instrText xml:space="preserve"> :Accountability:|MECD_TP2|Treasury|MECD|Trevor Power|Myles Burleigh|Myles Burleigh|4172 </w:instrText>
      </w:r>
      <w:r w:rsidR="00633640">
        <w:rPr>
          <w:sz w:val="16"/>
        </w:rPr>
        <w:fldChar w:fldCharType="end"/>
      </w:r>
      <w:r w:rsidR="000B004B">
        <w:rPr>
          <w:sz w:val="16"/>
        </w:rPr>
        <w:fldChar w:fldCharType="begin"/>
      </w:r>
      <w:r w:rsidR="000B004B">
        <w:rPr>
          <w:sz w:val="16"/>
        </w:rPr>
        <w:instrText xml:space="preserve"> :Accountability:|MAPB_MC1|Treasury|MAPB|Mark Cully|David Lancaster|Peter Ireland|x4606 </w:instrText>
      </w:r>
      <w:r w:rsidR="000B004B">
        <w:rPr>
          <w:sz w:val="16"/>
        </w:rPr>
        <w:fldChar w:fldCharType="end"/>
      </w:r>
      <w:r w:rsidR="00154F08">
        <w:rPr>
          <w:sz w:val="16"/>
        </w:rPr>
        <w:fldChar w:fldCharType="begin"/>
      </w:r>
      <w:r w:rsidR="00154F08">
        <w:rPr>
          <w:sz w:val="16"/>
        </w:rPr>
        <w:instrText xml:space="preserve"> :Accountability:|MAPD_MC2|Treasury|MAPD|Mark Cully|Christian Vallence|Christian Vallence|3195 </w:instrText>
      </w:r>
      <w:r w:rsidR="00154F08">
        <w:rPr>
          <w:sz w:val="16"/>
        </w:rPr>
        <w:fldChar w:fldCharType="end"/>
      </w:r>
      <w:r w:rsidR="00C30F85">
        <w:rPr>
          <w:sz w:val="16"/>
        </w:rPr>
        <w:fldChar w:fldCharType="begin"/>
      </w:r>
      <w:r w:rsidR="00C30F85">
        <w:rPr>
          <w:sz w:val="16"/>
        </w:rPr>
        <w:instrText xml:space="preserve"> :Accountability:|FARM_LS1|Finance|FARM|Lasantha Samaranayake|Niki Lee|Niki Lee|6215-2697 </w:instrText>
      </w:r>
      <w:r w:rsidR="00C30F85">
        <w:rPr>
          <w:sz w:val="16"/>
        </w:rPr>
        <w:fldChar w:fldCharType="end"/>
      </w:r>
      <w:r w:rsidR="008B761F">
        <w:rPr>
          <w:sz w:val="16"/>
        </w:rPr>
        <w:fldChar w:fldCharType="begin"/>
      </w:r>
      <w:r w:rsidR="008B761F">
        <w:rPr>
          <w:sz w:val="16"/>
        </w:rPr>
        <w:instrText xml:space="preserve"> :Accountability:|BPCD_JM2|Finance|BPCD|Jillian Moses|Tahsina Islam|Tahsina Islam|02 6215 2180 </w:instrText>
      </w:r>
      <w:r w:rsidR="008B761F">
        <w:rPr>
          <w:sz w:val="16"/>
        </w:rPr>
        <w:fldChar w:fldCharType="end"/>
      </w:r>
      <w:r w:rsidR="005E4A35">
        <w:rPr>
          <w:sz w:val="16"/>
        </w:rPr>
        <w:fldChar w:fldCharType="begin"/>
      </w:r>
      <w:r w:rsidR="005E4A35">
        <w:rPr>
          <w:sz w:val="16"/>
        </w:rPr>
        <w:instrText xml:space="preserve"> :Accountability:|MAPD_MC1|Treasury|MAPD|Mark Cully|David Lancaster|David Lancaster|2093 </w:instrText>
      </w:r>
      <w:r w:rsidR="005E4A35">
        <w:rPr>
          <w:sz w:val="16"/>
        </w:rPr>
        <w:fldChar w:fldCharType="end"/>
      </w:r>
      <w:r w:rsidR="000629B2">
        <w:rPr>
          <w:sz w:val="16"/>
        </w:rPr>
        <w:fldChar w:fldCharType="begin"/>
      </w:r>
      <w:r w:rsidR="000629B2">
        <w:rPr>
          <w:sz w:val="16"/>
        </w:rPr>
        <w:instrText xml:space="preserve"> :Accountability:|BPD_BG3|Treasury|BPD|Brenton Goldsworthy|Mirren Allica|Brendan O'Connell|3652 </w:instrText>
      </w:r>
      <w:r w:rsidR="000629B2">
        <w:rPr>
          <w:sz w:val="16"/>
        </w:rPr>
        <w:fldChar w:fldCharType="end"/>
      </w:r>
      <w:r w:rsidR="00C06A37">
        <w:rPr>
          <w:sz w:val="16"/>
        </w:rPr>
        <w:fldChar w:fldCharType="begin"/>
      </w:r>
      <w:r w:rsidR="00C06A37">
        <w:rPr>
          <w:sz w:val="16"/>
        </w:rPr>
        <w:instrText xml:space="preserve"> :Accountability:|TAD_KDM1|Treasury|TAD|Katrina Di Marco|Mark Bott|Mark Bott|3571 </w:instrText>
      </w:r>
      <w:r w:rsidR="00C06A37">
        <w:rPr>
          <w:sz w:val="16"/>
        </w:rPr>
        <w:fldChar w:fldCharType="end"/>
      </w:r>
      <w:r w:rsidR="00C06A37">
        <w:rPr>
          <w:sz w:val="16"/>
        </w:rPr>
        <w:fldChar w:fldCharType="begin"/>
      </w:r>
      <w:r w:rsidR="00C06A37">
        <w:rPr>
          <w:sz w:val="16"/>
        </w:rPr>
        <w:instrText xml:space="preserve"> :Accountability:|SPD_LE1|Treasury|SPD|Lisa Elliston|Fergus Pope|Fergus Pope|4469 </w:instrText>
      </w:r>
      <w:r w:rsidR="00C06A37">
        <w:rPr>
          <w:sz w:val="16"/>
        </w:rPr>
        <w:fldChar w:fldCharType="end"/>
      </w:r>
      <w:r w:rsidR="00C06A37">
        <w:rPr>
          <w:sz w:val="16"/>
        </w:rPr>
        <w:fldChar w:fldCharType="begin"/>
      </w:r>
      <w:r w:rsidR="00C06A37">
        <w:rPr>
          <w:sz w:val="16"/>
        </w:rPr>
        <w:instrText xml:space="preserve"> :Accountability:|BPCD_JM1|Finance|BPCD|Jillian Moses|Adrian Rowles|Adrian Rowles|62153108 </w:instrText>
      </w:r>
      <w:r w:rsidR="00C06A37">
        <w:rPr>
          <w:sz w:val="16"/>
        </w:rPr>
        <w:fldChar w:fldCharType="end"/>
      </w:r>
      <w:r w:rsidR="00C06A37">
        <w:rPr>
          <w:sz w:val="16"/>
        </w:rPr>
        <w:fldChar w:fldCharType="begin"/>
      </w:r>
      <w:r w:rsidR="00C06A37">
        <w:rPr>
          <w:sz w:val="16"/>
        </w:rPr>
        <w:instrText xml:space="preserve"> :Accountability:|BPD_BG2|Treasury|BPD|Brenton Goldsworthy|Michael Denahy|Michael Denahy|3632 </w:instrText>
      </w:r>
      <w:r w:rsidR="00C06A37">
        <w:rPr>
          <w:sz w:val="16"/>
        </w:rPr>
        <w:fldChar w:fldCharType="end"/>
      </w:r>
      <w:r w:rsidR="00C06A37">
        <w:rPr>
          <w:sz w:val="16"/>
        </w:rPr>
        <w:fldChar w:fldCharType="begin"/>
      </w:r>
      <w:r w:rsidR="00C06A37">
        <w:rPr>
          <w:sz w:val="16"/>
        </w:rPr>
        <w:instrText xml:space="preserve"> :Accountability:|MECD_TP1|Treasury|MECD|Trevor Power|Caroline Gibbons|Caroline Gibbons|2903 </w:instrText>
      </w:r>
      <w:r w:rsidR="00C06A37">
        <w:rPr>
          <w:sz w:val="16"/>
        </w:rPr>
        <w:fldChar w:fldCharType="end"/>
      </w:r>
      <w:r w:rsidR="008E71A5">
        <w:rPr>
          <w:sz w:val="16"/>
        </w:rPr>
        <w:fldChar w:fldCharType="begin"/>
      </w:r>
      <w:r w:rsidR="008E71A5">
        <w:rPr>
          <w:sz w:val="16"/>
        </w:rPr>
        <w:instrText xml:space="preserve"> :Accountability:|BPD_BG1|Treasury|BPD|Brenton Goldsworthy|Owen Freestone|Holly Rose McMath|3282 </w:instrText>
      </w:r>
      <w:r w:rsidR="008E71A5">
        <w:rPr>
          <w:sz w:val="16"/>
        </w:rPr>
        <w:fldChar w:fldCharType="end"/>
      </w:r>
      <w:r w:rsidRPr="00E11F4A">
        <w:rPr>
          <w:sz w:val="16"/>
        </w:rPr>
        <w:fldChar w:fldCharType="begin"/>
      </w:r>
      <w:r w:rsidRPr="00E11F4A">
        <w:rPr>
          <w:sz w:val="16"/>
        </w:rPr>
        <w:instrText xml:space="preserve"> :End Index: </w:instrText>
      </w:r>
      <w:r w:rsidRPr="00E11F4A">
        <w:rPr>
          <w:sz w:val="16"/>
        </w:rPr>
        <w:fldChar w:fldCharType="end"/>
      </w:r>
      <w:r w:rsidR="00220885">
        <w:rPr>
          <w:sz w:val="16"/>
        </w:rPr>
        <w:fldChar w:fldCharType="begin"/>
      </w:r>
      <w:r w:rsidR="00220885">
        <w:rPr>
          <w:sz w:val="16"/>
        </w:rPr>
        <w:instrText xml:space="preserve"> :Start:</w:instrText>
      </w:r>
      <w:r w:rsidR="008E71A5">
        <w:rPr>
          <w:sz w:val="16"/>
        </w:rPr>
        <w:instrText>BPD_BG1</w:instrText>
      </w:r>
      <w:r w:rsidR="00220885">
        <w:rPr>
          <w:sz w:val="16"/>
        </w:rPr>
        <w:instrText xml:space="preserve"> </w:instrText>
      </w:r>
      <w:r w:rsidR="00220885">
        <w:rPr>
          <w:sz w:val="16"/>
        </w:rPr>
        <w:fldChar w:fldCharType="end"/>
      </w:r>
      <w:r w:rsidR="00F961A7" w:rsidRPr="00FD24B8">
        <w:t>Statement 3: Fiscal Strategy and Outlook</w:t>
      </w:r>
      <w:r w:rsidR="00220885">
        <w:fldChar w:fldCharType="begin"/>
      </w:r>
      <w:r w:rsidR="00220885">
        <w:instrText xml:space="preserve"> :End:</w:instrText>
      </w:r>
      <w:r w:rsidR="008E71A5">
        <w:instrText>BPD_BG1</w:instrText>
      </w:r>
      <w:r w:rsidR="00220885">
        <w:instrText xml:space="preserve"> </w:instrText>
      </w:r>
      <w:r w:rsidR="00220885">
        <w:fldChar w:fldCharType="end"/>
      </w:r>
    </w:p>
    <w:tbl>
      <w:tblPr>
        <w:tblW w:w="5000" w:type="pct"/>
        <w:jc w:val="center"/>
        <w:shd w:val="clear" w:color="auto" w:fill="F4FEFE"/>
        <w:tblLayout w:type="fixed"/>
        <w:tblCellMar>
          <w:top w:w="284" w:type="dxa"/>
          <w:left w:w="284" w:type="dxa"/>
          <w:bottom w:w="284" w:type="dxa"/>
          <w:right w:w="284" w:type="dxa"/>
        </w:tblCellMar>
        <w:tblLook w:val="0000" w:firstRow="0" w:lastRow="0" w:firstColumn="0" w:lastColumn="0" w:noHBand="0" w:noVBand="0"/>
      </w:tblPr>
      <w:tblGrid>
        <w:gridCol w:w="7710"/>
      </w:tblGrid>
      <w:tr w:rsidR="00F961A7" w:rsidRPr="00C11CA5" w14:paraId="659A9C76" w14:textId="77777777" w:rsidTr="00234A14">
        <w:trPr>
          <w:trHeight w:val="9413"/>
          <w:jc w:val="center"/>
        </w:trPr>
        <w:tc>
          <w:tcPr>
            <w:tcW w:w="7655" w:type="dxa"/>
            <w:shd w:val="clear" w:color="auto" w:fill="F2F9FC"/>
            <w:tcMar>
              <w:top w:w="227" w:type="dxa"/>
              <w:left w:w="227" w:type="dxa"/>
              <w:bottom w:w="227" w:type="dxa"/>
              <w:right w:w="227" w:type="dxa"/>
            </w:tcMar>
          </w:tcPr>
          <w:p w14:paraId="4083FDFC" w14:textId="04CBA582" w:rsidR="00B12D38" w:rsidRPr="00FD24B8" w:rsidRDefault="00D50220" w:rsidP="00B12D38">
            <w:r>
              <w:fldChar w:fldCharType="begin"/>
            </w:r>
            <w:r>
              <w:instrText xml:space="preserve"> :Start:</w:instrText>
            </w:r>
            <w:r w:rsidR="008E71A5">
              <w:instrText>BPD_BG1</w:instrText>
            </w:r>
            <w:r>
              <w:instrText xml:space="preserve"> </w:instrText>
            </w:r>
            <w:r>
              <w:fldChar w:fldCharType="end"/>
            </w:r>
            <w:r w:rsidR="00B12D38" w:rsidRPr="00FD24B8">
              <w:t>The Government’s fiscal policy settings have served Australia well. The substantial COVID</w:t>
            </w:r>
            <w:r w:rsidR="0031144A" w:rsidRPr="00FD24B8">
              <w:noBreakHyphen/>
            </w:r>
            <w:r w:rsidR="00B12D38" w:rsidRPr="00FD24B8">
              <w:t>19 economic support along with Australia’s success in managing the health situation has been instrumental in the strong economic recovery, which is now delivering a large fiscal dividend. The fiscal position has continued to improve markedly despite significant challenges including the Omicron outbreaks</w:t>
            </w:r>
            <w:r w:rsidR="00FD4640" w:rsidRPr="00FD24B8">
              <w:t xml:space="preserve"> and</w:t>
            </w:r>
            <w:r w:rsidR="00B12D38" w:rsidRPr="00FD24B8">
              <w:t xml:space="preserve"> the recent floods in Queensland and New South Wales</w:t>
            </w:r>
            <w:r w:rsidR="00FD4640" w:rsidRPr="00FD24B8">
              <w:t>.</w:t>
            </w:r>
          </w:p>
          <w:p w14:paraId="2595EC89" w14:textId="3FA814BC" w:rsidR="007C2710" w:rsidRPr="00FD24B8" w:rsidRDefault="007C2710" w:rsidP="007C2710">
            <w:pPr>
              <w:rPr>
                <w:rFonts w:eastAsiaTheme="minorEastAsia"/>
              </w:rPr>
            </w:pPr>
            <w:r w:rsidRPr="00FD24B8">
              <w:t xml:space="preserve">The Government </w:t>
            </w:r>
            <w:r w:rsidRPr="00FD24B8" w:rsidDel="008F3956">
              <w:t xml:space="preserve">has </w:t>
            </w:r>
            <w:r w:rsidRPr="00FD24B8">
              <w:t xml:space="preserve">transitioned to the </w:t>
            </w:r>
            <w:r w:rsidR="005C14DC" w:rsidRPr="00FD24B8">
              <w:t xml:space="preserve">second </w:t>
            </w:r>
            <w:r w:rsidRPr="00FD24B8">
              <w:t xml:space="preserve">phase of </w:t>
            </w:r>
            <w:r w:rsidR="009D4D5C" w:rsidRPr="00FD24B8">
              <w:t>the</w:t>
            </w:r>
            <w:r w:rsidRPr="00FD24B8">
              <w:t xml:space="preserve"> Economic and Fiscal Strategy, consistent with </w:t>
            </w:r>
            <w:r w:rsidRPr="00FD24B8">
              <w:rPr>
                <w:rFonts w:eastAsiaTheme="minorEastAsia"/>
                <w:lang w:eastAsia="en-US"/>
              </w:rPr>
              <w:t xml:space="preserve">the strength of the economic recovery and </w:t>
            </w:r>
            <w:r w:rsidR="00647F54" w:rsidRPr="00FD24B8">
              <w:rPr>
                <w:rFonts w:eastAsiaTheme="minorEastAsia"/>
                <w:lang w:eastAsia="en-US"/>
              </w:rPr>
              <w:t>having achieved the objective of low unemployment</w:t>
            </w:r>
            <w:r w:rsidRPr="00FD24B8">
              <w:rPr>
                <w:rFonts w:eastAsiaTheme="minorEastAsia"/>
                <w:lang w:eastAsia="en-US"/>
              </w:rPr>
              <w:t xml:space="preserve">. </w:t>
            </w:r>
            <w:r w:rsidR="00D50220" w:rsidRPr="00FD24B8">
              <w:rPr>
                <w:rFonts w:eastAsiaTheme="minorEastAsia"/>
                <w:lang w:eastAsia="en-US"/>
              </w:rPr>
              <w:fldChar w:fldCharType="begin"/>
            </w:r>
            <w:r w:rsidR="00D50220" w:rsidRPr="00FD24B8">
              <w:rPr>
                <w:rFonts w:eastAsiaTheme="minorEastAsia"/>
                <w:lang w:eastAsia="en-US"/>
              </w:rPr>
              <w:instrText xml:space="preserve"> :End:</w:instrText>
            </w:r>
            <w:r w:rsidR="008E71A5" w:rsidRPr="00FD24B8">
              <w:rPr>
                <w:rFonts w:eastAsiaTheme="minorEastAsia"/>
                <w:lang w:eastAsia="en-US"/>
              </w:rPr>
              <w:instrText>BPD_BG1</w:instrText>
            </w:r>
            <w:r w:rsidR="00D50220" w:rsidRPr="00FD24B8">
              <w:rPr>
                <w:rFonts w:eastAsiaTheme="minorEastAsia"/>
                <w:lang w:eastAsia="en-US"/>
              </w:rPr>
              <w:instrText xml:space="preserve"> </w:instrText>
            </w:r>
            <w:r w:rsidR="00D50220" w:rsidRPr="00FD24B8">
              <w:rPr>
                <w:rFonts w:eastAsiaTheme="minorEastAsia"/>
                <w:lang w:eastAsia="en-US"/>
              </w:rPr>
              <w:fldChar w:fldCharType="end"/>
            </w:r>
            <w:r w:rsidR="0025640E" w:rsidRPr="00FD24B8">
              <w:fldChar w:fldCharType="begin"/>
            </w:r>
            <w:r w:rsidR="0025640E" w:rsidRPr="00FD24B8">
              <w:instrText xml:space="preserve"> :Start:BPD_BG1 </w:instrText>
            </w:r>
            <w:r w:rsidR="0025640E" w:rsidRPr="00FD24B8">
              <w:fldChar w:fldCharType="end"/>
            </w:r>
            <w:r w:rsidRPr="00FD24B8">
              <w:t xml:space="preserve">By supporting economic growth over the medium term, the strategy will underpin stronger public finances, guarantee provision of essential services and </w:t>
            </w:r>
            <w:r w:rsidR="000107AC" w:rsidRPr="00FD24B8">
              <w:t>maintain taxes within the 23.9 per cent tax</w:t>
            </w:r>
            <w:r w:rsidR="0031144A" w:rsidRPr="00FD24B8">
              <w:noBreakHyphen/>
            </w:r>
            <w:r w:rsidR="000107AC" w:rsidRPr="00FD24B8">
              <w:t>to</w:t>
            </w:r>
            <w:r w:rsidR="0031144A" w:rsidRPr="00FD24B8">
              <w:noBreakHyphen/>
            </w:r>
            <w:r w:rsidR="000107AC" w:rsidRPr="00FD24B8">
              <w:t>GDP cap</w:t>
            </w:r>
            <w:r w:rsidRPr="00FD24B8">
              <w:t xml:space="preserve">. </w:t>
            </w:r>
          </w:p>
          <w:p w14:paraId="4BBB13D0" w14:textId="43DD9EC5" w:rsidR="00AE6E75" w:rsidRPr="00750AA1" w:rsidRDefault="002363D8" w:rsidP="00A557C0">
            <w:r w:rsidRPr="00FD24B8">
              <w:t>This Budget projects stronger finances with a substantial $1</w:t>
            </w:r>
            <w:r w:rsidR="00A13614" w:rsidRPr="00FD24B8">
              <w:t>03.6</w:t>
            </w:r>
            <w:r w:rsidRPr="00FD24B8">
              <w:t xml:space="preserve"> billion improvement in the underlying cash balance over the </w:t>
            </w:r>
            <w:r w:rsidR="002E583F" w:rsidRPr="00FD24B8">
              <w:t>5</w:t>
            </w:r>
            <w:r w:rsidRPr="00FD24B8">
              <w:t xml:space="preserve"> years to 2025</w:t>
            </w:r>
            <w:r w:rsidR="00A13614" w:rsidRPr="00FD24B8">
              <w:noBreakHyphen/>
            </w:r>
            <w:r w:rsidRPr="00FD24B8">
              <w:t>26</w:t>
            </w:r>
            <w:r w:rsidR="009B5C88" w:rsidRPr="00FD24B8">
              <w:t xml:space="preserve"> since MYEFO</w:t>
            </w:r>
            <w:r w:rsidRPr="00FD24B8">
              <w:t>. The underlying cash deficit in 2022</w:t>
            </w:r>
            <w:r w:rsidRPr="00FD24B8">
              <w:noBreakHyphen/>
              <w:t>23 is expected to be $</w:t>
            </w:r>
            <w:r w:rsidR="00726705" w:rsidRPr="00FD24B8">
              <w:t>78.0</w:t>
            </w:r>
            <w:r w:rsidRPr="00FD24B8">
              <w:t> billion (3.</w:t>
            </w:r>
            <w:r w:rsidR="004F7264" w:rsidRPr="00FD24B8">
              <w:t>4 </w:t>
            </w:r>
            <w:r w:rsidRPr="00FD24B8">
              <w:t>per cent of GDP), a $</w:t>
            </w:r>
            <w:r w:rsidR="004F7264" w:rsidRPr="00FD24B8">
              <w:t>20.9</w:t>
            </w:r>
            <w:r w:rsidRPr="00FD24B8">
              <w:t xml:space="preserve"> billion improvement </w:t>
            </w:r>
            <w:r w:rsidR="00E73BCF" w:rsidRPr="00FD24B8">
              <w:t>from</w:t>
            </w:r>
            <w:r w:rsidRPr="00FD24B8">
              <w:t xml:space="preserve"> MYEFO. </w:t>
            </w:r>
            <w:r w:rsidR="0084525F" w:rsidRPr="00FD24B8">
              <w:fldChar w:fldCharType="begin"/>
            </w:r>
            <w:r w:rsidR="0084525F" w:rsidRPr="00FD24B8">
              <w:instrText xml:space="preserve"> :End:BPD_BG1 </w:instrText>
            </w:r>
            <w:r w:rsidR="0084525F" w:rsidRPr="00FD24B8">
              <w:fldChar w:fldCharType="end"/>
            </w:r>
            <w:r w:rsidR="0084525F" w:rsidRPr="00FD24B8">
              <w:fldChar w:fldCharType="begin"/>
            </w:r>
            <w:r w:rsidR="0084525F" w:rsidRPr="00FD24B8">
              <w:instrText xml:space="preserve"> :Start:BPD_BG3 </w:instrText>
            </w:r>
            <w:r w:rsidR="0084525F" w:rsidRPr="00FD24B8">
              <w:fldChar w:fldCharType="end"/>
            </w:r>
            <w:r w:rsidRPr="00FD24B8">
              <w:t xml:space="preserve">The deficit is expected to </w:t>
            </w:r>
            <w:r w:rsidR="008D7635" w:rsidRPr="00FD24B8">
              <w:t xml:space="preserve">halve as a share of the economy over the forward estimates </w:t>
            </w:r>
            <w:r w:rsidRPr="00FD24B8">
              <w:t>to $</w:t>
            </w:r>
            <w:r w:rsidR="00A61908" w:rsidRPr="00FD24B8">
              <w:t>43.1</w:t>
            </w:r>
            <w:r w:rsidRPr="00FD24B8">
              <w:t> billion (</w:t>
            </w:r>
            <w:r w:rsidR="00A61908" w:rsidRPr="00FD24B8">
              <w:t>1.6</w:t>
            </w:r>
            <w:r w:rsidRPr="00FD24B8">
              <w:t> per cent of GDP) in 2025</w:t>
            </w:r>
            <w:r w:rsidRPr="00FD24B8">
              <w:noBreakHyphen/>
              <w:t xml:space="preserve">26 and </w:t>
            </w:r>
            <w:r w:rsidR="00005921" w:rsidRPr="00FD24B8">
              <w:t xml:space="preserve">continue to decline </w:t>
            </w:r>
            <w:r w:rsidRPr="00FD24B8">
              <w:t xml:space="preserve">to </w:t>
            </w:r>
            <w:r w:rsidR="00C84EDA" w:rsidRPr="00FD24B8">
              <w:t>0.</w:t>
            </w:r>
            <w:r w:rsidR="002D7C12" w:rsidRPr="00FD24B8">
              <w:t>7</w:t>
            </w:r>
            <w:r w:rsidRPr="00FD24B8">
              <w:t> per cent of GDP by 2032</w:t>
            </w:r>
            <w:r w:rsidR="0031144A" w:rsidRPr="00FD24B8">
              <w:noBreakHyphen/>
            </w:r>
            <w:r w:rsidRPr="00FD24B8">
              <w:t>33.</w:t>
            </w:r>
            <w:r w:rsidR="0025640E" w:rsidRPr="00FD24B8">
              <w:t xml:space="preserve"> </w:t>
            </w:r>
            <w:r w:rsidR="0025640E" w:rsidRPr="00750AA1">
              <w:fldChar w:fldCharType="begin"/>
            </w:r>
            <w:r w:rsidR="0025640E" w:rsidRPr="00750AA1">
              <w:instrText xml:space="preserve"> :End:BPD_BG</w:instrText>
            </w:r>
            <w:r w:rsidR="0084525F">
              <w:instrText>3</w:instrText>
            </w:r>
            <w:r w:rsidR="0025640E" w:rsidRPr="00750AA1">
              <w:instrText xml:space="preserve"> </w:instrText>
            </w:r>
            <w:r w:rsidR="0025640E" w:rsidRPr="00750AA1">
              <w:fldChar w:fldCharType="end"/>
            </w:r>
          </w:p>
          <w:p w14:paraId="334127A4" w14:textId="77D3398F" w:rsidR="00F961A7" w:rsidRPr="003039EC" w:rsidRDefault="000629B2">
            <w:r>
              <w:fldChar w:fldCharType="begin"/>
            </w:r>
            <w:r>
              <w:instrText xml:space="preserve"> :Start:BPD_BG1 </w:instrText>
            </w:r>
            <w:r>
              <w:fldChar w:fldCharType="end"/>
            </w:r>
            <w:r w:rsidR="002363D8" w:rsidRPr="00FD24B8">
              <w:t xml:space="preserve">Consistent with the </w:t>
            </w:r>
            <w:r w:rsidR="00E37624" w:rsidRPr="00FD24B8">
              <w:t>Econo</w:t>
            </w:r>
            <w:r w:rsidR="00217338" w:rsidRPr="00FD24B8">
              <w:t>mic and</w:t>
            </w:r>
            <w:r w:rsidR="002363D8" w:rsidRPr="00FD24B8">
              <w:t xml:space="preserve"> Fiscal Strategy, the</w:t>
            </w:r>
            <w:r w:rsidR="00953ADE" w:rsidRPr="00FD24B8">
              <w:t xml:space="preserve"> stronger economy and smaller deficits </w:t>
            </w:r>
            <w:r w:rsidR="00E57C67" w:rsidRPr="00FD24B8">
              <w:t xml:space="preserve">are </w:t>
            </w:r>
            <w:r w:rsidR="00DC69E6" w:rsidRPr="00FD24B8">
              <w:t>expected to see g</w:t>
            </w:r>
            <w:r w:rsidR="0026000F" w:rsidRPr="00FD24B8">
              <w:t xml:space="preserve">ross </w:t>
            </w:r>
            <w:r w:rsidR="007564BC" w:rsidRPr="00FD24B8">
              <w:t xml:space="preserve">debt as a share of the economy </w:t>
            </w:r>
            <w:r w:rsidR="00EC1640" w:rsidRPr="00FD24B8">
              <w:t xml:space="preserve">peak </w:t>
            </w:r>
            <w:r w:rsidR="003B0AE4" w:rsidRPr="00FD24B8" w:rsidDel="00E574A7">
              <w:t xml:space="preserve">at </w:t>
            </w:r>
            <w:r w:rsidR="00BC7670" w:rsidRPr="00FD24B8">
              <w:t>44.</w:t>
            </w:r>
            <w:r w:rsidR="00EA190F" w:rsidRPr="00FD24B8">
              <w:t>9</w:t>
            </w:r>
            <w:r w:rsidR="00BC7670" w:rsidRPr="00FD24B8">
              <w:t xml:space="preserve"> per cent of GDP</w:t>
            </w:r>
            <w:r w:rsidR="00EC1640" w:rsidRPr="00FD24B8">
              <w:t xml:space="preserve"> </w:t>
            </w:r>
            <w:proofErr w:type="gramStart"/>
            <w:r w:rsidR="00215F9F" w:rsidRPr="00FD24B8">
              <w:t>at</w:t>
            </w:r>
            <w:proofErr w:type="gramEnd"/>
            <w:r w:rsidR="00215F9F" w:rsidRPr="00FD24B8">
              <w:t xml:space="preserve"> 30</w:t>
            </w:r>
            <w:r w:rsidR="002363D8" w:rsidRPr="00FD24B8">
              <w:t xml:space="preserve"> </w:t>
            </w:r>
            <w:r w:rsidR="00215F9F" w:rsidRPr="00FD24B8">
              <w:t>June</w:t>
            </w:r>
            <w:r w:rsidR="002363D8" w:rsidRPr="00FD24B8">
              <w:t xml:space="preserve"> </w:t>
            </w:r>
            <w:r w:rsidR="00BC7670" w:rsidRPr="00FD24B8">
              <w:t>202</w:t>
            </w:r>
            <w:r w:rsidR="001F4AAB" w:rsidRPr="00FD24B8">
              <w:t>5</w:t>
            </w:r>
            <w:r w:rsidR="00EC1640" w:rsidRPr="00FD24B8">
              <w:t xml:space="preserve">, </w:t>
            </w:r>
            <w:r w:rsidRPr="00FD24B8">
              <w:fldChar w:fldCharType="begin"/>
            </w:r>
            <w:r w:rsidRPr="00FD24B8">
              <w:instrText xml:space="preserve"> :End:BPD_BG1 </w:instrText>
            </w:r>
            <w:r w:rsidRPr="00FD24B8">
              <w:fldChar w:fldCharType="end"/>
            </w:r>
            <w:r w:rsidR="004B07CC" w:rsidRPr="00FD24B8">
              <w:fldChar w:fldCharType="begin"/>
            </w:r>
            <w:r w:rsidR="004B07CC" w:rsidRPr="00FD24B8">
              <w:instrText xml:space="preserve"> :Start:BPD_BG3 </w:instrText>
            </w:r>
            <w:r w:rsidR="004B07CC" w:rsidRPr="00FD24B8">
              <w:fldChar w:fldCharType="end"/>
            </w:r>
            <w:r w:rsidR="00084458" w:rsidRPr="00FD24B8" w:rsidDel="00E57A30">
              <w:t>5.</w:t>
            </w:r>
            <w:r w:rsidR="00702D58" w:rsidRPr="00FD24B8" w:rsidDel="00E57A30">
              <w:t>4</w:t>
            </w:r>
            <w:r w:rsidR="002363D8" w:rsidRPr="00FD24B8" w:rsidDel="00E57A30">
              <w:t xml:space="preserve"> </w:t>
            </w:r>
            <w:r w:rsidR="00084458" w:rsidRPr="00FD24B8" w:rsidDel="00E57A30">
              <w:t>percentage</w:t>
            </w:r>
            <w:r w:rsidR="002363D8" w:rsidRPr="00FD24B8" w:rsidDel="00E57A30">
              <w:t xml:space="preserve"> </w:t>
            </w:r>
            <w:r w:rsidR="00084458" w:rsidRPr="00FD24B8" w:rsidDel="00E57A30">
              <w:t>points</w:t>
            </w:r>
            <w:r w:rsidR="00AF66C9" w:rsidRPr="00FD24B8" w:rsidDel="00E57A30">
              <w:t xml:space="preserve"> </w:t>
            </w:r>
            <w:r w:rsidR="00F53CF4" w:rsidRPr="00FD24B8">
              <w:t xml:space="preserve">lower and </w:t>
            </w:r>
            <w:r w:rsidR="00414CE9" w:rsidRPr="00FD24B8">
              <w:t>4</w:t>
            </w:r>
            <w:r w:rsidR="00F53CF4" w:rsidRPr="00FD24B8">
              <w:t xml:space="preserve"> years earlier than </w:t>
            </w:r>
            <w:r w:rsidR="00B7430B" w:rsidRPr="00FD24B8">
              <w:t xml:space="preserve">at </w:t>
            </w:r>
            <w:r w:rsidR="00F53CF4" w:rsidRPr="00FD24B8">
              <w:t>MYEFO</w:t>
            </w:r>
            <w:r w:rsidR="00AF66C9" w:rsidRPr="00FD24B8">
              <w:t xml:space="preserve">. Gross debt is </w:t>
            </w:r>
            <w:r w:rsidR="00EC1640" w:rsidRPr="00FD24B8" w:rsidDel="00AF66C9">
              <w:t>then</w:t>
            </w:r>
            <w:r w:rsidR="00AF66C9" w:rsidRPr="00FD24B8">
              <w:t xml:space="preserve"> projected to</w:t>
            </w:r>
            <w:r w:rsidR="00EC1640" w:rsidRPr="00FD24B8">
              <w:t xml:space="preserve"> fall to </w:t>
            </w:r>
            <w:r w:rsidR="00105406" w:rsidRPr="00FD24B8">
              <w:t>4</w:t>
            </w:r>
            <w:r w:rsidR="008D1DEB" w:rsidRPr="00FD24B8">
              <w:t>0.3</w:t>
            </w:r>
            <w:r w:rsidR="00EC1640" w:rsidRPr="00FD24B8">
              <w:t xml:space="preserve"> per cent of GDP</w:t>
            </w:r>
            <w:r w:rsidR="005074FA" w:rsidRPr="00FD24B8">
              <w:t xml:space="preserve"> </w:t>
            </w:r>
            <w:r w:rsidR="00EC1640" w:rsidRPr="00FD24B8">
              <w:t>by the end of the medium term</w:t>
            </w:r>
            <w:r w:rsidR="00F97647" w:rsidRPr="00FD24B8">
              <w:t xml:space="preserve">, </w:t>
            </w:r>
            <w:r w:rsidR="00D349DD" w:rsidRPr="00FD24B8">
              <w:t>9.6 percentage points lower</w:t>
            </w:r>
            <w:r w:rsidR="006F7106" w:rsidRPr="00FD24B8">
              <w:t xml:space="preserve"> or $236 billion lower</w:t>
            </w:r>
            <w:r w:rsidR="00D349DD" w:rsidRPr="00FD24B8">
              <w:t xml:space="preserve"> than expected at MYEFO</w:t>
            </w:r>
            <w:r>
              <w:fldChar w:fldCharType="begin"/>
            </w:r>
            <w:r>
              <w:instrText xml:space="preserve"> :End:BPD_BG3 </w:instrText>
            </w:r>
            <w:r>
              <w:fldChar w:fldCharType="end"/>
            </w:r>
            <w:r w:rsidR="00EC1640" w:rsidRPr="00BE6368">
              <w:t xml:space="preserve">. </w:t>
            </w:r>
            <w:r>
              <w:fldChar w:fldCharType="begin"/>
            </w:r>
            <w:r>
              <w:instrText xml:space="preserve"> :Start:BPD_BG1 </w:instrText>
            </w:r>
            <w:r>
              <w:fldChar w:fldCharType="end"/>
            </w:r>
            <w:r w:rsidR="00EC1640" w:rsidRPr="00FD24B8">
              <w:t xml:space="preserve">This demonstrates the dividend of </w:t>
            </w:r>
            <w:r w:rsidR="00CE09F1" w:rsidRPr="00FD24B8">
              <w:t xml:space="preserve">a clear Economic and Fiscal Strategy that has delivered a stronger economy and </w:t>
            </w:r>
            <w:r w:rsidR="00654ABE" w:rsidRPr="00FD24B8">
              <w:t>low unemployment</w:t>
            </w:r>
            <w:r w:rsidR="00CE09F1" w:rsidRPr="00FD24B8">
              <w:t>.</w:t>
            </w:r>
            <w:r w:rsidR="000558A3" w:rsidRPr="00FD24B8">
              <w:t xml:space="preserve"> It </w:t>
            </w:r>
            <w:r w:rsidR="00877D89" w:rsidRPr="00FD24B8">
              <w:t xml:space="preserve">is </w:t>
            </w:r>
            <w:r w:rsidR="000558A3" w:rsidRPr="00FD24B8">
              <w:t>also</w:t>
            </w:r>
            <w:r w:rsidR="00877D89" w:rsidRPr="00FD24B8">
              <w:t xml:space="preserve"> an important step </w:t>
            </w:r>
            <w:r w:rsidR="00C728A5" w:rsidRPr="00FD24B8">
              <w:t xml:space="preserve">in </w:t>
            </w:r>
            <w:r w:rsidR="00BE73F7" w:rsidRPr="00FD24B8">
              <w:t xml:space="preserve">the </w:t>
            </w:r>
            <w:r w:rsidR="00EC516F" w:rsidRPr="00FD24B8">
              <w:t>longer</w:t>
            </w:r>
            <w:r w:rsidR="0031144A" w:rsidRPr="00FD24B8">
              <w:noBreakHyphen/>
            </w:r>
            <w:r w:rsidR="00EC516F" w:rsidRPr="00FD24B8">
              <w:t xml:space="preserve">term </w:t>
            </w:r>
            <w:r w:rsidR="00BE73F7" w:rsidRPr="00FD24B8">
              <w:t xml:space="preserve">task of </w:t>
            </w:r>
            <w:r w:rsidR="00560C97" w:rsidRPr="00FD24B8">
              <w:t xml:space="preserve">steadily </w:t>
            </w:r>
            <w:r w:rsidR="00BE73F7" w:rsidRPr="00FD24B8">
              <w:t xml:space="preserve">reducing debt </w:t>
            </w:r>
            <w:r w:rsidR="00112A0C" w:rsidRPr="00FD24B8">
              <w:t xml:space="preserve">and </w:t>
            </w:r>
            <w:r w:rsidR="00A40C32" w:rsidRPr="00FD24B8">
              <w:t>rebuild</w:t>
            </w:r>
            <w:r w:rsidR="00112A0C" w:rsidRPr="00FD24B8">
              <w:t>ing</w:t>
            </w:r>
            <w:r w:rsidR="00A40C32" w:rsidRPr="00FD24B8">
              <w:t xml:space="preserve"> </w:t>
            </w:r>
            <w:r w:rsidR="00BE73F7" w:rsidRPr="00FD24B8">
              <w:t>fiscal buffers</w:t>
            </w:r>
            <w:r w:rsidR="0090310B" w:rsidRPr="00FD24B8">
              <w:t xml:space="preserve">, which </w:t>
            </w:r>
            <w:r w:rsidR="00837427" w:rsidRPr="00FD24B8">
              <w:t>will</w:t>
            </w:r>
            <w:r w:rsidR="00BB18B6" w:rsidRPr="00FD24B8">
              <w:t xml:space="preserve"> </w:t>
            </w:r>
            <w:r w:rsidR="00EC0A56" w:rsidRPr="00FD24B8">
              <w:t xml:space="preserve">ensure Australia </w:t>
            </w:r>
            <w:r w:rsidR="00A24556" w:rsidRPr="00FD24B8">
              <w:t xml:space="preserve">remains </w:t>
            </w:r>
            <w:r w:rsidR="00EC0A56" w:rsidRPr="00FD24B8">
              <w:t xml:space="preserve">well placed to respond to </w:t>
            </w:r>
            <w:r w:rsidR="00BE73F7" w:rsidRPr="00FD24B8">
              <w:t>future shocks</w:t>
            </w:r>
            <w:r w:rsidR="00EC1640" w:rsidRPr="00FD24B8">
              <w:t>.</w:t>
            </w:r>
            <w:r>
              <w:fldChar w:fldCharType="begin"/>
            </w:r>
            <w:r>
              <w:instrText xml:space="preserve"> :End:BPD_BG1 </w:instrText>
            </w:r>
            <w:r>
              <w:fldChar w:fldCharType="end"/>
            </w:r>
          </w:p>
        </w:tc>
      </w:tr>
    </w:tbl>
    <w:p w14:paraId="77714B8E" w14:textId="7017A89C" w:rsidR="00F961A7" w:rsidRPr="00C11CA5" w:rsidRDefault="00F961A7" w:rsidP="00F961A7">
      <w:pPr>
        <w:pStyle w:val="OverviewParagraph"/>
        <w:spacing w:before="0" w:after="0"/>
        <w:jc w:val="left"/>
        <w:rPr>
          <w:sz w:val="4"/>
          <w:szCs w:val="4"/>
        </w:rPr>
        <w:sectPr w:rsidR="00F961A7" w:rsidRPr="00C11CA5" w:rsidSect="000D0115">
          <w:headerReference w:type="even" r:id="rId11"/>
          <w:headerReference w:type="default" r:id="rId12"/>
          <w:footerReference w:type="even" r:id="rId13"/>
          <w:footerReference w:type="default" r:id="rId14"/>
          <w:footerReference w:type="first" r:id="rId15"/>
          <w:pgSz w:w="11906" w:h="16838" w:code="9"/>
          <w:pgMar w:top="2835" w:right="2098" w:bottom="2466" w:left="2098" w:header="1814" w:footer="1814" w:gutter="0"/>
          <w:pgNumType w:start="69"/>
          <w:cols w:space="708"/>
          <w:titlePg/>
          <w:docGrid w:linePitch="360"/>
        </w:sectPr>
      </w:pPr>
    </w:p>
    <w:p w14:paraId="506C8DFB" w14:textId="0BD78481" w:rsidR="00F961A7" w:rsidRDefault="004B2252" w:rsidP="00F961A7">
      <w:pPr>
        <w:pStyle w:val="ContentsHeading"/>
      </w:pPr>
      <w:r>
        <w:lastRenderedPageBreak/>
        <w:fldChar w:fldCharType="begin"/>
      </w:r>
      <w:r>
        <w:instrText xml:space="preserve"> :Start:BPD_BG1 </w:instrText>
      </w:r>
      <w:r>
        <w:fldChar w:fldCharType="end"/>
      </w:r>
      <w:r w:rsidR="00F961A7" w:rsidRPr="00FD24B8">
        <w:t>Contents</w:t>
      </w:r>
    </w:p>
    <w:p w14:paraId="28D5A056" w14:textId="22A5FBEA" w:rsidR="00CC077B" w:rsidRPr="00FD24B8" w:rsidRDefault="00CC077B" w:rsidP="00CC077B">
      <w:pPr>
        <w:pStyle w:val="TOC1"/>
        <w:rPr>
          <w:rFonts w:asciiTheme="minorHAnsi" w:eastAsiaTheme="minorEastAsia" w:hAnsiTheme="minorHAnsi" w:cstheme="minorBidi"/>
          <w:b w:val="0"/>
          <w:noProof/>
          <w:szCs w:val="22"/>
        </w:rPr>
      </w:pPr>
      <w:r w:rsidRPr="00FD24B8">
        <w:fldChar w:fldCharType="begin"/>
      </w:r>
      <w:r w:rsidRPr="00FD24B8">
        <w:instrText xml:space="preserve"> TOC \t "Heading 2,1,Heading 3,2" </w:instrText>
      </w:r>
      <w:r w:rsidRPr="00FD24B8">
        <w:fldChar w:fldCharType="separate"/>
      </w:r>
      <w:r w:rsidRPr="00FD24B8">
        <w:rPr>
          <w:noProof/>
        </w:rPr>
        <w:t>Overview</w:t>
      </w:r>
      <w:r w:rsidRPr="00FD24B8">
        <w:rPr>
          <w:noProof/>
        </w:rPr>
        <w:tab/>
      </w:r>
      <w:r w:rsidRPr="00FD24B8">
        <w:rPr>
          <w:noProof/>
        </w:rPr>
        <w:fldChar w:fldCharType="begin"/>
      </w:r>
      <w:r w:rsidRPr="00FD24B8">
        <w:rPr>
          <w:noProof/>
        </w:rPr>
        <w:instrText xml:space="preserve"> PAGEREF _Toc99102040 \h </w:instrText>
      </w:r>
      <w:r w:rsidRPr="00FD24B8">
        <w:rPr>
          <w:noProof/>
        </w:rPr>
      </w:r>
      <w:r w:rsidRPr="00FD24B8">
        <w:rPr>
          <w:noProof/>
        </w:rPr>
        <w:fldChar w:fldCharType="separate"/>
      </w:r>
      <w:r w:rsidR="002569E4">
        <w:rPr>
          <w:noProof/>
        </w:rPr>
        <w:t>73</w:t>
      </w:r>
      <w:r w:rsidRPr="00FD24B8">
        <w:rPr>
          <w:noProof/>
        </w:rPr>
        <w:fldChar w:fldCharType="end"/>
      </w:r>
    </w:p>
    <w:p w14:paraId="2674BD9D" w14:textId="184675CC" w:rsidR="00CC077B" w:rsidRPr="00FD24B8" w:rsidRDefault="00CC077B" w:rsidP="00CC077B">
      <w:pPr>
        <w:pStyle w:val="TOC1"/>
        <w:rPr>
          <w:rFonts w:asciiTheme="minorHAnsi" w:eastAsiaTheme="minorEastAsia" w:hAnsiTheme="minorHAnsi" w:cstheme="minorBidi"/>
          <w:b w:val="0"/>
          <w:noProof/>
          <w:szCs w:val="22"/>
        </w:rPr>
      </w:pPr>
      <w:r w:rsidRPr="00FD24B8">
        <w:rPr>
          <w:noProof/>
        </w:rPr>
        <w:t>Economic and Fiscal Strategy</w:t>
      </w:r>
      <w:r w:rsidRPr="00FD24B8">
        <w:rPr>
          <w:noProof/>
        </w:rPr>
        <w:tab/>
      </w:r>
      <w:r w:rsidRPr="00FD24B8">
        <w:rPr>
          <w:noProof/>
        </w:rPr>
        <w:fldChar w:fldCharType="begin"/>
      </w:r>
      <w:r w:rsidRPr="00FD24B8">
        <w:rPr>
          <w:noProof/>
        </w:rPr>
        <w:instrText xml:space="preserve"> PAGEREF _Toc99102041 \h </w:instrText>
      </w:r>
      <w:r w:rsidRPr="00FD24B8">
        <w:rPr>
          <w:noProof/>
        </w:rPr>
      </w:r>
      <w:r w:rsidRPr="00FD24B8">
        <w:rPr>
          <w:noProof/>
        </w:rPr>
        <w:fldChar w:fldCharType="separate"/>
      </w:r>
      <w:r w:rsidR="002569E4">
        <w:rPr>
          <w:noProof/>
        </w:rPr>
        <w:t>75</w:t>
      </w:r>
      <w:r w:rsidRPr="00FD24B8">
        <w:rPr>
          <w:noProof/>
        </w:rPr>
        <w:fldChar w:fldCharType="end"/>
      </w:r>
    </w:p>
    <w:p w14:paraId="679AF69E" w14:textId="4575D289" w:rsidR="00CC077B" w:rsidRPr="00FD24B8" w:rsidRDefault="00CC077B" w:rsidP="00CC077B">
      <w:pPr>
        <w:pStyle w:val="TOC1"/>
        <w:rPr>
          <w:rFonts w:asciiTheme="minorHAnsi" w:eastAsiaTheme="minorEastAsia" w:hAnsiTheme="minorHAnsi" w:cstheme="minorBidi"/>
          <w:b w:val="0"/>
          <w:noProof/>
          <w:szCs w:val="22"/>
        </w:rPr>
      </w:pPr>
      <w:r w:rsidRPr="00FD24B8">
        <w:rPr>
          <w:noProof/>
        </w:rPr>
        <w:t>Fiscal outlook</w:t>
      </w:r>
      <w:r w:rsidRPr="00FD24B8">
        <w:rPr>
          <w:noProof/>
        </w:rPr>
        <w:tab/>
      </w:r>
      <w:r w:rsidRPr="00FD24B8">
        <w:rPr>
          <w:noProof/>
        </w:rPr>
        <w:fldChar w:fldCharType="begin"/>
      </w:r>
      <w:r w:rsidRPr="00FD24B8">
        <w:rPr>
          <w:noProof/>
        </w:rPr>
        <w:instrText xml:space="preserve"> PAGEREF _Toc99102042 \h </w:instrText>
      </w:r>
      <w:r w:rsidRPr="00FD24B8">
        <w:rPr>
          <w:noProof/>
        </w:rPr>
      </w:r>
      <w:r w:rsidRPr="00FD24B8">
        <w:rPr>
          <w:noProof/>
        </w:rPr>
        <w:fldChar w:fldCharType="separate"/>
      </w:r>
      <w:r w:rsidR="002569E4">
        <w:rPr>
          <w:noProof/>
        </w:rPr>
        <w:t>79</w:t>
      </w:r>
      <w:r w:rsidRPr="00FD24B8">
        <w:rPr>
          <w:noProof/>
        </w:rPr>
        <w:fldChar w:fldCharType="end"/>
      </w:r>
    </w:p>
    <w:p w14:paraId="3EF3E949" w14:textId="1C33C87F" w:rsidR="00CC077B" w:rsidRPr="00FD24B8" w:rsidRDefault="00CC077B" w:rsidP="00CC077B">
      <w:pPr>
        <w:pStyle w:val="TOC2"/>
        <w:rPr>
          <w:rFonts w:asciiTheme="minorHAnsi" w:eastAsiaTheme="minorEastAsia" w:hAnsiTheme="minorHAnsi" w:cstheme="minorBidi"/>
          <w:noProof/>
          <w:sz w:val="22"/>
          <w:szCs w:val="22"/>
        </w:rPr>
      </w:pPr>
      <w:r w:rsidRPr="00FD24B8">
        <w:rPr>
          <w:noProof/>
        </w:rPr>
        <w:t>Underlying cash balance estimates and projections</w:t>
      </w:r>
      <w:r w:rsidRPr="00FD24B8">
        <w:rPr>
          <w:noProof/>
        </w:rPr>
        <w:tab/>
      </w:r>
      <w:r w:rsidRPr="00FD24B8">
        <w:rPr>
          <w:noProof/>
        </w:rPr>
        <w:fldChar w:fldCharType="begin"/>
      </w:r>
      <w:r w:rsidRPr="00FD24B8">
        <w:rPr>
          <w:noProof/>
        </w:rPr>
        <w:instrText xml:space="preserve"> PAGEREF _Toc99102043 \h </w:instrText>
      </w:r>
      <w:r w:rsidRPr="00FD24B8">
        <w:rPr>
          <w:noProof/>
        </w:rPr>
      </w:r>
      <w:r w:rsidRPr="00FD24B8">
        <w:rPr>
          <w:noProof/>
        </w:rPr>
        <w:fldChar w:fldCharType="separate"/>
      </w:r>
      <w:r w:rsidR="002569E4">
        <w:rPr>
          <w:noProof/>
        </w:rPr>
        <w:t>79</w:t>
      </w:r>
      <w:r w:rsidRPr="00FD24B8">
        <w:rPr>
          <w:noProof/>
        </w:rPr>
        <w:fldChar w:fldCharType="end"/>
      </w:r>
    </w:p>
    <w:p w14:paraId="2E495FDA" w14:textId="43FC615A" w:rsidR="00CC077B" w:rsidRPr="00FD24B8" w:rsidRDefault="00CC077B" w:rsidP="00CC077B">
      <w:pPr>
        <w:pStyle w:val="TOC2"/>
        <w:rPr>
          <w:rFonts w:asciiTheme="minorHAnsi" w:eastAsiaTheme="minorEastAsia" w:hAnsiTheme="minorHAnsi" w:cstheme="minorBidi"/>
          <w:noProof/>
          <w:sz w:val="22"/>
          <w:szCs w:val="22"/>
        </w:rPr>
      </w:pPr>
      <w:r w:rsidRPr="00FD24B8">
        <w:rPr>
          <w:noProof/>
        </w:rPr>
        <w:t>Changes in the underlying cash balance over the forward estimates</w:t>
      </w:r>
      <w:r w:rsidRPr="00FD24B8">
        <w:rPr>
          <w:noProof/>
        </w:rPr>
        <w:tab/>
      </w:r>
      <w:r w:rsidRPr="00FD24B8">
        <w:rPr>
          <w:noProof/>
        </w:rPr>
        <w:fldChar w:fldCharType="begin"/>
      </w:r>
      <w:r w:rsidRPr="00FD24B8">
        <w:rPr>
          <w:noProof/>
        </w:rPr>
        <w:instrText xml:space="preserve"> PAGEREF _Toc99102044 \h </w:instrText>
      </w:r>
      <w:r w:rsidRPr="00FD24B8">
        <w:rPr>
          <w:noProof/>
        </w:rPr>
      </w:r>
      <w:r w:rsidRPr="00FD24B8">
        <w:rPr>
          <w:noProof/>
        </w:rPr>
        <w:fldChar w:fldCharType="separate"/>
      </w:r>
      <w:r w:rsidR="002569E4">
        <w:rPr>
          <w:noProof/>
        </w:rPr>
        <w:t>85</w:t>
      </w:r>
      <w:r w:rsidRPr="00FD24B8">
        <w:rPr>
          <w:noProof/>
        </w:rPr>
        <w:fldChar w:fldCharType="end"/>
      </w:r>
    </w:p>
    <w:p w14:paraId="4FEEE8DD" w14:textId="709A9C2C" w:rsidR="00CC077B" w:rsidRPr="00FD24B8" w:rsidRDefault="00CC077B" w:rsidP="00CC077B">
      <w:pPr>
        <w:pStyle w:val="TOC2"/>
        <w:rPr>
          <w:rFonts w:asciiTheme="minorHAnsi" w:eastAsiaTheme="minorEastAsia" w:hAnsiTheme="minorHAnsi" w:cstheme="minorBidi"/>
          <w:noProof/>
          <w:sz w:val="22"/>
          <w:szCs w:val="22"/>
        </w:rPr>
      </w:pPr>
      <w:r w:rsidRPr="00FD24B8">
        <w:rPr>
          <w:noProof/>
        </w:rPr>
        <w:t>Receipts estimates and projections</w:t>
      </w:r>
      <w:r w:rsidRPr="00FD24B8">
        <w:rPr>
          <w:noProof/>
        </w:rPr>
        <w:tab/>
      </w:r>
      <w:r w:rsidRPr="00FD24B8">
        <w:rPr>
          <w:noProof/>
        </w:rPr>
        <w:fldChar w:fldCharType="begin"/>
      </w:r>
      <w:r w:rsidRPr="00FD24B8">
        <w:rPr>
          <w:noProof/>
        </w:rPr>
        <w:instrText xml:space="preserve"> PAGEREF _Toc99102045 \h </w:instrText>
      </w:r>
      <w:r w:rsidRPr="00FD24B8">
        <w:rPr>
          <w:noProof/>
        </w:rPr>
      </w:r>
      <w:r w:rsidRPr="00FD24B8">
        <w:rPr>
          <w:noProof/>
        </w:rPr>
        <w:fldChar w:fldCharType="separate"/>
      </w:r>
      <w:r w:rsidR="002569E4">
        <w:rPr>
          <w:noProof/>
        </w:rPr>
        <w:t>89</w:t>
      </w:r>
      <w:r w:rsidRPr="00FD24B8">
        <w:rPr>
          <w:noProof/>
        </w:rPr>
        <w:fldChar w:fldCharType="end"/>
      </w:r>
    </w:p>
    <w:p w14:paraId="1B6848BE" w14:textId="491F7C1E" w:rsidR="00CC077B" w:rsidRPr="00FD24B8" w:rsidRDefault="00CC077B" w:rsidP="00CC077B">
      <w:pPr>
        <w:pStyle w:val="TOC2"/>
        <w:rPr>
          <w:rFonts w:asciiTheme="minorHAnsi" w:eastAsiaTheme="minorEastAsia" w:hAnsiTheme="minorHAnsi" w:cstheme="minorBidi"/>
          <w:noProof/>
          <w:sz w:val="22"/>
          <w:szCs w:val="22"/>
        </w:rPr>
      </w:pPr>
      <w:r w:rsidRPr="00FD24B8">
        <w:rPr>
          <w:noProof/>
        </w:rPr>
        <w:t>Payments estimates and projections</w:t>
      </w:r>
      <w:r w:rsidRPr="00FD24B8">
        <w:rPr>
          <w:noProof/>
        </w:rPr>
        <w:tab/>
      </w:r>
      <w:r w:rsidRPr="00FD24B8">
        <w:rPr>
          <w:noProof/>
        </w:rPr>
        <w:fldChar w:fldCharType="begin"/>
      </w:r>
      <w:r w:rsidRPr="00FD24B8">
        <w:rPr>
          <w:noProof/>
        </w:rPr>
        <w:instrText xml:space="preserve"> PAGEREF _Toc99102046 \h </w:instrText>
      </w:r>
      <w:r w:rsidRPr="00FD24B8">
        <w:rPr>
          <w:noProof/>
        </w:rPr>
      </w:r>
      <w:r w:rsidRPr="00FD24B8">
        <w:rPr>
          <w:noProof/>
        </w:rPr>
        <w:fldChar w:fldCharType="separate"/>
      </w:r>
      <w:r w:rsidR="002569E4">
        <w:rPr>
          <w:noProof/>
        </w:rPr>
        <w:t>91</w:t>
      </w:r>
      <w:r w:rsidRPr="00FD24B8">
        <w:rPr>
          <w:noProof/>
        </w:rPr>
        <w:fldChar w:fldCharType="end"/>
      </w:r>
    </w:p>
    <w:p w14:paraId="0ABB6E6E" w14:textId="2F9C7A67" w:rsidR="00CC077B" w:rsidRPr="00FD24B8" w:rsidRDefault="00CC077B" w:rsidP="00CC077B">
      <w:pPr>
        <w:pStyle w:val="TOC2"/>
        <w:rPr>
          <w:rFonts w:asciiTheme="minorHAnsi" w:eastAsiaTheme="minorEastAsia" w:hAnsiTheme="minorHAnsi" w:cstheme="minorBidi"/>
          <w:noProof/>
          <w:sz w:val="22"/>
          <w:szCs w:val="22"/>
        </w:rPr>
      </w:pPr>
      <w:r w:rsidRPr="00FD24B8">
        <w:rPr>
          <w:noProof/>
        </w:rPr>
        <w:t>Headline cash balance estimates</w:t>
      </w:r>
      <w:r w:rsidRPr="00FD24B8">
        <w:rPr>
          <w:noProof/>
        </w:rPr>
        <w:tab/>
      </w:r>
      <w:r w:rsidRPr="00FD24B8">
        <w:rPr>
          <w:noProof/>
        </w:rPr>
        <w:fldChar w:fldCharType="begin"/>
      </w:r>
      <w:r w:rsidRPr="00FD24B8">
        <w:rPr>
          <w:noProof/>
        </w:rPr>
        <w:instrText xml:space="preserve"> PAGEREF _Toc99102047 \h </w:instrText>
      </w:r>
      <w:r w:rsidRPr="00FD24B8">
        <w:rPr>
          <w:noProof/>
        </w:rPr>
      </w:r>
      <w:r w:rsidRPr="00FD24B8">
        <w:rPr>
          <w:noProof/>
        </w:rPr>
        <w:fldChar w:fldCharType="separate"/>
      </w:r>
      <w:r w:rsidR="002569E4">
        <w:rPr>
          <w:noProof/>
        </w:rPr>
        <w:t>95</w:t>
      </w:r>
      <w:r w:rsidRPr="00FD24B8">
        <w:rPr>
          <w:noProof/>
        </w:rPr>
        <w:fldChar w:fldCharType="end"/>
      </w:r>
    </w:p>
    <w:p w14:paraId="5388176D" w14:textId="1371D80D" w:rsidR="00CC077B" w:rsidRPr="00FD24B8" w:rsidRDefault="00CC077B" w:rsidP="00CC077B">
      <w:pPr>
        <w:pStyle w:val="TOC1"/>
        <w:rPr>
          <w:rFonts w:asciiTheme="minorHAnsi" w:eastAsiaTheme="minorEastAsia" w:hAnsiTheme="minorHAnsi" w:cstheme="minorBidi"/>
          <w:b w:val="0"/>
          <w:noProof/>
          <w:szCs w:val="22"/>
        </w:rPr>
      </w:pPr>
      <w:r w:rsidRPr="00FD24B8">
        <w:rPr>
          <w:noProof/>
        </w:rPr>
        <w:t>The Government’s balance sheet</w:t>
      </w:r>
      <w:r w:rsidRPr="00FD24B8">
        <w:rPr>
          <w:noProof/>
        </w:rPr>
        <w:tab/>
      </w:r>
      <w:r w:rsidRPr="00FD24B8">
        <w:rPr>
          <w:noProof/>
        </w:rPr>
        <w:fldChar w:fldCharType="begin"/>
      </w:r>
      <w:r w:rsidRPr="00FD24B8">
        <w:rPr>
          <w:noProof/>
        </w:rPr>
        <w:instrText xml:space="preserve"> PAGEREF _Toc99102048 \h </w:instrText>
      </w:r>
      <w:r w:rsidRPr="00FD24B8">
        <w:rPr>
          <w:noProof/>
        </w:rPr>
      </w:r>
      <w:r w:rsidRPr="00FD24B8">
        <w:rPr>
          <w:noProof/>
        </w:rPr>
        <w:fldChar w:fldCharType="separate"/>
      </w:r>
      <w:r w:rsidR="002569E4">
        <w:rPr>
          <w:noProof/>
        </w:rPr>
        <w:t>97</w:t>
      </w:r>
      <w:r w:rsidRPr="00FD24B8">
        <w:rPr>
          <w:noProof/>
        </w:rPr>
        <w:fldChar w:fldCharType="end"/>
      </w:r>
    </w:p>
    <w:p w14:paraId="26F7838C" w14:textId="157AD57A" w:rsidR="00CC077B" w:rsidRPr="00FD24B8" w:rsidRDefault="00CC077B" w:rsidP="00CC077B">
      <w:pPr>
        <w:pStyle w:val="TOC2"/>
        <w:rPr>
          <w:rFonts w:asciiTheme="minorHAnsi" w:eastAsiaTheme="minorEastAsia" w:hAnsiTheme="minorHAnsi" w:cstheme="minorBidi"/>
          <w:noProof/>
          <w:sz w:val="22"/>
          <w:szCs w:val="22"/>
        </w:rPr>
      </w:pPr>
      <w:r w:rsidRPr="00FD24B8">
        <w:rPr>
          <w:noProof/>
        </w:rPr>
        <w:t>Gross debt estimates and projections</w:t>
      </w:r>
      <w:r w:rsidRPr="00FD24B8">
        <w:rPr>
          <w:noProof/>
        </w:rPr>
        <w:tab/>
      </w:r>
      <w:r w:rsidRPr="00FD24B8">
        <w:rPr>
          <w:noProof/>
        </w:rPr>
        <w:fldChar w:fldCharType="begin"/>
      </w:r>
      <w:r w:rsidRPr="00FD24B8">
        <w:rPr>
          <w:noProof/>
        </w:rPr>
        <w:instrText xml:space="preserve"> PAGEREF _Toc99102049 \h </w:instrText>
      </w:r>
      <w:r w:rsidRPr="00FD24B8">
        <w:rPr>
          <w:noProof/>
        </w:rPr>
      </w:r>
      <w:r w:rsidRPr="00FD24B8">
        <w:rPr>
          <w:noProof/>
        </w:rPr>
        <w:fldChar w:fldCharType="separate"/>
      </w:r>
      <w:r w:rsidR="002569E4">
        <w:rPr>
          <w:noProof/>
        </w:rPr>
        <w:t>97</w:t>
      </w:r>
      <w:r w:rsidRPr="00FD24B8">
        <w:rPr>
          <w:noProof/>
        </w:rPr>
        <w:fldChar w:fldCharType="end"/>
      </w:r>
    </w:p>
    <w:p w14:paraId="007E4843" w14:textId="08B0F525" w:rsidR="00CC077B" w:rsidRPr="00FD24B8" w:rsidRDefault="00CC077B" w:rsidP="00CC077B">
      <w:pPr>
        <w:pStyle w:val="TOC2"/>
        <w:rPr>
          <w:rFonts w:asciiTheme="minorHAnsi" w:eastAsiaTheme="minorEastAsia" w:hAnsiTheme="minorHAnsi" w:cstheme="minorBidi"/>
          <w:noProof/>
          <w:sz w:val="22"/>
          <w:szCs w:val="22"/>
        </w:rPr>
      </w:pPr>
      <w:r w:rsidRPr="00FD24B8">
        <w:rPr>
          <w:noProof/>
        </w:rPr>
        <w:t>Net debt estimates and projections</w:t>
      </w:r>
      <w:r w:rsidRPr="00FD24B8">
        <w:rPr>
          <w:noProof/>
        </w:rPr>
        <w:tab/>
      </w:r>
      <w:r w:rsidRPr="00FD24B8">
        <w:rPr>
          <w:noProof/>
        </w:rPr>
        <w:fldChar w:fldCharType="begin"/>
      </w:r>
      <w:r w:rsidRPr="00FD24B8">
        <w:rPr>
          <w:noProof/>
        </w:rPr>
        <w:instrText xml:space="preserve"> PAGEREF _Toc99102050 \h </w:instrText>
      </w:r>
      <w:r w:rsidRPr="00FD24B8">
        <w:rPr>
          <w:noProof/>
        </w:rPr>
      </w:r>
      <w:r w:rsidRPr="00FD24B8">
        <w:rPr>
          <w:noProof/>
        </w:rPr>
        <w:fldChar w:fldCharType="separate"/>
      </w:r>
      <w:r w:rsidR="002569E4">
        <w:rPr>
          <w:noProof/>
        </w:rPr>
        <w:t>99</w:t>
      </w:r>
      <w:r w:rsidRPr="00FD24B8">
        <w:rPr>
          <w:noProof/>
        </w:rPr>
        <w:fldChar w:fldCharType="end"/>
      </w:r>
    </w:p>
    <w:p w14:paraId="07A6E0E0" w14:textId="6806F55A" w:rsidR="00CC077B" w:rsidRPr="00FD24B8" w:rsidRDefault="00CC077B" w:rsidP="00CC077B">
      <w:pPr>
        <w:pStyle w:val="TOC2"/>
        <w:rPr>
          <w:rFonts w:asciiTheme="minorHAnsi" w:eastAsiaTheme="minorEastAsia" w:hAnsiTheme="minorHAnsi" w:cstheme="minorBidi"/>
          <w:noProof/>
          <w:sz w:val="22"/>
          <w:szCs w:val="22"/>
        </w:rPr>
      </w:pPr>
      <w:r w:rsidRPr="00FD24B8">
        <w:rPr>
          <w:noProof/>
        </w:rPr>
        <w:t>Net financial worth and net worth estimates and projections</w:t>
      </w:r>
      <w:r w:rsidRPr="00FD24B8">
        <w:rPr>
          <w:noProof/>
        </w:rPr>
        <w:tab/>
      </w:r>
      <w:r w:rsidRPr="00FD24B8">
        <w:rPr>
          <w:noProof/>
        </w:rPr>
        <w:fldChar w:fldCharType="begin"/>
      </w:r>
      <w:r w:rsidRPr="00FD24B8">
        <w:rPr>
          <w:noProof/>
        </w:rPr>
        <w:instrText xml:space="preserve"> PAGEREF _Toc99102051 \h </w:instrText>
      </w:r>
      <w:r w:rsidRPr="00FD24B8">
        <w:rPr>
          <w:noProof/>
        </w:rPr>
      </w:r>
      <w:r w:rsidRPr="00FD24B8">
        <w:rPr>
          <w:noProof/>
        </w:rPr>
        <w:fldChar w:fldCharType="separate"/>
      </w:r>
      <w:r w:rsidR="002569E4">
        <w:rPr>
          <w:noProof/>
        </w:rPr>
        <w:t>100</w:t>
      </w:r>
      <w:r w:rsidRPr="00FD24B8">
        <w:rPr>
          <w:noProof/>
        </w:rPr>
        <w:fldChar w:fldCharType="end"/>
      </w:r>
    </w:p>
    <w:p w14:paraId="280D9D23" w14:textId="7BF58496" w:rsidR="00CC077B" w:rsidRPr="00FD24B8" w:rsidRDefault="00CC077B" w:rsidP="00CC077B">
      <w:pPr>
        <w:pStyle w:val="TOC1"/>
        <w:rPr>
          <w:rFonts w:asciiTheme="minorHAnsi" w:eastAsiaTheme="minorEastAsia" w:hAnsiTheme="minorHAnsi" w:cstheme="minorBidi"/>
          <w:b w:val="0"/>
          <w:noProof/>
          <w:szCs w:val="22"/>
        </w:rPr>
      </w:pPr>
      <w:r w:rsidRPr="00FD24B8">
        <w:rPr>
          <w:noProof/>
        </w:rPr>
        <w:t>Other fiscal aggregates</w:t>
      </w:r>
      <w:r w:rsidRPr="00FD24B8">
        <w:rPr>
          <w:noProof/>
        </w:rPr>
        <w:tab/>
      </w:r>
      <w:r w:rsidRPr="00FD24B8">
        <w:rPr>
          <w:noProof/>
        </w:rPr>
        <w:fldChar w:fldCharType="begin"/>
      </w:r>
      <w:r w:rsidRPr="00FD24B8">
        <w:rPr>
          <w:noProof/>
        </w:rPr>
        <w:instrText xml:space="preserve"> PAGEREF _Toc99102052 \h </w:instrText>
      </w:r>
      <w:r w:rsidRPr="00FD24B8">
        <w:rPr>
          <w:noProof/>
        </w:rPr>
      </w:r>
      <w:r w:rsidRPr="00FD24B8">
        <w:rPr>
          <w:noProof/>
        </w:rPr>
        <w:fldChar w:fldCharType="separate"/>
      </w:r>
      <w:r w:rsidR="002569E4">
        <w:rPr>
          <w:noProof/>
        </w:rPr>
        <w:t>102</w:t>
      </w:r>
      <w:r w:rsidRPr="00FD24B8">
        <w:rPr>
          <w:noProof/>
        </w:rPr>
        <w:fldChar w:fldCharType="end"/>
      </w:r>
    </w:p>
    <w:p w14:paraId="2D5209B1" w14:textId="4EC3E460" w:rsidR="00CC077B" w:rsidRPr="00FD24B8" w:rsidRDefault="00CC077B" w:rsidP="00CC077B">
      <w:pPr>
        <w:pStyle w:val="TOC2"/>
        <w:rPr>
          <w:rFonts w:asciiTheme="minorHAnsi" w:eastAsiaTheme="minorEastAsia" w:hAnsiTheme="minorHAnsi" w:cstheme="minorBidi"/>
          <w:noProof/>
          <w:sz w:val="22"/>
          <w:szCs w:val="22"/>
        </w:rPr>
      </w:pPr>
      <w:r w:rsidRPr="00FD24B8">
        <w:rPr>
          <w:noProof/>
        </w:rPr>
        <w:t>Accrual aggregates</w:t>
      </w:r>
      <w:r w:rsidRPr="00FD24B8">
        <w:rPr>
          <w:noProof/>
        </w:rPr>
        <w:tab/>
      </w:r>
      <w:r w:rsidRPr="00FD24B8">
        <w:rPr>
          <w:noProof/>
        </w:rPr>
        <w:fldChar w:fldCharType="begin"/>
      </w:r>
      <w:r w:rsidRPr="00FD24B8">
        <w:rPr>
          <w:noProof/>
        </w:rPr>
        <w:instrText xml:space="preserve"> PAGEREF _Toc99102053 \h </w:instrText>
      </w:r>
      <w:r w:rsidRPr="00FD24B8">
        <w:rPr>
          <w:noProof/>
        </w:rPr>
      </w:r>
      <w:r w:rsidRPr="00FD24B8">
        <w:rPr>
          <w:noProof/>
        </w:rPr>
        <w:fldChar w:fldCharType="separate"/>
      </w:r>
      <w:r w:rsidR="002569E4">
        <w:rPr>
          <w:noProof/>
        </w:rPr>
        <w:t>102</w:t>
      </w:r>
      <w:r w:rsidRPr="00FD24B8">
        <w:rPr>
          <w:noProof/>
        </w:rPr>
        <w:fldChar w:fldCharType="end"/>
      </w:r>
    </w:p>
    <w:p w14:paraId="3F4A8F73" w14:textId="1139B81D" w:rsidR="00CC077B" w:rsidRPr="00FD24B8" w:rsidRDefault="00CC077B" w:rsidP="00CC077B">
      <w:pPr>
        <w:pStyle w:val="TOC2"/>
        <w:rPr>
          <w:rFonts w:asciiTheme="minorHAnsi" w:eastAsiaTheme="minorEastAsia" w:hAnsiTheme="minorHAnsi" w:cstheme="minorBidi"/>
          <w:noProof/>
          <w:sz w:val="22"/>
          <w:szCs w:val="22"/>
        </w:rPr>
      </w:pPr>
      <w:r w:rsidRPr="00FD24B8">
        <w:rPr>
          <w:noProof/>
        </w:rPr>
        <w:t>Structural budget balance estimates</w:t>
      </w:r>
      <w:r w:rsidRPr="00FD24B8">
        <w:rPr>
          <w:noProof/>
        </w:rPr>
        <w:tab/>
      </w:r>
      <w:r w:rsidRPr="00FD24B8">
        <w:rPr>
          <w:noProof/>
        </w:rPr>
        <w:fldChar w:fldCharType="begin"/>
      </w:r>
      <w:r w:rsidRPr="00FD24B8">
        <w:rPr>
          <w:noProof/>
        </w:rPr>
        <w:instrText xml:space="preserve"> PAGEREF _Toc99102054 \h </w:instrText>
      </w:r>
      <w:r w:rsidRPr="00FD24B8">
        <w:rPr>
          <w:noProof/>
        </w:rPr>
      </w:r>
      <w:r w:rsidRPr="00FD24B8">
        <w:rPr>
          <w:noProof/>
        </w:rPr>
        <w:fldChar w:fldCharType="separate"/>
      </w:r>
      <w:r w:rsidR="002569E4">
        <w:rPr>
          <w:noProof/>
        </w:rPr>
        <w:t>105</w:t>
      </w:r>
      <w:r w:rsidRPr="00FD24B8">
        <w:rPr>
          <w:noProof/>
        </w:rPr>
        <w:fldChar w:fldCharType="end"/>
      </w:r>
    </w:p>
    <w:p w14:paraId="2A6DFD31" w14:textId="64AE678F" w:rsidR="00CC077B" w:rsidRPr="00FD24B8" w:rsidRDefault="00CC077B" w:rsidP="00CC077B">
      <w:pPr>
        <w:pStyle w:val="TOC2"/>
        <w:rPr>
          <w:rFonts w:asciiTheme="minorHAnsi" w:eastAsiaTheme="minorEastAsia" w:hAnsiTheme="minorHAnsi" w:cstheme="minorBidi"/>
          <w:noProof/>
          <w:sz w:val="22"/>
          <w:szCs w:val="22"/>
        </w:rPr>
      </w:pPr>
      <w:r w:rsidRPr="00FD24B8">
        <w:rPr>
          <w:noProof/>
        </w:rPr>
        <w:t>Primary balance estimates</w:t>
      </w:r>
      <w:r w:rsidRPr="00FD24B8">
        <w:rPr>
          <w:noProof/>
        </w:rPr>
        <w:tab/>
      </w:r>
      <w:r w:rsidRPr="00FD24B8">
        <w:rPr>
          <w:noProof/>
        </w:rPr>
        <w:fldChar w:fldCharType="begin"/>
      </w:r>
      <w:r w:rsidRPr="00FD24B8">
        <w:rPr>
          <w:noProof/>
        </w:rPr>
        <w:instrText xml:space="preserve"> PAGEREF _Toc99102055 \h </w:instrText>
      </w:r>
      <w:r w:rsidRPr="00FD24B8">
        <w:rPr>
          <w:noProof/>
        </w:rPr>
      </w:r>
      <w:r w:rsidRPr="00FD24B8">
        <w:rPr>
          <w:noProof/>
        </w:rPr>
        <w:fldChar w:fldCharType="separate"/>
      </w:r>
      <w:r w:rsidR="002569E4">
        <w:rPr>
          <w:noProof/>
        </w:rPr>
        <w:t>106</w:t>
      </w:r>
      <w:r w:rsidRPr="00FD24B8">
        <w:rPr>
          <w:noProof/>
        </w:rPr>
        <w:fldChar w:fldCharType="end"/>
      </w:r>
    </w:p>
    <w:p w14:paraId="6F2CE838" w14:textId="58970AD4" w:rsidR="00CC077B" w:rsidRPr="00CC077B" w:rsidRDefault="00CC077B" w:rsidP="00CC077B">
      <w:r w:rsidRPr="00FD24B8">
        <w:fldChar w:fldCharType="end"/>
      </w:r>
    </w:p>
    <w:p w14:paraId="59D47992" w14:textId="2B3E460D" w:rsidR="00D863DC" w:rsidRPr="00FD24B8" w:rsidRDefault="00D863DC" w:rsidP="00AC55B8"/>
    <w:p w14:paraId="4748C010" w14:textId="2E8FF8C9" w:rsidR="00D863DC" w:rsidRDefault="004B2252" w:rsidP="00AC55B8">
      <w:pPr>
        <w:sectPr w:rsidR="00D863DC" w:rsidSect="00BE4C73">
          <w:headerReference w:type="even" r:id="rId16"/>
          <w:footerReference w:type="even" r:id="rId17"/>
          <w:type w:val="oddPage"/>
          <w:pgSz w:w="11906" w:h="16838" w:code="9"/>
          <w:pgMar w:top="2466" w:right="2098" w:bottom="2466" w:left="2098" w:header="1899" w:footer="1899" w:gutter="0"/>
          <w:cols w:space="708"/>
          <w:titlePg/>
          <w:docGrid w:linePitch="360"/>
        </w:sectPr>
      </w:pPr>
      <w:r>
        <w:fldChar w:fldCharType="begin"/>
      </w:r>
      <w:r>
        <w:instrText xml:space="preserve"> :End:BPD_BG1 </w:instrText>
      </w:r>
      <w:r>
        <w:fldChar w:fldCharType="end"/>
      </w:r>
    </w:p>
    <w:p w14:paraId="6D998C0A" w14:textId="2C6C5735" w:rsidR="00F247F5" w:rsidRPr="00FD24B8" w:rsidRDefault="004B2252" w:rsidP="00F247F5">
      <w:pPr>
        <w:pStyle w:val="Heading1"/>
        <w:rPr>
          <w:rFonts w:asciiTheme="minorHAnsi" w:eastAsiaTheme="minorHAnsi" w:hAnsiTheme="minorHAnsi" w:cstheme="minorBidi"/>
          <w:b w:val="0"/>
          <w:sz w:val="22"/>
          <w:szCs w:val="22"/>
          <w:lang w:eastAsia="en-US"/>
        </w:rPr>
      </w:pPr>
      <w:r>
        <w:lastRenderedPageBreak/>
        <w:fldChar w:fldCharType="begin"/>
      </w:r>
      <w:r>
        <w:instrText xml:space="preserve"> :Start:BPD_BG1 </w:instrText>
      </w:r>
      <w:r>
        <w:fldChar w:fldCharType="end"/>
      </w:r>
      <w:r w:rsidR="00F961A7" w:rsidRPr="00FD24B8">
        <w:t>Statement 3: Fiscal Strategy and Outlook</w:t>
      </w:r>
    </w:p>
    <w:p w14:paraId="16D03DA2" w14:textId="60A104DD" w:rsidR="00F961A7" w:rsidRPr="00FD24B8" w:rsidRDefault="00F961A7" w:rsidP="00DD7DEF">
      <w:pPr>
        <w:pStyle w:val="Heading2"/>
        <w:spacing w:before="0"/>
      </w:pPr>
      <w:bookmarkStart w:id="0" w:name="_Toc98757981"/>
      <w:bookmarkStart w:id="1" w:name="_Toc99102040"/>
      <w:r w:rsidRPr="00FD24B8">
        <w:t>Overview</w:t>
      </w:r>
      <w:bookmarkEnd w:id="0"/>
      <w:bookmarkEnd w:id="1"/>
    </w:p>
    <w:p w14:paraId="4571AEB0" w14:textId="2B014E6F" w:rsidR="009B474F" w:rsidRPr="00FD24B8" w:rsidRDefault="004B2252" w:rsidP="009B474F">
      <w:r w:rsidRPr="00FD24B8">
        <w:fldChar w:fldCharType="begin"/>
      </w:r>
      <w:r w:rsidRPr="00FD24B8">
        <w:instrText xml:space="preserve"> :End:BPD_BG1 </w:instrText>
      </w:r>
      <w:r w:rsidRPr="00FD24B8">
        <w:fldChar w:fldCharType="end"/>
      </w:r>
      <w:r w:rsidR="00C06A37" w:rsidRPr="00FD24B8">
        <w:fldChar w:fldCharType="begin"/>
      </w:r>
      <w:r w:rsidR="00C06A37" w:rsidRPr="00FD24B8">
        <w:instrText xml:space="preserve"> :Start:MECD_TP1 </w:instrText>
      </w:r>
      <w:r w:rsidR="00C06A37" w:rsidRPr="00FD24B8">
        <w:fldChar w:fldCharType="end"/>
      </w:r>
      <w:r w:rsidR="00D160DE" w:rsidRPr="00FD24B8">
        <w:t>The Australian economy</w:t>
      </w:r>
      <w:r w:rsidR="008B6522" w:rsidRPr="00FD24B8">
        <w:t xml:space="preserve"> </w:t>
      </w:r>
      <w:r w:rsidR="00957EF4" w:rsidRPr="00FD24B8">
        <w:t xml:space="preserve">has recovered </w:t>
      </w:r>
      <w:proofErr w:type="gramStart"/>
      <w:r w:rsidR="00D160DE" w:rsidRPr="00FD24B8">
        <w:t>strongly</w:t>
      </w:r>
      <w:proofErr w:type="gramEnd"/>
      <w:r w:rsidR="00687ABA" w:rsidRPr="00FD24B8">
        <w:t xml:space="preserve"> </w:t>
      </w:r>
      <w:r w:rsidR="002A52CB" w:rsidRPr="00FD24B8">
        <w:t xml:space="preserve">and </w:t>
      </w:r>
      <w:r w:rsidR="00992F79" w:rsidRPr="00FD24B8">
        <w:t xml:space="preserve">the </w:t>
      </w:r>
      <w:r w:rsidR="004B2011" w:rsidRPr="00FD24B8">
        <w:t>unemployment rate</w:t>
      </w:r>
      <w:r w:rsidR="00760C82" w:rsidRPr="00FD24B8">
        <w:t xml:space="preserve"> </w:t>
      </w:r>
      <w:r w:rsidR="00006F0B" w:rsidRPr="00FD24B8">
        <w:t xml:space="preserve">is expected to fall below </w:t>
      </w:r>
      <w:r w:rsidR="00AD1C47" w:rsidRPr="00FD24B8">
        <w:t>4 per cent</w:t>
      </w:r>
      <w:r w:rsidR="00426617" w:rsidRPr="00FD24B8">
        <w:t xml:space="preserve"> this year</w:t>
      </w:r>
      <w:r w:rsidR="00AD1C47" w:rsidRPr="00FD24B8">
        <w:t xml:space="preserve">, the </w:t>
      </w:r>
      <w:r w:rsidR="00EE10B3" w:rsidRPr="00FD24B8">
        <w:t xml:space="preserve">first time </w:t>
      </w:r>
      <w:r w:rsidR="00215F9F" w:rsidRPr="00FD24B8">
        <w:t xml:space="preserve">this has occurred </w:t>
      </w:r>
      <w:r w:rsidR="007D3FFB" w:rsidRPr="00FD24B8" w:rsidDel="00215F9F">
        <w:t>i</w:t>
      </w:r>
      <w:r w:rsidR="007D3FFB" w:rsidRPr="00FD24B8">
        <w:t>n</w:t>
      </w:r>
      <w:r w:rsidR="006C49E5" w:rsidRPr="00FD24B8">
        <w:t xml:space="preserve"> nearly half a century</w:t>
      </w:r>
      <w:r w:rsidR="00BD55B0" w:rsidRPr="00FD24B8">
        <w:t xml:space="preserve">. </w:t>
      </w:r>
      <w:r w:rsidR="00C06A37" w:rsidRPr="00FD24B8">
        <w:fldChar w:fldCharType="begin"/>
      </w:r>
      <w:r w:rsidR="00C06A37" w:rsidRPr="00FD24B8">
        <w:instrText xml:space="preserve"> :End:MECD_TP1 </w:instrText>
      </w:r>
      <w:r w:rsidR="00C06A37" w:rsidRPr="00FD24B8">
        <w:fldChar w:fldCharType="end"/>
      </w:r>
      <w:r w:rsidR="00C06A37" w:rsidRPr="00FD24B8">
        <w:fldChar w:fldCharType="begin"/>
      </w:r>
      <w:r w:rsidR="00C06A37" w:rsidRPr="00FD24B8">
        <w:instrText xml:space="preserve"> :Start:BPD_BG1 </w:instrText>
      </w:r>
      <w:r w:rsidR="00C06A37" w:rsidRPr="00FD24B8">
        <w:fldChar w:fldCharType="end"/>
      </w:r>
      <w:r w:rsidR="003F550A" w:rsidRPr="00FD24B8">
        <w:t>With</w:t>
      </w:r>
      <w:r w:rsidR="005C150C" w:rsidRPr="00FD24B8">
        <w:t xml:space="preserve"> t</w:t>
      </w:r>
      <w:r w:rsidR="009D0D24" w:rsidRPr="00FD24B8">
        <w:t xml:space="preserve">he </w:t>
      </w:r>
      <w:r w:rsidR="00285CEB" w:rsidRPr="00FD24B8">
        <w:t>Government’s</w:t>
      </w:r>
      <w:r w:rsidR="00D513DF" w:rsidRPr="00FD24B8">
        <w:t xml:space="preserve"> substantial economic support </w:t>
      </w:r>
      <w:r w:rsidR="00F43B75" w:rsidRPr="00FD24B8">
        <w:t>taper</w:t>
      </w:r>
      <w:r w:rsidR="003F550A" w:rsidRPr="00FD24B8">
        <w:t>ing</w:t>
      </w:r>
      <w:r w:rsidR="00285CEB" w:rsidRPr="00FD24B8">
        <w:t>,</w:t>
      </w:r>
      <w:r w:rsidR="00F43B75" w:rsidRPr="00FD24B8">
        <w:t xml:space="preserve"> </w:t>
      </w:r>
      <w:r w:rsidR="005A7E08" w:rsidRPr="00FD24B8">
        <w:t xml:space="preserve">the </w:t>
      </w:r>
      <w:r w:rsidR="006B6E5C" w:rsidRPr="00FD24B8">
        <w:t xml:space="preserve">private sector </w:t>
      </w:r>
      <w:r w:rsidR="009B40D7" w:rsidRPr="00FD24B8">
        <w:t>is now leading</w:t>
      </w:r>
      <w:r w:rsidR="004E77D8" w:rsidRPr="00FD24B8">
        <w:t xml:space="preserve"> </w:t>
      </w:r>
      <w:r w:rsidR="00D11CB3" w:rsidRPr="00FD24B8">
        <w:t>the</w:t>
      </w:r>
      <w:r w:rsidR="003116D9" w:rsidRPr="00FD24B8">
        <w:t xml:space="preserve"> recovery </w:t>
      </w:r>
      <w:r w:rsidR="003009D7" w:rsidRPr="00FD24B8">
        <w:t xml:space="preserve">underpinned </w:t>
      </w:r>
      <w:r w:rsidR="00D160DE" w:rsidRPr="00FD24B8">
        <w:t xml:space="preserve">by strong </w:t>
      </w:r>
      <w:r w:rsidR="00A00E44" w:rsidRPr="00FD24B8">
        <w:t>household</w:t>
      </w:r>
      <w:r w:rsidR="00D160DE" w:rsidRPr="00FD24B8">
        <w:t xml:space="preserve"> </w:t>
      </w:r>
      <w:r w:rsidR="002D2577" w:rsidRPr="00FD24B8">
        <w:t xml:space="preserve">and business </w:t>
      </w:r>
      <w:r w:rsidR="00D160DE" w:rsidRPr="00FD24B8">
        <w:t xml:space="preserve">balance sheets and a large pipeline of </w:t>
      </w:r>
      <w:r w:rsidR="002D2577" w:rsidRPr="00FD24B8">
        <w:t xml:space="preserve">private </w:t>
      </w:r>
      <w:r w:rsidR="00D160DE" w:rsidRPr="00FD24B8">
        <w:t>investment</w:t>
      </w:r>
      <w:r w:rsidR="00A30232" w:rsidRPr="00FD24B8">
        <w:t>.</w:t>
      </w:r>
    </w:p>
    <w:p w14:paraId="35476CB5" w14:textId="7D5F2152" w:rsidR="001B7913" w:rsidRPr="00FD24B8" w:rsidRDefault="009B474F" w:rsidP="00E902FA">
      <w:r w:rsidRPr="00FD24B8">
        <w:t xml:space="preserve">Despite the impact of </w:t>
      </w:r>
      <w:r w:rsidR="00AE1BFF" w:rsidRPr="00FD24B8">
        <w:t>Omicron outbreaks</w:t>
      </w:r>
      <w:r w:rsidR="001B7913" w:rsidRPr="00FD24B8">
        <w:t xml:space="preserve"> and the</w:t>
      </w:r>
      <w:r w:rsidR="00AE1BFF" w:rsidRPr="00FD24B8">
        <w:t xml:space="preserve"> </w:t>
      </w:r>
      <w:r w:rsidR="00F02295" w:rsidRPr="00FD24B8">
        <w:t>recent floods in Queensland and New</w:t>
      </w:r>
      <w:r w:rsidR="00CD1B4E" w:rsidRPr="00FD24B8">
        <w:t> </w:t>
      </w:r>
      <w:r w:rsidR="00F02295" w:rsidRPr="00FD24B8">
        <w:t>South Wales</w:t>
      </w:r>
      <w:r w:rsidRPr="00FD24B8">
        <w:t>, the</w:t>
      </w:r>
      <w:r w:rsidRPr="00FD24B8" w:rsidDel="00296023">
        <w:t xml:space="preserve"> </w:t>
      </w:r>
      <w:r w:rsidRPr="00FD24B8">
        <w:t>fiscal position has improve</w:t>
      </w:r>
      <w:r w:rsidR="00957E0D" w:rsidRPr="00FD24B8">
        <w:t>d</w:t>
      </w:r>
      <w:r w:rsidRPr="00FD24B8">
        <w:t xml:space="preserve"> </w:t>
      </w:r>
      <w:r w:rsidR="00C82031" w:rsidRPr="00FD24B8">
        <w:t>markedly</w:t>
      </w:r>
      <w:r w:rsidRPr="00FD24B8">
        <w:t xml:space="preserve"> </w:t>
      </w:r>
      <w:r w:rsidR="00957E0D" w:rsidRPr="00FD24B8">
        <w:t>since</w:t>
      </w:r>
      <w:r w:rsidRPr="00FD24B8">
        <w:t xml:space="preserve"> MYEFO, </w:t>
      </w:r>
      <w:r w:rsidR="001E112D" w:rsidRPr="00FD24B8">
        <w:t>reflecting the success of the Government’s economic plan</w:t>
      </w:r>
      <w:r w:rsidR="00C20521" w:rsidRPr="00FD24B8">
        <w:t xml:space="preserve"> to grow the economy and reduce unemployment to historically low levels</w:t>
      </w:r>
      <w:r w:rsidR="001E112D" w:rsidRPr="00FD24B8">
        <w:t xml:space="preserve">. </w:t>
      </w:r>
      <w:r w:rsidR="001B7913" w:rsidRPr="00FD24B8">
        <w:t>While the Russian invasion of Ukraine and potential new variants of COVID</w:t>
      </w:r>
      <w:r w:rsidR="0031144A" w:rsidRPr="00FD24B8">
        <w:noBreakHyphen/>
      </w:r>
      <w:r w:rsidR="001E112D" w:rsidRPr="00FD24B8">
        <w:t>19 continue to</w:t>
      </w:r>
      <w:r w:rsidR="001B7913" w:rsidRPr="00FD24B8">
        <w:t xml:space="preserve"> present risk</w:t>
      </w:r>
      <w:r w:rsidR="00652217" w:rsidRPr="00FD24B8">
        <w:t>s</w:t>
      </w:r>
      <w:r w:rsidR="001B7913" w:rsidRPr="00FD24B8">
        <w:t xml:space="preserve"> to the outlook, optimism can be drawn from the </w:t>
      </w:r>
      <w:r w:rsidR="00FD0234" w:rsidRPr="00FD24B8">
        <w:t xml:space="preserve">resilience </w:t>
      </w:r>
      <w:r w:rsidR="001B7913" w:rsidRPr="00FD24B8">
        <w:t xml:space="preserve">of the economy over </w:t>
      </w:r>
      <w:r w:rsidR="00170186" w:rsidRPr="00FD24B8">
        <w:t xml:space="preserve">recent </w:t>
      </w:r>
      <w:r w:rsidR="001B7913" w:rsidRPr="00FD24B8">
        <w:t>years.</w:t>
      </w:r>
    </w:p>
    <w:p w14:paraId="07A1B376" w14:textId="5045D800" w:rsidR="007E7ABE" w:rsidRPr="00FD24B8" w:rsidRDefault="009B474F" w:rsidP="00E902FA">
      <w:r w:rsidRPr="00FD24B8">
        <w:t xml:space="preserve">Strong </w:t>
      </w:r>
      <w:r w:rsidR="00C1223B" w:rsidRPr="00FD24B8">
        <w:t>economic conditions</w:t>
      </w:r>
      <w:r w:rsidR="00996AA8" w:rsidRPr="00FD24B8">
        <w:t xml:space="preserve"> are</w:t>
      </w:r>
      <w:r w:rsidRPr="00FD24B8">
        <w:t xml:space="preserve"> delivering a significant improvement in the fiscal position.</w:t>
      </w:r>
      <w:r w:rsidR="003E0EB7" w:rsidRPr="00FD24B8">
        <w:t xml:space="preserve"> </w:t>
      </w:r>
      <w:r w:rsidR="00614504" w:rsidRPr="00FD24B8">
        <w:t>Th</w:t>
      </w:r>
      <w:r w:rsidR="00B3685C" w:rsidRPr="00FD24B8">
        <w:t>is</w:t>
      </w:r>
      <w:r w:rsidR="00614504" w:rsidRPr="00FD24B8">
        <w:t xml:space="preserve"> </w:t>
      </w:r>
      <w:r w:rsidR="002A73D6" w:rsidRPr="00FD24B8">
        <w:t xml:space="preserve">positive outlook </w:t>
      </w:r>
      <w:r w:rsidR="004A6C3A" w:rsidRPr="00FD24B8">
        <w:t>reflects</w:t>
      </w:r>
      <w:r w:rsidR="00E821E1" w:rsidRPr="00FD24B8">
        <w:t xml:space="preserve"> </w:t>
      </w:r>
      <w:r w:rsidR="002A73D6" w:rsidRPr="00FD24B8">
        <w:t xml:space="preserve">the </w:t>
      </w:r>
      <w:r w:rsidR="00E71AB1" w:rsidRPr="00FD24B8">
        <w:t xml:space="preserve">Government’s </w:t>
      </w:r>
      <w:r w:rsidR="00E85EE1" w:rsidRPr="00FD24B8">
        <w:t xml:space="preserve">decisive policy action </w:t>
      </w:r>
      <w:r w:rsidR="00E71AB1" w:rsidRPr="00FD24B8">
        <w:t>during the pandemic</w:t>
      </w:r>
      <w:r w:rsidR="00E85EE1" w:rsidRPr="00FD24B8">
        <w:rPr>
          <w:sz w:val="16"/>
          <w:szCs w:val="16"/>
        </w:rPr>
        <w:t>.</w:t>
      </w:r>
      <w:r w:rsidR="002B4479" w:rsidRPr="00FD24B8">
        <w:rPr>
          <w:sz w:val="16"/>
          <w:szCs w:val="16"/>
        </w:rPr>
        <w:t xml:space="preserve"> </w:t>
      </w:r>
      <w:r w:rsidR="00C06A37" w:rsidRPr="00FD24B8">
        <w:rPr>
          <w:sz w:val="16"/>
          <w:szCs w:val="16"/>
        </w:rPr>
        <w:fldChar w:fldCharType="begin"/>
      </w:r>
      <w:r w:rsidR="00C06A37" w:rsidRPr="00FD24B8">
        <w:rPr>
          <w:sz w:val="16"/>
          <w:szCs w:val="16"/>
        </w:rPr>
        <w:instrText xml:space="preserve"> :End:BPD_BG1 </w:instrText>
      </w:r>
      <w:r w:rsidR="00C06A37" w:rsidRPr="00FD24B8">
        <w:rPr>
          <w:sz w:val="16"/>
          <w:szCs w:val="16"/>
        </w:rPr>
        <w:fldChar w:fldCharType="end"/>
      </w:r>
      <w:r w:rsidR="00587FE5" w:rsidRPr="00FD24B8">
        <w:rPr>
          <w:sz w:val="16"/>
          <w:szCs w:val="16"/>
        </w:rPr>
        <w:fldChar w:fldCharType="begin"/>
      </w:r>
      <w:r w:rsidR="00587FE5" w:rsidRPr="00FD24B8">
        <w:rPr>
          <w:sz w:val="16"/>
          <w:szCs w:val="16"/>
        </w:rPr>
        <w:instrText xml:space="preserve"> :Start:BPD_BG2 </w:instrText>
      </w:r>
      <w:r w:rsidR="00587FE5" w:rsidRPr="00FD24B8">
        <w:rPr>
          <w:sz w:val="16"/>
          <w:szCs w:val="16"/>
        </w:rPr>
        <w:fldChar w:fldCharType="end"/>
      </w:r>
      <w:r w:rsidR="00FC51BC" w:rsidRPr="00FD24B8">
        <w:t>The Government has provided</w:t>
      </w:r>
      <w:r w:rsidR="00E40B91" w:rsidRPr="00FD24B8">
        <w:t xml:space="preserve"> an</w:t>
      </w:r>
      <w:r w:rsidR="00FC51BC" w:rsidRPr="00FD24B8">
        <w:t xml:space="preserve"> unprecedented </w:t>
      </w:r>
      <w:r w:rsidR="00E40B91" w:rsidRPr="00FD24B8">
        <w:t xml:space="preserve">level of </w:t>
      </w:r>
      <w:r w:rsidR="0022638F" w:rsidRPr="00FD24B8">
        <w:t>economic support</w:t>
      </w:r>
      <w:r w:rsidR="00D160DE" w:rsidRPr="00FD24B8">
        <w:t xml:space="preserve"> </w:t>
      </w:r>
      <w:r w:rsidR="00824AAB" w:rsidRPr="00FD24B8">
        <w:t>with $</w:t>
      </w:r>
      <w:r w:rsidR="00F24D0F" w:rsidRPr="00FD24B8">
        <w:t>314</w:t>
      </w:r>
      <w:r w:rsidR="00824AAB" w:rsidRPr="00FD24B8">
        <w:t xml:space="preserve"> billio</w:t>
      </w:r>
      <w:r w:rsidR="00497E44" w:rsidRPr="00FD24B8">
        <w:t>n</w:t>
      </w:r>
      <w:r w:rsidR="00A52983" w:rsidRPr="00FD24B8">
        <w:t xml:space="preserve"> </w:t>
      </w:r>
      <w:r w:rsidR="00890638" w:rsidRPr="00FD24B8">
        <w:t xml:space="preserve">committed </w:t>
      </w:r>
      <w:r w:rsidR="00A52983" w:rsidRPr="00FD24B8">
        <w:t>since the onset of the pandemic</w:t>
      </w:r>
      <w:r w:rsidR="00AC5CB1" w:rsidRPr="00FD24B8">
        <w:t xml:space="preserve">, equivalent to </w:t>
      </w:r>
      <w:r w:rsidR="005D1C4E" w:rsidRPr="00FD24B8">
        <w:t>15.2</w:t>
      </w:r>
      <w:r w:rsidR="00195185" w:rsidRPr="00FD24B8">
        <w:t> </w:t>
      </w:r>
      <w:r w:rsidR="00AC5CB1" w:rsidRPr="00FD24B8">
        <w:t>per</w:t>
      </w:r>
      <w:r w:rsidR="00195185" w:rsidRPr="00FD24B8">
        <w:t> </w:t>
      </w:r>
      <w:r w:rsidR="00AC5CB1" w:rsidRPr="00FD24B8">
        <w:t>cent of GDP</w:t>
      </w:r>
      <w:r w:rsidR="00583A9A" w:rsidRPr="00FD24B8">
        <w:t xml:space="preserve">. </w:t>
      </w:r>
    </w:p>
    <w:p w14:paraId="58A09FA7" w14:textId="77777777" w:rsidR="00D12231" w:rsidRDefault="00886599" w:rsidP="002D0651">
      <w:r w:rsidRPr="00FD24B8">
        <w:t xml:space="preserve">This Budget delivers the next stage of </w:t>
      </w:r>
      <w:r w:rsidR="00562F6E" w:rsidRPr="00FD24B8">
        <w:t xml:space="preserve">Australia’s plan for a stronger future </w:t>
      </w:r>
      <w:r w:rsidR="00CB39E0" w:rsidRPr="00FD24B8">
        <w:t>with $</w:t>
      </w:r>
      <w:r w:rsidR="00CA587C" w:rsidRPr="00FD24B8">
        <w:t>39</w:t>
      </w:r>
      <w:r w:rsidR="00D42BAF" w:rsidRPr="00FD24B8">
        <w:t>.3</w:t>
      </w:r>
      <w:r w:rsidR="00F23179" w:rsidRPr="00FD24B8">
        <w:t> </w:t>
      </w:r>
      <w:r w:rsidR="00CB39E0" w:rsidRPr="00FD24B8">
        <w:t xml:space="preserve">billion in total </w:t>
      </w:r>
      <w:r w:rsidR="00517E72" w:rsidRPr="00FD24B8">
        <w:t>decisions</w:t>
      </w:r>
      <w:r w:rsidR="007B7FFC" w:rsidRPr="00FD24B8">
        <w:t xml:space="preserve">. </w:t>
      </w:r>
      <w:r w:rsidR="00587FE5" w:rsidRPr="00FD24B8">
        <w:fldChar w:fldCharType="begin"/>
      </w:r>
      <w:r w:rsidR="00587FE5" w:rsidRPr="00FD24B8">
        <w:instrText xml:space="preserve"> :End:BPD_BG2 </w:instrText>
      </w:r>
      <w:r w:rsidR="00587FE5" w:rsidRPr="00FD24B8">
        <w:fldChar w:fldCharType="end"/>
      </w:r>
      <w:r w:rsidR="00587FE5" w:rsidRPr="00FD24B8">
        <w:fldChar w:fldCharType="begin"/>
      </w:r>
      <w:r w:rsidR="00587FE5" w:rsidRPr="00FD24B8">
        <w:instrText xml:space="preserve"> :Start:LEIID_LB1 </w:instrText>
      </w:r>
      <w:r w:rsidR="00587FE5" w:rsidRPr="00FD24B8">
        <w:fldChar w:fldCharType="end"/>
      </w:r>
      <w:r w:rsidR="008E7AF5" w:rsidRPr="00FD24B8">
        <w:t xml:space="preserve">It is a plan that </w:t>
      </w:r>
      <w:r w:rsidR="006436C8" w:rsidRPr="00FD24B8">
        <w:t>delivers more jobs with</w:t>
      </w:r>
      <w:r w:rsidR="008E7AF5" w:rsidRPr="00FD24B8">
        <w:t xml:space="preserve"> </w:t>
      </w:r>
      <w:r w:rsidR="00C13F1E" w:rsidRPr="00FD24B8">
        <w:t xml:space="preserve">investments in infrastructure, skills and our regions, </w:t>
      </w:r>
      <w:r w:rsidR="00587FE5" w:rsidRPr="00FD24B8">
        <w:fldChar w:fldCharType="begin"/>
      </w:r>
      <w:r w:rsidR="00587FE5" w:rsidRPr="00FD24B8">
        <w:instrText xml:space="preserve"> :End:LEIID_LB1 </w:instrText>
      </w:r>
      <w:r w:rsidR="00587FE5" w:rsidRPr="00FD24B8">
        <w:fldChar w:fldCharType="end"/>
      </w:r>
      <w:r w:rsidR="00587FE5" w:rsidRPr="00FD24B8">
        <w:fldChar w:fldCharType="begin"/>
      </w:r>
      <w:r w:rsidR="00587FE5" w:rsidRPr="00FD24B8">
        <w:instrText xml:space="preserve"> :Start:SPD_LE1 </w:instrText>
      </w:r>
      <w:r w:rsidR="00587FE5" w:rsidRPr="00FD24B8">
        <w:fldChar w:fldCharType="end"/>
      </w:r>
      <w:r w:rsidR="00C13F1E" w:rsidRPr="00FD24B8">
        <w:t>and provides temporary and targeted cost of living relief. It also</w:t>
      </w:r>
      <w:r w:rsidR="008F4B9B" w:rsidRPr="00FD24B8">
        <w:t xml:space="preserve"> </w:t>
      </w:r>
      <w:r w:rsidR="00C57598" w:rsidRPr="00FD24B8">
        <w:t>delivers</w:t>
      </w:r>
      <w:r w:rsidR="008F4B9B" w:rsidRPr="00FD24B8">
        <w:t xml:space="preserve"> record </w:t>
      </w:r>
      <w:r w:rsidR="00C57598" w:rsidRPr="00FD24B8">
        <w:t xml:space="preserve">funding </w:t>
      </w:r>
      <w:r w:rsidR="008F4B9B" w:rsidRPr="00FD24B8">
        <w:t>in essential services</w:t>
      </w:r>
      <w:r w:rsidR="00587FE5">
        <w:fldChar w:fldCharType="begin"/>
      </w:r>
      <w:r w:rsidR="00587FE5">
        <w:instrText xml:space="preserve"> :End:SPD_LE1 </w:instrText>
      </w:r>
      <w:r w:rsidR="00587FE5">
        <w:fldChar w:fldCharType="end"/>
      </w:r>
      <w:r w:rsidR="008F4B9B" w:rsidRPr="00E36ECD">
        <w:t xml:space="preserve">, </w:t>
      </w:r>
      <w:r w:rsidR="009339AE">
        <w:fldChar w:fldCharType="begin"/>
      </w:r>
      <w:r w:rsidR="009339AE">
        <w:instrText xml:space="preserve"> :Start:BPD_BG1 </w:instrText>
      </w:r>
      <w:r w:rsidR="009339AE">
        <w:fldChar w:fldCharType="end"/>
      </w:r>
      <w:r w:rsidR="00021F3A" w:rsidRPr="00FD24B8">
        <w:t>invests in</w:t>
      </w:r>
      <w:r w:rsidR="00021F3A" w:rsidRPr="00FD24B8" w:rsidDel="00021F3A">
        <w:t xml:space="preserve"> </w:t>
      </w:r>
      <w:r w:rsidR="008F4B9B" w:rsidRPr="00FD24B8">
        <w:t>small</w:t>
      </w:r>
      <w:r w:rsidR="008C44E5" w:rsidRPr="00FD24B8">
        <w:t xml:space="preserve"> business and </w:t>
      </w:r>
      <w:r w:rsidR="009339AE" w:rsidRPr="00FD24B8">
        <w:fldChar w:fldCharType="begin"/>
      </w:r>
      <w:r w:rsidR="009339AE" w:rsidRPr="00FD24B8">
        <w:instrText xml:space="preserve"> :End:BPD_BG1 </w:instrText>
      </w:r>
      <w:r w:rsidR="009339AE" w:rsidRPr="00FD24B8">
        <w:fldChar w:fldCharType="end"/>
      </w:r>
      <w:r w:rsidR="009339AE" w:rsidRPr="00FD24B8">
        <w:fldChar w:fldCharType="begin"/>
      </w:r>
      <w:r w:rsidR="009339AE" w:rsidRPr="00FD24B8">
        <w:instrText xml:space="preserve"> :Start:LEIID_LB1 </w:instrText>
      </w:r>
      <w:r w:rsidR="009339AE" w:rsidRPr="00FD24B8">
        <w:fldChar w:fldCharType="end"/>
      </w:r>
      <w:r w:rsidR="008C44E5" w:rsidRPr="00FD24B8">
        <w:t xml:space="preserve">local manufacturing, </w:t>
      </w:r>
      <w:r w:rsidR="009339AE" w:rsidRPr="00FD24B8">
        <w:fldChar w:fldCharType="begin"/>
      </w:r>
      <w:r w:rsidR="009339AE" w:rsidRPr="00FD24B8">
        <w:instrText xml:space="preserve"> :End:LEIID_LB1 </w:instrText>
      </w:r>
      <w:r w:rsidR="009339AE" w:rsidRPr="00FD24B8">
        <w:fldChar w:fldCharType="end"/>
      </w:r>
      <w:r w:rsidR="009339AE" w:rsidRPr="00FD24B8">
        <w:fldChar w:fldCharType="begin"/>
      </w:r>
      <w:r w:rsidR="009339AE" w:rsidRPr="00FD24B8">
        <w:instrText xml:space="preserve"> :Start:IESD_KT1 </w:instrText>
      </w:r>
      <w:r w:rsidR="009339AE" w:rsidRPr="00FD24B8">
        <w:fldChar w:fldCharType="end"/>
      </w:r>
      <w:r w:rsidR="008C44E5" w:rsidRPr="00FD24B8">
        <w:t>and stronger defence, borders and national security</w:t>
      </w:r>
      <w:r w:rsidR="008E7AF5" w:rsidRPr="00FD24B8">
        <w:t xml:space="preserve">. </w:t>
      </w:r>
      <w:bookmarkStart w:id="2" w:name="_Hlk98442601"/>
      <w:r w:rsidR="009339AE" w:rsidRPr="00FD24B8">
        <w:fldChar w:fldCharType="begin"/>
      </w:r>
      <w:r w:rsidR="009339AE" w:rsidRPr="00FD24B8">
        <w:instrText xml:space="preserve"> :End:IESD_KT1 </w:instrText>
      </w:r>
      <w:r w:rsidR="009339AE" w:rsidRPr="00FD24B8">
        <w:fldChar w:fldCharType="end"/>
      </w:r>
      <w:r w:rsidR="009339AE" w:rsidRPr="00FD24B8">
        <w:fldChar w:fldCharType="begin"/>
      </w:r>
      <w:r w:rsidR="009339AE" w:rsidRPr="00FD24B8">
        <w:instrText xml:space="preserve"> :Start:SPD_LE1 </w:instrText>
      </w:r>
      <w:r w:rsidR="009339AE" w:rsidRPr="00FD24B8">
        <w:fldChar w:fldCharType="end"/>
      </w:r>
      <w:r w:rsidR="00D213A6" w:rsidRPr="00FD24B8">
        <w:t xml:space="preserve">The </w:t>
      </w:r>
      <w:r w:rsidR="001D0572" w:rsidRPr="00FD24B8">
        <w:t xml:space="preserve">Budget also provides </w:t>
      </w:r>
      <w:r w:rsidR="00F22C86" w:rsidRPr="00FD24B8">
        <w:t>immediate financial assistance for</w:t>
      </w:r>
      <w:r w:rsidR="00EC7042" w:rsidRPr="00FD24B8">
        <w:t xml:space="preserve"> </w:t>
      </w:r>
      <w:r w:rsidR="00F22C86" w:rsidRPr="00FD24B8">
        <w:t>communities affec</w:t>
      </w:r>
      <w:r w:rsidR="00CA6228" w:rsidRPr="00FD24B8">
        <w:t xml:space="preserve">ted by </w:t>
      </w:r>
      <w:r w:rsidR="00C263B8" w:rsidRPr="00FD24B8">
        <w:t xml:space="preserve">the devastating </w:t>
      </w:r>
      <w:r w:rsidR="00CA6228" w:rsidRPr="00FD24B8">
        <w:t xml:space="preserve">floods and provisions </w:t>
      </w:r>
      <w:r w:rsidR="00DF06AD" w:rsidRPr="00FD24B8">
        <w:t xml:space="preserve">for </w:t>
      </w:r>
      <w:r w:rsidR="00583DEC" w:rsidRPr="00FD24B8">
        <w:t>further relief and recovery.</w:t>
      </w:r>
      <w:r w:rsidR="006B6D23" w:rsidRPr="00FD24B8">
        <w:t xml:space="preserve"> </w:t>
      </w:r>
    </w:p>
    <w:p w14:paraId="7B37F780" w14:textId="5CA24792" w:rsidR="002D0651" w:rsidRPr="00FD24B8" w:rsidRDefault="009339AE" w:rsidP="002D0651">
      <w:r>
        <w:fldChar w:fldCharType="begin"/>
      </w:r>
      <w:r>
        <w:instrText xml:space="preserve"> :End:SPD_LE1 </w:instrText>
      </w:r>
      <w:r>
        <w:fldChar w:fldCharType="end"/>
      </w:r>
      <w:bookmarkStart w:id="3" w:name="_Hlk98842134"/>
      <w:bookmarkEnd w:id="2"/>
      <w:r w:rsidR="00C06A37">
        <w:fldChar w:fldCharType="begin"/>
      </w:r>
      <w:r w:rsidR="00C06A37">
        <w:instrText xml:space="preserve"> :Start:TAD_KDM1 </w:instrText>
      </w:r>
      <w:r w:rsidR="00C06A37">
        <w:fldChar w:fldCharType="end"/>
      </w:r>
      <w:r w:rsidR="00562F6E" w:rsidRPr="00FD24B8">
        <w:t>A stronger</w:t>
      </w:r>
      <w:r w:rsidR="00562F6E" w:rsidRPr="00FD24B8">
        <w:noBreakHyphen/>
        <w:t>than</w:t>
      </w:r>
      <w:r w:rsidR="00562F6E" w:rsidRPr="00FD24B8">
        <w:noBreakHyphen/>
        <w:t>expected labour market recovery and associated pick</w:t>
      </w:r>
      <w:r w:rsidR="0031144A" w:rsidRPr="00FD24B8">
        <w:noBreakHyphen/>
      </w:r>
      <w:r w:rsidR="00562F6E" w:rsidRPr="00FD24B8">
        <w:t>up in wages growth has driven large upward revisions to personal income tax receipts</w:t>
      </w:r>
      <w:r w:rsidR="00C06A37">
        <w:fldChar w:fldCharType="begin"/>
      </w:r>
      <w:r w:rsidR="00C06A37">
        <w:instrText xml:space="preserve"> :End:TAD_KDM1 </w:instrText>
      </w:r>
      <w:r w:rsidR="00C06A37">
        <w:fldChar w:fldCharType="end"/>
      </w:r>
      <w:r w:rsidR="00562F6E" w:rsidRPr="00BE6368">
        <w:t xml:space="preserve">, </w:t>
      </w:r>
      <w:r w:rsidR="00E2443E">
        <w:fldChar w:fldCharType="begin"/>
      </w:r>
      <w:r w:rsidR="00E2443E">
        <w:instrText xml:space="preserve"> :Start:TAD_KDM1 </w:instrText>
      </w:r>
      <w:r w:rsidR="00E2443E">
        <w:fldChar w:fldCharType="end"/>
      </w:r>
      <w:r w:rsidR="00562F6E" w:rsidRPr="00FD24B8">
        <w:t xml:space="preserve">notwithstanding </w:t>
      </w:r>
      <w:r w:rsidR="006A572F" w:rsidRPr="00FD24B8">
        <w:t>$</w:t>
      </w:r>
      <w:r w:rsidR="00BE5EFD" w:rsidRPr="00FD24B8">
        <w:t>11.9</w:t>
      </w:r>
      <w:r w:rsidR="006A572F" w:rsidRPr="00FD24B8">
        <w:t xml:space="preserve"> billion in </w:t>
      </w:r>
      <w:r w:rsidR="00510759" w:rsidRPr="00FD24B8">
        <w:t>tax relief</w:t>
      </w:r>
      <w:r w:rsidR="009F28DA" w:rsidRPr="00FD24B8">
        <w:t xml:space="preserve"> </w:t>
      </w:r>
      <w:r w:rsidR="00510759" w:rsidRPr="00FD24B8">
        <w:t>that will</w:t>
      </w:r>
      <w:r w:rsidR="0061245F" w:rsidRPr="00FD24B8">
        <w:t xml:space="preserve"> be</w:t>
      </w:r>
      <w:r w:rsidR="006A572F" w:rsidRPr="00FD24B8">
        <w:t xml:space="preserve"> provided </w:t>
      </w:r>
      <w:r w:rsidR="009F28DA" w:rsidRPr="00FD24B8">
        <w:t>when taxpayers lodge their 2021</w:t>
      </w:r>
      <w:r w:rsidR="0031144A" w:rsidRPr="00FD24B8">
        <w:noBreakHyphen/>
      </w:r>
      <w:r w:rsidR="009F28DA" w:rsidRPr="00FD24B8">
        <w:t>22 tax returns</w:t>
      </w:r>
      <w:r w:rsidR="00F17E0D" w:rsidRPr="00FD24B8">
        <w:t>.</w:t>
      </w:r>
      <w:r w:rsidR="00E2443E" w:rsidRPr="00931592">
        <w:fldChar w:fldCharType="begin"/>
      </w:r>
      <w:r w:rsidR="00E2443E" w:rsidRPr="00D57BDF">
        <w:instrText xml:space="preserve"> :End:TAD_KDM1 </w:instrText>
      </w:r>
      <w:r w:rsidR="00E2443E" w:rsidRPr="00931592">
        <w:fldChar w:fldCharType="end"/>
      </w:r>
      <w:r w:rsidR="00562F6E" w:rsidRPr="00BE6368">
        <w:t xml:space="preserve"> </w:t>
      </w:r>
      <w:r w:rsidR="00E2443E">
        <w:fldChar w:fldCharType="begin"/>
      </w:r>
      <w:r w:rsidR="00E2443E">
        <w:instrText xml:space="preserve"> :Start:BPD_BG1 </w:instrText>
      </w:r>
      <w:r w:rsidR="00E2443E">
        <w:fldChar w:fldCharType="end"/>
      </w:r>
      <w:bookmarkEnd w:id="3"/>
      <w:r w:rsidR="00562F6E" w:rsidRPr="00FD24B8">
        <w:t xml:space="preserve">Along with </w:t>
      </w:r>
      <w:r w:rsidR="00CB52FD" w:rsidRPr="00FD24B8">
        <w:t>reductions in unemployment benefit</w:t>
      </w:r>
      <w:r w:rsidR="003063FF" w:rsidRPr="00FD24B8">
        <w:t xml:space="preserve"> recipients</w:t>
      </w:r>
      <w:r w:rsidR="00CB52FD" w:rsidRPr="00FD24B8">
        <w:t xml:space="preserve"> </w:t>
      </w:r>
      <w:r w:rsidR="00BD1811" w:rsidRPr="00FD24B8">
        <w:t xml:space="preserve">from a </w:t>
      </w:r>
      <w:r w:rsidR="00A0674D" w:rsidRPr="00FD24B8">
        <w:t xml:space="preserve">stronger labour market </w:t>
      </w:r>
      <w:r w:rsidR="001124EC" w:rsidRPr="00FD24B8">
        <w:t xml:space="preserve">and the </w:t>
      </w:r>
      <w:r w:rsidR="00562F6E" w:rsidRPr="00FD24B8">
        <w:t>effect of higher near</w:t>
      </w:r>
      <w:r w:rsidR="0031144A" w:rsidRPr="00FD24B8">
        <w:noBreakHyphen/>
      </w:r>
      <w:r w:rsidR="00562F6E" w:rsidRPr="00FD24B8">
        <w:t>term commodity prices, this has resulted in a substantial</w:t>
      </w:r>
      <w:r w:rsidR="00562F6E" w:rsidRPr="00FD24B8" w:rsidDel="00C7316C">
        <w:t xml:space="preserve"> </w:t>
      </w:r>
      <w:r w:rsidR="00562F6E" w:rsidRPr="00FD24B8">
        <w:t>$</w:t>
      </w:r>
      <w:r w:rsidR="00E4323A" w:rsidRPr="00FD24B8">
        <w:t>103.6</w:t>
      </w:r>
      <w:r w:rsidR="00562F6E" w:rsidRPr="00FD24B8">
        <w:t xml:space="preserve"> billion improvement in the expected underlying cash balance between 2021</w:t>
      </w:r>
      <w:r w:rsidR="0031144A" w:rsidRPr="00FD24B8">
        <w:noBreakHyphen/>
      </w:r>
      <w:r w:rsidR="00562F6E" w:rsidRPr="00FD24B8">
        <w:t xml:space="preserve">22 </w:t>
      </w:r>
      <w:r w:rsidR="000852C4" w:rsidRPr="00FD24B8">
        <w:t>and</w:t>
      </w:r>
      <w:r w:rsidR="00562F6E" w:rsidRPr="00FD24B8">
        <w:t xml:space="preserve"> 2025</w:t>
      </w:r>
      <w:r w:rsidR="0031144A" w:rsidRPr="00FD24B8">
        <w:noBreakHyphen/>
      </w:r>
      <w:r w:rsidR="00562F6E" w:rsidRPr="00FD24B8">
        <w:t>26 since MYEFO</w:t>
      </w:r>
      <w:r w:rsidR="00615DFD" w:rsidRPr="00FD24B8">
        <w:t xml:space="preserve"> (Table 3.1)</w:t>
      </w:r>
      <w:r w:rsidR="00562F6E" w:rsidRPr="00FD24B8">
        <w:t>. In 2022</w:t>
      </w:r>
      <w:r w:rsidR="0031144A" w:rsidRPr="00FD24B8">
        <w:noBreakHyphen/>
      </w:r>
      <w:r w:rsidR="00562F6E" w:rsidRPr="00FD24B8">
        <w:t>23, t</w:t>
      </w:r>
      <w:r w:rsidR="00401D1E" w:rsidRPr="00FD24B8">
        <w:t>he expected underlying cash deficit has improved to $</w:t>
      </w:r>
      <w:r w:rsidR="00C5067C" w:rsidRPr="00FD24B8">
        <w:t>7</w:t>
      </w:r>
      <w:r w:rsidR="007D4ABD" w:rsidRPr="00FD24B8">
        <w:t>8.0</w:t>
      </w:r>
      <w:r w:rsidR="00401D1E" w:rsidRPr="00FD24B8">
        <w:t> billion (</w:t>
      </w:r>
      <w:r w:rsidR="007D4ABD" w:rsidRPr="00FD24B8">
        <w:t>3.4</w:t>
      </w:r>
      <w:r w:rsidR="00401D1E" w:rsidRPr="00FD24B8">
        <w:t xml:space="preserve"> per cent of GDP) from an estimate of $</w:t>
      </w:r>
      <w:r w:rsidR="007D4ABD" w:rsidRPr="00FD24B8">
        <w:t>98.9</w:t>
      </w:r>
      <w:r w:rsidR="00401D1E" w:rsidRPr="00FD24B8">
        <w:t> billion (</w:t>
      </w:r>
      <w:r w:rsidR="007D4ABD" w:rsidRPr="00FD24B8">
        <w:t>4</w:t>
      </w:r>
      <w:r w:rsidR="00401D1E" w:rsidRPr="00FD24B8">
        <w:t>.</w:t>
      </w:r>
      <w:r w:rsidR="00C5067C" w:rsidRPr="00FD24B8">
        <w:t>4</w:t>
      </w:r>
      <w:r w:rsidR="00401D1E" w:rsidRPr="00FD24B8">
        <w:t> per cent of GDP) at MYEFO.</w:t>
      </w:r>
      <w:r w:rsidR="00B109B5" w:rsidRPr="00FD24B8">
        <w:t xml:space="preserve"> </w:t>
      </w:r>
      <w:r w:rsidR="002D0651" w:rsidRPr="00FD24B8">
        <w:br w:type="page"/>
      </w:r>
    </w:p>
    <w:p w14:paraId="265E372F" w14:textId="77777777" w:rsidR="00A44E19" w:rsidRPr="00FD24B8" w:rsidRDefault="004252BE" w:rsidP="00A44E19">
      <w:pPr>
        <w:pStyle w:val="TableHeading"/>
        <w:rPr>
          <w:rFonts w:asciiTheme="minorHAnsi" w:eastAsiaTheme="minorHAnsi" w:hAnsiTheme="minorHAnsi" w:cstheme="minorBidi"/>
          <w:sz w:val="22"/>
          <w:szCs w:val="22"/>
          <w:lang w:eastAsia="en-US"/>
        </w:rPr>
      </w:pPr>
      <w:r w:rsidRPr="00FD24B8">
        <w:lastRenderedPageBreak/>
        <w:t xml:space="preserve">Table 3.1: Change in underlying cash balance </w:t>
      </w:r>
      <w:r w:rsidR="008E1DF1" w:rsidRPr="00FD24B8">
        <w:t>from</w:t>
      </w:r>
      <w:r w:rsidRPr="00FD24B8">
        <w:t xml:space="preserve"> MYEFO</w:t>
      </w:r>
    </w:p>
    <w:tbl>
      <w:tblPr>
        <w:tblW w:w="5000" w:type="pct"/>
        <w:tblCellMar>
          <w:left w:w="0" w:type="dxa"/>
          <w:right w:w="28" w:type="dxa"/>
        </w:tblCellMar>
        <w:tblLook w:val="04A0" w:firstRow="1" w:lastRow="0" w:firstColumn="1" w:lastColumn="0" w:noHBand="0" w:noVBand="1"/>
      </w:tblPr>
      <w:tblGrid>
        <w:gridCol w:w="3045"/>
        <w:gridCol w:w="773"/>
        <w:gridCol w:w="773"/>
        <w:gridCol w:w="774"/>
        <w:gridCol w:w="774"/>
        <w:gridCol w:w="774"/>
        <w:gridCol w:w="797"/>
      </w:tblGrid>
      <w:tr w:rsidR="00043D4E" w:rsidRPr="00131EBC" w14:paraId="265D0BA4" w14:textId="77777777" w:rsidTr="00A44E19">
        <w:trPr>
          <w:trHeight w:hRule="exact" w:val="225"/>
        </w:trPr>
        <w:tc>
          <w:tcPr>
            <w:tcW w:w="1975" w:type="pct"/>
            <w:tcBorders>
              <w:top w:val="single" w:sz="4" w:space="0" w:color="000000"/>
              <w:left w:val="nil"/>
              <w:bottom w:val="nil"/>
              <w:right w:val="nil"/>
            </w:tcBorders>
            <w:shd w:val="clear" w:color="000000" w:fill="FFFFFF"/>
            <w:noWrap/>
            <w:vAlign w:val="center"/>
            <w:hideMark/>
          </w:tcPr>
          <w:p w14:paraId="49D69F60" w14:textId="091C991A" w:rsidR="00A44E19" w:rsidRPr="00131EBC" w:rsidRDefault="00A44E19" w:rsidP="00A44E19">
            <w:pPr>
              <w:spacing w:after="0" w:line="240" w:lineRule="auto"/>
              <w:jc w:val="left"/>
              <w:rPr>
                <w:rFonts w:ascii="Arial" w:hAnsi="Arial" w:cs="Arial"/>
                <w:color w:val="FFFF00"/>
                <w:sz w:val="16"/>
                <w:szCs w:val="16"/>
                <w:highlight w:val="darkMagenta"/>
              </w:rPr>
            </w:pPr>
            <w:r w:rsidRPr="00FD24B8">
              <w:rPr>
                <w:rFonts w:ascii="Arial" w:hAnsi="Arial" w:cs="Arial"/>
                <w:sz w:val="16"/>
                <w:szCs w:val="16"/>
              </w:rPr>
              <w:t> </w:t>
            </w:r>
          </w:p>
        </w:tc>
        <w:tc>
          <w:tcPr>
            <w:tcW w:w="2507" w:type="pct"/>
            <w:gridSpan w:val="5"/>
            <w:tcBorders>
              <w:top w:val="single" w:sz="4" w:space="0" w:color="000000"/>
              <w:left w:val="nil"/>
              <w:bottom w:val="nil"/>
              <w:right w:val="nil"/>
            </w:tcBorders>
            <w:shd w:val="clear" w:color="000000" w:fill="FFFFFF"/>
            <w:vAlign w:val="center"/>
            <w:hideMark/>
          </w:tcPr>
          <w:p w14:paraId="49AD0316" w14:textId="77777777" w:rsidR="00A44E19" w:rsidRPr="00131EBC" w:rsidRDefault="00A44E19" w:rsidP="00A44E19">
            <w:pPr>
              <w:spacing w:after="0" w:line="240" w:lineRule="auto"/>
              <w:jc w:val="center"/>
              <w:rPr>
                <w:rFonts w:ascii="Arial" w:hAnsi="Arial" w:cs="Arial"/>
                <w:color w:val="FFFF00"/>
                <w:sz w:val="16"/>
                <w:szCs w:val="16"/>
                <w:highlight w:val="darkMagenta"/>
              </w:rPr>
            </w:pPr>
            <w:r w:rsidRPr="00FD24B8">
              <w:rPr>
                <w:rFonts w:ascii="Arial" w:hAnsi="Arial" w:cs="Arial"/>
                <w:sz w:val="16"/>
                <w:szCs w:val="16"/>
              </w:rPr>
              <w:t>Estimates</w:t>
            </w:r>
          </w:p>
        </w:tc>
        <w:tc>
          <w:tcPr>
            <w:tcW w:w="517" w:type="pct"/>
            <w:tcBorders>
              <w:top w:val="single" w:sz="4" w:space="0" w:color="000000"/>
              <w:left w:val="nil"/>
              <w:bottom w:val="nil"/>
              <w:right w:val="nil"/>
            </w:tcBorders>
            <w:shd w:val="clear" w:color="000000" w:fill="FFFFFF"/>
            <w:noWrap/>
            <w:vAlign w:val="center"/>
            <w:hideMark/>
          </w:tcPr>
          <w:p w14:paraId="0D5C3B56" w14:textId="77777777" w:rsidR="00A44E19" w:rsidRPr="00FD24B8" w:rsidRDefault="00A44E19" w:rsidP="00A44E19">
            <w:pPr>
              <w:spacing w:after="0" w:line="240" w:lineRule="auto"/>
              <w:jc w:val="right"/>
              <w:rPr>
                <w:rFonts w:ascii="Arial" w:hAnsi="Arial" w:cs="Arial"/>
                <w:sz w:val="16"/>
                <w:szCs w:val="16"/>
              </w:rPr>
            </w:pPr>
            <w:r w:rsidRPr="00FD24B8">
              <w:rPr>
                <w:rFonts w:ascii="Arial" w:hAnsi="Arial" w:cs="Arial"/>
                <w:sz w:val="16"/>
                <w:szCs w:val="16"/>
              </w:rPr>
              <w:t> </w:t>
            </w:r>
          </w:p>
        </w:tc>
      </w:tr>
      <w:tr w:rsidR="00A44E19" w:rsidRPr="00131EBC" w14:paraId="5501872C" w14:textId="77777777" w:rsidTr="009151F2">
        <w:trPr>
          <w:trHeight w:hRule="exact" w:val="225"/>
        </w:trPr>
        <w:tc>
          <w:tcPr>
            <w:tcW w:w="1975" w:type="pct"/>
            <w:tcBorders>
              <w:top w:val="nil"/>
              <w:left w:val="nil"/>
              <w:bottom w:val="nil"/>
              <w:right w:val="nil"/>
            </w:tcBorders>
            <w:shd w:val="clear" w:color="000000" w:fill="FFFFFF"/>
            <w:noWrap/>
            <w:vAlign w:val="center"/>
            <w:hideMark/>
          </w:tcPr>
          <w:p w14:paraId="5A944B4C" w14:textId="77777777" w:rsidR="00A44E19" w:rsidRPr="00131EBC" w:rsidRDefault="00A44E19" w:rsidP="00A44E19">
            <w:pPr>
              <w:spacing w:after="0" w:line="240" w:lineRule="auto"/>
              <w:jc w:val="left"/>
              <w:rPr>
                <w:rFonts w:ascii="Arial" w:hAnsi="Arial" w:cs="Arial"/>
                <w:color w:val="FFFF00"/>
                <w:sz w:val="16"/>
                <w:szCs w:val="16"/>
                <w:highlight w:val="darkMagenta"/>
              </w:rPr>
            </w:pPr>
            <w:r w:rsidRPr="00FD24B8">
              <w:rPr>
                <w:rFonts w:ascii="Arial" w:hAnsi="Arial" w:cs="Arial"/>
                <w:sz w:val="16"/>
                <w:szCs w:val="16"/>
              </w:rPr>
              <w:t> </w:t>
            </w:r>
          </w:p>
        </w:tc>
        <w:tc>
          <w:tcPr>
            <w:tcW w:w="501" w:type="pct"/>
            <w:tcBorders>
              <w:top w:val="single" w:sz="4" w:space="0" w:color="000000"/>
              <w:left w:val="nil"/>
              <w:right w:val="nil"/>
            </w:tcBorders>
            <w:shd w:val="clear" w:color="000000" w:fill="FFFFFF"/>
            <w:noWrap/>
            <w:vAlign w:val="center"/>
            <w:hideMark/>
          </w:tcPr>
          <w:p w14:paraId="06198FB5" w14:textId="602E7278"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2021</w:t>
            </w:r>
            <w:r w:rsidR="0031144A" w:rsidRPr="00FD24B8">
              <w:rPr>
                <w:rFonts w:ascii="Arial" w:hAnsi="Arial" w:cs="Arial"/>
                <w:sz w:val="16"/>
                <w:szCs w:val="16"/>
              </w:rPr>
              <w:noBreakHyphen/>
            </w:r>
            <w:r w:rsidRPr="00FD24B8">
              <w:rPr>
                <w:rFonts w:ascii="Arial" w:hAnsi="Arial" w:cs="Arial"/>
                <w:sz w:val="16"/>
                <w:szCs w:val="16"/>
              </w:rPr>
              <w:t>22</w:t>
            </w:r>
          </w:p>
        </w:tc>
        <w:tc>
          <w:tcPr>
            <w:tcW w:w="501" w:type="pct"/>
            <w:tcBorders>
              <w:top w:val="single" w:sz="4" w:space="0" w:color="000000"/>
              <w:left w:val="nil"/>
              <w:right w:val="nil"/>
            </w:tcBorders>
            <w:shd w:val="clear" w:color="000000" w:fill="F2F9FC"/>
            <w:noWrap/>
            <w:vAlign w:val="center"/>
            <w:hideMark/>
          </w:tcPr>
          <w:p w14:paraId="1DAAD837" w14:textId="68B532C8"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2022</w:t>
            </w:r>
            <w:r w:rsidR="0031144A" w:rsidRPr="00FD24B8">
              <w:rPr>
                <w:rFonts w:ascii="Arial" w:hAnsi="Arial" w:cs="Arial"/>
                <w:sz w:val="16"/>
                <w:szCs w:val="16"/>
              </w:rPr>
              <w:noBreakHyphen/>
            </w:r>
            <w:r w:rsidRPr="00FD24B8">
              <w:rPr>
                <w:rFonts w:ascii="Arial" w:hAnsi="Arial" w:cs="Arial"/>
                <w:sz w:val="16"/>
                <w:szCs w:val="16"/>
              </w:rPr>
              <w:t>23</w:t>
            </w:r>
          </w:p>
        </w:tc>
        <w:tc>
          <w:tcPr>
            <w:tcW w:w="502" w:type="pct"/>
            <w:tcBorders>
              <w:top w:val="single" w:sz="4" w:space="0" w:color="000000"/>
              <w:left w:val="nil"/>
              <w:right w:val="nil"/>
            </w:tcBorders>
            <w:shd w:val="clear" w:color="000000" w:fill="FFFFFF"/>
            <w:noWrap/>
            <w:vAlign w:val="center"/>
            <w:hideMark/>
          </w:tcPr>
          <w:p w14:paraId="3E357811" w14:textId="2449A949"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2023</w:t>
            </w:r>
            <w:r w:rsidR="0031144A" w:rsidRPr="00FD24B8">
              <w:rPr>
                <w:rFonts w:ascii="Arial" w:hAnsi="Arial" w:cs="Arial"/>
                <w:sz w:val="16"/>
                <w:szCs w:val="16"/>
              </w:rPr>
              <w:noBreakHyphen/>
            </w:r>
            <w:r w:rsidRPr="00FD24B8">
              <w:rPr>
                <w:rFonts w:ascii="Arial" w:hAnsi="Arial" w:cs="Arial"/>
                <w:sz w:val="16"/>
                <w:szCs w:val="16"/>
              </w:rPr>
              <w:t>24</w:t>
            </w:r>
          </w:p>
        </w:tc>
        <w:tc>
          <w:tcPr>
            <w:tcW w:w="502" w:type="pct"/>
            <w:tcBorders>
              <w:top w:val="single" w:sz="4" w:space="0" w:color="000000"/>
              <w:left w:val="nil"/>
              <w:right w:val="nil"/>
            </w:tcBorders>
            <w:shd w:val="clear" w:color="000000" w:fill="FFFFFF"/>
            <w:noWrap/>
            <w:vAlign w:val="center"/>
            <w:hideMark/>
          </w:tcPr>
          <w:p w14:paraId="244C05F6" w14:textId="6FB200F9"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2024</w:t>
            </w:r>
            <w:r w:rsidR="0031144A" w:rsidRPr="00FD24B8">
              <w:rPr>
                <w:rFonts w:ascii="Arial" w:hAnsi="Arial" w:cs="Arial"/>
                <w:sz w:val="16"/>
                <w:szCs w:val="16"/>
              </w:rPr>
              <w:noBreakHyphen/>
            </w:r>
            <w:r w:rsidRPr="00FD24B8">
              <w:rPr>
                <w:rFonts w:ascii="Arial" w:hAnsi="Arial" w:cs="Arial"/>
                <w:sz w:val="16"/>
                <w:szCs w:val="16"/>
              </w:rPr>
              <w:t>25</w:t>
            </w:r>
          </w:p>
        </w:tc>
        <w:tc>
          <w:tcPr>
            <w:tcW w:w="502" w:type="pct"/>
            <w:tcBorders>
              <w:top w:val="single" w:sz="4" w:space="0" w:color="000000"/>
              <w:left w:val="nil"/>
              <w:right w:val="nil"/>
            </w:tcBorders>
            <w:shd w:val="clear" w:color="000000" w:fill="FFFFFF"/>
            <w:noWrap/>
            <w:vAlign w:val="center"/>
            <w:hideMark/>
          </w:tcPr>
          <w:p w14:paraId="138D636B" w14:textId="0F2C4ADF"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2025</w:t>
            </w:r>
            <w:r w:rsidR="0031144A" w:rsidRPr="00FD24B8">
              <w:rPr>
                <w:rFonts w:ascii="Arial" w:hAnsi="Arial" w:cs="Arial"/>
                <w:sz w:val="16"/>
                <w:szCs w:val="16"/>
              </w:rPr>
              <w:noBreakHyphen/>
            </w:r>
            <w:r w:rsidRPr="00FD24B8">
              <w:rPr>
                <w:rFonts w:ascii="Arial" w:hAnsi="Arial" w:cs="Arial"/>
                <w:sz w:val="16"/>
                <w:szCs w:val="16"/>
              </w:rPr>
              <w:t>26</w:t>
            </w:r>
          </w:p>
        </w:tc>
        <w:tc>
          <w:tcPr>
            <w:tcW w:w="517" w:type="pct"/>
            <w:tcBorders>
              <w:top w:val="single" w:sz="4" w:space="0" w:color="000000"/>
              <w:left w:val="nil"/>
              <w:right w:val="nil"/>
            </w:tcBorders>
            <w:shd w:val="clear" w:color="000000" w:fill="FFFFFF"/>
            <w:noWrap/>
            <w:vAlign w:val="center"/>
            <w:hideMark/>
          </w:tcPr>
          <w:p w14:paraId="322BCA6D" w14:textId="77777777" w:rsidR="00A44E19" w:rsidRPr="00FD24B8" w:rsidRDefault="00A44E19" w:rsidP="00A44E19">
            <w:pPr>
              <w:spacing w:after="0" w:line="240" w:lineRule="auto"/>
              <w:jc w:val="right"/>
              <w:rPr>
                <w:rFonts w:ascii="Arial" w:hAnsi="Arial" w:cs="Arial"/>
                <w:sz w:val="16"/>
                <w:szCs w:val="16"/>
              </w:rPr>
            </w:pPr>
            <w:r w:rsidRPr="00FD24B8">
              <w:rPr>
                <w:rFonts w:ascii="Arial" w:hAnsi="Arial" w:cs="Arial"/>
                <w:sz w:val="16"/>
                <w:szCs w:val="16"/>
              </w:rPr>
              <w:t>Total</w:t>
            </w:r>
          </w:p>
        </w:tc>
      </w:tr>
      <w:tr w:rsidR="00043D4E" w:rsidRPr="00131EBC" w14:paraId="570A1139" w14:textId="77777777" w:rsidTr="00A44E19">
        <w:trPr>
          <w:trHeight w:hRule="exact" w:val="225"/>
        </w:trPr>
        <w:tc>
          <w:tcPr>
            <w:tcW w:w="1975" w:type="pct"/>
            <w:tcBorders>
              <w:top w:val="nil"/>
              <w:left w:val="nil"/>
              <w:bottom w:val="nil"/>
              <w:right w:val="nil"/>
            </w:tcBorders>
            <w:shd w:val="clear" w:color="auto" w:fill="auto"/>
            <w:noWrap/>
            <w:vAlign w:val="center"/>
            <w:hideMark/>
          </w:tcPr>
          <w:p w14:paraId="36AB7914" w14:textId="77777777" w:rsidR="00A44E19" w:rsidRPr="00131EBC" w:rsidRDefault="00A44E19" w:rsidP="00A44E19">
            <w:pPr>
              <w:spacing w:after="0" w:line="240" w:lineRule="auto"/>
              <w:jc w:val="center"/>
              <w:rPr>
                <w:rFonts w:ascii="Arial" w:hAnsi="Arial" w:cs="Arial"/>
                <w:color w:val="FFFF00"/>
                <w:sz w:val="16"/>
                <w:szCs w:val="16"/>
                <w:highlight w:val="darkMagenta"/>
              </w:rPr>
            </w:pPr>
          </w:p>
        </w:tc>
        <w:tc>
          <w:tcPr>
            <w:tcW w:w="501" w:type="pct"/>
            <w:tcBorders>
              <w:top w:val="nil"/>
              <w:left w:val="nil"/>
              <w:bottom w:val="nil"/>
              <w:right w:val="nil"/>
            </w:tcBorders>
            <w:shd w:val="clear" w:color="000000" w:fill="FFFFFF"/>
            <w:noWrap/>
            <w:vAlign w:val="center"/>
            <w:hideMark/>
          </w:tcPr>
          <w:p w14:paraId="6B50C2CA" w14:textId="77777777"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$b</w:t>
            </w:r>
          </w:p>
        </w:tc>
        <w:tc>
          <w:tcPr>
            <w:tcW w:w="501" w:type="pct"/>
            <w:tcBorders>
              <w:top w:val="nil"/>
              <w:left w:val="nil"/>
              <w:bottom w:val="nil"/>
              <w:right w:val="nil"/>
            </w:tcBorders>
            <w:shd w:val="clear" w:color="000000" w:fill="F2F9FC"/>
            <w:noWrap/>
            <w:vAlign w:val="center"/>
            <w:hideMark/>
          </w:tcPr>
          <w:p w14:paraId="144DA703" w14:textId="77777777"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$b</w:t>
            </w:r>
          </w:p>
        </w:tc>
        <w:tc>
          <w:tcPr>
            <w:tcW w:w="502" w:type="pct"/>
            <w:tcBorders>
              <w:top w:val="nil"/>
              <w:left w:val="nil"/>
              <w:bottom w:val="nil"/>
              <w:right w:val="nil"/>
            </w:tcBorders>
            <w:shd w:val="clear" w:color="000000" w:fill="FFFFFF"/>
            <w:noWrap/>
            <w:vAlign w:val="center"/>
            <w:hideMark/>
          </w:tcPr>
          <w:p w14:paraId="020CD9A9" w14:textId="77777777"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$b</w:t>
            </w:r>
          </w:p>
        </w:tc>
        <w:tc>
          <w:tcPr>
            <w:tcW w:w="502" w:type="pct"/>
            <w:tcBorders>
              <w:top w:val="nil"/>
              <w:left w:val="nil"/>
              <w:bottom w:val="nil"/>
              <w:right w:val="nil"/>
            </w:tcBorders>
            <w:shd w:val="clear" w:color="000000" w:fill="FFFFFF"/>
            <w:noWrap/>
            <w:vAlign w:val="center"/>
            <w:hideMark/>
          </w:tcPr>
          <w:p w14:paraId="4206EB61" w14:textId="77777777"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$b</w:t>
            </w:r>
          </w:p>
        </w:tc>
        <w:tc>
          <w:tcPr>
            <w:tcW w:w="502" w:type="pct"/>
            <w:tcBorders>
              <w:top w:val="nil"/>
              <w:left w:val="nil"/>
              <w:bottom w:val="nil"/>
              <w:right w:val="nil"/>
            </w:tcBorders>
            <w:shd w:val="clear" w:color="000000" w:fill="FFFFFF"/>
            <w:noWrap/>
            <w:vAlign w:val="center"/>
            <w:hideMark/>
          </w:tcPr>
          <w:p w14:paraId="1E80D0EB" w14:textId="77777777" w:rsidR="00A44E19" w:rsidRPr="00131EBC" w:rsidRDefault="00A44E19"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t>$b</w:t>
            </w:r>
          </w:p>
        </w:tc>
        <w:tc>
          <w:tcPr>
            <w:tcW w:w="517" w:type="pct"/>
            <w:tcBorders>
              <w:top w:val="nil"/>
              <w:left w:val="nil"/>
              <w:bottom w:val="nil"/>
              <w:right w:val="nil"/>
            </w:tcBorders>
            <w:shd w:val="clear" w:color="000000" w:fill="FFFFFF"/>
            <w:noWrap/>
            <w:vAlign w:val="center"/>
            <w:hideMark/>
          </w:tcPr>
          <w:p w14:paraId="4EDB8855" w14:textId="77777777" w:rsidR="00A44E19" w:rsidRPr="00FD24B8" w:rsidRDefault="00A44E19" w:rsidP="00A44E19">
            <w:pPr>
              <w:spacing w:after="0" w:line="240" w:lineRule="auto"/>
              <w:jc w:val="right"/>
              <w:rPr>
                <w:rFonts w:ascii="Arial" w:hAnsi="Arial" w:cs="Arial"/>
                <w:sz w:val="16"/>
                <w:szCs w:val="16"/>
              </w:rPr>
            </w:pPr>
            <w:r w:rsidRPr="00FD24B8">
              <w:rPr>
                <w:rFonts w:ascii="Arial" w:hAnsi="Arial" w:cs="Arial"/>
                <w:sz w:val="16"/>
                <w:szCs w:val="16"/>
              </w:rPr>
              <w:t>$b</w:t>
            </w:r>
          </w:p>
        </w:tc>
      </w:tr>
      <w:tr w:rsidR="00A44E19" w:rsidRPr="00131EBC" w14:paraId="71D8EE35" w14:textId="77777777" w:rsidTr="00A44E19">
        <w:trPr>
          <w:trHeight w:hRule="exact" w:val="225"/>
        </w:trPr>
        <w:tc>
          <w:tcPr>
            <w:tcW w:w="1975" w:type="pct"/>
            <w:tcBorders>
              <w:top w:val="nil"/>
              <w:left w:val="nil"/>
              <w:bottom w:val="nil"/>
              <w:right w:val="nil"/>
            </w:tcBorders>
            <w:shd w:val="clear" w:color="000000" w:fill="FFFFFF"/>
            <w:noWrap/>
            <w:vAlign w:val="center"/>
            <w:hideMark/>
          </w:tcPr>
          <w:p w14:paraId="3843AA93" w14:textId="77777777" w:rsidR="00A44E19" w:rsidRPr="00131EBC" w:rsidRDefault="00A44E19" w:rsidP="00A44E19">
            <w:pPr>
              <w:spacing w:after="0" w:line="240" w:lineRule="auto"/>
              <w:jc w:val="left"/>
              <w:rPr>
                <w:rFonts w:ascii="Arial" w:hAnsi="Arial" w:cs="Arial"/>
                <w:b/>
                <w:color w:val="FFFF00"/>
                <w:sz w:val="16"/>
                <w:szCs w:val="16"/>
                <w:highlight w:val="darkMagenta"/>
              </w:rPr>
            </w:pPr>
            <w:r w:rsidRPr="00FD24B8">
              <w:rPr>
                <w:rFonts w:ascii="Arial" w:hAnsi="Arial" w:cs="Arial"/>
                <w:b/>
                <w:sz w:val="16"/>
                <w:szCs w:val="16"/>
              </w:rPr>
              <w:t>Underlying cash balance</w:t>
            </w:r>
          </w:p>
        </w:tc>
        <w:tc>
          <w:tcPr>
            <w:tcW w:w="501" w:type="pct"/>
            <w:tcBorders>
              <w:top w:val="single" w:sz="4" w:space="0" w:color="000000"/>
              <w:left w:val="nil"/>
              <w:bottom w:val="nil"/>
              <w:right w:val="nil"/>
            </w:tcBorders>
            <w:shd w:val="clear" w:color="000000" w:fill="FFFFFF"/>
            <w:noWrap/>
            <w:vAlign w:val="center"/>
            <w:hideMark/>
          </w:tcPr>
          <w:p w14:paraId="16F38E57" w14:textId="77777777" w:rsidR="00A44E19" w:rsidRPr="00131EBC" w:rsidRDefault="00A44E19" w:rsidP="00A44E19">
            <w:pPr>
              <w:spacing w:after="0" w:line="240" w:lineRule="auto"/>
              <w:jc w:val="left"/>
              <w:rPr>
                <w:rFonts w:ascii="Arial" w:hAnsi="Arial" w:cs="Arial"/>
                <w:b/>
                <w:color w:val="FFFF00"/>
                <w:sz w:val="16"/>
                <w:szCs w:val="16"/>
                <w:highlight w:val="darkMagenta"/>
              </w:rPr>
            </w:pPr>
            <w:r w:rsidRPr="00FD24B8">
              <w:rPr>
                <w:rFonts w:ascii="Arial" w:hAnsi="Arial" w:cs="Arial"/>
                <w:b/>
                <w:sz w:val="16"/>
                <w:szCs w:val="16"/>
              </w:rPr>
              <w:t> </w:t>
            </w:r>
          </w:p>
        </w:tc>
        <w:tc>
          <w:tcPr>
            <w:tcW w:w="501" w:type="pct"/>
            <w:tcBorders>
              <w:top w:val="single" w:sz="4" w:space="0" w:color="000000"/>
              <w:left w:val="nil"/>
              <w:bottom w:val="nil"/>
              <w:right w:val="nil"/>
            </w:tcBorders>
            <w:shd w:val="clear" w:color="000000" w:fill="F2F9FC"/>
            <w:noWrap/>
            <w:vAlign w:val="center"/>
            <w:hideMark/>
          </w:tcPr>
          <w:p w14:paraId="18A85748" w14:textId="77777777" w:rsidR="00A44E19" w:rsidRPr="00131EBC" w:rsidRDefault="00A44E19" w:rsidP="00A44E19">
            <w:pPr>
              <w:spacing w:after="0" w:line="240" w:lineRule="auto"/>
              <w:jc w:val="left"/>
              <w:rPr>
                <w:rFonts w:ascii="Arial" w:hAnsi="Arial" w:cs="Arial"/>
                <w:b/>
                <w:color w:val="FFFF00"/>
                <w:sz w:val="16"/>
                <w:szCs w:val="16"/>
                <w:highlight w:val="darkMagenta"/>
              </w:rPr>
            </w:pPr>
            <w:r w:rsidRPr="00FD24B8">
              <w:rPr>
                <w:rFonts w:ascii="Arial" w:hAnsi="Arial" w:cs="Arial"/>
                <w:b/>
                <w:sz w:val="16"/>
                <w:szCs w:val="16"/>
              </w:rPr>
              <w:t> </w:t>
            </w:r>
          </w:p>
        </w:tc>
        <w:tc>
          <w:tcPr>
            <w:tcW w:w="502" w:type="pct"/>
            <w:tcBorders>
              <w:top w:val="single" w:sz="4" w:space="0" w:color="000000"/>
              <w:left w:val="nil"/>
              <w:bottom w:val="nil"/>
              <w:right w:val="nil"/>
            </w:tcBorders>
            <w:shd w:val="clear" w:color="000000" w:fill="FFFFFF"/>
            <w:noWrap/>
            <w:vAlign w:val="center"/>
            <w:hideMark/>
          </w:tcPr>
          <w:p w14:paraId="0D291710" w14:textId="77777777" w:rsidR="00A44E19" w:rsidRPr="00131EBC" w:rsidRDefault="00A44E19" w:rsidP="00A44E19">
            <w:pPr>
              <w:spacing w:after="0" w:line="240" w:lineRule="auto"/>
              <w:jc w:val="left"/>
              <w:rPr>
                <w:rFonts w:ascii="Arial" w:hAnsi="Arial" w:cs="Arial"/>
                <w:b/>
                <w:color w:val="FFFF00"/>
                <w:sz w:val="16"/>
                <w:szCs w:val="16"/>
                <w:highlight w:val="darkMagenta"/>
              </w:rPr>
            </w:pPr>
            <w:r w:rsidRPr="00FD24B8">
              <w:rPr>
                <w:rFonts w:ascii="Arial" w:hAnsi="Arial" w:cs="Arial"/>
                <w:b/>
                <w:sz w:val="16"/>
                <w:szCs w:val="16"/>
              </w:rPr>
              <w:t> </w:t>
            </w:r>
          </w:p>
        </w:tc>
        <w:tc>
          <w:tcPr>
            <w:tcW w:w="502" w:type="pct"/>
            <w:tcBorders>
              <w:top w:val="single" w:sz="4" w:space="0" w:color="000000"/>
              <w:left w:val="nil"/>
              <w:bottom w:val="nil"/>
              <w:right w:val="nil"/>
            </w:tcBorders>
            <w:shd w:val="clear" w:color="000000" w:fill="FFFFFF"/>
            <w:noWrap/>
            <w:vAlign w:val="center"/>
            <w:hideMark/>
          </w:tcPr>
          <w:p w14:paraId="7C66733C" w14:textId="77777777" w:rsidR="00A44E19" w:rsidRPr="00131EBC" w:rsidRDefault="00A44E19" w:rsidP="00A44E19">
            <w:pPr>
              <w:spacing w:after="0" w:line="240" w:lineRule="auto"/>
              <w:jc w:val="left"/>
              <w:rPr>
                <w:rFonts w:ascii="Arial" w:hAnsi="Arial" w:cs="Arial"/>
                <w:b/>
                <w:color w:val="FFFF00"/>
                <w:sz w:val="16"/>
                <w:szCs w:val="16"/>
                <w:highlight w:val="darkMagenta"/>
              </w:rPr>
            </w:pPr>
            <w:r w:rsidRPr="00FD24B8">
              <w:rPr>
                <w:rFonts w:ascii="Arial" w:hAnsi="Arial" w:cs="Arial"/>
                <w:b/>
                <w:sz w:val="16"/>
                <w:szCs w:val="16"/>
              </w:rPr>
              <w:t> </w:t>
            </w:r>
          </w:p>
        </w:tc>
        <w:tc>
          <w:tcPr>
            <w:tcW w:w="502" w:type="pct"/>
            <w:tcBorders>
              <w:top w:val="single" w:sz="4" w:space="0" w:color="000000"/>
              <w:left w:val="nil"/>
              <w:bottom w:val="nil"/>
              <w:right w:val="nil"/>
            </w:tcBorders>
            <w:shd w:val="clear" w:color="000000" w:fill="FFFFFF"/>
            <w:noWrap/>
            <w:vAlign w:val="center"/>
            <w:hideMark/>
          </w:tcPr>
          <w:p w14:paraId="015FCE5F" w14:textId="77777777" w:rsidR="00A44E19" w:rsidRPr="00131EBC" w:rsidRDefault="00A44E19" w:rsidP="00A44E19">
            <w:pPr>
              <w:spacing w:after="0" w:line="240" w:lineRule="auto"/>
              <w:jc w:val="left"/>
              <w:rPr>
                <w:rFonts w:ascii="Arial" w:hAnsi="Arial" w:cs="Arial"/>
                <w:b/>
                <w:color w:val="FFFF00"/>
                <w:sz w:val="16"/>
                <w:szCs w:val="16"/>
                <w:highlight w:val="darkMagenta"/>
              </w:rPr>
            </w:pPr>
            <w:r w:rsidRPr="00FD24B8">
              <w:rPr>
                <w:rFonts w:ascii="Arial" w:hAnsi="Arial" w:cs="Arial"/>
                <w:b/>
                <w:sz w:val="16"/>
                <w:szCs w:val="16"/>
              </w:rPr>
              <w:t> </w:t>
            </w:r>
          </w:p>
        </w:tc>
        <w:tc>
          <w:tcPr>
            <w:tcW w:w="517" w:type="pct"/>
            <w:tcBorders>
              <w:top w:val="single" w:sz="4" w:space="0" w:color="000000"/>
              <w:left w:val="nil"/>
              <w:bottom w:val="nil"/>
              <w:right w:val="nil"/>
            </w:tcBorders>
            <w:shd w:val="clear" w:color="000000" w:fill="FFFFFF"/>
            <w:noWrap/>
            <w:vAlign w:val="center"/>
            <w:hideMark/>
          </w:tcPr>
          <w:p w14:paraId="537CB281" w14:textId="77777777" w:rsidR="00A44E19" w:rsidRPr="00FD24B8" w:rsidRDefault="00A44E19" w:rsidP="00A44E19">
            <w:pPr>
              <w:spacing w:after="0" w:line="240" w:lineRule="auto"/>
              <w:jc w:val="left"/>
              <w:rPr>
                <w:rFonts w:ascii="Arial" w:hAnsi="Arial" w:cs="Arial"/>
                <w:b/>
                <w:sz w:val="16"/>
                <w:szCs w:val="16"/>
              </w:rPr>
            </w:pPr>
            <w:r w:rsidRPr="00FD24B8">
              <w:rPr>
                <w:rFonts w:ascii="Arial" w:hAnsi="Arial" w:cs="Arial"/>
                <w:b/>
                <w:sz w:val="16"/>
                <w:szCs w:val="16"/>
              </w:rPr>
              <w:t> </w:t>
            </w:r>
          </w:p>
        </w:tc>
      </w:tr>
      <w:tr w:rsidR="00A44E19" w:rsidRPr="00131EBC" w14:paraId="43846726" w14:textId="77777777" w:rsidTr="00A44E19">
        <w:trPr>
          <w:trHeight w:hRule="exact" w:val="225"/>
        </w:trPr>
        <w:tc>
          <w:tcPr>
            <w:tcW w:w="1975" w:type="pct"/>
            <w:tcBorders>
              <w:top w:val="nil"/>
              <w:left w:val="nil"/>
              <w:bottom w:val="nil"/>
              <w:right w:val="nil"/>
            </w:tcBorders>
            <w:shd w:val="clear" w:color="000000" w:fill="FFFFFF"/>
            <w:noWrap/>
            <w:vAlign w:val="center"/>
            <w:hideMark/>
          </w:tcPr>
          <w:p w14:paraId="2A374969" w14:textId="77777777" w:rsidR="00A44E19" w:rsidRPr="00131EBC" w:rsidRDefault="00A44E19" w:rsidP="00A44E19">
            <w:pPr>
              <w:spacing w:after="0" w:line="240" w:lineRule="auto"/>
              <w:ind w:left="340"/>
              <w:jc w:val="left"/>
              <w:rPr>
                <w:rFonts w:ascii="Arial" w:hAnsi="Arial" w:cs="Arial"/>
                <w:color w:val="FFFF00"/>
                <w:sz w:val="16"/>
                <w:szCs w:val="16"/>
                <w:highlight w:val="darkMagenta"/>
              </w:rPr>
            </w:pPr>
            <w:r w:rsidRPr="00FD24B8">
              <w:rPr>
                <w:rFonts w:ascii="Arial" w:hAnsi="Arial" w:cs="Arial"/>
                <w:sz w:val="16"/>
                <w:szCs w:val="16"/>
              </w:rPr>
              <w:t>Budget</w:t>
            </w:r>
          </w:p>
        </w:tc>
        <w:tc>
          <w:tcPr>
            <w:tcW w:w="501" w:type="pct"/>
            <w:tcBorders>
              <w:top w:val="nil"/>
              <w:left w:val="nil"/>
              <w:bottom w:val="nil"/>
              <w:right w:val="nil"/>
            </w:tcBorders>
            <w:shd w:val="clear" w:color="000000" w:fill="FFFFFF"/>
            <w:noWrap/>
            <w:vAlign w:val="center"/>
            <w:hideMark/>
          </w:tcPr>
          <w:p w14:paraId="26081930" w14:textId="26FB9EBB" w:rsidR="00A44E19" w:rsidRPr="00131EBC" w:rsidRDefault="0031144A"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noBreakHyphen/>
            </w:r>
            <w:r w:rsidR="00A44E19" w:rsidRPr="00FD24B8">
              <w:rPr>
                <w:rFonts w:ascii="Arial" w:hAnsi="Arial" w:cs="Arial"/>
                <w:sz w:val="16"/>
                <w:szCs w:val="16"/>
              </w:rPr>
              <w:t>79.8</w:t>
            </w:r>
          </w:p>
        </w:tc>
        <w:tc>
          <w:tcPr>
            <w:tcW w:w="501" w:type="pct"/>
            <w:tcBorders>
              <w:top w:val="nil"/>
              <w:left w:val="nil"/>
              <w:bottom w:val="nil"/>
              <w:right w:val="nil"/>
            </w:tcBorders>
            <w:shd w:val="clear" w:color="000000" w:fill="F2F9FC"/>
            <w:noWrap/>
            <w:vAlign w:val="center"/>
            <w:hideMark/>
          </w:tcPr>
          <w:p w14:paraId="1FBB0A53" w14:textId="45F1AC8C" w:rsidR="00A44E19" w:rsidRPr="00131EBC" w:rsidRDefault="0031144A"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noBreakHyphen/>
            </w:r>
            <w:r w:rsidR="00A44E19" w:rsidRPr="00FD24B8">
              <w:rPr>
                <w:rFonts w:ascii="Arial" w:hAnsi="Arial" w:cs="Arial"/>
                <w:sz w:val="16"/>
                <w:szCs w:val="16"/>
              </w:rPr>
              <w:t>78.0</w:t>
            </w:r>
          </w:p>
        </w:tc>
        <w:tc>
          <w:tcPr>
            <w:tcW w:w="502" w:type="pct"/>
            <w:tcBorders>
              <w:top w:val="nil"/>
              <w:left w:val="nil"/>
              <w:bottom w:val="nil"/>
              <w:right w:val="nil"/>
            </w:tcBorders>
            <w:shd w:val="clear" w:color="000000" w:fill="FFFFFF"/>
            <w:noWrap/>
            <w:vAlign w:val="center"/>
            <w:hideMark/>
          </w:tcPr>
          <w:p w14:paraId="6587DB5B" w14:textId="29323758" w:rsidR="00A44E19" w:rsidRPr="00131EBC" w:rsidRDefault="0031144A"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noBreakHyphen/>
            </w:r>
            <w:r w:rsidR="00A44E19" w:rsidRPr="00FD24B8">
              <w:rPr>
                <w:rFonts w:ascii="Arial" w:hAnsi="Arial" w:cs="Arial"/>
                <w:sz w:val="16"/>
                <w:szCs w:val="16"/>
              </w:rPr>
              <w:t>56.5</w:t>
            </w:r>
          </w:p>
        </w:tc>
        <w:tc>
          <w:tcPr>
            <w:tcW w:w="502" w:type="pct"/>
            <w:tcBorders>
              <w:top w:val="nil"/>
              <w:left w:val="nil"/>
              <w:bottom w:val="nil"/>
              <w:right w:val="nil"/>
            </w:tcBorders>
            <w:shd w:val="clear" w:color="000000" w:fill="FFFFFF"/>
            <w:noWrap/>
            <w:vAlign w:val="center"/>
            <w:hideMark/>
          </w:tcPr>
          <w:p w14:paraId="27F71DA8" w14:textId="42B7C520" w:rsidR="00A44E19" w:rsidRPr="00131EBC" w:rsidRDefault="0031144A"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noBreakHyphen/>
            </w:r>
            <w:r w:rsidR="00A44E19" w:rsidRPr="00FD24B8">
              <w:rPr>
                <w:rFonts w:ascii="Arial" w:hAnsi="Arial" w:cs="Arial"/>
                <w:sz w:val="16"/>
                <w:szCs w:val="16"/>
              </w:rPr>
              <w:t>47.1</w:t>
            </w:r>
          </w:p>
        </w:tc>
        <w:tc>
          <w:tcPr>
            <w:tcW w:w="502" w:type="pct"/>
            <w:tcBorders>
              <w:top w:val="nil"/>
              <w:left w:val="nil"/>
              <w:bottom w:val="nil"/>
              <w:right w:val="nil"/>
            </w:tcBorders>
            <w:shd w:val="clear" w:color="000000" w:fill="FFFFFF"/>
            <w:noWrap/>
            <w:vAlign w:val="center"/>
            <w:hideMark/>
          </w:tcPr>
          <w:p w14:paraId="4E398993" w14:textId="1792727C" w:rsidR="00A44E19" w:rsidRPr="00131EBC" w:rsidRDefault="0031144A" w:rsidP="00A44E19">
            <w:pPr>
              <w:spacing w:after="0" w:line="240" w:lineRule="auto"/>
              <w:jc w:val="right"/>
              <w:rPr>
                <w:rFonts w:ascii="Arial" w:hAnsi="Arial" w:cs="Arial"/>
                <w:color w:val="FFFF00"/>
                <w:sz w:val="16"/>
                <w:szCs w:val="16"/>
                <w:highlight w:val="darkMagenta"/>
              </w:rPr>
            </w:pPr>
            <w:r w:rsidRPr="00FD24B8">
              <w:rPr>
                <w:rFonts w:ascii="Arial" w:hAnsi="Arial" w:cs="Arial"/>
                <w:sz w:val="16"/>
                <w:szCs w:val="16"/>
              </w:rPr>
              <w:noBreakHyphen/>
            </w:r>
            <w:r w:rsidR="00A44E19" w:rsidRPr="00FD24B8">
              <w:rPr>
                <w:rFonts w:ascii="Arial" w:hAnsi="Arial" w:cs="Arial"/>
                <w:sz w:val="16"/>
                <w:szCs w:val="16"/>
              </w:rPr>
              <w:t>43.1</w:t>
            </w:r>
          </w:p>
        </w:tc>
        <w:tc>
          <w:tcPr>
            <w:tcW w:w="517" w:type="pct"/>
            <w:tcBorders>
              <w:top w:val="nil"/>
              <w:left w:val="nil"/>
              <w:bottom w:val="nil"/>
              <w:right w:val="nil"/>
            </w:tcBorders>
            <w:shd w:val="clear" w:color="000000" w:fill="FFFFFF"/>
            <w:noWrap/>
            <w:vAlign w:val="center"/>
            <w:hideMark/>
          </w:tcPr>
          <w:p w14:paraId="105FBA8D" w14:textId="49DD5EA2" w:rsidR="00A44E19" w:rsidRPr="00FD24B8" w:rsidRDefault="0031144A" w:rsidP="00A44E19">
            <w:pPr>
              <w:spacing w:after="0" w:line="240" w:lineRule="auto"/>
              <w:jc w:val="right"/>
              <w:rPr>
                <w:rFonts w:ascii="Arial" w:hAnsi="Arial" w:cs="Arial"/>
                <w:sz w:val="16"/>
                <w:szCs w:val="16"/>
              </w:rPr>
            </w:pPr>
            <w:r w:rsidRPr="00FD24B8">
              <w:rPr>
                <w:rFonts w:ascii="Arial" w:hAnsi="Arial" w:cs="Arial"/>
                <w:sz w:val="16"/>
                <w:szCs w:val="16"/>
              </w:rPr>
              <w:noBreakHyphen/>
            </w:r>
            <w:r w:rsidR="00A44E19" w:rsidRPr="00FD24B8">
              <w:rPr>
                <w:rFonts w:ascii="Arial" w:hAnsi="Arial" w:cs="Arial"/>
                <w:sz w:val="16"/>
                <w:szCs w:val="16"/>
              </w:rPr>
              <w:t>304.5</w:t>
            </w:r>
          </w:p>
        </w:tc>
      </w:tr>
      <w:tr w:rsidR="00A44E19" w:rsidRPr="003031FA" w14:paraId="0E5EC5CA" w14:textId="77777777" w:rsidTr="00A44E19">
        <w:trPr>
          <w:trHeight w:hRule="exact" w:val="225"/>
        </w:trPr>
        <w:tc>
          <w:tcPr>
            <w:tcW w:w="1975" w:type="pct"/>
            <w:tcBorders>
              <w:top w:val="nil"/>
              <w:left w:val="nil"/>
              <w:bottom w:val="nil"/>
              <w:right w:val="nil"/>
            </w:tcBorders>
            <w:shd w:val="clear" w:color="000000" w:fill="FFFFFF"/>
            <w:noWrap/>
            <w:vAlign w:val="center"/>
            <w:hideMark/>
          </w:tcPr>
          <w:p w14:paraId="4975F1EC" w14:textId="77777777" w:rsidR="00A44E19" w:rsidRPr="003031FA" w:rsidRDefault="00A44E19" w:rsidP="00A44E19">
            <w:pPr>
              <w:spacing w:after="0" w:line="240" w:lineRule="auto"/>
              <w:ind w:left="340"/>
              <w:jc w:val="left"/>
              <w:rPr>
                <w:rFonts w:ascii="Arial" w:hAnsi="Arial" w:cs="Arial"/>
                <w:i/>
                <w:color w:val="FFFF00"/>
                <w:sz w:val="16"/>
                <w:szCs w:val="16"/>
                <w:highlight w:val="darkMagenta"/>
              </w:rPr>
            </w:pPr>
            <w:r w:rsidRPr="003031FA">
              <w:rPr>
                <w:rFonts w:ascii="Arial" w:hAnsi="Arial" w:cs="Arial"/>
                <w:i/>
                <w:sz w:val="16"/>
                <w:szCs w:val="16"/>
              </w:rPr>
              <w:t>MYEFO</w:t>
            </w:r>
          </w:p>
        </w:tc>
        <w:tc>
          <w:tcPr>
            <w:tcW w:w="501" w:type="pct"/>
            <w:tcBorders>
              <w:top w:val="nil"/>
              <w:left w:val="nil"/>
              <w:bottom w:val="nil"/>
              <w:right w:val="nil"/>
            </w:tcBorders>
            <w:shd w:val="clear" w:color="000000" w:fill="FFFFFF"/>
            <w:noWrap/>
            <w:vAlign w:val="center"/>
            <w:hideMark/>
          </w:tcPr>
          <w:p w14:paraId="4CCED1C3" w14:textId="0B285400" w:rsidR="00A44E19" w:rsidRPr="003031FA" w:rsidRDefault="0031144A" w:rsidP="00A44E19">
            <w:pPr>
              <w:spacing w:after="0" w:line="240" w:lineRule="auto"/>
              <w:jc w:val="right"/>
              <w:rPr>
                <w:rFonts w:ascii="Arial" w:hAnsi="Arial" w:cs="Arial"/>
                <w:i/>
                <w:color w:val="FFFF00"/>
                <w:sz w:val="16"/>
                <w:szCs w:val="16"/>
                <w:highlight w:val="darkMagenta"/>
              </w:rPr>
            </w:pPr>
            <w:r w:rsidRPr="003031FA">
              <w:rPr>
                <w:rFonts w:ascii="Arial" w:hAnsi="Arial" w:cs="Arial"/>
                <w:i/>
                <w:sz w:val="16"/>
                <w:szCs w:val="16"/>
              </w:rPr>
              <w:noBreakHyphen/>
            </w:r>
            <w:r w:rsidR="00A44E19" w:rsidRPr="003031FA">
              <w:rPr>
                <w:rFonts w:ascii="Arial" w:hAnsi="Arial" w:cs="Arial"/>
                <w:i/>
                <w:sz w:val="16"/>
                <w:szCs w:val="16"/>
              </w:rPr>
              <w:t>99.2</w:t>
            </w:r>
          </w:p>
        </w:tc>
        <w:tc>
          <w:tcPr>
            <w:tcW w:w="501" w:type="pct"/>
            <w:tcBorders>
              <w:top w:val="nil"/>
              <w:left w:val="nil"/>
              <w:bottom w:val="nil"/>
              <w:right w:val="nil"/>
            </w:tcBorders>
            <w:shd w:val="clear" w:color="000000" w:fill="F2F9FC"/>
            <w:noWrap/>
            <w:vAlign w:val="center"/>
            <w:hideMark/>
          </w:tcPr>
          <w:p w14:paraId="3551F650" w14:textId="064F713F" w:rsidR="00A44E19" w:rsidRPr="003031FA" w:rsidRDefault="0031144A" w:rsidP="00A44E19">
            <w:pPr>
              <w:spacing w:after="0" w:line="240" w:lineRule="auto"/>
              <w:jc w:val="right"/>
              <w:rPr>
                <w:rFonts w:ascii="Arial" w:hAnsi="Arial" w:cs="Arial"/>
                <w:i/>
                <w:color w:val="FFFF00"/>
                <w:sz w:val="16"/>
                <w:szCs w:val="16"/>
                <w:highlight w:val="darkMagenta"/>
              </w:rPr>
            </w:pPr>
            <w:r w:rsidRPr="003031FA">
              <w:rPr>
                <w:rFonts w:ascii="Arial" w:hAnsi="Arial" w:cs="Arial"/>
                <w:i/>
                <w:sz w:val="16"/>
                <w:szCs w:val="16"/>
              </w:rPr>
              <w:noBreakHyphen/>
            </w:r>
            <w:r w:rsidR="00A44E19" w:rsidRPr="003031FA">
              <w:rPr>
                <w:rFonts w:ascii="Arial" w:hAnsi="Arial" w:cs="Arial"/>
                <w:i/>
                <w:sz w:val="16"/>
                <w:szCs w:val="16"/>
              </w:rPr>
              <w:t>98.9</w:t>
            </w:r>
          </w:p>
        </w:tc>
        <w:tc>
          <w:tcPr>
            <w:tcW w:w="502" w:type="pct"/>
            <w:tcBorders>
              <w:top w:val="nil"/>
              <w:left w:val="nil"/>
              <w:bottom w:val="nil"/>
              <w:right w:val="nil"/>
            </w:tcBorders>
            <w:shd w:val="clear" w:color="000000" w:fill="FFFFFF"/>
            <w:noWrap/>
            <w:vAlign w:val="center"/>
            <w:hideMark/>
          </w:tcPr>
          <w:p w14:paraId="2463380D" w14:textId="248FB6DD" w:rsidR="00A44E19" w:rsidRPr="003031FA" w:rsidRDefault="0031144A" w:rsidP="00A44E19">
            <w:pPr>
              <w:spacing w:after="0" w:line="240" w:lineRule="auto"/>
              <w:jc w:val="right"/>
              <w:rPr>
                <w:rFonts w:ascii="Arial" w:hAnsi="Arial" w:cs="Arial"/>
                <w:i/>
                <w:color w:val="FFFF00"/>
                <w:sz w:val="16"/>
                <w:szCs w:val="16"/>
                <w:highlight w:val="darkMagenta"/>
              </w:rPr>
            </w:pPr>
            <w:r w:rsidRPr="003031FA">
              <w:rPr>
                <w:rFonts w:ascii="Arial" w:hAnsi="Arial" w:cs="Arial"/>
                <w:i/>
                <w:sz w:val="16"/>
                <w:szCs w:val="16"/>
              </w:rPr>
              <w:noBreakHyphen/>
            </w:r>
            <w:r w:rsidR="00A44E19" w:rsidRPr="003031FA">
              <w:rPr>
                <w:rFonts w:ascii="Arial" w:hAnsi="Arial" w:cs="Arial"/>
                <w:i/>
                <w:sz w:val="16"/>
                <w:szCs w:val="16"/>
              </w:rPr>
              <w:t>84.5</w:t>
            </w:r>
          </w:p>
        </w:tc>
        <w:tc>
          <w:tcPr>
            <w:tcW w:w="502" w:type="pct"/>
            <w:tcBorders>
              <w:top w:val="nil"/>
              <w:left w:val="nil"/>
              <w:bottom w:val="nil"/>
              <w:right w:val="nil"/>
            </w:tcBorders>
            <w:shd w:val="clear" w:color="000000" w:fill="FFFFFF"/>
            <w:noWrap/>
            <w:vAlign w:val="center"/>
            <w:hideMark/>
          </w:tcPr>
          <w:p w14:paraId="0D6A0E29" w14:textId="659D7D3C" w:rsidR="00A44E19" w:rsidRPr="003031FA" w:rsidRDefault="0031144A" w:rsidP="00A44E19">
            <w:pPr>
              <w:spacing w:after="0" w:line="240" w:lineRule="auto"/>
              <w:jc w:val="right"/>
              <w:rPr>
                <w:rFonts w:ascii="Arial" w:hAnsi="Arial" w:cs="Arial"/>
                <w:i/>
                <w:color w:val="FFFF00"/>
                <w:sz w:val="16"/>
                <w:szCs w:val="16"/>
                <w:highlight w:val="darkMagenta"/>
              </w:rPr>
            </w:pPr>
            <w:r w:rsidRPr="003031FA">
              <w:rPr>
                <w:rFonts w:ascii="Arial" w:hAnsi="Arial" w:cs="Arial"/>
                <w:i/>
                <w:sz w:val="16"/>
                <w:szCs w:val="16"/>
              </w:rPr>
              <w:noBreakHyphen/>
            </w:r>
            <w:r w:rsidR="00A44E19" w:rsidRPr="003031FA">
              <w:rPr>
                <w:rFonts w:ascii="Arial" w:hAnsi="Arial" w:cs="Arial"/>
                <w:i/>
                <w:sz w:val="16"/>
                <w:szCs w:val="16"/>
              </w:rPr>
              <w:t>57.5</w:t>
            </w:r>
          </w:p>
        </w:tc>
        <w:tc>
          <w:tcPr>
            <w:tcW w:w="502" w:type="pct"/>
            <w:tcBorders>
              <w:top w:val="nil"/>
              <w:left w:val="nil"/>
              <w:bottom w:val="nil"/>
              <w:right w:val="nil"/>
            </w:tcBorders>
            <w:shd w:val="clear" w:color="000000" w:fill="FFFFFF"/>
            <w:noWrap/>
            <w:vAlign w:val="center"/>
            <w:hideMark/>
          </w:tcPr>
          <w:p w14:paraId="38AE00A7" w14:textId="0460F730" w:rsidR="00A44E19" w:rsidRPr="003031FA" w:rsidRDefault="0031144A" w:rsidP="00A44E19">
            <w:pPr>
              <w:spacing w:after="0" w:line="240" w:lineRule="auto"/>
              <w:jc w:val="right"/>
              <w:rPr>
                <w:rFonts w:ascii="Arial" w:hAnsi="Arial" w:cs="Arial"/>
                <w:i/>
                <w:color w:val="FFFF00"/>
                <w:sz w:val="16"/>
                <w:szCs w:val="16"/>
                <w:highlight w:val="darkMagenta"/>
              </w:rPr>
            </w:pPr>
            <w:r w:rsidRPr="003031FA">
              <w:rPr>
                <w:rFonts w:ascii="Arial" w:hAnsi="Arial" w:cs="Arial"/>
                <w:i/>
                <w:sz w:val="16"/>
                <w:szCs w:val="16"/>
              </w:rPr>
              <w:noBreakHyphen/>
            </w:r>
            <w:r w:rsidR="00A44E19" w:rsidRPr="003031FA">
              <w:rPr>
                <w:rFonts w:ascii="Arial" w:hAnsi="Arial" w:cs="Arial"/>
                <w:i/>
                <w:sz w:val="16"/>
                <w:szCs w:val="16"/>
              </w:rPr>
              <w:t>68.1</w:t>
            </w:r>
          </w:p>
        </w:tc>
        <w:tc>
          <w:tcPr>
            <w:tcW w:w="517" w:type="pct"/>
            <w:tcBorders>
              <w:top w:val="nil"/>
              <w:left w:val="nil"/>
              <w:bottom w:val="nil"/>
              <w:right w:val="nil"/>
            </w:tcBorders>
            <w:shd w:val="clear" w:color="000000" w:fill="FFFFFF"/>
            <w:noWrap/>
            <w:vAlign w:val="center"/>
            <w:hideMark/>
          </w:tcPr>
          <w:p w14:paraId="065BE4A2" w14:textId="34CD0509" w:rsidR="00A44E19" w:rsidRPr="003031FA" w:rsidRDefault="0031144A" w:rsidP="00A44E19">
            <w:pPr>
              <w:spacing w:after="0" w:line="240" w:lineRule="auto"/>
              <w:jc w:val="right"/>
              <w:rPr>
                <w:rFonts w:ascii="Arial" w:hAnsi="Arial" w:cs="Arial"/>
                <w:i/>
                <w:sz w:val="16"/>
                <w:szCs w:val="16"/>
              </w:rPr>
            </w:pPr>
            <w:r w:rsidRPr="003031FA">
              <w:rPr>
                <w:rFonts w:ascii="Arial" w:hAnsi="Arial" w:cs="Arial"/>
                <w:i/>
                <w:sz w:val="16"/>
                <w:szCs w:val="16"/>
              </w:rPr>
              <w:noBreakHyphen/>
            </w:r>
            <w:r w:rsidR="00A44E19" w:rsidRPr="003031FA">
              <w:rPr>
                <w:rFonts w:ascii="Arial" w:hAnsi="Arial" w:cs="Arial"/>
                <w:i/>
                <w:sz w:val="16"/>
                <w:szCs w:val="16"/>
              </w:rPr>
              <w:t>408.1</w:t>
            </w:r>
          </w:p>
        </w:tc>
      </w:tr>
      <w:tr w:rsidR="00A44E19" w:rsidRPr="00131EBC" w14:paraId="03971274" w14:textId="77777777" w:rsidTr="00A44E19">
        <w:trPr>
          <w:trHeight w:hRule="exact" w:val="225"/>
        </w:trPr>
        <w:tc>
          <w:tcPr>
            <w:tcW w:w="1975" w:type="pct"/>
            <w:tcBorders>
              <w:top w:val="nil"/>
              <w:left w:val="nil"/>
              <w:bottom w:val="single" w:sz="4" w:space="0" w:color="000000"/>
              <w:right w:val="nil"/>
            </w:tcBorders>
            <w:shd w:val="clear" w:color="000000" w:fill="FFFFFF"/>
            <w:noWrap/>
            <w:vAlign w:val="center"/>
            <w:hideMark/>
          </w:tcPr>
          <w:p w14:paraId="64D68CEE" w14:textId="77777777" w:rsidR="00A44E19" w:rsidRPr="00131EBC" w:rsidRDefault="00A44E19" w:rsidP="00A44E19">
            <w:pPr>
              <w:spacing w:after="0" w:line="240" w:lineRule="auto"/>
              <w:jc w:val="left"/>
              <w:rPr>
                <w:rFonts w:ascii="Arial" w:hAnsi="Arial" w:cs="Arial"/>
                <w:b/>
                <w:color w:val="FFFF00"/>
                <w:sz w:val="16"/>
                <w:szCs w:val="16"/>
                <w:highlight w:val="darkMagenta"/>
              </w:rPr>
            </w:pPr>
            <w:r w:rsidRPr="00FD24B8">
              <w:rPr>
                <w:rFonts w:ascii="Arial" w:hAnsi="Arial" w:cs="Arial"/>
                <w:b/>
                <w:sz w:val="16"/>
                <w:szCs w:val="16"/>
              </w:rPr>
              <w:t>Change from MYEFO</w:t>
            </w:r>
          </w:p>
        </w:tc>
        <w:tc>
          <w:tcPr>
            <w:tcW w:w="501" w:type="pct"/>
            <w:tcBorders>
              <w:top w:val="nil"/>
              <w:left w:val="nil"/>
              <w:bottom w:val="single" w:sz="4" w:space="0" w:color="000000"/>
              <w:right w:val="nil"/>
            </w:tcBorders>
            <w:shd w:val="clear" w:color="000000" w:fill="FFFFFF"/>
            <w:noWrap/>
            <w:vAlign w:val="center"/>
            <w:hideMark/>
          </w:tcPr>
          <w:p w14:paraId="15E9694B" w14:textId="77777777" w:rsidR="00A44E19" w:rsidRPr="00131EBC" w:rsidRDefault="00A44E19" w:rsidP="00A44E19">
            <w:pPr>
              <w:spacing w:after="0" w:line="240" w:lineRule="auto"/>
              <w:jc w:val="right"/>
              <w:rPr>
                <w:rFonts w:ascii="Arial" w:hAnsi="Arial" w:cs="Arial"/>
                <w:b/>
                <w:color w:val="FFFF00"/>
                <w:sz w:val="16"/>
                <w:szCs w:val="16"/>
                <w:highlight w:val="darkMagenta"/>
              </w:rPr>
            </w:pPr>
            <w:r w:rsidRPr="00FD24B8">
              <w:rPr>
                <w:rFonts w:ascii="Arial" w:hAnsi="Arial" w:cs="Arial"/>
                <w:b/>
                <w:sz w:val="16"/>
                <w:szCs w:val="16"/>
              </w:rPr>
              <w:t>19.4</w:t>
            </w:r>
          </w:p>
        </w:tc>
        <w:tc>
          <w:tcPr>
            <w:tcW w:w="501" w:type="pct"/>
            <w:tcBorders>
              <w:top w:val="nil"/>
              <w:left w:val="nil"/>
              <w:bottom w:val="single" w:sz="4" w:space="0" w:color="000000"/>
              <w:right w:val="nil"/>
            </w:tcBorders>
            <w:shd w:val="clear" w:color="000000" w:fill="F2F9FC"/>
            <w:noWrap/>
            <w:vAlign w:val="center"/>
            <w:hideMark/>
          </w:tcPr>
          <w:p w14:paraId="36792C20" w14:textId="77777777" w:rsidR="00A44E19" w:rsidRPr="00131EBC" w:rsidRDefault="00A44E19" w:rsidP="00A44E19">
            <w:pPr>
              <w:spacing w:after="0" w:line="240" w:lineRule="auto"/>
              <w:jc w:val="right"/>
              <w:rPr>
                <w:rFonts w:ascii="Arial" w:hAnsi="Arial" w:cs="Arial"/>
                <w:b/>
                <w:color w:val="FFFF00"/>
                <w:sz w:val="16"/>
                <w:szCs w:val="16"/>
                <w:highlight w:val="darkMagenta"/>
              </w:rPr>
            </w:pPr>
            <w:r w:rsidRPr="00FD24B8">
              <w:rPr>
                <w:rFonts w:ascii="Arial" w:hAnsi="Arial" w:cs="Arial"/>
                <w:b/>
                <w:sz w:val="16"/>
                <w:szCs w:val="16"/>
              </w:rPr>
              <w:t>20.9</w:t>
            </w:r>
          </w:p>
        </w:tc>
        <w:tc>
          <w:tcPr>
            <w:tcW w:w="502" w:type="pct"/>
            <w:tcBorders>
              <w:top w:val="nil"/>
              <w:left w:val="nil"/>
              <w:bottom w:val="single" w:sz="4" w:space="0" w:color="000000"/>
              <w:right w:val="nil"/>
            </w:tcBorders>
            <w:shd w:val="clear" w:color="000000" w:fill="FFFFFF"/>
            <w:noWrap/>
            <w:vAlign w:val="center"/>
            <w:hideMark/>
          </w:tcPr>
          <w:p w14:paraId="619EA535" w14:textId="77777777" w:rsidR="00A44E19" w:rsidRPr="00131EBC" w:rsidRDefault="00A44E19" w:rsidP="00A44E19">
            <w:pPr>
              <w:spacing w:after="0" w:line="240" w:lineRule="auto"/>
              <w:jc w:val="right"/>
              <w:rPr>
                <w:rFonts w:ascii="Arial" w:hAnsi="Arial" w:cs="Arial"/>
                <w:b/>
                <w:color w:val="FFFF00"/>
                <w:sz w:val="16"/>
                <w:szCs w:val="16"/>
                <w:highlight w:val="darkMagenta"/>
              </w:rPr>
            </w:pPr>
            <w:r w:rsidRPr="00FD24B8">
              <w:rPr>
                <w:rFonts w:ascii="Arial" w:hAnsi="Arial" w:cs="Arial"/>
                <w:b/>
                <w:sz w:val="16"/>
                <w:szCs w:val="16"/>
              </w:rPr>
              <w:t>27.9</w:t>
            </w:r>
          </w:p>
        </w:tc>
        <w:tc>
          <w:tcPr>
            <w:tcW w:w="502" w:type="pct"/>
            <w:tcBorders>
              <w:top w:val="nil"/>
              <w:left w:val="nil"/>
              <w:bottom w:val="single" w:sz="4" w:space="0" w:color="000000"/>
              <w:right w:val="nil"/>
            </w:tcBorders>
            <w:shd w:val="clear" w:color="000000" w:fill="FFFFFF"/>
            <w:noWrap/>
            <w:vAlign w:val="center"/>
            <w:hideMark/>
          </w:tcPr>
          <w:p w14:paraId="1E34DD70" w14:textId="77777777" w:rsidR="00A44E19" w:rsidRPr="00131EBC" w:rsidRDefault="00A44E19" w:rsidP="00A44E19">
            <w:pPr>
              <w:spacing w:after="0" w:line="240" w:lineRule="auto"/>
              <w:jc w:val="right"/>
              <w:rPr>
                <w:rFonts w:ascii="Arial" w:hAnsi="Arial" w:cs="Arial"/>
                <w:b/>
                <w:color w:val="FFFF00"/>
                <w:sz w:val="16"/>
                <w:szCs w:val="16"/>
                <w:highlight w:val="darkMagenta"/>
              </w:rPr>
            </w:pPr>
            <w:r w:rsidRPr="00FD24B8">
              <w:rPr>
                <w:rFonts w:ascii="Arial" w:hAnsi="Arial" w:cs="Arial"/>
                <w:b/>
                <w:sz w:val="16"/>
                <w:szCs w:val="16"/>
              </w:rPr>
              <w:t>10.4</w:t>
            </w:r>
          </w:p>
        </w:tc>
        <w:tc>
          <w:tcPr>
            <w:tcW w:w="502" w:type="pct"/>
            <w:tcBorders>
              <w:top w:val="nil"/>
              <w:left w:val="nil"/>
              <w:bottom w:val="single" w:sz="4" w:space="0" w:color="000000"/>
              <w:right w:val="nil"/>
            </w:tcBorders>
            <w:shd w:val="clear" w:color="000000" w:fill="FFFFFF"/>
            <w:noWrap/>
            <w:vAlign w:val="center"/>
            <w:hideMark/>
          </w:tcPr>
          <w:p w14:paraId="6D1FDCD7" w14:textId="77777777" w:rsidR="00A44E19" w:rsidRPr="00131EBC" w:rsidRDefault="00A44E19" w:rsidP="00A44E19">
            <w:pPr>
              <w:spacing w:after="0" w:line="240" w:lineRule="auto"/>
              <w:jc w:val="right"/>
              <w:rPr>
                <w:rFonts w:ascii="Arial" w:hAnsi="Arial" w:cs="Arial"/>
                <w:b/>
                <w:color w:val="FFFF00"/>
                <w:sz w:val="16"/>
                <w:szCs w:val="16"/>
                <w:highlight w:val="darkMagenta"/>
              </w:rPr>
            </w:pPr>
            <w:r w:rsidRPr="00FD24B8">
              <w:rPr>
                <w:rFonts w:ascii="Arial" w:hAnsi="Arial" w:cs="Arial"/>
                <w:b/>
                <w:sz w:val="16"/>
                <w:szCs w:val="16"/>
              </w:rPr>
              <w:t>25.0</w:t>
            </w:r>
          </w:p>
        </w:tc>
        <w:tc>
          <w:tcPr>
            <w:tcW w:w="517" w:type="pct"/>
            <w:tcBorders>
              <w:top w:val="nil"/>
              <w:left w:val="nil"/>
              <w:bottom w:val="single" w:sz="4" w:space="0" w:color="000000"/>
              <w:right w:val="nil"/>
            </w:tcBorders>
            <w:shd w:val="clear" w:color="000000" w:fill="FFFFFF"/>
            <w:noWrap/>
            <w:vAlign w:val="center"/>
            <w:hideMark/>
          </w:tcPr>
          <w:p w14:paraId="7A68050F" w14:textId="77777777" w:rsidR="00A44E19" w:rsidRPr="00FD24B8" w:rsidRDefault="00A44E19" w:rsidP="00A44E19">
            <w:pPr>
              <w:spacing w:after="0" w:line="240" w:lineRule="auto"/>
              <w:jc w:val="right"/>
              <w:rPr>
                <w:rFonts w:ascii="Arial" w:hAnsi="Arial" w:cs="Arial"/>
                <w:b/>
                <w:sz w:val="16"/>
                <w:szCs w:val="16"/>
              </w:rPr>
            </w:pPr>
            <w:r w:rsidRPr="00FD24B8">
              <w:rPr>
                <w:rFonts w:ascii="Arial" w:hAnsi="Arial" w:cs="Arial"/>
                <w:b/>
                <w:sz w:val="16"/>
                <w:szCs w:val="16"/>
              </w:rPr>
              <w:t>103.6</w:t>
            </w:r>
          </w:p>
        </w:tc>
      </w:tr>
    </w:tbl>
    <w:p w14:paraId="4F10A382" w14:textId="0F070867" w:rsidR="008B63A8" w:rsidRPr="00FD24B8" w:rsidRDefault="008B63A8" w:rsidP="00DB171C">
      <w:pPr>
        <w:pStyle w:val="SingleParagraph"/>
      </w:pPr>
    </w:p>
    <w:p w14:paraId="1330D805" w14:textId="20D6515D" w:rsidR="005D24EF" w:rsidRPr="00FD24B8" w:rsidRDefault="002A2C10" w:rsidP="005D24EF">
      <w:bookmarkStart w:id="4" w:name="_Hlk98876318"/>
      <w:r w:rsidRPr="00FD24B8">
        <w:t>Having</w:t>
      </w:r>
      <w:r w:rsidR="00EF612E" w:rsidRPr="00FD24B8">
        <w:t xml:space="preserve"> </w:t>
      </w:r>
      <w:r w:rsidR="00C65DE9" w:rsidRPr="00FD24B8">
        <w:t>pea</w:t>
      </w:r>
      <w:r w:rsidR="005A67FD" w:rsidRPr="00FD24B8">
        <w:t>k</w:t>
      </w:r>
      <w:r w:rsidRPr="00FD24B8">
        <w:t>ed</w:t>
      </w:r>
      <w:r w:rsidR="00835F5C" w:rsidRPr="00FD24B8">
        <w:t xml:space="preserve"> </w:t>
      </w:r>
      <w:r w:rsidR="00C65DE9" w:rsidRPr="00FD24B8">
        <w:t>in 2020</w:t>
      </w:r>
      <w:r w:rsidR="0031144A" w:rsidRPr="00FD24B8">
        <w:noBreakHyphen/>
      </w:r>
      <w:r w:rsidR="00C65DE9" w:rsidRPr="00FD24B8">
        <w:t>21</w:t>
      </w:r>
      <w:r w:rsidR="003E5A7E" w:rsidRPr="00FD24B8">
        <w:t xml:space="preserve"> at </w:t>
      </w:r>
      <w:r w:rsidR="000D4701" w:rsidRPr="00FD24B8">
        <w:t>6.5</w:t>
      </w:r>
      <w:r w:rsidR="00540F2D" w:rsidRPr="00FD24B8">
        <w:t xml:space="preserve"> per cent of GDP</w:t>
      </w:r>
      <w:r w:rsidR="00C65DE9" w:rsidRPr="00FD24B8">
        <w:t xml:space="preserve">, the </w:t>
      </w:r>
      <w:r w:rsidR="00A64F5F" w:rsidRPr="00FD24B8">
        <w:t xml:space="preserve">deficit </w:t>
      </w:r>
      <w:r w:rsidR="00DC7931" w:rsidRPr="00FD24B8">
        <w:t xml:space="preserve">in the underlying cash balance </w:t>
      </w:r>
      <w:r w:rsidR="00A64F5F" w:rsidRPr="00FD24B8">
        <w:t xml:space="preserve">is expected to narrow </w:t>
      </w:r>
      <w:r w:rsidR="0022087E" w:rsidRPr="00FD24B8">
        <w:t xml:space="preserve">to </w:t>
      </w:r>
      <w:r w:rsidR="00255849" w:rsidRPr="00FD24B8">
        <w:t xml:space="preserve">1.9 per cent </w:t>
      </w:r>
      <w:r w:rsidR="0058797B" w:rsidRPr="00FD24B8">
        <w:t xml:space="preserve">of GDP </w:t>
      </w:r>
      <w:r w:rsidR="002F6C91" w:rsidRPr="00FD24B8">
        <w:t xml:space="preserve">in </w:t>
      </w:r>
      <w:r w:rsidR="00255849" w:rsidRPr="00FD24B8">
        <w:t>20</w:t>
      </w:r>
      <w:r w:rsidR="00945920" w:rsidRPr="00FD24B8">
        <w:t>24</w:t>
      </w:r>
      <w:r w:rsidR="0031144A" w:rsidRPr="00FD24B8">
        <w:noBreakHyphen/>
      </w:r>
      <w:r w:rsidR="00945920" w:rsidRPr="00FD24B8">
        <w:t>25,</w:t>
      </w:r>
      <w:r w:rsidR="007B5348" w:rsidRPr="00FD24B8">
        <w:t xml:space="preserve"> </w:t>
      </w:r>
      <w:r w:rsidR="007B5348" w:rsidRPr="00FD24B8">
        <w:fldChar w:fldCharType="begin"/>
      </w:r>
      <w:r w:rsidR="007B5348" w:rsidRPr="00FD24B8">
        <w:instrText xml:space="preserve"> :End:BPD_BG1 </w:instrText>
      </w:r>
      <w:r w:rsidR="007B5348" w:rsidRPr="00FD24B8">
        <w:fldChar w:fldCharType="end"/>
      </w:r>
      <w:r w:rsidR="007B5348" w:rsidRPr="00FD24B8">
        <w:fldChar w:fldCharType="begin"/>
      </w:r>
      <w:r w:rsidR="007B5348" w:rsidRPr="00FD24B8">
        <w:instrText xml:space="preserve"> :Start:MAPD_MC1 </w:instrText>
      </w:r>
      <w:r w:rsidR="007B5348" w:rsidRPr="00FD24B8">
        <w:fldChar w:fldCharType="end"/>
      </w:r>
      <w:r w:rsidR="0010110A" w:rsidRPr="00FD24B8">
        <w:t xml:space="preserve">the </w:t>
      </w:r>
      <w:r w:rsidR="00D82D8F" w:rsidRPr="00FD24B8">
        <w:t xml:space="preserve">fastest </w:t>
      </w:r>
      <w:r w:rsidR="00094854" w:rsidRPr="00FD24B8">
        <w:t>4</w:t>
      </w:r>
      <w:r w:rsidR="0031144A" w:rsidRPr="00FD24B8">
        <w:noBreakHyphen/>
      </w:r>
      <w:r w:rsidR="00945920" w:rsidRPr="00FD24B8">
        <w:t xml:space="preserve">year </w:t>
      </w:r>
      <w:r w:rsidR="00CA50DD" w:rsidRPr="00FD24B8">
        <w:t>improvement</w:t>
      </w:r>
      <w:r w:rsidR="00C65DE9" w:rsidRPr="00FD24B8" w:rsidDel="00945920">
        <w:t xml:space="preserve"> </w:t>
      </w:r>
      <w:r w:rsidR="00C65DE9" w:rsidRPr="00FD24B8">
        <w:t xml:space="preserve">in </w:t>
      </w:r>
      <w:r w:rsidR="00931840" w:rsidRPr="00FD24B8">
        <w:t>over</w:t>
      </w:r>
      <w:r w:rsidR="00A33AC2" w:rsidRPr="00FD24B8">
        <w:t xml:space="preserve"> </w:t>
      </w:r>
      <w:r w:rsidR="00C65DE9" w:rsidRPr="00FD24B8">
        <w:t>70 years.</w:t>
      </w:r>
      <w:r w:rsidR="00215410" w:rsidRPr="00FD24B8">
        <w:t xml:space="preserve"> </w:t>
      </w:r>
      <w:r w:rsidR="005E4A35" w:rsidRPr="00FD24B8">
        <w:fldChar w:fldCharType="begin"/>
      </w:r>
      <w:r w:rsidR="005E4A35" w:rsidRPr="00FD24B8">
        <w:instrText xml:space="preserve"> :End:MAPD_MC1 </w:instrText>
      </w:r>
      <w:r w:rsidR="005E4A35" w:rsidRPr="00FD24B8">
        <w:fldChar w:fldCharType="end"/>
      </w:r>
      <w:r w:rsidR="005E4A35" w:rsidRPr="00FD24B8">
        <w:fldChar w:fldCharType="begin"/>
      </w:r>
      <w:r w:rsidR="005E4A35" w:rsidRPr="00FD24B8">
        <w:instrText xml:space="preserve"> :Start:BPD_BG1 </w:instrText>
      </w:r>
      <w:r w:rsidR="005E4A35" w:rsidRPr="00FD24B8">
        <w:fldChar w:fldCharType="end"/>
      </w:r>
      <w:bookmarkEnd w:id="4"/>
      <w:r w:rsidR="00A90C96" w:rsidRPr="00FD24B8">
        <w:t>T</w:t>
      </w:r>
      <w:r w:rsidR="00562F6E" w:rsidRPr="00FD24B8">
        <w:t xml:space="preserve">he deficit </w:t>
      </w:r>
      <w:r w:rsidR="00A90C96" w:rsidRPr="00FD24B8">
        <w:t xml:space="preserve">is expected to </w:t>
      </w:r>
      <w:r w:rsidR="00562F6E" w:rsidRPr="00FD24B8">
        <w:t>narro</w:t>
      </w:r>
      <w:r w:rsidR="008C719C" w:rsidRPr="00FD24B8">
        <w:t xml:space="preserve">w further </w:t>
      </w:r>
      <w:r w:rsidR="00562F6E" w:rsidRPr="00FD24B8">
        <w:t xml:space="preserve">to </w:t>
      </w:r>
      <w:r w:rsidR="00974D50" w:rsidRPr="00FD24B8">
        <w:t>1.6</w:t>
      </w:r>
      <w:r w:rsidR="00562F6E" w:rsidRPr="00FD24B8">
        <w:t xml:space="preserve"> per cent of GDP </w:t>
      </w:r>
      <w:r w:rsidR="00F47377" w:rsidRPr="00FD24B8">
        <w:t>(</w:t>
      </w:r>
      <w:r w:rsidR="0069218E" w:rsidRPr="00FD24B8">
        <w:t>$43.1</w:t>
      </w:r>
      <w:r w:rsidR="00A90C96" w:rsidRPr="00FD24B8">
        <w:t> billion</w:t>
      </w:r>
      <w:r w:rsidR="00F47377" w:rsidRPr="00FD24B8">
        <w:t>)</w:t>
      </w:r>
      <w:r w:rsidR="00A90C96" w:rsidRPr="00FD24B8">
        <w:t xml:space="preserve"> </w:t>
      </w:r>
      <w:r w:rsidR="00562F6E" w:rsidRPr="00FD24B8">
        <w:t>in 2025</w:t>
      </w:r>
      <w:r w:rsidR="00775EFC" w:rsidRPr="00FD24B8">
        <w:noBreakHyphen/>
      </w:r>
      <w:r w:rsidR="00562F6E" w:rsidRPr="00FD24B8">
        <w:t>26</w:t>
      </w:r>
      <w:r w:rsidR="009A31EC" w:rsidRPr="00FD24B8">
        <w:t xml:space="preserve">. </w:t>
      </w:r>
      <w:r w:rsidR="00C05A3C" w:rsidRPr="00FD24B8">
        <w:fldChar w:fldCharType="begin"/>
      </w:r>
      <w:r w:rsidR="00C05A3C" w:rsidRPr="00FD24B8">
        <w:instrText xml:space="preserve"> :End:BPD_BG1 </w:instrText>
      </w:r>
      <w:r w:rsidR="00C05A3C" w:rsidRPr="00FD24B8">
        <w:fldChar w:fldCharType="end"/>
      </w:r>
      <w:r w:rsidR="00D1456B" w:rsidRPr="00FD24B8">
        <w:fldChar w:fldCharType="begin"/>
      </w:r>
      <w:r w:rsidR="00D1456B" w:rsidRPr="00FD24B8">
        <w:instrText xml:space="preserve"> :Start:BPD_BG3 </w:instrText>
      </w:r>
      <w:r w:rsidR="00D1456B" w:rsidRPr="00FD24B8">
        <w:fldChar w:fldCharType="end"/>
      </w:r>
      <w:r w:rsidR="00562F6E" w:rsidRPr="00FD24B8">
        <w:t>The improvement in the fiscal position is projected to continue across the medium term</w:t>
      </w:r>
      <w:r w:rsidR="00F21AA2" w:rsidRPr="00FD24B8">
        <w:t>, with t</w:t>
      </w:r>
      <w:r w:rsidR="00562F6E" w:rsidRPr="00FD24B8">
        <w:t>he deficit declin</w:t>
      </w:r>
      <w:r w:rsidR="00F21AA2" w:rsidRPr="00FD24B8">
        <w:t>ing</w:t>
      </w:r>
      <w:r w:rsidR="00562F6E" w:rsidRPr="00FD24B8">
        <w:t xml:space="preserve"> to 0.</w:t>
      </w:r>
      <w:r w:rsidR="007858BC" w:rsidRPr="00FD24B8">
        <w:t>7</w:t>
      </w:r>
      <w:r w:rsidR="00562F6E" w:rsidRPr="00FD24B8">
        <w:t> per cent of GDP by 2032</w:t>
      </w:r>
      <w:r w:rsidR="0031144A" w:rsidRPr="00FD24B8">
        <w:noBreakHyphen/>
      </w:r>
      <w:r w:rsidR="00562F6E" w:rsidRPr="00FD24B8">
        <w:t xml:space="preserve">33, </w:t>
      </w:r>
      <w:r w:rsidR="007858BC" w:rsidRPr="00FD24B8">
        <w:t xml:space="preserve">less than </w:t>
      </w:r>
      <w:r w:rsidR="008154DC" w:rsidRPr="00FD24B8">
        <w:t xml:space="preserve">half </w:t>
      </w:r>
      <w:r w:rsidR="00562F6E" w:rsidRPr="00FD24B8">
        <w:t xml:space="preserve">the deficit </w:t>
      </w:r>
      <w:r w:rsidR="00815073" w:rsidRPr="00FD24B8">
        <w:t xml:space="preserve">at the end of the medium term </w:t>
      </w:r>
      <w:r w:rsidR="00562F6E" w:rsidRPr="00FD24B8">
        <w:t>at MYEFO.</w:t>
      </w:r>
    </w:p>
    <w:p w14:paraId="201F6246" w14:textId="5CAEE1FB" w:rsidR="00AE6E2D" w:rsidRPr="00BE6368" w:rsidRDefault="00D1456B" w:rsidP="00AE6E2D">
      <w:r w:rsidRPr="00FD24B8">
        <w:fldChar w:fldCharType="begin"/>
      </w:r>
      <w:r w:rsidRPr="00FD24B8">
        <w:instrText xml:space="preserve"> :End:BPD_BG3 </w:instrText>
      </w:r>
      <w:r w:rsidRPr="00FD24B8">
        <w:fldChar w:fldCharType="end"/>
      </w:r>
      <w:r w:rsidRPr="00FD24B8">
        <w:fldChar w:fldCharType="begin"/>
      </w:r>
      <w:r w:rsidRPr="00FD24B8">
        <w:instrText xml:space="preserve"> :Start:BPD_BG1 </w:instrText>
      </w:r>
      <w:r w:rsidRPr="00FD24B8">
        <w:fldChar w:fldCharType="end"/>
      </w:r>
      <w:r w:rsidR="00C12AB0" w:rsidRPr="00FD24B8">
        <w:t xml:space="preserve">The Government has </w:t>
      </w:r>
      <w:r w:rsidR="00393CD5" w:rsidRPr="00FD24B8">
        <w:t>transitioned</w:t>
      </w:r>
      <w:r w:rsidR="00EA4AB6" w:rsidRPr="00FD24B8">
        <w:t xml:space="preserve"> to </w:t>
      </w:r>
      <w:r w:rsidR="008655F9" w:rsidRPr="00FD24B8">
        <w:t>the</w:t>
      </w:r>
      <w:r w:rsidR="00FE16FC" w:rsidRPr="00FD24B8">
        <w:t xml:space="preserve"> medium</w:t>
      </w:r>
      <w:r w:rsidR="00C1771F" w:rsidRPr="00FD24B8">
        <w:noBreakHyphen/>
      </w:r>
      <w:r w:rsidR="00FE16FC" w:rsidRPr="00FD24B8">
        <w:t>term</w:t>
      </w:r>
      <w:r w:rsidR="008655F9" w:rsidRPr="00FD24B8">
        <w:t xml:space="preserve"> phase of </w:t>
      </w:r>
      <w:r w:rsidR="00226377" w:rsidRPr="00FD24B8">
        <w:t>the</w:t>
      </w:r>
      <w:r w:rsidR="00292DAA" w:rsidRPr="00FD24B8">
        <w:t xml:space="preserve"> Economic and Fiscal Strategy</w:t>
      </w:r>
      <w:r w:rsidR="00292DAA" w:rsidRPr="00FD24B8" w:rsidDel="00292DAA">
        <w:t xml:space="preserve"> </w:t>
      </w:r>
      <w:proofErr w:type="gramStart"/>
      <w:r w:rsidR="00C12AB0" w:rsidRPr="00FD24B8">
        <w:t>i</w:t>
      </w:r>
      <w:r w:rsidR="00101E02" w:rsidRPr="00FD24B8">
        <w:t>n light of</w:t>
      </w:r>
      <w:proofErr w:type="gramEnd"/>
      <w:r w:rsidR="00101E02" w:rsidRPr="00FD24B8">
        <w:rPr>
          <w:rFonts w:eastAsiaTheme="minorEastAsia"/>
        </w:rPr>
        <w:t xml:space="preserve"> </w:t>
      </w:r>
      <w:r w:rsidR="00101E02" w:rsidRPr="00FD24B8">
        <w:rPr>
          <w:rFonts w:eastAsiaTheme="minorEastAsia"/>
          <w:lang w:eastAsia="en-US"/>
        </w:rPr>
        <w:t xml:space="preserve">the strength of the recovery and </w:t>
      </w:r>
      <w:r w:rsidR="003D7DDA" w:rsidRPr="00FD24B8">
        <w:rPr>
          <w:rFonts w:eastAsiaTheme="minorEastAsia"/>
          <w:lang w:eastAsia="en-US"/>
        </w:rPr>
        <w:t>having achieved the objective of low unemploy</w:t>
      </w:r>
      <w:r w:rsidR="003536C2" w:rsidRPr="00FD24B8">
        <w:rPr>
          <w:rFonts w:eastAsiaTheme="minorEastAsia"/>
          <w:lang w:eastAsia="en-US"/>
        </w:rPr>
        <w:t>m</w:t>
      </w:r>
      <w:r w:rsidR="003D7DDA" w:rsidRPr="00FD24B8">
        <w:rPr>
          <w:rFonts w:eastAsiaTheme="minorEastAsia"/>
          <w:lang w:eastAsia="en-US"/>
        </w:rPr>
        <w:t>e</w:t>
      </w:r>
      <w:r w:rsidR="00AF0315" w:rsidRPr="00FD24B8">
        <w:rPr>
          <w:rFonts w:eastAsiaTheme="minorEastAsia"/>
          <w:lang w:eastAsia="en-US"/>
        </w:rPr>
        <w:t>n</w:t>
      </w:r>
      <w:r w:rsidR="003D7DDA" w:rsidRPr="00FD24B8">
        <w:rPr>
          <w:rFonts w:eastAsiaTheme="minorEastAsia"/>
          <w:lang w:eastAsia="en-US"/>
        </w:rPr>
        <w:t>t</w:t>
      </w:r>
      <w:r w:rsidR="00C12AB0" w:rsidRPr="00FD24B8">
        <w:t>.</w:t>
      </w:r>
      <w:r w:rsidR="00504EA2" w:rsidRPr="00FD24B8">
        <w:rPr>
          <w:rFonts w:eastAsiaTheme="minorEastAsia"/>
          <w:lang w:eastAsia="en-US"/>
        </w:rPr>
        <w:t xml:space="preserve"> </w:t>
      </w:r>
      <w:r w:rsidR="00BF5B8F" w:rsidRPr="00FD24B8">
        <w:rPr>
          <w:rFonts w:eastAsiaTheme="minorEastAsia"/>
          <w:lang w:eastAsia="en-US"/>
        </w:rPr>
        <w:t>T</w:t>
      </w:r>
      <w:r w:rsidR="00EA4AB6" w:rsidRPr="00FD24B8">
        <w:rPr>
          <w:rFonts w:eastAsiaTheme="minorEastAsia"/>
          <w:lang w:eastAsia="en-US"/>
        </w:rPr>
        <w:t>he</w:t>
      </w:r>
      <w:r w:rsidR="00504EA2" w:rsidRPr="00FD24B8">
        <w:t xml:space="preserve"> time for emergency fiscal support has passed</w:t>
      </w:r>
      <w:r w:rsidR="00433420" w:rsidRPr="00FD24B8">
        <w:t xml:space="preserve"> </w:t>
      </w:r>
      <w:r w:rsidR="00504EA2" w:rsidRPr="00FD24B8">
        <w:t xml:space="preserve">and </w:t>
      </w:r>
      <w:r w:rsidR="00CD25FB" w:rsidRPr="00FD24B8">
        <w:t xml:space="preserve">it is appropriate </w:t>
      </w:r>
      <w:r w:rsidR="00DA5511" w:rsidRPr="00FD24B8">
        <w:t xml:space="preserve">for </w:t>
      </w:r>
      <w:r w:rsidR="00F3656E" w:rsidRPr="00FD24B8">
        <w:t>fiscal settings</w:t>
      </w:r>
      <w:r w:rsidR="00433420" w:rsidRPr="00FD24B8">
        <w:t xml:space="preserve"> </w:t>
      </w:r>
      <w:r w:rsidR="00DA5511" w:rsidRPr="00FD24B8">
        <w:t xml:space="preserve">to </w:t>
      </w:r>
      <w:r w:rsidR="00F3656E" w:rsidRPr="00FD24B8">
        <w:t>normalise</w:t>
      </w:r>
      <w:r w:rsidR="00092ED4" w:rsidRPr="00FD24B8">
        <w:t xml:space="preserve"> with a focus on growing the economy </w:t>
      </w:r>
      <w:proofErr w:type="gramStart"/>
      <w:r w:rsidR="00092ED4" w:rsidRPr="00FD24B8">
        <w:t>in order to</w:t>
      </w:r>
      <w:proofErr w:type="gramEnd"/>
      <w:r w:rsidR="00092ED4" w:rsidRPr="00FD24B8">
        <w:t xml:space="preserve"> stabilise and reduce debt.</w:t>
      </w:r>
      <w:r w:rsidR="00572164" w:rsidRPr="00FD24B8">
        <w:t xml:space="preserve"> </w:t>
      </w:r>
      <w:r>
        <w:fldChar w:fldCharType="begin"/>
      </w:r>
      <w:r>
        <w:instrText xml:space="preserve"> :End:BPD_BG1 </w:instrText>
      </w:r>
      <w:r>
        <w:fldChar w:fldCharType="end"/>
      </w:r>
    </w:p>
    <w:p w14:paraId="3225534D" w14:textId="358AF545" w:rsidR="00E54286" w:rsidRPr="00C127B4" w:rsidRDefault="00D1456B" w:rsidP="00E54286">
      <w:r>
        <w:fldChar w:fldCharType="begin"/>
      </w:r>
      <w:r>
        <w:instrText xml:space="preserve"> :Start:BPD_BG</w:instrText>
      </w:r>
      <w:r w:rsidR="00C95291">
        <w:instrText>3</w:instrText>
      </w:r>
      <w:r>
        <w:instrText xml:space="preserve"> </w:instrText>
      </w:r>
      <w:r>
        <w:fldChar w:fldCharType="end"/>
      </w:r>
      <w:r w:rsidR="00217EFE" w:rsidRPr="00FD24B8">
        <w:t>Consistent</w:t>
      </w:r>
      <w:r w:rsidR="00227C5F" w:rsidRPr="00FD24B8">
        <w:t xml:space="preserve"> with the</w:t>
      </w:r>
      <w:r w:rsidR="00217EFE" w:rsidRPr="00FD24B8">
        <w:t xml:space="preserve"> </w:t>
      </w:r>
      <w:proofErr w:type="gramStart"/>
      <w:r w:rsidR="00217EFE" w:rsidRPr="00FD24B8">
        <w:t>medium</w:t>
      </w:r>
      <w:r w:rsidR="00FD1F11" w:rsidRPr="00FD24B8">
        <w:t xml:space="preserve"> </w:t>
      </w:r>
      <w:r w:rsidR="00217EFE" w:rsidRPr="00FD24B8">
        <w:t>term</w:t>
      </w:r>
      <w:proofErr w:type="gramEnd"/>
      <w:r w:rsidR="00217EFE" w:rsidRPr="00FD24B8">
        <w:t xml:space="preserve"> fiscal strategy, </w:t>
      </w:r>
      <w:r w:rsidR="00064053" w:rsidRPr="00FD24B8">
        <w:t xml:space="preserve">the Government </w:t>
      </w:r>
      <w:r w:rsidR="004946DF" w:rsidRPr="00FD24B8">
        <w:t>is turning the corner on debt</w:t>
      </w:r>
      <w:r w:rsidR="007F3EAD" w:rsidRPr="00FD24B8">
        <w:t xml:space="preserve">. </w:t>
      </w:r>
      <w:r w:rsidR="004B576A" w:rsidRPr="00FD24B8">
        <w:t xml:space="preserve">Both net </w:t>
      </w:r>
      <w:r w:rsidR="00A1521A" w:rsidRPr="00FD24B8">
        <w:t xml:space="preserve">debt </w:t>
      </w:r>
      <w:r w:rsidR="000971C4" w:rsidRPr="00FD24B8">
        <w:t xml:space="preserve">and </w:t>
      </w:r>
      <w:r w:rsidR="004B576A" w:rsidRPr="00FD24B8">
        <w:t xml:space="preserve">gross debt </w:t>
      </w:r>
      <w:r w:rsidR="00657AF7" w:rsidRPr="00FD24B8">
        <w:t xml:space="preserve">as a share of GDP </w:t>
      </w:r>
      <w:r w:rsidR="004B576A" w:rsidRPr="00FD24B8">
        <w:t xml:space="preserve">are </w:t>
      </w:r>
      <w:r w:rsidR="009C25C7" w:rsidRPr="00FD24B8">
        <w:t>ex</w:t>
      </w:r>
      <w:r w:rsidR="00657AF7" w:rsidRPr="00FD24B8">
        <w:t xml:space="preserve">pected to </w:t>
      </w:r>
      <w:r w:rsidR="00215FAA" w:rsidRPr="00FD24B8">
        <w:t xml:space="preserve">be </w:t>
      </w:r>
      <w:r w:rsidR="002D4DB9" w:rsidRPr="00FD24B8">
        <w:t xml:space="preserve">significantly </w:t>
      </w:r>
      <w:r w:rsidR="009C25C7" w:rsidRPr="00FD24B8">
        <w:t xml:space="preserve">lower </w:t>
      </w:r>
      <w:r w:rsidR="00657AF7" w:rsidRPr="00FD24B8">
        <w:t xml:space="preserve">over the </w:t>
      </w:r>
      <w:r w:rsidR="000E4ED0" w:rsidRPr="00FD24B8">
        <w:t xml:space="preserve">entire </w:t>
      </w:r>
      <w:r w:rsidR="00657AF7" w:rsidRPr="00FD24B8">
        <w:t xml:space="preserve">forward estimates and medium term </w:t>
      </w:r>
      <w:r w:rsidR="00BC7131" w:rsidRPr="00FD24B8">
        <w:t>than at MYEFO.</w:t>
      </w:r>
      <w:r w:rsidR="00A1521A" w:rsidRPr="00FD24B8">
        <w:t xml:space="preserve"> </w:t>
      </w:r>
      <w:r w:rsidR="00A1521A" w:rsidRPr="00FD24B8">
        <w:rPr>
          <w:rFonts w:eastAsiaTheme="minorEastAsia"/>
          <w:lang w:eastAsia="en-US"/>
        </w:rPr>
        <w:t>The</w:t>
      </w:r>
      <w:r w:rsidR="00A44C0B" w:rsidRPr="00FD24B8">
        <w:rPr>
          <w:rFonts w:eastAsiaTheme="minorEastAsia"/>
          <w:lang w:eastAsia="en-US"/>
        </w:rPr>
        <w:t> </w:t>
      </w:r>
      <w:r w:rsidR="00A1521A" w:rsidRPr="00FD24B8">
        <w:rPr>
          <w:rFonts w:eastAsiaTheme="minorEastAsia"/>
          <w:lang w:eastAsia="en-US"/>
        </w:rPr>
        <w:t xml:space="preserve">improved outlook reflects the benefits of a strong and sustained economic recovery for the underlying cash balance. </w:t>
      </w:r>
      <w:r w:rsidR="00D96D4F">
        <w:rPr>
          <w:rFonts w:eastAsiaTheme="minorEastAsia"/>
          <w:lang w:eastAsia="en-US"/>
        </w:rPr>
        <w:fldChar w:fldCharType="begin"/>
      </w:r>
      <w:r w:rsidR="00D96D4F">
        <w:rPr>
          <w:rFonts w:eastAsiaTheme="minorEastAsia"/>
          <w:lang w:eastAsia="en-US"/>
        </w:rPr>
        <w:instrText xml:space="preserve"> :End:BPD_BG3 </w:instrText>
      </w:r>
      <w:r w:rsidR="00D96D4F">
        <w:rPr>
          <w:rFonts w:eastAsiaTheme="minorEastAsia"/>
          <w:lang w:eastAsia="en-US"/>
        </w:rPr>
        <w:fldChar w:fldCharType="end"/>
      </w:r>
    </w:p>
    <w:p w14:paraId="1149284F" w14:textId="550527A0" w:rsidR="00E54286" w:rsidRPr="00FD24B8" w:rsidRDefault="00D96D4F" w:rsidP="00E54286">
      <w:r w:rsidRPr="00D57BDF">
        <w:fldChar w:fldCharType="begin"/>
      </w:r>
      <w:r w:rsidRPr="00D57BDF">
        <w:instrText xml:space="preserve"> :Start:BPD_BG1 </w:instrText>
      </w:r>
      <w:r w:rsidRPr="00D57BDF">
        <w:fldChar w:fldCharType="end"/>
      </w:r>
      <w:r w:rsidR="00413369" w:rsidRPr="00FD24B8">
        <w:t>N</w:t>
      </w:r>
      <w:r w:rsidR="00E54286" w:rsidRPr="00FD24B8">
        <w:t xml:space="preserve">et interest payments also remain low at </w:t>
      </w:r>
      <w:r w:rsidR="00064C8C" w:rsidRPr="00FD24B8">
        <w:t>0.7</w:t>
      </w:r>
      <w:r w:rsidR="00E54286" w:rsidRPr="00FD24B8">
        <w:t xml:space="preserve"> per cent of GDP </w:t>
      </w:r>
      <w:r w:rsidR="00DE0E6B" w:rsidRPr="00FD24B8">
        <w:t>to 2024</w:t>
      </w:r>
      <w:r w:rsidR="0031144A" w:rsidRPr="00FD24B8">
        <w:noBreakHyphen/>
      </w:r>
      <w:r w:rsidR="00DE0E6B" w:rsidRPr="00FD24B8">
        <w:t xml:space="preserve">25, rising </w:t>
      </w:r>
      <w:r w:rsidR="00D9384A" w:rsidRPr="00FD24B8">
        <w:t xml:space="preserve">slightly </w:t>
      </w:r>
      <w:r w:rsidR="00DE0E6B" w:rsidRPr="00FD24B8">
        <w:t>to 0.</w:t>
      </w:r>
      <w:r w:rsidR="006D20C8" w:rsidRPr="00FD24B8">
        <w:t>9</w:t>
      </w:r>
      <w:r w:rsidR="00DE0E6B" w:rsidRPr="00FD24B8">
        <w:t xml:space="preserve"> per cent </w:t>
      </w:r>
      <w:r w:rsidR="00C72716" w:rsidRPr="00FD24B8">
        <w:t>of GDP in 2025</w:t>
      </w:r>
      <w:r w:rsidR="0031144A" w:rsidRPr="00FD24B8">
        <w:noBreakHyphen/>
      </w:r>
      <w:r w:rsidR="00C72716" w:rsidRPr="00FD24B8">
        <w:t>26 before declining to</w:t>
      </w:r>
      <w:r w:rsidRPr="00FD24B8">
        <w:fldChar w:fldCharType="begin"/>
      </w:r>
      <w:r w:rsidRPr="00FD24B8">
        <w:instrText xml:space="preserve"> :End:BPD_BG1 </w:instrText>
      </w:r>
      <w:r w:rsidRPr="00FD24B8">
        <w:fldChar w:fldCharType="end"/>
      </w:r>
      <w:r w:rsidR="000F375D" w:rsidRPr="00FD24B8">
        <w:fldChar w:fldCharType="begin"/>
      </w:r>
      <w:r w:rsidR="000F375D" w:rsidRPr="00FD24B8">
        <w:instrText xml:space="preserve"> :Start:BPD_BG3 </w:instrText>
      </w:r>
      <w:r w:rsidR="000F375D" w:rsidRPr="00FD24B8">
        <w:fldChar w:fldCharType="end"/>
      </w:r>
      <w:r w:rsidR="0014614E" w:rsidRPr="00FD24B8">
        <w:t xml:space="preserve"> </w:t>
      </w:r>
      <w:r w:rsidR="00692A8A" w:rsidRPr="00FD24B8">
        <w:t>0.8</w:t>
      </w:r>
      <w:r w:rsidR="008E7206" w:rsidRPr="00FD24B8">
        <w:t xml:space="preserve"> per cent of GDP by </w:t>
      </w:r>
      <w:r w:rsidR="004352FE" w:rsidRPr="00FD24B8">
        <w:t>the end of the medium term</w:t>
      </w:r>
      <w:r w:rsidR="00413369" w:rsidRPr="00FD24B8">
        <w:t xml:space="preserve">, despite yields rising since MYEFO </w:t>
      </w:r>
      <w:r w:rsidR="00D931BA" w:rsidRPr="00FD24B8">
        <w:t>(C</w:t>
      </w:r>
      <w:r w:rsidR="00413369" w:rsidRPr="00FD24B8">
        <w:t>hart</w:t>
      </w:r>
      <w:r w:rsidR="00D931BA" w:rsidRPr="00FD24B8">
        <w:t xml:space="preserve"> 6.2</w:t>
      </w:r>
      <w:r w:rsidR="00413369" w:rsidRPr="00FD24B8">
        <w:t xml:space="preserve"> in </w:t>
      </w:r>
      <w:r w:rsidR="00413369" w:rsidRPr="00FD24B8">
        <w:rPr>
          <w:i/>
        </w:rPr>
        <w:t>Statement 6</w:t>
      </w:r>
      <w:r w:rsidR="00413369" w:rsidRPr="00FD24B8">
        <w:t xml:space="preserve">: </w:t>
      </w:r>
      <w:r w:rsidR="00413369" w:rsidRPr="00FD24B8">
        <w:rPr>
          <w:i/>
        </w:rPr>
        <w:t>Debt Statement</w:t>
      </w:r>
      <w:r w:rsidR="00D931BA" w:rsidRPr="00FD24B8">
        <w:t>)</w:t>
      </w:r>
      <w:r w:rsidR="00413369" w:rsidRPr="00FD24B8">
        <w:t xml:space="preserve">. </w:t>
      </w:r>
      <w:r w:rsidR="000F375D" w:rsidRPr="00FD24B8">
        <w:fldChar w:fldCharType="begin"/>
      </w:r>
      <w:r w:rsidR="000F375D" w:rsidRPr="00FD24B8">
        <w:instrText xml:space="preserve"> :End:BPD_BG3 </w:instrText>
      </w:r>
      <w:r w:rsidR="000F375D" w:rsidRPr="00FD24B8">
        <w:fldChar w:fldCharType="end"/>
      </w:r>
      <w:r w:rsidR="000F375D" w:rsidRPr="00FD24B8">
        <w:fldChar w:fldCharType="begin"/>
      </w:r>
      <w:r w:rsidR="000F375D" w:rsidRPr="00FD24B8">
        <w:instrText xml:space="preserve"> :Start:BPD_BG1 </w:instrText>
      </w:r>
      <w:r w:rsidR="000F375D" w:rsidRPr="00FD24B8">
        <w:fldChar w:fldCharType="end"/>
      </w:r>
      <w:r w:rsidR="00CB3E3D" w:rsidRPr="00FD24B8">
        <w:t>Given</w:t>
      </w:r>
      <w:r w:rsidR="00413369" w:rsidRPr="00FD24B8">
        <w:t xml:space="preserve"> economic growth </w:t>
      </w:r>
      <w:r w:rsidR="00CB3E3D" w:rsidRPr="00FD24B8">
        <w:t xml:space="preserve">is </w:t>
      </w:r>
      <w:r w:rsidR="00413369" w:rsidRPr="00FD24B8">
        <w:t xml:space="preserve">projected to be higher than yields, gross debt </w:t>
      </w:r>
      <w:r w:rsidR="00D056EE" w:rsidRPr="00FD24B8">
        <w:t xml:space="preserve">as a share of GDP </w:t>
      </w:r>
      <w:r w:rsidR="00413369" w:rsidRPr="00FD24B8">
        <w:t xml:space="preserve">is projected to </w:t>
      </w:r>
      <w:r w:rsidR="00085B92" w:rsidRPr="00FD24B8">
        <w:t>reduce over the medium term</w:t>
      </w:r>
      <w:r w:rsidR="00CB3E3D" w:rsidRPr="00FD24B8">
        <w:t xml:space="preserve"> </w:t>
      </w:r>
      <w:r w:rsidR="00C729AA" w:rsidRPr="00FD24B8">
        <w:t xml:space="preserve">notwithstanding ongoing </w:t>
      </w:r>
      <w:r w:rsidR="0070367F" w:rsidRPr="00FD24B8">
        <w:t xml:space="preserve">budget </w:t>
      </w:r>
      <w:r w:rsidR="00C729AA" w:rsidRPr="00FD24B8">
        <w:t>d</w:t>
      </w:r>
      <w:r w:rsidR="00085B92" w:rsidRPr="00FD24B8">
        <w:t>eficits</w:t>
      </w:r>
      <w:r w:rsidR="00413369" w:rsidRPr="00FD24B8">
        <w:t>.</w:t>
      </w:r>
      <w:r w:rsidR="00E54286" w:rsidRPr="00FD24B8">
        <w:t xml:space="preserve"> </w:t>
      </w:r>
    </w:p>
    <w:p w14:paraId="63E1F215" w14:textId="4E41B3C4" w:rsidR="009C4F34" w:rsidRPr="00A56B05" w:rsidRDefault="00E54286" w:rsidP="003D3A88">
      <w:r w:rsidRPr="00FD24B8">
        <w:t>Despite the considerable fiscal cost of responding to COVID–19, the Australian</w:t>
      </w:r>
      <w:r w:rsidR="00A44C0B" w:rsidRPr="00FD24B8">
        <w:t> </w:t>
      </w:r>
      <w:r w:rsidR="005A08AC" w:rsidRPr="00FD24B8">
        <w:t>Government’s debt burden remains manageable and</w:t>
      </w:r>
      <w:r w:rsidR="006B6D23" w:rsidRPr="00FD24B8">
        <w:fldChar w:fldCharType="begin"/>
      </w:r>
      <w:r w:rsidR="006B6D23" w:rsidRPr="00FD24B8">
        <w:instrText xml:space="preserve"> :End:BPD_BG1 </w:instrText>
      </w:r>
      <w:r w:rsidR="006B6D23" w:rsidRPr="00FD24B8">
        <w:fldChar w:fldCharType="end"/>
      </w:r>
      <w:r w:rsidR="006B6D23" w:rsidRPr="00FD24B8">
        <w:fldChar w:fldCharType="begin"/>
      </w:r>
      <w:r w:rsidR="006B6D23" w:rsidRPr="00FD24B8">
        <w:instrText xml:space="preserve"> :Start:</w:instrText>
      </w:r>
      <w:r w:rsidR="007D0641" w:rsidRPr="00FD24B8">
        <w:instrText>IESD_CG1</w:instrText>
      </w:r>
      <w:r w:rsidR="006B6D23" w:rsidRPr="00FD24B8">
        <w:instrText xml:space="preserve"> </w:instrText>
      </w:r>
      <w:r w:rsidR="006B6D23" w:rsidRPr="00FD24B8">
        <w:fldChar w:fldCharType="end"/>
      </w:r>
      <w:r w:rsidR="005A08AC" w:rsidRPr="00FD24B8" w:rsidDel="005A08AC">
        <w:t xml:space="preserve"> </w:t>
      </w:r>
      <w:r w:rsidR="00407583" w:rsidRPr="00FD24B8">
        <w:t xml:space="preserve">Australia </w:t>
      </w:r>
      <w:r w:rsidRPr="00FD24B8">
        <w:t>continues to have lower debt</w:t>
      </w:r>
      <w:r w:rsidR="003E49AE" w:rsidRPr="00FD24B8">
        <w:t xml:space="preserve"> as a share of its economy</w:t>
      </w:r>
      <w:r w:rsidRPr="00FD24B8">
        <w:t xml:space="preserve"> than many other advanced economies </w:t>
      </w:r>
      <w:r w:rsidR="008D2461" w:rsidRPr="00FD24B8">
        <w:t>(s</w:t>
      </w:r>
      <w:r w:rsidR="00B414EE" w:rsidRPr="00FD24B8">
        <w:t>ee Box 3.</w:t>
      </w:r>
      <w:r w:rsidR="000A4AAF" w:rsidRPr="00FD24B8">
        <w:t>4</w:t>
      </w:r>
      <w:r w:rsidR="008D2461" w:rsidRPr="00FD24B8">
        <w:t>)</w:t>
      </w:r>
      <w:r w:rsidR="00B14B2F" w:rsidRPr="00FD24B8">
        <w:t>.</w:t>
      </w:r>
      <w:r w:rsidR="008C6C19" w:rsidRPr="00FD24B8">
        <w:t xml:space="preserve"> </w:t>
      </w:r>
      <w:r w:rsidR="00154F08" w:rsidRPr="00FD24B8">
        <w:fldChar w:fldCharType="begin"/>
      </w:r>
      <w:r w:rsidR="00154F08" w:rsidRPr="00FD24B8">
        <w:instrText xml:space="preserve"> :End:</w:instrText>
      </w:r>
      <w:r w:rsidR="007D0641" w:rsidRPr="00FD24B8">
        <w:instrText>IESD_CG1</w:instrText>
      </w:r>
      <w:r w:rsidR="00154F08" w:rsidRPr="00FD24B8">
        <w:instrText xml:space="preserve"> </w:instrText>
      </w:r>
      <w:r w:rsidR="00154F08" w:rsidRPr="00FD24B8">
        <w:fldChar w:fldCharType="end"/>
      </w:r>
      <w:r w:rsidR="00154F08" w:rsidRPr="00FD24B8">
        <w:fldChar w:fldCharType="begin"/>
      </w:r>
      <w:r w:rsidR="00154F08" w:rsidRPr="00FD24B8">
        <w:instrText xml:space="preserve"> :Start:MAPD_MC2 </w:instrText>
      </w:r>
      <w:r w:rsidR="00154F08" w:rsidRPr="00FD24B8">
        <w:fldChar w:fldCharType="end"/>
      </w:r>
      <w:r w:rsidR="008C6C19" w:rsidRPr="00FD24B8">
        <w:t xml:space="preserve">Australia is </w:t>
      </w:r>
      <w:r w:rsidR="00FD772A" w:rsidRPr="00FD24B8">
        <w:t xml:space="preserve">one of </w:t>
      </w:r>
      <w:r w:rsidR="007C11DC" w:rsidRPr="00FD24B8">
        <w:t xml:space="preserve">only </w:t>
      </w:r>
      <w:r w:rsidR="0040523F" w:rsidRPr="00FD24B8">
        <w:t>nine</w:t>
      </w:r>
      <w:r w:rsidR="00AF0F01" w:rsidRPr="00FD24B8">
        <w:t xml:space="preserve"> </w:t>
      </w:r>
      <w:r w:rsidR="00FD772A" w:rsidRPr="00FD24B8">
        <w:t xml:space="preserve">countries to </w:t>
      </w:r>
      <w:r w:rsidR="00692618" w:rsidRPr="00FD24B8">
        <w:t xml:space="preserve">maintain </w:t>
      </w:r>
      <w:r w:rsidR="00FD772A" w:rsidRPr="00FD24B8">
        <w:t>a AAA credit rating</w:t>
      </w:r>
      <w:r w:rsidR="0006770A" w:rsidRPr="00FD24B8">
        <w:t xml:space="preserve"> from </w:t>
      </w:r>
      <w:r w:rsidR="00030493" w:rsidRPr="00FD24B8">
        <w:t xml:space="preserve">all 3 </w:t>
      </w:r>
      <w:r w:rsidR="005210A6" w:rsidRPr="00FD24B8">
        <w:t>major</w:t>
      </w:r>
      <w:r w:rsidR="0006770A" w:rsidRPr="00FD24B8">
        <w:t xml:space="preserve"> ratings agencies</w:t>
      </w:r>
      <w:r w:rsidR="005A6B5F" w:rsidRPr="00FD24B8">
        <w:t xml:space="preserve">. </w:t>
      </w:r>
      <w:r w:rsidR="001B4174" w:rsidRPr="00A56B05">
        <w:fldChar w:fldCharType="begin"/>
      </w:r>
      <w:r w:rsidR="001B4174" w:rsidRPr="00A56B05">
        <w:instrText xml:space="preserve"> :End:MAPD_MC2 </w:instrText>
      </w:r>
      <w:r w:rsidR="001B4174" w:rsidRPr="00A56B05">
        <w:fldChar w:fldCharType="end"/>
      </w:r>
    </w:p>
    <w:p w14:paraId="0E4BE6F5" w14:textId="77777777" w:rsidR="009C4F34" w:rsidRPr="00A56B05" w:rsidRDefault="009C4F34">
      <w:pPr>
        <w:spacing w:after="160" w:line="259" w:lineRule="auto"/>
        <w:jc w:val="left"/>
      </w:pPr>
      <w:r w:rsidRPr="00A56B05">
        <w:br w:type="page"/>
      </w:r>
    </w:p>
    <w:p w14:paraId="4F975CD6" w14:textId="128FDA9F" w:rsidR="00E96EC7" w:rsidRPr="00FD24B8" w:rsidRDefault="0092590D" w:rsidP="00C46AED">
      <w:pPr>
        <w:pStyle w:val="TableHeading"/>
        <w:rPr>
          <w:rFonts w:ascii="Book Antiqua" w:hAnsi="Book Antiqua"/>
        </w:rPr>
      </w:pPr>
      <w:r>
        <w:lastRenderedPageBreak/>
        <w:fldChar w:fldCharType="begin"/>
      </w:r>
      <w:r>
        <w:instrText xml:space="preserve"> :Start:FARM_LS1 </w:instrText>
      </w:r>
      <w:r>
        <w:fldChar w:fldCharType="end"/>
      </w:r>
      <w:r w:rsidR="00C46AED" w:rsidRPr="00FD24B8">
        <w:t>Table 3.</w:t>
      </w:r>
      <w:r w:rsidR="00181798" w:rsidRPr="00FD24B8">
        <w:t>2</w:t>
      </w:r>
      <w:r w:rsidR="00C46AED" w:rsidRPr="00FD24B8">
        <w:t>: Australian Government general government sector budget aggregates</w:t>
      </w:r>
    </w:p>
    <w:tbl>
      <w:tblPr>
        <w:tblW w:w="5000" w:type="pct"/>
        <w:tblCellMar>
          <w:left w:w="0" w:type="dxa"/>
          <w:right w:w="28" w:type="dxa"/>
        </w:tblCellMar>
        <w:tblLook w:val="04A0" w:firstRow="1" w:lastRow="0" w:firstColumn="1" w:lastColumn="0" w:noHBand="0" w:noVBand="1"/>
      </w:tblPr>
      <w:tblGrid>
        <w:gridCol w:w="2160"/>
        <w:gridCol w:w="641"/>
        <w:gridCol w:w="93"/>
        <w:gridCol w:w="631"/>
        <w:gridCol w:w="629"/>
        <w:gridCol w:w="629"/>
        <w:gridCol w:w="629"/>
        <w:gridCol w:w="629"/>
        <w:gridCol w:w="93"/>
        <w:gridCol w:w="643"/>
        <w:gridCol w:w="113"/>
        <w:gridCol w:w="820"/>
      </w:tblGrid>
      <w:tr w:rsidR="00B31B91" w:rsidRPr="00131EBC" w14:paraId="6B50E094" w14:textId="77777777" w:rsidTr="00E61D91">
        <w:trPr>
          <w:trHeight w:hRule="exact" w:val="225"/>
        </w:trPr>
        <w:tc>
          <w:tcPr>
            <w:tcW w:w="1401" w:type="pct"/>
            <w:tcBorders>
              <w:top w:val="single" w:sz="4" w:space="0" w:color="000000"/>
              <w:left w:val="nil"/>
              <w:bottom w:val="nil"/>
              <w:right w:val="nil"/>
            </w:tcBorders>
            <w:shd w:val="clear" w:color="000000" w:fill="FFFFFF"/>
            <w:noWrap/>
            <w:vAlign w:val="center"/>
            <w:hideMark/>
          </w:tcPr>
          <w:p w14:paraId="54A1F2DC" w14:textId="625B4E91"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single" w:sz="4" w:space="0" w:color="000000"/>
              <w:left w:val="nil"/>
              <w:bottom w:val="single" w:sz="4" w:space="0" w:color="000000"/>
              <w:right w:val="nil"/>
            </w:tcBorders>
            <w:shd w:val="clear" w:color="000000" w:fill="FFFFFF"/>
            <w:noWrap/>
            <w:vAlign w:val="center"/>
            <w:hideMark/>
          </w:tcPr>
          <w:p w14:paraId="63EEC2CD" w14:textId="77777777" w:rsidR="00E96EC7" w:rsidRPr="00131EBC" w:rsidRDefault="00E96EC7" w:rsidP="00E96EC7">
            <w:pPr>
              <w:spacing w:after="0" w:line="240" w:lineRule="auto"/>
              <w:jc w:val="center"/>
              <w:rPr>
                <w:rFonts w:ascii="Arial" w:hAnsi="Arial" w:cs="Arial"/>
                <w:sz w:val="16"/>
                <w:szCs w:val="16"/>
                <w:highlight w:val="darkCyan"/>
              </w:rPr>
            </w:pPr>
            <w:r w:rsidRPr="00FD24B8">
              <w:rPr>
                <w:rFonts w:ascii="Arial" w:hAnsi="Arial" w:cs="Arial"/>
                <w:sz w:val="16"/>
                <w:szCs w:val="16"/>
              </w:rPr>
              <w:t>Actual</w:t>
            </w:r>
          </w:p>
        </w:tc>
        <w:tc>
          <w:tcPr>
            <w:tcW w:w="60" w:type="pct"/>
            <w:tcBorders>
              <w:top w:val="single" w:sz="4" w:space="0" w:color="000000"/>
              <w:left w:val="nil"/>
              <w:bottom w:val="nil"/>
              <w:right w:val="nil"/>
            </w:tcBorders>
            <w:shd w:val="clear" w:color="000000" w:fill="FFFFFF"/>
            <w:noWrap/>
            <w:vAlign w:val="center"/>
            <w:hideMark/>
          </w:tcPr>
          <w:p w14:paraId="59B42D5B" w14:textId="77777777" w:rsidR="00E96EC7" w:rsidRPr="00131EBC" w:rsidRDefault="00E96EC7" w:rsidP="00E96EC7">
            <w:pPr>
              <w:spacing w:after="0" w:line="240" w:lineRule="auto"/>
              <w:jc w:val="center"/>
              <w:rPr>
                <w:rFonts w:ascii="Arial" w:hAnsi="Arial" w:cs="Arial"/>
                <w:sz w:val="16"/>
                <w:szCs w:val="16"/>
                <w:highlight w:val="darkCyan"/>
              </w:rPr>
            </w:pPr>
            <w:r w:rsidRPr="00FD24B8">
              <w:rPr>
                <w:rFonts w:ascii="Arial" w:hAnsi="Arial" w:cs="Arial"/>
                <w:sz w:val="16"/>
                <w:szCs w:val="16"/>
              </w:rPr>
              <w:t> </w:t>
            </w:r>
          </w:p>
        </w:tc>
        <w:tc>
          <w:tcPr>
            <w:tcW w:w="2041" w:type="pct"/>
            <w:gridSpan w:val="5"/>
            <w:tcBorders>
              <w:top w:val="single" w:sz="4" w:space="0" w:color="000000"/>
              <w:left w:val="nil"/>
              <w:bottom w:val="single" w:sz="4" w:space="0" w:color="auto"/>
              <w:right w:val="nil"/>
            </w:tcBorders>
            <w:shd w:val="clear" w:color="000000" w:fill="FFFFFF"/>
            <w:noWrap/>
            <w:vAlign w:val="center"/>
            <w:hideMark/>
          </w:tcPr>
          <w:p w14:paraId="703CD1B3" w14:textId="77777777" w:rsidR="00E96EC7" w:rsidRPr="00131EBC" w:rsidRDefault="00E96EC7" w:rsidP="00E96EC7">
            <w:pPr>
              <w:spacing w:after="0" w:line="240" w:lineRule="auto"/>
              <w:jc w:val="center"/>
              <w:rPr>
                <w:rFonts w:ascii="Arial" w:hAnsi="Arial" w:cs="Arial"/>
                <w:sz w:val="16"/>
                <w:szCs w:val="16"/>
                <w:highlight w:val="darkCyan"/>
              </w:rPr>
            </w:pPr>
            <w:r w:rsidRPr="00FD24B8">
              <w:rPr>
                <w:rFonts w:ascii="Arial" w:hAnsi="Arial" w:cs="Arial"/>
                <w:sz w:val="16"/>
                <w:szCs w:val="16"/>
              </w:rPr>
              <w:t>Estimates</w:t>
            </w:r>
          </w:p>
        </w:tc>
        <w:tc>
          <w:tcPr>
            <w:tcW w:w="60" w:type="pct"/>
            <w:tcBorders>
              <w:top w:val="single" w:sz="4" w:space="0" w:color="000000"/>
              <w:left w:val="nil"/>
              <w:bottom w:val="nil"/>
              <w:right w:val="nil"/>
            </w:tcBorders>
            <w:shd w:val="clear" w:color="000000" w:fill="FFFFFF"/>
            <w:noWrap/>
            <w:vAlign w:val="center"/>
            <w:hideMark/>
          </w:tcPr>
          <w:p w14:paraId="6845B177"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7" w:type="pct"/>
            <w:tcBorders>
              <w:top w:val="single" w:sz="4" w:space="0" w:color="000000"/>
              <w:left w:val="nil"/>
              <w:bottom w:val="nil"/>
              <w:right w:val="nil"/>
            </w:tcBorders>
            <w:shd w:val="clear" w:color="000000" w:fill="FFFFFF"/>
            <w:noWrap/>
            <w:vAlign w:val="center"/>
            <w:hideMark/>
          </w:tcPr>
          <w:p w14:paraId="54B622BB"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73" w:type="pct"/>
            <w:tcBorders>
              <w:top w:val="single" w:sz="4" w:space="0" w:color="000000"/>
              <w:left w:val="nil"/>
              <w:bottom w:val="nil"/>
              <w:right w:val="nil"/>
            </w:tcBorders>
            <w:shd w:val="clear" w:color="000000" w:fill="FFFFFF"/>
            <w:noWrap/>
            <w:vAlign w:val="center"/>
            <w:hideMark/>
          </w:tcPr>
          <w:p w14:paraId="6A5F4D7A"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32" w:type="pct"/>
            <w:tcBorders>
              <w:top w:val="single" w:sz="4" w:space="0" w:color="000000"/>
              <w:left w:val="nil"/>
              <w:bottom w:val="nil"/>
              <w:right w:val="nil"/>
            </w:tcBorders>
            <w:shd w:val="clear" w:color="000000" w:fill="FFFFFF"/>
            <w:noWrap/>
            <w:vAlign w:val="center"/>
            <w:hideMark/>
          </w:tcPr>
          <w:p w14:paraId="652C3096" w14:textId="77777777" w:rsidR="00E96EC7" w:rsidRPr="00FD24B8" w:rsidRDefault="00E96EC7" w:rsidP="00E96EC7">
            <w:pPr>
              <w:spacing w:after="0" w:line="240" w:lineRule="auto"/>
              <w:jc w:val="left"/>
              <w:rPr>
                <w:rFonts w:ascii="Arial" w:hAnsi="Arial" w:cs="Arial"/>
                <w:sz w:val="16"/>
                <w:szCs w:val="16"/>
              </w:rPr>
            </w:pPr>
            <w:r w:rsidRPr="00FD24B8">
              <w:rPr>
                <w:rFonts w:ascii="Arial" w:hAnsi="Arial" w:cs="Arial"/>
                <w:sz w:val="16"/>
                <w:szCs w:val="16"/>
              </w:rPr>
              <w:t>Projections</w:t>
            </w:r>
          </w:p>
        </w:tc>
      </w:tr>
      <w:tr w:rsidR="00472325" w:rsidRPr="00131EBC" w14:paraId="3F2B90FB"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18C471CC"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nil"/>
              <w:left w:val="nil"/>
              <w:bottom w:val="nil"/>
              <w:right w:val="nil"/>
            </w:tcBorders>
            <w:shd w:val="clear" w:color="000000" w:fill="FFFFFF"/>
            <w:noWrap/>
            <w:vAlign w:val="center"/>
            <w:hideMark/>
          </w:tcPr>
          <w:p w14:paraId="434E6578" w14:textId="1708B7EA"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2020</w:t>
            </w:r>
            <w:r w:rsidR="0031144A" w:rsidRPr="00FD24B8">
              <w:rPr>
                <w:rFonts w:ascii="Arial" w:hAnsi="Arial" w:cs="Arial"/>
                <w:sz w:val="16"/>
                <w:szCs w:val="16"/>
              </w:rPr>
              <w:noBreakHyphen/>
            </w:r>
            <w:r w:rsidRPr="00FD24B8">
              <w:rPr>
                <w:rFonts w:ascii="Arial" w:hAnsi="Arial" w:cs="Arial"/>
                <w:sz w:val="16"/>
                <w:szCs w:val="16"/>
              </w:rPr>
              <w:t>21</w:t>
            </w:r>
          </w:p>
        </w:tc>
        <w:tc>
          <w:tcPr>
            <w:tcW w:w="60" w:type="pct"/>
            <w:tcBorders>
              <w:top w:val="nil"/>
              <w:left w:val="nil"/>
              <w:bottom w:val="nil"/>
              <w:right w:val="nil"/>
            </w:tcBorders>
            <w:shd w:val="clear" w:color="000000" w:fill="FFFFFF"/>
            <w:noWrap/>
            <w:vAlign w:val="center"/>
            <w:hideMark/>
          </w:tcPr>
          <w:p w14:paraId="3197759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single" w:sz="4" w:space="0" w:color="auto"/>
              <w:left w:val="nil"/>
              <w:bottom w:val="nil"/>
              <w:right w:val="nil"/>
            </w:tcBorders>
            <w:shd w:val="clear" w:color="000000" w:fill="FFFFFF"/>
            <w:noWrap/>
            <w:vAlign w:val="center"/>
            <w:hideMark/>
          </w:tcPr>
          <w:p w14:paraId="1A865F19" w14:textId="2105A3E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2021</w:t>
            </w:r>
            <w:r w:rsidR="0031144A" w:rsidRPr="00FD24B8">
              <w:rPr>
                <w:rFonts w:ascii="Arial" w:hAnsi="Arial" w:cs="Arial"/>
                <w:sz w:val="16"/>
                <w:szCs w:val="16"/>
              </w:rPr>
              <w:noBreakHyphen/>
            </w:r>
            <w:r w:rsidRPr="00FD24B8">
              <w:rPr>
                <w:rFonts w:ascii="Arial" w:hAnsi="Arial" w:cs="Arial"/>
                <w:sz w:val="16"/>
                <w:szCs w:val="16"/>
              </w:rPr>
              <w:t>22</w:t>
            </w:r>
          </w:p>
        </w:tc>
        <w:tc>
          <w:tcPr>
            <w:tcW w:w="408" w:type="pct"/>
            <w:tcBorders>
              <w:top w:val="nil"/>
              <w:left w:val="nil"/>
              <w:bottom w:val="nil"/>
              <w:right w:val="nil"/>
            </w:tcBorders>
            <w:shd w:val="clear" w:color="000000" w:fill="F2F9FC"/>
            <w:noWrap/>
            <w:vAlign w:val="center"/>
            <w:hideMark/>
          </w:tcPr>
          <w:p w14:paraId="2FFAFBA1" w14:textId="35F97226"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2022</w:t>
            </w:r>
            <w:r w:rsidR="0031144A" w:rsidRPr="00FD24B8">
              <w:rPr>
                <w:rFonts w:ascii="Arial" w:hAnsi="Arial" w:cs="Arial"/>
                <w:sz w:val="16"/>
                <w:szCs w:val="16"/>
              </w:rPr>
              <w:noBreakHyphen/>
            </w:r>
            <w:r w:rsidRPr="00FD24B8">
              <w:rPr>
                <w:rFonts w:ascii="Arial" w:hAnsi="Arial" w:cs="Arial"/>
                <w:sz w:val="16"/>
                <w:szCs w:val="16"/>
              </w:rPr>
              <w:t>23</w:t>
            </w:r>
          </w:p>
        </w:tc>
        <w:tc>
          <w:tcPr>
            <w:tcW w:w="408" w:type="pct"/>
            <w:tcBorders>
              <w:top w:val="nil"/>
              <w:left w:val="nil"/>
              <w:bottom w:val="nil"/>
              <w:right w:val="nil"/>
            </w:tcBorders>
            <w:shd w:val="clear" w:color="000000" w:fill="FFFFFF"/>
            <w:noWrap/>
            <w:vAlign w:val="center"/>
            <w:hideMark/>
          </w:tcPr>
          <w:p w14:paraId="4A941625" w14:textId="46AE6D76"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2023</w:t>
            </w:r>
            <w:r w:rsidR="0031144A" w:rsidRPr="00FD24B8">
              <w:rPr>
                <w:rFonts w:ascii="Arial" w:hAnsi="Arial" w:cs="Arial"/>
                <w:sz w:val="16"/>
                <w:szCs w:val="16"/>
              </w:rPr>
              <w:noBreakHyphen/>
            </w:r>
            <w:r w:rsidRPr="00FD24B8">
              <w:rPr>
                <w:rFonts w:ascii="Arial" w:hAnsi="Arial" w:cs="Arial"/>
                <w:sz w:val="16"/>
                <w:szCs w:val="16"/>
              </w:rPr>
              <w:t>24</w:t>
            </w:r>
          </w:p>
        </w:tc>
        <w:tc>
          <w:tcPr>
            <w:tcW w:w="408" w:type="pct"/>
            <w:tcBorders>
              <w:top w:val="nil"/>
              <w:left w:val="nil"/>
              <w:bottom w:val="nil"/>
              <w:right w:val="nil"/>
            </w:tcBorders>
            <w:shd w:val="clear" w:color="000000" w:fill="FFFFFF"/>
            <w:noWrap/>
            <w:vAlign w:val="center"/>
            <w:hideMark/>
          </w:tcPr>
          <w:p w14:paraId="2E226E4C" w14:textId="176E5C53"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2024</w:t>
            </w:r>
            <w:r w:rsidR="0031144A" w:rsidRPr="00FD24B8">
              <w:rPr>
                <w:rFonts w:ascii="Arial" w:hAnsi="Arial" w:cs="Arial"/>
                <w:sz w:val="16"/>
                <w:szCs w:val="16"/>
              </w:rPr>
              <w:noBreakHyphen/>
            </w:r>
            <w:r w:rsidRPr="00FD24B8">
              <w:rPr>
                <w:rFonts w:ascii="Arial" w:hAnsi="Arial" w:cs="Arial"/>
                <w:sz w:val="16"/>
                <w:szCs w:val="16"/>
              </w:rPr>
              <w:t>25</w:t>
            </w:r>
          </w:p>
        </w:tc>
        <w:tc>
          <w:tcPr>
            <w:tcW w:w="408" w:type="pct"/>
            <w:tcBorders>
              <w:top w:val="nil"/>
              <w:left w:val="nil"/>
              <w:bottom w:val="nil"/>
              <w:right w:val="nil"/>
            </w:tcBorders>
            <w:shd w:val="clear" w:color="000000" w:fill="FFFFFF"/>
            <w:noWrap/>
            <w:vAlign w:val="center"/>
            <w:hideMark/>
          </w:tcPr>
          <w:p w14:paraId="79EE1FD0" w14:textId="31C02886"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2025</w:t>
            </w:r>
            <w:r w:rsidR="0031144A" w:rsidRPr="00FD24B8">
              <w:rPr>
                <w:rFonts w:ascii="Arial" w:hAnsi="Arial" w:cs="Arial"/>
                <w:sz w:val="16"/>
                <w:szCs w:val="16"/>
              </w:rPr>
              <w:noBreakHyphen/>
            </w:r>
            <w:r w:rsidRPr="00FD24B8">
              <w:rPr>
                <w:rFonts w:ascii="Arial" w:hAnsi="Arial" w:cs="Arial"/>
                <w:sz w:val="16"/>
                <w:szCs w:val="16"/>
              </w:rPr>
              <w:t>26</w:t>
            </w:r>
          </w:p>
        </w:tc>
        <w:tc>
          <w:tcPr>
            <w:tcW w:w="60" w:type="pct"/>
            <w:tcBorders>
              <w:top w:val="nil"/>
              <w:left w:val="nil"/>
              <w:bottom w:val="nil"/>
              <w:right w:val="nil"/>
            </w:tcBorders>
            <w:shd w:val="clear" w:color="000000" w:fill="FFFFFF"/>
            <w:noWrap/>
            <w:vAlign w:val="center"/>
            <w:hideMark/>
          </w:tcPr>
          <w:p w14:paraId="3F47765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single" w:sz="4" w:space="0" w:color="auto"/>
              <w:left w:val="nil"/>
              <w:bottom w:val="nil"/>
              <w:right w:val="nil"/>
            </w:tcBorders>
            <w:shd w:val="clear" w:color="000000" w:fill="FFFFFF"/>
            <w:noWrap/>
            <w:vAlign w:val="center"/>
            <w:hideMark/>
          </w:tcPr>
          <w:p w14:paraId="339379D0"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Total(a)</w:t>
            </w:r>
          </w:p>
        </w:tc>
        <w:tc>
          <w:tcPr>
            <w:tcW w:w="73" w:type="pct"/>
            <w:tcBorders>
              <w:top w:val="nil"/>
              <w:left w:val="nil"/>
              <w:bottom w:val="nil"/>
              <w:right w:val="nil"/>
            </w:tcBorders>
            <w:shd w:val="clear" w:color="000000" w:fill="FFFFFF"/>
            <w:noWrap/>
            <w:vAlign w:val="center"/>
            <w:hideMark/>
          </w:tcPr>
          <w:p w14:paraId="3BB4FFB9"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single" w:sz="4" w:space="0" w:color="auto"/>
              <w:left w:val="nil"/>
              <w:bottom w:val="nil"/>
              <w:right w:val="nil"/>
            </w:tcBorders>
            <w:shd w:val="clear" w:color="000000" w:fill="FFFFFF"/>
            <w:noWrap/>
            <w:vAlign w:val="center"/>
            <w:hideMark/>
          </w:tcPr>
          <w:p w14:paraId="29C329E9" w14:textId="1D90AC7A" w:rsidR="00E96EC7" w:rsidRPr="00FD24B8" w:rsidRDefault="00E96EC7" w:rsidP="00E96EC7">
            <w:pPr>
              <w:spacing w:after="0" w:line="240" w:lineRule="auto"/>
              <w:jc w:val="right"/>
              <w:rPr>
                <w:rFonts w:ascii="Arial" w:hAnsi="Arial" w:cs="Arial"/>
                <w:sz w:val="16"/>
                <w:szCs w:val="16"/>
              </w:rPr>
            </w:pPr>
            <w:r w:rsidRPr="00FD24B8">
              <w:rPr>
                <w:rFonts w:ascii="Arial" w:hAnsi="Arial" w:cs="Arial"/>
                <w:sz w:val="16"/>
                <w:szCs w:val="16"/>
              </w:rPr>
              <w:t>2032</w:t>
            </w:r>
            <w:r w:rsidR="0031144A" w:rsidRPr="00FD24B8">
              <w:rPr>
                <w:rFonts w:ascii="Arial" w:hAnsi="Arial" w:cs="Arial"/>
                <w:sz w:val="16"/>
                <w:szCs w:val="16"/>
              </w:rPr>
              <w:noBreakHyphen/>
            </w:r>
            <w:r w:rsidRPr="00FD24B8">
              <w:rPr>
                <w:rFonts w:ascii="Arial" w:hAnsi="Arial" w:cs="Arial"/>
                <w:sz w:val="16"/>
                <w:szCs w:val="16"/>
              </w:rPr>
              <w:t>33</w:t>
            </w:r>
          </w:p>
        </w:tc>
      </w:tr>
      <w:tr w:rsidR="00472325" w:rsidRPr="00131EBC" w14:paraId="157D4FF0"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0565D603"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nil"/>
              <w:left w:val="nil"/>
              <w:bottom w:val="single" w:sz="4" w:space="0" w:color="000000"/>
              <w:right w:val="nil"/>
            </w:tcBorders>
            <w:shd w:val="clear" w:color="000000" w:fill="FFFFFF"/>
            <w:noWrap/>
            <w:vAlign w:val="center"/>
            <w:hideMark/>
          </w:tcPr>
          <w:p w14:paraId="2ECFE8FD"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60" w:type="pct"/>
            <w:tcBorders>
              <w:top w:val="nil"/>
              <w:left w:val="nil"/>
              <w:bottom w:val="nil"/>
              <w:right w:val="nil"/>
            </w:tcBorders>
            <w:shd w:val="clear" w:color="000000" w:fill="FFFFFF"/>
            <w:noWrap/>
            <w:vAlign w:val="center"/>
            <w:hideMark/>
          </w:tcPr>
          <w:p w14:paraId="7929F8B7"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single" w:sz="4" w:space="0" w:color="000000"/>
              <w:right w:val="nil"/>
            </w:tcBorders>
            <w:shd w:val="clear" w:color="000000" w:fill="FFFFFF"/>
            <w:noWrap/>
            <w:vAlign w:val="center"/>
            <w:hideMark/>
          </w:tcPr>
          <w:p w14:paraId="5A37774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408" w:type="pct"/>
            <w:tcBorders>
              <w:top w:val="nil"/>
              <w:left w:val="nil"/>
              <w:bottom w:val="single" w:sz="4" w:space="0" w:color="000000"/>
              <w:right w:val="nil"/>
            </w:tcBorders>
            <w:shd w:val="clear" w:color="000000" w:fill="F2F9FC"/>
            <w:noWrap/>
            <w:vAlign w:val="center"/>
            <w:hideMark/>
          </w:tcPr>
          <w:p w14:paraId="1CE77666"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408" w:type="pct"/>
            <w:tcBorders>
              <w:top w:val="nil"/>
              <w:left w:val="nil"/>
              <w:bottom w:val="single" w:sz="4" w:space="0" w:color="000000"/>
              <w:right w:val="nil"/>
            </w:tcBorders>
            <w:shd w:val="clear" w:color="000000" w:fill="FFFFFF"/>
            <w:noWrap/>
            <w:vAlign w:val="center"/>
            <w:hideMark/>
          </w:tcPr>
          <w:p w14:paraId="76B5E2D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408" w:type="pct"/>
            <w:tcBorders>
              <w:top w:val="nil"/>
              <w:left w:val="nil"/>
              <w:bottom w:val="single" w:sz="4" w:space="0" w:color="000000"/>
              <w:right w:val="nil"/>
            </w:tcBorders>
            <w:shd w:val="clear" w:color="000000" w:fill="FFFFFF"/>
            <w:noWrap/>
            <w:vAlign w:val="center"/>
            <w:hideMark/>
          </w:tcPr>
          <w:p w14:paraId="3ACC76B9"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408" w:type="pct"/>
            <w:tcBorders>
              <w:top w:val="nil"/>
              <w:left w:val="nil"/>
              <w:bottom w:val="single" w:sz="4" w:space="0" w:color="000000"/>
              <w:right w:val="nil"/>
            </w:tcBorders>
            <w:shd w:val="clear" w:color="000000" w:fill="FFFFFF"/>
            <w:noWrap/>
            <w:vAlign w:val="center"/>
            <w:hideMark/>
          </w:tcPr>
          <w:p w14:paraId="50F3739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60" w:type="pct"/>
            <w:tcBorders>
              <w:top w:val="nil"/>
              <w:left w:val="nil"/>
              <w:bottom w:val="nil"/>
              <w:right w:val="nil"/>
            </w:tcBorders>
            <w:shd w:val="clear" w:color="000000" w:fill="FFFFFF"/>
            <w:noWrap/>
            <w:vAlign w:val="center"/>
            <w:hideMark/>
          </w:tcPr>
          <w:p w14:paraId="26A666A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single" w:sz="4" w:space="0" w:color="000000"/>
              <w:right w:val="nil"/>
            </w:tcBorders>
            <w:shd w:val="clear" w:color="000000" w:fill="FFFFFF"/>
            <w:noWrap/>
            <w:vAlign w:val="center"/>
            <w:hideMark/>
          </w:tcPr>
          <w:p w14:paraId="58BC3B9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73" w:type="pct"/>
            <w:tcBorders>
              <w:top w:val="nil"/>
              <w:left w:val="nil"/>
              <w:bottom w:val="nil"/>
              <w:right w:val="nil"/>
            </w:tcBorders>
            <w:shd w:val="clear" w:color="000000" w:fill="FFFFFF"/>
            <w:noWrap/>
            <w:vAlign w:val="center"/>
            <w:hideMark/>
          </w:tcPr>
          <w:p w14:paraId="484677BA"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single" w:sz="4" w:space="0" w:color="000000"/>
              <w:right w:val="nil"/>
            </w:tcBorders>
            <w:shd w:val="clear" w:color="000000" w:fill="FFFFFF"/>
            <w:noWrap/>
            <w:vAlign w:val="center"/>
            <w:hideMark/>
          </w:tcPr>
          <w:p w14:paraId="526C080A" w14:textId="77777777" w:rsidR="00E96EC7" w:rsidRPr="00FD24B8" w:rsidRDefault="00E96EC7" w:rsidP="00E96EC7">
            <w:pPr>
              <w:spacing w:after="0" w:line="240" w:lineRule="auto"/>
              <w:jc w:val="right"/>
              <w:rPr>
                <w:rFonts w:ascii="Arial" w:hAnsi="Arial" w:cs="Arial"/>
                <w:sz w:val="16"/>
                <w:szCs w:val="16"/>
              </w:rPr>
            </w:pPr>
            <w:r w:rsidRPr="00FD24B8">
              <w:rPr>
                <w:rFonts w:ascii="Arial" w:hAnsi="Arial" w:cs="Arial"/>
                <w:sz w:val="16"/>
                <w:szCs w:val="16"/>
              </w:rPr>
              <w:t>$b</w:t>
            </w:r>
          </w:p>
        </w:tc>
      </w:tr>
      <w:tr w:rsidR="00C03E0F" w:rsidRPr="00131EBC" w14:paraId="3C19CD1F"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037057AC" w14:textId="77777777" w:rsidR="00E96EC7" w:rsidRPr="00131EBC" w:rsidRDefault="00E96EC7" w:rsidP="00E96EC7">
            <w:pPr>
              <w:spacing w:after="0" w:line="240" w:lineRule="auto"/>
              <w:jc w:val="left"/>
              <w:rPr>
                <w:rFonts w:ascii="Arial" w:hAnsi="Arial" w:cs="Arial"/>
                <w:b/>
                <w:sz w:val="16"/>
                <w:szCs w:val="16"/>
                <w:highlight w:val="darkCyan"/>
              </w:rPr>
            </w:pPr>
            <w:r w:rsidRPr="00FD24B8">
              <w:rPr>
                <w:rFonts w:ascii="Arial" w:hAnsi="Arial" w:cs="Arial"/>
                <w:b/>
                <w:sz w:val="16"/>
                <w:szCs w:val="16"/>
              </w:rPr>
              <w:t>Underlying cash balance</w:t>
            </w:r>
          </w:p>
        </w:tc>
        <w:tc>
          <w:tcPr>
            <w:tcW w:w="416" w:type="pct"/>
            <w:tcBorders>
              <w:top w:val="nil"/>
              <w:left w:val="nil"/>
              <w:bottom w:val="nil"/>
              <w:right w:val="nil"/>
            </w:tcBorders>
            <w:shd w:val="clear" w:color="000000" w:fill="FFFFFF"/>
            <w:noWrap/>
            <w:vAlign w:val="center"/>
            <w:hideMark/>
          </w:tcPr>
          <w:p w14:paraId="07E01EC8" w14:textId="685E5D7C" w:rsidR="00E96EC7" w:rsidRPr="00131EBC" w:rsidRDefault="0031144A"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E96EC7" w:rsidRPr="00FD24B8">
              <w:rPr>
                <w:rFonts w:ascii="Arial" w:hAnsi="Arial" w:cs="Arial"/>
                <w:b/>
                <w:sz w:val="16"/>
                <w:szCs w:val="16"/>
              </w:rPr>
              <w:t>134.2</w:t>
            </w:r>
          </w:p>
        </w:tc>
        <w:tc>
          <w:tcPr>
            <w:tcW w:w="60" w:type="pct"/>
            <w:tcBorders>
              <w:top w:val="nil"/>
              <w:left w:val="nil"/>
              <w:bottom w:val="nil"/>
              <w:right w:val="nil"/>
            </w:tcBorders>
            <w:shd w:val="clear" w:color="000000" w:fill="FFFFFF"/>
            <w:noWrap/>
            <w:vAlign w:val="center"/>
            <w:hideMark/>
          </w:tcPr>
          <w:p w14:paraId="3C098219"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53D0CFB3" w14:textId="24EF149D" w:rsidR="00E96EC7" w:rsidRPr="00131EBC" w:rsidRDefault="0031144A"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E96EC7" w:rsidRPr="00FD24B8">
              <w:rPr>
                <w:rFonts w:ascii="Arial" w:hAnsi="Arial" w:cs="Arial"/>
                <w:b/>
                <w:sz w:val="16"/>
                <w:szCs w:val="16"/>
              </w:rPr>
              <w:t>79.8</w:t>
            </w:r>
          </w:p>
        </w:tc>
        <w:tc>
          <w:tcPr>
            <w:tcW w:w="408" w:type="pct"/>
            <w:tcBorders>
              <w:top w:val="nil"/>
              <w:left w:val="nil"/>
              <w:bottom w:val="nil"/>
              <w:right w:val="nil"/>
            </w:tcBorders>
            <w:shd w:val="clear" w:color="000000" w:fill="F2F9FC"/>
            <w:noWrap/>
            <w:vAlign w:val="center"/>
            <w:hideMark/>
          </w:tcPr>
          <w:p w14:paraId="0CBCDEF8" w14:textId="497C49EE" w:rsidR="00E96EC7" w:rsidRPr="00131EBC" w:rsidRDefault="0031144A"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E96EC7" w:rsidRPr="00FD24B8">
              <w:rPr>
                <w:rFonts w:ascii="Arial" w:hAnsi="Arial" w:cs="Arial"/>
                <w:b/>
                <w:sz w:val="16"/>
                <w:szCs w:val="16"/>
              </w:rPr>
              <w:t>78.0</w:t>
            </w:r>
          </w:p>
        </w:tc>
        <w:tc>
          <w:tcPr>
            <w:tcW w:w="408" w:type="pct"/>
            <w:tcBorders>
              <w:top w:val="nil"/>
              <w:left w:val="nil"/>
              <w:bottom w:val="nil"/>
              <w:right w:val="nil"/>
            </w:tcBorders>
            <w:shd w:val="clear" w:color="000000" w:fill="FFFFFF"/>
            <w:noWrap/>
            <w:vAlign w:val="center"/>
            <w:hideMark/>
          </w:tcPr>
          <w:p w14:paraId="44C29ADF" w14:textId="18E7CD60" w:rsidR="00E96EC7" w:rsidRPr="00131EBC" w:rsidRDefault="0031144A"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E96EC7" w:rsidRPr="00FD24B8">
              <w:rPr>
                <w:rFonts w:ascii="Arial" w:hAnsi="Arial" w:cs="Arial"/>
                <w:b/>
                <w:sz w:val="16"/>
                <w:szCs w:val="16"/>
              </w:rPr>
              <w:t>56.5</w:t>
            </w:r>
          </w:p>
        </w:tc>
        <w:tc>
          <w:tcPr>
            <w:tcW w:w="408" w:type="pct"/>
            <w:tcBorders>
              <w:top w:val="nil"/>
              <w:left w:val="nil"/>
              <w:bottom w:val="nil"/>
              <w:right w:val="nil"/>
            </w:tcBorders>
            <w:shd w:val="clear" w:color="000000" w:fill="FFFFFF"/>
            <w:noWrap/>
            <w:vAlign w:val="center"/>
            <w:hideMark/>
          </w:tcPr>
          <w:p w14:paraId="78BC417D" w14:textId="2125EC7A" w:rsidR="00E96EC7" w:rsidRPr="00131EBC" w:rsidRDefault="0031144A"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E96EC7" w:rsidRPr="00FD24B8">
              <w:rPr>
                <w:rFonts w:ascii="Arial" w:hAnsi="Arial" w:cs="Arial"/>
                <w:b/>
                <w:sz w:val="16"/>
                <w:szCs w:val="16"/>
              </w:rPr>
              <w:t>47.1</w:t>
            </w:r>
          </w:p>
        </w:tc>
        <w:tc>
          <w:tcPr>
            <w:tcW w:w="408" w:type="pct"/>
            <w:tcBorders>
              <w:top w:val="nil"/>
              <w:left w:val="nil"/>
              <w:bottom w:val="nil"/>
              <w:right w:val="nil"/>
            </w:tcBorders>
            <w:shd w:val="clear" w:color="000000" w:fill="FFFFFF"/>
            <w:noWrap/>
            <w:vAlign w:val="center"/>
            <w:hideMark/>
          </w:tcPr>
          <w:p w14:paraId="69294880" w14:textId="28FE7B4B" w:rsidR="00E96EC7" w:rsidRPr="00131EBC" w:rsidRDefault="0031144A"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E96EC7" w:rsidRPr="00FD24B8">
              <w:rPr>
                <w:rFonts w:ascii="Arial" w:hAnsi="Arial" w:cs="Arial"/>
                <w:b/>
                <w:sz w:val="16"/>
                <w:szCs w:val="16"/>
              </w:rPr>
              <w:t>43.1</w:t>
            </w:r>
          </w:p>
        </w:tc>
        <w:tc>
          <w:tcPr>
            <w:tcW w:w="60" w:type="pct"/>
            <w:tcBorders>
              <w:top w:val="nil"/>
              <w:left w:val="nil"/>
              <w:bottom w:val="nil"/>
              <w:right w:val="nil"/>
            </w:tcBorders>
            <w:shd w:val="clear" w:color="000000" w:fill="FFFFFF"/>
            <w:noWrap/>
            <w:vAlign w:val="center"/>
            <w:hideMark/>
          </w:tcPr>
          <w:p w14:paraId="6FCF4C82"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17" w:type="pct"/>
            <w:tcBorders>
              <w:top w:val="nil"/>
              <w:left w:val="nil"/>
              <w:bottom w:val="nil"/>
              <w:right w:val="nil"/>
            </w:tcBorders>
            <w:shd w:val="clear" w:color="000000" w:fill="FFFFFF"/>
            <w:noWrap/>
            <w:vAlign w:val="center"/>
            <w:hideMark/>
          </w:tcPr>
          <w:p w14:paraId="7EB71AA6" w14:textId="5699A80F" w:rsidR="00E96EC7" w:rsidRPr="00131EBC" w:rsidRDefault="0031144A"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E96EC7" w:rsidRPr="00FD24B8">
              <w:rPr>
                <w:rFonts w:ascii="Arial" w:hAnsi="Arial" w:cs="Arial"/>
                <w:b/>
                <w:sz w:val="16"/>
                <w:szCs w:val="16"/>
              </w:rPr>
              <w:t>224.7</w:t>
            </w:r>
          </w:p>
        </w:tc>
        <w:tc>
          <w:tcPr>
            <w:tcW w:w="73" w:type="pct"/>
            <w:tcBorders>
              <w:top w:val="nil"/>
              <w:left w:val="nil"/>
              <w:bottom w:val="nil"/>
              <w:right w:val="nil"/>
            </w:tcBorders>
            <w:shd w:val="clear" w:color="000000" w:fill="FFFFFF"/>
            <w:noWrap/>
            <w:vAlign w:val="center"/>
            <w:hideMark/>
          </w:tcPr>
          <w:p w14:paraId="51864339"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26CDB15C" w14:textId="77777777" w:rsidR="00E96EC7" w:rsidRPr="00FD24B8" w:rsidRDefault="00E96EC7" w:rsidP="00E96EC7">
            <w:pPr>
              <w:spacing w:after="0" w:line="240" w:lineRule="auto"/>
              <w:jc w:val="right"/>
              <w:rPr>
                <w:rFonts w:ascii="Arial" w:hAnsi="Arial" w:cs="Arial"/>
                <w:b/>
                <w:sz w:val="16"/>
                <w:szCs w:val="16"/>
              </w:rPr>
            </w:pPr>
            <w:r w:rsidRPr="00FD24B8">
              <w:rPr>
                <w:rFonts w:ascii="Arial" w:hAnsi="Arial" w:cs="Arial"/>
                <w:b/>
                <w:sz w:val="16"/>
                <w:szCs w:val="16"/>
              </w:rPr>
              <w:t> </w:t>
            </w:r>
          </w:p>
        </w:tc>
      </w:tr>
      <w:tr w:rsidR="00C03E0F" w:rsidRPr="00131EBC" w14:paraId="153A115B"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44DEE8AA"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16" w:type="pct"/>
            <w:tcBorders>
              <w:top w:val="nil"/>
              <w:left w:val="nil"/>
              <w:bottom w:val="nil"/>
              <w:right w:val="nil"/>
            </w:tcBorders>
            <w:shd w:val="clear" w:color="000000" w:fill="FFFFFF"/>
            <w:noWrap/>
            <w:vAlign w:val="center"/>
            <w:hideMark/>
          </w:tcPr>
          <w:p w14:paraId="3690A9C2" w14:textId="75D9FB56" w:rsidR="00E96EC7" w:rsidRPr="00131EBC" w:rsidRDefault="0031144A" w:rsidP="00E96EC7">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E96EC7" w:rsidRPr="00FD24B8">
              <w:rPr>
                <w:rFonts w:ascii="Arial" w:hAnsi="Arial" w:cs="Arial"/>
                <w:sz w:val="16"/>
                <w:szCs w:val="16"/>
              </w:rPr>
              <w:t>6.5</w:t>
            </w:r>
          </w:p>
        </w:tc>
        <w:tc>
          <w:tcPr>
            <w:tcW w:w="60" w:type="pct"/>
            <w:tcBorders>
              <w:top w:val="nil"/>
              <w:left w:val="nil"/>
              <w:bottom w:val="nil"/>
              <w:right w:val="nil"/>
            </w:tcBorders>
            <w:shd w:val="clear" w:color="000000" w:fill="FFFFFF"/>
            <w:noWrap/>
            <w:vAlign w:val="center"/>
            <w:hideMark/>
          </w:tcPr>
          <w:p w14:paraId="66CD55CF"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6E61DA56" w14:textId="03CF7211" w:rsidR="00E96EC7" w:rsidRPr="00131EBC" w:rsidRDefault="0031144A" w:rsidP="00E96EC7">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E96EC7" w:rsidRPr="00FD24B8">
              <w:rPr>
                <w:rFonts w:ascii="Arial" w:hAnsi="Arial" w:cs="Arial"/>
                <w:sz w:val="16"/>
                <w:szCs w:val="16"/>
              </w:rPr>
              <w:t>3.5</w:t>
            </w:r>
          </w:p>
        </w:tc>
        <w:tc>
          <w:tcPr>
            <w:tcW w:w="408" w:type="pct"/>
            <w:tcBorders>
              <w:top w:val="nil"/>
              <w:left w:val="nil"/>
              <w:bottom w:val="nil"/>
              <w:right w:val="nil"/>
            </w:tcBorders>
            <w:shd w:val="clear" w:color="000000" w:fill="F2F9FC"/>
            <w:noWrap/>
            <w:vAlign w:val="center"/>
            <w:hideMark/>
          </w:tcPr>
          <w:p w14:paraId="3B0203E9" w14:textId="6844C41E" w:rsidR="00E96EC7" w:rsidRPr="00131EBC" w:rsidRDefault="0031144A" w:rsidP="00E96EC7">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E96EC7" w:rsidRPr="00FD24B8">
              <w:rPr>
                <w:rFonts w:ascii="Arial" w:hAnsi="Arial" w:cs="Arial"/>
                <w:sz w:val="16"/>
                <w:szCs w:val="16"/>
              </w:rPr>
              <w:t>3.4</w:t>
            </w:r>
          </w:p>
        </w:tc>
        <w:tc>
          <w:tcPr>
            <w:tcW w:w="408" w:type="pct"/>
            <w:tcBorders>
              <w:top w:val="nil"/>
              <w:left w:val="nil"/>
              <w:bottom w:val="nil"/>
              <w:right w:val="nil"/>
            </w:tcBorders>
            <w:shd w:val="clear" w:color="000000" w:fill="FFFFFF"/>
            <w:noWrap/>
            <w:vAlign w:val="center"/>
            <w:hideMark/>
          </w:tcPr>
          <w:p w14:paraId="575CE66C" w14:textId="68341B66" w:rsidR="00E96EC7" w:rsidRPr="00131EBC" w:rsidRDefault="0031144A" w:rsidP="00E96EC7">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E96EC7" w:rsidRPr="00FD24B8">
              <w:rPr>
                <w:rFonts w:ascii="Arial" w:hAnsi="Arial" w:cs="Arial"/>
                <w:sz w:val="16"/>
                <w:szCs w:val="16"/>
              </w:rPr>
              <w:t>2.4</w:t>
            </w:r>
          </w:p>
        </w:tc>
        <w:tc>
          <w:tcPr>
            <w:tcW w:w="408" w:type="pct"/>
            <w:tcBorders>
              <w:top w:val="nil"/>
              <w:left w:val="nil"/>
              <w:bottom w:val="nil"/>
              <w:right w:val="nil"/>
            </w:tcBorders>
            <w:shd w:val="clear" w:color="000000" w:fill="FFFFFF"/>
            <w:noWrap/>
            <w:vAlign w:val="center"/>
            <w:hideMark/>
          </w:tcPr>
          <w:p w14:paraId="2200A2D7" w14:textId="13819F5E" w:rsidR="00E96EC7" w:rsidRPr="00131EBC" w:rsidRDefault="0031144A" w:rsidP="00E96EC7">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E96EC7" w:rsidRPr="00FD24B8">
              <w:rPr>
                <w:rFonts w:ascii="Arial" w:hAnsi="Arial" w:cs="Arial"/>
                <w:sz w:val="16"/>
                <w:szCs w:val="16"/>
              </w:rPr>
              <w:t>1.9</w:t>
            </w:r>
          </w:p>
        </w:tc>
        <w:tc>
          <w:tcPr>
            <w:tcW w:w="408" w:type="pct"/>
            <w:tcBorders>
              <w:top w:val="nil"/>
              <w:left w:val="nil"/>
              <w:bottom w:val="nil"/>
              <w:right w:val="nil"/>
            </w:tcBorders>
            <w:shd w:val="clear" w:color="000000" w:fill="FFFFFF"/>
            <w:noWrap/>
            <w:vAlign w:val="center"/>
            <w:hideMark/>
          </w:tcPr>
          <w:p w14:paraId="0D73D146" w14:textId="15EC591D" w:rsidR="00E96EC7" w:rsidRPr="00131EBC" w:rsidRDefault="0031144A" w:rsidP="00E96EC7">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E96EC7" w:rsidRPr="00FD24B8">
              <w:rPr>
                <w:rFonts w:ascii="Arial" w:hAnsi="Arial" w:cs="Arial"/>
                <w:sz w:val="16"/>
                <w:szCs w:val="16"/>
              </w:rPr>
              <w:t>1.6</w:t>
            </w:r>
          </w:p>
        </w:tc>
        <w:tc>
          <w:tcPr>
            <w:tcW w:w="60" w:type="pct"/>
            <w:tcBorders>
              <w:top w:val="nil"/>
              <w:left w:val="nil"/>
              <w:bottom w:val="nil"/>
              <w:right w:val="nil"/>
            </w:tcBorders>
            <w:shd w:val="clear" w:color="000000" w:fill="FFFFFF"/>
            <w:noWrap/>
            <w:vAlign w:val="center"/>
            <w:hideMark/>
          </w:tcPr>
          <w:p w14:paraId="2F3022A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64AD36CE"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641C5F2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2F7ACDE8" w14:textId="1483F3CC" w:rsidR="00E96EC7" w:rsidRPr="00FD24B8" w:rsidRDefault="0031144A" w:rsidP="00E96EC7">
            <w:pPr>
              <w:spacing w:after="0" w:line="240" w:lineRule="auto"/>
              <w:jc w:val="right"/>
              <w:rPr>
                <w:rFonts w:ascii="Arial" w:hAnsi="Arial" w:cs="Arial"/>
                <w:sz w:val="16"/>
                <w:szCs w:val="16"/>
              </w:rPr>
            </w:pPr>
            <w:r w:rsidRPr="00FD24B8">
              <w:rPr>
                <w:rFonts w:ascii="Arial" w:hAnsi="Arial" w:cs="Arial"/>
                <w:sz w:val="16"/>
                <w:szCs w:val="16"/>
              </w:rPr>
              <w:noBreakHyphen/>
            </w:r>
            <w:r w:rsidR="00121EC5" w:rsidRPr="00FD24B8">
              <w:rPr>
                <w:rFonts w:ascii="Arial" w:hAnsi="Arial" w:cs="Arial"/>
                <w:sz w:val="16"/>
                <w:szCs w:val="16"/>
              </w:rPr>
              <w:t>0.7</w:t>
            </w:r>
            <w:r w:rsidR="00E96EC7" w:rsidRPr="00FD24B8">
              <w:rPr>
                <w:rFonts w:ascii="Arial" w:hAnsi="Arial" w:cs="Arial"/>
                <w:sz w:val="16"/>
                <w:szCs w:val="16"/>
              </w:rPr>
              <w:t> </w:t>
            </w:r>
          </w:p>
        </w:tc>
      </w:tr>
      <w:tr w:rsidR="00C03E0F" w:rsidRPr="00131EBC" w14:paraId="6869CDC8" w14:textId="77777777" w:rsidTr="00E61D91">
        <w:trPr>
          <w:trHeight w:hRule="exact" w:val="60"/>
        </w:trPr>
        <w:tc>
          <w:tcPr>
            <w:tcW w:w="1401" w:type="pct"/>
            <w:tcBorders>
              <w:top w:val="nil"/>
              <w:left w:val="nil"/>
              <w:bottom w:val="nil"/>
              <w:right w:val="nil"/>
            </w:tcBorders>
            <w:shd w:val="clear" w:color="000000" w:fill="FFFFFF"/>
            <w:noWrap/>
            <w:vAlign w:val="center"/>
            <w:hideMark/>
          </w:tcPr>
          <w:p w14:paraId="6FB87BE4"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nil"/>
              <w:left w:val="nil"/>
              <w:bottom w:val="nil"/>
              <w:right w:val="nil"/>
            </w:tcBorders>
            <w:shd w:val="clear" w:color="000000" w:fill="FFFFFF"/>
            <w:noWrap/>
            <w:vAlign w:val="center"/>
            <w:hideMark/>
          </w:tcPr>
          <w:p w14:paraId="1375BDA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26F8C79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310DE09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2F9FC"/>
            <w:noWrap/>
            <w:vAlign w:val="center"/>
            <w:hideMark/>
          </w:tcPr>
          <w:p w14:paraId="7C6E00E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2325AE62"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779FA0DE"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41EB587D"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7CAE865A"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4E652DD2"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1A9BA656"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6048EAEF" w14:textId="77777777" w:rsidR="00E96EC7" w:rsidRPr="00FD24B8" w:rsidRDefault="00E96EC7" w:rsidP="00E96EC7">
            <w:pPr>
              <w:spacing w:after="0" w:line="240" w:lineRule="auto"/>
              <w:jc w:val="right"/>
              <w:rPr>
                <w:rFonts w:ascii="Arial" w:hAnsi="Arial" w:cs="Arial"/>
                <w:sz w:val="16"/>
                <w:szCs w:val="16"/>
              </w:rPr>
            </w:pPr>
            <w:r w:rsidRPr="00FD24B8">
              <w:rPr>
                <w:rFonts w:ascii="Arial" w:hAnsi="Arial" w:cs="Arial"/>
                <w:sz w:val="16"/>
                <w:szCs w:val="16"/>
              </w:rPr>
              <w:t> </w:t>
            </w:r>
          </w:p>
        </w:tc>
      </w:tr>
      <w:tr w:rsidR="00C03E0F" w:rsidRPr="00131EBC" w14:paraId="35A2FF02"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3E084E45" w14:textId="77777777" w:rsidR="00E96EC7" w:rsidRPr="00131EBC" w:rsidRDefault="00E96EC7" w:rsidP="00E96EC7">
            <w:pPr>
              <w:spacing w:after="0" w:line="240" w:lineRule="auto"/>
              <w:jc w:val="left"/>
              <w:rPr>
                <w:rFonts w:ascii="Arial" w:hAnsi="Arial" w:cs="Arial"/>
                <w:b/>
                <w:sz w:val="16"/>
                <w:szCs w:val="16"/>
                <w:highlight w:val="darkCyan"/>
              </w:rPr>
            </w:pPr>
            <w:r w:rsidRPr="00FD24B8">
              <w:rPr>
                <w:rFonts w:ascii="Arial" w:hAnsi="Arial" w:cs="Arial"/>
                <w:b/>
                <w:sz w:val="16"/>
                <w:szCs w:val="16"/>
              </w:rPr>
              <w:t>Receipts</w:t>
            </w:r>
          </w:p>
        </w:tc>
        <w:tc>
          <w:tcPr>
            <w:tcW w:w="416" w:type="pct"/>
            <w:tcBorders>
              <w:top w:val="nil"/>
              <w:left w:val="nil"/>
              <w:bottom w:val="nil"/>
              <w:right w:val="nil"/>
            </w:tcBorders>
            <w:shd w:val="clear" w:color="000000" w:fill="FFFFFF"/>
            <w:noWrap/>
            <w:vAlign w:val="center"/>
            <w:hideMark/>
          </w:tcPr>
          <w:p w14:paraId="5FAF7406"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519.9</w:t>
            </w:r>
          </w:p>
        </w:tc>
        <w:tc>
          <w:tcPr>
            <w:tcW w:w="60" w:type="pct"/>
            <w:tcBorders>
              <w:top w:val="nil"/>
              <w:left w:val="nil"/>
              <w:bottom w:val="nil"/>
              <w:right w:val="nil"/>
            </w:tcBorders>
            <w:shd w:val="clear" w:color="000000" w:fill="FFFFFF"/>
            <w:noWrap/>
            <w:vAlign w:val="center"/>
            <w:hideMark/>
          </w:tcPr>
          <w:p w14:paraId="6902E48B"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09" w:type="pct"/>
            <w:tcBorders>
              <w:top w:val="nil"/>
              <w:left w:val="nil"/>
              <w:bottom w:val="nil"/>
              <w:right w:val="nil"/>
            </w:tcBorders>
            <w:shd w:val="clear" w:color="000000" w:fill="FFFFFF"/>
            <w:noWrap/>
            <w:vAlign w:val="center"/>
            <w:hideMark/>
          </w:tcPr>
          <w:p w14:paraId="2F068496"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556.6</w:t>
            </w:r>
          </w:p>
        </w:tc>
        <w:tc>
          <w:tcPr>
            <w:tcW w:w="408" w:type="pct"/>
            <w:tcBorders>
              <w:top w:val="nil"/>
              <w:left w:val="nil"/>
              <w:bottom w:val="nil"/>
              <w:right w:val="nil"/>
            </w:tcBorders>
            <w:shd w:val="clear" w:color="000000" w:fill="F2F9FC"/>
            <w:noWrap/>
            <w:vAlign w:val="center"/>
            <w:hideMark/>
          </w:tcPr>
          <w:p w14:paraId="28192B09"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547.6</w:t>
            </w:r>
          </w:p>
        </w:tc>
        <w:tc>
          <w:tcPr>
            <w:tcW w:w="408" w:type="pct"/>
            <w:tcBorders>
              <w:top w:val="nil"/>
              <w:left w:val="nil"/>
              <w:bottom w:val="nil"/>
              <w:right w:val="nil"/>
            </w:tcBorders>
            <w:shd w:val="clear" w:color="000000" w:fill="FFFFFF"/>
            <w:noWrap/>
            <w:vAlign w:val="center"/>
            <w:hideMark/>
          </w:tcPr>
          <w:p w14:paraId="6894C91D"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585.2</w:t>
            </w:r>
          </w:p>
        </w:tc>
        <w:tc>
          <w:tcPr>
            <w:tcW w:w="408" w:type="pct"/>
            <w:tcBorders>
              <w:top w:val="nil"/>
              <w:left w:val="nil"/>
              <w:bottom w:val="nil"/>
              <w:right w:val="nil"/>
            </w:tcBorders>
            <w:shd w:val="clear" w:color="000000" w:fill="FFFFFF"/>
            <w:noWrap/>
            <w:vAlign w:val="center"/>
            <w:hideMark/>
          </w:tcPr>
          <w:p w14:paraId="2EF45D5D"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615.2</w:t>
            </w:r>
          </w:p>
        </w:tc>
        <w:tc>
          <w:tcPr>
            <w:tcW w:w="408" w:type="pct"/>
            <w:tcBorders>
              <w:top w:val="nil"/>
              <w:left w:val="nil"/>
              <w:bottom w:val="nil"/>
              <w:right w:val="nil"/>
            </w:tcBorders>
            <w:shd w:val="clear" w:color="000000" w:fill="FFFFFF"/>
            <w:noWrap/>
            <w:vAlign w:val="center"/>
            <w:hideMark/>
          </w:tcPr>
          <w:p w14:paraId="6FAE8DFA"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643.9</w:t>
            </w:r>
          </w:p>
        </w:tc>
        <w:tc>
          <w:tcPr>
            <w:tcW w:w="60" w:type="pct"/>
            <w:tcBorders>
              <w:top w:val="nil"/>
              <w:left w:val="nil"/>
              <w:bottom w:val="nil"/>
              <w:right w:val="nil"/>
            </w:tcBorders>
            <w:shd w:val="clear" w:color="000000" w:fill="FFFFFF"/>
            <w:noWrap/>
            <w:vAlign w:val="center"/>
            <w:hideMark/>
          </w:tcPr>
          <w:p w14:paraId="16899DD1"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17" w:type="pct"/>
            <w:tcBorders>
              <w:top w:val="nil"/>
              <w:left w:val="nil"/>
              <w:bottom w:val="nil"/>
              <w:right w:val="nil"/>
            </w:tcBorders>
            <w:shd w:val="clear" w:color="000000" w:fill="FFFFFF"/>
            <w:noWrap/>
            <w:vAlign w:val="center"/>
            <w:hideMark/>
          </w:tcPr>
          <w:p w14:paraId="38782747"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2,392.0</w:t>
            </w:r>
          </w:p>
        </w:tc>
        <w:tc>
          <w:tcPr>
            <w:tcW w:w="73" w:type="pct"/>
            <w:tcBorders>
              <w:top w:val="nil"/>
              <w:left w:val="nil"/>
              <w:bottom w:val="nil"/>
              <w:right w:val="nil"/>
            </w:tcBorders>
            <w:shd w:val="clear" w:color="000000" w:fill="FFFFFF"/>
            <w:noWrap/>
            <w:vAlign w:val="center"/>
            <w:hideMark/>
          </w:tcPr>
          <w:p w14:paraId="7487AC27"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13E43A73" w14:textId="77777777" w:rsidR="00E96EC7" w:rsidRPr="00FD24B8" w:rsidRDefault="00E96EC7" w:rsidP="00E96EC7">
            <w:pPr>
              <w:spacing w:after="0" w:line="240" w:lineRule="auto"/>
              <w:jc w:val="right"/>
              <w:rPr>
                <w:rFonts w:ascii="Arial" w:hAnsi="Arial" w:cs="Arial"/>
                <w:b/>
                <w:sz w:val="16"/>
                <w:szCs w:val="16"/>
              </w:rPr>
            </w:pPr>
            <w:r w:rsidRPr="00FD24B8">
              <w:rPr>
                <w:rFonts w:ascii="Arial" w:hAnsi="Arial" w:cs="Arial"/>
                <w:b/>
                <w:sz w:val="16"/>
                <w:szCs w:val="16"/>
              </w:rPr>
              <w:t> </w:t>
            </w:r>
          </w:p>
        </w:tc>
      </w:tr>
      <w:tr w:rsidR="00C03E0F" w:rsidRPr="00131EBC" w14:paraId="19643EE6"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491DB02A"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16" w:type="pct"/>
            <w:tcBorders>
              <w:top w:val="nil"/>
              <w:left w:val="nil"/>
              <w:bottom w:val="nil"/>
              <w:right w:val="nil"/>
            </w:tcBorders>
            <w:shd w:val="clear" w:color="000000" w:fill="FFFFFF"/>
            <w:noWrap/>
            <w:vAlign w:val="center"/>
            <w:hideMark/>
          </w:tcPr>
          <w:p w14:paraId="12FC1D3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25.1</w:t>
            </w:r>
          </w:p>
        </w:tc>
        <w:tc>
          <w:tcPr>
            <w:tcW w:w="60" w:type="pct"/>
            <w:tcBorders>
              <w:top w:val="nil"/>
              <w:left w:val="nil"/>
              <w:bottom w:val="nil"/>
              <w:right w:val="nil"/>
            </w:tcBorders>
            <w:shd w:val="clear" w:color="000000" w:fill="FFFFFF"/>
            <w:noWrap/>
            <w:vAlign w:val="center"/>
            <w:hideMark/>
          </w:tcPr>
          <w:p w14:paraId="6CF8A3C9"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19B03EB2"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24.3</w:t>
            </w:r>
          </w:p>
        </w:tc>
        <w:tc>
          <w:tcPr>
            <w:tcW w:w="408" w:type="pct"/>
            <w:tcBorders>
              <w:top w:val="nil"/>
              <w:left w:val="nil"/>
              <w:bottom w:val="nil"/>
              <w:right w:val="nil"/>
            </w:tcBorders>
            <w:shd w:val="clear" w:color="000000" w:fill="F2F9FC"/>
            <w:noWrap/>
            <w:vAlign w:val="center"/>
            <w:hideMark/>
          </w:tcPr>
          <w:p w14:paraId="1962031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23.8</w:t>
            </w:r>
          </w:p>
        </w:tc>
        <w:tc>
          <w:tcPr>
            <w:tcW w:w="408" w:type="pct"/>
            <w:tcBorders>
              <w:top w:val="nil"/>
              <w:left w:val="nil"/>
              <w:bottom w:val="nil"/>
              <w:right w:val="nil"/>
            </w:tcBorders>
            <w:shd w:val="clear" w:color="000000" w:fill="FFFFFF"/>
            <w:noWrap/>
            <w:vAlign w:val="center"/>
            <w:hideMark/>
          </w:tcPr>
          <w:p w14:paraId="601C52D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24.7</w:t>
            </w:r>
          </w:p>
        </w:tc>
        <w:tc>
          <w:tcPr>
            <w:tcW w:w="408" w:type="pct"/>
            <w:tcBorders>
              <w:top w:val="nil"/>
              <w:left w:val="nil"/>
              <w:bottom w:val="nil"/>
              <w:right w:val="nil"/>
            </w:tcBorders>
            <w:shd w:val="clear" w:color="000000" w:fill="FFFFFF"/>
            <w:noWrap/>
            <w:vAlign w:val="center"/>
            <w:hideMark/>
          </w:tcPr>
          <w:p w14:paraId="39A27CF0"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24.7</w:t>
            </w:r>
          </w:p>
        </w:tc>
        <w:tc>
          <w:tcPr>
            <w:tcW w:w="408" w:type="pct"/>
            <w:tcBorders>
              <w:top w:val="nil"/>
              <w:left w:val="nil"/>
              <w:bottom w:val="nil"/>
              <w:right w:val="nil"/>
            </w:tcBorders>
            <w:shd w:val="clear" w:color="000000" w:fill="FFFFFF"/>
            <w:noWrap/>
            <w:vAlign w:val="center"/>
            <w:hideMark/>
          </w:tcPr>
          <w:p w14:paraId="299FC89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24.6</w:t>
            </w:r>
          </w:p>
        </w:tc>
        <w:tc>
          <w:tcPr>
            <w:tcW w:w="60" w:type="pct"/>
            <w:tcBorders>
              <w:top w:val="nil"/>
              <w:left w:val="nil"/>
              <w:bottom w:val="nil"/>
              <w:right w:val="nil"/>
            </w:tcBorders>
            <w:shd w:val="clear" w:color="000000" w:fill="FFFFFF"/>
            <w:noWrap/>
            <w:vAlign w:val="center"/>
            <w:hideMark/>
          </w:tcPr>
          <w:p w14:paraId="71DE6A8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7CA95637"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075D7D6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289FE6C1" w14:textId="13C21C53" w:rsidR="00E96EC7" w:rsidRPr="00FD24B8" w:rsidRDefault="00121EC5" w:rsidP="00E96EC7">
            <w:pPr>
              <w:spacing w:after="0" w:line="240" w:lineRule="auto"/>
              <w:jc w:val="right"/>
              <w:rPr>
                <w:rFonts w:ascii="Arial" w:hAnsi="Arial" w:cs="Arial"/>
                <w:sz w:val="16"/>
                <w:szCs w:val="16"/>
              </w:rPr>
            </w:pPr>
            <w:r w:rsidRPr="00FD24B8">
              <w:rPr>
                <w:rFonts w:ascii="Arial" w:hAnsi="Arial" w:cs="Arial"/>
                <w:sz w:val="16"/>
                <w:szCs w:val="16"/>
              </w:rPr>
              <w:t>25.8</w:t>
            </w:r>
            <w:r w:rsidR="00E96EC7" w:rsidRPr="00FD24B8">
              <w:rPr>
                <w:rFonts w:ascii="Arial" w:hAnsi="Arial" w:cs="Arial"/>
                <w:sz w:val="16"/>
                <w:szCs w:val="16"/>
              </w:rPr>
              <w:t> </w:t>
            </w:r>
          </w:p>
        </w:tc>
      </w:tr>
      <w:tr w:rsidR="00C03E0F" w:rsidRPr="00131EBC" w14:paraId="4292CE61" w14:textId="77777777" w:rsidTr="00E61D91">
        <w:trPr>
          <w:trHeight w:hRule="exact" w:val="60"/>
        </w:trPr>
        <w:tc>
          <w:tcPr>
            <w:tcW w:w="1401" w:type="pct"/>
            <w:tcBorders>
              <w:top w:val="nil"/>
              <w:left w:val="nil"/>
              <w:bottom w:val="nil"/>
              <w:right w:val="nil"/>
            </w:tcBorders>
            <w:shd w:val="clear" w:color="000000" w:fill="FFFFFF"/>
            <w:noWrap/>
            <w:vAlign w:val="center"/>
            <w:hideMark/>
          </w:tcPr>
          <w:p w14:paraId="35CDCDA7"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nil"/>
              <w:left w:val="nil"/>
              <w:bottom w:val="nil"/>
              <w:right w:val="nil"/>
            </w:tcBorders>
            <w:shd w:val="clear" w:color="000000" w:fill="FFFFFF"/>
            <w:noWrap/>
            <w:vAlign w:val="center"/>
            <w:hideMark/>
          </w:tcPr>
          <w:p w14:paraId="3357602D"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3A11766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4AF79E36"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2F9FC"/>
            <w:noWrap/>
            <w:vAlign w:val="center"/>
            <w:hideMark/>
          </w:tcPr>
          <w:p w14:paraId="187D6D30"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1ED28FAC"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0EDE8D0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0AD533B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302CC13A"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3FFDA330"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006A4F7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097758B5" w14:textId="77777777" w:rsidR="00E96EC7" w:rsidRPr="00FD24B8" w:rsidRDefault="00E96EC7" w:rsidP="00E96EC7">
            <w:pPr>
              <w:spacing w:after="0" w:line="240" w:lineRule="auto"/>
              <w:jc w:val="right"/>
              <w:rPr>
                <w:rFonts w:ascii="Arial" w:hAnsi="Arial" w:cs="Arial"/>
                <w:sz w:val="16"/>
                <w:szCs w:val="16"/>
              </w:rPr>
            </w:pPr>
            <w:r w:rsidRPr="00FD24B8">
              <w:rPr>
                <w:rFonts w:ascii="Arial" w:hAnsi="Arial" w:cs="Arial"/>
                <w:sz w:val="16"/>
                <w:szCs w:val="16"/>
              </w:rPr>
              <w:t> </w:t>
            </w:r>
          </w:p>
        </w:tc>
      </w:tr>
      <w:tr w:rsidR="00C03E0F" w:rsidRPr="00131EBC" w14:paraId="7B791CCF"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15042E2E" w14:textId="77777777" w:rsidR="00E96EC7" w:rsidRPr="00131EBC" w:rsidRDefault="00E96EC7" w:rsidP="00E96EC7">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Tax receipts</w:t>
            </w:r>
          </w:p>
        </w:tc>
        <w:tc>
          <w:tcPr>
            <w:tcW w:w="416" w:type="pct"/>
            <w:tcBorders>
              <w:top w:val="nil"/>
              <w:left w:val="nil"/>
              <w:bottom w:val="nil"/>
              <w:right w:val="nil"/>
            </w:tcBorders>
            <w:shd w:val="clear" w:color="000000" w:fill="FFFFFF"/>
            <w:noWrap/>
            <w:vAlign w:val="center"/>
            <w:hideMark/>
          </w:tcPr>
          <w:p w14:paraId="5C6C48B7"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473.9</w:t>
            </w:r>
          </w:p>
        </w:tc>
        <w:tc>
          <w:tcPr>
            <w:tcW w:w="60" w:type="pct"/>
            <w:tcBorders>
              <w:top w:val="nil"/>
              <w:left w:val="nil"/>
              <w:bottom w:val="nil"/>
              <w:right w:val="nil"/>
            </w:tcBorders>
            <w:shd w:val="clear" w:color="000000" w:fill="FFFFFF"/>
            <w:noWrap/>
            <w:vAlign w:val="center"/>
            <w:hideMark/>
          </w:tcPr>
          <w:p w14:paraId="412E828D"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30532E8B"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512.5</w:t>
            </w:r>
          </w:p>
        </w:tc>
        <w:tc>
          <w:tcPr>
            <w:tcW w:w="408" w:type="pct"/>
            <w:tcBorders>
              <w:top w:val="nil"/>
              <w:left w:val="nil"/>
              <w:bottom w:val="nil"/>
              <w:right w:val="nil"/>
            </w:tcBorders>
            <w:shd w:val="clear" w:color="000000" w:fill="F2F9FC"/>
            <w:noWrap/>
            <w:vAlign w:val="center"/>
            <w:hideMark/>
          </w:tcPr>
          <w:p w14:paraId="022D63BD"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508.4</w:t>
            </w:r>
          </w:p>
        </w:tc>
        <w:tc>
          <w:tcPr>
            <w:tcW w:w="408" w:type="pct"/>
            <w:tcBorders>
              <w:top w:val="nil"/>
              <w:left w:val="nil"/>
              <w:bottom w:val="nil"/>
              <w:right w:val="nil"/>
            </w:tcBorders>
            <w:shd w:val="clear" w:color="000000" w:fill="FFFFFF"/>
            <w:noWrap/>
            <w:vAlign w:val="center"/>
            <w:hideMark/>
          </w:tcPr>
          <w:p w14:paraId="225809F3"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541.8</w:t>
            </w:r>
          </w:p>
        </w:tc>
        <w:tc>
          <w:tcPr>
            <w:tcW w:w="408" w:type="pct"/>
            <w:tcBorders>
              <w:top w:val="nil"/>
              <w:left w:val="nil"/>
              <w:bottom w:val="nil"/>
              <w:right w:val="nil"/>
            </w:tcBorders>
            <w:shd w:val="clear" w:color="000000" w:fill="FFFFFF"/>
            <w:noWrap/>
            <w:vAlign w:val="center"/>
            <w:hideMark/>
          </w:tcPr>
          <w:p w14:paraId="26828347"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566.6</w:t>
            </w:r>
          </w:p>
        </w:tc>
        <w:tc>
          <w:tcPr>
            <w:tcW w:w="408" w:type="pct"/>
            <w:tcBorders>
              <w:top w:val="nil"/>
              <w:left w:val="nil"/>
              <w:bottom w:val="nil"/>
              <w:right w:val="nil"/>
            </w:tcBorders>
            <w:shd w:val="clear" w:color="000000" w:fill="FFFFFF"/>
            <w:noWrap/>
            <w:vAlign w:val="center"/>
            <w:hideMark/>
          </w:tcPr>
          <w:p w14:paraId="77F2F6A8"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598.2</w:t>
            </w:r>
          </w:p>
        </w:tc>
        <w:tc>
          <w:tcPr>
            <w:tcW w:w="60" w:type="pct"/>
            <w:tcBorders>
              <w:top w:val="nil"/>
              <w:left w:val="nil"/>
              <w:bottom w:val="nil"/>
              <w:right w:val="nil"/>
            </w:tcBorders>
            <w:shd w:val="clear" w:color="000000" w:fill="FFFFFF"/>
            <w:noWrap/>
            <w:vAlign w:val="center"/>
            <w:hideMark/>
          </w:tcPr>
          <w:p w14:paraId="3EED9041"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17" w:type="pct"/>
            <w:tcBorders>
              <w:top w:val="nil"/>
              <w:left w:val="nil"/>
              <w:bottom w:val="nil"/>
              <w:right w:val="nil"/>
            </w:tcBorders>
            <w:shd w:val="clear" w:color="000000" w:fill="FFFFFF"/>
            <w:noWrap/>
            <w:vAlign w:val="center"/>
            <w:hideMark/>
          </w:tcPr>
          <w:p w14:paraId="3AC3E5F4"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2,215.0</w:t>
            </w:r>
          </w:p>
        </w:tc>
        <w:tc>
          <w:tcPr>
            <w:tcW w:w="73" w:type="pct"/>
            <w:tcBorders>
              <w:top w:val="nil"/>
              <w:left w:val="nil"/>
              <w:bottom w:val="nil"/>
              <w:right w:val="nil"/>
            </w:tcBorders>
            <w:shd w:val="clear" w:color="000000" w:fill="FFFFFF"/>
            <w:noWrap/>
            <w:vAlign w:val="center"/>
            <w:hideMark/>
          </w:tcPr>
          <w:p w14:paraId="0859A167"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7191A523" w14:textId="77777777" w:rsidR="00E96EC7" w:rsidRPr="00FD24B8" w:rsidRDefault="00E96EC7" w:rsidP="00E96EC7">
            <w:pPr>
              <w:spacing w:after="0" w:line="240" w:lineRule="auto"/>
              <w:jc w:val="right"/>
              <w:rPr>
                <w:rFonts w:ascii="Arial" w:hAnsi="Arial" w:cs="Arial"/>
                <w:b/>
                <w:sz w:val="16"/>
                <w:szCs w:val="16"/>
              </w:rPr>
            </w:pPr>
            <w:r w:rsidRPr="00FD24B8">
              <w:rPr>
                <w:rFonts w:ascii="Arial" w:hAnsi="Arial" w:cs="Arial"/>
                <w:b/>
                <w:sz w:val="16"/>
                <w:szCs w:val="16"/>
              </w:rPr>
              <w:t> </w:t>
            </w:r>
          </w:p>
        </w:tc>
      </w:tr>
      <w:tr w:rsidR="00C03E0F" w:rsidRPr="00131EBC" w14:paraId="6AFF15BE"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70531D05" w14:textId="77777777" w:rsidR="00E96EC7" w:rsidRPr="00131EBC" w:rsidRDefault="00E96EC7" w:rsidP="00E96EC7">
            <w:pPr>
              <w:spacing w:after="0" w:line="240" w:lineRule="auto"/>
              <w:ind w:left="170"/>
              <w:jc w:val="left"/>
              <w:rPr>
                <w:rFonts w:ascii="Arial" w:hAnsi="Arial" w:cs="Arial"/>
                <w:sz w:val="16"/>
                <w:szCs w:val="16"/>
                <w:highlight w:val="darkCyan"/>
              </w:rPr>
            </w:pPr>
            <w:r w:rsidRPr="00FD24B8">
              <w:rPr>
                <w:rFonts w:ascii="Arial" w:hAnsi="Arial" w:cs="Arial"/>
                <w:sz w:val="16"/>
                <w:szCs w:val="16"/>
              </w:rPr>
              <w:t>Per cent of GDP</w:t>
            </w:r>
          </w:p>
        </w:tc>
        <w:tc>
          <w:tcPr>
            <w:tcW w:w="416" w:type="pct"/>
            <w:tcBorders>
              <w:top w:val="nil"/>
              <w:left w:val="nil"/>
              <w:bottom w:val="nil"/>
              <w:right w:val="nil"/>
            </w:tcBorders>
            <w:shd w:val="clear" w:color="000000" w:fill="FFFFFF"/>
            <w:noWrap/>
            <w:vAlign w:val="center"/>
            <w:hideMark/>
          </w:tcPr>
          <w:p w14:paraId="3F8D3157"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22.9</w:t>
            </w:r>
          </w:p>
        </w:tc>
        <w:tc>
          <w:tcPr>
            <w:tcW w:w="60" w:type="pct"/>
            <w:tcBorders>
              <w:top w:val="nil"/>
              <w:left w:val="nil"/>
              <w:bottom w:val="nil"/>
              <w:right w:val="nil"/>
            </w:tcBorders>
            <w:shd w:val="clear" w:color="000000" w:fill="FFFFFF"/>
            <w:noWrap/>
            <w:vAlign w:val="center"/>
            <w:hideMark/>
          </w:tcPr>
          <w:p w14:paraId="26AABF6F"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7F7EBD3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22.4</w:t>
            </w:r>
          </w:p>
        </w:tc>
        <w:tc>
          <w:tcPr>
            <w:tcW w:w="408" w:type="pct"/>
            <w:tcBorders>
              <w:top w:val="nil"/>
              <w:left w:val="nil"/>
              <w:bottom w:val="nil"/>
              <w:right w:val="nil"/>
            </w:tcBorders>
            <w:shd w:val="clear" w:color="000000" w:fill="F2F9FC"/>
            <w:noWrap/>
            <w:vAlign w:val="center"/>
            <w:hideMark/>
          </w:tcPr>
          <w:p w14:paraId="3C2DFA8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22.1</w:t>
            </w:r>
          </w:p>
        </w:tc>
        <w:tc>
          <w:tcPr>
            <w:tcW w:w="408" w:type="pct"/>
            <w:tcBorders>
              <w:top w:val="nil"/>
              <w:left w:val="nil"/>
              <w:bottom w:val="nil"/>
              <w:right w:val="nil"/>
            </w:tcBorders>
            <w:shd w:val="clear" w:color="000000" w:fill="FFFFFF"/>
            <w:noWrap/>
            <w:vAlign w:val="center"/>
            <w:hideMark/>
          </w:tcPr>
          <w:p w14:paraId="4AF0667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22.9</w:t>
            </w:r>
          </w:p>
        </w:tc>
        <w:tc>
          <w:tcPr>
            <w:tcW w:w="408" w:type="pct"/>
            <w:tcBorders>
              <w:top w:val="nil"/>
              <w:left w:val="nil"/>
              <w:bottom w:val="nil"/>
              <w:right w:val="nil"/>
            </w:tcBorders>
            <w:shd w:val="clear" w:color="000000" w:fill="FFFFFF"/>
            <w:noWrap/>
            <w:vAlign w:val="center"/>
            <w:hideMark/>
          </w:tcPr>
          <w:p w14:paraId="03975B7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22.8</w:t>
            </w:r>
          </w:p>
        </w:tc>
        <w:tc>
          <w:tcPr>
            <w:tcW w:w="408" w:type="pct"/>
            <w:tcBorders>
              <w:top w:val="nil"/>
              <w:left w:val="nil"/>
              <w:bottom w:val="nil"/>
              <w:right w:val="nil"/>
            </w:tcBorders>
            <w:shd w:val="clear" w:color="000000" w:fill="FFFFFF"/>
            <w:noWrap/>
            <w:vAlign w:val="center"/>
            <w:hideMark/>
          </w:tcPr>
          <w:p w14:paraId="609BB5B9"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22.9</w:t>
            </w:r>
          </w:p>
        </w:tc>
        <w:tc>
          <w:tcPr>
            <w:tcW w:w="60" w:type="pct"/>
            <w:tcBorders>
              <w:top w:val="nil"/>
              <w:left w:val="nil"/>
              <w:bottom w:val="nil"/>
              <w:right w:val="nil"/>
            </w:tcBorders>
            <w:shd w:val="clear" w:color="000000" w:fill="FFFFFF"/>
            <w:noWrap/>
            <w:vAlign w:val="center"/>
            <w:hideMark/>
          </w:tcPr>
          <w:p w14:paraId="50975279"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17" w:type="pct"/>
            <w:tcBorders>
              <w:top w:val="nil"/>
              <w:left w:val="nil"/>
              <w:bottom w:val="nil"/>
              <w:right w:val="nil"/>
            </w:tcBorders>
            <w:shd w:val="clear" w:color="000000" w:fill="FFFFFF"/>
            <w:noWrap/>
            <w:vAlign w:val="center"/>
            <w:hideMark/>
          </w:tcPr>
          <w:p w14:paraId="5843C4BF"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3ADFB69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336CAB94" w14:textId="195F88D8" w:rsidR="00E96EC7" w:rsidRPr="00FD24B8" w:rsidRDefault="00121EC5" w:rsidP="00E96EC7">
            <w:pPr>
              <w:spacing w:after="0" w:line="240" w:lineRule="auto"/>
              <w:jc w:val="right"/>
              <w:rPr>
                <w:rFonts w:ascii="Arial" w:hAnsi="Arial" w:cs="Arial"/>
                <w:sz w:val="16"/>
                <w:szCs w:val="16"/>
              </w:rPr>
            </w:pPr>
            <w:r w:rsidRPr="00FD24B8">
              <w:rPr>
                <w:rFonts w:ascii="Arial" w:hAnsi="Arial" w:cs="Arial"/>
                <w:sz w:val="16"/>
                <w:szCs w:val="16"/>
              </w:rPr>
              <w:t>23.9</w:t>
            </w:r>
            <w:r w:rsidR="00E96EC7" w:rsidRPr="00FD24B8">
              <w:rPr>
                <w:rFonts w:ascii="Arial" w:hAnsi="Arial" w:cs="Arial"/>
                <w:sz w:val="16"/>
                <w:szCs w:val="16"/>
              </w:rPr>
              <w:t> </w:t>
            </w:r>
          </w:p>
        </w:tc>
      </w:tr>
      <w:tr w:rsidR="00C03E0F" w:rsidRPr="00131EBC" w14:paraId="47D61E11" w14:textId="77777777" w:rsidTr="00E61D91">
        <w:trPr>
          <w:trHeight w:hRule="exact" w:val="60"/>
        </w:trPr>
        <w:tc>
          <w:tcPr>
            <w:tcW w:w="1401" w:type="pct"/>
            <w:tcBorders>
              <w:top w:val="nil"/>
              <w:left w:val="nil"/>
              <w:bottom w:val="nil"/>
              <w:right w:val="nil"/>
            </w:tcBorders>
            <w:shd w:val="clear" w:color="000000" w:fill="FFFFFF"/>
            <w:noWrap/>
            <w:vAlign w:val="center"/>
            <w:hideMark/>
          </w:tcPr>
          <w:p w14:paraId="56F21714"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nil"/>
              <w:left w:val="nil"/>
              <w:bottom w:val="nil"/>
              <w:right w:val="nil"/>
            </w:tcBorders>
            <w:shd w:val="clear" w:color="000000" w:fill="FFFFFF"/>
            <w:noWrap/>
            <w:vAlign w:val="center"/>
            <w:hideMark/>
          </w:tcPr>
          <w:p w14:paraId="206C3A40"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60" w:type="pct"/>
            <w:tcBorders>
              <w:top w:val="nil"/>
              <w:left w:val="nil"/>
              <w:bottom w:val="nil"/>
              <w:right w:val="nil"/>
            </w:tcBorders>
            <w:shd w:val="clear" w:color="000000" w:fill="FFFFFF"/>
            <w:noWrap/>
            <w:vAlign w:val="center"/>
            <w:hideMark/>
          </w:tcPr>
          <w:p w14:paraId="730376DF"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66F4501B"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08" w:type="pct"/>
            <w:tcBorders>
              <w:top w:val="nil"/>
              <w:left w:val="nil"/>
              <w:bottom w:val="nil"/>
              <w:right w:val="nil"/>
            </w:tcBorders>
            <w:shd w:val="clear" w:color="000000" w:fill="F2F9FC"/>
            <w:noWrap/>
            <w:vAlign w:val="center"/>
            <w:hideMark/>
          </w:tcPr>
          <w:p w14:paraId="45B208D4"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08" w:type="pct"/>
            <w:tcBorders>
              <w:top w:val="nil"/>
              <w:left w:val="nil"/>
              <w:bottom w:val="nil"/>
              <w:right w:val="nil"/>
            </w:tcBorders>
            <w:shd w:val="clear" w:color="000000" w:fill="FFFFFF"/>
            <w:noWrap/>
            <w:vAlign w:val="center"/>
            <w:hideMark/>
          </w:tcPr>
          <w:p w14:paraId="5A0991DE"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08" w:type="pct"/>
            <w:tcBorders>
              <w:top w:val="nil"/>
              <w:left w:val="nil"/>
              <w:bottom w:val="nil"/>
              <w:right w:val="nil"/>
            </w:tcBorders>
            <w:shd w:val="clear" w:color="000000" w:fill="FFFFFF"/>
            <w:noWrap/>
            <w:vAlign w:val="center"/>
            <w:hideMark/>
          </w:tcPr>
          <w:p w14:paraId="3C2DDE38"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08" w:type="pct"/>
            <w:tcBorders>
              <w:top w:val="nil"/>
              <w:left w:val="nil"/>
              <w:bottom w:val="nil"/>
              <w:right w:val="nil"/>
            </w:tcBorders>
            <w:shd w:val="clear" w:color="000000" w:fill="FFFFFF"/>
            <w:noWrap/>
            <w:vAlign w:val="center"/>
            <w:hideMark/>
          </w:tcPr>
          <w:p w14:paraId="46B2EBC0"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60" w:type="pct"/>
            <w:tcBorders>
              <w:top w:val="nil"/>
              <w:left w:val="nil"/>
              <w:bottom w:val="nil"/>
              <w:right w:val="nil"/>
            </w:tcBorders>
            <w:shd w:val="clear" w:color="000000" w:fill="FFFFFF"/>
            <w:noWrap/>
            <w:vAlign w:val="center"/>
            <w:hideMark/>
          </w:tcPr>
          <w:p w14:paraId="590B03AF"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17" w:type="pct"/>
            <w:tcBorders>
              <w:top w:val="nil"/>
              <w:left w:val="nil"/>
              <w:bottom w:val="nil"/>
              <w:right w:val="nil"/>
            </w:tcBorders>
            <w:shd w:val="clear" w:color="000000" w:fill="FFFFFF"/>
            <w:noWrap/>
            <w:vAlign w:val="center"/>
            <w:hideMark/>
          </w:tcPr>
          <w:p w14:paraId="16992FBC"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0DC90D00"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75047A56" w14:textId="77777777" w:rsidR="00E96EC7" w:rsidRPr="00FD24B8" w:rsidRDefault="00E96EC7" w:rsidP="00E96EC7">
            <w:pPr>
              <w:spacing w:after="0" w:line="240" w:lineRule="auto"/>
              <w:jc w:val="right"/>
              <w:rPr>
                <w:rFonts w:ascii="Arial" w:hAnsi="Arial" w:cs="Arial"/>
                <w:sz w:val="16"/>
                <w:szCs w:val="16"/>
              </w:rPr>
            </w:pPr>
            <w:r w:rsidRPr="00FD24B8">
              <w:rPr>
                <w:rFonts w:ascii="Arial" w:hAnsi="Arial" w:cs="Arial"/>
                <w:sz w:val="16"/>
                <w:szCs w:val="16"/>
              </w:rPr>
              <w:t> </w:t>
            </w:r>
          </w:p>
        </w:tc>
      </w:tr>
      <w:tr w:rsidR="00C03E0F" w:rsidRPr="00131EBC" w14:paraId="6D883F2D"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7C4C5082" w14:textId="3B534E8F" w:rsidR="00E96EC7" w:rsidRPr="00131EBC" w:rsidRDefault="00E96EC7" w:rsidP="00E96EC7">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Non</w:t>
            </w:r>
            <w:r w:rsidR="0031144A" w:rsidRPr="00FD24B8">
              <w:rPr>
                <w:rFonts w:ascii="Arial" w:hAnsi="Arial" w:cs="Arial"/>
                <w:b/>
                <w:sz w:val="16"/>
                <w:szCs w:val="16"/>
              </w:rPr>
              <w:noBreakHyphen/>
            </w:r>
            <w:r w:rsidRPr="00FD24B8">
              <w:rPr>
                <w:rFonts w:ascii="Arial" w:hAnsi="Arial" w:cs="Arial"/>
                <w:b/>
                <w:sz w:val="16"/>
                <w:szCs w:val="16"/>
              </w:rPr>
              <w:t>tax receipts</w:t>
            </w:r>
          </w:p>
        </w:tc>
        <w:tc>
          <w:tcPr>
            <w:tcW w:w="416" w:type="pct"/>
            <w:tcBorders>
              <w:top w:val="nil"/>
              <w:left w:val="nil"/>
              <w:bottom w:val="nil"/>
              <w:right w:val="nil"/>
            </w:tcBorders>
            <w:shd w:val="clear" w:color="000000" w:fill="FFFFFF"/>
            <w:noWrap/>
            <w:vAlign w:val="center"/>
            <w:hideMark/>
          </w:tcPr>
          <w:p w14:paraId="16B97F5E"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46.1</w:t>
            </w:r>
          </w:p>
        </w:tc>
        <w:tc>
          <w:tcPr>
            <w:tcW w:w="60" w:type="pct"/>
            <w:tcBorders>
              <w:top w:val="nil"/>
              <w:left w:val="nil"/>
              <w:bottom w:val="nil"/>
              <w:right w:val="nil"/>
            </w:tcBorders>
            <w:shd w:val="clear" w:color="000000" w:fill="FFFFFF"/>
            <w:noWrap/>
            <w:vAlign w:val="center"/>
            <w:hideMark/>
          </w:tcPr>
          <w:p w14:paraId="6558019A"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7C426395"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44.1</w:t>
            </w:r>
          </w:p>
        </w:tc>
        <w:tc>
          <w:tcPr>
            <w:tcW w:w="408" w:type="pct"/>
            <w:tcBorders>
              <w:top w:val="nil"/>
              <w:left w:val="nil"/>
              <w:bottom w:val="nil"/>
              <w:right w:val="nil"/>
            </w:tcBorders>
            <w:shd w:val="clear" w:color="000000" w:fill="F2F9FC"/>
            <w:noWrap/>
            <w:vAlign w:val="center"/>
            <w:hideMark/>
          </w:tcPr>
          <w:p w14:paraId="19F347E3"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39.2</w:t>
            </w:r>
          </w:p>
        </w:tc>
        <w:tc>
          <w:tcPr>
            <w:tcW w:w="408" w:type="pct"/>
            <w:tcBorders>
              <w:top w:val="nil"/>
              <w:left w:val="nil"/>
              <w:bottom w:val="nil"/>
              <w:right w:val="nil"/>
            </w:tcBorders>
            <w:shd w:val="clear" w:color="000000" w:fill="FFFFFF"/>
            <w:noWrap/>
            <w:vAlign w:val="center"/>
            <w:hideMark/>
          </w:tcPr>
          <w:p w14:paraId="25199394"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43.5</w:t>
            </w:r>
          </w:p>
        </w:tc>
        <w:tc>
          <w:tcPr>
            <w:tcW w:w="408" w:type="pct"/>
            <w:tcBorders>
              <w:top w:val="nil"/>
              <w:left w:val="nil"/>
              <w:bottom w:val="nil"/>
              <w:right w:val="nil"/>
            </w:tcBorders>
            <w:shd w:val="clear" w:color="000000" w:fill="FFFFFF"/>
            <w:noWrap/>
            <w:vAlign w:val="center"/>
            <w:hideMark/>
          </w:tcPr>
          <w:p w14:paraId="613F4C83"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48.6</w:t>
            </w:r>
          </w:p>
        </w:tc>
        <w:tc>
          <w:tcPr>
            <w:tcW w:w="408" w:type="pct"/>
            <w:tcBorders>
              <w:top w:val="nil"/>
              <w:left w:val="nil"/>
              <w:bottom w:val="nil"/>
              <w:right w:val="nil"/>
            </w:tcBorders>
            <w:shd w:val="clear" w:color="000000" w:fill="FFFFFF"/>
            <w:noWrap/>
            <w:vAlign w:val="center"/>
            <w:hideMark/>
          </w:tcPr>
          <w:p w14:paraId="54671CD3"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45.7</w:t>
            </w:r>
          </w:p>
        </w:tc>
        <w:tc>
          <w:tcPr>
            <w:tcW w:w="60" w:type="pct"/>
            <w:tcBorders>
              <w:top w:val="nil"/>
              <w:left w:val="nil"/>
              <w:bottom w:val="nil"/>
              <w:right w:val="nil"/>
            </w:tcBorders>
            <w:shd w:val="clear" w:color="000000" w:fill="FFFFFF"/>
            <w:noWrap/>
            <w:vAlign w:val="center"/>
            <w:hideMark/>
          </w:tcPr>
          <w:p w14:paraId="12C99F53"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17" w:type="pct"/>
            <w:tcBorders>
              <w:top w:val="nil"/>
              <w:left w:val="nil"/>
              <w:bottom w:val="nil"/>
              <w:right w:val="nil"/>
            </w:tcBorders>
            <w:shd w:val="clear" w:color="000000" w:fill="FFFFFF"/>
            <w:noWrap/>
            <w:vAlign w:val="center"/>
            <w:hideMark/>
          </w:tcPr>
          <w:p w14:paraId="5BF1F05E"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177.0</w:t>
            </w:r>
          </w:p>
        </w:tc>
        <w:tc>
          <w:tcPr>
            <w:tcW w:w="73" w:type="pct"/>
            <w:tcBorders>
              <w:top w:val="nil"/>
              <w:left w:val="nil"/>
              <w:bottom w:val="nil"/>
              <w:right w:val="nil"/>
            </w:tcBorders>
            <w:shd w:val="clear" w:color="000000" w:fill="FFFFFF"/>
            <w:noWrap/>
            <w:vAlign w:val="center"/>
            <w:hideMark/>
          </w:tcPr>
          <w:p w14:paraId="6B9F2F58"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54E84412" w14:textId="77777777" w:rsidR="00E96EC7" w:rsidRPr="00FD24B8" w:rsidRDefault="00E96EC7" w:rsidP="00E96EC7">
            <w:pPr>
              <w:spacing w:after="0" w:line="240" w:lineRule="auto"/>
              <w:jc w:val="right"/>
              <w:rPr>
                <w:rFonts w:ascii="Arial" w:hAnsi="Arial" w:cs="Arial"/>
                <w:b/>
                <w:sz w:val="16"/>
                <w:szCs w:val="16"/>
              </w:rPr>
            </w:pPr>
            <w:r w:rsidRPr="00FD24B8">
              <w:rPr>
                <w:rFonts w:ascii="Arial" w:hAnsi="Arial" w:cs="Arial"/>
                <w:b/>
                <w:sz w:val="16"/>
                <w:szCs w:val="16"/>
              </w:rPr>
              <w:t> </w:t>
            </w:r>
          </w:p>
        </w:tc>
      </w:tr>
      <w:tr w:rsidR="00C03E0F" w:rsidRPr="00131EBC" w14:paraId="50A3B976"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1EEC9CFB" w14:textId="77777777" w:rsidR="00E96EC7" w:rsidRPr="00131EBC" w:rsidRDefault="00E96EC7" w:rsidP="00E96EC7">
            <w:pPr>
              <w:spacing w:after="0" w:line="240" w:lineRule="auto"/>
              <w:ind w:left="170"/>
              <w:jc w:val="left"/>
              <w:rPr>
                <w:rFonts w:ascii="Arial" w:hAnsi="Arial" w:cs="Arial"/>
                <w:sz w:val="16"/>
                <w:szCs w:val="16"/>
                <w:highlight w:val="darkCyan"/>
              </w:rPr>
            </w:pPr>
            <w:r w:rsidRPr="00FD24B8">
              <w:rPr>
                <w:rFonts w:ascii="Arial" w:hAnsi="Arial" w:cs="Arial"/>
                <w:sz w:val="16"/>
                <w:szCs w:val="16"/>
              </w:rPr>
              <w:t>Per cent of GDP</w:t>
            </w:r>
          </w:p>
        </w:tc>
        <w:tc>
          <w:tcPr>
            <w:tcW w:w="416" w:type="pct"/>
            <w:tcBorders>
              <w:top w:val="nil"/>
              <w:left w:val="nil"/>
              <w:bottom w:val="nil"/>
              <w:right w:val="nil"/>
            </w:tcBorders>
            <w:shd w:val="clear" w:color="000000" w:fill="FFFFFF"/>
            <w:noWrap/>
            <w:vAlign w:val="center"/>
            <w:hideMark/>
          </w:tcPr>
          <w:p w14:paraId="764F17EE"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2.2</w:t>
            </w:r>
          </w:p>
        </w:tc>
        <w:tc>
          <w:tcPr>
            <w:tcW w:w="60" w:type="pct"/>
            <w:tcBorders>
              <w:top w:val="nil"/>
              <w:left w:val="nil"/>
              <w:bottom w:val="nil"/>
              <w:right w:val="nil"/>
            </w:tcBorders>
            <w:shd w:val="clear" w:color="000000" w:fill="FFFFFF"/>
            <w:noWrap/>
            <w:vAlign w:val="center"/>
            <w:hideMark/>
          </w:tcPr>
          <w:p w14:paraId="535601FE"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259742EB"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1.9</w:t>
            </w:r>
          </w:p>
        </w:tc>
        <w:tc>
          <w:tcPr>
            <w:tcW w:w="408" w:type="pct"/>
            <w:tcBorders>
              <w:top w:val="nil"/>
              <w:left w:val="nil"/>
              <w:bottom w:val="nil"/>
              <w:right w:val="nil"/>
            </w:tcBorders>
            <w:shd w:val="clear" w:color="000000" w:fill="F2F9FC"/>
            <w:noWrap/>
            <w:vAlign w:val="center"/>
            <w:hideMark/>
          </w:tcPr>
          <w:p w14:paraId="36EEFC7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1.7</w:t>
            </w:r>
          </w:p>
        </w:tc>
        <w:tc>
          <w:tcPr>
            <w:tcW w:w="408" w:type="pct"/>
            <w:tcBorders>
              <w:top w:val="nil"/>
              <w:left w:val="nil"/>
              <w:bottom w:val="nil"/>
              <w:right w:val="nil"/>
            </w:tcBorders>
            <w:shd w:val="clear" w:color="000000" w:fill="FFFFFF"/>
            <w:noWrap/>
            <w:vAlign w:val="center"/>
            <w:hideMark/>
          </w:tcPr>
          <w:p w14:paraId="0957A1C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1.8</w:t>
            </w:r>
          </w:p>
        </w:tc>
        <w:tc>
          <w:tcPr>
            <w:tcW w:w="408" w:type="pct"/>
            <w:tcBorders>
              <w:top w:val="nil"/>
              <w:left w:val="nil"/>
              <w:bottom w:val="nil"/>
              <w:right w:val="nil"/>
            </w:tcBorders>
            <w:shd w:val="clear" w:color="000000" w:fill="FFFFFF"/>
            <w:noWrap/>
            <w:vAlign w:val="center"/>
            <w:hideMark/>
          </w:tcPr>
          <w:p w14:paraId="01E5BBD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2.0</w:t>
            </w:r>
          </w:p>
        </w:tc>
        <w:tc>
          <w:tcPr>
            <w:tcW w:w="408" w:type="pct"/>
            <w:tcBorders>
              <w:top w:val="nil"/>
              <w:left w:val="nil"/>
              <w:bottom w:val="nil"/>
              <w:right w:val="nil"/>
            </w:tcBorders>
            <w:shd w:val="clear" w:color="000000" w:fill="FFFFFF"/>
            <w:noWrap/>
            <w:vAlign w:val="center"/>
            <w:hideMark/>
          </w:tcPr>
          <w:p w14:paraId="6562EBB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1.7</w:t>
            </w:r>
          </w:p>
        </w:tc>
        <w:tc>
          <w:tcPr>
            <w:tcW w:w="60" w:type="pct"/>
            <w:tcBorders>
              <w:top w:val="nil"/>
              <w:left w:val="nil"/>
              <w:bottom w:val="nil"/>
              <w:right w:val="nil"/>
            </w:tcBorders>
            <w:shd w:val="clear" w:color="000000" w:fill="FFFFFF"/>
            <w:noWrap/>
            <w:vAlign w:val="center"/>
            <w:hideMark/>
          </w:tcPr>
          <w:p w14:paraId="1EF97419"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17" w:type="pct"/>
            <w:tcBorders>
              <w:top w:val="nil"/>
              <w:left w:val="nil"/>
              <w:bottom w:val="nil"/>
              <w:right w:val="nil"/>
            </w:tcBorders>
            <w:shd w:val="clear" w:color="000000" w:fill="FFFFFF"/>
            <w:noWrap/>
            <w:vAlign w:val="center"/>
            <w:hideMark/>
          </w:tcPr>
          <w:p w14:paraId="62E7986E"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69CF9A6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5C62AD6B" w14:textId="6645E460" w:rsidR="00E96EC7" w:rsidRPr="00FD24B8" w:rsidRDefault="00121EC5" w:rsidP="00E96EC7">
            <w:pPr>
              <w:spacing w:after="0" w:line="240" w:lineRule="auto"/>
              <w:jc w:val="right"/>
              <w:rPr>
                <w:rFonts w:ascii="Arial" w:hAnsi="Arial" w:cs="Arial"/>
                <w:sz w:val="16"/>
                <w:szCs w:val="16"/>
              </w:rPr>
            </w:pPr>
            <w:r w:rsidRPr="00FD24B8">
              <w:rPr>
                <w:rFonts w:ascii="Arial" w:hAnsi="Arial" w:cs="Arial"/>
                <w:sz w:val="16"/>
                <w:szCs w:val="16"/>
              </w:rPr>
              <w:t>1.9</w:t>
            </w:r>
            <w:r w:rsidR="00E96EC7" w:rsidRPr="00FD24B8">
              <w:rPr>
                <w:rFonts w:ascii="Arial" w:hAnsi="Arial" w:cs="Arial"/>
                <w:sz w:val="16"/>
                <w:szCs w:val="16"/>
              </w:rPr>
              <w:t> </w:t>
            </w:r>
          </w:p>
        </w:tc>
      </w:tr>
      <w:tr w:rsidR="00C03E0F" w:rsidRPr="00131EBC" w14:paraId="769F380F" w14:textId="77777777" w:rsidTr="00E61D91">
        <w:trPr>
          <w:trHeight w:hRule="exact" w:val="60"/>
        </w:trPr>
        <w:tc>
          <w:tcPr>
            <w:tcW w:w="1401" w:type="pct"/>
            <w:tcBorders>
              <w:top w:val="nil"/>
              <w:left w:val="nil"/>
              <w:bottom w:val="nil"/>
              <w:right w:val="nil"/>
            </w:tcBorders>
            <w:shd w:val="clear" w:color="000000" w:fill="FFFFFF"/>
            <w:noWrap/>
            <w:vAlign w:val="center"/>
            <w:hideMark/>
          </w:tcPr>
          <w:p w14:paraId="340ECAAB"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nil"/>
              <w:left w:val="nil"/>
              <w:bottom w:val="nil"/>
              <w:right w:val="nil"/>
            </w:tcBorders>
            <w:shd w:val="clear" w:color="000000" w:fill="FFFFFF"/>
            <w:noWrap/>
            <w:vAlign w:val="center"/>
            <w:hideMark/>
          </w:tcPr>
          <w:p w14:paraId="3681E40E"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60" w:type="pct"/>
            <w:tcBorders>
              <w:top w:val="nil"/>
              <w:left w:val="nil"/>
              <w:bottom w:val="nil"/>
              <w:right w:val="nil"/>
            </w:tcBorders>
            <w:shd w:val="clear" w:color="000000" w:fill="FFFFFF"/>
            <w:noWrap/>
            <w:vAlign w:val="center"/>
            <w:hideMark/>
          </w:tcPr>
          <w:p w14:paraId="3016B01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716D8B36"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08" w:type="pct"/>
            <w:tcBorders>
              <w:top w:val="nil"/>
              <w:left w:val="nil"/>
              <w:bottom w:val="nil"/>
              <w:right w:val="nil"/>
            </w:tcBorders>
            <w:shd w:val="clear" w:color="000000" w:fill="F2F9FC"/>
            <w:noWrap/>
            <w:vAlign w:val="center"/>
            <w:hideMark/>
          </w:tcPr>
          <w:p w14:paraId="12828D4F"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08" w:type="pct"/>
            <w:tcBorders>
              <w:top w:val="nil"/>
              <w:left w:val="nil"/>
              <w:bottom w:val="nil"/>
              <w:right w:val="nil"/>
            </w:tcBorders>
            <w:shd w:val="clear" w:color="000000" w:fill="FFFFFF"/>
            <w:noWrap/>
            <w:vAlign w:val="center"/>
            <w:hideMark/>
          </w:tcPr>
          <w:p w14:paraId="3573B863"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08" w:type="pct"/>
            <w:tcBorders>
              <w:top w:val="nil"/>
              <w:left w:val="nil"/>
              <w:bottom w:val="nil"/>
              <w:right w:val="nil"/>
            </w:tcBorders>
            <w:shd w:val="clear" w:color="000000" w:fill="FFFFFF"/>
            <w:noWrap/>
            <w:vAlign w:val="center"/>
            <w:hideMark/>
          </w:tcPr>
          <w:p w14:paraId="337579A5"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08" w:type="pct"/>
            <w:tcBorders>
              <w:top w:val="nil"/>
              <w:left w:val="nil"/>
              <w:bottom w:val="nil"/>
              <w:right w:val="nil"/>
            </w:tcBorders>
            <w:shd w:val="clear" w:color="000000" w:fill="FFFFFF"/>
            <w:noWrap/>
            <w:vAlign w:val="center"/>
            <w:hideMark/>
          </w:tcPr>
          <w:p w14:paraId="3CC873F3"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60" w:type="pct"/>
            <w:tcBorders>
              <w:top w:val="nil"/>
              <w:left w:val="nil"/>
              <w:bottom w:val="nil"/>
              <w:right w:val="nil"/>
            </w:tcBorders>
            <w:shd w:val="clear" w:color="000000" w:fill="FFFFFF"/>
            <w:noWrap/>
            <w:vAlign w:val="center"/>
            <w:hideMark/>
          </w:tcPr>
          <w:p w14:paraId="71151647" w14:textId="77777777" w:rsidR="00E96EC7" w:rsidRPr="00131EBC" w:rsidRDefault="00E96EC7" w:rsidP="00E96EC7">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17" w:type="pct"/>
            <w:tcBorders>
              <w:top w:val="nil"/>
              <w:left w:val="nil"/>
              <w:bottom w:val="nil"/>
              <w:right w:val="nil"/>
            </w:tcBorders>
            <w:shd w:val="clear" w:color="000000" w:fill="FFFFFF"/>
            <w:noWrap/>
            <w:vAlign w:val="center"/>
            <w:hideMark/>
          </w:tcPr>
          <w:p w14:paraId="51049C4D"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38ED0F37"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796D7144" w14:textId="77777777" w:rsidR="00E96EC7" w:rsidRPr="00FD24B8" w:rsidRDefault="00E96EC7" w:rsidP="00E96EC7">
            <w:pPr>
              <w:spacing w:after="0" w:line="240" w:lineRule="auto"/>
              <w:jc w:val="right"/>
              <w:rPr>
                <w:rFonts w:ascii="Arial" w:hAnsi="Arial" w:cs="Arial"/>
                <w:sz w:val="16"/>
                <w:szCs w:val="16"/>
              </w:rPr>
            </w:pPr>
            <w:r w:rsidRPr="00FD24B8">
              <w:rPr>
                <w:rFonts w:ascii="Arial" w:hAnsi="Arial" w:cs="Arial"/>
                <w:sz w:val="16"/>
                <w:szCs w:val="16"/>
              </w:rPr>
              <w:t> </w:t>
            </w:r>
          </w:p>
        </w:tc>
      </w:tr>
      <w:tr w:rsidR="00C03E0F" w:rsidRPr="00131EBC" w14:paraId="0124C7C6"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5536891D" w14:textId="77777777" w:rsidR="00E96EC7" w:rsidRPr="00131EBC" w:rsidRDefault="00E96EC7" w:rsidP="00E96EC7">
            <w:pPr>
              <w:spacing w:after="0" w:line="240" w:lineRule="auto"/>
              <w:jc w:val="left"/>
              <w:rPr>
                <w:rFonts w:ascii="Arial" w:hAnsi="Arial" w:cs="Arial"/>
                <w:b/>
                <w:sz w:val="16"/>
                <w:szCs w:val="16"/>
                <w:highlight w:val="darkCyan"/>
              </w:rPr>
            </w:pPr>
            <w:r w:rsidRPr="00FD24B8">
              <w:rPr>
                <w:rFonts w:ascii="Arial" w:hAnsi="Arial" w:cs="Arial"/>
                <w:b/>
                <w:sz w:val="16"/>
                <w:szCs w:val="16"/>
              </w:rPr>
              <w:t>Payments(b)</w:t>
            </w:r>
          </w:p>
        </w:tc>
        <w:tc>
          <w:tcPr>
            <w:tcW w:w="416" w:type="pct"/>
            <w:tcBorders>
              <w:top w:val="nil"/>
              <w:left w:val="nil"/>
              <w:bottom w:val="nil"/>
              <w:right w:val="nil"/>
            </w:tcBorders>
            <w:shd w:val="clear" w:color="000000" w:fill="FFFFFF"/>
            <w:noWrap/>
            <w:vAlign w:val="center"/>
            <w:hideMark/>
          </w:tcPr>
          <w:p w14:paraId="28370C81"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654.1</w:t>
            </w:r>
          </w:p>
        </w:tc>
        <w:tc>
          <w:tcPr>
            <w:tcW w:w="60" w:type="pct"/>
            <w:tcBorders>
              <w:top w:val="nil"/>
              <w:left w:val="nil"/>
              <w:bottom w:val="nil"/>
              <w:right w:val="nil"/>
            </w:tcBorders>
            <w:shd w:val="clear" w:color="000000" w:fill="FFFFFF"/>
            <w:noWrap/>
            <w:vAlign w:val="center"/>
            <w:hideMark/>
          </w:tcPr>
          <w:p w14:paraId="62E78B13"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09" w:type="pct"/>
            <w:tcBorders>
              <w:top w:val="nil"/>
              <w:left w:val="nil"/>
              <w:bottom w:val="nil"/>
              <w:right w:val="nil"/>
            </w:tcBorders>
            <w:shd w:val="clear" w:color="000000" w:fill="FFFFFF"/>
            <w:noWrap/>
            <w:vAlign w:val="center"/>
            <w:hideMark/>
          </w:tcPr>
          <w:p w14:paraId="67CF4C6A"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636.4</w:t>
            </w:r>
          </w:p>
        </w:tc>
        <w:tc>
          <w:tcPr>
            <w:tcW w:w="408" w:type="pct"/>
            <w:tcBorders>
              <w:top w:val="nil"/>
              <w:left w:val="nil"/>
              <w:bottom w:val="nil"/>
              <w:right w:val="nil"/>
            </w:tcBorders>
            <w:shd w:val="clear" w:color="000000" w:fill="F2F9FC"/>
            <w:noWrap/>
            <w:vAlign w:val="center"/>
            <w:hideMark/>
          </w:tcPr>
          <w:p w14:paraId="16B369A8"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625.6</w:t>
            </w:r>
          </w:p>
        </w:tc>
        <w:tc>
          <w:tcPr>
            <w:tcW w:w="408" w:type="pct"/>
            <w:tcBorders>
              <w:top w:val="nil"/>
              <w:left w:val="nil"/>
              <w:bottom w:val="nil"/>
              <w:right w:val="nil"/>
            </w:tcBorders>
            <w:shd w:val="clear" w:color="000000" w:fill="FFFFFF"/>
            <w:noWrap/>
            <w:vAlign w:val="center"/>
            <w:hideMark/>
          </w:tcPr>
          <w:p w14:paraId="7BE92220"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641.7</w:t>
            </w:r>
          </w:p>
        </w:tc>
        <w:tc>
          <w:tcPr>
            <w:tcW w:w="408" w:type="pct"/>
            <w:tcBorders>
              <w:top w:val="nil"/>
              <w:left w:val="nil"/>
              <w:bottom w:val="nil"/>
              <w:right w:val="nil"/>
            </w:tcBorders>
            <w:shd w:val="clear" w:color="000000" w:fill="FFFFFF"/>
            <w:noWrap/>
            <w:vAlign w:val="center"/>
            <w:hideMark/>
          </w:tcPr>
          <w:p w14:paraId="39CF2C7F"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662.3</w:t>
            </w:r>
          </w:p>
        </w:tc>
        <w:tc>
          <w:tcPr>
            <w:tcW w:w="408" w:type="pct"/>
            <w:tcBorders>
              <w:top w:val="nil"/>
              <w:left w:val="nil"/>
              <w:bottom w:val="nil"/>
              <w:right w:val="nil"/>
            </w:tcBorders>
            <w:shd w:val="clear" w:color="000000" w:fill="FFFFFF"/>
            <w:noWrap/>
            <w:vAlign w:val="center"/>
            <w:hideMark/>
          </w:tcPr>
          <w:p w14:paraId="5BEADC2D"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687.0</w:t>
            </w:r>
          </w:p>
        </w:tc>
        <w:tc>
          <w:tcPr>
            <w:tcW w:w="60" w:type="pct"/>
            <w:tcBorders>
              <w:top w:val="nil"/>
              <w:left w:val="nil"/>
              <w:bottom w:val="nil"/>
              <w:right w:val="nil"/>
            </w:tcBorders>
            <w:shd w:val="clear" w:color="000000" w:fill="FFFFFF"/>
            <w:noWrap/>
            <w:vAlign w:val="center"/>
            <w:hideMark/>
          </w:tcPr>
          <w:p w14:paraId="5C0D9498"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17" w:type="pct"/>
            <w:tcBorders>
              <w:top w:val="nil"/>
              <w:left w:val="nil"/>
              <w:bottom w:val="nil"/>
              <w:right w:val="nil"/>
            </w:tcBorders>
            <w:shd w:val="clear" w:color="000000" w:fill="FFFFFF"/>
            <w:noWrap/>
            <w:vAlign w:val="center"/>
            <w:hideMark/>
          </w:tcPr>
          <w:p w14:paraId="100A7ACA"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2,616.6</w:t>
            </w:r>
          </w:p>
        </w:tc>
        <w:tc>
          <w:tcPr>
            <w:tcW w:w="73" w:type="pct"/>
            <w:tcBorders>
              <w:top w:val="nil"/>
              <w:left w:val="nil"/>
              <w:bottom w:val="nil"/>
              <w:right w:val="nil"/>
            </w:tcBorders>
            <w:shd w:val="clear" w:color="000000" w:fill="FFFFFF"/>
            <w:noWrap/>
            <w:vAlign w:val="center"/>
            <w:hideMark/>
          </w:tcPr>
          <w:p w14:paraId="7D155C9D"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378EECF2" w14:textId="77777777" w:rsidR="00E96EC7" w:rsidRPr="00FD24B8" w:rsidRDefault="00E96EC7" w:rsidP="00E96EC7">
            <w:pPr>
              <w:spacing w:after="0" w:line="240" w:lineRule="auto"/>
              <w:jc w:val="right"/>
              <w:rPr>
                <w:rFonts w:ascii="Arial" w:hAnsi="Arial" w:cs="Arial"/>
                <w:b/>
                <w:sz w:val="16"/>
                <w:szCs w:val="16"/>
              </w:rPr>
            </w:pPr>
            <w:r w:rsidRPr="00FD24B8">
              <w:rPr>
                <w:rFonts w:ascii="Arial" w:hAnsi="Arial" w:cs="Arial"/>
                <w:b/>
                <w:sz w:val="16"/>
                <w:szCs w:val="16"/>
              </w:rPr>
              <w:t> </w:t>
            </w:r>
          </w:p>
        </w:tc>
      </w:tr>
      <w:tr w:rsidR="00C03E0F" w:rsidRPr="00131EBC" w14:paraId="4043C114"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7B10B1D2"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16" w:type="pct"/>
            <w:tcBorders>
              <w:top w:val="nil"/>
              <w:left w:val="nil"/>
              <w:bottom w:val="nil"/>
              <w:right w:val="nil"/>
            </w:tcBorders>
            <w:shd w:val="clear" w:color="000000" w:fill="FFFFFF"/>
            <w:noWrap/>
            <w:vAlign w:val="center"/>
            <w:hideMark/>
          </w:tcPr>
          <w:p w14:paraId="4A82BCA7"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31.6</w:t>
            </w:r>
          </w:p>
        </w:tc>
        <w:tc>
          <w:tcPr>
            <w:tcW w:w="60" w:type="pct"/>
            <w:tcBorders>
              <w:top w:val="nil"/>
              <w:left w:val="nil"/>
              <w:bottom w:val="nil"/>
              <w:right w:val="nil"/>
            </w:tcBorders>
            <w:shd w:val="clear" w:color="000000" w:fill="FFFFFF"/>
            <w:noWrap/>
            <w:vAlign w:val="center"/>
            <w:hideMark/>
          </w:tcPr>
          <w:p w14:paraId="148C1F5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5E9A5FA9"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27.8</w:t>
            </w:r>
          </w:p>
        </w:tc>
        <w:tc>
          <w:tcPr>
            <w:tcW w:w="408" w:type="pct"/>
            <w:tcBorders>
              <w:top w:val="nil"/>
              <w:left w:val="nil"/>
              <w:bottom w:val="nil"/>
              <w:right w:val="nil"/>
            </w:tcBorders>
            <w:shd w:val="clear" w:color="000000" w:fill="F2F9FC"/>
            <w:noWrap/>
            <w:vAlign w:val="center"/>
            <w:hideMark/>
          </w:tcPr>
          <w:p w14:paraId="6354AC30"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27.2</w:t>
            </w:r>
          </w:p>
        </w:tc>
        <w:tc>
          <w:tcPr>
            <w:tcW w:w="408" w:type="pct"/>
            <w:tcBorders>
              <w:top w:val="nil"/>
              <w:left w:val="nil"/>
              <w:bottom w:val="nil"/>
              <w:right w:val="nil"/>
            </w:tcBorders>
            <w:shd w:val="clear" w:color="000000" w:fill="FFFFFF"/>
            <w:noWrap/>
            <w:vAlign w:val="center"/>
            <w:hideMark/>
          </w:tcPr>
          <w:p w14:paraId="425E867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27.1</w:t>
            </w:r>
          </w:p>
        </w:tc>
        <w:tc>
          <w:tcPr>
            <w:tcW w:w="408" w:type="pct"/>
            <w:tcBorders>
              <w:top w:val="nil"/>
              <w:left w:val="nil"/>
              <w:bottom w:val="nil"/>
              <w:right w:val="nil"/>
            </w:tcBorders>
            <w:shd w:val="clear" w:color="000000" w:fill="FFFFFF"/>
            <w:noWrap/>
            <w:vAlign w:val="center"/>
            <w:hideMark/>
          </w:tcPr>
          <w:p w14:paraId="3F58E1E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26.6</w:t>
            </w:r>
          </w:p>
        </w:tc>
        <w:tc>
          <w:tcPr>
            <w:tcW w:w="408" w:type="pct"/>
            <w:tcBorders>
              <w:top w:val="nil"/>
              <w:left w:val="nil"/>
              <w:bottom w:val="nil"/>
              <w:right w:val="nil"/>
            </w:tcBorders>
            <w:shd w:val="clear" w:color="000000" w:fill="FFFFFF"/>
            <w:noWrap/>
            <w:vAlign w:val="center"/>
            <w:hideMark/>
          </w:tcPr>
          <w:p w14:paraId="4FDEA1D2"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26.3</w:t>
            </w:r>
          </w:p>
        </w:tc>
        <w:tc>
          <w:tcPr>
            <w:tcW w:w="60" w:type="pct"/>
            <w:tcBorders>
              <w:top w:val="nil"/>
              <w:left w:val="nil"/>
              <w:bottom w:val="nil"/>
              <w:right w:val="nil"/>
            </w:tcBorders>
            <w:shd w:val="clear" w:color="000000" w:fill="FFFFFF"/>
            <w:noWrap/>
            <w:vAlign w:val="center"/>
            <w:hideMark/>
          </w:tcPr>
          <w:p w14:paraId="2AF2E5C2"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43650F9B"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171475C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06F6AC7C" w14:textId="7C293E28" w:rsidR="00E96EC7" w:rsidRPr="00FD24B8" w:rsidRDefault="00121EC5" w:rsidP="00E96EC7">
            <w:pPr>
              <w:spacing w:after="0" w:line="240" w:lineRule="auto"/>
              <w:jc w:val="right"/>
              <w:rPr>
                <w:rFonts w:ascii="Arial" w:hAnsi="Arial" w:cs="Arial"/>
                <w:sz w:val="16"/>
                <w:szCs w:val="16"/>
              </w:rPr>
            </w:pPr>
            <w:r w:rsidRPr="00FD24B8">
              <w:rPr>
                <w:rFonts w:ascii="Arial" w:hAnsi="Arial" w:cs="Arial"/>
                <w:sz w:val="16"/>
                <w:szCs w:val="16"/>
              </w:rPr>
              <w:t>26.5</w:t>
            </w:r>
            <w:r w:rsidR="00E96EC7" w:rsidRPr="00FD24B8">
              <w:rPr>
                <w:rFonts w:ascii="Arial" w:hAnsi="Arial" w:cs="Arial"/>
                <w:sz w:val="16"/>
                <w:szCs w:val="16"/>
              </w:rPr>
              <w:t> </w:t>
            </w:r>
          </w:p>
        </w:tc>
      </w:tr>
      <w:tr w:rsidR="00C03E0F" w:rsidRPr="00131EBC" w14:paraId="238F56F2" w14:textId="77777777" w:rsidTr="00E61D91">
        <w:trPr>
          <w:trHeight w:hRule="exact" w:val="60"/>
        </w:trPr>
        <w:tc>
          <w:tcPr>
            <w:tcW w:w="1401" w:type="pct"/>
            <w:tcBorders>
              <w:top w:val="nil"/>
              <w:left w:val="nil"/>
              <w:bottom w:val="nil"/>
              <w:right w:val="nil"/>
            </w:tcBorders>
            <w:shd w:val="clear" w:color="000000" w:fill="FFFFFF"/>
            <w:noWrap/>
            <w:vAlign w:val="center"/>
            <w:hideMark/>
          </w:tcPr>
          <w:p w14:paraId="0252E04E"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nil"/>
              <w:left w:val="nil"/>
              <w:bottom w:val="nil"/>
              <w:right w:val="nil"/>
            </w:tcBorders>
            <w:shd w:val="clear" w:color="000000" w:fill="FFFFFF"/>
            <w:noWrap/>
            <w:vAlign w:val="center"/>
            <w:hideMark/>
          </w:tcPr>
          <w:p w14:paraId="4073C11D"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33C458E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0E930E2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2F9FC"/>
            <w:noWrap/>
            <w:vAlign w:val="center"/>
            <w:hideMark/>
          </w:tcPr>
          <w:p w14:paraId="3A91BFA9"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04728EAA"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39D7C22F"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2541684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594A588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143288F0"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71BC0F8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56AC1ADC" w14:textId="77777777" w:rsidR="00E96EC7" w:rsidRPr="00FD24B8" w:rsidRDefault="00E96EC7" w:rsidP="00E96EC7">
            <w:pPr>
              <w:spacing w:after="0" w:line="240" w:lineRule="auto"/>
              <w:jc w:val="right"/>
              <w:rPr>
                <w:rFonts w:ascii="Arial" w:hAnsi="Arial" w:cs="Arial"/>
                <w:sz w:val="16"/>
                <w:szCs w:val="16"/>
              </w:rPr>
            </w:pPr>
            <w:r w:rsidRPr="00FD24B8">
              <w:rPr>
                <w:rFonts w:ascii="Arial" w:hAnsi="Arial" w:cs="Arial"/>
                <w:sz w:val="16"/>
                <w:szCs w:val="16"/>
              </w:rPr>
              <w:t> </w:t>
            </w:r>
          </w:p>
        </w:tc>
      </w:tr>
      <w:tr w:rsidR="00C03E0F" w:rsidRPr="00131EBC" w14:paraId="3D79195D"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4D074067" w14:textId="77777777" w:rsidR="00E96EC7" w:rsidRPr="00131EBC" w:rsidRDefault="00E96EC7" w:rsidP="00E96EC7">
            <w:pPr>
              <w:spacing w:after="0" w:line="240" w:lineRule="auto"/>
              <w:jc w:val="left"/>
              <w:rPr>
                <w:rFonts w:ascii="Arial" w:hAnsi="Arial" w:cs="Arial"/>
                <w:b/>
                <w:sz w:val="16"/>
                <w:szCs w:val="16"/>
                <w:highlight w:val="darkCyan"/>
              </w:rPr>
            </w:pPr>
            <w:r w:rsidRPr="00FD24B8">
              <w:rPr>
                <w:rFonts w:ascii="Arial" w:hAnsi="Arial" w:cs="Arial"/>
                <w:b/>
                <w:sz w:val="16"/>
                <w:szCs w:val="16"/>
              </w:rPr>
              <w:t>Gross debt(c)</w:t>
            </w:r>
          </w:p>
        </w:tc>
        <w:tc>
          <w:tcPr>
            <w:tcW w:w="416" w:type="pct"/>
            <w:tcBorders>
              <w:top w:val="nil"/>
              <w:left w:val="nil"/>
              <w:bottom w:val="nil"/>
              <w:right w:val="nil"/>
            </w:tcBorders>
            <w:shd w:val="clear" w:color="000000" w:fill="FFFFFF"/>
            <w:noWrap/>
            <w:vAlign w:val="center"/>
            <w:hideMark/>
          </w:tcPr>
          <w:p w14:paraId="79ABDD2E" w14:textId="77777777" w:rsidR="006311B5" w:rsidRPr="00FD24B8" w:rsidRDefault="006311B5" w:rsidP="006311B5">
            <w:pPr>
              <w:spacing w:after="0" w:line="240" w:lineRule="auto"/>
              <w:jc w:val="right"/>
              <w:rPr>
                <w:rFonts w:ascii="Arial" w:hAnsi="Arial" w:cs="Arial"/>
                <w:b/>
                <w:sz w:val="16"/>
                <w:szCs w:val="16"/>
              </w:rPr>
            </w:pPr>
            <w:r w:rsidRPr="00FD24B8">
              <w:rPr>
                <w:rFonts w:ascii="Arial" w:hAnsi="Arial" w:cs="Arial"/>
                <w:b/>
                <w:sz w:val="16"/>
                <w:szCs w:val="16"/>
              </w:rPr>
              <w:t>817.0</w:t>
            </w:r>
          </w:p>
          <w:p w14:paraId="2A3E9BFE" w14:textId="1FB51956" w:rsidR="00E96EC7" w:rsidRPr="00131EBC" w:rsidRDefault="00E96EC7" w:rsidP="00E96EC7">
            <w:pPr>
              <w:spacing w:after="0" w:line="240" w:lineRule="auto"/>
              <w:jc w:val="right"/>
              <w:rPr>
                <w:rFonts w:ascii="Arial" w:hAnsi="Arial" w:cs="Arial"/>
                <w:b/>
                <w:sz w:val="16"/>
                <w:szCs w:val="16"/>
                <w:highlight w:val="darkCyan"/>
              </w:rPr>
            </w:pPr>
          </w:p>
        </w:tc>
        <w:tc>
          <w:tcPr>
            <w:tcW w:w="60" w:type="pct"/>
            <w:tcBorders>
              <w:top w:val="nil"/>
              <w:left w:val="nil"/>
              <w:bottom w:val="nil"/>
              <w:right w:val="nil"/>
            </w:tcBorders>
            <w:shd w:val="clear" w:color="000000" w:fill="FFFFFF"/>
            <w:noWrap/>
            <w:vAlign w:val="center"/>
            <w:hideMark/>
          </w:tcPr>
          <w:p w14:paraId="3EF31A51" w14:textId="4BBB74D1" w:rsidR="00E96EC7" w:rsidRPr="00131EBC" w:rsidRDefault="00E61D91"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09" w:type="pct"/>
            <w:tcBorders>
              <w:top w:val="nil"/>
              <w:left w:val="nil"/>
              <w:bottom w:val="nil"/>
              <w:right w:val="nil"/>
            </w:tcBorders>
            <w:shd w:val="clear" w:color="000000" w:fill="FFFFFF"/>
            <w:noWrap/>
            <w:vAlign w:val="center"/>
            <w:hideMark/>
          </w:tcPr>
          <w:p w14:paraId="0F45745D" w14:textId="717D462C" w:rsidR="00E96EC7" w:rsidRPr="00131EBC" w:rsidRDefault="00E61D91"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906.0</w:t>
            </w:r>
          </w:p>
        </w:tc>
        <w:tc>
          <w:tcPr>
            <w:tcW w:w="408" w:type="pct"/>
            <w:tcBorders>
              <w:top w:val="nil"/>
              <w:left w:val="nil"/>
              <w:bottom w:val="nil"/>
              <w:right w:val="nil"/>
            </w:tcBorders>
            <w:shd w:val="clear" w:color="auto" w:fill="F2F9FC"/>
            <w:noWrap/>
            <w:vAlign w:val="center"/>
            <w:hideMark/>
          </w:tcPr>
          <w:p w14:paraId="768DCC94" w14:textId="6DF9F46D" w:rsidR="00E96EC7" w:rsidRPr="00131EBC" w:rsidRDefault="00E61D91"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977.0</w:t>
            </w:r>
          </w:p>
        </w:tc>
        <w:tc>
          <w:tcPr>
            <w:tcW w:w="408" w:type="pct"/>
            <w:tcBorders>
              <w:top w:val="nil"/>
              <w:left w:val="nil"/>
              <w:bottom w:val="nil"/>
              <w:right w:val="nil"/>
            </w:tcBorders>
            <w:shd w:val="clear" w:color="000000" w:fill="FFFFFF"/>
            <w:noWrap/>
            <w:vAlign w:val="center"/>
            <w:hideMark/>
          </w:tcPr>
          <w:p w14:paraId="38EE3DD5" w14:textId="1ACDBDA8" w:rsidR="00E96EC7" w:rsidRPr="00131EBC" w:rsidRDefault="00E61D91"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1</w:t>
            </w:r>
            <w:r w:rsidR="006D316E">
              <w:rPr>
                <w:rFonts w:ascii="Arial" w:hAnsi="Arial" w:cs="Arial"/>
                <w:b/>
                <w:sz w:val="16"/>
                <w:szCs w:val="16"/>
              </w:rPr>
              <w:t>,</w:t>
            </w:r>
            <w:r w:rsidRPr="00FD24B8">
              <w:rPr>
                <w:rFonts w:ascii="Arial" w:hAnsi="Arial" w:cs="Arial"/>
                <w:b/>
                <w:sz w:val="16"/>
                <w:szCs w:val="16"/>
              </w:rPr>
              <w:t>056.0</w:t>
            </w:r>
          </w:p>
        </w:tc>
        <w:tc>
          <w:tcPr>
            <w:tcW w:w="408" w:type="pct"/>
            <w:tcBorders>
              <w:top w:val="nil"/>
              <w:left w:val="nil"/>
              <w:bottom w:val="nil"/>
              <w:right w:val="nil"/>
            </w:tcBorders>
            <w:shd w:val="clear" w:color="000000" w:fill="FFFFFF"/>
            <w:noWrap/>
            <w:vAlign w:val="center"/>
            <w:hideMark/>
          </w:tcPr>
          <w:p w14:paraId="26C6D5CB" w14:textId="61F19A5D" w:rsidR="00E96EC7" w:rsidRPr="00131EBC" w:rsidRDefault="00E61D91"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1</w:t>
            </w:r>
            <w:r w:rsidR="006D316E">
              <w:rPr>
                <w:rFonts w:ascii="Arial" w:hAnsi="Arial" w:cs="Arial"/>
                <w:b/>
                <w:sz w:val="16"/>
                <w:szCs w:val="16"/>
              </w:rPr>
              <w:t>,</w:t>
            </w:r>
            <w:r w:rsidRPr="00FD24B8">
              <w:rPr>
                <w:rFonts w:ascii="Arial" w:hAnsi="Arial" w:cs="Arial"/>
                <w:b/>
                <w:sz w:val="16"/>
                <w:szCs w:val="16"/>
              </w:rPr>
              <w:t>117.0</w:t>
            </w:r>
          </w:p>
        </w:tc>
        <w:tc>
          <w:tcPr>
            <w:tcW w:w="408" w:type="pct"/>
            <w:tcBorders>
              <w:top w:val="nil"/>
              <w:left w:val="nil"/>
              <w:bottom w:val="nil"/>
              <w:right w:val="nil"/>
            </w:tcBorders>
            <w:shd w:val="clear" w:color="000000" w:fill="FFFFFF"/>
            <w:noWrap/>
            <w:vAlign w:val="center"/>
            <w:hideMark/>
          </w:tcPr>
          <w:p w14:paraId="3504962D" w14:textId="0CBBD4CE" w:rsidR="00E96EC7" w:rsidRPr="00131EBC" w:rsidRDefault="00E61D91"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1</w:t>
            </w:r>
            <w:r w:rsidR="006D316E">
              <w:rPr>
                <w:rFonts w:ascii="Arial" w:hAnsi="Arial" w:cs="Arial"/>
                <w:b/>
                <w:sz w:val="16"/>
                <w:szCs w:val="16"/>
              </w:rPr>
              <w:t>,</w:t>
            </w:r>
            <w:r w:rsidRPr="00FD24B8">
              <w:rPr>
                <w:rFonts w:ascii="Arial" w:hAnsi="Arial" w:cs="Arial"/>
                <w:b/>
                <w:sz w:val="16"/>
                <w:szCs w:val="16"/>
              </w:rPr>
              <w:t>169.0</w:t>
            </w:r>
          </w:p>
        </w:tc>
        <w:tc>
          <w:tcPr>
            <w:tcW w:w="60" w:type="pct"/>
            <w:tcBorders>
              <w:top w:val="nil"/>
              <w:left w:val="nil"/>
              <w:bottom w:val="nil"/>
              <w:right w:val="nil"/>
            </w:tcBorders>
            <w:shd w:val="clear" w:color="000000" w:fill="FFFFFF"/>
            <w:noWrap/>
            <w:vAlign w:val="center"/>
            <w:hideMark/>
          </w:tcPr>
          <w:p w14:paraId="0C02167D"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17" w:type="pct"/>
            <w:tcBorders>
              <w:top w:val="nil"/>
              <w:left w:val="nil"/>
              <w:bottom w:val="nil"/>
              <w:right w:val="nil"/>
            </w:tcBorders>
            <w:shd w:val="clear" w:color="000000" w:fill="FFFFFF"/>
            <w:noWrap/>
            <w:vAlign w:val="center"/>
            <w:hideMark/>
          </w:tcPr>
          <w:p w14:paraId="47258098"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3" w:type="pct"/>
            <w:tcBorders>
              <w:top w:val="nil"/>
              <w:left w:val="nil"/>
              <w:bottom w:val="nil"/>
              <w:right w:val="nil"/>
            </w:tcBorders>
            <w:shd w:val="clear" w:color="000000" w:fill="FFFFFF"/>
            <w:noWrap/>
            <w:vAlign w:val="center"/>
            <w:hideMark/>
          </w:tcPr>
          <w:p w14:paraId="04C31021"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4A4E6B59" w14:textId="77777777" w:rsidR="00E96EC7" w:rsidRPr="00FD24B8" w:rsidRDefault="00E96EC7" w:rsidP="00E96EC7">
            <w:pPr>
              <w:spacing w:after="0" w:line="240" w:lineRule="auto"/>
              <w:jc w:val="left"/>
              <w:rPr>
                <w:rFonts w:ascii="Arial" w:hAnsi="Arial" w:cs="Arial"/>
                <w:b/>
                <w:sz w:val="16"/>
                <w:szCs w:val="16"/>
              </w:rPr>
            </w:pPr>
            <w:r w:rsidRPr="00FD24B8">
              <w:rPr>
                <w:rFonts w:ascii="Arial" w:hAnsi="Arial" w:cs="Arial"/>
                <w:b/>
                <w:sz w:val="16"/>
                <w:szCs w:val="16"/>
              </w:rPr>
              <w:t> </w:t>
            </w:r>
          </w:p>
        </w:tc>
      </w:tr>
      <w:tr w:rsidR="00C03E0F" w:rsidRPr="00131EBC" w14:paraId="793E120E"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69CECB11"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16" w:type="pct"/>
            <w:tcBorders>
              <w:top w:val="nil"/>
              <w:left w:val="nil"/>
              <w:bottom w:val="nil"/>
              <w:right w:val="nil"/>
            </w:tcBorders>
            <w:shd w:val="clear" w:color="000000" w:fill="FFFFFF"/>
            <w:noWrap/>
            <w:vAlign w:val="center"/>
            <w:hideMark/>
          </w:tcPr>
          <w:p w14:paraId="3D51338D" w14:textId="31E853BB" w:rsidR="00E96EC7" w:rsidRPr="00131EBC" w:rsidRDefault="00E61D91" w:rsidP="00E96EC7">
            <w:pPr>
              <w:spacing w:after="0" w:line="240" w:lineRule="auto"/>
              <w:jc w:val="right"/>
              <w:rPr>
                <w:rFonts w:ascii="Arial" w:hAnsi="Arial" w:cs="Arial"/>
                <w:sz w:val="16"/>
                <w:szCs w:val="16"/>
                <w:highlight w:val="darkCyan"/>
              </w:rPr>
            </w:pPr>
            <w:r w:rsidRPr="00FD24B8">
              <w:rPr>
                <w:rFonts w:ascii="Arial" w:hAnsi="Arial" w:cs="Arial"/>
                <w:sz w:val="16"/>
                <w:szCs w:val="16"/>
              </w:rPr>
              <w:t>39.5</w:t>
            </w:r>
          </w:p>
        </w:tc>
        <w:tc>
          <w:tcPr>
            <w:tcW w:w="60" w:type="pct"/>
            <w:tcBorders>
              <w:top w:val="nil"/>
              <w:left w:val="nil"/>
              <w:bottom w:val="nil"/>
              <w:right w:val="nil"/>
            </w:tcBorders>
            <w:shd w:val="clear" w:color="000000" w:fill="FFFFFF"/>
            <w:noWrap/>
            <w:vAlign w:val="center"/>
            <w:hideMark/>
          </w:tcPr>
          <w:p w14:paraId="6F338308" w14:textId="38E0FDA2" w:rsidR="00E96EC7" w:rsidRPr="00131EBC" w:rsidRDefault="00E61D91"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2636CFCE" w14:textId="2A6EFB62" w:rsidR="00E96EC7" w:rsidRPr="00131EBC" w:rsidRDefault="00E61D91" w:rsidP="00E96EC7">
            <w:pPr>
              <w:spacing w:after="0" w:line="240" w:lineRule="auto"/>
              <w:jc w:val="right"/>
              <w:rPr>
                <w:rFonts w:ascii="Arial" w:hAnsi="Arial" w:cs="Arial"/>
                <w:sz w:val="16"/>
                <w:szCs w:val="16"/>
                <w:highlight w:val="darkCyan"/>
              </w:rPr>
            </w:pPr>
            <w:r w:rsidRPr="00FD24B8">
              <w:rPr>
                <w:rFonts w:ascii="Arial" w:hAnsi="Arial" w:cs="Arial"/>
                <w:sz w:val="16"/>
                <w:szCs w:val="16"/>
              </w:rPr>
              <w:t>39.5</w:t>
            </w:r>
          </w:p>
        </w:tc>
        <w:tc>
          <w:tcPr>
            <w:tcW w:w="408" w:type="pct"/>
            <w:tcBorders>
              <w:top w:val="nil"/>
              <w:left w:val="nil"/>
              <w:bottom w:val="nil"/>
              <w:right w:val="nil"/>
            </w:tcBorders>
            <w:shd w:val="clear" w:color="auto" w:fill="F2F9FC"/>
            <w:noWrap/>
            <w:vAlign w:val="center"/>
            <w:hideMark/>
          </w:tcPr>
          <w:p w14:paraId="1FCEDC18" w14:textId="7EAE95AC" w:rsidR="00E96EC7" w:rsidRPr="00131EBC" w:rsidRDefault="00E61D91" w:rsidP="00E96EC7">
            <w:pPr>
              <w:spacing w:after="0" w:line="240" w:lineRule="auto"/>
              <w:jc w:val="right"/>
              <w:rPr>
                <w:rFonts w:ascii="Arial" w:hAnsi="Arial" w:cs="Arial"/>
                <w:sz w:val="16"/>
                <w:szCs w:val="16"/>
                <w:highlight w:val="darkCyan"/>
              </w:rPr>
            </w:pPr>
            <w:r w:rsidRPr="00FD24B8">
              <w:rPr>
                <w:rFonts w:ascii="Arial" w:hAnsi="Arial" w:cs="Arial"/>
                <w:sz w:val="16"/>
                <w:szCs w:val="16"/>
              </w:rPr>
              <w:t>42.5</w:t>
            </w:r>
          </w:p>
        </w:tc>
        <w:tc>
          <w:tcPr>
            <w:tcW w:w="408" w:type="pct"/>
            <w:tcBorders>
              <w:top w:val="nil"/>
              <w:left w:val="nil"/>
              <w:bottom w:val="nil"/>
              <w:right w:val="nil"/>
            </w:tcBorders>
            <w:shd w:val="clear" w:color="000000" w:fill="FFFFFF"/>
            <w:noWrap/>
            <w:vAlign w:val="center"/>
            <w:hideMark/>
          </w:tcPr>
          <w:p w14:paraId="5DDE386B" w14:textId="0AB0D4BC" w:rsidR="00E96EC7" w:rsidRPr="00131EBC" w:rsidRDefault="00E61D91" w:rsidP="00E96EC7">
            <w:pPr>
              <w:spacing w:after="0" w:line="240" w:lineRule="auto"/>
              <w:jc w:val="right"/>
              <w:rPr>
                <w:rFonts w:ascii="Arial" w:hAnsi="Arial" w:cs="Arial"/>
                <w:sz w:val="16"/>
                <w:szCs w:val="16"/>
                <w:highlight w:val="darkCyan"/>
              </w:rPr>
            </w:pPr>
            <w:r w:rsidRPr="00FD24B8">
              <w:rPr>
                <w:rFonts w:ascii="Arial" w:hAnsi="Arial" w:cs="Arial"/>
                <w:sz w:val="16"/>
                <w:szCs w:val="16"/>
              </w:rPr>
              <w:t>44.6</w:t>
            </w:r>
          </w:p>
        </w:tc>
        <w:tc>
          <w:tcPr>
            <w:tcW w:w="408" w:type="pct"/>
            <w:tcBorders>
              <w:top w:val="nil"/>
              <w:left w:val="nil"/>
              <w:bottom w:val="nil"/>
              <w:right w:val="nil"/>
            </w:tcBorders>
            <w:shd w:val="clear" w:color="000000" w:fill="FFFFFF"/>
            <w:noWrap/>
            <w:vAlign w:val="center"/>
            <w:hideMark/>
          </w:tcPr>
          <w:p w14:paraId="31274773" w14:textId="3CDDDD7B" w:rsidR="00E96EC7" w:rsidRPr="00131EBC" w:rsidRDefault="00E61D91" w:rsidP="00E96EC7">
            <w:pPr>
              <w:spacing w:after="0" w:line="240" w:lineRule="auto"/>
              <w:jc w:val="right"/>
              <w:rPr>
                <w:rFonts w:ascii="Arial" w:hAnsi="Arial" w:cs="Arial"/>
                <w:sz w:val="16"/>
                <w:szCs w:val="16"/>
                <w:highlight w:val="darkCyan"/>
              </w:rPr>
            </w:pPr>
            <w:r w:rsidRPr="00FD24B8">
              <w:rPr>
                <w:rFonts w:ascii="Arial" w:hAnsi="Arial" w:cs="Arial"/>
                <w:sz w:val="16"/>
                <w:szCs w:val="16"/>
              </w:rPr>
              <w:t>44.9</w:t>
            </w:r>
          </w:p>
        </w:tc>
        <w:tc>
          <w:tcPr>
            <w:tcW w:w="408" w:type="pct"/>
            <w:tcBorders>
              <w:top w:val="nil"/>
              <w:left w:val="nil"/>
              <w:bottom w:val="nil"/>
              <w:right w:val="nil"/>
            </w:tcBorders>
            <w:shd w:val="clear" w:color="000000" w:fill="FFFFFF"/>
            <w:noWrap/>
            <w:vAlign w:val="center"/>
            <w:hideMark/>
          </w:tcPr>
          <w:p w14:paraId="4AECD3CE" w14:textId="26867F77" w:rsidR="00E96EC7" w:rsidRPr="00131EBC" w:rsidRDefault="00E61D91" w:rsidP="00E96EC7">
            <w:pPr>
              <w:spacing w:after="0" w:line="240" w:lineRule="auto"/>
              <w:jc w:val="right"/>
              <w:rPr>
                <w:rFonts w:ascii="Arial" w:hAnsi="Arial" w:cs="Arial"/>
                <w:sz w:val="16"/>
                <w:szCs w:val="16"/>
                <w:highlight w:val="darkCyan"/>
              </w:rPr>
            </w:pPr>
            <w:r w:rsidRPr="00FD24B8">
              <w:rPr>
                <w:rFonts w:ascii="Arial" w:hAnsi="Arial" w:cs="Arial"/>
                <w:sz w:val="16"/>
                <w:szCs w:val="16"/>
              </w:rPr>
              <w:t>44.7</w:t>
            </w:r>
          </w:p>
        </w:tc>
        <w:tc>
          <w:tcPr>
            <w:tcW w:w="60" w:type="pct"/>
            <w:tcBorders>
              <w:top w:val="nil"/>
              <w:left w:val="nil"/>
              <w:bottom w:val="nil"/>
              <w:right w:val="nil"/>
            </w:tcBorders>
            <w:shd w:val="clear" w:color="000000" w:fill="FFFFFF"/>
            <w:noWrap/>
            <w:vAlign w:val="center"/>
            <w:hideMark/>
          </w:tcPr>
          <w:p w14:paraId="7A86552F"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0E7ED3A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32897C2A"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5F6D2555" w14:textId="2D91FB5F" w:rsidR="00E96EC7" w:rsidRPr="00FD24B8" w:rsidRDefault="00E96EC7" w:rsidP="00C03E0F">
            <w:pPr>
              <w:spacing w:after="0" w:line="240" w:lineRule="auto"/>
              <w:jc w:val="right"/>
              <w:rPr>
                <w:rFonts w:ascii="Arial" w:hAnsi="Arial" w:cs="Arial"/>
                <w:sz w:val="16"/>
                <w:szCs w:val="16"/>
              </w:rPr>
            </w:pPr>
            <w:r w:rsidRPr="00FD24B8">
              <w:rPr>
                <w:rFonts w:ascii="Arial" w:hAnsi="Arial" w:cs="Arial"/>
                <w:sz w:val="16"/>
                <w:szCs w:val="16"/>
              </w:rPr>
              <w:t> </w:t>
            </w:r>
            <w:r w:rsidR="007922C0" w:rsidRPr="00FD24B8">
              <w:rPr>
                <w:rFonts w:ascii="Arial" w:hAnsi="Arial" w:cs="Arial"/>
                <w:sz w:val="16"/>
                <w:szCs w:val="16"/>
              </w:rPr>
              <w:t>40.3</w:t>
            </w:r>
          </w:p>
        </w:tc>
      </w:tr>
      <w:tr w:rsidR="00C03E0F" w:rsidRPr="00131EBC" w14:paraId="198E174D" w14:textId="77777777" w:rsidTr="00E61D91">
        <w:trPr>
          <w:trHeight w:hRule="exact" w:val="60"/>
        </w:trPr>
        <w:tc>
          <w:tcPr>
            <w:tcW w:w="1401" w:type="pct"/>
            <w:tcBorders>
              <w:top w:val="nil"/>
              <w:left w:val="nil"/>
              <w:bottom w:val="nil"/>
              <w:right w:val="nil"/>
            </w:tcBorders>
            <w:shd w:val="clear" w:color="000000" w:fill="FFFFFF"/>
            <w:noWrap/>
            <w:vAlign w:val="center"/>
            <w:hideMark/>
          </w:tcPr>
          <w:p w14:paraId="5D479DAB" w14:textId="40EBDB5E"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nil"/>
              <w:left w:val="nil"/>
              <w:bottom w:val="nil"/>
              <w:right w:val="nil"/>
            </w:tcBorders>
            <w:shd w:val="clear" w:color="000000" w:fill="FFFFFF"/>
            <w:noWrap/>
            <w:vAlign w:val="center"/>
            <w:hideMark/>
          </w:tcPr>
          <w:p w14:paraId="1F788942"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6E365E2C"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36C7BCD7"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2F9FC"/>
            <w:noWrap/>
            <w:vAlign w:val="center"/>
            <w:hideMark/>
          </w:tcPr>
          <w:p w14:paraId="27A44B8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64F1BE66"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292238C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20E90F7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28026A7F"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7FBC5B0E"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77FE2EE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6D59653F" w14:textId="77777777" w:rsidR="00E96EC7" w:rsidRPr="00FD24B8" w:rsidRDefault="00E96EC7" w:rsidP="00C03E0F">
            <w:pPr>
              <w:spacing w:after="0" w:line="240" w:lineRule="auto"/>
              <w:jc w:val="right"/>
              <w:rPr>
                <w:rFonts w:ascii="Arial" w:hAnsi="Arial" w:cs="Arial"/>
                <w:sz w:val="16"/>
                <w:szCs w:val="16"/>
              </w:rPr>
            </w:pPr>
            <w:r w:rsidRPr="00FD24B8">
              <w:rPr>
                <w:rFonts w:ascii="Arial" w:hAnsi="Arial" w:cs="Arial"/>
                <w:sz w:val="16"/>
                <w:szCs w:val="16"/>
              </w:rPr>
              <w:t> </w:t>
            </w:r>
          </w:p>
        </w:tc>
      </w:tr>
      <w:tr w:rsidR="00C03E0F" w:rsidRPr="00131EBC" w14:paraId="0DB1E5C5"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7B20B0B9" w14:textId="77777777" w:rsidR="00E96EC7" w:rsidRPr="00131EBC" w:rsidRDefault="00E96EC7" w:rsidP="00E96EC7">
            <w:pPr>
              <w:spacing w:after="0" w:line="240" w:lineRule="auto"/>
              <w:jc w:val="left"/>
              <w:rPr>
                <w:rFonts w:ascii="Arial" w:hAnsi="Arial" w:cs="Arial"/>
                <w:b/>
                <w:sz w:val="16"/>
                <w:szCs w:val="16"/>
                <w:highlight w:val="darkCyan"/>
              </w:rPr>
            </w:pPr>
            <w:r w:rsidRPr="00FD24B8">
              <w:rPr>
                <w:rFonts w:ascii="Arial" w:hAnsi="Arial" w:cs="Arial"/>
                <w:b/>
                <w:sz w:val="16"/>
                <w:szCs w:val="16"/>
              </w:rPr>
              <w:t xml:space="preserve">Net debt(d) </w:t>
            </w:r>
          </w:p>
        </w:tc>
        <w:tc>
          <w:tcPr>
            <w:tcW w:w="416" w:type="pct"/>
            <w:tcBorders>
              <w:top w:val="nil"/>
              <w:left w:val="nil"/>
              <w:bottom w:val="nil"/>
              <w:right w:val="nil"/>
            </w:tcBorders>
            <w:shd w:val="clear" w:color="000000" w:fill="FFFFFF"/>
            <w:noWrap/>
            <w:vAlign w:val="center"/>
            <w:hideMark/>
          </w:tcPr>
          <w:p w14:paraId="30289B8D"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592.2</w:t>
            </w:r>
          </w:p>
        </w:tc>
        <w:tc>
          <w:tcPr>
            <w:tcW w:w="60" w:type="pct"/>
            <w:tcBorders>
              <w:top w:val="nil"/>
              <w:left w:val="nil"/>
              <w:bottom w:val="nil"/>
              <w:right w:val="nil"/>
            </w:tcBorders>
            <w:shd w:val="clear" w:color="000000" w:fill="FFFFFF"/>
            <w:noWrap/>
            <w:vAlign w:val="center"/>
            <w:hideMark/>
          </w:tcPr>
          <w:p w14:paraId="20E42AE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6C4E4F48"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631.5</w:t>
            </w:r>
          </w:p>
        </w:tc>
        <w:tc>
          <w:tcPr>
            <w:tcW w:w="408" w:type="pct"/>
            <w:tcBorders>
              <w:top w:val="nil"/>
              <w:left w:val="nil"/>
              <w:bottom w:val="nil"/>
              <w:right w:val="nil"/>
            </w:tcBorders>
            <w:shd w:val="clear" w:color="000000" w:fill="F2F9FC"/>
            <w:noWrap/>
            <w:vAlign w:val="center"/>
            <w:hideMark/>
          </w:tcPr>
          <w:p w14:paraId="134470EC"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714.9</w:t>
            </w:r>
          </w:p>
        </w:tc>
        <w:tc>
          <w:tcPr>
            <w:tcW w:w="408" w:type="pct"/>
            <w:tcBorders>
              <w:top w:val="nil"/>
              <w:left w:val="nil"/>
              <w:bottom w:val="nil"/>
              <w:right w:val="nil"/>
            </w:tcBorders>
            <w:shd w:val="clear" w:color="000000" w:fill="FFFFFF"/>
            <w:noWrap/>
            <w:vAlign w:val="center"/>
            <w:hideMark/>
          </w:tcPr>
          <w:p w14:paraId="43ACD9A3"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772.1</w:t>
            </w:r>
          </w:p>
        </w:tc>
        <w:tc>
          <w:tcPr>
            <w:tcW w:w="408" w:type="pct"/>
            <w:tcBorders>
              <w:top w:val="nil"/>
              <w:left w:val="nil"/>
              <w:bottom w:val="nil"/>
              <w:right w:val="nil"/>
            </w:tcBorders>
            <w:shd w:val="clear" w:color="000000" w:fill="FFFFFF"/>
            <w:noWrap/>
            <w:vAlign w:val="center"/>
            <w:hideMark/>
          </w:tcPr>
          <w:p w14:paraId="59261C21"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823.3</w:t>
            </w:r>
          </w:p>
        </w:tc>
        <w:tc>
          <w:tcPr>
            <w:tcW w:w="408" w:type="pct"/>
            <w:tcBorders>
              <w:top w:val="nil"/>
              <w:left w:val="nil"/>
              <w:bottom w:val="nil"/>
              <w:right w:val="nil"/>
            </w:tcBorders>
            <w:shd w:val="clear" w:color="000000" w:fill="FFFFFF"/>
            <w:noWrap/>
            <w:vAlign w:val="center"/>
            <w:hideMark/>
          </w:tcPr>
          <w:p w14:paraId="2611F6A1"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864.7</w:t>
            </w:r>
          </w:p>
        </w:tc>
        <w:tc>
          <w:tcPr>
            <w:tcW w:w="60" w:type="pct"/>
            <w:tcBorders>
              <w:top w:val="nil"/>
              <w:left w:val="nil"/>
              <w:bottom w:val="nil"/>
              <w:right w:val="nil"/>
            </w:tcBorders>
            <w:shd w:val="clear" w:color="000000" w:fill="FFFFFF"/>
            <w:noWrap/>
            <w:vAlign w:val="center"/>
            <w:hideMark/>
          </w:tcPr>
          <w:p w14:paraId="1A2F53C2"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24AD0814"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3" w:type="pct"/>
            <w:tcBorders>
              <w:top w:val="nil"/>
              <w:left w:val="nil"/>
              <w:bottom w:val="nil"/>
              <w:right w:val="nil"/>
            </w:tcBorders>
            <w:shd w:val="clear" w:color="000000" w:fill="FFFFFF"/>
            <w:noWrap/>
            <w:vAlign w:val="center"/>
            <w:hideMark/>
          </w:tcPr>
          <w:p w14:paraId="1D1BAF80"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2" w:type="pct"/>
            <w:tcBorders>
              <w:top w:val="nil"/>
              <w:left w:val="nil"/>
              <w:bottom w:val="nil"/>
              <w:right w:val="nil"/>
            </w:tcBorders>
            <w:shd w:val="clear" w:color="000000" w:fill="FFFFFF"/>
            <w:noWrap/>
            <w:vAlign w:val="center"/>
            <w:hideMark/>
          </w:tcPr>
          <w:p w14:paraId="4A2878DF" w14:textId="77777777" w:rsidR="00E96EC7" w:rsidRPr="00FD24B8" w:rsidRDefault="00E96EC7" w:rsidP="00C03E0F">
            <w:pPr>
              <w:spacing w:after="0" w:line="240" w:lineRule="auto"/>
              <w:jc w:val="right"/>
              <w:rPr>
                <w:rFonts w:ascii="Arial" w:hAnsi="Arial" w:cs="Arial"/>
                <w:sz w:val="16"/>
                <w:szCs w:val="16"/>
              </w:rPr>
            </w:pPr>
            <w:r w:rsidRPr="00FD24B8">
              <w:rPr>
                <w:rFonts w:ascii="Arial" w:hAnsi="Arial" w:cs="Arial"/>
                <w:sz w:val="16"/>
                <w:szCs w:val="16"/>
              </w:rPr>
              <w:t> </w:t>
            </w:r>
          </w:p>
        </w:tc>
      </w:tr>
      <w:tr w:rsidR="00C03E0F" w:rsidRPr="00131EBC" w14:paraId="43E2EE96"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7CC87979"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xml:space="preserve">Per cent of GDP </w:t>
            </w:r>
          </w:p>
        </w:tc>
        <w:tc>
          <w:tcPr>
            <w:tcW w:w="416" w:type="pct"/>
            <w:tcBorders>
              <w:top w:val="nil"/>
              <w:left w:val="nil"/>
              <w:bottom w:val="nil"/>
              <w:right w:val="nil"/>
            </w:tcBorders>
            <w:shd w:val="clear" w:color="000000" w:fill="FFFFFF"/>
            <w:noWrap/>
            <w:vAlign w:val="center"/>
            <w:hideMark/>
          </w:tcPr>
          <w:p w14:paraId="31E91F07"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28.6</w:t>
            </w:r>
          </w:p>
        </w:tc>
        <w:tc>
          <w:tcPr>
            <w:tcW w:w="60" w:type="pct"/>
            <w:tcBorders>
              <w:top w:val="nil"/>
              <w:left w:val="nil"/>
              <w:bottom w:val="nil"/>
              <w:right w:val="nil"/>
            </w:tcBorders>
            <w:shd w:val="clear" w:color="000000" w:fill="FFFFFF"/>
            <w:noWrap/>
            <w:vAlign w:val="center"/>
            <w:hideMark/>
          </w:tcPr>
          <w:p w14:paraId="575823FC"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6B696F9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27.6</w:t>
            </w:r>
          </w:p>
        </w:tc>
        <w:tc>
          <w:tcPr>
            <w:tcW w:w="408" w:type="pct"/>
            <w:tcBorders>
              <w:top w:val="nil"/>
              <w:left w:val="nil"/>
              <w:bottom w:val="nil"/>
              <w:right w:val="nil"/>
            </w:tcBorders>
            <w:shd w:val="clear" w:color="000000" w:fill="F2F9FC"/>
            <w:noWrap/>
            <w:vAlign w:val="center"/>
            <w:hideMark/>
          </w:tcPr>
          <w:p w14:paraId="46EA9CB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31.1</w:t>
            </w:r>
          </w:p>
        </w:tc>
        <w:tc>
          <w:tcPr>
            <w:tcW w:w="408" w:type="pct"/>
            <w:tcBorders>
              <w:top w:val="nil"/>
              <w:left w:val="nil"/>
              <w:bottom w:val="nil"/>
              <w:right w:val="nil"/>
            </w:tcBorders>
            <w:shd w:val="clear" w:color="000000" w:fill="FFFFFF"/>
            <w:noWrap/>
            <w:vAlign w:val="center"/>
            <w:hideMark/>
          </w:tcPr>
          <w:p w14:paraId="318A0BFE"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32.6</w:t>
            </w:r>
          </w:p>
        </w:tc>
        <w:tc>
          <w:tcPr>
            <w:tcW w:w="408" w:type="pct"/>
            <w:tcBorders>
              <w:top w:val="nil"/>
              <w:left w:val="nil"/>
              <w:bottom w:val="nil"/>
              <w:right w:val="nil"/>
            </w:tcBorders>
            <w:shd w:val="clear" w:color="000000" w:fill="FFFFFF"/>
            <w:noWrap/>
            <w:vAlign w:val="center"/>
            <w:hideMark/>
          </w:tcPr>
          <w:p w14:paraId="17FAD303"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33.1</w:t>
            </w:r>
          </w:p>
        </w:tc>
        <w:tc>
          <w:tcPr>
            <w:tcW w:w="408" w:type="pct"/>
            <w:tcBorders>
              <w:top w:val="nil"/>
              <w:left w:val="nil"/>
              <w:bottom w:val="nil"/>
              <w:right w:val="nil"/>
            </w:tcBorders>
            <w:shd w:val="clear" w:color="000000" w:fill="FFFFFF"/>
            <w:noWrap/>
            <w:vAlign w:val="center"/>
            <w:hideMark/>
          </w:tcPr>
          <w:p w14:paraId="0C7DD55D"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33.1</w:t>
            </w:r>
          </w:p>
        </w:tc>
        <w:tc>
          <w:tcPr>
            <w:tcW w:w="60" w:type="pct"/>
            <w:tcBorders>
              <w:top w:val="nil"/>
              <w:left w:val="nil"/>
              <w:bottom w:val="nil"/>
              <w:right w:val="nil"/>
            </w:tcBorders>
            <w:shd w:val="clear" w:color="000000" w:fill="FFFFFF"/>
            <w:noWrap/>
            <w:vAlign w:val="center"/>
            <w:hideMark/>
          </w:tcPr>
          <w:p w14:paraId="526EF7E6"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0629055B"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6EBF1C8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34B5F774" w14:textId="1E9D1EAE" w:rsidR="00E96EC7" w:rsidRPr="00FD24B8" w:rsidRDefault="00E96EC7" w:rsidP="00C03E0F">
            <w:pPr>
              <w:spacing w:after="0" w:line="240" w:lineRule="auto"/>
              <w:jc w:val="right"/>
              <w:rPr>
                <w:rFonts w:ascii="Arial" w:hAnsi="Arial" w:cs="Arial"/>
                <w:sz w:val="16"/>
                <w:szCs w:val="16"/>
              </w:rPr>
            </w:pPr>
            <w:r w:rsidRPr="00FD24B8">
              <w:rPr>
                <w:rFonts w:ascii="Arial" w:hAnsi="Arial" w:cs="Arial"/>
                <w:sz w:val="16"/>
                <w:szCs w:val="16"/>
              </w:rPr>
              <w:t> </w:t>
            </w:r>
            <w:r w:rsidR="00E2580F" w:rsidRPr="00FD24B8">
              <w:rPr>
                <w:rFonts w:ascii="Arial" w:hAnsi="Arial" w:cs="Arial"/>
                <w:sz w:val="16"/>
                <w:szCs w:val="16"/>
              </w:rPr>
              <w:t>26.9</w:t>
            </w:r>
          </w:p>
        </w:tc>
      </w:tr>
      <w:tr w:rsidR="00C03E0F" w:rsidRPr="00131EBC" w14:paraId="4760B671" w14:textId="77777777" w:rsidTr="00E61D91">
        <w:trPr>
          <w:trHeight w:hRule="exact" w:val="60"/>
        </w:trPr>
        <w:tc>
          <w:tcPr>
            <w:tcW w:w="1401" w:type="pct"/>
            <w:tcBorders>
              <w:top w:val="nil"/>
              <w:left w:val="nil"/>
              <w:bottom w:val="nil"/>
              <w:right w:val="nil"/>
            </w:tcBorders>
            <w:shd w:val="clear" w:color="000000" w:fill="FFFFFF"/>
            <w:noWrap/>
            <w:vAlign w:val="center"/>
            <w:hideMark/>
          </w:tcPr>
          <w:p w14:paraId="73E7DB56"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6" w:type="pct"/>
            <w:tcBorders>
              <w:top w:val="nil"/>
              <w:left w:val="nil"/>
              <w:bottom w:val="nil"/>
              <w:right w:val="nil"/>
            </w:tcBorders>
            <w:shd w:val="clear" w:color="000000" w:fill="FFFFFF"/>
            <w:noWrap/>
            <w:vAlign w:val="center"/>
            <w:hideMark/>
          </w:tcPr>
          <w:p w14:paraId="20D67332"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5E0E0FDE"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nil"/>
              <w:right w:val="nil"/>
            </w:tcBorders>
            <w:shd w:val="clear" w:color="000000" w:fill="FFFFFF"/>
            <w:noWrap/>
            <w:vAlign w:val="center"/>
            <w:hideMark/>
          </w:tcPr>
          <w:p w14:paraId="5C839528"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2F9FC"/>
            <w:noWrap/>
            <w:vAlign w:val="center"/>
            <w:hideMark/>
          </w:tcPr>
          <w:p w14:paraId="3EFE13BF"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344855A9"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560B14FA"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8" w:type="pct"/>
            <w:tcBorders>
              <w:top w:val="nil"/>
              <w:left w:val="nil"/>
              <w:bottom w:val="nil"/>
              <w:right w:val="nil"/>
            </w:tcBorders>
            <w:shd w:val="clear" w:color="000000" w:fill="FFFFFF"/>
            <w:noWrap/>
            <w:vAlign w:val="center"/>
            <w:hideMark/>
          </w:tcPr>
          <w:p w14:paraId="023099D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60" w:type="pct"/>
            <w:tcBorders>
              <w:top w:val="nil"/>
              <w:left w:val="nil"/>
              <w:bottom w:val="nil"/>
              <w:right w:val="nil"/>
            </w:tcBorders>
            <w:shd w:val="clear" w:color="000000" w:fill="FFFFFF"/>
            <w:noWrap/>
            <w:vAlign w:val="center"/>
            <w:hideMark/>
          </w:tcPr>
          <w:p w14:paraId="1D8A402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5BCB9506"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nil"/>
              <w:right w:val="nil"/>
            </w:tcBorders>
            <w:shd w:val="clear" w:color="000000" w:fill="FFFFFF"/>
            <w:noWrap/>
            <w:vAlign w:val="center"/>
            <w:hideMark/>
          </w:tcPr>
          <w:p w14:paraId="2C20DFE5"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043A306F" w14:textId="77777777" w:rsidR="00E96EC7" w:rsidRPr="00FD24B8" w:rsidRDefault="00E96EC7" w:rsidP="00C03E0F">
            <w:pPr>
              <w:spacing w:after="0" w:line="240" w:lineRule="auto"/>
              <w:jc w:val="right"/>
              <w:rPr>
                <w:rFonts w:ascii="Arial" w:hAnsi="Arial" w:cs="Arial"/>
                <w:sz w:val="16"/>
                <w:szCs w:val="16"/>
              </w:rPr>
            </w:pPr>
            <w:r w:rsidRPr="00FD24B8">
              <w:rPr>
                <w:rFonts w:ascii="Arial" w:hAnsi="Arial" w:cs="Arial"/>
                <w:sz w:val="16"/>
                <w:szCs w:val="16"/>
              </w:rPr>
              <w:t> </w:t>
            </w:r>
          </w:p>
        </w:tc>
      </w:tr>
      <w:tr w:rsidR="00C03E0F" w:rsidRPr="00131EBC" w14:paraId="482B4A2B" w14:textId="77777777" w:rsidTr="00E61D91">
        <w:trPr>
          <w:trHeight w:hRule="exact" w:val="225"/>
        </w:trPr>
        <w:tc>
          <w:tcPr>
            <w:tcW w:w="1401" w:type="pct"/>
            <w:tcBorders>
              <w:top w:val="nil"/>
              <w:left w:val="nil"/>
              <w:bottom w:val="nil"/>
              <w:right w:val="nil"/>
            </w:tcBorders>
            <w:shd w:val="clear" w:color="000000" w:fill="FFFFFF"/>
            <w:noWrap/>
            <w:vAlign w:val="center"/>
            <w:hideMark/>
          </w:tcPr>
          <w:p w14:paraId="6443D5A8" w14:textId="79019C80" w:rsidR="00E96EC7" w:rsidRPr="00131EBC" w:rsidRDefault="00E96EC7" w:rsidP="00E96EC7">
            <w:pPr>
              <w:spacing w:after="0" w:line="240" w:lineRule="auto"/>
              <w:jc w:val="left"/>
              <w:rPr>
                <w:rFonts w:ascii="Arial" w:hAnsi="Arial" w:cs="Arial"/>
                <w:b/>
                <w:sz w:val="16"/>
                <w:szCs w:val="16"/>
                <w:highlight w:val="darkCyan"/>
              </w:rPr>
            </w:pPr>
            <w:r w:rsidRPr="00FD24B8">
              <w:rPr>
                <w:rFonts w:ascii="Arial" w:hAnsi="Arial" w:cs="Arial"/>
                <w:b/>
                <w:sz w:val="16"/>
                <w:szCs w:val="16"/>
              </w:rPr>
              <w:t>Net interest payments</w:t>
            </w:r>
            <w:r w:rsidR="00625199" w:rsidRPr="00FD24B8">
              <w:rPr>
                <w:rFonts w:ascii="Arial" w:hAnsi="Arial" w:cs="Arial"/>
                <w:b/>
                <w:sz w:val="16"/>
                <w:szCs w:val="16"/>
              </w:rPr>
              <w:t>(</w:t>
            </w:r>
            <w:r w:rsidR="006F5B5B" w:rsidRPr="00FD24B8">
              <w:rPr>
                <w:rFonts w:ascii="Arial" w:hAnsi="Arial" w:cs="Arial"/>
                <w:b/>
                <w:sz w:val="16"/>
                <w:szCs w:val="16"/>
              </w:rPr>
              <w:t>e</w:t>
            </w:r>
            <w:r w:rsidR="00625199" w:rsidRPr="00FD24B8">
              <w:rPr>
                <w:rFonts w:ascii="Arial" w:hAnsi="Arial" w:cs="Arial"/>
                <w:b/>
                <w:sz w:val="16"/>
                <w:szCs w:val="16"/>
              </w:rPr>
              <w:t>)</w:t>
            </w:r>
          </w:p>
        </w:tc>
        <w:tc>
          <w:tcPr>
            <w:tcW w:w="416" w:type="pct"/>
            <w:tcBorders>
              <w:top w:val="nil"/>
              <w:left w:val="nil"/>
              <w:bottom w:val="nil"/>
              <w:right w:val="nil"/>
            </w:tcBorders>
            <w:shd w:val="clear" w:color="000000" w:fill="FFFFFF"/>
            <w:noWrap/>
            <w:vAlign w:val="center"/>
            <w:hideMark/>
          </w:tcPr>
          <w:p w14:paraId="1968683F"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14.3</w:t>
            </w:r>
          </w:p>
        </w:tc>
        <w:tc>
          <w:tcPr>
            <w:tcW w:w="60" w:type="pct"/>
            <w:tcBorders>
              <w:top w:val="nil"/>
              <w:left w:val="nil"/>
              <w:bottom w:val="nil"/>
              <w:right w:val="nil"/>
            </w:tcBorders>
            <w:shd w:val="clear" w:color="000000" w:fill="FFFFFF"/>
            <w:noWrap/>
            <w:vAlign w:val="center"/>
            <w:hideMark/>
          </w:tcPr>
          <w:p w14:paraId="55740709"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09" w:type="pct"/>
            <w:tcBorders>
              <w:top w:val="nil"/>
              <w:left w:val="nil"/>
              <w:bottom w:val="nil"/>
              <w:right w:val="nil"/>
            </w:tcBorders>
            <w:shd w:val="clear" w:color="000000" w:fill="FFFFFF"/>
            <w:noWrap/>
            <w:vAlign w:val="center"/>
            <w:hideMark/>
          </w:tcPr>
          <w:p w14:paraId="5F3ECF6A"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14.9</w:t>
            </w:r>
          </w:p>
        </w:tc>
        <w:tc>
          <w:tcPr>
            <w:tcW w:w="408" w:type="pct"/>
            <w:tcBorders>
              <w:top w:val="nil"/>
              <w:left w:val="nil"/>
              <w:bottom w:val="nil"/>
              <w:right w:val="nil"/>
            </w:tcBorders>
            <w:shd w:val="clear" w:color="000000" w:fill="F2F9FC"/>
            <w:noWrap/>
            <w:vAlign w:val="center"/>
            <w:hideMark/>
          </w:tcPr>
          <w:p w14:paraId="07A80BF9"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15.1</w:t>
            </w:r>
          </w:p>
        </w:tc>
        <w:tc>
          <w:tcPr>
            <w:tcW w:w="408" w:type="pct"/>
            <w:tcBorders>
              <w:top w:val="nil"/>
              <w:left w:val="nil"/>
              <w:bottom w:val="nil"/>
              <w:right w:val="nil"/>
            </w:tcBorders>
            <w:shd w:val="clear" w:color="000000" w:fill="FFFFFF"/>
            <w:noWrap/>
            <w:vAlign w:val="center"/>
            <w:hideMark/>
          </w:tcPr>
          <w:p w14:paraId="54E0099A"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16.9</w:t>
            </w:r>
          </w:p>
        </w:tc>
        <w:tc>
          <w:tcPr>
            <w:tcW w:w="408" w:type="pct"/>
            <w:tcBorders>
              <w:top w:val="nil"/>
              <w:left w:val="nil"/>
              <w:bottom w:val="nil"/>
              <w:right w:val="nil"/>
            </w:tcBorders>
            <w:shd w:val="clear" w:color="000000" w:fill="FFFFFF"/>
            <w:noWrap/>
            <w:vAlign w:val="center"/>
            <w:hideMark/>
          </w:tcPr>
          <w:p w14:paraId="31DD30FD"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18.0</w:t>
            </w:r>
          </w:p>
        </w:tc>
        <w:tc>
          <w:tcPr>
            <w:tcW w:w="408" w:type="pct"/>
            <w:tcBorders>
              <w:top w:val="nil"/>
              <w:left w:val="nil"/>
              <w:bottom w:val="nil"/>
              <w:right w:val="nil"/>
            </w:tcBorders>
            <w:shd w:val="clear" w:color="000000" w:fill="FFFFFF"/>
            <w:noWrap/>
            <w:vAlign w:val="center"/>
            <w:hideMark/>
          </w:tcPr>
          <w:p w14:paraId="0DAD1DCC" w14:textId="77777777"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22.4</w:t>
            </w:r>
          </w:p>
        </w:tc>
        <w:tc>
          <w:tcPr>
            <w:tcW w:w="60" w:type="pct"/>
            <w:tcBorders>
              <w:top w:val="nil"/>
              <w:left w:val="nil"/>
              <w:bottom w:val="nil"/>
              <w:right w:val="nil"/>
            </w:tcBorders>
            <w:shd w:val="clear" w:color="000000" w:fill="FFFFFF"/>
            <w:noWrap/>
            <w:vAlign w:val="center"/>
            <w:hideMark/>
          </w:tcPr>
          <w:p w14:paraId="455CE450"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nil"/>
              <w:right w:val="nil"/>
            </w:tcBorders>
            <w:shd w:val="clear" w:color="000000" w:fill="FFFFFF"/>
            <w:noWrap/>
            <w:vAlign w:val="center"/>
            <w:hideMark/>
          </w:tcPr>
          <w:p w14:paraId="17AFBCAA" w14:textId="7C85D121" w:rsidR="00E96EC7" w:rsidRPr="00131EBC" w:rsidRDefault="00E96EC7" w:rsidP="00E96EC7">
            <w:pPr>
              <w:spacing w:after="0" w:line="240" w:lineRule="auto"/>
              <w:jc w:val="right"/>
              <w:rPr>
                <w:rFonts w:ascii="Arial" w:hAnsi="Arial" w:cs="Arial"/>
                <w:b/>
                <w:sz w:val="16"/>
                <w:szCs w:val="16"/>
                <w:highlight w:val="darkCyan"/>
              </w:rPr>
            </w:pPr>
            <w:r w:rsidRPr="00FD24B8">
              <w:rPr>
                <w:rFonts w:ascii="Arial" w:hAnsi="Arial" w:cs="Arial"/>
                <w:b/>
                <w:sz w:val="16"/>
                <w:szCs w:val="16"/>
              </w:rPr>
              <w:t xml:space="preserve">72.3 </w:t>
            </w:r>
          </w:p>
        </w:tc>
        <w:tc>
          <w:tcPr>
            <w:tcW w:w="73" w:type="pct"/>
            <w:tcBorders>
              <w:top w:val="nil"/>
              <w:left w:val="nil"/>
              <w:bottom w:val="nil"/>
              <w:right w:val="nil"/>
            </w:tcBorders>
            <w:shd w:val="clear" w:color="000000" w:fill="FFFFFF"/>
            <w:noWrap/>
            <w:vAlign w:val="center"/>
            <w:hideMark/>
          </w:tcPr>
          <w:p w14:paraId="4BE572F0"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nil"/>
              <w:right w:val="nil"/>
            </w:tcBorders>
            <w:shd w:val="clear" w:color="000000" w:fill="FFFFFF"/>
            <w:noWrap/>
            <w:vAlign w:val="center"/>
            <w:hideMark/>
          </w:tcPr>
          <w:p w14:paraId="3C774F55" w14:textId="77777777" w:rsidR="00E96EC7" w:rsidRPr="00FD24B8" w:rsidRDefault="00E96EC7" w:rsidP="00C03E0F">
            <w:pPr>
              <w:spacing w:after="0" w:line="240" w:lineRule="auto"/>
              <w:jc w:val="right"/>
              <w:rPr>
                <w:rFonts w:ascii="Arial" w:hAnsi="Arial" w:cs="Arial"/>
                <w:sz w:val="16"/>
                <w:szCs w:val="16"/>
              </w:rPr>
            </w:pPr>
            <w:r w:rsidRPr="00FD24B8">
              <w:rPr>
                <w:rFonts w:ascii="Arial" w:hAnsi="Arial" w:cs="Arial"/>
                <w:sz w:val="16"/>
                <w:szCs w:val="16"/>
              </w:rPr>
              <w:t> </w:t>
            </w:r>
          </w:p>
        </w:tc>
      </w:tr>
      <w:tr w:rsidR="00C03E0F" w:rsidRPr="00131EBC" w14:paraId="6F7711D8" w14:textId="77777777" w:rsidTr="00E61D91">
        <w:trPr>
          <w:trHeight w:hRule="exact" w:val="225"/>
        </w:trPr>
        <w:tc>
          <w:tcPr>
            <w:tcW w:w="1401" w:type="pct"/>
            <w:tcBorders>
              <w:top w:val="nil"/>
              <w:left w:val="nil"/>
              <w:bottom w:val="single" w:sz="4" w:space="0" w:color="000000"/>
              <w:right w:val="nil"/>
            </w:tcBorders>
            <w:shd w:val="clear" w:color="000000" w:fill="FFFFFF"/>
            <w:noWrap/>
            <w:vAlign w:val="center"/>
            <w:hideMark/>
          </w:tcPr>
          <w:p w14:paraId="3FC928BD"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16" w:type="pct"/>
            <w:tcBorders>
              <w:top w:val="nil"/>
              <w:left w:val="nil"/>
              <w:bottom w:val="single" w:sz="4" w:space="0" w:color="000000"/>
              <w:right w:val="nil"/>
            </w:tcBorders>
            <w:shd w:val="clear" w:color="000000" w:fill="FFFFFF"/>
            <w:noWrap/>
            <w:vAlign w:val="center"/>
            <w:hideMark/>
          </w:tcPr>
          <w:p w14:paraId="232CC1B0"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60" w:type="pct"/>
            <w:tcBorders>
              <w:top w:val="nil"/>
              <w:left w:val="nil"/>
              <w:bottom w:val="single" w:sz="4" w:space="0" w:color="000000"/>
              <w:right w:val="nil"/>
            </w:tcBorders>
            <w:shd w:val="clear" w:color="000000" w:fill="FFFFFF"/>
            <w:noWrap/>
            <w:vAlign w:val="center"/>
            <w:hideMark/>
          </w:tcPr>
          <w:p w14:paraId="070F4D6A"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09" w:type="pct"/>
            <w:tcBorders>
              <w:top w:val="nil"/>
              <w:left w:val="nil"/>
              <w:bottom w:val="single" w:sz="4" w:space="0" w:color="000000"/>
              <w:right w:val="nil"/>
            </w:tcBorders>
            <w:shd w:val="clear" w:color="000000" w:fill="FFFFFF"/>
            <w:noWrap/>
            <w:vAlign w:val="center"/>
            <w:hideMark/>
          </w:tcPr>
          <w:p w14:paraId="71199221"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408" w:type="pct"/>
            <w:tcBorders>
              <w:top w:val="nil"/>
              <w:left w:val="nil"/>
              <w:bottom w:val="single" w:sz="4" w:space="0" w:color="000000"/>
              <w:right w:val="nil"/>
            </w:tcBorders>
            <w:shd w:val="clear" w:color="000000" w:fill="F2F9FC"/>
            <w:noWrap/>
            <w:vAlign w:val="center"/>
            <w:hideMark/>
          </w:tcPr>
          <w:p w14:paraId="7D07E5C9"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408" w:type="pct"/>
            <w:tcBorders>
              <w:top w:val="nil"/>
              <w:left w:val="nil"/>
              <w:bottom w:val="single" w:sz="4" w:space="0" w:color="000000"/>
              <w:right w:val="nil"/>
            </w:tcBorders>
            <w:shd w:val="clear" w:color="000000" w:fill="FFFFFF"/>
            <w:noWrap/>
            <w:vAlign w:val="center"/>
            <w:hideMark/>
          </w:tcPr>
          <w:p w14:paraId="33073C24"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408" w:type="pct"/>
            <w:tcBorders>
              <w:top w:val="nil"/>
              <w:left w:val="nil"/>
              <w:bottom w:val="single" w:sz="4" w:space="0" w:color="000000"/>
              <w:right w:val="nil"/>
            </w:tcBorders>
            <w:shd w:val="clear" w:color="000000" w:fill="FFFFFF"/>
            <w:noWrap/>
            <w:vAlign w:val="center"/>
            <w:hideMark/>
          </w:tcPr>
          <w:p w14:paraId="379B0F1D"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408" w:type="pct"/>
            <w:tcBorders>
              <w:top w:val="nil"/>
              <w:left w:val="nil"/>
              <w:bottom w:val="single" w:sz="4" w:space="0" w:color="000000"/>
              <w:right w:val="nil"/>
            </w:tcBorders>
            <w:shd w:val="clear" w:color="000000" w:fill="FFFFFF"/>
            <w:noWrap/>
            <w:vAlign w:val="center"/>
            <w:hideMark/>
          </w:tcPr>
          <w:p w14:paraId="529FA3CD" w14:textId="77777777" w:rsidR="00E96EC7" w:rsidRPr="00131EBC" w:rsidRDefault="00E96EC7" w:rsidP="00E96EC7">
            <w:pPr>
              <w:spacing w:after="0" w:line="240" w:lineRule="auto"/>
              <w:jc w:val="right"/>
              <w:rPr>
                <w:rFonts w:ascii="Arial" w:hAnsi="Arial" w:cs="Arial"/>
                <w:sz w:val="16"/>
                <w:szCs w:val="16"/>
                <w:highlight w:val="darkCyan"/>
              </w:rPr>
            </w:pPr>
            <w:r w:rsidRPr="00FD24B8">
              <w:rPr>
                <w:rFonts w:ascii="Arial" w:hAnsi="Arial" w:cs="Arial"/>
                <w:sz w:val="16"/>
                <w:szCs w:val="16"/>
              </w:rPr>
              <w:t>0.9</w:t>
            </w:r>
          </w:p>
        </w:tc>
        <w:tc>
          <w:tcPr>
            <w:tcW w:w="60" w:type="pct"/>
            <w:tcBorders>
              <w:top w:val="nil"/>
              <w:left w:val="nil"/>
              <w:bottom w:val="single" w:sz="4" w:space="0" w:color="000000"/>
              <w:right w:val="nil"/>
            </w:tcBorders>
            <w:shd w:val="clear" w:color="000000" w:fill="FFFFFF"/>
            <w:noWrap/>
            <w:vAlign w:val="center"/>
            <w:hideMark/>
          </w:tcPr>
          <w:p w14:paraId="515BC843"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17" w:type="pct"/>
            <w:tcBorders>
              <w:top w:val="nil"/>
              <w:left w:val="nil"/>
              <w:bottom w:val="single" w:sz="4" w:space="0" w:color="000000"/>
              <w:right w:val="nil"/>
            </w:tcBorders>
            <w:shd w:val="clear" w:color="000000" w:fill="FFFFFF"/>
            <w:noWrap/>
            <w:vAlign w:val="center"/>
            <w:hideMark/>
          </w:tcPr>
          <w:p w14:paraId="491E958B"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73" w:type="pct"/>
            <w:tcBorders>
              <w:top w:val="nil"/>
              <w:left w:val="nil"/>
              <w:bottom w:val="single" w:sz="4" w:space="0" w:color="000000"/>
              <w:right w:val="nil"/>
            </w:tcBorders>
            <w:shd w:val="clear" w:color="000000" w:fill="FFFFFF"/>
            <w:noWrap/>
            <w:vAlign w:val="center"/>
            <w:hideMark/>
          </w:tcPr>
          <w:p w14:paraId="355BE238" w14:textId="77777777" w:rsidR="00E96EC7" w:rsidRPr="00131EBC" w:rsidRDefault="00E96EC7" w:rsidP="00E96EC7">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32" w:type="pct"/>
            <w:tcBorders>
              <w:top w:val="nil"/>
              <w:left w:val="nil"/>
              <w:bottom w:val="single" w:sz="4" w:space="0" w:color="000000"/>
              <w:right w:val="nil"/>
            </w:tcBorders>
            <w:shd w:val="clear" w:color="000000" w:fill="FFFFFF"/>
            <w:noWrap/>
            <w:vAlign w:val="center"/>
            <w:hideMark/>
          </w:tcPr>
          <w:p w14:paraId="21024753" w14:textId="6068019B" w:rsidR="00E96EC7" w:rsidRPr="00FD24B8" w:rsidRDefault="00E96EC7" w:rsidP="00C03E0F">
            <w:pPr>
              <w:spacing w:after="0" w:line="240" w:lineRule="auto"/>
              <w:jc w:val="right"/>
              <w:rPr>
                <w:rFonts w:ascii="Arial" w:hAnsi="Arial" w:cs="Arial"/>
                <w:sz w:val="16"/>
                <w:szCs w:val="16"/>
              </w:rPr>
            </w:pPr>
            <w:r w:rsidRPr="00FD24B8">
              <w:rPr>
                <w:rFonts w:ascii="Arial" w:hAnsi="Arial" w:cs="Arial"/>
                <w:sz w:val="16"/>
                <w:szCs w:val="16"/>
              </w:rPr>
              <w:t> </w:t>
            </w:r>
            <w:r w:rsidR="00E2580F" w:rsidRPr="00FD24B8">
              <w:rPr>
                <w:rFonts w:ascii="Arial" w:hAnsi="Arial" w:cs="Arial"/>
                <w:sz w:val="16"/>
                <w:szCs w:val="16"/>
              </w:rPr>
              <w:t>0.8</w:t>
            </w:r>
          </w:p>
        </w:tc>
      </w:tr>
    </w:tbl>
    <w:p w14:paraId="4293EF09" w14:textId="21E40359" w:rsidR="00904879" w:rsidRPr="00FD24B8" w:rsidRDefault="005D73AE" w:rsidP="00147C42">
      <w:pPr>
        <w:pStyle w:val="ChartandTableFootnoteAlpha"/>
        <w:numPr>
          <w:ilvl w:val="0"/>
          <w:numId w:val="6"/>
        </w:numPr>
        <w:rPr>
          <w:color w:val="auto"/>
        </w:rPr>
      </w:pPr>
      <w:r w:rsidRPr="00FD24B8">
        <w:rPr>
          <w:color w:val="auto"/>
        </w:rPr>
        <w:t>Total is equal to the sum of amounts from 2022</w:t>
      </w:r>
      <w:r w:rsidR="00C1771F" w:rsidRPr="00FD24B8">
        <w:rPr>
          <w:color w:val="auto"/>
        </w:rPr>
        <w:noBreakHyphen/>
      </w:r>
      <w:r w:rsidRPr="00FD24B8">
        <w:rPr>
          <w:color w:val="auto"/>
        </w:rPr>
        <w:t>23 to 2025</w:t>
      </w:r>
      <w:r w:rsidR="00C1771F" w:rsidRPr="00FD24B8">
        <w:rPr>
          <w:color w:val="auto"/>
        </w:rPr>
        <w:noBreakHyphen/>
      </w:r>
      <w:r w:rsidRPr="00FD24B8">
        <w:rPr>
          <w:color w:val="auto"/>
        </w:rPr>
        <w:t>26.</w:t>
      </w:r>
    </w:p>
    <w:p w14:paraId="201B01F0" w14:textId="0519BE7D" w:rsidR="005D73AE" w:rsidRPr="00FD24B8" w:rsidRDefault="005D73AE" w:rsidP="006755A3">
      <w:pPr>
        <w:pStyle w:val="ChartandTableFootnoteAlpha"/>
        <w:rPr>
          <w:color w:val="auto"/>
        </w:rPr>
      </w:pPr>
      <w:r w:rsidRPr="00FD24B8">
        <w:rPr>
          <w:color w:val="auto"/>
        </w:rPr>
        <w:t>Equivalent to cash payments for operating activities, purchases of non</w:t>
      </w:r>
      <w:r w:rsidRPr="00FD24B8">
        <w:rPr>
          <w:color w:val="auto"/>
        </w:rPr>
        <w:noBreakHyphen/>
        <w:t>financial assets and net cash flows from financing activities for leases.</w:t>
      </w:r>
    </w:p>
    <w:p w14:paraId="69F2C9CD" w14:textId="344C7B4C" w:rsidR="000B0D21" w:rsidRPr="00A56B05" w:rsidRDefault="0092590D" w:rsidP="000E4B9E">
      <w:pPr>
        <w:pStyle w:val="ChartandTableFootnoteAlpha"/>
      </w:pPr>
      <w:r w:rsidRPr="00FD24B8">
        <w:rPr>
          <w:color w:val="auto"/>
        </w:rPr>
        <w:fldChar w:fldCharType="begin"/>
      </w:r>
      <w:r w:rsidRPr="00FD24B8">
        <w:rPr>
          <w:color w:val="auto"/>
        </w:rPr>
        <w:instrText xml:space="preserve"> :End:FARM_LS1 </w:instrText>
      </w:r>
      <w:r w:rsidRPr="00FD24B8">
        <w:rPr>
          <w:color w:val="auto"/>
        </w:rPr>
        <w:fldChar w:fldCharType="end"/>
      </w:r>
      <w:r w:rsidRPr="00FD24B8">
        <w:rPr>
          <w:color w:val="auto"/>
        </w:rPr>
        <w:fldChar w:fldCharType="begin"/>
      </w:r>
      <w:r w:rsidRPr="00FD24B8">
        <w:rPr>
          <w:color w:val="auto"/>
        </w:rPr>
        <w:instrText xml:space="preserve"> :Start:BPD_BG1 </w:instrText>
      </w:r>
      <w:r w:rsidRPr="00FD24B8">
        <w:rPr>
          <w:color w:val="auto"/>
        </w:rPr>
        <w:fldChar w:fldCharType="end"/>
      </w:r>
      <w:r w:rsidR="000B0D21" w:rsidRPr="00FD24B8">
        <w:rPr>
          <w:color w:val="auto"/>
        </w:rPr>
        <w:t xml:space="preserve">Gross debt measures the face value of </w:t>
      </w:r>
      <w:r w:rsidR="00906435" w:rsidRPr="00FD24B8">
        <w:rPr>
          <w:color w:val="auto"/>
        </w:rPr>
        <w:t>Australian Government Securities (</w:t>
      </w:r>
      <w:r w:rsidR="000B0D21" w:rsidRPr="00FD24B8">
        <w:rPr>
          <w:color w:val="auto"/>
        </w:rPr>
        <w:t>AGS</w:t>
      </w:r>
      <w:r w:rsidR="00906435" w:rsidRPr="00FD24B8">
        <w:rPr>
          <w:color w:val="auto"/>
        </w:rPr>
        <w:t>)</w:t>
      </w:r>
      <w:r w:rsidR="000B0D21" w:rsidRPr="00FD24B8">
        <w:rPr>
          <w:color w:val="auto"/>
        </w:rPr>
        <w:t xml:space="preserve"> on issue.</w:t>
      </w:r>
      <w:r w:rsidRPr="00FD24B8">
        <w:rPr>
          <w:color w:val="auto"/>
        </w:rPr>
        <w:t xml:space="preserve"> </w:t>
      </w:r>
      <w:r w:rsidRPr="00A56B05">
        <w:fldChar w:fldCharType="begin"/>
      </w:r>
      <w:r w:rsidRPr="00A56B05">
        <w:instrText xml:space="preserve"> :</w:instrText>
      </w:r>
      <w:r>
        <w:instrText>End</w:instrText>
      </w:r>
      <w:r w:rsidRPr="00A56B05">
        <w:instrText xml:space="preserve">:BPD_BG1 </w:instrText>
      </w:r>
      <w:r w:rsidRPr="00A56B05">
        <w:fldChar w:fldCharType="end"/>
      </w:r>
    </w:p>
    <w:p w14:paraId="0E50DFB6" w14:textId="46C692A7" w:rsidR="000E4B9E" w:rsidRPr="00FD24B8" w:rsidRDefault="00D16B7B" w:rsidP="00B952A1">
      <w:pPr>
        <w:pStyle w:val="ChartandTableFootnoteAlpha"/>
        <w:rPr>
          <w:color w:val="auto"/>
        </w:rPr>
      </w:pPr>
      <w:r w:rsidRPr="00236EC4">
        <w:fldChar w:fldCharType="begin"/>
      </w:r>
      <w:r w:rsidRPr="00236EC4">
        <w:instrText xml:space="preserve"> :Start:FARM_LS1 </w:instrText>
      </w:r>
      <w:r w:rsidRPr="00236EC4">
        <w:fldChar w:fldCharType="end"/>
      </w:r>
      <w:r w:rsidR="00AE1ACA" w:rsidRPr="00FD24B8">
        <w:rPr>
          <w:color w:val="auto"/>
        </w:rPr>
        <w:t xml:space="preserve">Net debt is the sum of </w:t>
      </w:r>
      <w:proofErr w:type="gramStart"/>
      <w:r w:rsidR="00AE1ACA" w:rsidRPr="00FD24B8">
        <w:rPr>
          <w:color w:val="auto"/>
        </w:rPr>
        <w:t>interest bearing</w:t>
      </w:r>
      <w:proofErr w:type="gramEnd"/>
      <w:r w:rsidR="00AE1ACA" w:rsidRPr="00FD24B8">
        <w:rPr>
          <w:color w:val="auto"/>
        </w:rPr>
        <w:t xml:space="preserve"> liabilities (which includes </w:t>
      </w:r>
      <w:r w:rsidR="00081458" w:rsidRPr="00FD24B8">
        <w:rPr>
          <w:color w:val="auto"/>
        </w:rPr>
        <w:t>AGS on issue measured at market value) less the sum of selected financial assets (cash and deposits, advances paid and investments, loans and placements).</w:t>
      </w:r>
      <w:r w:rsidR="00236EC4" w:rsidRPr="00FD24B8">
        <w:rPr>
          <w:color w:val="auto"/>
        </w:rPr>
        <w:t xml:space="preserve"> </w:t>
      </w:r>
      <w:r w:rsidR="00236EC4" w:rsidRPr="00FD24B8">
        <w:rPr>
          <w:color w:val="auto"/>
        </w:rPr>
        <w:fldChar w:fldCharType="begin"/>
      </w:r>
      <w:r w:rsidR="00236EC4" w:rsidRPr="00FD24B8">
        <w:rPr>
          <w:color w:val="auto"/>
        </w:rPr>
        <w:instrText xml:space="preserve"> :End:FARM_LS1 </w:instrText>
      </w:r>
      <w:r w:rsidR="00236EC4" w:rsidRPr="00FD24B8">
        <w:rPr>
          <w:color w:val="auto"/>
        </w:rPr>
        <w:fldChar w:fldCharType="end"/>
      </w:r>
      <w:r w:rsidR="00236EC4" w:rsidRPr="00FD24B8">
        <w:rPr>
          <w:color w:val="auto"/>
        </w:rPr>
        <w:fldChar w:fldCharType="begin"/>
      </w:r>
      <w:r w:rsidR="00236EC4" w:rsidRPr="00FD24B8">
        <w:rPr>
          <w:color w:val="auto"/>
        </w:rPr>
        <w:instrText xml:space="preserve"> :Start:BPD_BG3 </w:instrText>
      </w:r>
      <w:r w:rsidR="00236EC4" w:rsidRPr="00FD24B8">
        <w:rPr>
          <w:color w:val="auto"/>
        </w:rPr>
        <w:fldChar w:fldCharType="end"/>
      </w:r>
    </w:p>
    <w:p w14:paraId="58DC08BA" w14:textId="654A300C" w:rsidR="00236EC4" w:rsidRDefault="00D94E4B" w:rsidP="0071443B">
      <w:pPr>
        <w:pStyle w:val="ChartandTableFootnoteAlpha"/>
      </w:pPr>
      <w:r w:rsidRPr="00FD24B8">
        <w:rPr>
          <w:color w:val="auto"/>
        </w:rPr>
        <w:t>Net interest payments are equal to the difference between interest payments and interest receipts. The increase in 2025</w:t>
      </w:r>
      <w:r w:rsidR="0031144A" w:rsidRPr="00FD24B8">
        <w:rPr>
          <w:color w:val="auto"/>
        </w:rPr>
        <w:noBreakHyphen/>
      </w:r>
      <w:r w:rsidRPr="00FD24B8">
        <w:rPr>
          <w:color w:val="auto"/>
        </w:rPr>
        <w:t xml:space="preserve">26 primarily reflects a Treasury Indexed Bond maturing in that year (details can be found in </w:t>
      </w:r>
      <w:r w:rsidRPr="00FD24B8">
        <w:rPr>
          <w:i/>
          <w:iCs/>
          <w:color w:val="auto"/>
        </w:rPr>
        <w:t>Statement 6: Debt Statement</w:t>
      </w:r>
      <w:r w:rsidRPr="00FD24B8">
        <w:rPr>
          <w:color w:val="auto"/>
        </w:rPr>
        <w:t xml:space="preserve">). </w:t>
      </w:r>
      <w:r w:rsidR="00C95291">
        <w:fldChar w:fldCharType="begin"/>
      </w:r>
      <w:r w:rsidR="00C95291">
        <w:instrText xml:space="preserve"> :End:BPD_BG3 </w:instrText>
      </w:r>
      <w:r w:rsidR="00C95291">
        <w:fldChar w:fldCharType="end"/>
      </w:r>
    </w:p>
    <w:bookmarkStart w:id="5" w:name="_Toc98757982"/>
    <w:p w14:paraId="1E096A25" w14:textId="7FD3CC98" w:rsidR="00F961A7" w:rsidRPr="00FD24B8" w:rsidRDefault="007A55F8" w:rsidP="00F961A7">
      <w:pPr>
        <w:pStyle w:val="Heading2"/>
        <w:spacing w:after="120"/>
        <w:jc w:val="both"/>
      </w:pPr>
      <w:r w:rsidRPr="00A56B05">
        <w:fldChar w:fldCharType="begin"/>
      </w:r>
      <w:r w:rsidRPr="00A56B05">
        <w:instrText xml:space="preserve"> :Start:BPD_BG1 </w:instrText>
      </w:r>
      <w:r w:rsidRPr="00A56B05">
        <w:fldChar w:fldCharType="end"/>
      </w:r>
      <w:bookmarkStart w:id="6" w:name="_Toc99102041"/>
      <w:r w:rsidR="00292DAA" w:rsidRPr="00FD24B8">
        <w:t>Economic and Fiscal Strategy</w:t>
      </w:r>
      <w:bookmarkEnd w:id="5"/>
      <w:bookmarkEnd w:id="6"/>
    </w:p>
    <w:p w14:paraId="5294D9E2" w14:textId="7C2F793B" w:rsidR="00D417E4" w:rsidRPr="00FD24B8" w:rsidRDefault="00D417E4" w:rsidP="000B692B">
      <w:r w:rsidRPr="00FD24B8">
        <w:t>The Governmen</w:t>
      </w:r>
      <w:r w:rsidR="008E2F2C" w:rsidRPr="00FD24B8">
        <w:t xml:space="preserve">t </w:t>
      </w:r>
      <w:r w:rsidR="00F41064" w:rsidRPr="00FD24B8">
        <w:t>has</w:t>
      </w:r>
      <w:r w:rsidR="008E2F2C" w:rsidRPr="00FD24B8">
        <w:t xml:space="preserve"> </w:t>
      </w:r>
      <w:r w:rsidR="009A33A4" w:rsidRPr="00FD24B8">
        <w:t>transitioned</w:t>
      </w:r>
      <w:r w:rsidR="008E2F2C" w:rsidRPr="00FD24B8">
        <w:t xml:space="preserve"> to </w:t>
      </w:r>
      <w:r w:rsidR="002C2FAB" w:rsidRPr="00FD24B8">
        <w:t>the</w:t>
      </w:r>
      <w:r w:rsidR="009A33A4" w:rsidRPr="00FD24B8">
        <w:t xml:space="preserve"> medium</w:t>
      </w:r>
      <w:r w:rsidR="00C1771F" w:rsidRPr="00FD24B8">
        <w:noBreakHyphen/>
      </w:r>
      <w:r w:rsidR="00125440" w:rsidRPr="00FD24B8">
        <w:t>term</w:t>
      </w:r>
      <w:r w:rsidR="009944F9" w:rsidRPr="00FD24B8">
        <w:t xml:space="preserve"> phase of </w:t>
      </w:r>
      <w:r w:rsidR="00226377" w:rsidRPr="00FD24B8">
        <w:t>the</w:t>
      </w:r>
      <w:r w:rsidR="00292DAA" w:rsidRPr="00FD24B8">
        <w:t xml:space="preserve"> Economic and Fiscal Strategy</w:t>
      </w:r>
      <w:r w:rsidR="004D1304" w:rsidRPr="00FD24B8">
        <w:t xml:space="preserve">, </w:t>
      </w:r>
      <w:r w:rsidR="00D43C1B" w:rsidRPr="00FD24B8">
        <w:t>acknowledg</w:t>
      </w:r>
      <w:r w:rsidR="004D1304" w:rsidRPr="00FD24B8">
        <w:t>ing</w:t>
      </w:r>
      <w:r w:rsidR="00D43C1B" w:rsidRPr="00FD24B8">
        <w:t xml:space="preserve"> </w:t>
      </w:r>
      <w:r w:rsidR="00D86AA7" w:rsidRPr="00FD24B8">
        <w:t xml:space="preserve">Australia’s </w:t>
      </w:r>
      <w:r w:rsidR="000C7192" w:rsidRPr="00FD24B8">
        <w:t xml:space="preserve">strong </w:t>
      </w:r>
      <w:r w:rsidR="00EB1791" w:rsidRPr="00FD24B8">
        <w:t xml:space="preserve">economic </w:t>
      </w:r>
      <w:r w:rsidR="00D86AA7" w:rsidRPr="00FD24B8">
        <w:t xml:space="preserve">recovery </w:t>
      </w:r>
      <w:r w:rsidR="000266C7" w:rsidRPr="00FD24B8">
        <w:t>and</w:t>
      </w:r>
      <w:r w:rsidR="00D43C1B" w:rsidRPr="00FD24B8">
        <w:t xml:space="preserve"> </w:t>
      </w:r>
      <w:r w:rsidR="00EF6B66" w:rsidRPr="00FD24B8">
        <w:t xml:space="preserve">that the time for </w:t>
      </w:r>
      <w:r w:rsidR="00DF31AA" w:rsidRPr="00FD24B8">
        <w:t xml:space="preserve">emergency </w:t>
      </w:r>
      <w:r w:rsidR="00EF6B66" w:rsidRPr="00FD24B8">
        <w:t xml:space="preserve">fiscal support </w:t>
      </w:r>
      <w:r w:rsidR="00725E8D" w:rsidRPr="00FD24B8">
        <w:t>has</w:t>
      </w:r>
      <w:r w:rsidR="00E13599" w:rsidRPr="00FD24B8">
        <w:t xml:space="preserve"> passed</w:t>
      </w:r>
      <w:r w:rsidR="004D5E4D" w:rsidRPr="00FD24B8">
        <w:t xml:space="preserve">. </w:t>
      </w:r>
    </w:p>
    <w:p w14:paraId="2971EB24" w14:textId="03D5E3C3" w:rsidR="007D6630" w:rsidRPr="00FD24B8" w:rsidRDefault="004D1304" w:rsidP="007D6630">
      <w:r w:rsidRPr="00FD24B8">
        <w:t>The</w:t>
      </w:r>
      <w:r w:rsidR="00035C01" w:rsidRPr="00FD24B8" w:rsidDel="004D1304">
        <w:t xml:space="preserve"> </w:t>
      </w:r>
      <w:r w:rsidRPr="00FD24B8">
        <w:t>Government</w:t>
      </w:r>
      <w:r w:rsidR="00035C01" w:rsidRPr="00FD24B8">
        <w:t xml:space="preserve"> </w:t>
      </w:r>
      <w:r w:rsidR="00B25022" w:rsidRPr="00FD24B8">
        <w:t xml:space="preserve">continues to </w:t>
      </w:r>
      <w:r w:rsidR="007D6630" w:rsidRPr="00FD24B8">
        <w:t>prioritise sustainable, private sector</w:t>
      </w:r>
      <w:r w:rsidR="00C1771F" w:rsidRPr="00FD24B8">
        <w:noBreakHyphen/>
      </w:r>
      <w:r w:rsidR="007D6630" w:rsidRPr="00FD24B8">
        <w:t>led growth and job creation</w:t>
      </w:r>
      <w:r w:rsidR="00365EC2" w:rsidRPr="00FD24B8">
        <w:t>,</w:t>
      </w:r>
      <w:r w:rsidR="007D6630" w:rsidRPr="00FD24B8">
        <w:t xml:space="preserve"> and </w:t>
      </w:r>
      <w:r w:rsidR="00F57BFB" w:rsidRPr="00FD24B8">
        <w:t xml:space="preserve">restoring the fiscal position </w:t>
      </w:r>
      <w:r w:rsidR="00230945" w:rsidRPr="00FD24B8">
        <w:t xml:space="preserve">to </w:t>
      </w:r>
      <w:r w:rsidR="007D6630" w:rsidRPr="00FD24B8">
        <w:t>ensur</w:t>
      </w:r>
      <w:r w:rsidR="00230945" w:rsidRPr="00FD24B8">
        <w:t>e</w:t>
      </w:r>
      <w:r w:rsidR="007D6630" w:rsidRPr="00FD24B8">
        <w:t xml:space="preserve"> </w:t>
      </w:r>
      <w:r w:rsidR="00E67457" w:rsidRPr="00FD24B8">
        <w:t xml:space="preserve">that </w:t>
      </w:r>
      <w:r w:rsidR="007D6630" w:rsidRPr="00FD24B8">
        <w:t xml:space="preserve">Australia is well placed to respond to future shocks. </w:t>
      </w:r>
      <w:r w:rsidR="007A55F8" w:rsidRPr="00FD24B8">
        <w:fldChar w:fldCharType="begin"/>
      </w:r>
      <w:r w:rsidR="007A55F8" w:rsidRPr="00FD24B8">
        <w:instrText xml:space="preserve"> :End:BPD_BG1 </w:instrText>
      </w:r>
      <w:r w:rsidR="007A55F8" w:rsidRPr="00FD24B8">
        <w:fldChar w:fldCharType="end"/>
      </w:r>
      <w:r w:rsidR="00A17C47" w:rsidRPr="00FD24B8">
        <w:fldChar w:fldCharType="begin"/>
      </w:r>
      <w:r w:rsidR="00A17C47" w:rsidRPr="00FD24B8">
        <w:instrText xml:space="preserve"> :Start:BPD_BG1 </w:instrText>
      </w:r>
      <w:r w:rsidR="00A17C47" w:rsidRPr="00FD24B8">
        <w:fldChar w:fldCharType="end"/>
      </w:r>
      <w:r w:rsidR="00E51A9C" w:rsidRPr="00FD24B8">
        <w:t xml:space="preserve">The Government will </w:t>
      </w:r>
      <w:r w:rsidR="00B41EC0" w:rsidRPr="00FD24B8">
        <w:t xml:space="preserve">also </w:t>
      </w:r>
      <w:r w:rsidR="00E51A9C" w:rsidRPr="00FD24B8">
        <w:t>prioritis</w:t>
      </w:r>
      <w:r w:rsidR="00FC04A8" w:rsidRPr="00FD24B8">
        <w:t>e</w:t>
      </w:r>
      <w:r w:rsidR="00E51A9C" w:rsidRPr="00FD24B8">
        <w:t xml:space="preserve"> structural reforms and other measures that expand the economy’s supply side </w:t>
      </w:r>
      <w:r w:rsidR="00016A9F" w:rsidRPr="00FD24B8">
        <w:t>capacity</w:t>
      </w:r>
      <w:r w:rsidR="00686F85" w:rsidRPr="00FD24B8">
        <w:t xml:space="preserve">. </w:t>
      </w:r>
      <w:r w:rsidR="007D6630" w:rsidRPr="00FD24B8">
        <w:t xml:space="preserve">By supporting economic growth over the medium term, the </w:t>
      </w:r>
      <w:r w:rsidR="00627FBA" w:rsidRPr="00FD24B8">
        <w:t>s</w:t>
      </w:r>
      <w:r w:rsidR="007D6630" w:rsidRPr="00FD24B8">
        <w:t xml:space="preserve">trategy will underpin stronger public finances, guarantee provision of essential services and </w:t>
      </w:r>
      <w:r w:rsidR="000107AC" w:rsidRPr="00FD24B8">
        <w:t>maintain taxes within the 23.9 per cent tax</w:t>
      </w:r>
      <w:r w:rsidR="0031144A" w:rsidRPr="00FD24B8">
        <w:noBreakHyphen/>
      </w:r>
      <w:r w:rsidR="000107AC" w:rsidRPr="00FD24B8">
        <w:t>to</w:t>
      </w:r>
      <w:r w:rsidR="0031144A" w:rsidRPr="00FD24B8">
        <w:noBreakHyphen/>
      </w:r>
      <w:r w:rsidR="000107AC" w:rsidRPr="00FD24B8">
        <w:t>GDP cap</w:t>
      </w:r>
      <w:r w:rsidR="007D6630" w:rsidRPr="00FD24B8">
        <w:t>.</w:t>
      </w:r>
      <w:r w:rsidR="00731BF8" w:rsidRPr="00FD24B8">
        <w:t xml:space="preserve"> </w:t>
      </w:r>
    </w:p>
    <w:p w14:paraId="3BE61FF0" w14:textId="00A4152A" w:rsidR="00541478" w:rsidRPr="00A56B05" w:rsidRDefault="00F273B2" w:rsidP="002D2102">
      <w:r w:rsidRPr="00FD24B8">
        <w:t xml:space="preserve">The Government’s fiscal policy </w:t>
      </w:r>
      <w:r w:rsidR="00FA039B" w:rsidRPr="00FD24B8">
        <w:t xml:space="preserve">settings over the past two years have served Australia well. </w:t>
      </w:r>
      <w:r w:rsidR="00893E45" w:rsidRPr="00FD24B8">
        <w:t>The substantial COVID</w:t>
      </w:r>
      <w:r w:rsidR="00C1771F" w:rsidRPr="00FD24B8">
        <w:noBreakHyphen/>
      </w:r>
      <w:r w:rsidR="00893E45" w:rsidRPr="00FD24B8">
        <w:t xml:space="preserve">19 economic support along with Australia’s success in managing the health situation has been instrumental in </w:t>
      </w:r>
      <w:r w:rsidR="00B41EC0" w:rsidRPr="00FD24B8">
        <w:t>the</w:t>
      </w:r>
      <w:r w:rsidR="00893E45" w:rsidRPr="00FD24B8">
        <w:t xml:space="preserve"> </w:t>
      </w:r>
      <w:r w:rsidR="006B50C3" w:rsidRPr="00FD24B8">
        <w:t xml:space="preserve">strong </w:t>
      </w:r>
      <w:r w:rsidR="00893E45" w:rsidRPr="00FD24B8">
        <w:t>economic recovery</w:t>
      </w:r>
      <w:r w:rsidR="000D5CB2" w:rsidRPr="00FD24B8">
        <w:t xml:space="preserve">. </w:t>
      </w:r>
      <w:r w:rsidR="00D74643" w:rsidRPr="00FD24B8">
        <w:lastRenderedPageBreak/>
        <w:t>While the</w:t>
      </w:r>
      <w:r w:rsidR="005C064F" w:rsidRPr="00FD24B8">
        <w:t>se</w:t>
      </w:r>
      <w:r w:rsidR="00D74643" w:rsidRPr="00FD24B8">
        <w:t xml:space="preserve"> </w:t>
      </w:r>
      <w:r w:rsidR="00CB042F" w:rsidRPr="00FD24B8">
        <w:t>emergency</w:t>
      </w:r>
      <w:r w:rsidR="00D74643" w:rsidRPr="00FD24B8">
        <w:t xml:space="preserve"> measures helped the Australian economy through the crisis, </w:t>
      </w:r>
      <w:r w:rsidR="00743179" w:rsidRPr="00FD24B8">
        <w:t xml:space="preserve">economic circumstances mean </w:t>
      </w:r>
      <w:r w:rsidR="003C413F" w:rsidRPr="00FD24B8">
        <w:t>it is now appropriate to</w:t>
      </w:r>
      <w:r w:rsidR="000F3F67" w:rsidRPr="00FD24B8">
        <w:t xml:space="preserve"> </w:t>
      </w:r>
      <w:r w:rsidR="000C2EB0" w:rsidRPr="00FD24B8">
        <w:t>reduce</w:t>
      </w:r>
      <w:r w:rsidR="00FF46FA" w:rsidRPr="00FD24B8">
        <w:t xml:space="preserve"> </w:t>
      </w:r>
      <w:r w:rsidR="00FB69B1" w:rsidRPr="00FD24B8">
        <w:t>support</w:t>
      </w:r>
      <w:r w:rsidR="00BF364B" w:rsidRPr="00FD24B8">
        <w:t xml:space="preserve"> </w:t>
      </w:r>
      <w:r w:rsidR="000620AF" w:rsidRPr="00FD24B8">
        <w:t xml:space="preserve">in a measured way that </w:t>
      </w:r>
      <w:r w:rsidR="00782EE3" w:rsidRPr="00FD24B8">
        <w:t>allow</w:t>
      </w:r>
      <w:r w:rsidR="000620AF" w:rsidRPr="00FD24B8">
        <w:t>s</w:t>
      </w:r>
      <w:r w:rsidR="0009044A" w:rsidRPr="00FD24B8">
        <w:t xml:space="preserve"> </w:t>
      </w:r>
      <w:r w:rsidR="00BF364B" w:rsidRPr="00FD24B8">
        <w:t>the transition to private sector</w:t>
      </w:r>
      <w:r w:rsidR="00BF364B" w:rsidRPr="00FD24B8">
        <w:noBreakHyphen/>
        <w:t>led growth</w:t>
      </w:r>
      <w:r w:rsidR="00491D58" w:rsidRPr="00FD24B8">
        <w:t xml:space="preserve"> to continue</w:t>
      </w:r>
      <w:r w:rsidR="00F42A55" w:rsidRPr="00FD24B8">
        <w:t xml:space="preserve">. </w:t>
      </w:r>
      <w:r w:rsidR="008F2B32" w:rsidRPr="00FD24B8">
        <w:t>In line</w:t>
      </w:r>
      <w:r w:rsidR="00EB70DA" w:rsidRPr="00FD24B8">
        <w:t xml:space="preserve"> with t</w:t>
      </w:r>
      <w:r w:rsidR="00F42A55" w:rsidRPr="00FD24B8">
        <w:t>he Government</w:t>
      </w:r>
      <w:r w:rsidR="006B7635" w:rsidRPr="00FD24B8">
        <w:t>’s</w:t>
      </w:r>
      <w:r w:rsidR="00F42A55" w:rsidRPr="00FD24B8">
        <w:t xml:space="preserve"> </w:t>
      </w:r>
      <w:r w:rsidR="001A4B31" w:rsidRPr="00FD24B8">
        <w:t xml:space="preserve">principles that </w:t>
      </w:r>
      <w:r w:rsidR="00F42A55" w:rsidRPr="00FD24B8">
        <w:t xml:space="preserve">economic support </w:t>
      </w:r>
      <w:r w:rsidR="001A4B31" w:rsidRPr="00FD24B8">
        <w:t xml:space="preserve">be </w:t>
      </w:r>
      <w:r w:rsidR="00F42A55" w:rsidRPr="00FD24B8">
        <w:t>temporary and targeted</w:t>
      </w:r>
      <w:r w:rsidR="00FA738B" w:rsidRPr="00FD24B8">
        <w:t xml:space="preserve">, </w:t>
      </w:r>
      <w:r w:rsidR="00F42A55" w:rsidRPr="00FD24B8">
        <w:t xml:space="preserve">payments as a share of the economy </w:t>
      </w:r>
      <w:r w:rsidR="00B423B8" w:rsidRPr="00FD24B8">
        <w:t>are</w:t>
      </w:r>
      <w:r w:rsidR="008D1DCB" w:rsidRPr="00FD24B8">
        <w:t xml:space="preserve"> expected </w:t>
      </w:r>
      <w:r w:rsidR="009A5217" w:rsidRPr="00FD24B8">
        <w:t xml:space="preserve">to decline </w:t>
      </w:r>
      <w:r w:rsidR="00F42A55" w:rsidRPr="00FD24B8">
        <w:t>over the forward estimates</w:t>
      </w:r>
      <w:r w:rsidR="008D1DCB" w:rsidRPr="00FD24B8">
        <w:t xml:space="preserve"> as </w:t>
      </w:r>
      <w:r w:rsidR="00C03CBA" w:rsidRPr="00FD24B8">
        <w:t>remaining economic</w:t>
      </w:r>
      <w:r w:rsidR="008D1DCB" w:rsidRPr="00FD24B8">
        <w:t xml:space="preserve"> support </w:t>
      </w:r>
      <w:r w:rsidR="00C03CBA" w:rsidRPr="00FD24B8">
        <w:t>is phased out</w:t>
      </w:r>
      <w:r w:rsidR="00F42A55" w:rsidRPr="00FD24B8">
        <w:t xml:space="preserve">. </w:t>
      </w:r>
      <w:r w:rsidR="00FC2E8B" w:rsidRPr="00A56B05">
        <w:fldChar w:fldCharType="begin"/>
      </w:r>
      <w:r w:rsidR="00FC2E8B" w:rsidRPr="00A56B05">
        <w:instrText xml:space="preserve"> :End:BPD_BG1 </w:instrText>
      </w:r>
      <w:r w:rsidR="00FC2E8B" w:rsidRPr="00A56B05">
        <w:fldChar w:fldCharType="end"/>
      </w:r>
    </w:p>
    <w:p w14:paraId="0729719E" w14:textId="3D52BAC6" w:rsidR="002209FB" w:rsidRPr="00BE6368" w:rsidRDefault="00FC2E8B" w:rsidP="002209FB">
      <w:r w:rsidRPr="00A56B05">
        <w:fldChar w:fldCharType="begin"/>
      </w:r>
      <w:r w:rsidRPr="00A56B05">
        <w:instrText xml:space="preserve"> :Start:BPD_BG</w:instrText>
      </w:r>
      <w:r>
        <w:instrText>3</w:instrText>
      </w:r>
      <w:r w:rsidRPr="00A56B05">
        <w:instrText xml:space="preserve"> </w:instrText>
      </w:r>
      <w:r w:rsidRPr="00A56B05">
        <w:fldChar w:fldCharType="end"/>
      </w:r>
      <w:r w:rsidR="00E603CB" w:rsidRPr="00FD24B8">
        <w:t>Consistent with the Economic and Fiscal Strategy</w:t>
      </w:r>
      <w:r w:rsidR="00E603CB" w:rsidRPr="00FD24B8" w:rsidDel="008079EC">
        <w:t xml:space="preserve">, </w:t>
      </w:r>
      <w:r w:rsidR="00E603CB" w:rsidRPr="00FD24B8">
        <w:t>debt as a share of GDP stabilises and reduces</w:t>
      </w:r>
      <w:r w:rsidR="008079EC" w:rsidRPr="00FD24B8">
        <w:t xml:space="preserve"> over the medium term</w:t>
      </w:r>
      <w:r w:rsidR="00E603CB" w:rsidRPr="00FD24B8">
        <w:t xml:space="preserve">, ensuring </w:t>
      </w:r>
      <w:r w:rsidR="00124C16" w:rsidRPr="00FD24B8">
        <w:t>Australia is</w:t>
      </w:r>
      <w:r w:rsidR="00E603CB" w:rsidRPr="00FD24B8">
        <w:t xml:space="preserve"> well prepared to respond to future shocks. </w:t>
      </w:r>
      <w:r w:rsidR="008F5C78" w:rsidRPr="00FD24B8">
        <w:t xml:space="preserve">Net and gross debt as a share of GDP </w:t>
      </w:r>
      <w:proofErr w:type="gramStart"/>
      <w:r w:rsidR="008F5C78" w:rsidRPr="00FD24B8">
        <w:t>are</w:t>
      </w:r>
      <w:proofErr w:type="gramEnd"/>
      <w:r w:rsidR="008F5C78" w:rsidRPr="00FD24B8">
        <w:t xml:space="preserve"> lower </w:t>
      </w:r>
      <w:r w:rsidR="00E4036B" w:rsidRPr="00FD24B8">
        <w:t xml:space="preserve">across the </w:t>
      </w:r>
      <w:r w:rsidR="008F40D9" w:rsidRPr="00FD24B8">
        <w:t xml:space="preserve">entire </w:t>
      </w:r>
      <w:r w:rsidR="00E4036B" w:rsidRPr="00FD24B8">
        <w:t xml:space="preserve">forward estimates and medium term than at </w:t>
      </w:r>
      <w:r w:rsidR="001354B7" w:rsidRPr="00FD24B8">
        <w:t xml:space="preserve">the </w:t>
      </w:r>
      <w:r w:rsidR="00B55AA1" w:rsidRPr="00FD24B8">
        <w:t xml:space="preserve">past </w:t>
      </w:r>
      <w:r w:rsidR="001354B7" w:rsidRPr="00FD24B8">
        <w:t xml:space="preserve">two </w:t>
      </w:r>
      <w:r w:rsidR="00CA731F" w:rsidRPr="00FD24B8">
        <w:t>B</w:t>
      </w:r>
      <w:r w:rsidR="001354B7" w:rsidRPr="00FD24B8">
        <w:t>udgets</w:t>
      </w:r>
      <w:r w:rsidR="008472E3" w:rsidRPr="00FD24B8">
        <w:t xml:space="preserve"> </w:t>
      </w:r>
      <w:r w:rsidR="00935665" w:rsidRPr="00FD24B8">
        <w:t>(Chart</w:t>
      </w:r>
      <w:r w:rsidR="00DC57BA" w:rsidRPr="00FD24B8">
        <w:t> </w:t>
      </w:r>
      <w:r w:rsidR="00935665" w:rsidRPr="00FD24B8">
        <w:t>3.</w:t>
      </w:r>
      <w:r w:rsidR="003143BB" w:rsidRPr="00FD24B8">
        <w:t>1</w:t>
      </w:r>
      <w:r w:rsidR="00935665" w:rsidRPr="00FD24B8">
        <w:t>)</w:t>
      </w:r>
      <w:r w:rsidR="00182AC3" w:rsidRPr="00FD24B8">
        <w:t>.</w:t>
      </w:r>
      <w:r w:rsidRPr="00FD24B8">
        <w:t xml:space="preserve"> </w:t>
      </w:r>
      <w:r w:rsidRPr="00FD24B8">
        <w:fldChar w:fldCharType="begin"/>
      </w:r>
      <w:r w:rsidRPr="00FD24B8">
        <w:instrText xml:space="preserve"> :End:BPD_BG3 </w:instrText>
      </w:r>
      <w:r w:rsidRPr="00FD24B8">
        <w:fldChar w:fldCharType="end"/>
      </w:r>
      <w:r w:rsidR="002209FB" w:rsidRPr="00FD24B8">
        <w:fldChar w:fldCharType="begin"/>
      </w:r>
      <w:r w:rsidR="002209FB" w:rsidRPr="00FD24B8">
        <w:instrText xml:space="preserve"> :Start:BPD_BG3 </w:instrText>
      </w:r>
      <w:r w:rsidR="002209FB" w:rsidRPr="00FD24B8">
        <w:fldChar w:fldCharType="end"/>
      </w:r>
      <w:r w:rsidR="002209FB" w:rsidRPr="00FD24B8">
        <w:t xml:space="preserve">This reduction in debt shows how focusing on a stronger economy improves the fiscal position. </w:t>
      </w:r>
      <w:r w:rsidR="002209FB" w:rsidRPr="00FD24B8">
        <w:fldChar w:fldCharType="begin"/>
      </w:r>
      <w:r w:rsidR="002209FB" w:rsidRPr="00FD24B8">
        <w:instrText xml:space="preserve"> :End:BPD_BG3 </w:instrText>
      </w:r>
      <w:r w:rsidR="002209FB" w:rsidRPr="00FD24B8">
        <w:fldChar w:fldCharType="end"/>
      </w:r>
      <w:r w:rsidR="002209FB" w:rsidRPr="00FD24B8">
        <w:fldChar w:fldCharType="begin"/>
      </w:r>
      <w:r w:rsidR="002209FB" w:rsidRPr="00FD24B8">
        <w:instrText xml:space="preserve"> :Start:BPD_BG1 </w:instrText>
      </w:r>
      <w:r w:rsidR="002209FB" w:rsidRPr="00FD24B8">
        <w:fldChar w:fldCharType="end"/>
      </w:r>
      <w:r w:rsidR="002209FB" w:rsidRPr="00FD24B8">
        <w:t>The</w:t>
      </w:r>
      <w:r w:rsidR="00A44C0B" w:rsidRPr="00FD24B8">
        <w:t> </w:t>
      </w:r>
      <w:r w:rsidR="002209FB" w:rsidRPr="00FD24B8">
        <w:t>Government will sustain this momentum by controlling expenditure growth, while maintaining a low tax burden consistent with the tax</w:t>
      </w:r>
      <w:r w:rsidR="0031144A" w:rsidRPr="00FD24B8">
        <w:noBreakHyphen/>
      </w:r>
      <w:r w:rsidR="002209FB" w:rsidRPr="00FD24B8">
        <w:t>to</w:t>
      </w:r>
      <w:r w:rsidR="0031144A" w:rsidRPr="00FD24B8">
        <w:noBreakHyphen/>
      </w:r>
      <w:r w:rsidR="002209FB" w:rsidRPr="00FD24B8">
        <w:t>GDP cap.</w:t>
      </w:r>
      <w:r w:rsidR="002209FB">
        <w:fldChar w:fldCharType="begin"/>
      </w:r>
      <w:r w:rsidR="002209FB">
        <w:instrText xml:space="preserve"> :End:BPD_BG1 </w:instrText>
      </w:r>
      <w:r w:rsidR="002209FB">
        <w:fldChar w:fldCharType="end"/>
      </w:r>
    </w:p>
    <w:p w14:paraId="0E636F74" w14:textId="12609DBD" w:rsidR="00D644F8" w:rsidRDefault="002209FB" w:rsidP="00D644F8">
      <w:r>
        <w:fldChar w:fldCharType="begin"/>
      </w:r>
      <w:r>
        <w:instrText xml:space="preserve"> :Start:BPD_BG1 </w:instrText>
      </w:r>
      <w:r>
        <w:fldChar w:fldCharType="end"/>
      </w:r>
      <w:r w:rsidRPr="00FD24B8">
        <w:t>The Government’s Economic and Fiscal Strategy</w:t>
      </w:r>
      <w:r w:rsidRPr="00FD24B8" w:rsidDel="00292DAA">
        <w:t xml:space="preserve"> </w:t>
      </w:r>
      <w:r w:rsidRPr="00FD24B8">
        <w:t xml:space="preserve">is consistent with the requirements of the </w:t>
      </w:r>
      <w:r w:rsidRPr="00FD24B8">
        <w:rPr>
          <w:i/>
        </w:rPr>
        <w:t>Charter of Budget Honesty Act 1998</w:t>
      </w:r>
      <w:r w:rsidRPr="00FD24B8">
        <w:t xml:space="preserve"> and is set out in Box 3.</w:t>
      </w:r>
      <w:r w:rsidR="00254221" w:rsidRPr="00FD24B8">
        <w:t>1</w:t>
      </w:r>
      <w:r w:rsidR="00D644F8" w:rsidRPr="00FD24B8">
        <w:t>.</w:t>
      </w:r>
      <w:r w:rsidR="00FC2E8B" w:rsidRPr="00FD24B8">
        <w:t xml:space="preserve"> </w:t>
      </w:r>
      <w:r w:rsidR="00FC2E8B">
        <w:fldChar w:fldCharType="begin"/>
      </w:r>
      <w:r w:rsidR="00FC2E8B">
        <w:instrText xml:space="preserve"> :End:BPD_BG1 </w:instrText>
      </w:r>
      <w:r w:rsidR="00FC2E8B">
        <w:fldChar w:fldCharType="end"/>
      </w:r>
    </w:p>
    <w:p w14:paraId="73ED1348" w14:textId="469A7F6C" w:rsidR="00D644F8" w:rsidRPr="00FD24B8" w:rsidRDefault="00FC2E8B" w:rsidP="00A42050">
      <w:pPr>
        <w:pStyle w:val="ChartHeading"/>
      </w:pPr>
      <w:r>
        <w:fldChar w:fldCharType="begin"/>
      </w:r>
      <w:r>
        <w:instrText xml:space="preserve"> :Start:BPD_BG1 </w:instrText>
      </w:r>
      <w:r>
        <w:fldChar w:fldCharType="end"/>
      </w:r>
      <w:r w:rsidR="00A63E5F" w:rsidRPr="00FD24B8">
        <w:t>Chart 3.</w:t>
      </w:r>
      <w:r w:rsidR="003143BB" w:rsidRPr="00FD24B8">
        <w:t>1</w:t>
      </w:r>
      <w:r w:rsidR="00A63E5F" w:rsidRPr="00FD24B8">
        <w:t>: Evolution of gross debt</w:t>
      </w:r>
      <w:r>
        <w:fldChar w:fldCharType="begin"/>
      </w:r>
      <w:r>
        <w:instrText xml:space="preserve"> :End:BPD_BG1 </w:instrText>
      </w:r>
      <w:r>
        <w:fldChar w:fldCharType="end"/>
      </w:r>
      <w:r w:rsidR="00A63E5F" w:rsidRPr="00A56B05">
        <w:t xml:space="preserve"> </w:t>
      </w:r>
      <w:r>
        <w:fldChar w:fldCharType="begin"/>
      </w:r>
      <w:r>
        <w:instrText xml:space="preserve"> :Start:BPD_BG3 </w:instrText>
      </w:r>
      <w:r>
        <w:fldChar w:fldCharType="end"/>
      </w:r>
      <w:r w:rsidR="00A63E5F" w:rsidRPr="00FD24B8">
        <w:t>forecasts across budget updates</w:t>
      </w:r>
    </w:p>
    <w:p w14:paraId="3153A5DC" w14:textId="25191CF3" w:rsidR="00D644F8" w:rsidRPr="00FD24B8" w:rsidRDefault="00395986" w:rsidP="0015286C">
      <w:pPr>
        <w:pStyle w:val="ChartGraphic"/>
      </w:pPr>
      <w:r>
        <w:rPr>
          <w:noProof/>
        </w:rPr>
        <w:drawing>
          <wp:inline distT="0" distB="0" distL="0" distR="0" wp14:anchorId="4756F382" wp14:editId="7D147A8E">
            <wp:extent cx="4678045" cy="2541270"/>
            <wp:effectExtent l="0" t="0" r="0" b="0"/>
            <wp:docPr id="2" name="Picture 2" descr="This chart compares projections of gross debt as a share of GDP as at the 2022-23 Budget with those at the 2020-21 and 2021-22 Budgets. Compared with estimates at the 2021-22 Budget, gross debt as a share of GDP is expected to be lower across the forward estimates and medium term. Gross debt as at a share of GDP was projected to be even higher across the forward estimates and medium term at the 2020-21 Budg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chart compares projections of gross debt as a share of GDP as at the 2022-23 Budget with those at the 2020-21 and 2021-22 Budgets. Compared with estimates at the 2021-22 Budget, gross debt as a share of GDP is expected to be lower across the forward estimates and medium term. Gross debt as at a share of GDP was projected to be even higher across the forward estimates and medium term at the 2020-21 Budget.&#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8045" cy="2541270"/>
                    </a:xfrm>
                    <a:prstGeom prst="rect">
                      <a:avLst/>
                    </a:prstGeom>
                    <a:noFill/>
                    <a:ln>
                      <a:noFill/>
                    </a:ln>
                  </pic:spPr>
                </pic:pic>
              </a:graphicData>
            </a:graphic>
          </wp:inline>
        </w:drawing>
      </w:r>
    </w:p>
    <w:p w14:paraId="0524F984" w14:textId="4DA19F33" w:rsidR="00FC2E8B" w:rsidRPr="00FD24B8" w:rsidRDefault="00FC2E8B" w:rsidP="00E60777">
      <w:pPr>
        <w:pStyle w:val="Source"/>
      </w:pPr>
      <w:r w:rsidRPr="00FD24B8">
        <w:t>Source: Treasury</w:t>
      </w:r>
    </w:p>
    <w:p w14:paraId="67490F17" w14:textId="301733A4" w:rsidR="00FC2E8B" w:rsidRPr="00A56B05" w:rsidRDefault="00FC2E8B" w:rsidP="00DB171C">
      <w:pPr>
        <w:pStyle w:val="SingleParagraph"/>
      </w:pPr>
      <w:r>
        <w:fldChar w:fldCharType="begin"/>
      </w:r>
      <w:r>
        <w:instrText xml:space="preserve"> :End:BPD_BG3 </w:instrText>
      </w:r>
      <w:r>
        <w:fldChar w:fldCharType="end"/>
      </w:r>
    </w:p>
    <w:p w14:paraId="178D79D0" w14:textId="2111C043" w:rsidR="00A63E5F" w:rsidRPr="00BE6368" w:rsidRDefault="00A42050" w:rsidP="00A42050">
      <w:pPr>
        <w:spacing w:after="160" w:line="259" w:lineRule="auto"/>
        <w:jc w:val="left"/>
      </w:pPr>
      <w:r>
        <w:br w:type="page"/>
      </w:r>
    </w:p>
    <w:tbl>
      <w:tblPr>
        <w:tblW w:w="5000" w:type="pct"/>
        <w:shd w:val="clear" w:color="auto" w:fill="EBEBEB"/>
        <w:tblCellMar>
          <w:top w:w="284" w:type="dxa"/>
          <w:left w:w="284" w:type="dxa"/>
          <w:bottom w:w="284" w:type="dxa"/>
          <w:right w:w="284" w:type="dxa"/>
        </w:tblCellMar>
        <w:tblLook w:val="0000" w:firstRow="0" w:lastRow="0" w:firstColumn="0" w:lastColumn="0" w:noHBand="0" w:noVBand="0"/>
      </w:tblPr>
      <w:tblGrid>
        <w:gridCol w:w="7710"/>
      </w:tblGrid>
      <w:tr w:rsidR="00F961A7" w:rsidRPr="00A00F69" w14:paraId="3742D0B6" w14:textId="77777777" w:rsidTr="00D57586">
        <w:trPr>
          <w:cantSplit/>
        </w:trPr>
        <w:tc>
          <w:tcPr>
            <w:tcW w:w="5000" w:type="pct"/>
            <w:shd w:val="clear" w:color="auto" w:fill="F2F9FC"/>
            <w:tcMar>
              <w:top w:w="284" w:type="dxa"/>
              <w:left w:w="284" w:type="dxa"/>
              <w:bottom w:w="284" w:type="dxa"/>
              <w:right w:w="284" w:type="dxa"/>
            </w:tcMar>
          </w:tcPr>
          <w:p w14:paraId="79041121" w14:textId="78184B7D" w:rsidR="00F961A7" w:rsidRPr="00FD24B8" w:rsidRDefault="00FC2E8B" w:rsidP="00F247F5">
            <w:pPr>
              <w:pStyle w:val="BoxHeading"/>
              <w:spacing w:before="0" w:after="100"/>
              <w:rPr>
                <w:spacing w:val="-4"/>
              </w:rPr>
            </w:pPr>
            <w:r>
              <w:lastRenderedPageBreak/>
              <w:fldChar w:fldCharType="begin"/>
            </w:r>
            <w:r>
              <w:instrText xml:space="preserve"> :Start:BPD_BG1 </w:instrText>
            </w:r>
            <w:r>
              <w:fldChar w:fldCharType="end"/>
            </w:r>
            <w:r w:rsidR="00F961A7" w:rsidRPr="00FD24B8">
              <w:rPr>
                <w:spacing w:val="-4"/>
              </w:rPr>
              <w:t>Box 3.</w:t>
            </w:r>
            <w:r w:rsidR="003143BB" w:rsidRPr="00FD24B8">
              <w:rPr>
                <w:spacing w:val="-4"/>
              </w:rPr>
              <w:t>1</w:t>
            </w:r>
            <w:r w:rsidR="00F961A7" w:rsidRPr="00FD24B8">
              <w:rPr>
                <w:spacing w:val="-4"/>
              </w:rPr>
              <w:t xml:space="preserve">: The Government’s </w:t>
            </w:r>
            <w:r w:rsidR="00174C59" w:rsidRPr="00FD24B8">
              <w:rPr>
                <w:sz w:val="19"/>
                <w:szCs w:val="19"/>
              </w:rPr>
              <w:t>Economic and Fiscal Strategy</w:t>
            </w:r>
            <w:r w:rsidR="006F7C6A" w:rsidRPr="00FD24B8">
              <w:rPr>
                <w:sz w:val="19"/>
                <w:szCs w:val="19"/>
              </w:rPr>
              <w:t xml:space="preserve"> </w:t>
            </w:r>
          </w:p>
          <w:p w14:paraId="78BF1953" w14:textId="572085E0" w:rsidR="0023106F" w:rsidRPr="00FD24B8" w:rsidRDefault="0023106F" w:rsidP="00921A1E">
            <w:r w:rsidRPr="00FD24B8">
              <w:t xml:space="preserve">The Government’s </w:t>
            </w:r>
            <w:r w:rsidR="006C7448" w:rsidRPr="00FD24B8">
              <w:t xml:space="preserve">Economic and </w:t>
            </w:r>
            <w:r w:rsidR="00292DAA" w:rsidRPr="00FD24B8">
              <w:t xml:space="preserve">Fiscal Strategy </w:t>
            </w:r>
            <w:r w:rsidRPr="00FD24B8">
              <w:t>will drive sustainable, private sector</w:t>
            </w:r>
            <w:r w:rsidRPr="00FD24B8">
              <w:noBreakHyphen/>
              <w:t xml:space="preserve">led growth and job creation and ensure Australia is well placed to respond to future shocks. </w:t>
            </w:r>
          </w:p>
          <w:p w14:paraId="563B8654" w14:textId="591D865B" w:rsidR="0023106F" w:rsidRPr="00FD24B8" w:rsidRDefault="0023106F" w:rsidP="00921A1E">
            <w:r w:rsidRPr="00FD24B8">
              <w:t xml:space="preserve">By supporting economic growth now and over the medium term, the Strategy will underpin stronger public finances over time, guarantee provision of essential services and </w:t>
            </w:r>
            <w:r w:rsidR="000107AC" w:rsidRPr="00FD24B8">
              <w:t>maintain taxes within the 23.9 per cent tax</w:t>
            </w:r>
            <w:r w:rsidR="0031144A" w:rsidRPr="00FD24B8">
              <w:noBreakHyphen/>
            </w:r>
            <w:r w:rsidR="000107AC" w:rsidRPr="00FD24B8">
              <w:t>to</w:t>
            </w:r>
            <w:r w:rsidR="0031144A" w:rsidRPr="00FD24B8">
              <w:noBreakHyphen/>
            </w:r>
            <w:r w:rsidR="000107AC" w:rsidRPr="00FD24B8">
              <w:t>GDP cap</w:t>
            </w:r>
            <w:r w:rsidRPr="00FD24B8">
              <w:t xml:space="preserve">. </w:t>
            </w:r>
          </w:p>
          <w:p w14:paraId="74AEEAAC" w14:textId="77777777" w:rsidR="0023106F" w:rsidRPr="00FD24B8" w:rsidRDefault="0023106F" w:rsidP="0023106F">
            <w:pPr>
              <w:pStyle w:val="BoxSubHeading"/>
              <w:spacing w:after="0"/>
            </w:pPr>
            <w:r w:rsidRPr="00FD24B8">
              <w:t xml:space="preserve">Medium term fiscal strategy </w:t>
            </w:r>
          </w:p>
          <w:p w14:paraId="756DCA69" w14:textId="77777777" w:rsidR="0023106F" w:rsidRPr="00FD24B8" w:rsidRDefault="0023106F" w:rsidP="00921A1E">
            <w:r w:rsidRPr="00FD24B8">
              <w:t xml:space="preserve">Over the medium term, the fiscal strategy will be focused on growing the economy </w:t>
            </w:r>
            <w:proofErr w:type="gramStart"/>
            <w:r w:rsidRPr="00FD24B8">
              <w:t>in order to</w:t>
            </w:r>
            <w:proofErr w:type="gramEnd"/>
            <w:r w:rsidRPr="00FD24B8">
              <w:t xml:space="preserve"> stabilise and reduce debt. This underlines the commitment to budget and balance sheet discipline and provides flexibility to respond to changing economic conditions.</w:t>
            </w:r>
          </w:p>
          <w:p w14:paraId="0FFB0506" w14:textId="77777777" w:rsidR="0023106F" w:rsidRPr="00FD24B8" w:rsidRDefault="0023106F" w:rsidP="00921A1E">
            <w:r w:rsidRPr="00FD24B8">
              <w:t>The Strategy is underpinned by the following elements:</w:t>
            </w:r>
          </w:p>
          <w:p w14:paraId="2BFC79CB" w14:textId="77777777" w:rsidR="0023106F" w:rsidRPr="00FD24B8" w:rsidRDefault="0023106F" w:rsidP="0003118E">
            <w:pPr>
              <w:pStyle w:val="BoxBullet"/>
              <w:spacing w:before="40" w:after="0"/>
              <w:ind w:left="284" w:hanging="284"/>
            </w:pPr>
            <w:r w:rsidRPr="00FD24B8">
              <w:t>stabilising and then reducing gross and net debt as a share of the economy</w:t>
            </w:r>
          </w:p>
          <w:p w14:paraId="0FD92695" w14:textId="77777777" w:rsidR="0023106F" w:rsidRPr="00FD24B8" w:rsidRDefault="0023106F" w:rsidP="0023106F">
            <w:pPr>
              <w:pStyle w:val="BoxBullet"/>
              <w:spacing w:before="40" w:after="40"/>
              <w:ind w:left="284" w:hanging="284"/>
            </w:pPr>
            <w:r w:rsidRPr="00FD24B8">
              <w:t xml:space="preserve">targeting a budget balance, on average, over the course of the economic cycle that is consistent with the debt objective. This will be achieved by: </w:t>
            </w:r>
          </w:p>
          <w:p w14:paraId="18A9E0B2" w14:textId="77777777" w:rsidR="0023106F" w:rsidRPr="00FD24B8" w:rsidRDefault="0023106F" w:rsidP="0023106F">
            <w:pPr>
              <w:pStyle w:val="BoxDash"/>
              <w:spacing w:before="40" w:after="0"/>
            </w:pPr>
            <w:r w:rsidRPr="00FD24B8">
              <w:t>controlling expenditure growth, while maintaining the efficiency and quality of government spending and guaranteeing the delivery of essential services</w:t>
            </w:r>
          </w:p>
          <w:p w14:paraId="481DD9D7" w14:textId="3535B1F2" w:rsidR="0023106F" w:rsidRPr="00FD24B8" w:rsidRDefault="0023106F" w:rsidP="0023106F">
            <w:pPr>
              <w:pStyle w:val="BoxDash"/>
              <w:spacing w:before="40" w:after="0"/>
            </w:pPr>
            <w:r w:rsidRPr="00FD24B8">
              <w:t>supporting revenue growth through policies that drive earnings and economic growth, while maintaining a sustainable tax burden consistent with a tax</w:t>
            </w:r>
            <w:r w:rsidR="00C1771F" w:rsidRPr="00FD24B8">
              <w:noBreakHyphen/>
            </w:r>
            <w:r w:rsidRPr="00FD24B8">
              <w:t>to</w:t>
            </w:r>
            <w:r w:rsidR="00C1771F" w:rsidRPr="00FD24B8">
              <w:noBreakHyphen/>
            </w:r>
            <w:r w:rsidRPr="00FD24B8">
              <w:t xml:space="preserve">GDP ratio at or below 23.9 per cent of GDP </w:t>
            </w:r>
          </w:p>
          <w:p w14:paraId="183E16C1" w14:textId="040081FE" w:rsidR="001D4E22" w:rsidRPr="00FD24B8" w:rsidRDefault="0023106F" w:rsidP="0023106F">
            <w:pPr>
              <w:pStyle w:val="BoxDash"/>
              <w:spacing w:before="40" w:after="0"/>
            </w:pPr>
            <w:r w:rsidRPr="00FD24B8">
              <w:t>using the Government’s balance sheet to support productivity</w:t>
            </w:r>
            <w:r w:rsidR="00C1771F" w:rsidRPr="00FD24B8">
              <w:noBreakHyphen/>
            </w:r>
            <w:r w:rsidRPr="00FD24B8">
              <w:t>enhancing investments that build a stronger economy, support private investment and create jobs</w:t>
            </w:r>
          </w:p>
          <w:p w14:paraId="3E074084" w14:textId="48E8BB8F" w:rsidR="00F961A7" w:rsidRPr="00A56B05" w:rsidRDefault="0023106F" w:rsidP="00D3260C">
            <w:pPr>
              <w:pStyle w:val="BoxDash"/>
              <w:spacing w:before="40" w:after="0"/>
            </w:pPr>
            <w:r w:rsidRPr="00FD24B8">
              <w:t>ongoing structural reforms to boost economic growth.</w:t>
            </w:r>
            <w:r w:rsidR="00FC2E8B" w:rsidRPr="00FD24B8">
              <w:t xml:space="preserve"> </w:t>
            </w:r>
            <w:r w:rsidR="00FC2E8B">
              <w:fldChar w:fldCharType="begin"/>
            </w:r>
            <w:r w:rsidR="00FC2E8B">
              <w:instrText xml:space="preserve"> :End:BPD_BG1 </w:instrText>
            </w:r>
            <w:r w:rsidR="00FC2E8B">
              <w:fldChar w:fldCharType="end"/>
            </w:r>
          </w:p>
        </w:tc>
      </w:tr>
      <w:tr w:rsidR="00DD38E9" w:rsidRPr="00FC2665" w14:paraId="2BD95045" w14:textId="77777777" w:rsidTr="002E7B71">
        <w:tblPrEx>
          <w:shd w:val="clear" w:color="auto" w:fill="F2F9FC"/>
        </w:tblPrEx>
        <w:trPr>
          <w:cantSplit/>
        </w:trPr>
        <w:tc>
          <w:tcPr>
            <w:tcW w:w="5000" w:type="pct"/>
            <w:shd w:val="clear" w:color="auto" w:fill="F2F9FC"/>
          </w:tcPr>
          <w:p w14:paraId="495C4749" w14:textId="2246A1A9" w:rsidR="00DD38E9" w:rsidRPr="00FD24B8" w:rsidRDefault="005F0F5B">
            <w:pPr>
              <w:pStyle w:val="BoxHeading"/>
            </w:pPr>
            <w:r w:rsidRPr="00920FC1">
              <w:lastRenderedPageBreak/>
              <w:fldChar w:fldCharType="begin"/>
            </w:r>
            <w:r w:rsidRPr="00920FC1">
              <w:instrText xml:space="preserve"> :Start:SPD_LE1 </w:instrText>
            </w:r>
            <w:r w:rsidRPr="00920FC1">
              <w:fldChar w:fldCharType="end"/>
            </w:r>
            <w:r w:rsidR="00EE3C3D" w:rsidRPr="00FD24B8">
              <w:t>Box 3.</w:t>
            </w:r>
            <w:r w:rsidR="003143BB" w:rsidRPr="00FD24B8">
              <w:t>2</w:t>
            </w:r>
            <w:r w:rsidR="00EE3C3D" w:rsidRPr="00FD24B8">
              <w:t xml:space="preserve"> </w:t>
            </w:r>
            <w:r w:rsidR="004B53DB" w:rsidRPr="00FD24B8">
              <w:t xml:space="preserve">Recovering and rebuilding from </w:t>
            </w:r>
            <w:r w:rsidR="00BC63CA" w:rsidRPr="00FD24B8">
              <w:t>recent floods in Queensland and New South Wales</w:t>
            </w:r>
          </w:p>
          <w:p w14:paraId="649F844C" w14:textId="5A432A12" w:rsidR="00F239AE" w:rsidRPr="00FD24B8" w:rsidRDefault="00250DF6" w:rsidP="00F239AE">
            <w:pPr>
              <w:pStyle w:val="BoxText"/>
            </w:pPr>
            <w:r w:rsidRPr="00FD24B8">
              <w:t xml:space="preserve">The recent floods </w:t>
            </w:r>
            <w:r w:rsidR="00C1630D" w:rsidRPr="00FD24B8">
              <w:t xml:space="preserve">in parts of </w:t>
            </w:r>
            <w:r w:rsidR="00180A80" w:rsidRPr="00FD24B8">
              <w:t xml:space="preserve">Queensland and </w:t>
            </w:r>
            <w:r w:rsidR="00C1630D" w:rsidRPr="00FD24B8">
              <w:t xml:space="preserve">New South Wales </w:t>
            </w:r>
            <w:r w:rsidR="00591FEE" w:rsidRPr="00FD24B8">
              <w:t xml:space="preserve">have had a devasting impact on many communities. </w:t>
            </w:r>
            <w:r w:rsidR="00F65B37" w:rsidRPr="00FD24B8">
              <w:t>The G</w:t>
            </w:r>
            <w:r w:rsidR="006A1778" w:rsidRPr="00FD24B8">
              <w:t>overnment</w:t>
            </w:r>
            <w:r w:rsidR="00CB3D41" w:rsidRPr="00FD24B8">
              <w:t xml:space="preserve"> </w:t>
            </w:r>
            <w:r w:rsidR="00A56C87" w:rsidRPr="00FD24B8">
              <w:t>expects to spend more than $6 billion on disaster relief and recovery</w:t>
            </w:r>
            <w:r w:rsidR="00591FEE" w:rsidRPr="00FD24B8">
              <w:t xml:space="preserve"> </w:t>
            </w:r>
            <w:proofErr w:type="gramStart"/>
            <w:r w:rsidR="008C6619" w:rsidRPr="00FD24B8">
              <w:t>as a result of</w:t>
            </w:r>
            <w:proofErr w:type="gramEnd"/>
            <w:r w:rsidR="008C6619" w:rsidRPr="00FD24B8">
              <w:t xml:space="preserve"> these floods</w:t>
            </w:r>
            <w:r w:rsidR="009E43DC" w:rsidRPr="00FD24B8">
              <w:t>,</w:t>
            </w:r>
            <w:r w:rsidR="00C12176" w:rsidRPr="00FD24B8">
              <w:t xml:space="preserve"> includ</w:t>
            </w:r>
            <w:r w:rsidR="006A1778" w:rsidRPr="00FD24B8">
              <w:t>ing</w:t>
            </w:r>
            <w:r w:rsidR="00C12176" w:rsidRPr="00FD24B8">
              <w:t xml:space="preserve">: </w:t>
            </w:r>
          </w:p>
          <w:p w14:paraId="039BB687" w14:textId="18C389E8" w:rsidR="00F239AE" w:rsidRPr="00FD24B8" w:rsidRDefault="00F239AE" w:rsidP="0002240E">
            <w:pPr>
              <w:pStyle w:val="Bullet"/>
            </w:pPr>
            <w:r w:rsidRPr="00FD24B8">
              <w:t>$</w:t>
            </w:r>
            <w:r w:rsidR="00CB3D41" w:rsidRPr="00FD24B8">
              <w:t>2.2</w:t>
            </w:r>
            <w:r w:rsidRPr="00FD24B8">
              <w:t xml:space="preserve"> billion to households for income support, temporary accommodation and social services</w:t>
            </w:r>
          </w:p>
          <w:p w14:paraId="66093507" w14:textId="1928CBE9" w:rsidR="00F239AE" w:rsidRPr="00FD24B8" w:rsidRDefault="00F239AE" w:rsidP="0002240E">
            <w:pPr>
              <w:pStyle w:val="Bullet"/>
            </w:pPr>
            <w:r w:rsidRPr="00FD24B8">
              <w:t>$</w:t>
            </w:r>
            <w:r w:rsidR="005B1745" w:rsidRPr="00FD24B8">
              <w:t>665.0</w:t>
            </w:r>
            <w:r w:rsidRPr="00FD24B8">
              <w:t xml:space="preserve"> million to businesses and farmers for repairs, new equipment and support services</w:t>
            </w:r>
          </w:p>
          <w:p w14:paraId="2830E0B4" w14:textId="594CA4F9" w:rsidR="00F239AE" w:rsidRPr="00FD24B8" w:rsidRDefault="00F239AE" w:rsidP="0002240E">
            <w:pPr>
              <w:pStyle w:val="Bullet"/>
            </w:pPr>
            <w:r w:rsidRPr="00FD24B8">
              <w:t>$</w:t>
            </w:r>
            <w:r w:rsidR="005B1745" w:rsidRPr="00FD24B8">
              <w:t>588.6</w:t>
            </w:r>
            <w:r w:rsidRPr="00FD24B8">
              <w:t xml:space="preserve"> million for community clean</w:t>
            </w:r>
            <w:r w:rsidR="0031144A" w:rsidRPr="00FD24B8">
              <w:noBreakHyphen/>
            </w:r>
            <w:r w:rsidRPr="00FD24B8">
              <w:t xml:space="preserve">up and recovery, including $300 million from the Emergency </w:t>
            </w:r>
            <w:r w:rsidR="000902D7" w:rsidRPr="00FD24B8">
              <w:t xml:space="preserve">Response </w:t>
            </w:r>
            <w:r w:rsidRPr="00FD24B8">
              <w:t>Fund for recovery and post</w:t>
            </w:r>
            <w:r w:rsidR="0031144A" w:rsidRPr="00FD24B8">
              <w:noBreakHyphen/>
            </w:r>
            <w:r w:rsidRPr="00FD24B8">
              <w:t>disaster resilience initiatives</w:t>
            </w:r>
            <w:r w:rsidR="00BC6971">
              <w:t>.</w:t>
            </w:r>
          </w:p>
          <w:p w14:paraId="3FB340C5" w14:textId="22C7AF78" w:rsidR="004C1232" w:rsidRPr="00FD24B8" w:rsidRDefault="004C1232" w:rsidP="0036769B">
            <w:pPr>
              <w:pStyle w:val="Bullet"/>
              <w:numPr>
                <w:ilvl w:val="0"/>
                <w:numId w:val="0"/>
              </w:numPr>
            </w:pPr>
            <w:r w:rsidRPr="00FD24B8">
              <w:t>This support is provide</w:t>
            </w:r>
            <w:r w:rsidR="00EC3CF9" w:rsidRPr="00FD24B8">
              <w:t>d</w:t>
            </w:r>
            <w:r w:rsidRPr="00FD24B8">
              <w:t xml:space="preserve"> both through direct Commonwealth expenditure, </w:t>
            </w:r>
            <w:r w:rsidR="00506BB4" w:rsidRPr="00FD24B8">
              <w:t xml:space="preserve">and jointly funded measures </w:t>
            </w:r>
            <w:r w:rsidR="006A4412" w:rsidRPr="00FD24B8">
              <w:t xml:space="preserve">through </w:t>
            </w:r>
            <w:r w:rsidR="003C6A4C" w:rsidRPr="00FD24B8">
              <w:t>the Australian Government</w:t>
            </w:r>
            <w:r w:rsidR="0031144A" w:rsidRPr="00FD24B8">
              <w:noBreakHyphen/>
            </w:r>
            <w:r w:rsidR="003C6A4C" w:rsidRPr="00FD24B8">
              <w:t xml:space="preserve">State </w:t>
            </w:r>
            <w:r w:rsidR="006A1ECB" w:rsidRPr="00FD24B8">
              <w:t xml:space="preserve">Disaster </w:t>
            </w:r>
            <w:r w:rsidR="003C6A4C" w:rsidRPr="00FD24B8">
              <w:t>Recovery Funding Arrangements (DRFA)</w:t>
            </w:r>
            <w:r w:rsidR="00B27B37" w:rsidRPr="00FD24B8">
              <w:t xml:space="preserve">. </w:t>
            </w:r>
          </w:p>
          <w:p w14:paraId="50C5DB05" w14:textId="7C21142F" w:rsidR="004A1F15" w:rsidRPr="00FD24B8" w:rsidRDefault="00EF433F" w:rsidP="004A1F15">
            <w:pPr>
              <w:pStyle w:val="Bullet"/>
              <w:numPr>
                <w:ilvl w:val="0"/>
                <w:numId w:val="0"/>
              </w:numPr>
            </w:pPr>
            <w:r w:rsidRPr="00FD24B8">
              <w:t>The DRFA aim to alleviate the financial burden on states and territories for the provision of urgent financial assistance to disaster</w:t>
            </w:r>
            <w:r w:rsidR="00DE3FDE" w:rsidRPr="00FD24B8">
              <w:t xml:space="preserve"> </w:t>
            </w:r>
            <w:r w:rsidRPr="00FD24B8">
              <w:t xml:space="preserve">affected areas. </w:t>
            </w:r>
            <w:r w:rsidR="007C0AD4" w:rsidRPr="00FD24B8">
              <w:t xml:space="preserve">Following a natural </w:t>
            </w:r>
            <w:proofErr w:type="gramStart"/>
            <w:r w:rsidR="007C0AD4" w:rsidRPr="00FD24B8">
              <w:t>disaster</w:t>
            </w:r>
            <w:proofErr w:type="gramEnd"/>
            <w:r w:rsidR="007C0AD4" w:rsidRPr="00FD24B8">
              <w:t xml:space="preserve"> </w:t>
            </w:r>
            <w:r w:rsidRPr="00FD24B8">
              <w:t>the Australian Government may fund up to 75 per cent of the assistance provided by state and territory governments</w:t>
            </w:r>
            <w:r w:rsidR="004A1F15" w:rsidRPr="00FD24B8">
              <w:t xml:space="preserve">. </w:t>
            </w:r>
          </w:p>
          <w:p w14:paraId="574F4023" w14:textId="10045682" w:rsidR="00C32FA8" w:rsidRPr="00FD24B8" w:rsidRDefault="00C32FA8" w:rsidP="00C32FA8">
            <w:pPr>
              <w:pStyle w:val="BoxText"/>
            </w:pPr>
            <w:r w:rsidRPr="00FD24B8">
              <w:t>Assistance under the DRFA can cover emergency support for individuals, small businesses, primary producers and not</w:t>
            </w:r>
            <w:r w:rsidRPr="00FD24B8">
              <w:noBreakHyphen/>
              <w:t>for</w:t>
            </w:r>
            <w:r w:rsidRPr="00FD24B8">
              <w:noBreakHyphen/>
              <w:t>profit organisations, reconstruction of essential public assets (like roads and schools),</w:t>
            </w:r>
            <w:r w:rsidRPr="00FD24B8" w:rsidDel="002E5731">
              <w:t xml:space="preserve"> </w:t>
            </w:r>
            <w:r w:rsidRPr="00FD24B8">
              <w:t>clean</w:t>
            </w:r>
            <w:r w:rsidRPr="00FD24B8">
              <w:noBreakHyphen/>
              <w:t xml:space="preserve">up costs and funding for other community recovery. </w:t>
            </w:r>
          </w:p>
          <w:p w14:paraId="742789AB" w14:textId="58C168E4" w:rsidR="006501C8" w:rsidRPr="00FC2E8B" w:rsidRDefault="00BE77A5" w:rsidP="00D3260C">
            <w:pPr>
              <w:pStyle w:val="BoxText"/>
              <w:rPr>
                <w:strike/>
              </w:rPr>
            </w:pPr>
            <w:r w:rsidRPr="00FD24B8">
              <w:t xml:space="preserve">The </w:t>
            </w:r>
            <w:r w:rsidR="004841C1" w:rsidRPr="00FD24B8">
              <w:t>full</w:t>
            </w:r>
            <w:r w:rsidRPr="00FD24B8">
              <w:t xml:space="preserve"> cost of recovery </w:t>
            </w:r>
            <w:r w:rsidR="004841C1" w:rsidRPr="00FD24B8">
              <w:t>and rebuilding</w:t>
            </w:r>
            <w:r w:rsidR="00C55FCE" w:rsidRPr="00FD24B8">
              <w:t>, including reimbursement of state expenditure,</w:t>
            </w:r>
            <w:r w:rsidR="004841C1" w:rsidRPr="00FD24B8">
              <w:t xml:space="preserve"> </w:t>
            </w:r>
            <w:r w:rsidRPr="00FD24B8">
              <w:t xml:space="preserve">will only become clear once the damage from the floods can be assessed and may not be completely realised for some years. </w:t>
            </w:r>
            <w:r w:rsidR="00C006E5" w:rsidRPr="00FD24B8">
              <w:t xml:space="preserve">The </w:t>
            </w:r>
            <w:r w:rsidR="00D72D89" w:rsidRPr="00FD24B8">
              <w:t>expected spending</w:t>
            </w:r>
            <w:r w:rsidR="00C006E5" w:rsidRPr="00FD24B8">
              <w:t xml:space="preserve"> includes a </w:t>
            </w:r>
            <w:r w:rsidR="00BD332A" w:rsidRPr="00FD24B8">
              <w:t>provision</w:t>
            </w:r>
            <w:r w:rsidR="003216F8" w:rsidRPr="00FD24B8">
              <w:t xml:space="preserve"> of $</w:t>
            </w:r>
            <w:r w:rsidR="0010692B" w:rsidRPr="00FD24B8">
              <w:t>3.0</w:t>
            </w:r>
            <w:r w:rsidR="00210D52" w:rsidRPr="00FD24B8">
              <w:t> </w:t>
            </w:r>
            <w:r w:rsidR="003216F8" w:rsidRPr="00FD24B8">
              <w:t>billion</w:t>
            </w:r>
            <w:r w:rsidR="00EC6FDE" w:rsidRPr="00FD24B8">
              <w:t xml:space="preserve"> </w:t>
            </w:r>
            <w:r w:rsidR="006021D8" w:rsidRPr="00FD24B8">
              <w:t>over the forward estimates</w:t>
            </w:r>
            <w:r w:rsidR="00EC6FDE" w:rsidRPr="00FD24B8">
              <w:t xml:space="preserve"> to accommodat</w:t>
            </w:r>
            <w:r w:rsidR="00DA7108" w:rsidRPr="00FD24B8">
              <w:t>e</w:t>
            </w:r>
            <w:r w:rsidR="00EC6FDE" w:rsidRPr="00FD24B8">
              <w:t xml:space="preserve"> </w:t>
            </w:r>
            <w:r w:rsidR="00512AF4" w:rsidRPr="00FD24B8">
              <w:t xml:space="preserve">additional </w:t>
            </w:r>
            <w:r w:rsidR="00EC6FDE" w:rsidRPr="00FD24B8">
              <w:t>Commonwealth expenditure</w:t>
            </w:r>
            <w:r w:rsidR="00E52E8B" w:rsidRPr="00FD24B8">
              <w:t xml:space="preserve"> for </w:t>
            </w:r>
            <w:r w:rsidR="005B1745" w:rsidRPr="00FD24B8">
              <w:t>the</w:t>
            </w:r>
            <w:r w:rsidR="00E52E8B" w:rsidRPr="00FD24B8">
              <w:t xml:space="preserve"> </w:t>
            </w:r>
            <w:proofErr w:type="gramStart"/>
            <w:r w:rsidR="00E52E8B" w:rsidRPr="00FD24B8">
              <w:t>floods</w:t>
            </w:r>
            <w:proofErr w:type="gramEnd"/>
            <w:r w:rsidR="00E52E8B" w:rsidRPr="00FD24B8">
              <w:t xml:space="preserve"> response.</w:t>
            </w:r>
            <w:r w:rsidR="00EC6FDE" w:rsidRPr="00FD24B8">
              <w:t xml:space="preserve"> </w:t>
            </w:r>
            <w:r w:rsidR="00FC2E8B" w:rsidRPr="00FC2E8B">
              <w:fldChar w:fldCharType="begin"/>
            </w:r>
            <w:r w:rsidR="00FC2E8B" w:rsidRPr="00CA731F">
              <w:instrText xml:space="preserve"> :End:SPD_LE1 </w:instrText>
            </w:r>
            <w:r w:rsidR="00FC2E8B" w:rsidRPr="00FC2E8B">
              <w:fldChar w:fldCharType="end"/>
            </w:r>
          </w:p>
        </w:tc>
      </w:tr>
    </w:tbl>
    <w:p w14:paraId="794C12A2" w14:textId="77777777" w:rsidR="002D0651" w:rsidRDefault="002D0651">
      <w:pPr>
        <w:spacing w:after="160" w:line="259" w:lineRule="auto"/>
        <w:jc w:val="left"/>
        <w:rPr>
          <w:rFonts w:ascii="Arial Bold" w:hAnsi="Arial Bold"/>
          <w:b/>
          <w:sz w:val="26"/>
        </w:rPr>
      </w:pPr>
      <w:bookmarkStart w:id="7" w:name="_Toc98757983"/>
      <w:r>
        <w:br w:type="page"/>
      </w:r>
    </w:p>
    <w:p w14:paraId="194D97E8" w14:textId="3A1601B3" w:rsidR="00F961A7" w:rsidRPr="00FD24B8" w:rsidRDefault="00773A12" w:rsidP="00EA06B7">
      <w:pPr>
        <w:pStyle w:val="Heading2"/>
      </w:pPr>
      <w:r>
        <w:lastRenderedPageBreak/>
        <w:fldChar w:fldCharType="begin"/>
      </w:r>
      <w:r>
        <w:instrText xml:space="preserve"> :Start:BPD_BG1 </w:instrText>
      </w:r>
      <w:r>
        <w:fldChar w:fldCharType="end"/>
      </w:r>
      <w:bookmarkStart w:id="8" w:name="_Toc99102042"/>
      <w:r w:rsidR="00F961A7" w:rsidRPr="00FD24B8">
        <w:t>Fiscal outlook</w:t>
      </w:r>
      <w:bookmarkEnd w:id="7"/>
      <w:bookmarkEnd w:id="8"/>
      <w:r w:rsidR="00F961A7" w:rsidRPr="00FD24B8">
        <w:t xml:space="preserve"> </w:t>
      </w:r>
    </w:p>
    <w:p w14:paraId="1ACBADB0" w14:textId="78DECF3E" w:rsidR="00441834" w:rsidRPr="00BE6368" w:rsidRDefault="00773A12" w:rsidP="00500876">
      <w:r w:rsidRPr="00FD24B8">
        <w:fldChar w:fldCharType="begin"/>
      </w:r>
      <w:r w:rsidRPr="00FD24B8">
        <w:instrText xml:space="preserve"> :End:BPD_BG1 </w:instrText>
      </w:r>
      <w:r w:rsidRPr="00FD24B8">
        <w:fldChar w:fldCharType="end"/>
      </w:r>
      <w:r w:rsidR="008872BD" w:rsidRPr="00FD24B8">
        <w:fldChar w:fldCharType="begin"/>
      </w:r>
      <w:r w:rsidR="008872BD" w:rsidRPr="00FD24B8">
        <w:instrText xml:space="preserve"> :Start:BPD_BG1 </w:instrText>
      </w:r>
      <w:r w:rsidR="008872BD" w:rsidRPr="00FD24B8">
        <w:fldChar w:fldCharType="end"/>
      </w:r>
      <w:r w:rsidR="00D01089" w:rsidRPr="00FD24B8">
        <w:t xml:space="preserve">The fiscal outlook has improved </w:t>
      </w:r>
      <w:r w:rsidR="00FE449B" w:rsidRPr="00FD24B8">
        <w:t xml:space="preserve">materially </w:t>
      </w:r>
      <w:r w:rsidR="00D01089" w:rsidRPr="00FD24B8">
        <w:t>since MYEFO</w:t>
      </w:r>
      <w:r w:rsidR="008872BD" w:rsidRPr="00FD24B8">
        <w:fldChar w:fldCharType="begin"/>
      </w:r>
      <w:r w:rsidR="008872BD" w:rsidRPr="00FD24B8">
        <w:instrText xml:space="preserve"> :End:BPD_BG1 </w:instrText>
      </w:r>
      <w:r w:rsidR="008872BD" w:rsidRPr="00FD24B8">
        <w:fldChar w:fldCharType="end"/>
      </w:r>
      <w:r w:rsidR="005F0F5B" w:rsidRPr="00FD24B8">
        <w:fldChar w:fldCharType="begin"/>
      </w:r>
      <w:r w:rsidR="005F0F5B" w:rsidRPr="00FD24B8">
        <w:instrText xml:space="preserve"> :Start:TAD_KDM1 </w:instrText>
      </w:r>
      <w:r w:rsidR="005F0F5B" w:rsidRPr="00FD24B8">
        <w:fldChar w:fldCharType="end"/>
      </w:r>
      <w:r w:rsidR="00A86489" w:rsidRPr="00FD24B8">
        <w:t xml:space="preserve">. </w:t>
      </w:r>
      <w:r w:rsidR="0068222D" w:rsidRPr="00FD24B8">
        <w:t>This re</w:t>
      </w:r>
      <w:r w:rsidR="003549C5" w:rsidRPr="00FD24B8">
        <w:t>f</w:t>
      </w:r>
      <w:r w:rsidR="0068222D" w:rsidRPr="00FD24B8">
        <w:t>lects l</w:t>
      </w:r>
      <w:r w:rsidR="00D01089" w:rsidRPr="00FD24B8">
        <w:t xml:space="preserve">arge upgrades to tax receipts </w:t>
      </w:r>
      <w:r w:rsidR="0071773B" w:rsidRPr="00FD24B8">
        <w:t xml:space="preserve">flowing from </w:t>
      </w:r>
      <w:r w:rsidR="00557B9C" w:rsidRPr="00FD24B8">
        <w:t>the strong</w:t>
      </w:r>
      <w:r w:rsidR="00A86489" w:rsidRPr="00FD24B8">
        <w:t>er</w:t>
      </w:r>
      <w:r w:rsidR="00A86489" w:rsidRPr="00FD24B8">
        <w:noBreakHyphen/>
        <w:t>than</w:t>
      </w:r>
      <w:r w:rsidR="00A86489" w:rsidRPr="00FD24B8">
        <w:noBreakHyphen/>
        <w:t xml:space="preserve">anticipated </w:t>
      </w:r>
      <w:r w:rsidR="005D15E9" w:rsidRPr="00FD24B8">
        <w:t xml:space="preserve">labour market </w:t>
      </w:r>
      <w:r w:rsidR="00557B9C" w:rsidRPr="00FD24B8">
        <w:t xml:space="preserve">recovery </w:t>
      </w:r>
      <w:r w:rsidR="00755ACF" w:rsidRPr="00FD24B8">
        <w:t>and higher</w:t>
      </w:r>
      <w:r w:rsidR="00CB31DF" w:rsidRPr="00FD24B8">
        <w:noBreakHyphen/>
      </w:r>
      <w:r w:rsidR="00755ACF" w:rsidRPr="00FD24B8">
        <w:t>than</w:t>
      </w:r>
      <w:r w:rsidR="00CB31DF" w:rsidRPr="00FD24B8">
        <w:noBreakHyphen/>
      </w:r>
      <w:r w:rsidR="00755ACF" w:rsidRPr="00FD24B8">
        <w:t>assumed near term commodity prices</w:t>
      </w:r>
      <w:r w:rsidR="003549C5" w:rsidRPr="00FD24B8">
        <w:t>.</w:t>
      </w:r>
      <w:r w:rsidR="003D6EA5" w:rsidRPr="00FD24B8">
        <w:t xml:space="preserve"> </w:t>
      </w:r>
      <w:r w:rsidR="005F0F5B" w:rsidRPr="00A56B05">
        <w:fldChar w:fldCharType="begin"/>
      </w:r>
      <w:r w:rsidR="005F0F5B" w:rsidRPr="00A56B05">
        <w:instrText xml:space="preserve"> :End:TAD_KDM1 </w:instrText>
      </w:r>
      <w:r w:rsidR="005F0F5B" w:rsidRPr="00A56B05">
        <w:fldChar w:fldCharType="end"/>
      </w:r>
    </w:p>
    <w:bookmarkStart w:id="9" w:name="_Toc98757984"/>
    <w:p w14:paraId="1CCF157E" w14:textId="2CE05D2F" w:rsidR="00F961A7" w:rsidRPr="00FD24B8" w:rsidRDefault="00773A12" w:rsidP="005B5647">
      <w:pPr>
        <w:pStyle w:val="Heading3"/>
      </w:pPr>
      <w:r>
        <w:fldChar w:fldCharType="begin"/>
      </w:r>
      <w:r>
        <w:instrText xml:space="preserve"> :Start:BPD_BG1 </w:instrText>
      </w:r>
      <w:r>
        <w:fldChar w:fldCharType="end"/>
      </w:r>
      <w:bookmarkStart w:id="10" w:name="_Toc99102043"/>
      <w:r w:rsidR="00F961A7" w:rsidRPr="00FD24B8">
        <w:t>Underlying cash balance estimates</w:t>
      </w:r>
      <w:r w:rsidR="00963EF2" w:rsidRPr="00FD24B8">
        <w:t xml:space="preserve"> and projections</w:t>
      </w:r>
      <w:bookmarkEnd w:id="9"/>
      <w:bookmarkEnd w:id="10"/>
    </w:p>
    <w:p w14:paraId="20B9967F" w14:textId="780C27F0" w:rsidR="00A30B70" w:rsidRPr="00FD24B8" w:rsidRDefault="001263B7" w:rsidP="001263B7">
      <w:r w:rsidRPr="00FD24B8">
        <w:t xml:space="preserve">An underlying cash deficit of </w:t>
      </w:r>
      <w:r w:rsidR="009B054C" w:rsidRPr="00FD24B8">
        <w:t>3.</w:t>
      </w:r>
      <w:r w:rsidR="0069218E" w:rsidRPr="00FD24B8">
        <w:t>4</w:t>
      </w:r>
      <w:r w:rsidRPr="00FD24B8">
        <w:t xml:space="preserve"> per cent of GDP ($</w:t>
      </w:r>
      <w:r w:rsidR="0069218E" w:rsidRPr="00FD24B8">
        <w:t>78.0</w:t>
      </w:r>
      <w:r w:rsidRPr="00FD24B8">
        <w:t xml:space="preserve"> billion) is estimated in 202</w:t>
      </w:r>
      <w:r w:rsidR="0009234C" w:rsidRPr="00FD24B8">
        <w:t>2</w:t>
      </w:r>
      <w:r w:rsidR="0009234C" w:rsidRPr="00FD24B8">
        <w:noBreakHyphen/>
        <w:t>23</w:t>
      </w:r>
      <w:r w:rsidRPr="00FD24B8">
        <w:t xml:space="preserve">, improving to an estimated deficit of </w:t>
      </w:r>
      <w:r w:rsidR="004726E9" w:rsidRPr="00FD24B8">
        <w:t>1.</w:t>
      </w:r>
      <w:r w:rsidR="0069218E" w:rsidRPr="00FD24B8">
        <w:t xml:space="preserve">6 </w:t>
      </w:r>
      <w:r w:rsidRPr="00FD24B8">
        <w:t>per cent of GDP ($</w:t>
      </w:r>
      <w:r w:rsidR="004726E9" w:rsidRPr="00FD24B8">
        <w:t>4</w:t>
      </w:r>
      <w:r w:rsidR="0069218E" w:rsidRPr="00FD24B8">
        <w:t>3.1</w:t>
      </w:r>
      <w:r w:rsidRPr="00FD24B8">
        <w:t xml:space="preserve"> billion) in 202</w:t>
      </w:r>
      <w:r w:rsidR="00AF7612" w:rsidRPr="00FD24B8">
        <w:t>5</w:t>
      </w:r>
      <w:r w:rsidR="00C1771F" w:rsidRPr="00FD24B8">
        <w:noBreakHyphen/>
      </w:r>
      <w:r w:rsidRPr="00FD24B8">
        <w:t>2</w:t>
      </w:r>
      <w:r w:rsidR="00AF7612" w:rsidRPr="00FD24B8">
        <w:t>6</w:t>
      </w:r>
      <w:r w:rsidRPr="00FD24B8">
        <w:t xml:space="preserve">. </w:t>
      </w:r>
      <w:r w:rsidR="00773A12" w:rsidRPr="00FD24B8">
        <w:fldChar w:fldCharType="begin"/>
      </w:r>
      <w:r w:rsidR="00773A12" w:rsidRPr="00FD24B8">
        <w:instrText xml:space="preserve"> :End:BPD_BG1 </w:instrText>
      </w:r>
      <w:r w:rsidR="00773A12" w:rsidRPr="00FD24B8">
        <w:fldChar w:fldCharType="end"/>
      </w:r>
      <w:r w:rsidR="00773A12" w:rsidRPr="00FD24B8">
        <w:fldChar w:fldCharType="begin"/>
      </w:r>
      <w:r w:rsidR="00773A12" w:rsidRPr="00FD24B8">
        <w:instrText xml:space="preserve"> :Start:BPD_BG3 </w:instrText>
      </w:r>
      <w:r w:rsidR="00773A12" w:rsidRPr="00FD24B8">
        <w:fldChar w:fldCharType="end"/>
      </w:r>
      <w:r w:rsidRPr="00FD24B8">
        <w:t>The</w:t>
      </w:r>
      <w:r w:rsidR="002474EC" w:rsidRPr="00FD24B8">
        <w:t> </w:t>
      </w:r>
      <w:r w:rsidRPr="00FD24B8">
        <w:t xml:space="preserve">underlying cash balance is projected to continue to improve over the medium term to a deficit of </w:t>
      </w:r>
      <w:r w:rsidR="004818A1" w:rsidRPr="00FD24B8">
        <w:t>0</w:t>
      </w:r>
      <w:r w:rsidRPr="00FD24B8">
        <w:t>.</w:t>
      </w:r>
      <w:r w:rsidR="00475D3A" w:rsidRPr="00FD24B8">
        <w:t>7</w:t>
      </w:r>
      <w:r w:rsidRPr="00FD24B8">
        <w:t xml:space="preserve"> per cent of GDP in 203</w:t>
      </w:r>
      <w:r w:rsidR="00437CB0" w:rsidRPr="00FD24B8">
        <w:t>2</w:t>
      </w:r>
      <w:r w:rsidRPr="00FD24B8">
        <w:noBreakHyphen/>
        <w:t>3</w:t>
      </w:r>
      <w:r w:rsidR="00437CB0" w:rsidRPr="00FD24B8">
        <w:t>3</w:t>
      </w:r>
      <w:r w:rsidRPr="00FD24B8">
        <w:t xml:space="preserve"> (Chart 3.</w:t>
      </w:r>
      <w:r w:rsidR="003143BB" w:rsidRPr="00FD24B8">
        <w:t>2</w:t>
      </w:r>
      <w:r w:rsidRPr="00FD24B8">
        <w:t>).</w:t>
      </w:r>
    </w:p>
    <w:p w14:paraId="277CF3A7" w14:textId="2C2ACA6E" w:rsidR="00BC2976" w:rsidRPr="00FD24B8" w:rsidRDefault="00067C8D" w:rsidP="00BC2976">
      <w:pPr>
        <w:pStyle w:val="ChartHeading"/>
      </w:pPr>
      <w:r>
        <w:fldChar w:fldCharType="begin"/>
      </w:r>
      <w:r>
        <w:instrText xml:space="preserve"> :End:BPD_BG3 </w:instrText>
      </w:r>
      <w:r>
        <w:fldChar w:fldCharType="end"/>
      </w:r>
      <w:r w:rsidR="00D52DA6" w:rsidRPr="00A56B05">
        <w:t>Chart 3.</w:t>
      </w:r>
      <w:r w:rsidR="003143BB" w:rsidRPr="00A56B05">
        <w:t>2</w:t>
      </w:r>
      <w:r w:rsidR="00D52DA6" w:rsidRPr="00A56B05">
        <w:t>: Underlying cash</w:t>
      </w:r>
      <w:r>
        <w:fldChar w:fldCharType="begin"/>
      </w:r>
      <w:r>
        <w:instrText xml:space="preserve"> :Start:BPD_BG1 </w:instrText>
      </w:r>
      <w:r>
        <w:fldChar w:fldCharType="end"/>
      </w:r>
      <w:r w:rsidR="00D52DA6" w:rsidRPr="00FD24B8">
        <w:t xml:space="preserve"> balance </w:t>
      </w:r>
    </w:p>
    <w:p w14:paraId="3FD1645E" w14:textId="58352591" w:rsidR="001D63C8" w:rsidRPr="00FD24B8" w:rsidRDefault="00395986" w:rsidP="007C4660">
      <w:pPr>
        <w:pStyle w:val="ChartGraphic"/>
      </w:pPr>
      <w:r>
        <w:rPr>
          <w:noProof/>
        </w:rPr>
        <w:drawing>
          <wp:inline distT="0" distB="0" distL="0" distR="0" wp14:anchorId="6C33C64E" wp14:editId="03BEFFC1">
            <wp:extent cx="4678045" cy="2541270"/>
            <wp:effectExtent l="0" t="0" r="0" b="0"/>
            <wp:docPr id="3" name="Picture 3" descr="This chart shows the underlying cash balance as at the 2022-23 Budget and the 2021-22 MYEFO. At the 2022-23 Budget, the underlying cash balance is expected to improve from a deficit of 3.4 per cent of GDP in 2022-23 to a deficit of 0.7 per cent of GDP at the end of the medium term. This compares to a deficit of 4.5 per cent of GDP in 2021-22 and a deficit of 1.8 per cent of GDP at the end of the medium term at the 2021-22 MYE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chart shows the underlying cash balance as at the 2022-23 Budget and the 2021-22 MYEFO. At the 2022-23 Budget, the underlying cash balance is expected to improve from a deficit of 3.4 per cent of GDP in 2022-23 to a deficit of 0.7 per cent of GDP at the end of the medium term. This compares to a deficit of 4.5 per cent of GDP in 2021-22 and a deficit of 1.8 per cent of GDP at the end of the medium term at the 2021-22 MYEF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8045" cy="2541270"/>
                    </a:xfrm>
                    <a:prstGeom prst="rect">
                      <a:avLst/>
                    </a:prstGeom>
                    <a:noFill/>
                    <a:ln>
                      <a:noFill/>
                    </a:ln>
                  </pic:spPr>
                </pic:pic>
              </a:graphicData>
            </a:graphic>
          </wp:inline>
        </w:drawing>
      </w:r>
    </w:p>
    <w:p w14:paraId="0799ECCF" w14:textId="6CD674AE" w:rsidR="000974AF" w:rsidRPr="00FD24B8" w:rsidRDefault="00773A12" w:rsidP="000974AF">
      <w:pPr>
        <w:pStyle w:val="ChartandTableFootnote"/>
        <w:rPr>
          <w:rFonts w:eastAsiaTheme="minorHAnsi"/>
          <w:color w:val="auto"/>
        </w:rPr>
      </w:pPr>
      <w:r w:rsidRPr="00FD24B8">
        <w:rPr>
          <w:color w:val="auto"/>
        </w:rPr>
        <w:fldChar w:fldCharType="begin"/>
      </w:r>
      <w:r w:rsidRPr="00FD24B8">
        <w:rPr>
          <w:color w:val="auto"/>
        </w:rPr>
        <w:instrText xml:space="preserve"> :End:BPD_BG</w:instrText>
      </w:r>
      <w:r w:rsidR="00067C8D" w:rsidRPr="00FD24B8">
        <w:rPr>
          <w:color w:val="auto"/>
        </w:rPr>
        <w:instrText>1</w:instrText>
      </w:r>
      <w:r w:rsidRPr="00FD24B8">
        <w:rPr>
          <w:color w:val="auto"/>
        </w:rPr>
        <w:instrText xml:space="preserve"> </w:instrText>
      </w:r>
      <w:r w:rsidRPr="00FD24B8">
        <w:rPr>
          <w:color w:val="auto"/>
        </w:rPr>
        <w:fldChar w:fldCharType="end"/>
      </w:r>
      <w:r w:rsidR="00067C8D" w:rsidRPr="00FD24B8">
        <w:rPr>
          <w:color w:val="auto"/>
        </w:rPr>
        <w:fldChar w:fldCharType="begin"/>
      </w:r>
      <w:r w:rsidR="00067C8D" w:rsidRPr="00FD24B8">
        <w:rPr>
          <w:color w:val="auto"/>
        </w:rPr>
        <w:instrText xml:space="preserve"> :Start:TAD_KDM1 </w:instrText>
      </w:r>
      <w:r w:rsidR="00067C8D" w:rsidRPr="00FD24B8">
        <w:rPr>
          <w:color w:val="auto"/>
        </w:rPr>
        <w:fldChar w:fldCharType="end"/>
      </w:r>
      <w:r w:rsidR="000974AF" w:rsidRPr="00FD24B8">
        <w:rPr>
          <w:color w:val="auto"/>
        </w:rPr>
        <w:t xml:space="preserve">Note: </w:t>
      </w:r>
      <w:r w:rsidR="000974AF" w:rsidRPr="00FD24B8">
        <w:rPr>
          <w:color w:val="auto"/>
        </w:rPr>
        <w:tab/>
      </w:r>
      <w:r w:rsidR="00BC5E50" w:rsidRPr="00FD24B8">
        <w:rPr>
          <w:color w:val="auto"/>
        </w:rPr>
        <w:t xml:space="preserve">The </w:t>
      </w:r>
      <w:r w:rsidR="00BE6520" w:rsidRPr="00FD24B8">
        <w:rPr>
          <w:color w:val="auto"/>
        </w:rPr>
        <w:t>20</w:t>
      </w:r>
      <w:r w:rsidR="0058220C" w:rsidRPr="00FD24B8">
        <w:rPr>
          <w:color w:val="auto"/>
        </w:rPr>
        <w:t>22</w:t>
      </w:r>
      <w:r w:rsidR="0031144A" w:rsidRPr="00FD24B8">
        <w:rPr>
          <w:color w:val="auto"/>
        </w:rPr>
        <w:noBreakHyphen/>
      </w:r>
      <w:r w:rsidR="0058220C" w:rsidRPr="00FD24B8">
        <w:rPr>
          <w:color w:val="auto"/>
        </w:rPr>
        <w:t>23 Budget projections have</w:t>
      </w:r>
      <w:r w:rsidR="00BE6520" w:rsidRPr="00FD24B8">
        <w:rPr>
          <w:color w:val="auto"/>
        </w:rPr>
        <w:t xml:space="preserve"> </w:t>
      </w:r>
      <w:r w:rsidR="0058220C" w:rsidRPr="00FD24B8">
        <w:rPr>
          <w:color w:val="auto"/>
        </w:rPr>
        <w:t>t</w:t>
      </w:r>
      <w:r w:rsidR="00F20060" w:rsidRPr="00FD24B8">
        <w:rPr>
          <w:color w:val="auto"/>
        </w:rPr>
        <w:t>ax receipts reach</w:t>
      </w:r>
      <w:r w:rsidR="0058220C" w:rsidRPr="00FD24B8">
        <w:rPr>
          <w:color w:val="auto"/>
        </w:rPr>
        <w:t>ing</w:t>
      </w:r>
      <w:r w:rsidR="00F20060" w:rsidRPr="00FD24B8">
        <w:rPr>
          <w:color w:val="auto"/>
        </w:rPr>
        <w:t xml:space="preserve"> the 23.9 per cent tax</w:t>
      </w:r>
      <w:r w:rsidR="00F20060" w:rsidRPr="00FD24B8">
        <w:rPr>
          <w:color w:val="auto"/>
        </w:rPr>
        <w:noBreakHyphen/>
        <w:t>to</w:t>
      </w:r>
      <w:r w:rsidR="00F20060" w:rsidRPr="00FD24B8">
        <w:rPr>
          <w:color w:val="auto"/>
        </w:rPr>
        <w:noBreakHyphen/>
        <w:t>GDP cap in 2031</w:t>
      </w:r>
      <w:r w:rsidR="0031144A" w:rsidRPr="00FD24B8">
        <w:rPr>
          <w:color w:val="auto"/>
        </w:rPr>
        <w:noBreakHyphen/>
      </w:r>
      <w:r w:rsidR="00F20060" w:rsidRPr="00FD24B8">
        <w:rPr>
          <w:color w:val="auto"/>
        </w:rPr>
        <w:t>32</w:t>
      </w:r>
      <w:r w:rsidR="0058220C" w:rsidRPr="00FD24B8">
        <w:rPr>
          <w:color w:val="auto"/>
        </w:rPr>
        <w:t>.</w:t>
      </w:r>
      <w:r w:rsidR="00F20060" w:rsidRPr="00FD24B8">
        <w:rPr>
          <w:color w:val="auto"/>
        </w:rPr>
        <w:t xml:space="preserve"> </w:t>
      </w:r>
      <w:r w:rsidR="00C95291" w:rsidRPr="00FD24B8">
        <w:rPr>
          <w:color w:val="auto"/>
        </w:rPr>
        <w:fldChar w:fldCharType="begin"/>
      </w:r>
      <w:r w:rsidR="00C95291" w:rsidRPr="00FD24B8">
        <w:rPr>
          <w:color w:val="auto"/>
        </w:rPr>
        <w:instrText xml:space="preserve"> :End:TAD_KDM1 </w:instrText>
      </w:r>
      <w:r w:rsidR="00C95291" w:rsidRPr="00FD24B8">
        <w:rPr>
          <w:color w:val="auto"/>
        </w:rPr>
        <w:fldChar w:fldCharType="end"/>
      </w:r>
      <w:r w:rsidR="000A08BC" w:rsidRPr="00FD24B8">
        <w:rPr>
          <w:color w:val="auto"/>
        </w:rPr>
        <w:fldChar w:fldCharType="begin"/>
      </w:r>
      <w:r w:rsidR="000A08BC" w:rsidRPr="00FD24B8">
        <w:rPr>
          <w:color w:val="auto"/>
        </w:rPr>
        <w:instrText xml:space="preserve"> :Start:BPD_BG3 </w:instrText>
      </w:r>
      <w:r w:rsidR="000A08BC" w:rsidRPr="00FD24B8">
        <w:rPr>
          <w:color w:val="auto"/>
        </w:rPr>
        <w:fldChar w:fldCharType="end"/>
      </w:r>
      <w:r w:rsidR="006C7390" w:rsidRPr="00FD24B8">
        <w:rPr>
          <w:color w:val="auto"/>
        </w:rPr>
        <w:t>Underlying cash balance p</w:t>
      </w:r>
      <w:r w:rsidR="0058220C" w:rsidRPr="00FD24B8">
        <w:rPr>
          <w:color w:val="auto"/>
        </w:rPr>
        <w:t>rojections</w:t>
      </w:r>
      <w:r w:rsidR="00F20060" w:rsidRPr="00FD24B8">
        <w:rPr>
          <w:color w:val="auto"/>
        </w:rPr>
        <w:t xml:space="preserve"> </w:t>
      </w:r>
      <w:r w:rsidR="0058220C" w:rsidRPr="00FD24B8">
        <w:rPr>
          <w:color w:val="auto"/>
        </w:rPr>
        <w:t>e</w:t>
      </w:r>
      <w:r w:rsidR="000974AF" w:rsidRPr="00FD24B8">
        <w:rPr>
          <w:color w:val="auto"/>
        </w:rPr>
        <w:t>xclude net Future Fund earnings before 2020</w:t>
      </w:r>
      <w:r w:rsidR="000974AF" w:rsidRPr="00FD24B8">
        <w:rPr>
          <w:color w:val="auto"/>
        </w:rPr>
        <w:noBreakHyphen/>
        <w:t>21.</w:t>
      </w:r>
      <w:r w:rsidR="00067C8D" w:rsidRPr="00FD24B8">
        <w:rPr>
          <w:color w:val="auto"/>
        </w:rPr>
        <w:t xml:space="preserve"> </w:t>
      </w:r>
    </w:p>
    <w:p w14:paraId="602697E5" w14:textId="7086A5C3" w:rsidR="00D52DA6" w:rsidRPr="00A56B05" w:rsidRDefault="00D52DA6" w:rsidP="00D52DA6">
      <w:pPr>
        <w:pStyle w:val="Source"/>
      </w:pPr>
      <w:r w:rsidRPr="00FD24B8">
        <w:t xml:space="preserve">Source: </w:t>
      </w:r>
      <w:r w:rsidRPr="00FD24B8">
        <w:tab/>
        <w:t>Treasury.</w:t>
      </w:r>
      <w:r w:rsidR="00067C8D" w:rsidRPr="00FD24B8">
        <w:t xml:space="preserve"> </w:t>
      </w:r>
      <w:r w:rsidR="00067C8D">
        <w:fldChar w:fldCharType="begin"/>
      </w:r>
      <w:r w:rsidR="00067C8D">
        <w:instrText xml:space="preserve"> :End:BPD_BG3 </w:instrText>
      </w:r>
      <w:r w:rsidR="00067C8D">
        <w:fldChar w:fldCharType="end"/>
      </w:r>
    </w:p>
    <w:p w14:paraId="1FE6DBD7" w14:textId="196D8BF3" w:rsidR="00BB7153" w:rsidRPr="00FD24B8" w:rsidRDefault="0087336E" w:rsidP="00BB7153">
      <w:pPr>
        <w:pStyle w:val="Heading4"/>
      </w:pPr>
      <w:r w:rsidRPr="00A56B05">
        <w:fldChar w:fldCharType="begin"/>
      </w:r>
      <w:r w:rsidRPr="00A56B05">
        <w:instrText xml:space="preserve"> :Start:BPD_BG1 </w:instrText>
      </w:r>
      <w:r w:rsidRPr="00A56B05">
        <w:fldChar w:fldCharType="end"/>
      </w:r>
      <w:r w:rsidR="00BB7153" w:rsidRPr="00FD24B8">
        <w:t>Cumulative fiscal improvement since 2013</w:t>
      </w:r>
      <w:r w:rsidR="00C1771F" w:rsidRPr="00FD24B8">
        <w:noBreakHyphen/>
      </w:r>
      <w:r w:rsidR="00BB7153" w:rsidRPr="00FD24B8">
        <w:t>14</w:t>
      </w:r>
    </w:p>
    <w:p w14:paraId="63C3ECC8" w14:textId="0750F301" w:rsidR="00D96E7A" w:rsidRPr="00BE6368" w:rsidRDefault="00D96E7A" w:rsidP="00D96E7A">
      <w:r w:rsidRPr="00FD24B8">
        <w:t>While the fiscal cost of the pandemic has been substantial, a strong economic outlook and adherence to the Economic and Fiscal Strategy is expected to underpin ongoing improvements in the fiscal position. Having peaked in 2020</w:t>
      </w:r>
      <w:r w:rsidR="0031144A" w:rsidRPr="00FD24B8">
        <w:noBreakHyphen/>
      </w:r>
      <w:r w:rsidRPr="00FD24B8">
        <w:t>21, the deficit in the underlying cash balance is now expected to narrow to 1</w:t>
      </w:r>
      <w:r w:rsidR="007523F9" w:rsidRPr="00FD24B8">
        <w:t>.6</w:t>
      </w:r>
      <w:r w:rsidRPr="00FD24B8">
        <w:t xml:space="preserve"> per cent of GDP by the end of the forward estimates. </w:t>
      </w:r>
      <w:r w:rsidR="00871240" w:rsidRPr="00FD24B8">
        <w:t>T</w:t>
      </w:r>
      <w:r w:rsidRPr="00FD24B8">
        <w:t xml:space="preserve">his would be a </w:t>
      </w:r>
      <w:r w:rsidR="00AE087D" w:rsidRPr="00FD24B8">
        <w:t>1.4</w:t>
      </w:r>
      <w:r w:rsidRPr="00FD24B8">
        <w:t xml:space="preserve"> per cent of GDP improvement </w:t>
      </w:r>
      <w:r w:rsidR="0035099D" w:rsidRPr="00FD24B8">
        <w:t xml:space="preserve">from </w:t>
      </w:r>
      <w:r w:rsidRPr="00FD24B8">
        <w:t>the underlying cash balance in 2013</w:t>
      </w:r>
      <w:r w:rsidR="00A4380D" w:rsidRPr="00FD24B8">
        <w:noBreakHyphen/>
      </w:r>
      <w:r w:rsidRPr="00FD24B8">
        <w:t>14 (Chart 3.</w:t>
      </w:r>
      <w:r w:rsidR="007523F9" w:rsidRPr="00FD24B8">
        <w:t>3</w:t>
      </w:r>
      <w:r w:rsidRPr="00FD24B8">
        <w:t>).</w:t>
      </w:r>
      <w:r w:rsidR="0092590D" w:rsidRPr="00FD24B8">
        <w:t xml:space="preserve"> </w:t>
      </w:r>
      <w:r w:rsidR="0092590D" w:rsidRPr="00A56B05">
        <w:fldChar w:fldCharType="begin"/>
      </w:r>
      <w:r w:rsidR="0092590D" w:rsidRPr="00A56B05">
        <w:instrText xml:space="preserve"> :End:BPD_BG1 </w:instrText>
      </w:r>
      <w:r w:rsidR="0092590D" w:rsidRPr="00A56B05">
        <w:fldChar w:fldCharType="end"/>
      </w:r>
    </w:p>
    <w:p w14:paraId="7424144F" w14:textId="025FF83F" w:rsidR="00B37798" w:rsidRPr="00FD24B8" w:rsidRDefault="00353B63" w:rsidP="00B37798">
      <w:pPr>
        <w:pStyle w:val="ChartHeading"/>
      </w:pPr>
      <w:r>
        <w:lastRenderedPageBreak/>
        <w:fldChar w:fldCharType="begin"/>
      </w:r>
      <w:r>
        <w:instrText xml:space="preserve"> :Start:BPD_BG1 </w:instrText>
      </w:r>
      <w:r>
        <w:fldChar w:fldCharType="end"/>
      </w:r>
      <w:r w:rsidR="00B37798" w:rsidRPr="00FD24B8">
        <w:t>Chart 3.3: Cumulative fiscal improvement</w:t>
      </w:r>
      <w:r w:rsidRPr="00FD24B8">
        <w:fldChar w:fldCharType="begin"/>
      </w:r>
      <w:r w:rsidRPr="00FD24B8">
        <w:instrText xml:space="preserve"> :End:BPD_BG1 </w:instrText>
      </w:r>
      <w:r w:rsidRPr="00FD24B8">
        <w:fldChar w:fldCharType="end"/>
      </w:r>
      <w:r w:rsidRPr="00FD24B8">
        <w:fldChar w:fldCharType="begin"/>
      </w:r>
      <w:r w:rsidRPr="00FD24B8">
        <w:instrText xml:space="preserve"> :Start:BPD_BG3 </w:instrText>
      </w:r>
      <w:r w:rsidRPr="00FD24B8">
        <w:fldChar w:fldCharType="end"/>
      </w:r>
      <w:r w:rsidR="00B37798" w:rsidRPr="00FD24B8">
        <w:t xml:space="preserve"> from 2013</w:t>
      </w:r>
      <w:r w:rsidR="00B37798" w:rsidRPr="00FD24B8">
        <w:noBreakHyphen/>
        <w:t>14 to 2032</w:t>
      </w:r>
      <w:r w:rsidR="0031144A" w:rsidRPr="00FD24B8">
        <w:noBreakHyphen/>
      </w:r>
      <w:r w:rsidR="00B37798" w:rsidRPr="00FD24B8">
        <w:t>33</w:t>
      </w:r>
    </w:p>
    <w:p w14:paraId="28DB2950" w14:textId="0DA258CA" w:rsidR="00FF1A0E" w:rsidRPr="00FD24B8" w:rsidRDefault="00395986" w:rsidP="008F38DD">
      <w:pPr>
        <w:pStyle w:val="ChartGraphic"/>
      </w:pPr>
      <w:r>
        <w:rPr>
          <w:noProof/>
        </w:rPr>
        <w:drawing>
          <wp:inline distT="0" distB="0" distL="0" distR="0" wp14:anchorId="439F2A4B" wp14:editId="29BABBE6">
            <wp:extent cx="4678045" cy="2519680"/>
            <wp:effectExtent l="0" t="0" r="8255" b="0"/>
            <wp:docPr id="6" name="Picture 6" descr="This chart shows the underlying cash balance as a share of GDP as at the 2022-23 Budget, including historical figures back to 2007-08. It also shows the cumulative fiscal improvement since 2013-14, after peaking in 2018-19 at 3.0 per cent of GDP, it falls quickly before rising to 2.3 per cent of GDP by the end of the medium te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chart shows the underlying cash balance as a share of GDP as at the 2022-23 Budget, including historical figures back to 2007-08. It also shows the cumulative fiscal improvement since 2013-14, after peaking in 2018-19 at 3.0 per cent of GDP, it falls quickly before rising to 2.3 per cent of GDP by the end of the medium term&#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8045" cy="2519680"/>
                    </a:xfrm>
                    <a:prstGeom prst="rect">
                      <a:avLst/>
                    </a:prstGeom>
                    <a:noFill/>
                    <a:ln>
                      <a:noFill/>
                    </a:ln>
                  </pic:spPr>
                </pic:pic>
              </a:graphicData>
            </a:graphic>
          </wp:inline>
        </w:drawing>
      </w:r>
    </w:p>
    <w:p w14:paraId="5CDE78E4" w14:textId="7A9F1114" w:rsidR="009F27BF" w:rsidRPr="00FD24B8" w:rsidRDefault="009F27BF" w:rsidP="00C91058">
      <w:pPr>
        <w:pStyle w:val="ChartandTableFootnoteAlpha"/>
        <w:numPr>
          <w:ilvl w:val="0"/>
          <w:numId w:val="0"/>
        </w:numPr>
        <w:ind w:left="284" w:hanging="284"/>
        <w:rPr>
          <w:rFonts w:eastAsiaTheme="minorHAnsi"/>
          <w:color w:val="auto"/>
        </w:rPr>
      </w:pPr>
      <w:r w:rsidRPr="00FD24B8">
        <w:rPr>
          <w:color w:val="auto"/>
        </w:rPr>
        <w:t>N</w:t>
      </w:r>
      <w:r w:rsidR="00BB7153" w:rsidRPr="00FD24B8">
        <w:rPr>
          <w:color w:val="auto"/>
        </w:rPr>
        <w:t xml:space="preserve">ote: </w:t>
      </w:r>
      <w:r w:rsidR="00BB7153" w:rsidRPr="00FD24B8">
        <w:rPr>
          <w:color w:val="auto"/>
        </w:rPr>
        <w:tab/>
        <w:t>Excludes net Future Fund earnings before 2020</w:t>
      </w:r>
      <w:r w:rsidR="00BB7153" w:rsidRPr="00FD24B8">
        <w:rPr>
          <w:color w:val="auto"/>
        </w:rPr>
        <w:noBreakHyphen/>
        <w:t>21.</w:t>
      </w:r>
    </w:p>
    <w:p w14:paraId="4BC6F61E" w14:textId="0A9026D5" w:rsidR="00317C53" w:rsidRPr="00A56B05" w:rsidRDefault="00EC350A" w:rsidP="00D3260C">
      <w:pPr>
        <w:pStyle w:val="ChartandTableFootnote"/>
        <w:rPr>
          <w:color w:val="auto"/>
        </w:rPr>
      </w:pPr>
      <w:r w:rsidRPr="00FD24B8">
        <w:rPr>
          <w:color w:val="auto"/>
        </w:rPr>
        <w:t xml:space="preserve">Source: </w:t>
      </w:r>
      <w:r w:rsidRPr="00FD24B8">
        <w:rPr>
          <w:color w:val="auto"/>
        </w:rPr>
        <w:tab/>
        <w:t>Treasury.</w:t>
      </w:r>
      <w:r w:rsidR="00353B63" w:rsidRPr="00FD24B8">
        <w:rPr>
          <w:rStyle w:val="ChartandTableFootnoteAlphaChar"/>
          <w:color w:val="auto"/>
        </w:rPr>
        <w:t xml:space="preserve"> </w:t>
      </w:r>
      <w:r w:rsidR="00353B63">
        <w:rPr>
          <w:rStyle w:val="ChartandTableFootnoteAlphaChar"/>
        </w:rPr>
        <w:fldChar w:fldCharType="begin"/>
      </w:r>
      <w:r w:rsidR="00353B63">
        <w:rPr>
          <w:color w:val="auto"/>
        </w:rPr>
        <w:instrText xml:space="preserve"> :End:BPD_BG3 </w:instrText>
      </w:r>
      <w:r w:rsidR="00353B63">
        <w:rPr>
          <w:color w:val="auto"/>
        </w:rPr>
        <w:fldChar w:fldCharType="end"/>
      </w:r>
      <w:r w:rsidR="00317C53" w:rsidRPr="00A56B05">
        <w:rPr>
          <w:color w:val="auto"/>
        </w:rPr>
        <w:br w:type="page"/>
      </w:r>
    </w:p>
    <w:tbl>
      <w:tblPr>
        <w:tblW w:w="5000" w:type="pct"/>
        <w:shd w:val="clear" w:color="auto" w:fill="F2F9FC"/>
        <w:tblLayout w:type="fixed"/>
        <w:tblCellMar>
          <w:top w:w="284" w:type="dxa"/>
          <w:bottom w:w="284" w:type="dxa"/>
        </w:tblCellMar>
        <w:tblLook w:val="0000" w:firstRow="0" w:lastRow="0" w:firstColumn="0" w:lastColumn="0" w:noHBand="0" w:noVBand="0"/>
      </w:tblPr>
      <w:tblGrid>
        <w:gridCol w:w="7710"/>
      </w:tblGrid>
      <w:tr w:rsidR="00A10897" w14:paraId="4188DA6C" w14:textId="77777777" w:rsidTr="005A155C">
        <w:trPr>
          <w:cantSplit/>
          <w:trHeight w:val="1703"/>
        </w:trPr>
        <w:tc>
          <w:tcPr>
            <w:tcW w:w="7710" w:type="dxa"/>
            <w:shd w:val="clear" w:color="auto" w:fill="F2F9FC"/>
          </w:tcPr>
          <w:p w14:paraId="46FC8026" w14:textId="521020BA" w:rsidR="00A411FF" w:rsidRPr="00782B96" w:rsidRDefault="00731E03" w:rsidP="001A0139">
            <w:pPr>
              <w:pStyle w:val="Source"/>
              <w:ind w:left="0" w:firstLine="0"/>
            </w:pPr>
            <w:r>
              <w:lastRenderedPageBreak/>
              <w:fldChar w:fldCharType="begin"/>
            </w:r>
            <w:r>
              <w:instrText xml:space="preserve"> :Start:BPD_BG1 </w:instrText>
            </w:r>
            <w:r>
              <w:fldChar w:fldCharType="end"/>
            </w:r>
            <w:r w:rsidR="00A411FF" w:rsidRPr="00FD24B8">
              <w:rPr>
                <w:b/>
                <w:sz w:val="20"/>
              </w:rPr>
              <w:t>Box 3.</w:t>
            </w:r>
            <w:r w:rsidR="003143BB" w:rsidRPr="00FD24B8">
              <w:rPr>
                <w:b/>
                <w:sz w:val="20"/>
              </w:rPr>
              <w:t>3</w:t>
            </w:r>
            <w:r w:rsidR="00A411FF" w:rsidRPr="00FD24B8">
              <w:rPr>
                <w:b/>
                <w:sz w:val="20"/>
              </w:rPr>
              <w:t xml:space="preserve">: </w:t>
            </w:r>
            <w:r w:rsidR="00155ECF" w:rsidRPr="00FD24B8">
              <w:rPr>
                <w:b/>
                <w:sz w:val="20"/>
              </w:rPr>
              <w:t xml:space="preserve">The fiscal </w:t>
            </w:r>
            <w:r w:rsidR="00CD5CE1" w:rsidRPr="00FD24B8">
              <w:rPr>
                <w:b/>
                <w:sz w:val="20"/>
              </w:rPr>
              <w:t>dividend</w:t>
            </w:r>
            <w:r w:rsidR="00155ECF" w:rsidRPr="00FD24B8">
              <w:rPr>
                <w:b/>
                <w:sz w:val="20"/>
              </w:rPr>
              <w:t xml:space="preserve"> </w:t>
            </w:r>
            <w:r w:rsidR="0047596D" w:rsidRPr="00FD24B8">
              <w:rPr>
                <w:b/>
                <w:sz w:val="20"/>
              </w:rPr>
              <w:t xml:space="preserve">of </w:t>
            </w:r>
            <w:r w:rsidR="00CD5CE1" w:rsidRPr="00FD24B8">
              <w:rPr>
                <w:b/>
                <w:sz w:val="20"/>
              </w:rPr>
              <w:t xml:space="preserve">a </w:t>
            </w:r>
            <w:r w:rsidR="00ED16CA" w:rsidRPr="00FD24B8">
              <w:rPr>
                <w:b/>
                <w:sz w:val="20"/>
              </w:rPr>
              <w:t xml:space="preserve">strong </w:t>
            </w:r>
            <w:r w:rsidR="00A411FF" w:rsidRPr="00FD24B8">
              <w:rPr>
                <w:b/>
                <w:sz w:val="20"/>
              </w:rPr>
              <w:t>labour market</w:t>
            </w:r>
            <w:r w:rsidR="00ED16CA" w:rsidRPr="00FD24B8">
              <w:rPr>
                <w:b/>
                <w:sz w:val="20"/>
              </w:rPr>
              <w:t xml:space="preserve"> recovery</w:t>
            </w:r>
            <w:r>
              <w:fldChar w:fldCharType="begin"/>
            </w:r>
            <w:r>
              <w:instrText xml:space="preserve"> :End:BPD_BG1 </w:instrText>
            </w:r>
            <w:r>
              <w:fldChar w:fldCharType="end"/>
            </w:r>
          </w:p>
          <w:p w14:paraId="2CD3CF33" w14:textId="10980E1A" w:rsidR="006D7F21" w:rsidRPr="00AB51D4" w:rsidRDefault="0002276E" w:rsidP="00476AC2">
            <w:r w:rsidRPr="00D57BDF">
              <w:fldChar w:fldCharType="begin"/>
            </w:r>
            <w:r w:rsidRPr="00D57BDF">
              <w:instrText xml:space="preserve"> :Start:MECD_TP1 </w:instrText>
            </w:r>
            <w:r w:rsidRPr="00D57BDF">
              <w:fldChar w:fldCharType="end"/>
            </w:r>
            <w:r w:rsidR="007E34A6" w:rsidRPr="00FD24B8">
              <w:t>Supported by the Government’s economic plan, the</w:t>
            </w:r>
            <w:r w:rsidR="006D7F21" w:rsidRPr="00FD24B8">
              <w:t xml:space="preserve"> Australian labour market has </w:t>
            </w:r>
            <w:r w:rsidR="00CF2F8B" w:rsidRPr="00FD24B8">
              <w:t xml:space="preserve">been </w:t>
            </w:r>
            <w:r w:rsidR="006D7F21" w:rsidRPr="00FD24B8">
              <w:t>resilien</w:t>
            </w:r>
            <w:r w:rsidR="00CF2F8B" w:rsidRPr="00FD24B8">
              <w:t>t</w:t>
            </w:r>
            <w:r w:rsidR="006D7F21" w:rsidRPr="00FD24B8">
              <w:t xml:space="preserve"> throughout the pandemic</w:t>
            </w:r>
            <w:r w:rsidR="00C51D57" w:rsidRPr="00FD24B8">
              <w:t>.</w:t>
            </w:r>
            <w:r w:rsidR="00B633F6" w:rsidRPr="00FD24B8">
              <w:t xml:space="preserve"> </w:t>
            </w:r>
            <w:r w:rsidR="00CE43EE" w:rsidRPr="00FD24B8">
              <w:t>E</w:t>
            </w:r>
            <w:r w:rsidR="008A6C20" w:rsidRPr="00FD24B8">
              <w:t xml:space="preserve">mployment </w:t>
            </w:r>
            <w:r w:rsidR="00CE43EE" w:rsidRPr="00FD24B8">
              <w:t xml:space="preserve">is now </w:t>
            </w:r>
            <w:r w:rsidR="00DD1142" w:rsidRPr="00FD24B8">
              <w:t>3.1</w:t>
            </w:r>
            <w:r w:rsidR="00267A05" w:rsidRPr="00FD24B8">
              <w:t xml:space="preserve"> per</w:t>
            </w:r>
            <w:r w:rsidR="00CE43EE" w:rsidRPr="00FD24B8">
              <w:t xml:space="preserve"> </w:t>
            </w:r>
            <w:r w:rsidR="00267A05" w:rsidRPr="00FD24B8">
              <w:t>cent</w:t>
            </w:r>
            <w:r w:rsidR="00CE43EE" w:rsidRPr="00FD24B8">
              <w:t xml:space="preserve"> above its </w:t>
            </w:r>
            <w:r w:rsidR="00267A05" w:rsidRPr="00FD24B8">
              <w:t>pre</w:t>
            </w:r>
            <w:r w:rsidR="00772A9A" w:rsidRPr="00FD24B8">
              <w:noBreakHyphen/>
            </w:r>
            <w:r w:rsidR="00267A05" w:rsidRPr="00FD24B8">
              <w:t xml:space="preserve">pandemic </w:t>
            </w:r>
            <w:r w:rsidR="00CE43EE" w:rsidRPr="00FD24B8">
              <w:t>level</w:t>
            </w:r>
            <w:r w:rsidR="00295E40" w:rsidRPr="00FD24B8">
              <w:t>,</w:t>
            </w:r>
            <w:r w:rsidR="00B54810" w:rsidRPr="00FD24B8">
              <w:t xml:space="preserve"> </w:t>
            </w:r>
            <w:r w:rsidRPr="00FD24B8">
              <w:fldChar w:fldCharType="begin"/>
            </w:r>
            <w:r w:rsidRPr="00FD24B8">
              <w:instrText xml:space="preserve"> :End:MECD_TP1 </w:instrText>
            </w:r>
            <w:r w:rsidRPr="00FD24B8">
              <w:fldChar w:fldCharType="end"/>
            </w:r>
            <w:r w:rsidRPr="00FD24B8">
              <w:fldChar w:fldCharType="begin"/>
            </w:r>
            <w:r w:rsidRPr="00FD24B8">
              <w:instrText xml:space="preserve"> :Start:MECD_TP2 </w:instrText>
            </w:r>
            <w:r w:rsidRPr="00FD24B8">
              <w:fldChar w:fldCharType="end"/>
            </w:r>
            <w:r w:rsidR="00B54810" w:rsidRPr="00FD24B8">
              <w:t xml:space="preserve">a </w:t>
            </w:r>
            <w:r w:rsidR="59AF0A6E" w:rsidRPr="00FD24B8">
              <w:t>greater</w:t>
            </w:r>
            <w:r w:rsidR="00E840AE" w:rsidRPr="00FD24B8">
              <w:t xml:space="preserve"> improvement </w:t>
            </w:r>
            <w:r w:rsidR="00CC703D" w:rsidRPr="00FD24B8">
              <w:t xml:space="preserve">than any </w:t>
            </w:r>
            <w:r w:rsidR="564C72A0" w:rsidRPr="00FD24B8">
              <w:t>major advanced</w:t>
            </w:r>
            <w:r w:rsidR="00CC703D" w:rsidRPr="00FD24B8">
              <w:t xml:space="preserve"> economy</w:t>
            </w:r>
            <w:r w:rsidR="00FD49FD" w:rsidRPr="00FD24B8">
              <w:t xml:space="preserve"> (Chart</w:t>
            </w:r>
            <w:r w:rsidR="002474EC" w:rsidRPr="00FD24B8">
              <w:t> </w:t>
            </w:r>
            <w:r w:rsidR="00FD49FD" w:rsidRPr="00FD24B8">
              <w:t>3.</w:t>
            </w:r>
            <w:r w:rsidR="00420771" w:rsidRPr="00FD24B8">
              <w:t>4</w:t>
            </w:r>
            <w:r w:rsidR="00FD49FD" w:rsidRPr="00FD24B8">
              <w:t>)</w:t>
            </w:r>
            <w:r w:rsidR="00A44663" w:rsidRPr="00FD24B8">
              <w:t xml:space="preserve">. </w:t>
            </w:r>
            <w:r w:rsidR="00633640" w:rsidRPr="00FD24B8">
              <w:fldChar w:fldCharType="begin"/>
            </w:r>
            <w:r w:rsidR="00633640" w:rsidRPr="00FD24B8">
              <w:instrText xml:space="preserve"> :End:MECD_TP2 </w:instrText>
            </w:r>
            <w:r w:rsidR="00633640" w:rsidRPr="00FD24B8">
              <w:fldChar w:fldCharType="end"/>
            </w:r>
            <w:r w:rsidR="00897914" w:rsidRPr="00FD24B8">
              <w:fldChar w:fldCharType="begin"/>
            </w:r>
            <w:r w:rsidR="00897914" w:rsidRPr="00FD24B8">
              <w:instrText xml:space="preserve"> :Start:MECD_TP1 </w:instrText>
            </w:r>
            <w:r w:rsidR="00897914" w:rsidRPr="00FD24B8">
              <w:fldChar w:fldCharType="end"/>
            </w:r>
            <w:r w:rsidR="00D51405" w:rsidRPr="00FD24B8">
              <w:t xml:space="preserve">With the labour market consistently </w:t>
            </w:r>
            <w:r w:rsidR="00BD3BBB" w:rsidRPr="00FD24B8">
              <w:t xml:space="preserve">exceeding </w:t>
            </w:r>
            <w:r w:rsidR="00D51405" w:rsidRPr="00FD24B8">
              <w:t xml:space="preserve">expectations, </w:t>
            </w:r>
            <w:r w:rsidR="008605E7" w:rsidRPr="00FD24B8">
              <w:t xml:space="preserve">Australia’s </w:t>
            </w:r>
            <w:r w:rsidR="00CA0822" w:rsidRPr="00FD24B8">
              <w:t xml:space="preserve">unemployment rate </w:t>
            </w:r>
            <w:r w:rsidR="00E24E37" w:rsidRPr="00FD24B8">
              <w:t xml:space="preserve">forecasts </w:t>
            </w:r>
            <w:r w:rsidR="00364566" w:rsidRPr="00FD24B8">
              <w:t xml:space="preserve">have </w:t>
            </w:r>
            <w:r w:rsidR="00EE6071" w:rsidRPr="00FD24B8">
              <w:t xml:space="preserve">been </w:t>
            </w:r>
            <w:r w:rsidR="008C2C0F" w:rsidRPr="00FD24B8">
              <w:t xml:space="preserve">successively </w:t>
            </w:r>
            <w:r w:rsidR="00E24E37" w:rsidRPr="00FD24B8">
              <w:t xml:space="preserve">revised </w:t>
            </w:r>
            <w:r w:rsidR="008C79B0" w:rsidRPr="00FD24B8">
              <w:t>downward</w:t>
            </w:r>
            <w:r w:rsidR="00E24E37" w:rsidRPr="00FD24B8">
              <w:t>s</w:t>
            </w:r>
            <w:r w:rsidR="008C79B0" w:rsidRPr="00FD24B8">
              <w:t xml:space="preserve"> </w:t>
            </w:r>
            <w:r w:rsidR="00C26D5A" w:rsidRPr="00FD24B8">
              <w:t>(Chart 3.</w:t>
            </w:r>
            <w:r w:rsidR="00DF3D03" w:rsidRPr="00FD24B8">
              <w:t>5</w:t>
            </w:r>
            <w:r w:rsidR="00AF11FA" w:rsidRPr="00FD24B8">
              <w:t>)</w:t>
            </w:r>
            <w:r w:rsidR="00D70F22" w:rsidRPr="00FD24B8">
              <w:t xml:space="preserve">. </w:t>
            </w:r>
            <w:r w:rsidR="00897914">
              <w:fldChar w:fldCharType="begin"/>
            </w:r>
            <w:r w:rsidR="00897914">
              <w:instrText xml:space="preserve"> :End:MECD_TP1 </w:instrText>
            </w:r>
            <w:r w:rsidR="00897914">
              <w:fldChar w:fldCharType="end"/>
            </w:r>
          </w:p>
          <w:tbl>
            <w:tblPr>
              <w:tblW w:w="7575" w:type="dxa"/>
              <w:tblLayout w:type="fixed"/>
              <w:tblLook w:val="0000" w:firstRow="0" w:lastRow="0" w:firstColumn="0" w:lastColumn="0" w:noHBand="0" w:noVBand="0"/>
            </w:tblPr>
            <w:tblGrid>
              <w:gridCol w:w="3581"/>
              <w:gridCol w:w="3994"/>
            </w:tblGrid>
            <w:tr w:rsidR="00C82B83" w14:paraId="3376EC34" w14:textId="77777777" w:rsidTr="00AC72DF">
              <w:trPr>
                <w:cantSplit/>
              </w:trPr>
              <w:tc>
                <w:tcPr>
                  <w:tcW w:w="2364" w:type="pct"/>
                  <w:shd w:val="clear" w:color="auto" w:fill="auto"/>
                </w:tcPr>
                <w:p w14:paraId="79472E6C" w14:textId="1DF9FFF9" w:rsidR="00C82B83" w:rsidRPr="00650AEC" w:rsidRDefault="00C82B83" w:rsidP="00C82B83">
                  <w:pPr>
                    <w:pStyle w:val="ChartMainHeading"/>
                    <w:rPr>
                      <w:sz w:val="16"/>
                      <w:szCs w:val="16"/>
                    </w:rPr>
                  </w:pPr>
                  <w:r w:rsidRPr="00E75EE2">
                    <w:rPr>
                      <w:sz w:val="16"/>
                      <w:szCs w:val="16"/>
                    </w:rPr>
                    <w:br w:type="page"/>
                  </w:r>
                  <w:r w:rsidR="00633640">
                    <w:rPr>
                      <w:sz w:val="16"/>
                      <w:szCs w:val="16"/>
                    </w:rPr>
                    <w:fldChar w:fldCharType="begin"/>
                  </w:r>
                  <w:r w:rsidR="00633640">
                    <w:rPr>
                      <w:sz w:val="16"/>
                      <w:szCs w:val="16"/>
                    </w:rPr>
                    <w:instrText xml:space="preserve"> :Start:MECD_TP2 </w:instrText>
                  </w:r>
                  <w:r w:rsidR="00633640">
                    <w:rPr>
                      <w:sz w:val="16"/>
                      <w:szCs w:val="16"/>
                    </w:rPr>
                    <w:fldChar w:fldCharType="end"/>
                  </w:r>
                  <w:r w:rsidRPr="00FD24B8">
                    <w:rPr>
                      <w:sz w:val="16"/>
                      <w:szCs w:val="16"/>
                    </w:rPr>
                    <w:t>Chart 3.</w:t>
                  </w:r>
                  <w:r w:rsidR="00420771" w:rsidRPr="00FD24B8">
                    <w:rPr>
                      <w:sz w:val="16"/>
                      <w:szCs w:val="16"/>
                    </w:rPr>
                    <w:t>4</w:t>
                  </w:r>
                  <w:r w:rsidRPr="00FD24B8">
                    <w:rPr>
                      <w:sz w:val="16"/>
                      <w:szCs w:val="16"/>
                    </w:rPr>
                    <w:t>: Employment relative to pre</w:t>
                  </w:r>
                  <w:r w:rsidR="00C1771F" w:rsidRPr="00FD24B8">
                    <w:rPr>
                      <w:sz w:val="16"/>
                      <w:szCs w:val="16"/>
                    </w:rPr>
                    <w:noBreakHyphen/>
                  </w:r>
                  <w:r w:rsidRPr="00FD24B8">
                    <w:rPr>
                      <w:sz w:val="16"/>
                      <w:szCs w:val="16"/>
                    </w:rPr>
                    <w:t>pandemic levels, Australia and G7</w:t>
                  </w:r>
                  <w:r w:rsidR="00633640">
                    <w:rPr>
                      <w:sz w:val="16"/>
                      <w:szCs w:val="16"/>
                    </w:rPr>
                    <w:fldChar w:fldCharType="begin"/>
                  </w:r>
                  <w:r w:rsidR="00633640">
                    <w:rPr>
                      <w:sz w:val="16"/>
                      <w:szCs w:val="16"/>
                    </w:rPr>
                    <w:instrText xml:space="preserve"> :End:MECD_TP2 </w:instrText>
                  </w:r>
                  <w:r w:rsidR="00633640">
                    <w:rPr>
                      <w:sz w:val="16"/>
                      <w:szCs w:val="16"/>
                    </w:rPr>
                    <w:fldChar w:fldCharType="end"/>
                  </w:r>
                </w:p>
              </w:tc>
              <w:tc>
                <w:tcPr>
                  <w:tcW w:w="2636" w:type="pct"/>
                  <w:shd w:val="clear" w:color="auto" w:fill="auto"/>
                </w:tcPr>
                <w:p w14:paraId="46D9FACA" w14:textId="78A3F642" w:rsidR="00C82B83" w:rsidRPr="00E75EE2" w:rsidRDefault="000C6467" w:rsidP="00C82B83">
                  <w:pPr>
                    <w:pStyle w:val="ChartMainHeading"/>
                    <w:rPr>
                      <w:sz w:val="16"/>
                      <w:szCs w:val="16"/>
                    </w:rPr>
                  </w:pPr>
                  <w:r>
                    <w:rPr>
                      <w:b w:val="0"/>
                      <w:bCs/>
                      <w:sz w:val="16"/>
                      <w:szCs w:val="16"/>
                    </w:rPr>
                    <w:fldChar w:fldCharType="begin"/>
                  </w:r>
                  <w:r>
                    <w:rPr>
                      <w:b w:val="0"/>
                      <w:bCs/>
                      <w:sz w:val="16"/>
                      <w:szCs w:val="16"/>
                    </w:rPr>
                    <w:instrText xml:space="preserve"> :Start:MECD_TP1 </w:instrText>
                  </w:r>
                  <w:r>
                    <w:rPr>
                      <w:b w:val="0"/>
                      <w:bCs/>
                      <w:sz w:val="16"/>
                      <w:szCs w:val="16"/>
                    </w:rPr>
                    <w:fldChar w:fldCharType="end"/>
                  </w:r>
                  <w:r w:rsidR="00C82B83" w:rsidRPr="00FD24B8">
                    <w:rPr>
                      <w:b w:val="0"/>
                      <w:sz w:val="16"/>
                      <w:szCs w:val="16"/>
                    </w:rPr>
                    <w:t>Chart 3.</w:t>
                  </w:r>
                  <w:r w:rsidR="00420771" w:rsidRPr="00FD24B8">
                    <w:rPr>
                      <w:b w:val="0"/>
                      <w:sz w:val="16"/>
                      <w:szCs w:val="16"/>
                    </w:rPr>
                    <w:t>5</w:t>
                  </w:r>
                  <w:r w:rsidR="00C82B83" w:rsidRPr="00FD24B8">
                    <w:rPr>
                      <w:b w:val="0"/>
                      <w:sz w:val="16"/>
                      <w:szCs w:val="16"/>
                    </w:rPr>
                    <w:t xml:space="preserve">: Evolution of unemployment </w:t>
                  </w:r>
                  <w:r w:rsidR="008A379B" w:rsidRPr="00FD24B8">
                    <w:rPr>
                      <w:b w:val="0"/>
                      <w:sz w:val="16"/>
                      <w:szCs w:val="16"/>
                    </w:rPr>
                    <w:t xml:space="preserve">rate </w:t>
                  </w:r>
                  <w:r w:rsidR="00C82B83" w:rsidRPr="00FD24B8">
                    <w:rPr>
                      <w:b w:val="0"/>
                      <w:sz w:val="16"/>
                      <w:szCs w:val="16"/>
                    </w:rPr>
                    <w:t>forecasts</w:t>
                  </w:r>
                  <w:r>
                    <w:rPr>
                      <w:b w:val="0"/>
                      <w:bCs/>
                      <w:sz w:val="16"/>
                      <w:szCs w:val="16"/>
                    </w:rPr>
                    <w:fldChar w:fldCharType="begin"/>
                  </w:r>
                  <w:r>
                    <w:rPr>
                      <w:b w:val="0"/>
                      <w:bCs/>
                      <w:sz w:val="16"/>
                      <w:szCs w:val="16"/>
                    </w:rPr>
                    <w:instrText xml:space="preserve"> :End:MECD_TP1 </w:instrText>
                  </w:r>
                  <w:r>
                    <w:rPr>
                      <w:b w:val="0"/>
                      <w:bCs/>
                      <w:sz w:val="16"/>
                      <w:szCs w:val="16"/>
                    </w:rPr>
                    <w:fldChar w:fldCharType="end"/>
                  </w:r>
                </w:p>
              </w:tc>
            </w:tr>
            <w:tr w:rsidR="00850B75" w14:paraId="332673D3" w14:textId="77777777" w:rsidTr="00AC72DF">
              <w:trPr>
                <w:cantSplit/>
              </w:trPr>
              <w:tc>
                <w:tcPr>
                  <w:tcW w:w="2364" w:type="pct"/>
                  <w:shd w:val="clear" w:color="auto" w:fill="auto"/>
                </w:tcPr>
                <w:p w14:paraId="64F67C47" w14:textId="464B889A" w:rsidR="005E45A1" w:rsidRPr="005E45A1" w:rsidRDefault="00345028" w:rsidP="006D0E1D">
                  <w:pPr>
                    <w:pStyle w:val="ChartGraphic"/>
                  </w:pPr>
                  <w:r>
                    <w:rPr>
                      <w:noProof/>
                    </w:rPr>
                    <w:drawing>
                      <wp:anchor distT="0" distB="0" distL="114300" distR="114300" simplePos="0" relativeHeight="251658240" behindDoc="0" locked="0" layoutInCell="1" allowOverlap="1" wp14:anchorId="41363EB4" wp14:editId="5EFF53CE">
                        <wp:simplePos x="0" y="0"/>
                        <wp:positionH relativeFrom="column">
                          <wp:posOffset>-2540</wp:posOffset>
                        </wp:positionH>
                        <wp:positionV relativeFrom="paragraph">
                          <wp:posOffset>0</wp:posOffset>
                        </wp:positionV>
                        <wp:extent cx="2084705" cy="2091055"/>
                        <wp:effectExtent l="0" t="0" r="0" b="4445"/>
                        <wp:wrapThrough wrapText="bothSides">
                          <wp:wrapPolygon edited="0">
                            <wp:start x="4935" y="787"/>
                            <wp:lineTo x="395" y="3739"/>
                            <wp:lineTo x="592" y="4329"/>
                            <wp:lineTo x="9869" y="4329"/>
                            <wp:lineTo x="987" y="5313"/>
                            <wp:lineTo x="987" y="6494"/>
                            <wp:lineTo x="9869" y="7478"/>
                            <wp:lineTo x="1776" y="7478"/>
                            <wp:lineTo x="197" y="8068"/>
                            <wp:lineTo x="395" y="11610"/>
                            <wp:lineTo x="5527" y="13775"/>
                            <wp:lineTo x="2763" y="13775"/>
                            <wp:lineTo x="1579" y="14365"/>
                            <wp:lineTo x="1579" y="18694"/>
                            <wp:lineTo x="5527" y="20072"/>
                            <wp:lineTo x="4540" y="20662"/>
                            <wp:lineTo x="4935" y="21449"/>
                            <wp:lineTo x="20922" y="21449"/>
                            <wp:lineTo x="21317" y="18301"/>
                            <wp:lineTo x="10856" y="16923"/>
                            <wp:lineTo x="10856" y="10626"/>
                            <wp:lineTo x="16185" y="8658"/>
                            <wp:lineTo x="16580" y="7478"/>
                            <wp:lineTo x="15988" y="7478"/>
                            <wp:lineTo x="20330" y="5116"/>
                            <wp:lineTo x="20133" y="4329"/>
                            <wp:lineTo x="21120" y="4329"/>
                            <wp:lineTo x="21317" y="3739"/>
                            <wp:lineTo x="20922" y="787"/>
                            <wp:lineTo x="4935" y="787"/>
                          </wp:wrapPolygon>
                        </wp:wrapThrough>
                        <wp:docPr id="12" name="Picture 12" descr="This chart provides the latest employment data for G7 countries and Australia. This chart shows that Australia has had the strongest recovery in employment, relative to the G7 countries, since the beginning of the pandem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chart provides the latest employment data for G7 countries and Australia. This chart shows that Australia has had the strongest recovery in employment, relative to the G7 countries, since the beginning of the pandemic.&#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4705" cy="2091055"/>
                                </a:xfrm>
                                <a:prstGeom prst="rect">
                                  <a:avLst/>
                                </a:prstGeom>
                                <a:noFill/>
                              </pic:spPr>
                            </pic:pic>
                          </a:graphicData>
                        </a:graphic>
                      </wp:anchor>
                    </w:drawing>
                  </w:r>
                </w:p>
              </w:tc>
              <w:tc>
                <w:tcPr>
                  <w:tcW w:w="2636" w:type="pct"/>
                  <w:shd w:val="clear" w:color="auto" w:fill="auto"/>
                </w:tcPr>
                <w:p w14:paraId="5F0A8F40" w14:textId="6ED9212F" w:rsidR="00C82B83" w:rsidRDefault="002D2C6D" w:rsidP="00E10F29">
                  <w:pPr>
                    <w:pStyle w:val="ChartGraphic"/>
                  </w:pPr>
                  <w:r>
                    <w:rPr>
                      <w:noProof/>
                    </w:rPr>
                    <w:drawing>
                      <wp:inline distT="0" distB="0" distL="0" distR="0" wp14:anchorId="4BD91130" wp14:editId="601A3E18">
                        <wp:extent cx="2304415" cy="2304415"/>
                        <wp:effectExtent l="0" t="0" r="0" b="0"/>
                        <wp:docPr id="1" name="Picture 1" descr="This chart shows a comparison of the unemployment rate forecasts at the time of the 2020-21 July Economic and Fiscal Update (JEFU), the 2020-21 Budget, 2021-22 Budget and this 2022-23 Budget. It shows that for each update the unemployment rate forecast has been downgraded, from around 8 per cent in the JEFU to below 4 per cent in this Budg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chart shows a comparison of the unemployment rate forecasts at the time of the 2020-21 July Economic and Fiscal Update (JEFU), the 2020-21 Budget, 2021-22 Budget and this 2022-23 Budget. It shows that for each update the unemployment rate forecast has been downgraded, from around 8 per cent in the JEFU to below 4 per cent in this Budget.&#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4415" cy="2304415"/>
                                </a:xfrm>
                                <a:prstGeom prst="rect">
                                  <a:avLst/>
                                </a:prstGeom>
                                <a:noFill/>
                              </pic:spPr>
                            </pic:pic>
                          </a:graphicData>
                        </a:graphic>
                      </wp:inline>
                    </w:drawing>
                  </w:r>
                </w:p>
              </w:tc>
            </w:tr>
            <w:tr w:rsidR="00337349" w14:paraId="498EE627" w14:textId="77777777" w:rsidTr="00AC72DF">
              <w:trPr>
                <w:cantSplit/>
              </w:trPr>
              <w:tc>
                <w:tcPr>
                  <w:tcW w:w="2364" w:type="pct"/>
                  <w:shd w:val="clear" w:color="auto" w:fill="auto"/>
                </w:tcPr>
                <w:p w14:paraId="05B8D5A9" w14:textId="0FE559B5" w:rsidR="00337349" w:rsidRPr="00FD24B8" w:rsidRDefault="008753FC" w:rsidP="00337349">
                  <w:pPr>
                    <w:pStyle w:val="ChartandTableFootnote"/>
                    <w:rPr>
                      <w:color w:val="auto"/>
                    </w:rPr>
                  </w:pPr>
                  <w:r w:rsidRPr="00131EBC">
                    <w:rPr>
                      <w:color w:val="auto"/>
                      <w:highlight w:val="red"/>
                    </w:rPr>
                    <w:fldChar w:fldCharType="begin"/>
                  </w:r>
                  <w:r w:rsidRPr="00131EBC">
                    <w:rPr>
                      <w:color w:val="auto"/>
                      <w:highlight w:val="red"/>
                    </w:rPr>
                    <w:instrText xml:space="preserve"> :Start:MECD_TP2 </w:instrText>
                  </w:r>
                  <w:r w:rsidRPr="00131EBC">
                    <w:rPr>
                      <w:color w:val="auto"/>
                      <w:highlight w:val="red"/>
                    </w:rPr>
                    <w:fldChar w:fldCharType="end"/>
                  </w:r>
                  <w:r w:rsidR="00337349" w:rsidRPr="00FD24B8">
                    <w:rPr>
                      <w:color w:val="auto"/>
                    </w:rPr>
                    <w:t xml:space="preserve">Note: </w:t>
                  </w:r>
                  <w:r w:rsidR="00AA3E62" w:rsidRPr="00FD24B8">
                    <w:rPr>
                      <w:color w:val="auto"/>
                    </w:rPr>
                    <w:t>Latest available employment data.</w:t>
                  </w:r>
                </w:p>
                <w:p w14:paraId="3CB2E526" w14:textId="56567F9C" w:rsidR="00337349" w:rsidRPr="00131EBC" w:rsidRDefault="00337349" w:rsidP="00337349">
                  <w:pPr>
                    <w:pStyle w:val="Source"/>
                    <w:rPr>
                      <w:highlight w:val="red"/>
                    </w:rPr>
                  </w:pPr>
                  <w:r w:rsidRPr="00FD24B8">
                    <w:t>Source: Refinitiv, National statistical agencies</w:t>
                  </w:r>
                </w:p>
              </w:tc>
              <w:tc>
                <w:tcPr>
                  <w:tcW w:w="2636" w:type="pct"/>
                  <w:shd w:val="clear" w:color="auto" w:fill="auto"/>
                </w:tcPr>
                <w:p w14:paraId="360DC6C3" w14:textId="748085FE" w:rsidR="00337349" w:rsidRPr="00FD24B8" w:rsidRDefault="002D2E33" w:rsidP="00AC72DF">
                  <w:pPr>
                    <w:pStyle w:val="ChartGraphic"/>
                    <w:jc w:val="both"/>
                    <w:rPr>
                      <w:sz w:val="16"/>
                    </w:rPr>
                  </w:pPr>
                  <w:r w:rsidRPr="00FD24B8">
                    <w:rPr>
                      <w:sz w:val="16"/>
                    </w:rPr>
                    <w:t>Source: Treasury, ABS</w:t>
                  </w:r>
                  <w:r w:rsidR="004270C6" w:rsidRPr="00FD24B8">
                    <w:rPr>
                      <w:sz w:val="16"/>
                    </w:rPr>
                    <w:t xml:space="preserve"> Labour Force</w:t>
                  </w:r>
                  <w:r w:rsidR="008753FC" w:rsidRPr="00FD24B8">
                    <w:rPr>
                      <w:sz w:val="16"/>
                    </w:rPr>
                    <w:fldChar w:fldCharType="begin"/>
                  </w:r>
                  <w:r w:rsidR="008753FC" w:rsidRPr="00FD24B8">
                    <w:rPr>
                      <w:sz w:val="16"/>
                    </w:rPr>
                    <w:instrText xml:space="preserve"> :End:MECD_TP2 </w:instrText>
                  </w:r>
                  <w:r w:rsidR="008753FC" w:rsidRPr="00FD24B8">
                    <w:rPr>
                      <w:sz w:val="16"/>
                    </w:rPr>
                    <w:fldChar w:fldCharType="end"/>
                  </w:r>
                </w:p>
              </w:tc>
            </w:tr>
          </w:tbl>
          <w:p w14:paraId="3D13F41D" w14:textId="211355D5" w:rsidR="00A10897" w:rsidRPr="00C127B4" w:rsidRDefault="00CB6B35" w:rsidP="00496DF4">
            <w:r>
              <w:fldChar w:fldCharType="begin"/>
            </w:r>
            <w:r>
              <w:instrText xml:space="preserve"> :Start:LEIID_PB1 </w:instrText>
            </w:r>
            <w:r>
              <w:fldChar w:fldCharType="end"/>
            </w:r>
            <w:r w:rsidR="00972419" w:rsidRPr="00FD24B8">
              <w:t xml:space="preserve">The resilience </w:t>
            </w:r>
            <w:r w:rsidR="00627CA0" w:rsidRPr="00FD24B8">
              <w:t xml:space="preserve">and swift recovery </w:t>
            </w:r>
            <w:r w:rsidR="00972419" w:rsidRPr="00FD24B8">
              <w:t xml:space="preserve">of </w:t>
            </w:r>
            <w:r w:rsidR="00A34698" w:rsidRPr="00FD24B8">
              <w:t>the</w:t>
            </w:r>
            <w:r w:rsidR="00972419" w:rsidRPr="00FD24B8">
              <w:t xml:space="preserve"> Australian labour market</w:t>
            </w:r>
            <w:r w:rsidR="006E09B0" w:rsidRPr="00FD24B8">
              <w:t xml:space="preserve"> </w:t>
            </w:r>
            <w:r w:rsidR="003E2834" w:rsidRPr="00FD24B8">
              <w:t>was supported by</w:t>
            </w:r>
            <w:r w:rsidR="00972419" w:rsidRPr="00FD24B8">
              <w:t xml:space="preserve"> </w:t>
            </w:r>
            <w:r w:rsidR="00AF6EE7" w:rsidRPr="00FD24B8">
              <w:t>the</w:t>
            </w:r>
            <w:r w:rsidR="00972419" w:rsidRPr="00FD24B8">
              <w:t xml:space="preserve"> </w:t>
            </w:r>
            <w:r w:rsidR="002C028B" w:rsidRPr="00FD24B8">
              <w:t>Government</w:t>
            </w:r>
            <w:r w:rsidR="00C1771F" w:rsidRPr="00FD24B8">
              <w:t>’</w:t>
            </w:r>
            <w:r w:rsidR="007A2ADC" w:rsidRPr="00FD24B8">
              <w:t xml:space="preserve">s carefully designed package of measures </w:t>
            </w:r>
            <w:r w:rsidR="002B4F73" w:rsidRPr="00FD24B8">
              <w:t xml:space="preserve">including </w:t>
            </w:r>
            <w:proofErr w:type="spellStart"/>
            <w:r w:rsidR="002B4F73" w:rsidRPr="00FD24B8">
              <w:t>JobKeeper</w:t>
            </w:r>
            <w:proofErr w:type="spellEnd"/>
            <w:r w:rsidR="002B4F73" w:rsidRPr="00FD24B8">
              <w:t xml:space="preserve"> and the </w:t>
            </w:r>
            <w:r w:rsidR="002939CC" w:rsidRPr="00FD24B8">
              <w:t xml:space="preserve">Coronavirus </w:t>
            </w:r>
            <w:r w:rsidR="002B4F73" w:rsidRPr="00FD24B8">
              <w:t>supplement</w:t>
            </w:r>
            <w:r w:rsidR="003C7291" w:rsidRPr="00FD24B8">
              <w:t>, and</w:t>
            </w:r>
            <w:r w:rsidR="001C744D" w:rsidRPr="00FD24B8">
              <w:t xml:space="preserve"> the</w:t>
            </w:r>
            <w:r w:rsidR="003C7291" w:rsidRPr="00FD24B8">
              <w:t xml:space="preserve"> </w:t>
            </w:r>
            <w:r w:rsidR="009E53CC" w:rsidRPr="00FD24B8">
              <w:t xml:space="preserve">subsequent </w:t>
            </w:r>
            <w:r w:rsidR="003C7291" w:rsidRPr="00FD24B8">
              <w:t>introduction of</w:t>
            </w:r>
            <w:r w:rsidR="001C744D" w:rsidRPr="00FD24B8">
              <w:t xml:space="preserve"> the COVID</w:t>
            </w:r>
            <w:r w:rsidR="0031144A" w:rsidRPr="00FD24B8">
              <w:noBreakHyphen/>
            </w:r>
            <w:r w:rsidR="001C744D" w:rsidRPr="00FD24B8">
              <w:t>19 Disaster Payment</w:t>
            </w:r>
            <w:r w:rsidR="00C63CC2" w:rsidRPr="00FD24B8">
              <w:t>.</w:t>
            </w:r>
            <w:r w:rsidR="002B4F73" w:rsidRPr="00FD24B8">
              <w:t xml:space="preserve"> </w:t>
            </w:r>
            <w:r w:rsidR="00655043" w:rsidRPr="00FD24B8">
              <w:t xml:space="preserve">These measures provided needed income support when large parts of the economy were shut down and many people were unable to work their usual hours, while </w:t>
            </w:r>
            <w:proofErr w:type="spellStart"/>
            <w:r w:rsidR="00655043" w:rsidRPr="00FD24B8">
              <w:t>JobKeeper</w:t>
            </w:r>
            <w:proofErr w:type="spellEnd"/>
            <w:r w:rsidR="00655043" w:rsidRPr="00FD24B8">
              <w:t xml:space="preserve"> also helped to maintain employee</w:t>
            </w:r>
            <w:r w:rsidR="0031144A" w:rsidRPr="00FD24B8">
              <w:noBreakHyphen/>
            </w:r>
            <w:r w:rsidR="00655043" w:rsidRPr="00FD24B8">
              <w:t>business connections.</w:t>
            </w:r>
            <w:r w:rsidR="00735C87" w:rsidRPr="00FD24B8">
              <w:t xml:space="preserve"> </w:t>
            </w:r>
            <w:r w:rsidR="006E0A66" w:rsidRPr="00FD24B8">
              <w:fldChar w:fldCharType="begin"/>
            </w:r>
            <w:r w:rsidR="006E0A66" w:rsidRPr="00FD24B8">
              <w:instrText xml:space="preserve"> :End:LEIID_PB1 </w:instrText>
            </w:r>
            <w:r w:rsidR="006E0A66" w:rsidRPr="00FD24B8">
              <w:fldChar w:fldCharType="end"/>
            </w:r>
            <w:r w:rsidR="00E00FC9" w:rsidRPr="00FD24B8">
              <w:fldChar w:fldCharType="begin"/>
            </w:r>
            <w:r w:rsidR="00E00FC9" w:rsidRPr="00FD24B8">
              <w:instrText xml:space="preserve"> :Start:BPD_BG1 </w:instrText>
            </w:r>
            <w:r w:rsidR="00E00FC9" w:rsidRPr="00FD24B8">
              <w:fldChar w:fldCharType="end"/>
            </w:r>
            <w:r w:rsidR="002C028B" w:rsidRPr="00FD24B8">
              <w:t>The</w:t>
            </w:r>
            <w:r w:rsidR="002474EC" w:rsidRPr="00FD24B8">
              <w:t> </w:t>
            </w:r>
            <w:r w:rsidR="00D33FAA" w:rsidRPr="00FD24B8">
              <w:t>temporary nature of</w:t>
            </w:r>
            <w:r w:rsidR="002C028B" w:rsidRPr="00FD24B8">
              <w:t xml:space="preserve"> the</w:t>
            </w:r>
            <w:r w:rsidR="006D1E1B" w:rsidRPr="00FD24B8">
              <w:t xml:space="preserve">se measures </w:t>
            </w:r>
            <w:r w:rsidR="00A35329" w:rsidRPr="00FD24B8">
              <w:t xml:space="preserve">has </w:t>
            </w:r>
            <w:r w:rsidR="00322021" w:rsidRPr="00FD24B8">
              <w:t xml:space="preserve">ensured that </w:t>
            </w:r>
            <w:r w:rsidR="00EB08B1" w:rsidRPr="00FD24B8">
              <w:t xml:space="preserve">economic </w:t>
            </w:r>
            <w:r w:rsidR="00054B7A" w:rsidRPr="00FD24B8">
              <w:t xml:space="preserve">support </w:t>
            </w:r>
            <w:r w:rsidR="00501F9F" w:rsidRPr="00FD24B8">
              <w:t xml:space="preserve">has </w:t>
            </w:r>
            <w:r w:rsidR="00054B7A" w:rsidRPr="00FD24B8">
              <w:t>taper</w:t>
            </w:r>
            <w:r w:rsidR="00322021" w:rsidRPr="00FD24B8">
              <w:t>ed</w:t>
            </w:r>
            <w:r w:rsidR="00054B7A" w:rsidRPr="00FD24B8">
              <w:t xml:space="preserve"> </w:t>
            </w:r>
            <w:r w:rsidR="00590532" w:rsidRPr="00FD24B8">
              <w:t>alongside</w:t>
            </w:r>
            <w:r w:rsidR="00CB7313" w:rsidRPr="00FD24B8">
              <w:t xml:space="preserve"> easing </w:t>
            </w:r>
            <w:r w:rsidR="0083719E" w:rsidRPr="00FD24B8">
              <w:t xml:space="preserve">health </w:t>
            </w:r>
            <w:r w:rsidR="000727F9" w:rsidRPr="00FD24B8">
              <w:t>restrictions</w:t>
            </w:r>
            <w:r w:rsidR="00907C00" w:rsidRPr="00FD24B8">
              <w:t xml:space="preserve">, </w:t>
            </w:r>
            <w:r w:rsidR="00432AFE" w:rsidRPr="00FD24B8">
              <w:t xml:space="preserve">allowing </w:t>
            </w:r>
            <w:r w:rsidR="003F1221" w:rsidRPr="00FD24B8">
              <w:t>a strong private sector</w:t>
            </w:r>
            <w:r w:rsidR="00C1771F" w:rsidRPr="00FD24B8">
              <w:noBreakHyphen/>
            </w:r>
            <w:r w:rsidR="003F1221" w:rsidRPr="00FD24B8">
              <w:t>led recovery</w:t>
            </w:r>
            <w:r w:rsidR="00432AFE" w:rsidRPr="00FD24B8">
              <w:t xml:space="preserve"> </w:t>
            </w:r>
            <w:r w:rsidR="00FB3FBC" w:rsidRPr="00FD24B8">
              <w:t xml:space="preserve">in the </w:t>
            </w:r>
            <w:r w:rsidR="00432AFE" w:rsidRPr="00FD24B8">
              <w:t>labour market</w:t>
            </w:r>
            <w:r w:rsidR="00703A33" w:rsidRPr="00FD24B8">
              <w:t xml:space="preserve"> </w:t>
            </w:r>
            <w:r w:rsidR="005917D3" w:rsidRPr="00FD24B8">
              <w:t xml:space="preserve">to take </w:t>
            </w:r>
            <w:r w:rsidR="0006777D" w:rsidRPr="00FD24B8">
              <w:t>place</w:t>
            </w:r>
            <w:r w:rsidR="00703A33" w:rsidRPr="00FD24B8">
              <w:t xml:space="preserve"> (Chart </w:t>
            </w:r>
            <w:r w:rsidR="00674AD7" w:rsidRPr="00FD24B8">
              <w:t>3.</w:t>
            </w:r>
            <w:r w:rsidR="00420771" w:rsidRPr="00FD24B8">
              <w:t>6</w:t>
            </w:r>
            <w:r w:rsidR="00703A33" w:rsidRPr="00FD24B8">
              <w:t>)</w:t>
            </w:r>
            <w:r w:rsidR="002C028B" w:rsidRPr="00FD24B8">
              <w:t xml:space="preserve">. </w:t>
            </w:r>
            <w:r w:rsidR="00E00FC9">
              <w:fldChar w:fldCharType="begin"/>
            </w:r>
            <w:r w:rsidR="00E00FC9">
              <w:instrText xml:space="preserve"> :End:BPD_BG1 </w:instrText>
            </w:r>
            <w:r w:rsidR="00E00FC9">
              <w:fldChar w:fldCharType="end"/>
            </w:r>
          </w:p>
        </w:tc>
      </w:tr>
    </w:tbl>
    <w:p w14:paraId="11C76B4E" w14:textId="77777777" w:rsidR="001B3984" w:rsidRDefault="001B3984" w:rsidP="00472AA8"/>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1B3984" w14:paraId="39C6B957" w14:textId="77777777" w:rsidTr="002E7B71">
        <w:trPr>
          <w:cantSplit/>
        </w:trPr>
        <w:tc>
          <w:tcPr>
            <w:tcW w:w="5000" w:type="pct"/>
            <w:shd w:val="clear" w:color="auto" w:fill="F2F9FC"/>
          </w:tcPr>
          <w:p w14:paraId="1EA8CB7C" w14:textId="1EB9FDD4" w:rsidR="001B3984" w:rsidRDefault="00731E03">
            <w:pPr>
              <w:pStyle w:val="BoxText"/>
            </w:pPr>
            <w:r>
              <w:rPr>
                <w:b/>
              </w:rPr>
              <w:lastRenderedPageBreak/>
              <w:fldChar w:fldCharType="begin"/>
            </w:r>
            <w:r>
              <w:rPr>
                <w:b/>
              </w:rPr>
              <w:instrText xml:space="preserve"> :Start:BPD_BG1 </w:instrText>
            </w:r>
            <w:r>
              <w:rPr>
                <w:b/>
              </w:rPr>
              <w:fldChar w:fldCharType="end"/>
            </w:r>
            <w:r w:rsidR="001B3984" w:rsidRPr="00FD24B8">
              <w:rPr>
                <w:rFonts w:ascii="Arial" w:hAnsi="Arial"/>
                <w:b/>
              </w:rPr>
              <w:t xml:space="preserve">Box 3.3: The fiscal dividend </w:t>
            </w:r>
            <w:r w:rsidR="0047596D" w:rsidRPr="00FD24B8">
              <w:rPr>
                <w:rFonts w:ascii="Arial" w:hAnsi="Arial"/>
                <w:b/>
              </w:rPr>
              <w:t xml:space="preserve">of </w:t>
            </w:r>
            <w:r w:rsidR="001B3984" w:rsidRPr="00FD24B8">
              <w:rPr>
                <w:rFonts w:ascii="Arial" w:hAnsi="Arial"/>
                <w:b/>
              </w:rPr>
              <w:t>a strong labour market recovery (continued)</w:t>
            </w:r>
            <w:r w:rsidRPr="00FD24B8">
              <w:rPr>
                <w:b/>
              </w:rPr>
              <w:t xml:space="preserve"> </w:t>
            </w:r>
            <w:r>
              <w:rPr>
                <w:b/>
              </w:rPr>
              <w:fldChar w:fldCharType="begin"/>
            </w:r>
            <w:r>
              <w:rPr>
                <w:b/>
              </w:rPr>
              <w:instrText xml:space="preserve"> :End:BPD_BG1 </w:instrText>
            </w:r>
            <w:r>
              <w:rPr>
                <w:b/>
              </w:rPr>
              <w:fldChar w:fldCharType="end"/>
            </w:r>
          </w:p>
          <w:p w14:paraId="6EA49D9A" w14:textId="25B32077" w:rsidR="001B3984" w:rsidRPr="00FD24B8" w:rsidRDefault="001B3984" w:rsidP="001B3984">
            <w:pPr>
              <w:pStyle w:val="ChartGraphic"/>
              <w:rPr>
                <w:b/>
              </w:rPr>
            </w:pPr>
            <w:r>
              <w:rPr>
                <w:b/>
              </w:rPr>
              <w:fldChar w:fldCharType="begin"/>
            </w:r>
            <w:r>
              <w:rPr>
                <w:b/>
              </w:rPr>
              <w:instrText xml:space="preserve"> :Start:BPD_BG1 </w:instrText>
            </w:r>
            <w:r>
              <w:rPr>
                <w:b/>
              </w:rPr>
              <w:fldChar w:fldCharType="end"/>
            </w:r>
            <w:r w:rsidRPr="00FD24B8">
              <w:rPr>
                <w:b/>
              </w:rPr>
              <w:t>Chart 3.6 Labour market payments during the pandemic</w:t>
            </w:r>
          </w:p>
          <w:p w14:paraId="3C3F09D1" w14:textId="7A2305B7" w:rsidR="001B3984" w:rsidRPr="00FD24B8" w:rsidRDefault="00395986" w:rsidP="007C6F57">
            <w:pPr>
              <w:pStyle w:val="ChartGraphic"/>
            </w:pPr>
            <w:r>
              <w:rPr>
                <w:noProof/>
              </w:rPr>
              <w:drawing>
                <wp:inline distT="0" distB="0" distL="0" distR="0" wp14:anchorId="32DBC569" wp14:editId="0DE2023E">
                  <wp:extent cx="4678045" cy="2519680"/>
                  <wp:effectExtent l="0" t="0" r="0" b="0"/>
                  <wp:docPr id="8" name="Picture 8" descr="This chart shows the unemployment rate alongside labour market support payments from June 2019 to June 2023. Labour market support payments include the Coronavirus Supplement, JobSeeker Payment and Youth Allowance, JobKeeper Payment and COVID-19 Disaster Payment. The chart shows support payments increasing in line with the rise in the unemployment rate. After peaking in 2020, labour market support payments have broadly declined in line with the falling unempoyment rat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chart shows the unemployment rate alongside labour market support payments from June 2019 to June 2023. Labour market support payments include the Coronavirus Supplement, JobSeeker Payment and Youth Allowance, JobKeeper Payment and COVID-19 Disaster Payment. The chart shows support payments increasing in line with the rise in the unemployment rate. After peaking in 2020, labour market support payments have broadly declined in line with the falling unempoyment rat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8045" cy="2519680"/>
                          </a:xfrm>
                          <a:prstGeom prst="rect">
                            <a:avLst/>
                          </a:prstGeom>
                          <a:noFill/>
                          <a:ln>
                            <a:noFill/>
                          </a:ln>
                        </pic:spPr>
                      </pic:pic>
                    </a:graphicData>
                  </a:graphic>
                </wp:inline>
              </w:drawing>
            </w:r>
          </w:p>
          <w:p w14:paraId="1CE69BB2" w14:textId="1A383935" w:rsidR="0098143F" w:rsidRDefault="0098143F" w:rsidP="00AC72DF">
            <w:pPr>
              <w:pStyle w:val="ChartandTableFootnoteAlpha"/>
              <w:numPr>
                <w:ilvl w:val="0"/>
                <w:numId w:val="0"/>
              </w:numPr>
              <w:ind w:left="284" w:hanging="284"/>
            </w:pPr>
            <w:r w:rsidRPr="00FD24B8">
              <w:rPr>
                <w:color w:val="auto"/>
              </w:rPr>
              <w:t>Source: Treasury</w:t>
            </w:r>
            <w:r w:rsidR="00F31410" w:rsidRPr="00FD24B8">
              <w:rPr>
                <w:color w:val="auto"/>
              </w:rPr>
              <w:t>, ABS Labour Force</w:t>
            </w:r>
            <w:r w:rsidRPr="00FD24B8">
              <w:rPr>
                <w:color w:val="auto"/>
              </w:rPr>
              <w:t xml:space="preserve"> and Department of Finance. </w:t>
            </w:r>
            <w:r w:rsidR="00731E03">
              <w:rPr>
                <w:b/>
              </w:rPr>
              <w:fldChar w:fldCharType="begin"/>
            </w:r>
            <w:r w:rsidR="00731E03">
              <w:rPr>
                <w:b/>
              </w:rPr>
              <w:instrText xml:space="preserve"> :End:BPD_BG1 </w:instrText>
            </w:r>
            <w:r w:rsidR="00731E03">
              <w:rPr>
                <w:b/>
              </w:rPr>
              <w:fldChar w:fldCharType="end"/>
            </w:r>
          </w:p>
          <w:p w14:paraId="7DA0E939" w14:textId="77777777" w:rsidR="00383EF9" w:rsidRDefault="00383EF9" w:rsidP="00383EF9">
            <w:pPr>
              <w:pStyle w:val="SingleParagraph"/>
            </w:pPr>
          </w:p>
          <w:p w14:paraId="3263CD46" w14:textId="31EBB203" w:rsidR="001B3984" w:rsidRDefault="001B3984" w:rsidP="001A7C00">
            <w:r>
              <w:fldChar w:fldCharType="begin"/>
            </w:r>
            <w:r>
              <w:instrText xml:space="preserve"> :Start:BPD_BG1 </w:instrText>
            </w:r>
            <w:r>
              <w:fldChar w:fldCharType="end"/>
            </w:r>
            <w:r w:rsidRPr="00FD24B8">
              <w:t>The strong labour market performance has underpinned better fiscal outcomes. The faster</w:t>
            </w:r>
            <w:r w:rsidR="0031144A" w:rsidRPr="00FD24B8">
              <w:noBreakHyphen/>
            </w:r>
            <w:r w:rsidRPr="00FD24B8">
              <w:t>than</w:t>
            </w:r>
            <w:r w:rsidR="0031144A" w:rsidRPr="00FD24B8">
              <w:noBreakHyphen/>
            </w:r>
            <w:r w:rsidRPr="00FD24B8">
              <w:t xml:space="preserve">expected decline in the unemployment rate has seen </w:t>
            </w:r>
            <w:r w:rsidRPr="00FD24B8" w:rsidDel="00E0247F">
              <w:t>l</w:t>
            </w:r>
            <w:r w:rsidRPr="00FD24B8">
              <w:t>abour market support payments taper more quickly than previously anticipated.</w:t>
            </w:r>
            <w:r w:rsidR="00731E03">
              <w:fldChar w:fldCharType="begin"/>
            </w:r>
            <w:r w:rsidR="00731E03">
              <w:instrText xml:space="preserve"> :End:BPD_BG1 </w:instrText>
            </w:r>
            <w:r w:rsidR="00731E03">
              <w:fldChar w:fldCharType="end"/>
            </w:r>
            <w:r>
              <w:t xml:space="preserve"> </w:t>
            </w:r>
            <w:r w:rsidR="00731E03">
              <w:fldChar w:fldCharType="begin"/>
            </w:r>
            <w:r w:rsidR="00731E03">
              <w:instrText xml:space="preserve"> :Start:TAD_KDM1 </w:instrText>
            </w:r>
            <w:r w:rsidR="00731E03">
              <w:fldChar w:fldCharType="end"/>
            </w:r>
            <w:r w:rsidRPr="00FD24B8">
              <w:t>At the same time, the stronger</w:t>
            </w:r>
            <w:r w:rsidRPr="00FD24B8">
              <w:noBreakHyphen/>
              <w:t>than</w:t>
            </w:r>
            <w:r w:rsidRPr="00FD24B8">
              <w:noBreakHyphen/>
              <w:t>anticipated recovery in employment and average wages has driven sizable upgrades to income tax withholding receipts (Chart 3.7).</w:t>
            </w:r>
            <w:r w:rsidRPr="00FD24B8">
              <w:fldChar w:fldCharType="begin"/>
            </w:r>
            <w:r w:rsidRPr="00FD24B8">
              <w:instrText xml:space="preserve"> :End:TAD_KDM1 </w:instrText>
            </w:r>
            <w:r w:rsidRPr="00FD24B8">
              <w:fldChar w:fldCharType="end"/>
            </w:r>
            <w:r w:rsidR="00C60F7D" w:rsidRPr="00FD24B8">
              <w:fldChar w:fldCharType="begin"/>
            </w:r>
            <w:r w:rsidR="00C60F7D" w:rsidRPr="00FD24B8">
              <w:instrText xml:space="preserve"> :Start:BPD_BG1 </w:instrText>
            </w:r>
            <w:r w:rsidR="00C60F7D" w:rsidRPr="00FD24B8">
              <w:fldChar w:fldCharType="end"/>
            </w:r>
            <w:r w:rsidR="00A55397" w:rsidRPr="00FD24B8">
              <w:t xml:space="preserve"> These factors alone </w:t>
            </w:r>
            <w:r w:rsidR="008022E9" w:rsidRPr="00FD24B8">
              <w:t>contributed</w:t>
            </w:r>
            <w:r w:rsidR="00A55397" w:rsidRPr="00FD24B8">
              <w:t xml:space="preserve"> </w:t>
            </w:r>
            <w:r w:rsidR="00D727A7" w:rsidRPr="00FD24B8">
              <w:t>$</w:t>
            </w:r>
            <w:r w:rsidR="00A55397" w:rsidRPr="00FD24B8">
              <w:t>98.</w:t>
            </w:r>
            <w:r w:rsidR="003C27FD" w:rsidRPr="00FD24B8">
              <w:t>5</w:t>
            </w:r>
            <w:r w:rsidR="00A55397" w:rsidRPr="00FD24B8">
              <w:t xml:space="preserve"> billion of </w:t>
            </w:r>
            <w:r w:rsidR="00D24FA3" w:rsidRPr="00FD24B8">
              <w:t xml:space="preserve">the </w:t>
            </w:r>
            <w:r w:rsidRPr="00FD24B8">
              <w:t xml:space="preserve">improvement in the underlying cash balance over </w:t>
            </w:r>
            <w:r w:rsidR="00646417" w:rsidRPr="00FD24B8">
              <w:t xml:space="preserve">the </w:t>
            </w:r>
            <w:r w:rsidR="006C5B4E" w:rsidRPr="00FD24B8">
              <w:t>5</w:t>
            </w:r>
            <w:r w:rsidR="00F94726" w:rsidRPr="00FD24B8">
              <w:t xml:space="preserve"> years to 2025</w:t>
            </w:r>
            <w:r w:rsidR="0031144A" w:rsidRPr="00FD24B8">
              <w:noBreakHyphen/>
            </w:r>
            <w:r w:rsidR="00F94726" w:rsidRPr="00FD24B8">
              <w:t>26</w:t>
            </w:r>
            <w:r w:rsidR="004B0405" w:rsidRPr="00FD24B8">
              <w:t xml:space="preserve"> since MYEFO</w:t>
            </w:r>
            <w:r w:rsidRPr="00FD24B8">
              <w:t>.</w:t>
            </w:r>
            <w:r w:rsidR="00731E03" w:rsidRPr="00FD24B8">
              <w:t xml:space="preserve"> </w:t>
            </w:r>
            <w:r w:rsidR="00731E03" w:rsidRPr="00A56B05">
              <w:fldChar w:fldCharType="begin"/>
            </w:r>
            <w:r w:rsidR="00731E03" w:rsidRPr="00A56B05">
              <w:instrText xml:space="preserve"> :</w:instrText>
            </w:r>
            <w:r w:rsidR="00731E03">
              <w:instrText>End</w:instrText>
            </w:r>
            <w:r w:rsidR="00731E03" w:rsidRPr="00A56B05">
              <w:instrText xml:space="preserve">:BPD_BG1 </w:instrText>
            </w:r>
            <w:r w:rsidR="00731E03" w:rsidRPr="00A56B05">
              <w:fldChar w:fldCharType="end"/>
            </w:r>
          </w:p>
        </w:tc>
      </w:tr>
      <w:tr w:rsidR="006D0E1D" w14:paraId="31F8E246" w14:textId="77777777" w:rsidTr="002E7B71">
        <w:trPr>
          <w:cantSplit/>
        </w:trPr>
        <w:tc>
          <w:tcPr>
            <w:tcW w:w="5000" w:type="pct"/>
            <w:shd w:val="clear" w:color="auto" w:fill="F2F9FC"/>
          </w:tcPr>
          <w:p w14:paraId="5550CA15" w14:textId="75384EC8" w:rsidR="006D0E1D" w:rsidRPr="00782B96" w:rsidRDefault="006D0E1D" w:rsidP="006D0E1D">
            <w:pPr>
              <w:pStyle w:val="Source"/>
              <w:ind w:left="0" w:firstLine="0"/>
            </w:pPr>
            <w:r>
              <w:rPr>
                <w:b/>
                <w:sz w:val="20"/>
              </w:rPr>
              <w:lastRenderedPageBreak/>
              <w:fldChar w:fldCharType="begin"/>
            </w:r>
            <w:r>
              <w:rPr>
                <w:b/>
                <w:sz w:val="20"/>
              </w:rPr>
              <w:instrText xml:space="preserve"> :</w:instrText>
            </w:r>
            <w:r w:rsidR="00731E03">
              <w:rPr>
                <w:b/>
                <w:sz w:val="20"/>
              </w:rPr>
              <w:instrText>Start</w:instrText>
            </w:r>
            <w:r>
              <w:rPr>
                <w:b/>
                <w:sz w:val="20"/>
              </w:rPr>
              <w:instrText xml:space="preserve">:BPD_BG1 </w:instrText>
            </w:r>
            <w:r>
              <w:rPr>
                <w:b/>
                <w:sz w:val="20"/>
              </w:rPr>
              <w:fldChar w:fldCharType="end"/>
            </w:r>
            <w:r w:rsidRPr="00FD24B8">
              <w:rPr>
                <w:b/>
                <w:sz w:val="20"/>
              </w:rPr>
              <w:t xml:space="preserve">Box 3.3: The fiscal dividend </w:t>
            </w:r>
            <w:r w:rsidR="0047596D" w:rsidRPr="00FD24B8">
              <w:rPr>
                <w:b/>
                <w:sz w:val="20"/>
              </w:rPr>
              <w:t xml:space="preserve">of </w:t>
            </w:r>
            <w:r w:rsidRPr="00FD24B8">
              <w:rPr>
                <w:b/>
                <w:sz w:val="20"/>
              </w:rPr>
              <w:t>a strong labour market recovery (continued)</w:t>
            </w:r>
            <w:r w:rsidR="00731E03" w:rsidRPr="00FD24B8">
              <w:rPr>
                <w:b/>
                <w:sz w:val="20"/>
              </w:rPr>
              <w:t xml:space="preserve"> </w:t>
            </w:r>
            <w:r w:rsidR="00731E03">
              <w:rPr>
                <w:b/>
                <w:sz w:val="20"/>
              </w:rPr>
              <w:fldChar w:fldCharType="begin"/>
            </w:r>
            <w:r w:rsidR="00731E03">
              <w:rPr>
                <w:b/>
                <w:sz w:val="20"/>
              </w:rPr>
              <w:instrText xml:space="preserve"> :End:BPD_BG1 </w:instrText>
            </w:r>
            <w:r w:rsidR="00731E03">
              <w:rPr>
                <w:b/>
                <w:sz w:val="20"/>
              </w:rPr>
              <w:fldChar w:fldCharType="end"/>
            </w:r>
          </w:p>
          <w:p w14:paraId="00DC21D0" w14:textId="7FB4687F" w:rsidR="006D0E1D" w:rsidRPr="00FD24B8" w:rsidRDefault="006D0E1D" w:rsidP="006D0E1D">
            <w:pPr>
              <w:pStyle w:val="ChartHeading"/>
            </w:pPr>
            <w:r>
              <w:fldChar w:fldCharType="begin"/>
            </w:r>
            <w:r>
              <w:instrText xml:space="preserve"> :Start:TAD_KDM1 </w:instrText>
            </w:r>
            <w:r>
              <w:fldChar w:fldCharType="end"/>
            </w:r>
            <w:r w:rsidRPr="00FD24B8">
              <w:t>Chart 3.7: Evolution of income tax withholding forecasts</w:t>
            </w:r>
          </w:p>
          <w:p w14:paraId="42D09D25" w14:textId="3B539DB0" w:rsidR="00864F75" w:rsidRPr="00FD24B8" w:rsidRDefault="00395986" w:rsidP="0044660B">
            <w:pPr>
              <w:pStyle w:val="ChartGraphic"/>
            </w:pPr>
            <w:r>
              <w:rPr>
                <w:noProof/>
              </w:rPr>
              <w:drawing>
                <wp:inline distT="0" distB="0" distL="0" distR="0" wp14:anchorId="2AF2ABF1" wp14:editId="4254C236">
                  <wp:extent cx="4678045" cy="2519680"/>
                  <wp:effectExtent l="0" t="0" r="8255" b="0"/>
                  <wp:docPr id="9" name="Picture 9" descr="This chart shows the income tax withholding forecast for the 2020-21 Budget, 2021-22 Budget, 2021-22 MYEFO and the 2022-23 Budget. Outcomes have exceeded previous forecasts, and the forecast has been revised higher at each up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chart shows the income tax withholding forecast for the 2020-21 Budget, 2021-22 Budget, 2021-22 MYEFO and the 2022-23 Budget. Outcomes have exceeded previous forecasts, and the forecast has been revised higher at each update.&#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78045" cy="2519680"/>
                          </a:xfrm>
                          <a:prstGeom prst="rect">
                            <a:avLst/>
                          </a:prstGeom>
                          <a:noFill/>
                          <a:ln>
                            <a:noFill/>
                          </a:ln>
                        </pic:spPr>
                      </pic:pic>
                    </a:graphicData>
                  </a:graphic>
                </wp:inline>
              </w:drawing>
            </w:r>
          </w:p>
          <w:p w14:paraId="4CDF770D" w14:textId="0132F7D2" w:rsidR="00A9123A" w:rsidRPr="00FD24B8" w:rsidRDefault="006D0E1D" w:rsidP="00EE143E">
            <w:pPr>
              <w:pStyle w:val="ChartandTableFootnoteAlpha"/>
              <w:numPr>
                <w:ilvl w:val="0"/>
                <w:numId w:val="0"/>
              </w:numPr>
              <w:ind w:left="284" w:hanging="284"/>
              <w:rPr>
                <w:color w:val="auto"/>
              </w:rPr>
            </w:pPr>
            <w:r w:rsidRPr="00FD24B8">
              <w:rPr>
                <w:color w:val="auto"/>
              </w:rPr>
              <w:t xml:space="preserve">Note: Income </w:t>
            </w:r>
            <w:r w:rsidR="00213DB2" w:rsidRPr="00FD24B8">
              <w:rPr>
                <w:color w:val="auto"/>
              </w:rPr>
              <w:t>t</w:t>
            </w:r>
            <w:r w:rsidRPr="00FD24B8">
              <w:rPr>
                <w:color w:val="auto"/>
              </w:rPr>
              <w:t xml:space="preserve">ax </w:t>
            </w:r>
            <w:r w:rsidR="00213DB2" w:rsidRPr="00FD24B8">
              <w:rPr>
                <w:color w:val="auto"/>
              </w:rPr>
              <w:t>w</w:t>
            </w:r>
            <w:r w:rsidRPr="00FD24B8">
              <w:rPr>
                <w:color w:val="auto"/>
              </w:rPr>
              <w:t>ithholding is collected primarily from salary and wages.</w:t>
            </w:r>
            <w:r w:rsidR="007F0A8F" w:rsidRPr="00FD24B8">
              <w:rPr>
                <w:color w:val="auto"/>
              </w:rPr>
              <w:t xml:space="preserve"> </w:t>
            </w:r>
          </w:p>
          <w:p w14:paraId="7DCCB997" w14:textId="1524AD82" w:rsidR="006D0E1D" w:rsidRPr="00AC72DF" w:rsidRDefault="00A9123A" w:rsidP="00EE143E">
            <w:pPr>
              <w:pStyle w:val="ChartandTableFootnote"/>
              <w:rPr>
                <w:color w:val="FFFFFF" w:themeColor="background1"/>
              </w:rPr>
            </w:pPr>
            <w:r w:rsidRPr="00FD24B8">
              <w:rPr>
                <w:color w:val="auto"/>
              </w:rPr>
              <w:t>Source: Treasury.</w:t>
            </w:r>
            <w:r w:rsidR="007F0A8F">
              <w:fldChar w:fldCharType="begin"/>
            </w:r>
            <w:r w:rsidR="007F0A8F">
              <w:instrText xml:space="preserve"> :End:TAD_KDM1 </w:instrText>
            </w:r>
            <w:r w:rsidR="007F0A8F">
              <w:fldChar w:fldCharType="end"/>
            </w:r>
          </w:p>
        </w:tc>
      </w:tr>
    </w:tbl>
    <w:p w14:paraId="17180E0E" w14:textId="77777777" w:rsidR="006D0E1D" w:rsidRDefault="006D0E1D">
      <w:pPr>
        <w:spacing w:after="160" w:line="259" w:lineRule="auto"/>
        <w:jc w:val="left"/>
        <w:rPr>
          <w:rFonts w:ascii="Arial Bold" w:hAnsi="Arial Bold"/>
          <w:b/>
        </w:rPr>
      </w:pPr>
      <w:r>
        <w:br w:type="page"/>
      </w:r>
    </w:p>
    <w:p w14:paraId="05D14A93" w14:textId="7C437BBA" w:rsidR="00ED584B" w:rsidRPr="00FD24B8" w:rsidRDefault="005B3AC5" w:rsidP="005362CC">
      <w:pPr>
        <w:pStyle w:val="Heading4"/>
        <w:spacing w:before="240"/>
      </w:pPr>
      <w:r>
        <w:lastRenderedPageBreak/>
        <w:fldChar w:fldCharType="begin"/>
      </w:r>
      <w:r>
        <w:instrText xml:space="preserve"> :Start:BPD_BG1 </w:instrText>
      </w:r>
      <w:r>
        <w:fldChar w:fldCharType="end"/>
      </w:r>
      <w:r w:rsidR="00ED584B" w:rsidRPr="00FD24B8">
        <w:t>Receipts and payment</w:t>
      </w:r>
      <w:r w:rsidR="002B6CF6" w:rsidRPr="00FD24B8">
        <w:t>s</w:t>
      </w:r>
      <w:r w:rsidR="00ED584B" w:rsidRPr="00FD24B8">
        <w:t xml:space="preserve"> </w:t>
      </w:r>
      <w:proofErr w:type="gramStart"/>
      <w:r w:rsidR="00EB11A1" w:rsidRPr="00FD24B8">
        <w:t>estimates</w:t>
      </w:r>
      <w:proofErr w:type="gramEnd"/>
      <w:r w:rsidR="00EB11A1" w:rsidRPr="00FD24B8">
        <w:t xml:space="preserve"> and projections</w:t>
      </w:r>
    </w:p>
    <w:p w14:paraId="419F7D65" w14:textId="46663C75" w:rsidR="00D52DA6" w:rsidRPr="00482327" w:rsidRDefault="001C03E1" w:rsidP="00F961A7">
      <w:r w:rsidRPr="00FD24B8">
        <w:t xml:space="preserve">Total receipts are expected to be </w:t>
      </w:r>
      <w:r w:rsidR="002B030F" w:rsidRPr="00FD24B8">
        <w:t>2</w:t>
      </w:r>
      <w:r w:rsidR="00FA3A28" w:rsidRPr="00FD24B8">
        <w:t>3.8</w:t>
      </w:r>
      <w:r w:rsidRPr="00FD24B8">
        <w:t xml:space="preserve"> per cent of GDP in </w:t>
      </w:r>
      <w:r w:rsidR="00DA4ED2" w:rsidRPr="00FD24B8">
        <w:t>20</w:t>
      </w:r>
      <w:r w:rsidR="00101961" w:rsidRPr="00FD24B8">
        <w:t>22</w:t>
      </w:r>
      <w:r w:rsidR="00DA4ED2" w:rsidRPr="00FD24B8">
        <w:noBreakHyphen/>
        <w:t>2</w:t>
      </w:r>
      <w:r w:rsidR="00101961" w:rsidRPr="00FD24B8">
        <w:t>3</w:t>
      </w:r>
      <w:r w:rsidRPr="00FD24B8">
        <w:t xml:space="preserve"> and are projected to reach </w:t>
      </w:r>
      <w:r w:rsidR="00882176" w:rsidRPr="00FD24B8">
        <w:t>25</w:t>
      </w:r>
      <w:r w:rsidR="00101961" w:rsidRPr="00FD24B8">
        <w:t>.</w:t>
      </w:r>
      <w:r w:rsidR="00882176" w:rsidRPr="00FD24B8">
        <w:t>8</w:t>
      </w:r>
      <w:r w:rsidRPr="00FD24B8">
        <w:t xml:space="preserve"> per cent of GDP in </w:t>
      </w:r>
      <w:r w:rsidR="00DA4ED2" w:rsidRPr="00FD24B8">
        <w:t>203</w:t>
      </w:r>
      <w:r w:rsidR="00101961" w:rsidRPr="00FD24B8">
        <w:t>2</w:t>
      </w:r>
      <w:r w:rsidR="00DA4ED2" w:rsidRPr="00FD24B8">
        <w:noBreakHyphen/>
        <w:t>3</w:t>
      </w:r>
      <w:r w:rsidR="00101961" w:rsidRPr="00FD24B8">
        <w:t>3</w:t>
      </w:r>
      <w:r w:rsidR="00DA4ED2" w:rsidRPr="00FD24B8">
        <w:t>.</w:t>
      </w:r>
      <w:r w:rsidRPr="00FD24B8">
        <w:t xml:space="preserve"> </w:t>
      </w:r>
      <w:r w:rsidR="00027D81" w:rsidRPr="00FD24B8">
        <w:t>Total payments are expected to fall from 27.</w:t>
      </w:r>
      <w:r w:rsidR="002E2A25" w:rsidRPr="00FD24B8">
        <w:t>2</w:t>
      </w:r>
      <w:r w:rsidR="00027D81" w:rsidRPr="00FD24B8">
        <w:t> per cent of GDP in 2022</w:t>
      </w:r>
      <w:r w:rsidR="00027D81" w:rsidRPr="00FD24B8">
        <w:noBreakHyphen/>
        <w:t>23 to be 26.3 per cent of GDP in 2025</w:t>
      </w:r>
      <w:r w:rsidR="00027D81" w:rsidRPr="00FD24B8">
        <w:noBreakHyphen/>
        <w:t xml:space="preserve">26. </w:t>
      </w:r>
      <w:r w:rsidR="005B3AC5" w:rsidRPr="00FD24B8">
        <w:fldChar w:fldCharType="begin"/>
      </w:r>
      <w:r w:rsidR="005B3AC5" w:rsidRPr="00FD24B8">
        <w:instrText xml:space="preserve"> :End:BPD_BG1 </w:instrText>
      </w:r>
      <w:r w:rsidR="005B3AC5" w:rsidRPr="00FD24B8">
        <w:fldChar w:fldCharType="end"/>
      </w:r>
      <w:r w:rsidR="005B3AC5" w:rsidRPr="00FD24B8">
        <w:fldChar w:fldCharType="begin"/>
      </w:r>
      <w:r w:rsidR="005B3AC5" w:rsidRPr="00FD24B8">
        <w:instrText xml:space="preserve"> :Start:BPD_BG3 </w:instrText>
      </w:r>
      <w:r w:rsidR="005B3AC5" w:rsidRPr="00FD24B8">
        <w:fldChar w:fldCharType="end"/>
      </w:r>
      <w:r w:rsidRPr="00FD24B8">
        <w:t xml:space="preserve">Payments </w:t>
      </w:r>
      <w:r w:rsidR="002E5923" w:rsidRPr="00FD24B8">
        <w:t xml:space="preserve">as a </w:t>
      </w:r>
      <w:r w:rsidR="00EC2D11" w:rsidRPr="00FD24B8">
        <w:t xml:space="preserve">share </w:t>
      </w:r>
      <w:r w:rsidR="002E5923" w:rsidRPr="00FD24B8">
        <w:t xml:space="preserve">of GDP </w:t>
      </w:r>
      <w:r w:rsidRPr="00FD24B8">
        <w:t xml:space="preserve">are projected to remain largely </w:t>
      </w:r>
      <w:r w:rsidR="002E5923" w:rsidRPr="00FD24B8">
        <w:t xml:space="preserve">stable </w:t>
      </w:r>
      <w:r w:rsidRPr="00FD24B8">
        <w:t xml:space="preserve">across the medium term to be </w:t>
      </w:r>
      <w:r w:rsidR="00B858A6" w:rsidRPr="00FD24B8">
        <w:t>26</w:t>
      </w:r>
      <w:r w:rsidR="00DA4ED2" w:rsidRPr="00FD24B8">
        <w:t>.</w:t>
      </w:r>
      <w:r w:rsidR="00EA66A3" w:rsidRPr="00FD24B8">
        <w:t>5</w:t>
      </w:r>
      <w:r w:rsidR="002474EC" w:rsidRPr="00FD24B8">
        <w:t> </w:t>
      </w:r>
      <w:r w:rsidR="002E5923" w:rsidRPr="00FD24B8">
        <w:t xml:space="preserve">per cent </w:t>
      </w:r>
      <w:r w:rsidRPr="00FD24B8">
        <w:t xml:space="preserve">in </w:t>
      </w:r>
      <w:r w:rsidR="00DA4ED2" w:rsidRPr="00FD24B8">
        <w:t>203</w:t>
      </w:r>
      <w:r w:rsidR="007B79EF" w:rsidRPr="00FD24B8">
        <w:t>2</w:t>
      </w:r>
      <w:r w:rsidR="00DA4ED2" w:rsidRPr="00FD24B8">
        <w:noBreakHyphen/>
        <w:t>3</w:t>
      </w:r>
      <w:r w:rsidR="007B79EF" w:rsidRPr="00FD24B8">
        <w:t>3</w:t>
      </w:r>
      <w:r w:rsidRPr="00FD24B8">
        <w:t xml:space="preserve"> (Chart 3.</w:t>
      </w:r>
      <w:r w:rsidR="00420771" w:rsidRPr="00FD24B8">
        <w:t>8</w:t>
      </w:r>
      <w:r w:rsidRPr="00FD24B8">
        <w:t xml:space="preserve">). </w:t>
      </w:r>
      <w:r w:rsidR="005B3AC5">
        <w:fldChar w:fldCharType="begin"/>
      </w:r>
      <w:r w:rsidR="005B3AC5">
        <w:instrText xml:space="preserve"> :End:BPD_BG3 </w:instrText>
      </w:r>
      <w:r w:rsidR="005B3AC5">
        <w:fldChar w:fldCharType="end"/>
      </w:r>
    </w:p>
    <w:p w14:paraId="5DA11DE1" w14:textId="2D546AEE" w:rsidR="00A30B70" w:rsidRPr="00FD24B8" w:rsidRDefault="005B3AC5" w:rsidP="00A5598B">
      <w:pPr>
        <w:pStyle w:val="ChartHeading"/>
      </w:pPr>
      <w:r>
        <w:fldChar w:fldCharType="begin"/>
      </w:r>
      <w:r>
        <w:instrText xml:space="preserve"> :Start:BPD_BG1 </w:instrText>
      </w:r>
      <w:r>
        <w:fldChar w:fldCharType="end"/>
      </w:r>
      <w:r w:rsidR="00A30B70" w:rsidRPr="00FD24B8">
        <w:t>Chart 3.</w:t>
      </w:r>
      <w:r w:rsidR="00420771" w:rsidRPr="00FD24B8">
        <w:t>8</w:t>
      </w:r>
      <w:r w:rsidR="00A30B70" w:rsidRPr="00FD24B8">
        <w:t>: Total paym</w:t>
      </w:r>
      <w:r w:rsidRPr="00FD24B8">
        <w:fldChar w:fldCharType="begin"/>
      </w:r>
      <w:r w:rsidRPr="00FD24B8">
        <w:instrText xml:space="preserve"> :End:BPD_BG1 </w:instrText>
      </w:r>
      <w:r w:rsidRPr="00FD24B8">
        <w:fldChar w:fldCharType="end"/>
      </w:r>
      <w:r w:rsidRPr="00FD24B8">
        <w:fldChar w:fldCharType="begin"/>
      </w:r>
      <w:r w:rsidRPr="00FD24B8">
        <w:instrText xml:space="preserve"> :Start:BPD_BG3 </w:instrText>
      </w:r>
      <w:r w:rsidRPr="00FD24B8">
        <w:fldChar w:fldCharType="end"/>
      </w:r>
      <w:r w:rsidR="00A30B70" w:rsidRPr="00FD24B8">
        <w:t>ents and receipts</w:t>
      </w:r>
    </w:p>
    <w:p w14:paraId="5548EA79" w14:textId="25A402F5" w:rsidR="007400B1" w:rsidRPr="00FD24B8" w:rsidRDefault="00395986" w:rsidP="00573AAD">
      <w:pPr>
        <w:pStyle w:val="ChartGraphic"/>
      </w:pPr>
      <w:r>
        <w:rPr>
          <w:noProof/>
        </w:rPr>
        <w:drawing>
          <wp:inline distT="0" distB="0" distL="0" distR="0" wp14:anchorId="413E6AD0" wp14:editId="70FDCDA4">
            <wp:extent cx="4678045" cy="2519680"/>
            <wp:effectExtent l="0" t="0" r="0" b="0"/>
            <wp:docPr id="15" name="Picture 15" descr="This chart shows 2022-23 Budget projections for total payments and receipts as a share of GDP. Total receipts are expected to be 23.8 per cent of GDP in 2022-23 and are projected to reach 25.8 per cent of GDP in 2032-33. Total payments are expected to fall from 27.2 per cent of GDP in 2022-23 to be 26.3 per cent of GDP in 2025-26. Payments as a share of GDP are projected to remain largely stable across the medium term to be 26.5 per cent in 2032-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is chart shows 2022-23 Budget projections for total payments and receipts as a share of GDP. Total receipts are expected to be 23.8 per cent of GDP in 2022-23 and are projected to reach 25.8 per cent of GDP in 2032-33. Total payments are expected to fall from 27.2 per cent of GDP in 2022-23 to be 26.3 per cent of GDP in 2025-26. Payments as a share of GDP are projected to remain largely stable across the medium term to be 26.5 per cent in 2032-33.&#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78045" cy="2519680"/>
                    </a:xfrm>
                    <a:prstGeom prst="rect">
                      <a:avLst/>
                    </a:prstGeom>
                    <a:noFill/>
                    <a:ln>
                      <a:noFill/>
                    </a:ln>
                  </pic:spPr>
                </pic:pic>
              </a:graphicData>
            </a:graphic>
          </wp:inline>
        </w:drawing>
      </w:r>
    </w:p>
    <w:p w14:paraId="09041EED" w14:textId="6DBF5176" w:rsidR="00A30B70" w:rsidRPr="00A56B05" w:rsidRDefault="00011473" w:rsidP="00A30B70">
      <w:pPr>
        <w:pStyle w:val="ChartandTableFootnote"/>
        <w:rPr>
          <w:color w:val="auto"/>
        </w:rPr>
      </w:pPr>
      <w:r w:rsidRPr="00FD24B8">
        <w:rPr>
          <w:color w:val="auto"/>
        </w:rPr>
        <w:fldChar w:fldCharType="begin"/>
      </w:r>
      <w:r w:rsidRPr="00FD24B8">
        <w:rPr>
          <w:color w:val="auto"/>
        </w:rPr>
        <w:instrText xml:space="preserve"> :</w:instrText>
      </w:r>
      <w:r w:rsidR="008259F4" w:rsidRPr="00FD24B8">
        <w:rPr>
          <w:color w:val="auto"/>
        </w:rPr>
        <w:instrText>End</w:instrText>
      </w:r>
      <w:r w:rsidRPr="00FD24B8">
        <w:rPr>
          <w:color w:val="auto"/>
        </w:rPr>
        <w:instrText xml:space="preserve">:BPD_BG3 </w:instrText>
      </w:r>
      <w:r w:rsidRPr="00FD24B8">
        <w:rPr>
          <w:color w:val="auto"/>
        </w:rPr>
        <w:fldChar w:fldCharType="end"/>
      </w:r>
      <w:r w:rsidR="000C57FA" w:rsidRPr="00FD24B8">
        <w:rPr>
          <w:color w:val="auto"/>
        </w:rPr>
        <w:fldChar w:fldCharType="begin"/>
      </w:r>
      <w:r w:rsidR="000C57FA" w:rsidRPr="00FD24B8">
        <w:rPr>
          <w:color w:val="auto"/>
        </w:rPr>
        <w:instrText xml:space="preserve"> :Start:BPD_BG3 </w:instrText>
      </w:r>
      <w:r w:rsidR="000C57FA" w:rsidRPr="00FD24B8">
        <w:rPr>
          <w:color w:val="auto"/>
        </w:rPr>
        <w:fldChar w:fldCharType="end"/>
      </w:r>
      <w:r w:rsidR="00A30B70" w:rsidRPr="00FD24B8">
        <w:rPr>
          <w:color w:val="auto"/>
        </w:rPr>
        <w:t xml:space="preserve">Note: </w:t>
      </w:r>
      <w:r w:rsidR="00A30B70" w:rsidRPr="00FD24B8">
        <w:rPr>
          <w:color w:val="auto"/>
        </w:rPr>
        <w:tab/>
        <w:t>Total receipts includes taxation and non</w:t>
      </w:r>
      <w:r w:rsidR="00A30B70" w:rsidRPr="00FD24B8">
        <w:rPr>
          <w:color w:val="auto"/>
        </w:rPr>
        <w:noBreakHyphen/>
        <w:t xml:space="preserve">taxation receipts. </w:t>
      </w:r>
      <w:r w:rsidRPr="00FD24B8">
        <w:rPr>
          <w:color w:val="auto"/>
        </w:rPr>
        <w:fldChar w:fldCharType="begin"/>
      </w:r>
      <w:r w:rsidRPr="00FD24B8">
        <w:rPr>
          <w:color w:val="auto"/>
        </w:rPr>
        <w:instrText xml:space="preserve"> :End:BPD_BG3 </w:instrText>
      </w:r>
      <w:r w:rsidRPr="00FD24B8">
        <w:rPr>
          <w:color w:val="auto"/>
        </w:rPr>
        <w:fldChar w:fldCharType="end"/>
      </w:r>
      <w:r w:rsidRPr="00FD24B8">
        <w:rPr>
          <w:color w:val="auto"/>
        </w:rPr>
        <w:fldChar w:fldCharType="begin"/>
      </w:r>
      <w:r w:rsidRPr="00FD24B8">
        <w:rPr>
          <w:color w:val="auto"/>
        </w:rPr>
        <w:instrText xml:space="preserve"> :Start:TAD_KDM1 </w:instrText>
      </w:r>
      <w:r w:rsidRPr="00FD24B8">
        <w:rPr>
          <w:color w:val="auto"/>
        </w:rPr>
        <w:fldChar w:fldCharType="end"/>
      </w:r>
      <w:r w:rsidR="00E76A9C" w:rsidRPr="00FD24B8">
        <w:rPr>
          <w:color w:val="auto"/>
        </w:rPr>
        <w:t xml:space="preserve"> </w:t>
      </w:r>
      <w:r w:rsidR="00B6315C" w:rsidRPr="00FD24B8">
        <w:rPr>
          <w:color w:val="auto"/>
        </w:rPr>
        <w:t>The 2022</w:t>
      </w:r>
      <w:r w:rsidR="0031144A" w:rsidRPr="00FD24B8">
        <w:rPr>
          <w:color w:val="auto"/>
        </w:rPr>
        <w:noBreakHyphen/>
      </w:r>
      <w:r w:rsidR="00B6315C" w:rsidRPr="00FD24B8">
        <w:rPr>
          <w:color w:val="auto"/>
        </w:rPr>
        <w:t>23 Budget projections have tax receipts reaching the 23.9 per cent tax</w:t>
      </w:r>
      <w:r w:rsidR="00B6315C" w:rsidRPr="00FD24B8">
        <w:rPr>
          <w:color w:val="auto"/>
        </w:rPr>
        <w:noBreakHyphen/>
        <w:t>to</w:t>
      </w:r>
      <w:r w:rsidR="00B6315C" w:rsidRPr="00FD24B8">
        <w:rPr>
          <w:color w:val="auto"/>
        </w:rPr>
        <w:noBreakHyphen/>
        <w:t>GDP cap in 2031</w:t>
      </w:r>
      <w:r w:rsidR="0031144A" w:rsidRPr="00FD24B8">
        <w:rPr>
          <w:color w:val="auto"/>
        </w:rPr>
        <w:noBreakHyphen/>
      </w:r>
      <w:r w:rsidR="00B6315C" w:rsidRPr="00FD24B8">
        <w:rPr>
          <w:color w:val="auto"/>
        </w:rPr>
        <w:t xml:space="preserve">32. </w:t>
      </w:r>
      <w:r>
        <w:fldChar w:fldCharType="begin"/>
      </w:r>
      <w:r>
        <w:instrText xml:space="preserve"> :End:TAD_KDM1 </w:instrText>
      </w:r>
      <w:r>
        <w:fldChar w:fldCharType="end"/>
      </w:r>
    </w:p>
    <w:p w14:paraId="7E2329EF" w14:textId="1C9CAA20" w:rsidR="00A30B70" w:rsidRDefault="00011473" w:rsidP="00A30B70">
      <w:pPr>
        <w:pStyle w:val="Source"/>
      </w:pPr>
      <w:r>
        <w:fldChar w:fldCharType="begin"/>
      </w:r>
      <w:r>
        <w:instrText xml:space="preserve"> :Start:BPD_BG3 </w:instrText>
      </w:r>
      <w:r>
        <w:fldChar w:fldCharType="end"/>
      </w:r>
      <w:r w:rsidR="00A30B70" w:rsidRPr="00FD24B8">
        <w:t xml:space="preserve">Source: </w:t>
      </w:r>
      <w:r w:rsidR="00A30B70" w:rsidRPr="00FD24B8">
        <w:tab/>
        <w:t>Treasury.</w:t>
      </w:r>
      <w:r w:rsidR="005B3AC5" w:rsidRPr="00FD24B8">
        <w:t xml:space="preserve"> </w:t>
      </w:r>
      <w:r w:rsidR="005B3AC5">
        <w:fldChar w:fldCharType="begin"/>
      </w:r>
      <w:r w:rsidR="005B3AC5">
        <w:instrText xml:space="preserve"> :End:BPD_BG3 </w:instrText>
      </w:r>
      <w:r w:rsidR="005B3AC5">
        <w:fldChar w:fldCharType="end"/>
      </w:r>
    </w:p>
    <w:p w14:paraId="44F2FDEB" w14:textId="023A8469" w:rsidR="00CE06FE" w:rsidRPr="00BE6368" w:rsidRDefault="00CE06FE" w:rsidP="005362CC">
      <w:pPr>
        <w:rPr>
          <w:rFonts w:ascii="Arial Bold" w:hAnsi="Arial Bold"/>
          <w:b/>
          <w:sz w:val="22"/>
        </w:rPr>
      </w:pPr>
      <w:r w:rsidRPr="00BE6368">
        <w:br w:type="page"/>
      </w:r>
    </w:p>
    <w:bookmarkStart w:id="11" w:name="_Toc98757986"/>
    <w:p w14:paraId="5D9E2F60" w14:textId="09BE743C" w:rsidR="00DF4811" w:rsidRPr="00FD24B8" w:rsidRDefault="009749BF" w:rsidP="005B5647">
      <w:pPr>
        <w:pStyle w:val="Heading3"/>
      </w:pPr>
      <w:r>
        <w:lastRenderedPageBreak/>
        <w:fldChar w:fldCharType="begin"/>
      </w:r>
      <w:r>
        <w:instrText xml:space="preserve"> :Start:BPD_BG1 </w:instrText>
      </w:r>
      <w:r>
        <w:fldChar w:fldCharType="end"/>
      </w:r>
      <w:bookmarkStart w:id="12" w:name="_Toc99102044"/>
      <w:r w:rsidR="00DF4811" w:rsidRPr="00FD24B8">
        <w:t>Changes in</w:t>
      </w:r>
      <w:r w:rsidR="00814D44" w:rsidRPr="00FD24B8">
        <w:t xml:space="preserve"> </w:t>
      </w:r>
      <w:r w:rsidR="00DF4811" w:rsidRPr="00FD24B8">
        <w:t>th</w:t>
      </w:r>
      <w:r w:rsidR="00814D44" w:rsidRPr="00FD24B8">
        <w:t>e</w:t>
      </w:r>
      <w:r w:rsidR="00DF4811" w:rsidRPr="00FD24B8">
        <w:t xml:space="preserve"> underlying</w:t>
      </w:r>
      <w:r w:rsidR="00253B31" w:rsidRPr="00FD24B8">
        <w:t xml:space="preserve"> cash balance over the forward estimates</w:t>
      </w:r>
      <w:bookmarkEnd w:id="11"/>
      <w:bookmarkEnd w:id="12"/>
    </w:p>
    <w:p w14:paraId="584382AE" w14:textId="6E588B7D" w:rsidR="00EB0F19" w:rsidRPr="00FD24B8" w:rsidRDefault="00EB0F19" w:rsidP="00EB0F19">
      <w:r w:rsidRPr="00FD24B8">
        <w:t>Parameter and other variations have improved the underlying cash balance</w:t>
      </w:r>
      <w:r w:rsidR="006B3563" w:rsidRPr="00FD24B8">
        <w:t xml:space="preserve"> by $38.1 billion in 2022</w:t>
      </w:r>
      <w:r w:rsidR="006B3563" w:rsidRPr="00FD24B8">
        <w:noBreakHyphen/>
        <w:t>23, and by $114.6 billion over</w:t>
      </w:r>
      <w:r w:rsidR="00993604" w:rsidRPr="00FD24B8">
        <w:t xml:space="preserve"> the</w:t>
      </w:r>
      <w:r w:rsidR="006B3563" w:rsidRPr="00FD24B8">
        <w:t xml:space="preserve"> 4 years to 2025</w:t>
      </w:r>
      <w:r w:rsidR="006B3563" w:rsidRPr="00FD24B8">
        <w:noBreakHyphen/>
        <w:t>26. S</w:t>
      </w:r>
      <w:r w:rsidR="005907DC" w:rsidRPr="00FD24B8">
        <w:t xml:space="preserve">ignificantly </w:t>
      </w:r>
      <w:r w:rsidRPr="00FD24B8">
        <w:t>higher</w:t>
      </w:r>
      <w:r w:rsidR="00C1771F" w:rsidRPr="00FD24B8">
        <w:noBreakHyphen/>
      </w:r>
      <w:r w:rsidRPr="00FD24B8">
        <w:t>than</w:t>
      </w:r>
      <w:r w:rsidR="00C1771F" w:rsidRPr="00FD24B8">
        <w:noBreakHyphen/>
      </w:r>
      <w:r w:rsidRPr="00FD24B8">
        <w:t>expected tax receipts</w:t>
      </w:r>
      <w:r w:rsidR="006B3563" w:rsidRPr="00FD24B8">
        <w:t xml:space="preserve"> </w:t>
      </w:r>
      <w:r w:rsidR="006A487B" w:rsidRPr="00FD24B8">
        <w:t>have been</w:t>
      </w:r>
      <w:r w:rsidRPr="00FD24B8">
        <w:t xml:space="preserve"> partly offset by </w:t>
      </w:r>
      <w:r w:rsidR="00F13654" w:rsidRPr="00FD24B8">
        <w:t xml:space="preserve">the effect of </w:t>
      </w:r>
      <w:r w:rsidRPr="00FD24B8">
        <w:t>higher inflation and wages forecasts</w:t>
      </w:r>
      <w:r w:rsidR="00F13654" w:rsidRPr="00FD24B8">
        <w:t xml:space="preserve"> on payments </w:t>
      </w:r>
      <w:r w:rsidR="008C4A1F" w:rsidRPr="00FD24B8">
        <w:t>(Table 3.</w:t>
      </w:r>
      <w:r w:rsidR="0025680E" w:rsidRPr="00FD24B8">
        <w:t>3</w:t>
      </w:r>
      <w:r w:rsidR="00F13654" w:rsidRPr="00FD24B8">
        <w:t>)</w:t>
      </w:r>
      <w:r w:rsidRPr="00FD24B8">
        <w:t xml:space="preserve">. </w:t>
      </w:r>
    </w:p>
    <w:p w14:paraId="48F3E6AE" w14:textId="2CDC70AB" w:rsidR="004543B9" w:rsidRPr="00A56B05" w:rsidRDefault="00D33AF0" w:rsidP="0082192E">
      <w:r w:rsidRPr="00FD24B8">
        <w:t xml:space="preserve">Policy decisions since </w:t>
      </w:r>
      <w:r w:rsidR="0024662A" w:rsidRPr="00FD24B8">
        <w:t>MYEFO</w:t>
      </w:r>
      <w:r w:rsidRPr="00FD24B8">
        <w:t xml:space="preserve"> have reduced the underlying cash balance by $</w:t>
      </w:r>
      <w:r w:rsidR="00E56A1C" w:rsidRPr="00FD24B8">
        <w:t>17.2</w:t>
      </w:r>
      <w:r w:rsidRPr="00FD24B8">
        <w:t> billion in 202</w:t>
      </w:r>
      <w:r w:rsidR="0024662A" w:rsidRPr="00FD24B8">
        <w:t>2</w:t>
      </w:r>
      <w:r w:rsidR="0031144A" w:rsidRPr="00FD24B8">
        <w:noBreakHyphen/>
      </w:r>
      <w:r w:rsidRPr="00FD24B8">
        <w:t>2</w:t>
      </w:r>
      <w:r w:rsidR="0024662A" w:rsidRPr="00FD24B8">
        <w:t>3</w:t>
      </w:r>
      <w:r w:rsidRPr="00FD24B8">
        <w:t xml:space="preserve"> and $</w:t>
      </w:r>
      <w:r w:rsidR="00E56A1C" w:rsidRPr="00FD24B8">
        <w:t>30.4</w:t>
      </w:r>
      <w:r w:rsidRPr="00FD24B8">
        <w:t xml:space="preserve"> billion over</w:t>
      </w:r>
      <w:r w:rsidR="00993604" w:rsidRPr="00FD24B8">
        <w:t xml:space="preserve"> the</w:t>
      </w:r>
      <w:r w:rsidRPr="00FD24B8">
        <w:t xml:space="preserve"> </w:t>
      </w:r>
      <w:r w:rsidR="002E583F" w:rsidRPr="00FD24B8">
        <w:t>4</w:t>
      </w:r>
      <w:r w:rsidRPr="00FD24B8">
        <w:t xml:space="preserve"> years to 202</w:t>
      </w:r>
      <w:r w:rsidR="00F3474B" w:rsidRPr="00FD24B8">
        <w:t>5</w:t>
      </w:r>
      <w:r w:rsidR="0031144A" w:rsidRPr="00FD24B8">
        <w:noBreakHyphen/>
      </w:r>
      <w:r w:rsidRPr="00FD24B8">
        <w:t>2</w:t>
      </w:r>
      <w:r w:rsidR="00F3474B" w:rsidRPr="00FD24B8">
        <w:t>6</w:t>
      </w:r>
      <w:r w:rsidRPr="00FD24B8">
        <w:t xml:space="preserve">. </w:t>
      </w:r>
      <w:r w:rsidR="00011473" w:rsidRPr="00FD24B8">
        <w:fldChar w:fldCharType="begin"/>
      </w:r>
      <w:r w:rsidR="00011473" w:rsidRPr="00FD24B8">
        <w:instrText xml:space="preserve"> :End:BPD_BG1 </w:instrText>
      </w:r>
      <w:r w:rsidR="00011473" w:rsidRPr="00FD24B8">
        <w:fldChar w:fldCharType="end"/>
      </w:r>
      <w:r w:rsidR="00011473" w:rsidRPr="00FD24B8">
        <w:fldChar w:fldCharType="begin"/>
      </w:r>
      <w:r w:rsidR="00011473" w:rsidRPr="00FD24B8">
        <w:instrText xml:space="preserve"> :Start:TAD_KDM2 </w:instrText>
      </w:r>
      <w:r w:rsidR="00011473" w:rsidRPr="00FD24B8">
        <w:fldChar w:fldCharType="end"/>
      </w:r>
      <w:r w:rsidRPr="00FD24B8">
        <w:t xml:space="preserve">This includes </w:t>
      </w:r>
      <w:r w:rsidR="00636B59" w:rsidRPr="00FD24B8">
        <w:t xml:space="preserve">$4.1 billion </w:t>
      </w:r>
      <w:r w:rsidR="00BC2592" w:rsidRPr="00FD24B8">
        <w:t>for a one</w:t>
      </w:r>
      <w:r w:rsidR="0031144A" w:rsidRPr="00FD24B8">
        <w:noBreakHyphen/>
      </w:r>
      <w:r w:rsidR="00BC2592" w:rsidRPr="00FD24B8">
        <w:t>off cost of living</w:t>
      </w:r>
      <w:r w:rsidR="000D43FD" w:rsidRPr="00FD24B8">
        <w:t xml:space="preserve"> tax offset </w:t>
      </w:r>
      <w:r w:rsidR="00BC2592" w:rsidRPr="00FD24B8">
        <w:t>of</w:t>
      </w:r>
      <w:r w:rsidR="000D43FD" w:rsidRPr="00FD24B8">
        <w:t xml:space="preserve"> $420 in 2021</w:t>
      </w:r>
      <w:r w:rsidR="0031144A" w:rsidRPr="00FD24B8">
        <w:noBreakHyphen/>
      </w:r>
      <w:r w:rsidR="000D43FD" w:rsidRPr="00FD24B8">
        <w:t>22</w:t>
      </w:r>
      <w:r w:rsidR="003B24D4" w:rsidRPr="00FD24B8">
        <w:t xml:space="preserve">, </w:t>
      </w:r>
      <w:r w:rsidR="00F06B2F" w:rsidRPr="00FD24B8">
        <w:t>$</w:t>
      </w:r>
      <w:r w:rsidR="00490D86" w:rsidRPr="00FD24B8">
        <w:t>3.0</w:t>
      </w:r>
      <w:r w:rsidR="00A115EE" w:rsidRPr="00FD24B8">
        <w:t xml:space="preserve"> billion to red</w:t>
      </w:r>
      <w:r w:rsidR="0028064A" w:rsidRPr="00FD24B8">
        <w:t xml:space="preserve">uce the </w:t>
      </w:r>
      <w:r w:rsidR="00A43538" w:rsidRPr="00FD24B8">
        <w:t>fuel excise</w:t>
      </w:r>
      <w:r w:rsidR="00753F9F" w:rsidRPr="00FD24B8">
        <w:t xml:space="preserve"> by 50 per cent for 6 months</w:t>
      </w:r>
      <w:r w:rsidR="00F00B82">
        <w:fldChar w:fldCharType="begin"/>
      </w:r>
      <w:r w:rsidR="00F00B82">
        <w:instrText xml:space="preserve"> :End:TAD_KDM2 </w:instrText>
      </w:r>
      <w:r w:rsidR="00F00B82">
        <w:fldChar w:fldCharType="end"/>
      </w:r>
      <w:r w:rsidR="00753F9F">
        <w:t xml:space="preserve"> </w:t>
      </w:r>
      <w:r w:rsidR="00F00B82">
        <w:fldChar w:fldCharType="begin"/>
      </w:r>
      <w:r w:rsidR="00F00B82">
        <w:instrText xml:space="preserve"> :Start:BPD_BG1 </w:instrText>
      </w:r>
      <w:r w:rsidR="00F00B82">
        <w:fldChar w:fldCharType="end"/>
      </w:r>
      <w:r w:rsidR="00513460" w:rsidRPr="00FD24B8">
        <w:t xml:space="preserve">and </w:t>
      </w:r>
      <w:r w:rsidR="0070009C" w:rsidRPr="00FD24B8">
        <w:t>funding for priority road and rail projects across Australia to support economic recovery and jobs</w:t>
      </w:r>
      <w:r w:rsidR="00513460" w:rsidRPr="00FD24B8">
        <w:t>.</w:t>
      </w:r>
      <w:r w:rsidR="00F00B82">
        <w:fldChar w:fldCharType="begin"/>
      </w:r>
      <w:r w:rsidR="00F00B82">
        <w:instrText xml:space="preserve"> :End:BPD_BG1 </w:instrText>
      </w:r>
      <w:r w:rsidR="00F00B82">
        <w:fldChar w:fldCharType="end"/>
      </w:r>
    </w:p>
    <w:p w14:paraId="1F7249DB" w14:textId="40DD2318" w:rsidR="0082192E" w:rsidRPr="00FD24B8" w:rsidRDefault="004543B9" w:rsidP="004543B9">
      <w:pPr>
        <w:pStyle w:val="TableHeading"/>
        <w:rPr>
          <w:rFonts w:ascii="Calibri" w:hAnsi="Calibri" w:cs="Calibri"/>
          <w:sz w:val="22"/>
          <w:szCs w:val="22"/>
        </w:rPr>
      </w:pPr>
      <w:r w:rsidRPr="00C11CA5">
        <w:br w:type="page"/>
      </w:r>
      <w:r>
        <w:lastRenderedPageBreak/>
        <w:fldChar w:fldCharType="begin"/>
      </w:r>
      <w:r>
        <w:instrText xml:space="preserve"> :Start:FARM_LS1 </w:instrText>
      </w:r>
      <w:r>
        <w:fldChar w:fldCharType="end"/>
      </w:r>
      <w:r w:rsidRPr="00FD24B8">
        <w:t>Table 3.</w:t>
      </w:r>
      <w:r w:rsidR="005F0C76" w:rsidRPr="00FD24B8">
        <w:t>3</w:t>
      </w:r>
      <w:r w:rsidRPr="00FD24B8">
        <w:t>: Reconciliation of the general government sector underlying cash balance estimates</w:t>
      </w:r>
      <w:r w:rsidRPr="00FD24B8">
        <w:rPr>
          <w:rFonts w:ascii="Calibri" w:hAnsi="Calibri" w:cs="Calibri"/>
          <w:sz w:val="22"/>
          <w:szCs w:val="22"/>
        </w:rPr>
        <w:t> </w:t>
      </w:r>
    </w:p>
    <w:tbl>
      <w:tblPr>
        <w:tblW w:w="5000" w:type="pct"/>
        <w:tblCellMar>
          <w:left w:w="0" w:type="dxa"/>
          <w:right w:w="28" w:type="dxa"/>
        </w:tblCellMar>
        <w:tblLook w:val="04A0" w:firstRow="1" w:lastRow="0" w:firstColumn="1" w:lastColumn="0" w:noHBand="0" w:noVBand="1"/>
      </w:tblPr>
      <w:tblGrid>
        <w:gridCol w:w="3085"/>
        <w:gridCol w:w="756"/>
        <w:gridCol w:w="755"/>
        <w:gridCol w:w="756"/>
        <w:gridCol w:w="756"/>
        <w:gridCol w:w="756"/>
        <w:gridCol w:w="73"/>
        <w:gridCol w:w="773"/>
      </w:tblGrid>
      <w:tr w:rsidR="001B7BBF" w:rsidRPr="00131EBC" w14:paraId="12357363" w14:textId="77777777" w:rsidTr="004543B9">
        <w:trPr>
          <w:trHeight w:hRule="exact" w:val="225"/>
        </w:trPr>
        <w:tc>
          <w:tcPr>
            <w:tcW w:w="2001" w:type="pct"/>
            <w:tcBorders>
              <w:top w:val="single" w:sz="4" w:space="0" w:color="000000"/>
              <w:left w:val="nil"/>
              <w:bottom w:val="nil"/>
              <w:right w:val="nil"/>
            </w:tcBorders>
            <w:shd w:val="clear" w:color="000000" w:fill="FFFFFF"/>
            <w:noWrap/>
            <w:vAlign w:val="bottom"/>
          </w:tcPr>
          <w:p w14:paraId="13443759" w14:textId="703CC045" w:rsidR="001B7BBF" w:rsidRPr="00131EBC" w:rsidRDefault="001B7BBF" w:rsidP="001B7BBF">
            <w:pPr>
              <w:spacing w:after="0" w:line="240" w:lineRule="auto"/>
              <w:rPr>
                <w:rFonts w:ascii="Calibri" w:hAnsi="Calibri" w:cs="Calibri"/>
                <w:sz w:val="22"/>
                <w:szCs w:val="22"/>
                <w:highlight w:val="darkCyan"/>
              </w:rPr>
            </w:pPr>
          </w:p>
        </w:tc>
        <w:tc>
          <w:tcPr>
            <w:tcW w:w="2449" w:type="pct"/>
            <w:gridSpan w:val="5"/>
            <w:tcBorders>
              <w:top w:val="single" w:sz="4" w:space="0" w:color="000000"/>
              <w:left w:val="nil"/>
              <w:bottom w:val="nil"/>
              <w:right w:val="nil"/>
            </w:tcBorders>
            <w:shd w:val="clear" w:color="000000" w:fill="FFFFFF"/>
            <w:noWrap/>
            <w:vAlign w:val="center"/>
            <w:hideMark/>
          </w:tcPr>
          <w:p w14:paraId="3B0C137F" w14:textId="77777777" w:rsidR="001B7BBF" w:rsidRPr="00131EBC" w:rsidRDefault="001B7BBF" w:rsidP="001B7BBF">
            <w:pPr>
              <w:spacing w:after="0" w:line="240" w:lineRule="auto"/>
              <w:jc w:val="center"/>
              <w:rPr>
                <w:rFonts w:ascii="Arial" w:hAnsi="Arial" w:cs="Arial"/>
                <w:sz w:val="16"/>
                <w:szCs w:val="16"/>
                <w:highlight w:val="darkCyan"/>
              </w:rPr>
            </w:pPr>
            <w:r w:rsidRPr="00FD24B8">
              <w:rPr>
                <w:rFonts w:ascii="Arial" w:hAnsi="Arial" w:cs="Arial"/>
                <w:sz w:val="16"/>
                <w:szCs w:val="16"/>
              </w:rPr>
              <w:t>Estimates</w:t>
            </w:r>
          </w:p>
        </w:tc>
        <w:tc>
          <w:tcPr>
            <w:tcW w:w="47" w:type="pct"/>
            <w:tcBorders>
              <w:top w:val="single" w:sz="4" w:space="0" w:color="000000"/>
              <w:left w:val="nil"/>
              <w:bottom w:val="nil"/>
              <w:right w:val="nil"/>
            </w:tcBorders>
            <w:shd w:val="clear" w:color="000000" w:fill="FFFFFF"/>
            <w:noWrap/>
            <w:vAlign w:val="center"/>
            <w:hideMark/>
          </w:tcPr>
          <w:p w14:paraId="5954B186"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3" w:type="pct"/>
            <w:tcBorders>
              <w:top w:val="single" w:sz="4" w:space="0" w:color="000000"/>
              <w:left w:val="nil"/>
              <w:bottom w:val="nil"/>
              <w:right w:val="nil"/>
            </w:tcBorders>
            <w:shd w:val="clear" w:color="000000" w:fill="FFFFFF"/>
            <w:noWrap/>
            <w:vAlign w:val="center"/>
            <w:hideMark/>
          </w:tcPr>
          <w:p w14:paraId="212B38F9"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39507CD9" w14:textId="77777777" w:rsidTr="001B7BBF">
        <w:trPr>
          <w:trHeight w:hRule="exact" w:val="225"/>
        </w:trPr>
        <w:tc>
          <w:tcPr>
            <w:tcW w:w="2001" w:type="pct"/>
            <w:tcBorders>
              <w:top w:val="nil"/>
              <w:left w:val="nil"/>
              <w:bottom w:val="nil"/>
              <w:right w:val="nil"/>
            </w:tcBorders>
            <w:shd w:val="clear" w:color="000000" w:fill="FFFFFF"/>
            <w:noWrap/>
            <w:vAlign w:val="bottom"/>
            <w:hideMark/>
          </w:tcPr>
          <w:p w14:paraId="27986905"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90" w:type="pct"/>
            <w:tcBorders>
              <w:top w:val="single" w:sz="4" w:space="0" w:color="auto"/>
              <w:left w:val="nil"/>
              <w:bottom w:val="nil"/>
              <w:right w:val="nil"/>
            </w:tcBorders>
            <w:shd w:val="clear" w:color="000000" w:fill="FFFFFF"/>
            <w:noWrap/>
            <w:vAlign w:val="center"/>
            <w:hideMark/>
          </w:tcPr>
          <w:p w14:paraId="1D01A64E" w14:textId="311FEB01"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2021</w:t>
            </w:r>
            <w:r w:rsidR="0031144A" w:rsidRPr="00FD24B8">
              <w:rPr>
                <w:rFonts w:ascii="Arial" w:hAnsi="Arial" w:cs="Arial"/>
                <w:sz w:val="16"/>
                <w:szCs w:val="16"/>
              </w:rPr>
              <w:noBreakHyphen/>
            </w:r>
            <w:r w:rsidRPr="00FD24B8">
              <w:rPr>
                <w:rFonts w:ascii="Arial" w:hAnsi="Arial" w:cs="Arial"/>
                <w:sz w:val="16"/>
                <w:szCs w:val="16"/>
              </w:rPr>
              <w:t>22</w:t>
            </w:r>
          </w:p>
        </w:tc>
        <w:tc>
          <w:tcPr>
            <w:tcW w:w="490" w:type="pct"/>
            <w:tcBorders>
              <w:top w:val="single" w:sz="4" w:space="0" w:color="auto"/>
              <w:left w:val="nil"/>
              <w:bottom w:val="nil"/>
              <w:right w:val="nil"/>
            </w:tcBorders>
            <w:shd w:val="clear" w:color="000000" w:fill="F2F9FC"/>
            <w:noWrap/>
            <w:vAlign w:val="center"/>
            <w:hideMark/>
          </w:tcPr>
          <w:p w14:paraId="6355CEBB" w14:textId="524E173A"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2022</w:t>
            </w:r>
            <w:r w:rsidR="0031144A" w:rsidRPr="00FD24B8">
              <w:rPr>
                <w:rFonts w:ascii="Arial" w:hAnsi="Arial" w:cs="Arial"/>
                <w:sz w:val="16"/>
                <w:szCs w:val="16"/>
              </w:rPr>
              <w:noBreakHyphen/>
            </w:r>
            <w:r w:rsidRPr="00FD24B8">
              <w:rPr>
                <w:rFonts w:ascii="Arial" w:hAnsi="Arial" w:cs="Arial"/>
                <w:sz w:val="16"/>
                <w:szCs w:val="16"/>
              </w:rPr>
              <w:t>23</w:t>
            </w:r>
          </w:p>
        </w:tc>
        <w:tc>
          <w:tcPr>
            <w:tcW w:w="490" w:type="pct"/>
            <w:tcBorders>
              <w:top w:val="single" w:sz="4" w:space="0" w:color="auto"/>
              <w:left w:val="nil"/>
              <w:bottom w:val="nil"/>
              <w:right w:val="nil"/>
            </w:tcBorders>
            <w:shd w:val="clear" w:color="000000" w:fill="FFFFFF"/>
            <w:noWrap/>
            <w:vAlign w:val="center"/>
            <w:hideMark/>
          </w:tcPr>
          <w:p w14:paraId="6DE8D850" w14:textId="17816283"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2023</w:t>
            </w:r>
            <w:r w:rsidR="0031144A" w:rsidRPr="00FD24B8">
              <w:rPr>
                <w:rFonts w:ascii="Arial" w:hAnsi="Arial" w:cs="Arial"/>
                <w:sz w:val="16"/>
                <w:szCs w:val="16"/>
              </w:rPr>
              <w:noBreakHyphen/>
            </w:r>
            <w:r w:rsidRPr="00FD24B8">
              <w:rPr>
                <w:rFonts w:ascii="Arial" w:hAnsi="Arial" w:cs="Arial"/>
                <w:sz w:val="16"/>
                <w:szCs w:val="16"/>
              </w:rPr>
              <w:t>24</w:t>
            </w:r>
          </w:p>
        </w:tc>
        <w:tc>
          <w:tcPr>
            <w:tcW w:w="490" w:type="pct"/>
            <w:tcBorders>
              <w:top w:val="single" w:sz="4" w:space="0" w:color="auto"/>
              <w:left w:val="nil"/>
              <w:bottom w:val="nil"/>
              <w:right w:val="nil"/>
            </w:tcBorders>
            <w:shd w:val="clear" w:color="000000" w:fill="FFFFFF"/>
            <w:noWrap/>
            <w:vAlign w:val="center"/>
            <w:hideMark/>
          </w:tcPr>
          <w:p w14:paraId="18BF62FC" w14:textId="5CD77444"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2024</w:t>
            </w:r>
            <w:r w:rsidR="0031144A" w:rsidRPr="00FD24B8">
              <w:rPr>
                <w:rFonts w:ascii="Arial" w:hAnsi="Arial" w:cs="Arial"/>
                <w:sz w:val="16"/>
                <w:szCs w:val="16"/>
              </w:rPr>
              <w:noBreakHyphen/>
            </w:r>
            <w:r w:rsidRPr="00FD24B8">
              <w:rPr>
                <w:rFonts w:ascii="Arial" w:hAnsi="Arial" w:cs="Arial"/>
                <w:sz w:val="16"/>
                <w:szCs w:val="16"/>
              </w:rPr>
              <w:t>25</w:t>
            </w:r>
          </w:p>
        </w:tc>
        <w:tc>
          <w:tcPr>
            <w:tcW w:w="490" w:type="pct"/>
            <w:tcBorders>
              <w:top w:val="single" w:sz="4" w:space="0" w:color="auto"/>
              <w:left w:val="nil"/>
              <w:bottom w:val="nil"/>
              <w:right w:val="nil"/>
            </w:tcBorders>
            <w:shd w:val="clear" w:color="000000" w:fill="FFFFFF"/>
            <w:noWrap/>
            <w:vAlign w:val="center"/>
            <w:hideMark/>
          </w:tcPr>
          <w:p w14:paraId="01452302" w14:textId="61376BBE"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2025</w:t>
            </w:r>
            <w:r w:rsidR="0031144A" w:rsidRPr="00FD24B8">
              <w:rPr>
                <w:rFonts w:ascii="Arial" w:hAnsi="Arial" w:cs="Arial"/>
                <w:sz w:val="16"/>
                <w:szCs w:val="16"/>
              </w:rPr>
              <w:noBreakHyphen/>
            </w:r>
            <w:r w:rsidRPr="00FD24B8">
              <w:rPr>
                <w:rFonts w:ascii="Arial" w:hAnsi="Arial" w:cs="Arial"/>
                <w:sz w:val="16"/>
                <w:szCs w:val="16"/>
              </w:rPr>
              <w:t>26</w:t>
            </w:r>
          </w:p>
        </w:tc>
        <w:tc>
          <w:tcPr>
            <w:tcW w:w="47" w:type="pct"/>
            <w:tcBorders>
              <w:top w:val="nil"/>
              <w:left w:val="nil"/>
              <w:bottom w:val="nil"/>
              <w:right w:val="nil"/>
            </w:tcBorders>
            <w:shd w:val="clear" w:color="000000" w:fill="FFFFFF"/>
            <w:noWrap/>
            <w:vAlign w:val="center"/>
            <w:hideMark/>
          </w:tcPr>
          <w:p w14:paraId="545CC5D0"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single" w:sz="4" w:space="0" w:color="auto"/>
              <w:left w:val="nil"/>
              <w:bottom w:val="nil"/>
              <w:right w:val="nil"/>
            </w:tcBorders>
            <w:shd w:val="clear" w:color="000000" w:fill="FFFFFF"/>
            <w:noWrap/>
            <w:vAlign w:val="center"/>
            <w:hideMark/>
          </w:tcPr>
          <w:p w14:paraId="061D9E59" w14:textId="77777777" w:rsidR="001B7BBF" w:rsidRPr="00FD24B8" w:rsidRDefault="001B7BBF" w:rsidP="001B7BBF">
            <w:pPr>
              <w:spacing w:after="0" w:line="240" w:lineRule="auto"/>
              <w:jc w:val="right"/>
              <w:rPr>
                <w:rFonts w:ascii="Arial" w:hAnsi="Arial" w:cs="Arial"/>
                <w:sz w:val="16"/>
                <w:szCs w:val="16"/>
              </w:rPr>
            </w:pPr>
            <w:r w:rsidRPr="00FD24B8">
              <w:rPr>
                <w:rFonts w:ascii="Arial" w:hAnsi="Arial" w:cs="Arial"/>
                <w:sz w:val="16"/>
                <w:szCs w:val="16"/>
              </w:rPr>
              <w:t>Total(a)</w:t>
            </w:r>
          </w:p>
        </w:tc>
      </w:tr>
      <w:tr w:rsidR="00B31B91" w:rsidRPr="00131EBC" w14:paraId="0C51CF8D"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5FD2535E"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single" w:sz="4" w:space="0" w:color="000000"/>
              <w:right w:val="nil"/>
            </w:tcBorders>
            <w:shd w:val="clear" w:color="000000" w:fill="FFFFFF"/>
            <w:noWrap/>
            <w:vAlign w:val="center"/>
            <w:hideMark/>
          </w:tcPr>
          <w:p w14:paraId="22D5226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490" w:type="pct"/>
            <w:tcBorders>
              <w:top w:val="nil"/>
              <w:left w:val="nil"/>
              <w:bottom w:val="single" w:sz="4" w:space="0" w:color="000000"/>
              <w:right w:val="nil"/>
            </w:tcBorders>
            <w:shd w:val="clear" w:color="000000" w:fill="F2F9FC"/>
            <w:noWrap/>
            <w:vAlign w:val="center"/>
            <w:hideMark/>
          </w:tcPr>
          <w:p w14:paraId="6594A5E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490" w:type="pct"/>
            <w:tcBorders>
              <w:top w:val="nil"/>
              <w:left w:val="nil"/>
              <w:bottom w:val="single" w:sz="4" w:space="0" w:color="000000"/>
              <w:right w:val="nil"/>
            </w:tcBorders>
            <w:shd w:val="clear" w:color="000000" w:fill="FFFFFF"/>
            <w:noWrap/>
            <w:vAlign w:val="center"/>
            <w:hideMark/>
          </w:tcPr>
          <w:p w14:paraId="12AE41E7"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490" w:type="pct"/>
            <w:tcBorders>
              <w:top w:val="nil"/>
              <w:left w:val="nil"/>
              <w:bottom w:val="single" w:sz="4" w:space="0" w:color="000000"/>
              <w:right w:val="nil"/>
            </w:tcBorders>
            <w:shd w:val="clear" w:color="000000" w:fill="FFFFFF"/>
            <w:noWrap/>
            <w:vAlign w:val="center"/>
            <w:hideMark/>
          </w:tcPr>
          <w:p w14:paraId="4222F55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490" w:type="pct"/>
            <w:tcBorders>
              <w:top w:val="nil"/>
              <w:left w:val="nil"/>
              <w:bottom w:val="single" w:sz="4" w:space="0" w:color="000000"/>
              <w:right w:val="nil"/>
            </w:tcBorders>
            <w:shd w:val="clear" w:color="000000" w:fill="FFFFFF"/>
            <w:noWrap/>
            <w:vAlign w:val="center"/>
            <w:hideMark/>
          </w:tcPr>
          <w:p w14:paraId="522BBE56"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47" w:type="pct"/>
            <w:tcBorders>
              <w:top w:val="nil"/>
              <w:left w:val="nil"/>
              <w:bottom w:val="nil"/>
              <w:right w:val="nil"/>
            </w:tcBorders>
            <w:shd w:val="clear" w:color="000000" w:fill="FFFFFF"/>
            <w:noWrap/>
            <w:vAlign w:val="center"/>
            <w:hideMark/>
          </w:tcPr>
          <w:p w14:paraId="7331C30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single" w:sz="4" w:space="0" w:color="000000"/>
              <w:right w:val="nil"/>
            </w:tcBorders>
            <w:shd w:val="clear" w:color="000000" w:fill="FFFFFF"/>
            <w:noWrap/>
            <w:vAlign w:val="center"/>
            <w:hideMark/>
          </w:tcPr>
          <w:p w14:paraId="5712EE6E" w14:textId="77777777" w:rsidR="001B7BBF" w:rsidRPr="00FD24B8" w:rsidRDefault="001B7BBF" w:rsidP="001B7BBF">
            <w:pPr>
              <w:spacing w:after="0" w:line="240" w:lineRule="auto"/>
              <w:jc w:val="right"/>
              <w:rPr>
                <w:rFonts w:ascii="Arial" w:hAnsi="Arial" w:cs="Arial"/>
                <w:sz w:val="16"/>
                <w:szCs w:val="16"/>
              </w:rPr>
            </w:pPr>
            <w:r w:rsidRPr="00FD24B8">
              <w:rPr>
                <w:rFonts w:ascii="Arial" w:hAnsi="Arial" w:cs="Arial"/>
                <w:sz w:val="16"/>
                <w:szCs w:val="16"/>
              </w:rPr>
              <w:t>$m</w:t>
            </w:r>
          </w:p>
        </w:tc>
      </w:tr>
      <w:tr w:rsidR="00B31B91" w:rsidRPr="00131EBC" w14:paraId="1BF86582"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399402AE" w14:textId="30DB8611"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2021</w:t>
            </w:r>
            <w:r w:rsidR="0031144A" w:rsidRPr="00FD24B8">
              <w:rPr>
                <w:rFonts w:ascii="Arial" w:hAnsi="Arial" w:cs="Arial"/>
                <w:b/>
                <w:sz w:val="16"/>
                <w:szCs w:val="16"/>
              </w:rPr>
              <w:noBreakHyphen/>
            </w:r>
            <w:r w:rsidRPr="00FD24B8">
              <w:rPr>
                <w:rFonts w:ascii="Arial" w:hAnsi="Arial" w:cs="Arial"/>
                <w:b/>
                <w:sz w:val="16"/>
                <w:szCs w:val="16"/>
              </w:rPr>
              <w:t>22 Budget underlying cash</w:t>
            </w:r>
          </w:p>
        </w:tc>
        <w:tc>
          <w:tcPr>
            <w:tcW w:w="490" w:type="pct"/>
            <w:tcBorders>
              <w:top w:val="nil"/>
              <w:left w:val="nil"/>
              <w:bottom w:val="nil"/>
              <w:right w:val="nil"/>
            </w:tcBorders>
            <w:shd w:val="clear" w:color="000000" w:fill="FFFFFF"/>
            <w:noWrap/>
            <w:vAlign w:val="center"/>
            <w:hideMark/>
          </w:tcPr>
          <w:p w14:paraId="7E37985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35DD08BE"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7BA53CA8"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0D14FEDB"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7981DAEA"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05B84E87"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0AA94CEA" w14:textId="77777777" w:rsidR="001B7BBF" w:rsidRPr="00FD24B8" w:rsidRDefault="001B7BBF" w:rsidP="001B7BBF">
            <w:pPr>
              <w:spacing w:after="0" w:line="240" w:lineRule="auto"/>
              <w:jc w:val="right"/>
              <w:rPr>
                <w:rFonts w:ascii="Arial" w:hAnsi="Arial" w:cs="Arial"/>
                <w:sz w:val="16"/>
                <w:szCs w:val="16"/>
              </w:rPr>
            </w:pPr>
            <w:r w:rsidRPr="00FD24B8">
              <w:rPr>
                <w:rFonts w:ascii="Arial" w:hAnsi="Arial" w:cs="Arial"/>
                <w:sz w:val="16"/>
                <w:szCs w:val="16"/>
              </w:rPr>
              <w:t> </w:t>
            </w:r>
          </w:p>
        </w:tc>
      </w:tr>
      <w:tr w:rsidR="00B31B91" w:rsidRPr="00131EBC" w14:paraId="18EFD7FC"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235ADE0E" w14:textId="4EB990BE" w:rsidR="001B7BBF" w:rsidRPr="00131EBC" w:rsidRDefault="001B7BBF" w:rsidP="001B7BBF">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balance</w:t>
            </w:r>
          </w:p>
        </w:tc>
        <w:tc>
          <w:tcPr>
            <w:tcW w:w="490" w:type="pct"/>
            <w:tcBorders>
              <w:top w:val="nil"/>
              <w:left w:val="nil"/>
              <w:bottom w:val="nil"/>
              <w:right w:val="nil"/>
            </w:tcBorders>
            <w:shd w:val="clear" w:color="000000" w:fill="FFFFFF"/>
            <w:noWrap/>
            <w:vAlign w:val="bottom"/>
            <w:hideMark/>
          </w:tcPr>
          <w:p w14:paraId="700590E8" w14:textId="20EE50CF"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106,619</w:t>
            </w:r>
          </w:p>
        </w:tc>
        <w:tc>
          <w:tcPr>
            <w:tcW w:w="490" w:type="pct"/>
            <w:tcBorders>
              <w:top w:val="nil"/>
              <w:left w:val="nil"/>
              <w:bottom w:val="nil"/>
              <w:right w:val="nil"/>
            </w:tcBorders>
            <w:shd w:val="clear" w:color="000000" w:fill="F2F9FC"/>
            <w:noWrap/>
            <w:vAlign w:val="bottom"/>
            <w:hideMark/>
          </w:tcPr>
          <w:p w14:paraId="2094FB9C" w14:textId="75BE8CE9"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99,266</w:t>
            </w:r>
          </w:p>
        </w:tc>
        <w:tc>
          <w:tcPr>
            <w:tcW w:w="490" w:type="pct"/>
            <w:tcBorders>
              <w:top w:val="nil"/>
              <w:left w:val="nil"/>
              <w:bottom w:val="nil"/>
              <w:right w:val="nil"/>
            </w:tcBorders>
            <w:shd w:val="clear" w:color="000000" w:fill="FFFFFF"/>
            <w:noWrap/>
            <w:vAlign w:val="bottom"/>
            <w:hideMark/>
          </w:tcPr>
          <w:p w14:paraId="0E8555BC" w14:textId="2AAB5734"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79,514</w:t>
            </w:r>
          </w:p>
        </w:tc>
        <w:tc>
          <w:tcPr>
            <w:tcW w:w="490" w:type="pct"/>
            <w:tcBorders>
              <w:top w:val="nil"/>
              <w:left w:val="nil"/>
              <w:bottom w:val="nil"/>
              <w:right w:val="nil"/>
            </w:tcBorders>
            <w:shd w:val="clear" w:color="000000" w:fill="FFFFFF"/>
            <w:noWrap/>
            <w:vAlign w:val="bottom"/>
            <w:hideMark/>
          </w:tcPr>
          <w:p w14:paraId="2C36BA68" w14:textId="68AEF287"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56,966</w:t>
            </w:r>
          </w:p>
        </w:tc>
        <w:tc>
          <w:tcPr>
            <w:tcW w:w="490" w:type="pct"/>
            <w:tcBorders>
              <w:top w:val="nil"/>
              <w:left w:val="nil"/>
              <w:bottom w:val="nil"/>
              <w:right w:val="nil"/>
            </w:tcBorders>
            <w:shd w:val="clear" w:color="000000" w:fill="FFFFFF"/>
            <w:noWrap/>
            <w:vAlign w:val="bottom"/>
            <w:hideMark/>
          </w:tcPr>
          <w:p w14:paraId="4A99E898" w14:textId="209965BF" w:rsidR="001B7BBF" w:rsidRPr="00131EBC" w:rsidRDefault="00A613BE"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w:t>
            </w:r>
          </w:p>
        </w:tc>
        <w:tc>
          <w:tcPr>
            <w:tcW w:w="47" w:type="pct"/>
            <w:tcBorders>
              <w:top w:val="nil"/>
              <w:left w:val="nil"/>
              <w:bottom w:val="nil"/>
              <w:right w:val="nil"/>
            </w:tcBorders>
            <w:shd w:val="clear" w:color="000000" w:fill="FFFFFF"/>
            <w:noWrap/>
            <w:vAlign w:val="center"/>
            <w:hideMark/>
          </w:tcPr>
          <w:p w14:paraId="0D7CEDA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0CB50E3C" w14:textId="4231FCB6" w:rsidR="001B7BBF" w:rsidRPr="00FD24B8" w:rsidRDefault="00E050FE" w:rsidP="001B7BBF">
            <w:pPr>
              <w:spacing w:after="0" w:line="240" w:lineRule="auto"/>
              <w:jc w:val="right"/>
              <w:rPr>
                <w:rFonts w:ascii="Arial" w:hAnsi="Arial" w:cs="Arial"/>
                <w:b/>
                <w:sz w:val="16"/>
                <w:szCs w:val="16"/>
              </w:rPr>
            </w:pPr>
            <w:r w:rsidRPr="00FD24B8">
              <w:rPr>
                <w:rFonts w:ascii="Arial" w:hAnsi="Arial" w:cs="Arial"/>
                <w:b/>
                <w:sz w:val="16"/>
                <w:szCs w:val="16"/>
              </w:rPr>
              <w:t>*</w:t>
            </w:r>
          </w:p>
        </w:tc>
      </w:tr>
      <w:tr w:rsidR="00B31B91" w:rsidRPr="00131EBC" w14:paraId="10802FBF"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443D9D43"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90" w:type="pct"/>
            <w:tcBorders>
              <w:top w:val="nil"/>
              <w:left w:val="nil"/>
              <w:bottom w:val="nil"/>
              <w:right w:val="nil"/>
            </w:tcBorders>
            <w:shd w:val="clear" w:color="000000" w:fill="FFFFFF"/>
            <w:noWrap/>
            <w:vAlign w:val="center"/>
            <w:hideMark/>
          </w:tcPr>
          <w:p w14:paraId="0AC6EE75" w14:textId="4C249CBE"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5.0</w:t>
            </w:r>
          </w:p>
        </w:tc>
        <w:tc>
          <w:tcPr>
            <w:tcW w:w="490" w:type="pct"/>
            <w:tcBorders>
              <w:top w:val="nil"/>
              <w:left w:val="nil"/>
              <w:bottom w:val="nil"/>
              <w:right w:val="nil"/>
            </w:tcBorders>
            <w:shd w:val="clear" w:color="000000" w:fill="F2F9FC"/>
            <w:noWrap/>
            <w:vAlign w:val="center"/>
            <w:hideMark/>
          </w:tcPr>
          <w:p w14:paraId="0CB6AD30" w14:textId="4D10EF6F"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4.6</w:t>
            </w:r>
          </w:p>
        </w:tc>
        <w:tc>
          <w:tcPr>
            <w:tcW w:w="490" w:type="pct"/>
            <w:tcBorders>
              <w:top w:val="nil"/>
              <w:left w:val="nil"/>
              <w:bottom w:val="nil"/>
              <w:right w:val="nil"/>
            </w:tcBorders>
            <w:shd w:val="clear" w:color="000000" w:fill="FFFFFF"/>
            <w:noWrap/>
            <w:vAlign w:val="center"/>
            <w:hideMark/>
          </w:tcPr>
          <w:p w14:paraId="571EC422" w14:textId="29CD25F9"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3.5</w:t>
            </w:r>
          </w:p>
        </w:tc>
        <w:tc>
          <w:tcPr>
            <w:tcW w:w="490" w:type="pct"/>
            <w:tcBorders>
              <w:top w:val="nil"/>
              <w:left w:val="nil"/>
              <w:bottom w:val="nil"/>
              <w:right w:val="nil"/>
            </w:tcBorders>
            <w:shd w:val="clear" w:color="000000" w:fill="FFFFFF"/>
            <w:noWrap/>
            <w:vAlign w:val="center"/>
            <w:hideMark/>
          </w:tcPr>
          <w:p w14:paraId="525720F2" w14:textId="4E4FB708"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2.4</w:t>
            </w:r>
          </w:p>
        </w:tc>
        <w:tc>
          <w:tcPr>
            <w:tcW w:w="490" w:type="pct"/>
            <w:tcBorders>
              <w:top w:val="nil"/>
              <w:left w:val="nil"/>
              <w:bottom w:val="nil"/>
              <w:right w:val="nil"/>
            </w:tcBorders>
            <w:shd w:val="clear" w:color="000000" w:fill="FFFFFF"/>
            <w:noWrap/>
            <w:vAlign w:val="center"/>
            <w:hideMark/>
          </w:tcPr>
          <w:p w14:paraId="7397C086" w14:textId="02E0AFC7" w:rsidR="001B7BBF" w:rsidRPr="00131EBC" w:rsidRDefault="00A613BE" w:rsidP="001B7BBF">
            <w:pPr>
              <w:spacing w:after="0" w:line="240" w:lineRule="auto"/>
              <w:jc w:val="right"/>
              <w:rPr>
                <w:rFonts w:ascii="Arial" w:hAnsi="Arial" w:cs="Arial"/>
                <w:sz w:val="16"/>
                <w:szCs w:val="16"/>
                <w:highlight w:val="darkCyan"/>
              </w:rPr>
            </w:pPr>
            <w:r w:rsidRPr="00FD24B8">
              <w:rPr>
                <w:rFonts w:ascii="Arial" w:hAnsi="Arial" w:cs="Arial"/>
                <w:sz w:val="16"/>
                <w:szCs w:val="16"/>
              </w:rPr>
              <w:t>*</w:t>
            </w:r>
          </w:p>
        </w:tc>
        <w:tc>
          <w:tcPr>
            <w:tcW w:w="47" w:type="pct"/>
            <w:tcBorders>
              <w:top w:val="nil"/>
              <w:left w:val="nil"/>
              <w:bottom w:val="nil"/>
              <w:right w:val="nil"/>
            </w:tcBorders>
            <w:shd w:val="clear" w:color="000000" w:fill="FFFFFF"/>
            <w:noWrap/>
            <w:vAlign w:val="center"/>
            <w:hideMark/>
          </w:tcPr>
          <w:p w14:paraId="1FC1C20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73C5470"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39A320FA" w14:textId="77777777" w:rsidTr="001B7BBF">
        <w:trPr>
          <w:trHeight w:hRule="exact" w:val="60"/>
        </w:trPr>
        <w:tc>
          <w:tcPr>
            <w:tcW w:w="2001" w:type="pct"/>
            <w:tcBorders>
              <w:top w:val="nil"/>
              <w:left w:val="nil"/>
              <w:bottom w:val="nil"/>
              <w:right w:val="nil"/>
            </w:tcBorders>
            <w:shd w:val="clear" w:color="000000" w:fill="FFFFFF"/>
            <w:noWrap/>
            <w:vAlign w:val="center"/>
            <w:hideMark/>
          </w:tcPr>
          <w:p w14:paraId="20B46ACF"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4472586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71B6FD2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141B8E4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002EE9A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22C58E2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0FEBE8CF"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684EFF40"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522FCE15"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4234F1C9" w14:textId="67FC36AE"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Changes from 2021</w:t>
            </w:r>
            <w:r w:rsidR="0031144A" w:rsidRPr="00FD24B8">
              <w:rPr>
                <w:rFonts w:ascii="Arial" w:hAnsi="Arial" w:cs="Arial"/>
                <w:b/>
                <w:sz w:val="16"/>
                <w:szCs w:val="16"/>
              </w:rPr>
              <w:noBreakHyphen/>
            </w:r>
            <w:r w:rsidRPr="00FD24B8">
              <w:rPr>
                <w:rFonts w:ascii="Arial" w:hAnsi="Arial" w:cs="Arial"/>
                <w:b/>
                <w:sz w:val="16"/>
                <w:szCs w:val="16"/>
              </w:rPr>
              <w:t xml:space="preserve">22 Budget to </w:t>
            </w:r>
          </w:p>
        </w:tc>
        <w:tc>
          <w:tcPr>
            <w:tcW w:w="490" w:type="pct"/>
            <w:tcBorders>
              <w:top w:val="nil"/>
              <w:left w:val="nil"/>
              <w:bottom w:val="nil"/>
              <w:right w:val="nil"/>
            </w:tcBorders>
            <w:shd w:val="clear" w:color="000000" w:fill="FFFFFF"/>
            <w:noWrap/>
            <w:vAlign w:val="center"/>
            <w:hideMark/>
          </w:tcPr>
          <w:p w14:paraId="042C732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38497AE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75FDA9F0"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1F6D663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42F6C93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1091DAD0"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468407E6"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3A725B31"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0F01D911" w14:textId="67B1A4EE" w:rsidR="001B7BBF" w:rsidRPr="00131EBC" w:rsidRDefault="001B7BBF" w:rsidP="001B7BBF">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2021</w:t>
            </w:r>
            <w:r w:rsidR="0031144A" w:rsidRPr="00FD24B8">
              <w:rPr>
                <w:rFonts w:ascii="Arial" w:hAnsi="Arial" w:cs="Arial"/>
                <w:b/>
                <w:sz w:val="16"/>
                <w:szCs w:val="16"/>
              </w:rPr>
              <w:noBreakHyphen/>
            </w:r>
            <w:r w:rsidRPr="00FD24B8">
              <w:rPr>
                <w:rFonts w:ascii="Arial" w:hAnsi="Arial" w:cs="Arial"/>
                <w:b/>
                <w:sz w:val="16"/>
                <w:szCs w:val="16"/>
              </w:rPr>
              <w:t>22 MYEFO</w:t>
            </w:r>
          </w:p>
        </w:tc>
        <w:tc>
          <w:tcPr>
            <w:tcW w:w="490" w:type="pct"/>
            <w:tcBorders>
              <w:top w:val="nil"/>
              <w:left w:val="nil"/>
              <w:bottom w:val="nil"/>
              <w:right w:val="nil"/>
            </w:tcBorders>
            <w:shd w:val="clear" w:color="000000" w:fill="FFFFFF"/>
            <w:noWrap/>
            <w:vAlign w:val="center"/>
            <w:hideMark/>
          </w:tcPr>
          <w:p w14:paraId="54F1280F"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429A9AD8"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403330A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06DF3F6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3D8F409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3BAE686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2CE7248F"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495D52E9"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50212717" w14:textId="59A3F25D"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Effect of policy decisions(</w:t>
            </w:r>
            <w:r w:rsidR="001607CB" w:rsidRPr="00FD24B8">
              <w:rPr>
                <w:rFonts w:ascii="Arial" w:hAnsi="Arial" w:cs="Arial"/>
                <w:sz w:val="16"/>
                <w:szCs w:val="16"/>
              </w:rPr>
              <w:t>b</w:t>
            </w:r>
            <w:r w:rsidRPr="00FD24B8">
              <w:rPr>
                <w:rFonts w:ascii="Arial" w:hAnsi="Arial" w:cs="Arial"/>
                <w:sz w:val="16"/>
                <w:szCs w:val="16"/>
              </w:rPr>
              <w:t>)</w:t>
            </w:r>
          </w:p>
        </w:tc>
        <w:tc>
          <w:tcPr>
            <w:tcW w:w="490" w:type="pct"/>
            <w:tcBorders>
              <w:top w:val="nil"/>
              <w:left w:val="nil"/>
              <w:bottom w:val="nil"/>
              <w:right w:val="nil"/>
            </w:tcBorders>
            <w:shd w:val="clear" w:color="000000" w:fill="FFFFFF"/>
            <w:noWrap/>
            <w:vAlign w:val="center"/>
            <w:hideMark/>
          </w:tcPr>
          <w:p w14:paraId="22E5715A" w14:textId="1C766CCB"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30,702</w:t>
            </w:r>
          </w:p>
        </w:tc>
        <w:tc>
          <w:tcPr>
            <w:tcW w:w="490" w:type="pct"/>
            <w:tcBorders>
              <w:top w:val="nil"/>
              <w:left w:val="nil"/>
              <w:bottom w:val="nil"/>
              <w:right w:val="nil"/>
            </w:tcBorders>
            <w:shd w:val="clear" w:color="000000" w:fill="F2F9FC"/>
            <w:noWrap/>
            <w:vAlign w:val="center"/>
            <w:hideMark/>
          </w:tcPr>
          <w:p w14:paraId="573A54EC" w14:textId="3CC277DA"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6,428</w:t>
            </w:r>
          </w:p>
        </w:tc>
        <w:tc>
          <w:tcPr>
            <w:tcW w:w="490" w:type="pct"/>
            <w:tcBorders>
              <w:top w:val="nil"/>
              <w:left w:val="nil"/>
              <w:bottom w:val="nil"/>
              <w:right w:val="nil"/>
            </w:tcBorders>
            <w:shd w:val="clear" w:color="000000" w:fill="FFFFFF"/>
            <w:noWrap/>
            <w:vAlign w:val="center"/>
            <w:hideMark/>
          </w:tcPr>
          <w:p w14:paraId="73D8C9A8" w14:textId="4A89DA55"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4,114</w:t>
            </w:r>
          </w:p>
        </w:tc>
        <w:tc>
          <w:tcPr>
            <w:tcW w:w="490" w:type="pct"/>
            <w:tcBorders>
              <w:top w:val="nil"/>
              <w:left w:val="nil"/>
              <w:bottom w:val="nil"/>
              <w:right w:val="nil"/>
            </w:tcBorders>
            <w:shd w:val="clear" w:color="000000" w:fill="FFFFFF"/>
            <w:noWrap/>
            <w:vAlign w:val="center"/>
            <w:hideMark/>
          </w:tcPr>
          <w:p w14:paraId="5EBD2FC2" w14:textId="3095BBA6"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3,556</w:t>
            </w:r>
          </w:p>
        </w:tc>
        <w:tc>
          <w:tcPr>
            <w:tcW w:w="490" w:type="pct"/>
            <w:tcBorders>
              <w:top w:val="nil"/>
              <w:left w:val="nil"/>
              <w:bottom w:val="nil"/>
              <w:right w:val="nil"/>
            </w:tcBorders>
            <w:shd w:val="clear" w:color="000000" w:fill="FFFFFF"/>
            <w:noWrap/>
            <w:vAlign w:val="center"/>
            <w:hideMark/>
          </w:tcPr>
          <w:p w14:paraId="1ADE1DE4"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w:t>
            </w:r>
          </w:p>
        </w:tc>
        <w:tc>
          <w:tcPr>
            <w:tcW w:w="47" w:type="pct"/>
            <w:tcBorders>
              <w:top w:val="nil"/>
              <w:left w:val="nil"/>
              <w:bottom w:val="nil"/>
              <w:right w:val="nil"/>
            </w:tcBorders>
            <w:shd w:val="clear" w:color="000000" w:fill="FFFFFF"/>
            <w:noWrap/>
            <w:vAlign w:val="center"/>
            <w:hideMark/>
          </w:tcPr>
          <w:p w14:paraId="562D635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264893DD" w14:textId="77777777" w:rsidR="001B7BBF" w:rsidRPr="00FD24B8" w:rsidRDefault="001B7BBF" w:rsidP="001B7BBF">
            <w:pPr>
              <w:spacing w:after="0" w:line="240" w:lineRule="auto"/>
              <w:jc w:val="right"/>
              <w:rPr>
                <w:rFonts w:ascii="Arial" w:hAnsi="Arial" w:cs="Arial"/>
                <w:sz w:val="16"/>
                <w:szCs w:val="16"/>
              </w:rPr>
            </w:pPr>
            <w:r w:rsidRPr="00FD24B8">
              <w:rPr>
                <w:rFonts w:ascii="Arial" w:hAnsi="Arial" w:cs="Arial"/>
                <w:sz w:val="16"/>
                <w:szCs w:val="16"/>
              </w:rPr>
              <w:t>*</w:t>
            </w:r>
          </w:p>
        </w:tc>
      </w:tr>
      <w:tr w:rsidR="00B31B91" w:rsidRPr="00131EBC" w14:paraId="2A9D95CF"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1C429561"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Effect of parameter and other variations</w:t>
            </w:r>
          </w:p>
        </w:tc>
        <w:tc>
          <w:tcPr>
            <w:tcW w:w="490" w:type="pct"/>
            <w:tcBorders>
              <w:top w:val="nil"/>
              <w:left w:val="nil"/>
              <w:bottom w:val="single" w:sz="4" w:space="0" w:color="000000"/>
              <w:right w:val="nil"/>
            </w:tcBorders>
            <w:shd w:val="clear" w:color="000000" w:fill="FFFFFF"/>
            <w:noWrap/>
            <w:vAlign w:val="center"/>
            <w:hideMark/>
          </w:tcPr>
          <w:p w14:paraId="416970D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38,075</w:t>
            </w:r>
          </w:p>
        </w:tc>
        <w:tc>
          <w:tcPr>
            <w:tcW w:w="490" w:type="pct"/>
            <w:tcBorders>
              <w:top w:val="nil"/>
              <w:left w:val="nil"/>
              <w:bottom w:val="single" w:sz="4" w:space="0" w:color="000000"/>
              <w:right w:val="nil"/>
            </w:tcBorders>
            <w:shd w:val="clear" w:color="000000" w:fill="F2F9FC"/>
            <w:noWrap/>
            <w:vAlign w:val="center"/>
            <w:hideMark/>
          </w:tcPr>
          <w:p w14:paraId="051A062E"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6,835</w:t>
            </w:r>
          </w:p>
        </w:tc>
        <w:tc>
          <w:tcPr>
            <w:tcW w:w="490" w:type="pct"/>
            <w:tcBorders>
              <w:top w:val="nil"/>
              <w:left w:val="nil"/>
              <w:bottom w:val="single" w:sz="4" w:space="0" w:color="000000"/>
              <w:right w:val="nil"/>
            </w:tcBorders>
            <w:shd w:val="clear" w:color="000000" w:fill="FFFFFF"/>
            <w:noWrap/>
            <w:vAlign w:val="center"/>
            <w:hideMark/>
          </w:tcPr>
          <w:p w14:paraId="526BB6AD" w14:textId="44753F78"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840</w:t>
            </w:r>
          </w:p>
        </w:tc>
        <w:tc>
          <w:tcPr>
            <w:tcW w:w="490" w:type="pct"/>
            <w:tcBorders>
              <w:top w:val="nil"/>
              <w:left w:val="nil"/>
              <w:bottom w:val="single" w:sz="4" w:space="0" w:color="000000"/>
              <w:right w:val="nil"/>
            </w:tcBorders>
            <w:shd w:val="clear" w:color="000000" w:fill="FFFFFF"/>
            <w:noWrap/>
            <w:vAlign w:val="center"/>
            <w:hideMark/>
          </w:tcPr>
          <w:p w14:paraId="094BEBE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3,053</w:t>
            </w:r>
          </w:p>
        </w:tc>
        <w:tc>
          <w:tcPr>
            <w:tcW w:w="490" w:type="pct"/>
            <w:tcBorders>
              <w:top w:val="nil"/>
              <w:left w:val="nil"/>
              <w:bottom w:val="single" w:sz="4" w:space="0" w:color="000000"/>
              <w:right w:val="nil"/>
            </w:tcBorders>
            <w:shd w:val="clear" w:color="000000" w:fill="FFFFFF"/>
            <w:noWrap/>
            <w:vAlign w:val="center"/>
            <w:hideMark/>
          </w:tcPr>
          <w:p w14:paraId="40A4F93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w:t>
            </w:r>
          </w:p>
        </w:tc>
        <w:tc>
          <w:tcPr>
            <w:tcW w:w="47" w:type="pct"/>
            <w:tcBorders>
              <w:top w:val="nil"/>
              <w:left w:val="nil"/>
              <w:bottom w:val="nil"/>
              <w:right w:val="nil"/>
            </w:tcBorders>
            <w:shd w:val="clear" w:color="000000" w:fill="FFFFFF"/>
            <w:noWrap/>
            <w:vAlign w:val="center"/>
            <w:hideMark/>
          </w:tcPr>
          <w:p w14:paraId="13F8C09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49004681" w14:textId="77777777" w:rsidR="001B7BBF" w:rsidRPr="00FD24B8" w:rsidRDefault="001B7BBF" w:rsidP="001B7BBF">
            <w:pPr>
              <w:spacing w:after="0" w:line="240" w:lineRule="auto"/>
              <w:jc w:val="right"/>
              <w:rPr>
                <w:rFonts w:ascii="Arial" w:hAnsi="Arial" w:cs="Arial"/>
                <w:sz w:val="16"/>
                <w:szCs w:val="16"/>
              </w:rPr>
            </w:pPr>
            <w:r w:rsidRPr="00FD24B8">
              <w:rPr>
                <w:rFonts w:ascii="Arial" w:hAnsi="Arial" w:cs="Arial"/>
                <w:sz w:val="16"/>
                <w:szCs w:val="16"/>
              </w:rPr>
              <w:t>*</w:t>
            </w:r>
          </w:p>
        </w:tc>
      </w:tr>
      <w:tr w:rsidR="00B31B91" w:rsidRPr="00131EBC" w14:paraId="495DFFA1"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7A8902F5" w14:textId="37E7B153"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Total variations</w:t>
            </w:r>
          </w:p>
        </w:tc>
        <w:tc>
          <w:tcPr>
            <w:tcW w:w="490" w:type="pct"/>
            <w:tcBorders>
              <w:top w:val="nil"/>
              <w:left w:val="nil"/>
              <w:bottom w:val="single" w:sz="4" w:space="0" w:color="000000"/>
              <w:right w:val="nil"/>
            </w:tcBorders>
            <w:shd w:val="clear" w:color="000000" w:fill="FFFFFF"/>
            <w:noWrap/>
            <w:vAlign w:val="center"/>
            <w:hideMark/>
          </w:tcPr>
          <w:p w14:paraId="75436C42"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7,372</w:t>
            </w:r>
          </w:p>
        </w:tc>
        <w:tc>
          <w:tcPr>
            <w:tcW w:w="490" w:type="pct"/>
            <w:tcBorders>
              <w:top w:val="nil"/>
              <w:left w:val="nil"/>
              <w:bottom w:val="single" w:sz="4" w:space="0" w:color="000000"/>
              <w:right w:val="nil"/>
            </w:tcBorders>
            <w:shd w:val="clear" w:color="000000" w:fill="F2F9FC"/>
            <w:noWrap/>
            <w:vAlign w:val="center"/>
            <w:hideMark/>
          </w:tcPr>
          <w:p w14:paraId="369D1889"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408</w:t>
            </w:r>
          </w:p>
        </w:tc>
        <w:tc>
          <w:tcPr>
            <w:tcW w:w="490" w:type="pct"/>
            <w:tcBorders>
              <w:top w:val="nil"/>
              <w:left w:val="nil"/>
              <w:bottom w:val="single" w:sz="4" w:space="0" w:color="000000"/>
              <w:right w:val="nil"/>
            </w:tcBorders>
            <w:shd w:val="clear" w:color="000000" w:fill="FFFFFF"/>
            <w:noWrap/>
            <w:vAlign w:val="center"/>
            <w:hideMark/>
          </w:tcPr>
          <w:p w14:paraId="43C323A6" w14:textId="5BA8332A"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4,954</w:t>
            </w:r>
          </w:p>
        </w:tc>
        <w:tc>
          <w:tcPr>
            <w:tcW w:w="490" w:type="pct"/>
            <w:tcBorders>
              <w:top w:val="nil"/>
              <w:left w:val="nil"/>
              <w:bottom w:val="single" w:sz="4" w:space="0" w:color="000000"/>
              <w:right w:val="nil"/>
            </w:tcBorders>
            <w:shd w:val="clear" w:color="000000" w:fill="FFFFFF"/>
            <w:noWrap/>
            <w:vAlign w:val="center"/>
            <w:hideMark/>
          </w:tcPr>
          <w:p w14:paraId="303B7604" w14:textId="7C50B4B2"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502</w:t>
            </w:r>
          </w:p>
        </w:tc>
        <w:tc>
          <w:tcPr>
            <w:tcW w:w="490" w:type="pct"/>
            <w:tcBorders>
              <w:top w:val="nil"/>
              <w:left w:val="nil"/>
              <w:bottom w:val="single" w:sz="4" w:space="0" w:color="000000"/>
              <w:right w:val="nil"/>
            </w:tcBorders>
            <w:shd w:val="clear" w:color="000000" w:fill="FFFFFF"/>
            <w:noWrap/>
            <w:vAlign w:val="center"/>
            <w:hideMark/>
          </w:tcPr>
          <w:p w14:paraId="742B41B4" w14:textId="0151D1B8" w:rsidR="001B7BBF" w:rsidRPr="00131EBC" w:rsidRDefault="00A613BE"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w:t>
            </w:r>
          </w:p>
        </w:tc>
        <w:tc>
          <w:tcPr>
            <w:tcW w:w="47" w:type="pct"/>
            <w:tcBorders>
              <w:top w:val="nil"/>
              <w:left w:val="nil"/>
              <w:bottom w:val="nil"/>
              <w:right w:val="nil"/>
            </w:tcBorders>
            <w:shd w:val="clear" w:color="000000" w:fill="FFFFFF"/>
            <w:noWrap/>
            <w:vAlign w:val="center"/>
            <w:hideMark/>
          </w:tcPr>
          <w:p w14:paraId="3A8496D2"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03" w:type="pct"/>
            <w:tcBorders>
              <w:top w:val="single" w:sz="4" w:space="0" w:color="auto"/>
              <w:left w:val="nil"/>
              <w:bottom w:val="single" w:sz="4" w:space="0" w:color="auto"/>
              <w:right w:val="nil"/>
            </w:tcBorders>
            <w:shd w:val="clear" w:color="000000" w:fill="FFFFFF"/>
            <w:noWrap/>
            <w:vAlign w:val="center"/>
            <w:hideMark/>
          </w:tcPr>
          <w:p w14:paraId="0B9AB6A8" w14:textId="78BB3D77" w:rsidR="001B7BBF" w:rsidRPr="00FD24B8" w:rsidRDefault="00E050FE" w:rsidP="001B7BBF">
            <w:pPr>
              <w:spacing w:after="0" w:line="240" w:lineRule="auto"/>
              <w:jc w:val="right"/>
              <w:rPr>
                <w:rFonts w:ascii="Arial" w:hAnsi="Arial" w:cs="Arial"/>
                <w:b/>
                <w:sz w:val="16"/>
                <w:szCs w:val="16"/>
              </w:rPr>
            </w:pPr>
            <w:r w:rsidRPr="00FD24B8">
              <w:rPr>
                <w:rFonts w:ascii="Arial" w:hAnsi="Arial" w:cs="Arial"/>
                <w:b/>
                <w:sz w:val="16"/>
                <w:szCs w:val="16"/>
              </w:rPr>
              <w:t>*</w:t>
            </w:r>
          </w:p>
        </w:tc>
      </w:tr>
      <w:tr w:rsidR="00B31B91" w:rsidRPr="00131EBC" w14:paraId="3064157D" w14:textId="77777777" w:rsidTr="001B7BBF">
        <w:trPr>
          <w:trHeight w:hRule="exact" w:val="60"/>
        </w:trPr>
        <w:tc>
          <w:tcPr>
            <w:tcW w:w="2001" w:type="pct"/>
            <w:tcBorders>
              <w:top w:val="nil"/>
              <w:left w:val="nil"/>
              <w:bottom w:val="nil"/>
              <w:right w:val="nil"/>
            </w:tcBorders>
            <w:shd w:val="clear" w:color="000000" w:fill="FFFFFF"/>
            <w:noWrap/>
            <w:vAlign w:val="center"/>
            <w:hideMark/>
          </w:tcPr>
          <w:p w14:paraId="3624B0F6" w14:textId="77777777"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FFFFF"/>
            <w:noWrap/>
            <w:vAlign w:val="center"/>
            <w:hideMark/>
          </w:tcPr>
          <w:p w14:paraId="38A58F4E"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4277772E"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FFFFF"/>
            <w:noWrap/>
            <w:vAlign w:val="center"/>
            <w:hideMark/>
          </w:tcPr>
          <w:p w14:paraId="7C24035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0CA1F6F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3C8BC55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591E2DC9"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75CF650A"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3C127F3D"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0A9922C5" w14:textId="586C65E0"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2021</w:t>
            </w:r>
            <w:r w:rsidR="0031144A" w:rsidRPr="00FD24B8">
              <w:rPr>
                <w:rFonts w:ascii="Arial" w:hAnsi="Arial" w:cs="Arial"/>
                <w:b/>
                <w:sz w:val="16"/>
                <w:szCs w:val="16"/>
              </w:rPr>
              <w:noBreakHyphen/>
            </w:r>
            <w:r w:rsidRPr="00FD24B8">
              <w:rPr>
                <w:rFonts w:ascii="Arial" w:hAnsi="Arial" w:cs="Arial"/>
                <w:b/>
                <w:sz w:val="16"/>
                <w:szCs w:val="16"/>
              </w:rPr>
              <w:t>22 MYEFO underlying cash</w:t>
            </w:r>
          </w:p>
        </w:tc>
        <w:tc>
          <w:tcPr>
            <w:tcW w:w="490" w:type="pct"/>
            <w:tcBorders>
              <w:top w:val="nil"/>
              <w:left w:val="nil"/>
              <w:bottom w:val="nil"/>
              <w:right w:val="nil"/>
            </w:tcBorders>
            <w:shd w:val="clear" w:color="000000" w:fill="FFFFFF"/>
            <w:noWrap/>
            <w:vAlign w:val="center"/>
            <w:hideMark/>
          </w:tcPr>
          <w:p w14:paraId="2FD7A88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7F69D98C"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FFFFF"/>
            <w:noWrap/>
            <w:vAlign w:val="center"/>
            <w:hideMark/>
          </w:tcPr>
          <w:p w14:paraId="1ACBD62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18E29D03"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48AE3A94"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5F0A2C56"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2453C0A7"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1A634126"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2CA82652" w14:textId="4E8A9BDC" w:rsidR="001B7BBF" w:rsidRPr="00131EBC" w:rsidRDefault="001B7BBF" w:rsidP="001B7BBF">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balance(</w:t>
            </w:r>
            <w:r w:rsidR="00C315A8" w:rsidRPr="00FD24B8">
              <w:rPr>
                <w:rFonts w:ascii="Arial" w:hAnsi="Arial" w:cs="Arial"/>
                <w:b/>
                <w:sz w:val="16"/>
                <w:szCs w:val="16"/>
              </w:rPr>
              <w:t>c</w:t>
            </w:r>
            <w:r w:rsidRPr="00FD24B8">
              <w:rPr>
                <w:rFonts w:ascii="Arial" w:hAnsi="Arial" w:cs="Arial"/>
                <w:b/>
                <w:sz w:val="16"/>
                <w:szCs w:val="16"/>
              </w:rPr>
              <w:t>)</w:t>
            </w:r>
          </w:p>
        </w:tc>
        <w:tc>
          <w:tcPr>
            <w:tcW w:w="490" w:type="pct"/>
            <w:tcBorders>
              <w:top w:val="nil"/>
              <w:left w:val="nil"/>
              <w:bottom w:val="nil"/>
              <w:right w:val="nil"/>
            </w:tcBorders>
            <w:shd w:val="clear" w:color="000000" w:fill="FFFFFF"/>
            <w:noWrap/>
            <w:vAlign w:val="center"/>
            <w:hideMark/>
          </w:tcPr>
          <w:p w14:paraId="49D2E57D" w14:textId="31C1AAA4"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99,247</w:t>
            </w:r>
          </w:p>
        </w:tc>
        <w:tc>
          <w:tcPr>
            <w:tcW w:w="490" w:type="pct"/>
            <w:tcBorders>
              <w:top w:val="nil"/>
              <w:left w:val="nil"/>
              <w:bottom w:val="nil"/>
              <w:right w:val="nil"/>
            </w:tcBorders>
            <w:shd w:val="clear" w:color="000000" w:fill="F2F9FC"/>
            <w:noWrap/>
            <w:vAlign w:val="center"/>
            <w:hideMark/>
          </w:tcPr>
          <w:p w14:paraId="3ABAD41D" w14:textId="63497D85"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98,859</w:t>
            </w:r>
          </w:p>
        </w:tc>
        <w:tc>
          <w:tcPr>
            <w:tcW w:w="490" w:type="pct"/>
            <w:tcBorders>
              <w:top w:val="nil"/>
              <w:left w:val="nil"/>
              <w:bottom w:val="nil"/>
              <w:right w:val="nil"/>
            </w:tcBorders>
            <w:shd w:val="clear" w:color="000000" w:fill="FFFFFF"/>
            <w:noWrap/>
            <w:vAlign w:val="center"/>
            <w:hideMark/>
          </w:tcPr>
          <w:p w14:paraId="2C681F00" w14:textId="51816555"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84,468</w:t>
            </w:r>
          </w:p>
        </w:tc>
        <w:tc>
          <w:tcPr>
            <w:tcW w:w="490" w:type="pct"/>
            <w:tcBorders>
              <w:top w:val="nil"/>
              <w:left w:val="nil"/>
              <w:bottom w:val="nil"/>
              <w:right w:val="nil"/>
            </w:tcBorders>
            <w:shd w:val="clear" w:color="000000" w:fill="FFFFFF"/>
            <w:noWrap/>
            <w:vAlign w:val="center"/>
            <w:hideMark/>
          </w:tcPr>
          <w:p w14:paraId="3179FAE6" w14:textId="2439C8FA"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57,469</w:t>
            </w:r>
          </w:p>
        </w:tc>
        <w:tc>
          <w:tcPr>
            <w:tcW w:w="490" w:type="pct"/>
            <w:tcBorders>
              <w:top w:val="nil"/>
              <w:left w:val="nil"/>
              <w:bottom w:val="nil"/>
              <w:right w:val="nil"/>
            </w:tcBorders>
            <w:shd w:val="clear" w:color="000000" w:fill="FFFFFF"/>
            <w:noWrap/>
            <w:vAlign w:val="center"/>
            <w:hideMark/>
          </w:tcPr>
          <w:p w14:paraId="2F9B105D" w14:textId="4630BE9E"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68,069</w:t>
            </w:r>
          </w:p>
        </w:tc>
        <w:tc>
          <w:tcPr>
            <w:tcW w:w="47" w:type="pct"/>
            <w:tcBorders>
              <w:top w:val="nil"/>
              <w:left w:val="nil"/>
              <w:bottom w:val="nil"/>
              <w:right w:val="nil"/>
            </w:tcBorders>
            <w:shd w:val="clear" w:color="000000" w:fill="FFFFFF"/>
            <w:noWrap/>
            <w:vAlign w:val="center"/>
            <w:hideMark/>
          </w:tcPr>
          <w:p w14:paraId="6ACF8C36"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03" w:type="pct"/>
            <w:tcBorders>
              <w:top w:val="nil"/>
              <w:left w:val="nil"/>
              <w:bottom w:val="nil"/>
              <w:right w:val="nil"/>
            </w:tcBorders>
            <w:shd w:val="clear" w:color="000000" w:fill="FFFFFF"/>
            <w:noWrap/>
            <w:vAlign w:val="center"/>
            <w:hideMark/>
          </w:tcPr>
          <w:p w14:paraId="3742D7F2" w14:textId="3F885C78" w:rsidR="001B7BBF" w:rsidRPr="00FD24B8" w:rsidRDefault="0031144A" w:rsidP="001B7BBF">
            <w:pPr>
              <w:spacing w:after="0" w:line="240" w:lineRule="auto"/>
              <w:jc w:val="right"/>
              <w:rPr>
                <w:rFonts w:ascii="Arial" w:hAnsi="Arial" w:cs="Arial"/>
                <w:b/>
                <w:sz w:val="16"/>
                <w:szCs w:val="16"/>
              </w:rPr>
            </w:pPr>
            <w:r w:rsidRPr="00FD24B8">
              <w:rPr>
                <w:rFonts w:ascii="Arial" w:hAnsi="Arial" w:cs="Arial"/>
                <w:b/>
                <w:sz w:val="16"/>
                <w:szCs w:val="16"/>
              </w:rPr>
              <w:noBreakHyphen/>
            </w:r>
            <w:r w:rsidR="001B7BBF" w:rsidRPr="00FD24B8">
              <w:rPr>
                <w:rFonts w:ascii="Arial" w:hAnsi="Arial" w:cs="Arial"/>
                <w:b/>
                <w:sz w:val="16"/>
                <w:szCs w:val="16"/>
              </w:rPr>
              <w:t xml:space="preserve">308,864 </w:t>
            </w:r>
          </w:p>
        </w:tc>
      </w:tr>
      <w:tr w:rsidR="00B31B91" w:rsidRPr="00131EBC" w14:paraId="1F8CEF52"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6CC7074C"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90" w:type="pct"/>
            <w:tcBorders>
              <w:top w:val="nil"/>
              <w:left w:val="nil"/>
              <w:bottom w:val="nil"/>
              <w:right w:val="nil"/>
            </w:tcBorders>
            <w:shd w:val="clear" w:color="000000" w:fill="FFFFFF"/>
            <w:noWrap/>
            <w:vAlign w:val="center"/>
            <w:hideMark/>
          </w:tcPr>
          <w:p w14:paraId="2A6FED2A" w14:textId="39642296"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4.5</w:t>
            </w:r>
          </w:p>
        </w:tc>
        <w:tc>
          <w:tcPr>
            <w:tcW w:w="490" w:type="pct"/>
            <w:tcBorders>
              <w:top w:val="nil"/>
              <w:left w:val="nil"/>
              <w:bottom w:val="nil"/>
              <w:right w:val="nil"/>
            </w:tcBorders>
            <w:shd w:val="clear" w:color="000000" w:fill="F2F9FC"/>
            <w:noWrap/>
            <w:vAlign w:val="center"/>
            <w:hideMark/>
          </w:tcPr>
          <w:p w14:paraId="22EA3628" w14:textId="0DD55EF0"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4.4</w:t>
            </w:r>
          </w:p>
        </w:tc>
        <w:tc>
          <w:tcPr>
            <w:tcW w:w="490" w:type="pct"/>
            <w:tcBorders>
              <w:top w:val="nil"/>
              <w:left w:val="nil"/>
              <w:bottom w:val="nil"/>
              <w:right w:val="nil"/>
            </w:tcBorders>
            <w:shd w:val="clear" w:color="000000" w:fill="FFFFFF"/>
            <w:noWrap/>
            <w:vAlign w:val="center"/>
            <w:hideMark/>
          </w:tcPr>
          <w:p w14:paraId="0E2C6477" w14:textId="396D21E6"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3.6</w:t>
            </w:r>
          </w:p>
        </w:tc>
        <w:tc>
          <w:tcPr>
            <w:tcW w:w="490" w:type="pct"/>
            <w:tcBorders>
              <w:top w:val="nil"/>
              <w:left w:val="nil"/>
              <w:bottom w:val="nil"/>
              <w:right w:val="nil"/>
            </w:tcBorders>
            <w:shd w:val="clear" w:color="000000" w:fill="FFFFFF"/>
            <w:noWrap/>
            <w:vAlign w:val="center"/>
            <w:hideMark/>
          </w:tcPr>
          <w:p w14:paraId="5816EB17" w14:textId="44AF74C8"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2.3</w:t>
            </w:r>
          </w:p>
        </w:tc>
        <w:tc>
          <w:tcPr>
            <w:tcW w:w="490" w:type="pct"/>
            <w:tcBorders>
              <w:top w:val="nil"/>
              <w:left w:val="nil"/>
              <w:bottom w:val="nil"/>
              <w:right w:val="nil"/>
            </w:tcBorders>
            <w:shd w:val="clear" w:color="000000" w:fill="FFFFFF"/>
            <w:noWrap/>
            <w:vAlign w:val="center"/>
            <w:hideMark/>
          </w:tcPr>
          <w:p w14:paraId="0245C499" w14:textId="5887E910"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2.7</w:t>
            </w:r>
          </w:p>
        </w:tc>
        <w:tc>
          <w:tcPr>
            <w:tcW w:w="47" w:type="pct"/>
            <w:tcBorders>
              <w:top w:val="nil"/>
              <w:left w:val="nil"/>
              <w:bottom w:val="nil"/>
              <w:right w:val="nil"/>
            </w:tcBorders>
            <w:shd w:val="clear" w:color="000000" w:fill="FFFFFF"/>
            <w:noWrap/>
            <w:vAlign w:val="center"/>
            <w:hideMark/>
          </w:tcPr>
          <w:p w14:paraId="4993E2FF"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49781A12"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78A3E6AE" w14:textId="77777777" w:rsidTr="001B7BBF">
        <w:trPr>
          <w:trHeight w:hRule="exact" w:val="60"/>
        </w:trPr>
        <w:tc>
          <w:tcPr>
            <w:tcW w:w="2001" w:type="pct"/>
            <w:tcBorders>
              <w:top w:val="nil"/>
              <w:left w:val="nil"/>
              <w:bottom w:val="nil"/>
              <w:right w:val="nil"/>
            </w:tcBorders>
            <w:shd w:val="clear" w:color="000000" w:fill="FFFFFF"/>
            <w:noWrap/>
            <w:vAlign w:val="center"/>
            <w:hideMark/>
          </w:tcPr>
          <w:p w14:paraId="7CC5DAE7"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4D6BC003"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39B202B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7D1FE9B8"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4C56289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2060D0C0"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3D3514B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86793F5"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49105D33" w14:textId="77777777" w:rsidTr="001B7BBF">
        <w:trPr>
          <w:trHeight w:hRule="exact" w:val="60"/>
        </w:trPr>
        <w:tc>
          <w:tcPr>
            <w:tcW w:w="2001" w:type="pct"/>
            <w:tcBorders>
              <w:top w:val="nil"/>
              <w:left w:val="nil"/>
              <w:bottom w:val="nil"/>
              <w:right w:val="nil"/>
            </w:tcBorders>
            <w:shd w:val="clear" w:color="000000" w:fill="FFFFFF"/>
            <w:noWrap/>
            <w:vAlign w:val="center"/>
            <w:hideMark/>
          </w:tcPr>
          <w:p w14:paraId="42D5A8C2"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19B7E49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3EC8F44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3E4F506F"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03CD7E9B"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7D7EB056"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003FBDA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285B13B9"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6F42E2AF"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13D45036" w14:textId="6808FB32"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Changes from 2021</w:t>
            </w:r>
            <w:r w:rsidR="0031144A" w:rsidRPr="00FD24B8">
              <w:rPr>
                <w:rFonts w:ascii="Arial" w:hAnsi="Arial" w:cs="Arial"/>
                <w:b/>
                <w:sz w:val="16"/>
                <w:szCs w:val="16"/>
              </w:rPr>
              <w:noBreakHyphen/>
            </w:r>
            <w:r w:rsidRPr="00FD24B8">
              <w:rPr>
                <w:rFonts w:ascii="Arial" w:hAnsi="Arial" w:cs="Arial"/>
                <w:b/>
                <w:sz w:val="16"/>
                <w:szCs w:val="16"/>
              </w:rPr>
              <w:t>22 MYEFO to</w:t>
            </w:r>
          </w:p>
        </w:tc>
        <w:tc>
          <w:tcPr>
            <w:tcW w:w="490" w:type="pct"/>
            <w:tcBorders>
              <w:top w:val="nil"/>
              <w:left w:val="nil"/>
              <w:bottom w:val="nil"/>
              <w:right w:val="nil"/>
            </w:tcBorders>
            <w:shd w:val="clear" w:color="000000" w:fill="FFFFFF"/>
            <w:noWrap/>
            <w:vAlign w:val="center"/>
            <w:hideMark/>
          </w:tcPr>
          <w:p w14:paraId="5315E38F"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09C7CAC8"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50BB085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323CA9F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5C51E5F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4CF0F2A7"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5299BF0B"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71854E5E"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73FF3DAB" w14:textId="0CD9F7A8" w:rsidR="001B7BBF" w:rsidRPr="00131EBC" w:rsidRDefault="001B7BBF" w:rsidP="001B7BBF">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2022</w:t>
            </w:r>
            <w:r w:rsidR="0031144A" w:rsidRPr="00FD24B8">
              <w:rPr>
                <w:rFonts w:ascii="Arial" w:hAnsi="Arial" w:cs="Arial"/>
                <w:b/>
                <w:sz w:val="16"/>
                <w:szCs w:val="16"/>
              </w:rPr>
              <w:noBreakHyphen/>
            </w:r>
            <w:r w:rsidRPr="00FD24B8">
              <w:rPr>
                <w:rFonts w:ascii="Arial" w:hAnsi="Arial" w:cs="Arial"/>
                <w:b/>
                <w:sz w:val="16"/>
                <w:szCs w:val="16"/>
              </w:rPr>
              <w:t>23 Budget</w:t>
            </w:r>
          </w:p>
        </w:tc>
        <w:tc>
          <w:tcPr>
            <w:tcW w:w="490" w:type="pct"/>
            <w:tcBorders>
              <w:top w:val="nil"/>
              <w:left w:val="nil"/>
              <w:bottom w:val="nil"/>
              <w:right w:val="nil"/>
            </w:tcBorders>
            <w:shd w:val="clear" w:color="000000" w:fill="FFFFFF"/>
            <w:noWrap/>
            <w:vAlign w:val="center"/>
            <w:hideMark/>
          </w:tcPr>
          <w:p w14:paraId="21EDD11E" w14:textId="77777777"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2F9FC"/>
            <w:noWrap/>
            <w:vAlign w:val="center"/>
            <w:hideMark/>
          </w:tcPr>
          <w:p w14:paraId="3B7C3973"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FFFFF"/>
            <w:noWrap/>
            <w:vAlign w:val="center"/>
            <w:hideMark/>
          </w:tcPr>
          <w:p w14:paraId="27B4CA8B" w14:textId="77777777"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FFFFF"/>
            <w:noWrap/>
            <w:vAlign w:val="center"/>
            <w:hideMark/>
          </w:tcPr>
          <w:p w14:paraId="5DCB0133" w14:textId="77777777"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FFFFF"/>
            <w:noWrap/>
            <w:vAlign w:val="center"/>
            <w:hideMark/>
          </w:tcPr>
          <w:p w14:paraId="4FF9DF0A" w14:textId="77777777"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47" w:type="pct"/>
            <w:tcBorders>
              <w:top w:val="nil"/>
              <w:left w:val="nil"/>
              <w:bottom w:val="nil"/>
              <w:right w:val="nil"/>
            </w:tcBorders>
            <w:shd w:val="clear" w:color="000000" w:fill="FFFFFF"/>
            <w:noWrap/>
            <w:vAlign w:val="center"/>
            <w:hideMark/>
          </w:tcPr>
          <w:p w14:paraId="3FEE507C" w14:textId="77777777"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03" w:type="pct"/>
            <w:tcBorders>
              <w:top w:val="nil"/>
              <w:left w:val="nil"/>
              <w:bottom w:val="nil"/>
              <w:right w:val="nil"/>
            </w:tcBorders>
            <w:shd w:val="clear" w:color="000000" w:fill="FFFFFF"/>
            <w:noWrap/>
            <w:vAlign w:val="center"/>
            <w:hideMark/>
          </w:tcPr>
          <w:p w14:paraId="34927452"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064BA073"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221C7186" w14:textId="6F818332"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Effect of policy decisions(</w:t>
            </w:r>
            <w:r w:rsidR="001607CB" w:rsidRPr="00FD24B8">
              <w:rPr>
                <w:rFonts w:ascii="Arial" w:hAnsi="Arial" w:cs="Arial"/>
                <w:sz w:val="16"/>
                <w:szCs w:val="16"/>
              </w:rPr>
              <w:t>b</w:t>
            </w:r>
            <w:r w:rsidRPr="00FD24B8">
              <w:rPr>
                <w:rFonts w:ascii="Arial" w:hAnsi="Arial" w:cs="Arial"/>
                <w:sz w:val="16"/>
                <w:szCs w:val="16"/>
              </w:rPr>
              <w:t>)(</w:t>
            </w:r>
            <w:r w:rsidR="00F804E5" w:rsidRPr="00FD24B8">
              <w:rPr>
                <w:rFonts w:ascii="Arial" w:hAnsi="Arial" w:cs="Arial"/>
                <w:sz w:val="16"/>
                <w:szCs w:val="16"/>
              </w:rPr>
              <w:t>d)</w:t>
            </w:r>
          </w:p>
        </w:tc>
        <w:tc>
          <w:tcPr>
            <w:tcW w:w="490" w:type="pct"/>
            <w:tcBorders>
              <w:top w:val="nil"/>
              <w:left w:val="nil"/>
              <w:bottom w:val="nil"/>
              <w:right w:val="nil"/>
            </w:tcBorders>
            <w:shd w:val="clear" w:color="000000" w:fill="FFFFFF"/>
            <w:noWrap/>
            <w:vAlign w:val="center"/>
            <w:hideMark/>
          </w:tcPr>
          <w:p w14:paraId="383BE17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2F9FC"/>
            <w:noWrap/>
            <w:vAlign w:val="center"/>
            <w:hideMark/>
          </w:tcPr>
          <w:p w14:paraId="6C449BFE"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1F21475A"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5ABB06B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53FD44B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3642F19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413AC2B0"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6E1C322F"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1E570C55" w14:textId="77777777" w:rsidR="001B7BBF" w:rsidRPr="00131EBC" w:rsidRDefault="001B7BBF" w:rsidP="001B7BBF">
            <w:pPr>
              <w:spacing w:after="0" w:line="240" w:lineRule="auto"/>
              <w:ind w:left="170"/>
              <w:jc w:val="left"/>
              <w:rPr>
                <w:rFonts w:ascii="Arial" w:hAnsi="Arial" w:cs="Arial"/>
                <w:i/>
                <w:sz w:val="16"/>
                <w:szCs w:val="16"/>
                <w:highlight w:val="darkCyan"/>
              </w:rPr>
            </w:pPr>
            <w:r w:rsidRPr="00FD24B8">
              <w:rPr>
                <w:rFonts w:ascii="Arial" w:hAnsi="Arial" w:cs="Arial"/>
                <w:i/>
                <w:sz w:val="16"/>
                <w:szCs w:val="16"/>
              </w:rPr>
              <w:t>Receipts</w:t>
            </w:r>
          </w:p>
        </w:tc>
        <w:tc>
          <w:tcPr>
            <w:tcW w:w="490" w:type="pct"/>
            <w:tcBorders>
              <w:top w:val="nil"/>
              <w:left w:val="nil"/>
              <w:bottom w:val="nil"/>
              <w:right w:val="nil"/>
            </w:tcBorders>
            <w:shd w:val="clear" w:color="000000" w:fill="FFFFFF"/>
            <w:noWrap/>
            <w:vAlign w:val="center"/>
            <w:hideMark/>
          </w:tcPr>
          <w:p w14:paraId="0C80E755" w14:textId="65B43876" w:rsidR="001B7BBF" w:rsidRPr="00131EBC" w:rsidRDefault="0031144A"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noBreakHyphen/>
            </w:r>
            <w:r w:rsidR="001B7BBF" w:rsidRPr="00FD24B8">
              <w:rPr>
                <w:rFonts w:ascii="Arial" w:hAnsi="Arial" w:cs="Arial"/>
                <w:i/>
                <w:sz w:val="16"/>
                <w:szCs w:val="16"/>
              </w:rPr>
              <w:t>2,342</w:t>
            </w:r>
          </w:p>
        </w:tc>
        <w:tc>
          <w:tcPr>
            <w:tcW w:w="490" w:type="pct"/>
            <w:tcBorders>
              <w:top w:val="nil"/>
              <w:left w:val="nil"/>
              <w:bottom w:val="nil"/>
              <w:right w:val="nil"/>
            </w:tcBorders>
            <w:shd w:val="clear" w:color="000000" w:fill="F2F9FC"/>
            <w:noWrap/>
            <w:vAlign w:val="center"/>
            <w:hideMark/>
          </w:tcPr>
          <w:p w14:paraId="4837622C" w14:textId="3077ACB3" w:rsidR="001B7BBF" w:rsidRPr="00131EBC" w:rsidRDefault="0031144A"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noBreakHyphen/>
            </w:r>
            <w:r w:rsidR="001B7BBF" w:rsidRPr="00FD24B8">
              <w:rPr>
                <w:rFonts w:ascii="Arial" w:hAnsi="Arial" w:cs="Arial"/>
                <w:i/>
                <w:sz w:val="16"/>
                <w:szCs w:val="16"/>
              </w:rPr>
              <w:t>8,351</w:t>
            </w:r>
          </w:p>
        </w:tc>
        <w:tc>
          <w:tcPr>
            <w:tcW w:w="490" w:type="pct"/>
            <w:tcBorders>
              <w:top w:val="nil"/>
              <w:left w:val="nil"/>
              <w:bottom w:val="nil"/>
              <w:right w:val="nil"/>
            </w:tcBorders>
            <w:shd w:val="clear" w:color="000000" w:fill="FFFFFF"/>
            <w:noWrap/>
            <w:vAlign w:val="center"/>
            <w:hideMark/>
          </w:tcPr>
          <w:p w14:paraId="0FBE17F7"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1,596</w:t>
            </w:r>
          </w:p>
        </w:tc>
        <w:tc>
          <w:tcPr>
            <w:tcW w:w="490" w:type="pct"/>
            <w:tcBorders>
              <w:top w:val="nil"/>
              <w:left w:val="nil"/>
              <w:bottom w:val="nil"/>
              <w:right w:val="nil"/>
            </w:tcBorders>
            <w:shd w:val="clear" w:color="000000" w:fill="FFFFFF"/>
            <w:noWrap/>
            <w:vAlign w:val="center"/>
            <w:hideMark/>
          </w:tcPr>
          <w:p w14:paraId="0AAA1A61"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602</w:t>
            </w:r>
          </w:p>
        </w:tc>
        <w:tc>
          <w:tcPr>
            <w:tcW w:w="490" w:type="pct"/>
            <w:tcBorders>
              <w:top w:val="nil"/>
              <w:left w:val="nil"/>
              <w:bottom w:val="nil"/>
              <w:right w:val="nil"/>
            </w:tcBorders>
            <w:shd w:val="clear" w:color="000000" w:fill="FFFFFF"/>
            <w:noWrap/>
            <w:vAlign w:val="center"/>
            <w:hideMark/>
          </w:tcPr>
          <w:p w14:paraId="3AC29ED4"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739</w:t>
            </w:r>
          </w:p>
        </w:tc>
        <w:tc>
          <w:tcPr>
            <w:tcW w:w="47" w:type="pct"/>
            <w:tcBorders>
              <w:top w:val="nil"/>
              <w:left w:val="nil"/>
              <w:bottom w:val="nil"/>
              <w:right w:val="nil"/>
            </w:tcBorders>
            <w:shd w:val="clear" w:color="000000" w:fill="FFFFFF"/>
            <w:noWrap/>
            <w:vAlign w:val="center"/>
            <w:hideMark/>
          </w:tcPr>
          <w:p w14:paraId="57540F91"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03" w:type="pct"/>
            <w:tcBorders>
              <w:top w:val="nil"/>
              <w:left w:val="nil"/>
              <w:bottom w:val="nil"/>
              <w:right w:val="nil"/>
            </w:tcBorders>
            <w:shd w:val="clear" w:color="000000" w:fill="FFFFFF"/>
            <w:noWrap/>
            <w:vAlign w:val="center"/>
            <w:hideMark/>
          </w:tcPr>
          <w:p w14:paraId="4EE624BC" w14:textId="151500B9" w:rsidR="001B7BBF" w:rsidRPr="00FD24B8" w:rsidRDefault="0031144A" w:rsidP="001B7BBF">
            <w:pPr>
              <w:spacing w:after="0" w:line="240" w:lineRule="auto"/>
              <w:jc w:val="right"/>
              <w:rPr>
                <w:rFonts w:ascii="Arial" w:hAnsi="Arial" w:cs="Arial"/>
                <w:i/>
                <w:sz w:val="16"/>
                <w:szCs w:val="16"/>
              </w:rPr>
            </w:pPr>
            <w:r w:rsidRPr="00FD24B8">
              <w:rPr>
                <w:rFonts w:ascii="Arial" w:hAnsi="Arial" w:cs="Arial"/>
                <w:i/>
                <w:sz w:val="16"/>
                <w:szCs w:val="16"/>
              </w:rPr>
              <w:noBreakHyphen/>
            </w:r>
            <w:r w:rsidR="001B7BBF" w:rsidRPr="00FD24B8">
              <w:rPr>
                <w:rFonts w:ascii="Arial" w:hAnsi="Arial" w:cs="Arial"/>
                <w:i/>
                <w:sz w:val="16"/>
                <w:szCs w:val="16"/>
              </w:rPr>
              <w:t>5,415</w:t>
            </w:r>
          </w:p>
        </w:tc>
      </w:tr>
      <w:tr w:rsidR="00B31B91" w:rsidRPr="00131EBC" w14:paraId="7894771B"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4ABE38DF" w14:textId="77777777" w:rsidR="001B7BBF" w:rsidRPr="00131EBC" w:rsidRDefault="001B7BBF" w:rsidP="001B7BBF">
            <w:pPr>
              <w:spacing w:after="0" w:line="240" w:lineRule="auto"/>
              <w:ind w:left="170"/>
              <w:jc w:val="left"/>
              <w:rPr>
                <w:rFonts w:ascii="Arial" w:hAnsi="Arial" w:cs="Arial"/>
                <w:i/>
                <w:sz w:val="16"/>
                <w:szCs w:val="16"/>
                <w:highlight w:val="darkCyan"/>
              </w:rPr>
            </w:pPr>
            <w:r w:rsidRPr="00FD24B8">
              <w:rPr>
                <w:rFonts w:ascii="Arial" w:hAnsi="Arial" w:cs="Arial"/>
                <w:i/>
                <w:sz w:val="16"/>
                <w:szCs w:val="16"/>
              </w:rPr>
              <w:t>Payments</w:t>
            </w:r>
          </w:p>
        </w:tc>
        <w:tc>
          <w:tcPr>
            <w:tcW w:w="490" w:type="pct"/>
            <w:tcBorders>
              <w:top w:val="nil"/>
              <w:left w:val="nil"/>
              <w:bottom w:val="nil"/>
              <w:right w:val="nil"/>
            </w:tcBorders>
            <w:shd w:val="clear" w:color="000000" w:fill="FFFFFF"/>
            <w:noWrap/>
            <w:vAlign w:val="center"/>
            <w:hideMark/>
          </w:tcPr>
          <w:p w14:paraId="7E98B054"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6,520</w:t>
            </w:r>
          </w:p>
        </w:tc>
        <w:tc>
          <w:tcPr>
            <w:tcW w:w="490" w:type="pct"/>
            <w:tcBorders>
              <w:top w:val="nil"/>
              <w:left w:val="nil"/>
              <w:bottom w:val="nil"/>
              <w:right w:val="nil"/>
            </w:tcBorders>
            <w:shd w:val="clear" w:color="000000" w:fill="F2F9FC"/>
            <w:noWrap/>
            <w:vAlign w:val="center"/>
            <w:hideMark/>
          </w:tcPr>
          <w:p w14:paraId="42B1873E"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8,822</w:t>
            </w:r>
          </w:p>
        </w:tc>
        <w:tc>
          <w:tcPr>
            <w:tcW w:w="490" w:type="pct"/>
            <w:tcBorders>
              <w:top w:val="nil"/>
              <w:left w:val="nil"/>
              <w:bottom w:val="single" w:sz="4" w:space="0" w:color="auto"/>
              <w:right w:val="nil"/>
            </w:tcBorders>
            <w:shd w:val="clear" w:color="000000" w:fill="FFFFFF"/>
            <w:noWrap/>
            <w:vAlign w:val="center"/>
            <w:hideMark/>
          </w:tcPr>
          <w:p w14:paraId="2F9E31C3"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5,732</w:t>
            </w:r>
          </w:p>
        </w:tc>
        <w:tc>
          <w:tcPr>
            <w:tcW w:w="490" w:type="pct"/>
            <w:tcBorders>
              <w:top w:val="nil"/>
              <w:left w:val="nil"/>
              <w:bottom w:val="single" w:sz="4" w:space="0" w:color="auto"/>
              <w:right w:val="nil"/>
            </w:tcBorders>
            <w:shd w:val="clear" w:color="000000" w:fill="FFFFFF"/>
            <w:noWrap/>
            <w:vAlign w:val="center"/>
            <w:hideMark/>
          </w:tcPr>
          <w:p w14:paraId="62E7D051"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5,814</w:t>
            </w:r>
          </w:p>
        </w:tc>
        <w:tc>
          <w:tcPr>
            <w:tcW w:w="490" w:type="pct"/>
            <w:tcBorders>
              <w:top w:val="nil"/>
              <w:left w:val="nil"/>
              <w:bottom w:val="single" w:sz="4" w:space="0" w:color="auto"/>
              <w:right w:val="nil"/>
            </w:tcBorders>
            <w:shd w:val="clear" w:color="000000" w:fill="FFFFFF"/>
            <w:noWrap/>
            <w:vAlign w:val="center"/>
            <w:hideMark/>
          </w:tcPr>
          <w:p w14:paraId="722FA264"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4,636</w:t>
            </w:r>
          </w:p>
        </w:tc>
        <w:tc>
          <w:tcPr>
            <w:tcW w:w="47" w:type="pct"/>
            <w:tcBorders>
              <w:top w:val="nil"/>
              <w:left w:val="nil"/>
              <w:bottom w:val="nil"/>
              <w:right w:val="nil"/>
            </w:tcBorders>
            <w:shd w:val="clear" w:color="000000" w:fill="FFFFFF"/>
            <w:noWrap/>
            <w:vAlign w:val="center"/>
            <w:hideMark/>
          </w:tcPr>
          <w:p w14:paraId="2875D6E8"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03" w:type="pct"/>
            <w:tcBorders>
              <w:top w:val="nil"/>
              <w:left w:val="nil"/>
              <w:bottom w:val="nil"/>
              <w:right w:val="nil"/>
            </w:tcBorders>
            <w:shd w:val="clear" w:color="000000" w:fill="FFFFFF"/>
            <w:noWrap/>
            <w:vAlign w:val="center"/>
            <w:hideMark/>
          </w:tcPr>
          <w:p w14:paraId="4BC2506E" w14:textId="77777777" w:rsidR="001B7BBF" w:rsidRPr="00FD24B8" w:rsidRDefault="001B7BBF" w:rsidP="001B7BBF">
            <w:pPr>
              <w:spacing w:after="0" w:line="240" w:lineRule="auto"/>
              <w:jc w:val="right"/>
              <w:rPr>
                <w:rFonts w:ascii="Arial" w:hAnsi="Arial" w:cs="Arial"/>
                <w:i/>
                <w:sz w:val="16"/>
                <w:szCs w:val="16"/>
              </w:rPr>
            </w:pPr>
            <w:r w:rsidRPr="00FD24B8">
              <w:rPr>
                <w:rFonts w:ascii="Arial" w:hAnsi="Arial" w:cs="Arial"/>
                <w:i/>
                <w:sz w:val="16"/>
                <w:szCs w:val="16"/>
              </w:rPr>
              <w:t>25,004</w:t>
            </w:r>
          </w:p>
        </w:tc>
      </w:tr>
      <w:tr w:rsidR="00B31B91" w:rsidRPr="00131EBC" w14:paraId="079B8475"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72AA3D44"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Total policy decisions impact on</w:t>
            </w:r>
          </w:p>
        </w:tc>
        <w:tc>
          <w:tcPr>
            <w:tcW w:w="490" w:type="pct"/>
            <w:tcBorders>
              <w:top w:val="single" w:sz="4" w:space="0" w:color="auto"/>
              <w:left w:val="nil"/>
              <w:bottom w:val="nil"/>
              <w:right w:val="nil"/>
            </w:tcBorders>
            <w:shd w:val="clear" w:color="000000" w:fill="FFFFFF"/>
            <w:noWrap/>
            <w:vAlign w:val="center"/>
            <w:hideMark/>
          </w:tcPr>
          <w:p w14:paraId="07FD60A7"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single" w:sz="4" w:space="0" w:color="auto"/>
              <w:left w:val="nil"/>
              <w:bottom w:val="nil"/>
              <w:right w:val="nil"/>
            </w:tcBorders>
            <w:shd w:val="clear" w:color="000000" w:fill="F2F9FC"/>
            <w:noWrap/>
            <w:vAlign w:val="center"/>
            <w:hideMark/>
          </w:tcPr>
          <w:p w14:paraId="1E719F64"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nil"/>
              <w:left w:val="nil"/>
              <w:bottom w:val="nil"/>
              <w:right w:val="nil"/>
            </w:tcBorders>
            <w:shd w:val="clear" w:color="000000" w:fill="FFFFFF"/>
            <w:noWrap/>
            <w:vAlign w:val="center"/>
            <w:hideMark/>
          </w:tcPr>
          <w:p w14:paraId="07FC8610"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nil"/>
              <w:left w:val="nil"/>
              <w:bottom w:val="nil"/>
              <w:right w:val="nil"/>
            </w:tcBorders>
            <w:shd w:val="clear" w:color="000000" w:fill="FFFFFF"/>
            <w:noWrap/>
            <w:vAlign w:val="center"/>
            <w:hideMark/>
          </w:tcPr>
          <w:p w14:paraId="7DAFD945"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nil"/>
              <w:left w:val="nil"/>
              <w:bottom w:val="nil"/>
              <w:right w:val="nil"/>
            </w:tcBorders>
            <w:shd w:val="clear" w:color="000000" w:fill="FFFFFF"/>
            <w:noWrap/>
            <w:vAlign w:val="center"/>
            <w:hideMark/>
          </w:tcPr>
          <w:p w14:paraId="5E2F1484"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7" w:type="pct"/>
            <w:tcBorders>
              <w:top w:val="nil"/>
              <w:left w:val="nil"/>
              <w:bottom w:val="nil"/>
              <w:right w:val="nil"/>
            </w:tcBorders>
            <w:shd w:val="clear" w:color="000000" w:fill="FFFFFF"/>
            <w:noWrap/>
            <w:vAlign w:val="center"/>
            <w:hideMark/>
          </w:tcPr>
          <w:p w14:paraId="4F32EDE2"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03" w:type="pct"/>
            <w:tcBorders>
              <w:top w:val="single" w:sz="4" w:space="0" w:color="auto"/>
              <w:left w:val="nil"/>
              <w:bottom w:val="nil"/>
              <w:right w:val="nil"/>
            </w:tcBorders>
            <w:shd w:val="clear" w:color="000000" w:fill="FFFFFF"/>
            <w:noWrap/>
            <w:vAlign w:val="center"/>
            <w:hideMark/>
          </w:tcPr>
          <w:p w14:paraId="6FDCE073" w14:textId="77777777" w:rsidR="001B7BBF" w:rsidRPr="00FD24B8" w:rsidRDefault="001B7BBF" w:rsidP="001B7BBF">
            <w:pPr>
              <w:spacing w:after="0" w:line="240" w:lineRule="auto"/>
              <w:jc w:val="right"/>
              <w:rPr>
                <w:rFonts w:ascii="Arial" w:hAnsi="Arial" w:cs="Arial"/>
                <w:i/>
                <w:sz w:val="16"/>
                <w:szCs w:val="16"/>
              </w:rPr>
            </w:pPr>
            <w:r w:rsidRPr="00FD24B8">
              <w:rPr>
                <w:rFonts w:ascii="Arial" w:hAnsi="Arial" w:cs="Arial"/>
                <w:i/>
                <w:sz w:val="16"/>
                <w:szCs w:val="16"/>
              </w:rPr>
              <w:t> </w:t>
            </w:r>
          </w:p>
        </w:tc>
      </w:tr>
      <w:tr w:rsidR="00320CBE" w:rsidRPr="00131EBC" w14:paraId="79839EC0"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74352689" w14:textId="77777777" w:rsidR="001B7BBF" w:rsidRPr="00131EBC" w:rsidRDefault="001B7BBF" w:rsidP="001B7BBF">
            <w:pPr>
              <w:spacing w:after="0" w:line="240" w:lineRule="auto"/>
              <w:ind w:left="170"/>
              <w:jc w:val="left"/>
              <w:rPr>
                <w:rFonts w:ascii="Arial" w:hAnsi="Arial" w:cs="Arial"/>
                <w:sz w:val="16"/>
                <w:szCs w:val="16"/>
                <w:highlight w:val="darkCyan"/>
              </w:rPr>
            </w:pPr>
            <w:r w:rsidRPr="00FD24B8">
              <w:rPr>
                <w:rFonts w:ascii="Arial" w:hAnsi="Arial" w:cs="Arial"/>
                <w:sz w:val="16"/>
                <w:szCs w:val="16"/>
              </w:rPr>
              <w:t>underlying cash balance</w:t>
            </w:r>
          </w:p>
        </w:tc>
        <w:tc>
          <w:tcPr>
            <w:tcW w:w="490" w:type="pct"/>
            <w:tcBorders>
              <w:top w:val="nil"/>
              <w:left w:val="nil"/>
              <w:bottom w:val="single" w:sz="4" w:space="0" w:color="000000"/>
              <w:right w:val="nil"/>
            </w:tcBorders>
            <w:shd w:val="clear" w:color="000000" w:fill="FFFFFF"/>
            <w:vAlign w:val="center"/>
            <w:hideMark/>
          </w:tcPr>
          <w:p w14:paraId="36145227" w14:textId="0A972201"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8,861</w:t>
            </w:r>
          </w:p>
        </w:tc>
        <w:tc>
          <w:tcPr>
            <w:tcW w:w="490" w:type="pct"/>
            <w:tcBorders>
              <w:top w:val="nil"/>
              <w:left w:val="nil"/>
              <w:bottom w:val="single" w:sz="4" w:space="0" w:color="000000"/>
              <w:right w:val="nil"/>
            </w:tcBorders>
            <w:shd w:val="clear" w:color="000000" w:fill="F2F9FC"/>
            <w:vAlign w:val="center"/>
            <w:hideMark/>
          </w:tcPr>
          <w:p w14:paraId="44A069B9" w14:textId="1A1C4D6B"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17,173</w:t>
            </w:r>
          </w:p>
        </w:tc>
        <w:tc>
          <w:tcPr>
            <w:tcW w:w="490" w:type="pct"/>
            <w:tcBorders>
              <w:top w:val="nil"/>
              <w:left w:val="nil"/>
              <w:bottom w:val="single" w:sz="4" w:space="0" w:color="000000"/>
              <w:right w:val="nil"/>
            </w:tcBorders>
            <w:shd w:val="clear" w:color="000000" w:fill="FFFFFF"/>
            <w:vAlign w:val="center"/>
            <w:hideMark/>
          </w:tcPr>
          <w:p w14:paraId="5904C9F4" w14:textId="11A35C13"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4,136</w:t>
            </w:r>
          </w:p>
        </w:tc>
        <w:tc>
          <w:tcPr>
            <w:tcW w:w="490" w:type="pct"/>
            <w:tcBorders>
              <w:top w:val="nil"/>
              <w:left w:val="nil"/>
              <w:bottom w:val="single" w:sz="4" w:space="0" w:color="000000"/>
              <w:right w:val="nil"/>
            </w:tcBorders>
            <w:shd w:val="clear" w:color="000000" w:fill="FFFFFF"/>
            <w:vAlign w:val="center"/>
            <w:hideMark/>
          </w:tcPr>
          <w:p w14:paraId="27C47720" w14:textId="5822A29D"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5,212</w:t>
            </w:r>
          </w:p>
        </w:tc>
        <w:tc>
          <w:tcPr>
            <w:tcW w:w="490" w:type="pct"/>
            <w:tcBorders>
              <w:top w:val="nil"/>
              <w:left w:val="nil"/>
              <w:bottom w:val="single" w:sz="4" w:space="0" w:color="000000"/>
              <w:right w:val="nil"/>
            </w:tcBorders>
            <w:shd w:val="clear" w:color="000000" w:fill="FFFFFF"/>
            <w:vAlign w:val="center"/>
            <w:hideMark/>
          </w:tcPr>
          <w:p w14:paraId="371AC62A" w14:textId="030B570C"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3,898</w:t>
            </w:r>
          </w:p>
        </w:tc>
        <w:tc>
          <w:tcPr>
            <w:tcW w:w="47" w:type="pct"/>
            <w:tcBorders>
              <w:top w:val="nil"/>
              <w:left w:val="nil"/>
              <w:bottom w:val="nil"/>
              <w:right w:val="nil"/>
            </w:tcBorders>
            <w:shd w:val="clear" w:color="000000" w:fill="FFFFFF"/>
            <w:vAlign w:val="center"/>
            <w:hideMark/>
          </w:tcPr>
          <w:p w14:paraId="1931144C"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single" w:sz="4" w:space="0" w:color="000000"/>
              <w:right w:val="nil"/>
            </w:tcBorders>
            <w:shd w:val="clear" w:color="000000" w:fill="FFFFFF"/>
            <w:vAlign w:val="center"/>
            <w:hideMark/>
          </w:tcPr>
          <w:p w14:paraId="0AE475B0" w14:textId="42CF1105" w:rsidR="001B7BBF" w:rsidRPr="00FD24B8" w:rsidRDefault="0031144A" w:rsidP="001B7BBF">
            <w:pPr>
              <w:spacing w:after="0" w:line="240" w:lineRule="auto"/>
              <w:jc w:val="right"/>
              <w:rPr>
                <w:rFonts w:ascii="Arial" w:hAnsi="Arial" w:cs="Arial"/>
                <w:sz w:val="16"/>
                <w:szCs w:val="16"/>
              </w:rPr>
            </w:pPr>
            <w:r w:rsidRPr="00FD24B8">
              <w:rPr>
                <w:rFonts w:ascii="Arial" w:hAnsi="Arial" w:cs="Arial"/>
                <w:sz w:val="16"/>
                <w:szCs w:val="16"/>
              </w:rPr>
              <w:noBreakHyphen/>
            </w:r>
            <w:r w:rsidR="001B7BBF" w:rsidRPr="00FD24B8">
              <w:rPr>
                <w:rFonts w:ascii="Arial" w:hAnsi="Arial" w:cs="Arial"/>
                <w:sz w:val="16"/>
                <w:szCs w:val="16"/>
              </w:rPr>
              <w:t>30,419</w:t>
            </w:r>
          </w:p>
        </w:tc>
      </w:tr>
      <w:tr w:rsidR="00B31B91" w:rsidRPr="00131EBC" w14:paraId="4206F60A" w14:textId="77777777" w:rsidTr="001B7BBF">
        <w:trPr>
          <w:trHeight w:hRule="exact" w:val="60"/>
        </w:trPr>
        <w:tc>
          <w:tcPr>
            <w:tcW w:w="2001" w:type="pct"/>
            <w:tcBorders>
              <w:top w:val="nil"/>
              <w:left w:val="nil"/>
              <w:bottom w:val="nil"/>
              <w:right w:val="nil"/>
            </w:tcBorders>
            <w:shd w:val="clear" w:color="000000" w:fill="FFFFFF"/>
            <w:noWrap/>
            <w:vAlign w:val="center"/>
            <w:hideMark/>
          </w:tcPr>
          <w:p w14:paraId="496E2655" w14:textId="77777777" w:rsidR="001B7BBF" w:rsidRPr="00131EBC" w:rsidRDefault="001B7BBF" w:rsidP="001B7BBF">
            <w:pPr>
              <w:spacing w:after="0" w:line="240" w:lineRule="auto"/>
              <w:ind w:left="170"/>
              <w:jc w:val="left"/>
              <w:rPr>
                <w:rFonts w:ascii="Arial" w:hAnsi="Arial" w:cs="Arial"/>
                <w:i/>
                <w:sz w:val="16"/>
                <w:szCs w:val="16"/>
                <w:highlight w:val="darkCyan"/>
              </w:rPr>
            </w:pPr>
            <w:r w:rsidRPr="00FD24B8">
              <w:rPr>
                <w:rFonts w:ascii="Arial" w:hAnsi="Arial" w:cs="Arial"/>
                <w:i/>
                <w:sz w:val="16"/>
                <w:szCs w:val="16"/>
              </w:rPr>
              <w:t> </w:t>
            </w:r>
          </w:p>
        </w:tc>
        <w:tc>
          <w:tcPr>
            <w:tcW w:w="490" w:type="pct"/>
            <w:tcBorders>
              <w:top w:val="nil"/>
              <w:left w:val="nil"/>
              <w:bottom w:val="nil"/>
              <w:right w:val="nil"/>
            </w:tcBorders>
            <w:shd w:val="clear" w:color="000000" w:fill="FFFFFF"/>
            <w:noWrap/>
            <w:vAlign w:val="center"/>
            <w:hideMark/>
          </w:tcPr>
          <w:p w14:paraId="21C16B04"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nil"/>
              <w:left w:val="nil"/>
              <w:bottom w:val="nil"/>
              <w:right w:val="nil"/>
            </w:tcBorders>
            <w:shd w:val="clear" w:color="000000" w:fill="F2F9FC"/>
            <w:noWrap/>
            <w:vAlign w:val="center"/>
            <w:hideMark/>
          </w:tcPr>
          <w:p w14:paraId="14332DA8"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nil"/>
              <w:left w:val="nil"/>
              <w:bottom w:val="nil"/>
              <w:right w:val="nil"/>
            </w:tcBorders>
            <w:shd w:val="clear" w:color="000000" w:fill="FFFFFF"/>
            <w:noWrap/>
            <w:vAlign w:val="center"/>
            <w:hideMark/>
          </w:tcPr>
          <w:p w14:paraId="0A6B3829"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nil"/>
              <w:left w:val="nil"/>
              <w:bottom w:val="nil"/>
              <w:right w:val="nil"/>
            </w:tcBorders>
            <w:shd w:val="clear" w:color="000000" w:fill="FFFFFF"/>
            <w:noWrap/>
            <w:vAlign w:val="center"/>
            <w:hideMark/>
          </w:tcPr>
          <w:p w14:paraId="4E56443A"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nil"/>
              <w:left w:val="nil"/>
              <w:bottom w:val="nil"/>
              <w:right w:val="nil"/>
            </w:tcBorders>
            <w:shd w:val="clear" w:color="000000" w:fill="FFFFFF"/>
            <w:noWrap/>
            <w:vAlign w:val="center"/>
            <w:hideMark/>
          </w:tcPr>
          <w:p w14:paraId="5E843BE9"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7" w:type="pct"/>
            <w:tcBorders>
              <w:top w:val="nil"/>
              <w:left w:val="nil"/>
              <w:bottom w:val="nil"/>
              <w:right w:val="nil"/>
            </w:tcBorders>
            <w:shd w:val="clear" w:color="000000" w:fill="FFFFFF"/>
            <w:noWrap/>
            <w:vAlign w:val="center"/>
            <w:hideMark/>
          </w:tcPr>
          <w:p w14:paraId="11FB477E"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03" w:type="pct"/>
            <w:tcBorders>
              <w:top w:val="nil"/>
              <w:left w:val="nil"/>
              <w:bottom w:val="nil"/>
              <w:right w:val="nil"/>
            </w:tcBorders>
            <w:shd w:val="clear" w:color="000000" w:fill="FFFFFF"/>
            <w:noWrap/>
            <w:vAlign w:val="center"/>
            <w:hideMark/>
          </w:tcPr>
          <w:p w14:paraId="6FF26B30"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1B7BBF" w:rsidRPr="00131EBC" w14:paraId="34FE5B3A" w14:textId="77777777" w:rsidTr="001B7BBF">
        <w:trPr>
          <w:trHeight w:hRule="exact" w:val="225"/>
        </w:trPr>
        <w:tc>
          <w:tcPr>
            <w:tcW w:w="2492" w:type="pct"/>
            <w:gridSpan w:val="2"/>
            <w:tcBorders>
              <w:top w:val="nil"/>
              <w:left w:val="nil"/>
              <w:bottom w:val="nil"/>
              <w:right w:val="nil"/>
            </w:tcBorders>
            <w:shd w:val="clear" w:color="000000" w:fill="FFFFFF"/>
            <w:noWrap/>
            <w:vAlign w:val="bottom"/>
            <w:hideMark/>
          </w:tcPr>
          <w:p w14:paraId="2019C32A" w14:textId="5FD0751F"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Effect of parameter and other variations(</w:t>
            </w:r>
            <w:r w:rsidR="00F804E5" w:rsidRPr="00FD24B8">
              <w:rPr>
                <w:rFonts w:ascii="Arial" w:hAnsi="Arial" w:cs="Arial"/>
                <w:sz w:val="16"/>
                <w:szCs w:val="16"/>
              </w:rPr>
              <w:t>d)</w:t>
            </w:r>
          </w:p>
        </w:tc>
        <w:tc>
          <w:tcPr>
            <w:tcW w:w="490" w:type="pct"/>
            <w:tcBorders>
              <w:top w:val="nil"/>
              <w:left w:val="nil"/>
              <w:bottom w:val="nil"/>
              <w:right w:val="nil"/>
            </w:tcBorders>
            <w:shd w:val="clear" w:color="000000" w:fill="F2F9FC"/>
            <w:noWrap/>
            <w:vAlign w:val="center"/>
            <w:hideMark/>
          </w:tcPr>
          <w:p w14:paraId="1760DA7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79A976D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75403898"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nil"/>
              <w:right w:val="nil"/>
            </w:tcBorders>
            <w:shd w:val="clear" w:color="000000" w:fill="FFFFFF"/>
            <w:noWrap/>
            <w:vAlign w:val="center"/>
            <w:hideMark/>
          </w:tcPr>
          <w:p w14:paraId="3BC8050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0376718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71ED3B06" w14:textId="77777777" w:rsidR="001B7BBF" w:rsidRPr="00FD24B8" w:rsidRDefault="001B7BBF" w:rsidP="001B7BBF">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6C1282AE"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1CFE9843" w14:textId="77777777" w:rsidR="001B7BBF" w:rsidRPr="00131EBC" w:rsidRDefault="001B7BBF" w:rsidP="001B7BBF">
            <w:pPr>
              <w:spacing w:after="0" w:line="240" w:lineRule="auto"/>
              <w:ind w:left="170"/>
              <w:jc w:val="left"/>
              <w:rPr>
                <w:rFonts w:ascii="Arial" w:hAnsi="Arial" w:cs="Arial"/>
                <w:i/>
                <w:sz w:val="16"/>
                <w:szCs w:val="16"/>
                <w:highlight w:val="darkCyan"/>
              </w:rPr>
            </w:pPr>
            <w:r w:rsidRPr="00FD24B8">
              <w:rPr>
                <w:rFonts w:ascii="Arial" w:hAnsi="Arial" w:cs="Arial"/>
                <w:i/>
                <w:sz w:val="16"/>
                <w:szCs w:val="16"/>
              </w:rPr>
              <w:t>Receipts</w:t>
            </w:r>
          </w:p>
        </w:tc>
        <w:tc>
          <w:tcPr>
            <w:tcW w:w="490" w:type="pct"/>
            <w:tcBorders>
              <w:top w:val="nil"/>
              <w:left w:val="nil"/>
              <w:bottom w:val="nil"/>
              <w:right w:val="nil"/>
            </w:tcBorders>
            <w:shd w:val="clear" w:color="000000" w:fill="FFFFFF"/>
            <w:noWrap/>
            <w:vAlign w:val="center"/>
            <w:hideMark/>
          </w:tcPr>
          <w:p w14:paraId="6E241429"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26,838</w:t>
            </w:r>
          </w:p>
        </w:tc>
        <w:tc>
          <w:tcPr>
            <w:tcW w:w="490" w:type="pct"/>
            <w:tcBorders>
              <w:top w:val="nil"/>
              <w:left w:val="nil"/>
              <w:bottom w:val="nil"/>
              <w:right w:val="nil"/>
            </w:tcBorders>
            <w:shd w:val="clear" w:color="000000" w:fill="F2F9FC"/>
            <w:noWrap/>
            <w:vAlign w:val="center"/>
            <w:hideMark/>
          </w:tcPr>
          <w:p w14:paraId="79265038"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39,534</w:t>
            </w:r>
          </w:p>
        </w:tc>
        <w:tc>
          <w:tcPr>
            <w:tcW w:w="490" w:type="pct"/>
            <w:tcBorders>
              <w:top w:val="nil"/>
              <w:left w:val="nil"/>
              <w:bottom w:val="nil"/>
              <w:right w:val="nil"/>
            </w:tcBorders>
            <w:shd w:val="clear" w:color="000000" w:fill="FFFFFF"/>
            <w:noWrap/>
            <w:vAlign w:val="center"/>
            <w:hideMark/>
          </w:tcPr>
          <w:p w14:paraId="4DE060C4"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33,358</w:t>
            </w:r>
          </w:p>
        </w:tc>
        <w:tc>
          <w:tcPr>
            <w:tcW w:w="490" w:type="pct"/>
            <w:tcBorders>
              <w:top w:val="nil"/>
              <w:left w:val="nil"/>
              <w:bottom w:val="nil"/>
              <w:right w:val="nil"/>
            </w:tcBorders>
            <w:shd w:val="clear" w:color="000000" w:fill="FFFFFF"/>
            <w:noWrap/>
            <w:vAlign w:val="center"/>
            <w:hideMark/>
          </w:tcPr>
          <w:p w14:paraId="33ED12C0"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23,470</w:t>
            </w:r>
          </w:p>
        </w:tc>
        <w:tc>
          <w:tcPr>
            <w:tcW w:w="490" w:type="pct"/>
            <w:tcBorders>
              <w:top w:val="nil"/>
              <w:left w:val="nil"/>
              <w:bottom w:val="nil"/>
              <w:right w:val="nil"/>
            </w:tcBorders>
            <w:shd w:val="clear" w:color="000000" w:fill="FFFFFF"/>
            <w:noWrap/>
            <w:vAlign w:val="center"/>
            <w:hideMark/>
          </w:tcPr>
          <w:p w14:paraId="28F51788"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29,601</w:t>
            </w:r>
          </w:p>
        </w:tc>
        <w:tc>
          <w:tcPr>
            <w:tcW w:w="47" w:type="pct"/>
            <w:tcBorders>
              <w:top w:val="nil"/>
              <w:left w:val="nil"/>
              <w:bottom w:val="nil"/>
              <w:right w:val="nil"/>
            </w:tcBorders>
            <w:shd w:val="clear" w:color="000000" w:fill="FFFFFF"/>
            <w:noWrap/>
            <w:vAlign w:val="center"/>
            <w:hideMark/>
          </w:tcPr>
          <w:p w14:paraId="5D9496B2"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03" w:type="pct"/>
            <w:tcBorders>
              <w:top w:val="nil"/>
              <w:left w:val="nil"/>
              <w:bottom w:val="nil"/>
              <w:right w:val="nil"/>
            </w:tcBorders>
            <w:shd w:val="clear" w:color="000000" w:fill="FFFFFF"/>
            <w:noWrap/>
            <w:vAlign w:val="center"/>
            <w:hideMark/>
          </w:tcPr>
          <w:p w14:paraId="2865FFC9" w14:textId="77777777" w:rsidR="001B7BBF" w:rsidRPr="00FD24B8" w:rsidRDefault="001B7BBF" w:rsidP="001B7BBF">
            <w:pPr>
              <w:spacing w:after="0" w:line="240" w:lineRule="auto"/>
              <w:jc w:val="right"/>
              <w:rPr>
                <w:rFonts w:ascii="Arial" w:hAnsi="Arial" w:cs="Arial"/>
                <w:i/>
                <w:sz w:val="16"/>
                <w:szCs w:val="16"/>
              </w:rPr>
            </w:pPr>
            <w:r w:rsidRPr="00FD24B8">
              <w:rPr>
                <w:rFonts w:ascii="Arial" w:hAnsi="Arial" w:cs="Arial"/>
                <w:i/>
                <w:sz w:val="16"/>
                <w:szCs w:val="16"/>
              </w:rPr>
              <w:t>125,963</w:t>
            </w:r>
          </w:p>
        </w:tc>
      </w:tr>
      <w:tr w:rsidR="00B31B91" w:rsidRPr="00131EBC" w14:paraId="1F76E094"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1D2C440D" w14:textId="77777777" w:rsidR="001B7BBF" w:rsidRPr="00131EBC" w:rsidRDefault="001B7BBF" w:rsidP="001B7BBF">
            <w:pPr>
              <w:spacing w:after="0" w:line="240" w:lineRule="auto"/>
              <w:ind w:left="170"/>
              <w:jc w:val="left"/>
              <w:rPr>
                <w:rFonts w:ascii="Arial" w:hAnsi="Arial" w:cs="Arial"/>
                <w:i/>
                <w:sz w:val="16"/>
                <w:szCs w:val="16"/>
                <w:highlight w:val="darkCyan"/>
              </w:rPr>
            </w:pPr>
            <w:r w:rsidRPr="00FD24B8">
              <w:rPr>
                <w:rFonts w:ascii="Arial" w:hAnsi="Arial" w:cs="Arial"/>
                <w:i/>
                <w:sz w:val="16"/>
                <w:szCs w:val="16"/>
              </w:rPr>
              <w:t>Payments</w:t>
            </w:r>
          </w:p>
        </w:tc>
        <w:tc>
          <w:tcPr>
            <w:tcW w:w="490" w:type="pct"/>
            <w:tcBorders>
              <w:top w:val="nil"/>
              <w:left w:val="nil"/>
              <w:bottom w:val="nil"/>
              <w:right w:val="nil"/>
            </w:tcBorders>
            <w:shd w:val="clear" w:color="000000" w:fill="FFFFFF"/>
            <w:noWrap/>
            <w:vAlign w:val="center"/>
            <w:hideMark/>
          </w:tcPr>
          <w:p w14:paraId="463B5D7F" w14:textId="768F10F8" w:rsidR="001B7BBF" w:rsidRPr="00131EBC" w:rsidRDefault="0031144A"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noBreakHyphen/>
            </w:r>
            <w:r w:rsidR="001B7BBF" w:rsidRPr="00FD24B8">
              <w:rPr>
                <w:rFonts w:ascii="Arial" w:hAnsi="Arial" w:cs="Arial"/>
                <w:i/>
                <w:sz w:val="16"/>
                <w:szCs w:val="16"/>
              </w:rPr>
              <w:t>1,449</w:t>
            </w:r>
          </w:p>
        </w:tc>
        <w:tc>
          <w:tcPr>
            <w:tcW w:w="490" w:type="pct"/>
            <w:tcBorders>
              <w:top w:val="nil"/>
              <w:left w:val="nil"/>
              <w:bottom w:val="nil"/>
              <w:right w:val="nil"/>
            </w:tcBorders>
            <w:shd w:val="clear" w:color="000000" w:fill="F2F9FC"/>
            <w:noWrap/>
            <w:vAlign w:val="center"/>
            <w:hideMark/>
          </w:tcPr>
          <w:p w14:paraId="6E7EA282"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1,464</w:t>
            </w:r>
          </w:p>
        </w:tc>
        <w:tc>
          <w:tcPr>
            <w:tcW w:w="490" w:type="pct"/>
            <w:tcBorders>
              <w:top w:val="nil"/>
              <w:left w:val="nil"/>
              <w:bottom w:val="nil"/>
              <w:right w:val="nil"/>
            </w:tcBorders>
            <w:shd w:val="clear" w:color="000000" w:fill="FFFFFF"/>
            <w:noWrap/>
            <w:vAlign w:val="center"/>
            <w:hideMark/>
          </w:tcPr>
          <w:p w14:paraId="0B2D391C"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1,287</w:t>
            </w:r>
          </w:p>
        </w:tc>
        <w:tc>
          <w:tcPr>
            <w:tcW w:w="490" w:type="pct"/>
            <w:tcBorders>
              <w:top w:val="nil"/>
              <w:left w:val="nil"/>
              <w:bottom w:val="nil"/>
              <w:right w:val="nil"/>
            </w:tcBorders>
            <w:shd w:val="clear" w:color="000000" w:fill="FFFFFF"/>
            <w:noWrap/>
            <w:vAlign w:val="center"/>
            <w:hideMark/>
          </w:tcPr>
          <w:p w14:paraId="60F49F97"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7,898</w:t>
            </w:r>
          </w:p>
        </w:tc>
        <w:tc>
          <w:tcPr>
            <w:tcW w:w="490" w:type="pct"/>
            <w:tcBorders>
              <w:top w:val="nil"/>
              <w:left w:val="nil"/>
              <w:bottom w:val="nil"/>
              <w:right w:val="nil"/>
            </w:tcBorders>
            <w:shd w:val="clear" w:color="000000" w:fill="FFFFFF"/>
            <w:noWrap/>
            <w:vAlign w:val="center"/>
            <w:hideMark/>
          </w:tcPr>
          <w:p w14:paraId="239B5B71"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702</w:t>
            </w:r>
          </w:p>
        </w:tc>
        <w:tc>
          <w:tcPr>
            <w:tcW w:w="47" w:type="pct"/>
            <w:tcBorders>
              <w:top w:val="nil"/>
              <w:left w:val="nil"/>
              <w:bottom w:val="nil"/>
              <w:right w:val="nil"/>
            </w:tcBorders>
            <w:shd w:val="clear" w:color="000000" w:fill="FFFFFF"/>
            <w:noWrap/>
            <w:vAlign w:val="center"/>
            <w:hideMark/>
          </w:tcPr>
          <w:p w14:paraId="1A0FD3FF"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03" w:type="pct"/>
            <w:tcBorders>
              <w:top w:val="nil"/>
              <w:left w:val="nil"/>
              <w:bottom w:val="single" w:sz="4" w:space="0" w:color="auto"/>
              <w:right w:val="nil"/>
            </w:tcBorders>
            <w:shd w:val="clear" w:color="000000" w:fill="FFFFFF"/>
            <w:noWrap/>
            <w:vAlign w:val="center"/>
            <w:hideMark/>
          </w:tcPr>
          <w:p w14:paraId="6C449E39" w14:textId="77777777" w:rsidR="001B7BBF" w:rsidRPr="00FD24B8" w:rsidRDefault="001B7BBF" w:rsidP="001B7BBF">
            <w:pPr>
              <w:spacing w:after="0" w:line="240" w:lineRule="auto"/>
              <w:jc w:val="right"/>
              <w:rPr>
                <w:rFonts w:ascii="Arial" w:hAnsi="Arial" w:cs="Arial"/>
                <w:i/>
                <w:sz w:val="16"/>
                <w:szCs w:val="16"/>
              </w:rPr>
            </w:pPr>
            <w:r w:rsidRPr="00FD24B8">
              <w:rPr>
                <w:rFonts w:ascii="Arial" w:hAnsi="Arial" w:cs="Arial"/>
                <w:i/>
                <w:sz w:val="16"/>
                <w:szCs w:val="16"/>
              </w:rPr>
              <w:t>11,351</w:t>
            </w:r>
          </w:p>
        </w:tc>
      </w:tr>
      <w:tr w:rsidR="00B31B91" w:rsidRPr="00131EBC" w14:paraId="33BE138C"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2E924896"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Total parameter and other variations</w:t>
            </w:r>
          </w:p>
        </w:tc>
        <w:tc>
          <w:tcPr>
            <w:tcW w:w="490" w:type="pct"/>
            <w:tcBorders>
              <w:top w:val="single" w:sz="4" w:space="0" w:color="auto"/>
              <w:left w:val="nil"/>
              <w:bottom w:val="nil"/>
              <w:right w:val="nil"/>
            </w:tcBorders>
            <w:shd w:val="clear" w:color="000000" w:fill="FFFFFF"/>
            <w:noWrap/>
            <w:vAlign w:val="center"/>
            <w:hideMark/>
          </w:tcPr>
          <w:p w14:paraId="3CF76C86"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single" w:sz="4" w:space="0" w:color="auto"/>
              <w:left w:val="nil"/>
              <w:bottom w:val="nil"/>
              <w:right w:val="nil"/>
            </w:tcBorders>
            <w:shd w:val="clear" w:color="000000" w:fill="F2F9FC"/>
            <w:noWrap/>
            <w:vAlign w:val="center"/>
            <w:hideMark/>
          </w:tcPr>
          <w:p w14:paraId="7B0B15D6"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single" w:sz="4" w:space="0" w:color="auto"/>
              <w:left w:val="nil"/>
              <w:bottom w:val="nil"/>
              <w:right w:val="nil"/>
            </w:tcBorders>
            <w:shd w:val="clear" w:color="000000" w:fill="FFFFFF"/>
            <w:noWrap/>
            <w:vAlign w:val="center"/>
            <w:hideMark/>
          </w:tcPr>
          <w:p w14:paraId="7351A5AE"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single" w:sz="4" w:space="0" w:color="auto"/>
              <w:left w:val="nil"/>
              <w:bottom w:val="nil"/>
              <w:right w:val="nil"/>
            </w:tcBorders>
            <w:shd w:val="clear" w:color="000000" w:fill="FFFFFF"/>
            <w:noWrap/>
            <w:vAlign w:val="center"/>
            <w:hideMark/>
          </w:tcPr>
          <w:p w14:paraId="1E4DF6A1"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90" w:type="pct"/>
            <w:tcBorders>
              <w:top w:val="single" w:sz="4" w:space="0" w:color="auto"/>
              <w:left w:val="nil"/>
              <w:bottom w:val="nil"/>
              <w:right w:val="nil"/>
            </w:tcBorders>
            <w:shd w:val="clear" w:color="000000" w:fill="FFFFFF"/>
            <w:noWrap/>
            <w:vAlign w:val="center"/>
            <w:hideMark/>
          </w:tcPr>
          <w:p w14:paraId="2FFB400D" w14:textId="77777777" w:rsidR="001B7BBF" w:rsidRPr="00131EBC" w:rsidRDefault="001B7BBF" w:rsidP="001B7BBF">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47" w:type="pct"/>
            <w:tcBorders>
              <w:top w:val="nil"/>
              <w:left w:val="nil"/>
              <w:bottom w:val="nil"/>
              <w:right w:val="nil"/>
            </w:tcBorders>
            <w:shd w:val="clear" w:color="000000" w:fill="FFFFFF"/>
            <w:noWrap/>
            <w:vAlign w:val="center"/>
            <w:hideMark/>
          </w:tcPr>
          <w:p w14:paraId="54D50A17"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0BF0E641" w14:textId="77777777" w:rsidR="001B7BBF" w:rsidRPr="00FD24B8" w:rsidRDefault="001B7BBF" w:rsidP="001B7BBF">
            <w:pPr>
              <w:spacing w:after="0" w:line="240" w:lineRule="auto"/>
              <w:jc w:val="right"/>
              <w:rPr>
                <w:rFonts w:ascii="Arial" w:hAnsi="Arial" w:cs="Arial"/>
                <w:i/>
                <w:sz w:val="16"/>
                <w:szCs w:val="16"/>
              </w:rPr>
            </w:pPr>
            <w:r w:rsidRPr="00FD24B8">
              <w:rPr>
                <w:rFonts w:ascii="Arial" w:hAnsi="Arial" w:cs="Arial"/>
                <w:i/>
                <w:sz w:val="16"/>
                <w:szCs w:val="16"/>
              </w:rPr>
              <w:t> </w:t>
            </w:r>
          </w:p>
        </w:tc>
      </w:tr>
      <w:tr w:rsidR="00B31B91" w:rsidRPr="00131EBC" w14:paraId="6847E8E5"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1E00A3B9" w14:textId="77777777" w:rsidR="001B7BBF" w:rsidRPr="00131EBC" w:rsidRDefault="001B7BBF" w:rsidP="001B7BBF">
            <w:pPr>
              <w:spacing w:after="0" w:line="240" w:lineRule="auto"/>
              <w:ind w:left="170"/>
              <w:jc w:val="left"/>
              <w:rPr>
                <w:rFonts w:ascii="Arial" w:hAnsi="Arial" w:cs="Arial"/>
                <w:sz w:val="16"/>
                <w:szCs w:val="16"/>
                <w:highlight w:val="darkCyan"/>
              </w:rPr>
            </w:pPr>
            <w:r w:rsidRPr="00FD24B8">
              <w:rPr>
                <w:rFonts w:ascii="Arial" w:hAnsi="Arial" w:cs="Arial"/>
                <w:sz w:val="16"/>
                <w:szCs w:val="16"/>
              </w:rPr>
              <w:t>impact on underlying cash balance</w:t>
            </w:r>
          </w:p>
        </w:tc>
        <w:tc>
          <w:tcPr>
            <w:tcW w:w="490" w:type="pct"/>
            <w:tcBorders>
              <w:top w:val="nil"/>
              <w:left w:val="nil"/>
              <w:bottom w:val="nil"/>
              <w:right w:val="nil"/>
            </w:tcBorders>
            <w:shd w:val="clear" w:color="000000" w:fill="FFFFFF"/>
            <w:noWrap/>
            <w:vAlign w:val="center"/>
            <w:hideMark/>
          </w:tcPr>
          <w:p w14:paraId="1995BD16"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28,287</w:t>
            </w:r>
          </w:p>
        </w:tc>
        <w:tc>
          <w:tcPr>
            <w:tcW w:w="490" w:type="pct"/>
            <w:tcBorders>
              <w:top w:val="nil"/>
              <w:left w:val="nil"/>
              <w:bottom w:val="nil"/>
              <w:right w:val="nil"/>
            </w:tcBorders>
            <w:shd w:val="clear" w:color="000000" w:fill="F2F9FC"/>
            <w:noWrap/>
            <w:vAlign w:val="center"/>
            <w:hideMark/>
          </w:tcPr>
          <w:p w14:paraId="2083B668"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38,070</w:t>
            </w:r>
          </w:p>
        </w:tc>
        <w:tc>
          <w:tcPr>
            <w:tcW w:w="490" w:type="pct"/>
            <w:tcBorders>
              <w:top w:val="nil"/>
              <w:left w:val="nil"/>
              <w:bottom w:val="nil"/>
              <w:right w:val="nil"/>
            </w:tcBorders>
            <w:shd w:val="clear" w:color="000000" w:fill="FFFFFF"/>
            <w:noWrap/>
            <w:vAlign w:val="center"/>
            <w:hideMark/>
          </w:tcPr>
          <w:p w14:paraId="77F97D35"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32,072</w:t>
            </w:r>
          </w:p>
        </w:tc>
        <w:tc>
          <w:tcPr>
            <w:tcW w:w="490" w:type="pct"/>
            <w:tcBorders>
              <w:top w:val="nil"/>
              <w:left w:val="nil"/>
              <w:bottom w:val="nil"/>
              <w:right w:val="nil"/>
            </w:tcBorders>
            <w:shd w:val="clear" w:color="000000" w:fill="FFFFFF"/>
            <w:noWrap/>
            <w:vAlign w:val="center"/>
            <w:hideMark/>
          </w:tcPr>
          <w:p w14:paraId="39455AC2"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15,573</w:t>
            </w:r>
          </w:p>
        </w:tc>
        <w:tc>
          <w:tcPr>
            <w:tcW w:w="490" w:type="pct"/>
            <w:tcBorders>
              <w:top w:val="nil"/>
              <w:left w:val="nil"/>
              <w:bottom w:val="nil"/>
              <w:right w:val="nil"/>
            </w:tcBorders>
            <w:shd w:val="clear" w:color="000000" w:fill="FFFFFF"/>
            <w:noWrap/>
            <w:vAlign w:val="center"/>
            <w:hideMark/>
          </w:tcPr>
          <w:p w14:paraId="34B78BBC"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28,898</w:t>
            </w:r>
          </w:p>
        </w:tc>
        <w:tc>
          <w:tcPr>
            <w:tcW w:w="47" w:type="pct"/>
            <w:tcBorders>
              <w:top w:val="nil"/>
              <w:left w:val="nil"/>
              <w:bottom w:val="nil"/>
              <w:right w:val="nil"/>
            </w:tcBorders>
            <w:shd w:val="clear" w:color="000000" w:fill="FFFFFF"/>
            <w:noWrap/>
            <w:vAlign w:val="center"/>
            <w:hideMark/>
          </w:tcPr>
          <w:p w14:paraId="00787B2D"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291A1297" w14:textId="77777777" w:rsidR="001B7BBF" w:rsidRPr="00FD24B8" w:rsidRDefault="001B7BBF" w:rsidP="001B7BBF">
            <w:pPr>
              <w:spacing w:after="0" w:line="240" w:lineRule="auto"/>
              <w:jc w:val="right"/>
              <w:rPr>
                <w:rFonts w:ascii="Arial" w:hAnsi="Arial" w:cs="Arial"/>
                <w:sz w:val="16"/>
                <w:szCs w:val="16"/>
              </w:rPr>
            </w:pPr>
            <w:r w:rsidRPr="00FD24B8">
              <w:rPr>
                <w:rFonts w:ascii="Arial" w:hAnsi="Arial" w:cs="Arial"/>
                <w:sz w:val="16"/>
                <w:szCs w:val="16"/>
              </w:rPr>
              <w:t>114,613</w:t>
            </w:r>
          </w:p>
        </w:tc>
      </w:tr>
      <w:tr w:rsidR="00B31B91" w:rsidRPr="00131EBC" w14:paraId="1D776F6D" w14:textId="77777777" w:rsidTr="001B7BBF">
        <w:trPr>
          <w:trHeight w:hRule="exact" w:val="60"/>
        </w:trPr>
        <w:tc>
          <w:tcPr>
            <w:tcW w:w="2001" w:type="pct"/>
            <w:tcBorders>
              <w:top w:val="nil"/>
              <w:left w:val="nil"/>
              <w:bottom w:val="nil"/>
              <w:right w:val="nil"/>
            </w:tcBorders>
            <w:shd w:val="clear" w:color="000000" w:fill="FFFFFF"/>
            <w:noWrap/>
            <w:vAlign w:val="center"/>
            <w:hideMark/>
          </w:tcPr>
          <w:p w14:paraId="29BE8DD2"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single" w:sz="4" w:space="0" w:color="auto"/>
              <w:right w:val="nil"/>
            </w:tcBorders>
            <w:shd w:val="clear" w:color="000000" w:fill="FFFFFF"/>
            <w:noWrap/>
            <w:vAlign w:val="center"/>
            <w:hideMark/>
          </w:tcPr>
          <w:p w14:paraId="0E536D63"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single" w:sz="4" w:space="0" w:color="auto"/>
              <w:right w:val="nil"/>
            </w:tcBorders>
            <w:shd w:val="clear" w:color="000000" w:fill="F2F9FC"/>
            <w:noWrap/>
            <w:vAlign w:val="center"/>
            <w:hideMark/>
          </w:tcPr>
          <w:p w14:paraId="3198160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single" w:sz="4" w:space="0" w:color="auto"/>
              <w:right w:val="nil"/>
            </w:tcBorders>
            <w:shd w:val="clear" w:color="000000" w:fill="FFFFFF"/>
            <w:noWrap/>
            <w:vAlign w:val="center"/>
            <w:hideMark/>
          </w:tcPr>
          <w:p w14:paraId="3290F031"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single" w:sz="4" w:space="0" w:color="auto"/>
              <w:right w:val="nil"/>
            </w:tcBorders>
            <w:shd w:val="clear" w:color="000000" w:fill="FFFFFF"/>
            <w:noWrap/>
            <w:vAlign w:val="center"/>
            <w:hideMark/>
          </w:tcPr>
          <w:p w14:paraId="7D5B5ABE"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90" w:type="pct"/>
            <w:tcBorders>
              <w:top w:val="nil"/>
              <w:left w:val="nil"/>
              <w:bottom w:val="single" w:sz="4" w:space="0" w:color="auto"/>
              <w:right w:val="nil"/>
            </w:tcBorders>
            <w:shd w:val="clear" w:color="000000" w:fill="FFFFFF"/>
            <w:noWrap/>
            <w:vAlign w:val="center"/>
            <w:hideMark/>
          </w:tcPr>
          <w:p w14:paraId="34B52E26"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25B83CDA"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single" w:sz="4" w:space="0" w:color="auto"/>
              <w:right w:val="nil"/>
            </w:tcBorders>
            <w:shd w:val="clear" w:color="000000" w:fill="FFFFFF"/>
            <w:noWrap/>
            <w:vAlign w:val="center"/>
            <w:hideMark/>
          </w:tcPr>
          <w:p w14:paraId="280330E4" w14:textId="77777777" w:rsidR="001B7BBF" w:rsidRPr="00FD24B8" w:rsidRDefault="001B7BBF" w:rsidP="001B7BBF">
            <w:pPr>
              <w:spacing w:after="0" w:line="240" w:lineRule="auto"/>
              <w:jc w:val="right"/>
              <w:rPr>
                <w:rFonts w:ascii="Arial" w:hAnsi="Arial" w:cs="Arial"/>
                <w:sz w:val="16"/>
                <w:szCs w:val="16"/>
              </w:rPr>
            </w:pPr>
            <w:r w:rsidRPr="00FD24B8">
              <w:rPr>
                <w:rFonts w:ascii="Arial" w:hAnsi="Arial" w:cs="Arial"/>
                <w:sz w:val="16"/>
                <w:szCs w:val="16"/>
              </w:rPr>
              <w:t> </w:t>
            </w:r>
          </w:p>
        </w:tc>
      </w:tr>
      <w:tr w:rsidR="00B31B91" w:rsidRPr="00131EBC" w14:paraId="3BBB1925"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09FA5ED9" w14:textId="11020631" w:rsidR="001B7BBF" w:rsidRPr="00131EBC" w:rsidRDefault="001B7BBF" w:rsidP="001B7BBF">
            <w:pPr>
              <w:spacing w:after="0" w:line="240" w:lineRule="auto"/>
              <w:jc w:val="left"/>
              <w:rPr>
                <w:rFonts w:ascii="Arial" w:hAnsi="Arial" w:cs="Arial"/>
                <w:b/>
                <w:sz w:val="16"/>
                <w:szCs w:val="16"/>
                <w:highlight w:val="darkCyan"/>
              </w:rPr>
            </w:pPr>
            <w:r w:rsidRPr="00FD24B8">
              <w:rPr>
                <w:rFonts w:ascii="Arial" w:hAnsi="Arial" w:cs="Arial"/>
                <w:b/>
                <w:sz w:val="16"/>
                <w:szCs w:val="16"/>
              </w:rPr>
              <w:t>2022</w:t>
            </w:r>
            <w:r w:rsidR="0031144A" w:rsidRPr="00FD24B8">
              <w:rPr>
                <w:rFonts w:ascii="Arial" w:hAnsi="Arial" w:cs="Arial"/>
                <w:b/>
                <w:sz w:val="16"/>
                <w:szCs w:val="16"/>
              </w:rPr>
              <w:noBreakHyphen/>
            </w:r>
            <w:r w:rsidRPr="00FD24B8">
              <w:rPr>
                <w:rFonts w:ascii="Arial" w:hAnsi="Arial" w:cs="Arial"/>
                <w:b/>
                <w:sz w:val="16"/>
                <w:szCs w:val="16"/>
              </w:rPr>
              <w:t>23 Budget underlying cash</w:t>
            </w:r>
          </w:p>
        </w:tc>
        <w:tc>
          <w:tcPr>
            <w:tcW w:w="490" w:type="pct"/>
            <w:tcBorders>
              <w:top w:val="nil"/>
              <w:left w:val="nil"/>
              <w:bottom w:val="nil"/>
              <w:right w:val="nil"/>
            </w:tcBorders>
            <w:shd w:val="clear" w:color="000000" w:fill="FFFFFF"/>
            <w:noWrap/>
            <w:vAlign w:val="center"/>
            <w:hideMark/>
          </w:tcPr>
          <w:p w14:paraId="651571CA"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2F9FC"/>
            <w:noWrap/>
            <w:vAlign w:val="center"/>
            <w:hideMark/>
          </w:tcPr>
          <w:p w14:paraId="02BB2CC0"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FFFFF"/>
            <w:noWrap/>
            <w:vAlign w:val="center"/>
            <w:hideMark/>
          </w:tcPr>
          <w:p w14:paraId="61B07779"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FFFFF"/>
            <w:noWrap/>
            <w:vAlign w:val="center"/>
            <w:hideMark/>
          </w:tcPr>
          <w:p w14:paraId="49E43FDD"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90" w:type="pct"/>
            <w:tcBorders>
              <w:top w:val="nil"/>
              <w:left w:val="nil"/>
              <w:bottom w:val="nil"/>
              <w:right w:val="nil"/>
            </w:tcBorders>
            <w:shd w:val="clear" w:color="000000" w:fill="FFFFFF"/>
            <w:noWrap/>
            <w:vAlign w:val="center"/>
            <w:hideMark/>
          </w:tcPr>
          <w:p w14:paraId="5472E923"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7" w:type="pct"/>
            <w:tcBorders>
              <w:top w:val="nil"/>
              <w:left w:val="nil"/>
              <w:bottom w:val="nil"/>
              <w:right w:val="nil"/>
            </w:tcBorders>
            <w:shd w:val="clear" w:color="000000" w:fill="FFFFFF"/>
            <w:noWrap/>
            <w:vAlign w:val="center"/>
            <w:hideMark/>
          </w:tcPr>
          <w:p w14:paraId="5766B41D"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03" w:type="pct"/>
            <w:tcBorders>
              <w:top w:val="nil"/>
              <w:left w:val="nil"/>
              <w:bottom w:val="nil"/>
              <w:right w:val="nil"/>
            </w:tcBorders>
            <w:shd w:val="clear" w:color="000000" w:fill="FFFFFF"/>
            <w:noWrap/>
            <w:vAlign w:val="center"/>
            <w:hideMark/>
          </w:tcPr>
          <w:p w14:paraId="1A18928E" w14:textId="77777777" w:rsidR="001B7BBF" w:rsidRPr="00FD24B8" w:rsidRDefault="001B7BBF" w:rsidP="001B7BBF">
            <w:pPr>
              <w:spacing w:after="0" w:line="240" w:lineRule="auto"/>
              <w:jc w:val="right"/>
              <w:rPr>
                <w:rFonts w:ascii="Arial" w:hAnsi="Arial" w:cs="Arial"/>
                <w:b/>
                <w:sz w:val="16"/>
                <w:szCs w:val="16"/>
              </w:rPr>
            </w:pPr>
            <w:r w:rsidRPr="00FD24B8">
              <w:rPr>
                <w:rFonts w:ascii="Arial" w:hAnsi="Arial" w:cs="Arial"/>
                <w:b/>
                <w:sz w:val="16"/>
                <w:szCs w:val="16"/>
              </w:rPr>
              <w:t> </w:t>
            </w:r>
          </w:p>
        </w:tc>
      </w:tr>
      <w:tr w:rsidR="00B31B91" w:rsidRPr="00131EBC" w14:paraId="07DC3445" w14:textId="77777777" w:rsidTr="001B7BBF">
        <w:trPr>
          <w:trHeight w:hRule="exact" w:val="225"/>
        </w:trPr>
        <w:tc>
          <w:tcPr>
            <w:tcW w:w="2001" w:type="pct"/>
            <w:tcBorders>
              <w:top w:val="nil"/>
              <w:left w:val="nil"/>
              <w:bottom w:val="nil"/>
              <w:right w:val="nil"/>
            </w:tcBorders>
            <w:shd w:val="clear" w:color="000000" w:fill="FFFFFF"/>
            <w:noWrap/>
            <w:vAlign w:val="center"/>
            <w:hideMark/>
          </w:tcPr>
          <w:p w14:paraId="13C065D4" w14:textId="77777777" w:rsidR="001B7BBF" w:rsidRPr="00131EBC" w:rsidRDefault="001B7BBF" w:rsidP="001B7BBF">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balance</w:t>
            </w:r>
          </w:p>
        </w:tc>
        <w:tc>
          <w:tcPr>
            <w:tcW w:w="490" w:type="pct"/>
            <w:tcBorders>
              <w:top w:val="nil"/>
              <w:left w:val="nil"/>
              <w:bottom w:val="nil"/>
              <w:right w:val="nil"/>
            </w:tcBorders>
            <w:shd w:val="clear" w:color="000000" w:fill="FFFFFF"/>
            <w:noWrap/>
            <w:vAlign w:val="center"/>
            <w:hideMark/>
          </w:tcPr>
          <w:p w14:paraId="570F3122" w14:textId="41D49EA0"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79,821</w:t>
            </w:r>
          </w:p>
        </w:tc>
        <w:tc>
          <w:tcPr>
            <w:tcW w:w="490" w:type="pct"/>
            <w:tcBorders>
              <w:top w:val="nil"/>
              <w:left w:val="nil"/>
              <w:bottom w:val="nil"/>
              <w:right w:val="nil"/>
            </w:tcBorders>
            <w:shd w:val="clear" w:color="000000" w:fill="F2F9FC"/>
            <w:noWrap/>
            <w:vAlign w:val="center"/>
            <w:hideMark/>
          </w:tcPr>
          <w:p w14:paraId="7CDCCB40" w14:textId="770506B9"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77,961</w:t>
            </w:r>
          </w:p>
        </w:tc>
        <w:tc>
          <w:tcPr>
            <w:tcW w:w="490" w:type="pct"/>
            <w:tcBorders>
              <w:top w:val="nil"/>
              <w:left w:val="nil"/>
              <w:bottom w:val="nil"/>
              <w:right w:val="nil"/>
            </w:tcBorders>
            <w:shd w:val="clear" w:color="000000" w:fill="FFFFFF"/>
            <w:noWrap/>
            <w:vAlign w:val="center"/>
            <w:hideMark/>
          </w:tcPr>
          <w:p w14:paraId="3D6E57A7" w14:textId="23F1B92C"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56,532</w:t>
            </w:r>
          </w:p>
        </w:tc>
        <w:tc>
          <w:tcPr>
            <w:tcW w:w="490" w:type="pct"/>
            <w:tcBorders>
              <w:top w:val="nil"/>
              <w:left w:val="nil"/>
              <w:bottom w:val="nil"/>
              <w:right w:val="nil"/>
            </w:tcBorders>
            <w:shd w:val="clear" w:color="000000" w:fill="FFFFFF"/>
            <w:noWrap/>
            <w:vAlign w:val="center"/>
            <w:hideMark/>
          </w:tcPr>
          <w:p w14:paraId="4D256FD1" w14:textId="043499F3"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47,108</w:t>
            </w:r>
          </w:p>
        </w:tc>
        <w:tc>
          <w:tcPr>
            <w:tcW w:w="490" w:type="pct"/>
            <w:tcBorders>
              <w:top w:val="nil"/>
              <w:left w:val="nil"/>
              <w:bottom w:val="nil"/>
              <w:right w:val="nil"/>
            </w:tcBorders>
            <w:shd w:val="clear" w:color="000000" w:fill="FFFFFF"/>
            <w:noWrap/>
            <w:vAlign w:val="center"/>
            <w:hideMark/>
          </w:tcPr>
          <w:p w14:paraId="303F9013" w14:textId="0CBEE840" w:rsidR="001B7BBF" w:rsidRPr="00131EBC" w:rsidRDefault="0031144A"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1B7BBF" w:rsidRPr="00FD24B8">
              <w:rPr>
                <w:rFonts w:ascii="Arial" w:hAnsi="Arial" w:cs="Arial"/>
                <w:b/>
                <w:sz w:val="16"/>
                <w:szCs w:val="16"/>
              </w:rPr>
              <w:t>43,068</w:t>
            </w:r>
          </w:p>
        </w:tc>
        <w:tc>
          <w:tcPr>
            <w:tcW w:w="47" w:type="pct"/>
            <w:tcBorders>
              <w:top w:val="nil"/>
              <w:left w:val="nil"/>
              <w:bottom w:val="nil"/>
              <w:right w:val="nil"/>
            </w:tcBorders>
            <w:shd w:val="clear" w:color="000000" w:fill="FFFFFF"/>
            <w:noWrap/>
            <w:vAlign w:val="center"/>
            <w:hideMark/>
          </w:tcPr>
          <w:p w14:paraId="1186F901" w14:textId="77777777" w:rsidR="001B7BBF" w:rsidRPr="00131EBC" w:rsidRDefault="001B7BBF" w:rsidP="001B7BB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03" w:type="pct"/>
            <w:tcBorders>
              <w:top w:val="nil"/>
              <w:left w:val="nil"/>
              <w:bottom w:val="nil"/>
              <w:right w:val="nil"/>
            </w:tcBorders>
            <w:shd w:val="clear" w:color="000000" w:fill="FFFFFF"/>
            <w:noWrap/>
            <w:vAlign w:val="center"/>
            <w:hideMark/>
          </w:tcPr>
          <w:p w14:paraId="020B5583" w14:textId="4C24BE58" w:rsidR="001B7BBF" w:rsidRPr="00FD24B8" w:rsidRDefault="0031144A" w:rsidP="001B7BBF">
            <w:pPr>
              <w:spacing w:after="0" w:line="240" w:lineRule="auto"/>
              <w:jc w:val="right"/>
              <w:rPr>
                <w:rFonts w:ascii="Arial" w:hAnsi="Arial" w:cs="Arial"/>
                <w:b/>
                <w:sz w:val="16"/>
                <w:szCs w:val="16"/>
              </w:rPr>
            </w:pPr>
            <w:r w:rsidRPr="00FD24B8">
              <w:rPr>
                <w:rFonts w:ascii="Arial" w:hAnsi="Arial" w:cs="Arial"/>
                <w:b/>
                <w:sz w:val="16"/>
                <w:szCs w:val="16"/>
              </w:rPr>
              <w:noBreakHyphen/>
            </w:r>
            <w:r w:rsidR="001B7BBF" w:rsidRPr="00FD24B8">
              <w:rPr>
                <w:rFonts w:ascii="Arial" w:hAnsi="Arial" w:cs="Arial"/>
                <w:b/>
                <w:sz w:val="16"/>
                <w:szCs w:val="16"/>
              </w:rPr>
              <w:t>224,670</w:t>
            </w:r>
          </w:p>
        </w:tc>
      </w:tr>
      <w:tr w:rsidR="00B31B91" w:rsidRPr="00131EBC" w14:paraId="463887E9" w14:textId="77777777" w:rsidTr="001B7BBF">
        <w:trPr>
          <w:trHeight w:hRule="exact" w:val="225"/>
        </w:trPr>
        <w:tc>
          <w:tcPr>
            <w:tcW w:w="2001" w:type="pct"/>
            <w:tcBorders>
              <w:top w:val="nil"/>
              <w:left w:val="nil"/>
              <w:bottom w:val="single" w:sz="4" w:space="0" w:color="000000"/>
              <w:right w:val="nil"/>
            </w:tcBorders>
            <w:shd w:val="clear" w:color="000000" w:fill="FFFFFF"/>
            <w:noWrap/>
            <w:vAlign w:val="center"/>
            <w:hideMark/>
          </w:tcPr>
          <w:p w14:paraId="25CDFEF5" w14:textId="77777777" w:rsidR="001B7BBF" w:rsidRPr="00131EBC" w:rsidRDefault="001B7BBF" w:rsidP="001B7BBF">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90" w:type="pct"/>
            <w:tcBorders>
              <w:top w:val="nil"/>
              <w:left w:val="nil"/>
              <w:bottom w:val="single" w:sz="4" w:space="0" w:color="000000"/>
              <w:right w:val="nil"/>
            </w:tcBorders>
            <w:shd w:val="clear" w:color="000000" w:fill="FFFFFF"/>
            <w:noWrap/>
            <w:vAlign w:val="center"/>
            <w:hideMark/>
          </w:tcPr>
          <w:p w14:paraId="6ABAB6D6" w14:textId="7F57E45D"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3.5</w:t>
            </w:r>
          </w:p>
        </w:tc>
        <w:tc>
          <w:tcPr>
            <w:tcW w:w="490" w:type="pct"/>
            <w:tcBorders>
              <w:top w:val="nil"/>
              <w:left w:val="nil"/>
              <w:bottom w:val="single" w:sz="4" w:space="0" w:color="000000"/>
              <w:right w:val="nil"/>
            </w:tcBorders>
            <w:shd w:val="clear" w:color="000000" w:fill="F2F9FC"/>
            <w:noWrap/>
            <w:vAlign w:val="center"/>
            <w:hideMark/>
          </w:tcPr>
          <w:p w14:paraId="18052964" w14:textId="6DDA1D85"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3.4</w:t>
            </w:r>
          </w:p>
        </w:tc>
        <w:tc>
          <w:tcPr>
            <w:tcW w:w="490" w:type="pct"/>
            <w:tcBorders>
              <w:top w:val="nil"/>
              <w:left w:val="nil"/>
              <w:bottom w:val="single" w:sz="4" w:space="0" w:color="000000"/>
              <w:right w:val="nil"/>
            </w:tcBorders>
            <w:shd w:val="clear" w:color="000000" w:fill="FFFFFF"/>
            <w:noWrap/>
            <w:vAlign w:val="center"/>
            <w:hideMark/>
          </w:tcPr>
          <w:p w14:paraId="1911A3DE" w14:textId="3F71D08D"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2.4</w:t>
            </w:r>
          </w:p>
        </w:tc>
        <w:tc>
          <w:tcPr>
            <w:tcW w:w="490" w:type="pct"/>
            <w:tcBorders>
              <w:top w:val="nil"/>
              <w:left w:val="nil"/>
              <w:bottom w:val="single" w:sz="4" w:space="0" w:color="000000"/>
              <w:right w:val="nil"/>
            </w:tcBorders>
            <w:shd w:val="clear" w:color="000000" w:fill="FFFFFF"/>
            <w:noWrap/>
            <w:vAlign w:val="center"/>
            <w:hideMark/>
          </w:tcPr>
          <w:p w14:paraId="54C83A83" w14:textId="06F4E93E"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1.9</w:t>
            </w:r>
          </w:p>
        </w:tc>
        <w:tc>
          <w:tcPr>
            <w:tcW w:w="490" w:type="pct"/>
            <w:tcBorders>
              <w:top w:val="nil"/>
              <w:left w:val="nil"/>
              <w:bottom w:val="single" w:sz="4" w:space="0" w:color="000000"/>
              <w:right w:val="nil"/>
            </w:tcBorders>
            <w:shd w:val="clear" w:color="000000" w:fill="FFFFFF"/>
            <w:noWrap/>
            <w:vAlign w:val="center"/>
            <w:hideMark/>
          </w:tcPr>
          <w:p w14:paraId="20799CA4" w14:textId="508D0583" w:rsidR="001B7BBF" w:rsidRPr="00131EBC" w:rsidRDefault="0031144A" w:rsidP="001B7BB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1B7BBF" w:rsidRPr="00FD24B8">
              <w:rPr>
                <w:rFonts w:ascii="Arial" w:hAnsi="Arial" w:cs="Arial"/>
                <w:sz w:val="16"/>
                <w:szCs w:val="16"/>
              </w:rPr>
              <w:t>1.6</w:t>
            </w:r>
          </w:p>
        </w:tc>
        <w:tc>
          <w:tcPr>
            <w:tcW w:w="47" w:type="pct"/>
            <w:tcBorders>
              <w:top w:val="nil"/>
              <w:left w:val="nil"/>
              <w:bottom w:val="single" w:sz="4" w:space="0" w:color="000000"/>
              <w:right w:val="nil"/>
            </w:tcBorders>
            <w:shd w:val="clear" w:color="000000" w:fill="FFFFFF"/>
            <w:noWrap/>
            <w:vAlign w:val="center"/>
            <w:hideMark/>
          </w:tcPr>
          <w:p w14:paraId="747B0C60" w14:textId="77777777" w:rsidR="001B7BBF" w:rsidRPr="00131EBC" w:rsidRDefault="001B7BBF" w:rsidP="001B7BB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3" w:type="pct"/>
            <w:tcBorders>
              <w:top w:val="nil"/>
              <w:left w:val="nil"/>
              <w:bottom w:val="single" w:sz="4" w:space="0" w:color="000000"/>
              <w:right w:val="nil"/>
            </w:tcBorders>
            <w:shd w:val="clear" w:color="000000" w:fill="FFFFFF"/>
            <w:noWrap/>
            <w:vAlign w:val="center"/>
            <w:hideMark/>
          </w:tcPr>
          <w:p w14:paraId="2F96C60C" w14:textId="77777777" w:rsidR="001B7BBF" w:rsidRPr="00FD24B8" w:rsidRDefault="001B7BBF" w:rsidP="001B7BBF">
            <w:pPr>
              <w:spacing w:after="0" w:line="240" w:lineRule="auto"/>
              <w:jc w:val="right"/>
              <w:rPr>
                <w:rFonts w:ascii="Arial" w:hAnsi="Arial" w:cs="Arial"/>
                <w:sz w:val="16"/>
                <w:szCs w:val="16"/>
              </w:rPr>
            </w:pPr>
            <w:r w:rsidRPr="00FD24B8">
              <w:rPr>
                <w:rFonts w:ascii="Arial" w:hAnsi="Arial" w:cs="Arial"/>
                <w:sz w:val="16"/>
                <w:szCs w:val="16"/>
              </w:rPr>
              <w:t> </w:t>
            </w:r>
          </w:p>
        </w:tc>
      </w:tr>
    </w:tbl>
    <w:p w14:paraId="186483B7" w14:textId="44C3F732" w:rsidR="001B7BBF" w:rsidRPr="00FD24B8" w:rsidRDefault="00DE2E09" w:rsidP="00953523">
      <w:pPr>
        <w:pStyle w:val="ChartandTableFootnote"/>
        <w:rPr>
          <w:color w:val="auto"/>
        </w:rPr>
      </w:pPr>
      <w:r w:rsidRPr="00FD24B8">
        <w:rPr>
          <w:rStyle w:val="ChartandTableFootnoteAlphaChar"/>
          <w:color w:val="auto"/>
        </w:rPr>
        <w:t xml:space="preserve">*Data is not </w:t>
      </w:r>
      <w:r w:rsidR="005463B7" w:rsidRPr="00FD24B8">
        <w:rPr>
          <w:rStyle w:val="ChartandTableFootnoteAlphaChar"/>
          <w:color w:val="auto"/>
        </w:rPr>
        <w:t>published</w:t>
      </w:r>
      <w:r w:rsidRPr="00FD24B8">
        <w:rPr>
          <w:color w:val="auto"/>
        </w:rPr>
        <w:t>.</w:t>
      </w:r>
    </w:p>
    <w:p w14:paraId="7E4D6459" w14:textId="65B2E412" w:rsidR="00DE2E09" w:rsidRPr="00FD24B8" w:rsidRDefault="00DE2E09" w:rsidP="004D6A22">
      <w:pPr>
        <w:pStyle w:val="ChartandTableFootnoteAlpha"/>
        <w:numPr>
          <w:ilvl w:val="0"/>
          <w:numId w:val="10"/>
        </w:numPr>
        <w:rPr>
          <w:color w:val="auto"/>
        </w:rPr>
      </w:pPr>
      <w:r w:rsidRPr="00FD24B8">
        <w:rPr>
          <w:color w:val="auto"/>
        </w:rPr>
        <w:t>Total is equal to the sum of amounts from 2022</w:t>
      </w:r>
      <w:r w:rsidR="00C1771F" w:rsidRPr="00FD24B8">
        <w:rPr>
          <w:color w:val="auto"/>
        </w:rPr>
        <w:noBreakHyphen/>
      </w:r>
      <w:r w:rsidRPr="00FD24B8">
        <w:rPr>
          <w:color w:val="auto"/>
        </w:rPr>
        <w:t>23 to 2025</w:t>
      </w:r>
      <w:r w:rsidR="00C1771F" w:rsidRPr="00FD24B8">
        <w:rPr>
          <w:color w:val="auto"/>
        </w:rPr>
        <w:noBreakHyphen/>
      </w:r>
      <w:r w:rsidRPr="00FD24B8">
        <w:rPr>
          <w:color w:val="auto"/>
        </w:rPr>
        <w:t>26.</w:t>
      </w:r>
    </w:p>
    <w:p w14:paraId="45D1C9B2" w14:textId="4BD381B5" w:rsidR="00DE2E09" w:rsidRPr="00FD24B8" w:rsidRDefault="00DE2E09" w:rsidP="00211710">
      <w:pPr>
        <w:pStyle w:val="ChartandTableFootnoteAlpha"/>
        <w:rPr>
          <w:color w:val="auto"/>
        </w:rPr>
      </w:pPr>
      <w:r w:rsidRPr="00FD24B8">
        <w:rPr>
          <w:color w:val="auto"/>
        </w:rPr>
        <w:t>Excludes secondary impacts on public debt interest of policy decisions</w:t>
      </w:r>
      <w:r w:rsidR="00427020" w:rsidRPr="00FD24B8">
        <w:rPr>
          <w:color w:val="auto"/>
        </w:rPr>
        <w:t xml:space="preserve"> and </w:t>
      </w:r>
      <w:r w:rsidRPr="00FD24B8">
        <w:rPr>
          <w:color w:val="auto"/>
        </w:rPr>
        <w:t>offsets from the Contingency Reserve for decisions taken.</w:t>
      </w:r>
    </w:p>
    <w:p w14:paraId="2074EC39" w14:textId="03DF732F" w:rsidR="00512E67" w:rsidRPr="00FD24B8" w:rsidRDefault="00512E67" w:rsidP="00211710">
      <w:pPr>
        <w:pStyle w:val="ChartandTableFootnoteAlpha"/>
        <w:rPr>
          <w:color w:val="auto"/>
        </w:rPr>
      </w:pPr>
      <w:r w:rsidRPr="00FD24B8">
        <w:rPr>
          <w:color w:val="auto"/>
        </w:rPr>
        <w:t>2025</w:t>
      </w:r>
      <w:r w:rsidR="0031144A" w:rsidRPr="00FD24B8">
        <w:rPr>
          <w:color w:val="auto"/>
        </w:rPr>
        <w:noBreakHyphen/>
      </w:r>
      <w:r w:rsidRPr="00FD24B8">
        <w:rPr>
          <w:color w:val="auto"/>
        </w:rPr>
        <w:t>26 underlying cash balance as published in the medium</w:t>
      </w:r>
      <w:r w:rsidR="00004B61" w:rsidRPr="00FD24B8">
        <w:rPr>
          <w:color w:val="auto"/>
        </w:rPr>
        <w:noBreakHyphen/>
      </w:r>
      <w:r w:rsidRPr="00FD24B8">
        <w:rPr>
          <w:color w:val="auto"/>
        </w:rPr>
        <w:t>term projections, page 47</w:t>
      </w:r>
      <w:r w:rsidR="00984443" w:rsidRPr="00FD24B8">
        <w:rPr>
          <w:color w:val="auto"/>
        </w:rPr>
        <w:t xml:space="preserve"> of the 2021</w:t>
      </w:r>
      <w:r w:rsidR="004B6FFC" w:rsidRPr="00FD24B8">
        <w:rPr>
          <w:color w:val="auto"/>
        </w:rPr>
        <w:noBreakHyphen/>
      </w:r>
      <w:r w:rsidR="00984443" w:rsidRPr="00FD24B8">
        <w:rPr>
          <w:color w:val="auto"/>
        </w:rPr>
        <w:t>22</w:t>
      </w:r>
      <w:r w:rsidR="004B6FFC" w:rsidRPr="00FD24B8">
        <w:rPr>
          <w:color w:val="auto"/>
        </w:rPr>
        <w:t> </w:t>
      </w:r>
      <w:r w:rsidR="00984443" w:rsidRPr="00FD24B8">
        <w:rPr>
          <w:color w:val="auto"/>
        </w:rPr>
        <w:t>MYEFO.</w:t>
      </w:r>
    </w:p>
    <w:p w14:paraId="215CD9AB" w14:textId="594AAA52" w:rsidR="00CE375F" w:rsidRPr="00211710" w:rsidRDefault="00DE2E09" w:rsidP="00211710">
      <w:pPr>
        <w:pStyle w:val="ChartandTableFootnoteAlpha"/>
      </w:pPr>
      <w:r w:rsidRPr="00FD24B8">
        <w:rPr>
          <w:color w:val="auto"/>
        </w:rPr>
        <w:t xml:space="preserve">A positive number for receipts improves the underlying cash balance, while a positive number for payments worsens the underlying cash balance. </w:t>
      </w:r>
      <w:bookmarkStart w:id="13" w:name="_Hlk71206977"/>
      <w:r w:rsidR="009749BF" w:rsidRPr="00211710">
        <w:fldChar w:fldCharType="begin"/>
      </w:r>
      <w:r w:rsidR="009749BF" w:rsidRPr="00211710">
        <w:instrText xml:space="preserve"> :End:FARM_LS1 </w:instrText>
      </w:r>
      <w:r w:rsidR="009749BF" w:rsidRPr="00211710">
        <w:fldChar w:fldCharType="end"/>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FE40BB" w14:paraId="7FA17908" w14:textId="77777777" w:rsidTr="001A0F69">
        <w:trPr>
          <w:cantSplit/>
        </w:trPr>
        <w:tc>
          <w:tcPr>
            <w:tcW w:w="5000" w:type="pct"/>
            <w:shd w:val="clear" w:color="auto" w:fill="F2F9FC"/>
          </w:tcPr>
          <w:p w14:paraId="3D7E8845" w14:textId="7C91C062" w:rsidR="00C64A38" w:rsidRDefault="00C951C1" w:rsidP="00C64A38">
            <w:pPr>
              <w:pStyle w:val="BoxHeading"/>
              <w:spacing w:before="0"/>
            </w:pPr>
            <w:r>
              <w:lastRenderedPageBreak/>
              <w:fldChar w:fldCharType="begin"/>
            </w:r>
            <w:r>
              <w:instrText xml:space="preserve"> :Start:BPD_BG1 </w:instrText>
            </w:r>
            <w:r>
              <w:fldChar w:fldCharType="end"/>
            </w:r>
            <w:r w:rsidR="00C64A38" w:rsidRPr="00FD24B8">
              <w:t>Box 3.4: Australia’s fiscal performance in an international context</w:t>
            </w:r>
            <w:r>
              <w:fldChar w:fldCharType="begin"/>
            </w:r>
            <w:r>
              <w:instrText xml:space="preserve"> :End:BPD_BG1 </w:instrText>
            </w:r>
            <w:r>
              <w:fldChar w:fldCharType="end"/>
            </w:r>
          </w:p>
          <w:p w14:paraId="732782FA" w14:textId="32DAC5F1" w:rsidR="00BE4FE4" w:rsidRPr="00BE4FE4" w:rsidRDefault="006A1D6D" w:rsidP="00557DE8">
            <w:pPr>
              <w:pStyle w:val="BoxText"/>
            </w:pPr>
            <w:r>
              <w:fldChar w:fldCharType="begin"/>
            </w:r>
            <w:r>
              <w:instrText xml:space="preserve"> :Start:</w:instrText>
            </w:r>
            <w:r w:rsidR="007D0641">
              <w:instrText>IESD_CG1</w:instrText>
            </w:r>
            <w:r>
              <w:instrText xml:space="preserve"> </w:instrText>
            </w:r>
            <w:r>
              <w:fldChar w:fldCharType="end"/>
            </w:r>
            <w:r w:rsidR="00BE4FE4" w:rsidRPr="00FD24B8">
              <w:t xml:space="preserve">The pandemic has left a large mark on government finances globally. </w:t>
            </w:r>
            <w:r w:rsidR="0066401D" w:rsidRPr="00FD24B8">
              <w:t>G</w:t>
            </w:r>
            <w:r w:rsidR="00BE4FE4" w:rsidRPr="00FD24B8">
              <w:t xml:space="preserve">eneral government debt </w:t>
            </w:r>
            <w:r w:rsidR="00264E53" w:rsidRPr="00FD24B8">
              <w:t xml:space="preserve">as a share of GDP </w:t>
            </w:r>
            <w:r w:rsidR="001E5995" w:rsidRPr="00FD24B8">
              <w:t xml:space="preserve">for </w:t>
            </w:r>
            <w:r w:rsidR="0066401D" w:rsidRPr="00FD24B8">
              <w:t xml:space="preserve">the G7 </w:t>
            </w:r>
            <w:r w:rsidR="001E5995" w:rsidRPr="00FD24B8">
              <w:t xml:space="preserve">economies </w:t>
            </w:r>
            <w:r w:rsidR="00BE4FE4" w:rsidRPr="00FD24B8">
              <w:t xml:space="preserve">is </w:t>
            </w:r>
            <w:r w:rsidR="00E47846" w:rsidRPr="00FD24B8">
              <w:t xml:space="preserve">expected to be </w:t>
            </w:r>
            <w:r w:rsidR="6980776A" w:rsidRPr="00FD24B8">
              <w:t>17.</w:t>
            </w:r>
            <w:r w:rsidR="63EB15A4" w:rsidRPr="00FD24B8">
              <w:t>7</w:t>
            </w:r>
            <w:r w:rsidR="00202473" w:rsidRPr="00FD24B8">
              <w:t> </w:t>
            </w:r>
            <w:r w:rsidR="00BE4FE4" w:rsidRPr="00FD24B8">
              <w:t xml:space="preserve">percentage points higher </w:t>
            </w:r>
            <w:r w:rsidR="00BE50F8" w:rsidRPr="00FD24B8">
              <w:t xml:space="preserve">in 2022 </w:t>
            </w:r>
            <w:r w:rsidR="0066401D" w:rsidRPr="00FD24B8">
              <w:t>than</w:t>
            </w:r>
            <w:r w:rsidR="00BE4FE4" w:rsidRPr="00FD24B8">
              <w:t xml:space="preserve"> </w:t>
            </w:r>
            <w:r w:rsidR="00DC7136" w:rsidRPr="00FD24B8">
              <w:t>in 2019</w:t>
            </w:r>
            <w:r w:rsidR="00225693" w:rsidRPr="00FD24B8">
              <w:t>, while</w:t>
            </w:r>
            <w:r w:rsidR="00BE4FE4" w:rsidRPr="00FD24B8" w:rsidDel="00A47F1A">
              <w:t xml:space="preserve"> </w:t>
            </w:r>
            <w:r w:rsidR="00A47F1A" w:rsidRPr="00FD24B8">
              <w:t xml:space="preserve">global </w:t>
            </w:r>
            <w:r w:rsidR="00BE4FE4" w:rsidRPr="00FD24B8">
              <w:t>government debt has reached record levels at almost 100 per cent of GDP</w:t>
            </w:r>
            <w:r w:rsidR="00A30F8F" w:rsidRPr="00FD24B8">
              <w:t xml:space="preserve"> according to the IMF.</w:t>
            </w:r>
            <w:r w:rsidR="00BA58EA" w:rsidRPr="00FD24B8">
              <w:t xml:space="preserve"> </w:t>
            </w:r>
            <w:r>
              <w:fldChar w:fldCharType="begin"/>
            </w:r>
            <w:r>
              <w:instrText xml:space="preserve"> :End:</w:instrText>
            </w:r>
            <w:r w:rsidR="007D0641">
              <w:instrText>IESD_CG1</w:instrText>
            </w:r>
            <w:r>
              <w:instrText xml:space="preserve"> </w:instrText>
            </w:r>
            <w:r>
              <w:fldChar w:fldCharType="end"/>
            </w:r>
          </w:p>
          <w:p w14:paraId="4A78495A" w14:textId="3C82CD1B" w:rsidR="00E31694" w:rsidRPr="00A56B05" w:rsidRDefault="003A02BD" w:rsidP="00E31694">
            <w:pPr>
              <w:pStyle w:val="BoxText"/>
            </w:pPr>
            <w:r>
              <w:fldChar w:fldCharType="begin"/>
            </w:r>
            <w:r>
              <w:instrText xml:space="preserve"> :Start:BPD_BG1 </w:instrText>
            </w:r>
            <w:r>
              <w:fldChar w:fldCharType="end"/>
            </w:r>
            <w:r w:rsidR="00E31694" w:rsidRPr="00FD24B8">
              <w:t>Relative to international peers, Australia entered the pandemic in a strong fiscal position with the budget in balance and our debt</w:t>
            </w:r>
            <w:r w:rsidR="0031144A" w:rsidRPr="00FD24B8">
              <w:noBreakHyphen/>
            </w:r>
            <w:r w:rsidR="00E31694" w:rsidRPr="00FD24B8">
              <w:t>to</w:t>
            </w:r>
            <w:r w:rsidR="0031144A" w:rsidRPr="00FD24B8">
              <w:noBreakHyphen/>
            </w:r>
            <w:r w:rsidR="00E31694" w:rsidRPr="00FD24B8">
              <w:t xml:space="preserve">GDP ratio lower than most other advanced economies. This strong fiscal position allowed the Government to </w:t>
            </w:r>
            <w:proofErr w:type="spellStart"/>
            <w:r w:rsidR="004C3804" w:rsidRPr="00FD24B8">
              <w:t>to</w:t>
            </w:r>
            <w:proofErr w:type="spellEnd"/>
            <w:r w:rsidR="00E31694" w:rsidRPr="00FD24B8">
              <w:t xml:space="preserve"> respond to the pandemic with a large package of health and economic measures</w:t>
            </w:r>
            <w:r w:rsidR="004C3804" w:rsidRPr="00FD24B8">
              <w:t xml:space="preserve"> </w:t>
            </w:r>
            <w:r w:rsidR="008E7DF3" w:rsidRPr="00FD24B8">
              <w:t xml:space="preserve">while maintaining relatively low debt </w:t>
            </w:r>
            <w:r w:rsidR="00A94550" w:rsidRPr="00FD24B8">
              <w:t xml:space="preserve">as </w:t>
            </w:r>
            <w:r w:rsidR="00944CEA" w:rsidRPr="00FD24B8">
              <w:t xml:space="preserve">a share of GDP </w:t>
            </w:r>
            <w:r w:rsidR="00E31694" w:rsidRPr="00FD24B8">
              <w:t>(Chart 3.</w:t>
            </w:r>
            <w:r w:rsidR="00420771" w:rsidRPr="00FD24B8">
              <w:t>9</w:t>
            </w:r>
            <w:r w:rsidR="00E31694" w:rsidRPr="00FD24B8">
              <w:t xml:space="preserve">).  </w:t>
            </w:r>
            <w:r w:rsidR="00C951C1">
              <w:fldChar w:fldCharType="begin"/>
            </w:r>
            <w:r w:rsidR="00C951C1">
              <w:instrText xml:space="preserve"> :End:BPD_BG1 </w:instrText>
            </w:r>
            <w:r w:rsidR="00C951C1">
              <w:fldChar w:fldCharType="end"/>
            </w:r>
          </w:p>
          <w:p w14:paraId="095D2F59" w14:textId="7056221B" w:rsidR="00BE4FE4" w:rsidRPr="00FD24B8" w:rsidRDefault="00C951C1" w:rsidP="00DD7DEF">
            <w:pPr>
              <w:keepNext/>
              <w:spacing w:before="120" w:after="120" w:line="240" w:lineRule="auto"/>
              <w:jc w:val="center"/>
              <w:rPr>
                <w:rFonts w:ascii="Arial" w:hAnsi="Arial"/>
                <w:b/>
              </w:rPr>
            </w:pPr>
            <w:r w:rsidRPr="00A56B05">
              <w:fldChar w:fldCharType="begin"/>
            </w:r>
            <w:r w:rsidRPr="00A56B05">
              <w:instrText xml:space="preserve"> :</w:instrText>
            </w:r>
            <w:r>
              <w:instrText>Start</w:instrText>
            </w:r>
            <w:r w:rsidRPr="00A56B05">
              <w:instrText>:</w:instrText>
            </w:r>
            <w:r w:rsidR="007D0641">
              <w:instrText>IESD_CG1</w:instrText>
            </w:r>
            <w:r w:rsidRPr="00A56B05">
              <w:instrText xml:space="preserve"> </w:instrText>
            </w:r>
            <w:r w:rsidRPr="00A56B05">
              <w:fldChar w:fldCharType="end"/>
            </w:r>
            <w:r w:rsidR="0011383B" w:rsidRPr="00FD24B8">
              <w:rPr>
                <w:rFonts w:ascii="Arial" w:hAnsi="Arial"/>
                <w:b/>
              </w:rPr>
              <w:t xml:space="preserve">Chart 3.9: </w:t>
            </w:r>
            <w:r w:rsidR="00BE4FE4" w:rsidRPr="00FD24B8">
              <w:rPr>
                <w:rFonts w:ascii="Arial" w:hAnsi="Arial"/>
                <w:b/>
              </w:rPr>
              <w:t xml:space="preserve">Gross </w:t>
            </w:r>
            <w:r w:rsidR="00672F1B" w:rsidRPr="00FD24B8">
              <w:rPr>
                <w:rFonts w:ascii="Arial" w:hAnsi="Arial"/>
                <w:b/>
              </w:rPr>
              <w:t>d</w:t>
            </w:r>
            <w:r w:rsidR="00BE4FE4" w:rsidRPr="00FD24B8">
              <w:rPr>
                <w:rFonts w:ascii="Arial" w:hAnsi="Arial"/>
                <w:b/>
              </w:rPr>
              <w:t xml:space="preserve">ebt </w:t>
            </w:r>
            <w:r w:rsidR="007E3F2B" w:rsidRPr="00FD24B8">
              <w:rPr>
                <w:rFonts w:ascii="Arial" w:hAnsi="Arial"/>
                <w:b/>
              </w:rPr>
              <w:t xml:space="preserve">in Australia and </w:t>
            </w:r>
            <w:r w:rsidR="000755C7" w:rsidRPr="00FD24B8">
              <w:rPr>
                <w:rFonts w:ascii="Arial" w:hAnsi="Arial"/>
                <w:b/>
              </w:rPr>
              <w:t xml:space="preserve">G7 </w:t>
            </w:r>
            <w:r w:rsidR="00672F1B" w:rsidRPr="00FD24B8">
              <w:rPr>
                <w:rFonts w:ascii="Arial" w:hAnsi="Arial"/>
                <w:b/>
              </w:rPr>
              <w:t>e</w:t>
            </w:r>
            <w:r w:rsidR="00BE4FE4" w:rsidRPr="00FD24B8">
              <w:rPr>
                <w:rFonts w:ascii="Arial" w:hAnsi="Arial"/>
                <w:b/>
              </w:rPr>
              <w:t xml:space="preserve">conomies </w:t>
            </w:r>
          </w:p>
          <w:p w14:paraId="09CB8B2B" w14:textId="209D95A8" w:rsidR="00AD4D28" w:rsidRPr="00FD24B8" w:rsidRDefault="00691DA4" w:rsidP="00691DA4">
            <w:pPr>
              <w:pStyle w:val="ChartGraphic"/>
            </w:pPr>
            <w:r w:rsidRPr="00FD24B8">
              <w:rPr>
                <w:noProof/>
              </w:rPr>
              <w:drawing>
                <wp:inline distT="0" distB="0" distL="0" distR="0" wp14:anchorId="7A35AD7E" wp14:editId="125A03D8">
                  <wp:extent cx="4681855" cy="2578735"/>
                  <wp:effectExtent l="0" t="0" r="4445" b="0"/>
                  <wp:docPr id="7" name="Picture 7" descr="This chart shows Australia's gross debt to GDP ratio in 2019 and 2022 compared to the G7 economies. In 2019 Australia's gross debt to GDP was lower than each G7 economy. While gross debt to GDP rose across each economy during the pandemic,Australia's debt to GDP ratio remains lower than each G7 economy in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chart shows Australia's gross debt to GDP ratio in 2019 and 2022 compared to the G7 economies. In 2019 Australia's gross debt to GDP was lower than each G7 economy. While gross debt to GDP rose across each economy during the pandemic,Australia's debt to GDP ratio remains lower than each G7 economy in 2022.&#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1855" cy="2578735"/>
                          </a:xfrm>
                          <a:prstGeom prst="rect">
                            <a:avLst/>
                          </a:prstGeom>
                          <a:noFill/>
                        </pic:spPr>
                      </pic:pic>
                    </a:graphicData>
                  </a:graphic>
                </wp:inline>
              </w:drawing>
            </w:r>
          </w:p>
          <w:p w14:paraId="0A27081B" w14:textId="2F6862BE" w:rsidR="00BE4FE4" w:rsidRPr="00FD24B8" w:rsidRDefault="00BE4FE4" w:rsidP="000E7366">
            <w:pPr>
              <w:pStyle w:val="ChartandTableFootnote"/>
              <w:rPr>
                <w:color w:val="auto"/>
              </w:rPr>
            </w:pPr>
            <w:r w:rsidRPr="00FD24B8">
              <w:rPr>
                <w:color w:val="auto"/>
              </w:rPr>
              <w:t xml:space="preserve">Note: </w:t>
            </w:r>
            <w:r w:rsidR="10CCCB6E" w:rsidRPr="00FD24B8">
              <w:rPr>
                <w:rFonts w:eastAsia="Calibri"/>
                <w:color w:val="auto"/>
              </w:rPr>
              <w:t xml:space="preserve">Data are prepared by the IMF and include total government debt (inclusive of state and local debt), slightly different assets and liabilities, and are prepared on a calendar year basis; they are not directly comparable to other debt metrics included in this </w:t>
            </w:r>
            <w:r w:rsidR="006A6A6C" w:rsidRPr="00FD24B8">
              <w:rPr>
                <w:rFonts w:eastAsia="Calibri"/>
                <w:color w:val="auto"/>
              </w:rPr>
              <w:t>Budget</w:t>
            </w:r>
            <w:r w:rsidR="7B789722" w:rsidRPr="00FD24B8">
              <w:rPr>
                <w:rFonts w:eastAsia="Calibri"/>
                <w:color w:val="auto"/>
              </w:rPr>
              <w:t>.</w:t>
            </w:r>
            <w:r w:rsidR="10CCCB6E" w:rsidRPr="00FD24B8">
              <w:rPr>
                <w:rFonts w:eastAsia="Calibri"/>
                <w:color w:val="auto"/>
              </w:rPr>
              <w:t xml:space="preserve"> </w:t>
            </w:r>
            <w:r w:rsidR="006D6DB8" w:rsidRPr="00FD24B8">
              <w:rPr>
                <w:rFonts w:eastAsia="Calibri"/>
                <w:color w:val="auto"/>
              </w:rPr>
              <w:t>Black</w:t>
            </w:r>
            <w:r w:rsidR="10CCCB6E" w:rsidRPr="00FD24B8">
              <w:rPr>
                <w:rFonts w:eastAsia="Calibri"/>
                <w:color w:val="auto"/>
              </w:rPr>
              <w:t xml:space="preserve"> dots show the Treasury estimate for Commonwealth Government </w:t>
            </w:r>
            <w:r w:rsidR="7DBCA7C2" w:rsidRPr="00FD24B8">
              <w:rPr>
                <w:rFonts w:eastAsia="Calibri"/>
                <w:color w:val="auto"/>
              </w:rPr>
              <w:t>gross</w:t>
            </w:r>
            <w:r w:rsidR="10CCCB6E" w:rsidRPr="00FD24B8">
              <w:rPr>
                <w:rFonts w:eastAsia="Calibri"/>
                <w:color w:val="auto"/>
              </w:rPr>
              <w:t xml:space="preserve"> debt as at 30 June.</w:t>
            </w:r>
            <w:r w:rsidR="10CCCB6E" w:rsidRPr="00FD24B8">
              <w:rPr>
                <w:color w:val="auto"/>
              </w:rPr>
              <w:t xml:space="preserve"> </w:t>
            </w:r>
          </w:p>
          <w:p w14:paraId="2CA75D9E" w14:textId="57EC81AB" w:rsidR="00BE4FE4" w:rsidRPr="00FD24B8" w:rsidRDefault="00BE4FE4" w:rsidP="0001360C">
            <w:pPr>
              <w:pStyle w:val="ChartandTableFootnote"/>
              <w:spacing w:after="120"/>
              <w:rPr>
                <w:color w:val="auto"/>
              </w:rPr>
            </w:pPr>
            <w:r w:rsidRPr="00FD24B8">
              <w:rPr>
                <w:color w:val="auto"/>
              </w:rPr>
              <w:t>Source: IMF Fiscal Monitor October 2021,</w:t>
            </w:r>
            <w:r w:rsidR="00060750" w:rsidRPr="00FD24B8">
              <w:rPr>
                <w:color w:val="auto"/>
              </w:rPr>
              <w:t xml:space="preserve"> </w:t>
            </w:r>
            <w:r w:rsidR="63EB15A4" w:rsidRPr="00FD24B8">
              <w:rPr>
                <w:color w:val="auto"/>
              </w:rPr>
              <w:t>Treasury</w:t>
            </w:r>
            <w:r w:rsidRPr="00FD24B8">
              <w:rPr>
                <w:color w:val="auto"/>
              </w:rPr>
              <w:t>.</w:t>
            </w:r>
          </w:p>
          <w:p w14:paraId="58062AB6" w14:textId="4F0C12F2" w:rsidR="00D603A4" w:rsidRPr="00750AA1" w:rsidRDefault="006A1D6D" w:rsidP="00211710">
            <w:pPr>
              <w:pStyle w:val="BoxText"/>
              <w:spacing w:before="0" w:after="240"/>
            </w:pPr>
            <w:r w:rsidRPr="00FD24B8">
              <w:fldChar w:fldCharType="begin"/>
            </w:r>
            <w:r w:rsidRPr="00FD24B8">
              <w:instrText xml:space="preserve"> :End:</w:instrText>
            </w:r>
            <w:r w:rsidR="007D0641" w:rsidRPr="00FD24B8">
              <w:instrText>IESD_CG1</w:instrText>
            </w:r>
            <w:r w:rsidRPr="00FD24B8">
              <w:instrText xml:space="preserve"> </w:instrText>
            </w:r>
            <w:r w:rsidRPr="00FD24B8">
              <w:fldChar w:fldCharType="end"/>
            </w:r>
            <w:r w:rsidR="00995E17" w:rsidRPr="00FD24B8">
              <w:fldChar w:fldCharType="begin"/>
            </w:r>
            <w:r w:rsidR="00995E17" w:rsidRPr="00FD24B8">
              <w:instrText xml:space="preserve"> :Start:MECD_TP2 </w:instrText>
            </w:r>
            <w:r w:rsidR="00995E17" w:rsidRPr="00FD24B8">
              <w:fldChar w:fldCharType="end"/>
            </w:r>
            <w:r w:rsidR="00BC3CC8" w:rsidRPr="00FD24B8">
              <w:t>By ensuring a swift recovery in the economy and thereby tax receipts, t</w:t>
            </w:r>
            <w:r w:rsidR="00BE4FE4" w:rsidRPr="00FD24B8">
              <w:t xml:space="preserve">he </w:t>
            </w:r>
            <w:r w:rsidR="009B2D63" w:rsidRPr="00FD24B8">
              <w:t xml:space="preserve">mix of </w:t>
            </w:r>
            <w:r w:rsidR="00BE4FE4" w:rsidRPr="00FD24B8">
              <w:t xml:space="preserve">measures </w:t>
            </w:r>
            <w:r w:rsidR="00F023EE" w:rsidRPr="00FD24B8">
              <w:t xml:space="preserve">chosen by </w:t>
            </w:r>
            <w:r w:rsidR="00BE4FE4" w:rsidRPr="00FD24B8">
              <w:t xml:space="preserve">the Government </w:t>
            </w:r>
            <w:r w:rsidR="00BC3CC8" w:rsidRPr="00FD24B8">
              <w:t xml:space="preserve">has been </w:t>
            </w:r>
            <w:r w:rsidR="008D2312" w:rsidRPr="00FD24B8">
              <w:t>a key</w:t>
            </w:r>
            <w:r w:rsidR="00BE4FE4" w:rsidRPr="00FD24B8">
              <w:t xml:space="preserve"> </w:t>
            </w:r>
            <w:r w:rsidR="008D2312" w:rsidRPr="00FD24B8">
              <w:t>factor behind</w:t>
            </w:r>
            <w:r w:rsidR="00BE4FE4" w:rsidRPr="00FD24B8">
              <w:t xml:space="preserve"> Australia’s </w:t>
            </w:r>
            <w:r w:rsidR="00D15C67" w:rsidRPr="00FD24B8">
              <w:t>relatively strong</w:t>
            </w:r>
            <w:r w:rsidR="000C4F15" w:rsidRPr="00FD24B8">
              <w:t xml:space="preserve"> fi</w:t>
            </w:r>
            <w:r w:rsidR="003E3819" w:rsidRPr="00FD24B8">
              <w:t>s</w:t>
            </w:r>
            <w:r w:rsidR="000C4F15" w:rsidRPr="00FD24B8">
              <w:t xml:space="preserve">cal </w:t>
            </w:r>
            <w:r w:rsidR="00A91213" w:rsidRPr="00FD24B8">
              <w:t>prospects</w:t>
            </w:r>
            <w:r w:rsidR="001918CB" w:rsidRPr="00FD24B8">
              <w:t xml:space="preserve"> </w:t>
            </w:r>
            <w:r w:rsidR="00120661" w:rsidRPr="00FD24B8">
              <w:t>(</w:t>
            </w:r>
            <w:r w:rsidR="00C115CE" w:rsidRPr="00FD24B8">
              <w:t>Box 3.</w:t>
            </w:r>
            <w:r w:rsidR="0042222E" w:rsidRPr="00FD24B8">
              <w:t>3</w:t>
            </w:r>
            <w:r w:rsidR="00C115CE" w:rsidRPr="00FD24B8">
              <w:t>).</w:t>
            </w:r>
            <w:r w:rsidR="00632D2B" w:rsidRPr="00FD24B8">
              <w:t xml:space="preserve"> </w:t>
            </w:r>
            <w:r w:rsidR="001F2024" w:rsidRPr="00FD24B8">
              <w:fldChar w:fldCharType="begin"/>
            </w:r>
            <w:r w:rsidR="001F2024" w:rsidRPr="00FD24B8">
              <w:instrText xml:space="preserve"> :End:MECD_TP2 </w:instrText>
            </w:r>
            <w:r w:rsidR="001F2024" w:rsidRPr="00FD24B8">
              <w:fldChar w:fldCharType="end"/>
            </w:r>
            <w:r w:rsidR="001F2024" w:rsidRPr="00FD24B8">
              <w:fldChar w:fldCharType="begin"/>
            </w:r>
            <w:r w:rsidR="001F2024" w:rsidRPr="00FD24B8">
              <w:instrText xml:space="preserve"> :Start:LEIID_LB1 </w:instrText>
            </w:r>
            <w:r w:rsidR="001F2024" w:rsidRPr="00FD24B8">
              <w:fldChar w:fldCharType="end"/>
            </w:r>
            <w:proofErr w:type="gramStart"/>
            <w:r w:rsidR="00977935" w:rsidRPr="00FD24B8">
              <w:t xml:space="preserve">In particular, </w:t>
            </w:r>
            <w:r w:rsidR="00BE4FE4" w:rsidRPr="00FD24B8">
              <w:t>countries</w:t>
            </w:r>
            <w:proofErr w:type="gramEnd"/>
            <w:r w:rsidR="00BE4FE4" w:rsidRPr="00FD24B8">
              <w:t xml:space="preserve"> that introduced job retention schemes</w:t>
            </w:r>
            <w:r w:rsidR="00AE16AF" w:rsidRPr="00FD24B8">
              <w:t xml:space="preserve"> </w:t>
            </w:r>
            <w:r w:rsidR="00BE4FE4" w:rsidRPr="00FD24B8">
              <w:t xml:space="preserve">such as </w:t>
            </w:r>
            <w:proofErr w:type="spellStart"/>
            <w:r w:rsidR="00BE4FE4" w:rsidRPr="00FD24B8">
              <w:t>JobKeeper</w:t>
            </w:r>
            <w:proofErr w:type="spellEnd"/>
            <w:r w:rsidR="00BE4FE4" w:rsidRPr="00FD24B8">
              <w:t xml:space="preserve"> have </w:t>
            </w:r>
            <w:r w:rsidR="00C05D4B" w:rsidRPr="00FD24B8">
              <w:t>successfully preserved employment and</w:t>
            </w:r>
            <w:r w:rsidR="00425C0F" w:rsidRPr="00FD24B8">
              <w:t xml:space="preserve"> </w:t>
            </w:r>
            <w:r w:rsidR="0093084B" w:rsidRPr="00FD24B8">
              <w:t>supported incomes</w:t>
            </w:r>
            <w:r w:rsidR="00291B36" w:rsidRPr="00FD24B8">
              <w:t>,</w:t>
            </w:r>
            <w:r w:rsidR="00977935" w:rsidRPr="00FD24B8">
              <w:t xml:space="preserve"> according to OECD research</w:t>
            </w:r>
            <w:r w:rsidR="00BE4FE4" w:rsidRPr="00FD24B8">
              <w:t>.</w:t>
            </w:r>
            <w:r w:rsidR="001F2024">
              <w:fldChar w:fldCharType="begin"/>
            </w:r>
            <w:r w:rsidR="001F2024">
              <w:instrText xml:space="preserve"> :End:LEIID_LB1 </w:instrText>
            </w:r>
            <w:r w:rsidR="001F2024">
              <w:fldChar w:fldCharType="end"/>
            </w:r>
            <w:r w:rsidR="00BE4FE4" w:rsidRPr="00A56B05">
              <w:t xml:space="preserve"> </w:t>
            </w:r>
            <w:r w:rsidR="001F2024" w:rsidRPr="00A56B05">
              <w:fldChar w:fldCharType="begin"/>
            </w:r>
            <w:r w:rsidR="001F2024" w:rsidRPr="00A56B05">
              <w:instrText xml:space="preserve"> :Start:MECD_TP2 </w:instrText>
            </w:r>
            <w:r w:rsidR="001F2024" w:rsidRPr="00A56B05">
              <w:fldChar w:fldCharType="end"/>
            </w:r>
            <w:r w:rsidR="00BE4FE4" w:rsidRPr="00FD24B8">
              <w:t xml:space="preserve">However, even </w:t>
            </w:r>
            <w:r w:rsidR="001B4028" w:rsidRPr="00FD24B8">
              <w:t xml:space="preserve">among </w:t>
            </w:r>
            <w:r w:rsidR="00BE4FE4" w:rsidRPr="00FD24B8">
              <w:t>economies</w:t>
            </w:r>
            <w:r w:rsidR="001B4028" w:rsidRPr="00FD24B8">
              <w:t xml:space="preserve"> that introduced job </w:t>
            </w:r>
            <w:r w:rsidR="00977935" w:rsidRPr="00FD24B8">
              <w:t>retention</w:t>
            </w:r>
            <w:r w:rsidR="00405111" w:rsidRPr="00FD24B8">
              <w:t xml:space="preserve"> </w:t>
            </w:r>
            <w:r w:rsidR="00977935" w:rsidRPr="00FD24B8">
              <w:t>schemes</w:t>
            </w:r>
            <w:r w:rsidR="00BE4FE4" w:rsidRPr="00FD24B8">
              <w:t>, Australia</w:t>
            </w:r>
            <w:r w:rsidR="009B4A53" w:rsidRPr="00FD24B8">
              <w:t>’s</w:t>
            </w:r>
            <w:r w:rsidR="00DD61E8" w:rsidRPr="00FD24B8">
              <w:t xml:space="preserve"> </w:t>
            </w:r>
            <w:r w:rsidR="00BE4FE4" w:rsidRPr="00FD24B8">
              <w:t>recovery</w:t>
            </w:r>
            <w:r w:rsidR="009B4A53" w:rsidRPr="00FD24B8">
              <w:t xml:space="preserve"> has been </w:t>
            </w:r>
            <w:r w:rsidR="00DF072C" w:rsidRPr="00FD24B8">
              <w:t>notable</w:t>
            </w:r>
            <w:r w:rsidR="00BE4FE4" w:rsidRPr="00FD24B8">
              <w:t>. By March 2021, Australia had surpassed its pre</w:t>
            </w:r>
            <w:r w:rsidR="00C1771F" w:rsidRPr="00FD24B8">
              <w:noBreakHyphen/>
            </w:r>
            <w:r w:rsidR="00BE4FE4" w:rsidRPr="00FD24B8">
              <w:t>COVID</w:t>
            </w:r>
            <w:r w:rsidR="00C1771F" w:rsidRPr="00FD24B8">
              <w:noBreakHyphen/>
            </w:r>
            <w:r w:rsidR="00BE4FE4" w:rsidRPr="00FD24B8">
              <w:t>19 levels of GDP and employment, a better outcome than all major advanced economies.</w:t>
            </w:r>
            <w:r w:rsidR="001F2024" w:rsidRPr="00FD24B8">
              <w:t xml:space="preserve"> </w:t>
            </w:r>
            <w:r w:rsidR="005153EB" w:rsidRPr="00A56B05">
              <w:fldChar w:fldCharType="begin"/>
            </w:r>
            <w:r w:rsidR="005153EB" w:rsidRPr="00A56B05">
              <w:instrText xml:space="preserve"> :End:MECD_TP2 </w:instrText>
            </w:r>
            <w:r w:rsidR="005153EB" w:rsidRPr="00A56B05">
              <w:fldChar w:fldCharType="end"/>
            </w:r>
          </w:p>
        </w:tc>
      </w:tr>
      <w:tr w:rsidR="00735C87" w14:paraId="4FD28F28" w14:textId="77777777" w:rsidTr="002E7B71">
        <w:trPr>
          <w:cantSplit/>
        </w:trPr>
        <w:tc>
          <w:tcPr>
            <w:tcW w:w="5000" w:type="pct"/>
            <w:shd w:val="clear" w:color="auto" w:fill="F2F9FC"/>
          </w:tcPr>
          <w:p w14:paraId="365F7A72" w14:textId="30C06F5C" w:rsidR="00735C87" w:rsidRDefault="00735C87" w:rsidP="00735C87">
            <w:pPr>
              <w:pStyle w:val="BoxHeading"/>
              <w:spacing w:before="0"/>
            </w:pPr>
            <w:bookmarkStart w:id="14" w:name="_Toc98757987"/>
            <w:r w:rsidRPr="00C127B4">
              <w:lastRenderedPageBreak/>
              <w:t>Box 3.</w:t>
            </w:r>
            <w:r>
              <w:t>4</w:t>
            </w:r>
            <w:r w:rsidRPr="00C127B4">
              <w:t xml:space="preserve">: Australia’s fiscal </w:t>
            </w:r>
            <w:r>
              <w:t>performance</w:t>
            </w:r>
            <w:r w:rsidRPr="0096681B">
              <w:t xml:space="preserve"> </w:t>
            </w:r>
            <w:r>
              <w:t>in an</w:t>
            </w:r>
            <w:r w:rsidRPr="00C127B4">
              <w:t xml:space="preserve"> </w:t>
            </w:r>
            <w:r w:rsidRPr="00BE6368">
              <w:t xml:space="preserve">international </w:t>
            </w:r>
            <w:r>
              <w:t>context (continued)</w:t>
            </w:r>
          </w:p>
          <w:p w14:paraId="0770F742" w14:textId="0EFDDCAD" w:rsidR="00735C87" w:rsidRPr="00FD24B8" w:rsidRDefault="00735C87" w:rsidP="00735C87">
            <w:pPr>
              <w:pStyle w:val="BoxText"/>
              <w:spacing w:before="0" w:after="240"/>
            </w:pPr>
            <w:r>
              <w:fldChar w:fldCharType="begin"/>
            </w:r>
            <w:r>
              <w:instrText xml:space="preserve"> :Start:BPD_BG1 </w:instrText>
            </w:r>
            <w:r>
              <w:fldChar w:fldCharType="end"/>
            </w:r>
            <w:r w:rsidRPr="00FD24B8">
              <w:t xml:space="preserve">At the same time, the focus on </w:t>
            </w:r>
            <w:r w:rsidR="00466F57" w:rsidRPr="00FD24B8">
              <w:t xml:space="preserve">policies </w:t>
            </w:r>
            <w:r w:rsidRPr="00FD24B8">
              <w:t xml:space="preserve">that were temporary, targeted and proportionate has allowed </w:t>
            </w:r>
            <w:r w:rsidR="00115013" w:rsidRPr="00FD24B8">
              <w:t>g</w:t>
            </w:r>
            <w:r w:rsidRPr="00FD24B8">
              <w:t>overnment payments to taper and the budget deficit to narrow as the economy recovers. Despite the pandemic, this means Australia’s fiscal position remain</w:t>
            </w:r>
            <w:r w:rsidRPr="00FD24B8" w:rsidDel="00DA00DB">
              <w:t>s</w:t>
            </w:r>
            <w:r w:rsidRPr="00FD24B8">
              <w:t xml:space="preserve"> sound with relatively low levels of debt ensuring that borrowing costs also remain low. </w:t>
            </w:r>
          </w:p>
          <w:p w14:paraId="4933EED6" w14:textId="16B5D26B" w:rsidR="00124326" w:rsidRPr="00FD24B8" w:rsidRDefault="00735C87" w:rsidP="00F73C60">
            <w:pPr>
              <w:pStyle w:val="BoxText"/>
              <w:spacing w:before="0" w:after="240"/>
            </w:pPr>
            <w:r w:rsidRPr="00FD24B8">
              <w:fldChar w:fldCharType="begin"/>
            </w:r>
            <w:r w:rsidRPr="00FD24B8">
              <w:instrText xml:space="preserve"> :End:BPD_BG1 </w:instrText>
            </w:r>
            <w:r w:rsidRPr="00FD24B8">
              <w:fldChar w:fldCharType="end"/>
            </w:r>
            <w:r w:rsidRPr="00FD24B8">
              <w:fldChar w:fldCharType="begin"/>
            </w:r>
            <w:r w:rsidRPr="00FD24B8">
              <w:instrText xml:space="preserve"> :Start:MAPB_MC1 </w:instrText>
            </w:r>
            <w:r w:rsidRPr="00FD24B8">
              <w:fldChar w:fldCharType="end"/>
            </w:r>
            <w:r w:rsidR="00491053" w:rsidRPr="00FD24B8">
              <w:t xml:space="preserve">The </w:t>
            </w:r>
            <w:r w:rsidRPr="00FD24B8">
              <w:t xml:space="preserve">large increases in debt experienced </w:t>
            </w:r>
            <w:r w:rsidR="00F47B4E" w:rsidRPr="00FD24B8">
              <w:t xml:space="preserve">by many countries </w:t>
            </w:r>
            <w:r w:rsidRPr="00FD24B8">
              <w:t xml:space="preserve">during the pandemic will present policy challenges in the years ahead. </w:t>
            </w:r>
            <w:r w:rsidR="00C17AB5" w:rsidRPr="00FD24B8">
              <w:t>As well as</w:t>
            </w:r>
            <w:r w:rsidR="009519BD" w:rsidRPr="00FD24B8">
              <w:t xml:space="preserve"> </w:t>
            </w:r>
            <w:r w:rsidR="00860516" w:rsidRPr="00FD24B8">
              <w:t>reduc</w:t>
            </w:r>
            <w:r w:rsidR="009519BD" w:rsidRPr="00FD24B8">
              <w:t>ing</w:t>
            </w:r>
            <w:r w:rsidR="00860516" w:rsidRPr="00FD24B8">
              <w:t xml:space="preserve"> </w:t>
            </w:r>
            <w:r w:rsidR="00722758" w:rsidRPr="00FD24B8">
              <w:t>the</w:t>
            </w:r>
            <w:r w:rsidR="00860516" w:rsidRPr="00FD24B8">
              <w:t xml:space="preserve"> fiscal space available to address future crises, higher </w:t>
            </w:r>
            <w:r w:rsidR="00CC69AA" w:rsidRPr="00FD24B8">
              <w:t xml:space="preserve">debt </w:t>
            </w:r>
            <w:r w:rsidR="00CF268F" w:rsidRPr="00FD24B8">
              <w:t>result</w:t>
            </w:r>
            <w:r w:rsidR="00EC4D56" w:rsidRPr="00FD24B8">
              <w:t>s</w:t>
            </w:r>
            <w:r w:rsidR="00CF268F" w:rsidRPr="00FD24B8">
              <w:t xml:space="preserve"> in</w:t>
            </w:r>
            <w:r w:rsidR="00CC69AA" w:rsidRPr="00FD24B8">
              <w:t xml:space="preserve"> </w:t>
            </w:r>
            <w:r w:rsidR="00860516" w:rsidRPr="00FD24B8">
              <w:t xml:space="preserve">higher interest payments as a share of GDP and make </w:t>
            </w:r>
            <w:r w:rsidR="00E60683" w:rsidRPr="00FD24B8">
              <w:t>fiscal</w:t>
            </w:r>
            <w:r w:rsidR="00860516" w:rsidRPr="00FD24B8">
              <w:t xml:space="preserve"> positions more sensitive to </w:t>
            </w:r>
            <w:r w:rsidR="00EB7AA7" w:rsidRPr="00FD24B8">
              <w:t>future</w:t>
            </w:r>
            <w:r w:rsidR="00860516" w:rsidRPr="00FD24B8">
              <w:t xml:space="preserve"> increases in yields. </w:t>
            </w:r>
          </w:p>
          <w:p w14:paraId="791002DC" w14:textId="7DEFE43D" w:rsidR="00735C87" w:rsidRPr="00FD24B8" w:rsidRDefault="00860516" w:rsidP="00216FB2">
            <w:pPr>
              <w:pStyle w:val="BoxText"/>
              <w:spacing w:before="0" w:after="240"/>
            </w:pPr>
            <w:r>
              <w:fldChar w:fldCharType="begin"/>
            </w:r>
            <w:r>
              <w:instrText xml:space="preserve"> :End:MAPB_MC1 </w:instrText>
            </w:r>
            <w:r>
              <w:fldChar w:fldCharType="end"/>
            </w:r>
            <w:r w:rsidR="001F65F2">
              <w:t>In this context</w:t>
            </w:r>
            <w:r w:rsidR="00F73C60">
              <w:t xml:space="preserve">, </w:t>
            </w:r>
            <w:r w:rsidR="00735C87">
              <w:fldChar w:fldCharType="begin"/>
            </w:r>
            <w:r w:rsidR="00735C87">
              <w:instrText xml:space="preserve"> :Start:MAPB_MC1 </w:instrText>
            </w:r>
            <w:r w:rsidR="00735C87">
              <w:fldChar w:fldCharType="end"/>
            </w:r>
            <w:r w:rsidR="00735C87" w:rsidRPr="00FD24B8">
              <w:t>some governments have signalled their intention to tighten fiscal policy in 2022 and 2023</w:t>
            </w:r>
            <w:r w:rsidR="00F73C60" w:rsidRPr="00FD24B8">
              <w:t xml:space="preserve"> as their economies have recovered</w:t>
            </w:r>
            <w:r w:rsidR="00735C87" w:rsidRPr="00FD24B8">
              <w:t xml:space="preserve">, while others have yet to define specific targets or timeframes. </w:t>
            </w:r>
            <w:r w:rsidR="00735C87" w:rsidRPr="00FD24B8">
              <w:rPr>
                <w:rFonts w:eastAsia="Calibri"/>
              </w:rPr>
              <w:fldChar w:fldCharType="begin"/>
            </w:r>
            <w:r w:rsidR="00735C87" w:rsidRPr="00FD24B8">
              <w:rPr>
                <w:rFonts w:eastAsia="Calibri"/>
              </w:rPr>
              <w:instrText xml:space="preserve"> :End:MAPB_MC1 </w:instrText>
            </w:r>
            <w:r w:rsidR="00735C87" w:rsidRPr="00FD24B8">
              <w:rPr>
                <w:rFonts w:eastAsia="Calibri"/>
              </w:rPr>
              <w:fldChar w:fldCharType="end"/>
            </w:r>
            <w:r w:rsidR="00735C87" w:rsidRPr="00FD24B8">
              <w:rPr>
                <w:rFonts w:eastAsia="Calibri"/>
              </w:rPr>
              <w:fldChar w:fldCharType="begin"/>
            </w:r>
            <w:r w:rsidR="00735C87" w:rsidRPr="00FD24B8">
              <w:rPr>
                <w:rFonts w:eastAsia="Calibri"/>
              </w:rPr>
              <w:instrText xml:space="preserve"> :Start:BPD_BG1 </w:instrText>
            </w:r>
            <w:r w:rsidR="00735C87" w:rsidRPr="00FD24B8">
              <w:rPr>
                <w:rFonts w:eastAsia="Calibri"/>
              </w:rPr>
              <w:fldChar w:fldCharType="end"/>
            </w:r>
            <w:r w:rsidR="00735C87" w:rsidRPr="00FD24B8">
              <w:rPr>
                <w:rFonts w:eastAsia="Calibri"/>
              </w:rPr>
              <w:t>For</w:t>
            </w:r>
            <w:r w:rsidR="00735C87" w:rsidRPr="00FD24B8" w:rsidDel="00F742CB">
              <w:rPr>
                <w:rFonts w:eastAsia="Calibri"/>
              </w:rPr>
              <w:t xml:space="preserve"> </w:t>
            </w:r>
            <w:r w:rsidR="00735C87" w:rsidRPr="00FD24B8">
              <w:rPr>
                <w:rFonts w:eastAsia="Calibri"/>
              </w:rPr>
              <w:t xml:space="preserve">Australia, our strong economic recovery has allowed the Government to transition to the task of rebuilding fiscal space earlier than most other economies. </w:t>
            </w:r>
            <w:r w:rsidR="00735C87" w:rsidRPr="00FD24B8">
              <w:rPr>
                <w:rFonts w:eastAsia="Calibri"/>
              </w:rPr>
              <w:fldChar w:fldCharType="begin"/>
            </w:r>
            <w:r w:rsidR="00735C87" w:rsidRPr="00FD24B8">
              <w:rPr>
                <w:rFonts w:eastAsia="Calibri"/>
              </w:rPr>
              <w:instrText xml:space="preserve"> :End:BPD_BG1 </w:instrText>
            </w:r>
            <w:r w:rsidR="00735C87" w:rsidRPr="00FD24B8">
              <w:rPr>
                <w:rFonts w:eastAsia="Calibri"/>
              </w:rPr>
              <w:fldChar w:fldCharType="end"/>
            </w:r>
            <w:r w:rsidR="00735C87" w:rsidRPr="00FD24B8">
              <w:rPr>
                <w:rFonts w:eastAsia="Calibri"/>
              </w:rPr>
              <w:fldChar w:fldCharType="begin"/>
            </w:r>
            <w:r w:rsidR="00735C87" w:rsidRPr="00FD24B8">
              <w:rPr>
                <w:rFonts w:eastAsia="Calibri"/>
              </w:rPr>
              <w:instrText xml:space="preserve"> :Start:MAPD_MC2 </w:instrText>
            </w:r>
            <w:r w:rsidR="00735C87" w:rsidRPr="00FD24B8">
              <w:rPr>
                <w:rFonts w:eastAsia="Calibri"/>
              </w:rPr>
              <w:fldChar w:fldCharType="end"/>
            </w:r>
            <w:r w:rsidR="00735C87" w:rsidRPr="00FD24B8">
              <w:t>Reducing debt over the medium term will help maintain Australia’s status as one of just nine countries with a AAA</w:t>
            </w:r>
            <w:r w:rsidR="002474EC" w:rsidRPr="00FD24B8">
              <w:t> </w:t>
            </w:r>
            <w:r w:rsidR="00735C87" w:rsidRPr="00FD24B8">
              <w:t xml:space="preserve">credit rating </w:t>
            </w:r>
            <w:r w:rsidR="003A00E3" w:rsidRPr="00FD24B8">
              <w:t xml:space="preserve">by </w:t>
            </w:r>
            <w:r w:rsidR="00735C87" w:rsidRPr="00FD24B8">
              <w:t xml:space="preserve">all </w:t>
            </w:r>
            <w:r w:rsidR="00102091" w:rsidRPr="00FD24B8">
              <w:t>3</w:t>
            </w:r>
            <w:r w:rsidR="00735C87" w:rsidRPr="00FD24B8">
              <w:t xml:space="preserve"> major rating </w:t>
            </w:r>
            <w:r w:rsidR="00735C87" w:rsidRPr="00FD24B8" w:rsidDel="00B76F3A">
              <w:t xml:space="preserve">agencies </w:t>
            </w:r>
            <w:r w:rsidR="00735C87" w:rsidRPr="00FD24B8">
              <w:t>(Table 3.</w:t>
            </w:r>
            <w:r w:rsidR="00797E1B" w:rsidRPr="00FD24B8">
              <w:t>4</w:t>
            </w:r>
            <w:r w:rsidR="00735C87" w:rsidRPr="00FD24B8">
              <w:t xml:space="preserve">). </w:t>
            </w:r>
          </w:p>
          <w:p w14:paraId="764AB3D8" w14:textId="64B92BD7" w:rsidR="00735C87" w:rsidRPr="00FD24B8" w:rsidRDefault="00735C87" w:rsidP="00C649B3">
            <w:pPr>
              <w:pStyle w:val="TableHeading"/>
            </w:pPr>
            <w:r w:rsidRPr="00FD24B8">
              <w:fldChar w:fldCharType="begin"/>
            </w:r>
            <w:r w:rsidRPr="00FD24B8">
              <w:instrText xml:space="preserve"> :End:MAPD_MC2 </w:instrText>
            </w:r>
            <w:r w:rsidRPr="00FD24B8">
              <w:fldChar w:fldCharType="end"/>
            </w:r>
            <w:r w:rsidRPr="00FD24B8">
              <w:fldChar w:fldCharType="begin"/>
            </w:r>
            <w:r w:rsidRPr="00FD24B8">
              <w:instrText xml:space="preserve"> :Start:MAPD_MC2 </w:instrText>
            </w:r>
            <w:r w:rsidRPr="00FD24B8">
              <w:fldChar w:fldCharType="end"/>
            </w:r>
            <w:r w:rsidRPr="00FD24B8">
              <w:t>Table 3.</w:t>
            </w:r>
            <w:r w:rsidR="00797E1B" w:rsidRPr="00FD24B8">
              <w:t>4</w:t>
            </w:r>
            <w:r w:rsidRPr="00FD24B8">
              <w:t>: Credit Ratings of Advanced Economies</w:t>
            </w:r>
          </w:p>
          <w:tbl>
            <w:tblPr>
              <w:tblStyle w:val="TableGrid"/>
              <w:tblW w:w="0" w:type="auto"/>
              <w:tblLook w:val="04A0" w:firstRow="1" w:lastRow="0" w:firstColumn="1" w:lastColumn="0" w:noHBand="0" w:noVBand="1"/>
            </w:tblPr>
            <w:tblGrid>
              <w:gridCol w:w="1986"/>
              <w:gridCol w:w="1856"/>
              <w:gridCol w:w="1645"/>
              <w:gridCol w:w="1645"/>
            </w:tblGrid>
            <w:tr w:rsidR="00735C87" w:rsidRPr="00131EBC" w14:paraId="7ED05E7D" w14:textId="77777777" w:rsidTr="004F1AE4">
              <w:trPr>
                <w:trHeight w:val="227"/>
              </w:trPr>
              <w:tc>
                <w:tcPr>
                  <w:tcW w:w="1986" w:type="dxa"/>
                  <w:vAlign w:val="center"/>
                </w:tcPr>
                <w:p w14:paraId="2AE26479" w14:textId="77777777" w:rsidR="00735C87" w:rsidRPr="00131EBC" w:rsidRDefault="00735C87" w:rsidP="00735C87">
                  <w:pPr>
                    <w:pStyle w:val="TableTextLeft"/>
                    <w:rPr>
                      <w:highlight w:val="darkYellow"/>
                    </w:rPr>
                  </w:pPr>
                  <w:r w:rsidRPr="00FD24B8">
                    <w:t xml:space="preserve">  </w:t>
                  </w:r>
                </w:p>
              </w:tc>
              <w:tc>
                <w:tcPr>
                  <w:tcW w:w="1856" w:type="dxa"/>
                  <w:vAlign w:val="center"/>
                </w:tcPr>
                <w:p w14:paraId="4A354B4D" w14:textId="7C611A1A" w:rsidR="00735C87" w:rsidRPr="00131EBC" w:rsidRDefault="00735C87" w:rsidP="00735C87">
                  <w:pPr>
                    <w:pStyle w:val="TableTextLeft"/>
                    <w:rPr>
                      <w:b/>
                      <w:highlight w:val="darkYellow"/>
                    </w:rPr>
                  </w:pPr>
                  <w:r w:rsidRPr="00FD24B8">
                    <w:rPr>
                      <w:b/>
                    </w:rPr>
                    <w:t>Moody’s</w:t>
                  </w:r>
                </w:p>
              </w:tc>
              <w:tc>
                <w:tcPr>
                  <w:tcW w:w="1645" w:type="dxa"/>
                  <w:vAlign w:val="center"/>
                </w:tcPr>
                <w:p w14:paraId="79969E8A" w14:textId="77777777" w:rsidR="00735C87" w:rsidRPr="00131EBC" w:rsidRDefault="00735C87" w:rsidP="00735C87">
                  <w:pPr>
                    <w:pStyle w:val="TableTextLeft"/>
                    <w:rPr>
                      <w:b/>
                      <w:highlight w:val="darkYellow"/>
                    </w:rPr>
                  </w:pPr>
                  <w:r w:rsidRPr="00FD24B8">
                    <w:rPr>
                      <w:b/>
                    </w:rPr>
                    <w:t xml:space="preserve">S&amp;P </w:t>
                  </w:r>
                </w:p>
              </w:tc>
              <w:tc>
                <w:tcPr>
                  <w:tcW w:w="1645" w:type="dxa"/>
                  <w:vAlign w:val="center"/>
                </w:tcPr>
                <w:p w14:paraId="224CFE9C" w14:textId="77777777" w:rsidR="00735C87" w:rsidRPr="00FD24B8" w:rsidRDefault="00735C87" w:rsidP="00735C87">
                  <w:pPr>
                    <w:pStyle w:val="TableTextLeft"/>
                    <w:rPr>
                      <w:b/>
                    </w:rPr>
                  </w:pPr>
                  <w:r w:rsidRPr="00FD24B8">
                    <w:rPr>
                      <w:b/>
                    </w:rPr>
                    <w:t xml:space="preserve">Fitch </w:t>
                  </w:r>
                </w:p>
              </w:tc>
            </w:tr>
            <w:tr w:rsidR="00735C87" w:rsidRPr="00131EBC" w14:paraId="3647605F" w14:textId="77777777" w:rsidTr="004F1AE4">
              <w:trPr>
                <w:trHeight w:val="227"/>
              </w:trPr>
              <w:tc>
                <w:tcPr>
                  <w:tcW w:w="7132" w:type="dxa"/>
                  <w:gridSpan w:val="4"/>
                  <w:vAlign w:val="center"/>
                </w:tcPr>
                <w:p w14:paraId="1AC5EDFA" w14:textId="37E1A03A" w:rsidR="00735C87" w:rsidRPr="00FD24B8" w:rsidRDefault="00735C87" w:rsidP="00735C87">
                  <w:pPr>
                    <w:pStyle w:val="TableTextLeft"/>
                    <w:rPr>
                      <w:b/>
                      <w:i/>
                    </w:rPr>
                  </w:pPr>
                  <w:r w:rsidRPr="00FD24B8">
                    <w:rPr>
                      <w:i/>
                    </w:rPr>
                    <w:t xml:space="preserve">Selected countries rated AAA by all </w:t>
                  </w:r>
                  <w:r w:rsidR="006C5B4E" w:rsidRPr="00FD24B8">
                    <w:rPr>
                      <w:i/>
                    </w:rPr>
                    <w:t>3</w:t>
                  </w:r>
                  <w:r w:rsidRPr="00FD24B8">
                    <w:rPr>
                      <w:i/>
                    </w:rPr>
                    <w:t xml:space="preserve"> agencies</w:t>
                  </w:r>
                </w:p>
              </w:tc>
            </w:tr>
            <w:tr w:rsidR="00735C87" w:rsidRPr="00131EBC" w14:paraId="25ACE3F5" w14:textId="77777777" w:rsidTr="004F1AE4">
              <w:trPr>
                <w:trHeight w:val="227"/>
              </w:trPr>
              <w:tc>
                <w:tcPr>
                  <w:tcW w:w="1986" w:type="dxa"/>
                  <w:vAlign w:val="center"/>
                </w:tcPr>
                <w:p w14:paraId="6B48DA1A" w14:textId="77777777" w:rsidR="00735C87" w:rsidRPr="00131EBC" w:rsidRDefault="00735C87" w:rsidP="00735C87">
                  <w:pPr>
                    <w:pStyle w:val="TableTextLeft"/>
                    <w:rPr>
                      <w:highlight w:val="darkYellow"/>
                    </w:rPr>
                  </w:pPr>
                  <w:r w:rsidRPr="00FD24B8">
                    <w:t xml:space="preserve">Australia </w:t>
                  </w:r>
                </w:p>
              </w:tc>
              <w:tc>
                <w:tcPr>
                  <w:tcW w:w="1856" w:type="dxa"/>
                  <w:vAlign w:val="center"/>
                </w:tcPr>
                <w:p w14:paraId="64E3FD1F" w14:textId="77777777" w:rsidR="00735C87" w:rsidRPr="00131EBC" w:rsidRDefault="00735C87" w:rsidP="00735C87">
                  <w:pPr>
                    <w:pStyle w:val="TableTextLeft"/>
                    <w:rPr>
                      <w:highlight w:val="darkYellow"/>
                    </w:rPr>
                  </w:pPr>
                  <w:r w:rsidRPr="00FD24B8">
                    <w:t>AAA</w:t>
                  </w:r>
                </w:p>
              </w:tc>
              <w:tc>
                <w:tcPr>
                  <w:tcW w:w="1645" w:type="dxa"/>
                  <w:vAlign w:val="center"/>
                </w:tcPr>
                <w:p w14:paraId="19727AD6" w14:textId="77777777" w:rsidR="00735C87" w:rsidRPr="00131EBC" w:rsidRDefault="00735C87" w:rsidP="00735C87">
                  <w:pPr>
                    <w:pStyle w:val="TableTextLeft"/>
                    <w:rPr>
                      <w:highlight w:val="darkYellow"/>
                    </w:rPr>
                  </w:pPr>
                  <w:r w:rsidRPr="00FD24B8">
                    <w:t xml:space="preserve">AAA </w:t>
                  </w:r>
                </w:p>
              </w:tc>
              <w:tc>
                <w:tcPr>
                  <w:tcW w:w="1645" w:type="dxa"/>
                  <w:vAlign w:val="center"/>
                </w:tcPr>
                <w:p w14:paraId="57DF1EC9" w14:textId="77777777" w:rsidR="00735C87" w:rsidRPr="00FD24B8" w:rsidRDefault="00735C87" w:rsidP="00735C87">
                  <w:pPr>
                    <w:pStyle w:val="TableTextLeft"/>
                  </w:pPr>
                  <w:r w:rsidRPr="00FD24B8">
                    <w:t xml:space="preserve">AAA </w:t>
                  </w:r>
                </w:p>
              </w:tc>
            </w:tr>
            <w:tr w:rsidR="00735C87" w:rsidRPr="00131EBC" w14:paraId="31080635" w14:textId="77777777" w:rsidTr="004F1AE4">
              <w:trPr>
                <w:trHeight w:val="227"/>
              </w:trPr>
              <w:tc>
                <w:tcPr>
                  <w:tcW w:w="1986" w:type="dxa"/>
                  <w:vAlign w:val="center"/>
                </w:tcPr>
                <w:p w14:paraId="74B1E6CC" w14:textId="77777777" w:rsidR="00735C87" w:rsidRPr="00131EBC" w:rsidRDefault="00735C87" w:rsidP="00735C87">
                  <w:pPr>
                    <w:pStyle w:val="TableTextLeft"/>
                    <w:rPr>
                      <w:highlight w:val="darkYellow"/>
                    </w:rPr>
                  </w:pPr>
                  <w:r w:rsidRPr="00FD24B8">
                    <w:t xml:space="preserve">Germany </w:t>
                  </w:r>
                </w:p>
              </w:tc>
              <w:tc>
                <w:tcPr>
                  <w:tcW w:w="1856" w:type="dxa"/>
                  <w:vAlign w:val="center"/>
                </w:tcPr>
                <w:p w14:paraId="67F0142C" w14:textId="77777777" w:rsidR="00735C87" w:rsidRPr="00131EBC" w:rsidRDefault="00735C87" w:rsidP="00735C87">
                  <w:pPr>
                    <w:pStyle w:val="TableTextLeft"/>
                    <w:rPr>
                      <w:highlight w:val="darkYellow"/>
                    </w:rPr>
                  </w:pPr>
                  <w:r w:rsidRPr="00FD24B8">
                    <w:t>AAA</w:t>
                  </w:r>
                </w:p>
              </w:tc>
              <w:tc>
                <w:tcPr>
                  <w:tcW w:w="1645" w:type="dxa"/>
                  <w:vAlign w:val="center"/>
                </w:tcPr>
                <w:p w14:paraId="0042C3C4" w14:textId="77777777" w:rsidR="00735C87" w:rsidRPr="00131EBC" w:rsidRDefault="00735C87" w:rsidP="00735C87">
                  <w:pPr>
                    <w:pStyle w:val="TableTextLeft"/>
                    <w:rPr>
                      <w:highlight w:val="darkYellow"/>
                    </w:rPr>
                  </w:pPr>
                  <w:r w:rsidRPr="00FD24B8">
                    <w:t>AAA</w:t>
                  </w:r>
                </w:p>
              </w:tc>
              <w:tc>
                <w:tcPr>
                  <w:tcW w:w="1645" w:type="dxa"/>
                  <w:vAlign w:val="center"/>
                </w:tcPr>
                <w:p w14:paraId="1C5CD946" w14:textId="77777777" w:rsidR="00735C87" w:rsidRPr="00FD24B8" w:rsidRDefault="00735C87" w:rsidP="00735C87">
                  <w:pPr>
                    <w:pStyle w:val="TableTextLeft"/>
                  </w:pPr>
                  <w:r w:rsidRPr="00FD24B8">
                    <w:t xml:space="preserve">AAA </w:t>
                  </w:r>
                </w:p>
              </w:tc>
            </w:tr>
            <w:tr w:rsidR="00735C87" w:rsidRPr="00131EBC" w14:paraId="6CD706C2" w14:textId="77777777" w:rsidTr="004F1AE4">
              <w:trPr>
                <w:trHeight w:val="227"/>
              </w:trPr>
              <w:tc>
                <w:tcPr>
                  <w:tcW w:w="7132" w:type="dxa"/>
                  <w:gridSpan w:val="4"/>
                  <w:vAlign w:val="center"/>
                </w:tcPr>
                <w:p w14:paraId="1BE2F4D3" w14:textId="77777777" w:rsidR="00735C87" w:rsidRPr="00FD24B8" w:rsidRDefault="00735C87" w:rsidP="00735C87">
                  <w:pPr>
                    <w:pStyle w:val="TableTextLeft"/>
                    <w:rPr>
                      <w:b/>
                      <w:i/>
                    </w:rPr>
                  </w:pPr>
                  <w:r w:rsidRPr="00FD24B8">
                    <w:rPr>
                      <w:i/>
                    </w:rPr>
                    <w:t>Other selected countries</w:t>
                  </w:r>
                </w:p>
              </w:tc>
            </w:tr>
            <w:tr w:rsidR="00735C87" w:rsidRPr="00131EBC" w14:paraId="713A12C8" w14:textId="77777777" w:rsidTr="004F1AE4">
              <w:trPr>
                <w:trHeight w:val="227"/>
              </w:trPr>
              <w:tc>
                <w:tcPr>
                  <w:tcW w:w="1986" w:type="dxa"/>
                  <w:vAlign w:val="center"/>
                </w:tcPr>
                <w:p w14:paraId="102B44F4" w14:textId="77777777" w:rsidR="00735C87" w:rsidRPr="00131EBC" w:rsidRDefault="00735C87" w:rsidP="00735C87">
                  <w:pPr>
                    <w:pStyle w:val="TableTextLeft"/>
                    <w:rPr>
                      <w:highlight w:val="darkYellow"/>
                    </w:rPr>
                  </w:pPr>
                  <w:r w:rsidRPr="00FD24B8">
                    <w:t>Canada</w:t>
                  </w:r>
                </w:p>
              </w:tc>
              <w:tc>
                <w:tcPr>
                  <w:tcW w:w="1856" w:type="dxa"/>
                  <w:vAlign w:val="center"/>
                </w:tcPr>
                <w:p w14:paraId="6700FD82" w14:textId="77777777" w:rsidR="00735C87" w:rsidRPr="00131EBC" w:rsidRDefault="00735C87" w:rsidP="00735C87">
                  <w:pPr>
                    <w:pStyle w:val="TableTextLeft"/>
                    <w:rPr>
                      <w:highlight w:val="darkYellow"/>
                    </w:rPr>
                  </w:pPr>
                  <w:r w:rsidRPr="00FD24B8">
                    <w:t>AAA</w:t>
                  </w:r>
                </w:p>
              </w:tc>
              <w:tc>
                <w:tcPr>
                  <w:tcW w:w="1645" w:type="dxa"/>
                  <w:vAlign w:val="center"/>
                </w:tcPr>
                <w:p w14:paraId="2C0A5F43" w14:textId="77777777" w:rsidR="00735C87" w:rsidRPr="00131EBC" w:rsidRDefault="00735C87" w:rsidP="00735C87">
                  <w:pPr>
                    <w:pStyle w:val="TableTextLeft"/>
                    <w:rPr>
                      <w:highlight w:val="darkYellow"/>
                    </w:rPr>
                  </w:pPr>
                  <w:r w:rsidRPr="00FD24B8">
                    <w:t>AAA</w:t>
                  </w:r>
                </w:p>
              </w:tc>
              <w:tc>
                <w:tcPr>
                  <w:tcW w:w="1645" w:type="dxa"/>
                  <w:vAlign w:val="center"/>
                </w:tcPr>
                <w:p w14:paraId="24F54A8F" w14:textId="77777777" w:rsidR="00735C87" w:rsidRPr="00FD24B8" w:rsidRDefault="00735C87" w:rsidP="00735C87">
                  <w:pPr>
                    <w:pStyle w:val="TableTextLeft"/>
                  </w:pPr>
                  <w:r w:rsidRPr="00FD24B8">
                    <w:t>AA+</w:t>
                  </w:r>
                </w:p>
              </w:tc>
            </w:tr>
            <w:tr w:rsidR="00735C87" w:rsidRPr="00131EBC" w14:paraId="48DB1103" w14:textId="77777777" w:rsidTr="004F1AE4">
              <w:trPr>
                <w:trHeight w:val="227"/>
              </w:trPr>
              <w:tc>
                <w:tcPr>
                  <w:tcW w:w="1986" w:type="dxa"/>
                  <w:vAlign w:val="center"/>
                </w:tcPr>
                <w:p w14:paraId="5BEF83C2" w14:textId="77777777" w:rsidR="00735C87" w:rsidRPr="00131EBC" w:rsidRDefault="00735C87" w:rsidP="00735C87">
                  <w:pPr>
                    <w:pStyle w:val="TableTextLeft"/>
                    <w:rPr>
                      <w:highlight w:val="darkYellow"/>
                    </w:rPr>
                  </w:pPr>
                  <w:r w:rsidRPr="00FD24B8">
                    <w:t>France</w:t>
                  </w:r>
                </w:p>
              </w:tc>
              <w:tc>
                <w:tcPr>
                  <w:tcW w:w="1856" w:type="dxa"/>
                  <w:vAlign w:val="center"/>
                </w:tcPr>
                <w:p w14:paraId="0E9E821F" w14:textId="77777777" w:rsidR="00735C87" w:rsidRPr="00131EBC" w:rsidRDefault="00735C87" w:rsidP="00735C87">
                  <w:pPr>
                    <w:pStyle w:val="TableTextLeft"/>
                    <w:rPr>
                      <w:highlight w:val="darkYellow"/>
                    </w:rPr>
                  </w:pPr>
                  <w:r w:rsidRPr="00FD24B8">
                    <w:t>AA</w:t>
                  </w:r>
                </w:p>
              </w:tc>
              <w:tc>
                <w:tcPr>
                  <w:tcW w:w="1645" w:type="dxa"/>
                  <w:vAlign w:val="center"/>
                </w:tcPr>
                <w:p w14:paraId="71F28E2A" w14:textId="77777777" w:rsidR="00735C87" w:rsidRPr="00131EBC" w:rsidRDefault="00735C87" w:rsidP="00735C87">
                  <w:pPr>
                    <w:pStyle w:val="TableTextLeft"/>
                    <w:rPr>
                      <w:highlight w:val="darkYellow"/>
                    </w:rPr>
                  </w:pPr>
                  <w:r w:rsidRPr="00FD24B8">
                    <w:t>AA</w:t>
                  </w:r>
                </w:p>
              </w:tc>
              <w:tc>
                <w:tcPr>
                  <w:tcW w:w="1645" w:type="dxa"/>
                  <w:vAlign w:val="center"/>
                </w:tcPr>
                <w:p w14:paraId="0144D63A" w14:textId="77777777" w:rsidR="00735C87" w:rsidRPr="00FD24B8" w:rsidRDefault="00735C87" w:rsidP="00735C87">
                  <w:pPr>
                    <w:pStyle w:val="TableTextLeft"/>
                  </w:pPr>
                  <w:r w:rsidRPr="00FD24B8">
                    <w:t>AA</w:t>
                  </w:r>
                </w:p>
              </w:tc>
            </w:tr>
            <w:tr w:rsidR="00735C87" w:rsidRPr="00131EBC" w14:paraId="0FE487AF" w14:textId="77777777" w:rsidTr="004F1AE4">
              <w:trPr>
                <w:trHeight w:val="227"/>
              </w:trPr>
              <w:tc>
                <w:tcPr>
                  <w:tcW w:w="1986" w:type="dxa"/>
                  <w:vAlign w:val="center"/>
                </w:tcPr>
                <w:p w14:paraId="172884CC" w14:textId="77777777" w:rsidR="00735C87" w:rsidRPr="00131EBC" w:rsidRDefault="00735C87" w:rsidP="00735C87">
                  <w:pPr>
                    <w:pStyle w:val="TableTextLeft"/>
                    <w:rPr>
                      <w:highlight w:val="darkYellow"/>
                    </w:rPr>
                  </w:pPr>
                  <w:r w:rsidRPr="00FD24B8">
                    <w:t>Italy</w:t>
                  </w:r>
                </w:p>
              </w:tc>
              <w:tc>
                <w:tcPr>
                  <w:tcW w:w="1856" w:type="dxa"/>
                  <w:vAlign w:val="center"/>
                </w:tcPr>
                <w:p w14:paraId="087B49D9" w14:textId="40E07CCA" w:rsidR="00735C87" w:rsidRPr="00131EBC" w:rsidRDefault="00735C87" w:rsidP="00735C87">
                  <w:pPr>
                    <w:pStyle w:val="TableTextLeft"/>
                    <w:rPr>
                      <w:highlight w:val="darkYellow"/>
                    </w:rPr>
                  </w:pPr>
                  <w:r w:rsidRPr="00FD24B8">
                    <w:t>BBB</w:t>
                  </w:r>
                  <w:r w:rsidRPr="00FD24B8">
                    <w:noBreakHyphen/>
                  </w:r>
                </w:p>
              </w:tc>
              <w:tc>
                <w:tcPr>
                  <w:tcW w:w="1645" w:type="dxa"/>
                  <w:vAlign w:val="center"/>
                </w:tcPr>
                <w:p w14:paraId="7CCCC519" w14:textId="77777777" w:rsidR="00735C87" w:rsidRPr="00131EBC" w:rsidRDefault="00735C87" w:rsidP="00735C87">
                  <w:pPr>
                    <w:pStyle w:val="TableTextLeft"/>
                    <w:rPr>
                      <w:highlight w:val="darkYellow"/>
                    </w:rPr>
                  </w:pPr>
                  <w:r w:rsidRPr="00FD24B8">
                    <w:t>BBB</w:t>
                  </w:r>
                </w:p>
              </w:tc>
              <w:tc>
                <w:tcPr>
                  <w:tcW w:w="1645" w:type="dxa"/>
                  <w:vAlign w:val="center"/>
                </w:tcPr>
                <w:p w14:paraId="56B243EC" w14:textId="4EDFF2A3" w:rsidR="00735C87" w:rsidRPr="00FD24B8" w:rsidRDefault="00735C87" w:rsidP="00735C87">
                  <w:pPr>
                    <w:pStyle w:val="TableTextLeft"/>
                  </w:pPr>
                  <w:r w:rsidRPr="00FD24B8">
                    <w:t>BBB</w:t>
                  </w:r>
                </w:p>
              </w:tc>
            </w:tr>
            <w:tr w:rsidR="00735C87" w:rsidRPr="00131EBC" w14:paraId="22D1DBC7" w14:textId="77777777" w:rsidTr="004F1AE4">
              <w:trPr>
                <w:trHeight w:val="227"/>
              </w:trPr>
              <w:tc>
                <w:tcPr>
                  <w:tcW w:w="1986" w:type="dxa"/>
                  <w:vAlign w:val="center"/>
                </w:tcPr>
                <w:p w14:paraId="4D35FAF9" w14:textId="77777777" w:rsidR="00735C87" w:rsidRPr="00131EBC" w:rsidRDefault="00735C87" w:rsidP="00735C87">
                  <w:pPr>
                    <w:pStyle w:val="TableTextLeft"/>
                    <w:rPr>
                      <w:highlight w:val="darkYellow"/>
                    </w:rPr>
                  </w:pPr>
                  <w:r w:rsidRPr="00FD24B8">
                    <w:t>Japan</w:t>
                  </w:r>
                </w:p>
              </w:tc>
              <w:tc>
                <w:tcPr>
                  <w:tcW w:w="1856" w:type="dxa"/>
                  <w:vAlign w:val="center"/>
                </w:tcPr>
                <w:p w14:paraId="2AE9F75A" w14:textId="77777777" w:rsidR="00735C87" w:rsidRPr="00131EBC" w:rsidRDefault="00735C87" w:rsidP="00735C87">
                  <w:pPr>
                    <w:pStyle w:val="TableTextLeft"/>
                    <w:rPr>
                      <w:highlight w:val="darkYellow"/>
                    </w:rPr>
                  </w:pPr>
                  <w:r w:rsidRPr="00FD24B8">
                    <w:t>A+</w:t>
                  </w:r>
                </w:p>
              </w:tc>
              <w:tc>
                <w:tcPr>
                  <w:tcW w:w="1645" w:type="dxa"/>
                  <w:vAlign w:val="center"/>
                </w:tcPr>
                <w:p w14:paraId="6CC309D0" w14:textId="77777777" w:rsidR="00735C87" w:rsidRPr="00131EBC" w:rsidRDefault="00735C87" w:rsidP="00735C87">
                  <w:pPr>
                    <w:pStyle w:val="TableTextLeft"/>
                    <w:rPr>
                      <w:highlight w:val="darkYellow"/>
                    </w:rPr>
                  </w:pPr>
                  <w:r w:rsidRPr="00FD24B8">
                    <w:t>A+</w:t>
                  </w:r>
                </w:p>
              </w:tc>
              <w:tc>
                <w:tcPr>
                  <w:tcW w:w="1645" w:type="dxa"/>
                  <w:vAlign w:val="center"/>
                </w:tcPr>
                <w:p w14:paraId="115C73C4" w14:textId="77777777" w:rsidR="00735C87" w:rsidRPr="00FD24B8" w:rsidRDefault="00735C87" w:rsidP="00735C87">
                  <w:pPr>
                    <w:pStyle w:val="TableTextLeft"/>
                  </w:pPr>
                  <w:r w:rsidRPr="00FD24B8">
                    <w:t>A</w:t>
                  </w:r>
                </w:p>
              </w:tc>
            </w:tr>
            <w:tr w:rsidR="00735C87" w:rsidRPr="00131EBC" w14:paraId="42F19479" w14:textId="77777777" w:rsidTr="004F1AE4">
              <w:trPr>
                <w:trHeight w:val="227"/>
              </w:trPr>
              <w:tc>
                <w:tcPr>
                  <w:tcW w:w="1986" w:type="dxa"/>
                  <w:vAlign w:val="center"/>
                </w:tcPr>
                <w:p w14:paraId="67E93642" w14:textId="77777777" w:rsidR="00735C87" w:rsidRPr="00131EBC" w:rsidRDefault="00735C87" w:rsidP="00735C87">
                  <w:pPr>
                    <w:pStyle w:val="TableTextLeft"/>
                    <w:rPr>
                      <w:highlight w:val="darkYellow"/>
                    </w:rPr>
                  </w:pPr>
                  <w:r w:rsidRPr="00FD24B8">
                    <w:t>United Kingdom</w:t>
                  </w:r>
                </w:p>
              </w:tc>
              <w:tc>
                <w:tcPr>
                  <w:tcW w:w="1856" w:type="dxa"/>
                  <w:vAlign w:val="center"/>
                </w:tcPr>
                <w:p w14:paraId="78D3816D" w14:textId="1080175F" w:rsidR="00735C87" w:rsidRPr="00131EBC" w:rsidRDefault="00735C87" w:rsidP="00735C87">
                  <w:pPr>
                    <w:pStyle w:val="TableTextLeft"/>
                    <w:rPr>
                      <w:highlight w:val="darkYellow"/>
                    </w:rPr>
                  </w:pPr>
                  <w:r w:rsidRPr="00FD24B8">
                    <w:t>AA</w:t>
                  </w:r>
                  <w:r w:rsidRPr="00FD24B8">
                    <w:noBreakHyphen/>
                  </w:r>
                </w:p>
              </w:tc>
              <w:tc>
                <w:tcPr>
                  <w:tcW w:w="1645" w:type="dxa"/>
                  <w:vAlign w:val="center"/>
                </w:tcPr>
                <w:p w14:paraId="651931AD" w14:textId="77777777" w:rsidR="00735C87" w:rsidRPr="00131EBC" w:rsidRDefault="00735C87" w:rsidP="00735C87">
                  <w:pPr>
                    <w:pStyle w:val="TableTextLeft"/>
                    <w:rPr>
                      <w:highlight w:val="darkYellow"/>
                    </w:rPr>
                  </w:pPr>
                  <w:r w:rsidRPr="00FD24B8">
                    <w:t>AA</w:t>
                  </w:r>
                </w:p>
              </w:tc>
              <w:tc>
                <w:tcPr>
                  <w:tcW w:w="1645" w:type="dxa"/>
                  <w:vAlign w:val="center"/>
                </w:tcPr>
                <w:p w14:paraId="12939616" w14:textId="25CE31DF" w:rsidR="00735C87" w:rsidRPr="00FD24B8" w:rsidRDefault="00735C87" w:rsidP="00735C87">
                  <w:pPr>
                    <w:pStyle w:val="TableTextLeft"/>
                  </w:pPr>
                  <w:r w:rsidRPr="00FD24B8">
                    <w:t>AA</w:t>
                  </w:r>
                  <w:r w:rsidRPr="00FD24B8">
                    <w:noBreakHyphen/>
                  </w:r>
                </w:p>
              </w:tc>
            </w:tr>
            <w:tr w:rsidR="00735C87" w:rsidRPr="00131EBC" w14:paraId="41437960" w14:textId="77777777" w:rsidTr="004F1AE4">
              <w:trPr>
                <w:trHeight w:val="227"/>
              </w:trPr>
              <w:tc>
                <w:tcPr>
                  <w:tcW w:w="1986" w:type="dxa"/>
                  <w:vAlign w:val="center"/>
                </w:tcPr>
                <w:p w14:paraId="48D9AE90" w14:textId="77777777" w:rsidR="00735C87" w:rsidRPr="00131EBC" w:rsidRDefault="00735C87" w:rsidP="00735C87">
                  <w:pPr>
                    <w:pStyle w:val="TableTextLeft"/>
                    <w:rPr>
                      <w:highlight w:val="darkYellow"/>
                    </w:rPr>
                  </w:pPr>
                  <w:r w:rsidRPr="00FD24B8">
                    <w:t>United States</w:t>
                  </w:r>
                </w:p>
              </w:tc>
              <w:tc>
                <w:tcPr>
                  <w:tcW w:w="1856" w:type="dxa"/>
                  <w:vAlign w:val="center"/>
                </w:tcPr>
                <w:p w14:paraId="620AA486" w14:textId="77777777" w:rsidR="00735C87" w:rsidRPr="00131EBC" w:rsidRDefault="00735C87" w:rsidP="00735C87">
                  <w:pPr>
                    <w:pStyle w:val="TableTextLeft"/>
                    <w:rPr>
                      <w:highlight w:val="darkYellow"/>
                    </w:rPr>
                  </w:pPr>
                  <w:r w:rsidRPr="00FD24B8">
                    <w:t>AAA</w:t>
                  </w:r>
                </w:p>
              </w:tc>
              <w:tc>
                <w:tcPr>
                  <w:tcW w:w="1645" w:type="dxa"/>
                  <w:vAlign w:val="center"/>
                </w:tcPr>
                <w:p w14:paraId="4D569D31" w14:textId="77777777" w:rsidR="00735C87" w:rsidRPr="00131EBC" w:rsidRDefault="00735C87" w:rsidP="00735C87">
                  <w:pPr>
                    <w:pStyle w:val="TableTextLeft"/>
                    <w:rPr>
                      <w:highlight w:val="darkYellow"/>
                    </w:rPr>
                  </w:pPr>
                  <w:r w:rsidRPr="00FD24B8">
                    <w:t>AA+</w:t>
                  </w:r>
                </w:p>
              </w:tc>
              <w:tc>
                <w:tcPr>
                  <w:tcW w:w="1645" w:type="dxa"/>
                  <w:vAlign w:val="center"/>
                </w:tcPr>
                <w:p w14:paraId="0ED94BF4" w14:textId="77777777" w:rsidR="00735C87" w:rsidRPr="00FD24B8" w:rsidRDefault="00735C87" w:rsidP="00735C87">
                  <w:pPr>
                    <w:pStyle w:val="TableTextLeft"/>
                  </w:pPr>
                  <w:r w:rsidRPr="00FD24B8">
                    <w:t>AAA</w:t>
                  </w:r>
                </w:p>
              </w:tc>
            </w:tr>
          </w:tbl>
          <w:p w14:paraId="54943862" w14:textId="31460696" w:rsidR="00735C87" w:rsidRPr="00FD24B8" w:rsidRDefault="00735C87" w:rsidP="00735C87">
            <w:pPr>
              <w:pStyle w:val="ChartandTableFootnote"/>
              <w:rPr>
                <w:color w:val="auto"/>
              </w:rPr>
            </w:pPr>
            <w:r w:rsidRPr="00FD24B8">
              <w:rPr>
                <w:color w:val="auto"/>
              </w:rPr>
              <w:t>Note: Moody’s data presented is S&amp;P Equivalent.</w:t>
            </w:r>
          </w:p>
          <w:p w14:paraId="612E7F32" w14:textId="752BF6C5" w:rsidR="00735C87" w:rsidRDefault="00735C87" w:rsidP="00C11BEC">
            <w:pPr>
              <w:pStyle w:val="ChartandTableFootnoteAlpha"/>
              <w:numPr>
                <w:ilvl w:val="0"/>
                <w:numId w:val="0"/>
              </w:numPr>
              <w:ind w:left="284" w:hanging="284"/>
            </w:pPr>
            <w:r w:rsidRPr="00FD24B8">
              <w:rPr>
                <w:color w:val="auto"/>
              </w:rPr>
              <w:t>Source: Bloomberg.</w:t>
            </w:r>
            <w:r w:rsidR="00814FEA" w:rsidRPr="00FD24B8">
              <w:rPr>
                <w:color w:val="auto"/>
              </w:rPr>
              <w:t xml:space="preserve"> </w:t>
            </w:r>
            <w:r w:rsidR="00814FEA" w:rsidRPr="00A56B05">
              <w:fldChar w:fldCharType="begin"/>
            </w:r>
            <w:r w:rsidR="00814FEA" w:rsidRPr="00A56B05">
              <w:instrText xml:space="preserve"> :</w:instrText>
            </w:r>
            <w:r w:rsidR="00814FEA">
              <w:instrText>End</w:instrText>
            </w:r>
            <w:r w:rsidR="00814FEA" w:rsidRPr="00A56B05">
              <w:instrText xml:space="preserve">:MAPD_MC2 </w:instrText>
            </w:r>
            <w:r w:rsidR="00814FEA" w:rsidRPr="00A56B05">
              <w:fldChar w:fldCharType="end"/>
            </w:r>
          </w:p>
        </w:tc>
      </w:tr>
    </w:tbl>
    <w:p w14:paraId="3F755A65" w14:textId="77777777" w:rsidR="003110AB" w:rsidRDefault="003110AB">
      <w:pPr>
        <w:spacing w:after="160" w:line="259" w:lineRule="auto"/>
        <w:jc w:val="left"/>
        <w:rPr>
          <w:rFonts w:ascii="Arial Bold" w:hAnsi="Arial Bold"/>
          <w:b/>
          <w:sz w:val="22"/>
        </w:rPr>
      </w:pPr>
      <w:r>
        <w:br w:type="page"/>
      </w:r>
    </w:p>
    <w:p w14:paraId="08CF1520" w14:textId="75278D0A" w:rsidR="00F961A7" w:rsidRPr="00FD24B8" w:rsidRDefault="009749BF" w:rsidP="003110AB">
      <w:pPr>
        <w:pStyle w:val="Heading3"/>
      </w:pPr>
      <w:r>
        <w:lastRenderedPageBreak/>
        <w:fldChar w:fldCharType="begin"/>
      </w:r>
      <w:r>
        <w:instrText xml:space="preserve"> :Start:BPD_BG1 </w:instrText>
      </w:r>
      <w:r>
        <w:fldChar w:fldCharType="end"/>
      </w:r>
      <w:bookmarkStart w:id="15" w:name="_Toc99102045"/>
      <w:r w:rsidR="00F961A7" w:rsidRPr="00FD24B8">
        <w:t>Receipts estimates</w:t>
      </w:r>
      <w:r w:rsidR="00EF1E50" w:rsidRPr="00FD24B8">
        <w:t xml:space="preserve"> and projections</w:t>
      </w:r>
      <w:bookmarkEnd w:id="14"/>
      <w:bookmarkEnd w:id="15"/>
    </w:p>
    <w:p w14:paraId="2DA468C1" w14:textId="76C1A8C9" w:rsidR="00FC6AC5" w:rsidRPr="00FD24B8" w:rsidRDefault="00F00D49" w:rsidP="00DD7DEF">
      <w:r w:rsidRPr="00FD24B8">
        <w:t xml:space="preserve">Total receipts are projected to have increased since </w:t>
      </w:r>
      <w:r w:rsidR="0042552E" w:rsidRPr="00FD24B8">
        <w:t>MYEFO</w:t>
      </w:r>
      <w:r w:rsidR="00AC20DF" w:rsidRPr="00FD24B8">
        <w:t xml:space="preserve"> by $31.2 billion</w:t>
      </w:r>
      <w:r w:rsidR="002836CB" w:rsidRPr="00FD24B8">
        <w:t xml:space="preserve"> in 2022</w:t>
      </w:r>
      <w:r w:rsidR="0031144A" w:rsidRPr="00FD24B8">
        <w:noBreakHyphen/>
      </w:r>
      <w:r w:rsidR="002836CB" w:rsidRPr="00FD24B8">
        <w:t xml:space="preserve">23, and by $120.5 billion over </w:t>
      </w:r>
      <w:r w:rsidR="00993604" w:rsidRPr="00FD24B8">
        <w:t xml:space="preserve">the </w:t>
      </w:r>
      <w:r w:rsidR="002836CB" w:rsidRPr="00FD24B8">
        <w:t>4 years to 2025</w:t>
      </w:r>
      <w:r w:rsidR="002836CB" w:rsidRPr="00FD24B8">
        <w:noBreakHyphen/>
        <w:t>26.</w:t>
      </w:r>
      <w:r w:rsidR="002B75A9" w:rsidRPr="00FD24B8">
        <w:t xml:space="preserve"> </w:t>
      </w:r>
      <w:r w:rsidR="00850B76" w:rsidRPr="00490FCD">
        <w:t xml:space="preserve">This </w:t>
      </w:r>
      <w:r w:rsidR="00E56AF5" w:rsidRPr="00490FCD">
        <w:t xml:space="preserve">reflects an </w:t>
      </w:r>
      <w:r w:rsidR="008E324D" w:rsidRPr="00490FCD">
        <w:t>expected</w:t>
      </w:r>
      <w:r w:rsidR="00E56AF5" w:rsidRPr="00490FCD">
        <w:t xml:space="preserve"> increase</w:t>
      </w:r>
      <w:r w:rsidR="005921B1" w:rsidRPr="00490FCD">
        <w:t xml:space="preserve"> </w:t>
      </w:r>
      <w:r w:rsidR="00E56AF5" w:rsidRPr="00490FCD">
        <w:t>in tax receipts</w:t>
      </w:r>
      <w:r w:rsidR="00F02D50" w:rsidRPr="00490FCD">
        <w:t xml:space="preserve"> of </w:t>
      </w:r>
      <w:r w:rsidR="002048B2" w:rsidRPr="00490FCD">
        <w:t xml:space="preserve">$126.1 billion over </w:t>
      </w:r>
      <w:r w:rsidR="00993604" w:rsidRPr="00490FCD">
        <w:t xml:space="preserve">the </w:t>
      </w:r>
      <w:r w:rsidR="002048B2" w:rsidRPr="00490FCD">
        <w:t>4 years to 2025</w:t>
      </w:r>
      <w:r w:rsidR="0031144A" w:rsidRPr="00490FCD">
        <w:noBreakHyphen/>
      </w:r>
      <w:r w:rsidR="002048B2" w:rsidRPr="00490FCD">
        <w:t>26, partly offset by a decrease in non</w:t>
      </w:r>
      <w:r w:rsidR="00AD4F44" w:rsidRPr="00490FCD">
        <w:noBreakHyphen/>
      </w:r>
      <w:r w:rsidR="002048B2" w:rsidRPr="00490FCD">
        <w:t>tax receipts</w:t>
      </w:r>
      <w:r w:rsidR="00E56AF5" w:rsidRPr="00490FCD">
        <w:t>.</w:t>
      </w:r>
      <w:r w:rsidR="002B75A9" w:rsidRPr="00490FCD">
        <w:t xml:space="preserve"> </w:t>
      </w:r>
      <w:r w:rsidR="009727AE" w:rsidRPr="00FD24B8">
        <w:fldChar w:fldCharType="begin"/>
      </w:r>
      <w:r w:rsidR="009727AE" w:rsidRPr="00FD24B8">
        <w:instrText xml:space="preserve"> :End:BPD_BG1 </w:instrText>
      </w:r>
      <w:r w:rsidR="009727AE" w:rsidRPr="00FD24B8">
        <w:fldChar w:fldCharType="end"/>
      </w:r>
      <w:r w:rsidR="007B47FA" w:rsidRPr="00FD24B8">
        <w:fldChar w:fldCharType="begin"/>
      </w:r>
      <w:r w:rsidR="007B47FA" w:rsidRPr="00FD24B8">
        <w:instrText xml:space="preserve"> :</w:instrText>
      </w:r>
      <w:r w:rsidR="0043761E" w:rsidRPr="00FD24B8">
        <w:instrText>Start</w:instrText>
      </w:r>
      <w:r w:rsidR="007B47FA" w:rsidRPr="00FD24B8">
        <w:instrText xml:space="preserve">:TAD_KDM1 </w:instrText>
      </w:r>
      <w:r w:rsidR="007B47FA" w:rsidRPr="00FD24B8">
        <w:fldChar w:fldCharType="end"/>
      </w:r>
      <w:r w:rsidR="03F0E799" w:rsidRPr="00FD24B8">
        <w:t xml:space="preserve">Almost </w:t>
      </w:r>
      <w:r w:rsidR="00E12F8E" w:rsidRPr="00FD24B8">
        <w:t xml:space="preserve">three quarters of the improvement to the </w:t>
      </w:r>
      <w:r w:rsidR="0055448E" w:rsidRPr="00FD24B8">
        <w:t xml:space="preserve">tax receipts </w:t>
      </w:r>
      <w:r w:rsidR="00E12F8E" w:rsidRPr="00FD24B8">
        <w:t xml:space="preserve">outlook </w:t>
      </w:r>
      <w:r w:rsidR="00FC6AC5" w:rsidRPr="00FD24B8">
        <w:t xml:space="preserve">over the forward estimates </w:t>
      </w:r>
      <w:r w:rsidR="00E12F8E" w:rsidRPr="00FD24B8">
        <w:t>has been led by stronger household incomes</w:t>
      </w:r>
      <w:r w:rsidR="00231462" w:rsidRPr="00FD24B8">
        <w:t>.</w:t>
      </w:r>
      <w:r w:rsidR="00E12F8E" w:rsidRPr="00FD24B8">
        <w:t xml:space="preserve"> </w:t>
      </w:r>
    </w:p>
    <w:p w14:paraId="4DAD9A2C" w14:textId="1F4DF5CA" w:rsidR="005556FE" w:rsidRPr="00FD24B8" w:rsidRDefault="005B44DC" w:rsidP="005556FE">
      <w:r w:rsidRPr="00FD24B8">
        <w:t xml:space="preserve">While returning to trend </w:t>
      </w:r>
      <w:r w:rsidR="00141382" w:rsidRPr="00FD24B8">
        <w:t>growth</w:t>
      </w:r>
      <w:r w:rsidR="00F86235" w:rsidRPr="00FD24B8">
        <w:t xml:space="preserve"> rates</w:t>
      </w:r>
      <w:r w:rsidR="00141382" w:rsidRPr="00FD24B8">
        <w:t>, n</w:t>
      </w:r>
      <w:r w:rsidR="00D21504" w:rsidRPr="00FD24B8">
        <w:t xml:space="preserve">ominal wages </w:t>
      </w:r>
      <w:r w:rsidR="001E57EF" w:rsidRPr="00FD24B8">
        <w:t>are</w:t>
      </w:r>
      <w:r w:rsidR="00CC49E1" w:rsidRPr="00FD24B8">
        <w:t xml:space="preserve"> projected to </w:t>
      </w:r>
      <w:r w:rsidR="00574C82" w:rsidRPr="00FD24B8">
        <w:t xml:space="preserve">remain </w:t>
      </w:r>
      <w:r w:rsidR="00221148" w:rsidRPr="00FD24B8">
        <w:t xml:space="preserve">at a </w:t>
      </w:r>
      <w:r w:rsidR="00574C82" w:rsidRPr="00FD24B8">
        <w:t xml:space="preserve">higher </w:t>
      </w:r>
      <w:r w:rsidR="00221148" w:rsidRPr="00FD24B8">
        <w:t xml:space="preserve">level </w:t>
      </w:r>
      <w:r w:rsidR="00871F5C" w:rsidRPr="00FD24B8">
        <w:t xml:space="preserve">across </w:t>
      </w:r>
      <w:r w:rsidR="00E12F8E" w:rsidRPr="00FD24B8">
        <w:t>the medium</w:t>
      </w:r>
      <w:r w:rsidR="00D8671F" w:rsidRPr="00FD24B8">
        <w:t xml:space="preserve"> </w:t>
      </w:r>
      <w:r w:rsidR="00E12F8E" w:rsidRPr="00FD24B8">
        <w:t>term</w:t>
      </w:r>
      <w:r w:rsidR="00574C82" w:rsidRPr="00FD24B8">
        <w:t xml:space="preserve"> than at MYEFO</w:t>
      </w:r>
      <w:r w:rsidR="00CC49E1" w:rsidRPr="00FD24B8">
        <w:t>,</w:t>
      </w:r>
      <w:r w:rsidR="00831F3E" w:rsidRPr="00FD24B8">
        <w:t xml:space="preserve"> </w:t>
      </w:r>
      <w:r w:rsidR="00CC49E1" w:rsidRPr="00FD24B8">
        <w:t>resulting in</w:t>
      </w:r>
      <w:r w:rsidR="00871F5C" w:rsidRPr="00FD24B8">
        <w:t xml:space="preserve"> higher personal income tax </w:t>
      </w:r>
      <w:r w:rsidR="00BD167F" w:rsidRPr="00FD24B8">
        <w:t xml:space="preserve">and </w:t>
      </w:r>
      <w:r w:rsidR="001E57EF" w:rsidRPr="00FD24B8">
        <w:t>sustained</w:t>
      </w:r>
      <w:r w:rsidR="00831F3E" w:rsidRPr="00FD24B8">
        <w:t xml:space="preserve"> </w:t>
      </w:r>
      <w:r w:rsidR="001E57EF" w:rsidRPr="00FD24B8">
        <w:t>increases in</w:t>
      </w:r>
      <w:r w:rsidR="00BD167F" w:rsidRPr="00FD24B8">
        <w:t xml:space="preserve"> household consumption. </w:t>
      </w:r>
      <w:r w:rsidR="006B3F20" w:rsidRPr="00FD24B8">
        <w:t>This drives</w:t>
      </w:r>
      <w:r w:rsidR="00871F5C" w:rsidRPr="00FD24B8">
        <w:t xml:space="preserve"> a higher tax</w:t>
      </w:r>
      <w:r w:rsidR="0031144A" w:rsidRPr="00FD24B8">
        <w:noBreakHyphen/>
      </w:r>
      <w:r w:rsidR="00871F5C" w:rsidRPr="00FD24B8">
        <w:t>to</w:t>
      </w:r>
      <w:r w:rsidR="00BD167F" w:rsidRPr="00FD24B8">
        <w:noBreakHyphen/>
      </w:r>
      <w:r w:rsidR="00871F5C" w:rsidRPr="00FD24B8">
        <w:t>GDP ratio</w:t>
      </w:r>
      <w:r w:rsidR="006B3F20" w:rsidRPr="00FD24B8">
        <w:t xml:space="preserve"> over the medium term, reaching the </w:t>
      </w:r>
      <w:r w:rsidR="002D51AD" w:rsidRPr="00FD24B8">
        <w:t>23.9 per cent cap in 2031</w:t>
      </w:r>
      <w:r w:rsidR="002D51AD" w:rsidRPr="00FD24B8">
        <w:noBreakHyphen/>
        <w:t>3</w:t>
      </w:r>
      <w:r w:rsidR="00CC49E1" w:rsidRPr="00FD24B8">
        <w:t>2</w:t>
      </w:r>
      <w:r w:rsidR="00871F5C" w:rsidRPr="00FD24B8">
        <w:t>.</w:t>
      </w:r>
      <w:r w:rsidR="00BD167F" w:rsidRPr="00FD24B8">
        <w:t xml:space="preserve"> </w:t>
      </w:r>
    </w:p>
    <w:p w14:paraId="4AB694E8" w14:textId="21CF9CBD" w:rsidR="00F00D49" w:rsidRDefault="007E50A9" w:rsidP="00DD7DEF">
      <w:r w:rsidRPr="00FD24B8">
        <w:t xml:space="preserve">Total receipts are </w:t>
      </w:r>
      <w:r w:rsidR="00396A4E" w:rsidRPr="00FD24B8">
        <w:t xml:space="preserve">now </w:t>
      </w:r>
      <w:r w:rsidRPr="00FD24B8">
        <w:t xml:space="preserve">expected to be </w:t>
      </w:r>
      <w:r w:rsidR="00FC6956" w:rsidRPr="00FD24B8">
        <w:t>23.8 per cent of GDP in 2022</w:t>
      </w:r>
      <w:r w:rsidR="0031144A" w:rsidRPr="00FD24B8">
        <w:noBreakHyphen/>
      </w:r>
      <w:r w:rsidR="00FC6956" w:rsidRPr="00FD24B8">
        <w:t>23</w:t>
      </w:r>
      <w:r w:rsidR="008A08A6" w:rsidRPr="00FD24B8">
        <w:t xml:space="preserve"> and increase over the forward estimates and medium term </w:t>
      </w:r>
      <w:r w:rsidRPr="00FD24B8">
        <w:t xml:space="preserve">to reach 25.8 per cent of GDP </w:t>
      </w:r>
      <w:r w:rsidR="008A08A6" w:rsidRPr="00FD24B8">
        <w:t>in 20</w:t>
      </w:r>
      <w:r w:rsidR="009F35FA" w:rsidRPr="00FD24B8">
        <w:t>32</w:t>
      </w:r>
      <w:r w:rsidR="0031144A" w:rsidRPr="00FD24B8">
        <w:noBreakHyphen/>
      </w:r>
      <w:r w:rsidR="009F35FA" w:rsidRPr="00FD24B8">
        <w:t>33.</w:t>
      </w:r>
      <w:r w:rsidRPr="00FD24B8">
        <w:t xml:space="preserve"> </w:t>
      </w:r>
      <w:r w:rsidR="005556FE" w:rsidRPr="00FD24B8">
        <w:t>In</w:t>
      </w:r>
      <w:r w:rsidR="002474EC" w:rsidRPr="00FD24B8">
        <w:t> </w:t>
      </w:r>
      <w:r w:rsidR="005556FE" w:rsidRPr="00FD24B8">
        <w:t>2022</w:t>
      </w:r>
      <w:r w:rsidR="005556FE" w:rsidRPr="00FD24B8">
        <w:noBreakHyphen/>
        <w:t>23, tax receipts are expected to be 22.1 per cent of GDP and</w:t>
      </w:r>
      <w:r w:rsidR="005556FE">
        <w:fldChar w:fldCharType="begin"/>
      </w:r>
      <w:r w:rsidR="005556FE">
        <w:instrText xml:space="preserve"> :End:TAD_KDM1 </w:instrText>
      </w:r>
      <w:r w:rsidR="005556FE">
        <w:fldChar w:fldCharType="end"/>
      </w:r>
      <w:r w:rsidR="005556FE" w:rsidRPr="00BE6368">
        <w:t xml:space="preserve"> </w:t>
      </w:r>
      <w:r w:rsidR="005556FE">
        <w:fldChar w:fldCharType="begin"/>
      </w:r>
      <w:r w:rsidR="005556FE">
        <w:instrText xml:space="preserve"> :Start:BPD_BG1 </w:instrText>
      </w:r>
      <w:r w:rsidR="005556FE">
        <w:fldChar w:fldCharType="end"/>
      </w:r>
      <w:r w:rsidR="005556FE" w:rsidRPr="00FD24B8">
        <w:t>non</w:t>
      </w:r>
      <w:r w:rsidR="005556FE" w:rsidRPr="00FD24B8">
        <w:noBreakHyphen/>
        <w:t xml:space="preserve">tax receipts 1.7 per cent of GDP. </w:t>
      </w:r>
      <w:r w:rsidR="005556FE" w:rsidRPr="00FD24B8">
        <w:fldChar w:fldCharType="begin"/>
      </w:r>
      <w:r w:rsidR="005556FE" w:rsidRPr="00FD24B8">
        <w:instrText xml:space="preserve"> :End:BPD_BG1 </w:instrText>
      </w:r>
      <w:r w:rsidR="005556FE" w:rsidRPr="00FD24B8">
        <w:fldChar w:fldCharType="end"/>
      </w:r>
      <w:r w:rsidR="005556FE" w:rsidRPr="00FD24B8">
        <w:fldChar w:fldCharType="begin"/>
      </w:r>
      <w:r w:rsidR="005556FE" w:rsidRPr="00FD24B8">
        <w:instrText xml:space="preserve"> :Start:TAD_KDM1 </w:instrText>
      </w:r>
      <w:r w:rsidR="005556FE" w:rsidRPr="00FD24B8">
        <w:fldChar w:fldCharType="end"/>
      </w:r>
      <w:r w:rsidR="005556FE" w:rsidRPr="00FD24B8">
        <w:t>Tax receipts are expected to increase to 22.9 per cent of GDP in 2025</w:t>
      </w:r>
      <w:r w:rsidR="005556FE" w:rsidRPr="00FD24B8">
        <w:noBreakHyphen/>
        <w:t>26 while non</w:t>
      </w:r>
      <w:r w:rsidR="00396A4E" w:rsidRPr="00FD24B8">
        <w:noBreakHyphen/>
      </w:r>
      <w:r w:rsidR="005556FE" w:rsidRPr="00FD24B8">
        <w:t>tax receipts remain at 1.7 per cent of GDP</w:t>
      </w:r>
      <w:r w:rsidR="00520F9C" w:rsidRPr="00FD24B8">
        <w:t>. Tax receipts</w:t>
      </w:r>
      <w:r w:rsidR="00514F8F" w:rsidRPr="00FD24B8">
        <w:t xml:space="preserve"> </w:t>
      </w:r>
      <w:r w:rsidR="00563E81" w:rsidRPr="00FD24B8">
        <w:t>reach 23.9</w:t>
      </w:r>
      <w:r w:rsidR="002474EC" w:rsidRPr="00FD24B8">
        <w:t> </w:t>
      </w:r>
      <w:r w:rsidR="00563E81" w:rsidRPr="00FD24B8">
        <w:t>per</w:t>
      </w:r>
      <w:r w:rsidR="002474EC" w:rsidRPr="00FD24B8">
        <w:t> </w:t>
      </w:r>
      <w:r w:rsidR="00563E81" w:rsidRPr="00FD24B8">
        <w:t>cent of GDP and non</w:t>
      </w:r>
      <w:r w:rsidR="0031144A" w:rsidRPr="00FD24B8">
        <w:noBreakHyphen/>
      </w:r>
      <w:r w:rsidR="00563E81" w:rsidRPr="00FD24B8">
        <w:t>tax receipts 1.9 per cent of GDP by 2032</w:t>
      </w:r>
      <w:r w:rsidR="0031144A" w:rsidRPr="00FD24B8">
        <w:noBreakHyphen/>
      </w:r>
      <w:r w:rsidR="00563E81" w:rsidRPr="00FD24B8">
        <w:t>33</w:t>
      </w:r>
      <w:r w:rsidR="005556FE" w:rsidRPr="00FD24B8">
        <w:t xml:space="preserve"> (Chart 3.10).</w:t>
      </w:r>
      <w:r w:rsidR="007E5354" w:rsidRPr="00FD24B8">
        <w:t xml:space="preserve"> </w:t>
      </w:r>
      <w:r w:rsidR="007E5354" w:rsidRPr="00A56B05">
        <w:fldChar w:fldCharType="begin"/>
      </w:r>
      <w:r w:rsidR="007E5354" w:rsidRPr="00A56B05">
        <w:instrText xml:space="preserve"> :</w:instrText>
      </w:r>
      <w:r w:rsidR="007E5354">
        <w:instrText>End</w:instrText>
      </w:r>
      <w:r w:rsidR="007E5354" w:rsidRPr="00A56B05">
        <w:instrText xml:space="preserve">:TAD_KDM1 </w:instrText>
      </w:r>
      <w:r w:rsidR="007E5354" w:rsidRPr="00A56B05">
        <w:fldChar w:fldCharType="end"/>
      </w:r>
      <w:r w:rsidR="005556FE" w:rsidRPr="00A56B05">
        <w:t xml:space="preserve"> </w:t>
      </w:r>
    </w:p>
    <w:bookmarkStart w:id="16" w:name="_1707728428"/>
    <w:bookmarkStart w:id="17" w:name="_1707733735"/>
    <w:bookmarkEnd w:id="16"/>
    <w:bookmarkEnd w:id="17"/>
    <w:p w14:paraId="7402E839" w14:textId="75964635" w:rsidR="00A227C0" w:rsidRPr="00FD24B8" w:rsidRDefault="00835A2C" w:rsidP="00AB2110">
      <w:pPr>
        <w:pStyle w:val="ChartHeading"/>
      </w:pPr>
      <w:r>
        <w:fldChar w:fldCharType="begin"/>
      </w:r>
      <w:r>
        <w:instrText xml:space="preserve"> :Start:BPD_BG</w:instrText>
      </w:r>
      <w:r w:rsidR="007B47FA">
        <w:instrText>1</w:instrText>
      </w:r>
      <w:r>
        <w:instrText xml:space="preserve"> </w:instrText>
      </w:r>
      <w:r>
        <w:fldChar w:fldCharType="end"/>
      </w:r>
      <w:r w:rsidR="006E7096" w:rsidRPr="00FD24B8">
        <w:t>Chart 3.</w:t>
      </w:r>
      <w:r w:rsidR="00420771" w:rsidRPr="00FD24B8">
        <w:t>10</w:t>
      </w:r>
      <w:r w:rsidR="006E7096" w:rsidRPr="00FD24B8">
        <w:t>: Tot</w:t>
      </w:r>
      <w:r w:rsidR="007B47FA" w:rsidRPr="00FD24B8">
        <w:fldChar w:fldCharType="begin"/>
      </w:r>
      <w:r w:rsidR="007B47FA" w:rsidRPr="00FD24B8">
        <w:instrText xml:space="preserve"> :End:BPD_BG1 </w:instrText>
      </w:r>
      <w:r w:rsidR="007B47FA" w:rsidRPr="00FD24B8">
        <w:fldChar w:fldCharType="end"/>
      </w:r>
      <w:r w:rsidRPr="00FD24B8">
        <w:fldChar w:fldCharType="begin"/>
      </w:r>
      <w:r w:rsidRPr="00FD24B8">
        <w:instrText xml:space="preserve"> :Start:BPD_BG3 </w:instrText>
      </w:r>
      <w:r w:rsidRPr="00FD24B8">
        <w:fldChar w:fldCharType="end"/>
      </w:r>
      <w:r w:rsidR="006E7096" w:rsidRPr="00FD24B8">
        <w:t xml:space="preserve">al Receipts  </w:t>
      </w:r>
    </w:p>
    <w:p w14:paraId="3DE51AFA" w14:textId="1288DD73" w:rsidR="00A227C0" w:rsidRPr="00FD24B8" w:rsidRDefault="00395986" w:rsidP="00731AE7">
      <w:pPr>
        <w:pStyle w:val="ChartGraphic"/>
      </w:pPr>
      <w:r>
        <w:rPr>
          <w:noProof/>
        </w:rPr>
        <w:drawing>
          <wp:inline distT="0" distB="0" distL="0" distR="0" wp14:anchorId="34B0AC38" wp14:editId="49B01792">
            <wp:extent cx="4678045" cy="2519680"/>
            <wp:effectExtent l="0" t="0" r="0" b="0"/>
            <wp:docPr id="17" name="Picture 17" descr="This chart shows projections for total receipts and tax receipts as a share of GDP at 2022-23 Budget and 2021-22 MYEFO. In 2022-23, tax receipts are expected to be 22.1 per cent of GDP and total receipts 23.8 per cent of GDP. Tax receipts are expected to increase to 22.9 per cent of GDP in 2025-26 and total receipts 24.6 per cent of GDP. These are higher than at the 2021-22 MYE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chart shows projections for total receipts and tax receipts as a share of GDP at 2022-23 Budget and 2021-22 MYEFO. In 2022-23, tax receipts are expected to be 22.1 per cent of GDP and total receipts 23.8 per cent of GDP. Tax receipts are expected to increase to 22.9 per cent of GDP in 2025-26 and total receipts 24.6 per cent of GDP. These are higher than at the 2021-22 MYEFO.&#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8045" cy="2519680"/>
                    </a:xfrm>
                    <a:prstGeom prst="rect">
                      <a:avLst/>
                    </a:prstGeom>
                    <a:noFill/>
                    <a:ln>
                      <a:noFill/>
                    </a:ln>
                  </pic:spPr>
                </pic:pic>
              </a:graphicData>
            </a:graphic>
          </wp:inline>
        </w:drawing>
      </w:r>
    </w:p>
    <w:p w14:paraId="0CEA4C9F" w14:textId="194ECCC4" w:rsidR="009C7845" w:rsidRPr="00A56B05" w:rsidRDefault="008131BA" w:rsidP="000D3C36">
      <w:pPr>
        <w:pStyle w:val="ChartandTableFootnote"/>
        <w:rPr>
          <w:color w:val="auto"/>
        </w:rPr>
      </w:pPr>
      <w:r w:rsidRPr="00FD24B8">
        <w:rPr>
          <w:color w:val="auto"/>
        </w:rPr>
        <w:fldChar w:fldCharType="begin"/>
      </w:r>
      <w:r w:rsidRPr="00FD24B8">
        <w:rPr>
          <w:color w:val="auto"/>
        </w:rPr>
        <w:instrText xml:space="preserve"> :End:BPD_BG3 </w:instrText>
      </w:r>
      <w:r w:rsidRPr="00FD24B8">
        <w:rPr>
          <w:color w:val="auto"/>
        </w:rPr>
        <w:fldChar w:fldCharType="end"/>
      </w:r>
      <w:r w:rsidR="007E5354" w:rsidRPr="00FD24B8">
        <w:rPr>
          <w:color w:val="auto"/>
        </w:rPr>
        <w:fldChar w:fldCharType="begin"/>
      </w:r>
      <w:r w:rsidR="007E5354" w:rsidRPr="00FD24B8">
        <w:rPr>
          <w:color w:val="auto"/>
        </w:rPr>
        <w:instrText xml:space="preserve"> :Start:TAD_KDM1 </w:instrText>
      </w:r>
      <w:r w:rsidR="007E5354" w:rsidRPr="00FD24B8">
        <w:rPr>
          <w:color w:val="auto"/>
        </w:rPr>
        <w:fldChar w:fldCharType="end"/>
      </w:r>
      <w:r w:rsidR="009C7845" w:rsidRPr="00FD24B8">
        <w:rPr>
          <w:color w:val="auto"/>
        </w:rPr>
        <w:t>Note:</w:t>
      </w:r>
      <w:r w:rsidR="009C7845" w:rsidRPr="00FD24B8">
        <w:rPr>
          <w:color w:val="auto"/>
        </w:rPr>
        <w:tab/>
      </w:r>
      <w:r w:rsidR="008F1D18" w:rsidRPr="00FD24B8">
        <w:rPr>
          <w:color w:val="auto"/>
        </w:rPr>
        <w:t>The 2022</w:t>
      </w:r>
      <w:r w:rsidR="0031144A" w:rsidRPr="00FD24B8">
        <w:rPr>
          <w:color w:val="auto"/>
        </w:rPr>
        <w:noBreakHyphen/>
      </w:r>
      <w:r w:rsidR="008F1D18" w:rsidRPr="00FD24B8">
        <w:rPr>
          <w:color w:val="auto"/>
        </w:rPr>
        <w:t>23 Budget projections have tax receipts reaching the 23.9 per cent tax</w:t>
      </w:r>
      <w:r w:rsidR="008F1D18" w:rsidRPr="00FD24B8">
        <w:rPr>
          <w:color w:val="auto"/>
        </w:rPr>
        <w:noBreakHyphen/>
        <w:t>to</w:t>
      </w:r>
      <w:r w:rsidR="008F1D18" w:rsidRPr="00FD24B8">
        <w:rPr>
          <w:color w:val="auto"/>
        </w:rPr>
        <w:noBreakHyphen/>
        <w:t>GDP cap in</w:t>
      </w:r>
      <w:r w:rsidR="00E51A7D" w:rsidRPr="00FD24B8">
        <w:rPr>
          <w:color w:val="auto"/>
        </w:rPr>
        <w:t> </w:t>
      </w:r>
      <w:r w:rsidR="008F1D18" w:rsidRPr="00FD24B8">
        <w:rPr>
          <w:color w:val="auto"/>
        </w:rPr>
        <w:t>2031</w:t>
      </w:r>
      <w:r w:rsidR="0031144A" w:rsidRPr="00FD24B8">
        <w:rPr>
          <w:color w:val="auto"/>
        </w:rPr>
        <w:noBreakHyphen/>
      </w:r>
      <w:r w:rsidR="008F1D18" w:rsidRPr="00FD24B8">
        <w:rPr>
          <w:color w:val="auto"/>
        </w:rPr>
        <w:t xml:space="preserve">32. </w:t>
      </w:r>
      <w:r w:rsidR="007E5354" w:rsidRPr="00A56B05">
        <w:fldChar w:fldCharType="begin"/>
      </w:r>
      <w:r w:rsidR="007E5354" w:rsidRPr="00A56B05">
        <w:instrText xml:space="preserve"> :</w:instrText>
      </w:r>
      <w:r w:rsidR="007E5354">
        <w:instrText>End</w:instrText>
      </w:r>
      <w:r w:rsidR="007E5354" w:rsidRPr="00A56B05">
        <w:instrText xml:space="preserve">:TAD_KDM1 </w:instrText>
      </w:r>
      <w:r w:rsidR="007E5354" w:rsidRPr="00A56B05">
        <w:fldChar w:fldCharType="end"/>
      </w:r>
    </w:p>
    <w:p w14:paraId="00F266BC" w14:textId="44DDFC80" w:rsidR="006E7096" w:rsidRPr="00A56B05" w:rsidRDefault="007E5354" w:rsidP="00164085">
      <w:pPr>
        <w:pStyle w:val="Source"/>
        <w:rPr>
          <w:szCs w:val="16"/>
        </w:rPr>
      </w:pPr>
      <w:r w:rsidRPr="00A56B05">
        <w:fldChar w:fldCharType="begin"/>
      </w:r>
      <w:r w:rsidRPr="00A56B05">
        <w:instrText xml:space="preserve"> :Start:BPD_BG3 </w:instrText>
      </w:r>
      <w:r w:rsidRPr="00A56B05">
        <w:fldChar w:fldCharType="end"/>
      </w:r>
      <w:r w:rsidR="006E7096" w:rsidRPr="00FD24B8">
        <w:rPr>
          <w:szCs w:val="16"/>
        </w:rPr>
        <w:t xml:space="preserve">Source: </w:t>
      </w:r>
      <w:r w:rsidR="006E7096" w:rsidRPr="00FD24B8">
        <w:rPr>
          <w:szCs w:val="16"/>
        </w:rPr>
        <w:tab/>
        <w:t>Treasury.</w:t>
      </w:r>
      <w:r w:rsidRPr="00FD24B8">
        <w:t xml:space="preserve"> </w:t>
      </w:r>
      <w:r w:rsidRPr="00A56B05">
        <w:fldChar w:fldCharType="begin"/>
      </w:r>
      <w:r w:rsidRPr="00A56B05">
        <w:instrText xml:space="preserve"> :</w:instrText>
      </w:r>
      <w:r>
        <w:instrText>End</w:instrText>
      </w:r>
      <w:r w:rsidRPr="00A56B05">
        <w:instrText xml:space="preserve">:BPD_BG3 </w:instrText>
      </w:r>
      <w:r w:rsidRPr="00A56B05">
        <w:fldChar w:fldCharType="end"/>
      </w:r>
    </w:p>
    <w:p w14:paraId="4AA32033" w14:textId="77777777" w:rsidR="00401092" w:rsidRDefault="00401092">
      <w:pPr>
        <w:spacing w:after="160" w:line="259" w:lineRule="auto"/>
        <w:jc w:val="left"/>
        <w:rPr>
          <w:rFonts w:ascii="Arial Bold" w:hAnsi="Arial Bold"/>
          <w:b/>
        </w:rPr>
      </w:pPr>
      <w:bookmarkStart w:id="18" w:name="_Toc434412645"/>
      <w:bookmarkStart w:id="19" w:name="_Toc436316561"/>
      <w:bookmarkEnd w:id="13"/>
      <w:r>
        <w:br w:type="page"/>
      </w:r>
    </w:p>
    <w:p w14:paraId="3B6D100C" w14:textId="2B780DF5" w:rsidR="006A7264" w:rsidRPr="00FD24B8" w:rsidRDefault="00835A2C" w:rsidP="00DD7DEF">
      <w:pPr>
        <w:pStyle w:val="Heading4"/>
        <w:spacing w:after="240"/>
      </w:pPr>
      <w:r w:rsidRPr="00A56B05">
        <w:lastRenderedPageBreak/>
        <w:fldChar w:fldCharType="begin"/>
      </w:r>
      <w:r w:rsidRPr="00A56B05">
        <w:instrText xml:space="preserve"> :Start:BPD_BG1 </w:instrText>
      </w:r>
      <w:r w:rsidRPr="00A56B05">
        <w:fldChar w:fldCharType="end"/>
      </w:r>
      <w:r w:rsidR="006A7264" w:rsidRPr="00FD24B8">
        <w:t>Receipts policy decisions</w:t>
      </w:r>
      <w:bookmarkEnd w:id="18"/>
      <w:bookmarkEnd w:id="19"/>
    </w:p>
    <w:p w14:paraId="1225EA73" w14:textId="25D13D55" w:rsidR="007210A7" w:rsidRPr="00FD24B8" w:rsidRDefault="006A7264" w:rsidP="006A7264">
      <w:r w:rsidRPr="00FD24B8">
        <w:t xml:space="preserve">Policy decisions since </w:t>
      </w:r>
      <w:r w:rsidR="001E0DBE" w:rsidRPr="00FD24B8">
        <w:t>MYEFO</w:t>
      </w:r>
      <w:r w:rsidRPr="00FD24B8">
        <w:t xml:space="preserve"> have </w:t>
      </w:r>
      <w:r w:rsidR="00082D86" w:rsidRPr="00FD24B8">
        <w:t>decreased</w:t>
      </w:r>
      <w:r w:rsidRPr="00FD24B8">
        <w:t xml:space="preserve"> total receipts by $</w:t>
      </w:r>
      <w:r w:rsidR="00A81FEB" w:rsidRPr="00FD24B8">
        <w:t>8.4</w:t>
      </w:r>
      <w:r w:rsidRPr="00FD24B8">
        <w:t xml:space="preserve"> billion in </w:t>
      </w:r>
      <w:r w:rsidR="42FCF618" w:rsidRPr="00FD24B8">
        <w:t>202</w:t>
      </w:r>
      <w:r w:rsidR="1FF9BB0C" w:rsidRPr="00FD24B8">
        <w:t>2</w:t>
      </w:r>
      <w:r w:rsidR="00F21191" w:rsidRPr="00FD24B8">
        <w:noBreakHyphen/>
      </w:r>
      <w:r w:rsidR="42FCF618" w:rsidRPr="00FD24B8">
        <w:t>2</w:t>
      </w:r>
      <w:r w:rsidR="1FF9BB0C" w:rsidRPr="00FD24B8">
        <w:t>3</w:t>
      </w:r>
      <w:r w:rsidRPr="00FD24B8">
        <w:t xml:space="preserve"> and by $</w:t>
      </w:r>
      <w:r w:rsidR="00A81FEB" w:rsidRPr="00FD24B8">
        <w:t>5.4</w:t>
      </w:r>
      <w:r w:rsidRPr="00FD24B8">
        <w:t xml:space="preserve"> billion over </w:t>
      </w:r>
      <w:r w:rsidR="00993604" w:rsidRPr="00FD24B8">
        <w:t xml:space="preserve">the </w:t>
      </w:r>
      <w:r w:rsidR="002E583F" w:rsidRPr="00FD24B8">
        <w:t>4</w:t>
      </w:r>
      <w:r w:rsidRPr="00FD24B8">
        <w:t xml:space="preserve"> years to </w:t>
      </w:r>
      <w:r w:rsidR="42FCF618" w:rsidRPr="00FD24B8">
        <w:t>202</w:t>
      </w:r>
      <w:r w:rsidR="74BC8F30" w:rsidRPr="00FD24B8">
        <w:t>5</w:t>
      </w:r>
      <w:r w:rsidR="00F21191" w:rsidRPr="00FD24B8">
        <w:noBreakHyphen/>
      </w:r>
      <w:r w:rsidR="42FCF618" w:rsidRPr="00FD24B8">
        <w:t>2</w:t>
      </w:r>
      <w:r w:rsidR="74BC8F30" w:rsidRPr="00FD24B8">
        <w:t>6</w:t>
      </w:r>
      <w:r w:rsidR="42FCF618" w:rsidRPr="00FD24B8">
        <w:t>.</w:t>
      </w:r>
      <w:r w:rsidRPr="00FD24B8">
        <w:t xml:space="preserve"> </w:t>
      </w:r>
    </w:p>
    <w:p w14:paraId="7C25D68A" w14:textId="6C159E04" w:rsidR="00090DC2" w:rsidRPr="00FD24B8" w:rsidRDefault="00835A2C" w:rsidP="006A7264">
      <w:r w:rsidRPr="00FD24B8">
        <w:fldChar w:fldCharType="begin"/>
      </w:r>
      <w:r w:rsidRPr="00FD24B8">
        <w:instrText xml:space="preserve"> :End:BPD_BG1 </w:instrText>
      </w:r>
      <w:r w:rsidRPr="00FD24B8">
        <w:fldChar w:fldCharType="end"/>
      </w:r>
      <w:r w:rsidR="00E479F5" w:rsidRPr="00FD24B8">
        <w:fldChar w:fldCharType="begin"/>
      </w:r>
      <w:r w:rsidR="00E479F5" w:rsidRPr="00FD24B8">
        <w:instrText xml:space="preserve"> :Start:TAD_KDM2 </w:instrText>
      </w:r>
      <w:r w:rsidR="00E479F5" w:rsidRPr="00FD24B8">
        <w:fldChar w:fldCharType="end"/>
      </w:r>
      <w:r w:rsidR="006A7264" w:rsidRPr="00FD24B8">
        <w:t xml:space="preserve">Policy decisions have </w:t>
      </w:r>
      <w:r w:rsidR="42FCF618" w:rsidRPr="00FD24B8">
        <w:t>decreased</w:t>
      </w:r>
      <w:r w:rsidR="006A7264" w:rsidRPr="00FD24B8">
        <w:t xml:space="preserve"> tax receipts by $7.4 billion over </w:t>
      </w:r>
      <w:r w:rsidR="00993604" w:rsidRPr="00FD24B8">
        <w:t xml:space="preserve">the </w:t>
      </w:r>
      <w:r w:rsidR="002E583F" w:rsidRPr="00FD24B8">
        <w:t>4</w:t>
      </w:r>
      <w:r w:rsidR="006A7264" w:rsidRPr="00FD24B8">
        <w:t xml:space="preserve"> years to </w:t>
      </w:r>
      <w:r w:rsidR="42FCF618" w:rsidRPr="00FD24B8">
        <w:t>202</w:t>
      </w:r>
      <w:r w:rsidR="56714C86" w:rsidRPr="00FD24B8">
        <w:t>5</w:t>
      </w:r>
      <w:r w:rsidR="0031144A" w:rsidRPr="00FD24B8">
        <w:noBreakHyphen/>
      </w:r>
      <w:r w:rsidR="42FCF618" w:rsidRPr="00FD24B8">
        <w:t>2</w:t>
      </w:r>
      <w:r w:rsidR="56714C86" w:rsidRPr="00FD24B8">
        <w:t>6</w:t>
      </w:r>
      <w:r w:rsidR="42FCF618" w:rsidRPr="00FD24B8">
        <w:t>.</w:t>
      </w:r>
      <w:r w:rsidR="006A7264" w:rsidRPr="00FD24B8">
        <w:t xml:space="preserve"> Key tax receipt measures include:</w:t>
      </w:r>
    </w:p>
    <w:p w14:paraId="715DEA56" w14:textId="6627DD63" w:rsidR="00C066A8" w:rsidRPr="00FD24B8" w:rsidRDefault="00090DC2" w:rsidP="009F03E7">
      <w:pPr>
        <w:pStyle w:val="Bullet"/>
      </w:pPr>
      <w:r w:rsidRPr="00FD24B8">
        <w:t>Providing a one</w:t>
      </w:r>
      <w:r w:rsidR="0031144A" w:rsidRPr="00FD24B8">
        <w:noBreakHyphen/>
      </w:r>
      <w:r w:rsidRPr="00FD24B8">
        <w:t xml:space="preserve">off </w:t>
      </w:r>
      <w:proofErr w:type="gramStart"/>
      <w:r w:rsidRPr="00FD24B8">
        <w:t>cost of living</w:t>
      </w:r>
      <w:proofErr w:type="gramEnd"/>
      <w:r w:rsidRPr="00FD24B8">
        <w:t xml:space="preserve"> </w:t>
      </w:r>
      <w:r w:rsidR="00991F8F" w:rsidRPr="00FD24B8">
        <w:t xml:space="preserve">tax </w:t>
      </w:r>
      <w:r w:rsidR="00B74BBA" w:rsidRPr="00FD24B8">
        <w:t xml:space="preserve">offset of $420 </w:t>
      </w:r>
      <w:r w:rsidRPr="00FD24B8">
        <w:t>for the 2021</w:t>
      </w:r>
      <w:r w:rsidR="0031144A" w:rsidRPr="00FD24B8">
        <w:noBreakHyphen/>
      </w:r>
      <w:r w:rsidRPr="00FD24B8">
        <w:t xml:space="preserve">22 income year. This measure is estimated to decrease receipts by $4.1 billion over the </w:t>
      </w:r>
      <w:r w:rsidR="00C05CD3" w:rsidRPr="00FD24B8">
        <w:t xml:space="preserve">4 </w:t>
      </w:r>
      <w:r w:rsidR="007936CA" w:rsidRPr="00FD24B8">
        <w:t>years to 2025</w:t>
      </w:r>
      <w:r w:rsidR="00FD0B30" w:rsidRPr="00FD24B8">
        <w:noBreakHyphen/>
      </w:r>
      <w:r w:rsidR="007936CA" w:rsidRPr="00FD24B8">
        <w:t>26</w:t>
      </w:r>
    </w:p>
    <w:p w14:paraId="23B5A365" w14:textId="63B5FB2E" w:rsidR="00A84086" w:rsidRPr="00FD24B8" w:rsidRDefault="00D30626" w:rsidP="00953D1E">
      <w:pPr>
        <w:pStyle w:val="Bullet"/>
      </w:pPr>
      <w:r w:rsidRPr="00FD24B8">
        <w:t>Reducing the excise and excise equivalent customs duty rate that applies to petrol and diesel by 50 per cent for six months from 30 March 2022. The excise and excise equivalent customs duty rates for all other fuel and petroleum</w:t>
      </w:r>
      <w:r w:rsidR="0031144A" w:rsidRPr="00FD24B8">
        <w:noBreakHyphen/>
      </w:r>
      <w:r w:rsidRPr="00FD24B8">
        <w:t xml:space="preserve">based products, except aviation fuels, will also be reduced by 50 per cent for </w:t>
      </w:r>
      <w:r w:rsidR="00C05CD3" w:rsidRPr="00FD24B8">
        <w:t xml:space="preserve">6 </w:t>
      </w:r>
      <w:r w:rsidRPr="00FD24B8">
        <w:t xml:space="preserve">months. This measure is estimated to decrease receipts by $5.6 billion over the </w:t>
      </w:r>
      <w:r w:rsidR="00C05CD3" w:rsidRPr="00FD24B8">
        <w:t>2</w:t>
      </w:r>
      <w:r w:rsidR="00782364" w:rsidRPr="00FD24B8">
        <w:t xml:space="preserve"> years to 2022</w:t>
      </w:r>
      <w:r w:rsidR="0031144A" w:rsidRPr="00FD24B8">
        <w:noBreakHyphen/>
      </w:r>
      <w:r w:rsidR="00782364" w:rsidRPr="00FD24B8">
        <w:t>23</w:t>
      </w:r>
      <w:r w:rsidRPr="00FD24B8">
        <w:t>, offset by an associated reduction in fuel tax credit</w:t>
      </w:r>
      <w:r w:rsidR="0042656E" w:rsidRPr="00FD24B8">
        <w:t>s</w:t>
      </w:r>
      <w:r w:rsidRPr="00FD24B8">
        <w:t xml:space="preserve"> and GST payments</w:t>
      </w:r>
      <w:r w:rsidR="00782364" w:rsidRPr="00FD24B8">
        <w:t xml:space="preserve"> of $2.7</w:t>
      </w:r>
      <w:r w:rsidR="00034780" w:rsidRPr="00FD24B8">
        <w:t xml:space="preserve"> billion</w:t>
      </w:r>
    </w:p>
    <w:p w14:paraId="6EEB1A77" w14:textId="5C5F2986" w:rsidR="0021653E" w:rsidRPr="00FD24B8" w:rsidRDefault="00E07A79" w:rsidP="00205CEB">
      <w:pPr>
        <w:pStyle w:val="Bullet"/>
      </w:pPr>
      <w:r w:rsidRPr="00FD24B8">
        <w:t>Extending the operation of the ATO Tax Avoidance Taskforce by two years to 30</w:t>
      </w:r>
      <w:r w:rsidR="002474EC" w:rsidRPr="00FD24B8">
        <w:t> </w:t>
      </w:r>
      <w:r w:rsidRPr="00FD24B8">
        <w:t>June</w:t>
      </w:r>
      <w:r w:rsidR="002474EC" w:rsidRPr="00FD24B8">
        <w:t> </w:t>
      </w:r>
      <w:r w:rsidRPr="00FD24B8">
        <w:t>2025. The Taskforce was established in 2016 to undertake compliance activities targeting multinationals, large public and private groups, trusts and high wealth individuals. This measure is estimated to increase receipts by $2.1</w:t>
      </w:r>
      <w:r w:rsidR="00C54873" w:rsidRPr="00FD24B8">
        <w:t> </w:t>
      </w:r>
      <w:r w:rsidRPr="00FD24B8">
        <w:t xml:space="preserve">billion over the </w:t>
      </w:r>
      <w:r w:rsidR="00C05CD3" w:rsidRPr="00FD24B8">
        <w:t>4</w:t>
      </w:r>
      <w:r w:rsidR="007936CA" w:rsidRPr="00FD24B8">
        <w:t xml:space="preserve"> years to 2025</w:t>
      </w:r>
      <w:r w:rsidR="0031144A" w:rsidRPr="00FD24B8">
        <w:noBreakHyphen/>
      </w:r>
      <w:r w:rsidR="007936CA" w:rsidRPr="00FD24B8">
        <w:t>26</w:t>
      </w:r>
      <w:r w:rsidRPr="00FD24B8">
        <w:t>.</w:t>
      </w:r>
    </w:p>
    <w:p w14:paraId="253CF5DC" w14:textId="530BECFF" w:rsidR="006A7264" w:rsidRPr="00FD24B8" w:rsidRDefault="00E479F5" w:rsidP="00581657">
      <w:pPr>
        <w:pStyle w:val="Bullet"/>
        <w:numPr>
          <w:ilvl w:val="0"/>
          <w:numId w:val="0"/>
        </w:numPr>
      </w:pPr>
      <w:r w:rsidRPr="00FD24B8">
        <w:fldChar w:fldCharType="begin"/>
      </w:r>
      <w:r w:rsidRPr="00FD24B8">
        <w:instrText xml:space="preserve"> :End:TAD_KDM2 </w:instrText>
      </w:r>
      <w:r w:rsidRPr="00FD24B8">
        <w:fldChar w:fldCharType="end"/>
      </w:r>
      <w:r w:rsidR="008F4D28" w:rsidRPr="00FD24B8">
        <w:fldChar w:fldCharType="begin"/>
      </w:r>
      <w:r w:rsidR="008F4D28" w:rsidRPr="00FD24B8">
        <w:instrText xml:space="preserve"> :Start:BPCD_JM1 </w:instrText>
      </w:r>
      <w:r w:rsidR="008F4D28" w:rsidRPr="00FD24B8">
        <w:fldChar w:fldCharType="end"/>
      </w:r>
      <w:r w:rsidR="006A7264" w:rsidRPr="00FD24B8">
        <w:t xml:space="preserve">Since </w:t>
      </w:r>
      <w:r w:rsidR="00464B17" w:rsidRPr="00FD24B8">
        <w:t>MYEFO</w:t>
      </w:r>
      <w:r w:rsidR="006A7264" w:rsidRPr="00FD24B8">
        <w:t>, policy decisions are expected to increase non</w:t>
      </w:r>
      <w:r w:rsidR="00C1771F" w:rsidRPr="00FD24B8">
        <w:noBreakHyphen/>
      </w:r>
      <w:r w:rsidR="006A7264" w:rsidRPr="00FD24B8">
        <w:t>taxation receipts by $</w:t>
      </w:r>
      <w:r w:rsidR="001B3C68" w:rsidRPr="00FD24B8">
        <w:t>0.5</w:t>
      </w:r>
      <w:r w:rsidR="00426D31" w:rsidRPr="00FD24B8">
        <w:t> </w:t>
      </w:r>
      <w:r w:rsidR="006A7264" w:rsidRPr="00FD24B8">
        <w:t>billion in 202</w:t>
      </w:r>
      <w:r w:rsidR="00FE469B" w:rsidRPr="00FD24B8">
        <w:t>2</w:t>
      </w:r>
      <w:r w:rsidR="00C1771F" w:rsidRPr="00FD24B8">
        <w:noBreakHyphen/>
      </w:r>
      <w:r w:rsidR="006A7264" w:rsidRPr="00FD24B8">
        <w:t>2</w:t>
      </w:r>
      <w:r w:rsidR="00FE469B" w:rsidRPr="00FD24B8">
        <w:t>3</w:t>
      </w:r>
      <w:r w:rsidR="006A7264" w:rsidRPr="00FD24B8">
        <w:t>, and by $</w:t>
      </w:r>
      <w:r w:rsidR="00B53E65" w:rsidRPr="00FD24B8">
        <w:t>2.0</w:t>
      </w:r>
      <w:r w:rsidR="006A7264" w:rsidRPr="00FD24B8">
        <w:t xml:space="preserve"> billion over</w:t>
      </w:r>
      <w:r w:rsidR="00993604" w:rsidRPr="00FD24B8">
        <w:t xml:space="preserve"> the</w:t>
      </w:r>
      <w:r w:rsidR="006A7264" w:rsidRPr="00FD24B8">
        <w:t xml:space="preserve"> </w:t>
      </w:r>
      <w:r w:rsidR="002E583F" w:rsidRPr="00FD24B8">
        <w:t>4</w:t>
      </w:r>
      <w:r w:rsidR="002D56DA" w:rsidRPr="00FD24B8">
        <w:t> </w:t>
      </w:r>
      <w:r w:rsidR="006A7264" w:rsidRPr="00FD24B8">
        <w:t>years to 202</w:t>
      </w:r>
      <w:r w:rsidR="00FE469B" w:rsidRPr="00FD24B8">
        <w:t>5</w:t>
      </w:r>
      <w:r w:rsidR="00C1771F" w:rsidRPr="00FD24B8">
        <w:noBreakHyphen/>
      </w:r>
      <w:r w:rsidR="006A7264" w:rsidRPr="00FD24B8">
        <w:t>2</w:t>
      </w:r>
      <w:r w:rsidR="00FE469B" w:rsidRPr="00FD24B8">
        <w:t>6</w:t>
      </w:r>
      <w:r w:rsidR="007A5439" w:rsidRPr="00FD24B8">
        <w:t>,</w:t>
      </w:r>
      <w:r w:rsidR="006A7264" w:rsidRPr="00FD24B8">
        <w:t xml:space="preserve"> </w:t>
      </w:r>
      <w:r w:rsidR="00272D19" w:rsidRPr="00FD24B8">
        <w:t>including proceeds arising from the Clean Energy Regulator allowing permit holders to exit their fixed delivery contracts held under the Emissions Reduction Fund.</w:t>
      </w:r>
      <w:r w:rsidR="006A7264" w:rsidRPr="00FD24B8">
        <w:t xml:space="preserve">  </w:t>
      </w:r>
    </w:p>
    <w:p w14:paraId="2EB0CA98" w14:textId="3351A3AF" w:rsidR="006A7264" w:rsidRPr="00FD24B8" w:rsidRDefault="008F4D28" w:rsidP="006A7264">
      <w:r w:rsidRPr="00FD24B8">
        <w:fldChar w:fldCharType="begin"/>
      </w:r>
      <w:r w:rsidRPr="00FD24B8">
        <w:instrText xml:space="preserve"> :End:BPCD_JM1 </w:instrText>
      </w:r>
      <w:r w:rsidRPr="00FD24B8">
        <w:fldChar w:fldCharType="end"/>
      </w:r>
      <w:r w:rsidR="00DE340C" w:rsidRPr="00FD24B8">
        <w:fldChar w:fldCharType="begin"/>
      </w:r>
      <w:r w:rsidR="00DE340C" w:rsidRPr="00FD24B8">
        <w:instrText xml:space="preserve"> :Start:BPD_BG1 </w:instrText>
      </w:r>
      <w:r w:rsidR="00DE340C" w:rsidRPr="00FD24B8">
        <w:fldChar w:fldCharType="end"/>
      </w:r>
      <w:r w:rsidR="006A7264" w:rsidRPr="00FD24B8">
        <w:t xml:space="preserve">Further details of Government policy decisions are provided in </w:t>
      </w:r>
      <w:r w:rsidR="00B0239B" w:rsidRPr="00FD24B8">
        <w:rPr>
          <w:i/>
        </w:rPr>
        <w:t>Budget Paper No. 2</w:t>
      </w:r>
      <w:r w:rsidR="0086631F" w:rsidRPr="00FD24B8">
        <w:t>,</w:t>
      </w:r>
      <w:r w:rsidR="006A7264" w:rsidRPr="00FD24B8">
        <w:rPr>
          <w:i/>
        </w:rPr>
        <w:t xml:space="preserve"> </w:t>
      </w:r>
      <w:r w:rsidR="0086631F" w:rsidRPr="00FD24B8">
        <w:rPr>
          <w:i/>
        </w:rPr>
        <w:t>Budget Measures 2022</w:t>
      </w:r>
      <w:r w:rsidR="00C1771F" w:rsidRPr="00FD24B8">
        <w:rPr>
          <w:i/>
        </w:rPr>
        <w:noBreakHyphen/>
      </w:r>
      <w:r w:rsidR="0086631F" w:rsidRPr="00FD24B8">
        <w:rPr>
          <w:i/>
        </w:rPr>
        <w:t>23</w:t>
      </w:r>
      <w:r w:rsidR="006A7264" w:rsidRPr="00FD24B8">
        <w:t>.</w:t>
      </w:r>
    </w:p>
    <w:p w14:paraId="4F59029C" w14:textId="41EC5918" w:rsidR="006A7264" w:rsidRPr="00FD24B8" w:rsidRDefault="006A7264" w:rsidP="00DD7DEF">
      <w:pPr>
        <w:pStyle w:val="Heading4"/>
        <w:spacing w:after="240"/>
      </w:pPr>
      <w:r w:rsidRPr="00FD24B8">
        <w:t>Receipts parameter and other variations</w:t>
      </w:r>
    </w:p>
    <w:p w14:paraId="50A3FF51" w14:textId="73DB6F85" w:rsidR="00200FC0" w:rsidRPr="00FD24B8" w:rsidRDefault="00200FC0" w:rsidP="00200FC0">
      <w:r w:rsidRPr="00FD24B8">
        <w:t>Parameter and other variations have increased total receipts since MYEFO by $</w:t>
      </w:r>
      <w:r w:rsidR="00017CAC" w:rsidRPr="00FD24B8">
        <w:t>3</w:t>
      </w:r>
      <w:r w:rsidR="00541A22" w:rsidRPr="00FD24B8">
        <w:t>9</w:t>
      </w:r>
      <w:r w:rsidR="00017CAC" w:rsidRPr="00FD24B8">
        <w:t>.</w:t>
      </w:r>
      <w:r w:rsidR="00541A22" w:rsidRPr="00FD24B8">
        <w:t>5</w:t>
      </w:r>
      <w:r w:rsidR="00350333" w:rsidRPr="00FD24B8">
        <w:t> </w:t>
      </w:r>
      <w:r w:rsidRPr="00FD24B8">
        <w:t>billion in 2022</w:t>
      </w:r>
      <w:r w:rsidRPr="00FD24B8">
        <w:noBreakHyphen/>
        <w:t>23 and by $</w:t>
      </w:r>
      <w:r w:rsidR="00873F3E" w:rsidRPr="00FD24B8">
        <w:t>1</w:t>
      </w:r>
      <w:r w:rsidR="00541A22" w:rsidRPr="00FD24B8">
        <w:t>26.0</w:t>
      </w:r>
      <w:r w:rsidRPr="00FD24B8">
        <w:t xml:space="preserve"> billion over</w:t>
      </w:r>
      <w:r w:rsidR="00993604" w:rsidRPr="00FD24B8">
        <w:t xml:space="preserve"> the</w:t>
      </w:r>
      <w:r w:rsidRPr="00FD24B8">
        <w:t xml:space="preserve"> 4 years to 2025</w:t>
      </w:r>
      <w:r w:rsidRPr="00FD24B8">
        <w:noBreakHyphen/>
        <w:t>26.</w:t>
      </w:r>
    </w:p>
    <w:p w14:paraId="4BC849F1" w14:textId="36BCCB9F" w:rsidR="004D0329" w:rsidRPr="00FD24B8" w:rsidRDefault="00AC4EEE" w:rsidP="004D0329">
      <w:r w:rsidRPr="00FD24B8">
        <w:t xml:space="preserve">The increase </w:t>
      </w:r>
      <w:r w:rsidR="00661D9F" w:rsidRPr="00FD24B8">
        <w:t xml:space="preserve">in total receipts </w:t>
      </w:r>
      <w:r w:rsidR="00994628" w:rsidRPr="00FD24B8">
        <w:t xml:space="preserve">due to parameter and other variations </w:t>
      </w:r>
      <w:r w:rsidRPr="00FD24B8">
        <w:t>primarily reflects tax receipts, which have been revised up</w:t>
      </w:r>
      <w:r w:rsidR="0044616D" w:rsidRPr="00FD24B8">
        <w:t xml:space="preserve"> </w:t>
      </w:r>
      <w:r w:rsidRPr="00FD24B8">
        <w:t xml:space="preserve">by </w:t>
      </w:r>
      <w:r w:rsidR="00DE340C" w:rsidRPr="00FD24B8">
        <w:fldChar w:fldCharType="begin"/>
      </w:r>
      <w:r w:rsidR="00DE340C" w:rsidRPr="00FD24B8">
        <w:instrText xml:space="preserve"> :End:BPD_BG1 </w:instrText>
      </w:r>
      <w:r w:rsidR="00DE340C" w:rsidRPr="00FD24B8">
        <w:fldChar w:fldCharType="end"/>
      </w:r>
      <w:r w:rsidR="00DE340C" w:rsidRPr="00FD24B8">
        <w:fldChar w:fldCharType="begin"/>
      </w:r>
      <w:r w:rsidR="00DE340C" w:rsidRPr="00FD24B8">
        <w:instrText xml:space="preserve"> :Start:TAD_KDM1 </w:instrText>
      </w:r>
      <w:r w:rsidR="00DE340C" w:rsidRPr="00FD24B8">
        <w:fldChar w:fldCharType="end"/>
      </w:r>
      <w:r w:rsidR="004D0329" w:rsidRPr="00FD24B8">
        <w:t>$</w:t>
      </w:r>
      <w:r w:rsidR="00AE0683" w:rsidRPr="00FD24B8">
        <w:t>38.7 </w:t>
      </w:r>
      <w:r w:rsidR="004D0329" w:rsidRPr="00FD24B8">
        <w:t>billion in 2022</w:t>
      </w:r>
      <w:r w:rsidR="00ED1E9E" w:rsidRPr="00FD24B8">
        <w:noBreakHyphen/>
      </w:r>
      <w:r w:rsidR="004D0329" w:rsidRPr="00FD24B8">
        <w:t>23 and by $</w:t>
      </w:r>
      <w:r w:rsidR="00AE0683" w:rsidRPr="00FD24B8">
        <w:t>133.5 </w:t>
      </w:r>
      <w:r w:rsidR="004D0329" w:rsidRPr="00FD24B8">
        <w:t xml:space="preserve">billion over </w:t>
      </w:r>
      <w:r w:rsidR="00993604" w:rsidRPr="00FD24B8">
        <w:t xml:space="preserve">the </w:t>
      </w:r>
      <w:r w:rsidR="002E583F" w:rsidRPr="00FD24B8">
        <w:t>4</w:t>
      </w:r>
      <w:r w:rsidR="004D0329" w:rsidRPr="00FD24B8">
        <w:t xml:space="preserve"> years to 2025</w:t>
      </w:r>
      <w:r w:rsidR="00ED1E9E" w:rsidRPr="00FD24B8">
        <w:noBreakHyphen/>
      </w:r>
      <w:r w:rsidR="004D0329" w:rsidRPr="00FD24B8">
        <w:t xml:space="preserve">26. The upward tax receipts revision is </w:t>
      </w:r>
      <w:r w:rsidR="0E17333F" w:rsidRPr="00FD24B8">
        <w:t>primarily driven</w:t>
      </w:r>
      <w:r w:rsidR="004D0329" w:rsidRPr="00FD24B8">
        <w:t xml:space="preserve"> by higher </w:t>
      </w:r>
      <w:r w:rsidR="0E17333F" w:rsidRPr="00FD24B8">
        <w:t xml:space="preserve">employment and </w:t>
      </w:r>
      <w:r w:rsidR="004D0329" w:rsidRPr="00FD24B8">
        <w:t>wages leading to higher personal income tax receipts.</w:t>
      </w:r>
      <w:r w:rsidR="0E17333F" w:rsidRPr="00FD24B8">
        <w:t xml:space="preserve"> </w:t>
      </w:r>
      <w:r w:rsidR="311CC0C5" w:rsidRPr="00FD24B8">
        <w:t>This supports increased</w:t>
      </w:r>
      <w:r w:rsidR="0E17333F" w:rsidRPr="00FD24B8">
        <w:t xml:space="preserve"> household consumption leading to higher GST receipts across the forward estimates.</w:t>
      </w:r>
      <w:r w:rsidR="004D0329" w:rsidRPr="00FD24B8">
        <w:t xml:space="preserve"> Elevated </w:t>
      </w:r>
      <w:r w:rsidR="442E363B" w:rsidRPr="00FD24B8">
        <w:t>bulk commodity</w:t>
      </w:r>
      <w:r w:rsidR="004D0329" w:rsidRPr="00FD24B8">
        <w:t xml:space="preserve"> prices in the near</w:t>
      </w:r>
      <w:r w:rsidR="00965146" w:rsidRPr="00FD24B8">
        <w:t xml:space="preserve"> </w:t>
      </w:r>
      <w:r w:rsidR="004D0329" w:rsidRPr="00FD24B8">
        <w:t xml:space="preserve">term have also supported company tax receipts. </w:t>
      </w:r>
    </w:p>
    <w:p w14:paraId="5DC97798" w14:textId="0B8FC822" w:rsidR="004D0329" w:rsidRPr="00FD24B8" w:rsidRDefault="00DE340C" w:rsidP="004D0329">
      <w:r w:rsidRPr="00FD24B8">
        <w:lastRenderedPageBreak/>
        <w:fldChar w:fldCharType="begin"/>
      </w:r>
      <w:r w:rsidRPr="00FD24B8">
        <w:instrText xml:space="preserve"> :End:TAD_KDM1 </w:instrText>
      </w:r>
      <w:r w:rsidRPr="00FD24B8">
        <w:fldChar w:fldCharType="end"/>
      </w:r>
      <w:r w:rsidRPr="00FD24B8">
        <w:fldChar w:fldCharType="begin"/>
      </w:r>
      <w:r w:rsidRPr="00FD24B8">
        <w:instrText xml:space="preserve"> :Start:BPCD_JM1 </w:instrText>
      </w:r>
      <w:r w:rsidRPr="00FD24B8">
        <w:fldChar w:fldCharType="end"/>
      </w:r>
      <w:r w:rsidR="004D0329" w:rsidRPr="00FD24B8">
        <w:t xml:space="preserve">Since MYEFO, </w:t>
      </w:r>
      <w:r w:rsidR="00EC4E31" w:rsidRPr="00FD24B8">
        <w:t>parameter and other variations are expected to increase non</w:t>
      </w:r>
      <w:r w:rsidR="0031144A" w:rsidRPr="00FD24B8">
        <w:noBreakHyphen/>
      </w:r>
      <w:r w:rsidR="00EC4E31" w:rsidRPr="00FD24B8">
        <w:t>taxation receipts by $0.9 billion in 2022</w:t>
      </w:r>
      <w:r w:rsidR="002B4D86" w:rsidRPr="00FD24B8">
        <w:noBreakHyphen/>
      </w:r>
      <w:r w:rsidR="00EC4E31" w:rsidRPr="00FD24B8">
        <w:t>23, and to decrease non</w:t>
      </w:r>
      <w:r w:rsidR="0031144A" w:rsidRPr="00FD24B8">
        <w:noBreakHyphen/>
      </w:r>
      <w:r w:rsidR="00EC4E31" w:rsidRPr="00FD24B8">
        <w:t xml:space="preserve">taxation receipts by $7.5 billion over the </w:t>
      </w:r>
      <w:r w:rsidR="00A83EA0" w:rsidRPr="00FD24B8">
        <w:t>4</w:t>
      </w:r>
      <w:r w:rsidR="00EC4E31" w:rsidRPr="00FD24B8">
        <w:t xml:space="preserve"> years to 2025</w:t>
      </w:r>
      <w:r w:rsidR="0031144A" w:rsidRPr="00FD24B8">
        <w:noBreakHyphen/>
      </w:r>
      <w:r w:rsidR="00EC4E31" w:rsidRPr="00FD24B8">
        <w:t xml:space="preserve">26. This is primarily due to lower expected dividends from the Reserve Bank of Australia, with the assumed rise in interest rates reducing the RBA’s profits. This is partially offset by </w:t>
      </w:r>
      <w:proofErr w:type="gramStart"/>
      <w:r w:rsidR="00EC4E31" w:rsidRPr="00FD24B8">
        <w:t>higher than expected</w:t>
      </w:r>
      <w:proofErr w:type="gramEnd"/>
      <w:r w:rsidR="00EC4E31" w:rsidRPr="00FD24B8">
        <w:t xml:space="preserve"> Future Fund earnings and an increase in liquefied natural gas (LNG) royalties. </w:t>
      </w:r>
    </w:p>
    <w:p w14:paraId="4AD7BF19" w14:textId="37D8C57F" w:rsidR="009E250A" w:rsidRPr="00A56B05" w:rsidRDefault="00DE340C" w:rsidP="00F455E3">
      <w:r w:rsidRPr="00FD24B8">
        <w:fldChar w:fldCharType="begin"/>
      </w:r>
      <w:r w:rsidRPr="00FD24B8">
        <w:instrText xml:space="preserve"> :End:BPCD_JM1 </w:instrText>
      </w:r>
      <w:r w:rsidRPr="00FD24B8">
        <w:fldChar w:fldCharType="end"/>
      </w:r>
      <w:r w:rsidRPr="00FD24B8">
        <w:fldChar w:fldCharType="begin"/>
      </w:r>
      <w:r w:rsidRPr="00FD24B8">
        <w:instrText xml:space="preserve"> :Start:TAD_KDM1 </w:instrText>
      </w:r>
      <w:r w:rsidRPr="00FD24B8">
        <w:fldChar w:fldCharType="end"/>
      </w:r>
      <w:r w:rsidR="004D0329" w:rsidRPr="00FD24B8">
        <w:t xml:space="preserve">Further information on expected tax receipts is provided in </w:t>
      </w:r>
      <w:r w:rsidR="004D0329" w:rsidRPr="00FD24B8">
        <w:rPr>
          <w:i/>
        </w:rPr>
        <w:t>Statement 4:</w:t>
      </w:r>
      <w:r w:rsidR="004D0329" w:rsidRPr="00FD24B8">
        <w:t xml:space="preserve"> </w:t>
      </w:r>
      <w:r w:rsidR="004D0329" w:rsidRPr="00FD24B8">
        <w:rPr>
          <w:i/>
        </w:rPr>
        <w:t xml:space="preserve">Revenue. </w:t>
      </w:r>
      <w:r w:rsidR="004D0329" w:rsidRPr="00FD24B8">
        <w:t xml:space="preserve">Analysis of the sensitivity of the receipts estimates to changes in the economic outlook is provided in </w:t>
      </w:r>
      <w:r w:rsidR="004D0329" w:rsidRPr="00FD24B8">
        <w:rPr>
          <w:i/>
        </w:rPr>
        <w:t>Statement 7: Forecasting Performance and S</w:t>
      </w:r>
      <w:r w:rsidR="003638A9" w:rsidRPr="00FD24B8">
        <w:rPr>
          <w:i/>
        </w:rPr>
        <w:t>ensitivity</w:t>
      </w:r>
      <w:r w:rsidR="004D0329" w:rsidRPr="00FD24B8">
        <w:rPr>
          <w:i/>
        </w:rPr>
        <w:t xml:space="preserve"> </w:t>
      </w:r>
      <w:r w:rsidR="003638A9" w:rsidRPr="00FD24B8">
        <w:rPr>
          <w:i/>
        </w:rPr>
        <w:t>A</w:t>
      </w:r>
      <w:r w:rsidR="004D0329" w:rsidRPr="00FD24B8">
        <w:rPr>
          <w:i/>
        </w:rPr>
        <w:t>nalysis</w:t>
      </w:r>
      <w:r w:rsidR="004D0329" w:rsidRPr="00FD24B8">
        <w:t xml:space="preserve">. </w:t>
      </w:r>
      <w:r w:rsidRPr="00A56B05">
        <w:fldChar w:fldCharType="begin"/>
      </w:r>
      <w:r w:rsidRPr="00A56B05">
        <w:instrText xml:space="preserve"> :End:TAD_KDM1 </w:instrText>
      </w:r>
      <w:r w:rsidRPr="00A56B05">
        <w:fldChar w:fldCharType="end"/>
      </w:r>
    </w:p>
    <w:bookmarkStart w:id="20" w:name="_Toc98757988"/>
    <w:p w14:paraId="116C5EFD" w14:textId="1CC476FE" w:rsidR="00563D1B" w:rsidRPr="00FD24B8" w:rsidRDefault="00193800" w:rsidP="00DD7DEF">
      <w:pPr>
        <w:pStyle w:val="Heading3"/>
        <w:spacing w:before="0" w:after="240"/>
      </w:pPr>
      <w:r w:rsidRPr="00A56B05">
        <w:fldChar w:fldCharType="begin"/>
      </w:r>
      <w:r w:rsidRPr="00A56B05">
        <w:instrText xml:space="preserve"> :Start:BPD_BG1 </w:instrText>
      </w:r>
      <w:r w:rsidRPr="00A56B05">
        <w:fldChar w:fldCharType="end"/>
      </w:r>
      <w:bookmarkStart w:id="21" w:name="_Toc99102046"/>
      <w:r w:rsidR="00F961A7" w:rsidRPr="00FD24B8">
        <w:t>Payments estimates</w:t>
      </w:r>
      <w:r w:rsidR="005144DC" w:rsidRPr="00FD24B8">
        <w:t xml:space="preserve"> and projections</w:t>
      </w:r>
      <w:bookmarkEnd w:id="20"/>
      <w:bookmarkEnd w:id="21"/>
    </w:p>
    <w:p w14:paraId="2494136F" w14:textId="67E95B91" w:rsidR="008E3D78" w:rsidRPr="00FD24B8" w:rsidRDefault="008E3D78" w:rsidP="00DD7DEF">
      <w:r w:rsidRPr="00FD24B8">
        <w:t xml:space="preserve">Total payments are expected to fall from </w:t>
      </w:r>
      <w:r w:rsidR="00841C3B" w:rsidRPr="00FD24B8">
        <w:t>27.2</w:t>
      </w:r>
      <w:r w:rsidRPr="00FD24B8">
        <w:t xml:space="preserve"> per cent of GDP in 202</w:t>
      </w:r>
      <w:r w:rsidR="00A57269" w:rsidRPr="00FD24B8">
        <w:t>2</w:t>
      </w:r>
      <w:r w:rsidR="00C1771F" w:rsidRPr="00FD24B8">
        <w:noBreakHyphen/>
      </w:r>
      <w:r w:rsidRPr="00FD24B8">
        <w:t>2</w:t>
      </w:r>
      <w:r w:rsidR="00A57269" w:rsidRPr="00FD24B8">
        <w:t>3</w:t>
      </w:r>
      <w:r w:rsidRPr="00FD24B8">
        <w:t xml:space="preserve"> to be </w:t>
      </w:r>
      <w:r w:rsidR="00841C3B" w:rsidRPr="00FD24B8">
        <w:t>26.3</w:t>
      </w:r>
      <w:r w:rsidRPr="00FD24B8">
        <w:t> per cent of GDP in 202</w:t>
      </w:r>
      <w:r w:rsidR="00A57269" w:rsidRPr="00FD24B8">
        <w:t>5</w:t>
      </w:r>
      <w:r w:rsidRPr="00FD24B8">
        <w:noBreakHyphen/>
        <w:t>2</w:t>
      </w:r>
      <w:r w:rsidR="00A57269" w:rsidRPr="00FD24B8">
        <w:t>6</w:t>
      </w:r>
      <w:r w:rsidRPr="00FD24B8">
        <w:t xml:space="preserve">. Since </w:t>
      </w:r>
      <w:r w:rsidR="00A57269" w:rsidRPr="00FD24B8">
        <w:t>MYEFO</w:t>
      </w:r>
      <w:r w:rsidRPr="00FD24B8">
        <w:t>, total payments have increased by $</w:t>
      </w:r>
      <w:r w:rsidR="000A2214" w:rsidRPr="00FD24B8">
        <w:t>10.3</w:t>
      </w:r>
      <w:r w:rsidRPr="00FD24B8">
        <w:t> billion in 202</w:t>
      </w:r>
      <w:r w:rsidR="00A57269" w:rsidRPr="00FD24B8">
        <w:t>2</w:t>
      </w:r>
      <w:r w:rsidR="00C1771F" w:rsidRPr="00FD24B8">
        <w:noBreakHyphen/>
      </w:r>
      <w:r w:rsidR="00A57269" w:rsidRPr="00FD24B8">
        <w:t>23</w:t>
      </w:r>
      <w:r w:rsidRPr="00FD24B8">
        <w:t xml:space="preserve"> and by $</w:t>
      </w:r>
      <w:r w:rsidR="0088381C" w:rsidRPr="00FD24B8">
        <w:t>36.4</w:t>
      </w:r>
      <w:r w:rsidRPr="00FD24B8">
        <w:t xml:space="preserve"> billion over </w:t>
      </w:r>
      <w:r w:rsidR="00993604" w:rsidRPr="00FD24B8">
        <w:t xml:space="preserve">the </w:t>
      </w:r>
      <w:r w:rsidR="002E583F" w:rsidRPr="00FD24B8">
        <w:t>4</w:t>
      </w:r>
      <w:r w:rsidRPr="00FD24B8">
        <w:t xml:space="preserve"> years to 202</w:t>
      </w:r>
      <w:r w:rsidR="005D1C88" w:rsidRPr="00FD24B8">
        <w:t>5</w:t>
      </w:r>
      <w:r w:rsidRPr="00FD24B8">
        <w:noBreakHyphen/>
        <w:t>2</w:t>
      </w:r>
      <w:r w:rsidR="005D1C88" w:rsidRPr="00FD24B8">
        <w:t>6</w:t>
      </w:r>
      <w:r w:rsidRPr="00FD24B8">
        <w:t>.</w:t>
      </w:r>
      <w:r w:rsidR="00CC1B4E" w:rsidRPr="00FD24B8">
        <w:t xml:space="preserve"> </w:t>
      </w:r>
    </w:p>
    <w:p w14:paraId="5E668F71" w14:textId="0CB5CF90" w:rsidR="001D4E36" w:rsidRPr="00FD24B8" w:rsidRDefault="00A928B8" w:rsidP="00AF5D39">
      <w:pPr>
        <w:pStyle w:val="ChartHeading"/>
      </w:pPr>
      <w:r w:rsidRPr="00FD24B8">
        <w:t>Chart 3.</w:t>
      </w:r>
      <w:r w:rsidR="00420771" w:rsidRPr="00FD24B8">
        <w:t>11</w:t>
      </w:r>
      <w:r w:rsidRPr="00FD24B8">
        <w:t xml:space="preserve">: Total </w:t>
      </w:r>
      <w:r w:rsidR="00E84CDF" w:rsidRPr="00FD24B8">
        <w:fldChar w:fldCharType="begin"/>
      </w:r>
      <w:r w:rsidR="00E84CDF" w:rsidRPr="00FD24B8">
        <w:instrText xml:space="preserve"> :End:BPD_BG1 </w:instrText>
      </w:r>
      <w:r w:rsidR="00E84CDF" w:rsidRPr="00FD24B8">
        <w:fldChar w:fldCharType="end"/>
      </w:r>
      <w:r w:rsidR="00E84CDF" w:rsidRPr="00FD24B8">
        <w:fldChar w:fldCharType="begin"/>
      </w:r>
      <w:r w:rsidR="00E84CDF" w:rsidRPr="00FD24B8">
        <w:instrText xml:space="preserve"> :Start:BPD_BG3 </w:instrText>
      </w:r>
      <w:r w:rsidR="00E84CDF" w:rsidRPr="00FD24B8">
        <w:fldChar w:fldCharType="end"/>
      </w:r>
      <w:r w:rsidRPr="00FD24B8">
        <w:t xml:space="preserve">Payments  </w:t>
      </w:r>
    </w:p>
    <w:p w14:paraId="69D4E45E" w14:textId="4AD56270" w:rsidR="00791439" w:rsidRPr="00FD24B8" w:rsidRDefault="00395986" w:rsidP="00EB2005">
      <w:pPr>
        <w:pStyle w:val="ChartGraphic"/>
      </w:pPr>
      <w:r>
        <w:rPr>
          <w:noProof/>
        </w:rPr>
        <w:drawing>
          <wp:inline distT="0" distB="0" distL="0" distR="0" wp14:anchorId="39917BA3" wp14:editId="438BAAF9">
            <wp:extent cx="4678045" cy="2519680"/>
            <wp:effectExtent l="0" t="0" r="0" b="0"/>
            <wp:docPr id="19" name="Picture 19" descr="This chart compares projections of payments as a share of GDP at the 2022-23 Budget and the 2021-22 MYEFO. In the 2022-23 Budget, total payments are expected to fall from 27.2 per cent of GDP in 2022-23 to be 26.3 per cent of GDP in 2025-26 and remain broadly stable across the medium term to be 26.5 per cent of GDP in 2032-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chart compares projections of payments as a share of GDP at the 2022-23 Budget and the 2021-22 MYEFO. In the 2022-23 Budget, total payments are expected to fall from 27.2 per cent of GDP in 2022-23 to be 26.3 per cent of GDP in 2025-26 and remain broadly stable across the medium term to be 26.5 per cent of GDP in 2032-33&#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78045" cy="2519680"/>
                    </a:xfrm>
                    <a:prstGeom prst="rect">
                      <a:avLst/>
                    </a:prstGeom>
                    <a:noFill/>
                    <a:ln>
                      <a:noFill/>
                    </a:ln>
                  </pic:spPr>
                </pic:pic>
              </a:graphicData>
            </a:graphic>
          </wp:inline>
        </w:drawing>
      </w:r>
    </w:p>
    <w:p w14:paraId="45E08565" w14:textId="10FA5405" w:rsidR="009A68F6" w:rsidRPr="00D04F2B" w:rsidRDefault="00A928B8" w:rsidP="00401092">
      <w:pPr>
        <w:pStyle w:val="Source"/>
        <w:tabs>
          <w:tab w:val="clear" w:pos="709"/>
          <w:tab w:val="left" w:pos="0"/>
        </w:tabs>
        <w:ind w:left="0" w:firstLine="0"/>
      </w:pPr>
      <w:r w:rsidRPr="00FD24B8">
        <w:rPr>
          <w:szCs w:val="16"/>
        </w:rPr>
        <w:t xml:space="preserve">Source: </w:t>
      </w:r>
      <w:r w:rsidRPr="00FD24B8">
        <w:rPr>
          <w:szCs w:val="16"/>
        </w:rPr>
        <w:tab/>
        <w:t>Treasury.</w:t>
      </w:r>
      <w:r w:rsidR="00B619F0" w:rsidRPr="00D04F2B">
        <w:fldChar w:fldCharType="begin"/>
      </w:r>
      <w:r w:rsidR="00B619F0" w:rsidRPr="00D04F2B">
        <w:rPr>
          <w:color w:val="000000" w:themeColor="text1"/>
          <w:szCs w:val="16"/>
        </w:rPr>
        <w:instrText xml:space="preserve"> :End:BPD_BG</w:instrText>
      </w:r>
      <w:r w:rsidR="00154533">
        <w:rPr>
          <w:color w:val="000000" w:themeColor="text1"/>
          <w:szCs w:val="16"/>
        </w:rPr>
        <w:instrText>3</w:instrText>
      </w:r>
      <w:r w:rsidR="00B619F0" w:rsidRPr="00D04F2B">
        <w:rPr>
          <w:color w:val="000000" w:themeColor="text1"/>
          <w:szCs w:val="16"/>
        </w:rPr>
        <w:instrText xml:space="preserve"> </w:instrText>
      </w:r>
      <w:r w:rsidR="00B619F0" w:rsidRPr="00D04F2B">
        <w:fldChar w:fldCharType="end"/>
      </w:r>
    </w:p>
    <w:p w14:paraId="5FBA5FF1" w14:textId="04D32B37" w:rsidR="008E3D78" w:rsidRPr="00A56B05" w:rsidRDefault="00E84CDF" w:rsidP="008E3D78">
      <w:r>
        <w:fldChar w:fldCharType="begin"/>
      </w:r>
      <w:r>
        <w:instrText xml:space="preserve"> :Start:BPD_BG3 </w:instrText>
      </w:r>
      <w:r>
        <w:fldChar w:fldCharType="end"/>
      </w:r>
      <w:r w:rsidR="003B41A9" w:rsidRPr="00FD24B8">
        <w:t>The Government’s commitment to guaranteeing essential services, including additional investment in key priorities such as NDIS and aged care has contributed to an increase in payments as a share of the economy</w:t>
      </w:r>
      <w:r w:rsidR="002D3011" w:rsidRPr="00FD24B8">
        <w:t xml:space="preserve"> since prior to the pandemic</w:t>
      </w:r>
      <w:r w:rsidR="00FE50B0" w:rsidRPr="00FD24B8">
        <w:t xml:space="preserve">. </w:t>
      </w:r>
      <w:r w:rsidR="00542BDD" w:rsidRPr="00FD24B8">
        <w:t>In the absence of further measures</w:t>
      </w:r>
      <w:r w:rsidR="00DA0C6D" w:rsidRPr="00FD24B8">
        <w:t>, p</w:t>
      </w:r>
      <w:r w:rsidR="008E3D78" w:rsidRPr="00FD24B8">
        <w:t xml:space="preserve">ayments </w:t>
      </w:r>
      <w:r w:rsidR="00B16007" w:rsidRPr="00FD24B8">
        <w:t xml:space="preserve">as a share of the economy </w:t>
      </w:r>
      <w:r w:rsidR="008E3D78" w:rsidRPr="00FD24B8">
        <w:t xml:space="preserve">are </w:t>
      </w:r>
      <w:r w:rsidR="00DA0C6D" w:rsidRPr="00FD24B8">
        <w:t xml:space="preserve">currently </w:t>
      </w:r>
      <w:r w:rsidR="008E3D78" w:rsidRPr="00FD24B8">
        <w:t xml:space="preserve">projected to remain </w:t>
      </w:r>
      <w:r w:rsidR="006550EE" w:rsidRPr="00FD24B8">
        <w:t xml:space="preserve">broadly </w:t>
      </w:r>
      <w:r w:rsidR="00B16007" w:rsidRPr="00FD24B8">
        <w:t xml:space="preserve">stable </w:t>
      </w:r>
      <w:r w:rsidR="008E3D78" w:rsidRPr="00FD24B8">
        <w:t xml:space="preserve">across the medium term to be </w:t>
      </w:r>
      <w:r w:rsidR="00926BF9" w:rsidRPr="00FD24B8">
        <w:t>26</w:t>
      </w:r>
      <w:r w:rsidR="008E3D78" w:rsidRPr="00FD24B8">
        <w:t>.</w:t>
      </w:r>
      <w:r w:rsidR="00384A5E" w:rsidRPr="00FD24B8">
        <w:t>5</w:t>
      </w:r>
      <w:r w:rsidR="008E3D78" w:rsidRPr="00FD24B8">
        <w:t xml:space="preserve"> per cent of GDP in 203</w:t>
      </w:r>
      <w:r w:rsidR="00BF0247" w:rsidRPr="00FD24B8">
        <w:t>2</w:t>
      </w:r>
      <w:r w:rsidR="008E3D78" w:rsidRPr="00FD24B8">
        <w:noBreakHyphen/>
        <w:t>3</w:t>
      </w:r>
      <w:r w:rsidR="00BF0247" w:rsidRPr="00FD24B8">
        <w:t>3</w:t>
      </w:r>
      <w:r w:rsidR="008E3D78" w:rsidRPr="00FD24B8">
        <w:t xml:space="preserve">. </w:t>
      </w:r>
      <w:r w:rsidR="00EF78D4" w:rsidRPr="00FD24B8">
        <w:t xml:space="preserve">This would </w:t>
      </w:r>
      <w:r w:rsidR="00500B2D" w:rsidRPr="00FD24B8">
        <w:t>see payments</w:t>
      </w:r>
      <w:r w:rsidR="00352E44" w:rsidRPr="00FD24B8">
        <w:t xml:space="preserve"> </w:t>
      </w:r>
      <w:r w:rsidR="008E3D78" w:rsidRPr="00FD24B8">
        <w:t>remain</w:t>
      </w:r>
      <w:r w:rsidR="00500B2D" w:rsidRPr="00FD24B8">
        <w:t>ing</w:t>
      </w:r>
      <w:r w:rsidR="008E3D78" w:rsidRPr="00FD24B8">
        <w:t xml:space="preserve"> a</w:t>
      </w:r>
      <w:r w:rsidR="00500B2D" w:rsidRPr="00FD24B8">
        <w:t>t</w:t>
      </w:r>
      <w:r w:rsidR="008E3D78" w:rsidRPr="00FD24B8">
        <w:t xml:space="preserve"> a higher share of the economy than pre</w:t>
      </w:r>
      <w:r w:rsidR="00D53029" w:rsidRPr="00FD24B8">
        <w:noBreakHyphen/>
      </w:r>
      <w:r w:rsidR="008E3D78" w:rsidRPr="00FD24B8">
        <w:t>pandemic.</w:t>
      </w:r>
      <w:r w:rsidR="00FB449F" w:rsidRPr="00FD24B8">
        <w:t xml:space="preserve"> </w:t>
      </w:r>
      <w:r w:rsidR="003D345E">
        <w:fldChar w:fldCharType="begin"/>
      </w:r>
      <w:r w:rsidR="003D345E">
        <w:instrText xml:space="preserve"> :End:BPD_BG3 </w:instrText>
      </w:r>
      <w:r w:rsidR="003D345E">
        <w:fldChar w:fldCharType="end"/>
      </w:r>
    </w:p>
    <w:p w14:paraId="78232F4A" w14:textId="77777777" w:rsidR="00DB4EED" w:rsidRDefault="00DB4EED">
      <w:pPr>
        <w:spacing w:after="160" w:line="259" w:lineRule="auto"/>
        <w:jc w:val="left"/>
        <w:rPr>
          <w:rFonts w:ascii="Arial Bold" w:hAnsi="Arial Bold"/>
          <w:b/>
        </w:rPr>
      </w:pPr>
      <w:r>
        <w:br w:type="page"/>
      </w:r>
    </w:p>
    <w:p w14:paraId="0BFF797F" w14:textId="17E64649" w:rsidR="008E3D78" w:rsidRPr="00FD24B8" w:rsidRDefault="00045DA9" w:rsidP="008E3D78">
      <w:pPr>
        <w:pStyle w:val="Heading4"/>
      </w:pPr>
      <w:r>
        <w:lastRenderedPageBreak/>
        <w:fldChar w:fldCharType="begin"/>
      </w:r>
      <w:r>
        <w:instrText xml:space="preserve"> :Start:BPCD_JM2 </w:instrText>
      </w:r>
      <w:r>
        <w:fldChar w:fldCharType="end"/>
      </w:r>
      <w:r w:rsidR="008E3D78" w:rsidRPr="00FD24B8">
        <w:t>Payment policy decisions</w:t>
      </w:r>
    </w:p>
    <w:p w14:paraId="62E4A18D" w14:textId="58999421" w:rsidR="008E3D78" w:rsidRPr="00FD24B8" w:rsidRDefault="008E3D78" w:rsidP="008E3D78">
      <w:pPr>
        <w:rPr>
          <w:rFonts w:eastAsia="Book Antiqua"/>
        </w:rPr>
      </w:pPr>
      <w:r w:rsidRPr="00FD24B8">
        <w:t xml:space="preserve">Policy decisions since </w:t>
      </w:r>
      <w:r w:rsidR="0079398B" w:rsidRPr="00FD24B8">
        <w:t xml:space="preserve">MYEFO </w:t>
      </w:r>
      <w:r w:rsidRPr="00FD24B8">
        <w:t>have increased total payments by $</w:t>
      </w:r>
      <w:r w:rsidR="000702DF" w:rsidRPr="00FD24B8">
        <w:t>8.8</w:t>
      </w:r>
      <w:r w:rsidR="003459A9" w:rsidRPr="00FD24B8">
        <w:t> </w:t>
      </w:r>
      <w:r w:rsidRPr="00FD24B8">
        <w:t>billion in 202</w:t>
      </w:r>
      <w:r w:rsidR="003459A9" w:rsidRPr="00FD24B8">
        <w:t>2</w:t>
      </w:r>
      <w:r w:rsidR="00C1771F" w:rsidRPr="00FD24B8">
        <w:noBreakHyphen/>
      </w:r>
      <w:r w:rsidRPr="00FD24B8">
        <w:t>2</w:t>
      </w:r>
      <w:r w:rsidR="003459A9" w:rsidRPr="00FD24B8">
        <w:t xml:space="preserve">3 </w:t>
      </w:r>
      <w:r w:rsidRPr="00FD24B8">
        <w:t>and by $</w:t>
      </w:r>
      <w:r w:rsidR="000702DF" w:rsidRPr="00FD24B8">
        <w:t>25.0</w:t>
      </w:r>
      <w:r w:rsidRPr="00FD24B8">
        <w:t xml:space="preserve"> billion over </w:t>
      </w:r>
      <w:r w:rsidR="00993604" w:rsidRPr="00FD24B8">
        <w:t xml:space="preserve">the </w:t>
      </w:r>
      <w:r w:rsidR="002E583F" w:rsidRPr="00FD24B8">
        <w:t>4</w:t>
      </w:r>
      <w:r w:rsidRPr="00FD24B8">
        <w:t xml:space="preserve"> years to 202</w:t>
      </w:r>
      <w:r w:rsidR="003459A9" w:rsidRPr="00FD24B8">
        <w:t>5</w:t>
      </w:r>
      <w:r w:rsidR="00C1771F" w:rsidRPr="00FD24B8">
        <w:noBreakHyphen/>
      </w:r>
      <w:r w:rsidRPr="00FD24B8">
        <w:t>2</w:t>
      </w:r>
      <w:r w:rsidR="003459A9" w:rsidRPr="00FD24B8">
        <w:t>6</w:t>
      </w:r>
      <w:r w:rsidRPr="00FD24B8">
        <w:t xml:space="preserve">. </w:t>
      </w:r>
    </w:p>
    <w:p w14:paraId="246F9B2C" w14:textId="61F715BB" w:rsidR="00DE090E" w:rsidRPr="00FD24B8" w:rsidRDefault="00DE090E" w:rsidP="00DE090E">
      <w:pPr>
        <w:spacing w:after="200"/>
      </w:pPr>
      <w:r w:rsidRPr="00FD24B8">
        <w:t xml:space="preserve">Significant measures </w:t>
      </w:r>
      <w:r w:rsidR="00560BCF" w:rsidRPr="00FD24B8">
        <w:t xml:space="preserve">in this Budget </w:t>
      </w:r>
      <w:r w:rsidRPr="00FD24B8">
        <w:t xml:space="preserve">include: </w:t>
      </w:r>
    </w:p>
    <w:p w14:paraId="6014ED8F" w14:textId="769B2749" w:rsidR="00DE090E" w:rsidRPr="00FD24B8" w:rsidRDefault="00DE090E" w:rsidP="00DE090E">
      <w:pPr>
        <w:pStyle w:val="Bullet"/>
      </w:pPr>
      <w:r w:rsidRPr="00FD24B8">
        <w:t>funding for priority road and rail projects across Australia to support economic recovery and jobs, which is expected to increase payments by $</w:t>
      </w:r>
      <w:r w:rsidR="00B471B0" w:rsidRPr="00FD24B8">
        <w:t>16.8</w:t>
      </w:r>
      <w:r w:rsidRPr="00FD24B8">
        <w:t xml:space="preserve"> billion over </w:t>
      </w:r>
      <w:r w:rsidR="00B471B0" w:rsidRPr="00FD24B8">
        <w:t>10</w:t>
      </w:r>
      <w:r w:rsidR="00892F83" w:rsidRPr="00FD24B8">
        <w:t> </w:t>
      </w:r>
      <w:r w:rsidR="00B471B0" w:rsidRPr="00FD24B8">
        <w:t>years from 2021</w:t>
      </w:r>
      <w:r w:rsidR="0031144A" w:rsidRPr="00FD24B8">
        <w:noBreakHyphen/>
      </w:r>
      <w:r w:rsidR="00B471B0" w:rsidRPr="00FD24B8">
        <w:t>22</w:t>
      </w:r>
      <w:r w:rsidRPr="00FD24B8">
        <w:t xml:space="preserve"> </w:t>
      </w:r>
    </w:p>
    <w:p w14:paraId="1DEA624A" w14:textId="41B900C0" w:rsidR="00DE090E" w:rsidRPr="00FD24B8" w:rsidRDefault="00DE090E" w:rsidP="00DE090E">
      <w:pPr>
        <w:pStyle w:val="Bullet"/>
      </w:pPr>
      <w:r w:rsidRPr="00FD24B8">
        <w:t>funding for expanded cyber and intelligence capability to the Australian Signals Directorate to deliver a Resilience, Effects, Defence, Space, Intelligence, Cyber</w:t>
      </w:r>
      <w:r w:rsidR="004C77A8" w:rsidRPr="00FD24B8">
        <w:t xml:space="preserve"> and </w:t>
      </w:r>
      <w:r w:rsidRPr="00FD24B8">
        <w:t xml:space="preserve">Enablers package, which is expected to increase payments by $9.9 billion over </w:t>
      </w:r>
      <w:r w:rsidR="00CB7037" w:rsidRPr="00FD24B8">
        <w:t>10</w:t>
      </w:r>
      <w:r w:rsidR="00C5448D" w:rsidRPr="00FD24B8">
        <w:t> </w:t>
      </w:r>
      <w:r w:rsidR="00B471B0" w:rsidRPr="00FD24B8">
        <w:t>years from 2022</w:t>
      </w:r>
      <w:r w:rsidR="0031144A" w:rsidRPr="00FD24B8">
        <w:noBreakHyphen/>
      </w:r>
      <w:r w:rsidR="00B471B0" w:rsidRPr="00FD24B8">
        <w:t>23</w:t>
      </w:r>
      <w:r w:rsidRPr="00FD24B8">
        <w:t xml:space="preserve"> </w:t>
      </w:r>
    </w:p>
    <w:p w14:paraId="213CB5E9" w14:textId="25FD7D7F" w:rsidR="00A30680" w:rsidRPr="00FD24B8" w:rsidRDefault="00A30680" w:rsidP="00A30680">
      <w:pPr>
        <w:pStyle w:val="Bullet"/>
      </w:pPr>
      <w:r w:rsidRPr="00FD24B8">
        <w:t>investment in nationally significant water infrastructure projects to assist in developing regional communities, which is expected to increase payments by $6.9</w:t>
      </w:r>
      <w:r w:rsidR="000C4A46" w:rsidRPr="00FD24B8">
        <w:t> </w:t>
      </w:r>
      <w:r w:rsidRPr="00FD24B8">
        <w:t xml:space="preserve">billion </w:t>
      </w:r>
      <w:r w:rsidR="006D4BF9" w:rsidRPr="00FD24B8">
        <w:t xml:space="preserve">over </w:t>
      </w:r>
      <w:r w:rsidR="00DB6659" w:rsidRPr="00FD24B8">
        <w:t>12</w:t>
      </w:r>
      <w:r w:rsidR="006D4BF9" w:rsidRPr="00FD24B8">
        <w:t xml:space="preserve"> years </w:t>
      </w:r>
      <w:r w:rsidRPr="00FD24B8">
        <w:t>from 2021</w:t>
      </w:r>
      <w:r w:rsidR="0031144A" w:rsidRPr="00FD24B8">
        <w:noBreakHyphen/>
      </w:r>
      <w:r w:rsidRPr="00FD24B8">
        <w:t>22, and establishing the Regional Accelerator Program to drive transformative economic growth and productivity in regional areas, which is expected to increase payments by $2.0 billion over 5 years from 2022</w:t>
      </w:r>
      <w:r w:rsidR="00B560FD" w:rsidRPr="00FD24B8">
        <w:noBreakHyphen/>
      </w:r>
      <w:r w:rsidRPr="00FD24B8">
        <w:t>23</w:t>
      </w:r>
    </w:p>
    <w:p w14:paraId="2285F34A" w14:textId="0B2DF603" w:rsidR="00B471B0" w:rsidRPr="00FD24B8" w:rsidRDefault="00B471B0" w:rsidP="00755CF0">
      <w:pPr>
        <w:pStyle w:val="Bullet"/>
      </w:pPr>
      <w:r w:rsidRPr="00FD24B8">
        <w:t xml:space="preserve">investment in strategic projects and programs in the </w:t>
      </w:r>
      <w:r w:rsidR="006C5B4E" w:rsidRPr="00FD24B8">
        <w:t>4</w:t>
      </w:r>
      <w:r w:rsidRPr="00FD24B8">
        <w:t xml:space="preserve"> key regions of the Northern Territory, North and Central Queensland, Pilbara region in Western Australia and the Hunter region in New South Wales, with the potential to generate significant growth and employment opportunities in existing and emerging industries. This is expected to increase payments by $7.1</w:t>
      </w:r>
      <w:r w:rsidR="003E4F3B" w:rsidRPr="00FD24B8">
        <w:t xml:space="preserve"> </w:t>
      </w:r>
      <w:r w:rsidRPr="00FD24B8">
        <w:t>billion over 11 years from 2022</w:t>
      </w:r>
      <w:r w:rsidR="0031144A" w:rsidRPr="00FD24B8">
        <w:noBreakHyphen/>
      </w:r>
      <w:r w:rsidRPr="00FD24B8">
        <w:t>23</w:t>
      </w:r>
    </w:p>
    <w:p w14:paraId="08122A48" w14:textId="22474017" w:rsidR="00E62D69" w:rsidRPr="00FD24B8" w:rsidRDefault="00E62D69" w:rsidP="00E62D69">
      <w:pPr>
        <w:pStyle w:val="Bullet"/>
      </w:pPr>
      <w:r w:rsidRPr="00FD24B8">
        <w:t xml:space="preserve">new and amended listings on the Pharmaceutical Benefits Scheme and the Repatriation Pharmaceutical Benefits Scheme, which </w:t>
      </w:r>
      <w:r w:rsidR="009242D1" w:rsidRPr="00FD24B8">
        <w:t xml:space="preserve">are </w:t>
      </w:r>
      <w:r w:rsidRPr="00FD24B8">
        <w:t>expected to increase payments by $2.4 billion over 5 years from 2021</w:t>
      </w:r>
      <w:r w:rsidR="0031144A" w:rsidRPr="00FD24B8">
        <w:noBreakHyphen/>
      </w:r>
      <w:r w:rsidRPr="00FD24B8">
        <w:t>22</w:t>
      </w:r>
    </w:p>
    <w:p w14:paraId="4C6F6CFE" w14:textId="1E2BBAD7" w:rsidR="00B471B0" w:rsidRPr="00FD24B8" w:rsidRDefault="00B471B0" w:rsidP="00755CF0">
      <w:pPr>
        <w:pStyle w:val="Bullet"/>
      </w:pPr>
      <w:r w:rsidRPr="00FD24B8">
        <w:t>funding to support communities and the recovery from the February – March 2022 floods in Queensland</w:t>
      </w:r>
      <w:r w:rsidR="00654B4F" w:rsidRPr="00FD24B8">
        <w:t xml:space="preserve"> and New South Wales</w:t>
      </w:r>
      <w:r w:rsidRPr="00FD24B8">
        <w:t xml:space="preserve">, which is expected to increase payments by $1.9 billion over </w:t>
      </w:r>
      <w:r w:rsidR="00CB7037" w:rsidRPr="00FD24B8">
        <w:t xml:space="preserve">5 </w:t>
      </w:r>
      <w:r w:rsidRPr="00FD24B8">
        <w:t>years from 2021</w:t>
      </w:r>
      <w:r w:rsidR="0031144A" w:rsidRPr="00FD24B8">
        <w:noBreakHyphen/>
      </w:r>
      <w:r w:rsidRPr="00FD24B8">
        <w:t>22</w:t>
      </w:r>
    </w:p>
    <w:p w14:paraId="0B807D2C" w14:textId="6692B10E" w:rsidR="007936F0" w:rsidRPr="00FD24B8" w:rsidRDefault="007936F0" w:rsidP="007936F0">
      <w:pPr>
        <w:pStyle w:val="Bullet"/>
      </w:pPr>
      <w:r w:rsidRPr="00FD24B8">
        <w:t>provision of a $250 Cost of Living Payment to help eligible pensioners, income support recipients, veterans and concession card holders with higher cost of living pressures, which is expected to increase payments by $1.5 billion in 2021</w:t>
      </w:r>
      <w:r w:rsidR="0031144A" w:rsidRPr="00FD24B8">
        <w:noBreakHyphen/>
      </w:r>
      <w:r w:rsidRPr="00FD24B8">
        <w:t>22</w:t>
      </w:r>
    </w:p>
    <w:p w14:paraId="64EB9F0F" w14:textId="553C47F3" w:rsidR="00B471B0" w:rsidRPr="00FD24B8" w:rsidRDefault="00B471B0" w:rsidP="00755CF0">
      <w:pPr>
        <w:pStyle w:val="Bullet"/>
      </w:pPr>
      <w:r w:rsidRPr="00FD24B8">
        <w:t>improved regional telecommunications as part of the Government</w:t>
      </w:r>
      <w:r w:rsidR="0031144A" w:rsidRPr="00FD24B8">
        <w:t>’</w:t>
      </w:r>
      <w:r w:rsidRPr="00FD24B8">
        <w:t xml:space="preserve">s response to the </w:t>
      </w:r>
      <w:r w:rsidRPr="00FD24B8">
        <w:rPr>
          <w:i/>
        </w:rPr>
        <w:t>2021 Regional Telecommunications Review</w:t>
      </w:r>
      <w:r w:rsidRPr="00FD24B8">
        <w:t xml:space="preserve">, which is expected to increase payments by $1.3 billion over </w:t>
      </w:r>
      <w:r w:rsidR="00CB7037" w:rsidRPr="00FD24B8">
        <w:t xml:space="preserve">6 </w:t>
      </w:r>
      <w:r w:rsidRPr="00FD24B8">
        <w:t>years from 2021</w:t>
      </w:r>
      <w:r w:rsidR="0031144A" w:rsidRPr="00FD24B8">
        <w:noBreakHyphen/>
      </w:r>
      <w:r w:rsidRPr="00FD24B8">
        <w:t>22</w:t>
      </w:r>
    </w:p>
    <w:p w14:paraId="3E41F670" w14:textId="1E7EC06E" w:rsidR="00B471B0" w:rsidRPr="00FD24B8" w:rsidRDefault="00B471B0" w:rsidP="00755CF0">
      <w:pPr>
        <w:pStyle w:val="Bullet"/>
      </w:pPr>
      <w:r w:rsidRPr="00FD24B8">
        <w:lastRenderedPageBreak/>
        <w:t xml:space="preserve">initiatives to reduce all forms of family, domestic and sexual violence against women and children, and to enhance support and recovery services to victims, which is expected to increase payments by $1.3 billion over </w:t>
      </w:r>
      <w:r w:rsidR="00CB7037" w:rsidRPr="00FD24B8">
        <w:t xml:space="preserve">6 </w:t>
      </w:r>
      <w:r w:rsidRPr="00FD24B8">
        <w:t>years from 2021</w:t>
      </w:r>
      <w:r w:rsidRPr="00FD24B8">
        <w:noBreakHyphen/>
        <w:t>22.</w:t>
      </w:r>
    </w:p>
    <w:p w14:paraId="3E9B1F84" w14:textId="5D0FBB82" w:rsidR="00B471B0" w:rsidRPr="00FD24B8" w:rsidRDefault="00B471B0" w:rsidP="00A7434C">
      <w:r w:rsidRPr="00FD24B8">
        <w:t>In addition, since MYEFO the Government has provided funding for Rapid Antigen Tests (RATs) and Personal Protective Equipment (PPE), support to hospitals and health care services, continued funding for the distribution and uptake of COVID</w:t>
      </w:r>
      <w:r w:rsidR="0031144A" w:rsidRPr="00FD24B8">
        <w:noBreakHyphen/>
      </w:r>
      <w:r w:rsidRPr="00FD24B8">
        <w:t>19 vaccines and treatments and support for access to health care services, as it continues to address the health impacts of COVID</w:t>
      </w:r>
      <w:r w:rsidR="0031144A" w:rsidRPr="00FD24B8">
        <w:noBreakHyphen/>
      </w:r>
      <w:r w:rsidRPr="00FD24B8">
        <w:t>19, which is expected to increase payments by over $6.0</w:t>
      </w:r>
      <w:r w:rsidR="00CB7037" w:rsidRPr="00FD24B8">
        <w:t> </w:t>
      </w:r>
      <w:r w:rsidRPr="00FD24B8">
        <w:t>billion mainly in 2021</w:t>
      </w:r>
      <w:r w:rsidR="0031144A" w:rsidRPr="00FD24B8">
        <w:noBreakHyphen/>
      </w:r>
      <w:r w:rsidRPr="00FD24B8">
        <w:t>22 and 2022</w:t>
      </w:r>
      <w:r w:rsidR="0031144A" w:rsidRPr="00FD24B8">
        <w:noBreakHyphen/>
      </w:r>
      <w:r w:rsidRPr="00FD24B8">
        <w:t>23.</w:t>
      </w:r>
    </w:p>
    <w:p w14:paraId="7C28F8B6" w14:textId="77777777" w:rsidR="008E3D78" w:rsidRPr="00FD24B8" w:rsidRDefault="008E3D78" w:rsidP="00DD7DEF">
      <w:pPr>
        <w:pStyle w:val="Heading4"/>
        <w:spacing w:after="240"/>
      </w:pPr>
      <w:r w:rsidRPr="00FD24B8">
        <w:t>Payment parameter and other variations</w:t>
      </w:r>
    </w:p>
    <w:p w14:paraId="4ADA62AA" w14:textId="4EE708AC" w:rsidR="008E3D78" w:rsidRPr="00FD24B8" w:rsidRDefault="008E3D78" w:rsidP="008E3D78">
      <w:r w:rsidRPr="00FD24B8">
        <w:t xml:space="preserve">Parameter and other variations since </w:t>
      </w:r>
      <w:r w:rsidR="0005691A" w:rsidRPr="00FD24B8">
        <w:t xml:space="preserve">MYEFO </w:t>
      </w:r>
      <w:r w:rsidRPr="00FD24B8">
        <w:t>have increased payments by $</w:t>
      </w:r>
      <w:r w:rsidR="00A13144" w:rsidRPr="00FD24B8">
        <w:t>1.5</w:t>
      </w:r>
      <w:r w:rsidRPr="00FD24B8">
        <w:t xml:space="preserve"> billion in 202</w:t>
      </w:r>
      <w:r w:rsidR="00FF0133" w:rsidRPr="00FD24B8">
        <w:t>2</w:t>
      </w:r>
      <w:r w:rsidRPr="00FD24B8">
        <w:noBreakHyphen/>
        <w:t>2</w:t>
      </w:r>
      <w:r w:rsidR="00FF0133" w:rsidRPr="00FD24B8">
        <w:t>3</w:t>
      </w:r>
      <w:r w:rsidRPr="00FD24B8">
        <w:t xml:space="preserve"> and by $</w:t>
      </w:r>
      <w:r w:rsidR="003D5973" w:rsidRPr="00FD24B8">
        <w:t>11.4</w:t>
      </w:r>
      <w:r w:rsidRPr="00FD24B8">
        <w:t xml:space="preserve"> billion over </w:t>
      </w:r>
      <w:r w:rsidR="00993604" w:rsidRPr="00FD24B8">
        <w:t xml:space="preserve">the </w:t>
      </w:r>
      <w:r w:rsidR="002E583F" w:rsidRPr="00FD24B8">
        <w:t>4</w:t>
      </w:r>
      <w:r w:rsidRPr="00FD24B8">
        <w:t xml:space="preserve"> years to 202</w:t>
      </w:r>
      <w:r w:rsidR="00FF0133" w:rsidRPr="00FD24B8">
        <w:t>5</w:t>
      </w:r>
      <w:r w:rsidR="00C1771F" w:rsidRPr="00FD24B8">
        <w:noBreakHyphen/>
      </w:r>
      <w:r w:rsidRPr="00FD24B8">
        <w:t>2</w:t>
      </w:r>
      <w:r w:rsidR="00FF0133" w:rsidRPr="00FD24B8">
        <w:t>6</w:t>
      </w:r>
      <w:r w:rsidRPr="00FD24B8">
        <w:t>.</w:t>
      </w:r>
    </w:p>
    <w:p w14:paraId="0AAB1933" w14:textId="1C487B20" w:rsidR="00D55FCA" w:rsidRPr="00FD24B8" w:rsidRDefault="00D55FCA" w:rsidP="00D55FCA">
      <w:r w:rsidRPr="00FD24B8">
        <w:t xml:space="preserve">Major increases in payments </w:t>
      </w:r>
      <w:proofErr w:type="gramStart"/>
      <w:r w:rsidRPr="00FD24B8">
        <w:t>as a result of</w:t>
      </w:r>
      <w:proofErr w:type="gramEnd"/>
      <w:r w:rsidRPr="00FD24B8">
        <w:t xml:space="preserve"> parameter and other variations since MYEFO include:</w:t>
      </w:r>
    </w:p>
    <w:p w14:paraId="1F12E938" w14:textId="07A346EC" w:rsidR="00F75D24" w:rsidRPr="00FD24B8" w:rsidRDefault="00F75D24" w:rsidP="00F75D24">
      <w:pPr>
        <w:pStyle w:val="Bullet"/>
      </w:pPr>
      <w:r w:rsidRPr="00FD24B8">
        <w:t>payments relating to the provision of GST to the states and territories, which are expected to increase by $2.8 billion in 2022</w:t>
      </w:r>
      <w:r w:rsidR="0031144A" w:rsidRPr="00FD24B8">
        <w:noBreakHyphen/>
      </w:r>
      <w:r w:rsidRPr="00FD24B8">
        <w:t xml:space="preserve">23 ($11.5 billion over </w:t>
      </w:r>
      <w:r w:rsidR="00993604" w:rsidRPr="00FD24B8">
        <w:t xml:space="preserve">the </w:t>
      </w:r>
      <w:r w:rsidR="006C5B4E" w:rsidRPr="00FD24B8">
        <w:t>4</w:t>
      </w:r>
      <w:r w:rsidRPr="00FD24B8">
        <w:t xml:space="preserve"> years to 2025</w:t>
      </w:r>
      <w:r w:rsidR="001941B9" w:rsidRPr="00FD24B8">
        <w:noBreakHyphen/>
      </w:r>
      <w:r w:rsidRPr="00FD24B8">
        <w:t>26), consistent with an increase in GST receipts</w:t>
      </w:r>
    </w:p>
    <w:p w14:paraId="1ED5F0AD" w14:textId="0964ABAD" w:rsidR="00DB1BFE" w:rsidRPr="00FD24B8" w:rsidRDefault="00DB1BFE" w:rsidP="00DB1BFE">
      <w:pPr>
        <w:pStyle w:val="Bullet"/>
      </w:pPr>
      <w:r w:rsidRPr="00FD24B8">
        <w:t>payments related to Support for Seniors, which are expected to increase by $870.7</w:t>
      </w:r>
      <w:r w:rsidR="0057362A" w:rsidRPr="00FD24B8">
        <w:t> </w:t>
      </w:r>
      <w:r w:rsidRPr="00FD24B8">
        <w:t>million in 2022</w:t>
      </w:r>
      <w:r w:rsidR="0031144A" w:rsidRPr="00FD24B8">
        <w:noBreakHyphen/>
      </w:r>
      <w:r w:rsidRPr="00FD24B8">
        <w:t xml:space="preserve">23 ($5.5 billion over </w:t>
      </w:r>
      <w:r w:rsidR="00993604" w:rsidRPr="00FD24B8">
        <w:t xml:space="preserve">the </w:t>
      </w:r>
      <w:r w:rsidRPr="00FD24B8">
        <w:t>4 years to 2025</w:t>
      </w:r>
      <w:r w:rsidR="0031144A" w:rsidRPr="00FD24B8">
        <w:noBreakHyphen/>
      </w:r>
      <w:r w:rsidRPr="00FD24B8">
        <w:t xml:space="preserve">26), largely reflecting a higher than projected rate of indexation </w:t>
      </w:r>
    </w:p>
    <w:p w14:paraId="1198B8C2" w14:textId="1B7D0F86" w:rsidR="000D23EE" w:rsidRPr="00FD24B8" w:rsidRDefault="000D23EE" w:rsidP="000D23EE">
      <w:pPr>
        <w:pStyle w:val="Bullet"/>
      </w:pPr>
      <w:r w:rsidRPr="00FD24B8">
        <w:t>payments relating to the Financial Support for People with Disability (Disability Support Pension), which are expected to increase by $687.0 million in 2022</w:t>
      </w:r>
      <w:r w:rsidR="0031144A" w:rsidRPr="00FD24B8">
        <w:noBreakHyphen/>
      </w:r>
      <w:r w:rsidRPr="00FD24B8">
        <w:t>23 ($4.2</w:t>
      </w:r>
      <w:r w:rsidR="0057362A" w:rsidRPr="00FD24B8">
        <w:t> </w:t>
      </w:r>
      <w:r w:rsidRPr="00FD24B8">
        <w:t xml:space="preserve">billion over </w:t>
      </w:r>
      <w:r w:rsidR="00993604" w:rsidRPr="00FD24B8">
        <w:t xml:space="preserve">the </w:t>
      </w:r>
      <w:r w:rsidRPr="00FD24B8">
        <w:t>4 years to 2025</w:t>
      </w:r>
      <w:r w:rsidR="0031144A" w:rsidRPr="00FD24B8">
        <w:noBreakHyphen/>
      </w:r>
      <w:r w:rsidRPr="00FD24B8">
        <w:t xml:space="preserve">26), largely reflecting more Australians receiving support payments and staying on the payment longer </w:t>
      </w:r>
    </w:p>
    <w:p w14:paraId="442D67F5" w14:textId="79E5C9B8" w:rsidR="00F75D24" w:rsidRPr="00FD24B8" w:rsidRDefault="00F75D24" w:rsidP="00F75D24">
      <w:pPr>
        <w:pStyle w:val="Bullet"/>
      </w:pPr>
      <w:r w:rsidRPr="00FD24B8">
        <w:t>payments to the states and territories for non</w:t>
      </w:r>
      <w:r w:rsidR="0031144A" w:rsidRPr="00FD24B8">
        <w:noBreakHyphen/>
      </w:r>
      <w:r w:rsidRPr="00FD24B8">
        <w:t>government schools, which are expected to increase by $167.3 million in 2022</w:t>
      </w:r>
      <w:r w:rsidR="0031144A" w:rsidRPr="00FD24B8">
        <w:noBreakHyphen/>
      </w:r>
      <w:r w:rsidRPr="00FD24B8">
        <w:t>23 ($834.9 million over</w:t>
      </w:r>
      <w:r w:rsidR="00993604" w:rsidRPr="00FD24B8">
        <w:t xml:space="preserve"> the</w:t>
      </w:r>
      <w:r w:rsidRPr="00FD24B8">
        <w:t xml:space="preserve"> </w:t>
      </w:r>
      <w:r w:rsidR="006C5B4E" w:rsidRPr="00FD24B8">
        <w:t>4</w:t>
      </w:r>
      <w:r w:rsidRPr="00FD24B8">
        <w:t xml:space="preserve"> years to 2025</w:t>
      </w:r>
      <w:r w:rsidR="0057362A" w:rsidRPr="00FD24B8">
        <w:noBreakHyphen/>
      </w:r>
      <w:r w:rsidRPr="00FD24B8">
        <w:t>26), reflecting increased student enrolments in 2021</w:t>
      </w:r>
    </w:p>
    <w:p w14:paraId="19DC231A" w14:textId="08C42D02" w:rsidR="00DE7C70" w:rsidRPr="00FD24B8" w:rsidRDefault="00DA6291" w:rsidP="00DE7C70">
      <w:pPr>
        <w:pStyle w:val="Bullet"/>
      </w:pPr>
      <w:r w:rsidRPr="00FD24B8">
        <w:t>payments to the states and territories for public hospitals, which are expected to increase by $92.1 million</w:t>
      </w:r>
      <w:r w:rsidR="00531CCF" w:rsidRPr="00FD24B8">
        <w:t xml:space="preserve"> in</w:t>
      </w:r>
      <w:r w:rsidRPr="00FD24B8">
        <w:t xml:space="preserve"> 2022</w:t>
      </w:r>
      <w:r w:rsidR="0031144A" w:rsidRPr="00FD24B8">
        <w:noBreakHyphen/>
      </w:r>
      <w:r w:rsidRPr="00FD24B8">
        <w:t>23 ($781.</w:t>
      </w:r>
      <w:r w:rsidR="00404ACC" w:rsidRPr="00FD24B8">
        <w:t>4</w:t>
      </w:r>
      <w:r w:rsidRPr="00FD24B8">
        <w:t xml:space="preserve"> million over </w:t>
      </w:r>
      <w:r w:rsidR="00993604" w:rsidRPr="00FD24B8">
        <w:t xml:space="preserve">the </w:t>
      </w:r>
      <w:r w:rsidR="006C5B4E" w:rsidRPr="00FD24B8">
        <w:t>4</w:t>
      </w:r>
      <w:r w:rsidRPr="00FD24B8">
        <w:t xml:space="preserve"> years to 2025</w:t>
      </w:r>
      <w:r w:rsidR="0031144A" w:rsidRPr="00FD24B8">
        <w:noBreakHyphen/>
      </w:r>
      <w:r w:rsidRPr="00FD24B8">
        <w:t xml:space="preserve">26), largely reflecting growth in the volume of hospital services </w:t>
      </w:r>
    </w:p>
    <w:p w14:paraId="62DC0A44" w14:textId="1D9B3A92" w:rsidR="00DE7C70" w:rsidRPr="00FD24B8" w:rsidRDefault="00DE7C70" w:rsidP="00DE7C70">
      <w:pPr>
        <w:pStyle w:val="Bullet"/>
      </w:pPr>
      <w:r w:rsidRPr="00FD24B8">
        <w:t>payments related to the Pharmaceutical Benefits Scheme (PBS), which are expected to increase by $174.2 million in 2022</w:t>
      </w:r>
      <w:r w:rsidR="0031144A" w:rsidRPr="00FD24B8">
        <w:noBreakHyphen/>
      </w:r>
      <w:r w:rsidRPr="00FD24B8">
        <w:t>23 ($537.2 million over</w:t>
      </w:r>
      <w:r w:rsidR="00993604" w:rsidRPr="00FD24B8">
        <w:t xml:space="preserve"> the</w:t>
      </w:r>
      <w:r w:rsidRPr="00FD24B8">
        <w:t xml:space="preserve"> 4 years to 2025</w:t>
      </w:r>
      <w:r w:rsidRPr="00FD24B8">
        <w:noBreakHyphen/>
        <w:t>26), largely reflecting volume increases for subsidised medicines, offset by increases to receipts.</w:t>
      </w:r>
    </w:p>
    <w:p w14:paraId="49930344" w14:textId="254C97CD" w:rsidR="008E3D78" w:rsidRPr="00FD24B8" w:rsidRDefault="008E3D78" w:rsidP="008E3D78">
      <w:r w:rsidRPr="00FD24B8">
        <w:lastRenderedPageBreak/>
        <w:t xml:space="preserve">Major decreases in payments </w:t>
      </w:r>
      <w:proofErr w:type="gramStart"/>
      <w:r w:rsidRPr="00FD24B8">
        <w:t>as a result of</w:t>
      </w:r>
      <w:proofErr w:type="gramEnd"/>
      <w:r w:rsidRPr="00FD24B8">
        <w:t xml:space="preserve"> parameter and other variations since </w:t>
      </w:r>
      <w:r w:rsidR="00552CB3" w:rsidRPr="00FD24B8">
        <w:t xml:space="preserve">MYEFO </w:t>
      </w:r>
      <w:r w:rsidRPr="00FD24B8">
        <w:t>include:</w:t>
      </w:r>
    </w:p>
    <w:p w14:paraId="43FF812A" w14:textId="1A8F1D05" w:rsidR="00325594" w:rsidRPr="00FD24B8" w:rsidRDefault="00325594" w:rsidP="00325594">
      <w:pPr>
        <w:pStyle w:val="Bullet"/>
        <w:numPr>
          <w:ilvl w:val="0"/>
          <w:numId w:val="7"/>
        </w:numPr>
      </w:pPr>
      <w:r w:rsidRPr="00FD24B8">
        <w:t>payments relating to the Job Seeker Income Support program, which are expected to decrease by $1.8 billion in 2022</w:t>
      </w:r>
      <w:r w:rsidR="0031144A" w:rsidRPr="00FD24B8">
        <w:noBreakHyphen/>
      </w:r>
      <w:r w:rsidRPr="00FD24B8">
        <w:t xml:space="preserve">23 ($7.7 billion over </w:t>
      </w:r>
      <w:r w:rsidR="00993604" w:rsidRPr="00FD24B8">
        <w:t xml:space="preserve">the </w:t>
      </w:r>
      <w:r w:rsidR="006C5B4E" w:rsidRPr="00FD24B8">
        <w:t>4</w:t>
      </w:r>
      <w:r w:rsidRPr="00FD24B8">
        <w:t xml:space="preserve"> years to 2025</w:t>
      </w:r>
      <w:r w:rsidR="0031144A" w:rsidRPr="00FD24B8">
        <w:noBreakHyphen/>
      </w:r>
      <w:r w:rsidRPr="00FD24B8">
        <w:t>26), largely reflecting a lower</w:t>
      </w:r>
      <w:r w:rsidRPr="00FD24B8">
        <w:noBreakHyphen/>
        <w:t>than</w:t>
      </w:r>
      <w:r w:rsidRPr="00FD24B8">
        <w:noBreakHyphen/>
        <w:t>expected number of recipients due to stronger labour market projections as the economy recovers from the COVID</w:t>
      </w:r>
      <w:r w:rsidR="0031144A" w:rsidRPr="00FD24B8">
        <w:noBreakHyphen/>
      </w:r>
      <w:r w:rsidRPr="00FD24B8">
        <w:t>19 pandemic</w:t>
      </w:r>
    </w:p>
    <w:p w14:paraId="1CEF6867" w14:textId="658C2A64" w:rsidR="009B0EFF" w:rsidRPr="00FD24B8" w:rsidRDefault="00325594" w:rsidP="00581657">
      <w:pPr>
        <w:pStyle w:val="Bullet"/>
        <w:numPr>
          <w:ilvl w:val="0"/>
          <w:numId w:val="7"/>
        </w:numPr>
      </w:pPr>
      <w:r w:rsidRPr="00FD24B8">
        <w:t>payments to the states and territories for government schools, which are expected to decrease by $138.2 million in 2022</w:t>
      </w:r>
      <w:r w:rsidR="0031144A" w:rsidRPr="00FD24B8">
        <w:noBreakHyphen/>
      </w:r>
      <w:r w:rsidRPr="00FD24B8">
        <w:t xml:space="preserve">23 ($796.5 million over </w:t>
      </w:r>
      <w:r w:rsidR="00993604" w:rsidRPr="00FD24B8">
        <w:t xml:space="preserve">the </w:t>
      </w:r>
      <w:r w:rsidR="006C5B4E" w:rsidRPr="00FD24B8">
        <w:t>4</w:t>
      </w:r>
      <w:r w:rsidRPr="00FD24B8">
        <w:t xml:space="preserve"> years to 2025</w:t>
      </w:r>
      <w:r w:rsidR="0031144A" w:rsidRPr="00FD24B8">
        <w:noBreakHyphen/>
      </w:r>
      <w:r w:rsidRPr="00FD24B8">
        <w:t>26), reflecting decreased student enrolments in 2021</w:t>
      </w:r>
      <w:r w:rsidR="00E26351" w:rsidRPr="00FD24B8">
        <w:t>.</w:t>
      </w:r>
    </w:p>
    <w:p w14:paraId="11EB9F78" w14:textId="77777777" w:rsidR="008E3D78" w:rsidRPr="00FD24B8" w:rsidRDefault="008E3D78" w:rsidP="008E3D78">
      <w:r w:rsidRPr="00FD24B8">
        <w:t xml:space="preserve">Consistent with previous budgets, the underlying cash balance has been improved by the regular draw down of the conservative bias allowance. Details of this draw down are provided </w:t>
      </w:r>
      <w:r w:rsidR="00C22783" w:rsidRPr="00FD24B8">
        <w:t xml:space="preserve">in </w:t>
      </w:r>
      <w:r w:rsidR="00C22783" w:rsidRPr="00FD24B8">
        <w:rPr>
          <w:i/>
        </w:rPr>
        <w:t>Statement 5: Expenses and Net Capital Investment</w:t>
      </w:r>
      <w:r w:rsidRPr="00FD24B8">
        <w:t>.</w:t>
      </w:r>
    </w:p>
    <w:p w14:paraId="1E014A83" w14:textId="67691705" w:rsidR="00696E96" w:rsidRDefault="00D01432" w:rsidP="004C6E6A">
      <w:r w:rsidRPr="00FD24B8">
        <w:t>A significant proportion of Government spending is adjusted at each update to reflect changes in economic parameters (including prices and wages, unemployment and foreign exchange rates). Table 3.5 shows the impact of improved economic conditions on payments. Prices and wages have increased payments by $19.3 billion over the 4 years to 2025</w:t>
      </w:r>
      <w:r w:rsidR="0031144A" w:rsidRPr="00FD24B8">
        <w:noBreakHyphen/>
      </w:r>
      <w:r w:rsidRPr="00FD24B8">
        <w:t>26, while lower unemployment forecasts have reduced payments by $5.3 billion over the 4 years to 2025</w:t>
      </w:r>
      <w:r w:rsidR="0031144A" w:rsidRPr="00FD24B8">
        <w:noBreakHyphen/>
      </w:r>
      <w:r w:rsidRPr="00FD24B8">
        <w:t>26.</w:t>
      </w:r>
      <w:r w:rsidR="003D345E">
        <w:fldChar w:fldCharType="begin"/>
      </w:r>
      <w:r w:rsidR="003D345E">
        <w:instrText xml:space="preserve"> :End:BPCD_JM2 </w:instrText>
      </w:r>
      <w:r w:rsidR="003D345E">
        <w:fldChar w:fldCharType="end"/>
      </w:r>
      <w:r w:rsidR="00696E96">
        <w:br w:type="page"/>
      </w:r>
    </w:p>
    <w:bookmarkStart w:id="22" w:name="_Toc98757989"/>
    <w:p w14:paraId="1A0DCB8E" w14:textId="3A880BC0" w:rsidR="003B6ECB" w:rsidRPr="00FD24B8" w:rsidRDefault="00D52074" w:rsidP="00F56B15">
      <w:pPr>
        <w:pStyle w:val="TableHeading"/>
      </w:pPr>
      <w:r w:rsidRPr="00F56B15">
        <w:lastRenderedPageBreak/>
        <w:fldChar w:fldCharType="begin"/>
      </w:r>
      <w:r w:rsidRPr="00F56B15">
        <w:instrText xml:space="preserve"> :Start:BPCD_JM2 </w:instrText>
      </w:r>
      <w:r w:rsidRPr="00F56B15">
        <w:fldChar w:fldCharType="end"/>
      </w:r>
      <w:r w:rsidR="001F1709" w:rsidRPr="00FD24B8">
        <w:t>Table 3.</w:t>
      </w:r>
      <w:r w:rsidR="00797E1B" w:rsidRPr="00FD24B8">
        <w:t>5</w:t>
      </w:r>
      <w:r w:rsidR="001F1709" w:rsidRPr="00FD24B8">
        <w:t>: Reconciliation of payments estimates</w:t>
      </w:r>
    </w:p>
    <w:tbl>
      <w:tblPr>
        <w:tblW w:w="5000" w:type="pct"/>
        <w:tblCellMar>
          <w:left w:w="0" w:type="dxa"/>
          <w:right w:w="28" w:type="dxa"/>
        </w:tblCellMar>
        <w:tblLook w:val="04A0" w:firstRow="1" w:lastRow="0" w:firstColumn="1" w:lastColumn="0" w:noHBand="0" w:noVBand="1"/>
      </w:tblPr>
      <w:tblGrid>
        <w:gridCol w:w="2918"/>
        <w:gridCol w:w="781"/>
        <w:gridCol w:w="781"/>
        <w:gridCol w:w="782"/>
        <w:gridCol w:w="782"/>
        <w:gridCol w:w="784"/>
        <w:gridCol w:w="100"/>
        <w:gridCol w:w="782"/>
      </w:tblGrid>
      <w:tr w:rsidR="00290C60" w:rsidRPr="00131EBC" w14:paraId="333530D8" w14:textId="77777777" w:rsidTr="00306482">
        <w:trPr>
          <w:trHeight w:hRule="exact" w:val="300"/>
        </w:trPr>
        <w:tc>
          <w:tcPr>
            <w:tcW w:w="1696" w:type="pct"/>
            <w:tcBorders>
              <w:top w:val="single" w:sz="4" w:space="0" w:color="000000"/>
              <w:left w:val="nil"/>
              <w:bottom w:val="nil"/>
              <w:right w:val="nil"/>
            </w:tcBorders>
            <w:shd w:val="clear" w:color="000000" w:fill="FFFFFF"/>
            <w:noWrap/>
            <w:vAlign w:val="center"/>
            <w:hideMark/>
          </w:tcPr>
          <w:p w14:paraId="1E46CBBF" w14:textId="77777777" w:rsidR="003B6ECB" w:rsidRPr="00131EBC" w:rsidRDefault="003B6ECB" w:rsidP="003B6ECB">
            <w:pPr>
              <w:spacing w:after="0" w:line="240" w:lineRule="auto"/>
              <w:rPr>
                <w:rFonts w:ascii="Arial" w:hAnsi="Arial" w:cs="Arial"/>
                <w:color w:val="FFFF00"/>
                <w:sz w:val="16"/>
                <w:szCs w:val="16"/>
                <w:highlight w:val="magenta"/>
              </w:rPr>
            </w:pPr>
            <w:r w:rsidRPr="00FD24B8">
              <w:rPr>
                <w:rFonts w:ascii="Arial" w:hAnsi="Arial" w:cs="Arial"/>
                <w:sz w:val="16"/>
                <w:szCs w:val="16"/>
              </w:rPr>
              <w:t> </w:t>
            </w:r>
          </w:p>
        </w:tc>
        <w:tc>
          <w:tcPr>
            <w:tcW w:w="2676" w:type="pct"/>
            <w:gridSpan w:val="5"/>
            <w:tcBorders>
              <w:top w:val="single" w:sz="4" w:space="0" w:color="000000"/>
              <w:left w:val="nil"/>
              <w:bottom w:val="single" w:sz="4" w:space="0" w:color="000000"/>
              <w:right w:val="nil"/>
            </w:tcBorders>
            <w:shd w:val="clear" w:color="000000" w:fill="FFFFFF"/>
            <w:noWrap/>
            <w:vAlign w:val="center"/>
            <w:hideMark/>
          </w:tcPr>
          <w:p w14:paraId="1D032AF7" w14:textId="77777777" w:rsidR="003B6ECB" w:rsidRPr="00131EBC" w:rsidRDefault="003B6ECB" w:rsidP="003B6ECB">
            <w:pPr>
              <w:spacing w:after="0" w:line="240" w:lineRule="auto"/>
              <w:jc w:val="center"/>
              <w:rPr>
                <w:rFonts w:ascii="Arial" w:hAnsi="Arial" w:cs="Arial"/>
                <w:color w:val="FFFF00"/>
                <w:sz w:val="16"/>
                <w:szCs w:val="16"/>
                <w:highlight w:val="magenta"/>
              </w:rPr>
            </w:pPr>
            <w:r w:rsidRPr="00FD24B8">
              <w:rPr>
                <w:rFonts w:ascii="Arial" w:hAnsi="Arial" w:cs="Arial"/>
                <w:sz w:val="16"/>
                <w:szCs w:val="16"/>
              </w:rPr>
              <w:t>Estimates</w:t>
            </w:r>
          </w:p>
        </w:tc>
        <w:tc>
          <w:tcPr>
            <w:tcW w:w="93" w:type="pct"/>
            <w:tcBorders>
              <w:top w:val="single" w:sz="4" w:space="0" w:color="000000"/>
              <w:left w:val="nil"/>
              <w:bottom w:val="nil"/>
              <w:right w:val="nil"/>
            </w:tcBorders>
            <w:shd w:val="clear" w:color="000000" w:fill="FFFFFF"/>
            <w:noWrap/>
            <w:vAlign w:val="center"/>
            <w:hideMark/>
          </w:tcPr>
          <w:p w14:paraId="1D9411A3"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single" w:sz="4" w:space="0" w:color="000000"/>
              <w:left w:val="nil"/>
              <w:bottom w:val="single" w:sz="4" w:space="0" w:color="auto"/>
              <w:right w:val="nil"/>
            </w:tcBorders>
            <w:shd w:val="clear" w:color="000000" w:fill="FFFFFF"/>
            <w:noWrap/>
            <w:vAlign w:val="center"/>
            <w:hideMark/>
          </w:tcPr>
          <w:p w14:paraId="54754DC4" w14:textId="77777777" w:rsidR="003B6ECB" w:rsidRPr="00FD24B8" w:rsidRDefault="003B6ECB" w:rsidP="003B6ECB">
            <w:pPr>
              <w:spacing w:after="0" w:line="240" w:lineRule="auto"/>
              <w:jc w:val="left"/>
              <w:rPr>
                <w:rFonts w:ascii="Arial" w:hAnsi="Arial" w:cs="Arial"/>
                <w:sz w:val="16"/>
                <w:szCs w:val="16"/>
              </w:rPr>
            </w:pPr>
            <w:r w:rsidRPr="00FD24B8">
              <w:rPr>
                <w:rFonts w:ascii="Arial" w:hAnsi="Arial" w:cs="Arial"/>
                <w:sz w:val="16"/>
                <w:szCs w:val="16"/>
              </w:rPr>
              <w:t> </w:t>
            </w:r>
          </w:p>
        </w:tc>
      </w:tr>
      <w:tr w:rsidR="00290C60" w:rsidRPr="00131EBC" w14:paraId="2F6E3BC2" w14:textId="77777777" w:rsidTr="00306482">
        <w:trPr>
          <w:trHeight w:hRule="exact" w:val="300"/>
        </w:trPr>
        <w:tc>
          <w:tcPr>
            <w:tcW w:w="1696" w:type="pct"/>
            <w:tcBorders>
              <w:top w:val="nil"/>
              <w:left w:val="nil"/>
              <w:bottom w:val="nil"/>
              <w:right w:val="nil"/>
            </w:tcBorders>
            <w:shd w:val="clear" w:color="000000" w:fill="FFFFFF"/>
            <w:noWrap/>
            <w:vAlign w:val="center"/>
            <w:hideMark/>
          </w:tcPr>
          <w:p w14:paraId="1A9FA3BD"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single" w:sz="4" w:space="0" w:color="000000"/>
              <w:left w:val="nil"/>
              <w:bottom w:val="nil"/>
              <w:right w:val="nil"/>
            </w:tcBorders>
            <w:shd w:val="clear" w:color="000000" w:fill="FFFFFF"/>
            <w:noWrap/>
            <w:vAlign w:val="center"/>
            <w:hideMark/>
          </w:tcPr>
          <w:p w14:paraId="79595842" w14:textId="6655CB2A"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2021</w:t>
            </w:r>
            <w:r w:rsidR="0031144A" w:rsidRPr="00FD24B8">
              <w:rPr>
                <w:rFonts w:ascii="Arial" w:hAnsi="Arial" w:cs="Arial"/>
                <w:sz w:val="16"/>
                <w:szCs w:val="16"/>
              </w:rPr>
              <w:noBreakHyphen/>
            </w:r>
            <w:r w:rsidRPr="00FD24B8">
              <w:rPr>
                <w:rFonts w:ascii="Arial" w:hAnsi="Arial" w:cs="Arial"/>
                <w:sz w:val="16"/>
                <w:szCs w:val="16"/>
              </w:rPr>
              <w:t>22</w:t>
            </w:r>
          </w:p>
        </w:tc>
        <w:tc>
          <w:tcPr>
            <w:tcW w:w="535" w:type="pct"/>
            <w:tcBorders>
              <w:top w:val="single" w:sz="4" w:space="0" w:color="000000"/>
              <w:left w:val="nil"/>
              <w:bottom w:val="nil"/>
              <w:right w:val="nil"/>
            </w:tcBorders>
            <w:shd w:val="clear" w:color="000000" w:fill="F2F9FC"/>
            <w:noWrap/>
            <w:vAlign w:val="center"/>
            <w:hideMark/>
          </w:tcPr>
          <w:p w14:paraId="739BCA91" w14:textId="704247C8"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2022</w:t>
            </w:r>
            <w:r w:rsidR="0031144A" w:rsidRPr="00FD24B8">
              <w:rPr>
                <w:rFonts w:ascii="Arial" w:hAnsi="Arial" w:cs="Arial"/>
                <w:sz w:val="16"/>
                <w:szCs w:val="16"/>
              </w:rPr>
              <w:noBreakHyphen/>
            </w:r>
            <w:r w:rsidRPr="00FD24B8">
              <w:rPr>
                <w:rFonts w:ascii="Arial" w:hAnsi="Arial" w:cs="Arial"/>
                <w:sz w:val="16"/>
                <w:szCs w:val="16"/>
              </w:rPr>
              <w:t>23</w:t>
            </w:r>
          </w:p>
        </w:tc>
        <w:tc>
          <w:tcPr>
            <w:tcW w:w="535" w:type="pct"/>
            <w:tcBorders>
              <w:top w:val="single" w:sz="4" w:space="0" w:color="000000"/>
              <w:left w:val="nil"/>
              <w:bottom w:val="nil"/>
              <w:right w:val="nil"/>
            </w:tcBorders>
            <w:shd w:val="clear" w:color="000000" w:fill="FFFFFF"/>
            <w:noWrap/>
            <w:vAlign w:val="center"/>
            <w:hideMark/>
          </w:tcPr>
          <w:p w14:paraId="3AB720C6" w14:textId="65A16595"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2023</w:t>
            </w:r>
            <w:r w:rsidR="0031144A" w:rsidRPr="00FD24B8">
              <w:rPr>
                <w:rFonts w:ascii="Arial" w:hAnsi="Arial" w:cs="Arial"/>
                <w:sz w:val="16"/>
                <w:szCs w:val="16"/>
              </w:rPr>
              <w:noBreakHyphen/>
            </w:r>
            <w:r w:rsidRPr="00FD24B8">
              <w:rPr>
                <w:rFonts w:ascii="Arial" w:hAnsi="Arial" w:cs="Arial"/>
                <w:sz w:val="16"/>
                <w:szCs w:val="16"/>
              </w:rPr>
              <w:t>24</w:t>
            </w:r>
          </w:p>
        </w:tc>
        <w:tc>
          <w:tcPr>
            <w:tcW w:w="535" w:type="pct"/>
            <w:tcBorders>
              <w:top w:val="single" w:sz="4" w:space="0" w:color="000000"/>
              <w:left w:val="nil"/>
              <w:bottom w:val="nil"/>
              <w:right w:val="nil"/>
            </w:tcBorders>
            <w:shd w:val="clear" w:color="000000" w:fill="FFFFFF"/>
            <w:noWrap/>
            <w:vAlign w:val="center"/>
            <w:hideMark/>
          </w:tcPr>
          <w:p w14:paraId="1E712EC3" w14:textId="7F637114"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2024</w:t>
            </w:r>
            <w:r w:rsidR="0031144A" w:rsidRPr="00FD24B8">
              <w:rPr>
                <w:rFonts w:ascii="Arial" w:hAnsi="Arial" w:cs="Arial"/>
                <w:sz w:val="16"/>
                <w:szCs w:val="16"/>
              </w:rPr>
              <w:noBreakHyphen/>
            </w:r>
            <w:r w:rsidRPr="00FD24B8">
              <w:rPr>
                <w:rFonts w:ascii="Arial" w:hAnsi="Arial" w:cs="Arial"/>
                <w:sz w:val="16"/>
                <w:szCs w:val="16"/>
              </w:rPr>
              <w:t>25</w:t>
            </w:r>
          </w:p>
        </w:tc>
        <w:tc>
          <w:tcPr>
            <w:tcW w:w="535" w:type="pct"/>
            <w:tcBorders>
              <w:top w:val="single" w:sz="4" w:space="0" w:color="000000"/>
              <w:left w:val="nil"/>
              <w:bottom w:val="nil"/>
              <w:right w:val="nil"/>
            </w:tcBorders>
            <w:shd w:val="clear" w:color="000000" w:fill="FFFFFF"/>
            <w:noWrap/>
            <w:vAlign w:val="center"/>
            <w:hideMark/>
          </w:tcPr>
          <w:p w14:paraId="771BB8B7" w14:textId="0F0CA08D"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2025</w:t>
            </w:r>
            <w:r w:rsidR="0031144A" w:rsidRPr="00FD24B8">
              <w:rPr>
                <w:rFonts w:ascii="Arial" w:hAnsi="Arial" w:cs="Arial"/>
                <w:sz w:val="16"/>
                <w:szCs w:val="16"/>
              </w:rPr>
              <w:noBreakHyphen/>
            </w:r>
            <w:r w:rsidRPr="00FD24B8">
              <w:rPr>
                <w:rFonts w:ascii="Arial" w:hAnsi="Arial" w:cs="Arial"/>
                <w:sz w:val="16"/>
                <w:szCs w:val="16"/>
              </w:rPr>
              <w:t>26</w:t>
            </w:r>
          </w:p>
        </w:tc>
        <w:tc>
          <w:tcPr>
            <w:tcW w:w="93" w:type="pct"/>
            <w:tcBorders>
              <w:top w:val="nil"/>
              <w:left w:val="nil"/>
              <w:bottom w:val="nil"/>
              <w:right w:val="nil"/>
            </w:tcBorders>
            <w:shd w:val="clear" w:color="000000" w:fill="FFFFFF"/>
            <w:noWrap/>
            <w:vAlign w:val="center"/>
            <w:hideMark/>
          </w:tcPr>
          <w:p w14:paraId="7D8A486D"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single" w:sz="4" w:space="0" w:color="auto"/>
              <w:left w:val="nil"/>
              <w:bottom w:val="nil"/>
              <w:right w:val="nil"/>
            </w:tcBorders>
            <w:shd w:val="clear" w:color="000000" w:fill="FFFFFF"/>
            <w:noWrap/>
            <w:vAlign w:val="center"/>
            <w:hideMark/>
          </w:tcPr>
          <w:p w14:paraId="3D0978DB" w14:textId="77777777" w:rsidR="003B6ECB" w:rsidRPr="00FD24B8" w:rsidRDefault="003B6ECB" w:rsidP="003B6ECB">
            <w:pPr>
              <w:spacing w:after="0" w:line="240" w:lineRule="auto"/>
              <w:jc w:val="right"/>
              <w:rPr>
                <w:rFonts w:ascii="Arial" w:hAnsi="Arial" w:cs="Arial"/>
                <w:sz w:val="16"/>
                <w:szCs w:val="16"/>
              </w:rPr>
            </w:pPr>
            <w:r w:rsidRPr="00FD24B8">
              <w:rPr>
                <w:rFonts w:ascii="Arial" w:hAnsi="Arial" w:cs="Arial"/>
                <w:sz w:val="16"/>
                <w:szCs w:val="16"/>
              </w:rPr>
              <w:t>Total(a)</w:t>
            </w:r>
          </w:p>
        </w:tc>
      </w:tr>
      <w:tr w:rsidR="00290C60" w:rsidRPr="00131EBC" w14:paraId="33E92C5C" w14:textId="77777777" w:rsidTr="00306482">
        <w:trPr>
          <w:trHeight w:hRule="exact" w:val="300"/>
        </w:trPr>
        <w:tc>
          <w:tcPr>
            <w:tcW w:w="1696" w:type="pct"/>
            <w:tcBorders>
              <w:top w:val="nil"/>
              <w:left w:val="nil"/>
              <w:bottom w:val="nil"/>
              <w:right w:val="nil"/>
            </w:tcBorders>
            <w:shd w:val="clear" w:color="000000" w:fill="FFFFFF"/>
            <w:noWrap/>
            <w:vAlign w:val="center"/>
            <w:hideMark/>
          </w:tcPr>
          <w:p w14:paraId="32F73EEB"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single" w:sz="4" w:space="0" w:color="000000"/>
              <w:right w:val="nil"/>
            </w:tcBorders>
            <w:shd w:val="clear" w:color="000000" w:fill="FFFFFF"/>
            <w:noWrap/>
            <w:vAlign w:val="center"/>
            <w:hideMark/>
          </w:tcPr>
          <w:p w14:paraId="5235951D"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$m</w:t>
            </w:r>
          </w:p>
        </w:tc>
        <w:tc>
          <w:tcPr>
            <w:tcW w:w="535" w:type="pct"/>
            <w:tcBorders>
              <w:top w:val="nil"/>
              <w:left w:val="nil"/>
              <w:bottom w:val="single" w:sz="4" w:space="0" w:color="000000"/>
              <w:right w:val="nil"/>
            </w:tcBorders>
            <w:shd w:val="clear" w:color="000000" w:fill="F2F9FC"/>
            <w:noWrap/>
            <w:vAlign w:val="center"/>
            <w:hideMark/>
          </w:tcPr>
          <w:p w14:paraId="6CA647E8"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$m</w:t>
            </w:r>
          </w:p>
        </w:tc>
        <w:tc>
          <w:tcPr>
            <w:tcW w:w="535" w:type="pct"/>
            <w:tcBorders>
              <w:top w:val="nil"/>
              <w:left w:val="nil"/>
              <w:bottom w:val="single" w:sz="4" w:space="0" w:color="000000"/>
              <w:right w:val="nil"/>
            </w:tcBorders>
            <w:shd w:val="clear" w:color="000000" w:fill="FFFFFF"/>
            <w:noWrap/>
            <w:vAlign w:val="center"/>
            <w:hideMark/>
          </w:tcPr>
          <w:p w14:paraId="42218F55"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$m</w:t>
            </w:r>
          </w:p>
        </w:tc>
        <w:tc>
          <w:tcPr>
            <w:tcW w:w="535" w:type="pct"/>
            <w:tcBorders>
              <w:top w:val="nil"/>
              <w:left w:val="nil"/>
              <w:bottom w:val="single" w:sz="4" w:space="0" w:color="000000"/>
              <w:right w:val="nil"/>
            </w:tcBorders>
            <w:shd w:val="clear" w:color="000000" w:fill="FFFFFF"/>
            <w:noWrap/>
            <w:vAlign w:val="center"/>
            <w:hideMark/>
          </w:tcPr>
          <w:p w14:paraId="1C849A0E"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$m</w:t>
            </w:r>
          </w:p>
        </w:tc>
        <w:tc>
          <w:tcPr>
            <w:tcW w:w="535" w:type="pct"/>
            <w:tcBorders>
              <w:top w:val="nil"/>
              <w:left w:val="nil"/>
              <w:bottom w:val="single" w:sz="4" w:space="0" w:color="000000"/>
              <w:right w:val="nil"/>
            </w:tcBorders>
            <w:shd w:val="clear" w:color="000000" w:fill="FFFFFF"/>
            <w:noWrap/>
            <w:vAlign w:val="center"/>
            <w:hideMark/>
          </w:tcPr>
          <w:p w14:paraId="2616CD53"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$m</w:t>
            </w:r>
          </w:p>
        </w:tc>
        <w:tc>
          <w:tcPr>
            <w:tcW w:w="93" w:type="pct"/>
            <w:tcBorders>
              <w:top w:val="nil"/>
              <w:left w:val="nil"/>
              <w:bottom w:val="nil"/>
              <w:right w:val="nil"/>
            </w:tcBorders>
            <w:shd w:val="clear" w:color="000000" w:fill="FFFFFF"/>
            <w:noWrap/>
            <w:vAlign w:val="center"/>
            <w:hideMark/>
          </w:tcPr>
          <w:p w14:paraId="53CFB282"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single" w:sz="4" w:space="0" w:color="auto"/>
              <w:right w:val="nil"/>
            </w:tcBorders>
            <w:shd w:val="clear" w:color="000000" w:fill="FFFFFF"/>
            <w:noWrap/>
            <w:vAlign w:val="center"/>
            <w:hideMark/>
          </w:tcPr>
          <w:p w14:paraId="61FFF865" w14:textId="77777777" w:rsidR="003B6ECB" w:rsidRPr="00FD24B8" w:rsidRDefault="003B6ECB" w:rsidP="003B6ECB">
            <w:pPr>
              <w:spacing w:after="0" w:line="240" w:lineRule="auto"/>
              <w:jc w:val="right"/>
              <w:rPr>
                <w:rFonts w:ascii="Arial" w:hAnsi="Arial" w:cs="Arial"/>
                <w:sz w:val="16"/>
                <w:szCs w:val="16"/>
              </w:rPr>
            </w:pPr>
            <w:r w:rsidRPr="00FD24B8">
              <w:rPr>
                <w:rFonts w:ascii="Arial" w:hAnsi="Arial" w:cs="Arial"/>
                <w:sz w:val="16"/>
                <w:szCs w:val="16"/>
              </w:rPr>
              <w:t>$m</w:t>
            </w:r>
          </w:p>
        </w:tc>
      </w:tr>
      <w:tr w:rsidR="00290C60" w:rsidRPr="00131EBC" w14:paraId="0970368D" w14:textId="77777777" w:rsidTr="00306482">
        <w:trPr>
          <w:trHeight w:hRule="exact" w:val="60"/>
        </w:trPr>
        <w:tc>
          <w:tcPr>
            <w:tcW w:w="1696" w:type="pct"/>
            <w:tcBorders>
              <w:top w:val="nil"/>
              <w:left w:val="nil"/>
              <w:bottom w:val="nil"/>
              <w:right w:val="nil"/>
            </w:tcBorders>
            <w:shd w:val="clear" w:color="000000" w:fill="FFFFFF"/>
            <w:noWrap/>
            <w:vAlign w:val="center"/>
            <w:hideMark/>
          </w:tcPr>
          <w:p w14:paraId="13578DF5" w14:textId="77777777" w:rsidR="003B6ECB" w:rsidRPr="00131EBC" w:rsidRDefault="003B6ECB" w:rsidP="003B6ECB">
            <w:pPr>
              <w:spacing w:after="0" w:line="240" w:lineRule="auto"/>
              <w:jc w:val="left"/>
              <w:rPr>
                <w:rFonts w:ascii="Arial" w:hAnsi="Arial" w:cs="Arial"/>
                <w:b/>
                <w:color w:val="FFFF00"/>
                <w:sz w:val="16"/>
                <w:szCs w:val="16"/>
                <w:highlight w:val="magenta"/>
              </w:rPr>
            </w:pPr>
            <w:r w:rsidRPr="00FD24B8">
              <w:rPr>
                <w:rFonts w:ascii="Arial" w:hAnsi="Arial" w:cs="Arial"/>
                <w:b/>
                <w:sz w:val="16"/>
                <w:szCs w:val="16"/>
              </w:rPr>
              <w:t> </w:t>
            </w:r>
          </w:p>
        </w:tc>
        <w:tc>
          <w:tcPr>
            <w:tcW w:w="535" w:type="pct"/>
            <w:tcBorders>
              <w:top w:val="single" w:sz="4" w:space="0" w:color="000000"/>
              <w:left w:val="nil"/>
              <w:bottom w:val="nil"/>
              <w:right w:val="nil"/>
            </w:tcBorders>
            <w:shd w:val="clear" w:color="000000" w:fill="FFFFFF"/>
            <w:noWrap/>
            <w:vAlign w:val="center"/>
            <w:hideMark/>
          </w:tcPr>
          <w:p w14:paraId="20ED9CE3"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single" w:sz="4" w:space="0" w:color="000000"/>
              <w:left w:val="nil"/>
              <w:bottom w:val="nil"/>
              <w:right w:val="nil"/>
            </w:tcBorders>
            <w:shd w:val="clear" w:color="000000" w:fill="F2F9FC"/>
            <w:noWrap/>
            <w:vAlign w:val="center"/>
            <w:hideMark/>
          </w:tcPr>
          <w:p w14:paraId="56A882BC"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single" w:sz="4" w:space="0" w:color="000000"/>
              <w:left w:val="nil"/>
              <w:bottom w:val="nil"/>
              <w:right w:val="nil"/>
            </w:tcBorders>
            <w:shd w:val="clear" w:color="000000" w:fill="FFFFFF"/>
            <w:noWrap/>
            <w:vAlign w:val="center"/>
            <w:hideMark/>
          </w:tcPr>
          <w:p w14:paraId="19AC5113"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single" w:sz="4" w:space="0" w:color="000000"/>
              <w:left w:val="nil"/>
              <w:bottom w:val="nil"/>
              <w:right w:val="nil"/>
            </w:tcBorders>
            <w:shd w:val="clear" w:color="000000" w:fill="FFFFFF"/>
            <w:noWrap/>
            <w:vAlign w:val="center"/>
            <w:hideMark/>
          </w:tcPr>
          <w:p w14:paraId="02AEF32A"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single" w:sz="4" w:space="0" w:color="000000"/>
              <w:left w:val="nil"/>
              <w:bottom w:val="nil"/>
              <w:right w:val="nil"/>
            </w:tcBorders>
            <w:shd w:val="clear" w:color="000000" w:fill="FFFFFF"/>
            <w:noWrap/>
            <w:vAlign w:val="center"/>
            <w:hideMark/>
          </w:tcPr>
          <w:p w14:paraId="0CB33AA6"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93" w:type="pct"/>
            <w:tcBorders>
              <w:top w:val="nil"/>
              <w:left w:val="nil"/>
              <w:bottom w:val="nil"/>
              <w:right w:val="nil"/>
            </w:tcBorders>
            <w:shd w:val="clear" w:color="000000" w:fill="FFFFFF"/>
            <w:noWrap/>
            <w:vAlign w:val="center"/>
            <w:hideMark/>
          </w:tcPr>
          <w:p w14:paraId="52DDA21C"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single" w:sz="4" w:space="0" w:color="auto"/>
              <w:left w:val="nil"/>
              <w:bottom w:val="nil"/>
              <w:right w:val="nil"/>
            </w:tcBorders>
            <w:shd w:val="clear" w:color="000000" w:fill="FFFFFF"/>
            <w:noWrap/>
            <w:vAlign w:val="center"/>
            <w:hideMark/>
          </w:tcPr>
          <w:p w14:paraId="1BA0F8A9" w14:textId="77777777" w:rsidR="003B6ECB" w:rsidRPr="00FD24B8" w:rsidRDefault="003B6ECB" w:rsidP="003B6ECB">
            <w:pPr>
              <w:spacing w:after="0" w:line="240" w:lineRule="auto"/>
              <w:jc w:val="left"/>
              <w:rPr>
                <w:rFonts w:ascii="Arial" w:hAnsi="Arial" w:cs="Arial"/>
                <w:sz w:val="16"/>
                <w:szCs w:val="16"/>
              </w:rPr>
            </w:pPr>
            <w:r w:rsidRPr="00FD24B8">
              <w:rPr>
                <w:rFonts w:ascii="Arial" w:hAnsi="Arial" w:cs="Arial"/>
                <w:sz w:val="16"/>
                <w:szCs w:val="16"/>
              </w:rPr>
              <w:t> </w:t>
            </w:r>
          </w:p>
        </w:tc>
      </w:tr>
      <w:tr w:rsidR="00290C60" w:rsidRPr="00131EBC" w14:paraId="415735CB"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30E979D1" w14:textId="0B3BA88D" w:rsidR="003B6ECB" w:rsidRPr="00131EBC" w:rsidRDefault="003B6ECB" w:rsidP="003B6ECB">
            <w:pPr>
              <w:spacing w:after="0" w:line="240" w:lineRule="auto"/>
              <w:jc w:val="left"/>
              <w:rPr>
                <w:rFonts w:ascii="Arial" w:hAnsi="Arial" w:cs="Arial"/>
                <w:b/>
                <w:color w:val="FFFF00"/>
                <w:sz w:val="16"/>
                <w:szCs w:val="16"/>
                <w:highlight w:val="magenta"/>
              </w:rPr>
            </w:pPr>
            <w:r w:rsidRPr="00FD24B8">
              <w:rPr>
                <w:rFonts w:ascii="Arial" w:hAnsi="Arial" w:cs="Arial"/>
                <w:b/>
                <w:sz w:val="16"/>
                <w:szCs w:val="16"/>
              </w:rPr>
              <w:t>2021</w:t>
            </w:r>
            <w:r w:rsidR="0031144A" w:rsidRPr="00FD24B8">
              <w:rPr>
                <w:rFonts w:ascii="Arial" w:hAnsi="Arial" w:cs="Arial"/>
                <w:b/>
                <w:sz w:val="16"/>
                <w:szCs w:val="16"/>
              </w:rPr>
              <w:noBreakHyphen/>
            </w:r>
            <w:r w:rsidRPr="00FD24B8">
              <w:rPr>
                <w:rFonts w:ascii="Arial" w:hAnsi="Arial" w:cs="Arial"/>
                <w:b/>
                <w:sz w:val="16"/>
                <w:szCs w:val="16"/>
              </w:rPr>
              <w:t>22 MYEFO payments</w:t>
            </w:r>
            <w:r w:rsidR="00DD1B3C" w:rsidRPr="00FD24B8">
              <w:rPr>
                <w:rFonts w:ascii="Arial" w:hAnsi="Arial" w:cs="Arial"/>
                <w:b/>
                <w:sz w:val="16"/>
                <w:szCs w:val="16"/>
              </w:rPr>
              <w:t>(b)</w:t>
            </w:r>
          </w:p>
        </w:tc>
        <w:tc>
          <w:tcPr>
            <w:tcW w:w="535" w:type="pct"/>
            <w:tcBorders>
              <w:top w:val="nil"/>
              <w:left w:val="nil"/>
              <w:bottom w:val="nil"/>
              <w:right w:val="nil"/>
            </w:tcBorders>
            <w:shd w:val="clear" w:color="000000" w:fill="FFFFFF"/>
            <w:noWrap/>
            <w:vAlign w:val="center"/>
            <w:hideMark/>
          </w:tcPr>
          <w:p w14:paraId="07F3226B"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631,377</w:t>
            </w:r>
          </w:p>
        </w:tc>
        <w:tc>
          <w:tcPr>
            <w:tcW w:w="535" w:type="pct"/>
            <w:tcBorders>
              <w:top w:val="nil"/>
              <w:left w:val="nil"/>
              <w:bottom w:val="nil"/>
              <w:right w:val="nil"/>
            </w:tcBorders>
            <w:shd w:val="clear" w:color="000000" w:fill="F2F9FC"/>
            <w:noWrap/>
            <w:vAlign w:val="center"/>
            <w:hideMark/>
          </w:tcPr>
          <w:p w14:paraId="157C0E08"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615,308</w:t>
            </w:r>
          </w:p>
        </w:tc>
        <w:tc>
          <w:tcPr>
            <w:tcW w:w="535" w:type="pct"/>
            <w:tcBorders>
              <w:top w:val="nil"/>
              <w:left w:val="nil"/>
              <w:bottom w:val="nil"/>
              <w:right w:val="nil"/>
            </w:tcBorders>
            <w:shd w:val="clear" w:color="000000" w:fill="FFFFFF"/>
            <w:noWrap/>
            <w:vAlign w:val="center"/>
            <w:hideMark/>
          </w:tcPr>
          <w:p w14:paraId="5333145C"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634,721</w:t>
            </w:r>
          </w:p>
        </w:tc>
        <w:tc>
          <w:tcPr>
            <w:tcW w:w="535" w:type="pct"/>
            <w:tcBorders>
              <w:top w:val="nil"/>
              <w:left w:val="nil"/>
              <w:bottom w:val="nil"/>
              <w:right w:val="nil"/>
            </w:tcBorders>
            <w:shd w:val="clear" w:color="000000" w:fill="FFFFFF"/>
            <w:noWrap/>
            <w:vAlign w:val="center"/>
            <w:hideMark/>
          </w:tcPr>
          <w:p w14:paraId="69A0E3E3"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648,634</w:t>
            </w:r>
          </w:p>
        </w:tc>
        <w:tc>
          <w:tcPr>
            <w:tcW w:w="535" w:type="pct"/>
            <w:tcBorders>
              <w:top w:val="nil"/>
              <w:left w:val="nil"/>
              <w:bottom w:val="nil"/>
              <w:right w:val="nil"/>
            </w:tcBorders>
            <w:shd w:val="clear" w:color="000000" w:fill="FFFFFF"/>
            <w:noWrap/>
            <w:vAlign w:val="center"/>
            <w:hideMark/>
          </w:tcPr>
          <w:p w14:paraId="5C536CD4"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681,629</w:t>
            </w:r>
          </w:p>
        </w:tc>
        <w:tc>
          <w:tcPr>
            <w:tcW w:w="93" w:type="pct"/>
            <w:tcBorders>
              <w:top w:val="nil"/>
              <w:left w:val="nil"/>
              <w:bottom w:val="nil"/>
              <w:right w:val="nil"/>
            </w:tcBorders>
            <w:shd w:val="clear" w:color="000000" w:fill="FFFFFF"/>
            <w:noWrap/>
            <w:vAlign w:val="center"/>
            <w:hideMark/>
          </w:tcPr>
          <w:p w14:paraId="0782FA67"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 </w:t>
            </w:r>
          </w:p>
        </w:tc>
        <w:tc>
          <w:tcPr>
            <w:tcW w:w="535" w:type="pct"/>
            <w:tcBorders>
              <w:top w:val="nil"/>
              <w:left w:val="nil"/>
              <w:bottom w:val="nil"/>
              <w:right w:val="nil"/>
            </w:tcBorders>
            <w:shd w:val="clear" w:color="000000" w:fill="FFFFFF"/>
            <w:noWrap/>
            <w:vAlign w:val="center"/>
            <w:hideMark/>
          </w:tcPr>
          <w:p w14:paraId="46CCFEC9" w14:textId="77777777" w:rsidR="003B6ECB" w:rsidRPr="00FD24B8" w:rsidRDefault="003B6ECB" w:rsidP="003B6ECB">
            <w:pPr>
              <w:spacing w:after="0" w:line="240" w:lineRule="auto"/>
              <w:jc w:val="right"/>
              <w:rPr>
                <w:rFonts w:ascii="Arial" w:hAnsi="Arial" w:cs="Arial"/>
                <w:b/>
                <w:sz w:val="16"/>
                <w:szCs w:val="16"/>
              </w:rPr>
            </w:pPr>
            <w:r w:rsidRPr="00FD24B8">
              <w:rPr>
                <w:rFonts w:ascii="Arial" w:hAnsi="Arial" w:cs="Arial"/>
                <w:b/>
                <w:sz w:val="16"/>
                <w:szCs w:val="16"/>
              </w:rPr>
              <w:t>2,580,292</w:t>
            </w:r>
          </w:p>
        </w:tc>
      </w:tr>
      <w:tr w:rsidR="00290C60" w:rsidRPr="00131EBC" w14:paraId="449B0093" w14:textId="77777777" w:rsidTr="00290C60">
        <w:trPr>
          <w:trHeight w:hRule="exact" w:val="60"/>
        </w:trPr>
        <w:tc>
          <w:tcPr>
            <w:tcW w:w="1696" w:type="pct"/>
            <w:tcBorders>
              <w:top w:val="nil"/>
              <w:left w:val="nil"/>
              <w:bottom w:val="nil"/>
              <w:right w:val="nil"/>
            </w:tcBorders>
            <w:shd w:val="clear" w:color="000000" w:fill="FFFFFF"/>
            <w:noWrap/>
            <w:vAlign w:val="center"/>
            <w:hideMark/>
          </w:tcPr>
          <w:p w14:paraId="49B77F3E" w14:textId="77777777" w:rsidR="003B6ECB" w:rsidRPr="00131EBC" w:rsidRDefault="003B6ECB" w:rsidP="003B6ECB">
            <w:pPr>
              <w:spacing w:after="0" w:line="240" w:lineRule="auto"/>
              <w:jc w:val="left"/>
              <w:rPr>
                <w:rFonts w:ascii="Arial" w:hAnsi="Arial" w:cs="Arial"/>
                <w:b/>
                <w:color w:val="FFFF00"/>
                <w:sz w:val="16"/>
                <w:szCs w:val="16"/>
                <w:highlight w:val="magenta"/>
              </w:rPr>
            </w:pPr>
            <w:r w:rsidRPr="00FD24B8">
              <w:rPr>
                <w:rFonts w:ascii="Arial" w:hAnsi="Arial" w:cs="Arial"/>
                <w:b/>
                <w:sz w:val="16"/>
                <w:szCs w:val="16"/>
              </w:rPr>
              <w:t> </w:t>
            </w:r>
          </w:p>
        </w:tc>
        <w:tc>
          <w:tcPr>
            <w:tcW w:w="535" w:type="pct"/>
            <w:tcBorders>
              <w:top w:val="nil"/>
              <w:left w:val="nil"/>
              <w:bottom w:val="nil"/>
              <w:right w:val="nil"/>
            </w:tcBorders>
            <w:shd w:val="clear" w:color="000000" w:fill="FFFFFF"/>
            <w:noWrap/>
            <w:vAlign w:val="center"/>
            <w:hideMark/>
          </w:tcPr>
          <w:p w14:paraId="1F9946D7"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2F9FC"/>
            <w:noWrap/>
            <w:vAlign w:val="center"/>
            <w:hideMark/>
          </w:tcPr>
          <w:p w14:paraId="563F6D5C"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5A5358A8"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4A7D16FF"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3BE8190B"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93" w:type="pct"/>
            <w:tcBorders>
              <w:top w:val="nil"/>
              <w:left w:val="nil"/>
              <w:bottom w:val="nil"/>
              <w:right w:val="nil"/>
            </w:tcBorders>
            <w:shd w:val="clear" w:color="000000" w:fill="FFFFFF"/>
            <w:noWrap/>
            <w:vAlign w:val="center"/>
            <w:hideMark/>
          </w:tcPr>
          <w:p w14:paraId="52157DC2"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1D864F40" w14:textId="77777777" w:rsidR="003B6ECB" w:rsidRPr="00FD24B8" w:rsidRDefault="003B6ECB" w:rsidP="003B6ECB">
            <w:pPr>
              <w:spacing w:after="0" w:line="240" w:lineRule="auto"/>
              <w:jc w:val="left"/>
              <w:rPr>
                <w:rFonts w:ascii="Arial" w:hAnsi="Arial" w:cs="Arial"/>
                <w:sz w:val="16"/>
                <w:szCs w:val="16"/>
              </w:rPr>
            </w:pPr>
            <w:r w:rsidRPr="00FD24B8">
              <w:rPr>
                <w:rFonts w:ascii="Arial" w:hAnsi="Arial" w:cs="Arial"/>
                <w:sz w:val="16"/>
                <w:szCs w:val="16"/>
              </w:rPr>
              <w:t> </w:t>
            </w:r>
          </w:p>
        </w:tc>
      </w:tr>
      <w:tr w:rsidR="00290C60" w:rsidRPr="00131EBC" w14:paraId="3AFBE886"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0971D555" w14:textId="79AB1D0C" w:rsidR="003B6ECB" w:rsidRPr="00131EBC" w:rsidRDefault="003B6ECB" w:rsidP="003B6ECB">
            <w:pPr>
              <w:spacing w:after="0" w:line="240" w:lineRule="auto"/>
              <w:jc w:val="left"/>
              <w:rPr>
                <w:rFonts w:ascii="Arial" w:hAnsi="Arial" w:cs="Arial"/>
                <w:b/>
                <w:color w:val="FFFF00"/>
                <w:sz w:val="16"/>
                <w:szCs w:val="16"/>
                <w:highlight w:val="magenta"/>
              </w:rPr>
            </w:pPr>
            <w:r w:rsidRPr="00FD24B8">
              <w:rPr>
                <w:rFonts w:ascii="Arial" w:hAnsi="Arial" w:cs="Arial"/>
                <w:b/>
                <w:sz w:val="16"/>
                <w:szCs w:val="16"/>
              </w:rPr>
              <w:t>Changes from 2021</w:t>
            </w:r>
            <w:r w:rsidR="0031144A" w:rsidRPr="00FD24B8">
              <w:rPr>
                <w:rFonts w:ascii="Arial" w:hAnsi="Arial" w:cs="Arial"/>
                <w:b/>
                <w:sz w:val="16"/>
                <w:szCs w:val="16"/>
              </w:rPr>
              <w:noBreakHyphen/>
            </w:r>
            <w:r w:rsidRPr="00FD24B8">
              <w:rPr>
                <w:rFonts w:ascii="Arial" w:hAnsi="Arial" w:cs="Arial"/>
                <w:b/>
                <w:sz w:val="16"/>
                <w:szCs w:val="16"/>
              </w:rPr>
              <w:t>22 MYEFO to</w:t>
            </w:r>
          </w:p>
        </w:tc>
        <w:tc>
          <w:tcPr>
            <w:tcW w:w="535" w:type="pct"/>
            <w:tcBorders>
              <w:top w:val="nil"/>
              <w:left w:val="nil"/>
              <w:bottom w:val="nil"/>
              <w:right w:val="nil"/>
            </w:tcBorders>
            <w:shd w:val="clear" w:color="000000" w:fill="FFFFFF"/>
            <w:noWrap/>
            <w:vAlign w:val="center"/>
            <w:hideMark/>
          </w:tcPr>
          <w:p w14:paraId="6F11CDC1"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2F9FC"/>
            <w:noWrap/>
            <w:vAlign w:val="center"/>
            <w:hideMark/>
          </w:tcPr>
          <w:p w14:paraId="190F67F1"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7F1341B8"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20CD2063"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78604935"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93" w:type="pct"/>
            <w:tcBorders>
              <w:top w:val="nil"/>
              <w:left w:val="nil"/>
              <w:bottom w:val="nil"/>
              <w:right w:val="nil"/>
            </w:tcBorders>
            <w:shd w:val="clear" w:color="000000" w:fill="FFFFFF"/>
            <w:noWrap/>
            <w:vAlign w:val="center"/>
            <w:hideMark/>
          </w:tcPr>
          <w:p w14:paraId="20E56EE4"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1CDBE564" w14:textId="77777777" w:rsidR="003B6ECB" w:rsidRPr="00FD24B8" w:rsidRDefault="003B6ECB" w:rsidP="003B6ECB">
            <w:pPr>
              <w:spacing w:after="0" w:line="240" w:lineRule="auto"/>
              <w:jc w:val="left"/>
              <w:rPr>
                <w:rFonts w:ascii="Arial" w:hAnsi="Arial" w:cs="Arial"/>
                <w:sz w:val="16"/>
                <w:szCs w:val="16"/>
              </w:rPr>
            </w:pPr>
            <w:r w:rsidRPr="00FD24B8">
              <w:rPr>
                <w:rFonts w:ascii="Arial" w:hAnsi="Arial" w:cs="Arial"/>
                <w:sz w:val="16"/>
                <w:szCs w:val="16"/>
              </w:rPr>
              <w:t> </w:t>
            </w:r>
          </w:p>
        </w:tc>
      </w:tr>
      <w:tr w:rsidR="00290C60" w:rsidRPr="00131EBC" w14:paraId="175EAE3C"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6D14232F" w14:textId="20C9A445" w:rsidR="003B6ECB" w:rsidRPr="00131EBC" w:rsidRDefault="003B6ECB" w:rsidP="003B6ECB">
            <w:pPr>
              <w:spacing w:after="0" w:line="240" w:lineRule="auto"/>
              <w:jc w:val="left"/>
              <w:rPr>
                <w:rFonts w:ascii="Arial" w:hAnsi="Arial" w:cs="Arial"/>
                <w:b/>
                <w:color w:val="FFFF00"/>
                <w:sz w:val="16"/>
                <w:szCs w:val="16"/>
                <w:highlight w:val="magenta"/>
              </w:rPr>
            </w:pPr>
            <w:r w:rsidRPr="00FD24B8">
              <w:rPr>
                <w:rFonts w:ascii="Arial" w:hAnsi="Arial" w:cs="Arial"/>
                <w:b/>
                <w:sz w:val="16"/>
                <w:szCs w:val="16"/>
              </w:rPr>
              <w:t>2022</w:t>
            </w:r>
            <w:r w:rsidR="0031144A" w:rsidRPr="00FD24B8">
              <w:rPr>
                <w:rFonts w:ascii="Arial" w:hAnsi="Arial" w:cs="Arial"/>
                <w:b/>
                <w:sz w:val="16"/>
                <w:szCs w:val="16"/>
              </w:rPr>
              <w:noBreakHyphen/>
            </w:r>
            <w:r w:rsidRPr="00FD24B8">
              <w:rPr>
                <w:rFonts w:ascii="Arial" w:hAnsi="Arial" w:cs="Arial"/>
                <w:b/>
                <w:sz w:val="16"/>
                <w:szCs w:val="16"/>
              </w:rPr>
              <w:t>23 Budget</w:t>
            </w:r>
          </w:p>
        </w:tc>
        <w:tc>
          <w:tcPr>
            <w:tcW w:w="535" w:type="pct"/>
            <w:tcBorders>
              <w:top w:val="nil"/>
              <w:left w:val="nil"/>
              <w:bottom w:val="nil"/>
              <w:right w:val="nil"/>
            </w:tcBorders>
            <w:shd w:val="clear" w:color="000000" w:fill="FFFFFF"/>
            <w:noWrap/>
            <w:vAlign w:val="center"/>
            <w:hideMark/>
          </w:tcPr>
          <w:p w14:paraId="3896BF5B" w14:textId="77777777" w:rsidR="003B6ECB" w:rsidRPr="00131EBC" w:rsidRDefault="003B6ECB" w:rsidP="003B6ECB">
            <w:pPr>
              <w:spacing w:after="0" w:line="240" w:lineRule="auto"/>
              <w:jc w:val="left"/>
              <w:rPr>
                <w:rFonts w:ascii="Arial" w:hAnsi="Arial" w:cs="Arial"/>
                <w:i/>
                <w:color w:val="FFFF00"/>
                <w:sz w:val="16"/>
                <w:szCs w:val="16"/>
                <w:highlight w:val="magenta"/>
              </w:rPr>
            </w:pPr>
            <w:r w:rsidRPr="00FD24B8">
              <w:rPr>
                <w:rFonts w:ascii="Arial" w:hAnsi="Arial" w:cs="Arial"/>
                <w:i/>
                <w:sz w:val="16"/>
                <w:szCs w:val="16"/>
              </w:rPr>
              <w:t> </w:t>
            </w:r>
          </w:p>
        </w:tc>
        <w:tc>
          <w:tcPr>
            <w:tcW w:w="535" w:type="pct"/>
            <w:tcBorders>
              <w:top w:val="nil"/>
              <w:left w:val="nil"/>
              <w:bottom w:val="nil"/>
              <w:right w:val="nil"/>
            </w:tcBorders>
            <w:shd w:val="clear" w:color="000000" w:fill="F2F9FC"/>
            <w:noWrap/>
            <w:vAlign w:val="center"/>
            <w:hideMark/>
          </w:tcPr>
          <w:p w14:paraId="0A37D483" w14:textId="77777777" w:rsidR="003B6ECB" w:rsidRPr="00131EBC" w:rsidRDefault="003B6ECB" w:rsidP="003B6ECB">
            <w:pPr>
              <w:spacing w:after="0" w:line="240" w:lineRule="auto"/>
              <w:jc w:val="left"/>
              <w:rPr>
                <w:rFonts w:ascii="Arial" w:hAnsi="Arial" w:cs="Arial"/>
                <w:i/>
                <w:color w:val="FFFF00"/>
                <w:sz w:val="16"/>
                <w:szCs w:val="16"/>
                <w:highlight w:val="magenta"/>
              </w:rPr>
            </w:pPr>
            <w:r w:rsidRPr="00FD24B8">
              <w:rPr>
                <w:rFonts w:ascii="Arial" w:hAnsi="Arial" w:cs="Arial"/>
                <w:i/>
                <w:sz w:val="16"/>
                <w:szCs w:val="16"/>
              </w:rPr>
              <w:t> </w:t>
            </w:r>
          </w:p>
        </w:tc>
        <w:tc>
          <w:tcPr>
            <w:tcW w:w="535" w:type="pct"/>
            <w:tcBorders>
              <w:top w:val="nil"/>
              <w:left w:val="nil"/>
              <w:bottom w:val="nil"/>
              <w:right w:val="nil"/>
            </w:tcBorders>
            <w:shd w:val="clear" w:color="000000" w:fill="FFFFFF"/>
            <w:noWrap/>
            <w:vAlign w:val="center"/>
            <w:hideMark/>
          </w:tcPr>
          <w:p w14:paraId="1AE05FE3" w14:textId="77777777" w:rsidR="003B6ECB" w:rsidRPr="00131EBC" w:rsidRDefault="003B6ECB" w:rsidP="003B6ECB">
            <w:pPr>
              <w:spacing w:after="0" w:line="240" w:lineRule="auto"/>
              <w:jc w:val="left"/>
              <w:rPr>
                <w:rFonts w:ascii="Arial" w:hAnsi="Arial" w:cs="Arial"/>
                <w:i/>
                <w:color w:val="FFFF00"/>
                <w:sz w:val="16"/>
                <w:szCs w:val="16"/>
                <w:highlight w:val="magenta"/>
              </w:rPr>
            </w:pPr>
            <w:r w:rsidRPr="00FD24B8">
              <w:rPr>
                <w:rFonts w:ascii="Arial" w:hAnsi="Arial" w:cs="Arial"/>
                <w:i/>
                <w:sz w:val="16"/>
                <w:szCs w:val="16"/>
              </w:rPr>
              <w:t> </w:t>
            </w:r>
          </w:p>
        </w:tc>
        <w:tc>
          <w:tcPr>
            <w:tcW w:w="535" w:type="pct"/>
            <w:tcBorders>
              <w:top w:val="nil"/>
              <w:left w:val="nil"/>
              <w:bottom w:val="nil"/>
              <w:right w:val="nil"/>
            </w:tcBorders>
            <w:shd w:val="clear" w:color="000000" w:fill="FFFFFF"/>
            <w:noWrap/>
            <w:vAlign w:val="center"/>
            <w:hideMark/>
          </w:tcPr>
          <w:p w14:paraId="2CCB4715" w14:textId="77777777" w:rsidR="003B6ECB" w:rsidRPr="00131EBC" w:rsidRDefault="003B6ECB" w:rsidP="003B6ECB">
            <w:pPr>
              <w:spacing w:after="0" w:line="240" w:lineRule="auto"/>
              <w:jc w:val="left"/>
              <w:rPr>
                <w:rFonts w:ascii="Arial" w:hAnsi="Arial" w:cs="Arial"/>
                <w:i/>
                <w:color w:val="FFFF00"/>
                <w:sz w:val="16"/>
                <w:szCs w:val="16"/>
                <w:highlight w:val="magenta"/>
              </w:rPr>
            </w:pPr>
            <w:r w:rsidRPr="00FD24B8">
              <w:rPr>
                <w:rFonts w:ascii="Arial" w:hAnsi="Arial" w:cs="Arial"/>
                <w:i/>
                <w:sz w:val="16"/>
                <w:szCs w:val="16"/>
              </w:rPr>
              <w:t> </w:t>
            </w:r>
          </w:p>
        </w:tc>
        <w:tc>
          <w:tcPr>
            <w:tcW w:w="535" w:type="pct"/>
            <w:tcBorders>
              <w:top w:val="nil"/>
              <w:left w:val="nil"/>
              <w:bottom w:val="nil"/>
              <w:right w:val="nil"/>
            </w:tcBorders>
            <w:shd w:val="clear" w:color="000000" w:fill="FFFFFF"/>
            <w:noWrap/>
            <w:vAlign w:val="center"/>
            <w:hideMark/>
          </w:tcPr>
          <w:p w14:paraId="0D72AC46" w14:textId="77777777" w:rsidR="003B6ECB" w:rsidRPr="00131EBC" w:rsidRDefault="003B6ECB" w:rsidP="003B6ECB">
            <w:pPr>
              <w:spacing w:after="0" w:line="240" w:lineRule="auto"/>
              <w:jc w:val="left"/>
              <w:rPr>
                <w:rFonts w:ascii="Arial" w:hAnsi="Arial" w:cs="Arial"/>
                <w:i/>
                <w:color w:val="FFFF00"/>
                <w:sz w:val="16"/>
                <w:szCs w:val="16"/>
                <w:highlight w:val="magenta"/>
              </w:rPr>
            </w:pPr>
            <w:r w:rsidRPr="00FD24B8">
              <w:rPr>
                <w:rFonts w:ascii="Arial" w:hAnsi="Arial" w:cs="Arial"/>
                <w:i/>
                <w:sz w:val="16"/>
                <w:szCs w:val="16"/>
              </w:rPr>
              <w:t> </w:t>
            </w:r>
          </w:p>
        </w:tc>
        <w:tc>
          <w:tcPr>
            <w:tcW w:w="93" w:type="pct"/>
            <w:tcBorders>
              <w:top w:val="nil"/>
              <w:left w:val="nil"/>
              <w:bottom w:val="nil"/>
              <w:right w:val="nil"/>
            </w:tcBorders>
            <w:shd w:val="clear" w:color="000000" w:fill="FFFFFF"/>
            <w:noWrap/>
            <w:vAlign w:val="center"/>
            <w:hideMark/>
          </w:tcPr>
          <w:p w14:paraId="0347C363" w14:textId="77777777" w:rsidR="003B6ECB" w:rsidRPr="00131EBC" w:rsidRDefault="003B6ECB" w:rsidP="003B6ECB">
            <w:pPr>
              <w:spacing w:after="0" w:line="240" w:lineRule="auto"/>
              <w:jc w:val="left"/>
              <w:rPr>
                <w:rFonts w:ascii="Arial" w:hAnsi="Arial" w:cs="Arial"/>
                <w:i/>
                <w:color w:val="FFFF00"/>
                <w:sz w:val="16"/>
                <w:szCs w:val="16"/>
                <w:highlight w:val="magenta"/>
              </w:rPr>
            </w:pPr>
            <w:r w:rsidRPr="00FD24B8">
              <w:rPr>
                <w:rFonts w:ascii="Arial" w:hAnsi="Arial" w:cs="Arial"/>
                <w:i/>
                <w:sz w:val="16"/>
                <w:szCs w:val="16"/>
              </w:rPr>
              <w:t> </w:t>
            </w:r>
          </w:p>
        </w:tc>
        <w:tc>
          <w:tcPr>
            <w:tcW w:w="535" w:type="pct"/>
            <w:tcBorders>
              <w:top w:val="nil"/>
              <w:left w:val="nil"/>
              <w:bottom w:val="nil"/>
              <w:right w:val="nil"/>
            </w:tcBorders>
            <w:shd w:val="clear" w:color="000000" w:fill="FFFFFF"/>
            <w:noWrap/>
            <w:vAlign w:val="center"/>
            <w:hideMark/>
          </w:tcPr>
          <w:p w14:paraId="731F6B27" w14:textId="77777777" w:rsidR="003B6ECB" w:rsidRPr="00FD24B8" w:rsidRDefault="003B6ECB" w:rsidP="003B6ECB">
            <w:pPr>
              <w:spacing w:after="0" w:line="240" w:lineRule="auto"/>
              <w:jc w:val="left"/>
              <w:rPr>
                <w:rFonts w:ascii="Arial" w:hAnsi="Arial" w:cs="Arial"/>
                <w:sz w:val="16"/>
                <w:szCs w:val="16"/>
              </w:rPr>
            </w:pPr>
            <w:r w:rsidRPr="00FD24B8">
              <w:rPr>
                <w:rFonts w:ascii="Arial" w:hAnsi="Arial" w:cs="Arial"/>
                <w:sz w:val="16"/>
                <w:szCs w:val="16"/>
              </w:rPr>
              <w:t> </w:t>
            </w:r>
          </w:p>
        </w:tc>
      </w:tr>
      <w:tr w:rsidR="00290C60" w:rsidRPr="00131EBC" w14:paraId="043B6800"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264EEFF7" w14:textId="27CE88E6"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Effect of policy decisions(</w:t>
            </w:r>
            <w:r w:rsidR="00C357AA" w:rsidRPr="00FD24B8">
              <w:rPr>
                <w:rFonts w:ascii="Arial" w:hAnsi="Arial" w:cs="Arial"/>
                <w:sz w:val="16"/>
                <w:szCs w:val="16"/>
              </w:rPr>
              <w:t>c</w:t>
            </w:r>
            <w:r w:rsidRPr="00FD24B8">
              <w:rPr>
                <w:rFonts w:ascii="Arial" w:hAnsi="Arial" w:cs="Arial"/>
                <w:sz w:val="16"/>
                <w:szCs w:val="16"/>
              </w:rPr>
              <w:t>)(</w:t>
            </w:r>
            <w:r w:rsidR="00C357AA" w:rsidRPr="00FD24B8">
              <w:rPr>
                <w:rFonts w:ascii="Arial" w:hAnsi="Arial" w:cs="Arial"/>
                <w:sz w:val="16"/>
                <w:szCs w:val="16"/>
              </w:rPr>
              <w:t>e</w:t>
            </w:r>
            <w:r w:rsidRPr="00FD24B8">
              <w:rPr>
                <w:rFonts w:ascii="Arial" w:hAnsi="Arial" w:cs="Arial"/>
                <w:sz w:val="16"/>
                <w:szCs w:val="16"/>
              </w:rPr>
              <w:t>)</w:t>
            </w:r>
          </w:p>
        </w:tc>
        <w:tc>
          <w:tcPr>
            <w:tcW w:w="535" w:type="pct"/>
            <w:tcBorders>
              <w:top w:val="nil"/>
              <w:left w:val="nil"/>
              <w:bottom w:val="nil"/>
              <w:right w:val="nil"/>
            </w:tcBorders>
            <w:shd w:val="clear" w:color="000000" w:fill="FFFFFF"/>
            <w:noWrap/>
            <w:vAlign w:val="center"/>
            <w:hideMark/>
          </w:tcPr>
          <w:p w14:paraId="3D58AB1A"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6,520</w:t>
            </w:r>
          </w:p>
        </w:tc>
        <w:tc>
          <w:tcPr>
            <w:tcW w:w="535" w:type="pct"/>
            <w:tcBorders>
              <w:top w:val="nil"/>
              <w:left w:val="nil"/>
              <w:bottom w:val="nil"/>
              <w:right w:val="nil"/>
            </w:tcBorders>
            <w:shd w:val="clear" w:color="000000" w:fill="F2F9FC"/>
            <w:noWrap/>
            <w:vAlign w:val="center"/>
            <w:hideMark/>
          </w:tcPr>
          <w:p w14:paraId="0DA8CC28"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8,822</w:t>
            </w:r>
          </w:p>
        </w:tc>
        <w:tc>
          <w:tcPr>
            <w:tcW w:w="535" w:type="pct"/>
            <w:tcBorders>
              <w:top w:val="nil"/>
              <w:left w:val="nil"/>
              <w:bottom w:val="nil"/>
              <w:right w:val="nil"/>
            </w:tcBorders>
            <w:shd w:val="clear" w:color="000000" w:fill="FFFFFF"/>
            <w:noWrap/>
            <w:vAlign w:val="center"/>
            <w:hideMark/>
          </w:tcPr>
          <w:p w14:paraId="1FACC77E"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5,732</w:t>
            </w:r>
          </w:p>
        </w:tc>
        <w:tc>
          <w:tcPr>
            <w:tcW w:w="535" w:type="pct"/>
            <w:tcBorders>
              <w:top w:val="nil"/>
              <w:left w:val="nil"/>
              <w:bottom w:val="nil"/>
              <w:right w:val="nil"/>
            </w:tcBorders>
            <w:shd w:val="clear" w:color="000000" w:fill="FFFFFF"/>
            <w:noWrap/>
            <w:vAlign w:val="center"/>
            <w:hideMark/>
          </w:tcPr>
          <w:p w14:paraId="426DDFA6"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5,814</w:t>
            </w:r>
          </w:p>
        </w:tc>
        <w:tc>
          <w:tcPr>
            <w:tcW w:w="535" w:type="pct"/>
            <w:tcBorders>
              <w:top w:val="nil"/>
              <w:left w:val="nil"/>
              <w:bottom w:val="nil"/>
              <w:right w:val="nil"/>
            </w:tcBorders>
            <w:shd w:val="clear" w:color="000000" w:fill="FFFFFF"/>
            <w:noWrap/>
            <w:vAlign w:val="center"/>
            <w:hideMark/>
          </w:tcPr>
          <w:p w14:paraId="0C29C9F6"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4,636</w:t>
            </w:r>
          </w:p>
        </w:tc>
        <w:tc>
          <w:tcPr>
            <w:tcW w:w="93" w:type="pct"/>
            <w:tcBorders>
              <w:top w:val="nil"/>
              <w:left w:val="nil"/>
              <w:bottom w:val="nil"/>
              <w:right w:val="nil"/>
            </w:tcBorders>
            <w:shd w:val="clear" w:color="000000" w:fill="FFFFFF"/>
            <w:noWrap/>
            <w:vAlign w:val="center"/>
            <w:hideMark/>
          </w:tcPr>
          <w:p w14:paraId="3A359000"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33E21B3B" w14:textId="77777777" w:rsidR="003B6ECB" w:rsidRPr="00FD24B8" w:rsidRDefault="003B6ECB" w:rsidP="003B6ECB">
            <w:pPr>
              <w:spacing w:after="0" w:line="240" w:lineRule="auto"/>
              <w:jc w:val="right"/>
              <w:rPr>
                <w:rFonts w:ascii="Arial" w:hAnsi="Arial" w:cs="Arial"/>
                <w:sz w:val="16"/>
                <w:szCs w:val="16"/>
              </w:rPr>
            </w:pPr>
            <w:r w:rsidRPr="00FD24B8">
              <w:rPr>
                <w:rFonts w:ascii="Arial" w:hAnsi="Arial" w:cs="Arial"/>
                <w:sz w:val="16"/>
                <w:szCs w:val="16"/>
              </w:rPr>
              <w:t>25,004</w:t>
            </w:r>
          </w:p>
        </w:tc>
      </w:tr>
      <w:tr w:rsidR="00290C60" w:rsidRPr="00131EBC" w14:paraId="79BD7CF9"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76117900"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Effect of economic parameter variations</w:t>
            </w:r>
          </w:p>
        </w:tc>
        <w:tc>
          <w:tcPr>
            <w:tcW w:w="535" w:type="pct"/>
            <w:tcBorders>
              <w:top w:val="nil"/>
              <w:left w:val="nil"/>
              <w:bottom w:val="nil"/>
              <w:right w:val="nil"/>
            </w:tcBorders>
            <w:shd w:val="clear" w:color="000000" w:fill="FFFFFF"/>
            <w:noWrap/>
            <w:vAlign w:val="center"/>
            <w:hideMark/>
          </w:tcPr>
          <w:p w14:paraId="175BED43"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2F9FC"/>
            <w:noWrap/>
            <w:vAlign w:val="center"/>
            <w:hideMark/>
          </w:tcPr>
          <w:p w14:paraId="3CA9EB59"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5DB67E29"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3D12DA04"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17428D3E"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93" w:type="pct"/>
            <w:tcBorders>
              <w:top w:val="nil"/>
              <w:left w:val="nil"/>
              <w:bottom w:val="nil"/>
              <w:right w:val="nil"/>
            </w:tcBorders>
            <w:shd w:val="clear" w:color="000000" w:fill="FFFFFF"/>
            <w:noWrap/>
            <w:vAlign w:val="center"/>
            <w:hideMark/>
          </w:tcPr>
          <w:p w14:paraId="6F31496E"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50DAECDB" w14:textId="77777777" w:rsidR="003B6ECB" w:rsidRPr="00FD24B8" w:rsidRDefault="003B6ECB" w:rsidP="003B6ECB">
            <w:pPr>
              <w:spacing w:after="0" w:line="240" w:lineRule="auto"/>
              <w:jc w:val="left"/>
              <w:rPr>
                <w:rFonts w:ascii="Arial" w:hAnsi="Arial" w:cs="Arial"/>
                <w:sz w:val="16"/>
                <w:szCs w:val="16"/>
              </w:rPr>
            </w:pPr>
            <w:r w:rsidRPr="00FD24B8">
              <w:rPr>
                <w:rFonts w:ascii="Arial" w:hAnsi="Arial" w:cs="Arial"/>
                <w:sz w:val="16"/>
                <w:szCs w:val="16"/>
              </w:rPr>
              <w:t> </w:t>
            </w:r>
          </w:p>
        </w:tc>
      </w:tr>
      <w:tr w:rsidR="00290C60" w:rsidRPr="00131EBC" w14:paraId="79C0C74D"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7570607A" w14:textId="3966B161"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Total economic parameter variations(</w:t>
            </w:r>
            <w:r w:rsidR="00C357AA" w:rsidRPr="00FD24B8">
              <w:rPr>
                <w:rFonts w:ascii="Arial" w:hAnsi="Arial" w:cs="Arial"/>
                <w:sz w:val="16"/>
                <w:szCs w:val="16"/>
              </w:rPr>
              <w:t>e</w:t>
            </w:r>
            <w:r w:rsidRPr="00FD24B8">
              <w:rPr>
                <w:rFonts w:ascii="Arial" w:hAnsi="Arial" w:cs="Arial"/>
                <w:sz w:val="16"/>
                <w:szCs w:val="16"/>
              </w:rPr>
              <w:t>)</w:t>
            </w:r>
          </w:p>
        </w:tc>
        <w:tc>
          <w:tcPr>
            <w:tcW w:w="535" w:type="pct"/>
            <w:tcBorders>
              <w:top w:val="nil"/>
              <w:left w:val="nil"/>
              <w:bottom w:val="nil"/>
              <w:right w:val="nil"/>
            </w:tcBorders>
            <w:shd w:val="clear" w:color="000000" w:fill="FFFFFF"/>
            <w:noWrap/>
            <w:vAlign w:val="center"/>
            <w:hideMark/>
          </w:tcPr>
          <w:p w14:paraId="73322A9E"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307</w:t>
            </w:r>
          </w:p>
        </w:tc>
        <w:tc>
          <w:tcPr>
            <w:tcW w:w="535" w:type="pct"/>
            <w:tcBorders>
              <w:top w:val="nil"/>
              <w:left w:val="nil"/>
              <w:bottom w:val="nil"/>
              <w:right w:val="nil"/>
            </w:tcBorders>
            <w:shd w:val="clear" w:color="000000" w:fill="F2F9FC"/>
            <w:noWrap/>
            <w:vAlign w:val="center"/>
            <w:hideMark/>
          </w:tcPr>
          <w:p w14:paraId="6699EACE"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5,285</w:t>
            </w:r>
          </w:p>
        </w:tc>
        <w:tc>
          <w:tcPr>
            <w:tcW w:w="535" w:type="pct"/>
            <w:tcBorders>
              <w:top w:val="nil"/>
              <w:left w:val="nil"/>
              <w:bottom w:val="nil"/>
              <w:right w:val="nil"/>
            </w:tcBorders>
            <w:shd w:val="clear" w:color="000000" w:fill="FFFFFF"/>
            <w:noWrap/>
            <w:vAlign w:val="center"/>
            <w:hideMark/>
          </w:tcPr>
          <w:p w14:paraId="39D1C0F8"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7,219</w:t>
            </w:r>
          </w:p>
        </w:tc>
        <w:tc>
          <w:tcPr>
            <w:tcW w:w="535" w:type="pct"/>
            <w:tcBorders>
              <w:top w:val="nil"/>
              <w:left w:val="nil"/>
              <w:bottom w:val="nil"/>
              <w:right w:val="nil"/>
            </w:tcBorders>
            <w:shd w:val="clear" w:color="000000" w:fill="FFFFFF"/>
            <w:noWrap/>
            <w:vAlign w:val="center"/>
            <w:hideMark/>
          </w:tcPr>
          <w:p w14:paraId="3EE4C5A8"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7,237</w:t>
            </w:r>
          </w:p>
        </w:tc>
        <w:tc>
          <w:tcPr>
            <w:tcW w:w="535" w:type="pct"/>
            <w:tcBorders>
              <w:top w:val="nil"/>
              <w:left w:val="nil"/>
              <w:bottom w:val="nil"/>
              <w:right w:val="nil"/>
            </w:tcBorders>
            <w:shd w:val="clear" w:color="000000" w:fill="FFFFFF"/>
            <w:noWrap/>
            <w:vAlign w:val="center"/>
            <w:hideMark/>
          </w:tcPr>
          <w:p w14:paraId="697F9685"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8,497</w:t>
            </w:r>
          </w:p>
        </w:tc>
        <w:tc>
          <w:tcPr>
            <w:tcW w:w="93" w:type="pct"/>
            <w:tcBorders>
              <w:top w:val="nil"/>
              <w:left w:val="nil"/>
              <w:bottom w:val="nil"/>
              <w:right w:val="nil"/>
            </w:tcBorders>
            <w:shd w:val="clear" w:color="000000" w:fill="FFFFFF"/>
            <w:noWrap/>
            <w:vAlign w:val="center"/>
            <w:hideMark/>
          </w:tcPr>
          <w:p w14:paraId="5EBE5A03"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478FFBEE" w14:textId="77777777" w:rsidR="003B6ECB" w:rsidRPr="00FD24B8" w:rsidRDefault="003B6ECB" w:rsidP="003B6ECB">
            <w:pPr>
              <w:spacing w:after="0" w:line="240" w:lineRule="auto"/>
              <w:jc w:val="right"/>
              <w:rPr>
                <w:rFonts w:ascii="Arial" w:hAnsi="Arial" w:cs="Arial"/>
                <w:sz w:val="16"/>
                <w:szCs w:val="16"/>
              </w:rPr>
            </w:pPr>
            <w:r w:rsidRPr="00FD24B8">
              <w:rPr>
                <w:rFonts w:ascii="Arial" w:hAnsi="Arial" w:cs="Arial"/>
                <w:sz w:val="16"/>
                <w:szCs w:val="16"/>
              </w:rPr>
              <w:t>28,238</w:t>
            </w:r>
          </w:p>
        </w:tc>
      </w:tr>
      <w:tr w:rsidR="00290C60" w:rsidRPr="00131EBC" w14:paraId="41CCD5F4"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73AAE01D" w14:textId="77777777" w:rsidR="003B6ECB" w:rsidRPr="00131EBC" w:rsidRDefault="003B6ECB" w:rsidP="00290C60">
            <w:pPr>
              <w:spacing w:after="0" w:line="240" w:lineRule="auto"/>
              <w:ind w:left="170"/>
              <w:jc w:val="left"/>
              <w:rPr>
                <w:rFonts w:ascii="Arial" w:hAnsi="Arial" w:cs="Arial"/>
                <w:i/>
                <w:color w:val="FFFF00"/>
                <w:sz w:val="16"/>
                <w:szCs w:val="16"/>
                <w:highlight w:val="magenta"/>
              </w:rPr>
            </w:pPr>
            <w:r w:rsidRPr="00FD24B8">
              <w:rPr>
                <w:rFonts w:ascii="Arial" w:hAnsi="Arial" w:cs="Arial"/>
                <w:i/>
                <w:sz w:val="16"/>
                <w:szCs w:val="16"/>
              </w:rPr>
              <w:t>Unemployment benefits</w:t>
            </w:r>
          </w:p>
        </w:tc>
        <w:tc>
          <w:tcPr>
            <w:tcW w:w="535" w:type="pct"/>
            <w:tcBorders>
              <w:top w:val="nil"/>
              <w:left w:val="nil"/>
              <w:bottom w:val="nil"/>
              <w:right w:val="nil"/>
            </w:tcBorders>
            <w:shd w:val="clear" w:color="000000" w:fill="FFFFFF"/>
            <w:noWrap/>
            <w:vAlign w:val="center"/>
            <w:hideMark/>
          </w:tcPr>
          <w:p w14:paraId="7D649E36" w14:textId="5A97FBAB" w:rsidR="003B6ECB" w:rsidRPr="00131EBC" w:rsidRDefault="0031144A"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noBreakHyphen/>
            </w:r>
            <w:r w:rsidR="003B6ECB" w:rsidRPr="00FD24B8">
              <w:rPr>
                <w:rFonts w:ascii="Arial" w:hAnsi="Arial" w:cs="Arial"/>
                <w:i/>
                <w:sz w:val="16"/>
                <w:szCs w:val="16"/>
              </w:rPr>
              <w:t>70</w:t>
            </w:r>
          </w:p>
        </w:tc>
        <w:tc>
          <w:tcPr>
            <w:tcW w:w="535" w:type="pct"/>
            <w:tcBorders>
              <w:top w:val="nil"/>
              <w:left w:val="nil"/>
              <w:bottom w:val="nil"/>
              <w:right w:val="nil"/>
            </w:tcBorders>
            <w:shd w:val="clear" w:color="000000" w:fill="F2F9FC"/>
            <w:noWrap/>
            <w:vAlign w:val="center"/>
            <w:hideMark/>
          </w:tcPr>
          <w:p w14:paraId="18166A31" w14:textId="4CD54839" w:rsidR="003B6ECB" w:rsidRPr="00131EBC" w:rsidRDefault="0031144A"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noBreakHyphen/>
            </w:r>
            <w:r w:rsidR="003B6ECB" w:rsidRPr="00FD24B8">
              <w:rPr>
                <w:rFonts w:ascii="Arial" w:hAnsi="Arial" w:cs="Arial"/>
                <w:i/>
                <w:sz w:val="16"/>
                <w:szCs w:val="16"/>
              </w:rPr>
              <w:t>507</w:t>
            </w:r>
          </w:p>
        </w:tc>
        <w:tc>
          <w:tcPr>
            <w:tcW w:w="535" w:type="pct"/>
            <w:tcBorders>
              <w:top w:val="nil"/>
              <w:left w:val="nil"/>
              <w:bottom w:val="nil"/>
              <w:right w:val="nil"/>
            </w:tcBorders>
            <w:shd w:val="clear" w:color="000000" w:fill="FFFFFF"/>
            <w:noWrap/>
            <w:vAlign w:val="center"/>
            <w:hideMark/>
          </w:tcPr>
          <w:p w14:paraId="2EF494EC" w14:textId="20F221CF" w:rsidR="003B6ECB" w:rsidRPr="00131EBC" w:rsidRDefault="0031144A"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noBreakHyphen/>
            </w:r>
            <w:r w:rsidR="003B6ECB" w:rsidRPr="00FD24B8">
              <w:rPr>
                <w:rFonts w:ascii="Arial" w:hAnsi="Arial" w:cs="Arial"/>
                <w:i/>
                <w:sz w:val="16"/>
                <w:szCs w:val="16"/>
              </w:rPr>
              <w:t>1,185</w:t>
            </w:r>
          </w:p>
        </w:tc>
        <w:tc>
          <w:tcPr>
            <w:tcW w:w="535" w:type="pct"/>
            <w:tcBorders>
              <w:top w:val="nil"/>
              <w:left w:val="nil"/>
              <w:bottom w:val="nil"/>
              <w:right w:val="nil"/>
            </w:tcBorders>
            <w:shd w:val="clear" w:color="000000" w:fill="FFFFFF"/>
            <w:noWrap/>
            <w:vAlign w:val="center"/>
            <w:hideMark/>
          </w:tcPr>
          <w:p w14:paraId="7801E145" w14:textId="3921A4E1" w:rsidR="003B6ECB" w:rsidRPr="00131EBC" w:rsidRDefault="0031144A"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noBreakHyphen/>
            </w:r>
            <w:r w:rsidR="003B6ECB" w:rsidRPr="00FD24B8">
              <w:rPr>
                <w:rFonts w:ascii="Arial" w:hAnsi="Arial" w:cs="Arial"/>
                <w:i/>
                <w:sz w:val="16"/>
                <w:szCs w:val="16"/>
              </w:rPr>
              <w:t>1,660</w:t>
            </w:r>
          </w:p>
        </w:tc>
        <w:tc>
          <w:tcPr>
            <w:tcW w:w="535" w:type="pct"/>
            <w:tcBorders>
              <w:top w:val="nil"/>
              <w:left w:val="nil"/>
              <w:bottom w:val="nil"/>
              <w:right w:val="nil"/>
            </w:tcBorders>
            <w:shd w:val="clear" w:color="000000" w:fill="FFFFFF"/>
            <w:noWrap/>
            <w:vAlign w:val="center"/>
            <w:hideMark/>
          </w:tcPr>
          <w:p w14:paraId="7B2C1577" w14:textId="714279BF" w:rsidR="003B6ECB" w:rsidRPr="00131EBC" w:rsidRDefault="0031144A"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noBreakHyphen/>
            </w:r>
            <w:r w:rsidR="003B6ECB" w:rsidRPr="00FD24B8">
              <w:rPr>
                <w:rFonts w:ascii="Arial" w:hAnsi="Arial" w:cs="Arial"/>
                <w:i/>
                <w:sz w:val="16"/>
                <w:szCs w:val="16"/>
              </w:rPr>
              <w:t>1,991</w:t>
            </w:r>
          </w:p>
        </w:tc>
        <w:tc>
          <w:tcPr>
            <w:tcW w:w="93" w:type="pct"/>
            <w:tcBorders>
              <w:top w:val="nil"/>
              <w:left w:val="nil"/>
              <w:bottom w:val="nil"/>
              <w:right w:val="nil"/>
            </w:tcBorders>
            <w:shd w:val="clear" w:color="000000" w:fill="FFFFFF"/>
            <w:noWrap/>
            <w:vAlign w:val="center"/>
            <w:hideMark/>
          </w:tcPr>
          <w:p w14:paraId="65406ABE"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 </w:t>
            </w:r>
          </w:p>
        </w:tc>
        <w:tc>
          <w:tcPr>
            <w:tcW w:w="535" w:type="pct"/>
            <w:tcBorders>
              <w:top w:val="nil"/>
              <w:left w:val="nil"/>
              <w:bottom w:val="nil"/>
              <w:right w:val="nil"/>
            </w:tcBorders>
            <w:shd w:val="clear" w:color="000000" w:fill="FFFFFF"/>
            <w:noWrap/>
            <w:vAlign w:val="center"/>
            <w:hideMark/>
          </w:tcPr>
          <w:p w14:paraId="734BE63E" w14:textId="6CCA08F7" w:rsidR="003B6ECB" w:rsidRPr="00FD24B8" w:rsidRDefault="0031144A" w:rsidP="003B6ECB">
            <w:pPr>
              <w:spacing w:after="0" w:line="240" w:lineRule="auto"/>
              <w:jc w:val="right"/>
              <w:rPr>
                <w:rFonts w:ascii="Arial" w:hAnsi="Arial" w:cs="Arial"/>
                <w:i/>
                <w:sz w:val="16"/>
                <w:szCs w:val="16"/>
              </w:rPr>
            </w:pPr>
            <w:r w:rsidRPr="00FD24B8">
              <w:rPr>
                <w:rFonts w:ascii="Arial" w:hAnsi="Arial" w:cs="Arial"/>
                <w:i/>
                <w:sz w:val="16"/>
                <w:szCs w:val="16"/>
              </w:rPr>
              <w:noBreakHyphen/>
            </w:r>
            <w:r w:rsidR="003B6ECB" w:rsidRPr="00FD24B8">
              <w:rPr>
                <w:rFonts w:ascii="Arial" w:hAnsi="Arial" w:cs="Arial"/>
                <w:i/>
                <w:sz w:val="16"/>
                <w:szCs w:val="16"/>
              </w:rPr>
              <w:t>5,344</w:t>
            </w:r>
          </w:p>
        </w:tc>
      </w:tr>
      <w:tr w:rsidR="00290C60" w:rsidRPr="00131EBC" w14:paraId="3745D581"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6A38CE2D" w14:textId="77777777" w:rsidR="003B6ECB" w:rsidRPr="00131EBC" w:rsidRDefault="003B6ECB" w:rsidP="00290C60">
            <w:pPr>
              <w:spacing w:after="0" w:line="240" w:lineRule="auto"/>
              <w:ind w:left="170"/>
              <w:jc w:val="left"/>
              <w:rPr>
                <w:rFonts w:ascii="Arial" w:hAnsi="Arial" w:cs="Arial"/>
                <w:i/>
                <w:color w:val="FFFF00"/>
                <w:sz w:val="16"/>
                <w:szCs w:val="16"/>
                <w:highlight w:val="magenta"/>
              </w:rPr>
            </w:pPr>
            <w:r w:rsidRPr="00FD24B8">
              <w:rPr>
                <w:rFonts w:ascii="Arial" w:hAnsi="Arial" w:cs="Arial"/>
                <w:i/>
                <w:sz w:val="16"/>
                <w:szCs w:val="16"/>
              </w:rPr>
              <w:t>Prices and wages</w:t>
            </w:r>
          </w:p>
        </w:tc>
        <w:tc>
          <w:tcPr>
            <w:tcW w:w="535" w:type="pct"/>
            <w:tcBorders>
              <w:top w:val="nil"/>
              <w:left w:val="nil"/>
              <w:bottom w:val="nil"/>
              <w:right w:val="nil"/>
            </w:tcBorders>
            <w:shd w:val="clear" w:color="000000" w:fill="FFFFFF"/>
            <w:noWrap/>
            <w:vAlign w:val="center"/>
            <w:hideMark/>
          </w:tcPr>
          <w:p w14:paraId="204A7AB4"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40</w:t>
            </w:r>
          </w:p>
        </w:tc>
        <w:tc>
          <w:tcPr>
            <w:tcW w:w="535" w:type="pct"/>
            <w:tcBorders>
              <w:top w:val="nil"/>
              <w:left w:val="nil"/>
              <w:bottom w:val="nil"/>
              <w:right w:val="nil"/>
            </w:tcBorders>
            <w:shd w:val="clear" w:color="000000" w:fill="F2F9FC"/>
            <w:noWrap/>
            <w:vAlign w:val="center"/>
            <w:hideMark/>
          </w:tcPr>
          <w:p w14:paraId="64520383"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2,593</w:t>
            </w:r>
          </w:p>
        </w:tc>
        <w:tc>
          <w:tcPr>
            <w:tcW w:w="535" w:type="pct"/>
            <w:tcBorders>
              <w:top w:val="nil"/>
              <w:left w:val="nil"/>
              <w:bottom w:val="nil"/>
              <w:right w:val="nil"/>
            </w:tcBorders>
            <w:shd w:val="clear" w:color="000000" w:fill="FFFFFF"/>
            <w:noWrap/>
            <w:vAlign w:val="center"/>
            <w:hideMark/>
          </w:tcPr>
          <w:p w14:paraId="395D944E"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4,549</w:t>
            </w:r>
          </w:p>
        </w:tc>
        <w:tc>
          <w:tcPr>
            <w:tcW w:w="535" w:type="pct"/>
            <w:tcBorders>
              <w:top w:val="nil"/>
              <w:left w:val="nil"/>
              <w:bottom w:val="nil"/>
              <w:right w:val="nil"/>
            </w:tcBorders>
            <w:shd w:val="clear" w:color="000000" w:fill="FFFFFF"/>
            <w:noWrap/>
            <w:vAlign w:val="center"/>
            <w:hideMark/>
          </w:tcPr>
          <w:p w14:paraId="560F3466"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5,540</w:t>
            </w:r>
          </w:p>
        </w:tc>
        <w:tc>
          <w:tcPr>
            <w:tcW w:w="535" w:type="pct"/>
            <w:tcBorders>
              <w:top w:val="nil"/>
              <w:left w:val="nil"/>
              <w:bottom w:val="nil"/>
              <w:right w:val="nil"/>
            </w:tcBorders>
            <w:shd w:val="clear" w:color="000000" w:fill="FFFFFF"/>
            <w:noWrap/>
            <w:vAlign w:val="center"/>
            <w:hideMark/>
          </w:tcPr>
          <w:p w14:paraId="205A1283"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6,631</w:t>
            </w:r>
          </w:p>
        </w:tc>
        <w:tc>
          <w:tcPr>
            <w:tcW w:w="93" w:type="pct"/>
            <w:tcBorders>
              <w:top w:val="nil"/>
              <w:left w:val="nil"/>
              <w:bottom w:val="nil"/>
              <w:right w:val="nil"/>
            </w:tcBorders>
            <w:shd w:val="clear" w:color="000000" w:fill="FFFFFF"/>
            <w:noWrap/>
            <w:vAlign w:val="center"/>
            <w:hideMark/>
          </w:tcPr>
          <w:p w14:paraId="3A84DCD2"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 </w:t>
            </w:r>
          </w:p>
        </w:tc>
        <w:tc>
          <w:tcPr>
            <w:tcW w:w="535" w:type="pct"/>
            <w:tcBorders>
              <w:top w:val="nil"/>
              <w:left w:val="nil"/>
              <w:bottom w:val="nil"/>
              <w:right w:val="nil"/>
            </w:tcBorders>
            <w:shd w:val="clear" w:color="000000" w:fill="FFFFFF"/>
            <w:noWrap/>
            <w:vAlign w:val="center"/>
            <w:hideMark/>
          </w:tcPr>
          <w:p w14:paraId="161824BB" w14:textId="77777777" w:rsidR="003B6ECB" w:rsidRPr="00FD24B8" w:rsidRDefault="003B6ECB" w:rsidP="003B6ECB">
            <w:pPr>
              <w:spacing w:after="0" w:line="240" w:lineRule="auto"/>
              <w:jc w:val="right"/>
              <w:rPr>
                <w:rFonts w:ascii="Arial" w:hAnsi="Arial" w:cs="Arial"/>
                <w:i/>
                <w:sz w:val="16"/>
                <w:szCs w:val="16"/>
              </w:rPr>
            </w:pPr>
            <w:r w:rsidRPr="00FD24B8">
              <w:rPr>
                <w:rFonts w:ascii="Arial" w:hAnsi="Arial" w:cs="Arial"/>
                <w:i/>
                <w:sz w:val="16"/>
                <w:szCs w:val="16"/>
              </w:rPr>
              <w:t>19,313</w:t>
            </w:r>
          </w:p>
        </w:tc>
      </w:tr>
      <w:tr w:rsidR="00290C60" w:rsidRPr="00131EBC" w14:paraId="01273C4B"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0D1C78DA" w14:textId="77777777" w:rsidR="003B6ECB" w:rsidRPr="00131EBC" w:rsidRDefault="003B6ECB" w:rsidP="00290C60">
            <w:pPr>
              <w:spacing w:after="0" w:line="240" w:lineRule="auto"/>
              <w:ind w:left="170"/>
              <w:jc w:val="left"/>
              <w:rPr>
                <w:rFonts w:ascii="Arial" w:hAnsi="Arial" w:cs="Arial"/>
                <w:i/>
                <w:color w:val="FFFF00"/>
                <w:sz w:val="16"/>
                <w:szCs w:val="16"/>
                <w:highlight w:val="magenta"/>
              </w:rPr>
            </w:pPr>
            <w:r w:rsidRPr="00FD24B8">
              <w:rPr>
                <w:rFonts w:ascii="Arial" w:hAnsi="Arial" w:cs="Arial"/>
                <w:i/>
                <w:sz w:val="16"/>
                <w:szCs w:val="16"/>
              </w:rPr>
              <w:t>Interest and exchange rates</w:t>
            </w:r>
          </w:p>
        </w:tc>
        <w:tc>
          <w:tcPr>
            <w:tcW w:w="535" w:type="pct"/>
            <w:tcBorders>
              <w:top w:val="nil"/>
              <w:left w:val="nil"/>
              <w:bottom w:val="nil"/>
              <w:right w:val="nil"/>
            </w:tcBorders>
            <w:shd w:val="clear" w:color="000000" w:fill="FFFFFF"/>
            <w:noWrap/>
            <w:vAlign w:val="center"/>
            <w:hideMark/>
          </w:tcPr>
          <w:p w14:paraId="18550582"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30</w:t>
            </w:r>
          </w:p>
        </w:tc>
        <w:tc>
          <w:tcPr>
            <w:tcW w:w="535" w:type="pct"/>
            <w:tcBorders>
              <w:top w:val="nil"/>
              <w:left w:val="nil"/>
              <w:bottom w:val="nil"/>
              <w:right w:val="nil"/>
            </w:tcBorders>
            <w:shd w:val="clear" w:color="000000" w:fill="F2F9FC"/>
            <w:noWrap/>
            <w:vAlign w:val="center"/>
            <w:hideMark/>
          </w:tcPr>
          <w:p w14:paraId="10C11C8E"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434</w:t>
            </w:r>
          </w:p>
        </w:tc>
        <w:tc>
          <w:tcPr>
            <w:tcW w:w="535" w:type="pct"/>
            <w:tcBorders>
              <w:top w:val="nil"/>
              <w:left w:val="nil"/>
              <w:bottom w:val="nil"/>
              <w:right w:val="nil"/>
            </w:tcBorders>
            <w:shd w:val="clear" w:color="000000" w:fill="FFFFFF"/>
            <w:noWrap/>
            <w:vAlign w:val="center"/>
            <w:hideMark/>
          </w:tcPr>
          <w:p w14:paraId="5B711C45"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639</w:t>
            </w:r>
          </w:p>
        </w:tc>
        <w:tc>
          <w:tcPr>
            <w:tcW w:w="535" w:type="pct"/>
            <w:tcBorders>
              <w:top w:val="nil"/>
              <w:left w:val="nil"/>
              <w:bottom w:val="nil"/>
              <w:right w:val="nil"/>
            </w:tcBorders>
            <w:shd w:val="clear" w:color="000000" w:fill="FFFFFF"/>
            <w:noWrap/>
            <w:vAlign w:val="center"/>
            <w:hideMark/>
          </w:tcPr>
          <w:p w14:paraId="1D56751C"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763</w:t>
            </w:r>
          </w:p>
        </w:tc>
        <w:tc>
          <w:tcPr>
            <w:tcW w:w="535" w:type="pct"/>
            <w:tcBorders>
              <w:top w:val="nil"/>
              <w:left w:val="nil"/>
              <w:bottom w:val="nil"/>
              <w:right w:val="nil"/>
            </w:tcBorders>
            <w:shd w:val="clear" w:color="000000" w:fill="FFFFFF"/>
            <w:noWrap/>
            <w:vAlign w:val="center"/>
            <w:hideMark/>
          </w:tcPr>
          <w:p w14:paraId="18D7782F"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935</w:t>
            </w:r>
          </w:p>
        </w:tc>
        <w:tc>
          <w:tcPr>
            <w:tcW w:w="93" w:type="pct"/>
            <w:tcBorders>
              <w:top w:val="nil"/>
              <w:left w:val="nil"/>
              <w:bottom w:val="nil"/>
              <w:right w:val="nil"/>
            </w:tcBorders>
            <w:shd w:val="clear" w:color="000000" w:fill="FFFFFF"/>
            <w:noWrap/>
            <w:vAlign w:val="center"/>
            <w:hideMark/>
          </w:tcPr>
          <w:p w14:paraId="1D2A61B7"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 </w:t>
            </w:r>
          </w:p>
        </w:tc>
        <w:tc>
          <w:tcPr>
            <w:tcW w:w="535" w:type="pct"/>
            <w:tcBorders>
              <w:top w:val="nil"/>
              <w:left w:val="nil"/>
              <w:bottom w:val="nil"/>
              <w:right w:val="nil"/>
            </w:tcBorders>
            <w:shd w:val="clear" w:color="000000" w:fill="FFFFFF"/>
            <w:noWrap/>
            <w:vAlign w:val="center"/>
            <w:hideMark/>
          </w:tcPr>
          <w:p w14:paraId="7DF37D9F" w14:textId="77777777" w:rsidR="003B6ECB" w:rsidRPr="00FD24B8" w:rsidRDefault="003B6ECB" w:rsidP="003B6ECB">
            <w:pPr>
              <w:spacing w:after="0" w:line="240" w:lineRule="auto"/>
              <w:jc w:val="right"/>
              <w:rPr>
                <w:rFonts w:ascii="Arial" w:hAnsi="Arial" w:cs="Arial"/>
                <w:i/>
                <w:sz w:val="16"/>
                <w:szCs w:val="16"/>
              </w:rPr>
            </w:pPr>
            <w:r w:rsidRPr="00FD24B8">
              <w:rPr>
                <w:rFonts w:ascii="Arial" w:hAnsi="Arial" w:cs="Arial"/>
                <w:i/>
                <w:sz w:val="16"/>
                <w:szCs w:val="16"/>
              </w:rPr>
              <w:t>2,771</w:t>
            </w:r>
          </w:p>
        </w:tc>
      </w:tr>
      <w:tr w:rsidR="00290C60" w:rsidRPr="00131EBC" w14:paraId="5EBD343B"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5940C2B7" w14:textId="77777777" w:rsidR="003B6ECB" w:rsidRPr="00131EBC" w:rsidRDefault="003B6ECB" w:rsidP="00290C60">
            <w:pPr>
              <w:spacing w:after="0" w:line="240" w:lineRule="auto"/>
              <w:ind w:left="170"/>
              <w:jc w:val="left"/>
              <w:rPr>
                <w:rFonts w:ascii="Arial" w:hAnsi="Arial" w:cs="Arial"/>
                <w:i/>
                <w:color w:val="FFFF00"/>
                <w:sz w:val="16"/>
                <w:szCs w:val="16"/>
                <w:highlight w:val="magenta"/>
              </w:rPr>
            </w:pPr>
            <w:r w:rsidRPr="00FD24B8">
              <w:rPr>
                <w:rFonts w:ascii="Arial" w:hAnsi="Arial" w:cs="Arial"/>
                <w:i/>
                <w:sz w:val="16"/>
                <w:szCs w:val="16"/>
              </w:rPr>
              <w:t>GST payments to the States</w:t>
            </w:r>
          </w:p>
        </w:tc>
        <w:tc>
          <w:tcPr>
            <w:tcW w:w="535" w:type="pct"/>
            <w:tcBorders>
              <w:top w:val="nil"/>
              <w:left w:val="nil"/>
              <w:bottom w:val="nil"/>
              <w:right w:val="nil"/>
            </w:tcBorders>
            <w:shd w:val="clear" w:color="000000" w:fill="FFFFFF"/>
            <w:noWrap/>
            <w:vAlign w:val="center"/>
            <w:hideMark/>
          </w:tcPr>
          <w:p w14:paraId="247ACC89"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308</w:t>
            </w:r>
          </w:p>
        </w:tc>
        <w:tc>
          <w:tcPr>
            <w:tcW w:w="535" w:type="pct"/>
            <w:tcBorders>
              <w:top w:val="nil"/>
              <w:left w:val="nil"/>
              <w:bottom w:val="nil"/>
              <w:right w:val="nil"/>
            </w:tcBorders>
            <w:shd w:val="clear" w:color="000000" w:fill="F2F9FC"/>
            <w:noWrap/>
            <w:vAlign w:val="center"/>
            <w:hideMark/>
          </w:tcPr>
          <w:p w14:paraId="160571D9"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2,766</w:t>
            </w:r>
          </w:p>
        </w:tc>
        <w:tc>
          <w:tcPr>
            <w:tcW w:w="535" w:type="pct"/>
            <w:tcBorders>
              <w:top w:val="nil"/>
              <w:left w:val="nil"/>
              <w:bottom w:val="nil"/>
              <w:right w:val="nil"/>
            </w:tcBorders>
            <w:shd w:val="clear" w:color="000000" w:fill="FFFFFF"/>
            <w:noWrap/>
            <w:vAlign w:val="center"/>
            <w:hideMark/>
          </w:tcPr>
          <w:p w14:paraId="69ED4FA5"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3,216</w:t>
            </w:r>
          </w:p>
        </w:tc>
        <w:tc>
          <w:tcPr>
            <w:tcW w:w="535" w:type="pct"/>
            <w:tcBorders>
              <w:top w:val="nil"/>
              <w:left w:val="nil"/>
              <w:bottom w:val="nil"/>
              <w:right w:val="nil"/>
            </w:tcBorders>
            <w:shd w:val="clear" w:color="000000" w:fill="FFFFFF"/>
            <w:noWrap/>
            <w:vAlign w:val="center"/>
            <w:hideMark/>
          </w:tcPr>
          <w:p w14:paraId="50156786"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2,595</w:t>
            </w:r>
          </w:p>
        </w:tc>
        <w:tc>
          <w:tcPr>
            <w:tcW w:w="535" w:type="pct"/>
            <w:tcBorders>
              <w:top w:val="nil"/>
              <w:left w:val="nil"/>
              <w:bottom w:val="nil"/>
              <w:right w:val="nil"/>
            </w:tcBorders>
            <w:shd w:val="clear" w:color="000000" w:fill="FFFFFF"/>
            <w:noWrap/>
            <w:vAlign w:val="center"/>
            <w:hideMark/>
          </w:tcPr>
          <w:p w14:paraId="60315FD0"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2,923</w:t>
            </w:r>
          </w:p>
        </w:tc>
        <w:tc>
          <w:tcPr>
            <w:tcW w:w="93" w:type="pct"/>
            <w:tcBorders>
              <w:top w:val="nil"/>
              <w:left w:val="nil"/>
              <w:bottom w:val="nil"/>
              <w:right w:val="nil"/>
            </w:tcBorders>
            <w:shd w:val="clear" w:color="000000" w:fill="FFFFFF"/>
            <w:noWrap/>
            <w:vAlign w:val="center"/>
            <w:hideMark/>
          </w:tcPr>
          <w:p w14:paraId="61358A20" w14:textId="77777777" w:rsidR="003B6ECB" w:rsidRPr="00131EBC" w:rsidRDefault="003B6ECB" w:rsidP="003B6ECB">
            <w:pPr>
              <w:spacing w:after="0" w:line="240" w:lineRule="auto"/>
              <w:jc w:val="right"/>
              <w:rPr>
                <w:rFonts w:ascii="Arial" w:hAnsi="Arial" w:cs="Arial"/>
                <w:i/>
                <w:color w:val="FFFF00"/>
                <w:sz w:val="16"/>
                <w:szCs w:val="16"/>
                <w:highlight w:val="magenta"/>
              </w:rPr>
            </w:pPr>
            <w:r w:rsidRPr="00FD24B8">
              <w:rPr>
                <w:rFonts w:ascii="Arial" w:hAnsi="Arial" w:cs="Arial"/>
                <w:i/>
                <w:sz w:val="16"/>
                <w:szCs w:val="16"/>
              </w:rPr>
              <w:t> </w:t>
            </w:r>
          </w:p>
        </w:tc>
        <w:tc>
          <w:tcPr>
            <w:tcW w:w="535" w:type="pct"/>
            <w:tcBorders>
              <w:top w:val="nil"/>
              <w:left w:val="nil"/>
              <w:bottom w:val="nil"/>
              <w:right w:val="nil"/>
            </w:tcBorders>
            <w:shd w:val="clear" w:color="000000" w:fill="FFFFFF"/>
            <w:noWrap/>
            <w:vAlign w:val="center"/>
            <w:hideMark/>
          </w:tcPr>
          <w:p w14:paraId="5E00C61D" w14:textId="77777777" w:rsidR="003B6ECB" w:rsidRPr="00FD24B8" w:rsidRDefault="003B6ECB" w:rsidP="003B6ECB">
            <w:pPr>
              <w:spacing w:after="0" w:line="240" w:lineRule="auto"/>
              <w:jc w:val="right"/>
              <w:rPr>
                <w:rFonts w:ascii="Arial" w:hAnsi="Arial" w:cs="Arial"/>
                <w:i/>
                <w:sz w:val="16"/>
                <w:szCs w:val="16"/>
              </w:rPr>
            </w:pPr>
            <w:r w:rsidRPr="00FD24B8">
              <w:rPr>
                <w:rFonts w:ascii="Arial" w:hAnsi="Arial" w:cs="Arial"/>
                <w:i/>
                <w:sz w:val="16"/>
                <w:szCs w:val="16"/>
              </w:rPr>
              <w:t>11,499</w:t>
            </w:r>
          </w:p>
        </w:tc>
      </w:tr>
      <w:tr w:rsidR="00290C60" w:rsidRPr="00131EBC" w14:paraId="6656CD88" w14:textId="77777777" w:rsidTr="00290C60">
        <w:trPr>
          <w:trHeight w:hRule="exact" w:val="300"/>
        </w:trPr>
        <w:tc>
          <w:tcPr>
            <w:tcW w:w="1696" w:type="pct"/>
            <w:tcBorders>
              <w:top w:val="nil"/>
              <w:left w:val="nil"/>
              <w:bottom w:val="nil"/>
              <w:right w:val="nil"/>
            </w:tcBorders>
            <w:shd w:val="clear" w:color="000000" w:fill="FFFFFF"/>
            <w:noWrap/>
            <w:vAlign w:val="center"/>
            <w:hideMark/>
          </w:tcPr>
          <w:p w14:paraId="1B899247" w14:textId="33AF9734"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Program specific parameter variations(</w:t>
            </w:r>
            <w:r w:rsidR="00C357AA" w:rsidRPr="00FD24B8">
              <w:rPr>
                <w:rFonts w:ascii="Arial" w:hAnsi="Arial" w:cs="Arial"/>
                <w:sz w:val="16"/>
                <w:szCs w:val="16"/>
              </w:rPr>
              <w:t>e</w:t>
            </w:r>
            <w:r w:rsidRPr="00FD24B8">
              <w:rPr>
                <w:rFonts w:ascii="Arial" w:hAnsi="Arial" w:cs="Arial"/>
                <w:sz w:val="16"/>
                <w:szCs w:val="16"/>
              </w:rPr>
              <w:t>)</w:t>
            </w:r>
          </w:p>
        </w:tc>
        <w:tc>
          <w:tcPr>
            <w:tcW w:w="535" w:type="pct"/>
            <w:tcBorders>
              <w:top w:val="nil"/>
              <w:left w:val="nil"/>
              <w:bottom w:val="nil"/>
              <w:right w:val="nil"/>
            </w:tcBorders>
            <w:shd w:val="clear" w:color="000000" w:fill="FFFFFF"/>
            <w:noWrap/>
            <w:vAlign w:val="center"/>
            <w:hideMark/>
          </w:tcPr>
          <w:p w14:paraId="07BD7547"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5,370</w:t>
            </w:r>
          </w:p>
        </w:tc>
        <w:tc>
          <w:tcPr>
            <w:tcW w:w="535" w:type="pct"/>
            <w:tcBorders>
              <w:top w:val="nil"/>
              <w:left w:val="nil"/>
              <w:bottom w:val="nil"/>
              <w:right w:val="nil"/>
            </w:tcBorders>
            <w:shd w:val="clear" w:color="000000" w:fill="F2F9FC"/>
            <w:noWrap/>
            <w:vAlign w:val="center"/>
            <w:hideMark/>
          </w:tcPr>
          <w:p w14:paraId="0A48E336" w14:textId="700607A5" w:rsidR="003B6ECB" w:rsidRPr="00131EBC" w:rsidRDefault="0031144A"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noBreakHyphen/>
            </w:r>
            <w:r w:rsidR="003B6ECB" w:rsidRPr="00FD24B8">
              <w:rPr>
                <w:rFonts w:ascii="Arial" w:hAnsi="Arial" w:cs="Arial"/>
                <w:sz w:val="16"/>
                <w:szCs w:val="16"/>
              </w:rPr>
              <w:t>1,315</w:t>
            </w:r>
          </w:p>
        </w:tc>
        <w:tc>
          <w:tcPr>
            <w:tcW w:w="535" w:type="pct"/>
            <w:tcBorders>
              <w:top w:val="nil"/>
              <w:left w:val="nil"/>
              <w:bottom w:val="nil"/>
              <w:right w:val="nil"/>
            </w:tcBorders>
            <w:shd w:val="clear" w:color="000000" w:fill="FFFFFF"/>
            <w:noWrap/>
            <w:vAlign w:val="center"/>
            <w:hideMark/>
          </w:tcPr>
          <w:p w14:paraId="29414DDC"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749</w:t>
            </w:r>
          </w:p>
        </w:tc>
        <w:tc>
          <w:tcPr>
            <w:tcW w:w="535" w:type="pct"/>
            <w:tcBorders>
              <w:top w:val="nil"/>
              <w:left w:val="nil"/>
              <w:bottom w:val="nil"/>
              <w:right w:val="nil"/>
            </w:tcBorders>
            <w:shd w:val="clear" w:color="000000" w:fill="FFFFFF"/>
            <w:noWrap/>
            <w:vAlign w:val="center"/>
            <w:hideMark/>
          </w:tcPr>
          <w:p w14:paraId="4954B016"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748</w:t>
            </w:r>
          </w:p>
        </w:tc>
        <w:tc>
          <w:tcPr>
            <w:tcW w:w="535" w:type="pct"/>
            <w:tcBorders>
              <w:top w:val="nil"/>
              <w:left w:val="nil"/>
              <w:bottom w:val="nil"/>
              <w:right w:val="nil"/>
            </w:tcBorders>
            <w:shd w:val="clear" w:color="000000" w:fill="FFFFFF"/>
            <w:noWrap/>
            <w:vAlign w:val="center"/>
            <w:hideMark/>
          </w:tcPr>
          <w:p w14:paraId="50F41A8D"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598</w:t>
            </w:r>
          </w:p>
        </w:tc>
        <w:tc>
          <w:tcPr>
            <w:tcW w:w="93" w:type="pct"/>
            <w:tcBorders>
              <w:top w:val="nil"/>
              <w:left w:val="nil"/>
              <w:bottom w:val="nil"/>
              <w:right w:val="nil"/>
            </w:tcBorders>
            <w:shd w:val="clear" w:color="000000" w:fill="FFFFFF"/>
            <w:noWrap/>
            <w:vAlign w:val="center"/>
            <w:hideMark/>
          </w:tcPr>
          <w:p w14:paraId="3FAB75E7"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2FD7013A" w14:textId="77777777" w:rsidR="003B6ECB" w:rsidRPr="00FD24B8" w:rsidRDefault="003B6ECB" w:rsidP="003B6ECB">
            <w:pPr>
              <w:spacing w:after="0" w:line="240" w:lineRule="auto"/>
              <w:jc w:val="right"/>
              <w:rPr>
                <w:rFonts w:ascii="Arial" w:hAnsi="Arial" w:cs="Arial"/>
                <w:sz w:val="16"/>
                <w:szCs w:val="16"/>
              </w:rPr>
            </w:pPr>
            <w:r w:rsidRPr="00FD24B8">
              <w:rPr>
                <w:rFonts w:ascii="Arial" w:hAnsi="Arial" w:cs="Arial"/>
                <w:sz w:val="16"/>
                <w:szCs w:val="16"/>
              </w:rPr>
              <w:t>781</w:t>
            </w:r>
          </w:p>
        </w:tc>
      </w:tr>
      <w:tr w:rsidR="00290C60" w:rsidRPr="00131EBC" w14:paraId="38C9C21A" w14:textId="77777777" w:rsidTr="00306482">
        <w:trPr>
          <w:trHeight w:hRule="exact" w:val="300"/>
        </w:trPr>
        <w:tc>
          <w:tcPr>
            <w:tcW w:w="1696" w:type="pct"/>
            <w:tcBorders>
              <w:top w:val="nil"/>
              <w:left w:val="nil"/>
              <w:bottom w:val="nil"/>
              <w:right w:val="nil"/>
            </w:tcBorders>
            <w:shd w:val="clear" w:color="000000" w:fill="FFFFFF"/>
            <w:noWrap/>
            <w:vAlign w:val="center"/>
            <w:hideMark/>
          </w:tcPr>
          <w:p w14:paraId="2B17D4D7" w14:textId="5F5F3CE0"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Other variations(</w:t>
            </w:r>
            <w:r w:rsidR="00C357AA" w:rsidRPr="00FD24B8">
              <w:rPr>
                <w:rFonts w:ascii="Arial" w:hAnsi="Arial" w:cs="Arial"/>
                <w:sz w:val="16"/>
                <w:szCs w:val="16"/>
              </w:rPr>
              <w:t>d</w:t>
            </w:r>
            <w:r w:rsidRPr="00FD24B8">
              <w:rPr>
                <w:rFonts w:ascii="Arial" w:hAnsi="Arial" w:cs="Arial"/>
                <w:sz w:val="16"/>
                <w:szCs w:val="16"/>
              </w:rPr>
              <w:t>)(</w:t>
            </w:r>
            <w:r w:rsidR="00C357AA" w:rsidRPr="00FD24B8">
              <w:rPr>
                <w:rFonts w:ascii="Arial" w:hAnsi="Arial" w:cs="Arial"/>
                <w:sz w:val="16"/>
                <w:szCs w:val="16"/>
              </w:rPr>
              <w:t>e</w:t>
            </w:r>
            <w:r w:rsidRPr="00FD24B8">
              <w:rPr>
                <w:rFonts w:ascii="Arial" w:hAnsi="Arial" w:cs="Arial"/>
                <w:sz w:val="16"/>
                <w:szCs w:val="16"/>
              </w:rPr>
              <w:t>)</w:t>
            </w:r>
          </w:p>
        </w:tc>
        <w:tc>
          <w:tcPr>
            <w:tcW w:w="535" w:type="pct"/>
            <w:tcBorders>
              <w:top w:val="nil"/>
              <w:left w:val="nil"/>
              <w:bottom w:val="single" w:sz="4" w:space="0" w:color="000000"/>
              <w:right w:val="nil"/>
            </w:tcBorders>
            <w:shd w:val="clear" w:color="000000" w:fill="FFFFFF"/>
            <w:noWrap/>
            <w:vAlign w:val="center"/>
            <w:hideMark/>
          </w:tcPr>
          <w:p w14:paraId="4C4D0E4D" w14:textId="306F239A" w:rsidR="003B6ECB" w:rsidRPr="00131EBC" w:rsidRDefault="0031144A"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noBreakHyphen/>
            </w:r>
            <w:r w:rsidR="003B6ECB" w:rsidRPr="00FD24B8">
              <w:rPr>
                <w:rFonts w:ascii="Arial" w:hAnsi="Arial" w:cs="Arial"/>
                <w:sz w:val="16"/>
                <w:szCs w:val="16"/>
              </w:rPr>
              <w:t>7,127</w:t>
            </w:r>
          </w:p>
        </w:tc>
        <w:tc>
          <w:tcPr>
            <w:tcW w:w="535" w:type="pct"/>
            <w:tcBorders>
              <w:top w:val="nil"/>
              <w:left w:val="nil"/>
              <w:bottom w:val="single" w:sz="4" w:space="0" w:color="000000"/>
              <w:right w:val="nil"/>
            </w:tcBorders>
            <w:shd w:val="clear" w:color="000000" w:fill="F2F9FC"/>
            <w:noWrap/>
            <w:vAlign w:val="center"/>
            <w:hideMark/>
          </w:tcPr>
          <w:p w14:paraId="432A83C7" w14:textId="7DEF9FA5" w:rsidR="003B6ECB" w:rsidRPr="00131EBC" w:rsidRDefault="0031144A"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noBreakHyphen/>
            </w:r>
            <w:r w:rsidR="003B6ECB" w:rsidRPr="00FD24B8">
              <w:rPr>
                <w:rFonts w:ascii="Arial" w:hAnsi="Arial" w:cs="Arial"/>
                <w:sz w:val="16"/>
                <w:szCs w:val="16"/>
              </w:rPr>
              <w:t>2,507</w:t>
            </w:r>
          </w:p>
        </w:tc>
        <w:tc>
          <w:tcPr>
            <w:tcW w:w="535" w:type="pct"/>
            <w:tcBorders>
              <w:top w:val="nil"/>
              <w:left w:val="nil"/>
              <w:bottom w:val="single" w:sz="4" w:space="0" w:color="000000"/>
              <w:right w:val="nil"/>
            </w:tcBorders>
            <w:shd w:val="clear" w:color="000000" w:fill="FFFFFF"/>
            <w:noWrap/>
            <w:vAlign w:val="center"/>
            <w:hideMark/>
          </w:tcPr>
          <w:p w14:paraId="510E4109" w14:textId="7AC1B36E" w:rsidR="003B6ECB" w:rsidRPr="00131EBC" w:rsidRDefault="0031144A"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noBreakHyphen/>
            </w:r>
            <w:r w:rsidR="003B6ECB" w:rsidRPr="00FD24B8">
              <w:rPr>
                <w:rFonts w:ascii="Arial" w:hAnsi="Arial" w:cs="Arial"/>
                <w:sz w:val="16"/>
                <w:szCs w:val="16"/>
              </w:rPr>
              <w:t>6,682</w:t>
            </w:r>
          </w:p>
        </w:tc>
        <w:tc>
          <w:tcPr>
            <w:tcW w:w="535" w:type="pct"/>
            <w:tcBorders>
              <w:top w:val="nil"/>
              <w:left w:val="nil"/>
              <w:bottom w:val="single" w:sz="4" w:space="0" w:color="000000"/>
              <w:right w:val="nil"/>
            </w:tcBorders>
            <w:shd w:val="clear" w:color="000000" w:fill="FFFFFF"/>
            <w:noWrap/>
            <w:vAlign w:val="center"/>
            <w:hideMark/>
          </w:tcPr>
          <w:p w14:paraId="2AE1C4A5" w14:textId="45BE3062" w:rsidR="003B6ECB" w:rsidRPr="00131EBC" w:rsidRDefault="0031144A"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noBreakHyphen/>
            </w:r>
            <w:r w:rsidR="003B6ECB" w:rsidRPr="00FD24B8">
              <w:rPr>
                <w:rFonts w:ascii="Arial" w:hAnsi="Arial" w:cs="Arial"/>
                <w:sz w:val="16"/>
                <w:szCs w:val="16"/>
              </w:rPr>
              <w:t>87</w:t>
            </w:r>
          </w:p>
        </w:tc>
        <w:tc>
          <w:tcPr>
            <w:tcW w:w="535" w:type="pct"/>
            <w:tcBorders>
              <w:top w:val="nil"/>
              <w:left w:val="nil"/>
              <w:bottom w:val="single" w:sz="4" w:space="0" w:color="000000"/>
              <w:right w:val="nil"/>
            </w:tcBorders>
            <w:shd w:val="clear" w:color="000000" w:fill="FFFFFF"/>
            <w:noWrap/>
            <w:vAlign w:val="center"/>
            <w:hideMark/>
          </w:tcPr>
          <w:p w14:paraId="3241C7A2" w14:textId="0729AADD" w:rsidR="003B6ECB" w:rsidRPr="00131EBC" w:rsidRDefault="0031144A"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noBreakHyphen/>
            </w:r>
            <w:r w:rsidR="003B6ECB" w:rsidRPr="00FD24B8">
              <w:rPr>
                <w:rFonts w:ascii="Arial" w:hAnsi="Arial" w:cs="Arial"/>
                <w:sz w:val="16"/>
                <w:szCs w:val="16"/>
              </w:rPr>
              <w:t>8,393</w:t>
            </w:r>
          </w:p>
        </w:tc>
        <w:tc>
          <w:tcPr>
            <w:tcW w:w="93" w:type="pct"/>
            <w:tcBorders>
              <w:top w:val="nil"/>
              <w:left w:val="nil"/>
              <w:bottom w:val="nil"/>
              <w:right w:val="nil"/>
            </w:tcBorders>
            <w:shd w:val="clear" w:color="000000" w:fill="FFFFFF"/>
            <w:noWrap/>
            <w:vAlign w:val="center"/>
            <w:hideMark/>
          </w:tcPr>
          <w:p w14:paraId="20945597" w14:textId="77777777" w:rsidR="003B6ECB" w:rsidRPr="00131EBC" w:rsidRDefault="003B6ECB" w:rsidP="003B6ECB">
            <w:pPr>
              <w:spacing w:after="0" w:line="240" w:lineRule="auto"/>
              <w:jc w:val="right"/>
              <w:rPr>
                <w:rFonts w:ascii="Arial" w:hAnsi="Arial" w:cs="Arial"/>
                <w:color w:val="FFFF00"/>
                <w:sz w:val="16"/>
                <w:szCs w:val="16"/>
                <w:highlight w:val="magenta"/>
              </w:rPr>
            </w:pPr>
            <w:r w:rsidRPr="00FD24B8">
              <w:rPr>
                <w:rFonts w:ascii="Arial" w:hAnsi="Arial" w:cs="Arial"/>
                <w:sz w:val="16"/>
                <w:szCs w:val="16"/>
              </w:rPr>
              <w:t> </w:t>
            </w:r>
          </w:p>
        </w:tc>
        <w:tc>
          <w:tcPr>
            <w:tcW w:w="535" w:type="pct"/>
            <w:tcBorders>
              <w:top w:val="nil"/>
              <w:left w:val="nil"/>
              <w:bottom w:val="single" w:sz="4" w:space="0" w:color="auto"/>
              <w:right w:val="nil"/>
            </w:tcBorders>
            <w:shd w:val="clear" w:color="000000" w:fill="FFFFFF"/>
            <w:noWrap/>
            <w:vAlign w:val="center"/>
            <w:hideMark/>
          </w:tcPr>
          <w:p w14:paraId="75A43D1F" w14:textId="7FD9B3D6" w:rsidR="003B6ECB" w:rsidRPr="00FD24B8" w:rsidRDefault="0031144A" w:rsidP="003B6ECB">
            <w:pPr>
              <w:spacing w:after="0" w:line="240" w:lineRule="auto"/>
              <w:jc w:val="right"/>
              <w:rPr>
                <w:rFonts w:ascii="Arial" w:hAnsi="Arial" w:cs="Arial"/>
                <w:sz w:val="16"/>
                <w:szCs w:val="16"/>
              </w:rPr>
            </w:pPr>
            <w:r w:rsidRPr="00FD24B8">
              <w:rPr>
                <w:rFonts w:ascii="Arial" w:hAnsi="Arial" w:cs="Arial"/>
                <w:sz w:val="16"/>
                <w:szCs w:val="16"/>
              </w:rPr>
              <w:noBreakHyphen/>
            </w:r>
            <w:r w:rsidR="003B6ECB" w:rsidRPr="00FD24B8">
              <w:rPr>
                <w:rFonts w:ascii="Arial" w:hAnsi="Arial" w:cs="Arial"/>
                <w:sz w:val="16"/>
                <w:szCs w:val="16"/>
              </w:rPr>
              <w:t>17,668</w:t>
            </w:r>
          </w:p>
        </w:tc>
      </w:tr>
      <w:tr w:rsidR="00290C60" w:rsidRPr="00131EBC" w14:paraId="06AACDF0" w14:textId="77777777" w:rsidTr="00234C6E">
        <w:trPr>
          <w:trHeight w:hRule="exact" w:val="300"/>
        </w:trPr>
        <w:tc>
          <w:tcPr>
            <w:tcW w:w="1696" w:type="pct"/>
            <w:tcBorders>
              <w:top w:val="nil"/>
              <w:left w:val="nil"/>
              <w:bottom w:val="nil"/>
              <w:right w:val="nil"/>
            </w:tcBorders>
            <w:shd w:val="clear" w:color="000000" w:fill="FFFFFF"/>
            <w:noWrap/>
            <w:vAlign w:val="center"/>
            <w:hideMark/>
          </w:tcPr>
          <w:p w14:paraId="2F283264" w14:textId="77777777" w:rsidR="003B6ECB" w:rsidRPr="00131EBC" w:rsidRDefault="003B6ECB" w:rsidP="003B6ECB">
            <w:pPr>
              <w:spacing w:after="0" w:line="240" w:lineRule="auto"/>
              <w:jc w:val="left"/>
              <w:rPr>
                <w:rFonts w:ascii="Arial" w:hAnsi="Arial" w:cs="Arial"/>
                <w:b/>
                <w:color w:val="FFFF00"/>
                <w:sz w:val="16"/>
                <w:szCs w:val="16"/>
                <w:highlight w:val="magenta"/>
              </w:rPr>
            </w:pPr>
            <w:r w:rsidRPr="00FD24B8">
              <w:rPr>
                <w:rFonts w:ascii="Arial" w:hAnsi="Arial" w:cs="Arial"/>
                <w:b/>
                <w:sz w:val="16"/>
                <w:szCs w:val="16"/>
              </w:rPr>
              <w:t>Total variations</w:t>
            </w:r>
          </w:p>
        </w:tc>
        <w:tc>
          <w:tcPr>
            <w:tcW w:w="535" w:type="pct"/>
            <w:tcBorders>
              <w:top w:val="single" w:sz="4" w:space="0" w:color="000000"/>
              <w:left w:val="nil"/>
              <w:right w:val="nil"/>
            </w:tcBorders>
            <w:shd w:val="clear" w:color="000000" w:fill="FFFFFF"/>
            <w:noWrap/>
            <w:vAlign w:val="center"/>
            <w:hideMark/>
          </w:tcPr>
          <w:p w14:paraId="34220317"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5,070</w:t>
            </w:r>
          </w:p>
        </w:tc>
        <w:tc>
          <w:tcPr>
            <w:tcW w:w="535" w:type="pct"/>
            <w:tcBorders>
              <w:top w:val="single" w:sz="4" w:space="0" w:color="000000"/>
              <w:left w:val="nil"/>
              <w:right w:val="nil"/>
            </w:tcBorders>
            <w:shd w:val="clear" w:color="000000" w:fill="F2F9FC"/>
            <w:noWrap/>
            <w:vAlign w:val="center"/>
            <w:hideMark/>
          </w:tcPr>
          <w:p w14:paraId="17DD5E41"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10,285</w:t>
            </w:r>
          </w:p>
        </w:tc>
        <w:tc>
          <w:tcPr>
            <w:tcW w:w="535" w:type="pct"/>
            <w:tcBorders>
              <w:top w:val="single" w:sz="4" w:space="0" w:color="000000"/>
              <w:left w:val="nil"/>
              <w:right w:val="nil"/>
            </w:tcBorders>
            <w:shd w:val="clear" w:color="000000" w:fill="FFFFFF"/>
            <w:noWrap/>
            <w:vAlign w:val="center"/>
            <w:hideMark/>
          </w:tcPr>
          <w:p w14:paraId="22758F60"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7,019</w:t>
            </w:r>
          </w:p>
        </w:tc>
        <w:tc>
          <w:tcPr>
            <w:tcW w:w="535" w:type="pct"/>
            <w:tcBorders>
              <w:top w:val="single" w:sz="4" w:space="0" w:color="000000"/>
              <w:left w:val="nil"/>
              <w:right w:val="nil"/>
            </w:tcBorders>
            <w:shd w:val="clear" w:color="000000" w:fill="FFFFFF"/>
            <w:noWrap/>
            <w:vAlign w:val="center"/>
            <w:hideMark/>
          </w:tcPr>
          <w:p w14:paraId="130A0C5A"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13,712</w:t>
            </w:r>
          </w:p>
        </w:tc>
        <w:tc>
          <w:tcPr>
            <w:tcW w:w="535" w:type="pct"/>
            <w:tcBorders>
              <w:top w:val="single" w:sz="4" w:space="0" w:color="000000"/>
              <w:left w:val="nil"/>
              <w:right w:val="nil"/>
            </w:tcBorders>
            <w:shd w:val="clear" w:color="000000" w:fill="FFFFFF"/>
            <w:noWrap/>
            <w:vAlign w:val="center"/>
            <w:hideMark/>
          </w:tcPr>
          <w:p w14:paraId="03888E33"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5,339</w:t>
            </w:r>
          </w:p>
        </w:tc>
        <w:tc>
          <w:tcPr>
            <w:tcW w:w="93" w:type="pct"/>
            <w:tcBorders>
              <w:top w:val="nil"/>
              <w:left w:val="nil"/>
              <w:right w:val="nil"/>
            </w:tcBorders>
            <w:shd w:val="clear" w:color="000000" w:fill="FFFFFF"/>
            <w:noWrap/>
            <w:vAlign w:val="center"/>
            <w:hideMark/>
          </w:tcPr>
          <w:p w14:paraId="28C3E22B"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 </w:t>
            </w:r>
          </w:p>
        </w:tc>
        <w:tc>
          <w:tcPr>
            <w:tcW w:w="535" w:type="pct"/>
            <w:tcBorders>
              <w:top w:val="single" w:sz="4" w:space="0" w:color="auto"/>
              <w:left w:val="nil"/>
              <w:right w:val="nil"/>
            </w:tcBorders>
            <w:shd w:val="clear" w:color="000000" w:fill="FFFFFF"/>
            <w:noWrap/>
            <w:vAlign w:val="center"/>
            <w:hideMark/>
          </w:tcPr>
          <w:p w14:paraId="7DC84277" w14:textId="77777777" w:rsidR="003B6ECB" w:rsidRPr="00FD24B8" w:rsidRDefault="003B6ECB" w:rsidP="003B6ECB">
            <w:pPr>
              <w:spacing w:after="0" w:line="240" w:lineRule="auto"/>
              <w:jc w:val="right"/>
              <w:rPr>
                <w:rFonts w:ascii="Arial" w:hAnsi="Arial" w:cs="Arial"/>
                <w:b/>
                <w:sz w:val="16"/>
                <w:szCs w:val="16"/>
              </w:rPr>
            </w:pPr>
            <w:r w:rsidRPr="00FD24B8">
              <w:rPr>
                <w:rFonts w:ascii="Arial" w:hAnsi="Arial" w:cs="Arial"/>
                <w:b/>
                <w:sz w:val="16"/>
                <w:szCs w:val="16"/>
              </w:rPr>
              <w:t>36,355</w:t>
            </w:r>
          </w:p>
        </w:tc>
      </w:tr>
      <w:tr w:rsidR="00290C60" w:rsidRPr="00131EBC" w14:paraId="225174D1" w14:textId="77777777" w:rsidTr="00234C6E">
        <w:trPr>
          <w:trHeight w:hRule="exact" w:val="60"/>
        </w:trPr>
        <w:tc>
          <w:tcPr>
            <w:tcW w:w="1696" w:type="pct"/>
            <w:tcBorders>
              <w:top w:val="nil"/>
              <w:left w:val="nil"/>
              <w:right w:val="nil"/>
            </w:tcBorders>
            <w:shd w:val="clear" w:color="000000" w:fill="FFFFFF"/>
            <w:noWrap/>
            <w:vAlign w:val="center"/>
            <w:hideMark/>
          </w:tcPr>
          <w:p w14:paraId="61AB29A8" w14:textId="77777777" w:rsidR="003B6ECB" w:rsidRPr="00131EBC" w:rsidRDefault="003B6ECB" w:rsidP="003B6ECB">
            <w:pPr>
              <w:spacing w:after="0" w:line="240" w:lineRule="auto"/>
              <w:jc w:val="left"/>
              <w:rPr>
                <w:rFonts w:ascii="Arial" w:hAnsi="Arial" w:cs="Arial"/>
                <w:b/>
                <w:color w:val="FFFF00"/>
                <w:sz w:val="16"/>
                <w:szCs w:val="16"/>
                <w:highlight w:val="magenta"/>
              </w:rPr>
            </w:pPr>
            <w:r w:rsidRPr="00FD24B8">
              <w:rPr>
                <w:rFonts w:ascii="Arial" w:hAnsi="Arial" w:cs="Arial"/>
                <w:b/>
                <w:sz w:val="16"/>
                <w:szCs w:val="16"/>
              </w:rPr>
              <w:t> </w:t>
            </w:r>
          </w:p>
        </w:tc>
        <w:tc>
          <w:tcPr>
            <w:tcW w:w="535" w:type="pct"/>
            <w:tcBorders>
              <w:left w:val="nil"/>
              <w:bottom w:val="single" w:sz="4" w:space="0" w:color="auto"/>
              <w:right w:val="nil"/>
            </w:tcBorders>
            <w:shd w:val="clear" w:color="000000" w:fill="FFFFFF"/>
            <w:noWrap/>
            <w:vAlign w:val="center"/>
            <w:hideMark/>
          </w:tcPr>
          <w:p w14:paraId="7E69F815"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left w:val="nil"/>
              <w:bottom w:val="single" w:sz="4" w:space="0" w:color="auto"/>
              <w:right w:val="nil"/>
            </w:tcBorders>
            <w:shd w:val="clear" w:color="000000" w:fill="F2F9FC"/>
            <w:noWrap/>
            <w:vAlign w:val="center"/>
            <w:hideMark/>
          </w:tcPr>
          <w:p w14:paraId="425F269B"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left w:val="nil"/>
              <w:bottom w:val="single" w:sz="4" w:space="0" w:color="auto"/>
              <w:right w:val="nil"/>
            </w:tcBorders>
            <w:shd w:val="clear" w:color="000000" w:fill="FFFFFF"/>
            <w:noWrap/>
            <w:vAlign w:val="center"/>
            <w:hideMark/>
          </w:tcPr>
          <w:p w14:paraId="5758CE37"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left w:val="nil"/>
              <w:bottom w:val="single" w:sz="4" w:space="0" w:color="auto"/>
              <w:right w:val="nil"/>
            </w:tcBorders>
            <w:shd w:val="clear" w:color="000000" w:fill="FFFFFF"/>
            <w:noWrap/>
            <w:vAlign w:val="center"/>
            <w:hideMark/>
          </w:tcPr>
          <w:p w14:paraId="04EBFFE2"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left w:val="nil"/>
              <w:bottom w:val="single" w:sz="4" w:space="0" w:color="auto"/>
              <w:right w:val="nil"/>
            </w:tcBorders>
            <w:shd w:val="clear" w:color="000000" w:fill="FFFFFF"/>
            <w:noWrap/>
            <w:vAlign w:val="center"/>
            <w:hideMark/>
          </w:tcPr>
          <w:p w14:paraId="6CC423CA"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93" w:type="pct"/>
            <w:tcBorders>
              <w:left w:val="nil"/>
              <w:bottom w:val="single" w:sz="4" w:space="0" w:color="auto"/>
              <w:right w:val="nil"/>
            </w:tcBorders>
            <w:shd w:val="clear" w:color="000000" w:fill="FFFFFF"/>
            <w:noWrap/>
            <w:vAlign w:val="center"/>
            <w:hideMark/>
          </w:tcPr>
          <w:p w14:paraId="3B9E0068" w14:textId="77777777" w:rsidR="003B6ECB" w:rsidRPr="00131EBC" w:rsidRDefault="003B6ECB" w:rsidP="003B6ECB">
            <w:pPr>
              <w:spacing w:after="0" w:line="240" w:lineRule="auto"/>
              <w:jc w:val="left"/>
              <w:rPr>
                <w:rFonts w:ascii="Arial" w:hAnsi="Arial" w:cs="Arial"/>
                <w:color w:val="FFFF00"/>
                <w:sz w:val="16"/>
                <w:szCs w:val="16"/>
                <w:highlight w:val="magenta"/>
              </w:rPr>
            </w:pPr>
            <w:r w:rsidRPr="00FD24B8">
              <w:rPr>
                <w:rFonts w:ascii="Arial" w:hAnsi="Arial" w:cs="Arial"/>
                <w:sz w:val="16"/>
                <w:szCs w:val="16"/>
              </w:rPr>
              <w:t> </w:t>
            </w:r>
          </w:p>
        </w:tc>
        <w:tc>
          <w:tcPr>
            <w:tcW w:w="535" w:type="pct"/>
            <w:tcBorders>
              <w:left w:val="nil"/>
              <w:bottom w:val="single" w:sz="4" w:space="0" w:color="auto"/>
              <w:right w:val="nil"/>
            </w:tcBorders>
            <w:shd w:val="clear" w:color="000000" w:fill="FFFFFF"/>
            <w:noWrap/>
            <w:vAlign w:val="center"/>
            <w:hideMark/>
          </w:tcPr>
          <w:p w14:paraId="378271B8" w14:textId="77777777" w:rsidR="003B6ECB" w:rsidRPr="00FD24B8" w:rsidRDefault="003B6ECB" w:rsidP="003B6ECB">
            <w:pPr>
              <w:spacing w:after="0" w:line="240" w:lineRule="auto"/>
              <w:jc w:val="left"/>
              <w:rPr>
                <w:rFonts w:ascii="Arial" w:hAnsi="Arial" w:cs="Arial"/>
                <w:sz w:val="16"/>
                <w:szCs w:val="16"/>
              </w:rPr>
            </w:pPr>
            <w:r w:rsidRPr="00FD24B8">
              <w:rPr>
                <w:rFonts w:ascii="Arial" w:hAnsi="Arial" w:cs="Arial"/>
                <w:sz w:val="16"/>
                <w:szCs w:val="16"/>
              </w:rPr>
              <w:t> </w:t>
            </w:r>
          </w:p>
        </w:tc>
      </w:tr>
      <w:tr w:rsidR="00290C60" w:rsidRPr="00131EBC" w14:paraId="2A1CBC3A" w14:textId="77777777" w:rsidTr="00234C6E">
        <w:trPr>
          <w:trHeight w:hRule="exact" w:val="300"/>
        </w:trPr>
        <w:tc>
          <w:tcPr>
            <w:tcW w:w="1696" w:type="pct"/>
            <w:tcBorders>
              <w:left w:val="nil"/>
              <w:bottom w:val="single" w:sz="4" w:space="0" w:color="auto"/>
              <w:right w:val="nil"/>
            </w:tcBorders>
            <w:shd w:val="clear" w:color="000000" w:fill="FFFFFF"/>
            <w:noWrap/>
            <w:vAlign w:val="center"/>
            <w:hideMark/>
          </w:tcPr>
          <w:p w14:paraId="29FB28A7" w14:textId="52B7D2D5" w:rsidR="003B6ECB" w:rsidRPr="00131EBC" w:rsidRDefault="003B6ECB" w:rsidP="003B6ECB">
            <w:pPr>
              <w:spacing w:after="0" w:line="240" w:lineRule="auto"/>
              <w:jc w:val="left"/>
              <w:rPr>
                <w:rFonts w:ascii="Arial" w:hAnsi="Arial" w:cs="Arial"/>
                <w:b/>
                <w:color w:val="FFFF00"/>
                <w:sz w:val="16"/>
                <w:szCs w:val="16"/>
                <w:highlight w:val="magenta"/>
              </w:rPr>
            </w:pPr>
            <w:r w:rsidRPr="00FD24B8">
              <w:rPr>
                <w:rFonts w:ascii="Arial" w:hAnsi="Arial" w:cs="Arial"/>
                <w:b/>
                <w:sz w:val="16"/>
                <w:szCs w:val="16"/>
              </w:rPr>
              <w:t>2022</w:t>
            </w:r>
            <w:r w:rsidR="0031144A" w:rsidRPr="00FD24B8">
              <w:rPr>
                <w:rFonts w:ascii="Arial" w:hAnsi="Arial" w:cs="Arial"/>
                <w:b/>
                <w:sz w:val="16"/>
                <w:szCs w:val="16"/>
              </w:rPr>
              <w:noBreakHyphen/>
            </w:r>
            <w:r w:rsidRPr="00FD24B8">
              <w:rPr>
                <w:rFonts w:ascii="Arial" w:hAnsi="Arial" w:cs="Arial"/>
                <w:b/>
                <w:sz w:val="16"/>
                <w:szCs w:val="16"/>
              </w:rPr>
              <w:t>23 Budget payments</w:t>
            </w:r>
          </w:p>
        </w:tc>
        <w:tc>
          <w:tcPr>
            <w:tcW w:w="535" w:type="pct"/>
            <w:tcBorders>
              <w:top w:val="single" w:sz="4" w:space="0" w:color="auto"/>
              <w:left w:val="nil"/>
              <w:bottom w:val="single" w:sz="4" w:space="0" w:color="auto"/>
              <w:right w:val="nil"/>
            </w:tcBorders>
            <w:shd w:val="clear" w:color="000000" w:fill="FFFFFF"/>
            <w:noWrap/>
            <w:vAlign w:val="center"/>
            <w:hideMark/>
          </w:tcPr>
          <w:p w14:paraId="23536763"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636,448</w:t>
            </w:r>
          </w:p>
        </w:tc>
        <w:tc>
          <w:tcPr>
            <w:tcW w:w="535" w:type="pct"/>
            <w:tcBorders>
              <w:top w:val="single" w:sz="4" w:space="0" w:color="auto"/>
              <w:left w:val="nil"/>
              <w:bottom w:val="single" w:sz="4" w:space="0" w:color="auto"/>
              <w:right w:val="nil"/>
            </w:tcBorders>
            <w:shd w:val="clear" w:color="000000" w:fill="F2F9FC"/>
            <w:noWrap/>
            <w:vAlign w:val="center"/>
            <w:hideMark/>
          </w:tcPr>
          <w:p w14:paraId="51B1F6D6"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625,594</w:t>
            </w:r>
          </w:p>
        </w:tc>
        <w:tc>
          <w:tcPr>
            <w:tcW w:w="535" w:type="pct"/>
            <w:tcBorders>
              <w:top w:val="single" w:sz="4" w:space="0" w:color="auto"/>
              <w:left w:val="nil"/>
              <w:bottom w:val="single" w:sz="4" w:space="0" w:color="auto"/>
              <w:right w:val="nil"/>
            </w:tcBorders>
            <w:shd w:val="clear" w:color="000000" w:fill="FFFFFF"/>
            <w:noWrap/>
            <w:vAlign w:val="center"/>
            <w:hideMark/>
          </w:tcPr>
          <w:p w14:paraId="33576096"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641,740</w:t>
            </w:r>
          </w:p>
        </w:tc>
        <w:tc>
          <w:tcPr>
            <w:tcW w:w="535" w:type="pct"/>
            <w:tcBorders>
              <w:top w:val="single" w:sz="4" w:space="0" w:color="auto"/>
              <w:left w:val="nil"/>
              <w:bottom w:val="single" w:sz="4" w:space="0" w:color="auto"/>
              <w:right w:val="nil"/>
            </w:tcBorders>
            <w:shd w:val="clear" w:color="000000" w:fill="FFFFFF"/>
            <w:noWrap/>
            <w:vAlign w:val="center"/>
            <w:hideMark/>
          </w:tcPr>
          <w:p w14:paraId="3A212319"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662,346</w:t>
            </w:r>
          </w:p>
        </w:tc>
        <w:tc>
          <w:tcPr>
            <w:tcW w:w="535" w:type="pct"/>
            <w:tcBorders>
              <w:top w:val="single" w:sz="4" w:space="0" w:color="auto"/>
              <w:left w:val="nil"/>
              <w:bottom w:val="single" w:sz="4" w:space="0" w:color="auto"/>
              <w:right w:val="nil"/>
            </w:tcBorders>
            <w:shd w:val="clear" w:color="000000" w:fill="FFFFFF"/>
            <w:noWrap/>
            <w:vAlign w:val="center"/>
            <w:hideMark/>
          </w:tcPr>
          <w:p w14:paraId="244C504C"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686,968</w:t>
            </w:r>
          </w:p>
        </w:tc>
        <w:tc>
          <w:tcPr>
            <w:tcW w:w="93" w:type="pct"/>
            <w:tcBorders>
              <w:top w:val="single" w:sz="4" w:space="0" w:color="auto"/>
              <w:left w:val="nil"/>
              <w:bottom w:val="single" w:sz="4" w:space="0" w:color="auto"/>
              <w:right w:val="nil"/>
            </w:tcBorders>
            <w:shd w:val="clear" w:color="000000" w:fill="FFFFFF"/>
            <w:noWrap/>
            <w:vAlign w:val="center"/>
            <w:hideMark/>
          </w:tcPr>
          <w:p w14:paraId="1EB141C3" w14:textId="77777777" w:rsidR="003B6ECB" w:rsidRPr="00131EBC" w:rsidRDefault="003B6ECB" w:rsidP="003B6ECB">
            <w:pPr>
              <w:spacing w:after="0" w:line="240" w:lineRule="auto"/>
              <w:jc w:val="right"/>
              <w:rPr>
                <w:rFonts w:ascii="Arial" w:hAnsi="Arial" w:cs="Arial"/>
                <w:b/>
                <w:color w:val="FFFF00"/>
                <w:sz w:val="16"/>
                <w:szCs w:val="16"/>
                <w:highlight w:val="magenta"/>
              </w:rPr>
            </w:pPr>
            <w:r w:rsidRPr="00FD24B8">
              <w:rPr>
                <w:rFonts w:ascii="Arial" w:hAnsi="Arial" w:cs="Arial"/>
                <w:b/>
                <w:sz w:val="16"/>
                <w:szCs w:val="16"/>
              </w:rPr>
              <w:t> </w:t>
            </w:r>
          </w:p>
        </w:tc>
        <w:tc>
          <w:tcPr>
            <w:tcW w:w="535" w:type="pct"/>
            <w:tcBorders>
              <w:top w:val="single" w:sz="4" w:space="0" w:color="auto"/>
              <w:left w:val="nil"/>
              <w:bottom w:val="single" w:sz="4" w:space="0" w:color="auto"/>
              <w:right w:val="nil"/>
            </w:tcBorders>
            <w:shd w:val="clear" w:color="000000" w:fill="FFFFFF"/>
            <w:noWrap/>
            <w:vAlign w:val="center"/>
            <w:hideMark/>
          </w:tcPr>
          <w:p w14:paraId="11349AA1" w14:textId="77777777" w:rsidR="003B6ECB" w:rsidRPr="00FD24B8" w:rsidRDefault="003B6ECB" w:rsidP="003B6ECB">
            <w:pPr>
              <w:spacing w:after="0" w:line="240" w:lineRule="auto"/>
              <w:jc w:val="right"/>
              <w:rPr>
                <w:rFonts w:ascii="Arial" w:hAnsi="Arial" w:cs="Arial"/>
                <w:b/>
                <w:sz w:val="16"/>
                <w:szCs w:val="16"/>
              </w:rPr>
            </w:pPr>
            <w:r w:rsidRPr="00FD24B8">
              <w:rPr>
                <w:rFonts w:ascii="Arial" w:hAnsi="Arial" w:cs="Arial"/>
                <w:b/>
                <w:sz w:val="16"/>
                <w:szCs w:val="16"/>
              </w:rPr>
              <w:t>2,616,647</w:t>
            </w:r>
          </w:p>
        </w:tc>
      </w:tr>
    </w:tbl>
    <w:p w14:paraId="6C108999" w14:textId="571B0819" w:rsidR="00043D4E" w:rsidRPr="00FD24B8" w:rsidRDefault="00043D4E" w:rsidP="007E7F19">
      <w:pPr>
        <w:pStyle w:val="ChartandTableFootnoteAlpha"/>
        <w:numPr>
          <w:ilvl w:val="0"/>
          <w:numId w:val="73"/>
        </w:numPr>
        <w:rPr>
          <w:color w:val="auto"/>
        </w:rPr>
      </w:pPr>
      <w:r w:rsidRPr="00FD24B8">
        <w:rPr>
          <w:rFonts w:eastAsiaTheme="minorEastAsia"/>
          <w:color w:val="auto"/>
        </w:rPr>
        <w:t>Total is equal to the sum of amounts from 2022</w:t>
      </w:r>
      <w:r w:rsidR="0031144A" w:rsidRPr="00FD24B8">
        <w:rPr>
          <w:rFonts w:eastAsiaTheme="minorEastAsia"/>
          <w:color w:val="auto"/>
        </w:rPr>
        <w:noBreakHyphen/>
      </w:r>
      <w:r w:rsidRPr="00FD24B8">
        <w:rPr>
          <w:rFonts w:eastAsiaTheme="minorEastAsia"/>
          <w:color w:val="auto"/>
        </w:rPr>
        <w:t>23 to 2025</w:t>
      </w:r>
      <w:r w:rsidR="0031144A" w:rsidRPr="00FD24B8">
        <w:rPr>
          <w:rFonts w:eastAsiaTheme="minorEastAsia"/>
          <w:color w:val="auto"/>
        </w:rPr>
        <w:noBreakHyphen/>
      </w:r>
      <w:r w:rsidRPr="00FD24B8">
        <w:rPr>
          <w:rFonts w:eastAsiaTheme="minorEastAsia"/>
          <w:color w:val="auto"/>
        </w:rPr>
        <w:t>26.</w:t>
      </w:r>
    </w:p>
    <w:p w14:paraId="4CE66340" w14:textId="7791091C" w:rsidR="00C87CCF" w:rsidRPr="00FD24B8" w:rsidRDefault="00C87CCF" w:rsidP="007E7F19">
      <w:pPr>
        <w:pStyle w:val="ChartandTableFootnoteAlpha"/>
        <w:rPr>
          <w:color w:val="auto"/>
        </w:rPr>
      </w:pPr>
      <w:r w:rsidRPr="00490FCD">
        <w:rPr>
          <w:color w:val="auto"/>
        </w:rPr>
        <w:t>2025-26 payments as published in the medium</w:t>
      </w:r>
      <w:r w:rsidR="00A017AC" w:rsidRPr="00FD24B8">
        <w:rPr>
          <w:color w:val="auto"/>
        </w:rPr>
        <w:noBreakHyphen/>
      </w:r>
      <w:r w:rsidRPr="00490FCD">
        <w:rPr>
          <w:color w:val="auto"/>
        </w:rPr>
        <w:t xml:space="preserve">term projections, page </w:t>
      </w:r>
      <w:r w:rsidR="00697CC6" w:rsidRPr="00FD24B8">
        <w:rPr>
          <w:color w:val="auto"/>
        </w:rPr>
        <w:t>48</w:t>
      </w:r>
      <w:r w:rsidRPr="00490FCD">
        <w:rPr>
          <w:color w:val="auto"/>
        </w:rPr>
        <w:t xml:space="preserve"> of </w:t>
      </w:r>
      <w:r w:rsidR="00697CC6" w:rsidRPr="00FD24B8">
        <w:rPr>
          <w:color w:val="auto"/>
        </w:rPr>
        <w:t>the 2021-22 MYEFO</w:t>
      </w:r>
      <w:r w:rsidRPr="00490FCD">
        <w:rPr>
          <w:color w:val="auto"/>
        </w:rPr>
        <w:t>.</w:t>
      </w:r>
    </w:p>
    <w:p w14:paraId="428F9AC6" w14:textId="60A59F8A" w:rsidR="001F1709" w:rsidRPr="00FD24B8" w:rsidRDefault="001F1709" w:rsidP="007E7F19">
      <w:pPr>
        <w:pStyle w:val="ChartandTableFootnoteAlpha"/>
        <w:rPr>
          <w:color w:val="auto"/>
        </w:rPr>
      </w:pPr>
      <w:r w:rsidRPr="00FD24B8">
        <w:rPr>
          <w:color w:val="auto"/>
        </w:rPr>
        <w:t>Excludes secondary impacts on public debt interest of policy decisions and offsets from the</w:t>
      </w:r>
      <w:r w:rsidR="00886521" w:rsidRPr="00FD24B8">
        <w:rPr>
          <w:color w:val="auto"/>
        </w:rPr>
        <w:t xml:space="preserve"> </w:t>
      </w:r>
      <w:r w:rsidRPr="00FD24B8">
        <w:rPr>
          <w:color w:val="auto"/>
        </w:rPr>
        <w:t>Contingency Reserve for decisions taken.</w:t>
      </w:r>
    </w:p>
    <w:p w14:paraId="43CDBA53" w14:textId="204143AC" w:rsidR="00FD693E" w:rsidRPr="00490FCD" w:rsidRDefault="00FD693E" w:rsidP="006C725C">
      <w:pPr>
        <w:pStyle w:val="ChartandTableFootnoteAlpha"/>
        <w:rPr>
          <w:color w:val="auto"/>
        </w:rPr>
      </w:pPr>
      <w:r w:rsidRPr="00490FCD">
        <w:rPr>
          <w:color w:val="auto"/>
        </w:rPr>
        <w:t>Includes public debt interest (including secondary impacts on public debt interest of policy decisions), changes in the conservative bias allowance component in the Contingency Reserve and impacts of changes in program payments for a range of reasons including movement of funds and re</w:t>
      </w:r>
      <w:r w:rsidRPr="00FD24B8">
        <w:rPr>
          <w:color w:val="auto"/>
        </w:rPr>
        <w:noBreakHyphen/>
      </w:r>
      <w:r w:rsidRPr="00490FCD">
        <w:rPr>
          <w:color w:val="auto"/>
        </w:rPr>
        <w:t>profiling.</w:t>
      </w:r>
    </w:p>
    <w:p w14:paraId="2F170C24" w14:textId="7A93A42A" w:rsidR="00612810" w:rsidRPr="00612810" w:rsidRDefault="00E670C5" w:rsidP="00401092">
      <w:pPr>
        <w:pStyle w:val="ChartandTableFootnoteAlpha"/>
        <w:spacing w:after="240"/>
      </w:pPr>
      <w:r w:rsidRPr="00FD24B8">
        <w:rPr>
          <w:color w:val="auto"/>
        </w:rPr>
        <w:t>A positive number for payments worsens the underlying cash balance.</w:t>
      </w:r>
      <w:r w:rsidR="00D52074">
        <w:fldChar w:fldCharType="begin"/>
      </w:r>
      <w:r w:rsidR="00D52074">
        <w:rPr>
          <w:rStyle w:val="Heading3Char"/>
        </w:rPr>
        <w:instrText xml:space="preserve"> :End:BPCD_JM2 </w:instrText>
      </w:r>
      <w:r w:rsidR="00D52074">
        <w:fldChar w:fldCharType="end"/>
      </w:r>
    </w:p>
    <w:p w14:paraId="5E5EF83C" w14:textId="0C65CDE0" w:rsidR="00CD36CD" w:rsidRPr="00FD24B8" w:rsidRDefault="004F0733" w:rsidP="00DD7DEF">
      <w:pPr>
        <w:pStyle w:val="Heading3"/>
        <w:spacing w:before="0" w:after="240"/>
      </w:pPr>
      <w:r>
        <w:rPr>
          <w:rStyle w:val="Heading3Char"/>
        </w:rPr>
        <w:fldChar w:fldCharType="begin"/>
      </w:r>
      <w:r>
        <w:rPr>
          <w:rStyle w:val="Heading3Char"/>
        </w:rPr>
        <w:instrText xml:space="preserve"> :Start:BPD_BG1 </w:instrText>
      </w:r>
      <w:r>
        <w:rPr>
          <w:rStyle w:val="Heading3Char"/>
        </w:rPr>
        <w:fldChar w:fldCharType="end"/>
      </w:r>
      <w:bookmarkStart w:id="23" w:name="_Toc99102047"/>
      <w:r w:rsidR="00CD36CD" w:rsidRPr="00FD24B8">
        <w:rPr>
          <w:rStyle w:val="Heading3Char"/>
        </w:rPr>
        <w:t>Headline cash balance estimates</w:t>
      </w:r>
      <w:bookmarkEnd w:id="22"/>
      <w:bookmarkEnd w:id="23"/>
    </w:p>
    <w:p w14:paraId="49C462C6" w14:textId="6B909C13" w:rsidR="00C8774B" w:rsidRPr="00FD24B8" w:rsidRDefault="00C8774B" w:rsidP="00C8774B">
      <w:r w:rsidRPr="00FD24B8">
        <w:t>The headline cash balance consists of the underlying cash balance and net cash flows from investments in financial assets for policy purposes (for example, student loans and equity investment in the NBN). Table 3.</w:t>
      </w:r>
      <w:r w:rsidR="00DF27C2" w:rsidRPr="00FD24B8">
        <w:t>6</w:t>
      </w:r>
      <w:r w:rsidRPr="00FD24B8">
        <w:t xml:space="preserve"> provides further details of differences between the underlying and headline cash balance estimates.</w:t>
      </w:r>
    </w:p>
    <w:p w14:paraId="0E0E1309" w14:textId="20D99214" w:rsidR="00C8774B" w:rsidRPr="00FD24B8" w:rsidRDefault="00C8774B" w:rsidP="00C8774B">
      <w:r w:rsidRPr="00FD24B8">
        <w:t>A headline cash deficit of $</w:t>
      </w:r>
      <w:r w:rsidR="005333C6" w:rsidRPr="00FD24B8">
        <w:t>90.8</w:t>
      </w:r>
      <w:r w:rsidRPr="00FD24B8">
        <w:t xml:space="preserve"> billion (</w:t>
      </w:r>
      <w:r w:rsidR="000D356B" w:rsidRPr="00FD24B8">
        <w:t>3.9</w:t>
      </w:r>
      <w:r w:rsidRPr="00FD24B8">
        <w:t xml:space="preserve"> per cent of GDP) is estimated in 202</w:t>
      </w:r>
      <w:r w:rsidR="007A1390" w:rsidRPr="00FD24B8">
        <w:t>2</w:t>
      </w:r>
      <w:r w:rsidRPr="00FD24B8">
        <w:noBreakHyphen/>
        <w:t>2</w:t>
      </w:r>
      <w:r w:rsidR="007A1390" w:rsidRPr="00FD24B8">
        <w:t>3</w:t>
      </w:r>
      <w:r w:rsidRPr="00FD24B8">
        <w:t>, improving to an estimated deficit of $</w:t>
      </w:r>
      <w:r w:rsidR="001568FB" w:rsidRPr="00FD24B8">
        <w:t>49.9</w:t>
      </w:r>
      <w:r w:rsidRPr="00FD24B8">
        <w:t xml:space="preserve"> billion (</w:t>
      </w:r>
      <w:r w:rsidR="00BD605B" w:rsidRPr="00FD24B8">
        <w:t>1.9</w:t>
      </w:r>
      <w:r w:rsidRPr="00FD24B8">
        <w:t xml:space="preserve"> per cent of GDP) in 202</w:t>
      </w:r>
      <w:r w:rsidR="007A1390" w:rsidRPr="00FD24B8">
        <w:t>5</w:t>
      </w:r>
      <w:r w:rsidRPr="00FD24B8">
        <w:noBreakHyphen/>
      </w:r>
      <w:r w:rsidR="007A1390" w:rsidRPr="00FD24B8">
        <w:t>26</w:t>
      </w:r>
      <w:r w:rsidRPr="00FD24B8">
        <w:t xml:space="preserve"> (Table 3.</w:t>
      </w:r>
      <w:r w:rsidR="00DF27C2" w:rsidRPr="00FD24B8">
        <w:t>6</w:t>
      </w:r>
      <w:r w:rsidRPr="00FD24B8">
        <w:t>). This compares with a deficit of $</w:t>
      </w:r>
      <w:r w:rsidR="00C8327E" w:rsidRPr="00FD24B8">
        <w:t>111.1</w:t>
      </w:r>
      <w:r w:rsidRPr="00FD24B8">
        <w:t xml:space="preserve"> billion </w:t>
      </w:r>
      <w:r w:rsidR="004B5096" w:rsidRPr="00FD24B8">
        <w:t>(</w:t>
      </w:r>
      <w:r w:rsidR="00A902BB" w:rsidRPr="00FD24B8">
        <w:t>5.0</w:t>
      </w:r>
      <w:r w:rsidR="00F840C5" w:rsidRPr="00FD24B8">
        <w:t xml:space="preserve"> per cent of GDP) </w:t>
      </w:r>
      <w:r w:rsidRPr="00FD24B8">
        <w:t>in 202</w:t>
      </w:r>
      <w:r w:rsidR="007A1390" w:rsidRPr="00FD24B8">
        <w:t>2</w:t>
      </w:r>
      <w:r w:rsidRPr="00FD24B8">
        <w:noBreakHyphen/>
        <w:t>2</w:t>
      </w:r>
      <w:r w:rsidR="007A1390" w:rsidRPr="00FD24B8">
        <w:t>3</w:t>
      </w:r>
      <w:r w:rsidRPr="00FD24B8">
        <w:t xml:space="preserve"> estimated at </w:t>
      </w:r>
      <w:r w:rsidR="007A1390" w:rsidRPr="00FD24B8">
        <w:t>MYEFO</w:t>
      </w:r>
      <w:r w:rsidRPr="00FD24B8">
        <w:t xml:space="preserve">. </w:t>
      </w:r>
    </w:p>
    <w:p w14:paraId="18297ACF" w14:textId="1D9EB9EE" w:rsidR="00F65CCC" w:rsidRPr="00A56B05" w:rsidRDefault="00F65CCC" w:rsidP="00C8774B">
      <w:r w:rsidRPr="00FD24B8">
        <w:t>Net cash flows from investments in financial assets for policy purposes have decreased by $0.6 billion in 2022</w:t>
      </w:r>
      <w:r w:rsidR="0031144A" w:rsidRPr="00FD24B8">
        <w:noBreakHyphen/>
      </w:r>
      <w:r w:rsidRPr="00FD24B8">
        <w:t xml:space="preserve">23 compared to estimates at MYEFO. </w:t>
      </w:r>
      <w:r w:rsidR="00A37491">
        <w:rPr>
          <w:rStyle w:val="Heading3Char"/>
        </w:rPr>
        <w:fldChar w:fldCharType="begin"/>
      </w:r>
      <w:r w:rsidR="00A37491">
        <w:rPr>
          <w:rStyle w:val="Heading3Char"/>
        </w:rPr>
        <w:instrText xml:space="preserve"> :End:BPD_BG1 </w:instrText>
      </w:r>
      <w:r w:rsidR="00A37491">
        <w:rPr>
          <w:rStyle w:val="Heading3Char"/>
        </w:rPr>
        <w:fldChar w:fldCharType="end"/>
      </w:r>
    </w:p>
    <w:p w14:paraId="3775C9E7" w14:textId="77777777" w:rsidR="001F1709" w:rsidRDefault="001F1709">
      <w:pPr>
        <w:spacing w:after="160" w:line="259" w:lineRule="auto"/>
        <w:jc w:val="left"/>
        <w:rPr>
          <w:rFonts w:ascii="Arial" w:hAnsi="Arial"/>
          <w:b/>
        </w:rPr>
      </w:pPr>
      <w:r>
        <w:br w:type="page"/>
      </w:r>
    </w:p>
    <w:p w14:paraId="7AC01895" w14:textId="7BE1F5C2" w:rsidR="00B14504" w:rsidRPr="00FD24B8" w:rsidRDefault="00A040DE" w:rsidP="00B14504">
      <w:pPr>
        <w:pStyle w:val="TableHeading"/>
        <w:rPr>
          <w:rFonts w:asciiTheme="minorHAnsi" w:eastAsiaTheme="minorHAnsi" w:hAnsiTheme="minorHAnsi" w:cstheme="minorBidi"/>
          <w:sz w:val="22"/>
          <w:szCs w:val="22"/>
          <w:lang w:eastAsia="en-US"/>
        </w:rPr>
      </w:pPr>
      <w:r>
        <w:lastRenderedPageBreak/>
        <w:fldChar w:fldCharType="begin"/>
      </w:r>
      <w:r>
        <w:instrText xml:space="preserve"> :Start:FARM_LS1 </w:instrText>
      </w:r>
      <w:r>
        <w:fldChar w:fldCharType="end"/>
      </w:r>
      <w:r w:rsidR="00CD36CD" w:rsidRPr="00FD24B8">
        <w:t>Table 3.</w:t>
      </w:r>
      <w:r w:rsidR="00797E1B" w:rsidRPr="00FD24B8">
        <w:t>6</w:t>
      </w:r>
      <w:r w:rsidR="00CD36CD" w:rsidRPr="00FD24B8">
        <w:t xml:space="preserve">: Reconciliation of general government </w:t>
      </w:r>
      <w:r w:rsidR="000462AF" w:rsidRPr="00FD24B8">
        <w:t xml:space="preserve">sector </w:t>
      </w:r>
      <w:r w:rsidR="00CD36CD" w:rsidRPr="00FD24B8">
        <w:t>underlying and headline cash</w:t>
      </w:r>
      <w:r w:rsidR="000B4774" w:rsidRPr="00FD24B8">
        <w:t xml:space="preserve"> balance estimates</w:t>
      </w:r>
      <w:r w:rsidR="00CD36CD" w:rsidRPr="00FD24B8">
        <w:t xml:space="preserve"> </w:t>
      </w:r>
    </w:p>
    <w:tbl>
      <w:tblPr>
        <w:tblW w:w="5000" w:type="pct"/>
        <w:tblCellMar>
          <w:left w:w="0" w:type="dxa"/>
          <w:right w:w="28" w:type="dxa"/>
        </w:tblCellMar>
        <w:tblLook w:val="04A0" w:firstRow="1" w:lastRow="0" w:firstColumn="1" w:lastColumn="0" w:noHBand="0" w:noVBand="1"/>
      </w:tblPr>
      <w:tblGrid>
        <w:gridCol w:w="2932"/>
        <w:gridCol w:w="782"/>
        <w:gridCol w:w="782"/>
        <w:gridCol w:w="782"/>
        <w:gridCol w:w="782"/>
        <w:gridCol w:w="782"/>
        <w:gridCol w:w="74"/>
        <w:gridCol w:w="794"/>
      </w:tblGrid>
      <w:tr w:rsidR="00B14504" w:rsidRPr="00131EBC" w14:paraId="5E6E7E84" w14:textId="77777777" w:rsidTr="00B14504">
        <w:trPr>
          <w:trHeight w:hRule="exact" w:val="225"/>
        </w:trPr>
        <w:tc>
          <w:tcPr>
            <w:tcW w:w="1902" w:type="pct"/>
            <w:tcBorders>
              <w:top w:val="single" w:sz="4" w:space="0" w:color="000000"/>
              <w:left w:val="nil"/>
              <w:bottom w:val="nil"/>
              <w:right w:val="nil"/>
            </w:tcBorders>
            <w:shd w:val="clear" w:color="000000" w:fill="FFFFFF"/>
            <w:noWrap/>
            <w:vAlign w:val="bottom"/>
            <w:hideMark/>
          </w:tcPr>
          <w:p w14:paraId="77DE61A8" w14:textId="0B4F2188"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2535" w:type="pct"/>
            <w:gridSpan w:val="5"/>
            <w:tcBorders>
              <w:top w:val="single" w:sz="4" w:space="0" w:color="000000"/>
              <w:left w:val="nil"/>
              <w:bottom w:val="single" w:sz="4" w:space="0" w:color="auto"/>
              <w:right w:val="nil"/>
            </w:tcBorders>
            <w:shd w:val="clear" w:color="000000" w:fill="FFFFFF"/>
            <w:noWrap/>
            <w:vAlign w:val="bottom"/>
            <w:hideMark/>
          </w:tcPr>
          <w:p w14:paraId="29556EA8" w14:textId="77777777" w:rsidR="00B14504" w:rsidRPr="00131EBC" w:rsidRDefault="00B14504" w:rsidP="00B14504">
            <w:pPr>
              <w:spacing w:after="0" w:line="240" w:lineRule="auto"/>
              <w:jc w:val="center"/>
              <w:rPr>
                <w:rFonts w:ascii="Arial" w:hAnsi="Arial" w:cs="Arial"/>
                <w:sz w:val="16"/>
                <w:szCs w:val="16"/>
                <w:highlight w:val="darkCyan"/>
              </w:rPr>
            </w:pPr>
            <w:r w:rsidRPr="00FD24B8">
              <w:rPr>
                <w:rFonts w:ascii="Arial" w:hAnsi="Arial" w:cs="Arial"/>
                <w:sz w:val="16"/>
                <w:szCs w:val="16"/>
              </w:rPr>
              <w:t>Estimates</w:t>
            </w:r>
          </w:p>
        </w:tc>
        <w:tc>
          <w:tcPr>
            <w:tcW w:w="48" w:type="pct"/>
            <w:tcBorders>
              <w:top w:val="single" w:sz="4" w:space="0" w:color="000000"/>
              <w:left w:val="nil"/>
              <w:bottom w:val="nil"/>
              <w:right w:val="nil"/>
            </w:tcBorders>
            <w:shd w:val="clear" w:color="000000" w:fill="FFFFFF"/>
            <w:noWrap/>
            <w:vAlign w:val="bottom"/>
            <w:hideMark/>
          </w:tcPr>
          <w:p w14:paraId="4D82E9FD"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single" w:sz="4" w:space="0" w:color="000000"/>
              <w:left w:val="nil"/>
              <w:bottom w:val="single" w:sz="4" w:space="0" w:color="auto"/>
              <w:right w:val="nil"/>
            </w:tcBorders>
            <w:shd w:val="clear" w:color="000000" w:fill="FFFFFF"/>
            <w:noWrap/>
            <w:vAlign w:val="bottom"/>
            <w:hideMark/>
          </w:tcPr>
          <w:p w14:paraId="32576946"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7F52F0A0"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4FF870D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center"/>
            <w:hideMark/>
          </w:tcPr>
          <w:p w14:paraId="090E78C6" w14:textId="24A4863E"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2021</w:t>
            </w:r>
            <w:r w:rsidR="0031144A" w:rsidRPr="00FD24B8">
              <w:rPr>
                <w:rFonts w:ascii="Arial" w:hAnsi="Arial" w:cs="Arial"/>
                <w:sz w:val="16"/>
                <w:szCs w:val="16"/>
              </w:rPr>
              <w:noBreakHyphen/>
            </w:r>
            <w:r w:rsidRPr="00FD24B8">
              <w:rPr>
                <w:rFonts w:ascii="Arial" w:hAnsi="Arial" w:cs="Arial"/>
                <w:sz w:val="16"/>
                <w:szCs w:val="16"/>
              </w:rPr>
              <w:t>22</w:t>
            </w:r>
          </w:p>
        </w:tc>
        <w:tc>
          <w:tcPr>
            <w:tcW w:w="507" w:type="pct"/>
            <w:tcBorders>
              <w:top w:val="nil"/>
              <w:left w:val="nil"/>
              <w:bottom w:val="nil"/>
              <w:right w:val="nil"/>
            </w:tcBorders>
            <w:shd w:val="clear" w:color="000000" w:fill="F2F9FC"/>
            <w:noWrap/>
            <w:vAlign w:val="center"/>
            <w:hideMark/>
          </w:tcPr>
          <w:p w14:paraId="0B3BF709" w14:textId="7131901C"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2022</w:t>
            </w:r>
            <w:r w:rsidR="0031144A" w:rsidRPr="00FD24B8">
              <w:rPr>
                <w:rFonts w:ascii="Arial" w:hAnsi="Arial" w:cs="Arial"/>
                <w:sz w:val="16"/>
                <w:szCs w:val="16"/>
              </w:rPr>
              <w:noBreakHyphen/>
            </w:r>
            <w:r w:rsidRPr="00FD24B8">
              <w:rPr>
                <w:rFonts w:ascii="Arial" w:hAnsi="Arial" w:cs="Arial"/>
                <w:sz w:val="16"/>
                <w:szCs w:val="16"/>
              </w:rPr>
              <w:t>23</w:t>
            </w:r>
          </w:p>
        </w:tc>
        <w:tc>
          <w:tcPr>
            <w:tcW w:w="507" w:type="pct"/>
            <w:tcBorders>
              <w:top w:val="nil"/>
              <w:left w:val="nil"/>
              <w:bottom w:val="nil"/>
              <w:right w:val="nil"/>
            </w:tcBorders>
            <w:shd w:val="clear" w:color="000000" w:fill="FFFFFF"/>
            <w:noWrap/>
            <w:vAlign w:val="center"/>
            <w:hideMark/>
          </w:tcPr>
          <w:p w14:paraId="1680C31A" w14:textId="642BB831"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2023</w:t>
            </w:r>
            <w:r w:rsidR="0031144A" w:rsidRPr="00FD24B8">
              <w:rPr>
                <w:rFonts w:ascii="Arial" w:hAnsi="Arial" w:cs="Arial"/>
                <w:sz w:val="16"/>
                <w:szCs w:val="16"/>
              </w:rPr>
              <w:noBreakHyphen/>
            </w:r>
            <w:r w:rsidRPr="00FD24B8">
              <w:rPr>
                <w:rFonts w:ascii="Arial" w:hAnsi="Arial" w:cs="Arial"/>
                <w:sz w:val="16"/>
                <w:szCs w:val="16"/>
              </w:rPr>
              <w:t>24</w:t>
            </w:r>
          </w:p>
        </w:tc>
        <w:tc>
          <w:tcPr>
            <w:tcW w:w="507" w:type="pct"/>
            <w:tcBorders>
              <w:top w:val="nil"/>
              <w:left w:val="nil"/>
              <w:bottom w:val="nil"/>
              <w:right w:val="nil"/>
            </w:tcBorders>
            <w:shd w:val="clear" w:color="000000" w:fill="FFFFFF"/>
            <w:noWrap/>
            <w:vAlign w:val="center"/>
            <w:hideMark/>
          </w:tcPr>
          <w:p w14:paraId="64C98413" w14:textId="269C025D"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2024</w:t>
            </w:r>
            <w:r w:rsidR="0031144A" w:rsidRPr="00FD24B8">
              <w:rPr>
                <w:rFonts w:ascii="Arial" w:hAnsi="Arial" w:cs="Arial"/>
                <w:sz w:val="16"/>
                <w:szCs w:val="16"/>
              </w:rPr>
              <w:noBreakHyphen/>
            </w:r>
            <w:r w:rsidRPr="00FD24B8">
              <w:rPr>
                <w:rFonts w:ascii="Arial" w:hAnsi="Arial" w:cs="Arial"/>
                <w:sz w:val="16"/>
                <w:szCs w:val="16"/>
              </w:rPr>
              <w:t>25</w:t>
            </w:r>
          </w:p>
        </w:tc>
        <w:tc>
          <w:tcPr>
            <w:tcW w:w="507" w:type="pct"/>
            <w:tcBorders>
              <w:top w:val="nil"/>
              <w:left w:val="nil"/>
              <w:bottom w:val="nil"/>
              <w:right w:val="nil"/>
            </w:tcBorders>
            <w:shd w:val="clear" w:color="000000" w:fill="FFFFFF"/>
            <w:noWrap/>
            <w:vAlign w:val="center"/>
            <w:hideMark/>
          </w:tcPr>
          <w:p w14:paraId="21DCBF9F" w14:textId="6671880A"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2025</w:t>
            </w:r>
            <w:r w:rsidR="0031144A" w:rsidRPr="00FD24B8">
              <w:rPr>
                <w:rFonts w:ascii="Arial" w:hAnsi="Arial" w:cs="Arial"/>
                <w:sz w:val="16"/>
                <w:szCs w:val="16"/>
              </w:rPr>
              <w:noBreakHyphen/>
            </w:r>
            <w:r w:rsidRPr="00FD24B8">
              <w:rPr>
                <w:rFonts w:ascii="Arial" w:hAnsi="Arial" w:cs="Arial"/>
                <w:sz w:val="16"/>
                <w:szCs w:val="16"/>
              </w:rPr>
              <w:t>26</w:t>
            </w:r>
          </w:p>
        </w:tc>
        <w:tc>
          <w:tcPr>
            <w:tcW w:w="48" w:type="pct"/>
            <w:tcBorders>
              <w:top w:val="nil"/>
              <w:left w:val="nil"/>
              <w:bottom w:val="nil"/>
              <w:right w:val="nil"/>
            </w:tcBorders>
            <w:shd w:val="clear" w:color="000000" w:fill="FFFFFF"/>
            <w:noWrap/>
            <w:vAlign w:val="bottom"/>
            <w:hideMark/>
          </w:tcPr>
          <w:p w14:paraId="2CAFEDC3"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744111C0" w14:textId="77777777" w:rsidR="00B14504" w:rsidRPr="00FD24B8" w:rsidRDefault="00B14504" w:rsidP="00B14504">
            <w:pPr>
              <w:spacing w:after="0" w:line="240" w:lineRule="auto"/>
              <w:jc w:val="right"/>
              <w:rPr>
                <w:rFonts w:ascii="Arial" w:hAnsi="Arial" w:cs="Arial"/>
                <w:sz w:val="16"/>
                <w:szCs w:val="16"/>
              </w:rPr>
            </w:pPr>
            <w:r w:rsidRPr="00FD24B8">
              <w:rPr>
                <w:rFonts w:ascii="Arial" w:hAnsi="Arial" w:cs="Arial"/>
                <w:sz w:val="16"/>
                <w:szCs w:val="16"/>
              </w:rPr>
              <w:t>Total(a)</w:t>
            </w:r>
          </w:p>
        </w:tc>
      </w:tr>
      <w:tr w:rsidR="00B31B91" w:rsidRPr="00131EBC" w14:paraId="771429E4"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2BE63053"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single" w:sz="4" w:space="0" w:color="auto"/>
              <w:right w:val="nil"/>
            </w:tcBorders>
            <w:shd w:val="clear" w:color="000000" w:fill="FFFFFF"/>
            <w:noWrap/>
            <w:vAlign w:val="bottom"/>
            <w:hideMark/>
          </w:tcPr>
          <w:p w14:paraId="38D89FEB"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507" w:type="pct"/>
            <w:tcBorders>
              <w:top w:val="nil"/>
              <w:left w:val="nil"/>
              <w:bottom w:val="single" w:sz="4" w:space="0" w:color="auto"/>
              <w:right w:val="nil"/>
            </w:tcBorders>
            <w:shd w:val="clear" w:color="000000" w:fill="F2F9FC"/>
            <w:noWrap/>
            <w:vAlign w:val="bottom"/>
            <w:hideMark/>
          </w:tcPr>
          <w:p w14:paraId="697BC3F3"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507" w:type="pct"/>
            <w:tcBorders>
              <w:top w:val="nil"/>
              <w:left w:val="nil"/>
              <w:bottom w:val="single" w:sz="4" w:space="0" w:color="auto"/>
              <w:right w:val="nil"/>
            </w:tcBorders>
            <w:shd w:val="clear" w:color="000000" w:fill="FFFFFF"/>
            <w:noWrap/>
            <w:vAlign w:val="bottom"/>
            <w:hideMark/>
          </w:tcPr>
          <w:p w14:paraId="4C19295A"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507" w:type="pct"/>
            <w:tcBorders>
              <w:top w:val="nil"/>
              <w:left w:val="nil"/>
              <w:bottom w:val="single" w:sz="4" w:space="0" w:color="auto"/>
              <w:right w:val="nil"/>
            </w:tcBorders>
            <w:shd w:val="clear" w:color="000000" w:fill="FFFFFF"/>
            <w:noWrap/>
            <w:vAlign w:val="bottom"/>
            <w:hideMark/>
          </w:tcPr>
          <w:p w14:paraId="7C5446FF"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507" w:type="pct"/>
            <w:tcBorders>
              <w:top w:val="nil"/>
              <w:left w:val="nil"/>
              <w:bottom w:val="single" w:sz="4" w:space="0" w:color="auto"/>
              <w:right w:val="nil"/>
            </w:tcBorders>
            <w:shd w:val="clear" w:color="000000" w:fill="FFFFFF"/>
            <w:noWrap/>
            <w:vAlign w:val="bottom"/>
            <w:hideMark/>
          </w:tcPr>
          <w:p w14:paraId="483494A8"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48" w:type="pct"/>
            <w:tcBorders>
              <w:top w:val="nil"/>
              <w:left w:val="nil"/>
              <w:bottom w:val="nil"/>
              <w:right w:val="nil"/>
            </w:tcBorders>
            <w:shd w:val="clear" w:color="000000" w:fill="FFFFFF"/>
            <w:noWrap/>
            <w:vAlign w:val="bottom"/>
            <w:hideMark/>
          </w:tcPr>
          <w:p w14:paraId="2437B9CA"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single" w:sz="4" w:space="0" w:color="auto"/>
              <w:right w:val="nil"/>
            </w:tcBorders>
            <w:shd w:val="clear" w:color="000000" w:fill="FFFFFF"/>
            <w:noWrap/>
            <w:vAlign w:val="bottom"/>
            <w:hideMark/>
          </w:tcPr>
          <w:p w14:paraId="08DF3C2C" w14:textId="77777777" w:rsidR="00B14504" w:rsidRPr="00FD24B8" w:rsidRDefault="00B14504" w:rsidP="00B14504">
            <w:pPr>
              <w:spacing w:after="0" w:line="240" w:lineRule="auto"/>
              <w:jc w:val="right"/>
              <w:rPr>
                <w:rFonts w:ascii="Arial" w:hAnsi="Arial" w:cs="Arial"/>
                <w:sz w:val="16"/>
                <w:szCs w:val="16"/>
              </w:rPr>
            </w:pPr>
            <w:r w:rsidRPr="00FD24B8">
              <w:rPr>
                <w:rFonts w:ascii="Arial" w:hAnsi="Arial" w:cs="Arial"/>
                <w:sz w:val="16"/>
                <w:szCs w:val="16"/>
              </w:rPr>
              <w:t>$m</w:t>
            </w:r>
          </w:p>
        </w:tc>
      </w:tr>
      <w:tr w:rsidR="00B14504" w:rsidRPr="00131EBC" w14:paraId="2770DC0F"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5B97FBB9" w14:textId="4E699354"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2022</w:t>
            </w:r>
            <w:r w:rsidR="0031144A" w:rsidRPr="00FD24B8">
              <w:rPr>
                <w:rFonts w:ascii="Arial" w:hAnsi="Arial" w:cs="Arial"/>
                <w:b/>
                <w:sz w:val="16"/>
                <w:szCs w:val="16"/>
              </w:rPr>
              <w:noBreakHyphen/>
            </w:r>
            <w:r w:rsidRPr="00FD24B8">
              <w:rPr>
                <w:rFonts w:ascii="Arial" w:hAnsi="Arial" w:cs="Arial"/>
                <w:b/>
                <w:sz w:val="16"/>
                <w:szCs w:val="16"/>
              </w:rPr>
              <w:t>23 Budget underlying cash</w:t>
            </w:r>
          </w:p>
        </w:tc>
        <w:tc>
          <w:tcPr>
            <w:tcW w:w="507" w:type="pct"/>
            <w:tcBorders>
              <w:top w:val="nil"/>
              <w:left w:val="nil"/>
              <w:bottom w:val="nil"/>
              <w:right w:val="nil"/>
            </w:tcBorders>
            <w:shd w:val="clear" w:color="000000" w:fill="FFFFFF"/>
            <w:noWrap/>
            <w:vAlign w:val="bottom"/>
            <w:hideMark/>
          </w:tcPr>
          <w:p w14:paraId="70A0D79F"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657CF2C9"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057AE4F6"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56AE5FF9"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7AA4AC8B"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1A7C4F94"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2E0596A4" w14:textId="77777777" w:rsidR="00B14504" w:rsidRPr="00FD24B8" w:rsidRDefault="00B14504" w:rsidP="00B14504">
            <w:pPr>
              <w:spacing w:after="0" w:line="240" w:lineRule="auto"/>
              <w:jc w:val="right"/>
              <w:rPr>
                <w:rFonts w:ascii="Arial" w:hAnsi="Arial" w:cs="Arial"/>
                <w:sz w:val="16"/>
                <w:szCs w:val="16"/>
              </w:rPr>
            </w:pPr>
            <w:r w:rsidRPr="00FD24B8">
              <w:rPr>
                <w:rFonts w:ascii="Arial" w:hAnsi="Arial" w:cs="Arial"/>
                <w:sz w:val="16"/>
                <w:szCs w:val="16"/>
              </w:rPr>
              <w:t> </w:t>
            </w:r>
          </w:p>
        </w:tc>
      </w:tr>
      <w:tr w:rsidR="00B14504" w:rsidRPr="00131EBC" w14:paraId="4796DEAD"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2FB6F40E" w14:textId="77777777" w:rsidR="00B14504" w:rsidRPr="00131EBC" w:rsidRDefault="00B14504" w:rsidP="00B14504">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balance</w:t>
            </w:r>
          </w:p>
        </w:tc>
        <w:tc>
          <w:tcPr>
            <w:tcW w:w="507" w:type="pct"/>
            <w:tcBorders>
              <w:top w:val="nil"/>
              <w:left w:val="nil"/>
              <w:bottom w:val="nil"/>
              <w:right w:val="nil"/>
            </w:tcBorders>
            <w:shd w:val="clear" w:color="000000" w:fill="FFFFFF"/>
            <w:noWrap/>
            <w:vAlign w:val="bottom"/>
            <w:hideMark/>
          </w:tcPr>
          <w:p w14:paraId="18BD974D" w14:textId="69CB0B13"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79,821</w:t>
            </w:r>
          </w:p>
        </w:tc>
        <w:tc>
          <w:tcPr>
            <w:tcW w:w="507" w:type="pct"/>
            <w:tcBorders>
              <w:top w:val="nil"/>
              <w:left w:val="nil"/>
              <w:bottom w:val="nil"/>
              <w:right w:val="nil"/>
            </w:tcBorders>
            <w:shd w:val="clear" w:color="000000" w:fill="F2F9FC"/>
            <w:noWrap/>
            <w:vAlign w:val="bottom"/>
            <w:hideMark/>
          </w:tcPr>
          <w:p w14:paraId="3C623320" w14:textId="7185CFAD"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77,961</w:t>
            </w:r>
          </w:p>
        </w:tc>
        <w:tc>
          <w:tcPr>
            <w:tcW w:w="507" w:type="pct"/>
            <w:tcBorders>
              <w:top w:val="nil"/>
              <w:left w:val="nil"/>
              <w:bottom w:val="nil"/>
              <w:right w:val="nil"/>
            </w:tcBorders>
            <w:shd w:val="clear" w:color="000000" w:fill="FFFFFF"/>
            <w:noWrap/>
            <w:vAlign w:val="bottom"/>
            <w:hideMark/>
          </w:tcPr>
          <w:p w14:paraId="1E501769" w14:textId="186690F6"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56,532</w:t>
            </w:r>
          </w:p>
        </w:tc>
        <w:tc>
          <w:tcPr>
            <w:tcW w:w="507" w:type="pct"/>
            <w:tcBorders>
              <w:top w:val="nil"/>
              <w:left w:val="nil"/>
              <w:bottom w:val="nil"/>
              <w:right w:val="nil"/>
            </w:tcBorders>
            <w:shd w:val="clear" w:color="000000" w:fill="FFFFFF"/>
            <w:noWrap/>
            <w:vAlign w:val="bottom"/>
            <w:hideMark/>
          </w:tcPr>
          <w:p w14:paraId="019EE73F" w14:textId="291AA7FF"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47,108</w:t>
            </w:r>
          </w:p>
        </w:tc>
        <w:tc>
          <w:tcPr>
            <w:tcW w:w="507" w:type="pct"/>
            <w:tcBorders>
              <w:top w:val="nil"/>
              <w:left w:val="nil"/>
              <w:bottom w:val="nil"/>
              <w:right w:val="nil"/>
            </w:tcBorders>
            <w:shd w:val="clear" w:color="000000" w:fill="FFFFFF"/>
            <w:noWrap/>
            <w:vAlign w:val="bottom"/>
            <w:hideMark/>
          </w:tcPr>
          <w:p w14:paraId="481A1608" w14:textId="18C91C99"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43,068</w:t>
            </w:r>
          </w:p>
        </w:tc>
        <w:tc>
          <w:tcPr>
            <w:tcW w:w="48" w:type="pct"/>
            <w:tcBorders>
              <w:top w:val="nil"/>
              <w:left w:val="nil"/>
              <w:bottom w:val="nil"/>
              <w:right w:val="nil"/>
            </w:tcBorders>
            <w:shd w:val="clear" w:color="000000" w:fill="FFFFFF"/>
            <w:noWrap/>
            <w:vAlign w:val="bottom"/>
            <w:hideMark/>
          </w:tcPr>
          <w:p w14:paraId="2BCC08F3"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15" w:type="pct"/>
            <w:tcBorders>
              <w:top w:val="nil"/>
              <w:left w:val="nil"/>
              <w:bottom w:val="nil"/>
              <w:right w:val="nil"/>
            </w:tcBorders>
            <w:shd w:val="clear" w:color="000000" w:fill="FFFFFF"/>
            <w:noWrap/>
            <w:vAlign w:val="bottom"/>
            <w:hideMark/>
          </w:tcPr>
          <w:p w14:paraId="4D8021A0" w14:textId="139F13F4" w:rsidR="00B14504" w:rsidRPr="00FD24B8" w:rsidRDefault="0031144A" w:rsidP="00B14504">
            <w:pPr>
              <w:spacing w:after="0" w:line="240" w:lineRule="auto"/>
              <w:jc w:val="right"/>
              <w:rPr>
                <w:rFonts w:ascii="Arial" w:hAnsi="Arial" w:cs="Arial"/>
                <w:b/>
                <w:sz w:val="16"/>
                <w:szCs w:val="16"/>
              </w:rPr>
            </w:pPr>
            <w:r w:rsidRPr="00FD24B8">
              <w:rPr>
                <w:rFonts w:ascii="Arial" w:hAnsi="Arial" w:cs="Arial"/>
                <w:b/>
                <w:sz w:val="16"/>
                <w:szCs w:val="16"/>
              </w:rPr>
              <w:noBreakHyphen/>
            </w:r>
            <w:r w:rsidR="00B14504" w:rsidRPr="00FD24B8">
              <w:rPr>
                <w:rFonts w:ascii="Arial" w:hAnsi="Arial" w:cs="Arial"/>
                <w:b/>
                <w:sz w:val="16"/>
                <w:szCs w:val="16"/>
              </w:rPr>
              <w:t>224,670</w:t>
            </w:r>
          </w:p>
        </w:tc>
      </w:tr>
      <w:tr w:rsidR="00B14504" w:rsidRPr="00131EBC" w14:paraId="56736CA2"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01E96DBD" w14:textId="77777777" w:rsidR="00B14504" w:rsidRPr="00131EBC" w:rsidRDefault="00B14504" w:rsidP="00B14504">
            <w:pPr>
              <w:spacing w:after="0" w:line="240" w:lineRule="auto"/>
              <w:jc w:val="left"/>
              <w:rPr>
                <w:rFonts w:ascii="Arial" w:hAnsi="Arial" w:cs="Arial"/>
                <w:b/>
                <w:sz w:val="16"/>
                <w:szCs w:val="16"/>
                <w:highlight w:val="darkCyan"/>
              </w:rPr>
            </w:pPr>
            <w:proofErr w:type="gramStart"/>
            <w:r w:rsidRPr="00FD24B8">
              <w:rPr>
                <w:rFonts w:ascii="Arial" w:hAnsi="Arial" w:cs="Arial"/>
                <w:b/>
                <w:i/>
                <w:sz w:val="16"/>
                <w:szCs w:val="16"/>
              </w:rPr>
              <w:t>plus</w:t>
            </w:r>
            <w:proofErr w:type="gramEnd"/>
            <w:r w:rsidRPr="00FD24B8">
              <w:rPr>
                <w:rFonts w:ascii="Arial" w:hAnsi="Arial" w:cs="Arial"/>
                <w:b/>
                <w:sz w:val="16"/>
                <w:szCs w:val="16"/>
              </w:rPr>
              <w:t xml:space="preserve"> Net cash flows from </w:t>
            </w:r>
          </w:p>
        </w:tc>
        <w:tc>
          <w:tcPr>
            <w:tcW w:w="507" w:type="pct"/>
            <w:tcBorders>
              <w:top w:val="nil"/>
              <w:left w:val="nil"/>
              <w:bottom w:val="nil"/>
              <w:right w:val="nil"/>
            </w:tcBorders>
            <w:shd w:val="clear" w:color="000000" w:fill="FFFFFF"/>
            <w:noWrap/>
            <w:vAlign w:val="bottom"/>
            <w:hideMark/>
          </w:tcPr>
          <w:p w14:paraId="7323ABCC"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07" w:type="pct"/>
            <w:tcBorders>
              <w:top w:val="nil"/>
              <w:left w:val="nil"/>
              <w:bottom w:val="nil"/>
              <w:right w:val="nil"/>
            </w:tcBorders>
            <w:shd w:val="clear" w:color="000000" w:fill="F2F9FC"/>
            <w:noWrap/>
            <w:vAlign w:val="bottom"/>
            <w:hideMark/>
          </w:tcPr>
          <w:p w14:paraId="3A829D89"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07" w:type="pct"/>
            <w:tcBorders>
              <w:top w:val="nil"/>
              <w:left w:val="nil"/>
              <w:bottom w:val="nil"/>
              <w:right w:val="nil"/>
            </w:tcBorders>
            <w:shd w:val="clear" w:color="000000" w:fill="FFFFFF"/>
            <w:noWrap/>
            <w:vAlign w:val="bottom"/>
            <w:hideMark/>
          </w:tcPr>
          <w:p w14:paraId="3FE254E1"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07" w:type="pct"/>
            <w:tcBorders>
              <w:top w:val="nil"/>
              <w:left w:val="nil"/>
              <w:bottom w:val="nil"/>
              <w:right w:val="nil"/>
            </w:tcBorders>
            <w:shd w:val="clear" w:color="000000" w:fill="FFFFFF"/>
            <w:noWrap/>
            <w:vAlign w:val="bottom"/>
            <w:hideMark/>
          </w:tcPr>
          <w:p w14:paraId="68DF19D9"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07" w:type="pct"/>
            <w:tcBorders>
              <w:top w:val="nil"/>
              <w:left w:val="nil"/>
              <w:bottom w:val="nil"/>
              <w:right w:val="nil"/>
            </w:tcBorders>
            <w:shd w:val="clear" w:color="000000" w:fill="FFFFFF"/>
            <w:noWrap/>
            <w:vAlign w:val="bottom"/>
            <w:hideMark/>
          </w:tcPr>
          <w:p w14:paraId="51EF7911"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48" w:type="pct"/>
            <w:tcBorders>
              <w:top w:val="nil"/>
              <w:left w:val="nil"/>
              <w:bottom w:val="nil"/>
              <w:right w:val="nil"/>
            </w:tcBorders>
            <w:shd w:val="clear" w:color="000000" w:fill="FFFFFF"/>
            <w:noWrap/>
            <w:vAlign w:val="bottom"/>
            <w:hideMark/>
          </w:tcPr>
          <w:p w14:paraId="6B0455D8"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15" w:type="pct"/>
            <w:tcBorders>
              <w:top w:val="nil"/>
              <w:left w:val="nil"/>
              <w:bottom w:val="nil"/>
              <w:right w:val="nil"/>
            </w:tcBorders>
            <w:shd w:val="clear" w:color="000000" w:fill="FFFFFF"/>
            <w:noWrap/>
            <w:vAlign w:val="bottom"/>
            <w:hideMark/>
          </w:tcPr>
          <w:p w14:paraId="205E230D" w14:textId="77777777" w:rsidR="00B14504" w:rsidRPr="00FD24B8" w:rsidRDefault="00B14504" w:rsidP="00B14504">
            <w:pPr>
              <w:spacing w:after="0" w:line="240" w:lineRule="auto"/>
              <w:jc w:val="left"/>
              <w:rPr>
                <w:rFonts w:ascii="Arial" w:hAnsi="Arial" w:cs="Arial"/>
                <w:b/>
                <w:sz w:val="16"/>
                <w:szCs w:val="16"/>
              </w:rPr>
            </w:pPr>
            <w:r w:rsidRPr="00FD24B8">
              <w:rPr>
                <w:rFonts w:ascii="Arial" w:hAnsi="Arial" w:cs="Arial"/>
                <w:b/>
                <w:sz w:val="16"/>
                <w:szCs w:val="16"/>
              </w:rPr>
              <w:t> </w:t>
            </w:r>
          </w:p>
        </w:tc>
      </w:tr>
      <w:tr w:rsidR="00B14504" w:rsidRPr="00131EBC" w14:paraId="011E6842"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251B648F" w14:textId="77777777" w:rsidR="00B14504" w:rsidRPr="00131EBC" w:rsidRDefault="00B14504" w:rsidP="00B14504">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 xml:space="preserve">investments in financial </w:t>
            </w:r>
          </w:p>
        </w:tc>
        <w:tc>
          <w:tcPr>
            <w:tcW w:w="507" w:type="pct"/>
            <w:tcBorders>
              <w:top w:val="nil"/>
              <w:left w:val="nil"/>
              <w:bottom w:val="nil"/>
              <w:right w:val="nil"/>
            </w:tcBorders>
            <w:shd w:val="clear" w:color="000000" w:fill="FFFFFF"/>
            <w:noWrap/>
            <w:vAlign w:val="bottom"/>
            <w:hideMark/>
          </w:tcPr>
          <w:p w14:paraId="26ED9665"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03AF6F5F"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7C50385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2C8E87F3"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7302320B"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3646B5C0"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1B75400"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2AEB8921"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069260CE" w14:textId="77777777" w:rsidR="00B14504" w:rsidRPr="00131EBC" w:rsidRDefault="00B14504" w:rsidP="00B14504">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assets for policy purposes</w:t>
            </w:r>
          </w:p>
        </w:tc>
        <w:tc>
          <w:tcPr>
            <w:tcW w:w="507" w:type="pct"/>
            <w:tcBorders>
              <w:top w:val="nil"/>
              <w:left w:val="nil"/>
              <w:bottom w:val="nil"/>
              <w:right w:val="nil"/>
            </w:tcBorders>
            <w:shd w:val="clear" w:color="000000" w:fill="FFFFFF"/>
            <w:noWrap/>
            <w:vAlign w:val="bottom"/>
            <w:hideMark/>
          </w:tcPr>
          <w:p w14:paraId="3898747D"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4BB9A07B"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2B4E6AB2"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7A600A99"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51838AEA"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3E750C3F"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2B63B38A"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51CAF8F0"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28F88238"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Student loans</w:t>
            </w:r>
          </w:p>
        </w:tc>
        <w:tc>
          <w:tcPr>
            <w:tcW w:w="507" w:type="pct"/>
            <w:tcBorders>
              <w:top w:val="nil"/>
              <w:left w:val="nil"/>
              <w:bottom w:val="nil"/>
              <w:right w:val="nil"/>
            </w:tcBorders>
            <w:shd w:val="clear" w:color="000000" w:fill="FFFFFF"/>
            <w:noWrap/>
            <w:vAlign w:val="bottom"/>
            <w:hideMark/>
          </w:tcPr>
          <w:p w14:paraId="60A85FE8" w14:textId="52E1E539"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3,454</w:t>
            </w:r>
          </w:p>
        </w:tc>
        <w:tc>
          <w:tcPr>
            <w:tcW w:w="507" w:type="pct"/>
            <w:tcBorders>
              <w:top w:val="nil"/>
              <w:left w:val="nil"/>
              <w:bottom w:val="nil"/>
              <w:right w:val="nil"/>
            </w:tcBorders>
            <w:shd w:val="clear" w:color="000000" w:fill="F2F9FC"/>
            <w:noWrap/>
            <w:vAlign w:val="bottom"/>
            <w:hideMark/>
          </w:tcPr>
          <w:p w14:paraId="36741EA6" w14:textId="55719368"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3,812</w:t>
            </w:r>
          </w:p>
        </w:tc>
        <w:tc>
          <w:tcPr>
            <w:tcW w:w="507" w:type="pct"/>
            <w:tcBorders>
              <w:top w:val="nil"/>
              <w:left w:val="nil"/>
              <w:bottom w:val="nil"/>
              <w:right w:val="nil"/>
            </w:tcBorders>
            <w:shd w:val="clear" w:color="000000" w:fill="FFFFFF"/>
            <w:noWrap/>
            <w:vAlign w:val="bottom"/>
            <w:hideMark/>
          </w:tcPr>
          <w:p w14:paraId="1FC89834" w14:textId="4B4FD04B"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3,684</w:t>
            </w:r>
          </w:p>
        </w:tc>
        <w:tc>
          <w:tcPr>
            <w:tcW w:w="507" w:type="pct"/>
            <w:tcBorders>
              <w:top w:val="nil"/>
              <w:left w:val="nil"/>
              <w:bottom w:val="nil"/>
              <w:right w:val="nil"/>
            </w:tcBorders>
            <w:shd w:val="clear" w:color="000000" w:fill="FFFFFF"/>
            <w:noWrap/>
            <w:vAlign w:val="bottom"/>
            <w:hideMark/>
          </w:tcPr>
          <w:p w14:paraId="6D83CAD2" w14:textId="44F90E2E"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3,395</w:t>
            </w:r>
          </w:p>
        </w:tc>
        <w:tc>
          <w:tcPr>
            <w:tcW w:w="507" w:type="pct"/>
            <w:tcBorders>
              <w:top w:val="nil"/>
              <w:left w:val="nil"/>
              <w:bottom w:val="nil"/>
              <w:right w:val="nil"/>
            </w:tcBorders>
            <w:shd w:val="clear" w:color="000000" w:fill="FFFFFF"/>
            <w:noWrap/>
            <w:vAlign w:val="bottom"/>
            <w:hideMark/>
          </w:tcPr>
          <w:p w14:paraId="7408C283" w14:textId="577561A1"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2,980</w:t>
            </w:r>
          </w:p>
        </w:tc>
        <w:tc>
          <w:tcPr>
            <w:tcW w:w="48" w:type="pct"/>
            <w:tcBorders>
              <w:top w:val="nil"/>
              <w:left w:val="nil"/>
              <w:bottom w:val="nil"/>
              <w:right w:val="nil"/>
            </w:tcBorders>
            <w:shd w:val="clear" w:color="000000" w:fill="FFFFFF"/>
            <w:noWrap/>
            <w:vAlign w:val="bottom"/>
            <w:hideMark/>
          </w:tcPr>
          <w:p w14:paraId="0F1B0EE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1C17A2BD" w14:textId="26DD8987" w:rsidR="00B14504" w:rsidRPr="00FD24B8" w:rsidRDefault="0031144A" w:rsidP="00B14504">
            <w:pPr>
              <w:spacing w:after="0" w:line="240" w:lineRule="auto"/>
              <w:jc w:val="right"/>
              <w:rPr>
                <w:rFonts w:ascii="Arial" w:hAnsi="Arial" w:cs="Arial"/>
                <w:sz w:val="16"/>
                <w:szCs w:val="16"/>
              </w:rPr>
            </w:pPr>
            <w:r w:rsidRPr="00FD24B8">
              <w:rPr>
                <w:rFonts w:ascii="Arial" w:hAnsi="Arial" w:cs="Arial"/>
                <w:sz w:val="16"/>
                <w:szCs w:val="16"/>
              </w:rPr>
              <w:noBreakHyphen/>
            </w:r>
            <w:r w:rsidR="00B14504" w:rsidRPr="00FD24B8">
              <w:rPr>
                <w:rFonts w:ascii="Arial" w:hAnsi="Arial" w:cs="Arial"/>
                <w:sz w:val="16"/>
                <w:szCs w:val="16"/>
              </w:rPr>
              <w:t>13,871</w:t>
            </w:r>
          </w:p>
        </w:tc>
      </w:tr>
      <w:tr w:rsidR="00B14504" w:rsidRPr="00131EBC" w14:paraId="7A813F53"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72BCE594"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NBN loan(b)</w:t>
            </w:r>
          </w:p>
        </w:tc>
        <w:tc>
          <w:tcPr>
            <w:tcW w:w="507" w:type="pct"/>
            <w:tcBorders>
              <w:top w:val="nil"/>
              <w:left w:val="nil"/>
              <w:bottom w:val="nil"/>
              <w:right w:val="nil"/>
            </w:tcBorders>
            <w:shd w:val="clear" w:color="000000" w:fill="FFFFFF"/>
            <w:noWrap/>
            <w:vAlign w:val="bottom"/>
            <w:hideMark/>
          </w:tcPr>
          <w:p w14:paraId="53C0492A"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5,825</w:t>
            </w:r>
          </w:p>
        </w:tc>
        <w:tc>
          <w:tcPr>
            <w:tcW w:w="507" w:type="pct"/>
            <w:tcBorders>
              <w:top w:val="nil"/>
              <w:left w:val="nil"/>
              <w:bottom w:val="nil"/>
              <w:right w:val="nil"/>
            </w:tcBorders>
            <w:shd w:val="clear" w:color="000000" w:fill="F2F9FC"/>
            <w:noWrap/>
            <w:vAlign w:val="bottom"/>
            <w:hideMark/>
          </w:tcPr>
          <w:p w14:paraId="12C3A767"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0</w:t>
            </w:r>
          </w:p>
        </w:tc>
        <w:tc>
          <w:tcPr>
            <w:tcW w:w="507" w:type="pct"/>
            <w:tcBorders>
              <w:top w:val="nil"/>
              <w:left w:val="nil"/>
              <w:bottom w:val="nil"/>
              <w:right w:val="nil"/>
            </w:tcBorders>
            <w:shd w:val="clear" w:color="000000" w:fill="FFFFFF"/>
            <w:noWrap/>
            <w:vAlign w:val="bottom"/>
            <w:hideMark/>
          </w:tcPr>
          <w:p w14:paraId="76F9D768"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7,375</w:t>
            </w:r>
          </w:p>
        </w:tc>
        <w:tc>
          <w:tcPr>
            <w:tcW w:w="507" w:type="pct"/>
            <w:tcBorders>
              <w:top w:val="nil"/>
              <w:left w:val="nil"/>
              <w:bottom w:val="nil"/>
              <w:right w:val="nil"/>
            </w:tcBorders>
            <w:shd w:val="clear" w:color="000000" w:fill="FFFFFF"/>
            <w:noWrap/>
            <w:vAlign w:val="bottom"/>
            <w:hideMark/>
          </w:tcPr>
          <w:p w14:paraId="69C9AB70"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0</w:t>
            </w:r>
          </w:p>
        </w:tc>
        <w:tc>
          <w:tcPr>
            <w:tcW w:w="507" w:type="pct"/>
            <w:tcBorders>
              <w:top w:val="nil"/>
              <w:left w:val="nil"/>
              <w:bottom w:val="nil"/>
              <w:right w:val="nil"/>
            </w:tcBorders>
            <w:shd w:val="clear" w:color="000000" w:fill="FFFFFF"/>
            <w:noWrap/>
            <w:vAlign w:val="bottom"/>
            <w:hideMark/>
          </w:tcPr>
          <w:p w14:paraId="78C2CEDC"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0</w:t>
            </w:r>
          </w:p>
        </w:tc>
        <w:tc>
          <w:tcPr>
            <w:tcW w:w="48" w:type="pct"/>
            <w:tcBorders>
              <w:top w:val="nil"/>
              <w:left w:val="nil"/>
              <w:bottom w:val="nil"/>
              <w:right w:val="nil"/>
            </w:tcBorders>
            <w:shd w:val="clear" w:color="000000" w:fill="FFFFFF"/>
            <w:noWrap/>
            <w:vAlign w:val="bottom"/>
            <w:hideMark/>
          </w:tcPr>
          <w:p w14:paraId="6486D2B1"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234DCB69" w14:textId="77777777" w:rsidR="00B14504" w:rsidRPr="00FD24B8" w:rsidRDefault="00B14504" w:rsidP="00B14504">
            <w:pPr>
              <w:spacing w:after="0" w:line="240" w:lineRule="auto"/>
              <w:jc w:val="right"/>
              <w:rPr>
                <w:rFonts w:ascii="Arial" w:hAnsi="Arial" w:cs="Arial"/>
                <w:sz w:val="16"/>
                <w:szCs w:val="16"/>
              </w:rPr>
            </w:pPr>
            <w:r w:rsidRPr="00FD24B8">
              <w:rPr>
                <w:rFonts w:ascii="Arial" w:hAnsi="Arial" w:cs="Arial"/>
                <w:sz w:val="16"/>
                <w:szCs w:val="16"/>
              </w:rPr>
              <w:t>7,375</w:t>
            </w:r>
          </w:p>
        </w:tc>
      </w:tr>
      <w:tr w:rsidR="00B14504" w:rsidRPr="00131EBC" w14:paraId="197C4B41"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4B675E98"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Trade support loans</w:t>
            </w:r>
          </w:p>
        </w:tc>
        <w:tc>
          <w:tcPr>
            <w:tcW w:w="507" w:type="pct"/>
            <w:tcBorders>
              <w:top w:val="nil"/>
              <w:left w:val="nil"/>
              <w:bottom w:val="nil"/>
              <w:right w:val="nil"/>
            </w:tcBorders>
            <w:shd w:val="clear" w:color="000000" w:fill="FFFFFF"/>
            <w:noWrap/>
            <w:vAlign w:val="bottom"/>
            <w:hideMark/>
          </w:tcPr>
          <w:p w14:paraId="57A4C868" w14:textId="23F3964F"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124</w:t>
            </w:r>
          </w:p>
        </w:tc>
        <w:tc>
          <w:tcPr>
            <w:tcW w:w="507" w:type="pct"/>
            <w:tcBorders>
              <w:top w:val="nil"/>
              <w:left w:val="nil"/>
              <w:bottom w:val="nil"/>
              <w:right w:val="nil"/>
            </w:tcBorders>
            <w:shd w:val="clear" w:color="000000" w:fill="F2F9FC"/>
            <w:noWrap/>
            <w:vAlign w:val="bottom"/>
            <w:hideMark/>
          </w:tcPr>
          <w:p w14:paraId="67A919CB" w14:textId="12390F5C"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130</w:t>
            </w:r>
          </w:p>
        </w:tc>
        <w:tc>
          <w:tcPr>
            <w:tcW w:w="507" w:type="pct"/>
            <w:tcBorders>
              <w:top w:val="nil"/>
              <w:left w:val="nil"/>
              <w:bottom w:val="nil"/>
              <w:right w:val="nil"/>
            </w:tcBorders>
            <w:shd w:val="clear" w:color="000000" w:fill="FFFFFF"/>
            <w:noWrap/>
            <w:vAlign w:val="bottom"/>
            <w:hideMark/>
          </w:tcPr>
          <w:p w14:paraId="5D4F5CAF" w14:textId="00E28A12"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145</w:t>
            </w:r>
          </w:p>
        </w:tc>
        <w:tc>
          <w:tcPr>
            <w:tcW w:w="507" w:type="pct"/>
            <w:tcBorders>
              <w:top w:val="nil"/>
              <w:left w:val="nil"/>
              <w:bottom w:val="nil"/>
              <w:right w:val="nil"/>
            </w:tcBorders>
            <w:shd w:val="clear" w:color="000000" w:fill="FFFFFF"/>
            <w:noWrap/>
            <w:vAlign w:val="bottom"/>
            <w:hideMark/>
          </w:tcPr>
          <w:p w14:paraId="48A37A8B" w14:textId="1D901566"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129</w:t>
            </w:r>
          </w:p>
        </w:tc>
        <w:tc>
          <w:tcPr>
            <w:tcW w:w="507" w:type="pct"/>
            <w:tcBorders>
              <w:top w:val="nil"/>
              <w:left w:val="nil"/>
              <w:bottom w:val="nil"/>
              <w:right w:val="nil"/>
            </w:tcBorders>
            <w:shd w:val="clear" w:color="000000" w:fill="FFFFFF"/>
            <w:noWrap/>
            <w:vAlign w:val="bottom"/>
            <w:hideMark/>
          </w:tcPr>
          <w:p w14:paraId="42A0FF96" w14:textId="60AC3A18"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107</w:t>
            </w:r>
          </w:p>
        </w:tc>
        <w:tc>
          <w:tcPr>
            <w:tcW w:w="48" w:type="pct"/>
            <w:tcBorders>
              <w:top w:val="nil"/>
              <w:left w:val="nil"/>
              <w:bottom w:val="nil"/>
              <w:right w:val="nil"/>
            </w:tcBorders>
            <w:shd w:val="clear" w:color="000000" w:fill="FFFFFF"/>
            <w:noWrap/>
            <w:vAlign w:val="bottom"/>
            <w:hideMark/>
          </w:tcPr>
          <w:p w14:paraId="3579F635"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22E72B7E" w14:textId="34E81590" w:rsidR="00B14504" w:rsidRPr="00FD24B8" w:rsidRDefault="0031144A" w:rsidP="00B14504">
            <w:pPr>
              <w:spacing w:after="0" w:line="240" w:lineRule="auto"/>
              <w:jc w:val="right"/>
              <w:rPr>
                <w:rFonts w:ascii="Arial" w:hAnsi="Arial" w:cs="Arial"/>
                <w:sz w:val="16"/>
                <w:szCs w:val="16"/>
              </w:rPr>
            </w:pPr>
            <w:r w:rsidRPr="00FD24B8">
              <w:rPr>
                <w:rFonts w:ascii="Arial" w:hAnsi="Arial" w:cs="Arial"/>
                <w:sz w:val="16"/>
                <w:szCs w:val="16"/>
              </w:rPr>
              <w:noBreakHyphen/>
            </w:r>
            <w:r w:rsidR="00B14504" w:rsidRPr="00FD24B8">
              <w:rPr>
                <w:rFonts w:ascii="Arial" w:hAnsi="Arial" w:cs="Arial"/>
                <w:sz w:val="16"/>
                <w:szCs w:val="16"/>
              </w:rPr>
              <w:t>511</w:t>
            </w:r>
          </w:p>
        </w:tc>
      </w:tr>
      <w:tr w:rsidR="00B14504" w:rsidRPr="00131EBC" w14:paraId="4C910A4F"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505FC538"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CEFC loans and investments</w:t>
            </w:r>
          </w:p>
        </w:tc>
        <w:tc>
          <w:tcPr>
            <w:tcW w:w="507" w:type="pct"/>
            <w:tcBorders>
              <w:top w:val="nil"/>
              <w:left w:val="nil"/>
              <w:bottom w:val="nil"/>
              <w:right w:val="nil"/>
            </w:tcBorders>
            <w:shd w:val="clear" w:color="000000" w:fill="FFFFFF"/>
            <w:noWrap/>
            <w:vAlign w:val="bottom"/>
            <w:hideMark/>
          </w:tcPr>
          <w:p w14:paraId="051DCF90" w14:textId="1D54D75B"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891</w:t>
            </w:r>
          </w:p>
        </w:tc>
        <w:tc>
          <w:tcPr>
            <w:tcW w:w="507" w:type="pct"/>
            <w:tcBorders>
              <w:top w:val="nil"/>
              <w:left w:val="nil"/>
              <w:bottom w:val="nil"/>
              <w:right w:val="nil"/>
            </w:tcBorders>
            <w:shd w:val="clear" w:color="000000" w:fill="F2F9FC"/>
            <w:noWrap/>
            <w:vAlign w:val="bottom"/>
            <w:hideMark/>
          </w:tcPr>
          <w:p w14:paraId="63B06F19" w14:textId="6FDCC5CB"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693</w:t>
            </w:r>
          </w:p>
        </w:tc>
        <w:tc>
          <w:tcPr>
            <w:tcW w:w="507" w:type="pct"/>
            <w:tcBorders>
              <w:top w:val="nil"/>
              <w:left w:val="nil"/>
              <w:bottom w:val="nil"/>
              <w:right w:val="nil"/>
            </w:tcBorders>
            <w:shd w:val="clear" w:color="000000" w:fill="FFFFFF"/>
            <w:noWrap/>
            <w:vAlign w:val="bottom"/>
            <w:hideMark/>
          </w:tcPr>
          <w:p w14:paraId="02A2FD3C" w14:textId="35790C71"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335</w:t>
            </w:r>
          </w:p>
        </w:tc>
        <w:tc>
          <w:tcPr>
            <w:tcW w:w="507" w:type="pct"/>
            <w:tcBorders>
              <w:top w:val="nil"/>
              <w:left w:val="nil"/>
              <w:bottom w:val="nil"/>
              <w:right w:val="nil"/>
            </w:tcBorders>
            <w:shd w:val="clear" w:color="000000" w:fill="FFFFFF"/>
            <w:noWrap/>
            <w:vAlign w:val="bottom"/>
            <w:hideMark/>
          </w:tcPr>
          <w:p w14:paraId="41D99088" w14:textId="2BEDCF27"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454</w:t>
            </w:r>
          </w:p>
        </w:tc>
        <w:tc>
          <w:tcPr>
            <w:tcW w:w="507" w:type="pct"/>
            <w:tcBorders>
              <w:top w:val="nil"/>
              <w:left w:val="nil"/>
              <w:bottom w:val="nil"/>
              <w:right w:val="nil"/>
            </w:tcBorders>
            <w:shd w:val="clear" w:color="000000" w:fill="FFFFFF"/>
            <w:noWrap/>
            <w:vAlign w:val="bottom"/>
            <w:hideMark/>
          </w:tcPr>
          <w:p w14:paraId="528A91EA" w14:textId="34A3B3DF"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195</w:t>
            </w:r>
          </w:p>
        </w:tc>
        <w:tc>
          <w:tcPr>
            <w:tcW w:w="48" w:type="pct"/>
            <w:tcBorders>
              <w:top w:val="nil"/>
              <w:left w:val="nil"/>
              <w:bottom w:val="nil"/>
              <w:right w:val="nil"/>
            </w:tcBorders>
            <w:shd w:val="clear" w:color="000000" w:fill="FFFFFF"/>
            <w:noWrap/>
            <w:vAlign w:val="bottom"/>
            <w:hideMark/>
          </w:tcPr>
          <w:p w14:paraId="290CAD0E"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6657ACE7" w14:textId="11A0EB76" w:rsidR="00B14504" w:rsidRPr="00FD24B8" w:rsidRDefault="0031144A" w:rsidP="00B14504">
            <w:pPr>
              <w:spacing w:after="0" w:line="240" w:lineRule="auto"/>
              <w:jc w:val="right"/>
              <w:rPr>
                <w:rFonts w:ascii="Arial" w:hAnsi="Arial" w:cs="Arial"/>
                <w:sz w:val="16"/>
                <w:szCs w:val="16"/>
              </w:rPr>
            </w:pPr>
            <w:r w:rsidRPr="00FD24B8">
              <w:rPr>
                <w:rFonts w:ascii="Arial" w:hAnsi="Arial" w:cs="Arial"/>
                <w:sz w:val="16"/>
                <w:szCs w:val="16"/>
              </w:rPr>
              <w:noBreakHyphen/>
            </w:r>
            <w:r w:rsidR="00B14504" w:rsidRPr="00FD24B8">
              <w:rPr>
                <w:rFonts w:ascii="Arial" w:hAnsi="Arial" w:cs="Arial"/>
                <w:sz w:val="16"/>
                <w:szCs w:val="16"/>
              </w:rPr>
              <w:t>1,677</w:t>
            </w:r>
          </w:p>
        </w:tc>
      </w:tr>
      <w:tr w:rsidR="00B14504" w:rsidRPr="00131EBC" w14:paraId="4B51248C"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73456438"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 xml:space="preserve">Northern Australia </w:t>
            </w:r>
          </w:p>
        </w:tc>
        <w:tc>
          <w:tcPr>
            <w:tcW w:w="507" w:type="pct"/>
            <w:tcBorders>
              <w:top w:val="nil"/>
              <w:left w:val="nil"/>
              <w:bottom w:val="nil"/>
              <w:right w:val="nil"/>
            </w:tcBorders>
            <w:shd w:val="clear" w:color="000000" w:fill="FFFFFF"/>
            <w:noWrap/>
            <w:vAlign w:val="bottom"/>
            <w:hideMark/>
          </w:tcPr>
          <w:p w14:paraId="4822AB49"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7511DB92"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492157E4"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1F359661"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65D6C4D4"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7B49DEB1"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BF118CC"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3046CA69"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02F3F1EB" w14:textId="77777777" w:rsidR="00B14504" w:rsidRPr="00131EBC" w:rsidRDefault="00B14504" w:rsidP="00B14504">
            <w:pPr>
              <w:spacing w:after="0" w:line="240" w:lineRule="auto"/>
              <w:ind w:left="510"/>
              <w:jc w:val="left"/>
              <w:rPr>
                <w:rFonts w:ascii="Arial" w:hAnsi="Arial" w:cs="Arial"/>
                <w:sz w:val="16"/>
                <w:szCs w:val="16"/>
                <w:highlight w:val="darkCyan"/>
              </w:rPr>
            </w:pPr>
            <w:r w:rsidRPr="00FD24B8">
              <w:rPr>
                <w:rFonts w:ascii="Arial" w:hAnsi="Arial" w:cs="Arial"/>
                <w:sz w:val="16"/>
                <w:szCs w:val="16"/>
              </w:rPr>
              <w:t xml:space="preserve">Infrastructure Facility </w:t>
            </w:r>
          </w:p>
        </w:tc>
        <w:tc>
          <w:tcPr>
            <w:tcW w:w="507" w:type="pct"/>
            <w:tcBorders>
              <w:top w:val="nil"/>
              <w:left w:val="nil"/>
              <w:bottom w:val="nil"/>
              <w:right w:val="nil"/>
            </w:tcBorders>
            <w:shd w:val="clear" w:color="000000" w:fill="FFFFFF"/>
            <w:noWrap/>
            <w:vAlign w:val="bottom"/>
            <w:hideMark/>
          </w:tcPr>
          <w:p w14:paraId="63947CCA" w14:textId="7483BC3D"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487</w:t>
            </w:r>
          </w:p>
        </w:tc>
        <w:tc>
          <w:tcPr>
            <w:tcW w:w="507" w:type="pct"/>
            <w:tcBorders>
              <w:top w:val="nil"/>
              <w:left w:val="nil"/>
              <w:bottom w:val="nil"/>
              <w:right w:val="nil"/>
            </w:tcBorders>
            <w:shd w:val="clear" w:color="000000" w:fill="F2F9FC"/>
            <w:noWrap/>
            <w:vAlign w:val="bottom"/>
            <w:hideMark/>
          </w:tcPr>
          <w:p w14:paraId="528448F8" w14:textId="395A1855"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1,145</w:t>
            </w:r>
          </w:p>
        </w:tc>
        <w:tc>
          <w:tcPr>
            <w:tcW w:w="507" w:type="pct"/>
            <w:tcBorders>
              <w:top w:val="nil"/>
              <w:left w:val="nil"/>
              <w:bottom w:val="nil"/>
              <w:right w:val="nil"/>
            </w:tcBorders>
            <w:shd w:val="clear" w:color="000000" w:fill="FFFFFF"/>
            <w:noWrap/>
            <w:vAlign w:val="bottom"/>
            <w:hideMark/>
          </w:tcPr>
          <w:p w14:paraId="37F03F0A" w14:textId="2FB76259"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1,956</w:t>
            </w:r>
          </w:p>
        </w:tc>
        <w:tc>
          <w:tcPr>
            <w:tcW w:w="507" w:type="pct"/>
            <w:tcBorders>
              <w:top w:val="nil"/>
              <w:left w:val="nil"/>
              <w:bottom w:val="nil"/>
              <w:right w:val="nil"/>
            </w:tcBorders>
            <w:shd w:val="clear" w:color="000000" w:fill="FFFFFF"/>
            <w:noWrap/>
            <w:vAlign w:val="bottom"/>
            <w:hideMark/>
          </w:tcPr>
          <w:p w14:paraId="16AF4085" w14:textId="4F7A06BE"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1,533</w:t>
            </w:r>
          </w:p>
        </w:tc>
        <w:tc>
          <w:tcPr>
            <w:tcW w:w="507" w:type="pct"/>
            <w:tcBorders>
              <w:top w:val="nil"/>
              <w:left w:val="nil"/>
              <w:bottom w:val="nil"/>
              <w:right w:val="nil"/>
            </w:tcBorders>
            <w:shd w:val="clear" w:color="000000" w:fill="FFFFFF"/>
            <w:noWrap/>
            <w:vAlign w:val="bottom"/>
            <w:hideMark/>
          </w:tcPr>
          <w:p w14:paraId="5C4AF8A5" w14:textId="120F762B"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728</w:t>
            </w:r>
          </w:p>
        </w:tc>
        <w:tc>
          <w:tcPr>
            <w:tcW w:w="48" w:type="pct"/>
            <w:tcBorders>
              <w:top w:val="nil"/>
              <w:left w:val="nil"/>
              <w:bottom w:val="nil"/>
              <w:right w:val="nil"/>
            </w:tcBorders>
            <w:shd w:val="clear" w:color="000000" w:fill="FFFFFF"/>
            <w:noWrap/>
            <w:vAlign w:val="bottom"/>
            <w:hideMark/>
          </w:tcPr>
          <w:p w14:paraId="4331B2F9"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64ABDCE9" w14:textId="6B995E2E" w:rsidR="00B14504" w:rsidRPr="00FD24B8" w:rsidRDefault="0031144A" w:rsidP="00B14504">
            <w:pPr>
              <w:spacing w:after="0" w:line="240" w:lineRule="auto"/>
              <w:jc w:val="right"/>
              <w:rPr>
                <w:rFonts w:ascii="Arial" w:hAnsi="Arial" w:cs="Arial"/>
                <w:sz w:val="16"/>
                <w:szCs w:val="16"/>
              </w:rPr>
            </w:pPr>
            <w:r w:rsidRPr="00FD24B8">
              <w:rPr>
                <w:rFonts w:ascii="Arial" w:hAnsi="Arial" w:cs="Arial"/>
                <w:sz w:val="16"/>
                <w:szCs w:val="16"/>
              </w:rPr>
              <w:noBreakHyphen/>
            </w:r>
            <w:r w:rsidR="00B14504" w:rsidRPr="00FD24B8">
              <w:rPr>
                <w:rFonts w:ascii="Arial" w:hAnsi="Arial" w:cs="Arial"/>
                <w:sz w:val="16"/>
                <w:szCs w:val="16"/>
              </w:rPr>
              <w:t>5,362</w:t>
            </w:r>
          </w:p>
        </w:tc>
      </w:tr>
      <w:tr w:rsidR="00B14504" w:rsidRPr="00131EBC" w14:paraId="3ED27DB7"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26CFE9F9"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Australian Business</w:t>
            </w:r>
          </w:p>
        </w:tc>
        <w:tc>
          <w:tcPr>
            <w:tcW w:w="507" w:type="pct"/>
            <w:tcBorders>
              <w:top w:val="nil"/>
              <w:left w:val="nil"/>
              <w:bottom w:val="nil"/>
              <w:right w:val="nil"/>
            </w:tcBorders>
            <w:shd w:val="clear" w:color="000000" w:fill="FFFFFF"/>
            <w:noWrap/>
            <w:vAlign w:val="bottom"/>
            <w:hideMark/>
          </w:tcPr>
          <w:p w14:paraId="114FC86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3CC7F42E"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5DEF5D9A"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42E6D56E"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2C96B9C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2D62A2F9"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3C12F875"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05598606"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2C2DADD3" w14:textId="77777777" w:rsidR="00B14504" w:rsidRPr="00131EBC" w:rsidRDefault="00B14504" w:rsidP="00B14504">
            <w:pPr>
              <w:spacing w:after="0" w:line="240" w:lineRule="auto"/>
              <w:ind w:left="510"/>
              <w:jc w:val="left"/>
              <w:rPr>
                <w:rFonts w:ascii="Arial" w:hAnsi="Arial" w:cs="Arial"/>
                <w:sz w:val="16"/>
                <w:szCs w:val="16"/>
                <w:highlight w:val="darkCyan"/>
              </w:rPr>
            </w:pPr>
            <w:r w:rsidRPr="00FD24B8">
              <w:rPr>
                <w:rFonts w:ascii="Arial" w:hAnsi="Arial" w:cs="Arial"/>
                <w:sz w:val="16"/>
                <w:szCs w:val="16"/>
              </w:rPr>
              <w:t>Securitisation Fund</w:t>
            </w:r>
          </w:p>
        </w:tc>
        <w:tc>
          <w:tcPr>
            <w:tcW w:w="507" w:type="pct"/>
            <w:tcBorders>
              <w:top w:val="nil"/>
              <w:left w:val="nil"/>
              <w:bottom w:val="nil"/>
              <w:right w:val="nil"/>
            </w:tcBorders>
            <w:shd w:val="clear" w:color="000000" w:fill="FFFFFF"/>
            <w:noWrap/>
            <w:vAlign w:val="bottom"/>
            <w:hideMark/>
          </w:tcPr>
          <w:p w14:paraId="6F72310B" w14:textId="3D4C022B"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648</w:t>
            </w:r>
          </w:p>
        </w:tc>
        <w:tc>
          <w:tcPr>
            <w:tcW w:w="507" w:type="pct"/>
            <w:tcBorders>
              <w:top w:val="nil"/>
              <w:left w:val="nil"/>
              <w:bottom w:val="nil"/>
              <w:right w:val="nil"/>
            </w:tcBorders>
            <w:shd w:val="clear" w:color="000000" w:fill="F2F9FC"/>
            <w:noWrap/>
            <w:vAlign w:val="bottom"/>
            <w:hideMark/>
          </w:tcPr>
          <w:p w14:paraId="0AD07872" w14:textId="0A8CCFFE"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251</w:t>
            </w:r>
          </w:p>
        </w:tc>
        <w:tc>
          <w:tcPr>
            <w:tcW w:w="507" w:type="pct"/>
            <w:tcBorders>
              <w:top w:val="nil"/>
              <w:left w:val="nil"/>
              <w:bottom w:val="nil"/>
              <w:right w:val="nil"/>
            </w:tcBorders>
            <w:shd w:val="clear" w:color="000000" w:fill="FFFFFF"/>
            <w:noWrap/>
            <w:vAlign w:val="bottom"/>
            <w:hideMark/>
          </w:tcPr>
          <w:p w14:paraId="7AA97438" w14:textId="32334957"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501</w:t>
            </w:r>
          </w:p>
        </w:tc>
        <w:tc>
          <w:tcPr>
            <w:tcW w:w="507" w:type="pct"/>
            <w:tcBorders>
              <w:top w:val="nil"/>
              <w:left w:val="nil"/>
              <w:bottom w:val="nil"/>
              <w:right w:val="nil"/>
            </w:tcBorders>
            <w:shd w:val="clear" w:color="000000" w:fill="FFFFFF"/>
            <w:noWrap/>
            <w:vAlign w:val="bottom"/>
            <w:hideMark/>
          </w:tcPr>
          <w:p w14:paraId="51DC7B22" w14:textId="06AECE21"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502</w:t>
            </w:r>
          </w:p>
        </w:tc>
        <w:tc>
          <w:tcPr>
            <w:tcW w:w="507" w:type="pct"/>
            <w:tcBorders>
              <w:top w:val="nil"/>
              <w:left w:val="nil"/>
              <w:bottom w:val="nil"/>
              <w:right w:val="nil"/>
            </w:tcBorders>
            <w:shd w:val="clear" w:color="000000" w:fill="FFFFFF"/>
            <w:noWrap/>
            <w:vAlign w:val="bottom"/>
            <w:hideMark/>
          </w:tcPr>
          <w:p w14:paraId="126CABAF" w14:textId="0D0DE4E8"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3</w:t>
            </w:r>
          </w:p>
        </w:tc>
        <w:tc>
          <w:tcPr>
            <w:tcW w:w="48" w:type="pct"/>
            <w:tcBorders>
              <w:top w:val="nil"/>
              <w:left w:val="nil"/>
              <w:bottom w:val="nil"/>
              <w:right w:val="nil"/>
            </w:tcBorders>
            <w:shd w:val="clear" w:color="000000" w:fill="FFFFFF"/>
            <w:noWrap/>
            <w:vAlign w:val="bottom"/>
            <w:hideMark/>
          </w:tcPr>
          <w:p w14:paraId="6E03145D"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0731320B" w14:textId="26E90526" w:rsidR="00B14504" w:rsidRPr="00FD24B8" w:rsidRDefault="0031144A" w:rsidP="00B14504">
            <w:pPr>
              <w:spacing w:after="0" w:line="240" w:lineRule="auto"/>
              <w:jc w:val="right"/>
              <w:rPr>
                <w:rFonts w:ascii="Arial" w:hAnsi="Arial" w:cs="Arial"/>
                <w:sz w:val="16"/>
                <w:szCs w:val="16"/>
              </w:rPr>
            </w:pPr>
            <w:r w:rsidRPr="00FD24B8">
              <w:rPr>
                <w:rFonts w:ascii="Arial" w:hAnsi="Arial" w:cs="Arial"/>
                <w:sz w:val="16"/>
                <w:szCs w:val="16"/>
              </w:rPr>
              <w:noBreakHyphen/>
            </w:r>
            <w:r w:rsidR="00B14504" w:rsidRPr="00FD24B8">
              <w:rPr>
                <w:rFonts w:ascii="Arial" w:hAnsi="Arial" w:cs="Arial"/>
                <w:sz w:val="16"/>
                <w:szCs w:val="16"/>
              </w:rPr>
              <w:t>1,257</w:t>
            </w:r>
          </w:p>
        </w:tc>
      </w:tr>
      <w:tr w:rsidR="00B14504" w:rsidRPr="00131EBC" w14:paraId="660D46BC"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5677463B"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 xml:space="preserve">Structured Finance </w:t>
            </w:r>
          </w:p>
        </w:tc>
        <w:tc>
          <w:tcPr>
            <w:tcW w:w="507" w:type="pct"/>
            <w:tcBorders>
              <w:top w:val="nil"/>
              <w:left w:val="nil"/>
              <w:bottom w:val="nil"/>
              <w:right w:val="nil"/>
            </w:tcBorders>
            <w:shd w:val="clear" w:color="000000" w:fill="FFFFFF"/>
            <w:noWrap/>
            <w:vAlign w:val="bottom"/>
            <w:hideMark/>
          </w:tcPr>
          <w:p w14:paraId="38CE2C29"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5880FBDB"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674AEE07"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409A6AD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7F01B44F"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7F6F44B7"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6AAC10CC"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2E80E6DD"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265F9854" w14:textId="77777777" w:rsidR="00B14504" w:rsidRPr="00131EBC" w:rsidRDefault="00B14504" w:rsidP="00B14504">
            <w:pPr>
              <w:spacing w:after="0" w:line="240" w:lineRule="auto"/>
              <w:ind w:left="510"/>
              <w:jc w:val="left"/>
              <w:rPr>
                <w:rFonts w:ascii="Arial" w:hAnsi="Arial" w:cs="Arial"/>
                <w:sz w:val="16"/>
                <w:szCs w:val="16"/>
                <w:highlight w:val="darkCyan"/>
              </w:rPr>
            </w:pPr>
            <w:r w:rsidRPr="00FD24B8">
              <w:rPr>
                <w:rFonts w:ascii="Arial" w:hAnsi="Arial" w:cs="Arial"/>
                <w:sz w:val="16"/>
                <w:szCs w:val="16"/>
              </w:rPr>
              <w:t>Support Fund</w:t>
            </w:r>
          </w:p>
        </w:tc>
        <w:tc>
          <w:tcPr>
            <w:tcW w:w="507" w:type="pct"/>
            <w:tcBorders>
              <w:top w:val="nil"/>
              <w:left w:val="nil"/>
              <w:bottom w:val="nil"/>
              <w:right w:val="nil"/>
            </w:tcBorders>
            <w:shd w:val="clear" w:color="000000" w:fill="FFFFFF"/>
            <w:noWrap/>
            <w:vAlign w:val="bottom"/>
            <w:hideMark/>
          </w:tcPr>
          <w:p w14:paraId="3C6395EC"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1,218</w:t>
            </w:r>
          </w:p>
        </w:tc>
        <w:tc>
          <w:tcPr>
            <w:tcW w:w="507" w:type="pct"/>
            <w:tcBorders>
              <w:top w:val="nil"/>
              <w:left w:val="nil"/>
              <w:bottom w:val="nil"/>
              <w:right w:val="nil"/>
            </w:tcBorders>
            <w:shd w:val="clear" w:color="000000" w:fill="F2F9FC"/>
            <w:noWrap/>
            <w:vAlign w:val="bottom"/>
            <w:hideMark/>
          </w:tcPr>
          <w:p w14:paraId="537B5C8B"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400</w:t>
            </w:r>
          </w:p>
        </w:tc>
        <w:tc>
          <w:tcPr>
            <w:tcW w:w="507" w:type="pct"/>
            <w:tcBorders>
              <w:top w:val="nil"/>
              <w:left w:val="nil"/>
              <w:bottom w:val="nil"/>
              <w:right w:val="nil"/>
            </w:tcBorders>
            <w:shd w:val="clear" w:color="000000" w:fill="FFFFFF"/>
            <w:noWrap/>
            <w:vAlign w:val="bottom"/>
            <w:hideMark/>
          </w:tcPr>
          <w:p w14:paraId="3E9A2A38"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139</w:t>
            </w:r>
          </w:p>
        </w:tc>
        <w:tc>
          <w:tcPr>
            <w:tcW w:w="507" w:type="pct"/>
            <w:tcBorders>
              <w:top w:val="nil"/>
              <w:left w:val="nil"/>
              <w:bottom w:val="nil"/>
              <w:right w:val="nil"/>
            </w:tcBorders>
            <w:shd w:val="clear" w:color="000000" w:fill="FFFFFF"/>
            <w:noWrap/>
            <w:vAlign w:val="bottom"/>
            <w:hideMark/>
          </w:tcPr>
          <w:p w14:paraId="3B528B7F"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0</w:t>
            </w:r>
          </w:p>
        </w:tc>
        <w:tc>
          <w:tcPr>
            <w:tcW w:w="507" w:type="pct"/>
            <w:tcBorders>
              <w:top w:val="nil"/>
              <w:left w:val="nil"/>
              <w:bottom w:val="nil"/>
              <w:right w:val="nil"/>
            </w:tcBorders>
            <w:shd w:val="clear" w:color="000000" w:fill="FFFFFF"/>
            <w:noWrap/>
            <w:vAlign w:val="bottom"/>
            <w:hideMark/>
          </w:tcPr>
          <w:p w14:paraId="68BE6937"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0</w:t>
            </w:r>
          </w:p>
        </w:tc>
        <w:tc>
          <w:tcPr>
            <w:tcW w:w="48" w:type="pct"/>
            <w:tcBorders>
              <w:top w:val="nil"/>
              <w:left w:val="nil"/>
              <w:bottom w:val="nil"/>
              <w:right w:val="nil"/>
            </w:tcBorders>
            <w:shd w:val="clear" w:color="000000" w:fill="FFFFFF"/>
            <w:noWrap/>
            <w:vAlign w:val="bottom"/>
            <w:hideMark/>
          </w:tcPr>
          <w:p w14:paraId="6BD75A44"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3FAEC323" w14:textId="77777777" w:rsidR="00B14504" w:rsidRPr="00FD24B8" w:rsidRDefault="00B14504" w:rsidP="00B14504">
            <w:pPr>
              <w:spacing w:after="0" w:line="240" w:lineRule="auto"/>
              <w:jc w:val="right"/>
              <w:rPr>
                <w:rFonts w:ascii="Arial" w:hAnsi="Arial" w:cs="Arial"/>
                <w:sz w:val="16"/>
                <w:szCs w:val="16"/>
              </w:rPr>
            </w:pPr>
            <w:r w:rsidRPr="00FD24B8">
              <w:rPr>
                <w:rFonts w:ascii="Arial" w:hAnsi="Arial" w:cs="Arial"/>
                <w:sz w:val="16"/>
                <w:szCs w:val="16"/>
              </w:rPr>
              <w:t>539</w:t>
            </w:r>
          </w:p>
        </w:tc>
      </w:tr>
      <w:tr w:rsidR="00B14504" w:rsidRPr="00131EBC" w14:paraId="4BE99658"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22257B43"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Drought and rural assistance</w:t>
            </w:r>
          </w:p>
        </w:tc>
        <w:tc>
          <w:tcPr>
            <w:tcW w:w="507" w:type="pct"/>
            <w:tcBorders>
              <w:top w:val="nil"/>
              <w:left w:val="nil"/>
              <w:bottom w:val="nil"/>
              <w:right w:val="nil"/>
            </w:tcBorders>
            <w:shd w:val="clear" w:color="000000" w:fill="FFFFFF"/>
            <w:noWrap/>
            <w:vAlign w:val="bottom"/>
            <w:hideMark/>
          </w:tcPr>
          <w:p w14:paraId="12F67E0D"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154E81DB"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7FD86CD2"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2CD3B252"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506CBB5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765C0AB6"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4413EFF6"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7F54AD91"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5B398FF9" w14:textId="77777777" w:rsidR="00B14504" w:rsidRPr="00131EBC" w:rsidRDefault="00B14504" w:rsidP="00B14504">
            <w:pPr>
              <w:spacing w:after="0" w:line="240" w:lineRule="auto"/>
              <w:ind w:left="510"/>
              <w:jc w:val="left"/>
              <w:rPr>
                <w:rFonts w:ascii="Arial" w:hAnsi="Arial" w:cs="Arial"/>
                <w:sz w:val="16"/>
                <w:szCs w:val="16"/>
                <w:highlight w:val="darkCyan"/>
              </w:rPr>
            </w:pPr>
            <w:r w:rsidRPr="00FD24B8">
              <w:rPr>
                <w:rFonts w:ascii="Arial" w:hAnsi="Arial" w:cs="Arial"/>
                <w:sz w:val="16"/>
                <w:szCs w:val="16"/>
              </w:rPr>
              <w:t>loans</w:t>
            </w:r>
          </w:p>
        </w:tc>
        <w:tc>
          <w:tcPr>
            <w:tcW w:w="507" w:type="pct"/>
            <w:tcBorders>
              <w:top w:val="nil"/>
              <w:left w:val="nil"/>
              <w:bottom w:val="nil"/>
              <w:right w:val="nil"/>
            </w:tcBorders>
            <w:shd w:val="clear" w:color="000000" w:fill="FFFFFF"/>
            <w:noWrap/>
            <w:vAlign w:val="bottom"/>
            <w:hideMark/>
          </w:tcPr>
          <w:p w14:paraId="4A5533C6" w14:textId="7CCBF56D"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1,912</w:t>
            </w:r>
          </w:p>
        </w:tc>
        <w:tc>
          <w:tcPr>
            <w:tcW w:w="507" w:type="pct"/>
            <w:tcBorders>
              <w:top w:val="nil"/>
              <w:left w:val="nil"/>
              <w:bottom w:val="nil"/>
              <w:right w:val="nil"/>
            </w:tcBorders>
            <w:shd w:val="clear" w:color="000000" w:fill="F2F9FC"/>
            <w:noWrap/>
            <w:vAlign w:val="bottom"/>
            <w:hideMark/>
          </w:tcPr>
          <w:p w14:paraId="41B0177C" w14:textId="2C6431FA"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252</w:t>
            </w:r>
          </w:p>
        </w:tc>
        <w:tc>
          <w:tcPr>
            <w:tcW w:w="507" w:type="pct"/>
            <w:tcBorders>
              <w:top w:val="nil"/>
              <w:left w:val="nil"/>
              <w:bottom w:val="nil"/>
              <w:right w:val="nil"/>
            </w:tcBorders>
            <w:shd w:val="clear" w:color="000000" w:fill="FFFFFF"/>
            <w:noWrap/>
            <w:vAlign w:val="bottom"/>
            <w:hideMark/>
          </w:tcPr>
          <w:p w14:paraId="1B81C0BF" w14:textId="5461625F"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88</w:t>
            </w:r>
          </w:p>
        </w:tc>
        <w:tc>
          <w:tcPr>
            <w:tcW w:w="507" w:type="pct"/>
            <w:tcBorders>
              <w:top w:val="nil"/>
              <w:left w:val="nil"/>
              <w:bottom w:val="nil"/>
              <w:right w:val="nil"/>
            </w:tcBorders>
            <w:shd w:val="clear" w:color="000000" w:fill="FFFFFF"/>
            <w:noWrap/>
            <w:vAlign w:val="bottom"/>
            <w:hideMark/>
          </w:tcPr>
          <w:p w14:paraId="5BCC2AEA" w14:textId="3C2DA811"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73</w:t>
            </w:r>
          </w:p>
        </w:tc>
        <w:tc>
          <w:tcPr>
            <w:tcW w:w="507" w:type="pct"/>
            <w:tcBorders>
              <w:top w:val="nil"/>
              <w:left w:val="nil"/>
              <w:bottom w:val="nil"/>
              <w:right w:val="nil"/>
            </w:tcBorders>
            <w:shd w:val="clear" w:color="000000" w:fill="FFFFFF"/>
            <w:noWrap/>
            <w:vAlign w:val="bottom"/>
            <w:hideMark/>
          </w:tcPr>
          <w:p w14:paraId="42973072" w14:textId="05EC7E28"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30</w:t>
            </w:r>
          </w:p>
        </w:tc>
        <w:tc>
          <w:tcPr>
            <w:tcW w:w="48" w:type="pct"/>
            <w:tcBorders>
              <w:top w:val="nil"/>
              <w:left w:val="nil"/>
              <w:bottom w:val="nil"/>
              <w:right w:val="nil"/>
            </w:tcBorders>
            <w:shd w:val="clear" w:color="000000" w:fill="FFFFFF"/>
            <w:noWrap/>
            <w:vAlign w:val="bottom"/>
            <w:hideMark/>
          </w:tcPr>
          <w:p w14:paraId="3D2A4C4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1ABDD302" w14:textId="7632B657" w:rsidR="00B14504" w:rsidRPr="00FD24B8" w:rsidRDefault="0031144A" w:rsidP="00B14504">
            <w:pPr>
              <w:spacing w:after="0" w:line="240" w:lineRule="auto"/>
              <w:jc w:val="right"/>
              <w:rPr>
                <w:rFonts w:ascii="Arial" w:hAnsi="Arial" w:cs="Arial"/>
                <w:sz w:val="16"/>
                <w:szCs w:val="16"/>
              </w:rPr>
            </w:pPr>
            <w:r w:rsidRPr="00FD24B8">
              <w:rPr>
                <w:rFonts w:ascii="Arial" w:hAnsi="Arial" w:cs="Arial"/>
                <w:sz w:val="16"/>
                <w:szCs w:val="16"/>
              </w:rPr>
              <w:noBreakHyphen/>
            </w:r>
            <w:r w:rsidR="00B14504" w:rsidRPr="00FD24B8">
              <w:rPr>
                <w:rFonts w:ascii="Arial" w:hAnsi="Arial" w:cs="Arial"/>
                <w:sz w:val="16"/>
                <w:szCs w:val="16"/>
              </w:rPr>
              <w:t>442</w:t>
            </w:r>
          </w:p>
        </w:tc>
      </w:tr>
      <w:tr w:rsidR="00B14504" w:rsidRPr="00131EBC" w14:paraId="76162A8D"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6E939C91"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Official Development Assistance</w:t>
            </w:r>
          </w:p>
        </w:tc>
        <w:tc>
          <w:tcPr>
            <w:tcW w:w="507" w:type="pct"/>
            <w:tcBorders>
              <w:top w:val="nil"/>
              <w:left w:val="nil"/>
              <w:bottom w:val="nil"/>
              <w:right w:val="nil"/>
            </w:tcBorders>
            <w:shd w:val="clear" w:color="000000" w:fill="FFFFFF"/>
            <w:noWrap/>
            <w:vAlign w:val="bottom"/>
            <w:hideMark/>
          </w:tcPr>
          <w:p w14:paraId="2FEA617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4DAAA0C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25E78847"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3E63E149"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18C69107"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14B6756A"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36C31C01"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0C9C2750"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4B6B5B68" w14:textId="5665C1B4" w:rsidR="00B14504" w:rsidRPr="00131EBC" w:rsidRDefault="0031144A" w:rsidP="00B14504">
            <w:pPr>
              <w:spacing w:after="0" w:line="240" w:lineRule="auto"/>
              <w:ind w:left="510"/>
              <w:jc w:val="lef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 xml:space="preserve"> Multilateral Replenishment</w:t>
            </w:r>
          </w:p>
        </w:tc>
        <w:tc>
          <w:tcPr>
            <w:tcW w:w="507" w:type="pct"/>
            <w:tcBorders>
              <w:top w:val="nil"/>
              <w:left w:val="nil"/>
              <w:bottom w:val="nil"/>
              <w:right w:val="nil"/>
            </w:tcBorders>
            <w:shd w:val="clear" w:color="000000" w:fill="FFFFFF"/>
            <w:noWrap/>
            <w:vAlign w:val="bottom"/>
            <w:hideMark/>
          </w:tcPr>
          <w:p w14:paraId="709E8C1B" w14:textId="5A1ACCBF"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135</w:t>
            </w:r>
          </w:p>
        </w:tc>
        <w:tc>
          <w:tcPr>
            <w:tcW w:w="507" w:type="pct"/>
            <w:tcBorders>
              <w:top w:val="nil"/>
              <w:left w:val="nil"/>
              <w:bottom w:val="nil"/>
              <w:right w:val="nil"/>
            </w:tcBorders>
            <w:shd w:val="clear" w:color="000000" w:fill="F2F9FC"/>
            <w:noWrap/>
            <w:vAlign w:val="bottom"/>
            <w:hideMark/>
          </w:tcPr>
          <w:p w14:paraId="0D71D429" w14:textId="5D947A4D"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128</w:t>
            </w:r>
          </w:p>
        </w:tc>
        <w:tc>
          <w:tcPr>
            <w:tcW w:w="507" w:type="pct"/>
            <w:tcBorders>
              <w:top w:val="nil"/>
              <w:left w:val="nil"/>
              <w:bottom w:val="nil"/>
              <w:right w:val="nil"/>
            </w:tcBorders>
            <w:shd w:val="clear" w:color="000000" w:fill="FFFFFF"/>
            <w:noWrap/>
            <w:vAlign w:val="bottom"/>
            <w:hideMark/>
          </w:tcPr>
          <w:p w14:paraId="62E4CF2E" w14:textId="30375489"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132</w:t>
            </w:r>
          </w:p>
        </w:tc>
        <w:tc>
          <w:tcPr>
            <w:tcW w:w="507" w:type="pct"/>
            <w:tcBorders>
              <w:top w:val="nil"/>
              <w:left w:val="nil"/>
              <w:bottom w:val="nil"/>
              <w:right w:val="nil"/>
            </w:tcBorders>
            <w:shd w:val="clear" w:color="000000" w:fill="FFFFFF"/>
            <w:noWrap/>
            <w:vAlign w:val="bottom"/>
            <w:hideMark/>
          </w:tcPr>
          <w:p w14:paraId="7EED10F1" w14:textId="4ABAC7DF"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139</w:t>
            </w:r>
          </w:p>
        </w:tc>
        <w:tc>
          <w:tcPr>
            <w:tcW w:w="507" w:type="pct"/>
            <w:tcBorders>
              <w:top w:val="nil"/>
              <w:left w:val="nil"/>
              <w:bottom w:val="nil"/>
              <w:right w:val="nil"/>
            </w:tcBorders>
            <w:shd w:val="clear" w:color="000000" w:fill="FFFFFF"/>
            <w:noWrap/>
            <w:vAlign w:val="bottom"/>
            <w:hideMark/>
          </w:tcPr>
          <w:p w14:paraId="67AFE9B4" w14:textId="6232A08C"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193</w:t>
            </w:r>
          </w:p>
        </w:tc>
        <w:tc>
          <w:tcPr>
            <w:tcW w:w="48" w:type="pct"/>
            <w:tcBorders>
              <w:top w:val="nil"/>
              <w:left w:val="nil"/>
              <w:bottom w:val="nil"/>
              <w:right w:val="nil"/>
            </w:tcBorders>
            <w:shd w:val="clear" w:color="000000" w:fill="FFFFFF"/>
            <w:noWrap/>
            <w:vAlign w:val="bottom"/>
            <w:hideMark/>
          </w:tcPr>
          <w:p w14:paraId="62A59DD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06A54030" w14:textId="5AA8D092" w:rsidR="00B14504" w:rsidRPr="00FD24B8" w:rsidRDefault="0031144A" w:rsidP="00B14504">
            <w:pPr>
              <w:spacing w:after="0" w:line="240" w:lineRule="auto"/>
              <w:jc w:val="right"/>
              <w:rPr>
                <w:rFonts w:ascii="Arial" w:hAnsi="Arial" w:cs="Arial"/>
                <w:sz w:val="16"/>
                <w:szCs w:val="16"/>
              </w:rPr>
            </w:pPr>
            <w:r w:rsidRPr="00FD24B8">
              <w:rPr>
                <w:rFonts w:ascii="Arial" w:hAnsi="Arial" w:cs="Arial"/>
                <w:sz w:val="16"/>
                <w:szCs w:val="16"/>
              </w:rPr>
              <w:noBreakHyphen/>
            </w:r>
            <w:r w:rsidR="00B14504" w:rsidRPr="00FD24B8">
              <w:rPr>
                <w:rFonts w:ascii="Arial" w:hAnsi="Arial" w:cs="Arial"/>
                <w:sz w:val="16"/>
                <w:szCs w:val="16"/>
              </w:rPr>
              <w:t>592</w:t>
            </w:r>
          </w:p>
        </w:tc>
      </w:tr>
      <w:tr w:rsidR="00B14504" w:rsidRPr="00131EBC" w14:paraId="674EDA25"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5D9CF28A"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 xml:space="preserve">National Housing Finance and </w:t>
            </w:r>
          </w:p>
        </w:tc>
        <w:tc>
          <w:tcPr>
            <w:tcW w:w="507" w:type="pct"/>
            <w:tcBorders>
              <w:top w:val="nil"/>
              <w:left w:val="nil"/>
              <w:bottom w:val="nil"/>
              <w:right w:val="nil"/>
            </w:tcBorders>
            <w:shd w:val="clear" w:color="000000" w:fill="FFFFFF"/>
            <w:noWrap/>
            <w:vAlign w:val="bottom"/>
            <w:hideMark/>
          </w:tcPr>
          <w:p w14:paraId="69118719"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6078CAA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1503838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42DA56A5"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4D3AC80A"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63190823"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25A251E"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2248DA06"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5713AD02" w14:textId="77777777" w:rsidR="00B14504" w:rsidRPr="00131EBC" w:rsidRDefault="00B14504" w:rsidP="00B14504">
            <w:pPr>
              <w:spacing w:after="0" w:line="240" w:lineRule="auto"/>
              <w:ind w:left="510"/>
              <w:jc w:val="left"/>
              <w:rPr>
                <w:rFonts w:ascii="Arial" w:hAnsi="Arial" w:cs="Arial"/>
                <w:sz w:val="16"/>
                <w:szCs w:val="16"/>
                <w:highlight w:val="darkCyan"/>
              </w:rPr>
            </w:pPr>
            <w:r w:rsidRPr="00FD24B8">
              <w:rPr>
                <w:rFonts w:ascii="Arial" w:hAnsi="Arial" w:cs="Arial"/>
                <w:sz w:val="16"/>
                <w:szCs w:val="16"/>
              </w:rPr>
              <w:t>Investment Corporation</w:t>
            </w:r>
          </w:p>
        </w:tc>
        <w:tc>
          <w:tcPr>
            <w:tcW w:w="507" w:type="pct"/>
            <w:tcBorders>
              <w:top w:val="nil"/>
              <w:left w:val="nil"/>
              <w:bottom w:val="nil"/>
              <w:right w:val="nil"/>
            </w:tcBorders>
            <w:shd w:val="clear" w:color="000000" w:fill="FFFFFF"/>
            <w:noWrap/>
            <w:vAlign w:val="bottom"/>
            <w:hideMark/>
          </w:tcPr>
          <w:p w14:paraId="28E11153"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35</w:t>
            </w:r>
          </w:p>
        </w:tc>
        <w:tc>
          <w:tcPr>
            <w:tcW w:w="507" w:type="pct"/>
            <w:tcBorders>
              <w:top w:val="nil"/>
              <w:left w:val="nil"/>
              <w:bottom w:val="nil"/>
              <w:right w:val="nil"/>
            </w:tcBorders>
            <w:shd w:val="clear" w:color="000000" w:fill="F2F9FC"/>
            <w:noWrap/>
            <w:vAlign w:val="bottom"/>
            <w:hideMark/>
          </w:tcPr>
          <w:p w14:paraId="5D6270B2" w14:textId="209FD319"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169</w:t>
            </w:r>
          </w:p>
        </w:tc>
        <w:tc>
          <w:tcPr>
            <w:tcW w:w="507" w:type="pct"/>
            <w:tcBorders>
              <w:top w:val="nil"/>
              <w:left w:val="nil"/>
              <w:bottom w:val="nil"/>
              <w:right w:val="nil"/>
            </w:tcBorders>
            <w:shd w:val="clear" w:color="000000" w:fill="FFFFFF"/>
            <w:noWrap/>
            <w:vAlign w:val="bottom"/>
            <w:hideMark/>
          </w:tcPr>
          <w:p w14:paraId="248A4AD0" w14:textId="6EDA601D"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146</w:t>
            </w:r>
          </w:p>
        </w:tc>
        <w:tc>
          <w:tcPr>
            <w:tcW w:w="507" w:type="pct"/>
            <w:tcBorders>
              <w:top w:val="nil"/>
              <w:left w:val="nil"/>
              <w:bottom w:val="nil"/>
              <w:right w:val="nil"/>
            </w:tcBorders>
            <w:shd w:val="clear" w:color="000000" w:fill="FFFFFF"/>
            <w:noWrap/>
            <w:vAlign w:val="bottom"/>
            <w:hideMark/>
          </w:tcPr>
          <w:p w14:paraId="6864C17C"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193</w:t>
            </w:r>
          </w:p>
        </w:tc>
        <w:tc>
          <w:tcPr>
            <w:tcW w:w="507" w:type="pct"/>
            <w:tcBorders>
              <w:top w:val="nil"/>
              <w:left w:val="nil"/>
              <w:bottom w:val="nil"/>
              <w:right w:val="nil"/>
            </w:tcBorders>
            <w:shd w:val="clear" w:color="000000" w:fill="FFFFFF"/>
            <w:noWrap/>
            <w:vAlign w:val="bottom"/>
            <w:hideMark/>
          </w:tcPr>
          <w:p w14:paraId="7C5FAD86" w14:textId="6243A5CA"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24</w:t>
            </w:r>
          </w:p>
        </w:tc>
        <w:tc>
          <w:tcPr>
            <w:tcW w:w="48" w:type="pct"/>
            <w:tcBorders>
              <w:top w:val="nil"/>
              <w:left w:val="nil"/>
              <w:bottom w:val="nil"/>
              <w:right w:val="nil"/>
            </w:tcBorders>
            <w:shd w:val="clear" w:color="000000" w:fill="FFFFFF"/>
            <w:noWrap/>
            <w:vAlign w:val="bottom"/>
            <w:hideMark/>
          </w:tcPr>
          <w:p w14:paraId="7D90FB11"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3DFCB216" w14:textId="1669284D" w:rsidR="00B14504" w:rsidRPr="00FD24B8" w:rsidRDefault="0031144A" w:rsidP="00B14504">
            <w:pPr>
              <w:spacing w:after="0" w:line="240" w:lineRule="auto"/>
              <w:jc w:val="right"/>
              <w:rPr>
                <w:rFonts w:ascii="Arial" w:hAnsi="Arial" w:cs="Arial"/>
                <w:sz w:val="16"/>
                <w:szCs w:val="16"/>
              </w:rPr>
            </w:pPr>
            <w:r w:rsidRPr="00FD24B8">
              <w:rPr>
                <w:rFonts w:ascii="Arial" w:hAnsi="Arial" w:cs="Arial"/>
                <w:sz w:val="16"/>
                <w:szCs w:val="16"/>
              </w:rPr>
              <w:noBreakHyphen/>
            </w:r>
            <w:r w:rsidR="00B14504" w:rsidRPr="00FD24B8">
              <w:rPr>
                <w:rFonts w:ascii="Arial" w:hAnsi="Arial" w:cs="Arial"/>
                <w:sz w:val="16"/>
                <w:szCs w:val="16"/>
              </w:rPr>
              <w:t>146</w:t>
            </w:r>
          </w:p>
        </w:tc>
      </w:tr>
      <w:tr w:rsidR="00B14504" w:rsidRPr="00131EBC" w14:paraId="755EBFB4"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5FE0DE76" w14:textId="1F2C7D4A"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COVID</w:t>
            </w:r>
            <w:r w:rsidR="0031144A" w:rsidRPr="00FD24B8">
              <w:rPr>
                <w:rFonts w:ascii="Arial" w:hAnsi="Arial" w:cs="Arial"/>
                <w:sz w:val="16"/>
                <w:szCs w:val="16"/>
              </w:rPr>
              <w:noBreakHyphen/>
            </w:r>
            <w:r w:rsidRPr="00FD24B8">
              <w:rPr>
                <w:rFonts w:ascii="Arial" w:hAnsi="Arial" w:cs="Arial"/>
                <w:sz w:val="16"/>
                <w:szCs w:val="16"/>
              </w:rPr>
              <w:t xml:space="preserve">19 Support for </w:t>
            </w:r>
          </w:p>
        </w:tc>
        <w:tc>
          <w:tcPr>
            <w:tcW w:w="507" w:type="pct"/>
            <w:tcBorders>
              <w:top w:val="nil"/>
              <w:left w:val="nil"/>
              <w:bottom w:val="nil"/>
              <w:right w:val="nil"/>
            </w:tcBorders>
            <w:shd w:val="clear" w:color="000000" w:fill="FFFFFF"/>
            <w:noWrap/>
            <w:vAlign w:val="bottom"/>
            <w:hideMark/>
          </w:tcPr>
          <w:p w14:paraId="50C33D3E"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6D114E56"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4BF718C6"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617E548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467E58E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78263C4F"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6DE49616"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1BB8A579"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4EED4404" w14:textId="0AC55522" w:rsidR="00B14504" w:rsidRPr="00131EBC" w:rsidRDefault="00B14504" w:rsidP="00B14504">
            <w:pPr>
              <w:spacing w:after="0" w:line="240" w:lineRule="auto"/>
              <w:ind w:left="510"/>
              <w:jc w:val="left"/>
              <w:rPr>
                <w:rFonts w:ascii="Arial" w:hAnsi="Arial" w:cs="Arial"/>
                <w:sz w:val="16"/>
                <w:szCs w:val="16"/>
                <w:highlight w:val="darkCyan"/>
              </w:rPr>
            </w:pPr>
            <w:r w:rsidRPr="00FD24B8">
              <w:rPr>
                <w:rFonts w:ascii="Arial" w:hAnsi="Arial" w:cs="Arial"/>
                <w:sz w:val="16"/>
                <w:szCs w:val="16"/>
              </w:rPr>
              <w:t xml:space="preserve">Indonesia </w:t>
            </w:r>
            <w:r w:rsidR="0031144A" w:rsidRPr="00FD24B8">
              <w:rPr>
                <w:rFonts w:ascii="Arial" w:hAnsi="Arial" w:cs="Arial"/>
                <w:sz w:val="16"/>
                <w:szCs w:val="16"/>
              </w:rPr>
              <w:t>–</w:t>
            </w:r>
            <w:r w:rsidRPr="00FD24B8">
              <w:rPr>
                <w:rFonts w:ascii="Arial" w:hAnsi="Arial" w:cs="Arial"/>
                <w:sz w:val="16"/>
                <w:szCs w:val="16"/>
              </w:rPr>
              <w:t xml:space="preserve"> loan </w:t>
            </w:r>
          </w:p>
        </w:tc>
        <w:tc>
          <w:tcPr>
            <w:tcW w:w="507" w:type="pct"/>
            <w:tcBorders>
              <w:top w:val="nil"/>
              <w:left w:val="nil"/>
              <w:bottom w:val="nil"/>
              <w:right w:val="nil"/>
            </w:tcBorders>
            <w:shd w:val="clear" w:color="000000" w:fill="FFFFFF"/>
            <w:noWrap/>
            <w:vAlign w:val="bottom"/>
            <w:hideMark/>
          </w:tcPr>
          <w:p w14:paraId="7F572F62"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100</w:t>
            </w:r>
          </w:p>
        </w:tc>
        <w:tc>
          <w:tcPr>
            <w:tcW w:w="507" w:type="pct"/>
            <w:tcBorders>
              <w:top w:val="nil"/>
              <w:left w:val="nil"/>
              <w:bottom w:val="nil"/>
              <w:right w:val="nil"/>
            </w:tcBorders>
            <w:shd w:val="clear" w:color="000000" w:fill="F2F9FC"/>
            <w:noWrap/>
            <w:vAlign w:val="bottom"/>
            <w:hideMark/>
          </w:tcPr>
          <w:p w14:paraId="4EC1ABF3"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100</w:t>
            </w:r>
          </w:p>
        </w:tc>
        <w:tc>
          <w:tcPr>
            <w:tcW w:w="507" w:type="pct"/>
            <w:tcBorders>
              <w:top w:val="nil"/>
              <w:left w:val="nil"/>
              <w:bottom w:val="nil"/>
              <w:right w:val="nil"/>
            </w:tcBorders>
            <w:shd w:val="clear" w:color="000000" w:fill="FFFFFF"/>
            <w:noWrap/>
            <w:vAlign w:val="bottom"/>
            <w:hideMark/>
          </w:tcPr>
          <w:p w14:paraId="76EE7219"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100</w:t>
            </w:r>
          </w:p>
        </w:tc>
        <w:tc>
          <w:tcPr>
            <w:tcW w:w="507" w:type="pct"/>
            <w:tcBorders>
              <w:top w:val="nil"/>
              <w:left w:val="nil"/>
              <w:bottom w:val="nil"/>
              <w:right w:val="nil"/>
            </w:tcBorders>
            <w:shd w:val="clear" w:color="000000" w:fill="FFFFFF"/>
            <w:noWrap/>
            <w:vAlign w:val="bottom"/>
            <w:hideMark/>
          </w:tcPr>
          <w:p w14:paraId="349C2DB5"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100</w:t>
            </w:r>
          </w:p>
        </w:tc>
        <w:tc>
          <w:tcPr>
            <w:tcW w:w="507" w:type="pct"/>
            <w:tcBorders>
              <w:top w:val="nil"/>
              <w:left w:val="nil"/>
              <w:bottom w:val="nil"/>
              <w:right w:val="nil"/>
            </w:tcBorders>
            <w:shd w:val="clear" w:color="000000" w:fill="FFFFFF"/>
            <w:noWrap/>
            <w:vAlign w:val="bottom"/>
            <w:hideMark/>
          </w:tcPr>
          <w:p w14:paraId="66923FB5"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100</w:t>
            </w:r>
          </w:p>
        </w:tc>
        <w:tc>
          <w:tcPr>
            <w:tcW w:w="48" w:type="pct"/>
            <w:tcBorders>
              <w:top w:val="nil"/>
              <w:left w:val="nil"/>
              <w:bottom w:val="nil"/>
              <w:right w:val="nil"/>
            </w:tcBorders>
            <w:shd w:val="clear" w:color="000000" w:fill="FFFFFF"/>
            <w:noWrap/>
            <w:vAlign w:val="bottom"/>
            <w:hideMark/>
          </w:tcPr>
          <w:p w14:paraId="13A3037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6FC961C5" w14:textId="77777777" w:rsidR="00B14504" w:rsidRPr="00FD24B8" w:rsidRDefault="00B14504" w:rsidP="00B14504">
            <w:pPr>
              <w:spacing w:after="0" w:line="240" w:lineRule="auto"/>
              <w:jc w:val="right"/>
              <w:rPr>
                <w:rFonts w:ascii="Arial" w:hAnsi="Arial" w:cs="Arial"/>
                <w:sz w:val="16"/>
                <w:szCs w:val="16"/>
              </w:rPr>
            </w:pPr>
            <w:r w:rsidRPr="00FD24B8">
              <w:rPr>
                <w:rFonts w:ascii="Arial" w:hAnsi="Arial" w:cs="Arial"/>
                <w:sz w:val="16"/>
                <w:szCs w:val="16"/>
              </w:rPr>
              <w:t>400</w:t>
            </w:r>
          </w:p>
        </w:tc>
      </w:tr>
      <w:tr w:rsidR="00B14504" w:rsidRPr="00131EBC" w14:paraId="757C18FB"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15B0E3CF"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 xml:space="preserve">Financial Assistance to </w:t>
            </w:r>
          </w:p>
        </w:tc>
        <w:tc>
          <w:tcPr>
            <w:tcW w:w="507" w:type="pct"/>
            <w:tcBorders>
              <w:top w:val="nil"/>
              <w:left w:val="nil"/>
              <w:bottom w:val="nil"/>
              <w:right w:val="nil"/>
            </w:tcBorders>
            <w:shd w:val="clear" w:color="000000" w:fill="FFFFFF"/>
            <w:noWrap/>
            <w:vAlign w:val="bottom"/>
            <w:hideMark/>
          </w:tcPr>
          <w:p w14:paraId="3E202F4D"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73C3722A"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2BFFA341"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0926C0F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2EC5A11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6EC1D5A1"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1D2D7F5F"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656DD1D4"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34D73B3D" w14:textId="23791E12" w:rsidR="00B14504" w:rsidRPr="00131EBC" w:rsidRDefault="00B14504" w:rsidP="00B14504">
            <w:pPr>
              <w:spacing w:after="0" w:line="240" w:lineRule="auto"/>
              <w:ind w:left="510"/>
              <w:jc w:val="left"/>
              <w:rPr>
                <w:rFonts w:ascii="Arial" w:hAnsi="Arial" w:cs="Arial"/>
                <w:sz w:val="16"/>
                <w:szCs w:val="16"/>
                <w:highlight w:val="darkCyan"/>
              </w:rPr>
            </w:pPr>
            <w:r w:rsidRPr="00FD24B8">
              <w:rPr>
                <w:rFonts w:ascii="Arial" w:hAnsi="Arial" w:cs="Arial"/>
                <w:sz w:val="16"/>
                <w:szCs w:val="16"/>
              </w:rPr>
              <w:t xml:space="preserve">Papua New Guinea </w:t>
            </w:r>
            <w:r w:rsidR="0031144A" w:rsidRPr="00FD24B8">
              <w:rPr>
                <w:rFonts w:ascii="Arial" w:hAnsi="Arial" w:cs="Arial"/>
                <w:sz w:val="16"/>
                <w:szCs w:val="16"/>
              </w:rPr>
              <w:t>–</w:t>
            </w:r>
            <w:r w:rsidRPr="00FD24B8">
              <w:rPr>
                <w:rFonts w:ascii="Arial" w:hAnsi="Arial" w:cs="Arial"/>
                <w:sz w:val="16"/>
                <w:szCs w:val="16"/>
              </w:rPr>
              <w:t xml:space="preserve"> loan</w:t>
            </w:r>
          </w:p>
        </w:tc>
        <w:tc>
          <w:tcPr>
            <w:tcW w:w="507" w:type="pct"/>
            <w:tcBorders>
              <w:top w:val="nil"/>
              <w:left w:val="nil"/>
              <w:bottom w:val="nil"/>
              <w:right w:val="nil"/>
            </w:tcBorders>
            <w:shd w:val="clear" w:color="000000" w:fill="FFFFFF"/>
            <w:noWrap/>
            <w:vAlign w:val="bottom"/>
            <w:hideMark/>
          </w:tcPr>
          <w:p w14:paraId="400855EC" w14:textId="1011C0AD"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614</w:t>
            </w:r>
          </w:p>
        </w:tc>
        <w:tc>
          <w:tcPr>
            <w:tcW w:w="507" w:type="pct"/>
            <w:tcBorders>
              <w:top w:val="nil"/>
              <w:left w:val="nil"/>
              <w:bottom w:val="nil"/>
              <w:right w:val="nil"/>
            </w:tcBorders>
            <w:shd w:val="clear" w:color="000000" w:fill="F2F9FC"/>
            <w:noWrap/>
            <w:vAlign w:val="bottom"/>
            <w:hideMark/>
          </w:tcPr>
          <w:p w14:paraId="1AD51282"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72</w:t>
            </w:r>
          </w:p>
        </w:tc>
        <w:tc>
          <w:tcPr>
            <w:tcW w:w="507" w:type="pct"/>
            <w:tcBorders>
              <w:top w:val="nil"/>
              <w:left w:val="nil"/>
              <w:bottom w:val="nil"/>
              <w:right w:val="nil"/>
            </w:tcBorders>
            <w:shd w:val="clear" w:color="000000" w:fill="FFFFFF"/>
            <w:noWrap/>
            <w:vAlign w:val="bottom"/>
            <w:hideMark/>
          </w:tcPr>
          <w:p w14:paraId="7B33BB8C"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72</w:t>
            </w:r>
          </w:p>
        </w:tc>
        <w:tc>
          <w:tcPr>
            <w:tcW w:w="507" w:type="pct"/>
            <w:tcBorders>
              <w:top w:val="nil"/>
              <w:left w:val="nil"/>
              <w:bottom w:val="nil"/>
              <w:right w:val="nil"/>
            </w:tcBorders>
            <w:shd w:val="clear" w:color="000000" w:fill="FFFFFF"/>
            <w:noWrap/>
            <w:vAlign w:val="bottom"/>
            <w:hideMark/>
          </w:tcPr>
          <w:p w14:paraId="0AAEDE27"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72</w:t>
            </w:r>
          </w:p>
        </w:tc>
        <w:tc>
          <w:tcPr>
            <w:tcW w:w="507" w:type="pct"/>
            <w:tcBorders>
              <w:top w:val="nil"/>
              <w:left w:val="nil"/>
              <w:bottom w:val="nil"/>
              <w:right w:val="nil"/>
            </w:tcBorders>
            <w:shd w:val="clear" w:color="000000" w:fill="FFFFFF"/>
            <w:noWrap/>
            <w:vAlign w:val="bottom"/>
            <w:hideMark/>
          </w:tcPr>
          <w:p w14:paraId="718D2E0B"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72</w:t>
            </w:r>
          </w:p>
        </w:tc>
        <w:tc>
          <w:tcPr>
            <w:tcW w:w="48" w:type="pct"/>
            <w:tcBorders>
              <w:top w:val="nil"/>
              <w:left w:val="nil"/>
              <w:bottom w:val="nil"/>
              <w:right w:val="nil"/>
            </w:tcBorders>
            <w:shd w:val="clear" w:color="000000" w:fill="FFFFFF"/>
            <w:noWrap/>
            <w:vAlign w:val="bottom"/>
            <w:hideMark/>
          </w:tcPr>
          <w:p w14:paraId="502C5ED2"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13E7DD2" w14:textId="77777777" w:rsidR="00B14504" w:rsidRPr="00FD24B8" w:rsidRDefault="00B14504" w:rsidP="00B14504">
            <w:pPr>
              <w:spacing w:after="0" w:line="240" w:lineRule="auto"/>
              <w:jc w:val="right"/>
              <w:rPr>
                <w:rFonts w:ascii="Arial" w:hAnsi="Arial" w:cs="Arial"/>
                <w:sz w:val="16"/>
                <w:szCs w:val="16"/>
              </w:rPr>
            </w:pPr>
            <w:r w:rsidRPr="00FD24B8">
              <w:rPr>
                <w:rFonts w:ascii="Arial" w:hAnsi="Arial" w:cs="Arial"/>
                <w:sz w:val="16"/>
                <w:szCs w:val="16"/>
              </w:rPr>
              <w:t>288</w:t>
            </w:r>
          </w:p>
        </w:tc>
      </w:tr>
      <w:tr w:rsidR="00B14504" w:rsidRPr="00131EBC" w14:paraId="0C6CA00B"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4117AB7A" w14:textId="77777777" w:rsidR="00B14504" w:rsidRPr="00131EBC" w:rsidRDefault="00B14504" w:rsidP="00B14504">
            <w:pPr>
              <w:spacing w:after="0" w:line="240" w:lineRule="auto"/>
              <w:ind w:left="340"/>
              <w:jc w:val="left"/>
              <w:rPr>
                <w:rFonts w:ascii="Arial" w:hAnsi="Arial" w:cs="Arial"/>
                <w:sz w:val="16"/>
                <w:szCs w:val="16"/>
                <w:highlight w:val="darkCyan"/>
              </w:rPr>
            </w:pPr>
            <w:r w:rsidRPr="00FD24B8">
              <w:rPr>
                <w:rFonts w:ascii="Arial" w:hAnsi="Arial" w:cs="Arial"/>
                <w:sz w:val="16"/>
                <w:szCs w:val="16"/>
              </w:rPr>
              <w:t>Net other(c)</w:t>
            </w:r>
          </w:p>
        </w:tc>
        <w:tc>
          <w:tcPr>
            <w:tcW w:w="507" w:type="pct"/>
            <w:tcBorders>
              <w:top w:val="nil"/>
              <w:left w:val="nil"/>
              <w:bottom w:val="nil"/>
              <w:right w:val="nil"/>
            </w:tcBorders>
            <w:shd w:val="clear" w:color="000000" w:fill="FFFFFF"/>
            <w:noWrap/>
            <w:vAlign w:val="bottom"/>
            <w:hideMark/>
          </w:tcPr>
          <w:p w14:paraId="441A2BA8" w14:textId="2B748EA1"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4,861</w:t>
            </w:r>
          </w:p>
        </w:tc>
        <w:tc>
          <w:tcPr>
            <w:tcW w:w="507" w:type="pct"/>
            <w:tcBorders>
              <w:top w:val="nil"/>
              <w:left w:val="nil"/>
              <w:bottom w:val="nil"/>
              <w:right w:val="nil"/>
            </w:tcBorders>
            <w:shd w:val="clear" w:color="000000" w:fill="F2F9FC"/>
            <w:noWrap/>
            <w:vAlign w:val="bottom"/>
            <w:hideMark/>
          </w:tcPr>
          <w:p w14:paraId="3B0998AF" w14:textId="0FD2F127"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6,849</w:t>
            </w:r>
          </w:p>
        </w:tc>
        <w:tc>
          <w:tcPr>
            <w:tcW w:w="507" w:type="pct"/>
            <w:tcBorders>
              <w:top w:val="nil"/>
              <w:left w:val="nil"/>
              <w:bottom w:val="nil"/>
              <w:right w:val="nil"/>
            </w:tcBorders>
            <w:shd w:val="clear" w:color="000000" w:fill="FFFFFF"/>
            <w:noWrap/>
            <w:vAlign w:val="bottom"/>
            <w:hideMark/>
          </w:tcPr>
          <w:p w14:paraId="7A334471" w14:textId="2775361C"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4,572</w:t>
            </w:r>
          </w:p>
        </w:tc>
        <w:tc>
          <w:tcPr>
            <w:tcW w:w="507" w:type="pct"/>
            <w:tcBorders>
              <w:top w:val="nil"/>
              <w:left w:val="nil"/>
              <w:bottom w:val="nil"/>
              <w:right w:val="nil"/>
            </w:tcBorders>
            <w:shd w:val="clear" w:color="000000" w:fill="FFFFFF"/>
            <w:noWrap/>
            <w:vAlign w:val="bottom"/>
            <w:hideMark/>
          </w:tcPr>
          <w:p w14:paraId="1BD59F36" w14:textId="422ED1D4"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4,270</w:t>
            </w:r>
          </w:p>
        </w:tc>
        <w:tc>
          <w:tcPr>
            <w:tcW w:w="507" w:type="pct"/>
            <w:tcBorders>
              <w:top w:val="nil"/>
              <w:left w:val="nil"/>
              <w:bottom w:val="nil"/>
              <w:right w:val="nil"/>
            </w:tcBorders>
            <w:shd w:val="clear" w:color="000000" w:fill="FFFFFF"/>
            <w:noWrap/>
            <w:vAlign w:val="bottom"/>
            <w:hideMark/>
          </w:tcPr>
          <w:p w14:paraId="6D498D57" w14:textId="0E849224" w:rsidR="00B14504" w:rsidRPr="00131EBC" w:rsidRDefault="0031144A" w:rsidP="00B14504">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B14504" w:rsidRPr="00FD24B8">
              <w:rPr>
                <w:rFonts w:ascii="Arial" w:hAnsi="Arial" w:cs="Arial"/>
                <w:sz w:val="16"/>
                <w:szCs w:val="16"/>
              </w:rPr>
              <w:t>2,731</w:t>
            </w:r>
          </w:p>
        </w:tc>
        <w:tc>
          <w:tcPr>
            <w:tcW w:w="48" w:type="pct"/>
            <w:tcBorders>
              <w:top w:val="nil"/>
              <w:left w:val="nil"/>
              <w:bottom w:val="nil"/>
              <w:right w:val="nil"/>
            </w:tcBorders>
            <w:shd w:val="clear" w:color="000000" w:fill="FFFFFF"/>
            <w:noWrap/>
            <w:vAlign w:val="bottom"/>
            <w:hideMark/>
          </w:tcPr>
          <w:p w14:paraId="39C041AF"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1FA4B2D0" w14:textId="554D85F0" w:rsidR="00B14504" w:rsidRPr="00FD24B8" w:rsidRDefault="0031144A" w:rsidP="00B14504">
            <w:pPr>
              <w:spacing w:after="0" w:line="240" w:lineRule="auto"/>
              <w:jc w:val="right"/>
              <w:rPr>
                <w:rFonts w:ascii="Arial" w:hAnsi="Arial" w:cs="Arial"/>
                <w:sz w:val="16"/>
                <w:szCs w:val="16"/>
              </w:rPr>
            </w:pPr>
            <w:r w:rsidRPr="00FD24B8">
              <w:rPr>
                <w:rFonts w:ascii="Arial" w:hAnsi="Arial" w:cs="Arial"/>
                <w:sz w:val="16"/>
                <w:szCs w:val="16"/>
              </w:rPr>
              <w:noBreakHyphen/>
            </w:r>
            <w:r w:rsidR="00B14504" w:rsidRPr="00FD24B8">
              <w:rPr>
                <w:rFonts w:ascii="Arial" w:hAnsi="Arial" w:cs="Arial"/>
                <w:sz w:val="16"/>
                <w:szCs w:val="16"/>
              </w:rPr>
              <w:t>18,422</w:t>
            </w:r>
          </w:p>
        </w:tc>
      </w:tr>
      <w:tr w:rsidR="00B14504" w:rsidRPr="00131EBC" w14:paraId="194BB4CA"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3E448E9A"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xml:space="preserve">Total net cash flows from </w:t>
            </w:r>
          </w:p>
        </w:tc>
        <w:tc>
          <w:tcPr>
            <w:tcW w:w="507" w:type="pct"/>
            <w:tcBorders>
              <w:top w:val="nil"/>
              <w:left w:val="nil"/>
              <w:bottom w:val="nil"/>
              <w:right w:val="nil"/>
            </w:tcBorders>
            <w:shd w:val="clear" w:color="000000" w:fill="FFFFFF"/>
            <w:noWrap/>
            <w:vAlign w:val="bottom"/>
            <w:hideMark/>
          </w:tcPr>
          <w:p w14:paraId="671F842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3F1DE70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79357C24"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13E8678B"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55D8F9B7"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7FF0C07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2156189"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54563D75"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08637211" w14:textId="77777777" w:rsidR="00B14504" w:rsidRPr="00131EBC" w:rsidRDefault="00B14504" w:rsidP="00B14504">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 xml:space="preserve">investments in financial </w:t>
            </w:r>
          </w:p>
        </w:tc>
        <w:tc>
          <w:tcPr>
            <w:tcW w:w="507" w:type="pct"/>
            <w:tcBorders>
              <w:top w:val="nil"/>
              <w:left w:val="nil"/>
              <w:bottom w:val="nil"/>
              <w:right w:val="nil"/>
            </w:tcBorders>
            <w:shd w:val="clear" w:color="000000" w:fill="FFFFFF"/>
            <w:noWrap/>
            <w:vAlign w:val="bottom"/>
            <w:hideMark/>
          </w:tcPr>
          <w:p w14:paraId="6A1BB0FE"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2F9FC"/>
            <w:noWrap/>
            <w:vAlign w:val="bottom"/>
            <w:hideMark/>
          </w:tcPr>
          <w:p w14:paraId="4361F0AA"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1F5A9548"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711DB7BB"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nil"/>
              <w:left w:val="nil"/>
              <w:bottom w:val="nil"/>
              <w:right w:val="nil"/>
            </w:tcBorders>
            <w:shd w:val="clear" w:color="000000" w:fill="FFFFFF"/>
            <w:noWrap/>
            <w:vAlign w:val="bottom"/>
            <w:hideMark/>
          </w:tcPr>
          <w:p w14:paraId="1C1E7334"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57364584"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815B88F"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14504" w:rsidRPr="00131EBC" w14:paraId="263A1693"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0B80A6D8" w14:textId="77777777" w:rsidR="00B14504" w:rsidRPr="00131EBC" w:rsidRDefault="00B14504" w:rsidP="00B14504">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assets for policy purposes</w:t>
            </w:r>
          </w:p>
        </w:tc>
        <w:tc>
          <w:tcPr>
            <w:tcW w:w="507" w:type="pct"/>
            <w:tcBorders>
              <w:top w:val="nil"/>
              <w:left w:val="nil"/>
              <w:bottom w:val="nil"/>
              <w:right w:val="nil"/>
            </w:tcBorders>
            <w:shd w:val="clear" w:color="000000" w:fill="FFFFFF"/>
            <w:noWrap/>
            <w:vAlign w:val="bottom"/>
            <w:hideMark/>
          </w:tcPr>
          <w:p w14:paraId="618D712D" w14:textId="2A6E1D43"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5,949</w:t>
            </w:r>
          </w:p>
        </w:tc>
        <w:tc>
          <w:tcPr>
            <w:tcW w:w="507" w:type="pct"/>
            <w:tcBorders>
              <w:top w:val="nil"/>
              <w:left w:val="nil"/>
              <w:bottom w:val="nil"/>
              <w:right w:val="nil"/>
            </w:tcBorders>
            <w:shd w:val="clear" w:color="000000" w:fill="F2F9FC"/>
            <w:noWrap/>
            <w:vAlign w:val="bottom"/>
            <w:hideMark/>
          </w:tcPr>
          <w:p w14:paraId="0A3BBAD8" w14:textId="126025D5"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12,857</w:t>
            </w:r>
          </w:p>
        </w:tc>
        <w:tc>
          <w:tcPr>
            <w:tcW w:w="507" w:type="pct"/>
            <w:tcBorders>
              <w:top w:val="nil"/>
              <w:left w:val="nil"/>
              <w:bottom w:val="nil"/>
              <w:right w:val="nil"/>
            </w:tcBorders>
            <w:shd w:val="clear" w:color="000000" w:fill="FFFFFF"/>
            <w:noWrap/>
            <w:vAlign w:val="bottom"/>
            <w:hideMark/>
          </w:tcPr>
          <w:p w14:paraId="307BAEBC" w14:textId="1EDE6823"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3,873</w:t>
            </w:r>
          </w:p>
        </w:tc>
        <w:tc>
          <w:tcPr>
            <w:tcW w:w="507" w:type="pct"/>
            <w:tcBorders>
              <w:top w:val="nil"/>
              <w:left w:val="nil"/>
              <w:bottom w:val="nil"/>
              <w:right w:val="nil"/>
            </w:tcBorders>
            <w:shd w:val="clear" w:color="000000" w:fill="FFFFFF"/>
            <w:noWrap/>
            <w:vAlign w:val="bottom"/>
            <w:hideMark/>
          </w:tcPr>
          <w:p w14:paraId="13EB39F7" w14:textId="2387C8FB"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10,130</w:t>
            </w:r>
          </w:p>
        </w:tc>
        <w:tc>
          <w:tcPr>
            <w:tcW w:w="507" w:type="pct"/>
            <w:tcBorders>
              <w:top w:val="nil"/>
              <w:left w:val="nil"/>
              <w:bottom w:val="nil"/>
              <w:right w:val="nil"/>
            </w:tcBorders>
            <w:shd w:val="clear" w:color="000000" w:fill="FFFFFF"/>
            <w:noWrap/>
            <w:vAlign w:val="bottom"/>
            <w:hideMark/>
          </w:tcPr>
          <w:p w14:paraId="421B8023" w14:textId="542BF38D"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6,818</w:t>
            </w:r>
          </w:p>
        </w:tc>
        <w:tc>
          <w:tcPr>
            <w:tcW w:w="48" w:type="pct"/>
            <w:tcBorders>
              <w:top w:val="nil"/>
              <w:left w:val="nil"/>
              <w:bottom w:val="nil"/>
              <w:right w:val="nil"/>
            </w:tcBorders>
            <w:shd w:val="clear" w:color="000000" w:fill="FFFFFF"/>
            <w:noWrap/>
            <w:vAlign w:val="bottom"/>
            <w:hideMark/>
          </w:tcPr>
          <w:p w14:paraId="340F9C87"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5F4AA67" w14:textId="5A7AAFFD" w:rsidR="00B14504" w:rsidRPr="00FD24B8" w:rsidRDefault="0031144A" w:rsidP="00B14504">
            <w:pPr>
              <w:spacing w:after="0" w:line="240" w:lineRule="auto"/>
              <w:jc w:val="right"/>
              <w:rPr>
                <w:rFonts w:ascii="Arial" w:hAnsi="Arial" w:cs="Arial"/>
                <w:b/>
                <w:sz w:val="16"/>
                <w:szCs w:val="16"/>
              </w:rPr>
            </w:pPr>
            <w:r w:rsidRPr="00FD24B8">
              <w:rPr>
                <w:rFonts w:ascii="Arial" w:hAnsi="Arial" w:cs="Arial"/>
                <w:b/>
                <w:sz w:val="16"/>
                <w:szCs w:val="16"/>
              </w:rPr>
              <w:noBreakHyphen/>
            </w:r>
            <w:r w:rsidR="00B14504" w:rsidRPr="00FD24B8">
              <w:rPr>
                <w:rFonts w:ascii="Arial" w:hAnsi="Arial" w:cs="Arial"/>
                <w:b/>
                <w:sz w:val="16"/>
                <w:szCs w:val="16"/>
              </w:rPr>
              <w:t>33,679</w:t>
            </w:r>
          </w:p>
        </w:tc>
      </w:tr>
      <w:tr w:rsidR="00B14504" w:rsidRPr="00131EBC" w14:paraId="4BCD4C7C" w14:textId="77777777" w:rsidTr="00B14504">
        <w:trPr>
          <w:trHeight w:hRule="exact" w:val="60"/>
        </w:trPr>
        <w:tc>
          <w:tcPr>
            <w:tcW w:w="1902" w:type="pct"/>
            <w:tcBorders>
              <w:top w:val="nil"/>
              <w:left w:val="nil"/>
              <w:bottom w:val="nil"/>
              <w:right w:val="nil"/>
            </w:tcBorders>
            <w:shd w:val="clear" w:color="000000" w:fill="FFFFFF"/>
            <w:noWrap/>
            <w:vAlign w:val="bottom"/>
            <w:hideMark/>
          </w:tcPr>
          <w:p w14:paraId="1D80C11F" w14:textId="77777777" w:rsidR="00B14504" w:rsidRPr="00131EBC" w:rsidRDefault="00B14504" w:rsidP="00B14504">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 </w:t>
            </w:r>
          </w:p>
        </w:tc>
        <w:tc>
          <w:tcPr>
            <w:tcW w:w="507" w:type="pct"/>
            <w:tcBorders>
              <w:top w:val="nil"/>
              <w:left w:val="nil"/>
              <w:bottom w:val="nil"/>
              <w:right w:val="nil"/>
            </w:tcBorders>
            <w:shd w:val="clear" w:color="000000" w:fill="FFFFFF"/>
            <w:noWrap/>
            <w:vAlign w:val="bottom"/>
            <w:hideMark/>
          </w:tcPr>
          <w:p w14:paraId="6F7D932F"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07" w:type="pct"/>
            <w:tcBorders>
              <w:top w:val="nil"/>
              <w:left w:val="nil"/>
              <w:bottom w:val="nil"/>
              <w:right w:val="nil"/>
            </w:tcBorders>
            <w:shd w:val="clear" w:color="000000" w:fill="F2F9FC"/>
            <w:noWrap/>
            <w:vAlign w:val="bottom"/>
            <w:hideMark/>
          </w:tcPr>
          <w:p w14:paraId="3F845282"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07" w:type="pct"/>
            <w:tcBorders>
              <w:top w:val="nil"/>
              <w:left w:val="nil"/>
              <w:bottom w:val="nil"/>
              <w:right w:val="nil"/>
            </w:tcBorders>
            <w:shd w:val="clear" w:color="000000" w:fill="FFFFFF"/>
            <w:noWrap/>
            <w:vAlign w:val="bottom"/>
            <w:hideMark/>
          </w:tcPr>
          <w:p w14:paraId="525E1660"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07" w:type="pct"/>
            <w:tcBorders>
              <w:top w:val="nil"/>
              <w:left w:val="nil"/>
              <w:bottom w:val="nil"/>
              <w:right w:val="nil"/>
            </w:tcBorders>
            <w:shd w:val="clear" w:color="000000" w:fill="FFFFFF"/>
            <w:noWrap/>
            <w:vAlign w:val="bottom"/>
            <w:hideMark/>
          </w:tcPr>
          <w:p w14:paraId="7E8D2FD9"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07" w:type="pct"/>
            <w:tcBorders>
              <w:top w:val="nil"/>
              <w:left w:val="nil"/>
              <w:bottom w:val="nil"/>
              <w:right w:val="nil"/>
            </w:tcBorders>
            <w:shd w:val="clear" w:color="000000" w:fill="FFFFFF"/>
            <w:noWrap/>
            <w:vAlign w:val="bottom"/>
            <w:hideMark/>
          </w:tcPr>
          <w:p w14:paraId="097182E9" w14:textId="77777777"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48" w:type="pct"/>
            <w:tcBorders>
              <w:top w:val="nil"/>
              <w:left w:val="nil"/>
              <w:bottom w:val="nil"/>
              <w:right w:val="nil"/>
            </w:tcBorders>
            <w:shd w:val="clear" w:color="000000" w:fill="FFFFFF"/>
            <w:noWrap/>
            <w:vAlign w:val="bottom"/>
            <w:hideMark/>
          </w:tcPr>
          <w:p w14:paraId="62B7C77C"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3F6CCBA5" w14:textId="77777777" w:rsidR="00B14504" w:rsidRPr="00FD24B8" w:rsidRDefault="00B14504" w:rsidP="00B14504">
            <w:pPr>
              <w:spacing w:after="0" w:line="240" w:lineRule="auto"/>
              <w:jc w:val="left"/>
              <w:rPr>
                <w:rFonts w:ascii="Arial" w:hAnsi="Arial" w:cs="Arial"/>
                <w:b/>
                <w:sz w:val="16"/>
                <w:szCs w:val="16"/>
              </w:rPr>
            </w:pPr>
            <w:r w:rsidRPr="00FD24B8">
              <w:rPr>
                <w:rFonts w:ascii="Arial" w:hAnsi="Arial" w:cs="Arial"/>
                <w:b/>
                <w:sz w:val="16"/>
                <w:szCs w:val="16"/>
              </w:rPr>
              <w:t> </w:t>
            </w:r>
          </w:p>
        </w:tc>
      </w:tr>
      <w:tr w:rsidR="00B31B91" w:rsidRPr="00131EBC" w14:paraId="099808CF" w14:textId="77777777" w:rsidTr="00B14504">
        <w:trPr>
          <w:trHeight w:hRule="exact" w:val="225"/>
        </w:trPr>
        <w:tc>
          <w:tcPr>
            <w:tcW w:w="1902" w:type="pct"/>
            <w:tcBorders>
              <w:top w:val="nil"/>
              <w:left w:val="nil"/>
              <w:bottom w:val="nil"/>
              <w:right w:val="nil"/>
            </w:tcBorders>
            <w:shd w:val="clear" w:color="000000" w:fill="FFFFFF"/>
            <w:noWrap/>
            <w:vAlign w:val="bottom"/>
            <w:hideMark/>
          </w:tcPr>
          <w:p w14:paraId="1DFC1F32" w14:textId="35072A6E" w:rsidR="00B14504" w:rsidRPr="00131EBC" w:rsidRDefault="00B14504" w:rsidP="00B14504">
            <w:pPr>
              <w:spacing w:after="0" w:line="240" w:lineRule="auto"/>
              <w:jc w:val="left"/>
              <w:rPr>
                <w:rFonts w:ascii="Arial" w:hAnsi="Arial" w:cs="Arial"/>
                <w:b/>
                <w:sz w:val="16"/>
                <w:szCs w:val="16"/>
                <w:highlight w:val="darkCyan"/>
              </w:rPr>
            </w:pPr>
            <w:r w:rsidRPr="00FD24B8">
              <w:rPr>
                <w:rFonts w:ascii="Arial" w:hAnsi="Arial" w:cs="Arial"/>
                <w:b/>
                <w:sz w:val="16"/>
                <w:szCs w:val="16"/>
              </w:rPr>
              <w:t>2022</w:t>
            </w:r>
            <w:r w:rsidR="0031144A" w:rsidRPr="00FD24B8">
              <w:rPr>
                <w:rFonts w:ascii="Arial" w:hAnsi="Arial" w:cs="Arial"/>
                <w:b/>
                <w:sz w:val="16"/>
                <w:szCs w:val="16"/>
              </w:rPr>
              <w:noBreakHyphen/>
            </w:r>
            <w:r w:rsidRPr="00FD24B8">
              <w:rPr>
                <w:rFonts w:ascii="Arial" w:hAnsi="Arial" w:cs="Arial"/>
                <w:b/>
                <w:sz w:val="16"/>
                <w:szCs w:val="16"/>
              </w:rPr>
              <w:t>23 Budget headline cash</w:t>
            </w:r>
          </w:p>
        </w:tc>
        <w:tc>
          <w:tcPr>
            <w:tcW w:w="507" w:type="pct"/>
            <w:tcBorders>
              <w:top w:val="single" w:sz="4" w:space="0" w:color="auto"/>
              <w:left w:val="nil"/>
              <w:bottom w:val="nil"/>
              <w:right w:val="nil"/>
            </w:tcBorders>
            <w:shd w:val="clear" w:color="000000" w:fill="FFFFFF"/>
            <w:noWrap/>
            <w:vAlign w:val="bottom"/>
            <w:hideMark/>
          </w:tcPr>
          <w:p w14:paraId="6C457516"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single" w:sz="4" w:space="0" w:color="auto"/>
              <w:left w:val="nil"/>
              <w:bottom w:val="nil"/>
              <w:right w:val="nil"/>
            </w:tcBorders>
            <w:shd w:val="clear" w:color="000000" w:fill="F2F9FC"/>
            <w:noWrap/>
            <w:vAlign w:val="bottom"/>
            <w:hideMark/>
          </w:tcPr>
          <w:p w14:paraId="3FA9C879"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07" w:type="pct"/>
            <w:tcBorders>
              <w:top w:val="single" w:sz="4" w:space="0" w:color="auto"/>
              <w:left w:val="nil"/>
              <w:bottom w:val="nil"/>
              <w:right w:val="nil"/>
            </w:tcBorders>
            <w:shd w:val="clear" w:color="000000" w:fill="FFFFFF"/>
            <w:noWrap/>
            <w:vAlign w:val="bottom"/>
            <w:hideMark/>
          </w:tcPr>
          <w:p w14:paraId="6F7CB0FB"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7" w:type="pct"/>
            <w:tcBorders>
              <w:top w:val="single" w:sz="4" w:space="0" w:color="auto"/>
              <w:left w:val="nil"/>
              <w:bottom w:val="nil"/>
              <w:right w:val="nil"/>
            </w:tcBorders>
            <w:shd w:val="clear" w:color="000000" w:fill="FFFFFF"/>
            <w:noWrap/>
            <w:vAlign w:val="bottom"/>
            <w:hideMark/>
          </w:tcPr>
          <w:p w14:paraId="1D9E8406"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07" w:type="pct"/>
            <w:tcBorders>
              <w:top w:val="single" w:sz="4" w:space="0" w:color="auto"/>
              <w:left w:val="nil"/>
              <w:bottom w:val="nil"/>
              <w:right w:val="nil"/>
            </w:tcBorders>
            <w:shd w:val="clear" w:color="000000" w:fill="FFFFFF"/>
            <w:noWrap/>
            <w:vAlign w:val="bottom"/>
            <w:hideMark/>
          </w:tcPr>
          <w:p w14:paraId="653B90F3" w14:textId="77777777" w:rsidR="00B14504" w:rsidRPr="00131EBC" w:rsidRDefault="00B14504" w:rsidP="00B14504">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8" w:type="pct"/>
            <w:tcBorders>
              <w:top w:val="nil"/>
              <w:left w:val="nil"/>
              <w:bottom w:val="nil"/>
              <w:right w:val="nil"/>
            </w:tcBorders>
            <w:shd w:val="clear" w:color="000000" w:fill="FFFFFF"/>
            <w:noWrap/>
            <w:vAlign w:val="bottom"/>
            <w:hideMark/>
          </w:tcPr>
          <w:p w14:paraId="3934B203"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single" w:sz="4" w:space="0" w:color="auto"/>
              <w:left w:val="nil"/>
              <w:bottom w:val="nil"/>
              <w:right w:val="nil"/>
            </w:tcBorders>
            <w:shd w:val="clear" w:color="000000" w:fill="FFFFFF"/>
            <w:noWrap/>
            <w:vAlign w:val="bottom"/>
            <w:hideMark/>
          </w:tcPr>
          <w:p w14:paraId="359E00F8" w14:textId="77777777" w:rsidR="00B14504" w:rsidRPr="00FD24B8" w:rsidRDefault="00B14504" w:rsidP="00B14504">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10021348" w14:textId="77777777" w:rsidTr="00B14504">
        <w:trPr>
          <w:trHeight w:hRule="exact" w:val="225"/>
        </w:trPr>
        <w:tc>
          <w:tcPr>
            <w:tcW w:w="1902" w:type="pct"/>
            <w:tcBorders>
              <w:top w:val="nil"/>
              <w:left w:val="nil"/>
              <w:bottom w:val="single" w:sz="4" w:space="0" w:color="000000"/>
              <w:right w:val="nil"/>
            </w:tcBorders>
            <w:shd w:val="clear" w:color="000000" w:fill="FFFFFF"/>
            <w:noWrap/>
            <w:vAlign w:val="bottom"/>
            <w:hideMark/>
          </w:tcPr>
          <w:p w14:paraId="28969117" w14:textId="77777777" w:rsidR="00B14504" w:rsidRPr="00131EBC" w:rsidRDefault="00B14504" w:rsidP="00B14504">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balance</w:t>
            </w:r>
          </w:p>
        </w:tc>
        <w:tc>
          <w:tcPr>
            <w:tcW w:w="507" w:type="pct"/>
            <w:tcBorders>
              <w:top w:val="nil"/>
              <w:left w:val="nil"/>
              <w:bottom w:val="single" w:sz="4" w:space="0" w:color="000000"/>
              <w:right w:val="nil"/>
            </w:tcBorders>
            <w:shd w:val="clear" w:color="000000" w:fill="FFFFFF"/>
            <w:noWrap/>
            <w:vAlign w:val="bottom"/>
            <w:hideMark/>
          </w:tcPr>
          <w:p w14:paraId="3348F96C" w14:textId="11418E97"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85,770</w:t>
            </w:r>
          </w:p>
        </w:tc>
        <w:tc>
          <w:tcPr>
            <w:tcW w:w="507" w:type="pct"/>
            <w:tcBorders>
              <w:top w:val="nil"/>
              <w:left w:val="nil"/>
              <w:bottom w:val="single" w:sz="4" w:space="0" w:color="000000"/>
              <w:right w:val="nil"/>
            </w:tcBorders>
            <w:shd w:val="clear" w:color="000000" w:fill="F2F9FC"/>
            <w:noWrap/>
            <w:vAlign w:val="bottom"/>
            <w:hideMark/>
          </w:tcPr>
          <w:p w14:paraId="11956473" w14:textId="18BE5BAD"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90,819</w:t>
            </w:r>
          </w:p>
        </w:tc>
        <w:tc>
          <w:tcPr>
            <w:tcW w:w="507" w:type="pct"/>
            <w:tcBorders>
              <w:top w:val="nil"/>
              <w:left w:val="nil"/>
              <w:bottom w:val="single" w:sz="4" w:space="0" w:color="000000"/>
              <w:right w:val="nil"/>
            </w:tcBorders>
            <w:shd w:val="clear" w:color="000000" w:fill="FFFFFF"/>
            <w:noWrap/>
            <w:vAlign w:val="bottom"/>
            <w:hideMark/>
          </w:tcPr>
          <w:p w14:paraId="2B3B5CCE" w14:textId="10D345D3"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60,406</w:t>
            </w:r>
          </w:p>
        </w:tc>
        <w:tc>
          <w:tcPr>
            <w:tcW w:w="507" w:type="pct"/>
            <w:tcBorders>
              <w:top w:val="nil"/>
              <w:left w:val="nil"/>
              <w:bottom w:val="single" w:sz="4" w:space="0" w:color="000000"/>
              <w:right w:val="nil"/>
            </w:tcBorders>
            <w:shd w:val="clear" w:color="000000" w:fill="FFFFFF"/>
            <w:noWrap/>
            <w:vAlign w:val="bottom"/>
            <w:hideMark/>
          </w:tcPr>
          <w:p w14:paraId="1F641A30" w14:textId="3C31D7BE"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57,238</w:t>
            </w:r>
          </w:p>
        </w:tc>
        <w:tc>
          <w:tcPr>
            <w:tcW w:w="507" w:type="pct"/>
            <w:tcBorders>
              <w:top w:val="nil"/>
              <w:left w:val="nil"/>
              <w:bottom w:val="single" w:sz="4" w:space="0" w:color="000000"/>
              <w:right w:val="nil"/>
            </w:tcBorders>
            <w:shd w:val="clear" w:color="000000" w:fill="FFFFFF"/>
            <w:noWrap/>
            <w:vAlign w:val="bottom"/>
            <w:hideMark/>
          </w:tcPr>
          <w:p w14:paraId="5E4D64A0" w14:textId="132289FF" w:rsidR="00B14504" w:rsidRPr="00131EBC" w:rsidRDefault="0031144A" w:rsidP="00B14504">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B14504" w:rsidRPr="00FD24B8">
              <w:rPr>
                <w:rFonts w:ascii="Arial" w:hAnsi="Arial" w:cs="Arial"/>
                <w:b/>
                <w:sz w:val="16"/>
                <w:szCs w:val="16"/>
              </w:rPr>
              <w:t>49,887</w:t>
            </w:r>
          </w:p>
        </w:tc>
        <w:tc>
          <w:tcPr>
            <w:tcW w:w="48" w:type="pct"/>
            <w:tcBorders>
              <w:top w:val="nil"/>
              <w:left w:val="nil"/>
              <w:bottom w:val="single" w:sz="4" w:space="0" w:color="000000"/>
              <w:right w:val="nil"/>
            </w:tcBorders>
            <w:shd w:val="clear" w:color="000000" w:fill="FFFFFF"/>
            <w:noWrap/>
            <w:vAlign w:val="bottom"/>
            <w:hideMark/>
          </w:tcPr>
          <w:p w14:paraId="5A1A2903" w14:textId="77777777" w:rsidR="00B14504" w:rsidRPr="00131EBC" w:rsidRDefault="00B14504" w:rsidP="00B14504">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15" w:type="pct"/>
            <w:tcBorders>
              <w:top w:val="nil"/>
              <w:left w:val="nil"/>
              <w:bottom w:val="single" w:sz="4" w:space="0" w:color="000000"/>
              <w:right w:val="nil"/>
            </w:tcBorders>
            <w:shd w:val="clear" w:color="000000" w:fill="FFFFFF"/>
            <w:noWrap/>
            <w:vAlign w:val="bottom"/>
            <w:hideMark/>
          </w:tcPr>
          <w:p w14:paraId="38A43E98" w14:textId="46AE874B" w:rsidR="00B14504" w:rsidRPr="00FD24B8" w:rsidRDefault="0031144A" w:rsidP="00B14504">
            <w:pPr>
              <w:spacing w:after="0" w:line="240" w:lineRule="auto"/>
              <w:jc w:val="right"/>
              <w:rPr>
                <w:rFonts w:ascii="Arial" w:hAnsi="Arial" w:cs="Arial"/>
                <w:b/>
                <w:sz w:val="16"/>
                <w:szCs w:val="16"/>
              </w:rPr>
            </w:pPr>
            <w:r w:rsidRPr="00FD24B8">
              <w:rPr>
                <w:rFonts w:ascii="Arial" w:hAnsi="Arial" w:cs="Arial"/>
                <w:b/>
                <w:sz w:val="16"/>
                <w:szCs w:val="16"/>
              </w:rPr>
              <w:noBreakHyphen/>
            </w:r>
            <w:r w:rsidR="00B14504" w:rsidRPr="00FD24B8">
              <w:rPr>
                <w:rFonts w:ascii="Arial" w:hAnsi="Arial" w:cs="Arial"/>
                <w:b/>
                <w:sz w:val="16"/>
                <w:szCs w:val="16"/>
              </w:rPr>
              <w:t>258,350</w:t>
            </w:r>
          </w:p>
        </w:tc>
      </w:tr>
    </w:tbl>
    <w:p w14:paraId="4CA0DD55" w14:textId="77A8FC26" w:rsidR="00AC01E1" w:rsidRPr="00FD24B8" w:rsidRDefault="00AC01E1" w:rsidP="004D6A22">
      <w:pPr>
        <w:pStyle w:val="ChartandTableFootnoteAlpha"/>
        <w:numPr>
          <w:ilvl w:val="0"/>
          <w:numId w:val="11"/>
        </w:numPr>
        <w:rPr>
          <w:color w:val="auto"/>
        </w:rPr>
      </w:pPr>
      <w:r w:rsidRPr="00FD24B8">
        <w:rPr>
          <w:color w:val="auto"/>
        </w:rPr>
        <w:t>Total is equal to the sum of amounts from 2022</w:t>
      </w:r>
      <w:r w:rsidR="00C1771F" w:rsidRPr="00FD24B8">
        <w:rPr>
          <w:color w:val="auto"/>
        </w:rPr>
        <w:noBreakHyphen/>
      </w:r>
      <w:r w:rsidRPr="00FD24B8">
        <w:rPr>
          <w:color w:val="auto"/>
        </w:rPr>
        <w:t>23 to 2025</w:t>
      </w:r>
      <w:r w:rsidRPr="00FD24B8">
        <w:rPr>
          <w:color w:val="auto"/>
        </w:rPr>
        <w:noBreakHyphen/>
        <w:t>26.</w:t>
      </w:r>
    </w:p>
    <w:p w14:paraId="5257F2C0" w14:textId="457E2ACB" w:rsidR="00AC01E1" w:rsidRPr="00FD24B8" w:rsidRDefault="00AC01E1" w:rsidP="000B004B">
      <w:pPr>
        <w:pStyle w:val="ChartandTableFootnoteAlpha"/>
        <w:rPr>
          <w:color w:val="auto"/>
        </w:rPr>
      </w:pPr>
      <w:r w:rsidRPr="00FD24B8">
        <w:rPr>
          <w:color w:val="auto"/>
        </w:rPr>
        <w:t>This financial profile represents the actual repayments for 2021</w:t>
      </w:r>
      <w:r w:rsidRPr="00FD24B8">
        <w:rPr>
          <w:color w:val="auto"/>
        </w:rPr>
        <w:noBreakHyphen/>
        <w:t>22. As the loan agreement between the Government and NBN Co allows some flexibility in relation to the timing of the repayment, the remaining amount is included in 2023</w:t>
      </w:r>
      <w:r w:rsidRPr="00FD24B8">
        <w:rPr>
          <w:color w:val="auto"/>
        </w:rPr>
        <w:noBreakHyphen/>
        <w:t>24.</w:t>
      </w:r>
    </w:p>
    <w:p w14:paraId="61992FCB" w14:textId="07207E70" w:rsidR="006B6EAF" w:rsidRPr="00A56B05" w:rsidRDefault="00AC01E1" w:rsidP="006B6EAF">
      <w:pPr>
        <w:pStyle w:val="ChartandTableFootnoteAlpha"/>
        <w:rPr>
          <w:color w:val="auto"/>
        </w:rPr>
      </w:pPr>
      <w:r w:rsidRPr="00FD24B8">
        <w:rPr>
          <w:color w:val="auto"/>
        </w:rPr>
        <w:t xml:space="preserve">Net other includes amounts that </w:t>
      </w:r>
      <w:r w:rsidR="001041ED" w:rsidRPr="00FD24B8">
        <w:rPr>
          <w:color w:val="auto"/>
        </w:rPr>
        <w:t xml:space="preserve">that </w:t>
      </w:r>
      <w:r w:rsidRPr="00FD24B8">
        <w:rPr>
          <w:color w:val="auto"/>
        </w:rPr>
        <w:t xml:space="preserve">have </w:t>
      </w:r>
      <w:r w:rsidR="004D35A3" w:rsidRPr="00FD24B8">
        <w:rPr>
          <w:color w:val="auto"/>
        </w:rPr>
        <w:t xml:space="preserve">not </w:t>
      </w:r>
      <w:r w:rsidRPr="00FD24B8">
        <w:rPr>
          <w:color w:val="auto"/>
        </w:rPr>
        <w:t>been itemised for commercial</w:t>
      </w:r>
      <w:r w:rsidRPr="00FD24B8">
        <w:rPr>
          <w:color w:val="auto"/>
        </w:rPr>
        <w:noBreakHyphen/>
        <w:t>in</w:t>
      </w:r>
      <w:r w:rsidRPr="00FD24B8">
        <w:rPr>
          <w:color w:val="auto"/>
        </w:rPr>
        <w:noBreakHyphen/>
        <w:t xml:space="preserve">confidence reasons. </w:t>
      </w:r>
      <w:r w:rsidR="00276721" w:rsidRPr="00A56B05">
        <w:rPr>
          <w:color w:val="auto"/>
        </w:rPr>
        <w:fldChar w:fldCharType="begin"/>
      </w:r>
      <w:r w:rsidR="00276721" w:rsidRPr="00A56B05">
        <w:rPr>
          <w:color w:val="auto"/>
        </w:rPr>
        <w:instrText xml:space="preserve"> :End:FARM_LS1 </w:instrText>
      </w:r>
      <w:r w:rsidR="00276721" w:rsidRPr="00A56B05">
        <w:rPr>
          <w:color w:val="auto"/>
        </w:rPr>
        <w:fldChar w:fldCharType="end"/>
      </w:r>
    </w:p>
    <w:p w14:paraId="13708304" w14:textId="4FD348B8" w:rsidR="00CD36CD" w:rsidRPr="00AC01E1" w:rsidRDefault="00AC01E1" w:rsidP="00FC6CC4">
      <w:pPr>
        <w:rPr>
          <w:rFonts w:ascii="Arial Bold" w:hAnsi="Arial Bold"/>
          <w:b/>
          <w:sz w:val="22"/>
        </w:rPr>
      </w:pPr>
      <w:r w:rsidRPr="00C11CA5">
        <w:br w:type="page"/>
      </w:r>
    </w:p>
    <w:bookmarkStart w:id="24" w:name="_Toc98757990"/>
    <w:p w14:paraId="6CDC92EC" w14:textId="34251892" w:rsidR="00914C65" w:rsidRPr="00FD24B8" w:rsidRDefault="00D11ADE" w:rsidP="00DD7DEF">
      <w:pPr>
        <w:pStyle w:val="Heading2"/>
        <w:spacing w:before="0"/>
      </w:pPr>
      <w:r>
        <w:lastRenderedPageBreak/>
        <w:fldChar w:fldCharType="begin"/>
      </w:r>
      <w:r>
        <w:instrText xml:space="preserve"> :Start:BPD_BG1 </w:instrText>
      </w:r>
      <w:r>
        <w:fldChar w:fldCharType="end"/>
      </w:r>
      <w:bookmarkStart w:id="25" w:name="_Toc99102048"/>
      <w:r w:rsidR="00914C65" w:rsidRPr="00FD24B8">
        <w:t>The Government’s balance sheet</w:t>
      </w:r>
      <w:bookmarkEnd w:id="24"/>
      <w:bookmarkEnd w:id="25"/>
    </w:p>
    <w:p w14:paraId="12842F83" w14:textId="41ECF4BA" w:rsidR="00DD77D4" w:rsidRPr="00BE6368" w:rsidRDefault="00CB38E5" w:rsidP="00DD77D4">
      <w:pPr>
        <w:keepNext/>
      </w:pPr>
      <w:r w:rsidRPr="00FD24B8">
        <w:t xml:space="preserve">The balance sheet measures changes in the value of the Government’s assets and liabilities over time. </w:t>
      </w:r>
      <w:r w:rsidR="00B5420E" w:rsidRPr="00FD24B8">
        <w:t>Balance</w:t>
      </w:r>
      <w:r w:rsidR="00DD77D4" w:rsidRPr="00FD24B8">
        <w:t xml:space="preserve"> sheet measures capture the sustainability of government operations</w:t>
      </w:r>
      <w:r w:rsidR="00F902C4" w:rsidRPr="00FD24B8">
        <w:t xml:space="preserve"> which </w:t>
      </w:r>
      <w:r w:rsidR="00AC3FD3" w:rsidRPr="00FD24B8">
        <w:t xml:space="preserve">is </w:t>
      </w:r>
      <w:r w:rsidR="009D09A4" w:rsidRPr="00FD24B8">
        <w:t xml:space="preserve">key to the </w:t>
      </w:r>
      <w:r w:rsidR="00D73CA6" w:rsidRPr="00FD24B8">
        <w:t>Economic and Fiscal</w:t>
      </w:r>
      <w:r w:rsidR="00B059C4" w:rsidRPr="00FD24B8">
        <w:t xml:space="preserve"> </w:t>
      </w:r>
      <w:r w:rsidR="00D73CA6" w:rsidRPr="00FD24B8">
        <w:t>S</w:t>
      </w:r>
      <w:r w:rsidR="00B059C4" w:rsidRPr="00FD24B8">
        <w:t>trategy</w:t>
      </w:r>
      <w:r w:rsidR="00DD77D4" w:rsidRPr="00FD24B8">
        <w:t xml:space="preserve">. </w:t>
      </w:r>
      <w:r w:rsidR="00D11ADE" w:rsidRPr="00FD24B8">
        <w:fldChar w:fldCharType="begin"/>
      </w:r>
      <w:r w:rsidR="00D11ADE" w:rsidRPr="00FD24B8">
        <w:instrText xml:space="preserve"> :End:BPD_BG1 </w:instrText>
      </w:r>
      <w:r w:rsidR="00D11ADE" w:rsidRPr="00FD24B8">
        <w:fldChar w:fldCharType="end"/>
      </w:r>
      <w:r w:rsidR="00D11ADE" w:rsidRPr="00FD24B8">
        <w:fldChar w:fldCharType="begin"/>
      </w:r>
      <w:r w:rsidR="00D11ADE" w:rsidRPr="00FD24B8">
        <w:instrText xml:space="preserve"> :Start:BPD_BG3 </w:instrText>
      </w:r>
      <w:r w:rsidR="00D11ADE" w:rsidRPr="00FD24B8">
        <w:fldChar w:fldCharType="end"/>
      </w:r>
      <w:r w:rsidR="00CA55CD" w:rsidRPr="00FD24B8">
        <w:t>B</w:t>
      </w:r>
      <w:r w:rsidRPr="00FD24B8">
        <w:t xml:space="preserve">alance sheet measures have broadly improved since </w:t>
      </w:r>
      <w:r w:rsidR="00DB25A6" w:rsidRPr="00FD24B8">
        <w:t>MYEFO</w:t>
      </w:r>
      <w:r w:rsidR="006F7AA4" w:rsidRPr="00FD24B8">
        <w:t>, reflecting</w:t>
      </w:r>
      <w:r w:rsidRPr="00FD24B8">
        <w:t xml:space="preserve"> improvements in the underlying cash balance </w:t>
      </w:r>
      <w:r w:rsidR="009B57BB" w:rsidRPr="00FD24B8">
        <w:t>over the forward estimates and medium term</w:t>
      </w:r>
      <w:r w:rsidRPr="00FD24B8">
        <w:t xml:space="preserve">. </w:t>
      </w:r>
      <w:r w:rsidR="003959EB" w:rsidRPr="00FD24B8">
        <w:t>Together, t</w:t>
      </w:r>
      <w:r w:rsidR="006F7AA4" w:rsidRPr="00FD24B8">
        <w:t>hese</w:t>
      </w:r>
      <w:r w:rsidRPr="00FD24B8">
        <w:t xml:space="preserve"> measures indicate that the Government’s fiscal position remains sustainable. </w:t>
      </w:r>
      <w:r w:rsidR="00DF6F26">
        <w:fldChar w:fldCharType="begin"/>
      </w:r>
      <w:r w:rsidR="00DF6F26">
        <w:instrText xml:space="preserve"> :End:BPD_BG3 </w:instrText>
      </w:r>
      <w:r w:rsidR="00DF6F26">
        <w:fldChar w:fldCharType="end"/>
      </w:r>
    </w:p>
    <w:p w14:paraId="2E89972D" w14:textId="504D0634" w:rsidR="00CB38E5" w:rsidRPr="00FD24B8" w:rsidRDefault="00D11ADE" w:rsidP="00CB38E5">
      <w:r>
        <w:fldChar w:fldCharType="begin"/>
      </w:r>
      <w:r>
        <w:instrText xml:space="preserve"> :Start:BPD_BG1 </w:instrText>
      </w:r>
      <w:r>
        <w:fldChar w:fldCharType="end"/>
      </w:r>
      <w:r w:rsidR="00CB38E5" w:rsidRPr="00FD24B8">
        <w:t xml:space="preserve">Different balance sheet metrics measure different groupings of assets and liabilities. </w:t>
      </w:r>
    </w:p>
    <w:p w14:paraId="6F797668" w14:textId="77777777" w:rsidR="00CB38E5" w:rsidRPr="00FD24B8" w:rsidRDefault="00CB38E5" w:rsidP="004D6A22">
      <w:pPr>
        <w:pStyle w:val="Bullet"/>
        <w:numPr>
          <w:ilvl w:val="0"/>
          <w:numId w:val="8"/>
        </w:numPr>
      </w:pPr>
      <w:r w:rsidRPr="00FD24B8">
        <w:t xml:space="preserve">Gross debt measures the face value of Australian Government Securities (AGS) on issue. This is the amount that the Government pays back to investors at maturity, independent of fluctuations in market prices. </w:t>
      </w:r>
    </w:p>
    <w:p w14:paraId="21C0700D" w14:textId="2EB4C3AF" w:rsidR="00CB38E5" w:rsidRPr="00FD24B8" w:rsidRDefault="00CB38E5" w:rsidP="004D6A22">
      <w:pPr>
        <w:pStyle w:val="Bullet"/>
        <w:numPr>
          <w:ilvl w:val="0"/>
          <w:numId w:val="8"/>
        </w:numPr>
        <w:rPr>
          <w:b/>
        </w:rPr>
      </w:pPr>
      <w:r w:rsidRPr="00FD24B8">
        <w:t>Net debt is measured at market value and incorporates specific financial assets and liabilities and provides a broader measure of the financial obligations of the</w:t>
      </w:r>
      <w:r w:rsidR="00564681" w:rsidRPr="00FD24B8">
        <w:t> </w:t>
      </w:r>
      <w:r w:rsidRPr="00FD24B8">
        <w:t>Government than gross debt.</w:t>
      </w:r>
    </w:p>
    <w:p w14:paraId="6E97731E" w14:textId="77777777" w:rsidR="00CB38E5" w:rsidRPr="00FD24B8" w:rsidRDefault="00CB38E5" w:rsidP="004D6A22">
      <w:pPr>
        <w:pStyle w:val="Bullet"/>
        <w:numPr>
          <w:ilvl w:val="0"/>
          <w:numId w:val="8"/>
        </w:numPr>
      </w:pPr>
      <w:r w:rsidRPr="00FD24B8">
        <w:t>Net financial worth includes all classes of financial assets and all liabilities, only some of which are included in net debt. Both the assets of the Future Fund and the public sector superannuation liability that the Future Fund seeks to finance are included in net financial worth.</w:t>
      </w:r>
    </w:p>
    <w:p w14:paraId="43284248" w14:textId="77777777" w:rsidR="00CB38E5" w:rsidRPr="00FD24B8" w:rsidRDefault="00CB38E5" w:rsidP="004D6A22">
      <w:pPr>
        <w:pStyle w:val="Bullet"/>
        <w:numPr>
          <w:ilvl w:val="0"/>
          <w:numId w:val="8"/>
        </w:numPr>
      </w:pPr>
      <w:r w:rsidRPr="00FD24B8">
        <w:rPr>
          <w:lang w:eastAsia="en-US"/>
        </w:rPr>
        <w:t>Net worth is the sum of all assets less all liabilities. It includes non–financial assets such as buildings and plant, equipment, and infrastructure.</w:t>
      </w:r>
    </w:p>
    <w:p w14:paraId="7A838BB6" w14:textId="505E740D" w:rsidR="00CB38E5" w:rsidRPr="00FD24B8" w:rsidRDefault="00CB38E5" w:rsidP="00CB38E5">
      <w:r w:rsidRPr="00FD24B8">
        <w:t xml:space="preserve">Further information on the definitions of these metrics is available in </w:t>
      </w:r>
      <w:r w:rsidR="00971904" w:rsidRPr="00FD24B8">
        <w:rPr>
          <w:i/>
        </w:rPr>
        <w:t>Statement</w:t>
      </w:r>
      <w:r w:rsidRPr="00FD24B8">
        <w:t xml:space="preserve"> </w:t>
      </w:r>
      <w:r w:rsidR="00971904" w:rsidRPr="00FD24B8">
        <w:rPr>
          <w:i/>
        </w:rPr>
        <w:t>9</w:t>
      </w:r>
      <w:r w:rsidRPr="00FD24B8">
        <w:t xml:space="preserve">: </w:t>
      </w:r>
      <w:r w:rsidRPr="00FD24B8">
        <w:rPr>
          <w:i/>
        </w:rPr>
        <w:t>Australian Government Budget Financial Statements</w:t>
      </w:r>
      <w:r w:rsidRPr="00FD24B8">
        <w:t>.</w:t>
      </w:r>
      <w:r w:rsidR="00D11ADE" w:rsidRPr="00FD24B8">
        <w:t xml:space="preserve"> </w:t>
      </w:r>
    </w:p>
    <w:p w14:paraId="3172BEF3" w14:textId="62068C5C" w:rsidR="00914C65" w:rsidRPr="00FD24B8" w:rsidRDefault="00914C65" w:rsidP="00DD7DEF">
      <w:pPr>
        <w:pStyle w:val="Heading3"/>
        <w:spacing w:before="0" w:after="240"/>
      </w:pPr>
      <w:bookmarkStart w:id="26" w:name="_Toc98757991"/>
      <w:bookmarkStart w:id="27" w:name="_Toc99102049"/>
      <w:r w:rsidRPr="00FD24B8">
        <w:t>Gross debt estimates</w:t>
      </w:r>
      <w:r w:rsidR="00421EB0" w:rsidRPr="00FD24B8">
        <w:t xml:space="preserve"> and projections</w:t>
      </w:r>
      <w:bookmarkEnd w:id="26"/>
      <w:bookmarkEnd w:id="27"/>
    </w:p>
    <w:p w14:paraId="7FCDADB5" w14:textId="2083A5EB" w:rsidR="00542801" w:rsidRPr="00BE6368" w:rsidRDefault="00343096" w:rsidP="00542801">
      <w:r w:rsidRPr="00FD24B8">
        <w:t>Estimates of gross debt as a share of GDP</w:t>
      </w:r>
      <w:r w:rsidR="00253B3C" w:rsidRPr="00FD24B8">
        <w:t xml:space="preserve"> </w:t>
      </w:r>
      <w:r w:rsidR="00262AAE" w:rsidRPr="00FD24B8">
        <w:t>have been successively revised downwards at each update since 2020</w:t>
      </w:r>
      <w:r w:rsidR="00C1771F" w:rsidRPr="00FD24B8">
        <w:noBreakHyphen/>
      </w:r>
      <w:r w:rsidR="00262AAE" w:rsidRPr="00FD24B8">
        <w:t xml:space="preserve">21 Budget. </w:t>
      </w:r>
      <w:r w:rsidR="009127F1" w:rsidRPr="00FD24B8">
        <w:t>Very s</w:t>
      </w:r>
      <w:r w:rsidR="005946A2" w:rsidRPr="00FD24B8">
        <w:t xml:space="preserve">trong nominal GDP growth </w:t>
      </w:r>
      <w:r w:rsidR="00DC7C21" w:rsidRPr="00FD24B8">
        <w:t>in 2021</w:t>
      </w:r>
      <w:r w:rsidR="0031144A" w:rsidRPr="00FD24B8">
        <w:noBreakHyphen/>
      </w:r>
      <w:r w:rsidR="00DC7C21" w:rsidRPr="00FD24B8">
        <w:t>22</w:t>
      </w:r>
      <w:r w:rsidR="005946A2" w:rsidRPr="00FD24B8">
        <w:t xml:space="preserve"> has resulted in </w:t>
      </w:r>
      <w:r w:rsidR="00547E48" w:rsidRPr="00FD24B8">
        <w:t xml:space="preserve">the profile for </w:t>
      </w:r>
      <w:r w:rsidR="005946A2" w:rsidRPr="00FD24B8">
        <w:t xml:space="preserve">gross debt </w:t>
      </w:r>
      <w:r w:rsidR="006B171A" w:rsidRPr="00FD24B8">
        <w:t xml:space="preserve">as a share of GDP remaining </w:t>
      </w:r>
      <w:r w:rsidR="00547E48" w:rsidRPr="00FD24B8">
        <w:t>flat</w:t>
      </w:r>
      <w:r w:rsidR="005946A2" w:rsidRPr="00FD24B8">
        <w:t xml:space="preserve"> between 2020</w:t>
      </w:r>
      <w:r w:rsidR="0031144A" w:rsidRPr="00FD24B8">
        <w:noBreakHyphen/>
      </w:r>
      <w:r w:rsidR="005946A2" w:rsidRPr="00FD24B8">
        <w:t>21 and 2021</w:t>
      </w:r>
      <w:r w:rsidR="0031144A" w:rsidRPr="00FD24B8">
        <w:noBreakHyphen/>
      </w:r>
      <w:r w:rsidR="005946A2" w:rsidRPr="00FD24B8">
        <w:t xml:space="preserve">22, despite the budget deficit. </w:t>
      </w:r>
      <w:r w:rsidR="007C4B95" w:rsidRPr="00FD24B8">
        <w:t>Gross debt is now expected to peak at 44.</w:t>
      </w:r>
      <w:r w:rsidR="00DE32B5" w:rsidRPr="00FD24B8">
        <w:t>9</w:t>
      </w:r>
      <w:r w:rsidR="0039126A" w:rsidRPr="00FD24B8">
        <w:t> </w:t>
      </w:r>
      <w:r w:rsidR="007C4B95" w:rsidRPr="00FD24B8">
        <w:t>per</w:t>
      </w:r>
      <w:r w:rsidR="0039126A" w:rsidRPr="00FD24B8">
        <w:t> </w:t>
      </w:r>
      <w:r w:rsidR="007C4B95" w:rsidRPr="00FD24B8">
        <w:t xml:space="preserve">cent of GDP </w:t>
      </w:r>
      <w:proofErr w:type="gramStart"/>
      <w:r w:rsidR="007C4B95" w:rsidRPr="00FD24B8">
        <w:t>at</w:t>
      </w:r>
      <w:proofErr w:type="gramEnd"/>
      <w:r w:rsidR="007C4B95" w:rsidRPr="00FD24B8">
        <w:t xml:space="preserve"> 30 June</w:t>
      </w:r>
      <w:r w:rsidR="00CB2BDF" w:rsidRPr="00FD24B8">
        <w:t> </w:t>
      </w:r>
      <w:r w:rsidR="007C4B95" w:rsidRPr="00FD24B8">
        <w:t>2025,</w:t>
      </w:r>
      <w:r w:rsidR="00032E37" w:rsidRPr="00FD24B8">
        <w:fldChar w:fldCharType="begin"/>
      </w:r>
      <w:r w:rsidR="00032E37" w:rsidRPr="00FD24B8">
        <w:instrText xml:space="preserve"> :End:BPD_BG1 </w:instrText>
      </w:r>
      <w:r w:rsidR="00032E37" w:rsidRPr="00FD24B8">
        <w:fldChar w:fldCharType="end"/>
      </w:r>
      <w:r w:rsidR="00000739" w:rsidRPr="00FD24B8">
        <w:fldChar w:fldCharType="begin"/>
      </w:r>
      <w:r w:rsidR="00000739" w:rsidRPr="00FD24B8">
        <w:instrText xml:space="preserve"> :Start:BPD_BG3 </w:instrText>
      </w:r>
      <w:r w:rsidR="00000739" w:rsidRPr="00FD24B8">
        <w:fldChar w:fldCharType="end"/>
      </w:r>
      <w:r w:rsidR="007C4B95" w:rsidRPr="00FD24B8">
        <w:t xml:space="preserve"> 5.</w:t>
      </w:r>
      <w:r w:rsidR="002E2174" w:rsidRPr="00FD24B8">
        <w:t>4</w:t>
      </w:r>
      <w:r w:rsidR="007C4B95" w:rsidRPr="00FD24B8">
        <w:t xml:space="preserve"> percentage points lower and 4 years earlier than </w:t>
      </w:r>
      <w:r w:rsidR="009773BB" w:rsidRPr="00FD24B8">
        <w:t xml:space="preserve">at </w:t>
      </w:r>
      <w:r w:rsidR="007C4B95" w:rsidRPr="00FD24B8">
        <w:t xml:space="preserve">MYEFO. </w:t>
      </w:r>
      <w:r w:rsidR="002F5EE6" w:rsidRPr="00FD24B8">
        <w:t xml:space="preserve">Gross debt is projected to decline to </w:t>
      </w:r>
      <w:r w:rsidR="0034244D" w:rsidRPr="00FD24B8">
        <w:t>4</w:t>
      </w:r>
      <w:r w:rsidR="00F24161" w:rsidRPr="00FD24B8">
        <w:t>0</w:t>
      </w:r>
      <w:r w:rsidR="0034244D" w:rsidRPr="00FD24B8">
        <w:t>.</w:t>
      </w:r>
      <w:r w:rsidR="00F24161" w:rsidRPr="00FD24B8">
        <w:t>3</w:t>
      </w:r>
      <w:r w:rsidR="002F5EE6" w:rsidRPr="00FD24B8">
        <w:t xml:space="preserve"> per cent of GDP </w:t>
      </w:r>
      <w:r w:rsidR="008B7826" w:rsidRPr="00FD24B8">
        <w:t>by the end of the medium term</w:t>
      </w:r>
      <w:r w:rsidR="00A440AF" w:rsidRPr="00FD24B8">
        <w:t>, 9.6 percentage points or $236 billion lower than expected at MYEFO</w:t>
      </w:r>
      <w:r w:rsidR="002F5EE6" w:rsidRPr="00FD24B8">
        <w:t>.</w:t>
      </w:r>
      <w:r w:rsidR="00B24EDC" w:rsidRPr="00FD24B8">
        <w:t xml:space="preserve"> </w:t>
      </w:r>
      <w:r w:rsidR="00654813">
        <w:fldChar w:fldCharType="begin"/>
      </w:r>
      <w:r w:rsidR="00654813">
        <w:instrText xml:space="preserve"> :End:BPD_BG3 </w:instrText>
      </w:r>
      <w:r w:rsidR="00654813">
        <w:fldChar w:fldCharType="end"/>
      </w:r>
    </w:p>
    <w:p w14:paraId="4F49EF7B" w14:textId="15F09B92" w:rsidR="00056C26" w:rsidRPr="00FD24B8" w:rsidRDefault="003426EC" w:rsidP="00056C26">
      <w:pPr>
        <w:pStyle w:val="ChartHeading"/>
      </w:pPr>
      <w:r>
        <w:lastRenderedPageBreak/>
        <w:fldChar w:fldCharType="begin"/>
      </w:r>
      <w:r>
        <w:instrText xml:space="preserve"> :Start:BPD_BG1 </w:instrText>
      </w:r>
      <w:r>
        <w:fldChar w:fldCharType="end"/>
      </w:r>
      <w:r w:rsidR="00056C26" w:rsidRPr="00FD24B8">
        <w:t>Chart 3.</w:t>
      </w:r>
      <w:r w:rsidR="00420771" w:rsidRPr="00FD24B8">
        <w:t>1</w:t>
      </w:r>
      <w:r w:rsidR="0082223A" w:rsidRPr="00FD24B8">
        <w:t>2</w:t>
      </w:r>
      <w:r w:rsidR="00056C26" w:rsidRPr="00FD24B8">
        <w:t>:</w:t>
      </w:r>
      <w:r w:rsidR="008131BA" w:rsidRPr="00FD24B8">
        <w:t xml:space="preserve"> </w:t>
      </w:r>
      <w:r w:rsidR="008131BA" w:rsidRPr="00FD24B8">
        <w:fldChar w:fldCharType="begin"/>
      </w:r>
      <w:r w:rsidR="008131BA" w:rsidRPr="00FD24B8">
        <w:instrText xml:space="preserve"> :End:BPD_BG1 </w:instrText>
      </w:r>
      <w:r w:rsidR="008131BA" w:rsidRPr="00FD24B8">
        <w:fldChar w:fldCharType="end"/>
      </w:r>
      <w:r w:rsidR="008131BA" w:rsidRPr="00FD24B8">
        <w:fldChar w:fldCharType="begin"/>
      </w:r>
      <w:r w:rsidR="008131BA" w:rsidRPr="00FD24B8">
        <w:instrText xml:space="preserve"> :Start:BPD_BG3 </w:instrText>
      </w:r>
      <w:r w:rsidR="008131BA" w:rsidRPr="00FD24B8">
        <w:fldChar w:fldCharType="end"/>
      </w:r>
      <w:r w:rsidR="00056C26" w:rsidRPr="00FD24B8">
        <w:t>Gross debt</w:t>
      </w:r>
    </w:p>
    <w:p w14:paraId="52DED34D" w14:textId="5E64EB54" w:rsidR="00DB5FBA" w:rsidRPr="00FD24B8" w:rsidRDefault="00395986" w:rsidP="00EF2156">
      <w:pPr>
        <w:pStyle w:val="ChartGraphic"/>
      </w:pPr>
      <w:r>
        <w:rPr>
          <w:noProof/>
        </w:rPr>
        <w:drawing>
          <wp:inline distT="0" distB="0" distL="0" distR="0" wp14:anchorId="6B52A40B" wp14:editId="044432C3">
            <wp:extent cx="4678045" cy="2519680"/>
            <wp:effectExtent l="0" t="0" r="0" b="0"/>
            <wp:docPr id="20" name="Picture 20" descr="This chart compares projections of gross debt as a share of GDP at the 2022-23 Budget and 2022-21 MYEFO. In the 2022-23 Budget, gross debt is expected to peak at 44.9 per cent of GDP at 30 June 2025, it is projected to decline to 40.3 per cent of GDP by the end of the medium term. Gross debt as a share of GDP is expected to be significantly lower over the entire forward estimates and medium term than at MYE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is chart compares projections of gross debt as a share of GDP at the 2022-23 Budget and 2022-21 MYEFO. In the 2022-23 Budget, gross debt is expected to peak at 44.9 per cent of GDP at 30 June 2025, it is projected to decline to 40.3 per cent of GDP by the end of the medium term. Gross debt as a share of GDP is expected to be significantly lower over the entire forward estimates and medium term than at MYEFO,&#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78045" cy="2519680"/>
                    </a:xfrm>
                    <a:prstGeom prst="rect">
                      <a:avLst/>
                    </a:prstGeom>
                    <a:noFill/>
                    <a:ln>
                      <a:noFill/>
                    </a:ln>
                  </pic:spPr>
                </pic:pic>
              </a:graphicData>
            </a:graphic>
          </wp:inline>
        </w:drawing>
      </w:r>
    </w:p>
    <w:p w14:paraId="0BE4CAEE" w14:textId="310E80ED" w:rsidR="00056C26" w:rsidRPr="00482327" w:rsidRDefault="00056C26" w:rsidP="00AB2110">
      <w:pPr>
        <w:pStyle w:val="Source"/>
      </w:pPr>
      <w:r w:rsidRPr="00FD24B8">
        <w:t xml:space="preserve">Source: </w:t>
      </w:r>
      <w:r w:rsidRPr="00FD24B8">
        <w:tab/>
        <w:t>Australian Office of Financial Management</w:t>
      </w:r>
      <w:r w:rsidR="009267FD" w:rsidRPr="00FD24B8">
        <w:t xml:space="preserve">, </w:t>
      </w:r>
      <w:r w:rsidRPr="00FD24B8">
        <w:t>Treasury.</w:t>
      </w:r>
      <w:r w:rsidR="003426EC" w:rsidRPr="00FD24B8">
        <w:t xml:space="preserve"> </w:t>
      </w:r>
      <w:r w:rsidR="003426EC">
        <w:fldChar w:fldCharType="begin"/>
      </w:r>
      <w:r w:rsidR="003426EC">
        <w:instrText xml:space="preserve"> :End:BPD_BG3 </w:instrText>
      </w:r>
      <w:r w:rsidR="003426EC">
        <w:fldChar w:fldCharType="end"/>
      </w:r>
    </w:p>
    <w:p w14:paraId="1487361E" w14:textId="6D423133" w:rsidR="00277292" w:rsidRPr="00FD24B8" w:rsidRDefault="003426EC" w:rsidP="00E6215D">
      <w:r>
        <w:fldChar w:fldCharType="begin"/>
      </w:r>
      <w:r>
        <w:instrText xml:space="preserve"> :Start:BPD_BG3 </w:instrText>
      </w:r>
      <w:r>
        <w:fldChar w:fldCharType="end"/>
      </w:r>
      <w:r w:rsidR="00AB34F2" w:rsidRPr="00FD24B8">
        <w:t>Since</w:t>
      </w:r>
      <w:r w:rsidR="00F0776E" w:rsidRPr="00FD24B8">
        <w:t xml:space="preserve"> MYEFO</w:t>
      </w:r>
      <w:r w:rsidR="00A57AD8" w:rsidRPr="00FD24B8">
        <w:t>, yields have increased with</w:t>
      </w:r>
      <w:r w:rsidR="00F0776E" w:rsidRPr="00FD24B8">
        <w:t xml:space="preserve"> the 10</w:t>
      </w:r>
      <w:r w:rsidR="0031144A" w:rsidRPr="00FD24B8">
        <w:noBreakHyphen/>
      </w:r>
      <w:r w:rsidR="00F0776E" w:rsidRPr="00FD24B8">
        <w:t xml:space="preserve">year bond </w:t>
      </w:r>
      <w:r w:rsidR="00810A2D" w:rsidRPr="00FD24B8">
        <w:t>yield</w:t>
      </w:r>
      <w:r w:rsidR="00F0776E" w:rsidRPr="00FD24B8">
        <w:t xml:space="preserve"> </w:t>
      </w:r>
      <w:r w:rsidR="00A57AD8" w:rsidRPr="00FD24B8">
        <w:t>rising</w:t>
      </w:r>
      <w:r w:rsidR="00F0776E" w:rsidRPr="00FD24B8">
        <w:t xml:space="preserve"> from 1.</w:t>
      </w:r>
      <w:r w:rsidR="00075956" w:rsidRPr="00FD24B8">
        <w:t>8</w:t>
      </w:r>
      <w:r w:rsidR="00564681" w:rsidRPr="00FD24B8">
        <w:t> </w:t>
      </w:r>
      <w:r w:rsidR="00F0776E" w:rsidRPr="00FD24B8">
        <w:t>to</w:t>
      </w:r>
      <w:r w:rsidR="00564681" w:rsidRPr="00FD24B8">
        <w:t> </w:t>
      </w:r>
      <w:r w:rsidR="00F0776E" w:rsidRPr="00FD24B8">
        <w:t>2.</w:t>
      </w:r>
      <w:r w:rsidR="00075956" w:rsidRPr="00FD24B8">
        <w:t>3</w:t>
      </w:r>
      <w:r w:rsidR="00A57AD8" w:rsidRPr="00FD24B8">
        <w:t> </w:t>
      </w:r>
      <w:r w:rsidR="00056C26" w:rsidRPr="00FD24B8">
        <w:t>per cent</w:t>
      </w:r>
      <w:r w:rsidR="00436B84" w:rsidRPr="00FD24B8">
        <w:t>.</w:t>
      </w:r>
      <w:r w:rsidR="00076207" w:rsidRPr="00FD24B8">
        <w:t xml:space="preserve"> </w:t>
      </w:r>
      <w:r w:rsidR="00A57AD8" w:rsidRPr="00FD24B8">
        <w:t xml:space="preserve">The rise in yields is due to the economic recovery and an increase </w:t>
      </w:r>
      <w:r w:rsidR="003D369A" w:rsidRPr="00FD24B8">
        <w:t xml:space="preserve">in </w:t>
      </w:r>
      <w:r w:rsidR="00A57AD8" w:rsidRPr="00FD24B8">
        <w:t>expectations for inflation and official interest rates, both domestically and globally.</w:t>
      </w:r>
      <w:r w:rsidR="00F0776E" w:rsidRPr="00FD24B8">
        <w:t xml:space="preserve"> </w:t>
      </w:r>
      <w:r w:rsidR="00B61B55" w:rsidRPr="00FD24B8">
        <w:t>Despite</w:t>
      </w:r>
      <w:r w:rsidR="00E333A7" w:rsidRPr="00FD24B8">
        <w:t xml:space="preserve"> </w:t>
      </w:r>
      <w:r w:rsidR="00B61B55" w:rsidRPr="00FD24B8">
        <w:t>an assumption</w:t>
      </w:r>
      <w:r w:rsidR="00E333A7" w:rsidRPr="00FD24B8">
        <w:t xml:space="preserve"> that yields </w:t>
      </w:r>
      <w:r w:rsidR="00B61B55" w:rsidRPr="00FD24B8">
        <w:t>will</w:t>
      </w:r>
      <w:r w:rsidR="00E333A7" w:rsidRPr="00FD24B8">
        <w:t xml:space="preserve"> rise </w:t>
      </w:r>
      <w:r w:rsidR="00B61B55" w:rsidRPr="00FD24B8">
        <w:t>further</w:t>
      </w:r>
      <w:r w:rsidR="00E333A7" w:rsidRPr="00FD24B8">
        <w:t xml:space="preserve"> over time</w:t>
      </w:r>
      <w:r w:rsidR="009D530C" w:rsidRPr="00FD24B8">
        <w:t xml:space="preserve">, debt servicing costs </w:t>
      </w:r>
      <w:r w:rsidR="00E9669F" w:rsidRPr="00FD24B8">
        <w:t xml:space="preserve">are projected to </w:t>
      </w:r>
      <w:r w:rsidR="009D530C" w:rsidRPr="00FD24B8">
        <w:t>remain relatively low</w:t>
      </w:r>
      <w:r w:rsidR="004E39B0" w:rsidRPr="00FD24B8">
        <w:t>,</w:t>
      </w:r>
      <w:r w:rsidR="001C3EA5" w:rsidRPr="00FD24B8">
        <w:t xml:space="preserve"> with n</w:t>
      </w:r>
      <w:r w:rsidR="00062E2A" w:rsidRPr="00FD24B8">
        <w:t>et interest payments</w:t>
      </w:r>
      <w:r w:rsidR="00BF3385" w:rsidRPr="00FD24B8">
        <w:t xml:space="preserve"> </w:t>
      </w:r>
      <w:r w:rsidR="00E9669F" w:rsidRPr="00FD24B8">
        <w:t>ris</w:t>
      </w:r>
      <w:r w:rsidR="00DB12E8" w:rsidRPr="00FD24B8">
        <w:t>ing</w:t>
      </w:r>
      <w:r w:rsidR="00BF3385" w:rsidRPr="00FD24B8">
        <w:t xml:space="preserve"> </w:t>
      </w:r>
      <w:r w:rsidR="0013029B" w:rsidRPr="00FD24B8">
        <w:t>marginally</w:t>
      </w:r>
      <w:r w:rsidR="00BF3385" w:rsidRPr="00FD24B8">
        <w:t xml:space="preserve"> </w:t>
      </w:r>
      <w:r w:rsidR="00E9669F" w:rsidRPr="00FD24B8">
        <w:t xml:space="preserve">from </w:t>
      </w:r>
      <w:r w:rsidR="002B559E" w:rsidRPr="00FD24B8">
        <w:t>0</w:t>
      </w:r>
      <w:r w:rsidR="00CC74C2" w:rsidRPr="00FD24B8">
        <w:t>.</w:t>
      </w:r>
      <w:r w:rsidR="002B559E" w:rsidRPr="00FD24B8">
        <w:t>7</w:t>
      </w:r>
      <w:r w:rsidR="003F2CA7" w:rsidRPr="00FD24B8">
        <w:t> </w:t>
      </w:r>
      <w:r w:rsidR="009D530C" w:rsidRPr="00FD24B8">
        <w:t xml:space="preserve">per cent of GDP </w:t>
      </w:r>
      <w:r w:rsidR="00583791" w:rsidRPr="00FD24B8">
        <w:t>in 2022</w:t>
      </w:r>
      <w:r w:rsidR="0031144A" w:rsidRPr="00FD24B8">
        <w:noBreakHyphen/>
      </w:r>
      <w:r w:rsidR="00583791" w:rsidRPr="00FD24B8">
        <w:t xml:space="preserve">23 </w:t>
      </w:r>
      <w:r w:rsidR="00E9669F" w:rsidRPr="00FD24B8">
        <w:t xml:space="preserve">to </w:t>
      </w:r>
      <w:r w:rsidR="006A00AF" w:rsidRPr="00FD24B8">
        <w:t>0</w:t>
      </w:r>
      <w:r w:rsidR="00E9669F" w:rsidRPr="00FD24B8">
        <w:t>.</w:t>
      </w:r>
      <w:r w:rsidR="006A00AF" w:rsidRPr="00FD24B8">
        <w:t>8</w:t>
      </w:r>
      <w:r w:rsidR="009D530C" w:rsidRPr="00FD24B8">
        <w:t xml:space="preserve"> per cent of </w:t>
      </w:r>
      <w:r w:rsidR="00E9669F" w:rsidRPr="00FD24B8">
        <w:t xml:space="preserve">GDP by </w:t>
      </w:r>
      <w:r w:rsidR="00CC74C2" w:rsidRPr="00FD24B8">
        <w:t>the end of the medium term</w:t>
      </w:r>
      <w:r w:rsidR="009D530C" w:rsidRPr="00FD24B8">
        <w:t xml:space="preserve">. </w:t>
      </w:r>
    </w:p>
    <w:p w14:paraId="23D1AA5D" w14:textId="1F66502A" w:rsidR="00565EE5" w:rsidRPr="00FD24B8" w:rsidRDefault="009D530C" w:rsidP="00565EE5">
      <w:pPr>
        <w:rPr>
          <w:lang w:eastAsia="en-US"/>
        </w:rPr>
      </w:pPr>
      <w:r w:rsidRPr="00FD24B8">
        <w:t xml:space="preserve">The relatively modest impact on debt servicing costs </w:t>
      </w:r>
      <w:r w:rsidR="00F742AD" w:rsidRPr="00FD24B8">
        <w:t xml:space="preserve">over time </w:t>
      </w:r>
      <w:r w:rsidRPr="00FD24B8">
        <w:t xml:space="preserve">primarily reflects </w:t>
      </w:r>
      <w:r w:rsidR="00564681" w:rsidRPr="00FD24B8">
        <w:t>2</w:t>
      </w:r>
      <w:r w:rsidR="00205655" w:rsidRPr="00FD24B8">
        <w:t> </w:t>
      </w:r>
      <w:r w:rsidRPr="00FD24B8">
        <w:t>factors.</w:t>
      </w:r>
      <w:r w:rsidR="00AB3587" w:rsidRPr="00FD24B8">
        <w:rPr>
          <w:rStyle w:val="FootnoteReference"/>
        </w:rPr>
        <w:footnoteReference w:id="2"/>
      </w:r>
      <w:r w:rsidRPr="00FD24B8">
        <w:t xml:space="preserve"> First, the cumulative financing requirement through to the end of the medium term has almost halved since MYEFO. Second, the rise in yields only affects the cost of new issuance. </w:t>
      </w:r>
      <w:r w:rsidR="00CA1F12" w:rsidRPr="00FD24B8">
        <w:fldChar w:fldCharType="begin"/>
      </w:r>
      <w:r w:rsidR="00CA1F12" w:rsidRPr="00FD24B8">
        <w:instrText xml:space="preserve"> :End:BPD_BG3 </w:instrText>
      </w:r>
      <w:r w:rsidR="00CA1F12" w:rsidRPr="00FD24B8">
        <w:fldChar w:fldCharType="end"/>
      </w:r>
      <w:r w:rsidR="00CA1F12" w:rsidRPr="00FD24B8">
        <w:rPr>
          <w:rFonts w:eastAsiaTheme="minorEastAsia"/>
          <w:lang w:eastAsia="en-US"/>
        </w:rPr>
        <w:fldChar w:fldCharType="begin"/>
      </w:r>
      <w:r w:rsidR="00CA1F12" w:rsidRPr="00FD24B8">
        <w:rPr>
          <w:rFonts w:eastAsiaTheme="minorEastAsia"/>
          <w:lang w:eastAsia="en-US"/>
        </w:rPr>
        <w:instrText xml:space="preserve"> :Start:AOFM_RN1 </w:instrText>
      </w:r>
      <w:r w:rsidR="00CA1F12" w:rsidRPr="00FD24B8">
        <w:rPr>
          <w:rFonts w:eastAsiaTheme="minorEastAsia"/>
          <w:lang w:eastAsia="en-US"/>
        </w:rPr>
        <w:fldChar w:fldCharType="end"/>
      </w:r>
      <w:r w:rsidRPr="00FD24B8">
        <w:t>Over the past decade, t</w:t>
      </w:r>
      <w:r w:rsidRPr="00FD24B8">
        <w:rPr>
          <w:rFonts w:eastAsiaTheme="minorEastAsia"/>
        </w:rPr>
        <w:t xml:space="preserve">he Australian Office of Financial Management (AOFM) has </w:t>
      </w:r>
      <w:r w:rsidRPr="00FD24B8">
        <w:t>extended</w:t>
      </w:r>
      <w:r w:rsidRPr="00FD24B8">
        <w:rPr>
          <w:rFonts w:eastAsiaTheme="minorEastAsia"/>
        </w:rPr>
        <w:t xml:space="preserve"> the </w:t>
      </w:r>
      <w:r w:rsidR="006D5D33" w:rsidRPr="00FD24B8">
        <w:rPr>
          <w:rFonts w:eastAsiaTheme="minorEastAsia"/>
        </w:rPr>
        <w:t xml:space="preserve">average </w:t>
      </w:r>
      <w:r w:rsidRPr="00FD24B8">
        <w:rPr>
          <w:rFonts w:eastAsiaTheme="minorEastAsia"/>
        </w:rPr>
        <w:t>maturity of the debt portfolio</w:t>
      </w:r>
      <w:r w:rsidRPr="00FD24B8">
        <w:t>, reducing</w:t>
      </w:r>
      <w:r w:rsidRPr="00FD24B8">
        <w:rPr>
          <w:rFonts w:eastAsiaTheme="minorEastAsia"/>
        </w:rPr>
        <w:t xml:space="preserve"> the proportion of </w:t>
      </w:r>
      <w:r w:rsidRPr="00FD24B8">
        <w:t>existing</w:t>
      </w:r>
      <w:r w:rsidRPr="00FD24B8">
        <w:rPr>
          <w:rFonts w:eastAsiaTheme="minorEastAsia"/>
        </w:rPr>
        <w:t xml:space="preserve"> debt </w:t>
      </w:r>
      <w:r w:rsidRPr="00FD24B8">
        <w:t>needing</w:t>
      </w:r>
      <w:r w:rsidRPr="00FD24B8">
        <w:rPr>
          <w:rFonts w:eastAsiaTheme="minorEastAsia"/>
        </w:rPr>
        <w:t xml:space="preserve"> to be refinanced </w:t>
      </w:r>
      <w:r w:rsidRPr="00FD24B8">
        <w:t xml:space="preserve">at market </w:t>
      </w:r>
      <w:r w:rsidR="008A5F60" w:rsidRPr="00FD24B8">
        <w:t>yields</w:t>
      </w:r>
      <w:r w:rsidRPr="00FD24B8">
        <w:rPr>
          <w:rFonts w:eastAsiaTheme="minorEastAsia"/>
        </w:rPr>
        <w:t>.</w:t>
      </w:r>
      <w:r w:rsidR="00F01A30" w:rsidRPr="00FD24B8">
        <w:rPr>
          <w:rStyle w:val="FootnoteReference"/>
          <w:rFonts w:eastAsiaTheme="minorEastAsia"/>
          <w:lang w:eastAsia="en-US"/>
        </w:rPr>
        <w:footnoteReference w:id="3"/>
      </w:r>
      <w:r w:rsidR="00CA3AE6" w:rsidRPr="00FD24B8" w:rsidDel="00CA3AE6">
        <w:rPr>
          <w:lang w:eastAsia="en-US"/>
        </w:rPr>
        <w:t xml:space="preserve"> </w:t>
      </w:r>
      <w:bookmarkStart w:id="28" w:name="_Hlk99100320"/>
      <w:r w:rsidR="00A71B51" w:rsidRPr="00FD24B8">
        <w:rPr>
          <w:lang w:eastAsia="en-US"/>
        </w:rPr>
        <w:t>Th</w:t>
      </w:r>
      <w:r w:rsidR="0068400B" w:rsidRPr="00FD24B8">
        <w:rPr>
          <w:lang w:eastAsia="en-US"/>
        </w:rPr>
        <w:t>is has seen the</w:t>
      </w:r>
      <w:r w:rsidR="00A71B51" w:rsidRPr="00FD24B8">
        <w:rPr>
          <w:lang w:eastAsia="en-US"/>
        </w:rPr>
        <w:t xml:space="preserve"> weighted average term to maturity </w:t>
      </w:r>
      <w:r w:rsidR="00C80960" w:rsidRPr="00FD24B8">
        <w:rPr>
          <w:lang w:eastAsia="en-US"/>
        </w:rPr>
        <w:t>on</w:t>
      </w:r>
      <w:r w:rsidR="00A71B51" w:rsidRPr="00FD24B8">
        <w:rPr>
          <w:lang w:eastAsia="en-US"/>
        </w:rPr>
        <w:t xml:space="preserve"> the stock of </w:t>
      </w:r>
      <w:r w:rsidR="005F5325" w:rsidRPr="00FD24B8">
        <w:rPr>
          <w:lang w:eastAsia="en-US"/>
        </w:rPr>
        <w:t xml:space="preserve">Treasury </w:t>
      </w:r>
      <w:r w:rsidR="00CD1452" w:rsidRPr="00FD24B8">
        <w:rPr>
          <w:lang w:eastAsia="en-US"/>
        </w:rPr>
        <w:t>B</w:t>
      </w:r>
      <w:r w:rsidR="00A71B51" w:rsidRPr="00FD24B8">
        <w:rPr>
          <w:lang w:eastAsia="en-US"/>
        </w:rPr>
        <w:t xml:space="preserve">onds </w:t>
      </w:r>
      <w:r w:rsidR="005F5325" w:rsidRPr="00FD24B8">
        <w:rPr>
          <w:lang w:eastAsia="en-US"/>
        </w:rPr>
        <w:t xml:space="preserve">rise from </w:t>
      </w:r>
      <w:r w:rsidR="00A71B51" w:rsidRPr="00FD24B8">
        <w:rPr>
          <w:lang w:eastAsia="en-US"/>
        </w:rPr>
        <w:t>4.8 years in 2009</w:t>
      </w:r>
      <w:r w:rsidR="0031144A" w:rsidRPr="00FD24B8">
        <w:rPr>
          <w:lang w:eastAsia="en-US"/>
        </w:rPr>
        <w:noBreakHyphen/>
      </w:r>
      <w:r w:rsidR="00A71B51" w:rsidRPr="00FD24B8">
        <w:rPr>
          <w:lang w:eastAsia="en-US"/>
        </w:rPr>
        <w:t xml:space="preserve">10 to </w:t>
      </w:r>
      <w:r w:rsidR="0005376E" w:rsidRPr="00FD24B8">
        <w:rPr>
          <w:lang w:eastAsia="en-US"/>
        </w:rPr>
        <w:t>a</w:t>
      </w:r>
      <w:r w:rsidR="00A71B51" w:rsidRPr="00FD24B8">
        <w:rPr>
          <w:lang w:eastAsia="en-US"/>
        </w:rPr>
        <w:t xml:space="preserve">round 7.2 years </w:t>
      </w:r>
      <w:r w:rsidR="009342C8" w:rsidRPr="00FD24B8">
        <w:rPr>
          <w:lang w:eastAsia="en-US"/>
        </w:rPr>
        <w:t>now</w:t>
      </w:r>
      <w:r w:rsidR="00A71B51" w:rsidRPr="00FD24B8">
        <w:rPr>
          <w:lang w:eastAsia="en-US"/>
        </w:rPr>
        <w:t>.</w:t>
      </w:r>
      <w:r w:rsidR="006718C9" w:rsidRPr="00FD24B8">
        <w:rPr>
          <w:lang w:eastAsia="en-US"/>
        </w:rPr>
        <w:t xml:space="preserve"> </w:t>
      </w:r>
    </w:p>
    <w:p w14:paraId="1A35FCA4" w14:textId="499D8C64" w:rsidR="0084467E" w:rsidRPr="00A56B05" w:rsidRDefault="00781025" w:rsidP="00565EE5">
      <w:r w:rsidRPr="00FD24B8">
        <w:t>The</w:t>
      </w:r>
      <w:r w:rsidR="00CC72EB" w:rsidRPr="00FD24B8">
        <w:t xml:space="preserve"> </w:t>
      </w:r>
      <w:r w:rsidR="00686396" w:rsidRPr="00FD24B8">
        <w:t>AOFM</w:t>
      </w:r>
      <w:r w:rsidR="00595BCF" w:rsidRPr="00FD24B8">
        <w:t xml:space="preserve"> </w:t>
      </w:r>
      <w:r w:rsidR="0041480C" w:rsidRPr="00FD24B8">
        <w:t xml:space="preserve">has </w:t>
      </w:r>
      <w:r w:rsidR="00595BCF" w:rsidRPr="00FD24B8">
        <w:t>issu</w:t>
      </w:r>
      <w:r w:rsidR="001668F6" w:rsidRPr="00FD24B8">
        <w:t>e</w:t>
      </w:r>
      <w:r w:rsidR="0041480C" w:rsidRPr="00FD24B8">
        <w:t>d</w:t>
      </w:r>
      <w:r w:rsidR="00595BCF" w:rsidRPr="00FD24B8">
        <w:t xml:space="preserve"> </w:t>
      </w:r>
      <w:r w:rsidR="001668F6" w:rsidRPr="00FD24B8">
        <w:t>over $360</w:t>
      </w:r>
      <w:r w:rsidR="00CD6A69" w:rsidRPr="00FD24B8">
        <w:t xml:space="preserve"> billion </w:t>
      </w:r>
      <w:r w:rsidR="00294003" w:rsidRPr="00FD24B8">
        <w:t>of Treasury Bonds</w:t>
      </w:r>
      <w:r w:rsidR="001668F6" w:rsidRPr="00FD24B8">
        <w:t xml:space="preserve"> since</w:t>
      </w:r>
      <w:r w:rsidR="00CD6A69" w:rsidRPr="00FD24B8">
        <w:t xml:space="preserve"> </w:t>
      </w:r>
      <w:r w:rsidR="00B773AA" w:rsidRPr="00FD24B8">
        <w:t xml:space="preserve">the beginning of the pandemic in </w:t>
      </w:r>
      <w:r w:rsidR="00CD6A69" w:rsidRPr="00FD24B8">
        <w:t>March 2020</w:t>
      </w:r>
      <w:r w:rsidRPr="00FD24B8">
        <w:t>.</w:t>
      </w:r>
      <w:r w:rsidR="00B773AA" w:rsidRPr="00FD24B8">
        <w:t xml:space="preserve"> </w:t>
      </w:r>
      <w:r w:rsidRPr="00FD24B8">
        <w:t>T</w:t>
      </w:r>
      <w:r w:rsidR="00B773AA" w:rsidRPr="00FD24B8">
        <w:t>his was done at h</w:t>
      </w:r>
      <w:r w:rsidR="001E7816" w:rsidRPr="00FD24B8">
        <w:t>istorically low interest rates</w:t>
      </w:r>
      <w:r w:rsidRPr="00FD24B8">
        <w:t xml:space="preserve">, </w:t>
      </w:r>
      <w:r w:rsidR="00432570" w:rsidRPr="00FD24B8">
        <w:t xml:space="preserve">with a weighted average yield across this issuance </w:t>
      </w:r>
      <w:r w:rsidR="001E351A" w:rsidRPr="00FD24B8">
        <w:t>of</w:t>
      </w:r>
      <w:r w:rsidR="00432570" w:rsidRPr="00FD24B8">
        <w:t xml:space="preserve"> </w:t>
      </w:r>
      <w:r w:rsidR="00F67567" w:rsidRPr="00FD24B8">
        <w:t xml:space="preserve">around </w:t>
      </w:r>
      <w:r w:rsidR="0089044B" w:rsidRPr="00FD24B8">
        <w:t>1</w:t>
      </w:r>
      <w:r w:rsidR="00F67567" w:rsidRPr="00FD24B8">
        <w:t xml:space="preserve"> per cent</w:t>
      </w:r>
      <w:r w:rsidR="006B1014" w:rsidRPr="00FD24B8">
        <w:t>.</w:t>
      </w:r>
      <w:r w:rsidR="001A6F9E" w:rsidRPr="00FD24B8">
        <w:t xml:space="preserve"> </w:t>
      </w:r>
      <w:r w:rsidR="00464E12" w:rsidRPr="00D57BDF">
        <w:rPr>
          <w:rFonts w:eastAsiaTheme="minorEastAsia"/>
          <w:lang w:eastAsia="en-US"/>
        </w:rPr>
        <w:fldChar w:fldCharType="begin"/>
      </w:r>
      <w:r w:rsidR="00464E12" w:rsidRPr="00D57BDF">
        <w:rPr>
          <w:rFonts w:eastAsiaTheme="minorEastAsia"/>
          <w:lang w:eastAsia="en-US"/>
        </w:rPr>
        <w:instrText xml:space="preserve"> :End:AOFM_RN1 </w:instrText>
      </w:r>
      <w:r w:rsidR="00464E12" w:rsidRPr="00D57BDF">
        <w:rPr>
          <w:rFonts w:eastAsiaTheme="minorEastAsia"/>
          <w:lang w:eastAsia="en-US"/>
        </w:rPr>
        <w:fldChar w:fldCharType="end"/>
      </w:r>
    </w:p>
    <w:bookmarkEnd w:id="28"/>
    <w:p w14:paraId="5BCBCAA4" w14:textId="3196F463" w:rsidR="00EC2512" w:rsidRPr="00FD24B8" w:rsidRDefault="00830E35" w:rsidP="00EC2512">
      <w:r w:rsidRPr="00A56B05">
        <w:rPr>
          <w:lang w:eastAsia="en-US"/>
        </w:rPr>
        <w:lastRenderedPageBreak/>
        <w:fldChar w:fldCharType="begin"/>
      </w:r>
      <w:r w:rsidRPr="00A56B05">
        <w:rPr>
          <w:lang w:eastAsia="en-US"/>
        </w:rPr>
        <w:instrText xml:space="preserve"> :</w:instrText>
      </w:r>
      <w:r>
        <w:rPr>
          <w:lang w:eastAsia="en-US"/>
        </w:rPr>
        <w:instrText>Start</w:instrText>
      </w:r>
      <w:r w:rsidRPr="00A56B05">
        <w:rPr>
          <w:lang w:eastAsia="en-US"/>
        </w:rPr>
        <w:instrText xml:space="preserve">:BPD_BG3 </w:instrText>
      </w:r>
      <w:r w:rsidRPr="00A56B05">
        <w:rPr>
          <w:lang w:eastAsia="en-US"/>
        </w:rPr>
        <w:fldChar w:fldCharType="end"/>
      </w:r>
      <w:r w:rsidR="00970F73" w:rsidRPr="00FD24B8">
        <w:t>With</w:t>
      </w:r>
      <w:r w:rsidR="00A05671" w:rsidRPr="00FD24B8">
        <w:t xml:space="preserve"> </w:t>
      </w:r>
      <w:bookmarkStart w:id="29" w:name="_Toc98757992"/>
      <w:r w:rsidR="00EC2512" w:rsidRPr="00FD24B8">
        <w:t xml:space="preserve">economic growth projected to </w:t>
      </w:r>
      <w:r w:rsidR="00DE125C" w:rsidRPr="00FD24B8">
        <w:t>exceed</w:t>
      </w:r>
      <w:r w:rsidR="00EC2512" w:rsidRPr="00FD24B8">
        <w:t xml:space="preserve"> </w:t>
      </w:r>
      <w:r w:rsidR="00C80AFF" w:rsidRPr="00FD24B8">
        <w:t xml:space="preserve">the average </w:t>
      </w:r>
      <w:r w:rsidR="00EC2512" w:rsidRPr="00FD24B8">
        <w:t>yield</w:t>
      </w:r>
      <w:r w:rsidR="00C80AFF" w:rsidRPr="00FD24B8">
        <w:t xml:space="preserve"> on </w:t>
      </w:r>
      <w:r w:rsidR="0045603B" w:rsidRPr="00FD24B8">
        <w:t>the debt portfolio</w:t>
      </w:r>
      <w:r w:rsidR="00EC2512" w:rsidRPr="00FD24B8">
        <w:t xml:space="preserve"> for some time, gross debt is projected to stabilise in the forward estimates </w:t>
      </w:r>
      <w:r w:rsidR="00B25240" w:rsidRPr="00FD24B8">
        <w:t>and decline over the medium term</w:t>
      </w:r>
      <w:r w:rsidR="00F16CF5" w:rsidRPr="00FD24B8">
        <w:t xml:space="preserve"> notwithstanding </w:t>
      </w:r>
      <w:r w:rsidR="00FE1889" w:rsidRPr="00FD24B8">
        <w:t>ongoing</w:t>
      </w:r>
      <w:r w:rsidR="00F16CF5" w:rsidRPr="00FD24B8">
        <w:t xml:space="preserve"> deficits</w:t>
      </w:r>
      <w:r w:rsidR="00EC2512" w:rsidRPr="00FD24B8">
        <w:t xml:space="preserve"> (Chart 3.</w:t>
      </w:r>
      <w:r w:rsidR="00420771" w:rsidRPr="00FD24B8">
        <w:t>1</w:t>
      </w:r>
      <w:r w:rsidR="000727FD" w:rsidRPr="00FD24B8">
        <w:t>2</w:t>
      </w:r>
      <w:r w:rsidR="00EC2512" w:rsidRPr="00FD24B8">
        <w:t xml:space="preserve">). </w:t>
      </w:r>
      <w:r w:rsidR="00EC2512" w:rsidRPr="00FD24B8">
        <w:rPr>
          <w:i/>
        </w:rPr>
        <w:t>Statement 7</w:t>
      </w:r>
      <w:r w:rsidR="00EC2512" w:rsidRPr="00FD24B8">
        <w:t xml:space="preserve">: </w:t>
      </w:r>
      <w:r w:rsidR="00EC2512" w:rsidRPr="00FD24B8">
        <w:rPr>
          <w:i/>
        </w:rPr>
        <w:t>Sensitivity Analysis</w:t>
      </w:r>
      <w:r w:rsidR="00EC2512" w:rsidRPr="00FD24B8">
        <w:t xml:space="preserve"> contains information on the impact on gross debt if </w:t>
      </w:r>
      <w:r w:rsidR="00F05746" w:rsidRPr="00FD24B8">
        <w:t xml:space="preserve">the </w:t>
      </w:r>
      <w:r w:rsidR="00925216" w:rsidRPr="00FD24B8">
        <w:t xml:space="preserve">future </w:t>
      </w:r>
      <w:r w:rsidR="00F05746" w:rsidRPr="00FD24B8">
        <w:t>traj</w:t>
      </w:r>
      <w:r w:rsidR="00925216" w:rsidRPr="00FD24B8">
        <w:t>ect</w:t>
      </w:r>
      <w:r w:rsidR="00F05746" w:rsidRPr="00FD24B8">
        <w:t xml:space="preserve">ory for </w:t>
      </w:r>
      <w:r w:rsidR="00EC2512" w:rsidRPr="00FD24B8">
        <w:t xml:space="preserve">yields </w:t>
      </w:r>
      <w:r w:rsidR="00925216" w:rsidRPr="00FD24B8">
        <w:t xml:space="preserve">is </w:t>
      </w:r>
      <w:r w:rsidR="00EC2512" w:rsidRPr="00FD24B8">
        <w:t>higher or lower than projected.</w:t>
      </w:r>
    </w:p>
    <w:p w14:paraId="76866B31" w14:textId="1F858E3B" w:rsidR="00914C65" w:rsidRPr="00FD24B8" w:rsidRDefault="00ED37B8" w:rsidP="00DD7DEF">
      <w:pPr>
        <w:pStyle w:val="Heading3"/>
        <w:spacing w:before="0" w:after="240"/>
      </w:pPr>
      <w:r w:rsidRPr="00FD24B8">
        <w:rPr>
          <w:lang w:eastAsia="en-US"/>
        </w:rPr>
        <w:fldChar w:fldCharType="begin"/>
      </w:r>
      <w:r w:rsidRPr="00FD24B8">
        <w:rPr>
          <w:lang w:eastAsia="en-US"/>
        </w:rPr>
        <w:instrText xml:space="preserve"> :End:BPD_BG3 </w:instrText>
      </w:r>
      <w:r w:rsidRPr="00FD24B8">
        <w:rPr>
          <w:lang w:eastAsia="en-US"/>
        </w:rPr>
        <w:fldChar w:fldCharType="end"/>
      </w:r>
      <w:r w:rsidR="003F3087" w:rsidRPr="00FD24B8">
        <w:rPr>
          <w:lang w:eastAsia="en-US"/>
        </w:rPr>
        <w:fldChar w:fldCharType="begin"/>
      </w:r>
      <w:r w:rsidR="003F3087" w:rsidRPr="00FD24B8">
        <w:rPr>
          <w:lang w:eastAsia="en-US"/>
        </w:rPr>
        <w:instrText xml:space="preserve"> :Start:BPD_BG1 </w:instrText>
      </w:r>
      <w:r w:rsidR="003F3087" w:rsidRPr="00FD24B8">
        <w:rPr>
          <w:lang w:eastAsia="en-US"/>
        </w:rPr>
        <w:fldChar w:fldCharType="end"/>
      </w:r>
      <w:bookmarkStart w:id="30" w:name="_Toc99102050"/>
      <w:r w:rsidR="00914C65" w:rsidRPr="00FD24B8">
        <w:t>Net debt estimates</w:t>
      </w:r>
      <w:r w:rsidR="00711CFE" w:rsidRPr="00FD24B8">
        <w:t xml:space="preserve"> and projections</w:t>
      </w:r>
      <w:bookmarkEnd w:id="29"/>
      <w:bookmarkEnd w:id="30"/>
      <w:r w:rsidR="00711CFE" w:rsidRPr="00FD24B8">
        <w:t xml:space="preserve"> </w:t>
      </w:r>
    </w:p>
    <w:p w14:paraId="70E09911" w14:textId="53EEFDB9" w:rsidR="00682CF5" w:rsidRPr="00FD24B8" w:rsidRDefault="0000024A" w:rsidP="00682CF5">
      <w:r w:rsidRPr="00FD24B8">
        <w:t xml:space="preserve">Net debt </w:t>
      </w:r>
      <w:r w:rsidR="00466EA3" w:rsidRPr="00FD24B8">
        <w:t xml:space="preserve">is </w:t>
      </w:r>
      <w:r w:rsidR="00B35EDA" w:rsidRPr="00FD24B8">
        <w:t xml:space="preserve">estimated to </w:t>
      </w:r>
      <w:r w:rsidR="00466EA3" w:rsidRPr="00FD24B8">
        <w:t>decreas</w:t>
      </w:r>
      <w:r w:rsidR="00B35EDA" w:rsidRPr="00FD24B8">
        <w:t>e</w:t>
      </w:r>
      <w:r w:rsidR="00466EA3" w:rsidRPr="00FD24B8">
        <w:t xml:space="preserve"> </w:t>
      </w:r>
      <w:r w:rsidR="00263352" w:rsidRPr="00FD24B8">
        <w:t xml:space="preserve">from </w:t>
      </w:r>
      <w:r w:rsidR="009E5526" w:rsidRPr="00FD24B8">
        <w:t xml:space="preserve">28.6 per cent of GDP in </w:t>
      </w:r>
      <w:r w:rsidR="00263352" w:rsidRPr="00FD24B8">
        <w:t>2020</w:t>
      </w:r>
      <w:r w:rsidR="0031144A" w:rsidRPr="00FD24B8">
        <w:noBreakHyphen/>
      </w:r>
      <w:r w:rsidR="00263352" w:rsidRPr="00FD24B8">
        <w:t>21 to</w:t>
      </w:r>
      <w:r w:rsidR="00564681" w:rsidRPr="00FD24B8">
        <w:t> </w:t>
      </w:r>
      <w:r w:rsidR="009E5526" w:rsidRPr="00FD24B8">
        <w:t xml:space="preserve">27.6 per cent of GDP in </w:t>
      </w:r>
      <w:r w:rsidR="00466EA3" w:rsidRPr="00FD24B8">
        <w:t>2021</w:t>
      </w:r>
      <w:r w:rsidR="0031144A" w:rsidRPr="00FD24B8">
        <w:noBreakHyphen/>
      </w:r>
      <w:r w:rsidR="00466EA3" w:rsidRPr="00FD24B8">
        <w:t>22</w:t>
      </w:r>
      <w:r w:rsidR="00442A79" w:rsidRPr="00FD24B8">
        <w:t xml:space="preserve">, in part </w:t>
      </w:r>
      <w:r w:rsidR="00953D1E" w:rsidRPr="00FD24B8">
        <w:t>due to v</w:t>
      </w:r>
      <w:r w:rsidRPr="00FD24B8">
        <w:t xml:space="preserve">ery strong nominal GDP growth. </w:t>
      </w:r>
      <w:r w:rsidR="00682CF5" w:rsidRPr="00FD24B8">
        <w:t>Net</w:t>
      </w:r>
      <w:r w:rsidR="00564681" w:rsidRPr="00FD24B8">
        <w:t> </w:t>
      </w:r>
      <w:r w:rsidR="00682CF5" w:rsidRPr="00FD24B8">
        <w:t xml:space="preserve">debt is estimated to be </w:t>
      </w:r>
      <w:r w:rsidR="001D5D69" w:rsidRPr="00FD24B8">
        <w:t>31</w:t>
      </w:r>
      <w:r w:rsidR="00682CF5" w:rsidRPr="00FD24B8">
        <w:t>.</w:t>
      </w:r>
      <w:r w:rsidR="001D5D69" w:rsidRPr="00FD24B8">
        <w:t>1</w:t>
      </w:r>
      <w:r w:rsidR="00682CF5" w:rsidRPr="00FD24B8">
        <w:t xml:space="preserve"> per cent of GDP </w:t>
      </w:r>
      <w:r w:rsidR="00D83020" w:rsidRPr="00FD24B8">
        <w:t>(</w:t>
      </w:r>
      <w:r w:rsidR="00682CF5" w:rsidRPr="00FD24B8">
        <w:t>$</w:t>
      </w:r>
      <w:r w:rsidR="00F278A2" w:rsidRPr="00FD24B8">
        <w:t>714.9</w:t>
      </w:r>
      <w:r w:rsidR="00682CF5" w:rsidRPr="00FD24B8">
        <w:t xml:space="preserve"> billion</w:t>
      </w:r>
      <w:r w:rsidR="00D83020" w:rsidRPr="00FD24B8">
        <w:t>)</w:t>
      </w:r>
      <w:r w:rsidR="00682CF5" w:rsidRPr="00FD24B8">
        <w:t xml:space="preserve"> at 30 June</w:t>
      </w:r>
      <w:r w:rsidR="00CB2BDF" w:rsidRPr="00FD24B8">
        <w:t> </w:t>
      </w:r>
      <w:r w:rsidR="00682CF5" w:rsidRPr="00FD24B8">
        <w:t>202</w:t>
      </w:r>
      <w:r w:rsidR="001612CC" w:rsidRPr="00FD24B8">
        <w:t>3</w:t>
      </w:r>
      <w:r w:rsidR="00682CF5" w:rsidRPr="00FD24B8">
        <w:t xml:space="preserve"> (Table</w:t>
      </w:r>
      <w:r w:rsidR="00277261" w:rsidRPr="00FD24B8">
        <w:t> </w:t>
      </w:r>
      <w:r w:rsidR="00682CF5" w:rsidRPr="00FD24B8">
        <w:t>3.</w:t>
      </w:r>
      <w:r w:rsidR="00E0447C" w:rsidRPr="00FD24B8">
        <w:t>7</w:t>
      </w:r>
      <w:r w:rsidR="00682CF5" w:rsidRPr="00FD24B8">
        <w:t xml:space="preserve">), lower than the estimate of </w:t>
      </w:r>
      <w:r w:rsidR="00BC5964" w:rsidRPr="00FD24B8">
        <w:t>34</w:t>
      </w:r>
      <w:r w:rsidR="00682CF5" w:rsidRPr="00FD24B8">
        <w:t>.</w:t>
      </w:r>
      <w:r w:rsidR="00BC5964" w:rsidRPr="00FD24B8">
        <w:t>7</w:t>
      </w:r>
      <w:r w:rsidR="00682CF5" w:rsidRPr="00FD24B8">
        <w:t> per cent of GDP (</w:t>
      </w:r>
      <w:r w:rsidR="005C3CC0" w:rsidRPr="00FD24B8">
        <w:t>$</w:t>
      </w:r>
      <w:r w:rsidR="00BC5964" w:rsidRPr="00FD24B8">
        <w:t>773.1</w:t>
      </w:r>
      <w:r w:rsidR="00682CF5" w:rsidRPr="00FD24B8">
        <w:t xml:space="preserve"> billion) at </w:t>
      </w:r>
      <w:r w:rsidR="004438CF" w:rsidRPr="00FD24B8">
        <w:t>MYEFO</w:t>
      </w:r>
      <w:r w:rsidR="00682CF5" w:rsidRPr="00FD24B8">
        <w:t xml:space="preserve">. </w:t>
      </w:r>
      <w:r w:rsidR="0017619F" w:rsidRPr="00FD24B8">
        <w:t>This primarily reflects the Government’s decreased borrowing requirement resulting from the expected improvement in the underlying cash balance and a decrease in the market value of AGS due to higher yields.</w:t>
      </w:r>
    </w:p>
    <w:p w14:paraId="735D0EDE" w14:textId="1A0B7E86" w:rsidR="00682CF5" w:rsidRPr="00BE6368" w:rsidRDefault="003F3087" w:rsidP="00682CF5">
      <w:r w:rsidRPr="00FD24B8">
        <w:rPr>
          <w:lang w:eastAsia="en-US"/>
        </w:rPr>
        <w:fldChar w:fldCharType="begin"/>
      </w:r>
      <w:r w:rsidRPr="00FD24B8">
        <w:rPr>
          <w:lang w:eastAsia="en-US"/>
        </w:rPr>
        <w:instrText xml:space="preserve"> :End:BPD_BG1 </w:instrText>
      </w:r>
      <w:r w:rsidRPr="00FD24B8">
        <w:rPr>
          <w:lang w:eastAsia="en-US"/>
        </w:rPr>
        <w:fldChar w:fldCharType="end"/>
      </w:r>
      <w:r w:rsidRPr="00FD24B8">
        <w:rPr>
          <w:lang w:eastAsia="en-US"/>
        </w:rPr>
        <w:fldChar w:fldCharType="begin"/>
      </w:r>
      <w:r w:rsidRPr="00FD24B8">
        <w:rPr>
          <w:lang w:eastAsia="en-US"/>
        </w:rPr>
        <w:instrText xml:space="preserve"> :Start:BPD_BG</w:instrText>
      </w:r>
      <w:r w:rsidR="00965E72" w:rsidRPr="00FD24B8">
        <w:rPr>
          <w:lang w:eastAsia="en-US"/>
        </w:rPr>
        <w:instrText>3</w:instrText>
      </w:r>
      <w:r w:rsidRPr="00FD24B8">
        <w:rPr>
          <w:lang w:eastAsia="en-US"/>
        </w:rPr>
        <w:instrText xml:space="preserve"> </w:instrText>
      </w:r>
      <w:r w:rsidRPr="00FD24B8">
        <w:rPr>
          <w:lang w:eastAsia="en-US"/>
        </w:rPr>
        <w:fldChar w:fldCharType="end"/>
      </w:r>
      <w:r w:rsidR="00682CF5" w:rsidRPr="00FD24B8">
        <w:t xml:space="preserve">Net debt is expected to </w:t>
      </w:r>
      <w:r w:rsidR="00B25A52" w:rsidRPr="00FD24B8">
        <w:t>stab</w:t>
      </w:r>
      <w:r w:rsidR="00F46719" w:rsidRPr="00FD24B8">
        <w:t>i</w:t>
      </w:r>
      <w:r w:rsidR="00B25A52" w:rsidRPr="00FD24B8">
        <w:t xml:space="preserve">lise </w:t>
      </w:r>
      <w:r w:rsidR="00682CF5" w:rsidRPr="00FD24B8">
        <w:t xml:space="preserve">at </w:t>
      </w:r>
      <w:r w:rsidR="00F63C03" w:rsidRPr="00FD24B8">
        <w:t>33</w:t>
      </w:r>
      <w:r w:rsidR="00E76708" w:rsidRPr="00FD24B8">
        <w:t>.</w:t>
      </w:r>
      <w:r w:rsidR="00F63C03" w:rsidRPr="00FD24B8">
        <w:t>1</w:t>
      </w:r>
      <w:r w:rsidR="00682CF5" w:rsidRPr="00FD24B8">
        <w:t xml:space="preserve"> per cent of GDP at </w:t>
      </w:r>
      <w:r w:rsidR="00B25A52" w:rsidRPr="00FD24B8">
        <w:t>the end of the forward estimates</w:t>
      </w:r>
      <w:r w:rsidR="00682CF5" w:rsidRPr="00FD24B8">
        <w:t xml:space="preserve">, before improving over the medium term to reach </w:t>
      </w:r>
      <w:r w:rsidR="00B9487A" w:rsidRPr="00FD24B8">
        <w:t>26.9</w:t>
      </w:r>
      <w:r w:rsidR="00682CF5" w:rsidRPr="00FD24B8">
        <w:t xml:space="preserve"> per cent of GDP </w:t>
      </w:r>
      <w:proofErr w:type="gramStart"/>
      <w:r w:rsidR="00682CF5" w:rsidRPr="00FD24B8">
        <w:t>at</w:t>
      </w:r>
      <w:proofErr w:type="gramEnd"/>
      <w:r w:rsidR="00564681" w:rsidRPr="00FD24B8">
        <w:t> </w:t>
      </w:r>
      <w:r w:rsidR="00682CF5" w:rsidRPr="00FD24B8">
        <w:t>30 June</w:t>
      </w:r>
      <w:r w:rsidR="00CB2BDF" w:rsidRPr="00FD24B8">
        <w:t> </w:t>
      </w:r>
      <w:r w:rsidR="00682CF5" w:rsidRPr="00FD24B8">
        <w:t>203</w:t>
      </w:r>
      <w:r w:rsidR="008D028D" w:rsidRPr="00FD24B8">
        <w:t>3</w:t>
      </w:r>
      <w:r w:rsidR="00682CF5" w:rsidRPr="00FD24B8">
        <w:t xml:space="preserve"> (Chart 3.</w:t>
      </w:r>
      <w:r w:rsidR="003C3290" w:rsidRPr="00FD24B8">
        <w:t>1</w:t>
      </w:r>
      <w:r w:rsidR="00124FA6" w:rsidRPr="00FD24B8">
        <w:t>3</w:t>
      </w:r>
      <w:r w:rsidR="00682CF5" w:rsidRPr="00FD24B8">
        <w:t xml:space="preserve">). Net debt as a share of the economy is expected to be lower across the forward estimates and medium term than projected at </w:t>
      </w:r>
      <w:r w:rsidR="00E87F4F" w:rsidRPr="00FD24B8">
        <w:t>MYEFO</w:t>
      </w:r>
      <w:r w:rsidR="00682CF5" w:rsidRPr="00FD24B8">
        <w:t>.</w:t>
      </w:r>
      <w:r w:rsidR="00965E72" w:rsidRPr="00FD24B8">
        <w:rPr>
          <w:lang w:eastAsia="en-US"/>
        </w:rPr>
        <w:t xml:space="preserve"> </w:t>
      </w:r>
      <w:r w:rsidR="00965E72">
        <w:rPr>
          <w:lang w:eastAsia="en-US"/>
        </w:rPr>
        <w:fldChar w:fldCharType="begin"/>
      </w:r>
      <w:r w:rsidR="00965E72">
        <w:rPr>
          <w:lang w:eastAsia="en-US"/>
        </w:rPr>
        <w:instrText xml:space="preserve"> :End:BPD_BG3 </w:instrText>
      </w:r>
      <w:r w:rsidR="00965E72">
        <w:rPr>
          <w:lang w:eastAsia="en-US"/>
        </w:rPr>
        <w:fldChar w:fldCharType="end"/>
      </w:r>
    </w:p>
    <w:p w14:paraId="0EFAFA86" w14:textId="536444D0" w:rsidR="00E46527" w:rsidRPr="00FD24B8" w:rsidRDefault="00965E72" w:rsidP="00E46527">
      <w:pPr>
        <w:pStyle w:val="ChartHeading"/>
        <w:spacing w:before="0"/>
      </w:pPr>
      <w:r>
        <w:rPr>
          <w:lang w:eastAsia="en-US"/>
        </w:rPr>
        <w:fldChar w:fldCharType="begin"/>
      </w:r>
      <w:r>
        <w:rPr>
          <w:lang w:eastAsia="en-US"/>
        </w:rPr>
        <w:instrText xml:space="preserve"> :Start:BPD_BG1 </w:instrText>
      </w:r>
      <w:r>
        <w:rPr>
          <w:lang w:eastAsia="en-US"/>
        </w:rPr>
        <w:fldChar w:fldCharType="end"/>
      </w:r>
      <w:r w:rsidR="00655B3C" w:rsidRPr="00FD24B8">
        <w:t>Chart 3.13</w:t>
      </w:r>
      <w:r w:rsidR="00E46527" w:rsidRPr="00FD24B8">
        <w:t>: Net debt</w:t>
      </w:r>
      <w:r w:rsidRPr="00FD24B8">
        <w:rPr>
          <w:lang w:eastAsia="en-US"/>
        </w:rPr>
        <w:fldChar w:fldCharType="begin"/>
      </w:r>
      <w:r w:rsidRPr="00FD24B8">
        <w:rPr>
          <w:lang w:eastAsia="en-US"/>
        </w:rPr>
        <w:instrText xml:space="preserve"> :End:BPD_BG1 </w:instrText>
      </w:r>
      <w:r w:rsidRPr="00FD24B8">
        <w:rPr>
          <w:lang w:eastAsia="en-US"/>
        </w:rPr>
        <w:fldChar w:fldCharType="end"/>
      </w:r>
      <w:r w:rsidRPr="00FD24B8">
        <w:rPr>
          <w:lang w:eastAsia="en-US"/>
        </w:rPr>
        <w:fldChar w:fldCharType="begin"/>
      </w:r>
      <w:r w:rsidRPr="00FD24B8">
        <w:rPr>
          <w:lang w:eastAsia="en-US"/>
        </w:rPr>
        <w:instrText xml:space="preserve"> :Start:BPD_BG3 </w:instrText>
      </w:r>
      <w:r w:rsidRPr="00FD24B8">
        <w:rPr>
          <w:lang w:eastAsia="en-US"/>
        </w:rPr>
        <w:fldChar w:fldCharType="end"/>
      </w:r>
    </w:p>
    <w:p w14:paraId="4D6992BD" w14:textId="40748258" w:rsidR="00E46527" w:rsidRPr="00FD24B8" w:rsidRDefault="00395986" w:rsidP="002F408B">
      <w:pPr>
        <w:pStyle w:val="ChartGraphic"/>
      </w:pPr>
      <w:r>
        <w:rPr>
          <w:noProof/>
        </w:rPr>
        <w:drawing>
          <wp:inline distT="0" distB="0" distL="0" distR="0" wp14:anchorId="73E0CCF2" wp14:editId="78CEE49E">
            <wp:extent cx="4678045" cy="2509520"/>
            <wp:effectExtent l="0" t="0" r="0" b="0"/>
            <wp:docPr id="21" name="Picture 21" descr="This chart compares projections of net debt as a share of GDP at the 2022-23 Budget and 2022-21 MYEFO. In the 2022-23 Budget, net debt is expected to stabilise at 33.1 per cent of GDP at the end of the forward estimates, before improving over the medium term to reach 26.9 per cent of GDP at 30 June 2033. This is lower across the entire forward estimates and medium term than at MYE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chart compares projections of net debt as a share of GDP at the 2022-23 Budget and 2022-21 MYEFO. In the 2022-23 Budget, net debt is expected to stabilise at 33.1 per cent of GDP at the end of the forward estimates, before improving over the medium term to reach 26.9 per cent of GDP at 30 June 2033. This is lower across the entire forward estimates and medium term than at MYEFO.&#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78045" cy="2509520"/>
                    </a:xfrm>
                    <a:prstGeom prst="rect">
                      <a:avLst/>
                    </a:prstGeom>
                    <a:noFill/>
                    <a:ln>
                      <a:noFill/>
                    </a:ln>
                  </pic:spPr>
                </pic:pic>
              </a:graphicData>
            </a:graphic>
          </wp:inline>
        </w:drawing>
      </w:r>
    </w:p>
    <w:p w14:paraId="2BC6E0DA" w14:textId="0CF18989" w:rsidR="00E46527" w:rsidRDefault="00E46527" w:rsidP="00E46527">
      <w:pPr>
        <w:pStyle w:val="Source"/>
      </w:pPr>
      <w:r w:rsidRPr="00FD24B8">
        <w:t>Source:</w:t>
      </w:r>
      <w:r w:rsidRPr="00FD24B8">
        <w:tab/>
        <w:t xml:space="preserve">Treasury. </w:t>
      </w:r>
      <w:r w:rsidR="00965E72">
        <w:rPr>
          <w:lang w:eastAsia="en-US"/>
        </w:rPr>
        <w:fldChar w:fldCharType="begin"/>
      </w:r>
      <w:r w:rsidR="00965E72">
        <w:rPr>
          <w:lang w:eastAsia="en-US"/>
        </w:rPr>
        <w:instrText xml:space="preserve"> :End:BPD_BG3 </w:instrText>
      </w:r>
      <w:r w:rsidR="00965E72">
        <w:rPr>
          <w:lang w:eastAsia="en-US"/>
        </w:rPr>
        <w:fldChar w:fldCharType="end"/>
      </w:r>
    </w:p>
    <w:p w14:paraId="2A0E3C62" w14:textId="6434C0A5" w:rsidR="00914C65" w:rsidRPr="00BE6368" w:rsidRDefault="003F3087" w:rsidP="005362CC">
      <w:pPr>
        <w:spacing w:after="220" w:line="250" w:lineRule="exact"/>
        <w:rPr>
          <w:rFonts w:ascii="Arial" w:hAnsi="Arial"/>
          <w:b/>
        </w:rPr>
      </w:pPr>
      <w:r>
        <w:rPr>
          <w:lang w:eastAsia="en-US"/>
        </w:rPr>
        <w:fldChar w:fldCharType="begin"/>
      </w:r>
      <w:r>
        <w:rPr>
          <w:lang w:eastAsia="en-US"/>
        </w:rPr>
        <w:instrText xml:space="preserve"> :Start:BPD_BG1 </w:instrText>
      </w:r>
      <w:r>
        <w:rPr>
          <w:lang w:eastAsia="en-US"/>
        </w:rPr>
        <w:fldChar w:fldCharType="end"/>
      </w:r>
      <w:r w:rsidR="00914C65" w:rsidRPr="00FD24B8">
        <w:t xml:space="preserve">Further information on gross debt and net debt is provided in </w:t>
      </w:r>
      <w:r w:rsidR="00914C65" w:rsidRPr="00FD24B8">
        <w:rPr>
          <w:i/>
        </w:rPr>
        <w:t xml:space="preserve">Statement </w:t>
      </w:r>
      <w:r w:rsidR="00DE7A6E" w:rsidRPr="00FD24B8">
        <w:rPr>
          <w:i/>
        </w:rPr>
        <w:t>6</w:t>
      </w:r>
      <w:r w:rsidR="00914C65" w:rsidRPr="00FD24B8">
        <w:rPr>
          <w:i/>
        </w:rPr>
        <w:t>: Debt Statement</w:t>
      </w:r>
      <w:r w:rsidR="00914C65" w:rsidRPr="00FD24B8">
        <w:t xml:space="preserve">. </w:t>
      </w:r>
      <w:r>
        <w:rPr>
          <w:lang w:eastAsia="en-US"/>
        </w:rPr>
        <w:fldChar w:fldCharType="begin"/>
      </w:r>
      <w:r>
        <w:rPr>
          <w:lang w:eastAsia="en-US"/>
        </w:rPr>
        <w:instrText xml:space="preserve"> :End:BPD_BG1 </w:instrText>
      </w:r>
      <w:r>
        <w:rPr>
          <w:lang w:eastAsia="en-US"/>
        </w:rPr>
        <w:fldChar w:fldCharType="end"/>
      </w:r>
      <w:r w:rsidR="00914C65" w:rsidRPr="00BE6368">
        <w:br w:type="page"/>
      </w:r>
    </w:p>
    <w:bookmarkStart w:id="31" w:name="_Toc98757993"/>
    <w:p w14:paraId="02429ACF" w14:textId="5F76E67F" w:rsidR="00914C65" w:rsidRPr="00FD24B8" w:rsidRDefault="00020470" w:rsidP="00DD7DEF">
      <w:pPr>
        <w:pStyle w:val="Heading3"/>
        <w:spacing w:before="0" w:after="240"/>
      </w:pPr>
      <w:r>
        <w:rPr>
          <w:lang w:eastAsia="en-US"/>
        </w:rPr>
        <w:lastRenderedPageBreak/>
        <w:fldChar w:fldCharType="begin"/>
      </w:r>
      <w:r>
        <w:rPr>
          <w:lang w:eastAsia="en-US"/>
        </w:rPr>
        <w:instrText xml:space="preserve"> :Start:BPD_BG1 </w:instrText>
      </w:r>
      <w:r>
        <w:rPr>
          <w:lang w:eastAsia="en-US"/>
        </w:rPr>
        <w:fldChar w:fldCharType="end"/>
      </w:r>
      <w:bookmarkStart w:id="32" w:name="_Toc99102051"/>
      <w:r w:rsidR="00914C65" w:rsidRPr="00FD24B8">
        <w:t>Net financial worth and net worth</w:t>
      </w:r>
      <w:r w:rsidR="0038581F" w:rsidRPr="00FD24B8">
        <w:t xml:space="preserve"> estimates and projections</w:t>
      </w:r>
      <w:bookmarkEnd w:id="31"/>
      <w:bookmarkEnd w:id="32"/>
      <w:r w:rsidR="0038581F" w:rsidRPr="00FD24B8">
        <w:t xml:space="preserve"> </w:t>
      </w:r>
    </w:p>
    <w:p w14:paraId="4EB6E8D5" w14:textId="765C4BA0" w:rsidR="00A81A2E" w:rsidRPr="00C127B4" w:rsidRDefault="00A81A2E" w:rsidP="00A81A2E">
      <w:pPr>
        <w:rPr>
          <w:lang w:eastAsia="en-US"/>
        </w:rPr>
      </w:pPr>
      <w:r w:rsidRPr="00FD24B8">
        <w:rPr>
          <w:lang w:eastAsia="en-US"/>
        </w:rPr>
        <w:t xml:space="preserve">Net financial worth is estimated to be </w:t>
      </w:r>
      <w:r w:rsidR="0031144A" w:rsidRPr="00FD24B8">
        <w:rPr>
          <w:lang w:eastAsia="en-US"/>
        </w:rPr>
        <w:noBreakHyphen/>
      </w:r>
      <w:r w:rsidR="001C7611" w:rsidRPr="00FD24B8">
        <w:rPr>
          <w:lang w:eastAsia="en-US"/>
        </w:rPr>
        <w:t>37.4</w:t>
      </w:r>
      <w:r w:rsidRPr="00FD24B8">
        <w:rPr>
          <w:lang w:eastAsia="en-US"/>
        </w:rPr>
        <w:t xml:space="preserve"> per cent of GDP</w:t>
      </w:r>
      <w:r w:rsidR="001A6B57" w:rsidRPr="00FD24B8">
        <w:rPr>
          <w:lang w:eastAsia="en-US"/>
        </w:rPr>
        <w:t xml:space="preserve"> </w:t>
      </w:r>
      <w:r w:rsidR="009168AC" w:rsidRPr="00FD24B8">
        <w:rPr>
          <w:lang w:eastAsia="en-US"/>
        </w:rPr>
        <w:t>(</w:t>
      </w:r>
      <w:r w:rsidR="0031144A" w:rsidRPr="00FD24B8">
        <w:rPr>
          <w:lang w:eastAsia="en-US"/>
        </w:rPr>
        <w:noBreakHyphen/>
      </w:r>
      <w:r w:rsidR="001C7611" w:rsidRPr="00FD24B8">
        <w:rPr>
          <w:lang w:eastAsia="en-US"/>
        </w:rPr>
        <w:t>$859.3</w:t>
      </w:r>
      <w:r w:rsidRPr="00FD24B8">
        <w:rPr>
          <w:lang w:eastAsia="en-US"/>
        </w:rPr>
        <w:t xml:space="preserve"> billion</w:t>
      </w:r>
      <w:r w:rsidR="009168AC" w:rsidRPr="00FD24B8">
        <w:rPr>
          <w:lang w:eastAsia="en-US"/>
        </w:rPr>
        <w:t>)</w:t>
      </w:r>
      <w:r w:rsidRPr="00FD24B8">
        <w:rPr>
          <w:lang w:eastAsia="en-US"/>
        </w:rPr>
        <w:t xml:space="preserve"> at 30 June 202</w:t>
      </w:r>
      <w:r w:rsidR="0043601B" w:rsidRPr="00FD24B8">
        <w:rPr>
          <w:lang w:eastAsia="en-US"/>
        </w:rPr>
        <w:t>3</w:t>
      </w:r>
      <w:r w:rsidRPr="00FD24B8">
        <w:rPr>
          <w:lang w:eastAsia="en-US"/>
        </w:rPr>
        <w:t xml:space="preserve"> </w:t>
      </w:r>
      <w:r w:rsidRPr="00FD24B8">
        <w:t>(Table 3.</w:t>
      </w:r>
      <w:r w:rsidR="00D4012E" w:rsidRPr="00FD24B8">
        <w:t>7</w:t>
      </w:r>
      <w:r w:rsidRPr="00FD24B8">
        <w:t>)</w:t>
      </w:r>
      <w:r w:rsidRPr="00FD24B8">
        <w:rPr>
          <w:lang w:eastAsia="en-US"/>
        </w:rPr>
        <w:t xml:space="preserve">, compared with the estimate of </w:t>
      </w:r>
      <w:r w:rsidRPr="00FD24B8">
        <w:rPr>
          <w:lang w:eastAsia="en-US"/>
        </w:rPr>
        <w:noBreakHyphen/>
        <w:t>4</w:t>
      </w:r>
      <w:r w:rsidR="009F7DFC" w:rsidRPr="00FD24B8">
        <w:rPr>
          <w:lang w:eastAsia="en-US"/>
        </w:rPr>
        <w:t>1</w:t>
      </w:r>
      <w:r w:rsidRPr="00FD24B8">
        <w:rPr>
          <w:lang w:eastAsia="en-US"/>
        </w:rPr>
        <w:t>.</w:t>
      </w:r>
      <w:r w:rsidR="009F7DFC" w:rsidRPr="00FD24B8">
        <w:rPr>
          <w:lang w:eastAsia="en-US"/>
        </w:rPr>
        <w:t>2</w:t>
      </w:r>
      <w:r w:rsidRPr="00FD24B8">
        <w:rPr>
          <w:lang w:eastAsia="en-US"/>
        </w:rPr>
        <w:t xml:space="preserve"> per cent of GDP (</w:t>
      </w:r>
      <w:r w:rsidRPr="00FD24B8">
        <w:rPr>
          <w:lang w:eastAsia="en-US"/>
        </w:rPr>
        <w:noBreakHyphen/>
        <w:t>$</w:t>
      </w:r>
      <w:r w:rsidR="009F7DFC" w:rsidRPr="00FD24B8">
        <w:rPr>
          <w:lang w:eastAsia="en-US"/>
        </w:rPr>
        <w:t>919</w:t>
      </w:r>
      <w:r w:rsidRPr="00FD24B8">
        <w:rPr>
          <w:lang w:eastAsia="en-US"/>
        </w:rPr>
        <w:t>.</w:t>
      </w:r>
      <w:r w:rsidR="009F7DFC" w:rsidRPr="00FD24B8">
        <w:rPr>
          <w:lang w:eastAsia="en-US"/>
        </w:rPr>
        <w:t>0</w:t>
      </w:r>
      <w:r w:rsidRPr="00FD24B8">
        <w:rPr>
          <w:lang w:eastAsia="en-US"/>
        </w:rPr>
        <w:t xml:space="preserve"> billion) at </w:t>
      </w:r>
      <w:r w:rsidR="0043601B" w:rsidRPr="00FD24B8">
        <w:rPr>
          <w:lang w:eastAsia="en-US"/>
        </w:rPr>
        <w:t>MYEFO</w:t>
      </w:r>
      <w:r w:rsidRPr="00FD24B8">
        <w:rPr>
          <w:lang w:eastAsia="en-US"/>
        </w:rPr>
        <w:t>.</w:t>
      </w:r>
      <w:r w:rsidR="00DA6F6E" w:rsidRPr="00FD24B8">
        <w:rPr>
          <w:lang w:eastAsia="en-US"/>
        </w:rPr>
        <w:t xml:space="preserve"> </w:t>
      </w:r>
      <w:r w:rsidR="00020470">
        <w:rPr>
          <w:lang w:eastAsia="en-US"/>
        </w:rPr>
        <w:fldChar w:fldCharType="begin"/>
      </w:r>
      <w:r w:rsidR="00020470">
        <w:rPr>
          <w:lang w:eastAsia="en-US"/>
        </w:rPr>
        <w:instrText xml:space="preserve"> :End:BPD_BG1 </w:instrText>
      </w:r>
      <w:r w:rsidR="00020470">
        <w:rPr>
          <w:lang w:eastAsia="en-US"/>
        </w:rPr>
        <w:fldChar w:fldCharType="end"/>
      </w:r>
    </w:p>
    <w:p w14:paraId="3D91B36D" w14:textId="5DD343A5" w:rsidR="005316A0" w:rsidRPr="00FD24B8" w:rsidRDefault="00020470" w:rsidP="00A81A2E">
      <w:pPr>
        <w:rPr>
          <w:lang w:eastAsia="en-US"/>
        </w:rPr>
      </w:pPr>
      <w:r>
        <w:rPr>
          <w:lang w:eastAsia="en-US"/>
        </w:rPr>
        <w:fldChar w:fldCharType="begin"/>
      </w:r>
      <w:r>
        <w:rPr>
          <w:lang w:eastAsia="en-US"/>
        </w:rPr>
        <w:instrText xml:space="preserve"> :Start:BPD_BG1 </w:instrText>
      </w:r>
      <w:r>
        <w:rPr>
          <w:lang w:eastAsia="en-US"/>
        </w:rPr>
        <w:fldChar w:fldCharType="end"/>
      </w:r>
      <w:r w:rsidR="00A81A2E" w:rsidRPr="00FD24B8">
        <w:t xml:space="preserve">Net financial worth is expected to deteriorate to </w:t>
      </w:r>
      <w:r w:rsidR="00DC13FF" w:rsidRPr="00FD24B8">
        <w:t>–</w:t>
      </w:r>
      <w:r w:rsidR="00E711B6" w:rsidRPr="00FD24B8">
        <w:t>38</w:t>
      </w:r>
      <w:r w:rsidR="00DC13FF" w:rsidRPr="00FD24B8">
        <w:t>.</w:t>
      </w:r>
      <w:r w:rsidR="00FC2AC4" w:rsidRPr="00FD24B8">
        <w:t>9</w:t>
      </w:r>
      <w:r w:rsidR="00A81A2E" w:rsidRPr="00FD24B8">
        <w:t xml:space="preserve"> per cent of GDP </w:t>
      </w:r>
      <w:proofErr w:type="gramStart"/>
      <w:r w:rsidR="00A81A2E" w:rsidRPr="00FD24B8">
        <w:t>at</w:t>
      </w:r>
      <w:proofErr w:type="gramEnd"/>
      <w:r w:rsidR="00A81A2E" w:rsidRPr="00FD24B8">
        <w:t xml:space="preserve"> 30 June</w:t>
      </w:r>
      <w:r w:rsidR="00CB2BDF" w:rsidRPr="00FD24B8">
        <w:t> </w:t>
      </w:r>
      <w:r w:rsidR="00A81A2E" w:rsidRPr="00FD24B8">
        <w:t>202</w:t>
      </w:r>
      <w:r w:rsidR="007A3EE2" w:rsidRPr="00FD24B8">
        <w:t>5</w:t>
      </w:r>
      <w:r w:rsidRPr="00FD24B8">
        <w:rPr>
          <w:lang w:eastAsia="en-US"/>
        </w:rPr>
        <w:fldChar w:fldCharType="begin"/>
      </w:r>
      <w:r w:rsidRPr="00FD24B8">
        <w:rPr>
          <w:lang w:eastAsia="en-US"/>
        </w:rPr>
        <w:instrText xml:space="preserve"> :End:BPD_BG1 </w:instrText>
      </w:r>
      <w:r w:rsidRPr="00FD24B8">
        <w:rPr>
          <w:lang w:eastAsia="en-US"/>
        </w:rPr>
        <w:fldChar w:fldCharType="end"/>
      </w:r>
      <w:r w:rsidRPr="00FD24B8">
        <w:rPr>
          <w:lang w:eastAsia="en-US"/>
        </w:rPr>
        <w:fldChar w:fldCharType="begin"/>
      </w:r>
      <w:r w:rsidRPr="00FD24B8">
        <w:rPr>
          <w:lang w:eastAsia="en-US"/>
        </w:rPr>
        <w:instrText xml:space="preserve"> :Start:BPD_BG3 </w:instrText>
      </w:r>
      <w:r w:rsidRPr="00FD24B8">
        <w:rPr>
          <w:lang w:eastAsia="en-US"/>
        </w:rPr>
        <w:fldChar w:fldCharType="end"/>
      </w:r>
      <w:r w:rsidR="00A81A2E" w:rsidRPr="00FD24B8">
        <w:t xml:space="preserve"> before improving thereafter to reach </w:t>
      </w:r>
      <w:r w:rsidR="00C1771F" w:rsidRPr="00FD24B8">
        <w:noBreakHyphen/>
      </w:r>
      <w:r w:rsidR="00490A2F" w:rsidRPr="00FD24B8">
        <w:t>30</w:t>
      </w:r>
      <w:r w:rsidR="00E76708" w:rsidRPr="00FD24B8">
        <w:t>.</w:t>
      </w:r>
      <w:r w:rsidR="00490A2F" w:rsidRPr="00FD24B8">
        <w:t>2</w:t>
      </w:r>
      <w:r w:rsidR="00A81A2E" w:rsidRPr="00FD24B8">
        <w:t xml:space="preserve"> per cent of GDP by the end of the medium term (Chart 3.</w:t>
      </w:r>
      <w:r w:rsidR="003C3290" w:rsidRPr="00FD24B8">
        <w:t>1</w:t>
      </w:r>
      <w:r w:rsidR="00715A21" w:rsidRPr="00FD24B8">
        <w:t>4</w:t>
      </w:r>
      <w:r w:rsidR="00A81A2E" w:rsidRPr="00FD24B8">
        <w:t>). At </w:t>
      </w:r>
      <w:r w:rsidR="00AF2D8C" w:rsidRPr="00FD24B8">
        <w:t>MYEFO</w:t>
      </w:r>
      <w:r w:rsidR="00A81A2E" w:rsidRPr="00FD24B8">
        <w:t xml:space="preserve">, net financial worth was projected to be </w:t>
      </w:r>
      <w:r w:rsidR="00687B72" w:rsidRPr="00FD24B8">
        <w:noBreakHyphen/>
        <w:t>38.1</w:t>
      </w:r>
      <w:r w:rsidR="00A81A2E" w:rsidRPr="00FD24B8">
        <w:t> per cent of GDP at 30 June 2032</w:t>
      </w:r>
      <w:r w:rsidR="00542E9D" w:rsidRPr="00FD24B8">
        <w:t>.</w:t>
      </w:r>
      <w:r w:rsidRPr="00FD24B8">
        <w:rPr>
          <w:lang w:eastAsia="en-US"/>
        </w:rPr>
        <w:t xml:space="preserve"> </w:t>
      </w:r>
    </w:p>
    <w:p w14:paraId="40FD152D" w14:textId="5FC31429" w:rsidR="00542E9D" w:rsidRPr="00BE6368" w:rsidRDefault="00DC07F2" w:rsidP="00A81A2E">
      <w:r w:rsidRPr="00FD24B8">
        <w:rPr>
          <w:lang w:eastAsia="en-US"/>
        </w:rPr>
        <w:t xml:space="preserve">The improvement in net financial worth between 30 June 2021 and 30 June 2022 is </w:t>
      </w:r>
      <w:r w:rsidR="00601C41" w:rsidRPr="00FD24B8">
        <w:rPr>
          <w:lang w:eastAsia="en-US"/>
        </w:rPr>
        <w:t xml:space="preserve">largely </w:t>
      </w:r>
      <w:r w:rsidRPr="00FD24B8">
        <w:rPr>
          <w:lang w:eastAsia="en-US"/>
        </w:rPr>
        <w:t xml:space="preserve">due to </w:t>
      </w:r>
      <w:r w:rsidR="00FE6091" w:rsidRPr="00FD24B8">
        <w:rPr>
          <w:lang w:eastAsia="en-US"/>
        </w:rPr>
        <w:t xml:space="preserve">a </w:t>
      </w:r>
      <w:r w:rsidR="009075FC" w:rsidRPr="00FD24B8">
        <w:rPr>
          <w:lang w:eastAsia="en-US"/>
        </w:rPr>
        <w:t xml:space="preserve">decrease in the </w:t>
      </w:r>
      <w:r w:rsidR="00592E2B" w:rsidRPr="00FD24B8">
        <w:rPr>
          <w:lang w:eastAsia="en-US"/>
        </w:rPr>
        <w:t xml:space="preserve">value </w:t>
      </w:r>
      <w:r w:rsidR="00F81F09" w:rsidRPr="00FD24B8">
        <w:rPr>
          <w:lang w:eastAsia="en-US"/>
        </w:rPr>
        <w:t xml:space="preserve">of the </w:t>
      </w:r>
      <w:r w:rsidR="006557EB" w:rsidRPr="00FD24B8">
        <w:rPr>
          <w:lang w:eastAsia="en-US"/>
        </w:rPr>
        <w:t xml:space="preserve">Government’s defined benefit </w:t>
      </w:r>
      <w:r w:rsidR="00F81F09" w:rsidRPr="00FD24B8">
        <w:rPr>
          <w:lang w:eastAsia="en-US"/>
        </w:rPr>
        <w:t>superannuation liability</w:t>
      </w:r>
      <w:r w:rsidR="00AA45AB" w:rsidRPr="00FD24B8">
        <w:rPr>
          <w:lang w:eastAsia="en-US"/>
        </w:rPr>
        <w:t xml:space="preserve">. </w:t>
      </w:r>
      <w:r w:rsidR="00F02819" w:rsidRPr="00FD24B8">
        <w:rPr>
          <w:lang w:eastAsia="en-US"/>
        </w:rPr>
        <w:t xml:space="preserve">This reflects </w:t>
      </w:r>
      <w:r w:rsidRPr="00FD24B8">
        <w:rPr>
          <w:lang w:eastAsia="en-US"/>
        </w:rPr>
        <w:t>the different discount rates used to value the liability between Budgets and Final Budget Outcomes (see 2020</w:t>
      </w:r>
      <w:r w:rsidR="0031144A" w:rsidRPr="00FD24B8">
        <w:rPr>
          <w:lang w:eastAsia="en-US"/>
        </w:rPr>
        <w:noBreakHyphen/>
      </w:r>
      <w:r w:rsidRPr="00FD24B8">
        <w:rPr>
          <w:lang w:eastAsia="en-US"/>
        </w:rPr>
        <w:t xml:space="preserve">21 Final Budget Outcome: </w:t>
      </w:r>
      <w:r w:rsidRPr="00FD24B8">
        <w:rPr>
          <w:i/>
          <w:iCs/>
          <w:lang w:eastAsia="en-US"/>
        </w:rPr>
        <w:t xml:space="preserve">Part 1 </w:t>
      </w:r>
      <w:r w:rsidRPr="00FD24B8">
        <w:rPr>
          <w:lang w:eastAsia="en-US"/>
        </w:rPr>
        <w:t>for more detail).</w:t>
      </w:r>
      <w:r w:rsidR="00020470">
        <w:rPr>
          <w:lang w:eastAsia="en-US"/>
        </w:rPr>
        <w:fldChar w:fldCharType="begin"/>
      </w:r>
      <w:r w:rsidR="00020470">
        <w:rPr>
          <w:lang w:eastAsia="en-US"/>
        </w:rPr>
        <w:instrText xml:space="preserve"> :End:BPD_BG3 </w:instrText>
      </w:r>
      <w:r w:rsidR="00020470">
        <w:rPr>
          <w:lang w:eastAsia="en-US"/>
        </w:rPr>
        <w:fldChar w:fldCharType="end"/>
      </w:r>
    </w:p>
    <w:p w14:paraId="2030657D" w14:textId="77DE0CA2" w:rsidR="00542E9D" w:rsidRPr="00FD24B8" w:rsidRDefault="008131BA" w:rsidP="002F742C">
      <w:pPr>
        <w:pStyle w:val="ChartHeading"/>
      </w:pPr>
      <w:r>
        <w:fldChar w:fldCharType="begin"/>
      </w:r>
      <w:r>
        <w:instrText xml:space="preserve"> :Start:BPD_BG1 </w:instrText>
      </w:r>
      <w:r>
        <w:fldChar w:fldCharType="end"/>
      </w:r>
      <w:r w:rsidR="00542E9D" w:rsidRPr="00FD24B8">
        <w:t>Chart 3.</w:t>
      </w:r>
      <w:r w:rsidR="003C3290" w:rsidRPr="00FD24B8">
        <w:t>1</w:t>
      </w:r>
      <w:r w:rsidR="00715A21" w:rsidRPr="00FD24B8">
        <w:t>4</w:t>
      </w:r>
      <w:r w:rsidR="00542E9D" w:rsidRPr="00FD24B8">
        <w:t xml:space="preserve">: Net financial </w:t>
      </w:r>
      <w:r w:rsidRPr="00FD24B8">
        <w:fldChar w:fldCharType="begin"/>
      </w:r>
      <w:r w:rsidRPr="00FD24B8">
        <w:instrText xml:space="preserve"> :End:BPD_BG1 </w:instrText>
      </w:r>
      <w:r w:rsidRPr="00FD24B8">
        <w:fldChar w:fldCharType="end"/>
      </w:r>
      <w:r w:rsidRPr="00FD24B8">
        <w:fldChar w:fldCharType="begin"/>
      </w:r>
      <w:r w:rsidRPr="00FD24B8">
        <w:instrText xml:space="preserve"> :Start:BPD_BG3 </w:instrText>
      </w:r>
      <w:r w:rsidRPr="00FD24B8">
        <w:fldChar w:fldCharType="end"/>
      </w:r>
      <w:r w:rsidR="00542E9D" w:rsidRPr="00FD24B8">
        <w:t>worth</w:t>
      </w:r>
    </w:p>
    <w:p w14:paraId="731B56D4" w14:textId="2423D441" w:rsidR="002F742C" w:rsidRPr="00FD24B8" w:rsidRDefault="00395986" w:rsidP="00A73537">
      <w:pPr>
        <w:pStyle w:val="ChartGraphic"/>
      </w:pPr>
      <w:r>
        <w:rPr>
          <w:noProof/>
        </w:rPr>
        <w:drawing>
          <wp:inline distT="0" distB="0" distL="0" distR="0" wp14:anchorId="6661F3A8" wp14:editId="1D680236">
            <wp:extent cx="4699635" cy="2541270"/>
            <wp:effectExtent l="0" t="0" r="0" b="0"/>
            <wp:docPr id="22" name="Picture 22" descr="This chart compares projections of net financial worth as a share of GDP at the 2022-23 Budget and the 2021-22 MYEFO. At the 2022-23 Budget, net financial worth is estimated to be -37.4 per cent of GDP at 30 June 2023. It is expected to deteriorate to –38.9 per cent of GDP at 30 June 2025 before improving thereafter to reach -30.2 per cent of GDP by the end of the medium term. Projections of net financial worth have improved since the 2021-22 MYE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is chart compares projections of net financial worth as a share of GDP at the 2022-23 Budget and the 2021-22 MYEFO. At the 2022-23 Budget, net financial worth is estimated to be -37.4 per cent of GDP at 30 June 2023. It is expected to deteriorate to –38.9 per cent of GDP at 30 June 2025 before improving thereafter to reach -30.2 per cent of GDP by the end of the medium term. Projections of net financial worth have improved since the 2021-22 MYEFO.&#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99635" cy="2541270"/>
                    </a:xfrm>
                    <a:prstGeom prst="rect">
                      <a:avLst/>
                    </a:prstGeom>
                    <a:noFill/>
                    <a:ln>
                      <a:noFill/>
                    </a:ln>
                  </pic:spPr>
                </pic:pic>
              </a:graphicData>
            </a:graphic>
          </wp:inline>
        </w:drawing>
      </w:r>
    </w:p>
    <w:p w14:paraId="7BB21D69" w14:textId="102D59B5" w:rsidR="00542E9D" w:rsidRPr="00FD24B8" w:rsidRDefault="00542E9D" w:rsidP="00542E9D">
      <w:pPr>
        <w:pStyle w:val="Source"/>
      </w:pPr>
      <w:r w:rsidRPr="00FD24B8">
        <w:t xml:space="preserve">Source: </w:t>
      </w:r>
      <w:r w:rsidRPr="00FD24B8">
        <w:tab/>
        <w:t>Treasury.</w:t>
      </w:r>
      <w:r w:rsidR="008274EC" w:rsidRPr="00FD24B8">
        <w:rPr>
          <w:lang w:eastAsia="en-US"/>
        </w:rPr>
        <w:t xml:space="preserve"> </w:t>
      </w:r>
    </w:p>
    <w:p w14:paraId="07910964" w14:textId="0687B4D2" w:rsidR="00567148" w:rsidRPr="00FD24B8" w:rsidRDefault="00DF6F26" w:rsidP="005362CC">
      <w:pPr>
        <w:rPr>
          <w:lang w:eastAsia="en-US"/>
        </w:rPr>
      </w:pPr>
      <w:r w:rsidRPr="00FD24B8">
        <w:rPr>
          <w:lang w:eastAsia="en-US"/>
        </w:rPr>
        <w:fldChar w:fldCharType="begin"/>
      </w:r>
      <w:r w:rsidRPr="00FD24B8">
        <w:rPr>
          <w:lang w:eastAsia="en-US"/>
        </w:rPr>
        <w:instrText xml:space="preserve"> :End:BPD_BG3 </w:instrText>
      </w:r>
      <w:r w:rsidRPr="00FD24B8">
        <w:rPr>
          <w:lang w:eastAsia="en-US"/>
        </w:rPr>
        <w:fldChar w:fldCharType="end"/>
      </w:r>
      <w:r w:rsidRPr="00FD24B8">
        <w:rPr>
          <w:lang w:eastAsia="en-US"/>
        </w:rPr>
        <w:fldChar w:fldCharType="begin"/>
      </w:r>
      <w:r w:rsidRPr="00FD24B8">
        <w:rPr>
          <w:lang w:eastAsia="en-US"/>
        </w:rPr>
        <w:instrText xml:space="preserve"> :Start:BPD_BG1 </w:instrText>
      </w:r>
      <w:r w:rsidRPr="00FD24B8">
        <w:rPr>
          <w:lang w:eastAsia="en-US"/>
        </w:rPr>
        <w:fldChar w:fldCharType="end"/>
      </w:r>
      <w:r w:rsidR="007303AD" w:rsidRPr="00FD24B8">
        <w:rPr>
          <w:lang w:eastAsia="en-US"/>
        </w:rPr>
        <w:t xml:space="preserve">Net worth is estimated to be </w:t>
      </w:r>
      <w:r w:rsidR="0031144A" w:rsidRPr="00FD24B8">
        <w:rPr>
          <w:lang w:eastAsia="en-US"/>
        </w:rPr>
        <w:noBreakHyphen/>
      </w:r>
      <w:r w:rsidR="008769DA" w:rsidRPr="00FD24B8">
        <w:rPr>
          <w:lang w:eastAsia="en-US"/>
        </w:rPr>
        <w:t>28.6</w:t>
      </w:r>
      <w:r w:rsidR="007303AD" w:rsidRPr="00FD24B8">
        <w:rPr>
          <w:lang w:eastAsia="en-US"/>
        </w:rPr>
        <w:t> per cent of GDP (</w:t>
      </w:r>
      <w:r w:rsidR="0031144A" w:rsidRPr="00FD24B8">
        <w:rPr>
          <w:lang w:eastAsia="en-US"/>
        </w:rPr>
        <w:noBreakHyphen/>
      </w:r>
      <w:r w:rsidR="008769DA" w:rsidRPr="00FD24B8">
        <w:rPr>
          <w:lang w:eastAsia="en-US"/>
        </w:rPr>
        <w:t>$657.</w:t>
      </w:r>
      <w:r w:rsidR="005E705B" w:rsidRPr="00FD24B8">
        <w:rPr>
          <w:lang w:eastAsia="en-US"/>
        </w:rPr>
        <w:t>5</w:t>
      </w:r>
      <w:r w:rsidR="007303AD" w:rsidRPr="00FD24B8">
        <w:rPr>
          <w:lang w:eastAsia="en-US"/>
        </w:rPr>
        <w:t xml:space="preserve"> billion) </w:t>
      </w:r>
      <w:proofErr w:type="gramStart"/>
      <w:r w:rsidR="007303AD" w:rsidRPr="00FD24B8">
        <w:rPr>
          <w:lang w:eastAsia="en-US"/>
        </w:rPr>
        <w:t>at</w:t>
      </w:r>
      <w:proofErr w:type="gramEnd"/>
      <w:r w:rsidR="007303AD" w:rsidRPr="00FD24B8">
        <w:rPr>
          <w:lang w:eastAsia="en-US"/>
        </w:rPr>
        <w:t xml:space="preserve"> 30 June</w:t>
      </w:r>
      <w:r w:rsidR="00CB2BDF" w:rsidRPr="00FD24B8">
        <w:rPr>
          <w:lang w:eastAsia="en-US"/>
        </w:rPr>
        <w:t> </w:t>
      </w:r>
      <w:r w:rsidR="007303AD" w:rsidRPr="00FD24B8">
        <w:rPr>
          <w:lang w:eastAsia="en-US"/>
        </w:rPr>
        <w:t>202</w:t>
      </w:r>
      <w:r w:rsidR="00260383" w:rsidRPr="00FD24B8">
        <w:rPr>
          <w:lang w:eastAsia="en-US"/>
        </w:rPr>
        <w:t>3</w:t>
      </w:r>
      <w:r w:rsidR="007303AD" w:rsidRPr="00FD24B8">
        <w:rPr>
          <w:lang w:eastAsia="en-US"/>
        </w:rPr>
        <w:t xml:space="preserve"> </w:t>
      </w:r>
      <w:r w:rsidR="007303AD" w:rsidRPr="00FD24B8">
        <w:t>(Table 3.</w:t>
      </w:r>
      <w:r w:rsidR="00943A4F" w:rsidRPr="00FD24B8">
        <w:t>7</w:t>
      </w:r>
      <w:r w:rsidR="007303AD" w:rsidRPr="00FD24B8">
        <w:t>)</w:t>
      </w:r>
      <w:r w:rsidR="007303AD" w:rsidRPr="00FD24B8">
        <w:rPr>
          <w:lang w:eastAsia="en-US"/>
        </w:rPr>
        <w:t xml:space="preserve">, </w:t>
      </w:r>
      <w:r w:rsidR="007303AD" w:rsidRPr="00FD24B8">
        <w:t>compared</w:t>
      </w:r>
      <w:r w:rsidR="007303AD" w:rsidRPr="00FD24B8">
        <w:rPr>
          <w:lang w:eastAsia="en-US"/>
        </w:rPr>
        <w:t xml:space="preserve"> with the estimate of </w:t>
      </w:r>
      <w:r w:rsidR="007303AD" w:rsidRPr="00FD24B8">
        <w:rPr>
          <w:lang w:eastAsia="en-US"/>
        </w:rPr>
        <w:noBreakHyphen/>
        <w:t>3</w:t>
      </w:r>
      <w:r w:rsidR="006C7BC0" w:rsidRPr="00FD24B8">
        <w:rPr>
          <w:lang w:eastAsia="en-US"/>
        </w:rPr>
        <w:t>2</w:t>
      </w:r>
      <w:r w:rsidR="007303AD" w:rsidRPr="00FD24B8">
        <w:rPr>
          <w:lang w:eastAsia="en-US"/>
        </w:rPr>
        <w:t>.</w:t>
      </w:r>
      <w:r w:rsidR="006C7BC0" w:rsidRPr="00FD24B8">
        <w:rPr>
          <w:lang w:eastAsia="en-US"/>
        </w:rPr>
        <w:t>1</w:t>
      </w:r>
      <w:r w:rsidR="007303AD" w:rsidRPr="00FD24B8">
        <w:rPr>
          <w:lang w:eastAsia="en-US"/>
        </w:rPr>
        <w:t> per cent of GDP (</w:t>
      </w:r>
      <w:r w:rsidR="007303AD" w:rsidRPr="00FD24B8">
        <w:rPr>
          <w:lang w:eastAsia="en-US"/>
        </w:rPr>
        <w:noBreakHyphen/>
        <w:t>$</w:t>
      </w:r>
      <w:r w:rsidR="006C7BC0" w:rsidRPr="00FD24B8">
        <w:rPr>
          <w:lang w:eastAsia="en-US"/>
        </w:rPr>
        <w:t>716.9</w:t>
      </w:r>
      <w:r w:rsidR="007303AD" w:rsidRPr="00FD24B8">
        <w:rPr>
          <w:lang w:eastAsia="en-US"/>
        </w:rPr>
        <w:t> billion) at</w:t>
      </w:r>
      <w:r w:rsidR="00986EB5" w:rsidRPr="00FD24B8">
        <w:rPr>
          <w:lang w:eastAsia="en-US"/>
        </w:rPr>
        <w:t xml:space="preserve"> </w:t>
      </w:r>
      <w:r w:rsidR="00EC47F3" w:rsidRPr="00FD24B8">
        <w:rPr>
          <w:lang w:eastAsia="en-US"/>
        </w:rPr>
        <w:t>MYEFO</w:t>
      </w:r>
      <w:r w:rsidR="007303AD" w:rsidRPr="00FD24B8">
        <w:rPr>
          <w:lang w:eastAsia="en-US"/>
        </w:rPr>
        <w:t xml:space="preserve">. </w:t>
      </w:r>
      <w:r w:rsidR="008274EC" w:rsidRPr="00FD24B8">
        <w:rPr>
          <w:lang w:eastAsia="en-US"/>
        </w:rPr>
        <w:fldChar w:fldCharType="begin"/>
      </w:r>
      <w:r w:rsidR="008274EC" w:rsidRPr="00FD24B8">
        <w:rPr>
          <w:lang w:eastAsia="en-US"/>
        </w:rPr>
        <w:instrText xml:space="preserve"> :End:BPD_BG1 </w:instrText>
      </w:r>
      <w:r w:rsidR="008274EC" w:rsidRPr="00FD24B8">
        <w:rPr>
          <w:lang w:eastAsia="en-US"/>
        </w:rPr>
        <w:fldChar w:fldCharType="end"/>
      </w:r>
      <w:r w:rsidR="008274EC" w:rsidRPr="00FD24B8">
        <w:rPr>
          <w:lang w:eastAsia="en-US"/>
        </w:rPr>
        <w:fldChar w:fldCharType="begin"/>
      </w:r>
      <w:r w:rsidR="008274EC" w:rsidRPr="00FD24B8">
        <w:rPr>
          <w:lang w:eastAsia="en-US"/>
        </w:rPr>
        <w:instrText xml:space="preserve"> :Start:BPD_BG3 </w:instrText>
      </w:r>
      <w:r w:rsidR="008274EC" w:rsidRPr="00FD24B8">
        <w:rPr>
          <w:lang w:eastAsia="en-US"/>
        </w:rPr>
        <w:fldChar w:fldCharType="end"/>
      </w:r>
      <w:r w:rsidR="007303AD" w:rsidRPr="00FD24B8">
        <w:rPr>
          <w:lang w:eastAsia="en-US"/>
        </w:rPr>
        <w:t xml:space="preserve">Net worth is projected to deteriorate to </w:t>
      </w:r>
      <w:r w:rsidR="0031144A" w:rsidRPr="00FD24B8">
        <w:rPr>
          <w:lang w:eastAsia="en-US"/>
        </w:rPr>
        <w:noBreakHyphen/>
      </w:r>
      <w:r w:rsidR="00B43EE6" w:rsidRPr="00FD24B8">
        <w:rPr>
          <w:lang w:eastAsia="en-US"/>
        </w:rPr>
        <w:t>30</w:t>
      </w:r>
      <w:r w:rsidR="00FC64FD" w:rsidRPr="00FD24B8">
        <w:rPr>
          <w:lang w:eastAsia="en-US"/>
        </w:rPr>
        <w:t>.</w:t>
      </w:r>
      <w:r w:rsidR="00B43EE6" w:rsidRPr="00FD24B8">
        <w:rPr>
          <w:lang w:eastAsia="en-US"/>
        </w:rPr>
        <w:t>0</w:t>
      </w:r>
      <w:r w:rsidR="007303AD" w:rsidRPr="00FD24B8">
        <w:rPr>
          <w:lang w:eastAsia="en-US"/>
        </w:rPr>
        <w:t xml:space="preserve"> per cent of GDP </w:t>
      </w:r>
      <w:proofErr w:type="gramStart"/>
      <w:r w:rsidR="007303AD" w:rsidRPr="00FD24B8">
        <w:rPr>
          <w:lang w:eastAsia="en-US"/>
        </w:rPr>
        <w:t>at</w:t>
      </w:r>
      <w:proofErr w:type="gramEnd"/>
      <w:r w:rsidR="007303AD" w:rsidRPr="00FD24B8">
        <w:rPr>
          <w:lang w:eastAsia="en-US"/>
        </w:rPr>
        <w:t xml:space="preserve"> 30 June 202</w:t>
      </w:r>
      <w:r w:rsidR="004978C6" w:rsidRPr="00FD24B8">
        <w:rPr>
          <w:lang w:eastAsia="en-US"/>
        </w:rPr>
        <w:t>5</w:t>
      </w:r>
      <w:r w:rsidR="007303AD" w:rsidRPr="00FD24B8">
        <w:rPr>
          <w:lang w:eastAsia="en-US"/>
        </w:rPr>
        <w:t xml:space="preserve"> before improving to reach </w:t>
      </w:r>
      <w:r w:rsidR="00DC13FF" w:rsidRPr="00FD24B8">
        <w:rPr>
          <w:lang w:eastAsia="en-US"/>
        </w:rPr>
        <w:t>–</w:t>
      </w:r>
      <w:r w:rsidR="00294921" w:rsidRPr="00FD24B8">
        <w:rPr>
          <w:lang w:eastAsia="en-US"/>
        </w:rPr>
        <w:t>21.6</w:t>
      </w:r>
      <w:r w:rsidR="007303AD" w:rsidRPr="00FD24B8">
        <w:rPr>
          <w:lang w:eastAsia="en-US"/>
        </w:rPr>
        <w:t xml:space="preserve"> per cent of GDP at the end of the medium term.</w:t>
      </w:r>
    </w:p>
    <w:p w14:paraId="3E343534" w14:textId="2DEA10BE" w:rsidR="0049003B" w:rsidRDefault="008274EC" w:rsidP="005362CC">
      <w:r>
        <w:rPr>
          <w:lang w:eastAsia="en-US"/>
        </w:rPr>
        <w:fldChar w:fldCharType="begin"/>
      </w:r>
      <w:r>
        <w:rPr>
          <w:lang w:eastAsia="en-US"/>
        </w:rPr>
        <w:instrText xml:space="preserve"> :End:BPD_BG3 </w:instrText>
      </w:r>
      <w:r>
        <w:rPr>
          <w:lang w:eastAsia="en-US"/>
        </w:rPr>
        <w:fldChar w:fldCharType="end"/>
      </w:r>
      <w:r w:rsidR="0049003B">
        <w:br w:type="page"/>
      </w:r>
    </w:p>
    <w:p w14:paraId="55EFDC15" w14:textId="79D6592F" w:rsidR="004D6A22" w:rsidRPr="00FD24B8" w:rsidRDefault="00944D4D" w:rsidP="004D6A22">
      <w:pPr>
        <w:pStyle w:val="TableHeading"/>
        <w:rPr>
          <w:rFonts w:asciiTheme="minorHAnsi" w:eastAsiaTheme="minorHAnsi" w:hAnsiTheme="minorHAnsi" w:cstheme="minorBidi"/>
          <w:sz w:val="22"/>
          <w:szCs w:val="22"/>
          <w:lang w:eastAsia="en-US"/>
        </w:rPr>
      </w:pPr>
      <w:r>
        <w:lastRenderedPageBreak/>
        <w:fldChar w:fldCharType="begin"/>
      </w:r>
      <w:r>
        <w:instrText xml:space="preserve"> :Start:BPD_BG1 </w:instrText>
      </w:r>
      <w:r>
        <w:fldChar w:fldCharType="end"/>
      </w:r>
      <w:r w:rsidR="00542E9D" w:rsidRPr="00FD24B8">
        <w:t>Table 3.</w:t>
      </w:r>
      <w:r w:rsidR="00797E1B" w:rsidRPr="00FD24B8">
        <w:t>7</w:t>
      </w:r>
      <w:r w:rsidR="00542E9D" w:rsidRPr="00FD24B8">
        <w:t>: Australian Government</w:t>
      </w:r>
      <w:r w:rsidRPr="00FD24B8">
        <w:fldChar w:fldCharType="begin"/>
      </w:r>
      <w:r w:rsidRPr="00FD24B8">
        <w:instrText xml:space="preserve"> :End:BPD_BG1 </w:instrText>
      </w:r>
      <w:r w:rsidRPr="00FD24B8">
        <w:fldChar w:fldCharType="end"/>
      </w:r>
      <w:r w:rsidRPr="00FD24B8">
        <w:fldChar w:fldCharType="begin"/>
      </w:r>
      <w:r w:rsidRPr="00FD24B8">
        <w:instrText xml:space="preserve"> :Start:FARM_LS1 </w:instrText>
      </w:r>
      <w:r w:rsidRPr="00FD24B8">
        <w:fldChar w:fldCharType="end"/>
      </w:r>
      <w:r w:rsidR="00542E9D" w:rsidRPr="00FD24B8">
        <w:t xml:space="preserve"> general government sector </w:t>
      </w:r>
      <w:r w:rsidR="00F4332D" w:rsidRPr="00FD24B8">
        <w:t xml:space="preserve">balance sheet aggregates </w:t>
      </w:r>
      <w:r w:rsidR="00C867B4" w:rsidRPr="00FD24B8">
        <w:t xml:space="preserve"> </w:t>
      </w:r>
    </w:p>
    <w:tbl>
      <w:tblPr>
        <w:tblW w:w="5000" w:type="pct"/>
        <w:tblCellMar>
          <w:left w:w="0" w:type="dxa"/>
          <w:right w:w="28" w:type="dxa"/>
        </w:tblCellMar>
        <w:tblLook w:val="04A0" w:firstRow="1" w:lastRow="0" w:firstColumn="1" w:lastColumn="0" w:noHBand="0" w:noVBand="1"/>
      </w:tblPr>
      <w:tblGrid>
        <w:gridCol w:w="2597"/>
        <w:gridCol w:w="843"/>
        <w:gridCol w:w="116"/>
        <w:gridCol w:w="831"/>
        <w:gridCol w:w="831"/>
        <w:gridCol w:w="831"/>
        <w:gridCol w:w="831"/>
        <w:gridCol w:w="830"/>
      </w:tblGrid>
      <w:tr w:rsidR="00853210" w:rsidRPr="00131EBC" w14:paraId="6F2C53C1" w14:textId="77777777" w:rsidTr="00E261C3">
        <w:trPr>
          <w:trHeight w:hRule="exact" w:val="225"/>
        </w:trPr>
        <w:tc>
          <w:tcPr>
            <w:tcW w:w="1684" w:type="pct"/>
            <w:tcBorders>
              <w:top w:val="single" w:sz="4" w:space="0" w:color="000000" w:themeColor="text1"/>
              <w:left w:val="nil"/>
              <w:bottom w:val="nil"/>
              <w:right w:val="nil"/>
            </w:tcBorders>
            <w:shd w:val="clear" w:color="auto" w:fill="FFFFFF" w:themeFill="background1"/>
            <w:noWrap/>
            <w:vAlign w:val="center"/>
            <w:hideMark/>
          </w:tcPr>
          <w:p w14:paraId="5A63951E" w14:textId="0DD2400D"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47" w:type="pct"/>
            <w:tcBorders>
              <w:top w:val="single" w:sz="4" w:space="0" w:color="000000" w:themeColor="text1"/>
              <w:left w:val="nil"/>
              <w:bottom w:val="single" w:sz="4" w:space="0" w:color="000000" w:themeColor="text1"/>
              <w:right w:val="nil"/>
            </w:tcBorders>
            <w:shd w:val="clear" w:color="auto" w:fill="FFFFFF" w:themeFill="background1"/>
            <w:noWrap/>
            <w:vAlign w:val="center"/>
            <w:hideMark/>
          </w:tcPr>
          <w:p w14:paraId="395C9131" w14:textId="77777777" w:rsidR="004D6A22" w:rsidRPr="00131EBC" w:rsidRDefault="004D6A22" w:rsidP="004D6A22">
            <w:pPr>
              <w:spacing w:after="0" w:line="240" w:lineRule="auto"/>
              <w:jc w:val="center"/>
              <w:rPr>
                <w:rFonts w:ascii="Arial" w:hAnsi="Arial" w:cs="Arial"/>
                <w:sz w:val="16"/>
                <w:szCs w:val="16"/>
                <w:highlight w:val="darkCyan"/>
              </w:rPr>
            </w:pPr>
            <w:r w:rsidRPr="00FD24B8">
              <w:rPr>
                <w:rFonts w:ascii="Arial" w:hAnsi="Arial" w:cs="Arial"/>
                <w:sz w:val="16"/>
                <w:szCs w:val="16"/>
              </w:rPr>
              <w:t>Actual</w:t>
            </w:r>
          </w:p>
        </w:tc>
        <w:tc>
          <w:tcPr>
            <w:tcW w:w="75" w:type="pct"/>
            <w:tcBorders>
              <w:top w:val="single" w:sz="4" w:space="0" w:color="000000" w:themeColor="text1"/>
              <w:left w:val="nil"/>
              <w:bottom w:val="nil"/>
              <w:right w:val="nil"/>
            </w:tcBorders>
            <w:shd w:val="clear" w:color="auto" w:fill="FFFFFF" w:themeFill="background1"/>
            <w:noWrap/>
            <w:vAlign w:val="center"/>
            <w:hideMark/>
          </w:tcPr>
          <w:p w14:paraId="2F3AD0DB"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2694" w:type="pct"/>
            <w:gridSpan w:val="5"/>
            <w:tcBorders>
              <w:top w:val="single" w:sz="4" w:space="0" w:color="000000" w:themeColor="text1"/>
              <w:left w:val="nil"/>
              <w:bottom w:val="single" w:sz="4" w:space="0" w:color="000000" w:themeColor="text1"/>
              <w:right w:val="nil"/>
            </w:tcBorders>
            <w:shd w:val="clear" w:color="auto" w:fill="FFFFFF" w:themeFill="background1"/>
            <w:noWrap/>
            <w:vAlign w:val="center"/>
            <w:hideMark/>
          </w:tcPr>
          <w:p w14:paraId="7E6B230B" w14:textId="77777777" w:rsidR="004D6A22" w:rsidRPr="00FD24B8" w:rsidRDefault="004D6A22" w:rsidP="004D6A22">
            <w:pPr>
              <w:spacing w:after="0" w:line="240" w:lineRule="auto"/>
              <w:jc w:val="center"/>
              <w:rPr>
                <w:rFonts w:ascii="Arial" w:hAnsi="Arial" w:cs="Arial"/>
                <w:sz w:val="16"/>
                <w:szCs w:val="16"/>
              </w:rPr>
            </w:pPr>
            <w:r w:rsidRPr="00FD24B8">
              <w:rPr>
                <w:rFonts w:ascii="Arial" w:hAnsi="Arial" w:cs="Arial"/>
                <w:sz w:val="16"/>
                <w:szCs w:val="16"/>
              </w:rPr>
              <w:t>Estimates</w:t>
            </w:r>
          </w:p>
        </w:tc>
      </w:tr>
      <w:tr w:rsidR="00B31B91" w:rsidRPr="00131EBC" w14:paraId="5465ADCD"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12960F93"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47" w:type="pct"/>
            <w:tcBorders>
              <w:top w:val="single" w:sz="4" w:space="0" w:color="auto"/>
              <w:left w:val="nil"/>
              <w:bottom w:val="nil"/>
              <w:right w:val="nil"/>
            </w:tcBorders>
            <w:shd w:val="clear" w:color="auto" w:fill="FFFFFF" w:themeFill="background1"/>
            <w:noWrap/>
            <w:vAlign w:val="center"/>
            <w:hideMark/>
          </w:tcPr>
          <w:p w14:paraId="21E022A4" w14:textId="227021C0"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2020</w:t>
            </w:r>
            <w:r w:rsidR="0031144A" w:rsidRPr="00FD24B8">
              <w:rPr>
                <w:rFonts w:ascii="Arial" w:hAnsi="Arial" w:cs="Arial"/>
                <w:sz w:val="16"/>
                <w:szCs w:val="16"/>
              </w:rPr>
              <w:noBreakHyphen/>
            </w:r>
            <w:r w:rsidRPr="00FD24B8">
              <w:rPr>
                <w:rFonts w:ascii="Arial" w:hAnsi="Arial" w:cs="Arial"/>
                <w:sz w:val="16"/>
                <w:szCs w:val="16"/>
              </w:rPr>
              <w:t>21</w:t>
            </w:r>
          </w:p>
        </w:tc>
        <w:tc>
          <w:tcPr>
            <w:tcW w:w="75" w:type="pct"/>
            <w:tcBorders>
              <w:top w:val="nil"/>
              <w:left w:val="nil"/>
              <w:bottom w:val="nil"/>
              <w:right w:val="nil"/>
            </w:tcBorders>
            <w:shd w:val="clear" w:color="auto" w:fill="FFFFFF" w:themeFill="background1"/>
            <w:noWrap/>
            <w:vAlign w:val="center"/>
            <w:hideMark/>
          </w:tcPr>
          <w:p w14:paraId="2E9DB5CF"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single" w:sz="4" w:space="0" w:color="auto"/>
              <w:left w:val="nil"/>
              <w:bottom w:val="nil"/>
              <w:right w:val="nil"/>
            </w:tcBorders>
            <w:shd w:val="clear" w:color="auto" w:fill="FFFFFF" w:themeFill="background1"/>
            <w:noWrap/>
            <w:vAlign w:val="center"/>
            <w:hideMark/>
          </w:tcPr>
          <w:p w14:paraId="7354A3EF" w14:textId="1720CB98"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2021</w:t>
            </w:r>
            <w:r w:rsidR="0031144A" w:rsidRPr="00FD24B8">
              <w:rPr>
                <w:rFonts w:ascii="Arial" w:hAnsi="Arial" w:cs="Arial"/>
                <w:sz w:val="16"/>
                <w:szCs w:val="16"/>
              </w:rPr>
              <w:noBreakHyphen/>
            </w:r>
            <w:r w:rsidRPr="00FD24B8">
              <w:rPr>
                <w:rFonts w:ascii="Arial" w:hAnsi="Arial" w:cs="Arial"/>
                <w:sz w:val="16"/>
                <w:szCs w:val="16"/>
              </w:rPr>
              <w:t>22</w:t>
            </w:r>
          </w:p>
        </w:tc>
        <w:tc>
          <w:tcPr>
            <w:tcW w:w="539" w:type="pct"/>
            <w:tcBorders>
              <w:top w:val="single" w:sz="4" w:space="0" w:color="auto"/>
              <w:left w:val="nil"/>
              <w:bottom w:val="nil"/>
              <w:right w:val="nil"/>
            </w:tcBorders>
            <w:shd w:val="clear" w:color="auto" w:fill="F2F9FC"/>
            <w:noWrap/>
            <w:vAlign w:val="center"/>
            <w:hideMark/>
          </w:tcPr>
          <w:p w14:paraId="1121EA95" w14:textId="0DD69E13"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2022</w:t>
            </w:r>
            <w:r w:rsidR="0031144A" w:rsidRPr="00FD24B8">
              <w:rPr>
                <w:rFonts w:ascii="Arial" w:hAnsi="Arial" w:cs="Arial"/>
                <w:sz w:val="16"/>
                <w:szCs w:val="16"/>
              </w:rPr>
              <w:noBreakHyphen/>
            </w:r>
            <w:r w:rsidRPr="00FD24B8">
              <w:rPr>
                <w:rFonts w:ascii="Arial" w:hAnsi="Arial" w:cs="Arial"/>
                <w:sz w:val="16"/>
                <w:szCs w:val="16"/>
              </w:rPr>
              <w:t>23</w:t>
            </w:r>
          </w:p>
        </w:tc>
        <w:tc>
          <w:tcPr>
            <w:tcW w:w="539" w:type="pct"/>
            <w:tcBorders>
              <w:top w:val="single" w:sz="4" w:space="0" w:color="auto"/>
              <w:left w:val="nil"/>
              <w:bottom w:val="nil"/>
              <w:right w:val="nil"/>
            </w:tcBorders>
            <w:shd w:val="clear" w:color="auto" w:fill="FFFFFF" w:themeFill="background1"/>
            <w:noWrap/>
            <w:vAlign w:val="center"/>
            <w:hideMark/>
          </w:tcPr>
          <w:p w14:paraId="5D311930" w14:textId="70246B3F"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2023</w:t>
            </w:r>
            <w:r w:rsidR="0031144A" w:rsidRPr="00FD24B8">
              <w:rPr>
                <w:rFonts w:ascii="Arial" w:hAnsi="Arial" w:cs="Arial"/>
                <w:sz w:val="16"/>
                <w:szCs w:val="16"/>
              </w:rPr>
              <w:noBreakHyphen/>
            </w:r>
            <w:r w:rsidRPr="00FD24B8">
              <w:rPr>
                <w:rFonts w:ascii="Arial" w:hAnsi="Arial" w:cs="Arial"/>
                <w:sz w:val="16"/>
                <w:szCs w:val="16"/>
              </w:rPr>
              <w:t>24</w:t>
            </w:r>
          </w:p>
        </w:tc>
        <w:tc>
          <w:tcPr>
            <w:tcW w:w="539" w:type="pct"/>
            <w:tcBorders>
              <w:top w:val="single" w:sz="4" w:space="0" w:color="auto"/>
              <w:left w:val="nil"/>
              <w:bottom w:val="nil"/>
              <w:right w:val="nil"/>
            </w:tcBorders>
            <w:shd w:val="clear" w:color="auto" w:fill="FFFFFF" w:themeFill="background1"/>
            <w:noWrap/>
            <w:vAlign w:val="center"/>
            <w:hideMark/>
          </w:tcPr>
          <w:p w14:paraId="3FA03615" w14:textId="074A4582"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2024</w:t>
            </w:r>
            <w:r w:rsidR="0031144A" w:rsidRPr="00FD24B8">
              <w:rPr>
                <w:rFonts w:ascii="Arial" w:hAnsi="Arial" w:cs="Arial"/>
                <w:sz w:val="16"/>
                <w:szCs w:val="16"/>
              </w:rPr>
              <w:noBreakHyphen/>
            </w:r>
            <w:r w:rsidRPr="00FD24B8">
              <w:rPr>
                <w:rFonts w:ascii="Arial" w:hAnsi="Arial" w:cs="Arial"/>
                <w:sz w:val="16"/>
                <w:szCs w:val="16"/>
              </w:rPr>
              <w:t>25</w:t>
            </w:r>
          </w:p>
        </w:tc>
        <w:tc>
          <w:tcPr>
            <w:tcW w:w="538" w:type="pct"/>
            <w:tcBorders>
              <w:top w:val="single" w:sz="4" w:space="0" w:color="auto"/>
              <w:left w:val="nil"/>
              <w:bottom w:val="nil"/>
              <w:right w:val="nil"/>
            </w:tcBorders>
            <w:shd w:val="clear" w:color="auto" w:fill="FFFFFF" w:themeFill="background1"/>
            <w:noWrap/>
            <w:vAlign w:val="center"/>
            <w:hideMark/>
          </w:tcPr>
          <w:p w14:paraId="00478FD6" w14:textId="471B807C"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2025</w:t>
            </w:r>
            <w:r w:rsidR="0031144A" w:rsidRPr="00FD24B8">
              <w:rPr>
                <w:rFonts w:ascii="Arial" w:hAnsi="Arial" w:cs="Arial"/>
                <w:sz w:val="16"/>
                <w:szCs w:val="16"/>
              </w:rPr>
              <w:noBreakHyphen/>
            </w:r>
            <w:r w:rsidRPr="00FD24B8">
              <w:rPr>
                <w:rFonts w:ascii="Arial" w:hAnsi="Arial" w:cs="Arial"/>
                <w:sz w:val="16"/>
                <w:szCs w:val="16"/>
              </w:rPr>
              <w:t>26</w:t>
            </w:r>
          </w:p>
        </w:tc>
      </w:tr>
      <w:tr w:rsidR="00B31B91" w:rsidRPr="00131EBC" w14:paraId="2C488361"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5BC97FFE"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47" w:type="pct"/>
            <w:tcBorders>
              <w:top w:val="nil"/>
              <w:left w:val="nil"/>
              <w:bottom w:val="single" w:sz="4" w:space="0" w:color="000000" w:themeColor="text1"/>
              <w:right w:val="nil"/>
            </w:tcBorders>
            <w:shd w:val="clear" w:color="auto" w:fill="FFFFFF" w:themeFill="background1"/>
            <w:noWrap/>
            <w:vAlign w:val="center"/>
            <w:hideMark/>
          </w:tcPr>
          <w:p w14:paraId="5C40186D"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75" w:type="pct"/>
            <w:tcBorders>
              <w:top w:val="nil"/>
              <w:left w:val="nil"/>
              <w:bottom w:val="nil"/>
              <w:right w:val="nil"/>
            </w:tcBorders>
            <w:shd w:val="clear" w:color="auto" w:fill="FFFFFF" w:themeFill="background1"/>
            <w:noWrap/>
            <w:vAlign w:val="center"/>
            <w:hideMark/>
          </w:tcPr>
          <w:p w14:paraId="21F5EFAE"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single" w:sz="4" w:space="0" w:color="000000" w:themeColor="text1"/>
              <w:right w:val="nil"/>
            </w:tcBorders>
            <w:shd w:val="clear" w:color="auto" w:fill="FFFFFF" w:themeFill="background1"/>
            <w:noWrap/>
            <w:vAlign w:val="center"/>
            <w:hideMark/>
          </w:tcPr>
          <w:p w14:paraId="72F8B721"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539" w:type="pct"/>
            <w:tcBorders>
              <w:top w:val="nil"/>
              <w:left w:val="nil"/>
              <w:bottom w:val="single" w:sz="4" w:space="0" w:color="000000" w:themeColor="text1"/>
              <w:right w:val="nil"/>
            </w:tcBorders>
            <w:shd w:val="clear" w:color="auto" w:fill="F2F9FC"/>
            <w:noWrap/>
            <w:vAlign w:val="center"/>
            <w:hideMark/>
          </w:tcPr>
          <w:p w14:paraId="4A9673C9"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539" w:type="pct"/>
            <w:tcBorders>
              <w:top w:val="nil"/>
              <w:left w:val="nil"/>
              <w:bottom w:val="single" w:sz="4" w:space="0" w:color="000000" w:themeColor="text1"/>
              <w:right w:val="nil"/>
            </w:tcBorders>
            <w:shd w:val="clear" w:color="auto" w:fill="FFFFFF" w:themeFill="background1"/>
            <w:noWrap/>
            <w:vAlign w:val="center"/>
            <w:hideMark/>
          </w:tcPr>
          <w:p w14:paraId="08E4B72C"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539" w:type="pct"/>
            <w:tcBorders>
              <w:top w:val="nil"/>
              <w:left w:val="nil"/>
              <w:bottom w:val="single" w:sz="4" w:space="0" w:color="000000" w:themeColor="text1"/>
              <w:right w:val="nil"/>
            </w:tcBorders>
            <w:shd w:val="clear" w:color="auto" w:fill="FFFFFF" w:themeFill="background1"/>
            <w:noWrap/>
            <w:vAlign w:val="center"/>
            <w:hideMark/>
          </w:tcPr>
          <w:p w14:paraId="4953BB98"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538" w:type="pct"/>
            <w:tcBorders>
              <w:top w:val="nil"/>
              <w:left w:val="nil"/>
              <w:bottom w:val="single" w:sz="4" w:space="0" w:color="000000" w:themeColor="text1"/>
              <w:right w:val="nil"/>
            </w:tcBorders>
            <w:shd w:val="clear" w:color="auto" w:fill="FFFFFF" w:themeFill="background1"/>
            <w:noWrap/>
            <w:vAlign w:val="center"/>
            <w:hideMark/>
          </w:tcPr>
          <w:p w14:paraId="2C50A14B"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$b</w:t>
            </w:r>
          </w:p>
        </w:tc>
      </w:tr>
      <w:tr w:rsidR="004D6A22" w:rsidRPr="00131EBC" w14:paraId="72A015B5"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74E4DE80"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Financial assets</w:t>
            </w:r>
          </w:p>
        </w:tc>
        <w:tc>
          <w:tcPr>
            <w:tcW w:w="547" w:type="pct"/>
            <w:tcBorders>
              <w:top w:val="nil"/>
              <w:left w:val="nil"/>
              <w:bottom w:val="nil"/>
              <w:right w:val="nil"/>
            </w:tcBorders>
            <w:shd w:val="clear" w:color="auto" w:fill="FFFFFF" w:themeFill="background1"/>
            <w:noWrap/>
            <w:vAlign w:val="center"/>
            <w:hideMark/>
          </w:tcPr>
          <w:p w14:paraId="0B38D288"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547.0</w:t>
            </w:r>
          </w:p>
        </w:tc>
        <w:tc>
          <w:tcPr>
            <w:tcW w:w="75" w:type="pct"/>
            <w:tcBorders>
              <w:top w:val="nil"/>
              <w:left w:val="nil"/>
              <w:bottom w:val="nil"/>
              <w:right w:val="nil"/>
            </w:tcBorders>
            <w:shd w:val="clear" w:color="auto" w:fill="FFFFFF" w:themeFill="background1"/>
            <w:noWrap/>
            <w:vAlign w:val="center"/>
            <w:hideMark/>
          </w:tcPr>
          <w:p w14:paraId="1DF172F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52D4331D"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566.0</w:t>
            </w:r>
          </w:p>
        </w:tc>
        <w:tc>
          <w:tcPr>
            <w:tcW w:w="539" w:type="pct"/>
            <w:tcBorders>
              <w:top w:val="nil"/>
              <w:left w:val="nil"/>
              <w:bottom w:val="nil"/>
              <w:right w:val="nil"/>
            </w:tcBorders>
            <w:shd w:val="clear" w:color="auto" w:fill="F2F9FC"/>
            <w:noWrap/>
            <w:vAlign w:val="center"/>
            <w:hideMark/>
          </w:tcPr>
          <w:p w14:paraId="31B9C105"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575.5</w:t>
            </w:r>
          </w:p>
        </w:tc>
        <w:tc>
          <w:tcPr>
            <w:tcW w:w="539" w:type="pct"/>
            <w:tcBorders>
              <w:top w:val="nil"/>
              <w:left w:val="nil"/>
              <w:bottom w:val="nil"/>
              <w:right w:val="nil"/>
            </w:tcBorders>
            <w:shd w:val="clear" w:color="auto" w:fill="FFFFFF" w:themeFill="background1"/>
            <w:noWrap/>
            <w:vAlign w:val="center"/>
            <w:hideMark/>
          </w:tcPr>
          <w:p w14:paraId="3E2E9C5B"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610.3</w:t>
            </w:r>
          </w:p>
        </w:tc>
        <w:tc>
          <w:tcPr>
            <w:tcW w:w="539" w:type="pct"/>
            <w:tcBorders>
              <w:top w:val="nil"/>
              <w:left w:val="nil"/>
              <w:bottom w:val="nil"/>
              <w:right w:val="nil"/>
            </w:tcBorders>
            <w:shd w:val="clear" w:color="auto" w:fill="FFFFFF" w:themeFill="background1"/>
            <w:noWrap/>
            <w:vAlign w:val="center"/>
            <w:hideMark/>
          </w:tcPr>
          <w:p w14:paraId="1D312A19"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636.1</w:t>
            </w:r>
          </w:p>
        </w:tc>
        <w:tc>
          <w:tcPr>
            <w:tcW w:w="538" w:type="pct"/>
            <w:tcBorders>
              <w:top w:val="nil"/>
              <w:left w:val="nil"/>
              <w:bottom w:val="nil"/>
              <w:right w:val="nil"/>
            </w:tcBorders>
            <w:shd w:val="clear" w:color="auto" w:fill="FFFFFF" w:themeFill="background1"/>
            <w:noWrap/>
            <w:vAlign w:val="center"/>
            <w:hideMark/>
          </w:tcPr>
          <w:p w14:paraId="0228CF29"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659.6</w:t>
            </w:r>
          </w:p>
        </w:tc>
      </w:tr>
      <w:tr w:rsidR="004D6A22" w:rsidRPr="00131EBC" w14:paraId="4E53CC43"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026DBB58"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nil"/>
              <w:right w:val="nil"/>
            </w:tcBorders>
            <w:shd w:val="clear" w:color="auto" w:fill="FFFFFF" w:themeFill="background1"/>
            <w:noWrap/>
            <w:vAlign w:val="center"/>
            <w:hideMark/>
          </w:tcPr>
          <w:p w14:paraId="46B8C974"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26.5</w:t>
            </w:r>
          </w:p>
        </w:tc>
        <w:tc>
          <w:tcPr>
            <w:tcW w:w="75" w:type="pct"/>
            <w:tcBorders>
              <w:top w:val="nil"/>
              <w:left w:val="nil"/>
              <w:bottom w:val="nil"/>
              <w:right w:val="nil"/>
            </w:tcBorders>
            <w:shd w:val="clear" w:color="auto" w:fill="FFFFFF" w:themeFill="background1"/>
            <w:noWrap/>
            <w:vAlign w:val="center"/>
            <w:hideMark/>
          </w:tcPr>
          <w:p w14:paraId="3A15409C"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5C5C6681"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24.7</w:t>
            </w:r>
          </w:p>
        </w:tc>
        <w:tc>
          <w:tcPr>
            <w:tcW w:w="539" w:type="pct"/>
            <w:tcBorders>
              <w:top w:val="nil"/>
              <w:left w:val="nil"/>
              <w:bottom w:val="nil"/>
              <w:right w:val="nil"/>
            </w:tcBorders>
            <w:shd w:val="clear" w:color="auto" w:fill="F2F9FC"/>
            <w:noWrap/>
            <w:vAlign w:val="center"/>
            <w:hideMark/>
          </w:tcPr>
          <w:p w14:paraId="5FD547CA"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25.0</w:t>
            </w:r>
          </w:p>
        </w:tc>
        <w:tc>
          <w:tcPr>
            <w:tcW w:w="539" w:type="pct"/>
            <w:tcBorders>
              <w:top w:val="nil"/>
              <w:left w:val="nil"/>
              <w:bottom w:val="nil"/>
              <w:right w:val="nil"/>
            </w:tcBorders>
            <w:shd w:val="clear" w:color="auto" w:fill="FFFFFF" w:themeFill="background1"/>
            <w:noWrap/>
            <w:vAlign w:val="center"/>
            <w:hideMark/>
          </w:tcPr>
          <w:p w14:paraId="143003ED"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25.8</w:t>
            </w:r>
          </w:p>
        </w:tc>
        <w:tc>
          <w:tcPr>
            <w:tcW w:w="539" w:type="pct"/>
            <w:tcBorders>
              <w:top w:val="nil"/>
              <w:left w:val="nil"/>
              <w:bottom w:val="nil"/>
              <w:right w:val="nil"/>
            </w:tcBorders>
            <w:shd w:val="clear" w:color="auto" w:fill="FFFFFF" w:themeFill="background1"/>
            <w:noWrap/>
            <w:vAlign w:val="center"/>
            <w:hideMark/>
          </w:tcPr>
          <w:p w14:paraId="11135206"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25.5</w:t>
            </w:r>
          </w:p>
        </w:tc>
        <w:tc>
          <w:tcPr>
            <w:tcW w:w="538" w:type="pct"/>
            <w:tcBorders>
              <w:top w:val="nil"/>
              <w:left w:val="nil"/>
              <w:bottom w:val="nil"/>
              <w:right w:val="nil"/>
            </w:tcBorders>
            <w:shd w:val="clear" w:color="auto" w:fill="FFFFFF" w:themeFill="background1"/>
            <w:noWrap/>
            <w:vAlign w:val="center"/>
            <w:hideMark/>
          </w:tcPr>
          <w:p w14:paraId="2D3E6920"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25.2</w:t>
            </w:r>
          </w:p>
        </w:tc>
      </w:tr>
      <w:tr w:rsidR="004D6A22" w:rsidRPr="00131EBC" w14:paraId="6CDB7812" w14:textId="77777777" w:rsidTr="00E261C3">
        <w:trPr>
          <w:trHeight w:hRule="exact" w:val="60"/>
        </w:trPr>
        <w:tc>
          <w:tcPr>
            <w:tcW w:w="1684" w:type="pct"/>
            <w:tcBorders>
              <w:top w:val="nil"/>
              <w:left w:val="nil"/>
              <w:bottom w:val="nil"/>
              <w:right w:val="nil"/>
            </w:tcBorders>
            <w:shd w:val="clear" w:color="auto" w:fill="FFFFFF" w:themeFill="background1"/>
            <w:noWrap/>
            <w:vAlign w:val="center"/>
            <w:hideMark/>
          </w:tcPr>
          <w:p w14:paraId="7FD005CB"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47" w:type="pct"/>
            <w:tcBorders>
              <w:top w:val="nil"/>
              <w:left w:val="nil"/>
              <w:bottom w:val="nil"/>
              <w:right w:val="nil"/>
            </w:tcBorders>
            <w:shd w:val="clear" w:color="auto" w:fill="FFFFFF" w:themeFill="background1"/>
            <w:noWrap/>
            <w:vAlign w:val="center"/>
            <w:hideMark/>
          </w:tcPr>
          <w:p w14:paraId="6A7B4CAE"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5" w:type="pct"/>
            <w:tcBorders>
              <w:top w:val="nil"/>
              <w:left w:val="nil"/>
              <w:bottom w:val="nil"/>
              <w:right w:val="nil"/>
            </w:tcBorders>
            <w:shd w:val="clear" w:color="auto" w:fill="FFFFFF" w:themeFill="background1"/>
            <w:noWrap/>
            <w:vAlign w:val="center"/>
            <w:hideMark/>
          </w:tcPr>
          <w:p w14:paraId="1739ACDE"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1AA98B94"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2F9FC"/>
            <w:noWrap/>
            <w:vAlign w:val="center"/>
            <w:hideMark/>
          </w:tcPr>
          <w:p w14:paraId="755C78D1"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7793D1C6"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7CE38FD6"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8" w:type="pct"/>
            <w:tcBorders>
              <w:top w:val="nil"/>
              <w:left w:val="nil"/>
              <w:bottom w:val="nil"/>
              <w:right w:val="nil"/>
            </w:tcBorders>
            <w:shd w:val="clear" w:color="auto" w:fill="FFFFFF" w:themeFill="background1"/>
            <w:noWrap/>
            <w:vAlign w:val="center"/>
            <w:hideMark/>
          </w:tcPr>
          <w:p w14:paraId="41120F23"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 </w:t>
            </w:r>
          </w:p>
        </w:tc>
      </w:tr>
      <w:tr w:rsidR="004D6A22" w:rsidRPr="00131EBC" w14:paraId="22AB7741"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3A9A39E2" w14:textId="4058FF68"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Non</w:t>
            </w:r>
            <w:r w:rsidR="0031144A" w:rsidRPr="00FD24B8">
              <w:rPr>
                <w:rFonts w:ascii="Arial" w:hAnsi="Arial" w:cs="Arial"/>
                <w:b/>
                <w:sz w:val="16"/>
                <w:szCs w:val="16"/>
              </w:rPr>
              <w:noBreakHyphen/>
            </w:r>
            <w:r w:rsidRPr="00FD24B8">
              <w:rPr>
                <w:rFonts w:ascii="Arial" w:hAnsi="Arial" w:cs="Arial"/>
                <w:b/>
                <w:sz w:val="16"/>
                <w:szCs w:val="16"/>
              </w:rPr>
              <w:t>financial assets</w:t>
            </w:r>
          </w:p>
        </w:tc>
        <w:tc>
          <w:tcPr>
            <w:tcW w:w="547" w:type="pct"/>
            <w:tcBorders>
              <w:top w:val="nil"/>
              <w:left w:val="nil"/>
              <w:bottom w:val="nil"/>
              <w:right w:val="nil"/>
            </w:tcBorders>
            <w:shd w:val="clear" w:color="auto" w:fill="FFFFFF" w:themeFill="background1"/>
            <w:noWrap/>
            <w:vAlign w:val="center"/>
            <w:hideMark/>
          </w:tcPr>
          <w:p w14:paraId="49AB69F1"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180.7</w:t>
            </w:r>
          </w:p>
        </w:tc>
        <w:tc>
          <w:tcPr>
            <w:tcW w:w="75" w:type="pct"/>
            <w:tcBorders>
              <w:top w:val="nil"/>
              <w:left w:val="nil"/>
              <w:bottom w:val="nil"/>
              <w:right w:val="nil"/>
            </w:tcBorders>
            <w:shd w:val="clear" w:color="auto" w:fill="FFFFFF" w:themeFill="background1"/>
            <w:noWrap/>
            <w:vAlign w:val="center"/>
            <w:hideMark/>
          </w:tcPr>
          <w:p w14:paraId="500C3065"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7EA9777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191.6</w:t>
            </w:r>
          </w:p>
        </w:tc>
        <w:tc>
          <w:tcPr>
            <w:tcW w:w="539" w:type="pct"/>
            <w:tcBorders>
              <w:top w:val="nil"/>
              <w:left w:val="nil"/>
              <w:bottom w:val="nil"/>
              <w:right w:val="nil"/>
            </w:tcBorders>
            <w:shd w:val="clear" w:color="auto" w:fill="F2F9FC"/>
            <w:noWrap/>
            <w:vAlign w:val="center"/>
            <w:hideMark/>
          </w:tcPr>
          <w:p w14:paraId="46591C32"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201.8</w:t>
            </w:r>
          </w:p>
        </w:tc>
        <w:tc>
          <w:tcPr>
            <w:tcW w:w="539" w:type="pct"/>
            <w:tcBorders>
              <w:top w:val="nil"/>
              <w:left w:val="nil"/>
              <w:bottom w:val="nil"/>
              <w:right w:val="nil"/>
            </w:tcBorders>
            <w:shd w:val="clear" w:color="auto" w:fill="FFFFFF" w:themeFill="background1"/>
            <w:noWrap/>
            <w:vAlign w:val="center"/>
            <w:hideMark/>
          </w:tcPr>
          <w:p w14:paraId="639B8FB1"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211.5</w:t>
            </w:r>
          </w:p>
        </w:tc>
        <w:tc>
          <w:tcPr>
            <w:tcW w:w="539" w:type="pct"/>
            <w:tcBorders>
              <w:top w:val="nil"/>
              <w:left w:val="nil"/>
              <w:bottom w:val="nil"/>
              <w:right w:val="nil"/>
            </w:tcBorders>
            <w:shd w:val="clear" w:color="auto" w:fill="FFFFFF" w:themeFill="background1"/>
            <w:noWrap/>
            <w:vAlign w:val="center"/>
            <w:hideMark/>
          </w:tcPr>
          <w:p w14:paraId="61E457DC"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220.2</w:t>
            </w:r>
          </w:p>
        </w:tc>
        <w:tc>
          <w:tcPr>
            <w:tcW w:w="538" w:type="pct"/>
            <w:tcBorders>
              <w:top w:val="nil"/>
              <w:left w:val="nil"/>
              <w:bottom w:val="nil"/>
              <w:right w:val="nil"/>
            </w:tcBorders>
            <w:shd w:val="clear" w:color="auto" w:fill="FFFFFF" w:themeFill="background1"/>
            <w:noWrap/>
            <w:vAlign w:val="center"/>
            <w:hideMark/>
          </w:tcPr>
          <w:p w14:paraId="100B759B"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227.5</w:t>
            </w:r>
          </w:p>
        </w:tc>
      </w:tr>
      <w:tr w:rsidR="004D6A22" w:rsidRPr="00131EBC" w14:paraId="5403068A"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270AB814"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nil"/>
              <w:right w:val="nil"/>
            </w:tcBorders>
            <w:shd w:val="clear" w:color="auto" w:fill="FFFFFF" w:themeFill="background1"/>
            <w:noWrap/>
            <w:vAlign w:val="center"/>
            <w:hideMark/>
          </w:tcPr>
          <w:p w14:paraId="6144AB55"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8.7</w:t>
            </w:r>
          </w:p>
        </w:tc>
        <w:tc>
          <w:tcPr>
            <w:tcW w:w="75" w:type="pct"/>
            <w:tcBorders>
              <w:top w:val="nil"/>
              <w:left w:val="nil"/>
              <w:bottom w:val="nil"/>
              <w:right w:val="nil"/>
            </w:tcBorders>
            <w:shd w:val="clear" w:color="auto" w:fill="FFFFFF" w:themeFill="background1"/>
            <w:noWrap/>
            <w:vAlign w:val="center"/>
            <w:hideMark/>
          </w:tcPr>
          <w:p w14:paraId="226DD471"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6A7BB07D"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8.4</w:t>
            </w:r>
          </w:p>
        </w:tc>
        <w:tc>
          <w:tcPr>
            <w:tcW w:w="539" w:type="pct"/>
            <w:tcBorders>
              <w:top w:val="nil"/>
              <w:left w:val="nil"/>
              <w:bottom w:val="nil"/>
              <w:right w:val="nil"/>
            </w:tcBorders>
            <w:shd w:val="clear" w:color="auto" w:fill="F2F9FC"/>
            <w:noWrap/>
            <w:vAlign w:val="center"/>
            <w:hideMark/>
          </w:tcPr>
          <w:p w14:paraId="262EA984"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8.8</w:t>
            </w:r>
          </w:p>
        </w:tc>
        <w:tc>
          <w:tcPr>
            <w:tcW w:w="539" w:type="pct"/>
            <w:tcBorders>
              <w:top w:val="nil"/>
              <w:left w:val="nil"/>
              <w:bottom w:val="nil"/>
              <w:right w:val="nil"/>
            </w:tcBorders>
            <w:shd w:val="clear" w:color="auto" w:fill="FFFFFF" w:themeFill="background1"/>
            <w:noWrap/>
            <w:vAlign w:val="center"/>
            <w:hideMark/>
          </w:tcPr>
          <w:p w14:paraId="6729FB53"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8.9</w:t>
            </w:r>
          </w:p>
        </w:tc>
        <w:tc>
          <w:tcPr>
            <w:tcW w:w="539" w:type="pct"/>
            <w:tcBorders>
              <w:top w:val="nil"/>
              <w:left w:val="nil"/>
              <w:bottom w:val="nil"/>
              <w:right w:val="nil"/>
            </w:tcBorders>
            <w:shd w:val="clear" w:color="auto" w:fill="FFFFFF" w:themeFill="background1"/>
            <w:noWrap/>
            <w:vAlign w:val="center"/>
            <w:hideMark/>
          </w:tcPr>
          <w:p w14:paraId="509B9F34"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8.8</w:t>
            </w:r>
          </w:p>
        </w:tc>
        <w:tc>
          <w:tcPr>
            <w:tcW w:w="538" w:type="pct"/>
            <w:tcBorders>
              <w:top w:val="nil"/>
              <w:left w:val="nil"/>
              <w:bottom w:val="nil"/>
              <w:right w:val="nil"/>
            </w:tcBorders>
            <w:shd w:val="clear" w:color="auto" w:fill="FFFFFF" w:themeFill="background1"/>
            <w:noWrap/>
            <w:vAlign w:val="center"/>
            <w:hideMark/>
          </w:tcPr>
          <w:p w14:paraId="7D3777FC"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8.7</w:t>
            </w:r>
          </w:p>
        </w:tc>
      </w:tr>
      <w:tr w:rsidR="004D6A22" w:rsidRPr="00131EBC" w14:paraId="66C18F89" w14:textId="77777777" w:rsidTr="00E261C3">
        <w:trPr>
          <w:trHeight w:hRule="exact" w:val="60"/>
        </w:trPr>
        <w:tc>
          <w:tcPr>
            <w:tcW w:w="1684" w:type="pct"/>
            <w:tcBorders>
              <w:top w:val="nil"/>
              <w:left w:val="nil"/>
              <w:bottom w:val="nil"/>
              <w:right w:val="nil"/>
            </w:tcBorders>
            <w:shd w:val="clear" w:color="auto" w:fill="FFFFFF" w:themeFill="background1"/>
            <w:noWrap/>
            <w:vAlign w:val="center"/>
            <w:hideMark/>
          </w:tcPr>
          <w:p w14:paraId="131ED00D"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47" w:type="pct"/>
            <w:tcBorders>
              <w:top w:val="nil"/>
              <w:left w:val="nil"/>
              <w:bottom w:val="nil"/>
              <w:right w:val="nil"/>
            </w:tcBorders>
            <w:shd w:val="clear" w:color="auto" w:fill="FFFFFF" w:themeFill="background1"/>
            <w:noWrap/>
            <w:vAlign w:val="center"/>
            <w:hideMark/>
          </w:tcPr>
          <w:p w14:paraId="20203620"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5" w:type="pct"/>
            <w:tcBorders>
              <w:top w:val="nil"/>
              <w:left w:val="nil"/>
              <w:bottom w:val="nil"/>
              <w:right w:val="nil"/>
            </w:tcBorders>
            <w:shd w:val="clear" w:color="auto" w:fill="FFFFFF" w:themeFill="background1"/>
            <w:noWrap/>
            <w:vAlign w:val="center"/>
            <w:hideMark/>
          </w:tcPr>
          <w:p w14:paraId="0EC93455"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57E95806"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2F9FC"/>
            <w:noWrap/>
            <w:vAlign w:val="center"/>
            <w:hideMark/>
          </w:tcPr>
          <w:p w14:paraId="2DE2D265"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71AE3BF6"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443F5350"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8" w:type="pct"/>
            <w:tcBorders>
              <w:top w:val="nil"/>
              <w:left w:val="nil"/>
              <w:bottom w:val="nil"/>
              <w:right w:val="nil"/>
            </w:tcBorders>
            <w:shd w:val="clear" w:color="auto" w:fill="FFFFFF" w:themeFill="background1"/>
            <w:noWrap/>
            <w:vAlign w:val="center"/>
            <w:hideMark/>
          </w:tcPr>
          <w:p w14:paraId="4C6C0325"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 </w:t>
            </w:r>
          </w:p>
        </w:tc>
      </w:tr>
      <w:tr w:rsidR="004D6A22" w:rsidRPr="00131EBC" w14:paraId="547519F5"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2AAC6698"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Total assets</w:t>
            </w:r>
          </w:p>
        </w:tc>
        <w:tc>
          <w:tcPr>
            <w:tcW w:w="547" w:type="pct"/>
            <w:tcBorders>
              <w:top w:val="nil"/>
              <w:left w:val="nil"/>
              <w:bottom w:val="nil"/>
              <w:right w:val="nil"/>
            </w:tcBorders>
            <w:shd w:val="clear" w:color="auto" w:fill="FFFFFF" w:themeFill="background1"/>
            <w:noWrap/>
            <w:vAlign w:val="center"/>
            <w:hideMark/>
          </w:tcPr>
          <w:p w14:paraId="32E8974E"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727.7</w:t>
            </w:r>
          </w:p>
        </w:tc>
        <w:tc>
          <w:tcPr>
            <w:tcW w:w="75" w:type="pct"/>
            <w:tcBorders>
              <w:top w:val="nil"/>
              <w:left w:val="nil"/>
              <w:bottom w:val="nil"/>
              <w:right w:val="nil"/>
            </w:tcBorders>
            <w:shd w:val="clear" w:color="auto" w:fill="FFFFFF" w:themeFill="background1"/>
            <w:noWrap/>
            <w:vAlign w:val="center"/>
            <w:hideMark/>
          </w:tcPr>
          <w:p w14:paraId="20016D1F"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71C3F34F"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757.6</w:t>
            </w:r>
          </w:p>
        </w:tc>
        <w:tc>
          <w:tcPr>
            <w:tcW w:w="539" w:type="pct"/>
            <w:tcBorders>
              <w:top w:val="nil"/>
              <w:left w:val="nil"/>
              <w:bottom w:val="nil"/>
              <w:right w:val="nil"/>
            </w:tcBorders>
            <w:shd w:val="clear" w:color="auto" w:fill="F2F9FC"/>
            <w:noWrap/>
            <w:vAlign w:val="center"/>
            <w:hideMark/>
          </w:tcPr>
          <w:p w14:paraId="055A0E9F"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777.2</w:t>
            </w:r>
          </w:p>
        </w:tc>
        <w:tc>
          <w:tcPr>
            <w:tcW w:w="539" w:type="pct"/>
            <w:tcBorders>
              <w:top w:val="nil"/>
              <w:left w:val="nil"/>
              <w:bottom w:val="nil"/>
              <w:right w:val="nil"/>
            </w:tcBorders>
            <w:shd w:val="clear" w:color="auto" w:fill="FFFFFF" w:themeFill="background1"/>
            <w:noWrap/>
            <w:vAlign w:val="center"/>
            <w:hideMark/>
          </w:tcPr>
          <w:p w14:paraId="6AEF930B"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821.7</w:t>
            </w:r>
          </w:p>
        </w:tc>
        <w:tc>
          <w:tcPr>
            <w:tcW w:w="539" w:type="pct"/>
            <w:tcBorders>
              <w:top w:val="nil"/>
              <w:left w:val="nil"/>
              <w:bottom w:val="nil"/>
              <w:right w:val="nil"/>
            </w:tcBorders>
            <w:shd w:val="clear" w:color="auto" w:fill="FFFFFF" w:themeFill="background1"/>
            <w:noWrap/>
            <w:vAlign w:val="center"/>
            <w:hideMark/>
          </w:tcPr>
          <w:p w14:paraId="03E9106D"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856.2</w:t>
            </w:r>
          </w:p>
        </w:tc>
        <w:tc>
          <w:tcPr>
            <w:tcW w:w="538" w:type="pct"/>
            <w:tcBorders>
              <w:top w:val="nil"/>
              <w:left w:val="nil"/>
              <w:bottom w:val="nil"/>
              <w:right w:val="nil"/>
            </w:tcBorders>
            <w:shd w:val="clear" w:color="auto" w:fill="FFFFFF" w:themeFill="background1"/>
            <w:noWrap/>
            <w:vAlign w:val="center"/>
            <w:hideMark/>
          </w:tcPr>
          <w:p w14:paraId="1F27C9CA"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887.1</w:t>
            </w:r>
          </w:p>
        </w:tc>
      </w:tr>
      <w:tr w:rsidR="004D6A22" w:rsidRPr="00131EBC" w14:paraId="32684F53"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2B71A219"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nil"/>
              <w:right w:val="nil"/>
            </w:tcBorders>
            <w:shd w:val="clear" w:color="auto" w:fill="FFFFFF" w:themeFill="background1"/>
            <w:noWrap/>
            <w:vAlign w:val="center"/>
            <w:hideMark/>
          </w:tcPr>
          <w:p w14:paraId="4164679B"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35.2</w:t>
            </w:r>
          </w:p>
        </w:tc>
        <w:tc>
          <w:tcPr>
            <w:tcW w:w="75" w:type="pct"/>
            <w:tcBorders>
              <w:top w:val="nil"/>
              <w:left w:val="nil"/>
              <w:bottom w:val="nil"/>
              <w:right w:val="nil"/>
            </w:tcBorders>
            <w:shd w:val="clear" w:color="auto" w:fill="FFFFFF" w:themeFill="background1"/>
            <w:noWrap/>
            <w:vAlign w:val="center"/>
            <w:hideMark/>
          </w:tcPr>
          <w:p w14:paraId="43E78CEF"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25168EAF"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33.1</w:t>
            </w:r>
          </w:p>
        </w:tc>
        <w:tc>
          <w:tcPr>
            <w:tcW w:w="539" w:type="pct"/>
            <w:tcBorders>
              <w:top w:val="nil"/>
              <w:left w:val="nil"/>
              <w:bottom w:val="nil"/>
              <w:right w:val="nil"/>
            </w:tcBorders>
            <w:shd w:val="clear" w:color="auto" w:fill="F2F9FC"/>
            <w:noWrap/>
            <w:vAlign w:val="center"/>
            <w:hideMark/>
          </w:tcPr>
          <w:p w14:paraId="6D6C8B97"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33.8</w:t>
            </w:r>
          </w:p>
        </w:tc>
        <w:tc>
          <w:tcPr>
            <w:tcW w:w="539" w:type="pct"/>
            <w:tcBorders>
              <w:top w:val="nil"/>
              <w:left w:val="nil"/>
              <w:bottom w:val="nil"/>
              <w:right w:val="nil"/>
            </w:tcBorders>
            <w:shd w:val="clear" w:color="auto" w:fill="FFFFFF" w:themeFill="background1"/>
            <w:noWrap/>
            <w:vAlign w:val="center"/>
            <w:hideMark/>
          </w:tcPr>
          <w:p w14:paraId="78340CA6"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34.7</w:t>
            </w:r>
          </w:p>
        </w:tc>
        <w:tc>
          <w:tcPr>
            <w:tcW w:w="539" w:type="pct"/>
            <w:tcBorders>
              <w:top w:val="nil"/>
              <w:left w:val="nil"/>
              <w:bottom w:val="nil"/>
              <w:right w:val="nil"/>
            </w:tcBorders>
            <w:shd w:val="clear" w:color="auto" w:fill="FFFFFF" w:themeFill="background1"/>
            <w:noWrap/>
            <w:vAlign w:val="center"/>
            <w:hideMark/>
          </w:tcPr>
          <w:p w14:paraId="7FD6329D"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34.4</w:t>
            </w:r>
          </w:p>
        </w:tc>
        <w:tc>
          <w:tcPr>
            <w:tcW w:w="538" w:type="pct"/>
            <w:tcBorders>
              <w:top w:val="nil"/>
              <w:left w:val="nil"/>
              <w:bottom w:val="nil"/>
              <w:right w:val="nil"/>
            </w:tcBorders>
            <w:shd w:val="clear" w:color="auto" w:fill="FFFFFF" w:themeFill="background1"/>
            <w:noWrap/>
            <w:vAlign w:val="center"/>
            <w:hideMark/>
          </w:tcPr>
          <w:p w14:paraId="5760AA0B"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33.9</w:t>
            </w:r>
          </w:p>
        </w:tc>
      </w:tr>
      <w:tr w:rsidR="004D6A22" w:rsidRPr="00131EBC" w14:paraId="435B4FBE" w14:textId="77777777" w:rsidTr="00E261C3">
        <w:trPr>
          <w:trHeight w:hRule="exact" w:val="60"/>
        </w:trPr>
        <w:tc>
          <w:tcPr>
            <w:tcW w:w="1684" w:type="pct"/>
            <w:tcBorders>
              <w:top w:val="nil"/>
              <w:left w:val="nil"/>
              <w:bottom w:val="nil"/>
              <w:right w:val="nil"/>
            </w:tcBorders>
            <w:shd w:val="clear" w:color="auto" w:fill="FFFFFF" w:themeFill="background1"/>
            <w:noWrap/>
            <w:vAlign w:val="center"/>
            <w:hideMark/>
          </w:tcPr>
          <w:p w14:paraId="66B7E922"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47" w:type="pct"/>
            <w:tcBorders>
              <w:top w:val="nil"/>
              <w:left w:val="nil"/>
              <w:bottom w:val="nil"/>
              <w:right w:val="nil"/>
            </w:tcBorders>
            <w:shd w:val="clear" w:color="auto" w:fill="FFFFFF" w:themeFill="background1"/>
            <w:noWrap/>
            <w:vAlign w:val="center"/>
            <w:hideMark/>
          </w:tcPr>
          <w:p w14:paraId="3877B038"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5" w:type="pct"/>
            <w:tcBorders>
              <w:top w:val="nil"/>
              <w:left w:val="nil"/>
              <w:bottom w:val="nil"/>
              <w:right w:val="nil"/>
            </w:tcBorders>
            <w:shd w:val="clear" w:color="auto" w:fill="FFFFFF" w:themeFill="background1"/>
            <w:noWrap/>
            <w:vAlign w:val="center"/>
            <w:hideMark/>
          </w:tcPr>
          <w:p w14:paraId="62B0194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18C696D5"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2F9FC"/>
            <w:noWrap/>
            <w:vAlign w:val="center"/>
            <w:hideMark/>
          </w:tcPr>
          <w:p w14:paraId="15951B49"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144471F3"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20D4341F"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8" w:type="pct"/>
            <w:tcBorders>
              <w:top w:val="nil"/>
              <w:left w:val="nil"/>
              <w:bottom w:val="nil"/>
              <w:right w:val="nil"/>
            </w:tcBorders>
            <w:shd w:val="clear" w:color="auto" w:fill="FFFFFF" w:themeFill="background1"/>
            <w:noWrap/>
            <w:vAlign w:val="center"/>
            <w:hideMark/>
          </w:tcPr>
          <w:p w14:paraId="07E04FA0"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 </w:t>
            </w:r>
          </w:p>
        </w:tc>
      </w:tr>
      <w:tr w:rsidR="004D6A22" w:rsidRPr="00131EBC" w14:paraId="1CD5BB93"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210F02B8"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Total liabilities</w:t>
            </w:r>
          </w:p>
        </w:tc>
        <w:tc>
          <w:tcPr>
            <w:tcW w:w="547" w:type="pct"/>
            <w:tcBorders>
              <w:top w:val="nil"/>
              <w:left w:val="nil"/>
              <w:bottom w:val="nil"/>
              <w:right w:val="nil"/>
            </w:tcBorders>
            <w:shd w:val="clear" w:color="auto" w:fill="FFFFFF" w:themeFill="background1"/>
            <w:noWrap/>
            <w:vAlign w:val="center"/>
            <w:hideMark/>
          </w:tcPr>
          <w:p w14:paraId="57E80663"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1,453.0</w:t>
            </w:r>
          </w:p>
        </w:tc>
        <w:tc>
          <w:tcPr>
            <w:tcW w:w="75" w:type="pct"/>
            <w:tcBorders>
              <w:top w:val="nil"/>
              <w:left w:val="nil"/>
              <w:bottom w:val="nil"/>
              <w:right w:val="nil"/>
            </w:tcBorders>
            <w:shd w:val="clear" w:color="auto" w:fill="FFFFFF" w:themeFill="background1"/>
            <w:noWrap/>
            <w:vAlign w:val="center"/>
            <w:hideMark/>
          </w:tcPr>
          <w:p w14:paraId="7B49F0FB"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5EAED866"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1,352.6</w:t>
            </w:r>
          </w:p>
        </w:tc>
        <w:tc>
          <w:tcPr>
            <w:tcW w:w="539" w:type="pct"/>
            <w:tcBorders>
              <w:top w:val="nil"/>
              <w:left w:val="nil"/>
              <w:bottom w:val="nil"/>
              <w:right w:val="nil"/>
            </w:tcBorders>
            <w:shd w:val="clear" w:color="auto" w:fill="F2F9FC"/>
            <w:noWrap/>
            <w:vAlign w:val="center"/>
            <w:hideMark/>
          </w:tcPr>
          <w:p w14:paraId="74B0ADC6"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1,434.8</w:t>
            </w:r>
          </w:p>
        </w:tc>
        <w:tc>
          <w:tcPr>
            <w:tcW w:w="539" w:type="pct"/>
            <w:tcBorders>
              <w:top w:val="nil"/>
              <w:left w:val="nil"/>
              <w:bottom w:val="nil"/>
              <w:right w:val="nil"/>
            </w:tcBorders>
            <w:shd w:val="clear" w:color="auto" w:fill="FFFFFF" w:themeFill="background1"/>
            <w:noWrap/>
            <w:vAlign w:val="center"/>
            <w:hideMark/>
          </w:tcPr>
          <w:p w14:paraId="39077446"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1,528.3</w:t>
            </w:r>
          </w:p>
        </w:tc>
        <w:tc>
          <w:tcPr>
            <w:tcW w:w="539" w:type="pct"/>
            <w:tcBorders>
              <w:top w:val="nil"/>
              <w:left w:val="nil"/>
              <w:bottom w:val="nil"/>
              <w:right w:val="nil"/>
            </w:tcBorders>
            <w:shd w:val="clear" w:color="auto" w:fill="FFFFFF" w:themeFill="background1"/>
            <w:noWrap/>
            <w:vAlign w:val="center"/>
            <w:hideMark/>
          </w:tcPr>
          <w:p w14:paraId="6E047845"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1,604.2</w:t>
            </w:r>
          </w:p>
        </w:tc>
        <w:tc>
          <w:tcPr>
            <w:tcW w:w="538" w:type="pct"/>
            <w:tcBorders>
              <w:top w:val="nil"/>
              <w:left w:val="nil"/>
              <w:bottom w:val="nil"/>
              <w:right w:val="nil"/>
            </w:tcBorders>
            <w:shd w:val="clear" w:color="auto" w:fill="FFFFFF" w:themeFill="background1"/>
            <w:noWrap/>
            <w:vAlign w:val="center"/>
            <w:hideMark/>
          </w:tcPr>
          <w:p w14:paraId="3C86DCE9"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1,666.2</w:t>
            </w:r>
          </w:p>
        </w:tc>
      </w:tr>
      <w:tr w:rsidR="004D6A22" w:rsidRPr="00131EBC" w14:paraId="6CA55795"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4E89C394"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nil"/>
              <w:right w:val="nil"/>
            </w:tcBorders>
            <w:shd w:val="clear" w:color="auto" w:fill="FFFFFF" w:themeFill="background1"/>
            <w:noWrap/>
            <w:vAlign w:val="center"/>
            <w:hideMark/>
          </w:tcPr>
          <w:p w14:paraId="1620E20E"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70.3</w:t>
            </w:r>
          </w:p>
        </w:tc>
        <w:tc>
          <w:tcPr>
            <w:tcW w:w="75" w:type="pct"/>
            <w:tcBorders>
              <w:top w:val="nil"/>
              <w:left w:val="nil"/>
              <w:bottom w:val="nil"/>
              <w:right w:val="nil"/>
            </w:tcBorders>
            <w:shd w:val="clear" w:color="auto" w:fill="FFFFFF" w:themeFill="background1"/>
            <w:noWrap/>
            <w:vAlign w:val="center"/>
            <w:hideMark/>
          </w:tcPr>
          <w:p w14:paraId="068CEC09"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6747CA8B"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59.0</w:t>
            </w:r>
          </w:p>
        </w:tc>
        <w:tc>
          <w:tcPr>
            <w:tcW w:w="539" w:type="pct"/>
            <w:tcBorders>
              <w:top w:val="nil"/>
              <w:left w:val="nil"/>
              <w:bottom w:val="nil"/>
              <w:right w:val="nil"/>
            </w:tcBorders>
            <w:shd w:val="clear" w:color="auto" w:fill="F2F9FC"/>
            <w:noWrap/>
            <w:vAlign w:val="center"/>
            <w:hideMark/>
          </w:tcPr>
          <w:p w14:paraId="483215F4"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62.4</w:t>
            </w:r>
          </w:p>
        </w:tc>
        <w:tc>
          <w:tcPr>
            <w:tcW w:w="539" w:type="pct"/>
            <w:tcBorders>
              <w:top w:val="nil"/>
              <w:left w:val="nil"/>
              <w:bottom w:val="nil"/>
              <w:right w:val="nil"/>
            </w:tcBorders>
            <w:shd w:val="clear" w:color="auto" w:fill="FFFFFF" w:themeFill="background1"/>
            <w:noWrap/>
            <w:vAlign w:val="center"/>
            <w:hideMark/>
          </w:tcPr>
          <w:p w14:paraId="44811B37"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64.6</w:t>
            </w:r>
          </w:p>
        </w:tc>
        <w:tc>
          <w:tcPr>
            <w:tcW w:w="539" w:type="pct"/>
            <w:tcBorders>
              <w:top w:val="nil"/>
              <w:left w:val="nil"/>
              <w:bottom w:val="nil"/>
              <w:right w:val="nil"/>
            </w:tcBorders>
            <w:shd w:val="clear" w:color="auto" w:fill="FFFFFF" w:themeFill="background1"/>
            <w:noWrap/>
            <w:vAlign w:val="center"/>
            <w:hideMark/>
          </w:tcPr>
          <w:p w14:paraId="27FDE433"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64.4</w:t>
            </w:r>
          </w:p>
        </w:tc>
        <w:tc>
          <w:tcPr>
            <w:tcW w:w="538" w:type="pct"/>
            <w:tcBorders>
              <w:top w:val="nil"/>
              <w:left w:val="nil"/>
              <w:bottom w:val="nil"/>
              <w:right w:val="nil"/>
            </w:tcBorders>
            <w:shd w:val="clear" w:color="auto" w:fill="FFFFFF" w:themeFill="background1"/>
            <w:noWrap/>
            <w:vAlign w:val="center"/>
            <w:hideMark/>
          </w:tcPr>
          <w:p w14:paraId="52283C7D"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63.7</w:t>
            </w:r>
          </w:p>
        </w:tc>
      </w:tr>
      <w:tr w:rsidR="004D6A22" w:rsidRPr="00131EBC" w14:paraId="03AA7486" w14:textId="77777777" w:rsidTr="00E261C3">
        <w:trPr>
          <w:trHeight w:hRule="exact" w:val="60"/>
        </w:trPr>
        <w:tc>
          <w:tcPr>
            <w:tcW w:w="1684" w:type="pct"/>
            <w:tcBorders>
              <w:top w:val="nil"/>
              <w:left w:val="nil"/>
              <w:bottom w:val="nil"/>
              <w:right w:val="nil"/>
            </w:tcBorders>
            <w:shd w:val="clear" w:color="auto" w:fill="FFFFFF" w:themeFill="background1"/>
            <w:noWrap/>
            <w:vAlign w:val="center"/>
            <w:hideMark/>
          </w:tcPr>
          <w:p w14:paraId="1E1DD69B"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47" w:type="pct"/>
            <w:tcBorders>
              <w:top w:val="nil"/>
              <w:left w:val="nil"/>
              <w:bottom w:val="nil"/>
              <w:right w:val="nil"/>
            </w:tcBorders>
            <w:shd w:val="clear" w:color="auto" w:fill="FFFFFF" w:themeFill="background1"/>
            <w:noWrap/>
            <w:vAlign w:val="center"/>
            <w:hideMark/>
          </w:tcPr>
          <w:p w14:paraId="79BECC4D"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5" w:type="pct"/>
            <w:tcBorders>
              <w:top w:val="nil"/>
              <w:left w:val="nil"/>
              <w:bottom w:val="nil"/>
              <w:right w:val="nil"/>
            </w:tcBorders>
            <w:shd w:val="clear" w:color="auto" w:fill="FFFFFF" w:themeFill="background1"/>
            <w:noWrap/>
            <w:vAlign w:val="center"/>
            <w:hideMark/>
          </w:tcPr>
          <w:p w14:paraId="27B09791"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3CB3573D"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2F9FC"/>
            <w:noWrap/>
            <w:vAlign w:val="center"/>
            <w:hideMark/>
          </w:tcPr>
          <w:p w14:paraId="4726968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2E698AF1"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2204077C"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8" w:type="pct"/>
            <w:tcBorders>
              <w:top w:val="nil"/>
              <w:left w:val="nil"/>
              <w:bottom w:val="nil"/>
              <w:right w:val="nil"/>
            </w:tcBorders>
            <w:shd w:val="clear" w:color="auto" w:fill="FFFFFF" w:themeFill="background1"/>
            <w:noWrap/>
            <w:vAlign w:val="center"/>
            <w:hideMark/>
          </w:tcPr>
          <w:p w14:paraId="0F9FE1EA"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 </w:t>
            </w:r>
          </w:p>
        </w:tc>
      </w:tr>
      <w:tr w:rsidR="004D6A22" w:rsidRPr="00131EBC" w14:paraId="50508E96"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3D44FA18"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Net worth</w:t>
            </w:r>
          </w:p>
        </w:tc>
        <w:tc>
          <w:tcPr>
            <w:tcW w:w="547" w:type="pct"/>
            <w:tcBorders>
              <w:top w:val="nil"/>
              <w:left w:val="nil"/>
              <w:bottom w:val="nil"/>
              <w:right w:val="nil"/>
            </w:tcBorders>
            <w:shd w:val="clear" w:color="auto" w:fill="FFFFFF" w:themeFill="background1"/>
            <w:noWrap/>
            <w:vAlign w:val="center"/>
            <w:hideMark/>
          </w:tcPr>
          <w:p w14:paraId="1A3B3427" w14:textId="280D8FD3"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725.2</w:t>
            </w:r>
          </w:p>
        </w:tc>
        <w:tc>
          <w:tcPr>
            <w:tcW w:w="75" w:type="pct"/>
            <w:tcBorders>
              <w:top w:val="nil"/>
              <w:left w:val="nil"/>
              <w:bottom w:val="nil"/>
              <w:right w:val="nil"/>
            </w:tcBorders>
            <w:shd w:val="clear" w:color="auto" w:fill="FFFFFF" w:themeFill="background1"/>
            <w:noWrap/>
            <w:vAlign w:val="center"/>
            <w:hideMark/>
          </w:tcPr>
          <w:p w14:paraId="6C4C6FF1"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4B6F5E18" w14:textId="3658E019"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595.0</w:t>
            </w:r>
          </w:p>
        </w:tc>
        <w:tc>
          <w:tcPr>
            <w:tcW w:w="539" w:type="pct"/>
            <w:tcBorders>
              <w:top w:val="nil"/>
              <w:left w:val="nil"/>
              <w:bottom w:val="nil"/>
              <w:right w:val="nil"/>
            </w:tcBorders>
            <w:shd w:val="clear" w:color="auto" w:fill="F2F9FC"/>
            <w:noWrap/>
            <w:vAlign w:val="center"/>
            <w:hideMark/>
          </w:tcPr>
          <w:p w14:paraId="0A79AE24" w14:textId="4F682D7C"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657.5</w:t>
            </w:r>
          </w:p>
        </w:tc>
        <w:tc>
          <w:tcPr>
            <w:tcW w:w="539" w:type="pct"/>
            <w:tcBorders>
              <w:top w:val="nil"/>
              <w:left w:val="nil"/>
              <w:bottom w:val="nil"/>
              <w:right w:val="nil"/>
            </w:tcBorders>
            <w:shd w:val="clear" w:color="auto" w:fill="FFFFFF" w:themeFill="background1"/>
            <w:noWrap/>
            <w:vAlign w:val="center"/>
            <w:hideMark/>
          </w:tcPr>
          <w:p w14:paraId="791A525F" w14:textId="7528BEAD"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706.5</w:t>
            </w:r>
          </w:p>
        </w:tc>
        <w:tc>
          <w:tcPr>
            <w:tcW w:w="539" w:type="pct"/>
            <w:tcBorders>
              <w:top w:val="nil"/>
              <w:left w:val="nil"/>
              <w:bottom w:val="nil"/>
              <w:right w:val="nil"/>
            </w:tcBorders>
            <w:shd w:val="clear" w:color="auto" w:fill="FFFFFF" w:themeFill="background1"/>
            <w:noWrap/>
            <w:vAlign w:val="center"/>
            <w:hideMark/>
          </w:tcPr>
          <w:p w14:paraId="01D708AB" w14:textId="12566EE4"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747.9</w:t>
            </w:r>
          </w:p>
        </w:tc>
        <w:tc>
          <w:tcPr>
            <w:tcW w:w="538" w:type="pct"/>
            <w:tcBorders>
              <w:top w:val="nil"/>
              <w:left w:val="nil"/>
              <w:bottom w:val="nil"/>
              <w:right w:val="nil"/>
            </w:tcBorders>
            <w:shd w:val="clear" w:color="auto" w:fill="FFFFFF" w:themeFill="background1"/>
            <w:noWrap/>
            <w:vAlign w:val="center"/>
            <w:hideMark/>
          </w:tcPr>
          <w:p w14:paraId="317428DE" w14:textId="3681AD61" w:rsidR="004D6A22" w:rsidRPr="00FD24B8" w:rsidRDefault="0031144A" w:rsidP="004D6A22">
            <w:pPr>
              <w:spacing w:after="0" w:line="240" w:lineRule="auto"/>
              <w:jc w:val="right"/>
              <w:rPr>
                <w:rFonts w:ascii="Arial" w:hAnsi="Arial" w:cs="Arial"/>
                <w:b/>
                <w:sz w:val="16"/>
                <w:szCs w:val="16"/>
              </w:rPr>
            </w:pPr>
            <w:r w:rsidRPr="00FD24B8">
              <w:rPr>
                <w:rFonts w:ascii="Arial" w:hAnsi="Arial" w:cs="Arial"/>
                <w:b/>
                <w:sz w:val="16"/>
                <w:szCs w:val="16"/>
              </w:rPr>
              <w:noBreakHyphen/>
            </w:r>
            <w:r w:rsidR="004D6A22" w:rsidRPr="00FD24B8">
              <w:rPr>
                <w:rFonts w:ascii="Arial" w:hAnsi="Arial" w:cs="Arial"/>
                <w:b/>
                <w:sz w:val="16"/>
                <w:szCs w:val="16"/>
              </w:rPr>
              <w:t>779.1</w:t>
            </w:r>
          </w:p>
        </w:tc>
      </w:tr>
      <w:tr w:rsidR="004D6A22" w:rsidRPr="00131EBC" w14:paraId="2AFC9FFD"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3D7AFB57"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nil"/>
              <w:right w:val="nil"/>
            </w:tcBorders>
            <w:shd w:val="clear" w:color="auto" w:fill="FFFFFF" w:themeFill="background1"/>
            <w:noWrap/>
            <w:vAlign w:val="center"/>
            <w:hideMark/>
          </w:tcPr>
          <w:p w14:paraId="32091332" w14:textId="20E27591"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35.1</w:t>
            </w:r>
          </w:p>
        </w:tc>
        <w:tc>
          <w:tcPr>
            <w:tcW w:w="75" w:type="pct"/>
            <w:tcBorders>
              <w:top w:val="nil"/>
              <w:left w:val="nil"/>
              <w:bottom w:val="nil"/>
              <w:right w:val="nil"/>
            </w:tcBorders>
            <w:shd w:val="clear" w:color="auto" w:fill="FFFFFF" w:themeFill="background1"/>
            <w:noWrap/>
            <w:vAlign w:val="center"/>
            <w:hideMark/>
          </w:tcPr>
          <w:p w14:paraId="21322FCB"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1D60554A" w14:textId="6510E38C"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26.0</w:t>
            </w:r>
          </w:p>
        </w:tc>
        <w:tc>
          <w:tcPr>
            <w:tcW w:w="539" w:type="pct"/>
            <w:tcBorders>
              <w:top w:val="nil"/>
              <w:left w:val="nil"/>
              <w:bottom w:val="nil"/>
              <w:right w:val="nil"/>
            </w:tcBorders>
            <w:shd w:val="clear" w:color="auto" w:fill="F2F9FC"/>
            <w:noWrap/>
            <w:vAlign w:val="center"/>
            <w:hideMark/>
          </w:tcPr>
          <w:p w14:paraId="13B4C9DB" w14:textId="2D102930"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28.6</w:t>
            </w:r>
          </w:p>
        </w:tc>
        <w:tc>
          <w:tcPr>
            <w:tcW w:w="539" w:type="pct"/>
            <w:tcBorders>
              <w:top w:val="nil"/>
              <w:left w:val="nil"/>
              <w:bottom w:val="nil"/>
              <w:right w:val="nil"/>
            </w:tcBorders>
            <w:shd w:val="clear" w:color="auto" w:fill="FFFFFF" w:themeFill="background1"/>
            <w:noWrap/>
            <w:vAlign w:val="center"/>
            <w:hideMark/>
          </w:tcPr>
          <w:p w14:paraId="19B0A576" w14:textId="51C5C7AA"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29.9</w:t>
            </w:r>
          </w:p>
        </w:tc>
        <w:tc>
          <w:tcPr>
            <w:tcW w:w="539" w:type="pct"/>
            <w:tcBorders>
              <w:top w:val="nil"/>
              <w:left w:val="nil"/>
              <w:bottom w:val="nil"/>
              <w:right w:val="nil"/>
            </w:tcBorders>
            <w:shd w:val="clear" w:color="auto" w:fill="FFFFFF" w:themeFill="background1"/>
            <w:noWrap/>
            <w:vAlign w:val="center"/>
            <w:hideMark/>
          </w:tcPr>
          <w:p w14:paraId="28C85D9C" w14:textId="5885118A"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30.0</w:t>
            </w:r>
          </w:p>
        </w:tc>
        <w:tc>
          <w:tcPr>
            <w:tcW w:w="538" w:type="pct"/>
            <w:tcBorders>
              <w:top w:val="nil"/>
              <w:left w:val="nil"/>
              <w:bottom w:val="nil"/>
              <w:right w:val="nil"/>
            </w:tcBorders>
            <w:shd w:val="clear" w:color="auto" w:fill="FFFFFF" w:themeFill="background1"/>
            <w:noWrap/>
            <w:vAlign w:val="center"/>
            <w:hideMark/>
          </w:tcPr>
          <w:p w14:paraId="29BBF6ED" w14:textId="5E8E1953" w:rsidR="004D6A22" w:rsidRPr="00FD24B8" w:rsidRDefault="0031144A" w:rsidP="004D6A22">
            <w:pPr>
              <w:spacing w:after="0" w:line="240" w:lineRule="auto"/>
              <w:jc w:val="right"/>
              <w:rPr>
                <w:rFonts w:ascii="Arial" w:hAnsi="Arial" w:cs="Arial"/>
                <w:sz w:val="16"/>
                <w:szCs w:val="16"/>
              </w:rPr>
            </w:pPr>
            <w:r w:rsidRPr="00FD24B8">
              <w:rPr>
                <w:rFonts w:ascii="Arial" w:hAnsi="Arial" w:cs="Arial"/>
                <w:sz w:val="16"/>
                <w:szCs w:val="16"/>
              </w:rPr>
              <w:noBreakHyphen/>
            </w:r>
            <w:r w:rsidR="004D6A22" w:rsidRPr="00FD24B8">
              <w:rPr>
                <w:rFonts w:ascii="Arial" w:hAnsi="Arial" w:cs="Arial"/>
                <w:sz w:val="16"/>
                <w:szCs w:val="16"/>
              </w:rPr>
              <w:t>29.8</w:t>
            </w:r>
          </w:p>
        </w:tc>
      </w:tr>
      <w:tr w:rsidR="004D6A22" w:rsidRPr="00131EBC" w14:paraId="5CFA2E0E" w14:textId="77777777" w:rsidTr="00E261C3">
        <w:trPr>
          <w:trHeight w:hRule="exact" w:val="60"/>
        </w:trPr>
        <w:tc>
          <w:tcPr>
            <w:tcW w:w="1684" w:type="pct"/>
            <w:tcBorders>
              <w:top w:val="nil"/>
              <w:left w:val="nil"/>
              <w:bottom w:val="nil"/>
              <w:right w:val="nil"/>
            </w:tcBorders>
            <w:shd w:val="clear" w:color="auto" w:fill="FFFFFF" w:themeFill="background1"/>
            <w:noWrap/>
            <w:vAlign w:val="center"/>
            <w:hideMark/>
          </w:tcPr>
          <w:p w14:paraId="38928819"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47" w:type="pct"/>
            <w:tcBorders>
              <w:top w:val="nil"/>
              <w:left w:val="nil"/>
              <w:bottom w:val="nil"/>
              <w:right w:val="nil"/>
            </w:tcBorders>
            <w:shd w:val="clear" w:color="auto" w:fill="FFFFFF" w:themeFill="background1"/>
            <w:noWrap/>
            <w:vAlign w:val="center"/>
            <w:hideMark/>
          </w:tcPr>
          <w:p w14:paraId="687C0318"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5" w:type="pct"/>
            <w:tcBorders>
              <w:top w:val="nil"/>
              <w:left w:val="nil"/>
              <w:bottom w:val="nil"/>
              <w:right w:val="nil"/>
            </w:tcBorders>
            <w:shd w:val="clear" w:color="auto" w:fill="FFFFFF" w:themeFill="background1"/>
            <w:noWrap/>
            <w:vAlign w:val="center"/>
            <w:hideMark/>
          </w:tcPr>
          <w:p w14:paraId="788F8BA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35ED8100"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2F9FC"/>
            <w:noWrap/>
            <w:vAlign w:val="center"/>
            <w:hideMark/>
          </w:tcPr>
          <w:p w14:paraId="737AB63D"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45AE28D0"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456087B5"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8" w:type="pct"/>
            <w:tcBorders>
              <w:top w:val="nil"/>
              <w:left w:val="nil"/>
              <w:bottom w:val="nil"/>
              <w:right w:val="nil"/>
            </w:tcBorders>
            <w:shd w:val="clear" w:color="auto" w:fill="FFFFFF" w:themeFill="background1"/>
            <w:noWrap/>
            <w:vAlign w:val="center"/>
            <w:hideMark/>
          </w:tcPr>
          <w:p w14:paraId="234303EC"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 </w:t>
            </w:r>
          </w:p>
        </w:tc>
      </w:tr>
      <w:tr w:rsidR="004D6A22" w:rsidRPr="00131EBC" w14:paraId="71F413DD"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04C5A735"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 xml:space="preserve">Net financial worth(a) </w:t>
            </w:r>
          </w:p>
        </w:tc>
        <w:tc>
          <w:tcPr>
            <w:tcW w:w="547" w:type="pct"/>
            <w:tcBorders>
              <w:top w:val="nil"/>
              <w:left w:val="nil"/>
              <w:bottom w:val="nil"/>
              <w:right w:val="nil"/>
            </w:tcBorders>
            <w:shd w:val="clear" w:color="auto" w:fill="FFFFFF" w:themeFill="background1"/>
            <w:noWrap/>
            <w:vAlign w:val="center"/>
            <w:hideMark/>
          </w:tcPr>
          <w:p w14:paraId="2DAC40BF" w14:textId="0347508B"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905.9</w:t>
            </w:r>
          </w:p>
        </w:tc>
        <w:tc>
          <w:tcPr>
            <w:tcW w:w="75" w:type="pct"/>
            <w:tcBorders>
              <w:top w:val="nil"/>
              <w:left w:val="nil"/>
              <w:bottom w:val="nil"/>
              <w:right w:val="nil"/>
            </w:tcBorders>
            <w:shd w:val="clear" w:color="auto" w:fill="FFFFFF" w:themeFill="background1"/>
            <w:noWrap/>
            <w:vAlign w:val="center"/>
            <w:hideMark/>
          </w:tcPr>
          <w:p w14:paraId="443CA478"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657E7B90" w14:textId="56DA3B43"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786.6</w:t>
            </w:r>
          </w:p>
        </w:tc>
        <w:tc>
          <w:tcPr>
            <w:tcW w:w="539" w:type="pct"/>
            <w:tcBorders>
              <w:top w:val="nil"/>
              <w:left w:val="nil"/>
              <w:bottom w:val="nil"/>
              <w:right w:val="nil"/>
            </w:tcBorders>
            <w:shd w:val="clear" w:color="auto" w:fill="F2F9FC"/>
            <w:noWrap/>
            <w:vAlign w:val="center"/>
            <w:hideMark/>
          </w:tcPr>
          <w:p w14:paraId="405739B3" w14:textId="2FB03484"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859.3</w:t>
            </w:r>
          </w:p>
        </w:tc>
        <w:tc>
          <w:tcPr>
            <w:tcW w:w="539" w:type="pct"/>
            <w:tcBorders>
              <w:top w:val="nil"/>
              <w:left w:val="nil"/>
              <w:bottom w:val="nil"/>
              <w:right w:val="nil"/>
            </w:tcBorders>
            <w:shd w:val="clear" w:color="auto" w:fill="FFFFFF" w:themeFill="background1"/>
            <w:noWrap/>
            <w:vAlign w:val="center"/>
            <w:hideMark/>
          </w:tcPr>
          <w:p w14:paraId="6D4D6190" w14:textId="21E7CB93"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918.0</w:t>
            </w:r>
          </w:p>
        </w:tc>
        <w:tc>
          <w:tcPr>
            <w:tcW w:w="539" w:type="pct"/>
            <w:tcBorders>
              <w:top w:val="nil"/>
              <w:left w:val="nil"/>
              <w:bottom w:val="nil"/>
              <w:right w:val="nil"/>
            </w:tcBorders>
            <w:shd w:val="clear" w:color="auto" w:fill="FFFFFF" w:themeFill="background1"/>
            <w:noWrap/>
            <w:vAlign w:val="center"/>
            <w:hideMark/>
          </w:tcPr>
          <w:p w14:paraId="4CA4D3D6" w14:textId="56DD5506" w:rsidR="004D6A22" w:rsidRPr="00131EBC" w:rsidRDefault="0031144A"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4D6A22" w:rsidRPr="00FD24B8">
              <w:rPr>
                <w:rFonts w:ascii="Arial" w:hAnsi="Arial" w:cs="Arial"/>
                <w:b/>
                <w:sz w:val="16"/>
                <w:szCs w:val="16"/>
              </w:rPr>
              <w:t>968.1</w:t>
            </w:r>
          </w:p>
        </w:tc>
        <w:tc>
          <w:tcPr>
            <w:tcW w:w="538" w:type="pct"/>
            <w:tcBorders>
              <w:top w:val="nil"/>
              <w:left w:val="nil"/>
              <w:bottom w:val="nil"/>
              <w:right w:val="nil"/>
            </w:tcBorders>
            <w:shd w:val="clear" w:color="auto" w:fill="FFFFFF" w:themeFill="background1"/>
            <w:noWrap/>
            <w:vAlign w:val="center"/>
            <w:hideMark/>
          </w:tcPr>
          <w:p w14:paraId="6A5FA2C3" w14:textId="039BA5E2" w:rsidR="004D6A22" w:rsidRPr="00FD24B8" w:rsidRDefault="0031144A" w:rsidP="004D6A22">
            <w:pPr>
              <w:spacing w:after="0" w:line="240" w:lineRule="auto"/>
              <w:jc w:val="right"/>
              <w:rPr>
                <w:rFonts w:ascii="Arial" w:hAnsi="Arial" w:cs="Arial"/>
                <w:b/>
                <w:sz w:val="16"/>
                <w:szCs w:val="16"/>
              </w:rPr>
            </w:pPr>
            <w:r w:rsidRPr="00FD24B8">
              <w:rPr>
                <w:rFonts w:ascii="Arial" w:hAnsi="Arial" w:cs="Arial"/>
                <w:b/>
                <w:sz w:val="16"/>
                <w:szCs w:val="16"/>
              </w:rPr>
              <w:noBreakHyphen/>
            </w:r>
            <w:r w:rsidR="004D6A22" w:rsidRPr="00FD24B8">
              <w:rPr>
                <w:rFonts w:ascii="Arial" w:hAnsi="Arial" w:cs="Arial"/>
                <w:b/>
                <w:sz w:val="16"/>
                <w:szCs w:val="16"/>
              </w:rPr>
              <w:t>1,006.6</w:t>
            </w:r>
          </w:p>
        </w:tc>
      </w:tr>
      <w:tr w:rsidR="004D6A22" w:rsidRPr="00131EBC" w14:paraId="5E459BA2"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3BAAFD3F"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nil"/>
              <w:right w:val="nil"/>
            </w:tcBorders>
            <w:shd w:val="clear" w:color="auto" w:fill="FFFFFF" w:themeFill="background1"/>
            <w:noWrap/>
            <w:vAlign w:val="center"/>
            <w:hideMark/>
          </w:tcPr>
          <w:p w14:paraId="29C22C62" w14:textId="3F14A85E"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43.8</w:t>
            </w:r>
          </w:p>
        </w:tc>
        <w:tc>
          <w:tcPr>
            <w:tcW w:w="75" w:type="pct"/>
            <w:tcBorders>
              <w:top w:val="nil"/>
              <w:left w:val="nil"/>
              <w:bottom w:val="nil"/>
              <w:right w:val="nil"/>
            </w:tcBorders>
            <w:shd w:val="clear" w:color="auto" w:fill="FFFFFF" w:themeFill="background1"/>
            <w:noWrap/>
            <w:vAlign w:val="center"/>
            <w:hideMark/>
          </w:tcPr>
          <w:p w14:paraId="192D84EB"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0250F2A2" w14:textId="119BC342"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34.3</w:t>
            </w:r>
          </w:p>
        </w:tc>
        <w:tc>
          <w:tcPr>
            <w:tcW w:w="539" w:type="pct"/>
            <w:tcBorders>
              <w:top w:val="nil"/>
              <w:left w:val="nil"/>
              <w:bottom w:val="nil"/>
              <w:right w:val="nil"/>
            </w:tcBorders>
            <w:shd w:val="clear" w:color="auto" w:fill="F2F9FC"/>
            <w:noWrap/>
            <w:vAlign w:val="center"/>
            <w:hideMark/>
          </w:tcPr>
          <w:p w14:paraId="7678DA5C" w14:textId="1EF707AC"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37.4</w:t>
            </w:r>
          </w:p>
        </w:tc>
        <w:tc>
          <w:tcPr>
            <w:tcW w:w="539" w:type="pct"/>
            <w:tcBorders>
              <w:top w:val="nil"/>
              <w:left w:val="nil"/>
              <w:bottom w:val="nil"/>
              <w:right w:val="nil"/>
            </w:tcBorders>
            <w:shd w:val="clear" w:color="auto" w:fill="FFFFFF" w:themeFill="background1"/>
            <w:noWrap/>
            <w:vAlign w:val="center"/>
            <w:hideMark/>
          </w:tcPr>
          <w:p w14:paraId="155DED65" w14:textId="1ADEB966"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38.8</w:t>
            </w:r>
          </w:p>
        </w:tc>
        <w:tc>
          <w:tcPr>
            <w:tcW w:w="539" w:type="pct"/>
            <w:tcBorders>
              <w:top w:val="nil"/>
              <w:left w:val="nil"/>
              <w:bottom w:val="nil"/>
              <w:right w:val="nil"/>
            </w:tcBorders>
            <w:shd w:val="clear" w:color="auto" w:fill="FFFFFF" w:themeFill="background1"/>
            <w:noWrap/>
            <w:vAlign w:val="center"/>
            <w:hideMark/>
          </w:tcPr>
          <w:p w14:paraId="4F68EA5F" w14:textId="2C7265B2" w:rsidR="004D6A22" w:rsidRPr="00131EBC" w:rsidRDefault="0031144A" w:rsidP="004D6A22">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4D6A22" w:rsidRPr="00FD24B8">
              <w:rPr>
                <w:rFonts w:ascii="Arial" w:hAnsi="Arial" w:cs="Arial"/>
                <w:sz w:val="16"/>
                <w:szCs w:val="16"/>
              </w:rPr>
              <w:t>38.9</w:t>
            </w:r>
          </w:p>
        </w:tc>
        <w:tc>
          <w:tcPr>
            <w:tcW w:w="538" w:type="pct"/>
            <w:tcBorders>
              <w:top w:val="nil"/>
              <w:left w:val="nil"/>
              <w:bottom w:val="nil"/>
              <w:right w:val="nil"/>
            </w:tcBorders>
            <w:shd w:val="clear" w:color="auto" w:fill="FFFFFF" w:themeFill="background1"/>
            <w:noWrap/>
            <w:vAlign w:val="center"/>
            <w:hideMark/>
          </w:tcPr>
          <w:p w14:paraId="06F41E93" w14:textId="0C351C5E" w:rsidR="004D6A22" w:rsidRPr="00FD24B8" w:rsidRDefault="0031144A" w:rsidP="004D6A22">
            <w:pPr>
              <w:spacing w:after="0" w:line="240" w:lineRule="auto"/>
              <w:jc w:val="right"/>
              <w:rPr>
                <w:rFonts w:ascii="Arial" w:hAnsi="Arial" w:cs="Arial"/>
                <w:sz w:val="16"/>
                <w:szCs w:val="16"/>
              </w:rPr>
            </w:pPr>
            <w:r w:rsidRPr="00FD24B8">
              <w:rPr>
                <w:rFonts w:ascii="Arial" w:hAnsi="Arial" w:cs="Arial"/>
                <w:sz w:val="16"/>
                <w:szCs w:val="16"/>
              </w:rPr>
              <w:noBreakHyphen/>
            </w:r>
            <w:r w:rsidR="004D6A22" w:rsidRPr="00FD24B8">
              <w:rPr>
                <w:rFonts w:ascii="Arial" w:hAnsi="Arial" w:cs="Arial"/>
                <w:sz w:val="16"/>
                <w:szCs w:val="16"/>
              </w:rPr>
              <w:t>38.5</w:t>
            </w:r>
          </w:p>
        </w:tc>
      </w:tr>
      <w:tr w:rsidR="004D6A22" w:rsidRPr="00131EBC" w14:paraId="593AFB26" w14:textId="77777777" w:rsidTr="00E261C3">
        <w:trPr>
          <w:trHeight w:hRule="exact" w:val="60"/>
        </w:trPr>
        <w:tc>
          <w:tcPr>
            <w:tcW w:w="1684" w:type="pct"/>
            <w:tcBorders>
              <w:top w:val="nil"/>
              <w:left w:val="nil"/>
              <w:bottom w:val="nil"/>
              <w:right w:val="nil"/>
            </w:tcBorders>
            <w:shd w:val="clear" w:color="auto" w:fill="FFFFFF" w:themeFill="background1"/>
            <w:noWrap/>
            <w:vAlign w:val="center"/>
            <w:hideMark/>
          </w:tcPr>
          <w:p w14:paraId="2F707277"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47" w:type="pct"/>
            <w:tcBorders>
              <w:top w:val="nil"/>
              <w:left w:val="nil"/>
              <w:bottom w:val="nil"/>
              <w:right w:val="nil"/>
            </w:tcBorders>
            <w:shd w:val="clear" w:color="auto" w:fill="FFFFFF" w:themeFill="background1"/>
            <w:noWrap/>
            <w:vAlign w:val="center"/>
            <w:hideMark/>
          </w:tcPr>
          <w:p w14:paraId="07E40631"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5" w:type="pct"/>
            <w:tcBorders>
              <w:top w:val="nil"/>
              <w:left w:val="nil"/>
              <w:bottom w:val="nil"/>
              <w:right w:val="nil"/>
            </w:tcBorders>
            <w:shd w:val="clear" w:color="auto" w:fill="FFFFFF" w:themeFill="background1"/>
            <w:noWrap/>
            <w:vAlign w:val="center"/>
            <w:hideMark/>
          </w:tcPr>
          <w:p w14:paraId="51CE39CD"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6F8C498F"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2F9FC"/>
            <w:noWrap/>
            <w:vAlign w:val="center"/>
            <w:hideMark/>
          </w:tcPr>
          <w:p w14:paraId="73EED5DA"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2C8F0368"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05828653"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8" w:type="pct"/>
            <w:tcBorders>
              <w:top w:val="nil"/>
              <w:left w:val="nil"/>
              <w:bottom w:val="nil"/>
              <w:right w:val="nil"/>
            </w:tcBorders>
            <w:shd w:val="clear" w:color="auto" w:fill="FFFFFF" w:themeFill="background1"/>
            <w:noWrap/>
            <w:vAlign w:val="center"/>
            <w:hideMark/>
          </w:tcPr>
          <w:p w14:paraId="7B67D3F3"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 </w:t>
            </w:r>
          </w:p>
        </w:tc>
      </w:tr>
      <w:tr w:rsidR="004D6A22" w:rsidRPr="00131EBC" w14:paraId="7CF4848A"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46C1D3F8"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Gross debt(b)</w:t>
            </w:r>
          </w:p>
        </w:tc>
        <w:tc>
          <w:tcPr>
            <w:tcW w:w="547" w:type="pct"/>
            <w:tcBorders>
              <w:top w:val="nil"/>
              <w:left w:val="nil"/>
              <w:bottom w:val="nil"/>
              <w:right w:val="nil"/>
            </w:tcBorders>
            <w:shd w:val="clear" w:color="auto" w:fill="FFFFFF" w:themeFill="background1"/>
            <w:noWrap/>
            <w:vAlign w:val="center"/>
            <w:hideMark/>
          </w:tcPr>
          <w:p w14:paraId="14EDB1E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817.0</w:t>
            </w:r>
          </w:p>
        </w:tc>
        <w:tc>
          <w:tcPr>
            <w:tcW w:w="75" w:type="pct"/>
            <w:tcBorders>
              <w:top w:val="nil"/>
              <w:left w:val="nil"/>
              <w:bottom w:val="nil"/>
              <w:right w:val="nil"/>
            </w:tcBorders>
            <w:shd w:val="clear" w:color="auto" w:fill="FFFFFF" w:themeFill="background1"/>
            <w:noWrap/>
            <w:vAlign w:val="center"/>
            <w:hideMark/>
          </w:tcPr>
          <w:p w14:paraId="7DCEB87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7E87AD5B"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906.0</w:t>
            </w:r>
          </w:p>
        </w:tc>
        <w:tc>
          <w:tcPr>
            <w:tcW w:w="539" w:type="pct"/>
            <w:tcBorders>
              <w:top w:val="nil"/>
              <w:left w:val="nil"/>
              <w:bottom w:val="nil"/>
              <w:right w:val="nil"/>
            </w:tcBorders>
            <w:shd w:val="clear" w:color="auto" w:fill="F2F9FC"/>
            <w:noWrap/>
            <w:vAlign w:val="center"/>
            <w:hideMark/>
          </w:tcPr>
          <w:p w14:paraId="36126D4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977.0</w:t>
            </w:r>
          </w:p>
        </w:tc>
        <w:tc>
          <w:tcPr>
            <w:tcW w:w="539" w:type="pct"/>
            <w:tcBorders>
              <w:top w:val="nil"/>
              <w:left w:val="nil"/>
              <w:bottom w:val="nil"/>
              <w:right w:val="nil"/>
            </w:tcBorders>
            <w:shd w:val="clear" w:color="auto" w:fill="FFFFFF" w:themeFill="background1"/>
            <w:noWrap/>
            <w:vAlign w:val="center"/>
            <w:hideMark/>
          </w:tcPr>
          <w:p w14:paraId="7BF701F3" w14:textId="1CDF8F59"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w:t>
            </w:r>
            <w:r w:rsidR="006D316E">
              <w:rPr>
                <w:rFonts w:ascii="Arial" w:hAnsi="Arial" w:cs="Arial"/>
                <w:b/>
                <w:sz w:val="16"/>
                <w:szCs w:val="16"/>
              </w:rPr>
              <w:t>,</w:t>
            </w:r>
            <w:r w:rsidRPr="00FD24B8">
              <w:rPr>
                <w:rFonts w:ascii="Arial" w:hAnsi="Arial" w:cs="Arial"/>
                <w:b/>
                <w:sz w:val="16"/>
                <w:szCs w:val="16"/>
              </w:rPr>
              <w:t>056.0</w:t>
            </w:r>
          </w:p>
        </w:tc>
        <w:tc>
          <w:tcPr>
            <w:tcW w:w="539" w:type="pct"/>
            <w:tcBorders>
              <w:top w:val="nil"/>
              <w:left w:val="nil"/>
              <w:bottom w:val="nil"/>
              <w:right w:val="nil"/>
            </w:tcBorders>
            <w:shd w:val="clear" w:color="auto" w:fill="FFFFFF" w:themeFill="background1"/>
            <w:noWrap/>
            <w:vAlign w:val="center"/>
            <w:hideMark/>
          </w:tcPr>
          <w:p w14:paraId="4E12BA38" w14:textId="478AF8C3"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w:t>
            </w:r>
            <w:r w:rsidR="006D316E">
              <w:rPr>
                <w:rFonts w:ascii="Arial" w:hAnsi="Arial" w:cs="Arial"/>
                <w:b/>
                <w:sz w:val="16"/>
                <w:szCs w:val="16"/>
              </w:rPr>
              <w:t>,</w:t>
            </w:r>
            <w:r w:rsidRPr="00FD24B8">
              <w:rPr>
                <w:rFonts w:ascii="Arial" w:hAnsi="Arial" w:cs="Arial"/>
                <w:b/>
                <w:sz w:val="16"/>
                <w:szCs w:val="16"/>
              </w:rPr>
              <w:t>117.0</w:t>
            </w:r>
          </w:p>
        </w:tc>
        <w:tc>
          <w:tcPr>
            <w:tcW w:w="538" w:type="pct"/>
            <w:tcBorders>
              <w:top w:val="nil"/>
              <w:left w:val="nil"/>
              <w:bottom w:val="nil"/>
              <w:right w:val="nil"/>
            </w:tcBorders>
            <w:shd w:val="clear" w:color="auto" w:fill="FFFFFF" w:themeFill="background1"/>
            <w:noWrap/>
            <w:vAlign w:val="center"/>
            <w:hideMark/>
          </w:tcPr>
          <w:p w14:paraId="3F7EC265" w14:textId="397629DB"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1</w:t>
            </w:r>
            <w:r w:rsidR="006D316E">
              <w:rPr>
                <w:rFonts w:ascii="Arial" w:hAnsi="Arial" w:cs="Arial"/>
                <w:b/>
                <w:sz w:val="16"/>
                <w:szCs w:val="16"/>
              </w:rPr>
              <w:t>,</w:t>
            </w:r>
            <w:r w:rsidRPr="00FD24B8">
              <w:rPr>
                <w:rFonts w:ascii="Arial" w:hAnsi="Arial" w:cs="Arial"/>
                <w:b/>
                <w:sz w:val="16"/>
                <w:szCs w:val="16"/>
              </w:rPr>
              <w:t>169.0</w:t>
            </w:r>
          </w:p>
        </w:tc>
      </w:tr>
      <w:tr w:rsidR="004D6A22" w:rsidRPr="00131EBC" w14:paraId="1A52FEE9"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4B8D98E5"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nil"/>
              <w:right w:val="nil"/>
            </w:tcBorders>
            <w:shd w:val="clear" w:color="auto" w:fill="FFFFFF" w:themeFill="background1"/>
            <w:noWrap/>
            <w:vAlign w:val="center"/>
            <w:hideMark/>
          </w:tcPr>
          <w:p w14:paraId="122F5F4A"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39.5</w:t>
            </w:r>
          </w:p>
        </w:tc>
        <w:tc>
          <w:tcPr>
            <w:tcW w:w="75" w:type="pct"/>
            <w:tcBorders>
              <w:top w:val="nil"/>
              <w:left w:val="nil"/>
              <w:bottom w:val="nil"/>
              <w:right w:val="nil"/>
            </w:tcBorders>
            <w:shd w:val="clear" w:color="auto" w:fill="FFFFFF" w:themeFill="background1"/>
            <w:noWrap/>
            <w:vAlign w:val="center"/>
            <w:hideMark/>
          </w:tcPr>
          <w:p w14:paraId="3E67420B"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1A5D87A0"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39.5</w:t>
            </w:r>
          </w:p>
        </w:tc>
        <w:tc>
          <w:tcPr>
            <w:tcW w:w="539" w:type="pct"/>
            <w:tcBorders>
              <w:top w:val="nil"/>
              <w:left w:val="nil"/>
              <w:bottom w:val="nil"/>
              <w:right w:val="nil"/>
            </w:tcBorders>
            <w:shd w:val="clear" w:color="auto" w:fill="F2F9FC"/>
            <w:noWrap/>
            <w:vAlign w:val="center"/>
            <w:hideMark/>
          </w:tcPr>
          <w:p w14:paraId="1128C09F"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42.5</w:t>
            </w:r>
          </w:p>
        </w:tc>
        <w:tc>
          <w:tcPr>
            <w:tcW w:w="539" w:type="pct"/>
            <w:tcBorders>
              <w:top w:val="nil"/>
              <w:left w:val="nil"/>
              <w:bottom w:val="nil"/>
              <w:right w:val="nil"/>
            </w:tcBorders>
            <w:shd w:val="clear" w:color="auto" w:fill="FFFFFF" w:themeFill="background1"/>
            <w:noWrap/>
            <w:vAlign w:val="center"/>
            <w:hideMark/>
          </w:tcPr>
          <w:p w14:paraId="63724FC7"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44.6</w:t>
            </w:r>
          </w:p>
        </w:tc>
        <w:tc>
          <w:tcPr>
            <w:tcW w:w="539" w:type="pct"/>
            <w:tcBorders>
              <w:top w:val="nil"/>
              <w:left w:val="nil"/>
              <w:bottom w:val="nil"/>
              <w:right w:val="nil"/>
            </w:tcBorders>
            <w:shd w:val="clear" w:color="auto" w:fill="FFFFFF" w:themeFill="background1"/>
            <w:noWrap/>
            <w:vAlign w:val="center"/>
            <w:hideMark/>
          </w:tcPr>
          <w:p w14:paraId="336B7217"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44.9</w:t>
            </w:r>
          </w:p>
        </w:tc>
        <w:tc>
          <w:tcPr>
            <w:tcW w:w="538" w:type="pct"/>
            <w:tcBorders>
              <w:top w:val="nil"/>
              <w:left w:val="nil"/>
              <w:bottom w:val="nil"/>
              <w:right w:val="nil"/>
            </w:tcBorders>
            <w:shd w:val="clear" w:color="auto" w:fill="FFFFFF" w:themeFill="background1"/>
            <w:noWrap/>
            <w:vAlign w:val="center"/>
            <w:hideMark/>
          </w:tcPr>
          <w:p w14:paraId="3C04AC4E"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44.7</w:t>
            </w:r>
          </w:p>
        </w:tc>
      </w:tr>
      <w:tr w:rsidR="004D6A22" w:rsidRPr="00131EBC" w14:paraId="6B0784BA" w14:textId="77777777" w:rsidTr="00E261C3">
        <w:trPr>
          <w:trHeight w:hRule="exact" w:val="60"/>
        </w:trPr>
        <w:tc>
          <w:tcPr>
            <w:tcW w:w="1684" w:type="pct"/>
            <w:tcBorders>
              <w:top w:val="nil"/>
              <w:left w:val="nil"/>
              <w:bottom w:val="nil"/>
              <w:right w:val="nil"/>
            </w:tcBorders>
            <w:shd w:val="clear" w:color="auto" w:fill="FFFFFF" w:themeFill="background1"/>
            <w:noWrap/>
            <w:vAlign w:val="center"/>
            <w:hideMark/>
          </w:tcPr>
          <w:p w14:paraId="7D09EA90"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47" w:type="pct"/>
            <w:tcBorders>
              <w:top w:val="nil"/>
              <w:left w:val="nil"/>
              <w:bottom w:val="nil"/>
              <w:right w:val="nil"/>
            </w:tcBorders>
            <w:shd w:val="clear" w:color="auto" w:fill="FFFFFF" w:themeFill="background1"/>
            <w:noWrap/>
            <w:vAlign w:val="center"/>
            <w:hideMark/>
          </w:tcPr>
          <w:p w14:paraId="00787FD1"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5" w:type="pct"/>
            <w:tcBorders>
              <w:top w:val="nil"/>
              <w:left w:val="nil"/>
              <w:bottom w:val="nil"/>
              <w:right w:val="nil"/>
            </w:tcBorders>
            <w:shd w:val="clear" w:color="auto" w:fill="FFFFFF" w:themeFill="background1"/>
            <w:noWrap/>
            <w:vAlign w:val="center"/>
            <w:hideMark/>
          </w:tcPr>
          <w:p w14:paraId="29CC1ED0"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16C6D9A6"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2F9FC"/>
            <w:noWrap/>
            <w:vAlign w:val="center"/>
            <w:hideMark/>
          </w:tcPr>
          <w:p w14:paraId="65986A3D"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23309FCF"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1B6F8ABD"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8" w:type="pct"/>
            <w:tcBorders>
              <w:top w:val="nil"/>
              <w:left w:val="nil"/>
              <w:bottom w:val="nil"/>
              <w:right w:val="nil"/>
            </w:tcBorders>
            <w:shd w:val="clear" w:color="auto" w:fill="FFFFFF" w:themeFill="background1"/>
            <w:noWrap/>
            <w:vAlign w:val="center"/>
            <w:hideMark/>
          </w:tcPr>
          <w:p w14:paraId="212A3387"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 </w:t>
            </w:r>
          </w:p>
        </w:tc>
      </w:tr>
      <w:tr w:rsidR="004D6A22" w:rsidRPr="00131EBC" w14:paraId="49892B33"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1A7BC6BD"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Net debt(c)</w:t>
            </w:r>
          </w:p>
        </w:tc>
        <w:tc>
          <w:tcPr>
            <w:tcW w:w="547" w:type="pct"/>
            <w:tcBorders>
              <w:top w:val="nil"/>
              <w:left w:val="nil"/>
              <w:bottom w:val="nil"/>
              <w:right w:val="nil"/>
            </w:tcBorders>
            <w:shd w:val="clear" w:color="auto" w:fill="FFFFFF" w:themeFill="background1"/>
            <w:noWrap/>
            <w:vAlign w:val="center"/>
            <w:hideMark/>
          </w:tcPr>
          <w:p w14:paraId="1983FB2F"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592.2</w:t>
            </w:r>
          </w:p>
        </w:tc>
        <w:tc>
          <w:tcPr>
            <w:tcW w:w="75" w:type="pct"/>
            <w:tcBorders>
              <w:top w:val="nil"/>
              <w:left w:val="nil"/>
              <w:bottom w:val="nil"/>
              <w:right w:val="nil"/>
            </w:tcBorders>
            <w:shd w:val="clear" w:color="auto" w:fill="FFFFFF" w:themeFill="background1"/>
            <w:noWrap/>
            <w:vAlign w:val="center"/>
            <w:hideMark/>
          </w:tcPr>
          <w:p w14:paraId="7747E83A"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1CA4F514"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631.5</w:t>
            </w:r>
          </w:p>
        </w:tc>
        <w:tc>
          <w:tcPr>
            <w:tcW w:w="539" w:type="pct"/>
            <w:tcBorders>
              <w:top w:val="nil"/>
              <w:left w:val="nil"/>
              <w:bottom w:val="nil"/>
              <w:right w:val="nil"/>
            </w:tcBorders>
            <w:shd w:val="clear" w:color="auto" w:fill="F2F9FC"/>
            <w:noWrap/>
            <w:vAlign w:val="center"/>
            <w:hideMark/>
          </w:tcPr>
          <w:p w14:paraId="7F5ACB6A"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714.9</w:t>
            </w:r>
          </w:p>
        </w:tc>
        <w:tc>
          <w:tcPr>
            <w:tcW w:w="539" w:type="pct"/>
            <w:tcBorders>
              <w:top w:val="nil"/>
              <w:left w:val="nil"/>
              <w:bottom w:val="nil"/>
              <w:right w:val="nil"/>
            </w:tcBorders>
            <w:shd w:val="clear" w:color="auto" w:fill="FFFFFF" w:themeFill="background1"/>
            <w:noWrap/>
            <w:vAlign w:val="center"/>
            <w:hideMark/>
          </w:tcPr>
          <w:p w14:paraId="593AA8D4"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772.1</w:t>
            </w:r>
          </w:p>
        </w:tc>
        <w:tc>
          <w:tcPr>
            <w:tcW w:w="539" w:type="pct"/>
            <w:tcBorders>
              <w:top w:val="nil"/>
              <w:left w:val="nil"/>
              <w:bottom w:val="nil"/>
              <w:right w:val="nil"/>
            </w:tcBorders>
            <w:shd w:val="clear" w:color="auto" w:fill="FFFFFF" w:themeFill="background1"/>
            <w:noWrap/>
            <w:vAlign w:val="center"/>
            <w:hideMark/>
          </w:tcPr>
          <w:p w14:paraId="3A6BA8A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823.3</w:t>
            </w:r>
          </w:p>
        </w:tc>
        <w:tc>
          <w:tcPr>
            <w:tcW w:w="538" w:type="pct"/>
            <w:tcBorders>
              <w:top w:val="nil"/>
              <w:left w:val="nil"/>
              <w:bottom w:val="nil"/>
              <w:right w:val="nil"/>
            </w:tcBorders>
            <w:shd w:val="clear" w:color="auto" w:fill="FFFFFF" w:themeFill="background1"/>
            <w:noWrap/>
            <w:vAlign w:val="center"/>
            <w:hideMark/>
          </w:tcPr>
          <w:p w14:paraId="4F31EE20"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864.7</w:t>
            </w:r>
          </w:p>
        </w:tc>
      </w:tr>
      <w:tr w:rsidR="004D6A22" w:rsidRPr="00131EBC" w14:paraId="2F0A219E"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2E4B1ABF"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nil"/>
              <w:right w:val="nil"/>
            </w:tcBorders>
            <w:shd w:val="clear" w:color="auto" w:fill="FFFFFF" w:themeFill="background1"/>
            <w:noWrap/>
            <w:vAlign w:val="center"/>
            <w:hideMark/>
          </w:tcPr>
          <w:p w14:paraId="124DD55A"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28.6</w:t>
            </w:r>
          </w:p>
        </w:tc>
        <w:tc>
          <w:tcPr>
            <w:tcW w:w="75" w:type="pct"/>
            <w:tcBorders>
              <w:top w:val="nil"/>
              <w:left w:val="nil"/>
              <w:bottom w:val="nil"/>
              <w:right w:val="nil"/>
            </w:tcBorders>
            <w:shd w:val="clear" w:color="auto" w:fill="FFFFFF" w:themeFill="background1"/>
            <w:noWrap/>
            <w:vAlign w:val="center"/>
            <w:hideMark/>
          </w:tcPr>
          <w:p w14:paraId="4EFE8781"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15A14758"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27.6</w:t>
            </w:r>
          </w:p>
        </w:tc>
        <w:tc>
          <w:tcPr>
            <w:tcW w:w="539" w:type="pct"/>
            <w:tcBorders>
              <w:top w:val="nil"/>
              <w:left w:val="nil"/>
              <w:bottom w:val="nil"/>
              <w:right w:val="nil"/>
            </w:tcBorders>
            <w:shd w:val="clear" w:color="auto" w:fill="F2F9FC"/>
            <w:noWrap/>
            <w:vAlign w:val="center"/>
            <w:hideMark/>
          </w:tcPr>
          <w:p w14:paraId="673AA886"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31.1</w:t>
            </w:r>
          </w:p>
        </w:tc>
        <w:tc>
          <w:tcPr>
            <w:tcW w:w="539" w:type="pct"/>
            <w:tcBorders>
              <w:top w:val="nil"/>
              <w:left w:val="nil"/>
              <w:bottom w:val="nil"/>
              <w:right w:val="nil"/>
            </w:tcBorders>
            <w:shd w:val="clear" w:color="auto" w:fill="FFFFFF" w:themeFill="background1"/>
            <w:noWrap/>
            <w:vAlign w:val="center"/>
            <w:hideMark/>
          </w:tcPr>
          <w:p w14:paraId="5060074D"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32.6</w:t>
            </w:r>
          </w:p>
        </w:tc>
        <w:tc>
          <w:tcPr>
            <w:tcW w:w="539" w:type="pct"/>
            <w:tcBorders>
              <w:top w:val="nil"/>
              <w:left w:val="nil"/>
              <w:bottom w:val="nil"/>
              <w:right w:val="nil"/>
            </w:tcBorders>
            <w:shd w:val="clear" w:color="auto" w:fill="FFFFFF" w:themeFill="background1"/>
            <w:noWrap/>
            <w:vAlign w:val="center"/>
            <w:hideMark/>
          </w:tcPr>
          <w:p w14:paraId="0F050106"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33.1</w:t>
            </w:r>
          </w:p>
        </w:tc>
        <w:tc>
          <w:tcPr>
            <w:tcW w:w="538" w:type="pct"/>
            <w:tcBorders>
              <w:top w:val="nil"/>
              <w:left w:val="nil"/>
              <w:bottom w:val="nil"/>
              <w:right w:val="nil"/>
            </w:tcBorders>
            <w:shd w:val="clear" w:color="auto" w:fill="FFFFFF" w:themeFill="background1"/>
            <w:noWrap/>
            <w:vAlign w:val="center"/>
            <w:hideMark/>
          </w:tcPr>
          <w:p w14:paraId="4E04F3CF"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33.1</w:t>
            </w:r>
          </w:p>
        </w:tc>
      </w:tr>
      <w:tr w:rsidR="004D6A22" w:rsidRPr="00131EBC" w14:paraId="1554FA6B" w14:textId="77777777" w:rsidTr="00E261C3">
        <w:trPr>
          <w:trHeight w:hRule="exact" w:val="60"/>
        </w:trPr>
        <w:tc>
          <w:tcPr>
            <w:tcW w:w="1684" w:type="pct"/>
            <w:tcBorders>
              <w:top w:val="nil"/>
              <w:left w:val="nil"/>
              <w:bottom w:val="nil"/>
              <w:right w:val="nil"/>
            </w:tcBorders>
            <w:shd w:val="clear" w:color="auto" w:fill="FFFFFF" w:themeFill="background1"/>
            <w:noWrap/>
            <w:vAlign w:val="center"/>
            <w:hideMark/>
          </w:tcPr>
          <w:p w14:paraId="32B886F0"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47" w:type="pct"/>
            <w:tcBorders>
              <w:top w:val="nil"/>
              <w:left w:val="nil"/>
              <w:bottom w:val="nil"/>
              <w:right w:val="nil"/>
            </w:tcBorders>
            <w:shd w:val="clear" w:color="auto" w:fill="FFFFFF" w:themeFill="background1"/>
            <w:noWrap/>
            <w:vAlign w:val="center"/>
            <w:hideMark/>
          </w:tcPr>
          <w:p w14:paraId="6C1D652D"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5" w:type="pct"/>
            <w:tcBorders>
              <w:top w:val="nil"/>
              <w:left w:val="nil"/>
              <w:bottom w:val="nil"/>
              <w:right w:val="nil"/>
            </w:tcBorders>
            <w:shd w:val="clear" w:color="auto" w:fill="FFFFFF" w:themeFill="background1"/>
            <w:noWrap/>
            <w:vAlign w:val="center"/>
            <w:hideMark/>
          </w:tcPr>
          <w:p w14:paraId="3EBF4DD5"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4C19C02A"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2F9FC"/>
            <w:noWrap/>
            <w:vAlign w:val="center"/>
            <w:hideMark/>
          </w:tcPr>
          <w:p w14:paraId="12EDF8A8"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4E690000"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2D31D7F8"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8" w:type="pct"/>
            <w:tcBorders>
              <w:top w:val="nil"/>
              <w:left w:val="nil"/>
              <w:bottom w:val="nil"/>
              <w:right w:val="nil"/>
            </w:tcBorders>
            <w:shd w:val="clear" w:color="auto" w:fill="FFFFFF" w:themeFill="background1"/>
            <w:noWrap/>
            <w:vAlign w:val="center"/>
            <w:hideMark/>
          </w:tcPr>
          <w:p w14:paraId="6C370202"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 </w:t>
            </w:r>
          </w:p>
        </w:tc>
      </w:tr>
      <w:tr w:rsidR="004D6A22" w:rsidRPr="00131EBC" w14:paraId="234123CE"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78179FBA" w14:textId="77777777"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Total interest payments</w:t>
            </w:r>
          </w:p>
        </w:tc>
        <w:tc>
          <w:tcPr>
            <w:tcW w:w="547" w:type="pct"/>
            <w:tcBorders>
              <w:top w:val="nil"/>
              <w:left w:val="nil"/>
              <w:bottom w:val="nil"/>
              <w:right w:val="nil"/>
            </w:tcBorders>
            <w:shd w:val="clear" w:color="auto" w:fill="FFFFFF" w:themeFill="background1"/>
            <w:noWrap/>
            <w:vAlign w:val="center"/>
            <w:hideMark/>
          </w:tcPr>
          <w:p w14:paraId="3D57A000"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17.1</w:t>
            </w:r>
          </w:p>
        </w:tc>
        <w:tc>
          <w:tcPr>
            <w:tcW w:w="75" w:type="pct"/>
            <w:tcBorders>
              <w:top w:val="nil"/>
              <w:left w:val="nil"/>
              <w:bottom w:val="nil"/>
              <w:right w:val="nil"/>
            </w:tcBorders>
            <w:shd w:val="clear" w:color="auto" w:fill="FFFFFF" w:themeFill="background1"/>
            <w:noWrap/>
            <w:vAlign w:val="center"/>
            <w:hideMark/>
          </w:tcPr>
          <w:p w14:paraId="65A1FC89"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1261FA20"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17.5</w:t>
            </w:r>
          </w:p>
        </w:tc>
        <w:tc>
          <w:tcPr>
            <w:tcW w:w="539" w:type="pct"/>
            <w:tcBorders>
              <w:top w:val="nil"/>
              <w:left w:val="nil"/>
              <w:bottom w:val="nil"/>
              <w:right w:val="nil"/>
            </w:tcBorders>
            <w:shd w:val="clear" w:color="auto" w:fill="F2F9FC"/>
            <w:noWrap/>
            <w:vAlign w:val="center"/>
            <w:hideMark/>
          </w:tcPr>
          <w:p w14:paraId="53C555BF"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17.9</w:t>
            </w:r>
          </w:p>
        </w:tc>
        <w:tc>
          <w:tcPr>
            <w:tcW w:w="539" w:type="pct"/>
            <w:tcBorders>
              <w:top w:val="nil"/>
              <w:left w:val="nil"/>
              <w:bottom w:val="nil"/>
              <w:right w:val="nil"/>
            </w:tcBorders>
            <w:shd w:val="clear" w:color="auto" w:fill="FFFFFF" w:themeFill="background1"/>
            <w:noWrap/>
            <w:vAlign w:val="center"/>
            <w:hideMark/>
          </w:tcPr>
          <w:p w14:paraId="54775C19"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20.3</w:t>
            </w:r>
          </w:p>
        </w:tc>
        <w:tc>
          <w:tcPr>
            <w:tcW w:w="539" w:type="pct"/>
            <w:tcBorders>
              <w:top w:val="nil"/>
              <w:left w:val="nil"/>
              <w:bottom w:val="nil"/>
              <w:right w:val="nil"/>
            </w:tcBorders>
            <w:shd w:val="clear" w:color="auto" w:fill="FFFFFF" w:themeFill="background1"/>
            <w:noWrap/>
            <w:vAlign w:val="center"/>
            <w:hideMark/>
          </w:tcPr>
          <w:p w14:paraId="02151183"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21.6</w:t>
            </w:r>
          </w:p>
        </w:tc>
        <w:tc>
          <w:tcPr>
            <w:tcW w:w="538" w:type="pct"/>
            <w:tcBorders>
              <w:top w:val="nil"/>
              <w:left w:val="nil"/>
              <w:bottom w:val="nil"/>
              <w:right w:val="nil"/>
            </w:tcBorders>
            <w:shd w:val="clear" w:color="auto" w:fill="FFFFFF" w:themeFill="background1"/>
            <w:noWrap/>
            <w:vAlign w:val="center"/>
            <w:hideMark/>
          </w:tcPr>
          <w:p w14:paraId="7D4D8DAD"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26.3</w:t>
            </w:r>
          </w:p>
        </w:tc>
      </w:tr>
      <w:tr w:rsidR="004D6A22" w:rsidRPr="00131EBC" w14:paraId="0507127B"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15076D48"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nil"/>
              <w:right w:val="nil"/>
            </w:tcBorders>
            <w:shd w:val="clear" w:color="auto" w:fill="FFFFFF" w:themeFill="background1"/>
            <w:noWrap/>
            <w:vAlign w:val="center"/>
            <w:hideMark/>
          </w:tcPr>
          <w:p w14:paraId="58F815A8"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0.8</w:t>
            </w:r>
          </w:p>
        </w:tc>
        <w:tc>
          <w:tcPr>
            <w:tcW w:w="75" w:type="pct"/>
            <w:tcBorders>
              <w:top w:val="nil"/>
              <w:left w:val="nil"/>
              <w:bottom w:val="nil"/>
              <w:right w:val="nil"/>
            </w:tcBorders>
            <w:shd w:val="clear" w:color="auto" w:fill="FFFFFF" w:themeFill="background1"/>
            <w:noWrap/>
            <w:vAlign w:val="center"/>
            <w:hideMark/>
          </w:tcPr>
          <w:p w14:paraId="4063B834"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4C9E8B7D"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0.8</w:t>
            </w:r>
          </w:p>
        </w:tc>
        <w:tc>
          <w:tcPr>
            <w:tcW w:w="539" w:type="pct"/>
            <w:tcBorders>
              <w:top w:val="nil"/>
              <w:left w:val="nil"/>
              <w:bottom w:val="nil"/>
              <w:right w:val="nil"/>
            </w:tcBorders>
            <w:shd w:val="clear" w:color="auto" w:fill="F2F9FC"/>
            <w:noWrap/>
            <w:vAlign w:val="center"/>
            <w:hideMark/>
          </w:tcPr>
          <w:p w14:paraId="795A2A20"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0.8</w:t>
            </w:r>
          </w:p>
        </w:tc>
        <w:tc>
          <w:tcPr>
            <w:tcW w:w="539" w:type="pct"/>
            <w:tcBorders>
              <w:top w:val="nil"/>
              <w:left w:val="nil"/>
              <w:bottom w:val="nil"/>
              <w:right w:val="nil"/>
            </w:tcBorders>
            <w:shd w:val="clear" w:color="auto" w:fill="FFFFFF" w:themeFill="background1"/>
            <w:noWrap/>
            <w:vAlign w:val="center"/>
            <w:hideMark/>
          </w:tcPr>
          <w:p w14:paraId="130F0729"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0.9</w:t>
            </w:r>
          </w:p>
        </w:tc>
        <w:tc>
          <w:tcPr>
            <w:tcW w:w="539" w:type="pct"/>
            <w:tcBorders>
              <w:top w:val="nil"/>
              <w:left w:val="nil"/>
              <w:bottom w:val="nil"/>
              <w:right w:val="nil"/>
            </w:tcBorders>
            <w:shd w:val="clear" w:color="auto" w:fill="FFFFFF" w:themeFill="background1"/>
            <w:noWrap/>
            <w:vAlign w:val="center"/>
            <w:hideMark/>
          </w:tcPr>
          <w:p w14:paraId="42927B59"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0.9</w:t>
            </w:r>
          </w:p>
        </w:tc>
        <w:tc>
          <w:tcPr>
            <w:tcW w:w="538" w:type="pct"/>
            <w:tcBorders>
              <w:top w:val="nil"/>
              <w:left w:val="nil"/>
              <w:bottom w:val="nil"/>
              <w:right w:val="nil"/>
            </w:tcBorders>
            <w:shd w:val="clear" w:color="auto" w:fill="FFFFFF" w:themeFill="background1"/>
            <w:noWrap/>
            <w:vAlign w:val="center"/>
            <w:hideMark/>
          </w:tcPr>
          <w:p w14:paraId="0892DBCE"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1.0</w:t>
            </w:r>
          </w:p>
        </w:tc>
      </w:tr>
      <w:tr w:rsidR="004D6A22" w:rsidRPr="00131EBC" w14:paraId="57E5B2C3" w14:textId="77777777" w:rsidTr="00E261C3">
        <w:trPr>
          <w:trHeight w:hRule="exact" w:val="60"/>
        </w:trPr>
        <w:tc>
          <w:tcPr>
            <w:tcW w:w="1684" w:type="pct"/>
            <w:tcBorders>
              <w:top w:val="nil"/>
              <w:left w:val="nil"/>
              <w:bottom w:val="nil"/>
              <w:right w:val="nil"/>
            </w:tcBorders>
            <w:shd w:val="clear" w:color="auto" w:fill="FFFFFF" w:themeFill="background1"/>
            <w:noWrap/>
            <w:vAlign w:val="center"/>
            <w:hideMark/>
          </w:tcPr>
          <w:p w14:paraId="7B5CA556"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47" w:type="pct"/>
            <w:tcBorders>
              <w:top w:val="nil"/>
              <w:left w:val="nil"/>
              <w:bottom w:val="nil"/>
              <w:right w:val="nil"/>
            </w:tcBorders>
            <w:shd w:val="clear" w:color="auto" w:fill="FFFFFF" w:themeFill="background1"/>
            <w:noWrap/>
            <w:vAlign w:val="center"/>
            <w:hideMark/>
          </w:tcPr>
          <w:p w14:paraId="2C3FDE56"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5" w:type="pct"/>
            <w:tcBorders>
              <w:top w:val="nil"/>
              <w:left w:val="nil"/>
              <w:bottom w:val="nil"/>
              <w:right w:val="nil"/>
            </w:tcBorders>
            <w:shd w:val="clear" w:color="auto" w:fill="FFFFFF" w:themeFill="background1"/>
            <w:noWrap/>
            <w:vAlign w:val="center"/>
            <w:hideMark/>
          </w:tcPr>
          <w:p w14:paraId="29415A17"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4B29FDD2"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2F9FC"/>
            <w:noWrap/>
            <w:vAlign w:val="center"/>
            <w:hideMark/>
          </w:tcPr>
          <w:p w14:paraId="24FB367C"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5465FAAD"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nil"/>
              <w:right w:val="nil"/>
            </w:tcBorders>
            <w:shd w:val="clear" w:color="auto" w:fill="FFFFFF" w:themeFill="background1"/>
            <w:noWrap/>
            <w:vAlign w:val="center"/>
            <w:hideMark/>
          </w:tcPr>
          <w:p w14:paraId="674EB190"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8" w:type="pct"/>
            <w:tcBorders>
              <w:top w:val="nil"/>
              <w:left w:val="nil"/>
              <w:bottom w:val="nil"/>
              <w:right w:val="nil"/>
            </w:tcBorders>
            <w:shd w:val="clear" w:color="auto" w:fill="FFFFFF" w:themeFill="background1"/>
            <w:noWrap/>
            <w:vAlign w:val="center"/>
            <w:hideMark/>
          </w:tcPr>
          <w:p w14:paraId="50FEBEAC"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 </w:t>
            </w:r>
          </w:p>
        </w:tc>
      </w:tr>
      <w:tr w:rsidR="004D6A22" w:rsidRPr="00131EBC" w14:paraId="019FD404" w14:textId="77777777" w:rsidTr="00E261C3">
        <w:trPr>
          <w:trHeight w:hRule="exact" w:val="225"/>
        </w:trPr>
        <w:tc>
          <w:tcPr>
            <w:tcW w:w="1684" w:type="pct"/>
            <w:tcBorders>
              <w:top w:val="nil"/>
              <w:left w:val="nil"/>
              <w:bottom w:val="nil"/>
              <w:right w:val="nil"/>
            </w:tcBorders>
            <w:shd w:val="clear" w:color="auto" w:fill="FFFFFF" w:themeFill="background1"/>
            <w:noWrap/>
            <w:vAlign w:val="center"/>
            <w:hideMark/>
          </w:tcPr>
          <w:p w14:paraId="2207BA5C" w14:textId="3A851E7F" w:rsidR="004D6A22" w:rsidRPr="00131EBC" w:rsidRDefault="004D6A22" w:rsidP="004D6A22">
            <w:pPr>
              <w:spacing w:after="0" w:line="240" w:lineRule="auto"/>
              <w:jc w:val="left"/>
              <w:rPr>
                <w:rFonts w:ascii="Arial" w:hAnsi="Arial" w:cs="Arial"/>
                <w:b/>
                <w:sz w:val="16"/>
                <w:szCs w:val="16"/>
                <w:highlight w:val="darkCyan"/>
              </w:rPr>
            </w:pPr>
            <w:r w:rsidRPr="00FD24B8">
              <w:rPr>
                <w:rFonts w:ascii="Arial" w:hAnsi="Arial" w:cs="Arial"/>
                <w:b/>
                <w:sz w:val="16"/>
                <w:szCs w:val="16"/>
              </w:rPr>
              <w:t>Net interest payments</w:t>
            </w:r>
            <w:r w:rsidR="00C64F8E" w:rsidRPr="00FD24B8">
              <w:rPr>
                <w:rFonts w:ascii="Arial" w:hAnsi="Arial" w:cs="Arial"/>
                <w:b/>
                <w:sz w:val="16"/>
                <w:szCs w:val="16"/>
              </w:rPr>
              <w:t>(d)</w:t>
            </w:r>
          </w:p>
        </w:tc>
        <w:tc>
          <w:tcPr>
            <w:tcW w:w="547" w:type="pct"/>
            <w:tcBorders>
              <w:top w:val="nil"/>
              <w:left w:val="nil"/>
              <w:bottom w:val="nil"/>
              <w:right w:val="nil"/>
            </w:tcBorders>
            <w:shd w:val="clear" w:color="auto" w:fill="FFFFFF" w:themeFill="background1"/>
            <w:noWrap/>
            <w:vAlign w:val="center"/>
            <w:hideMark/>
          </w:tcPr>
          <w:p w14:paraId="1D8514E5"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14.3</w:t>
            </w:r>
          </w:p>
        </w:tc>
        <w:tc>
          <w:tcPr>
            <w:tcW w:w="75" w:type="pct"/>
            <w:tcBorders>
              <w:top w:val="nil"/>
              <w:left w:val="nil"/>
              <w:bottom w:val="nil"/>
              <w:right w:val="nil"/>
            </w:tcBorders>
            <w:shd w:val="clear" w:color="auto" w:fill="FFFFFF" w:themeFill="background1"/>
            <w:noWrap/>
            <w:vAlign w:val="center"/>
            <w:hideMark/>
          </w:tcPr>
          <w:p w14:paraId="157F54E2"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9" w:type="pct"/>
            <w:tcBorders>
              <w:top w:val="nil"/>
              <w:left w:val="nil"/>
              <w:bottom w:val="nil"/>
              <w:right w:val="nil"/>
            </w:tcBorders>
            <w:shd w:val="clear" w:color="auto" w:fill="FFFFFF" w:themeFill="background1"/>
            <w:noWrap/>
            <w:vAlign w:val="center"/>
            <w:hideMark/>
          </w:tcPr>
          <w:p w14:paraId="50E824B6"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14.9</w:t>
            </w:r>
          </w:p>
        </w:tc>
        <w:tc>
          <w:tcPr>
            <w:tcW w:w="539" w:type="pct"/>
            <w:tcBorders>
              <w:top w:val="nil"/>
              <w:left w:val="nil"/>
              <w:bottom w:val="nil"/>
              <w:right w:val="nil"/>
            </w:tcBorders>
            <w:shd w:val="clear" w:color="auto" w:fill="F2F9FC"/>
            <w:noWrap/>
            <w:vAlign w:val="center"/>
            <w:hideMark/>
          </w:tcPr>
          <w:p w14:paraId="74D54650"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15.1</w:t>
            </w:r>
          </w:p>
        </w:tc>
        <w:tc>
          <w:tcPr>
            <w:tcW w:w="539" w:type="pct"/>
            <w:tcBorders>
              <w:top w:val="nil"/>
              <w:left w:val="nil"/>
              <w:bottom w:val="nil"/>
              <w:right w:val="nil"/>
            </w:tcBorders>
            <w:shd w:val="clear" w:color="auto" w:fill="FFFFFF" w:themeFill="background1"/>
            <w:noWrap/>
            <w:vAlign w:val="center"/>
            <w:hideMark/>
          </w:tcPr>
          <w:p w14:paraId="34F74FFE"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16.9</w:t>
            </w:r>
          </w:p>
        </w:tc>
        <w:tc>
          <w:tcPr>
            <w:tcW w:w="539" w:type="pct"/>
            <w:tcBorders>
              <w:top w:val="nil"/>
              <w:left w:val="nil"/>
              <w:bottom w:val="nil"/>
              <w:right w:val="nil"/>
            </w:tcBorders>
            <w:shd w:val="clear" w:color="auto" w:fill="FFFFFF" w:themeFill="background1"/>
            <w:noWrap/>
            <w:vAlign w:val="center"/>
            <w:hideMark/>
          </w:tcPr>
          <w:p w14:paraId="0EC49087" w14:textId="77777777" w:rsidR="004D6A22" w:rsidRPr="00131EBC" w:rsidRDefault="004D6A22" w:rsidP="004D6A22">
            <w:pPr>
              <w:spacing w:after="0" w:line="240" w:lineRule="auto"/>
              <w:jc w:val="right"/>
              <w:rPr>
                <w:rFonts w:ascii="Arial" w:hAnsi="Arial" w:cs="Arial"/>
                <w:b/>
                <w:sz w:val="16"/>
                <w:szCs w:val="16"/>
                <w:highlight w:val="darkCyan"/>
              </w:rPr>
            </w:pPr>
            <w:r w:rsidRPr="00FD24B8">
              <w:rPr>
                <w:rFonts w:ascii="Arial" w:hAnsi="Arial" w:cs="Arial"/>
                <w:b/>
                <w:sz w:val="16"/>
                <w:szCs w:val="16"/>
              </w:rPr>
              <w:t>18.0</w:t>
            </w:r>
          </w:p>
        </w:tc>
        <w:tc>
          <w:tcPr>
            <w:tcW w:w="538" w:type="pct"/>
            <w:tcBorders>
              <w:top w:val="nil"/>
              <w:left w:val="nil"/>
              <w:bottom w:val="nil"/>
              <w:right w:val="nil"/>
            </w:tcBorders>
            <w:shd w:val="clear" w:color="auto" w:fill="FFFFFF" w:themeFill="background1"/>
            <w:noWrap/>
            <w:vAlign w:val="center"/>
            <w:hideMark/>
          </w:tcPr>
          <w:p w14:paraId="25E948F0" w14:textId="77777777" w:rsidR="004D6A22" w:rsidRPr="00FD24B8" w:rsidRDefault="004D6A22" w:rsidP="004D6A22">
            <w:pPr>
              <w:spacing w:after="0" w:line="240" w:lineRule="auto"/>
              <w:jc w:val="right"/>
              <w:rPr>
                <w:rFonts w:ascii="Arial" w:hAnsi="Arial" w:cs="Arial"/>
                <w:b/>
                <w:sz w:val="16"/>
                <w:szCs w:val="16"/>
              </w:rPr>
            </w:pPr>
            <w:r w:rsidRPr="00FD24B8">
              <w:rPr>
                <w:rFonts w:ascii="Arial" w:hAnsi="Arial" w:cs="Arial"/>
                <w:b/>
                <w:sz w:val="16"/>
                <w:szCs w:val="16"/>
              </w:rPr>
              <w:t>22.4</w:t>
            </w:r>
          </w:p>
        </w:tc>
      </w:tr>
      <w:tr w:rsidR="004D6A22" w:rsidRPr="00131EBC" w14:paraId="2C9CADF7" w14:textId="77777777" w:rsidTr="00E261C3">
        <w:trPr>
          <w:trHeight w:hRule="exact" w:val="225"/>
        </w:trPr>
        <w:tc>
          <w:tcPr>
            <w:tcW w:w="1684" w:type="pct"/>
            <w:tcBorders>
              <w:top w:val="nil"/>
              <w:left w:val="nil"/>
              <w:bottom w:val="single" w:sz="4" w:space="0" w:color="000000" w:themeColor="text1"/>
              <w:right w:val="nil"/>
            </w:tcBorders>
            <w:shd w:val="clear" w:color="auto" w:fill="FFFFFF" w:themeFill="background1"/>
            <w:noWrap/>
            <w:vAlign w:val="center"/>
            <w:hideMark/>
          </w:tcPr>
          <w:p w14:paraId="6B955319" w14:textId="77777777" w:rsidR="004D6A22" w:rsidRPr="00131EBC" w:rsidRDefault="004D6A22" w:rsidP="004D6A22">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47" w:type="pct"/>
            <w:tcBorders>
              <w:top w:val="nil"/>
              <w:left w:val="nil"/>
              <w:bottom w:val="single" w:sz="4" w:space="0" w:color="000000" w:themeColor="text1"/>
              <w:right w:val="nil"/>
            </w:tcBorders>
            <w:shd w:val="clear" w:color="auto" w:fill="FFFFFF" w:themeFill="background1"/>
            <w:noWrap/>
            <w:vAlign w:val="center"/>
            <w:hideMark/>
          </w:tcPr>
          <w:p w14:paraId="5AA1E862"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75" w:type="pct"/>
            <w:tcBorders>
              <w:top w:val="nil"/>
              <w:left w:val="nil"/>
              <w:bottom w:val="single" w:sz="4" w:space="0" w:color="000000" w:themeColor="text1"/>
              <w:right w:val="nil"/>
            </w:tcBorders>
            <w:shd w:val="clear" w:color="auto" w:fill="FFFFFF" w:themeFill="background1"/>
            <w:noWrap/>
            <w:vAlign w:val="center"/>
            <w:hideMark/>
          </w:tcPr>
          <w:p w14:paraId="105CD830"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9" w:type="pct"/>
            <w:tcBorders>
              <w:top w:val="nil"/>
              <w:left w:val="nil"/>
              <w:bottom w:val="single" w:sz="4" w:space="0" w:color="000000" w:themeColor="text1"/>
              <w:right w:val="nil"/>
            </w:tcBorders>
            <w:shd w:val="clear" w:color="auto" w:fill="FFFFFF" w:themeFill="background1"/>
            <w:noWrap/>
            <w:vAlign w:val="center"/>
            <w:hideMark/>
          </w:tcPr>
          <w:p w14:paraId="54DE6215"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539" w:type="pct"/>
            <w:tcBorders>
              <w:top w:val="nil"/>
              <w:left w:val="nil"/>
              <w:bottom w:val="single" w:sz="4" w:space="0" w:color="000000" w:themeColor="text1"/>
              <w:right w:val="nil"/>
            </w:tcBorders>
            <w:shd w:val="clear" w:color="auto" w:fill="F2F9FC"/>
            <w:noWrap/>
            <w:vAlign w:val="center"/>
            <w:hideMark/>
          </w:tcPr>
          <w:p w14:paraId="7265A5C1"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539" w:type="pct"/>
            <w:tcBorders>
              <w:top w:val="nil"/>
              <w:left w:val="nil"/>
              <w:bottom w:val="single" w:sz="4" w:space="0" w:color="000000" w:themeColor="text1"/>
              <w:right w:val="nil"/>
            </w:tcBorders>
            <w:shd w:val="clear" w:color="auto" w:fill="FFFFFF" w:themeFill="background1"/>
            <w:noWrap/>
            <w:vAlign w:val="center"/>
            <w:hideMark/>
          </w:tcPr>
          <w:p w14:paraId="4094CD0E"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539" w:type="pct"/>
            <w:tcBorders>
              <w:top w:val="nil"/>
              <w:left w:val="nil"/>
              <w:bottom w:val="single" w:sz="4" w:space="0" w:color="000000" w:themeColor="text1"/>
              <w:right w:val="nil"/>
            </w:tcBorders>
            <w:shd w:val="clear" w:color="auto" w:fill="FFFFFF" w:themeFill="background1"/>
            <w:noWrap/>
            <w:vAlign w:val="center"/>
            <w:hideMark/>
          </w:tcPr>
          <w:p w14:paraId="278B7A50" w14:textId="77777777" w:rsidR="004D6A22" w:rsidRPr="00131EBC" w:rsidRDefault="004D6A22" w:rsidP="004D6A22">
            <w:pPr>
              <w:spacing w:after="0" w:line="240" w:lineRule="auto"/>
              <w:jc w:val="right"/>
              <w:rPr>
                <w:rFonts w:ascii="Arial" w:hAnsi="Arial" w:cs="Arial"/>
                <w:sz w:val="16"/>
                <w:szCs w:val="16"/>
                <w:highlight w:val="darkCyan"/>
              </w:rPr>
            </w:pPr>
            <w:r w:rsidRPr="00FD24B8">
              <w:rPr>
                <w:rFonts w:ascii="Arial" w:hAnsi="Arial" w:cs="Arial"/>
                <w:sz w:val="16"/>
                <w:szCs w:val="16"/>
              </w:rPr>
              <w:t>0.7</w:t>
            </w:r>
          </w:p>
        </w:tc>
        <w:tc>
          <w:tcPr>
            <w:tcW w:w="538" w:type="pct"/>
            <w:tcBorders>
              <w:top w:val="nil"/>
              <w:left w:val="nil"/>
              <w:bottom w:val="single" w:sz="4" w:space="0" w:color="000000" w:themeColor="text1"/>
              <w:right w:val="nil"/>
            </w:tcBorders>
            <w:shd w:val="clear" w:color="auto" w:fill="FFFFFF" w:themeFill="background1"/>
            <w:noWrap/>
            <w:vAlign w:val="center"/>
            <w:hideMark/>
          </w:tcPr>
          <w:p w14:paraId="2CE01BF1" w14:textId="77777777" w:rsidR="004D6A22" w:rsidRPr="00FD24B8" w:rsidRDefault="004D6A22" w:rsidP="004D6A22">
            <w:pPr>
              <w:spacing w:after="0" w:line="240" w:lineRule="auto"/>
              <w:jc w:val="right"/>
              <w:rPr>
                <w:rFonts w:ascii="Arial" w:hAnsi="Arial" w:cs="Arial"/>
                <w:sz w:val="16"/>
                <w:szCs w:val="16"/>
              </w:rPr>
            </w:pPr>
            <w:r w:rsidRPr="00FD24B8">
              <w:rPr>
                <w:rFonts w:ascii="Arial" w:hAnsi="Arial" w:cs="Arial"/>
                <w:sz w:val="16"/>
                <w:szCs w:val="16"/>
              </w:rPr>
              <w:t>0.9</w:t>
            </w:r>
          </w:p>
        </w:tc>
      </w:tr>
    </w:tbl>
    <w:p w14:paraId="180218BF" w14:textId="61BC10FD" w:rsidR="00CA51C8" w:rsidRDefault="00CA51C8" w:rsidP="00934BEB">
      <w:pPr>
        <w:pStyle w:val="ChartandTableFootnoteAlpha"/>
        <w:numPr>
          <w:ilvl w:val="0"/>
          <w:numId w:val="75"/>
        </w:numPr>
      </w:pPr>
      <w:r>
        <w:t>Net financial worth equals total financial assets minus total liabilities.</w:t>
      </w:r>
      <w:r w:rsidR="002259B5" w:rsidRPr="00AA089E">
        <w:t xml:space="preserve"> </w:t>
      </w:r>
    </w:p>
    <w:p w14:paraId="3EDE828A" w14:textId="3CE11888" w:rsidR="006C2EDE" w:rsidRDefault="00BF041B" w:rsidP="00E261C3">
      <w:pPr>
        <w:pStyle w:val="ChartandTableFootnoteAlpha"/>
      </w:pPr>
      <w:r w:rsidRPr="00AA089E">
        <w:t>Gross debt measures the face value of Australian Government Securities (AGS) on issue.</w:t>
      </w:r>
    </w:p>
    <w:p w14:paraId="636D08D2" w14:textId="2C74D392" w:rsidR="00334A68" w:rsidRDefault="00334A68" w:rsidP="00934BEB">
      <w:pPr>
        <w:pStyle w:val="ChartandTableFootnoteAlpha"/>
      </w:pPr>
      <w:r w:rsidRPr="00334A68">
        <w:t xml:space="preserve">Net debt is the sum of </w:t>
      </w:r>
      <w:proofErr w:type="gramStart"/>
      <w:r w:rsidRPr="00334A68">
        <w:t>interest bearing</w:t>
      </w:r>
      <w:proofErr w:type="gramEnd"/>
      <w:r w:rsidRPr="00334A68">
        <w:t xml:space="preserve"> liabilities (which includes AGS on issue measured at market value) less the sum of selected financial assets (cash and deposits, advances paid and investments, loans and placements).</w:t>
      </w:r>
    </w:p>
    <w:p w14:paraId="2534F59E" w14:textId="327DDC39" w:rsidR="0024729D" w:rsidRPr="00934BEB" w:rsidRDefault="0024729D" w:rsidP="00934BEB">
      <w:pPr>
        <w:pStyle w:val="ChartandTableFootnoteAlpha"/>
      </w:pPr>
      <w:r w:rsidRPr="00216B61">
        <w:t xml:space="preserve">Net interest payments are equal to the difference between </w:t>
      </w:r>
      <w:r w:rsidRPr="00603C32">
        <w:t>interest payments and interest receipts. The increase in 2025</w:t>
      </w:r>
      <w:r w:rsidRPr="008E339F">
        <w:noBreakHyphen/>
        <w:t xml:space="preserve">26 </w:t>
      </w:r>
      <w:r w:rsidRPr="00E50628">
        <w:t xml:space="preserve">primarily reflects a Treasury Indexed Bond maturing in that year (details can be found in </w:t>
      </w:r>
      <w:r w:rsidRPr="00DE7E31">
        <w:rPr>
          <w:i/>
        </w:rPr>
        <w:t>Statement 6: Debt Statement</w:t>
      </w:r>
      <w:r w:rsidRPr="00216B61">
        <w:t xml:space="preserve">). </w:t>
      </w:r>
    </w:p>
    <w:p w14:paraId="400BA981" w14:textId="6A865213" w:rsidR="00D97A67" w:rsidRPr="00DC382F" w:rsidRDefault="00D97A67" w:rsidP="00490FCD">
      <w:pPr>
        <w:pStyle w:val="ChartandTableFootnoteAlpha"/>
        <w:numPr>
          <w:ilvl w:val="0"/>
          <w:numId w:val="0"/>
        </w:numPr>
        <w:ind w:left="284" w:hanging="284"/>
        <w:rPr>
          <w:rFonts w:ascii="Arial Bold" w:hAnsi="Arial Bold"/>
          <w:b/>
          <w:sz w:val="26"/>
        </w:rPr>
      </w:pPr>
      <w:bookmarkStart w:id="33" w:name="_Toc98757994"/>
      <w:r w:rsidRPr="00DC382F">
        <w:br w:type="page"/>
      </w:r>
    </w:p>
    <w:p w14:paraId="519595F0" w14:textId="40ACBF7A" w:rsidR="007507ED" w:rsidRPr="00FD24B8" w:rsidRDefault="008131BA" w:rsidP="00DD7DEF">
      <w:pPr>
        <w:pStyle w:val="Heading2"/>
        <w:spacing w:before="0"/>
      </w:pPr>
      <w:r w:rsidRPr="00A56B05">
        <w:lastRenderedPageBreak/>
        <w:fldChar w:fldCharType="begin"/>
      </w:r>
      <w:r w:rsidRPr="00A56B05">
        <w:instrText xml:space="preserve"> :</w:instrText>
      </w:r>
      <w:r>
        <w:instrText>Start</w:instrText>
      </w:r>
      <w:r w:rsidRPr="00A56B05">
        <w:instrText xml:space="preserve">:BPD_BG1 </w:instrText>
      </w:r>
      <w:r w:rsidRPr="00A56B05">
        <w:fldChar w:fldCharType="end"/>
      </w:r>
      <w:bookmarkStart w:id="34" w:name="_Toc99102052"/>
      <w:r w:rsidR="001E2D21" w:rsidRPr="00FD24B8">
        <w:t>Other fiscal aggregates</w:t>
      </w:r>
      <w:bookmarkEnd w:id="33"/>
      <w:bookmarkEnd w:id="34"/>
    </w:p>
    <w:p w14:paraId="10D10E4A" w14:textId="67837781" w:rsidR="001E2D21" w:rsidRPr="00FD24B8" w:rsidRDefault="000274A8" w:rsidP="001E2D21">
      <w:r w:rsidRPr="00FD24B8">
        <w:t xml:space="preserve">The following section presents alternative measures of the Government’s fiscal position, </w:t>
      </w:r>
      <w:r w:rsidR="00434D2C" w:rsidRPr="00FD24B8">
        <w:t>including</w:t>
      </w:r>
      <w:r w:rsidRPr="00FD24B8">
        <w:t>, accrual</w:t>
      </w:r>
      <w:r w:rsidR="00434D2C" w:rsidRPr="00FD24B8">
        <w:t xml:space="preserve">, </w:t>
      </w:r>
      <w:r w:rsidR="004C70C0" w:rsidRPr="00FD24B8">
        <w:t xml:space="preserve">structural budget balance </w:t>
      </w:r>
      <w:r w:rsidR="00434D2C" w:rsidRPr="00FD24B8">
        <w:t>and primary balance</w:t>
      </w:r>
      <w:r w:rsidR="004C70C0" w:rsidRPr="00FD24B8">
        <w:t xml:space="preserve"> estimates</w:t>
      </w:r>
      <w:r w:rsidRPr="00FD24B8">
        <w:t>.</w:t>
      </w:r>
    </w:p>
    <w:p w14:paraId="5A540396" w14:textId="7112BBEE" w:rsidR="001E2D21" w:rsidRPr="00FD24B8" w:rsidRDefault="001E2D21" w:rsidP="00CA731F">
      <w:pPr>
        <w:pStyle w:val="Heading3"/>
      </w:pPr>
      <w:bookmarkStart w:id="35" w:name="_Toc98757995"/>
      <w:bookmarkStart w:id="36" w:name="_Toc99102053"/>
      <w:r w:rsidRPr="00FD24B8">
        <w:t>Accrual aggregates</w:t>
      </w:r>
      <w:bookmarkEnd w:id="35"/>
      <w:bookmarkEnd w:id="36"/>
    </w:p>
    <w:p w14:paraId="3E66E921" w14:textId="3773A0F8" w:rsidR="00F961A7" w:rsidRPr="00FD24B8" w:rsidRDefault="00F961A7" w:rsidP="00CA731F">
      <w:pPr>
        <w:pStyle w:val="Heading4"/>
      </w:pPr>
      <w:bookmarkStart w:id="37" w:name="_Toc98757996"/>
      <w:r w:rsidRPr="00FD24B8">
        <w:t>Net operating balance estimates</w:t>
      </w:r>
      <w:bookmarkEnd w:id="37"/>
    </w:p>
    <w:p w14:paraId="0D943812" w14:textId="472CE9E1" w:rsidR="003362FE" w:rsidRPr="00FD24B8" w:rsidRDefault="003362FE" w:rsidP="003362FE">
      <w:r w:rsidRPr="00FD24B8">
        <w:t>The net operating balance is an accrual measure, reflecting revenue minus expenses. It</w:t>
      </w:r>
      <w:r w:rsidR="00564681" w:rsidRPr="00FD24B8">
        <w:t> </w:t>
      </w:r>
      <w:r w:rsidRPr="00FD24B8">
        <w:t>excludes the impact of the Commonwealth’s net new capital expenditure.</w:t>
      </w:r>
    </w:p>
    <w:p w14:paraId="0A37B8B3" w14:textId="4884DEC9" w:rsidR="003362FE" w:rsidRPr="00FD24B8" w:rsidRDefault="003362FE" w:rsidP="003362FE">
      <w:r w:rsidRPr="00FD24B8">
        <w:t>The net operating balance is expected to be a deficit of $</w:t>
      </w:r>
      <w:r w:rsidR="004960A8" w:rsidRPr="00FD24B8">
        <w:t>67.5</w:t>
      </w:r>
      <w:r w:rsidR="00CB2BDF" w:rsidRPr="00FD24B8">
        <w:t> </w:t>
      </w:r>
      <w:r w:rsidRPr="00FD24B8">
        <w:t>billion (</w:t>
      </w:r>
      <w:r w:rsidR="004621C0" w:rsidRPr="00FD24B8">
        <w:t>2.9</w:t>
      </w:r>
      <w:r w:rsidRPr="00FD24B8">
        <w:t> per cent of GDP) in 202</w:t>
      </w:r>
      <w:r w:rsidR="007D3165" w:rsidRPr="00FD24B8">
        <w:t>2</w:t>
      </w:r>
      <w:r w:rsidRPr="00FD24B8">
        <w:noBreakHyphen/>
        <w:t>2</w:t>
      </w:r>
      <w:r w:rsidR="007D3165" w:rsidRPr="00FD24B8">
        <w:t>3</w:t>
      </w:r>
      <w:r w:rsidRPr="00FD24B8">
        <w:t xml:space="preserve"> (Table 3.</w:t>
      </w:r>
      <w:r w:rsidR="00943A4F" w:rsidRPr="00FD24B8">
        <w:t>8</w:t>
      </w:r>
      <w:r w:rsidRPr="00FD24B8">
        <w:t>), compared to an expected deficit of $</w:t>
      </w:r>
      <w:r w:rsidR="00325233" w:rsidRPr="00FD24B8">
        <w:t>86.0</w:t>
      </w:r>
      <w:r w:rsidR="007D3165" w:rsidRPr="00FD24B8">
        <w:t> </w:t>
      </w:r>
      <w:r w:rsidRPr="00FD24B8">
        <w:t>billion (</w:t>
      </w:r>
      <w:r w:rsidR="00325233" w:rsidRPr="00FD24B8">
        <w:t xml:space="preserve">3.9 </w:t>
      </w:r>
      <w:r w:rsidRPr="00FD24B8">
        <w:t xml:space="preserve">per cent of GDP) in </w:t>
      </w:r>
      <w:r w:rsidR="007D3165" w:rsidRPr="00FD24B8">
        <w:t>MYEFO</w:t>
      </w:r>
      <w:r w:rsidRPr="00FD24B8">
        <w:t>.</w:t>
      </w:r>
      <w:r w:rsidR="00F4602F" w:rsidRPr="00FD24B8">
        <w:t xml:space="preserve"> The net operating balance has improved by </w:t>
      </w:r>
      <w:r w:rsidR="00131F6F" w:rsidRPr="00FD24B8">
        <w:t>$</w:t>
      </w:r>
      <w:r w:rsidR="00F4602F" w:rsidRPr="00FD24B8">
        <w:t>52.5 billion over the 3</w:t>
      </w:r>
      <w:r w:rsidR="00564681" w:rsidRPr="00FD24B8">
        <w:t> </w:t>
      </w:r>
      <w:r w:rsidR="00F4602F" w:rsidRPr="00FD24B8">
        <w:t>years to 2024</w:t>
      </w:r>
      <w:r w:rsidR="0031144A" w:rsidRPr="00FD24B8">
        <w:noBreakHyphen/>
      </w:r>
      <w:r w:rsidR="00F4602F" w:rsidRPr="00FD24B8">
        <w:t xml:space="preserve">25 since MYEFO. </w:t>
      </w:r>
    </w:p>
    <w:p w14:paraId="1E7E3CA1" w14:textId="06BA6828" w:rsidR="00345C6F" w:rsidRPr="00FD24B8" w:rsidRDefault="004A5C81" w:rsidP="00345C6F">
      <w:pPr>
        <w:pStyle w:val="TableHeading"/>
        <w:rPr>
          <w:rFonts w:asciiTheme="minorHAnsi" w:eastAsiaTheme="minorHAnsi" w:hAnsiTheme="minorHAnsi" w:cstheme="minorBidi"/>
          <w:sz w:val="22"/>
          <w:szCs w:val="22"/>
          <w:lang w:eastAsia="en-US"/>
        </w:rPr>
      </w:pPr>
      <w:r w:rsidRPr="00FD24B8">
        <w:fldChar w:fldCharType="begin"/>
      </w:r>
      <w:r w:rsidRPr="00FD24B8">
        <w:instrText xml:space="preserve"> :End:BPD_BG1 </w:instrText>
      </w:r>
      <w:r w:rsidRPr="00FD24B8">
        <w:fldChar w:fldCharType="end"/>
      </w:r>
      <w:r w:rsidR="00C30F85" w:rsidRPr="00FD24B8">
        <w:fldChar w:fldCharType="begin"/>
      </w:r>
      <w:r w:rsidR="00C30F85" w:rsidRPr="00FD24B8">
        <w:instrText xml:space="preserve"> :Start:FARM_LS1 </w:instrText>
      </w:r>
      <w:r w:rsidR="00C30F85" w:rsidRPr="00FD24B8">
        <w:fldChar w:fldCharType="end"/>
      </w:r>
      <w:r w:rsidR="008424DC" w:rsidRPr="00FD24B8">
        <w:t>Table 3.</w:t>
      </w:r>
      <w:r w:rsidR="004E4B7D" w:rsidRPr="00FD24B8">
        <w:t>8</w:t>
      </w:r>
      <w:r w:rsidR="008424DC" w:rsidRPr="00FD24B8">
        <w:t>: Australian Government general government sector accrual aggregates</w:t>
      </w:r>
      <w:r w:rsidR="00E264A2" w:rsidRPr="00FD24B8">
        <w:t xml:space="preserve"> </w:t>
      </w:r>
    </w:p>
    <w:tbl>
      <w:tblPr>
        <w:tblW w:w="5000" w:type="pct"/>
        <w:tblCellMar>
          <w:left w:w="0" w:type="dxa"/>
          <w:right w:w="28" w:type="dxa"/>
        </w:tblCellMar>
        <w:tblLook w:val="04A0" w:firstRow="1" w:lastRow="0" w:firstColumn="1" w:lastColumn="0" w:noHBand="0" w:noVBand="1"/>
      </w:tblPr>
      <w:tblGrid>
        <w:gridCol w:w="2452"/>
        <w:gridCol w:w="729"/>
        <w:gridCol w:w="108"/>
        <w:gridCol w:w="717"/>
        <w:gridCol w:w="717"/>
        <w:gridCol w:w="717"/>
        <w:gridCol w:w="717"/>
        <w:gridCol w:w="717"/>
        <w:gridCol w:w="108"/>
        <w:gridCol w:w="728"/>
      </w:tblGrid>
      <w:tr w:rsidR="00A7276E" w:rsidRPr="00131EBC" w14:paraId="1276418D" w14:textId="77777777" w:rsidTr="22BCC46E">
        <w:trPr>
          <w:trHeight w:hRule="exact" w:val="225"/>
        </w:trPr>
        <w:tc>
          <w:tcPr>
            <w:tcW w:w="1590" w:type="pct"/>
            <w:tcBorders>
              <w:top w:val="single" w:sz="4" w:space="0" w:color="000000" w:themeColor="text1"/>
              <w:left w:val="nil"/>
              <w:bottom w:val="nil"/>
              <w:right w:val="nil"/>
            </w:tcBorders>
            <w:shd w:val="clear" w:color="auto" w:fill="FFFFFF" w:themeFill="background1"/>
            <w:noWrap/>
            <w:vAlign w:val="center"/>
            <w:hideMark/>
          </w:tcPr>
          <w:p w14:paraId="5CBCBBB6" w14:textId="2BCA91C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73" w:type="pct"/>
            <w:tcBorders>
              <w:top w:val="single" w:sz="4" w:space="0" w:color="000000" w:themeColor="text1"/>
              <w:left w:val="nil"/>
              <w:bottom w:val="single" w:sz="4" w:space="0" w:color="000000" w:themeColor="text1"/>
              <w:right w:val="nil"/>
            </w:tcBorders>
            <w:shd w:val="clear" w:color="auto" w:fill="FFFFFF" w:themeFill="background1"/>
            <w:noWrap/>
            <w:vAlign w:val="center"/>
            <w:hideMark/>
          </w:tcPr>
          <w:p w14:paraId="4F7A2B34" w14:textId="77777777" w:rsidR="00345C6F" w:rsidRPr="00131EBC" w:rsidRDefault="00345C6F" w:rsidP="00345C6F">
            <w:pPr>
              <w:spacing w:after="0" w:line="240" w:lineRule="auto"/>
              <w:jc w:val="center"/>
              <w:rPr>
                <w:rFonts w:ascii="Arial" w:hAnsi="Arial" w:cs="Arial"/>
                <w:sz w:val="16"/>
                <w:szCs w:val="16"/>
                <w:highlight w:val="darkCyan"/>
              </w:rPr>
            </w:pPr>
            <w:r w:rsidRPr="00FD24B8">
              <w:rPr>
                <w:rFonts w:ascii="Arial" w:hAnsi="Arial" w:cs="Arial"/>
                <w:sz w:val="16"/>
                <w:szCs w:val="16"/>
              </w:rPr>
              <w:t>Actual</w:t>
            </w:r>
          </w:p>
        </w:tc>
        <w:tc>
          <w:tcPr>
            <w:tcW w:w="70" w:type="pct"/>
            <w:tcBorders>
              <w:top w:val="single" w:sz="4" w:space="0" w:color="000000" w:themeColor="text1"/>
              <w:left w:val="nil"/>
              <w:bottom w:val="nil"/>
              <w:right w:val="nil"/>
            </w:tcBorders>
            <w:shd w:val="clear" w:color="auto" w:fill="FFFFFF" w:themeFill="background1"/>
            <w:noWrap/>
            <w:vAlign w:val="center"/>
            <w:hideMark/>
          </w:tcPr>
          <w:p w14:paraId="1CD84DEC" w14:textId="77777777" w:rsidR="00345C6F" w:rsidRPr="00131EBC" w:rsidRDefault="00345C6F" w:rsidP="00345C6F">
            <w:pPr>
              <w:spacing w:after="0" w:line="240" w:lineRule="auto"/>
              <w:jc w:val="center"/>
              <w:rPr>
                <w:rFonts w:ascii="Arial" w:hAnsi="Arial" w:cs="Arial"/>
                <w:sz w:val="16"/>
                <w:szCs w:val="16"/>
                <w:highlight w:val="darkCyan"/>
              </w:rPr>
            </w:pPr>
            <w:r w:rsidRPr="00FD24B8">
              <w:rPr>
                <w:rFonts w:ascii="Arial" w:hAnsi="Arial" w:cs="Arial"/>
                <w:sz w:val="16"/>
                <w:szCs w:val="16"/>
              </w:rPr>
              <w:t> </w:t>
            </w:r>
          </w:p>
        </w:tc>
        <w:tc>
          <w:tcPr>
            <w:tcW w:w="2324" w:type="pct"/>
            <w:gridSpan w:val="5"/>
            <w:tcBorders>
              <w:top w:val="single" w:sz="4" w:space="0" w:color="000000" w:themeColor="text1"/>
              <w:left w:val="nil"/>
              <w:bottom w:val="single" w:sz="4" w:space="0" w:color="auto"/>
              <w:right w:val="nil"/>
            </w:tcBorders>
            <w:shd w:val="clear" w:color="auto" w:fill="FFFFFF" w:themeFill="background1"/>
            <w:noWrap/>
            <w:vAlign w:val="center"/>
            <w:hideMark/>
          </w:tcPr>
          <w:p w14:paraId="31321D05" w14:textId="77777777" w:rsidR="00345C6F" w:rsidRPr="00131EBC" w:rsidRDefault="00345C6F" w:rsidP="00345C6F">
            <w:pPr>
              <w:spacing w:after="0" w:line="240" w:lineRule="auto"/>
              <w:jc w:val="center"/>
              <w:rPr>
                <w:rFonts w:ascii="Arial" w:hAnsi="Arial" w:cs="Arial"/>
                <w:sz w:val="16"/>
                <w:szCs w:val="16"/>
                <w:highlight w:val="darkCyan"/>
              </w:rPr>
            </w:pPr>
            <w:r w:rsidRPr="00FD24B8">
              <w:rPr>
                <w:rFonts w:ascii="Arial" w:hAnsi="Arial" w:cs="Arial"/>
                <w:sz w:val="16"/>
                <w:szCs w:val="16"/>
              </w:rPr>
              <w:t>Estimates</w:t>
            </w:r>
          </w:p>
        </w:tc>
        <w:tc>
          <w:tcPr>
            <w:tcW w:w="70" w:type="pct"/>
            <w:tcBorders>
              <w:top w:val="single" w:sz="4" w:space="0" w:color="000000" w:themeColor="text1"/>
              <w:left w:val="nil"/>
              <w:bottom w:val="nil"/>
              <w:right w:val="nil"/>
            </w:tcBorders>
            <w:shd w:val="clear" w:color="auto" w:fill="FFFFFF" w:themeFill="background1"/>
            <w:noWrap/>
            <w:vAlign w:val="center"/>
            <w:hideMark/>
          </w:tcPr>
          <w:p w14:paraId="6A900AD3"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73" w:type="pct"/>
            <w:tcBorders>
              <w:top w:val="single" w:sz="4" w:space="0" w:color="000000" w:themeColor="text1"/>
              <w:left w:val="nil"/>
              <w:bottom w:val="nil"/>
              <w:right w:val="nil"/>
            </w:tcBorders>
            <w:shd w:val="clear" w:color="auto" w:fill="FFFFFF" w:themeFill="background1"/>
            <w:noWrap/>
            <w:vAlign w:val="center"/>
            <w:hideMark/>
          </w:tcPr>
          <w:p w14:paraId="32FC41D4" w14:textId="77777777" w:rsidR="00345C6F" w:rsidRPr="00FD24B8" w:rsidRDefault="00345C6F" w:rsidP="00345C6F">
            <w:pPr>
              <w:spacing w:after="0" w:line="240" w:lineRule="auto"/>
              <w:jc w:val="left"/>
              <w:rPr>
                <w:rFonts w:ascii="Arial" w:hAnsi="Arial" w:cs="Arial"/>
                <w:sz w:val="16"/>
                <w:szCs w:val="16"/>
              </w:rPr>
            </w:pPr>
            <w:r w:rsidRPr="00FD24B8">
              <w:rPr>
                <w:rFonts w:ascii="Arial" w:hAnsi="Arial" w:cs="Arial"/>
                <w:sz w:val="16"/>
                <w:szCs w:val="16"/>
              </w:rPr>
              <w:t> </w:t>
            </w:r>
          </w:p>
        </w:tc>
      </w:tr>
      <w:tr w:rsidR="00B86E9D" w:rsidRPr="00131EBC" w14:paraId="7F522F1D"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5DBD8866"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4B26AA83" w14:textId="2CB4F9AF"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2020</w:t>
            </w:r>
            <w:r w:rsidR="0031144A" w:rsidRPr="00FD24B8">
              <w:rPr>
                <w:rFonts w:ascii="Arial" w:hAnsi="Arial" w:cs="Arial"/>
                <w:sz w:val="16"/>
                <w:szCs w:val="16"/>
              </w:rPr>
              <w:noBreakHyphen/>
            </w:r>
            <w:r w:rsidRPr="00FD24B8">
              <w:rPr>
                <w:rFonts w:ascii="Arial" w:hAnsi="Arial" w:cs="Arial"/>
                <w:sz w:val="16"/>
                <w:szCs w:val="16"/>
              </w:rPr>
              <w:t>21</w:t>
            </w:r>
          </w:p>
        </w:tc>
        <w:tc>
          <w:tcPr>
            <w:tcW w:w="70" w:type="pct"/>
            <w:tcBorders>
              <w:top w:val="nil"/>
              <w:left w:val="nil"/>
              <w:bottom w:val="nil"/>
              <w:right w:val="nil"/>
            </w:tcBorders>
            <w:shd w:val="clear" w:color="auto" w:fill="FFFFFF" w:themeFill="background1"/>
            <w:noWrap/>
            <w:vAlign w:val="center"/>
            <w:hideMark/>
          </w:tcPr>
          <w:p w14:paraId="25684E4A"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single" w:sz="4" w:space="0" w:color="auto"/>
              <w:left w:val="nil"/>
              <w:bottom w:val="nil"/>
              <w:right w:val="nil"/>
            </w:tcBorders>
            <w:shd w:val="clear" w:color="auto" w:fill="FFFFFF" w:themeFill="background1"/>
            <w:noWrap/>
            <w:vAlign w:val="center"/>
            <w:hideMark/>
          </w:tcPr>
          <w:p w14:paraId="2D903989" w14:textId="3F35DCE6"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2021</w:t>
            </w:r>
            <w:r w:rsidR="0031144A" w:rsidRPr="00FD24B8">
              <w:rPr>
                <w:rFonts w:ascii="Arial" w:hAnsi="Arial" w:cs="Arial"/>
                <w:sz w:val="16"/>
                <w:szCs w:val="16"/>
              </w:rPr>
              <w:noBreakHyphen/>
            </w:r>
            <w:r w:rsidRPr="00FD24B8">
              <w:rPr>
                <w:rFonts w:ascii="Arial" w:hAnsi="Arial" w:cs="Arial"/>
                <w:sz w:val="16"/>
                <w:szCs w:val="16"/>
              </w:rPr>
              <w:t>22</w:t>
            </w:r>
          </w:p>
        </w:tc>
        <w:tc>
          <w:tcPr>
            <w:tcW w:w="465" w:type="pct"/>
            <w:tcBorders>
              <w:top w:val="nil"/>
              <w:left w:val="nil"/>
              <w:bottom w:val="nil"/>
              <w:right w:val="nil"/>
            </w:tcBorders>
            <w:shd w:val="clear" w:color="auto" w:fill="F2F9FC"/>
            <w:noWrap/>
            <w:vAlign w:val="center"/>
            <w:hideMark/>
          </w:tcPr>
          <w:p w14:paraId="10FC0FA5" w14:textId="0AFC7260"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2022</w:t>
            </w:r>
            <w:r w:rsidR="0031144A" w:rsidRPr="00FD24B8">
              <w:rPr>
                <w:rFonts w:ascii="Arial" w:hAnsi="Arial" w:cs="Arial"/>
                <w:sz w:val="16"/>
                <w:szCs w:val="16"/>
              </w:rPr>
              <w:noBreakHyphen/>
            </w:r>
            <w:r w:rsidRPr="00FD24B8">
              <w:rPr>
                <w:rFonts w:ascii="Arial" w:hAnsi="Arial" w:cs="Arial"/>
                <w:sz w:val="16"/>
                <w:szCs w:val="16"/>
              </w:rPr>
              <w:t>23</w:t>
            </w:r>
          </w:p>
        </w:tc>
        <w:tc>
          <w:tcPr>
            <w:tcW w:w="465" w:type="pct"/>
            <w:tcBorders>
              <w:top w:val="nil"/>
              <w:left w:val="nil"/>
              <w:bottom w:val="nil"/>
              <w:right w:val="nil"/>
            </w:tcBorders>
            <w:shd w:val="clear" w:color="auto" w:fill="FFFFFF" w:themeFill="background1"/>
            <w:noWrap/>
            <w:vAlign w:val="center"/>
            <w:hideMark/>
          </w:tcPr>
          <w:p w14:paraId="30F0DC5F" w14:textId="06C2F7D0"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2023</w:t>
            </w:r>
            <w:r w:rsidR="0031144A" w:rsidRPr="00FD24B8">
              <w:rPr>
                <w:rFonts w:ascii="Arial" w:hAnsi="Arial" w:cs="Arial"/>
                <w:sz w:val="16"/>
                <w:szCs w:val="16"/>
              </w:rPr>
              <w:noBreakHyphen/>
            </w:r>
            <w:r w:rsidRPr="00FD24B8">
              <w:rPr>
                <w:rFonts w:ascii="Arial" w:hAnsi="Arial" w:cs="Arial"/>
                <w:sz w:val="16"/>
                <w:szCs w:val="16"/>
              </w:rPr>
              <w:t>24</w:t>
            </w:r>
          </w:p>
        </w:tc>
        <w:tc>
          <w:tcPr>
            <w:tcW w:w="465" w:type="pct"/>
            <w:tcBorders>
              <w:top w:val="nil"/>
              <w:left w:val="nil"/>
              <w:bottom w:val="nil"/>
              <w:right w:val="nil"/>
            </w:tcBorders>
            <w:shd w:val="clear" w:color="auto" w:fill="FFFFFF" w:themeFill="background1"/>
            <w:noWrap/>
            <w:vAlign w:val="center"/>
            <w:hideMark/>
          </w:tcPr>
          <w:p w14:paraId="23430187" w14:textId="048D2E8F"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2024</w:t>
            </w:r>
            <w:r w:rsidR="0031144A" w:rsidRPr="00FD24B8">
              <w:rPr>
                <w:rFonts w:ascii="Arial" w:hAnsi="Arial" w:cs="Arial"/>
                <w:sz w:val="16"/>
                <w:szCs w:val="16"/>
              </w:rPr>
              <w:noBreakHyphen/>
            </w:r>
            <w:r w:rsidRPr="00FD24B8">
              <w:rPr>
                <w:rFonts w:ascii="Arial" w:hAnsi="Arial" w:cs="Arial"/>
                <w:sz w:val="16"/>
                <w:szCs w:val="16"/>
              </w:rPr>
              <w:t>25</w:t>
            </w:r>
          </w:p>
        </w:tc>
        <w:tc>
          <w:tcPr>
            <w:tcW w:w="465" w:type="pct"/>
            <w:tcBorders>
              <w:top w:val="nil"/>
              <w:left w:val="nil"/>
              <w:bottom w:val="nil"/>
              <w:right w:val="nil"/>
            </w:tcBorders>
            <w:shd w:val="clear" w:color="auto" w:fill="FFFFFF" w:themeFill="background1"/>
            <w:noWrap/>
            <w:vAlign w:val="center"/>
            <w:hideMark/>
          </w:tcPr>
          <w:p w14:paraId="5C9E69CA" w14:textId="2923D7A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2025</w:t>
            </w:r>
            <w:r w:rsidR="0031144A" w:rsidRPr="00FD24B8">
              <w:rPr>
                <w:rFonts w:ascii="Arial" w:hAnsi="Arial" w:cs="Arial"/>
                <w:sz w:val="16"/>
                <w:szCs w:val="16"/>
              </w:rPr>
              <w:noBreakHyphen/>
            </w:r>
            <w:r w:rsidRPr="00FD24B8">
              <w:rPr>
                <w:rFonts w:ascii="Arial" w:hAnsi="Arial" w:cs="Arial"/>
                <w:sz w:val="16"/>
                <w:szCs w:val="16"/>
              </w:rPr>
              <w:t>26</w:t>
            </w:r>
          </w:p>
        </w:tc>
        <w:tc>
          <w:tcPr>
            <w:tcW w:w="70" w:type="pct"/>
            <w:tcBorders>
              <w:top w:val="nil"/>
              <w:left w:val="nil"/>
              <w:bottom w:val="nil"/>
              <w:right w:val="nil"/>
            </w:tcBorders>
            <w:shd w:val="clear" w:color="auto" w:fill="FFFFFF" w:themeFill="background1"/>
            <w:noWrap/>
            <w:vAlign w:val="center"/>
            <w:hideMark/>
          </w:tcPr>
          <w:p w14:paraId="444D4ABE"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3" w:type="pct"/>
            <w:tcBorders>
              <w:top w:val="single" w:sz="4" w:space="0" w:color="auto"/>
              <w:left w:val="nil"/>
              <w:bottom w:val="nil"/>
              <w:right w:val="nil"/>
            </w:tcBorders>
            <w:shd w:val="clear" w:color="auto" w:fill="FFFFFF" w:themeFill="background1"/>
            <w:noWrap/>
            <w:vAlign w:val="center"/>
            <w:hideMark/>
          </w:tcPr>
          <w:p w14:paraId="64392520" w14:textId="77777777" w:rsidR="00345C6F" w:rsidRPr="00FD24B8" w:rsidRDefault="00345C6F" w:rsidP="00345C6F">
            <w:pPr>
              <w:spacing w:after="0" w:line="240" w:lineRule="auto"/>
              <w:jc w:val="right"/>
              <w:rPr>
                <w:rFonts w:ascii="Arial" w:hAnsi="Arial" w:cs="Arial"/>
                <w:sz w:val="16"/>
                <w:szCs w:val="16"/>
              </w:rPr>
            </w:pPr>
            <w:r w:rsidRPr="00FD24B8">
              <w:rPr>
                <w:rFonts w:ascii="Arial" w:hAnsi="Arial" w:cs="Arial"/>
                <w:sz w:val="16"/>
                <w:szCs w:val="16"/>
              </w:rPr>
              <w:t>Total(a)</w:t>
            </w:r>
          </w:p>
        </w:tc>
      </w:tr>
      <w:tr w:rsidR="00B86E9D" w:rsidRPr="00131EBC" w14:paraId="012C13B1"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0EE65A5C"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single" w:sz="4" w:space="0" w:color="000000" w:themeColor="text1"/>
              <w:right w:val="nil"/>
            </w:tcBorders>
            <w:shd w:val="clear" w:color="auto" w:fill="FFFFFF" w:themeFill="background1"/>
            <w:noWrap/>
            <w:vAlign w:val="center"/>
            <w:hideMark/>
          </w:tcPr>
          <w:p w14:paraId="36252169"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70" w:type="pct"/>
            <w:tcBorders>
              <w:top w:val="nil"/>
              <w:left w:val="nil"/>
              <w:bottom w:val="nil"/>
              <w:right w:val="nil"/>
            </w:tcBorders>
            <w:shd w:val="clear" w:color="auto" w:fill="FFFFFF" w:themeFill="background1"/>
            <w:noWrap/>
            <w:vAlign w:val="center"/>
            <w:hideMark/>
          </w:tcPr>
          <w:p w14:paraId="497F9681"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single" w:sz="4" w:space="0" w:color="000000" w:themeColor="text1"/>
              <w:right w:val="nil"/>
            </w:tcBorders>
            <w:shd w:val="clear" w:color="auto" w:fill="FFFFFF" w:themeFill="background1"/>
            <w:noWrap/>
            <w:vAlign w:val="center"/>
            <w:hideMark/>
          </w:tcPr>
          <w:p w14:paraId="3EBDB924"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465" w:type="pct"/>
            <w:tcBorders>
              <w:top w:val="nil"/>
              <w:left w:val="nil"/>
              <w:bottom w:val="single" w:sz="4" w:space="0" w:color="000000" w:themeColor="text1"/>
              <w:right w:val="nil"/>
            </w:tcBorders>
            <w:shd w:val="clear" w:color="auto" w:fill="F2F9FC"/>
            <w:noWrap/>
            <w:vAlign w:val="center"/>
            <w:hideMark/>
          </w:tcPr>
          <w:p w14:paraId="0F747199"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465" w:type="pct"/>
            <w:tcBorders>
              <w:top w:val="nil"/>
              <w:left w:val="nil"/>
              <w:bottom w:val="single" w:sz="4" w:space="0" w:color="000000" w:themeColor="text1"/>
              <w:right w:val="nil"/>
            </w:tcBorders>
            <w:shd w:val="clear" w:color="auto" w:fill="FFFFFF" w:themeFill="background1"/>
            <w:noWrap/>
            <w:vAlign w:val="center"/>
            <w:hideMark/>
          </w:tcPr>
          <w:p w14:paraId="0136B40E"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465" w:type="pct"/>
            <w:tcBorders>
              <w:top w:val="nil"/>
              <w:left w:val="nil"/>
              <w:bottom w:val="single" w:sz="4" w:space="0" w:color="000000" w:themeColor="text1"/>
              <w:right w:val="nil"/>
            </w:tcBorders>
            <w:shd w:val="clear" w:color="auto" w:fill="FFFFFF" w:themeFill="background1"/>
            <w:noWrap/>
            <w:vAlign w:val="center"/>
            <w:hideMark/>
          </w:tcPr>
          <w:p w14:paraId="2AA63CC7"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465" w:type="pct"/>
            <w:tcBorders>
              <w:top w:val="nil"/>
              <w:left w:val="nil"/>
              <w:bottom w:val="single" w:sz="4" w:space="0" w:color="000000" w:themeColor="text1"/>
              <w:right w:val="nil"/>
            </w:tcBorders>
            <w:shd w:val="clear" w:color="auto" w:fill="FFFFFF" w:themeFill="background1"/>
            <w:noWrap/>
            <w:vAlign w:val="center"/>
            <w:hideMark/>
          </w:tcPr>
          <w:p w14:paraId="467660E8"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$b</w:t>
            </w:r>
          </w:p>
        </w:tc>
        <w:tc>
          <w:tcPr>
            <w:tcW w:w="70" w:type="pct"/>
            <w:tcBorders>
              <w:top w:val="nil"/>
              <w:left w:val="nil"/>
              <w:bottom w:val="nil"/>
              <w:right w:val="nil"/>
            </w:tcBorders>
            <w:shd w:val="clear" w:color="auto" w:fill="FFFFFF" w:themeFill="background1"/>
            <w:noWrap/>
            <w:vAlign w:val="center"/>
            <w:hideMark/>
          </w:tcPr>
          <w:p w14:paraId="4670759E"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single" w:sz="4" w:space="0" w:color="000000" w:themeColor="text1"/>
              <w:right w:val="nil"/>
            </w:tcBorders>
            <w:shd w:val="clear" w:color="auto" w:fill="FFFFFF" w:themeFill="background1"/>
            <w:noWrap/>
            <w:vAlign w:val="center"/>
            <w:hideMark/>
          </w:tcPr>
          <w:p w14:paraId="635CFB93" w14:textId="77777777" w:rsidR="00345C6F" w:rsidRPr="00FD24B8" w:rsidRDefault="00345C6F" w:rsidP="00345C6F">
            <w:pPr>
              <w:spacing w:after="0" w:line="240" w:lineRule="auto"/>
              <w:jc w:val="right"/>
              <w:rPr>
                <w:rFonts w:ascii="Arial" w:hAnsi="Arial" w:cs="Arial"/>
                <w:sz w:val="16"/>
                <w:szCs w:val="16"/>
              </w:rPr>
            </w:pPr>
            <w:r w:rsidRPr="00FD24B8">
              <w:rPr>
                <w:rFonts w:ascii="Arial" w:hAnsi="Arial" w:cs="Arial"/>
                <w:sz w:val="16"/>
                <w:szCs w:val="16"/>
              </w:rPr>
              <w:t>$b</w:t>
            </w:r>
          </w:p>
        </w:tc>
      </w:tr>
      <w:tr w:rsidR="00A7276E" w:rsidRPr="00131EBC" w14:paraId="65CA43D0" w14:textId="77777777" w:rsidTr="22BCC46E">
        <w:trPr>
          <w:trHeight w:hRule="exact" w:val="60"/>
        </w:trPr>
        <w:tc>
          <w:tcPr>
            <w:tcW w:w="1590" w:type="pct"/>
            <w:tcBorders>
              <w:top w:val="nil"/>
              <w:left w:val="nil"/>
              <w:bottom w:val="nil"/>
              <w:right w:val="nil"/>
            </w:tcBorders>
            <w:shd w:val="clear" w:color="auto" w:fill="FFFFFF" w:themeFill="background1"/>
            <w:noWrap/>
            <w:vAlign w:val="center"/>
            <w:hideMark/>
          </w:tcPr>
          <w:p w14:paraId="12FC2640"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6E541A86"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0" w:type="pct"/>
            <w:tcBorders>
              <w:top w:val="nil"/>
              <w:left w:val="nil"/>
              <w:bottom w:val="nil"/>
              <w:right w:val="nil"/>
            </w:tcBorders>
            <w:shd w:val="clear" w:color="auto" w:fill="FFFFFF" w:themeFill="background1"/>
            <w:noWrap/>
            <w:vAlign w:val="center"/>
            <w:hideMark/>
          </w:tcPr>
          <w:p w14:paraId="2B8A71A4"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79367279"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2F9FC"/>
            <w:noWrap/>
            <w:vAlign w:val="center"/>
            <w:hideMark/>
          </w:tcPr>
          <w:p w14:paraId="38D27A41"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7DA8D179"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50790232"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4D562017"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0" w:type="pct"/>
            <w:tcBorders>
              <w:top w:val="nil"/>
              <w:left w:val="nil"/>
              <w:bottom w:val="nil"/>
              <w:right w:val="nil"/>
            </w:tcBorders>
            <w:shd w:val="clear" w:color="auto" w:fill="FFFFFF" w:themeFill="background1"/>
            <w:noWrap/>
            <w:vAlign w:val="center"/>
            <w:hideMark/>
          </w:tcPr>
          <w:p w14:paraId="7C19E9B8"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0928301B" w14:textId="77777777" w:rsidR="00345C6F" w:rsidRPr="00FD24B8" w:rsidRDefault="00345C6F" w:rsidP="00345C6F">
            <w:pPr>
              <w:spacing w:after="0" w:line="240" w:lineRule="auto"/>
              <w:jc w:val="right"/>
              <w:rPr>
                <w:rFonts w:ascii="Arial" w:hAnsi="Arial" w:cs="Arial"/>
                <w:sz w:val="16"/>
                <w:szCs w:val="16"/>
              </w:rPr>
            </w:pPr>
            <w:r w:rsidRPr="00FD24B8">
              <w:rPr>
                <w:rFonts w:ascii="Arial" w:hAnsi="Arial" w:cs="Arial"/>
                <w:sz w:val="16"/>
                <w:szCs w:val="16"/>
              </w:rPr>
              <w:t> </w:t>
            </w:r>
          </w:p>
        </w:tc>
      </w:tr>
      <w:tr w:rsidR="00A7276E" w:rsidRPr="00131EBC" w14:paraId="70290CD5"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1B9871C2" w14:textId="77777777" w:rsidR="00345C6F" w:rsidRPr="00131EBC" w:rsidRDefault="00345C6F" w:rsidP="00345C6F">
            <w:pPr>
              <w:spacing w:after="0" w:line="240" w:lineRule="auto"/>
              <w:jc w:val="left"/>
              <w:rPr>
                <w:rFonts w:ascii="Arial" w:hAnsi="Arial" w:cs="Arial"/>
                <w:b/>
                <w:sz w:val="16"/>
                <w:szCs w:val="16"/>
                <w:highlight w:val="darkCyan"/>
              </w:rPr>
            </w:pPr>
            <w:r w:rsidRPr="00FD24B8">
              <w:rPr>
                <w:rFonts w:ascii="Arial" w:hAnsi="Arial" w:cs="Arial"/>
                <w:b/>
                <w:sz w:val="16"/>
                <w:szCs w:val="16"/>
              </w:rPr>
              <w:t>Revenue</w:t>
            </w:r>
          </w:p>
        </w:tc>
        <w:tc>
          <w:tcPr>
            <w:tcW w:w="473" w:type="pct"/>
            <w:tcBorders>
              <w:top w:val="nil"/>
              <w:left w:val="nil"/>
              <w:bottom w:val="nil"/>
              <w:right w:val="nil"/>
            </w:tcBorders>
            <w:shd w:val="clear" w:color="auto" w:fill="FFFFFF" w:themeFill="background1"/>
            <w:noWrap/>
            <w:vAlign w:val="center"/>
            <w:hideMark/>
          </w:tcPr>
          <w:p w14:paraId="4250E83B"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523.0</w:t>
            </w:r>
          </w:p>
        </w:tc>
        <w:tc>
          <w:tcPr>
            <w:tcW w:w="70" w:type="pct"/>
            <w:tcBorders>
              <w:top w:val="nil"/>
              <w:left w:val="nil"/>
              <w:bottom w:val="nil"/>
              <w:right w:val="nil"/>
            </w:tcBorders>
            <w:shd w:val="clear" w:color="auto" w:fill="FFFFFF" w:themeFill="background1"/>
            <w:noWrap/>
            <w:vAlign w:val="center"/>
            <w:hideMark/>
          </w:tcPr>
          <w:p w14:paraId="34EA0796"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FFFFF" w:themeFill="background1"/>
            <w:noWrap/>
            <w:vAlign w:val="center"/>
            <w:hideMark/>
          </w:tcPr>
          <w:p w14:paraId="1131CB67"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566.4</w:t>
            </w:r>
          </w:p>
        </w:tc>
        <w:tc>
          <w:tcPr>
            <w:tcW w:w="465" w:type="pct"/>
            <w:tcBorders>
              <w:top w:val="nil"/>
              <w:left w:val="nil"/>
              <w:bottom w:val="nil"/>
              <w:right w:val="nil"/>
            </w:tcBorders>
            <w:shd w:val="clear" w:color="auto" w:fill="F2F9FC"/>
            <w:noWrap/>
            <w:vAlign w:val="center"/>
            <w:hideMark/>
          </w:tcPr>
          <w:p w14:paraId="3E54F3F4"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560.9</w:t>
            </w:r>
          </w:p>
        </w:tc>
        <w:tc>
          <w:tcPr>
            <w:tcW w:w="465" w:type="pct"/>
            <w:tcBorders>
              <w:top w:val="nil"/>
              <w:left w:val="nil"/>
              <w:bottom w:val="nil"/>
              <w:right w:val="nil"/>
            </w:tcBorders>
            <w:shd w:val="clear" w:color="auto" w:fill="FFFFFF" w:themeFill="background1"/>
            <w:noWrap/>
            <w:vAlign w:val="center"/>
            <w:hideMark/>
          </w:tcPr>
          <w:p w14:paraId="5C1FA0B2"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595.7</w:t>
            </w:r>
          </w:p>
        </w:tc>
        <w:tc>
          <w:tcPr>
            <w:tcW w:w="465" w:type="pct"/>
            <w:tcBorders>
              <w:top w:val="nil"/>
              <w:left w:val="nil"/>
              <w:bottom w:val="nil"/>
              <w:right w:val="nil"/>
            </w:tcBorders>
            <w:shd w:val="clear" w:color="auto" w:fill="FFFFFF" w:themeFill="background1"/>
            <w:noWrap/>
            <w:vAlign w:val="center"/>
            <w:hideMark/>
          </w:tcPr>
          <w:p w14:paraId="4464AA53"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621.7</w:t>
            </w:r>
          </w:p>
        </w:tc>
        <w:tc>
          <w:tcPr>
            <w:tcW w:w="465" w:type="pct"/>
            <w:tcBorders>
              <w:top w:val="nil"/>
              <w:left w:val="nil"/>
              <w:bottom w:val="nil"/>
              <w:right w:val="nil"/>
            </w:tcBorders>
            <w:shd w:val="clear" w:color="auto" w:fill="FFFFFF" w:themeFill="background1"/>
            <w:noWrap/>
            <w:vAlign w:val="center"/>
            <w:hideMark/>
          </w:tcPr>
          <w:p w14:paraId="64E70DF0"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655.2</w:t>
            </w:r>
          </w:p>
        </w:tc>
        <w:tc>
          <w:tcPr>
            <w:tcW w:w="70" w:type="pct"/>
            <w:tcBorders>
              <w:top w:val="nil"/>
              <w:left w:val="nil"/>
              <w:bottom w:val="nil"/>
              <w:right w:val="nil"/>
            </w:tcBorders>
            <w:shd w:val="clear" w:color="auto" w:fill="FFFFFF" w:themeFill="background1"/>
            <w:noWrap/>
            <w:vAlign w:val="center"/>
            <w:hideMark/>
          </w:tcPr>
          <w:p w14:paraId="0F0E9D96"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73" w:type="pct"/>
            <w:tcBorders>
              <w:top w:val="nil"/>
              <w:left w:val="nil"/>
              <w:bottom w:val="nil"/>
              <w:right w:val="nil"/>
            </w:tcBorders>
            <w:shd w:val="clear" w:color="auto" w:fill="FFFFFF" w:themeFill="background1"/>
            <w:noWrap/>
            <w:vAlign w:val="center"/>
            <w:hideMark/>
          </w:tcPr>
          <w:p w14:paraId="3EC03E76" w14:textId="77777777" w:rsidR="00345C6F" w:rsidRPr="00FD24B8" w:rsidRDefault="00345C6F" w:rsidP="00345C6F">
            <w:pPr>
              <w:spacing w:after="0" w:line="240" w:lineRule="auto"/>
              <w:jc w:val="right"/>
              <w:rPr>
                <w:rFonts w:ascii="Arial" w:hAnsi="Arial" w:cs="Arial"/>
                <w:b/>
                <w:sz w:val="16"/>
                <w:szCs w:val="16"/>
              </w:rPr>
            </w:pPr>
            <w:r w:rsidRPr="00FD24B8">
              <w:rPr>
                <w:rFonts w:ascii="Arial" w:hAnsi="Arial" w:cs="Arial"/>
                <w:b/>
                <w:sz w:val="16"/>
                <w:szCs w:val="16"/>
              </w:rPr>
              <w:t>2,433.6</w:t>
            </w:r>
          </w:p>
        </w:tc>
      </w:tr>
      <w:tr w:rsidR="00A7276E" w:rsidRPr="00131EBC" w14:paraId="7E1540C6"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71DE2AA8"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73" w:type="pct"/>
            <w:tcBorders>
              <w:top w:val="nil"/>
              <w:left w:val="nil"/>
              <w:bottom w:val="nil"/>
              <w:right w:val="nil"/>
            </w:tcBorders>
            <w:shd w:val="clear" w:color="auto" w:fill="FFFFFF" w:themeFill="background1"/>
            <w:noWrap/>
            <w:vAlign w:val="center"/>
            <w:hideMark/>
          </w:tcPr>
          <w:p w14:paraId="731762CB"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25.3</w:t>
            </w:r>
          </w:p>
        </w:tc>
        <w:tc>
          <w:tcPr>
            <w:tcW w:w="70" w:type="pct"/>
            <w:tcBorders>
              <w:top w:val="nil"/>
              <w:left w:val="nil"/>
              <w:bottom w:val="nil"/>
              <w:right w:val="nil"/>
            </w:tcBorders>
            <w:shd w:val="clear" w:color="auto" w:fill="FFFFFF" w:themeFill="background1"/>
            <w:noWrap/>
            <w:vAlign w:val="center"/>
            <w:hideMark/>
          </w:tcPr>
          <w:p w14:paraId="6335F803"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28786515"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24.7</w:t>
            </w:r>
          </w:p>
        </w:tc>
        <w:tc>
          <w:tcPr>
            <w:tcW w:w="465" w:type="pct"/>
            <w:tcBorders>
              <w:top w:val="nil"/>
              <w:left w:val="nil"/>
              <w:bottom w:val="nil"/>
              <w:right w:val="nil"/>
            </w:tcBorders>
            <w:shd w:val="clear" w:color="auto" w:fill="F2F9FC"/>
            <w:noWrap/>
            <w:vAlign w:val="center"/>
            <w:hideMark/>
          </w:tcPr>
          <w:p w14:paraId="2DCA8FE0"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24.4</w:t>
            </w:r>
          </w:p>
        </w:tc>
        <w:tc>
          <w:tcPr>
            <w:tcW w:w="465" w:type="pct"/>
            <w:tcBorders>
              <w:top w:val="nil"/>
              <w:left w:val="nil"/>
              <w:bottom w:val="nil"/>
              <w:right w:val="nil"/>
            </w:tcBorders>
            <w:shd w:val="clear" w:color="auto" w:fill="FFFFFF" w:themeFill="background1"/>
            <w:noWrap/>
            <w:vAlign w:val="center"/>
            <w:hideMark/>
          </w:tcPr>
          <w:p w14:paraId="4EFE5586"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25.2</w:t>
            </w:r>
          </w:p>
        </w:tc>
        <w:tc>
          <w:tcPr>
            <w:tcW w:w="465" w:type="pct"/>
            <w:tcBorders>
              <w:top w:val="nil"/>
              <w:left w:val="nil"/>
              <w:bottom w:val="nil"/>
              <w:right w:val="nil"/>
            </w:tcBorders>
            <w:shd w:val="clear" w:color="auto" w:fill="FFFFFF" w:themeFill="background1"/>
            <w:noWrap/>
            <w:vAlign w:val="center"/>
            <w:hideMark/>
          </w:tcPr>
          <w:p w14:paraId="0E23C4A8"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25.0</w:t>
            </w:r>
          </w:p>
        </w:tc>
        <w:tc>
          <w:tcPr>
            <w:tcW w:w="465" w:type="pct"/>
            <w:tcBorders>
              <w:top w:val="nil"/>
              <w:left w:val="nil"/>
              <w:bottom w:val="nil"/>
              <w:right w:val="nil"/>
            </w:tcBorders>
            <w:shd w:val="clear" w:color="auto" w:fill="FFFFFF" w:themeFill="background1"/>
            <w:noWrap/>
            <w:vAlign w:val="center"/>
            <w:hideMark/>
          </w:tcPr>
          <w:p w14:paraId="0D3C25BE"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25.1</w:t>
            </w:r>
          </w:p>
        </w:tc>
        <w:tc>
          <w:tcPr>
            <w:tcW w:w="70" w:type="pct"/>
            <w:tcBorders>
              <w:top w:val="nil"/>
              <w:left w:val="nil"/>
              <w:bottom w:val="nil"/>
              <w:right w:val="nil"/>
            </w:tcBorders>
            <w:shd w:val="clear" w:color="auto" w:fill="FFFFFF" w:themeFill="background1"/>
            <w:noWrap/>
            <w:vAlign w:val="center"/>
            <w:hideMark/>
          </w:tcPr>
          <w:p w14:paraId="5780B327"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7F65C3CB" w14:textId="77777777" w:rsidR="00345C6F" w:rsidRPr="00FD24B8" w:rsidRDefault="00345C6F" w:rsidP="00345C6F">
            <w:pPr>
              <w:spacing w:after="0" w:line="240" w:lineRule="auto"/>
              <w:jc w:val="right"/>
              <w:rPr>
                <w:rFonts w:ascii="Arial" w:hAnsi="Arial" w:cs="Arial"/>
                <w:sz w:val="16"/>
                <w:szCs w:val="16"/>
              </w:rPr>
            </w:pPr>
            <w:r w:rsidRPr="00FD24B8">
              <w:rPr>
                <w:rFonts w:ascii="Arial" w:hAnsi="Arial" w:cs="Arial"/>
                <w:sz w:val="16"/>
                <w:szCs w:val="16"/>
              </w:rPr>
              <w:t> </w:t>
            </w:r>
          </w:p>
        </w:tc>
      </w:tr>
      <w:tr w:rsidR="00A7276E" w:rsidRPr="00131EBC" w14:paraId="07F064D3" w14:textId="77777777" w:rsidTr="22BCC46E">
        <w:trPr>
          <w:trHeight w:hRule="exact" w:val="60"/>
        </w:trPr>
        <w:tc>
          <w:tcPr>
            <w:tcW w:w="1590" w:type="pct"/>
            <w:tcBorders>
              <w:top w:val="nil"/>
              <w:left w:val="nil"/>
              <w:bottom w:val="nil"/>
              <w:right w:val="nil"/>
            </w:tcBorders>
            <w:shd w:val="clear" w:color="auto" w:fill="FFFFFF" w:themeFill="background1"/>
            <w:noWrap/>
            <w:vAlign w:val="center"/>
            <w:hideMark/>
          </w:tcPr>
          <w:p w14:paraId="1062D9DA"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3B4C45A8"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0" w:type="pct"/>
            <w:tcBorders>
              <w:top w:val="nil"/>
              <w:left w:val="nil"/>
              <w:bottom w:val="nil"/>
              <w:right w:val="nil"/>
            </w:tcBorders>
            <w:shd w:val="clear" w:color="auto" w:fill="FFFFFF" w:themeFill="background1"/>
            <w:noWrap/>
            <w:vAlign w:val="center"/>
            <w:hideMark/>
          </w:tcPr>
          <w:p w14:paraId="7819001D"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722660AD"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2F9FC"/>
            <w:noWrap/>
            <w:vAlign w:val="center"/>
            <w:hideMark/>
          </w:tcPr>
          <w:p w14:paraId="4557CEB3"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54A17AA0"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51EA1E8C"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1DA2B335"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0" w:type="pct"/>
            <w:tcBorders>
              <w:top w:val="nil"/>
              <w:left w:val="nil"/>
              <w:bottom w:val="nil"/>
              <w:right w:val="nil"/>
            </w:tcBorders>
            <w:shd w:val="clear" w:color="auto" w:fill="FFFFFF" w:themeFill="background1"/>
            <w:noWrap/>
            <w:vAlign w:val="center"/>
            <w:hideMark/>
          </w:tcPr>
          <w:p w14:paraId="05C1C3A3"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757AED59" w14:textId="77777777" w:rsidR="00345C6F" w:rsidRPr="00FD24B8" w:rsidRDefault="00345C6F" w:rsidP="00345C6F">
            <w:pPr>
              <w:spacing w:after="0" w:line="240" w:lineRule="auto"/>
              <w:jc w:val="right"/>
              <w:rPr>
                <w:rFonts w:ascii="Arial" w:hAnsi="Arial" w:cs="Arial"/>
                <w:sz w:val="16"/>
                <w:szCs w:val="16"/>
              </w:rPr>
            </w:pPr>
            <w:r w:rsidRPr="00FD24B8">
              <w:rPr>
                <w:rFonts w:ascii="Arial" w:hAnsi="Arial" w:cs="Arial"/>
                <w:sz w:val="16"/>
                <w:szCs w:val="16"/>
              </w:rPr>
              <w:t> </w:t>
            </w:r>
          </w:p>
        </w:tc>
      </w:tr>
      <w:tr w:rsidR="00A7276E" w:rsidRPr="00131EBC" w14:paraId="23D5E34E"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2C589EF0" w14:textId="77777777" w:rsidR="00345C6F" w:rsidRPr="00131EBC" w:rsidRDefault="00345C6F" w:rsidP="00345C6F">
            <w:pPr>
              <w:spacing w:after="0" w:line="240" w:lineRule="auto"/>
              <w:jc w:val="left"/>
              <w:rPr>
                <w:rFonts w:ascii="Arial" w:hAnsi="Arial" w:cs="Arial"/>
                <w:b/>
                <w:sz w:val="16"/>
                <w:szCs w:val="16"/>
                <w:highlight w:val="darkCyan"/>
              </w:rPr>
            </w:pPr>
            <w:r w:rsidRPr="00FD24B8">
              <w:rPr>
                <w:rFonts w:ascii="Arial" w:hAnsi="Arial" w:cs="Arial"/>
                <w:b/>
                <w:sz w:val="16"/>
                <w:szCs w:val="16"/>
              </w:rPr>
              <w:t>Expenses</w:t>
            </w:r>
          </w:p>
        </w:tc>
        <w:tc>
          <w:tcPr>
            <w:tcW w:w="473" w:type="pct"/>
            <w:tcBorders>
              <w:top w:val="nil"/>
              <w:left w:val="nil"/>
              <w:bottom w:val="nil"/>
              <w:right w:val="nil"/>
            </w:tcBorders>
            <w:shd w:val="clear" w:color="auto" w:fill="FFFFFF" w:themeFill="background1"/>
            <w:noWrap/>
            <w:vAlign w:val="center"/>
            <w:hideMark/>
          </w:tcPr>
          <w:p w14:paraId="5ED61E13"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651.9</w:t>
            </w:r>
          </w:p>
        </w:tc>
        <w:tc>
          <w:tcPr>
            <w:tcW w:w="70" w:type="pct"/>
            <w:tcBorders>
              <w:top w:val="nil"/>
              <w:left w:val="nil"/>
              <w:bottom w:val="nil"/>
              <w:right w:val="nil"/>
            </w:tcBorders>
            <w:shd w:val="clear" w:color="auto" w:fill="FFFFFF" w:themeFill="background1"/>
            <w:noWrap/>
            <w:vAlign w:val="center"/>
            <w:hideMark/>
          </w:tcPr>
          <w:p w14:paraId="574CA447"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FFFFF" w:themeFill="background1"/>
            <w:noWrap/>
            <w:vAlign w:val="center"/>
            <w:hideMark/>
          </w:tcPr>
          <w:p w14:paraId="32472EC8"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639.6</w:t>
            </w:r>
          </w:p>
        </w:tc>
        <w:tc>
          <w:tcPr>
            <w:tcW w:w="465" w:type="pct"/>
            <w:tcBorders>
              <w:top w:val="nil"/>
              <w:left w:val="nil"/>
              <w:bottom w:val="nil"/>
              <w:right w:val="nil"/>
            </w:tcBorders>
            <w:shd w:val="clear" w:color="auto" w:fill="F2F9FC"/>
            <w:noWrap/>
            <w:vAlign w:val="center"/>
            <w:hideMark/>
          </w:tcPr>
          <w:p w14:paraId="6FDA7337"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628.5</w:t>
            </w:r>
          </w:p>
        </w:tc>
        <w:tc>
          <w:tcPr>
            <w:tcW w:w="465" w:type="pct"/>
            <w:tcBorders>
              <w:top w:val="nil"/>
              <w:left w:val="nil"/>
              <w:bottom w:val="nil"/>
              <w:right w:val="nil"/>
            </w:tcBorders>
            <w:shd w:val="clear" w:color="auto" w:fill="FFFFFF" w:themeFill="background1"/>
            <w:noWrap/>
            <w:vAlign w:val="center"/>
            <w:hideMark/>
          </w:tcPr>
          <w:p w14:paraId="2A82E68A"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643.8</w:t>
            </w:r>
          </w:p>
        </w:tc>
        <w:tc>
          <w:tcPr>
            <w:tcW w:w="465" w:type="pct"/>
            <w:tcBorders>
              <w:top w:val="nil"/>
              <w:left w:val="nil"/>
              <w:bottom w:val="nil"/>
              <w:right w:val="nil"/>
            </w:tcBorders>
            <w:shd w:val="clear" w:color="auto" w:fill="FFFFFF" w:themeFill="background1"/>
            <w:noWrap/>
            <w:vAlign w:val="center"/>
            <w:hideMark/>
          </w:tcPr>
          <w:p w14:paraId="7AD302C9"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665.4</w:t>
            </w:r>
          </w:p>
        </w:tc>
        <w:tc>
          <w:tcPr>
            <w:tcW w:w="465" w:type="pct"/>
            <w:tcBorders>
              <w:top w:val="nil"/>
              <w:left w:val="nil"/>
              <w:bottom w:val="nil"/>
              <w:right w:val="nil"/>
            </w:tcBorders>
            <w:shd w:val="clear" w:color="auto" w:fill="FFFFFF" w:themeFill="background1"/>
            <w:noWrap/>
            <w:vAlign w:val="center"/>
            <w:hideMark/>
          </w:tcPr>
          <w:p w14:paraId="0C1EE43D"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686.8</w:t>
            </w:r>
          </w:p>
        </w:tc>
        <w:tc>
          <w:tcPr>
            <w:tcW w:w="70" w:type="pct"/>
            <w:tcBorders>
              <w:top w:val="nil"/>
              <w:left w:val="nil"/>
              <w:bottom w:val="nil"/>
              <w:right w:val="nil"/>
            </w:tcBorders>
            <w:shd w:val="clear" w:color="auto" w:fill="FFFFFF" w:themeFill="background1"/>
            <w:noWrap/>
            <w:vAlign w:val="center"/>
            <w:hideMark/>
          </w:tcPr>
          <w:p w14:paraId="1826BE85"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73" w:type="pct"/>
            <w:tcBorders>
              <w:top w:val="nil"/>
              <w:left w:val="nil"/>
              <w:bottom w:val="nil"/>
              <w:right w:val="nil"/>
            </w:tcBorders>
            <w:shd w:val="clear" w:color="auto" w:fill="FFFFFF" w:themeFill="background1"/>
            <w:noWrap/>
            <w:vAlign w:val="center"/>
            <w:hideMark/>
          </w:tcPr>
          <w:p w14:paraId="2167BD4C" w14:textId="77777777" w:rsidR="00345C6F" w:rsidRPr="00FD24B8" w:rsidRDefault="00345C6F" w:rsidP="00345C6F">
            <w:pPr>
              <w:spacing w:after="0" w:line="240" w:lineRule="auto"/>
              <w:jc w:val="right"/>
              <w:rPr>
                <w:rFonts w:ascii="Arial" w:hAnsi="Arial" w:cs="Arial"/>
                <w:b/>
                <w:sz w:val="16"/>
                <w:szCs w:val="16"/>
              </w:rPr>
            </w:pPr>
            <w:r w:rsidRPr="00FD24B8">
              <w:rPr>
                <w:rFonts w:ascii="Arial" w:hAnsi="Arial" w:cs="Arial"/>
                <w:b/>
                <w:sz w:val="16"/>
                <w:szCs w:val="16"/>
              </w:rPr>
              <w:t>2,624.5</w:t>
            </w:r>
          </w:p>
        </w:tc>
      </w:tr>
      <w:tr w:rsidR="00A7276E" w:rsidRPr="00131EBC" w14:paraId="15350DDA"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5F7DE0E1"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73" w:type="pct"/>
            <w:tcBorders>
              <w:top w:val="nil"/>
              <w:left w:val="nil"/>
              <w:bottom w:val="nil"/>
              <w:right w:val="nil"/>
            </w:tcBorders>
            <w:shd w:val="clear" w:color="auto" w:fill="FFFFFF" w:themeFill="background1"/>
            <w:noWrap/>
            <w:vAlign w:val="center"/>
            <w:hideMark/>
          </w:tcPr>
          <w:p w14:paraId="7B2904C1"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31.5</w:t>
            </w:r>
          </w:p>
        </w:tc>
        <w:tc>
          <w:tcPr>
            <w:tcW w:w="70" w:type="pct"/>
            <w:tcBorders>
              <w:top w:val="nil"/>
              <w:left w:val="nil"/>
              <w:bottom w:val="nil"/>
              <w:right w:val="nil"/>
            </w:tcBorders>
            <w:shd w:val="clear" w:color="auto" w:fill="FFFFFF" w:themeFill="background1"/>
            <w:noWrap/>
            <w:vAlign w:val="center"/>
            <w:hideMark/>
          </w:tcPr>
          <w:p w14:paraId="6FA86B54"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2B2A623D"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27.9</w:t>
            </w:r>
          </w:p>
        </w:tc>
        <w:tc>
          <w:tcPr>
            <w:tcW w:w="465" w:type="pct"/>
            <w:tcBorders>
              <w:top w:val="nil"/>
              <w:left w:val="nil"/>
              <w:bottom w:val="nil"/>
              <w:right w:val="nil"/>
            </w:tcBorders>
            <w:shd w:val="clear" w:color="auto" w:fill="F2F9FC"/>
            <w:noWrap/>
            <w:vAlign w:val="center"/>
            <w:hideMark/>
          </w:tcPr>
          <w:p w14:paraId="14078738"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27.3</w:t>
            </w:r>
          </w:p>
        </w:tc>
        <w:tc>
          <w:tcPr>
            <w:tcW w:w="465" w:type="pct"/>
            <w:tcBorders>
              <w:top w:val="nil"/>
              <w:left w:val="nil"/>
              <w:bottom w:val="nil"/>
              <w:right w:val="nil"/>
            </w:tcBorders>
            <w:shd w:val="clear" w:color="auto" w:fill="FFFFFF" w:themeFill="background1"/>
            <w:noWrap/>
            <w:vAlign w:val="center"/>
            <w:hideMark/>
          </w:tcPr>
          <w:p w14:paraId="7FDB26A3"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27.2</w:t>
            </w:r>
          </w:p>
        </w:tc>
        <w:tc>
          <w:tcPr>
            <w:tcW w:w="465" w:type="pct"/>
            <w:tcBorders>
              <w:top w:val="nil"/>
              <w:left w:val="nil"/>
              <w:bottom w:val="nil"/>
              <w:right w:val="nil"/>
            </w:tcBorders>
            <w:shd w:val="clear" w:color="auto" w:fill="FFFFFF" w:themeFill="background1"/>
            <w:noWrap/>
            <w:vAlign w:val="center"/>
            <w:hideMark/>
          </w:tcPr>
          <w:p w14:paraId="15663D5E"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26.7</w:t>
            </w:r>
          </w:p>
        </w:tc>
        <w:tc>
          <w:tcPr>
            <w:tcW w:w="465" w:type="pct"/>
            <w:tcBorders>
              <w:top w:val="nil"/>
              <w:left w:val="nil"/>
              <w:bottom w:val="nil"/>
              <w:right w:val="nil"/>
            </w:tcBorders>
            <w:shd w:val="clear" w:color="auto" w:fill="FFFFFF" w:themeFill="background1"/>
            <w:noWrap/>
            <w:vAlign w:val="center"/>
            <w:hideMark/>
          </w:tcPr>
          <w:p w14:paraId="0E4D0642"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26.3</w:t>
            </w:r>
          </w:p>
        </w:tc>
        <w:tc>
          <w:tcPr>
            <w:tcW w:w="70" w:type="pct"/>
            <w:tcBorders>
              <w:top w:val="nil"/>
              <w:left w:val="nil"/>
              <w:bottom w:val="nil"/>
              <w:right w:val="nil"/>
            </w:tcBorders>
            <w:shd w:val="clear" w:color="auto" w:fill="FFFFFF" w:themeFill="background1"/>
            <w:noWrap/>
            <w:vAlign w:val="center"/>
            <w:hideMark/>
          </w:tcPr>
          <w:p w14:paraId="3BF5D3EA"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60CF8BDA" w14:textId="77777777" w:rsidR="00345C6F" w:rsidRPr="00FD24B8" w:rsidRDefault="00345C6F" w:rsidP="00345C6F">
            <w:pPr>
              <w:spacing w:after="0" w:line="240" w:lineRule="auto"/>
              <w:jc w:val="right"/>
              <w:rPr>
                <w:rFonts w:ascii="Arial" w:hAnsi="Arial" w:cs="Arial"/>
                <w:sz w:val="16"/>
                <w:szCs w:val="16"/>
              </w:rPr>
            </w:pPr>
            <w:r w:rsidRPr="00FD24B8">
              <w:rPr>
                <w:rFonts w:ascii="Arial" w:hAnsi="Arial" w:cs="Arial"/>
                <w:sz w:val="16"/>
                <w:szCs w:val="16"/>
              </w:rPr>
              <w:t> </w:t>
            </w:r>
          </w:p>
        </w:tc>
      </w:tr>
      <w:tr w:rsidR="00A7276E" w:rsidRPr="00131EBC" w14:paraId="0D580E77" w14:textId="77777777" w:rsidTr="22BCC46E">
        <w:trPr>
          <w:trHeight w:hRule="exact" w:val="60"/>
        </w:trPr>
        <w:tc>
          <w:tcPr>
            <w:tcW w:w="1590" w:type="pct"/>
            <w:tcBorders>
              <w:top w:val="nil"/>
              <w:left w:val="nil"/>
              <w:bottom w:val="nil"/>
              <w:right w:val="nil"/>
            </w:tcBorders>
            <w:shd w:val="clear" w:color="auto" w:fill="FFFFFF" w:themeFill="background1"/>
            <w:noWrap/>
            <w:vAlign w:val="center"/>
            <w:hideMark/>
          </w:tcPr>
          <w:p w14:paraId="2F612E00"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3E2E8C9E"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0" w:type="pct"/>
            <w:tcBorders>
              <w:top w:val="nil"/>
              <w:left w:val="nil"/>
              <w:bottom w:val="nil"/>
              <w:right w:val="nil"/>
            </w:tcBorders>
            <w:shd w:val="clear" w:color="auto" w:fill="FFFFFF" w:themeFill="background1"/>
            <w:noWrap/>
            <w:vAlign w:val="center"/>
            <w:hideMark/>
          </w:tcPr>
          <w:p w14:paraId="1AD56257"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072A6E63"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2F9FC"/>
            <w:noWrap/>
            <w:vAlign w:val="center"/>
            <w:hideMark/>
          </w:tcPr>
          <w:p w14:paraId="01D98A16"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1193115D"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520DC612"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7574949A"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0" w:type="pct"/>
            <w:tcBorders>
              <w:top w:val="nil"/>
              <w:left w:val="nil"/>
              <w:bottom w:val="nil"/>
              <w:right w:val="nil"/>
            </w:tcBorders>
            <w:shd w:val="clear" w:color="auto" w:fill="FFFFFF" w:themeFill="background1"/>
            <w:noWrap/>
            <w:vAlign w:val="center"/>
            <w:hideMark/>
          </w:tcPr>
          <w:p w14:paraId="1475BFA6"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044605C5" w14:textId="77777777" w:rsidR="00345C6F" w:rsidRPr="00FD24B8" w:rsidRDefault="00345C6F" w:rsidP="00345C6F">
            <w:pPr>
              <w:spacing w:after="0" w:line="240" w:lineRule="auto"/>
              <w:jc w:val="right"/>
              <w:rPr>
                <w:rFonts w:ascii="Arial" w:hAnsi="Arial" w:cs="Arial"/>
                <w:sz w:val="16"/>
                <w:szCs w:val="16"/>
              </w:rPr>
            </w:pPr>
            <w:r w:rsidRPr="00FD24B8">
              <w:rPr>
                <w:rFonts w:ascii="Arial" w:hAnsi="Arial" w:cs="Arial"/>
                <w:sz w:val="16"/>
                <w:szCs w:val="16"/>
              </w:rPr>
              <w:t> </w:t>
            </w:r>
          </w:p>
        </w:tc>
      </w:tr>
      <w:tr w:rsidR="00A7276E" w:rsidRPr="00131EBC" w14:paraId="002D52E4"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062FB20B" w14:textId="77777777" w:rsidR="00345C6F" w:rsidRPr="00131EBC" w:rsidRDefault="00345C6F" w:rsidP="00345C6F">
            <w:pPr>
              <w:spacing w:after="0" w:line="240" w:lineRule="auto"/>
              <w:jc w:val="left"/>
              <w:rPr>
                <w:rFonts w:ascii="Arial" w:hAnsi="Arial" w:cs="Arial"/>
                <w:b/>
                <w:sz w:val="16"/>
                <w:szCs w:val="16"/>
                <w:highlight w:val="darkCyan"/>
              </w:rPr>
            </w:pPr>
            <w:r w:rsidRPr="00FD24B8">
              <w:rPr>
                <w:rFonts w:ascii="Arial" w:hAnsi="Arial" w:cs="Arial"/>
                <w:b/>
                <w:sz w:val="16"/>
                <w:szCs w:val="16"/>
              </w:rPr>
              <w:t>Net operating balance</w:t>
            </w:r>
          </w:p>
        </w:tc>
        <w:tc>
          <w:tcPr>
            <w:tcW w:w="473" w:type="pct"/>
            <w:tcBorders>
              <w:top w:val="nil"/>
              <w:left w:val="nil"/>
              <w:bottom w:val="nil"/>
              <w:right w:val="nil"/>
            </w:tcBorders>
            <w:shd w:val="clear" w:color="auto" w:fill="FFFFFF" w:themeFill="background1"/>
            <w:noWrap/>
            <w:vAlign w:val="center"/>
            <w:hideMark/>
          </w:tcPr>
          <w:p w14:paraId="6ECDF60F" w14:textId="41DF28F6"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128.9</w:t>
            </w:r>
          </w:p>
        </w:tc>
        <w:tc>
          <w:tcPr>
            <w:tcW w:w="70" w:type="pct"/>
            <w:tcBorders>
              <w:top w:val="nil"/>
              <w:left w:val="nil"/>
              <w:bottom w:val="nil"/>
              <w:right w:val="nil"/>
            </w:tcBorders>
            <w:shd w:val="clear" w:color="auto" w:fill="FFFFFF" w:themeFill="background1"/>
            <w:noWrap/>
            <w:vAlign w:val="center"/>
            <w:hideMark/>
          </w:tcPr>
          <w:p w14:paraId="6E6581C7"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FFFFF" w:themeFill="background1"/>
            <w:noWrap/>
            <w:vAlign w:val="center"/>
            <w:hideMark/>
          </w:tcPr>
          <w:p w14:paraId="47309186" w14:textId="2D1E10A9"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73.2</w:t>
            </w:r>
          </w:p>
        </w:tc>
        <w:tc>
          <w:tcPr>
            <w:tcW w:w="465" w:type="pct"/>
            <w:tcBorders>
              <w:top w:val="nil"/>
              <w:left w:val="nil"/>
              <w:bottom w:val="nil"/>
              <w:right w:val="nil"/>
            </w:tcBorders>
            <w:shd w:val="clear" w:color="auto" w:fill="F2F9FC"/>
            <w:noWrap/>
            <w:vAlign w:val="center"/>
            <w:hideMark/>
          </w:tcPr>
          <w:p w14:paraId="2D4BA09E" w14:textId="307FDECF"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67.5</w:t>
            </w:r>
          </w:p>
        </w:tc>
        <w:tc>
          <w:tcPr>
            <w:tcW w:w="465" w:type="pct"/>
            <w:tcBorders>
              <w:top w:val="nil"/>
              <w:left w:val="nil"/>
              <w:bottom w:val="nil"/>
              <w:right w:val="nil"/>
            </w:tcBorders>
            <w:shd w:val="clear" w:color="auto" w:fill="FFFFFF" w:themeFill="background1"/>
            <w:noWrap/>
            <w:vAlign w:val="center"/>
            <w:hideMark/>
          </w:tcPr>
          <w:p w14:paraId="495D8632" w14:textId="161993B6"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48.2</w:t>
            </w:r>
          </w:p>
        </w:tc>
        <w:tc>
          <w:tcPr>
            <w:tcW w:w="465" w:type="pct"/>
            <w:tcBorders>
              <w:top w:val="nil"/>
              <w:left w:val="nil"/>
              <w:bottom w:val="nil"/>
              <w:right w:val="nil"/>
            </w:tcBorders>
            <w:shd w:val="clear" w:color="auto" w:fill="FFFFFF" w:themeFill="background1"/>
            <w:noWrap/>
            <w:vAlign w:val="center"/>
            <w:hideMark/>
          </w:tcPr>
          <w:p w14:paraId="23F1F9DE" w14:textId="505CF757"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43.6</w:t>
            </w:r>
          </w:p>
        </w:tc>
        <w:tc>
          <w:tcPr>
            <w:tcW w:w="465" w:type="pct"/>
            <w:tcBorders>
              <w:top w:val="nil"/>
              <w:left w:val="nil"/>
              <w:bottom w:val="nil"/>
              <w:right w:val="nil"/>
            </w:tcBorders>
            <w:shd w:val="clear" w:color="auto" w:fill="FFFFFF" w:themeFill="background1"/>
            <w:noWrap/>
            <w:vAlign w:val="center"/>
            <w:hideMark/>
          </w:tcPr>
          <w:p w14:paraId="150B7AFD" w14:textId="4DDB60BE"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31.6</w:t>
            </w:r>
          </w:p>
        </w:tc>
        <w:tc>
          <w:tcPr>
            <w:tcW w:w="70" w:type="pct"/>
            <w:tcBorders>
              <w:top w:val="nil"/>
              <w:left w:val="nil"/>
              <w:bottom w:val="nil"/>
              <w:right w:val="nil"/>
            </w:tcBorders>
            <w:shd w:val="clear" w:color="auto" w:fill="FFFFFF" w:themeFill="background1"/>
            <w:noWrap/>
            <w:vAlign w:val="center"/>
            <w:hideMark/>
          </w:tcPr>
          <w:p w14:paraId="7479FE5E"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73" w:type="pct"/>
            <w:tcBorders>
              <w:top w:val="nil"/>
              <w:left w:val="nil"/>
              <w:bottom w:val="nil"/>
              <w:right w:val="nil"/>
            </w:tcBorders>
            <w:shd w:val="clear" w:color="auto" w:fill="FFFFFF" w:themeFill="background1"/>
            <w:noWrap/>
            <w:vAlign w:val="center"/>
            <w:hideMark/>
          </w:tcPr>
          <w:p w14:paraId="072060C6" w14:textId="544CC501" w:rsidR="00345C6F" w:rsidRPr="00FD24B8" w:rsidRDefault="0031144A" w:rsidP="00345C6F">
            <w:pPr>
              <w:spacing w:after="0" w:line="240" w:lineRule="auto"/>
              <w:jc w:val="right"/>
              <w:rPr>
                <w:rFonts w:ascii="Arial" w:hAnsi="Arial" w:cs="Arial"/>
                <w:b/>
                <w:sz w:val="16"/>
                <w:szCs w:val="16"/>
              </w:rPr>
            </w:pPr>
            <w:r w:rsidRPr="00FD24B8">
              <w:rPr>
                <w:rFonts w:ascii="Arial" w:hAnsi="Arial" w:cs="Arial"/>
                <w:b/>
                <w:sz w:val="16"/>
                <w:szCs w:val="16"/>
              </w:rPr>
              <w:noBreakHyphen/>
            </w:r>
            <w:r w:rsidR="00345C6F" w:rsidRPr="00FD24B8">
              <w:rPr>
                <w:rFonts w:ascii="Arial" w:hAnsi="Arial" w:cs="Arial"/>
                <w:b/>
                <w:sz w:val="16"/>
                <w:szCs w:val="16"/>
              </w:rPr>
              <w:t>190.9</w:t>
            </w:r>
          </w:p>
        </w:tc>
      </w:tr>
      <w:tr w:rsidR="00A7276E" w:rsidRPr="00131EBC" w14:paraId="3167FC6D"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65D1A8D4"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73" w:type="pct"/>
            <w:tcBorders>
              <w:top w:val="nil"/>
              <w:left w:val="nil"/>
              <w:bottom w:val="nil"/>
              <w:right w:val="nil"/>
            </w:tcBorders>
            <w:shd w:val="clear" w:color="auto" w:fill="FFFFFF" w:themeFill="background1"/>
            <w:noWrap/>
            <w:vAlign w:val="center"/>
            <w:hideMark/>
          </w:tcPr>
          <w:p w14:paraId="3746A91B" w14:textId="38E3A2C4"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6.2</w:t>
            </w:r>
          </w:p>
        </w:tc>
        <w:tc>
          <w:tcPr>
            <w:tcW w:w="70" w:type="pct"/>
            <w:tcBorders>
              <w:top w:val="nil"/>
              <w:left w:val="nil"/>
              <w:bottom w:val="nil"/>
              <w:right w:val="nil"/>
            </w:tcBorders>
            <w:shd w:val="clear" w:color="auto" w:fill="FFFFFF" w:themeFill="background1"/>
            <w:noWrap/>
            <w:vAlign w:val="center"/>
            <w:hideMark/>
          </w:tcPr>
          <w:p w14:paraId="2CD23BBD"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184A8DB7" w14:textId="53D0AE72"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3.2</w:t>
            </w:r>
          </w:p>
        </w:tc>
        <w:tc>
          <w:tcPr>
            <w:tcW w:w="465" w:type="pct"/>
            <w:tcBorders>
              <w:top w:val="nil"/>
              <w:left w:val="nil"/>
              <w:bottom w:val="nil"/>
              <w:right w:val="nil"/>
            </w:tcBorders>
            <w:shd w:val="clear" w:color="auto" w:fill="F2F9FC"/>
            <w:noWrap/>
            <w:vAlign w:val="center"/>
            <w:hideMark/>
          </w:tcPr>
          <w:p w14:paraId="7F2B66F7" w14:textId="1848FA15"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2.9</w:t>
            </w:r>
          </w:p>
        </w:tc>
        <w:tc>
          <w:tcPr>
            <w:tcW w:w="465" w:type="pct"/>
            <w:tcBorders>
              <w:top w:val="nil"/>
              <w:left w:val="nil"/>
              <w:bottom w:val="nil"/>
              <w:right w:val="nil"/>
            </w:tcBorders>
            <w:shd w:val="clear" w:color="auto" w:fill="FFFFFF" w:themeFill="background1"/>
            <w:noWrap/>
            <w:vAlign w:val="center"/>
            <w:hideMark/>
          </w:tcPr>
          <w:p w14:paraId="3F1A087E" w14:textId="40EFC79A"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2.0</w:t>
            </w:r>
          </w:p>
        </w:tc>
        <w:tc>
          <w:tcPr>
            <w:tcW w:w="465" w:type="pct"/>
            <w:tcBorders>
              <w:top w:val="nil"/>
              <w:left w:val="nil"/>
              <w:bottom w:val="nil"/>
              <w:right w:val="nil"/>
            </w:tcBorders>
            <w:shd w:val="clear" w:color="auto" w:fill="FFFFFF" w:themeFill="background1"/>
            <w:noWrap/>
            <w:vAlign w:val="center"/>
            <w:hideMark/>
          </w:tcPr>
          <w:p w14:paraId="64C49FDD" w14:textId="48E1B9B0"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1.8</w:t>
            </w:r>
          </w:p>
        </w:tc>
        <w:tc>
          <w:tcPr>
            <w:tcW w:w="465" w:type="pct"/>
            <w:tcBorders>
              <w:top w:val="nil"/>
              <w:left w:val="nil"/>
              <w:bottom w:val="nil"/>
              <w:right w:val="nil"/>
            </w:tcBorders>
            <w:shd w:val="clear" w:color="auto" w:fill="FFFFFF" w:themeFill="background1"/>
            <w:noWrap/>
            <w:vAlign w:val="center"/>
            <w:hideMark/>
          </w:tcPr>
          <w:p w14:paraId="6635D62C" w14:textId="33B7B70C"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1.2</w:t>
            </w:r>
          </w:p>
        </w:tc>
        <w:tc>
          <w:tcPr>
            <w:tcW w:w="70" w:type="pct"/>
            <w:tcBorders>
              <w:top w:val="nil"/>
              <w:left w:val="nil"/>
              <w:bottom w:val="nil"/>
              <w:right w:val="nil"/>
            </w:tcBorders>
            <w:shd w:val="clear" w:color="auto" w:fill="FFFFFF" w:themeFill="background1"/>
            <w:noWrap/>
            <w:vAlign w:val="center"/>
            <w:hideMark/>
          </w:tcPr>
          <w:p w14:paraId="3A663D9C"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73" w:type="pct"/>
            <w:tcBorders>
              <w:top w:val="nil"/>
              <w:left w:val="nil"/>
              <w:bottom w:val="nil"/>
              <w:right w:val="nil"/>
            </w:tcBorders>
            <w:shd w:val="clear" w:color="auto" w:fill="FFFFFF" w:themeFill="background1"/>
            <w:noWrap/>
            <w:vAlign w:val="center"/>
            <w:hideMark/>
          </w:tcPr>
          <w:p w14:paraId="7F566B86" w14:textId="77777777" w:rsidR="00345C6F" w:rsidRPr="00FD24B8" w:rsidRDefault="00345C6F" w:rsidP="00345C6F">
            <w:pPr>
              <w:spacing w:after="0" w:line="240" w:lineRule="auto"/>
              <w:jc w:val="right"/>
              <w:rPr>
                <w:rFonts w:ascii="Arial" w:hAnsi="Arial" w:cs="Arial"/>
                <w:b/>
                <w:sz w:val="16"/>
                <w:szCs w:val="16"/>
              </w:rPr>
            </w:pPr>
            <w:r w:rsidRPr="00FD24B8">
              <w:rPr>
                <w:rFonts w:ascii="Arial" w:hAnsi="Arial" w:cs="Arial"/>
                <w:b/>
                <w:sz w:val="16"/>
                <w:szCs w:val="16"/>
              </w:rPr>
              <w:t> </w:t>
            </w:r>
          </w:p>
        </w:tc>
      </w:tr>
      <w:tr w:rsidR="00A7276E" w:rsidRPr="00131EBC" w14:paraId="7C5EDF30" w14:textId="77777777" w:rsidTr="22BCC46E">
        <w:trPr>
          <w:trHeight w:hRule="exact" w:val="60"/>
        </w:trPr>
        <w:tc>
          <w:tcPr>
            <w:tcW w:w="1590" w:type="pct"/>
            <w:tcBorders>
              <w:top w:val="nil"/>
              <w:left w:val="nil"/>
              <w:bottom w:val="nil"/>
              <w:right w:val="nil"/>
            </w:tcBorders>
            <w:shd w:val="clear" w:color="auto" w:fill="FFFFFF" w:themeFill="background1"/>
            <w:noWrap/>
            <w:vAlign w:val="center"/>
            <w:hideMark/>
          </w:tcPr>
          <w:p w14:paraId="7D4BA81A"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5A7CEAB9"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0" w:type="pct"/>
            <w:tcBorders>
              <w:top w:val="nil"/>
              <w:left w:val="nil"/>
              <w:bottom w:val="nil"/>
              <w:right w:val="nil"/>
            </w:tcBorders>
            <w:shd w:val="clear" w:color="auto" w:fill="FFFFFF" w:themeFill="background1"/>
            <w:noWrap/>
            <w:vAlign w:val="center"/>
            <w:hideMark/>
          </w:tcPr>
          <w:p w14:paraId="0545B006"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FFFFF" w:themeFill="background1"/>
            <w:noWrap/>
            <w:vAlign w:val="center"/>
            <w:hideMark/>
          </w:tcPr>
          <w:p w14:paraId="5D7E9079"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2F9FC"/>
            <w:noWrap/>
            <w:vAlign w:val="center"/>
            <w:hideMark/>
          </w:tcPr>
          <w:p w14:paraId="5B7957EF"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FFFFF" w:themeFill="background1"/>
            <w:noWrap/>
            <w:vAlign w:val="center"/>
            <w:hideMark/>
          </w:tcPr>
          <w:p w14:paraId="592F4DD4"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FFFFF" w:themeFill="background1"/>
            <w:noWrap/>
            <w:vAlign w:val="center"/>
            <w:hideMark/>
          </w:tcPr>
          <w:p w14:paraId="06C9AE56"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FFFFF" w:themeFill="background1"/>
            <w:noWrap/>
            <w:vAlign w:val="center"/>
            <w:hideMark/>
          </w:tcPr>
          <w:p w14:paraId="0231D770"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70" w:type="pct"/>
            <w:tcBorders>
              <w:top w:val="nil"/>
              <w:left w:val="nil"/>
              <w:bottom w:val="nil"/>
              <w:right w:val="nil"/>
            </w:tcBorders>
            <w:shd w:val="clear" w:color="auto" w:fill="FFFFFF" w:themeFill="background1"/>
            <w:noWrap/>
            <w:vAlign w:val="center"/>
            <w:hideMark/>
          </w:tcPr>
          <w:p w14:paraId="4D228E06"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73" w:type="pct"/>
            <w:tcBorders>
              <w:top w:val="nil"/>
              <w:left w:val="nil"/>
              <w:bottom w:val="nil"/>
              <w:right w:val="nil"/>
            </w:tcBorders>
            <w:shd w:val="clear" w:color="auto" w:fill="FFFFFF" w:themeFill="background1"/>
            <w:noWrap/>
            <w:vAlign w:val="center"/>
            <w:hideMark/>
          </w:tcPr>
          <w:p w14:paraId="41AF47B6" w14:textId="77777777" w:rsidR="00345C6F" w:rsidRPr="00FD24B8" w:rsidRDefault="00345C6F" w:rsidP="00345C6F">
            <w:pPr>
              <w:spacing w:after="0" w:line="240" w:lineRule="auto"/>
              <w:jc w:val="right"/>
              <w:rPr>
                <w:rFonts w:ascii="Arial" w:hAnsi="Arial" w:cs="Arial"/>
                <w:b/>
                <w:sz w:val="16"/>
                <w:szCs w:val="16"/>
              </w:rPr>
            </w:pPr>
            <w:r w:rsidRPr="00FD24B8">
              <w:rPr>
                <w:rFonts w:ascii="Arial" w:hAnsi="Arial" w:cs="Arial"/>
                <w:b/>
                <w:sz w:val="16"/>
                <w:szCs w:val="16"/>
              </w:rPr>
              <w:t> </w:t>
            </w:r>
          </w:p>
        </w:tc>
      </w:tr>
      <w:tr w:rsidR="00A7276E" w:rsidRPr="00131EBC" w14:paraId="42475580"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5EA53EFA" w14:textId="77777777" w:rsidR="00345C6F" w:rsidRPr="00131EBC" w:rsidRDefault="00345C6F" w:rsidP="00345C6F">
            <w:pPr>
              <w:spacing w:after="0" w:line="240" w:lineRule="auto"/>
              <w:jc w:val="left"/>
              <w:rPr>
                <w:rFonts w:ascii="Arial" w:hAnsi="Arial" w:cs="Arial"/>
                <w:b/>
                <w:sz w:val="16"/>
                <w:szCs w:val="16"/>
                <w:highlight w:val="darkCyan"/>
              </w:rPr>
            </w:pPr>
            <w:r w:rsidRPr="00FD24B8">
              <w:rPr>
                <w:rFonts w:ascii="Arial" w:hAnsi="Arial" w:cs="Arial"/>
                <w:b/>
                <w:sz w:val="16"/>
                <w:szCs w:val="16"/>
              </w:rPr>
              <w:t>Net capital investment</w:t>
            </w:r>
          </w:p>
        </w:tc>
        <w:tc>
          <w:tcPr>
            <w:tcW w:w="473" w:type="pct"/>
            <w:tcBorders>
              <w:top w:val="nil"/>
              <w:left w:val="nil"/>
              <w:bottom w:val="nil"/>
              <w:right w:val="nil"/>
            </w:tcBorders>
            <w:shd w:val="clear" w:color="auto" w:fill="FFFFFF" w:themeFill="background1"/>
            <w:noWrap/>
            <w:vAlign w:val="center"/>
            <w:hideMark/>
          </w:tcPr>
          <w:p w14:paraId="046DF77B"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7.2</w:t>
            </w:r>
          </w:p>
        </w:tc>
        <w:tc>
          <w:tcPr>
            <w:tcW w:w="70" w:type="pct"/>
            <w:tcBorders>
              <w:top w:val="nil"/>
              <w:left w:val="nil"/>
              <w:bottom w:val="nil"/>
              <w:right w:val="nil"/>
            </w:tcBorders>
            <w:shd w:val="clear" w:color="auto" w:fill="FFFFFF" w:themeFill="background1"/>
            <w:noWrap/>
            <w:vAlign w:val="center"/>
            <w:hideMark/>
          </w:tcPr>
          <w:p w14:paraId="09BBEA6D"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FFFFF" w:themeFill="background1"/>
            <w:noWrap/>
            <w:vAlign w:val="center"/>
            <w:hideMark/>
          </w:tcPr>
          <w:p w14:paraId="091D08AE"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11.1</w:t>
            </w:r>
          </w:p>
        </w:tc>
        <w:tc>
          <w:tcPr>
            <w:tcW w:w="465" w:type="pct"/>
            <w:tcBorders>
              <w:top w:val="nil"/>
              <w:left w:val="nil"/>
              <w:bottom w:val="nil"/>
              <w:right w:val="nil"/>
            </w:tcBorders>
            <w:shd w:val="clear" w:color="auto" w:fill="F2F9FC"/>
            <w:noWrap/>
            <w:vAlign w:val="center"/>
            <w:hideMark/>
          </w:tcPr>
          <w:p w14:paraId="39E2ADB7"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11.3</w:t>
            </w:r>
          </w:p>
        </w:tc>
        <w:tc>
          <w:tcPr>
            <w:tcW w:w="465" w:type="pct"/>
            <w:tcBorders>
              <w:top w:val="nil"/>
              <w:left w:val="nil"/>
              <w:bottom w:val="nil"/>
              <w:right w:val="nil"/>
            </w:tcBorders>
            <w:shd w:val="clear" w:color="auto" w:fill="FFFFFF" w:themeFill="background1"/>
            <w:noWrap/>
            <w:vAlign w:val="center"/>
            <w:hideMark/>
          </w:tcPr>
          <w:p w14:paraId="482F094A"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10.6</w:t>
            </w:r>
          </w:p>
        </w:tc>
        <w:tc>
          <w:tcPr>
            <w:tcW w:w="465" w:type="pct"/>
            <w:tcBorders>
              <w:top w:val="nil"/>
              <w:left w:val="nil"/>
              <w:bottom w:val="nil"/>
              <w:right w:val="nil"/>
            </w:tcBorders>
            <w:shd w:val="clear" w:color="auto" w:fill="FFFFFF" w:themeFill="background1"/>
            <w:noWrap/>
            <w:vAlign w:val="center"/>
            <w:hideMark/>
          </w:tcPr>
          <w:p w14:paraId="4F84447B"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7.4</w:t>
            </w:r>
          </w:p>
        </w:tc>
        <w:tc>
          <w:tcPr>
            <w:tcW w:w="465" w:type="pct"/>
            <w:tcBorders>
              <w:top w:val="nil"/>
              <w:left w:val="nil"/>
              <w:bottom w:val="nil"/>
              <w:right w:val="nil"/>
            </w:tcBorders>
            <w:shd w:val="clear" w:color="auto" w:fill="FFFFFF" w:themeFill="background1"/>
            <w:noWrap/>
            <w:vAlign w:val="center"/>
            <w:hideMark/>
          </w:tcPr>
          <w:p w14:paraId="20441267"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8.2</w:t>
            </w:r>
          </w:p>
        </w:tc>
        <w:tc>
          <w:tcPr>
            <w:tcW w:w="70" w:type="pct"/>
            <w:tcBorders>
              <w:top w:val="nil"/>
              <w:left w:val="nil"/>
              <w:bottom w:val="nil"/>
              <w:right w:val="nil"/>
            </w:tcBorders>
            <w:shd w:val="clear" w:color="auto" w:fill="FFFFFF" w:themeFill="background1"/>
            <w:noWrap/>
            <w:vAlign w:val="center"/>
            <w:hideMark/>
          </w:tcPr>
          <w:p w14:paraId="6E82CC96"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73" w:type="pct"/>
            <w:tcBorders>
              <w:top w:val="nil"/>
              <w:left w:val="nil"/>
              <w:bottom w:val="nil"/>
              <w:right w:val="nil"/>
            </w:tcBorders>
            <w:shd w:val="clear" w:color="auto" w:fill="FFFFFF" w:themeFill="background1"/>
            <w:noWrap/>
            <w:vAlign w:val="center"/>
            <w:hideMark/>
          </w:tcPr>
          <w:p w14:paraId="2AEF8829" w14:textId="77777777" w:rsidR="00345C6F" w:rsidRPr="00FD24B8" w:rsidRDefault="00345C6F" w:rsidP="00345C6F">
            <w:pPr>
              <w:spacing w:after="0" w:line="240" w:lineRule="auto"/>
              <w:jc w:val="right"/>
              <w:rPr>
                <w:rFonts w:ascii="Arial" w:hAnsi="Arial" w:cs="Arial"/>
                <w:b/>
                <w:sz w:val="16"/>
                <w:szCs w:val="16"/>
              </w:rPr>
            </w:pPr>
            <w:r w:rsidRPr="00FD24B8">
              <w:rPr>
                <w:rFonts w:ascii="Arial" w:hAnsi="Arial" w:cs="Arial"/>
                <w:b/>
                <w:sz w:val="16"/>
                <w:szCs w:val="16"/>
              </w:rPr>
              <w:t>37.5</w:t>
            </w:r>
          </w:p>
        </w:tc>
      </w:tr>
      <w:tr w:rsidR="00A7276E" w:rsidRPr="00131EBC" w14:paraId="4CBFF193"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45A7E9B7"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73" w:type="pct"/>
            <w:tcBorders>
              <w:top w:val="nil"/>
              <w:left w:val="nil"/>
              <w:bottom w:val="nil"/>
              <w:right w:val="nil"/>
            </w:tcBorders>
            <w:shd w:val="clear" w:color="auto" w:fill="FFFFFF" w:themeFill="background1"/>
            <w:noWrap/>
            <w:vAlign w:val="center"/>
            <w:hideMark/>
          </w:tcPr>
          <w:p w14:paraId="55BDDFA1"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0.3</w:t>
            </w:r>
          </w:p>
        </w:tc>
        <w:tc>
          <w:tcPr>
            <w:tcW w:w="70" w:type="pct"/>
            <w:tcBorders>
              <w:top w:val="nil"/>
              <w:left w:val="nil"/>
              <w:bottom w:val="nil"/>
              <w:right w:val="nil"/>
            </w:tcBorders>
            <w:shd w:val="clear" w:color="auto" w:fill="FFFFFF" w:themeFill="background1"/>
            <w:noWrap/>
            <w:vAlign w:val="center"/>
            <w:hideMark/>
          </w:tcPr>
          <w:p w14:paraId="70390EA2"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57F35350"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0.5</w:t>
            </w:r>
          </w:p>
        </w:tc>
        <w:tc>
          <w:tcPr>
            <w:tcW w:w="465" w:type="pct"/>
            <w:tcBorders>
              <w:top w:val="nil"/>
              <w:left w:val="nil"/>
              <w:bottom w:val="nil"/>
              <w:right w:val="nil"/>
            </w:tcBorders>
            <w:shd w:val="clear" w:color="auto" w:fill="F2F9FC"/>
            <w:noWrap/>
            <w:vAlign w:val="center"/>
            <w:hideMark/>
          </w:tcPr>
          <w:p w14:paraId="2CD004A6"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0.5</w:t>
            </w:r>
          </w:p>
        </w:tc>
        <w:tc>
          <w:tcPr>
            <w:tcW w:w="465" w:type="pct"/>
            <w:tcBorders>
              <w:top w:val="nil"/>
              <w:left w:val="nil"/>
              <w:bottom w:val="nil"/>
              <w:right w:val="nil"/>
            </w:tcBorders>
            <w:shd w:val="clear" w:color="auto" w:fill="FFFFFF" w:themeFill="background1"/>
            <w:noWrap/>
            <w:vAlign w:val="center"/>
            <w:hideMark/>
          </w:tcPr>
          <w:p w14:paraId="434F0CF3"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0.4</w:t>
            </w:r>
          </w:p>
        </w:tc>
        <w:tc>
          <w:tcPr>
            <w:tcW w:w="465" w:type="pct"/>
            <w:tcBorders>
              <w:top w:val="nil"/>
              <w:left w:val="nil"/>
              <w:bottom w:val="nil"/>
              <w:right w:val="nil"/>
            </w:tcBorders>
            <w:shd w:val="clear" w:color="auto" w:fill="FFFFFF" w:themeFill="background1"/>
            <w:noWrap/>
            <w:vAlign w:val="center"/>
            <w:hideMark/>
          </w:tcPr>
          <w:p w14:paraId="4AB0AC67"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0.3</w:t>
            </w:r>
          </w:p>
        </w:tc>
        <w:tc>
          <w:tcPr>
            <w:tcW w:w="465" w:type="pct"/>
            <w:tcBorders>
              <w:top w:val="nil"/>
              <w:left w:val="nil"/>
              <w:bottom w:val="nil"/>
              <w:right w:val="nil"/>
            </w:tcBorders>
            <w:shd w:val="clear" w:color="auto" w:fill="FFFFFF" w:themeFill="background1"/>
            <w:noWrap/>
            <w:vAlign w:val="center"/>
            <w:hideMark/>
          </w:tcPr>
          <w:p w14:paraId="76D2DB5C"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0.3</w:t>
            </w:r>
          </w:p>
        </w:tc>
        <w:tc>
          <w:tcPr>
            <w:tcW w:w="70" w:type="pct"/>
            <w:tcBorders>
              <w:top w:val="nil"/>
              <w:left w:val="nil"/>
              <w:bottom w:val="nil"/>
              <w:right w:val="nil"/>
            </w:tcBorders>
            <w:shd w:val="clear" w:color="auto" w:fill="FFFFFF" w:themeFill="background1"/>
            <w:noWrap/>
            <w:vAlign w:val="center"/>
            <w:hideMark/>
          </w:tcPr>
          <w:p w14:paraId="12364080"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73" w:type="pct"/>
            <w:tcBorders>
              <w:top w:val="nil"/>
              <w:left w:val="nil"/>
              <w:bottom w:val="nil"/>
              <w:right w:val="nil"/>
            </w:tcBorders>
            <w:shd w:val="clear" w:color="auto" w:fill="FFFFFF" w:themeFill="background1"/>
            <w:noWrap/>
            <w:vAlign w:val="center"/>
            <w:hideMark/>
          </w:tcPr>
          <w:p w14:paraId="46552D84" w14:textId="77777777" w:rsidR="00345C6F" w:rsidRPr="00FD24B8" w:rsidRDefault="00345C6F" w:rsidP="00345C6F">
            <w:pPr>
              <w:spacing w:after="0" w:line="240" w:lineRule="auto"/>
              <w:jc w:val="right"/>
              <w:rPr>
                <w:rFonts w:ascii="Arial" w:hAnsi="Arial" w:cs="Arial"/>
                <w:b/>
                <w:sz w:val="16"/>
                <w:szCs w:val="16"/>
              </w:rPr>
            </w:pPr>
            <w:r w:rsidRPr="00FD24B8">
              <w:rPr>
                <w:rFonts w:ascii="Arial" w:hAnsi="Arial" w:cs="Arial"/>
                <w:b/>
                <w:sz w:val="16"/>
                <w:szCs w:val="16"/>
              </w:rPr>
              <w:t> </w:t>
            </w:r>
          </w:p>
        </w:tc>
      </w:tr>
      <w:tr w:rsidR="00A7276E" w:rsidRPr="00131EBC" w14:paraId="7FFB8913" w14:textId="77777777" w:rsidTr="22BCC46E">
        <w:trPr>
          <w:trHeight w:hRule="exact" w:val="60"/>
        </w:trPr>
        <w:tc>
          <w:tcPr>
            <w:tcW w:w="1590" w:type="pct"/>
            <w:tcBorders>
              <w:top w:val="nil"/>
              <w:left w:val="nil"/>
              <w:bottom w:val="nil"/>
              <w:right w:val="nil"/>
            </w:tcBorders>
            <w:shd w:val="clear" w:color="auto" w:fill="FFFFFF" w:themeFill="background1"/>
            <w:noWrap/>
            <w:vAlign w:val="center"/>
            <w:hideMark/>
          </w:tcPr>
          <w:p w14:paraId="7AA37F52"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6D5874B5"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0" w:type="pct"/>
            <w:tcBorders>
              <w:top w:val="nil"/>
              <w:left w:val="nil"/>
              <w:bottom w:val="nil"/>
              <w:right w:val="nil"/>
            </w:tcBorders>
            <w:shd w:val="clear" w:color="auto" w:fill="FFFFFF" w:themeFill="background1"/>
            <w:noWrap/>
            <w:vAlign w:val="center"/>
            <w:hideMark/>
          </w:tcPr>
          <w:p w14:paraId="758230C6"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1E9600DC"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2F9FC"/>
            <w:noWrap/>
            <w:vAlign w:val="center"/>
            <w:hideMark/>
          </w:tcPr>
          <w:p w14:paraId="7BABC52B"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07B80D3E"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3AE0B880"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nil"/>
              <w:right w:val="nil"/>
            </w:tcBorders>
            <w:shd w:val="clear" w:color="auto" w:fill="FFFFFF" w:themeFill="background1"/>
            <w:noWrap/>
            <w:vAlign w:val="center"/>
            <w:hideMark/>
          </w:tcPr>
          <w:p w14:paraId="5A12CA16"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70" w:type="pct"/>
            <w:tcBorders>
              <w:top w:val="nil"/>
              <w:left w:val="nil"/>
              <w:bottom w:val="nil"/>
              <w:right w:val="nil"/>
            </w:tcBorders>
            <w:shd w:val="clear" w:color="auto" w:fill="FFFFFF" w:themeFill="background1"/>
            <w:noWrap/>
            <w:vAlign w:val="center"/>
            <w:hideMark/>
          </w:tcPr>
          <w:p w14:paraId="1DDF81B1"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nil"/>
              <w:right w:val="nil"/>
            </w:tcBorders>
            <w:shd w:val="clear" w:color="auto" w:fill="FFFFFF" w:themeFill="background1"/>
            <w:noWrap/>
            <w:vAlign w:val="center"/>
            <w:hideMark/>
          </w:tcPr>
          <w:p w14:paraId="227F12A8" w14:textId="77777777" w:rsidR="00345C6F" w:rsidRPr="00FD24B8" w:rsidRDefault="00345C6F" w:rsidP="00345C6F">
            <w:pPr>
              <w:spacing w:after="0" w:line="240" w:lineRule="auto"/>
              <w:jc w:val="right"/>
              <w:rPr>
                <w:rFonts w:ascii="Arial" w:hAnsi="Arial" w:cs="Arial"/>
                <w:sz w:val="16"/>
                <w:szCs w:val="16"/>
              </w:rPr>
            </w:pPr>
            <w:r w:rsidRPr="00FD24B8">
              <w:rPr>
                <w:rFonts w:ascii="Arial" w:hAnsi="Arial" w:cs="Arial"/>
                <w:sz w:val="16"/>
                <w:szCs w:val="16"/>
              </w:rPr>
              <w:t> </w:t>
            </w:r>
          </w:p>
        </w:tc>
      </w:tr>
      <w:tr w:rsidR="00A7276E" w:rsidRPr="00131EBC" w14:paraId="750F193D" w14:textId="77777777" w:rsidTr="22BCC46E">
        <w:trPr>
          <w:trHeight w:hRule="exact" w:val="225"/>
        </w:trPr>
        <w:tc>
          <w:tcPr>
            <w:tcW w:w="1590" w:type="pct"/>
            <w:tcBorders>
              <w:top w:val="nil"/>
              <w:left w:val="nil"/>
              <w:bottom w:val="nil"/>
              <w:right w:val="nil"/>
            </w:tcBorders>
            <w:shd w:val="clear" w:color="auto" w:fill="FFFFFF" w:themeFill="background1"/>
            <w:noWrap/>
            <w:vAlign w:val="center"/>
            <w:hideMark/>
          </w:tcPr>
          <w:p w14:paraId="6FC69A22" w14:textId="77777777" w:rsidR="00345C6F" w:rsidRPr="00131EBC" w:rsidRDefault="00345C6F" w:rsidP="00345C6F">
            <w:pPr>
              <w:spacing w:after="0" w:line="240" w:lineRule="auto"/>
              <w:jc w:val="left"/>
              <w:rPr>
                <w:rFonts w:ascii="Arial" w:hAnsi="Arial" w:cs="Arial"/>
                <w:b/>
                <w:sz w:val="16"/>
                <w:szCs w:val="16"/>
                <w:highlight w:val="darkCyan"/>
              </w:rPr>
            </w:pPr>
            <w:r w:rsidRPr="00FD24B8">
              <w:rPr>
                <w:rFonts w:ascii="Arial" w:hAnsi="Arial" w:cs="Arial"/>
                <w:b/>
                <w:sz w:val="16"/>
                <w:szCs w:val="16"/>
              </w:rPr>
              <w:t>Fiscal balance</w:t>
            </w:r>
          </w:p>
        </w:tc>
        <w:tc>
          <w:tcPr>
            <w:tcW w:w="473" w:type="pct"/>
            <w:tcBorders>
              <w:top w:val="nil"/>
              <w:left w:val="nil"/>
              <w:bottom w:val="nil"/>
              <w:right w:val="nil"/>
            </w:tcBorders>
            <w:shd w:val="clear" w:color="auto" w:fill="FFFFFF" w:themeFill="background1"/>
            <w:noWrap/>
            <w:vAlign w:val="center"/>
            <w:hideMark/>
          </w:tcPr>
          <w:p w14:paraId="3113EA7C" w14:textId="624D743B"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136.1</w:t>
            </w:r>
          </w:p>
        </w:tc>
        <w:tc>
          <w:tcPr>
            <w:tcW w:w="70" w:type="pct"/>
            <w:tcBorders>
              <w:top w:val="nil"/>
              <w:left w:val="nil"/>
              <w:bottom w:val="nil"/>
              <w:right w:val="nil"/>
            </w:tcBorders>
            <w:shd w:val="clear" w:color="auto" w:fill="FFFFFF" w:themeFill="background1"/>
            <w:noWrap/>
            <w:vAlign w:val="center"/>
            <w:hideMark/>
          </w:tcPr>
          <w:p w14:paraId="641772AF"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5" w:type="pct"/>
            <w:tcBorders>
              <w:top w:val="nil"/>
              <w:left w:val="nil"/>
              <w:bottom w:val="nil"/>
              <w:right w:val="nil"/>
            </w:tcBorders>
            <w:shd w:val="clear" w:color="auto" w:fill="FFFFFF" w:themeFill="background1"/>
            <w:noWrap/>
            <w:vAlign w:val="center"/>
            <w:hideMark/>
          </w:tcPr>
          <w:p w14:paraId="72978308" w14:textId="189237FA"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84.2</w:t>
            </w:r>
          </w:p>
        </w:tc>
        <w:tc>
          <w:tcPr>
            <w:tcW w:w="465" w:type="pct"/>
            <w:tcBorders>
              <w:top w:val="nil"/>
              <w:left w:val="nil"/>
              <w:bottom w:val="nil"/>
              <w:right w:val="nil"/>
            </w:tcBorders>
            <w:shd w:val="clear" w:color="auto" w:fill="F2F9FC"/>
            <w:noWrap/>
            <w:vAlign w:val="center"/>
            <w:hideMark/>
          </w:tcPr>
          <w:p w14:paraId="398AB37B" w14:textId="37120DF8"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78.8</w:t>
            </w:r>
          </w:p>
        </w:tc>
        <w:tc>
          <w:tcPr>
            <w:tcW w:w="465" w:type="pct"/>
            <w:tcBorders>
              <w:top w:val="nil"/>
              <w:left w:val="nil"/>
              <w:bottom w:val="nil"/>
              <w:right w:val="nil"/>
            </w:tcBorders>
            <w:shd w:val="clear" w:color="auto" w:fill="FFFFFF" w:themeFill="background1"/>
            <w:noWrap/>
            <w:vAlign w:val="center"/>
            <w:hideMark/>
          </w:tcPr>
          <w:p w14:paraId="19144CFA" w14:textId="2B623C35"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58.8</w:t>
            </w:r>
          </w:p>
        </w:tc>
        <w:tc>
          <w:tcPr>
            <w:tcW w:w="465" w:type="pct"/>
            <w:tcBorders>
              <w:top w:val="nil"/>
              <w:left w:val="nil"/>
              <w:bottom w:val="nil"/>
              <w:right w:val="nil"/>
            </w:tcBorders>
            <w:shd w:val="clear" w:color="auto" w:fill="FFFFFF" w:themeFill="background1"/>
            <w:noWrap/>
            <w:vAlign w:val="center"/>
            <w:hideMark/>
          </w:tcPr>
          <w:p w14:paraId="3AD9DDC0" w14:textId="5E956EC6"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51.1</w:t>
            </w:r>
          </w:p>
        </w:tc>
        <w:tc>
          <w:tcPr>
            <w:tcW w:w="465" w:type="pct"/>
            <w:tcBorders>
              <w:top w:val="nil"/>
              <w:left w:val="nil"/>
              <w:bottom w:val="nil"/>
              <w:right w:val="nil"/>
            </w:tcBorders>
            <w:shd w:val="clear" w:color="auto" w:fill="FFFFFF" w:themeFill="background1"/>
            <w:noWrap/>
            <w:vAlign w:val="center"/>
            <w:hideMark/>
          </w:tcPr>
          <w:p w14:paraId="531CDACD" w14:textId="73006DEC" w:rsidR="00345C6F" w:rsidRPr="00131EBC" w:rsidRDefault="0031144A"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345C6F" w:rsidRPr="00FD24B8">
              <w:rPr>
                <w:rFonts w:ascii="Arial" w:hAnsi="Arial" w:cs="Arial"/>
                <w:b/>
                <w:sz w:val="16"/>
                <w:szCs w:val="16"/>
              </w:rPr>
              <w:t>39.8</w:t>
            </w:r>
          </w:p>
        </w:tc>
        <w:tc>
          <w:tcPr>
            <w:tcW w:w="70" w:type="pct"/>
            <w:tcBorders>
              <w:top w:val="nil"/>
              <w:left w:val="nil"/>
              <w:bottom w:val="nil"/>
              <w:right w:val="nil"/>
            </w:tcBorders>
            <w:shd w:val="clear" w:color="auto" w:fill="FFFFFF" w:themeFill="background1"/>
            <w:noWrap/>
            <w:vAlign w:val="center"/>
            <w:hideMark/>
          </w:tcPr>
          <w:p w14:paraId="1502D254" w14:textId="77777777" w:rsidR="00345C6F" w:rsidRPr="00131EBC" w:rsidRDefault="00345C6F" w:rsidP="00345C6F">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73" w:type="pct"/>
            <w:tcBorders>
              <w:top w:val="nil"/>
              <w:left w:val="nil"/>
              <w:bottom w:val="nil"/>
              <w:right w:val="nil"/>
            </w:tcBorders>
            <w:shd w:val="clear" w:color="auto" w:fill="FFFFFF" w:themeFill="background1"/>
            <w:noWrap/>
            <w:vAlign w:val="center"/>
            <w:hideMark/>
          </w:tcPr>
          <w:p w14:paraId="284B8A8D" w14:textId="172E74A5" w:rsidR="00345C6F" w:rsidRPr="00FD24B8" w:rsidRDefault="0031144A" w:rsidP="00345C6F">
            <w:pPr>
              <w:spacing w:after="0" w:line="240" w:lineRule="auto"/>
              <w:jc w:val="right"/>
              <w:rPr>
                <w:rFonts w:ascii="Arial" w:hAnsi="Arial" w:cs="Arial"/>
                <w:b/>
                <w:sz w:val="16"/>
                <w:szCs w:val="16"/>
              </w:rPr>
            </w:pPr>
            <w:r w:rsidRPr="00FD24B8">
              <w:rPr>
                <w:rFonts w:ascii="Arial" w:hAnsi="Arial" w:cs="Arial"/>
                <w:b/>
                <w:sz w:val="16"/>
                <w:szCs w:val="16"/>
              </w:rPr>
              <w:noBreakHyphen/>
            </w:r>
            <w:r w:rsidR="00345C6F" w:rsidRPr="00FD24B8">
              <w:rPr>
                <w:rFonts w:ascii="Arial" w:hAnsi="Arial" w:cs="Arial"/>
                <w:b/>
                <w:sz w:val="16"/>
                <w:szCs w:val="16"/>
              </w:rPr>
              <w:t>228.4</w:t>
            </w:r>
          </w:p>
        </w:tc>
      </w:tr>
      <w:tr w:rsidR="00A7276E" w:rsidRPr="00131EBC" w14:paraId="620D29F5" w14:textId="77777777" w:rsidTr="22BCC46E">
        <w:trPr>
          <w:trHeight w:hRule="exact" w:val="225"/>
        </w:trPr>
        <w:tc>
          <w:tcPr>
            <w:tcW w:w="1590" w:type="pct"/>
            <w:tcBorders>
              <w:top w:val="nil"/>
              <w:left w:val="nil"/>
              <w:bottom w:val="single" w:sz="4" w:space="0" w:color="000000" w:themeColor="text1"/>
              <w:right w:val="nil"/>
            </w:tcBorders>
            <w:shd w:val="clear" w:color="auto" w:fill="FFFFFF" w:themeFill="background1"/>
            <w:noWrap/>
            <w:vAlign w:val="center"/>
            <w:hideMark/>
          </w:tcPr>
          <w:p w14:paraId="5F482714" w14:textId="77777777" w:rsidR="00345C6F" w:rsidRPr="00131EBC" w:rsidRDefault="00345C6F" w:rsidP="00345C6F">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473" w:type="pct"/>
            <w:tcBorders>
              <w:top w:val="nil"/>
              <w:left w:val="nil"/>
              <w:bottom w:val="single" w:sz="4" w:space="0" w:color="000000" w:themeColor="text1"/>
              <w:right w:val="nil"/>
            </w:tcBorders>
            <w:shd w:val="clear" w:color="auto" w:fill="FFFFFF" w:themeFill="background1"/>
            <w:noWrap/>
            <w:vAlign w:val="center"/>
            <w:hideMark/>
          </w:tcPr>
          <w:p w14:paraId="6E101616" w14:textId="1436A28F"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6.6</w:t>
            </w:r>
          </w:p>
        </w:tc>
        <w:tc>
          <w:tcPr>
            <w:tcW w:w="70" w:type="pct"/>
            <w:tcBorders>
              <w:top w:val="nil"/>
              <w:left w:val="nil"/>
              <w:bottom w:val="single" w:sz="4" w:space="0" w:color="000000" w:themeColor="text1"/>
              <w:right w:val="nil"/>
            </w:tcBorders>
            <w:shd w:val="clear" w:color="auto" w:fill="FFFFFF" w:themeFill="background1"/>
            <w:noWrap/>
            <w:vAlign w:val="center"/>
            <w:hideMark/>
          </w:tcPr>
          <w:p w14:paraId="7A2C3270"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5" w:type="pct"/>
            <w:tcBorders>
              <w:top w:val="nil"/>
              <w:left w:val="nil"/>
              <w:bottom w:val="single" w:sz="4" w:space="0" w:color="000000" w:themeColor="text1"/>
              <w:right w:val="nil"/>
            </w:tcBorders>
            <w:shd w:val="clear" w:color="auto" w:fill="FFFFFF" w:themeFill="background1"/>
            <w:noWrap/>
            <w:vAlign w:val="center"/>
            <w:hideMark/>
          </w:tcPr>
          <w:p w14:paraId="0C97FAFC" w14:textId="1B6F44AF"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3.7</w:t>
            </w:r>
          </w:p>
        </w:tc>
        <w:tc>
          <w:tcPr>
            <w:tcW w:w="465" w:type="pct"/>
            <w:tcBorders>
              <w:top w:val="nil"/>
              <w:left w:val="nil"/>
              <w:bottom w:val="single" w:sz="4" w:space="0" w:color="000000" w:themeColor="text1"/>
              <w:right w:val="nil"/>
            </w:tcBorders>
            <w:shd w:val="clear" w:color="auto" w:fill="F2F9FC"/>
            <w:noWrap/>
            <w:vAlign w:val="center"/>
            <w:hideMark/>
          </w:tcPr>
          <w:p w14:paraId="3D84589C" w14:textId="2D1EE84F"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3.4</w:t>
            </w:r>
          </w:p>
        </w:tc>
        <w:tc>
          <w:tcPr>
            <w:tcW w:w="465" w:type="pct"/>
            <w:tcBorders>
              <w:top w:val="nil"/>
              <w:left w:val="nil"/>
              <w:bottom w:val="single" w:sz="4" w:space="0" w:color="000000" w:themeColor="text1"/>
              <w:right w:val="nil"/>
            </w:tcBorders>
            <w:shd w:val="clear" w:color="auto" w:fill="FFFFFF" w:themeFill="background1"/>
            <w:noWrap/>
            <w:vAlign w:val="center"/>
            <w:hideMark/>
          </w:tcPr>
          <w:p w14:paraId="194821F4" w14:textId="6EE05030"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2.5</w:t>
            </w:r>
          </w:p>
        </w:tc>
        <w:tc>
          <w:tcPr>
            <w:tcW w:w="465" w:type="pct"/>
            <w:tcBorders>
              <w:top w:val="nil"/>
              <w:left w:val="nil"/>
              <w:bottom w:val="single" w:sz="4" w:space="0" w:color="000000" w:themeColor="text1"/>
              <w:right w:val="nil"/>
            </w:tcBorders>
            <w:shd w:val="clear" w:color="auto" w:fill="FFFFFF" w:themeFill="background1"/>
            <w:noWrap/>
            <w:vAlign w:val="center"/>
            <w:hideMark/>
          </w:tcPr>
          <w:p w14:paraId="7F4B59D7" w14:textId="48ED4DF7"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2.1</w:t>
            </w:r>
          </w:p>
        </w:tc>
        <w:tc>
          <w:tcPr>
            <w:tcW w:w="465" w:type="pct"/>
            <w:tcBorders>
              <w:top w:val="nil"/>
              <w:left w:val="nil"/>
              <w:bottom w:val="single" w:sz="4" w:space="0" w:color="000000" w:themeColor="text1"/>
              <w:right w:val="nil"/>
            </w:tcBorders>
            <w:shd w:val="clear" w:color="auto" w:fill="FFFFFF" w:themeFill="background1"/>
            <w:noWrap/>
            <w:vAlign w:val="center"/>
            <w:hideMark/>
          </w:tcPr>
          <w:p w14:paraId="08C282E5" w14:textId="4949DB72" w:rsidR="00345C6F" w:rsidRPr="00131EBC" w:rsidRDefault="0031144A" w:rsidP="00345C6F">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345C6F" w:rsidRPr="00FD24B8">
              <w:rPr>
                <w:rFonts w:ascii="Arial" w:hAnsi="Arial" w:cs="Arial"/>
                <w:sz w:val="16"/>
                <w:szCs w:val="16"/>
              </w:rPr>
              <w:t>1.5</w:t>
            </w:r>
          </w:p>
        </w:tc>
        <w:tc>
          <w:tcPr>
            <w:tcW w:w="70" w:type="pct"/>
            <w:tcBorders>
              <w:top w:val="nil"/>
              <w:left w:val="nil"/>
              <w:bottom w:val="single" w:sz="4" w:space="0" w:color="000000" w:themeColor="text1"/>
              <w:right w:val="nil"/>
            </w:tcBorders>
            <w:shd w:val="clear" w:color="auto" w:fill="FFFFFF" w:themeFill="background1"/>
            <w:noWrap/>
            <w:vAlign w:val="center"/>
            <w:hideMark/>
          </w:tcPr>
          <w:p w14:paraId="29245359" w14:textId="77777777" w:rsidR="00345C6F" w:rsidRPr="00131EBC" w:rsidRDefault="00345C6F" w:rsidP="00345C6F">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73" w:type="pct"/>
            <w:tcBorders>
              <w:top w:val="nil"/>
              <w:left w:val="nil"/>
              <w:bottom w:val="single" w:sz="4" w:space="0" w:color="000000" w:themeColor="text1"/>
              <w:right w:val="nil"/>
            </w:tcBorders>
            <w:shd w:val="clear" w:color="auto" w:fill="FFFFFF" w:themeFill="background1"/>
            <w:noWrap/>
            <w:vAlign w:val="center"/>
            <w:hideMark/>
          </w:tcPr>
          <w:p w14:paraId="719E5419" w14:textId="77777777" w:rsidR="00345C6F" w:rsidRPr="00FD24B8" w:rsidRDefault="00345C6F" w:rsidP="00345C6F">
            <w:pPr>
              <w:spacing w:after="0" w:line="240" w:lineRule="auto"/>
              <w:jc w:val="right"/>
              <w:rPr>
                <w:rFonts w:ascii="Arial" w:hAnsi="Arial" w:cs="Arial"/>
                <w:sz w:val="16"/>
                <w:szCs w:val="16"/>
              </w:rPr>
            </w:pPr>
            <w:r w:rsidRPr="00FD24B8">
              <w:rPr>
                <w:rFonts w:ascii="Arial" w:hAnsi="Arial" w:cs="Arial"/>
                <w:sz w:val="16"/>
                <w:szCs w:val="16"/>
              </w:rPr>
              <w:t> </w:t>
            </w:r>
          </w:p>
        </w:tc>
      </w:tr>
    </w:tbl>
    <w:p w14:paraId="4BAF3883" w14:textId="4A0E20EF" w:rsidR="00345C6F" w:rsidRPr="00FD24B8" w:rsidRDefault="00EE6A53" w:rsidP="001A6B57">
      <w:pPr>
        <w:pStyle w:val="ChartandTableFootnoteAlpha"/>
        <w:numPr>
          <w:ilvl w:val="0"/>
          <w:numId w:val="0"/>
        </w:numPr>
        <w:rPr>
          <w:color w:val="auto"/>
        </w:rPr>
      </w:pPr>
      <w:r w:rsidRPr="00FD24B8">
        <w:rPr>
          <w:color w:val="auto"/>
        </w:rPr>
        <w:t xml:space="preserve">(a) </w:t>
      </w:r>
      <w:r w:rsidR="00E264A2" w:rsidRPr="00FD24B8">
        <w:rPr>
          <w:color w:val="auto"/>
        </w:rPr>
        <w:t>Total is equal to the sum of amounts from 2022</w:t>
      </w:r>
      <w:r w:rsidR="00C1771F" w:rsidRPr="00FD24B8">
        <w:rPr>
          <w:color w:val="auto"/>
        </w:rPr>
        <w:noBreakHyphen/>
      </w:r>
      <w:r w:rsidR="00E264A2" w:rsidRPr="00FD24B8">
        <w:rPr>
          <w:color w:val="auto"/>
        </w:rPr>
        <w:t>23 to 2025</w:t>
      </w:r>
      <w:r w:rsidR="00C1771F" w:rsidRPr="00FD24B8">
        <w:rPr>
          <w:color w:val="auto"/>
        </w:rPr>
        <w:noBreakHyphen/>
      </w:r>
      <w:r w:rsidR="00E264A2" w:rsidRPr="00FD24B8">
        <w:rPr>
          <w:color w:val="auto"/>
        </w:rPr>
        <w:t>26.</w:t>
      </w:r>
    </w:p>
    <w:p w14:paraId="088D9A41" w14:textId="77777777" w:rsidR="00A7276E" w:rsidRPr="00FD24B8" w:rsidRDefault="00A7276E" w:rsidP="00A7276E">
      <w:pPr>
        <w:pStyle w:val="SingleParagraph"/>
      </w:pPr>
    </w:p>
    <w:p w14:paraId="2C9694C2" w14:textId="11F43EAB" w:rsidR="00F961A7" w:rsidRPr="00C127B4" w:rsidRDefault="00C30F85" w:rsidP="00F961A7">
      <w:r w:rsidRPr="00FD24B8">
        <w:fldChar w:fldCharType="begin"/>
      </w:r>
      <w:r w:rsidRPr="00FD24B8">
        <w:instrText xml:space="preserve"> :End:FARM_LS1 </w:instrText>
      </w:r>
      <w:r w:rsidRPr="00FD24B8">
        <w:fldChar w:fldCharType="end"/>
      </w:r>
      <w:r w:rsidR="00117E0F" w:rsidRPr="00FD24B8">
        <w:fldChar w:fldCharType="begin"/>
      </w:r>
      <w:r w:rsidR="00117E0F" w:rsidRPr="00FD24B8">
        <w:instrText xml:space="preserve"> :Start:BPD_BG1 </w:instrText>
      </w:r>
      <w:r w:rsidR="00117E0F" w:rsidRPr="00FD24B8">
        <w:fldChar w:fldCharType="end"/>
      </w:r>
      <w:r w:rsidR="00DB1D6F" w:rsidRPr="00FD24B8">
        <w:t>Table 3.</w:t>
      </w:r>
      <w:r w:rsidR="000A15CF" w:rsidRPr="00FD24B8">
        <w:t>9</w:t>
      </w:r>
      <w:r w:rsidR="00DB1D6F" w:rsidRPr="00FD24B8">
        <w:t xml:space="preserve"> provides a reconciliation of net operating balance estimates, including the impact of policy decisions and parameter and other variations on revenue and expenses since </w:t>
      </w:r>
      <w:r w:rsidR="007D3165" w:rsidRPr="00FD24B8">
        <w:t>MYEFO</w:t>
      </w:r>
      <w:r w:rsidR="00DB1D6F" w:rsidRPr="00FD24B8">
        <w:t>. The drivers of movements in the net operating balance estimates are largely the same as for the underlying cash balance.</w:t>
      </w:r>
      <w:r w:rsidR="00117E0F">
        <w:fldChar w:fldCharType="begin"/>
      </w:r>
      <w:r w:rsidR="00117E0F">
        <w:instrText xml:space="preserve"> :End:BPD_BG1 </w:instrText>
      </w:r>
      <w:r w:rsidR="00117E0F">
        <w:fldChar w:fldCharType="end"/>
      </w:r>
      <w:r w:rsidR="00F961A7" w:rsidRPr="00C11CA5">
        <w:br w:type="page"/>
      </w:r>
    </w:p>
    <w:p w14:paraId="5A6114F5" w14:textId="1A4AAA22" w:rsidR="005E3F20" w:rsidRPr="00FD24B8" w:rsidRDefault="00C30F85" w:rsidP="005E3F20">
      <w:pPr>
        <w:pStyle w:val="TableHeading"/>
        <w:rPr>
          <w:rFonts w:asciiTheme="minorHAnsi" w:eastAsiaTheme="minorHAnsi" w:hAnsiTheme="minorHAnsi" w:cstheme="minorBidi"/>
          <w:sz w:val="22"/>
          <w:szCs w:val="22"/>
          <w:lang w:eastAsia="en-US"/>
        </w:rPr>
      </w:pPr>
      <w:r>
        <w:lastRenderedPageBreak/>
        <w:fldChar w:fldCharType="begin"/>
      </w:r>
      <w:r>
        <w:instrText xml:space="preserve"> :Start:FARM_LS1 </w:instrText>
      </w:r>
      <w:r>
        <w:fldChar w:fldCharType="end"/>
      </w:r>
      <w:r w:rsidR="00F961A7" w:rsidRPr="00FD24B8">
        <w:t>Table 3.</w:t>
      </w:r>
      <w:r w:rsidR="004E4B7D" w:rsidRPr="00FD24B8">
        <w:t>9</w:t>
      </w:r>
      <w:r w:rsidR="00F961A7" w:rsidRPr="00FD24B8">
        <w:t xml:space="preserve">: Reconciliation of </w:t>
      </w:r>
      <w:r w:rsidR="00AE3CC8" w:rsidRPr="00FD24B8">
        <w:t xml:space="preserve">general government sector </w:t>
      </w:r>
      <w:r w:rsidR="00F961A7" w:rsidRPr="00FD24B8">
        <w:t>net operating balance estimates</w:t>
      </w:r>
    </w:p>
    <w:tbl>
      <w:tblPr>
        <w:tblW w:w="5000" w:type="pct"/>
        <w:tblCellMar>
          <w:left w:w="0" w:type="dxa"/>
          <w:right w:w="28" w:type="dxa"/>
        </w:tblCellMar>
        <w:tblLook w:val="04A0" w:firstRow="1" w:lastRow="0" w:firstColumn="1" w:lastColumn="0" w:noHBand="0" w:noVBand="1"/>
      </w:tblPr>
      <w:tblGrid>
        <w:gridCol w:w="2795"/>
        <w:gridCol w:w="812"/>
        <w:gridCol w:w="699"/>
        <w:gridCol w:w="836"/>
        <w:gridCol w:w="836"/>
        <w:gridCol w:w="836"/>
        <w:gridCol w:w="73"/>
        <w:gridCol w:w="823"/>
      </w:tblGrid>
      <w:tr w:rsidR="004B6FFC" w:rsidRPr="00131EBC" w14:paraId="4215099C" w14:textId="77777777" w:rsidTr="22BCC46E">
        <w:trPr>
          <w:trHeight w:hRule="exact" w:val="225"/>
        </w:trPr>
        <w:tc>
          <w:tcPr>
            <w:tcW w:w="1813" w:type="pct"/>
            <w:tcBorders>
              <w:top w:val="single" w:sz="4" w:space="0" w:color="000000" w:themeColor="text1"/>
              <w:left w:val="nil"/>
              <w:bottom w:val="nil"/>
              <w:right w:val="nil"/>
            </w:tcBorders>
            <w:shd w:val="clear" w:color="auto" w:fill="FFFFFF" w:themeFill="background1"/>
            <w:noWrap/>
            <w:vAlign w:val="bottom"/>
            <w:hideMark/>
          </w:tcPr>
          <w:p w14:paraId="1A6BA990" w14:textId="6E7B6D96" w:rsidR="005E3F20" w:rsidRPr="00131EBC" w:rsidRDefault="005E3F20" w:rsidP="005E3F20">
            <w:pPr>
              <w:spacing w:after="0" w:line="240" w:lineRule="auto"/>
              <w:jc w:val="left"/>
              <w:rPr>
                <w:rFonts w:ascii="Calibri" w:hAnsi="Calibri" w:cs="Calibri"/>
                <w:sz w:val="22"/>
                <w:szCs w:val="22"/>
                <w:highlight w:val="darkCyan"/>
              </w:rPr>
            </w:pPr>
            <w:r w:rsidRPr="00FD24B8">
              <w:rPr>
                <w:rFonts w:ascii="Calibri" w:hAnsi="Calibri" w:cs="Calibri"/>
                <w:sz w:val="22"/>
                <w:szCs w:val="22"/>
              </w:rPr>
              <w:t> </w:t>
            </w:r>
          </w:p>
        </w:tc>
        <w:tc>
          <w:tcPr>
            <w:tcW w:w="2606" w:type="pct"/>
            <w:gridSpan w:val="5"/>
            <w:tcBorders>
              <w:top w:val="single" w:sz="4" w:space="0" w:color="000000" w:themeColor="text1"/>
              <w:left w:val="nil"/>
              <w:bottom w:val="nil"/>
              <w:right w:val="nil"/>
            </w:tcBorders>
            <w:shd w:val="clear" w:color="auto" w:fill="FFFFFF" w:themeFill="background1"/>
            <w:noWrap/>
            <w:vAlign w:val="center"/>
            <w:hideMark/>
          </w:tcPr>
          <w:p w14:paraId="2F54C9A3" w14:textId="77777777" w:rsidR="005E3F20" w:rsidRPr="00131EBC" w:rsidRDefault="005E3F20" w:rsidP="005E3F20">
            <w:pPr>
              <w:spacing w:after="0" w:line="240" w:lineRule="auto"/>
              <w:jc w:val="center"/>
              <w:rPr>
                <w:rFonts w:ascii="Arial" w:hAnsi="Arial" w:cs="Arial"/>
                <w:sz w:val="16"/>
                <w:szCs w:val="16"/>
                <w:highlight w:val="darkCyan"/>
              </w:rPr>
            </w:pPr>
            <w:r w:rsidRPr="00FD24B8">
              <w:rPr>
                <w:rFonts w:ascii="Arial" w:hAnsi="Arial" w:cs="Arial"/>
                <w:sz w:val="16"/>
                <w:szCs w:val="16"/>
              </w:rPr>
              <w:t>Estimates</w:t>
            </w:r>
          </w:p>
        </w:tc>
        <w:tc>
          <w:tcPr>
            <w:tcW w:w="46" w:type="pct"/>
            <w:tcBorders>
              <w:top w:val="single" w:sz="4" w:space="0" w:color="000000" w:themeColor="text1"/>
              <w:left w:val="nil"/>
              <w:bottom w:val="nil"/>
              <w:right w:val="nil"/>
            </w:tcBorders>
            <w:shd w:val="clear" w:color="auto" w:fill="FFFFFF" w:themeFill="background1"/>
            <w:noWrap/>
            <w:vAlign w:val="center"/>
            <w:hideMark/>
          </w:tcPr>
          <w:p w14:paraId="62C84143"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34" w:type="pct"/>
            <w:tcBorders>
              <w:top w:val="single" w:sz="4" w:space="0" w:color="000000" w:themeColor="text1"/>
              <w:left w:val="nil"/>
              <w:bottom w:val="nil"/>
              <w:right w:val="nil"/>
            </w:tcBorders>
            <w:shd w:val="clear" w:color="auto" w:fill="FFFFFF" w:themeFill="background1"/>
            <w:noWrap/>
            <w:vAlign w:val="center"/>
            <w:hideMark/>
          </w:tcPr>
          <w:p w14:paraId="377C9962" w14:textId="77777777" w:rsidR="005E3F20" w:rsidRPr="00FD24B8" w:rsidRDefault="005E3F20" w:rsidP="005E3F20">
            <w:pPr>
              <w:spacing w:after="0" w:line="240" w:lineRule="auto"/>
              <w:jc w:val="left"/>
              <w:rPr>
                <w:rFonts w:ascii="Arial" w:hAnsi="Arial" w:cs="Arial"/>
                <w:sz w:val="16"/>
                <w:szCs w:val="16"/>
              </w:rPr>
            </w:pPr>
            <w:r w:rsidRPr="00FD24B8">
              <w:rPr>
                <w:rFonts w:ascii="Arial" w:hAnsi="Arial" w:cs="Arial"/>
                <w:sz w:val="16"/>
                <w:szCs w:val="16"/>
              </w:rPr>
              <w:t> </w:t>
            </w:r>
          </w:p>
        </w:tc>
      </w:tr>
      <w:tr w:rsidR="00B31B91" w:rsidRPr="00131EBC" w14:paraId="7325EB12" w14:textId="77777777" w:rsidTr="22BCC46E">
        <w:trPr>
          <w:trHeight w:hRule="exact" w:val="225"/>
        </w:trPr>
        <w:tc>
          <w:tcPr>
            <w:tcW w:w="1813" w:type="pct"/>
            <w:tcBorders>
              <w:top w:val="nil"/>
              <w:left w:val="nil"/>
              <w:bottom w:val="nil"/>
              <w:right w:val="nil"/>
            </w:tcBorders>
            <w:shd w:val="clear" w:color="auto" w:fill="FFFFFF" w:themeFill="background1"/>
            <w:noWrap/>
            <w:vAlign w:val="bottom"/>
            <w:hideMark/>
          </w:tcPr>
          <w:p w14:paraId="3C1E8AAD"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27" w:type="pct"/>
            <w:tcBorders>
              <w:top w:val="single" w:sz="4" w:space="0" w:color="auto"/>
              <w:left w:val="nil"/>
              <w:bottom w:val="nil"/>
              <w:right w:val="nil"/>
            </w:tcBorders>
            <w:shd w:val="clear" w:color="auto" w:fill="FFFFFF" w:themeFill="background1"/>
            <w:noWrap/>
            <w:vAlign w:val="center"/>
            <w:hideMark/>
          </w:tcPr>
          <w:p w14:paraId="7ABAE2FD" w14:textId="2887C4C4"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2021</w:t>
            </w:r>
            <w:r w:rsidR="0031144A" w:rsidRPr="00FD24B8">
              <w:rPr>
                <w:rFonts w:ascii="Arial" w:hAnsi="Arial" w:cs="Arial"/>
                <w:sz w:val="16"/>
                <w:szCs w:val="16"/>
              </w:rPr>
              <w:noBreakHyphen/>
            </w:r>
            <w:r w:rsidRPr="00FD24B8">
              <w:rPr>
                <w:rFonts w:ascii="Arial" w:hAnsi="Arial" w:cs="Arial"/>
                <w:sz w:val="16"/>
                <w:szCs w:val="16"/>
              </w:rPr>
              <w:t>22</w:t>
            </w:r>
          </w:p>
        </w:tc>
        <w:tc>
          <w:tcPr>
            <w:tcW w:w="453" w:type="pct"/>
            <w:tcBorders>
              <w:top w:val="single" w:sz="4" w:space="0" w:color="auto"/>
              <w:left w:val="nil"/>
              <w:bottom w:val="nil"/>
              <w:right w:val="nil"/>
            </w:tcBorders>
            <w:shd w:val="clear" w:color="auto" w:fill="F2F9FC"/>
            <w:noWrap/>
            <w:vAlign w:val="center"/>
            <w:hideMark/>
          </w:tcPr>
          <w:p w14:paraId="6EA30370" w14:textId="06F47E82"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2022</w:t>
            </w:r>
            <w:r w:rsidR="0031144A" w:rsidRPr="00FD24B8">
              <w:rPr>
                <w:rFonts w:ascii="Arial" w:hAnsi="Arial" w:cs="Arial"/>
                <w:sz w:val="16"/>
                <w:szCs w:val="16"/>
              </w:rPr>
              <w:noBreakHyphen/>
            </w:r>
            <w:r w:rsidRPr="00FD24B8">
              <w:rPr>
                <w:rFonts w:ascii="Arial" w:hAnsi="Arial" w:cs="Arial"/>
                <w:sz w:val="16"/>
                <w:szCs w:val="16"/>
              </w:rPr>
              <w:t>23</w:t>
            </w:r>
          </w:p>
        </w:tc>
        <w:tc>
          <w:tcPr>
            <w:tcW w:w="542" w:type="pct"/>
            <w:tcBorders>
              <w:top w:val="single" w:sz="4" w:space="0" w:color="auto"/>
              <w:left w:val="nil"/>
              <w:bottom w:val="nil"/>
              <w:right w:val="nil"/>
            </w:tcBorders>
            <w:shd w:val="clear" w:color="auto" w:fill="FFFFFF" w:themeFill="background1"/>
            <w:noWrap/>
            <w:vAlign w:val="center"/>
            <w:hideMark/>
          </w:tcPr>
          <w:p w14:paraId="7EC7BF84" w14:textId="38724EFE"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2023</w:t>
            </w:r>
            <w:r w:rsidR="0031144A" w:rsidRPr="00FD24B8">
              <w:rPr>
                <w:rFonts w:ascii="Arial" w:hAnsi="Arial" w:cs="Arial"/>
                <w:sz w:val="16"/>
                <w:szCs w:val="16"/>
              </w:rPr>
              <w:noBreakHyphen/>
            </w:r>
            <w:r w:rsidRPr="00FD24B8">
              <w:rPr>
                <w:rFonts w:ascii="Arial" w:hAnsi="Arial" w:cs="Arial"/>
                <w:sz w:val="16"/>
                <w:szCs w:val="16"/>
              </w:rPr>
              <w:t>24</w:t>
            </w:r>
          </w:p>
        </w:tc>
        <w:tc>
          <w:tcPr>
            <w:tcW w:w="542" w:type="pct"/>
            <w:tcBorders>
              <w:top w:val="single" w:sz="4" w:space="0" w:color="auto"/>
              <w:left w:val="nil"/>
              <w:bottom w:val="nil"/>
              <w:right w:val="nil"/>
            </w:tcBorders>
            <w:shd w:val="clear" w:color="auto" w:fill="FFFFFF" w:themeFill="background1"/>
            <w:noWrap/>
            <w:vAlign w:val="center"/>
            <w:hideMark/>
          </w:tcPr>
          <w:p w14:paraId="500B3771" w14:textId="6EE71524"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2024</w:t>
            </w:r>
            <w:r w:rsidR="0031144A" w:rsidRPr="00FD24B8">
              <w:rPr>
                <w:rFonts w:ascii="Arial" w:hAnsi="Arial" w:cs="Arial"/>
                <w:sz w:val="16"/>
                <w:szCs w:val="16"/>
              </w:rPr>
              <w:noBreakHyphen/>
            </w:r>
            <w:r w:rsidRPr="00FD24B8">
              <w:rPr>
                <w:rFonts w:ascii="Arial" w:hAnsi="Arial" w:cs="Arial"/>
                <w:sz w:val="16"/>
                <w:szCs w:val="16"/>
              </w:rPr>
              <w:t>25</w:t>
            </w:r>
          </w:p>
        </w:tc>
        <w:tc>
          <w:tcPr>
            <w:tcW w:w="542" w:type="pct"/>
            <w:tcBorders>
              <w:top w:val="single" w:sz="4" w:space="0" w:color="auto"/>
              <w:left w:val="nil"/>
              <w:bottom w:val="nil"/>
              <w:right w:val="nil"/>
            </w:tcBorders>
            <w:shd w:val="clear" w:color="auto" w:fill="FFFFFF" w:themeFill="background1"/>
            <w:noWrap/>
            <w:vAlign w:val="center"/>
            <w:hideMark/>
          </w:tcPr>
          <w:p w14:paraId="595ADA11" w14:textId="02B520ED"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2025</w:t>
            </w:r>
            <w:r w:rsidR="0031144A" w:rsidRPr="00FD24B8">
              <w:rPr>
                <w:rFonts w:ascii="Arial" w:hAnsi="Arial" w:cs="Arial"/>
                <w:sz w:val="16"/>
                <w:szCs w:val="16"/>
              </w:rPr>
              <w:noBreakHyphen/>
            </w:r>
            <w:r w:rsidRPr="00FD24B8">
              <w:rPr>
                <w:rFonts w:ascii="Arial" w:hAnsi="Arial" w:cs="Arial"/>
                <w:sz w:val="16"/>
                <w:szCs w:val="16"/>
              </w:rPr>
              <w:t>26</w:t>
            </w:r>
          </w:p>
        </w:tc>
        <w:tc>
          <w:tcPr>
            <w:tcW w:w="46" w:type="pct"/>
            <w:tcBorders>
              <w:top w:val="nil"/>
              <w:left w:val="nil"/>
              <w:bottom w:val="nil"/>
              <w:right w:val="nil"/>
            </w:tcBorders>
            <w:shd w:val="clear" w:color="auto" w:fill="FFFFFF" w:themeFill="background1"/>
            <w:noWrap/>
            <w:vAlign w:val="center"/>
            <w:hideMark/>
          </w:tcPr>
          <w:p w14:paraId="0D6CAD3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single" w:sz="4" w:space="0" w:color="auto"/>
              <w:left w:val="nil"/>
              <w:bottom w:val="nil"/>
              <w:right w:val="nil"/>
            </w:tcBorders>
            <w:shd w:val="clear" w:color="auto" w:fill="FFFFFF" w:themeFill="background1"/>
            <w:noWrap/>
            <w:vAlign w:val="center"/>
            <w:hideMark/>
          </w:tcPr>
          <w:p w14:paraId="1D3E1E87"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Total(a)</w:t>
            </w:r>
          </w:p>
        </w:tc>
      </w:tr>
      <w:tr w:rsidR="00B31B91" w:rsidRPr="00131EBC" w14:paraId="0588AF75"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10B7FD10"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27" w:type="pct"/>
            <w:tcBorders>
              <w:top w:val="nil"/>
              <w:left w:val="nil"/>
              <w:bottom w:val="single" w:sz="4" w:space="0" w:color="000000" w:themeColor="text1"/>
              <w:right w:val="nil"/>
            </w:tcBorders>
            <w:shd w:val="clear" w:color="auto" w:fill="FFFFFF" w:themeFill="background1"/>
            <w:noWrap/>
            <w:vAlign w:val="center"/>
            <w:hideMark/>
          </w:tcPr>
          <w:p w14:paraId="7D741B76"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453" w:type="pct"/>
            <w:tcBorders>
              <w:top w:val="nil"/>
              <w:left w:val="nil"/>
              <w:bottom w:val="single" w:sz="4" w:space="0" w:color="000000" w:themeColor="text1"/>
              <w:right w:val="nil"/>
            </w:tcBorders>
            <w:shd w:val="clear" w:color="auto" w:fill="F2F9FC"/>
            <w:noWrap/>
            <w:vAlign w:val="center"/>
            <w:hideMark/>
          </w:tcPr>
          <w:p w14:paraId="6A4E771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5F3BF663"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1A681AE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26DD72E1"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$m</w:t>
            </w:r>
          </w:p>
        </w:tc>
        <w:tc>
          <w:tcPr>
            <w:tcW w:w="46" w:type="pct"/>
            <w:tcBorders>
              <w:top w:val="nil"/>
              <w:left w:val="nil"/>
              <w:bottom w:val="nil"/>
              <w:right w:val="nil"/>
            </w:tcBorders>
            <w:shd w:val="clear" w:color="auto" w:fill="FFFFFF" w:themeFill="background1"/>
            <w:noWrap/>
            <w:vAlign w:val="center"/>
            <w:hideMark/>
          </w:tcPr>
          <w:p w14:paraId="188CDC7C"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single" w:sz="4" w:space="0" w:color="000000" w:themeColor="text1"/>
              <w:right w:val="nil"/>
            </w:tcBorders>
            <w:shd w:val="clear" w:color="auto" w:fill="FFFFFF" w:themeFill="background1"/>
            <w:noWrap/>
            <w:vAlign w:val="center"/>
            <w:hideMark/>
          </w:tcPr>
          <w:p w14:paraId="6EF3441B"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$m</w:t>
            </w:r>
          </w:p>
        </w:tc>
      </w:tr>
      <w:tr w:rsidR="005E3F20" w:rsidRPr="00131EBC" w14:paraId="3D4124AC"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67BFC17E" w14:textId="5E5340CE" w:rsidR="005E3F20" w:rsidRPr="00131EBC" w:rsidRDefault="005E3F20" w:rsidP="005E3F20">
            <w:pPr>
              <w:spacing w:after="0" w:line="240" w:lineRule="auto"/>
              <w:jc w:val="left"/>
              <w:rPr>
                <w:rFonts w:ascii="Arial" w:hAnsi="Arial" w:cs="Arial"/>
                <w:b/>
                <w:sz w:val="16"/>
                <w:szCs w:val="16"/>
                <w:highlight w:val="darkCyan"/>
              </w:rPr>
            </w:pPr>
            <w:r w:rsidRPr="00FD24B8">
              <w:rPr>
                <w:rFonts w:ascii="Arial" w:hAnsi="Arial" w:cs="Arial"/>
                <w:b/>
                <w:sz w:val="16"/>
                <w:szCs w:val="16"/>
              </w:rPr>
              <w:t>2021</w:t>
            </w:r>
            <w:r w:rsidR="0031144A" w:rsidRPr="00FD24B8">
              <w:rPr>
                <w:rFonts w:ascii="Arial" w:hAnsi="Arial" w:cs="Arial"/>
                <w:b/>
                <w:sz w:val="16"/>
                <w:szCs w:val="16"/>
              </w:rPr>
              <w:noBreakHyphen/>
            </w:r>
            <w:r w:rsidRPr="00FD24B8">
              <w:rPr>
                <w:rFonts w:ascii="Arial" w:hAnsi="Arial" w:cs="Arial"/>
                <w:b/>
                <w:sz w:val="16"/>
                <w:szCs w:val="16"/>
              </w:rPr>
              <w:t>22 Budget net operating</w:t>
            </w:r>
          </w:p>
        </w:tc>
        <w:tc>
          <w:tcPr>
            <w:tcW w:w="527" w:type="pct"/>
            <w:tcBorders>
              <w:top w:val="nil"/>
              <w:left w:val="nil"/>
              <w:bottom w:val="nil"/>
              <w:right w:val="nil"/>
            </w:tcBorders>
            <w:shd w:val="clear" w:color="auto" w:fill="FFFFFF" w:themeFill="background1"/>
            <w:noWrap/>
            <w:vAlign w:val="center"/>
            <w:hideMark/>
          </w:tcPr>
          <w:p w14:paraId="426EDC22"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31FFEAA1"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1D8FA01"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3BFBD832"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7A1DC37"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278A12F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770606D6"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643B5172"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0728A7BD" w14:textId="77777777" w:rsidR="005E3F20" w:rsidRPr="00131EBC" w:rsidRDefault="005E3F20" w:rsidP="005E3F20">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balance</w:t>
            </w:r>
          </w:p>
        </w:tc>
        <w:tc>
          <w:tcPr>
            <w:tcW w:w="527" w:type="pct"/>
            <w:tcBorders>
              <w:top w:val="nil"/>
              <w:left w:val="nil"/>
              <w:bottom w:val="nil"/>
              <w:right w:val="nil"/>
            </w:tcBorders>
            <w:shd w:val="clear" w:color="auto" w:fill="FFFFFF" w:themeFill="background1"/>
            <w:noWrap/>
            <w:vAlign w:val="center"/>
            <w:hideMark/>
          </w:tcPr>
          <w:p w14:paraId="3DB7BB8D" w14:textId="404E6FFB"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92,713</w:t>
            </w:r>
          </w:p>
        </w:tc>
        <w:tc>
          <w:tcPr>
            <w:tcW w:w="453" w:type="pct"/>
            <w:tcBorders>
              <w:top w:val="nil"/>
              <w:left w:val="nil"/>
              <w:bottom w:val="nil"/>
              <w:right w:val="nil"/>
            </w:tcBorders>
            <w:shd w:val="clear" w:color="auto" w:fill="F2F9FC"/>
            <w:noWrap/>
            <w:vAlign w:val="center"/>
            <w:hideMark/>
          </w:tcPr>
          <w:p w14:paraId="4CA2EB69" w14:textId="30729B68"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90,233</w:t>
            </w:r>
          </w:p>
        </w:tc>
        <w:tc>
          <w:tcPr>
            <w:tcW w:w="542" w:type="pct"/>
            <w:tcBorders>
              <w:top w:val="nil"/>
              <w:left w:val="nil"/>
              <w:bottom w:val="nil"/>
              <w:right w:val="nil"/>
            </w:tcBorders>
            <w:shd w:val="clear" w:color="auto" w:fill="FFFFFF" w:themeFill="background1"/>
            <w:noWrap/>
            <w:vAlign w:val="center"/>
            <w:hideMark/>
          </w:tcPr>
          <w:p w14:paraId="212DF729" w14:textId="74361B48"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70,178</w:t>
            </w:r>
          </w:p>
        </w:tc>
        <w:tc>
          <w:tcPr>
            <w:tcW w:w="542" w:type="pct"/>
            <w:tcBorders>
              <w:top w:val="nil"/>
              <w:left w:val="nil"/>
              <w:bottom w:val="nil"/>
              <w:right w:val="nil"/>
            </w:tcBorders>
            <w:shd w:val="clear" w:color="auto" w:fill="FFFFFF" w:themeFill="background1"/>
            <w:noWrap/>
            <w:vAlign w:val="center"/>
            <w:hideMark/>
          </w:tcPr>
          <w:p w14:paraId="7B6F9577" w14:textId="4E9E41C2"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55,736</w:t>
            </w:r>
          </w:p>
        </w:tc>
        <w:tc>
          <w:tcPr>
            <w:tcW w:w="542" w:type="pct"/>
            <w:tcBorders>
              <w:top w:val="nil"/>
              <w:left w:val="nil"/>
              <w:bottom w:val="nil"/>
              <w:right w:val="nil"/>
            </w:tcBorders>
            <w:shd w:val="clear" w:color="auto" w:fill="FFFFFF" w:themeFill="background1"/>
            <w:noWrap/>
            <w:vAlign w:val="center"/>
            <w:hideMark/>
          </w:tcPr>
          <w:p w14:paraId="02C5F191"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w:t>
            </w:r>
          </w:p>
        </w:tc>
        <w:tc>
          <w:tcPr>
            <w:tcW w:w="46" w:type="pct"/>
            <w:tcBorders>
              <w:top w:val="nil"/>
              <w:left w:val="nil"/>
              <w:bottom w:val="nil"/>
              <w:right w:val="nil"/>
            </w:tcBorders>
            <w:shd w:val="clear" w:color="auto" w:fill="FFFFFF" w:themeFill="background1"/>
            <w:noWrap/>
            <w:vAlign w:val="center"/>
            <w:hideMark/>
          </w:tcPr>
          <w:p w14:paraId="7ED0FA8C"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4" w:type="pct"/>
            <w:tcBorders>
              <w:top w:val="nil"/>
              <w:left w:val="nil"/>
              <w:bottom w:val="nil"/>
              <w:right w:val="nil"/>
            </w:tcBorders>
            <w:shd w:val="clear" w:color="auto" w:fill="FFFFFF" w:themeFill="background1"/>
            <w:vAlign w:val="center"/>
            <w:hideMark/>
          </w:tcPr>
          <w:p w14:paraId="3228D9E1" w14:textId="77777777" w:rsidR="005E3F20" w:rsidRPr="00FD24B8" w:rsidRDefault="005E3F20" w:rsidP="005E3F20">
            <w:pPr>
              <w:spacing w:after="0" w:line="240" w:lineRule="auto"/>
              <w:jc w:val="right"/>
              <w:rPr>
                <w:rFonts w:ascii="Arial" w:hAnsi="Arial" w:cs="Arial"/>
                <w:b/>
                <w:sz w:val="16"/>
                <w:szCs w:val="16"/>
              </w:rPr>
            </w:pPr>
            <w:r w:rsidRPr="00FD24B8">
              <w:rPr>
                <w:rFonts w:ascii="Arial" w:hAnsi="Arial" w:cs="Arial"/>
                <w:b/>
                <w:sz w:val="16"/>
                <w:szCs w:val="16"/>
              </w:rPr>
              <w:t>*</w:t>
            </w:r>
          </w:p>
        </w:tc>
      </w:tr>
      <w:tr w:rsidR="005E3F20" w:rsidRPr="00131EBC" w14:paraId="2F440CE1"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52B071E8"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27" w:type="pct"/>
            <w:tcBorders>
              <w:top w:val="nil"/>
              <w:left w:val="nil"/>
              <w:bottom w:val="nil"/>
              <w:right w:val="nil"/>
            </w:tcBorders>
            <w:shd w:val="clear" w:color="auto" w:fill="FFFFFF" w:themeFill="background1"/>
            <w:noWrap/>
            <w:vAlign w:val="center"/>
            <w:hideMark/>
          </w:tcPr>
          <w:p w14:paraId="560EB5E9" w14:textId="4054E8B6"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4.3</w:t>
            </w:r>
          </w:p>
        </w:tc>
        <w:tc>
          <w:tcPr>
            <w:tcW w:w="453" w:type="pct"/>
            <w:tcBorders>
              <w:top w:val="nil"/>
              <w:left w:val="nil"/>
              <w:bottom w:val="nil"/>
              <w:right w:val="nil"/>
            </w:tcBorders>
            <w:shd w:val="clear" w:color="auto" w:fill="F2F9FC"/>
            <w:noWrap/>
            <w:vAlign w:val="center"/>
            <w:hideMark/>
          </w:tcPr>
          <w:p w14:paraId="0D658350" w14:textId="380BCB45"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4.1</w:t>
            </w:r>
          </w:p>
        </w:tc>
        <w:tc>
          <w:tcPr>
            <w:tcW w:w="542" w:type="pct"/>
            <w:tcBorders>
              <w:top w:val="nil"/>
              <w:left w:val="nil"/>
              <w:bottom w:val="nil"/>
              <w:right w:val="nil"/>
            </w:tcBorders>
            <w:shd w:val="clear" w:color="auto" w:fill="FFFFFF" w:themeFill="background1"/>
            <w:noWrap/>
            <w:vAlign w:val="center"/>
            <w:hideMark/>
          </w:tcPr>
          <w:p w14:paraId="0A6B5B79" w14:textId="0EE60892"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3.1</w:t>
            </w:r>
          </w:p>
        </w:tc>
        <w:tc>
          <w:tcPr>
            <w:tcW w:w="542" w:type="pct"/>
            <w:tcBorders>
              <w:top w:val="nil"/>
              <w:left w:val="nil"/>
              <w:bottom w:val="nil"/>
              <w:right w:val="nil"/>
            </w:tcBorders>
            <w:shd w:val="clear" w:color="auto" w:fill="FFFFFF" w:themeFill="background1"/>
            <w:noWrap/>
            <w:vAlign w:val="center"/>
            <w:hideMark/>
          </w:tcPr>
          <w:p w14:paraId="53A0E867" w14:textId="15411BBE"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2.3</w:t>
            </w:r>
          </w:p>
        </w:tc>
        <w:tc>
          <w:tcPr>
            <w:tcW w:w="542" w:type="pct"/>
            <w:tcBorders>
              <w:top w:val="nil"/>
              <w:left w:val="nil"/>
              <w:bottom w:val="nil"/>
              <w:right w:val="nil"/>
            </w:tcBorders>
            <w:shd w:val="clear" w:color="auto" w:fill="FFFFFF" w:themeFill="background1"/>
            <w:noWrap/>
            <w:vAlign w:val="center"/>
            <w:hideMark/>
          </w:tcPr>
          <w:p w14:paraId="5F00A124"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3632C73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55120484"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7F1D5417"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60AECDCE" w14:textId="7DB83780" w:rsidR="005E3F20" w:rsidRPr="00131EBC" w:rsidRDefault="005E3F20" w:rsidP="005E3F20">
            <w:pPr>
              <w:spacing w:after="0" w:line="240" w:lineRule="auto"/>
              <w:jc w:val="left"/>
              <w:rPr>
                <w:rFonts w:ascii="Arial" w:hAnsi="Arial" w:cs="Arial"/>
                <w:b/>
                <w:sz w:val="16"/>
                <w:szCs w:val="16"/>
                <w:highlight w:val="darkCyan"/>
              </w:rPr>
            </w:pPr>
            <w:r w:rsidRPr="00FD24B8">
              <w:rPr>
                <w:rFonts w:ascii="Arial" w:hAnsi="Arial" w:cs="Arial"/>
                <w:b/>
                <w:sz w:val="16"/>
                <w:szCs w:val="16"/>
              </w:rPr>
              <w:t>Changes from 2021</w:t>
            </w:r>
            <w:r w:rsidR="0031144A" w:rsidRPr="00FD24B8">
              <w:rPr>
                <w:rFonts w:ascii="Arial" w:hAnsi="Arial" w:cs="Arial"/>
                <w:b/>
                <w:sz w:val="16"/>
                <w:szCs w:val="16"/>
              </w:rPr>
              <w:noBreakHyphen/>
            </w:r>
            <w:r w:rsidRPr="00FD24B8">
              <w:rPr>
                <w:rFonts w:ascii="Arial" w:hAnsi="Arial" w:cs="Arial"/>
                <w:b/>
                <w:sz w:val="16"/>
                <w:szCs w:val="16"/>
              </w:rPr>
              <w:t>22 Budget to</w:t>
            </w:r>
          </w:p>
        </w:tc>
        <w:tc>
          <w:tcPr>
            <w:tcW w:w="527" w:type="pct"/>
            <w:tcBorders>
              <w:top w:val="nil"/>
              <w:left w:val="nil"/>
              <w:bottom w:val="nil"/>
              <w:right w:val="nil"/>
            </w:tcBorders>
            <w:shd w:val="clear" w:color="auto" w:fill="FFFFFF" w:themeFill="background1"/>
            <w:noWrap/>
            <w:vAlign w:val="center"/>
            <w:hideMark/>
          </w:tcPr>
          <w:p w14:paraId="2D1A4F46"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655FF86F"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2DCAA98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52D61C12"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7AFFC6B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41763A36"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6FA3EF39"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6C75B83D"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232FF643" w14:textId="7DD35A26" w:rsidR="005E3F20" w:rsidRPr="00131EBC" w:rsidRDefault="005E3F20" w:rsidP="005E3F20">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2021</w:t>
            </w:r>
            <w:r w:rsidR="0031144A" w:rsidRPr="00FD24B8">
              <w:rPr>
                <w:rFonts w:ascii="Arial" w:hAnsi="Arial" w:cs="Arial"/>
                <w:b/>
                <w:sz w:val="16"/>
                <w:szCs w:val="16"/>
              </w:rPr>
              <w:noBreakHyphen/>
            </w:r>
            <w:r w:rsidRPr="00FD24B8">
              <w:rPr>
                <w:rFonts w:ascii="Arial" w:hAnsi="Arial" w:cs="Arial"/>
                <w:b/>
                <w:sz w:val="16"/>
                <w:szCs w:val="16"/>
              </w:rPr>
              <w:t>22 MYEFO</w:t>
            </w:r>
          </w:p>
        </w:tc>
        <w:tc>
          <w:tcPr>
            <w:tcW w:w="527" w:type="pct"/>
            <w:tcBorders>
              <w:top w:val="nil"/>
              <w:left w:val="nil"/>
              <w:bottom w:val="nil"/>
              <w:right w:val="nil"/>
            </w:tcBorders>
            <w:shd w:val="clear" w:color="auto" w:fill="FFFFFF" w:themeFill="background1"/>
            <w:noWrap/>
            <w:vAlign w:val="center"/>
            <w:hideMark/>
          </w:tcPr>
          <w:p w14:paraId="02071E38"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661EEE7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BAEED7A"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10D92C2D"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76807F6E"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3AA58AEF"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7BCFC2EB"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4D24D4D7"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7B29FA90"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Effect of policy decisions(b)</w:t>
            </w:r>
          </w:p>
        </w:tc>
        <w:tc>
          <w:tcPr>
            <w:tcW w:w="527" w:type="pct"/>
            <w:tcBorders>
              <w:top w:val="nil"/>
              <w:left w:val="nil"/>
              <w:bottom w:val="nil"/>
              <w:right w:val="nil"/>
            </w:tcBorders>
            <w:shd w:val="clear" w:color="auto" w:fill="FFFFFF" w:themeFill="background1"/>
            <w:noWrap/>
            <w:vAlign w:val="center"/>
            <w:hideMark/>
          </w:tcPr>
          <w:p w14:paraId="147E50A4" w14:textId="3120587A"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31,653</w:t>
            </w:r>
          </w:p>
        </w:tc>
        <w:tc>
          <w:tcPr>
            <w:tcW w:w="453" w:type="pct"/>
            <w:tcBorders>
              <w:top w:val="nil"/>
              <w:left w:val="nil"/>
              <w:bottom w:val="nil"/>
              <w:right w:val="nil"/>
            </w:tcBorders>
            <w:shd w:val="clear" w:color="auto" w:fill="F2F9FC"/>
            <w:noWrap/>
            <w:vAlign w:val="center"/>
            <w:hideMark/>
          </w:tcPr>
          <w:p w14:paraId="4CE84D76" w14:textId="3002061C"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6,012</w:t>
            </w:r>
          </w:p>
        </w:tc>
        <w:tc>
          <w:tcPr>
            <w:tcW w:w="542" w:type="pct"/>
            <w:tcBorders>
              <w:top w:val="nil"/>
              <w:left w:val="nil"/>
              <w:bottom w:val="nil"/>
              <w:right w:val="nil"/>
            </w:tcBorders>
            <w:shd w:val="clear" w:color="auto" w:fill="FFFFFF" w:themeFill="background1"/>
            <w:noWrap/>
            <w:vAlign w:val="center"/>
            <w:hideMark/>
          </w:tcPr>
          <w:p w14:paraId="06F09651" w14:textId="21BDBA41"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4,021</w:t>
            </w:r>
          </w:p>
        </w:tc>
        <w:tc>
          <w:tcPr>
            <w:tcW w:w="542" w:type="pct"/>
            <w:tcBorders>
              <w:top w:val="nil"/>
              <w:left w:val="nil"/>
              <w:bottom w:val="nil"/>
              <w:right w:val="nil"/>
            </w:tcBorders>
            <w:shd w:val="clear" w:color="auto" w:fill="FFFFFF" w:themeFill="background1"/>
            <w:noWrap/>
            <w:vAlign w:val="center"/>
            <w:hideMark/>
          </w:tcPr>
          <w:p w14:paraId="56C34ADC" w14:textId="22624030"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3,353</w:t>
            </w:r>
          </w:p>
        </w:tc>
        <w:tc>
          <w:tcPr>
            <w:tcW w:w="542" w:type="pct"/>
            <w:tcBorders>
              <w:top w:val="nil"/>
              <w:left w:val="nil"/>
              <w:bottom w:val="nil"/>
              <w:right w:val="nil"/>
            </w:tcBorders>
            <w:shd w:val="clear" w:color="auto" w:fill="FFFFFF" w:themeFill="background1"/>
            <w:noWrap/>
            <w:vAlign w:val="center"/>
            <w:hideMark/>
          </w:tcPr>
          <w:p w14:paraId="1D1BC4EC"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w:t>
            </w:r>
          </w:p>
        </w:tc>
        <w:tc>
          <w:tcPr>
            <w:tcW w:w="46" w:type="pct"/>
            <w:tcBorders>
              <w:top w:val="nil"/>
              <w:left w:val="nil"/>
              <w:bottom w:val="nil"/>
              <w:right w:val="nil"/>
            </w:tcBorders>
            <w:shd w:val="clear" w:color="auto" w:fill="FFFFFF" w:themeFill="background1"/>
            <w:noWrap/>
            <w:vAlign w:val="center"/>
            <w:hideMark/>
          </w:tcPr>
          <w:p w14:paraId="4D5E53E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36C560F1"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w:t>
            </w:r>
          </w:p>
        </w:tc>
      </w:tr>
      <w:tr w:rsidR="005E3F20" w:rsidRPr="00131EBC" w14:paraId="098C30A4"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19062D66"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Effect of parameter and other</w:t>
            </w:r>
          </w:p>
        </w:tc>
        <w:tc>
          <w:tcPr>
            <w:tcW w:w="527" w:type="pct"/>
            <w:tcBorders>
              <w:top w:val="nil"/>
              <w:left w:val="nil"/>
              <w:bottom w:val="nil"/>
              <w:right w:val="nil"/>
            </w:tcBorders>
            <w:shd w:val="clear" w:color="auto" w:fill="FFFFFF" w:themeFill="background1"/>
            <w:noWrap/>
            <w:vAlign w:val="center"/>
            <w:hideMark/>
          </w:tcPr>
          <w:p w14:paraId="1D086E1C"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6774E9A8"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0B34C8CC"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0307E9C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619FCBC2"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4A58BD3A"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49602C31"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B31B91" w:rsidRPr="00131EBC" w14:paraId="620DF0C5"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6232B913" w14:textId="77777777" w:rsidR="005E3F20" w:rsidRPr="00131EBC" w:rsidRDefault="005E3F20" w:rsidP="005E3F20">
            <w:pPr>
              <w:spacing w:after="0" w:line="240" w:lineRule="auto"/>
              <w:ind w:left="170"/>
              <w:jc w:val="left"/>
              <w:rPr>
                <w:rFonts w:ascii="Arial" w:hAnsi="Arial" w:cs="Arial"/>
                <w:sz w:val="16"/>
                <w:szCs w:val="16"/>
                <w:highlight w:val="darkCyan"/>
              </w:rPr>
            </w:pPr>
            <w:r w:rsidRPr="00FD24B8">
              <w:rPr>
                <w:rFonts w:ascii="Arial" w:hAnsi="Arial" w:cs="Arial"/>
                <w:sz w:val="16"/>
                <w:szCs w:val="16"/>
              </w:rPr>
              <w:t>variations</w:t>
            </w:r>
          </w:p>
        </w:tc>
        <w:tc>
          <w:tcPr>
            <w:tcW w:w="527" w:type="pct"/>
            <w:tcBorders>
              <w:top w:val="nil"/>
              <w:left w:val="nil"/>
              <w:bottom w:val="single" w:sz="4" w:space="0" w:color="000000" w:themeColor="text1"/>
              <w:right w:val="nil"/>
            </w:tcBorders>
            <w:shd w:val="clear" w:color="auto" w:fill="FFFFFF" w:themeFill="background1"/>
            <w:noWrap/>
            <w:vAlign w:val="center"/>
            <w:hideMark/>
          </w:tcPr>
          <w:p w14:paraId="4EF30244"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33,056</w:t>
            </w:r>
          </w:p>
        </w:tc>
        <w:tc>
          <w:tcPr>
            <w:tcW w:w="453" w:type="pct"/>
            <w:tcBorders>
              <w:top w:val="nil"/>
              <w:left w:val="nil"/>
              <w:bottom w:val="single" w:sz="4" w:space="0" w:color="000000" w:themeColor="text1"/>
              <w:right w:val="nil"/>
            </w:tcBorders>
            <w:shd w:val="clear" w:color="auto" w:fill="F2F9FC"/>
            <w:noWrap/>
            <w:vAlign w:val="center"/>
            <w:hideMark/>
          </w:tcPr>
          <w:p w14:paraId="5BAAC7EA"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10,272</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41C4345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1,585</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1F191A18"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5,853</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210AC371"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w:t>
            </w:r>
          </w:p>
        </w:tc>
        <w:tc>
          <w:tcPr>
            <w:tcW w:w="46" w:type="pct"/>
            <w:tcBorders>
              <w:top w:val="nil"/>
              <w:left w:val="nil"/>
              <w:bottom w:val="nil"/>
              <w:right w:val="nil"/>
            </w:tcBorders>
            <w:shd w:val="clear" w:color="auto" w:fill="FFFFFF" w:themeFill="background1"/>
            <w:noWrap/>
            <w:vAlign w:val="center"/>
            <w:hideMark/>
          </w:tcPr>
          <w:p w14:paraId="34F88CC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3E3DC07A"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w:t>
            </w:r>
          </w:p>
        </w:tc>
      </w:tr>
      <w:tr w:rsidR="00B31B91" w:rsidRPr="00131EBC" w14:paraId="60D08692"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4BDA9759" w14:textId="77777777" w:rsidR="005E3F20" w:rsidRPr="00131EBC" w:rsidRDefault="005E3F20" w:rsidP="005E3F20">
            <w:pPr>
              <w:spacing w:after="0" w:line="240" w:lineRule="auto"/>
              <w:jc w:val="left"/>
              <w:rPr>
                <w:rFonts w:ascii="Arial" w:hAnsi="Arial" w:cs="Arial"/>
                <w:b/>
                <w:sz w:val="16"/>
                <w:szCs w:val="16"/>
                <w:highlight w:val="darkCyan"/>
              </w:rPr>
            </w:pPr>
            <w:r w:rsidRPr="00FD24B8">
              <w:rPr>
                <w:rFonts w:ascii="Arial" w:hAnsi="Arial" w:cs="Arial"/>
                <w:b/>
                <w:sz w:val="16"/>
                <w:szCs w:val="16"/>
              </w:rPr>
              <w:t>Total variations</w:t>
            </w:r>
          </w:p>
        </w:tc>
        <w:tc>
          <w:tcPr>
            <w:tcW w:w="527" w:type="pct"/>
            <w:tcBorders>
              <w:top w:val="nil"/>
              <w:left w:val="nil"/>
              <w:bottom w:val="single" w:sz="4" w:space="0" w:color="000000" w:themeColor="text1"/>
              <w:right w:val="nil"/>
            </w:tcBorders>
            <w:shd w:val="clear" w:color="auto" w:fill="FFFFFF" w:themeFill="background1"/>
            <w:noWrap/>
            <w:vAlign w:val="center"/>
            <w:hideMark/>
          </w:tcPr>
          <w:p w14:paraId="1BED0CBF"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1,403</w:t>
            </w:r>
          </w:p>
        </w:tc>
        <w:tc>
          <w:tcPr>
            <w:tcW w:w="453" w:type="pct"/>
            <w:tcBorders>
              <w:top w:val="nil"/>
              <w:left w:val="nil"/>
              <w:bottom w:val="single" w:sz="4" w:space="0" w:color="000000" w:themeColor="text1"/>
              <w:right w:val="nil"/>
            </w:tcBorders>
            <w:shd w:val="clear" w:color="auto" w:fill="F2F9FC"/>
            <w:noWrap/>
            <w:vAlign w:val="center"/>
            <w:hideMark/>
          </w:tcPr>
          <w:p w14:paraId="700EC5F0"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4,260</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01CC7E21" w14:textId="2E49CF4F"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2,436</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1D0F67DF"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2,501</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73108C1C"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w:t>
            </w:r>
          </w:p>
        </w:tc>
        <w:tc>
          <w:tcPr>
            <w:tcW w:w="46" w:type="pct"/>
            <w:tcBorders>
              <w:top w:val="nil"/>
              <w:left w:val="nil"/>
              <w:bottom w:val="nil"/>
              <w:right w:val="nil"/>
            </w:tcBorders>
            <w:shd w:val="clear" w:color="auto" w:fill="FFFFFF" w:themeFill="background1"/>
            <w:noWrap/>
            <w:vAlign w:val="center"/>
            <w:hideMark/>
          </w:tcPr>
          <w:p w14:paraId="5CDC048F"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4" w:type="pct"/>
            <w:tcBorders>
              <w:top w:val="single" w:sz="4" w:space="0" w:color="auto"/>
              <w:left w:val="nil"/>
              <w:bottom w:val="single" w:sz="4" w:space="0" w:color="auto"/>
              <w:right w:val="nil"/>
            </w:tcBorders>
            <w:shd w:val="clear" w:color="auto" w:fill="FFFFFF" w:themeFill="background1"/>
            <w:noWrap/>
            <w:vAlign w:val="center"/>
            <w:hideMark/>
          </w:tcPr>
          <w:p w14:paraId="7FA7BB7C" w14:textId="77777777" w:rsidR="005E3F20" w:rsidRPr="00FD24B8" w:rsidRDefault="005E3F20" w:rsidP="005E3F20">
            <w:pPr>
              <w:spacing w:after="0" w:line="240" w:lineRule="auto"/>
              <w:jc w:val="right"/>
              <w:rPr>
                <w:rFonts w:ascii="Arial" w:hAnsi="Arial" w:cs="Arial"/>
                <w:b/>
                <w:sz w:val="16"/>
                <w:szCs w:val="16"/>
              </w:rPr>
            </w:pPr>
            <w:r w:rsidRPr="00FD24B8">
              <w:rPr>
                <w:rFonts w:ascii="Arial" w:hAnsi="Arial" w:cs="Arial"/>
                <w:b/>
                <w:sz w:val="16"/>
                <w:szCs w:val="16"/>
              </w:rPr>
              <w:t>*</w:t>
            </w:r>
          </w:p>
        </w:tc>
      </w:tr>
      <w:tr w:rsidR="005E3F20" w:rsidRPr="00131EBC" w14:paraId="698C7642" w14:textId="77777777" w:rsidTr="22BCC46E">
        <w:trPr>
          <w:trHeight w:hRule="exact" w:val="60"/>
        </w:trPr>
        <w:tc>
          <w:tcPr>
            <w:tcW w:w="1813" w:type="pct"/>
            <w:tcBorders>
              <w:top w:val="nil"/>
              <w:left w:val="nil"/>
              <w:bottom w:val="nil"/>
              <w:right w:val="nil"/>
            </w:tcBorders>
            <w:shd w:val="clear" w:color="auto" w:fill="FFFFFF" w:themeFill="background1"/>
            <w:noWrap/>
            <w:vAlign w:val="center"/>
            <w:hideMark/>
          </w:tcPr>
          <w:p w14:paraId="3AC77910" w14:textId="77777777" w:rsidR="005E3F20" w:rsidRPr="00131EBC" w:rsidRDefault="005E3F20" w:rsidP="005E3F20">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27" w:type="pct"/>
            <w:tcBorders>
              <w:top w:val="nil"/>
              <w:left w:val="nil"/>
              <w:bottom w:val="nil"/>
              <w:right w:val="nil"/>
            </w:tcBorders>
            <w:shd w:val="clear" w:color="auto" w:fill="FFFFFF" w:themeFill="background1"/>
            <w:noWrap/>
            <w:vAlign w:val="center"/>
            <w:hideMark/>
          </w:tcPr>
          <w:p w14:paraId="117C357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651C5AEA"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0BD8BBCC"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14A92D18"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3933BD1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10EA3796"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04631E42"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7EC3C8AC"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4CA1A93A" w14:textId="63399FBA" w:rsidR="005E3F20" w:rsidRPr="00131EBC" w:rsidRDefault="005E3F20" w:rsidP="005E3F20">
            <w:pPr>
              <w:spacing w:after="0" w:line="240" w:lineRule="auto"/>
              <w:jc w:val="left"/>
              <w:rPr>
                <w:rFonts w:ascii="Arial" w:hAnsi="Arial" w:cs="Arial"/>
                <w:b/>
                <w:sz w:val="16"/>
                <w:szCs w:val="16"/>
                <w:highlight w:val="darkCyan"/>
              </w:rPr>
            </w:pPr>
            <w:r w:rsidRPr="00FD24B8">
              <w:rPr>
                <w:rFonts w:ascii="Arial" w:hAnsi="Arial" w:cs="Arial"/>
                <w:b/>
                <w:sz w:val="16"/>
                <w:szCs w:val="16"/>
              </w:rPr>
              <w:t>2021</w:t>
            </w:r>
            <w:r w:rsidR="0031144A" w:rsidRPr="00FD24B8">
              <w:rPr>
                <w:rFonts w:ascii="Arial" w:hAnsi="Arial" w:cs="Arial"/>
                <w:b/>
                <w:sz w:val="16"/>
                <w:szCs w:val="16"/>
              </w:rPr>
              <w:noBreakHyphen/>
            </w:r>
            <w:r w:rsidRPr="00FD24B8">
              <w:rPr>
                <w:rFonts w:ascii="Arial" w:hAnsi="Arial" w:cs="Arial"/>
                <w:b/>
                <w:sz w:val="16"/>
                <w:szCs w:val="16"/>
              </w:rPr>
              <w:t>22 MYEFO net operating</w:t>
            </w:r>
          </w:p>
        </w:tc>
        <w:tc>
          <w:tcPr>
            <w:tcW w:w="527" w:type="pct"/>
            <w:tcBorders>
              <w:top w:val="nil"/>
              <w:left w:val="nil"/>
              <w:bottom w:val="nil"/>
              <w:right w:val="nil"/>
            </w:tcBorders>
            <w:shd w:val="clear" w:color="auto" w:fill="FFFFFF" w:themeFill="background1"/>
            <w:noWrap/>
            <w:vAlign w:val="center"/>
            <w:hideMark/>
          </w:tcPr>
          <w:p w14:paraId="70E5FB72"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41EC3B67"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1EAFA2F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530C326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15F579C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054C6B4F"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5FBD5DC9"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150C99B1"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37F67AD3" w14:textId="77777777" w:rsidR="005E3F20" w:rsidRPr="00131EBC" w:rsidRDefault="005E3F20" w:rsidP="005E3F20">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balance</w:t>
            </w:r>
          </w:p>
        </w:tc>
        <w:tc>
          <w:tcPr>
            <w:tcW w:w="527" w:type="pct"/>
            <w:tcBorders>
              <w:top w:val="nil"/>
              <w:left w:val="nil"/>
              <w:bottom w:val="nil"/>
              <w:right w:val="nil"/>
            </w:tcBorders>
            <w:shd w:val="clear" w:color="auto" w:fill="FFFFFF" w:themeFill="background1"/>
            <w:noWrap/>
            <w:vAlign w:val="center"/>
            <w:hideMark/>
          </w:tcPr>
          <w:p w14:paraId="05D2D2BD" w14:textId="1A4BDF4F"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91,310</w:t>
            </w:r>
          </w:p>
        </w:tc>
        <w:tc>
          <w:tcPr>
            <w:tcW w:w="453" w:type="pct"/>
            <w:tcBorders>
              <w:top w:val="nil"/>
              <w:left w:val="nil"/>
              <w:bottom w:val="nil"/>
              <w:right w:val="nil"/>
            </w:tcBorders>
            <w:shd w:val="clear" w:color="auto" w:fill="F2F9FC"/>
            <w:noWrap/>
            <w:vAlign w:val="center"/>
            <w:hideMark/>
          </w:tcPr>
          <w:p w14:paraId="03EB4739" w14:textId="217DEB38"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85,973</w:t>
            </w:r>
          </w:p>
        </w:tc>
        <w:tc>
          <w:tcPr>
            <w:tcW w:w="542" w:type="pct"/>
            <w:tcBorders>
              <w:top w:val="nil"/>
              <w:left w:val="nil"/>
              <w:bottom w:val="nil"/>
              <w:right w:val="nil"/>
            </w:tcBorders>
            <w:shd w:val="clear" w:color="auto" w:fill="FFFFFF" w:themeFill="background1"/>
            <w:noWrap/>
            <w:vAlign w:val="center"/>
            <w:hideMark/>
          </w:tcPr>
          <w:p w14:paraId="74180FC6" w14:textId="2F4DB1E7"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72,614</w:t>
            </w:r>
          </w:p>
        </w:tc>
        <w:tc>
          <w:tcPr>
            <w:tcW w:w="542" w:type="pct"/>
            <w:tcBorders>
              <w:top w:val="nil"/>
              <w:left w:val="nil"/>
              <w:bottom w:val="nil"/>
              <w:right w:val="nil"/>
            </w:tcBorders>
            <w:shd w:val="clear" w:color="auto" w:fill="FFFFFF" w:themeFill="background1"/>
            <w:noWrap/>
            <w:vAlign w:val="center"/>
            <w:hideMark/>
          </w:tcPr>
          <w:p w14:paraId="5A22165D" w14:textId="163D9276"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53,235</w:t>
            </w:r>
          </w:p>
        </w:tc>
        <w:tc>
          <w:tcPr>
            <w:tcW w:w="542" w:type="pct"/>
            <w:tcBorders>
              <w:top w:val="nil"/>
              <w:left w:val="nil"/>
              <w:bottom w:val="nil"/>
              <w:right w:val="nil"/>
            </w:tcBorders>
            <w:shd w:val="clear" w:color="auto" w:fill="FFFFFF" w:themeFill="background1"/>
            <w:noWrap/>
            <w:vAlign w:val="center"/>
            <w:hideMark/>
          </w:tcPr>
          <w:p w14:paraId="68C0DC4D"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w:t>
            </w:r>
          </w:p>
        </w:tc>
        <w:tc>
          <w:tcPr>
            <w:tcW w:w="46" w:type="pct"/>
            <w:tcBorders>
              <w:top w:val="nil"/>
              <w:left w:val="nil"/>
              <w:bottom w:val="nil"/>
              <w:right w:val="nil"/>
            </w:tcBorders>
            <w:shd w:val="clear" w:color="auto" w:fill="FFFFFF" w:themeFill="background1"/>
            <w:noWrap/>
            <w:vAlign w:val="center"/>
            <w:hideMark/>
          </w:tcPr>
          <w:p w14:paraId="49D0731A"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4" w:type="pct"/>
            <w:tcBorders>
              <w:top w:val="nil"/>
              <w:left w:val="nil"/>
              <w:bottom w:val="nil"/>
              <w:right w:val="nil"/>
            </w:tcBorders>
            <w:shd w:val="clear" w:color="auto" w:fill="FFFFFF" w:themeFill="background1"/>
            <w:noWrap/>
            <w:vAlign w:val="center"/>
            <w:hideMark/>
          </w:tcPr>
          <w:p w14:paraId="5CDC9352" w14:textId="77777777" w:rsidR="005E3F20" w:rsidRPr="00FD24B8" w:rsidRDefault="005E3F20" w:rsidP="005E3F20">
            <w:pPr>
              <w:spacing w:after="0" w:line="240" w:lineRule="auto"/>
              <w:jc w:val="right"/>
              <w:rPr>
                <w:rFonts w:ascii="Arial" w:hAnsi="Arial" w:cs="Arial"/>
                <w:b/>
                <w:sz w:val="16"/>
                <w:szCs w:val="16"/>
              </w:rPr>
            </w:pPr>
            <w:r w:rsidRPr="00FD24B8">
              <w:rPr>
                <w:rFonts w:ascii="Arial" w:hAnsi="Arial" w:cs="Arial"/>
                <w:b/>
                <w:sz w:val="16"/>
                <w:szCs w:val="16"/>
              </w:rPr>
              <w:t>*</w:t>
            </w:r>
          </w:p>
        </w:tc>
      </w:tr>
      <w:tr w:rsidR="005E3F20" w:rsidRPr="00131EBC" w14:paraId="593EA138"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1F70DA2B"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27" w:type="pct"/>
            <w:tcBorders>
              <w:top w:val="nil"/>
              <w:left w:val="nil"/>
              <w:bottom w:val="nil"/>
              <w:right w:val="nil"/>
            </w:tcBorders>
            <w:shd w:val="clear" w:color="auto" w:fill="FFFFFF" w:themeFill="background1"/>
            <w:noWrap/>
            <w:vAlign w:val="center"/>
            <w:hideMark/>
          </w:tcPr>
          <w:p w14:paraId="476E664F" w14:textId="52526C4F"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4.1</w:t>
            </w:r>
          </w:p>
        </w:tc>
        <w:tc>
          <w:tcPr>
            <w:tcW w:w="453" w:type="pct"/>
            <w:tcBorders>
              <w:top w:val="nil"/>
              <w:left w:val="nil"/>
              <w:bottom w:val="nil"/>
              <w:right w:val="nil"/>
            </w:tcBorders>
            <w:shd w:val="clear" w:color="auto" w:fill="F2F9FC"/>
            <w:noWrap/>
            <w:vAlign w:val="center"/>
            <w:hideMark/>
          </w:tcPr>
          <w:p w14:paraId="7157B17F" w14:textId="3116147E"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3.9</w:t>
            </w:r>
          </w:p>
        </w:tc>
        <w:tc>
          <w:tcPr>
            <w:tcW w:w="542" w:type="pct"/>
            <w:tcBorders>
              <w:top w:val="nil"/>
              <w:left w:val="nil"/>
              <w:bottom w:val="nil"/>
              <w:right w:val="nil"/>
            </w:tcBorders>
            <w:shd w:val="clear" w:color="auto" w:fill="FFFFFF" w:themeFill="background1"/>
            <w:noWrap/>
            <w:vAlign w:val="center"/>
            <w:hideMark/>
          </w:tcPr>
          <w:p w14:paraId="4C415C4F" w14:textId="6AAFE7EF"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3.1</w:t>
            </w:r>
          </w:p>
        </w:tc>
        <w:tc>
          <w:tcPr>
            <w:tcW w:w="542" w:type="pct"/>
            <w:tcBorders>
              <w:top w:val="nil"/>
              <w:left w:val="nil"/>
              <w:bottom w:val="nil"/>
              <w:right w:val="nil"/>
            </w:tcBorders>
            <w:shd w:val="clear" w:color="auto" w:fill="FFFFFF" w:themeFill="background1"/>
            <w:noWrap/>
            <w:vAlign w:val="center"/>
            <w:hideMark/>
          </w:tcPr>
          <w:p w14:paraId="027F1041" w14:textId="33E4BC52"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2.2</w:t>
            </w:r>
          </w:p>
        </w:tc>
        <w:tc>
          <w:tcPr>
            <w:tcW w:w="542" w:type="pct"/>
            <w:tcBorders>
              <w:top w:val="nil"/>
              <w:left w:val="nil"/>
              <w:bottom w:val="nil"/>
              <w:right w:val="nil"/>
            </w:tcBorders>
            <w:shd w:val="clear" w:color="auto" w:fill="FFFFFF" w:themeFill="background1"/>
            <w:noWrap/>
            <w:vAlign w:val="center"/>
            <w:hideMark/>
          </w:tcPr>
          <w:p w14:paraId="5F9F4103"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7B8E0128"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11CF500C"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1AF4EE77" w14:textId="77777777" w:rsidTr="22BCC46E">
        <w:trPr>
          <w:trHeight w:hRule="exact" w:val="60"/>
        </w:trPr>
        <w:tc>
          <w:tcPr>
            <w:tcW w:w="1813" w:type="pct"/>
            <w:tcBorders>
              <w:top w:val="nil"/>
              <w:left w:val="nil"/>
              <w:bottom w:val="nil"/>
              <w:right w:val="nil"/>
            </w:tcBorders>
            <w:shd w:val="clear" w:color="auto" w:fill="FFFFFF" w:themeFill="background1"/>
            <w:noWrap/>
            <w:vAlign w:val="center"/>
            <w:hideMark/>
          </w:tcPr>
          <w:p w14:paraId="52BBB869"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27" w:type="pct"/>
            <w:tcBorders>
              <w:top w:val="nil"/>
              <w:left w:val="nil"/>
              <w:bottom w:val="nil"/>
              <w:right w:val="nil"/>
            </w:tcBorders>
            <w:shd w:val="clear" w:color="auto" w:fill="FFFFFF" w:themeFill="background1"/>
            <w:noWrap/>
            <w:vAlign w:val="center"/>
            <w:hideMark/>
          </w:tcPr>
          <w:p w14:paraId="069E708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074FE9D3"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1FCA040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2408E86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04C917F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31A9BA1F"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57560B1B"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5E902C28" w14:textId="77777777" w:rsidTr="22BCC46E">
        <w:trPr>
          <w:trHeight w:hRule="exact" w:val="60"/>
        </w:trPr>
        <w:tc>
          <w:tcPr>
            <w:tcW w:w="1813" w:type="pct"/>
            <w:tcBorders>
              <w:top w:val="nil"/>
              <w:left w:val="nil"/>
              <w:bottom w:val="nil"/>
              <w:right w:val="nil"/>
            </w:tcBorders>
            <w:shd w:val="clear" w:color="auto" w:fill="FFFFFF" w:themeFill="background1"/>
            <w:noWrap/>
            <w:vAlign w:val="center"/>
            <w:hideMark/>
          </w:tcPr>
          <w:p w14:paraId="416D1509"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27" w:type="pct"/>
            <w:tcBorders>
              <w:top w:val="nil"/>
              <w:left w:val="nil"/>
              <w:bottom w:val="nil"/>
              <w:right w:val="nil"/>
            </w:tcBorders>
            <w:shd w:val="clear" w:color="auto" w:fill="FFFFFF" w:themeFill="background1"/>
            <w:noWrap/>
            <w:vAlign w:val="center"/>
            <w:hideMark/>
          </w:tcPr>
          <w:p w14:paraId="10CCD0E4"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1C766D68"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064FF99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525C76E"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556090B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749BA5F2"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123A3857"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64F524A7"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5BFAF078" w14:textId="100A4318" w:rsidR="005E3F20" w:rsidRPr="00131EBC" w:rsidRDefault="005E3F20" w:rsidP="005E3F20">
            <w:pPr>
              <w:spacing w:after="0" w:line="240" w:lineRule="auto"/>
              <w:jc w:val="left"/>
              <w:rPr>
                <w:rFonts w:ascii="Arial" w:hAnsi="Arial" w:cs="Arial"/>
                <w:b/>
                <w:sz w:val="16"/>
                <w:szCs w:val="16"/>
                <w:highlight w:val="darkCyan"/>
              </w:rPr>
            </w:pPr>
            <w:r w:rsidRPr="00FD24B8">
              <w:rPr>
                <w:rFonts w:ascii="Arial" w:hAnsi="Arial" w:cs="Arial"/>
                <w:b/>
                <w:sz w:val="16"/>
                <w:szCs w:val="16"/>
              </w:rPr>
              <w:t>Changes from 2021</w:t>
            </w:r>
            <w:r w:rsidR="0031144A" w:rsidRPr="00FD24B8">
              <w:rPr>
                <w:rFonts w:ascii="Arial" w:hAnsi="Arial" w:cs="Arial"/>
                <w:b/>
                <w:sz w:val="16"/>
                <w:szCs w:val="16"/>
              </w:rPr>
              <w:noBreakHyphen/>
            </w:r>
            <w:r w:rsidRPr="00FD24B8">
              <w:rPr>
                <w:rFonts w:ascii="Arial" w:hAnsi="Arial" w:cs="Arial"/>
                <w:b/>
                <w:sz w:val="16"/>
                <w:szCs w:val="16"/>
              </w:rPr>
              <w:t>22 MYEFO to</w:t>
            </w:r>
          </w:p>
        </w:tc>
        <w:tc>
          <w:tcPr>
            <w:tcW w:w="527" w:type="pct"/>
            <w:tcBorders>
              <w:top w:val="nil"/>
              <w:left w:val="nil"/>
              <w:bottom w:val="nil"/>
              <w:right w:val="nil"/>
            </w:tcBorders>
            <w:shd w:val="clear" w:color="auto" w:fill="FFFFFF" w:themeFill="background1"/>
            <w:noWrap/>
            <w:vAlign w:val="center"/>
            <w:hideMark/>
          </w:tcPr>
          <w:p w14:paraId="44E801B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13958B77"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6B14157E"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7C8964A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3DE6570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48A52F43"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0412EC05"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5D7888CA"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2B8BF449" w14:textId="055A34FE" w:rsidR="005E3F20" w:rsidRPr="00131EBC" w:rsidRDefault="005E3F20" w:rsidP="005E3F20">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2022</w:t>
            </w:r>
            <w:r w:rsidR="0031144A" w:rsidRPr="00FD24B8">
              <w:rPr>
                <w:rFonts w:ascii="Arial" w:hAnsi="Arial" w:cs="Arial"/>
                <w:b/>
                <w:sz w:val="16"/>
                <w:szCs w:val="16"/>
              </w:rPr>
              <w:noBreakHyphen/>
            </w:r>
            <w:r w:rsidRPr="00FD24B8">
              <w:rPr>
                <w:rFonts w:ascii="Arial" w:hAnsi="Arial" w:cs="Arial"/>
                <w:b/>
                <w:sz w:val="16"/>
                <w:szCs w:val="16"/>
              </w:rPr>
              <w:t>23 Budget</w:t>
            </w:r>
          </w:p>
        </w:tc>
        <w:tc>
          <w:tcPr>
            <w:tcW w:w="527" w:type="pct"/>
            <w:tcBorders>
              <w:top w:val="nil"/>
              <w:left w:val="nil"/>
              <w:bottom w:val="nil"/>
              <w:right w:val="nil"/>
            </w:tcBorders>
            <w:shd w:val="clear" w:color="auto" w:fill="FFFFFF" w:themeFill="background1"/>
            <w:noWrap/>
            <w:vAlign w:val="center"/>
            <w:hideMark/>
          </w:tcPr>
          <w:p w14:paraId="3327514A"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06664347"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1C2FA18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6A54B4B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EA600A3"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5173487A"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4EB0534D"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789CDBE9"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742482B9"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Effect of policy decisions(b)(c)</w:t>
            </w:r>
          </w:p>
        </w:tc>
        <w:tc>
          <w:tcPr>
            <w:tcW w:w="527" w:type="pct"/>
            <w:tcBorders>
              <w:top w:val="nil"/>
              <w:left w:val="nil"/>
              <w:bottom w:val="nil"/>
              <w:right w:val="nil"/>
            </w:tcBorders>
            <w:shd w:val="clear" w:color="auto" w:fill="FFFFFF" w:themeFill="background1"/>
            <w:noWrap/>
            <w:vAlign w:val="center"/>
            <w:hideMark/>
          </w:tcPr>
          <w:p w14:paraId="37B7EF24"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265DFC57"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7EA65B4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F08FCE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26D9F2DF"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12471228"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4B904466"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4B1942A3"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34AD7833" w14:textId="77777777" w:rsidR="005E3F20" w:rsidRPr="00131EBC" w:rsidRDefault="005E3F20" w:rsidP="005E3F20">
            <w:pPr>
              <w:spacing w:after="0" w:line="240" w:lineRule="auto"/>
              <w:ind w:left="340"/>
              <w:jc w:val="left"/>
              <w:rPr>
                <w:rFonts w:ascii="Arial" w:hAnsi="Arial" w:cs="Arial"/>
                <w:i/>
                <w:sz w:val="16"/>
                <w:szCs w:val="16"/>
                <w:highlight w:val="darkCyan"/>
              </w:rPr>
            </w:pPr>
            <w:r w:rsidRPr="00FD24B8">
              <w:rPr>
                <w:rFonts w:ascii="Arial" w:hAnsi="Arial" w:cs="Arial"/>
                <w:i/>
                <w:sz w:val="16"/>
                <w:szCs w:val="16"/>
              </w:rPr>
              <w:t>Revenue</w:t>
            </w:r>
          </w:p>
        </w:tc>
        <w:tc>
          <w:tcPr>
            <w:tcW w:w="527" w:type="pct"/>
            <w:tcBorders>
              <w:top w:val="nil"/>
              <w:left w:val="nil"/>
              <w:bottom w:val="nil"/>
              <w:right w:val="nil"/>
            </w:tcBorders>
            <w:shd w:val="clear" w:color="auto" w:fill="FFFFFF" w:themeFill="background1"/>
            <w:noWrap/>
            <w:vAlign w:val="center"/>
            <w:hideMark/>
          </w:tcPr>
          <w:p w14:paraId="7DE90E6C" w14:textId="1EB4B790" w:rsidR="005E3F20" w:rsidRPr="00131EBC" w:rsidRDefault="0031144A"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noBreakHyphen/>
            </w:r>
            <w:r w:rsidR="005E3F20" w:rsidRPr="00FD24B8">
              <w:rPr>
                <w:rFonts w:ascii="Arial" w:hAnsi="Arial" w:cs="Arial"/>
                <w:i/>
                <w:sz w:val="16"/>
                <w:szCs w:val="16"/>
              </w:rPr>
              <w:t>2,379</w:t>
            </w:r>
          </w:p>
        </w:tc>
        <w:tc>
          <w:tcPr>
            <w:tcW w:w="453" w:type="pct"/>
            <w:tcBorders>
              <w:top w:val="nil"/>
              <w:left w:val="nil"/>
              <w:bottom w:val="nil"/>
              <w:right w:val="nil"/>
            </w:tcBorders>
            <w:shd w:val="clear" w:color="auto" w:fill="F2F9FC"/>
            <w:noWrap/>
            <w:vAlign w:val="center"/>
            <w:hideMark/>
          </w:tcPr>
          <w:p w14:paraId="70DB3387" w14:textId="1CF99320" w:rsidR="005E3F20" w:rsidRPr="00131EBC" w:rsidRDefault="0031144A"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noBreakHyphen/>
            </w:r>
            <w:r w:rsidR="005E3F20" w:rsidRPr="00FD24B8">
              <w:rPr>
                <w:rFonts w:ascii="Arial" w:hAnsi="Arial" w:cs="Arial"/>
                <w:i/>
                <w:sz w:val="16"/>
                <w:szCs w:val="16"/>
              </w:rPr>
              <w:t>8,318</w:t>
            </w:r>
          </w:p>
        </w:tc>
        <w:tc>
          <w:tcPr>
            <w:tcW w:w="542" w:type="pct"/>
            <w:tcBorders>
              <w:top w:val="nil"/>
              <w:left w:val="nil"/>
              <w:bottom w:val="nil"/>
              <w:right w:val="nil"/>
            </w:tcBorders>
            <w:shd w:val="clear" w:color="auto" w:fill="FFFFFF" w:themeFill="background1"/>
            <w:noWrap/>
            <w:vAlign w:val="center"/>
            <w:hideMark/>
          </w:tcPr>
          <w:p w14:paraId="2454AA45"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2,305</w:t>
            </w:r>
          </w:p>
        </w:tc>
        <w:tc>
          <w:tcPr>
            <w:tcW w:w="542" w:type="pct"/>
            <w:tcBorders>
              <w:top w:val="nil"/>
              <w:left w:val="nil"/>
              <w:bottom w:val="nil"/>
              <w:right w:val="nil"/>
            </w:tcBorders>
            <w:shd w:val="clear" w:color="auto" w:fill="FFFFFF" w:themeFill="background1"/>
            <w:noWrap/>
            <w:vAlign w:val="center"/>
            <w:hideMark/>
          </w:tcPr>
          <w:p w14:paraId="5F14E604"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1,081</w:t>
            </w:r>
          </w:p>
        </w:tc>
        <w:tc>
          <w:tcPr>
            <w:tcW w:w="542" w:type="pct"/>
            <w:tcBorders>
              <w:top w:val="nil"/>
              <w:left w:val="nil"/>
              <w:bottom w:val="nil"/>
              <w:right w:val="nil"/>
            </w:tcBorders>
            <w:shd w:val="clear" w:color="auto" w:fill="FFFFFF" w:themeFill="background1"/>
            <w:noWrap/>
            <w:vAlign w:val="center"/>
            <w:hideMark/>
          </w:tcPr>
          <w:p w14:paraId="3FC91633"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260</w:t>
            </w:r>
          </w:p>
        </w:tc>
        <w:tc>
          <w:tcPr>
            <w:tcW w:w="46" w:type="pct"/>
            <w:tcBorders>
              <w:top w:val="nil"/>
              <w:left w:val="nil"/>
              <w:bottom w:val="nil"/>
              <w:right w:val="nil"/>
            </w:tcBorders>
            <w:shd w:val="clear" w:color="auto" w:fill="FFFFFF" w:themeFill="background1"/>
            <w:noWrap/>
            <w:vAlign w:val="center"/>
            <w:hideMark/>
          </w:tcPr>
          <w:p w14:paraId="206567D7"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34" w:type="pct"/>
            <w:tcBorders>
              <w:top w:val="nil"/>
              <w:left w:val="nil"/>
              <w:bottom w:val="nil"/>
              <w:right w:val="nil"/>
            </w:tcBorders>
            <w:shd w:val="clear" w:color="auto" w:fill="FFFFFF" w:themeFill="background1"/>
            <w:noWrap/>
            <w:vAlign w:val="center"/>
            <w:hideMark/>
          </w:tcPr>
          <w:p w14:paraId="6D4D5741" w14:textId="3BD1D64D" w:rsidR="005E3F20" w:rsidRPr="00FD24B8" w:rsidRDefault="0031144A" w:rsidP="005E3F20">
            <w:pPr>
              <w:spacing w:after="0" w:line="240" w:lineRule="auto"/>
              <w:jc w:val="right"/>
              <w:rPr>
                <w:rFonts w:ascii="Arial" w:hAnsi="Arial" w:cs="Arial"/>
                <w:i/>
                <w:sz w:val="16"/>
                <w:szCs w:val="16"/>
              </w:rPr>
            </w:pPr>
            <w:r w:rsidRPr="00FD24B8">
              <w:rPr>
                <w:rFonts w:ascii="Arial" w:hAnsi="Arial" w:cs="Arial"/>
                <w:i/>
                <w:sz w:val="16"/>
                <w:szCs w:val="16"/>
              </w:rPr>
              <w:noBreakHyphen/>
            </w:r>
            <w:r w:rsidR="005E3F20" w:rsidRPr="00FD24B8">
              <w:rPr>
                <w:rFonts w:ascii="Arial" w:hAnsi="Arial" w:cs="Arial"/>
                <w:i/>
                <w:sz w:val="16"/>
                <w:szCs w:val="16"/>
              </w:rPr>
              <w:t>4,672</w:t>
            </w:r>
          </w:p>
        </w:tc>
      </w:tr>
      <w:tr w:rsidR="005E3F20" w:rsidRPr="00131EBC" w14:paraId="7F2E43CD"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231E41F5" w14:textId="77777777" w:rsidR="005E3F20" w:rsidRPr="00131EBC" w:rsidRDefault="005E3F20" w:rsidP="005E3F20">
            <w:pPr>
              <w:spacing w:after="0" w:line="240" w:lineRule="auto"/>
              <w:ind w:left="340"/>
              <w:jc w:val="left"/>
              <w:rPr>
                <w:rFonts w:ascii="Arial" w:hAnsi="Arial" w:cs="Arial"/>
                <w:i/>
                <w:sz w:val="16"/>
                <w:szCs w:val="16"/>
                <w:highlight w:val="darkCyan"/>
              </w:rPr>
            </w:pPr>
            <w:r w:rsidRPr="00FD24B8">
              <w:rPr>
                <w:rFonts w:ascii="Arial" w:hAnsi="Arial" w:cs="Arial"/>
                <w:i/>
                <w:sz w:val="16"/>
                <w:szCs w:val="16"/>
              </w:rPr>
              <w:t xml:space="preserve">Expenses </w:t>
            </w:r>
          </w:p>
        </w:tc>
        <w:tc>
          <w:tcPr>
            <w:tcW w:w="527" w:type="pct"/>
            <w:tcBorders>
              <w:top w:val="nil"/>
              <w:left w:val="nil"/>
              <w:bottom w:val="nil"/>
              <w:right w:val="nil"/>
            </w:tcBorders>
            <w:shd w:val="clear" w:color="auto" w:fill="FFFFFF" w:themeFill="background1"/>
            <w:noWrap/>
            <w:vAlign w:val="center"/>
            <w:hideMark/>
          </w:tcPr>
          <w:p w14:paraId="5AD50634"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5,673</w:t>
            </w:r>
          </w:p>
        </w:tc>
        <w:tc>
          <w:tcPr>
            <w:tcW w:w="453" w:type="pct"/>
            <w:tcBorders>
              <w:top w:val="nil"/>
              <w:left w:val="nil"/>
              <w:bottom w:val="nil"/>
              <w:right w:val="nil"/>
            </w:tcBorders>
            <w:shd w:val="clear" w:color="auto" w:fill="F2F9FC"/>
            <w:noWrap/>
            <w:vAlign w:val="center"/>
            <w:hideMark/>
          </w:tcPr>
          <w:p w14:paraId="395BED8E"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7,897</w:t>
            </w:r>
          </w:p>
        </w:tc>
        <w:tc>
          <w:tcPr>
            <w:tcW w:w="542" w:type="pct"/>
            <w:tcBorders>
              <w:top w:val="nil"/>
              <w:left w:val="nil"/>
              <w:bottom w:val="nil"/>
              <w:right w:val="nil"/>
            </w:tcBorders>
            <w:shd w:val="clear" w:color="auto" w:fill="FFFFFF" w:themeFill="background1"/>
            <w:noWrap/>
            <w:vAlign w:val="center"/>
            <w:hideMark/>
          </w:tcPr>
          <w:p w14:paraId="16B5334F"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5,852</w:t>
            </w:r>
          </w:p>
        </w:tc>
        <w:tc>
          <w:tcPr>
            <w:tcW w:w="542" w:type="pct"/>
            <w:tcBorders>
              <w:top w:val="nil"/>
              <w:left w:val="nil"/>
              <w:bottom w:val="nil"/>
              <w:right w:val="nil"/>
            </w:tcBorders>
            <w:shd w:val="clear" w:color="auto" w:fill="FFFFFF" w:themeFill="background1"/>
            <w:noWrap/>
            <w:vAlign w:val="center"/>
            <w:hideMark/>
          </w:tcPr>
          <w:p w14:paraId="407E258E"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6,094</w:t>
            </w:r>
          </w:p>
        </w:tc>
        <w:tc>
          <w:tcPr>
            <w:tcW w:w="542" w:type="pct"/>
            <w:tcBorders>
              <w:top w:val="nil"/>
              <w:left w:val="nil"/>
              <w:bottom w:val="nil"/>
              <w:right w:val="nil"/>
            </w:tcBorders>
            <w:shd w:val="clear" w:color="auto" w:fill="FFFFFF" w:themeFill="background1"/>
            <w:noWrap/>
            <w:vAlign w:val="center"/>
            <w:hideMark/>
          </w:tcPr>
          <w:p w14:paraId="427399D8"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5,265</w:t>
            </w:r>
          </w:p>
        </w:tc>
        <w:tc>
          <w:tcPr>
            <w:tcW w:w="46" w:type="pct"/>
            <w:tcBorders>
              <w:top w:val="nil"/>
              <w:left w:val="nil"/>
              <w:bottom w:val="nil"/>
              <w:right w:val="nil"/>
            </w:tcBorders>
            <w:shd w:val="clear" w:color="auto" w:fill="FFFFFF" w:themeFill="background1"/>
            <w:noWrap/>
            <w:vAlign w:val="center"/>
            <w:hideMark/>
          </w:tcPr>
          <w:p w14:paraId="67E1C477"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34" w:type="pct"/>
            <w:tcBorders>
              <w:top w:val="nil"/>
              <w:left w:val="nil"/>
              <w:bottom w:val="nil"/>
              <w:right w:val="nil"/>
            </w:tcBorders>
            <w:shd w:val="clear" w:color="auto" w:fill="FFFFFF" w:themeFill="background1"/>
            <w:noWrap/>
            <w:vAlign w:val="center"/>
            <w:hideMark/>
          </w:tcPr>
          <w:p w14:paraId="5B3AF0A1" w14:textId="77777777" w:rsidR="005E3F20" w:rsidRPr="00FD24B8" w:rsidRDefault="005E3F20" w:rsidP="005E3F20">
            <w:pPr>
              <w:spacing w:after="0" w:line="240" w:lineRule="auto"/>
              <w:jc w:val="right"/>
              <w:rPr>
                <w:rFonts w:ascii="Arial" w:hAnsi="Arial" w:cs="Arial"/>
                <w:i/>
                <w:sz w:val="16"/>
                <w:szCs w:val="16"/>
              </w:rPr>
            </w:pPr>
            <w:r w:rsidRPr="00FD24B8">
              <w:rPr>
                <w:rFonts w:ascii="Arial" w:hAnsi="Arial" w:cs="Arial"/>
                <w:i/>
                <w:sz w:val="16"/>
                <w:szCs w:val="16"/>
              </w:rPr>
              <w:t>25,108</w:t>
            </w:r>
          </w:p>
        </w:tc>
      </w:tr>
      <w:tr w:rsidR="00B31B91" w:rsidRPr="00131EBC" w14:paraId="3C3E5111"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2CEBFE38"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 xml:space="preserve">Total policy decisions impact on </w:t>
            </w:r>
          </w:p>
        </w:tc>
        <w:tc>
          <w:tcPr>
            <w:tcW w:w="527" w:type="pct"/>
            <w:tcBorders>
              <w:top w:val="single" w:sz="4" w:space="0" w:color="auto"/>
              <w:left w:val="nil"/>
              <w:bottom w:val="nil"/>
              <w:right w:val="nil"/>
            </w:tcBorders>
            <w:shd w:val="clear" w:color="auto" w:fill="FFFFFF" w:themeFill="background1"/>
            <w:noWrap/>
            <w:vAlign w:val="center"/>
            <w:hideMark/>
          </w:tcPr>
          <w:p w14:paraId="74846FCD"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single" w:sz="4" w:space="0" w:color="auto"/>
              <w:left w:val="nil"/>
              <w:bottom w:val="nil"/>
              <w:right w:val="nil"/>
            </w:tcBorders>
            <w:shd w:val="clear" w:color="auto" w:fill="F2F9FC"/>
            <w:noWrap/>
            <w:vAlign w:val="center"/>
            <w:hideMark/>
          </w:tcPr>
          <w:p w14:paraId="17C1F3ED"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single" w:sz="4" w:space="0" w:color="auto"/>
              <w:left w:val="nil"/>
              <w:bottom w:val="nil"/>
              <w:right w:val="nil"/>
            </w:tcBorders>
            <w:shd w:val="clear" w:color="auto" w:fill="FFFFFF" w:themeFill="background1"/>
            <w:noWrap/>
            <w:vAlign w:val="center"/>
            <w:hideMark/>
          </w:tcPr>
          <w:p w14:paraId="06B786A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single" w:sz="4" w:space="0" w:color="auto"/>
              <w:left w:val="nil"/>
              <w:bottom w:val="nil"/>
              <w:right w:val="nil"/>
            </w:tcBorders>
            <w:shd w:val="clear" w:color="auto" w:fill="FFFFFF" w:themeFill="background1"/>
            <w:noWrap/>
            <w:vAlign w:val="center"/>
            <w:hideMark/>
          </w:tcPr>
          <w:p w14:paraId="49B6111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single" w:sz="4" w:space="0" w:color="auto"/>
              <w:left w:val="nil"/>
              <w:bottom w:val="nil"/>
              <w:right w:val="nil"/>
            </w:tcBorders>
            <w:shd w:val="clear" w:color="auto" w:fill="FFFFFF" w:themeFill="background1"/>
            <w:noWrap/>
            <w:vAlign w:val="center"/>
            <w:hideMark/>
          </w:tcPr>
          <w:p w14:paraId="68BB217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6E00625E"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single" w:sz="4" w:space="0" w:color="auto"/>
              <w:left w:val="nil"/>
              <w:bottom w:val="nil"/>
              <w:right w:val="nil"/>
            </w:tcBorders>
            <w:shd w:val="clear" w:color="auto" w:fill="FFFFFF" w:themeFill="background1"/>
            <w:noWrap/>
            <w:vAlign w:val="center"/>
            <w:hideMark/>
          </w:tcPr>
          <w:p w14:paraId="1FCAA590"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B31B91" w:rsidRPr="00131EBC" w14:paraId="6E94C957" w14:textId="77777777" w:rsidTr="22BCC46E">
        <w:trPr>
          <w:trHeight w:hRule="exact" w:val="225"/>
        </w:trPr>
        <w:tc>
          <w:tcPr>
            <w:tcW w:w="1813" w:type="pct"/>
            <w:tcBorders>
              <w:top w:val="nil"/>
              <w:left w:val="nil"/>
              <w:bottom w:val="nil"/>
              <w:right w:val="nil"/>
            </w:tcBorders>
            <w:shd w:val="clear" w:color="auto" w:fill="FFFFFF" w:themeFill="background1"/>
            <w:noWrap/>
            <w:vAlign w:val="bottom"/>
            <w:hideMark/>
          </w:tcPr>
          <w:p w14:paraId="3DB8C527" w14:textId="77777777" w:rsidR="005E3F20" w:rsidRPr="00131EBC" w:rsidRDefault="005E3F20" w:rsidP="005E3F20">
            <w:pPr>
              <w:spacing w:after="0" w:line="240" w:lineRule="auto"/>
              <w:ind w:left="170"/>
              <w:jc w:val="left"/>
              <w:rPr>
                <w:rFonts w:ascii="Arial" w:hAnsi="Arial" w:cs="Arial"/>
                <w:sz w:val="16"/>
                <w:szCs w:val="16"/>
                <w:highlight w:val="darkCyan"/>
              </w:rPr>
            </w:pPr>
            <w:r w:rsidRPr="00FD24B8">
              <w:rPr>
                <w:rFonts w:ascii="Arial" w:hAnsi="Arial" w:cs="Arial"/>
                <w:sz w:val="16"/>
                <w:szCs w:val="16"/>
              </w:rPr>
              <w:t>net operating balance</w:t>
            </w:r>
          </w:p>
        </w:tc>
        <w:tc>
          <w:tcPr>
            <w:tcW w:w="527" w:type="pct"/>
            <w:tcBorders>
              <w:top w:val="nil"/>
              <w:left w:val="nil"/>
              <w:bottom w:val="single" w:sz="4" w:space="0" w:color="000000" w:themeColor="text1"/>
              <w:right w:val="nil"/>
            </w:tcBorders>
            <w:shd w:val="clear" w:color="auto" w:fill="FFFFFF" w:themeFill="background1"/>
            <w:vAlign w:val="center"/>
            <w:hideMark/>
          </w:tcPr>
          <w:p w14:paraId="74704A0C" w14:textId="1F0E7383"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8,052</w:t>
            </w:r>
          </w:p>
        </w:tc>
        <w:tc>
          <w:tcPr>
            <w:tcW w:w="453" w:type="pct"/>
            <w:tcBorders>
              <w:top w:val="nil"/>
              <w:left w:val="nil"/>
              <w:bottom w:val="single" w:sz="4" w:space="0" w:color="000000" w:themeColor="text1"/>
              <w:right w:val="nil"/>
            </w:tcBorders>
            <w:shd w:val="clear" w:color="auto" w:fill="F2F9FC"/>
            <w:noWrap/>
            <w:vAlign w:val="center"/>
            <w:hideMark/>
          </w:tcPr>
          <w:p w14:paraId="12D5A93F" w14:textId="1F016EF3"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16,214</w:t>
            </w:r>
          </w:p>
        </w:tc>
        <w:tc>
          <w:tcPr>
            <w:tcW w:w="542" w:type="pct"/>
            <w:tcBorders>
              <w:top w:val="nil"/>
              <w:left w:val="nil"/>
              <w:bottom w:val="single" w:sz="4" w:space="0" w:color="000000" w:themeColor="text1"/>
              <w:right w:val="nil"/>
            </w:tcBorders>
            <w:shd w:val="clear" w:color="auto" w:fill="FFFFFF" w:themeFill="background1"/>
            <w:vAlign w:val="center"/>
            <w:hideMark/>
          </w:tcPr>
          <w:p w14:paraId="29CA852B" w14:textId="42593A1C"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3,547</w:t>
            </w:r>
          </w:p>
        </w:tc>
        <w:tc>
          <w:tcPr>
            <w:tcW w:w="542" w:type="pct"/>
            <w:tcBorders>
              <w:top w:val="nil"/>
              <w:left w:val="nil"/>
              <w:bottom w:val="single" w:sz="4" w:space="0" w:color="000000" w:themeColor="text1"/>
              <w:right w:val="nil"/>
            </w:tcBorders>
            <w:shd w:val="clear" w:color="auto" w:fill="FFFFFF" w:themeFill="background1"/>
            <w:vAlign w:val="center"/>
            <w:hideMark/>
          </w:tcPr>
          <w:p w14:paraId="59638DB3" w14:textId="3340C949"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5,013</w:t>
            </w:r>
          </w:p>
        </w:tc>
        <w:tc>
          <w:tcPr>
            <w:tcW w:w="542" w:type="pct"/>
            <w:tcBorders>
              <w:top w:val="nil"/>
              <w:left w:val="nil"/>
              <w:bottom w:val="single" w:sz="4" w:space="0" w:color="000000" w:themeColor="text1"/>
              <w:right w:val="nil"/>
            </w:tcBorders>
            <w:shd w:val="clear" w:color="auto" w:fill="FFFFFF" w:themeFill="background1"/>
            <w:vAlign w:val="center"/>
            <w:hideMark/>
          </w:tcPr>
          <w:p w14:paraId="5B3FE604" w14:textId="0037F98D"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5,005</w:t>
            </w:r>
          </w:p>
        </w:tc>
        <w:tc>
          <w:tcPr>
            <w:tcW w:w="46" w:type="pct"/>
            <w:tcBorders>
              <w:top w:val="nil"/>
              <w:left w:val="nil"/>
              <w:bottom w:val="nil"/>
              <w:right w:val="nil"/>
            </w:tcBorders>
            <w:shd w:val="clear" w:color="auto" w:fill="FFFFFF" w:themeFill="background1"/>
            <w:vAlign w:val="center"/>
            <w:hideMark/>
          </w:tcPr>
          <w:p w14:paraId="3D680710"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single" w:sz="4" w:space="0" w:color="000000" w:themeColor="text1"/>
              <w:right w:val="nil"/>
            </w:tcBorders>
            <w:shd w:val="clear" w:color="auto" w:fill="FFFFFF" w:themeFill="background1"/>
            <w:vAlign w:val="center"/>
            <w:hideMark/>
          </w:tcPr>
          <w:p w14:paraId="5AE3C1F5" w14:textId="4229E445" w:rsidR="005E3F20" w:rsidRPr="00FD24B8" w:rsidRDefault="0031144A" w:rsidP="005E3F20">
            <w:pPr>
              <w:spacing w:after="0" w:line="240" w:lineRule="auto"/>
              <w:jc w:val="right"/>
              <w:rPr>
                <w:rFonts w:ascii="Arial" w:hAnsi="Arial" w:cs="Arial"/>
                <w:sz w:val="16"/>
                <w:szCs w:val="16"/>
              </w:rPr>
            </w:pPr>
            <w:r w:rsidRPr="00FD24B8">
              <w:rPr>
                <w:rFonts w:ascii="Arial" w:hAnsi="Arial" w:cs="Arial"/>
                <w:sz w:val="16"/>
                <w:szCs w:val="16"/>
              </w:rPr>
              <w:noBreakHyphen/>
            </w:r>
            <w:r w:rsidR="005E3F20" w:rsidRPr="00FD24B8">
              <w:rPr>
                <w:rFonts w:ascii="Arial" w:hAnsi="Arial" w:cs="Arial"/>
                <w:sz w:val="16"/>
                <w:szCs w:val="16"/>
              </w:rPr>
              <w:t>29,780</w:t>
            </w:r>
          </w:p>
        </w:tc>
      </w:tr>
      <w:tr w:rsidR="005E3F20" w:rsidRPr="00131EBC" w14:paraId="1961468C" w14:textId="77777777" w:rsidTr="22BCC46E">
        <w:trPr>
          <w:trHeight w:hRule="exact" w:val="60"/>
        </w:trPr>
        <w:tc>
          <w:tcPr>
            <w:tcW w:w="1813" w:type="pct"/>
            <w:tcBorders>
              <w:top w:val="nil"/>
              <w:left w:val="nil"/>
              <w:bottom w:val="nil"/>
              <w:right w:val="nil"/>
            </w:tcBorders>
            <w:shd w:val="clear" w:color="auto" w:fill="FFFFFF" w:themeFill="background1"/>
            <w:noWrap/>
            <w:vAlign w:val="center"/>
            <w:hideMark/>
          </w:tcPr>
          <w:p w14:paraId="5CFCF9AD"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 </w:t>
            </w:r>
          </w:p>
        </w:tc>
        <w:tc>
          <w:tcPr>
            <w:tcW w:w="527" w:type="pct"/>
            <w:tcBorders>
              <w:top w:val="nil"/>
              <w:left w:val="nil"/>
              <w:bottom w:val="nil"/>
              <w:right w:val="nil"/>
            </w:tcBorders>
            <w:shd w:val="clear" w:color="auto" w:fill="FFFFFF" w:themeFill="background1"/>
            <w:noWrap/>
            <w:vAlign w:val="center"/>
            <w:hideMark/>
          </w:tcPr>
          <w:p w14:paraId="7003516A"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4A573B1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0F834E5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3B61C0D7"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302FD26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35A741D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6C948939"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7DEB5269"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43DC1FA2"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Effect of parameter and other</w:t>
            </w:r>
          </w:p>
        </w:tc>
        <w:tc>
          <w:tcPr>
            <w:tcW w:w="527" w:type="pct"/>
            <w:tcBorders>
              <w:top w:val="nil"/>
              <w:left w:val="nil"/>
              <w:bottom w:val="nil"/>
              <w:right w:val="nil"/>
            </w:tcBorders>
            <w:shd w:val="clear" w:color="auto" w:fill="FFFFFF" w:themeFill="background1"/>
            <w:noWrap/>
            <w:vAlign w:val="center"/>
            <w:hideMark/>
          </w:tcPr>
          <w:p w14:paraId="6EB65B3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64D67D96"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139CC248"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7FD5EF03"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D3F426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0EE303B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36127A51"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52DC7AA9"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47C56FF1" w14:textId="77777777" w:rsidR="005E3F20" w:rsidRPr="00131EBC" w:rsidRDefault="005E3F20" w:rsidP="005E3F20">
            <w:pPr>
              <w:spacing w:after="0" w:line="240" w:lineRule="auto"/>
              <w:ind w:left="170"/>
              <w:jc w:val="left"/>
              <w:rPr>
                <w:rFonts w:ascii="Arial" w:hAnsi="Arial" w:cs="Arial"/>
                <w:sz w:val="16"/>
                <w:szCs w:val="16"/>
                <w:highlight w:val="darkCyan"/>
              </w:rPr>
            </w:pPr>
            <w:r w:rsidRPr="00FD24B8">
              <w:rPr>
                <w:rFonts w:ascii="Arial" w:hAnsi="Arial" w:cs="Arial"/>
                <w:sz w:val="16"/>
                <w:szCs w:val="16"/>
              </w:rPr>
              <w:t>variations(c)</w:t>
            </w:r>
          </w:p>
        </w:tc>
        <w:tc>
          <w:tcPr>
            <w:tcW w:w="527" w:type="pct"/>
            <w:tcBorders>
              <w:top w:val="nil"/>
              <w:left w:val="nil"/>
              <w:bottom w:val="nil"/>
              <w:right w:val="nil"/>
            </w:tcBorders>
            <w:shd w:val="clear" w:color="auto" w:fill="FFFFFF" w:themeFill="background1"/>
            <w:noWrap/>
            <w:vAlign w:val="center"/>
            <w:hideMark/>
          </w:tcPr>
          <w:p w14:paraId="7C645CA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31441072"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1B37B6DD"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36F00C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147D6028"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28DEA92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010C6071"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0C09B6FA"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6F5A744B" w14:textId="77777777" w:rsidR="005E3F20" w:rsidRPr="00131EBC" w:rsidRDefault="005E3F20" w:rsidP="005E3F20">
            <w:pPr>
              <w:spacing w:after="0" w:line="240" w:lineRule="auto"/>
              <w:ind w:left="340"/>
              <w:jc w:val="left"/>
              <w:rPr>
                <w:rFonts w:ascii="Arial" w:hAnsi="Arial" w:cs="Arial"/>
                <w:i/>
                <w:sz w:val="16"/>
                <w:szCs w:val="16"/>
                <w:highlight w:val="darkCyan"/>
              </w:rPr>
            </w:pPr>
            <w:r w:rsidRPr="00FD24B8">
              <w:rPr>
                <w:rFonts w:ascii="Arial" w:hAnsi="Arial" w:cs="Arial"/>
                <w:i/>
                <w:sz w:val="16"/>
                <w:szCs w:val="16"/>
              </w:rPr>
              <w:t>Revenue</w:t>
            </w:r>
          </w:p>
        </w:tc>
        <w:tc>
          <w:tcPr>
            <w:tcW w:w="527" w:type="pct"/>
            <w:tcBorders>
              <w:top w:val="nil"/>
              <w:left w:val="nil"/>
              <w:bottom w:val="nil"/>
              <w:right w:val="nil"/>
            </w:tcBorders>
            <w:shd w:val="clear" w:color="auto" w:fill="FFFFFF" w:themeFill="background1"/>
            <w:noWrap/>
            <w:vAlign w:val="center"/>
            <w:hideMark/>
          </w:tcPr>
          <w:p w14:paraId="7C2C50D0"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26,268</w:t>
            </w:r>
          </w:p>
        </w:tc>
        <w:tc>
          <w:tcPr>
            <w:tcW w:w="453" w:type="pct"/>
            <w:tcBorders>
              <w:top w:val="nil"/>
              <w:left w:val="nil"/>
              <w:bottom w:val="nil"/>
              <w:right w:val="nil"/>
            </w:tcBorders>
            <w:shd w:val="clear" w:color="auto" w:fill="F2F9FC"/>
            <w:noWrap/>
            <w:vAlign w:val="center"/>
            <w:hideMark/>
          </w:tcPr>
          <w:p w14:paraId="4B25273C"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38,924</w:t>
            </w:r>
          </w:p>
        </w:tc>
        <w:tc>
          <w:tcPr>
            <w:tcW w:w="542" w:type="pct"/>
            <w:tcBorders>
              <w:top w:val="nil"/>
              <w:left w:val="nil"/>
              <w:bottom w:val="nil"/>
              <w:right w:val="nil"/>
            </w:tcBorders>
            <w:shd w:val="clear" w:color="auto" w:fill="FFFFFF" w:themeFill="background1"/>
            <w:noWrap/>
            <w:vAlign w:val="center"/>
            <w:hideMark/>
          </w:tcPr>
          <w:p w14:paraId="6B5F0362"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29,386</w:t>
            </w:r>
          </w:p>
        </w:tc>
        <w:tc>
          <w:tcPr>
            <w:tcW w:w="542" w:type="pct"/>
            <w:tcBorders>
              <w:top w:val="nil"/>
              <w:left w:val="nil"/>
              <w:bottom w:val="nil"/>
              <w:right w:val="nil"/>
            </w:tcBorders>
            <w:shd w:val="clear" w:color="auto" w:fill="FFFFFF" w:themeFill="background1"/>
            <w:noWrap/>
            <w:vAlign w:val="center"/>
            <w:hideMark/>
          </w:tcPr>
          <w:p w14:paraId="3711B798"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23,337</w:t>
            </w:r>
          </w:p>
        </w:tc>
        <w:tc>
          <w:tcPr>
            <w:tcW w:w="542" w:type="pct"/>
            <w:tcBorders>
              <w:top w:val="nil"/>
              <w:left w:val="nil"/>
              <w:bottom w:val="nil"/>
              <w:right w:val="nil"/>
            </w:tcBorders>
            <w:shd w:val="clear" w:color="auto" w:fill="FFFFFF" w:themeFill="background1"/>
            <w:noWrap/>
            <w:vAlign w:val="center"/>
            <w:hideMark/>
          </w:tcPr>
          <w:p w14:paraId="3DBD18C3"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w:t>
            </w:r>
          </w:p>
        </w:tc>
        <w:tc>
          <w:tcPr>
            <w:tcW w:w="46" w:type="pct"/>
            <w:tcBorders>
              <w:top w:val="nil"/>
              <w:left w:val="nil"/>
              <w:bottom w:val="nil"/>
              <w:right w:val="nil"/>
            </w:tcBorders>
            <w:shd w:val="clear" w:color="auto" w:fill="FFFFFF" w:themeFill="background1"/>
            <w:noWrap/>
            <w:vAlign w:val="center"/>
            <w:hideMark/>
          </w:tcPr>
          <w:p w14:paraId="1A6BC2D0"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34" w:type="pct"/>
            <w:tcBorders>
              <w:top w:val="nil"/>
              <w:left w:val="nil"/>
              <w:bottom w:val="nil"/>
              <w:right w:val="nil"/>
            </w:tcBorders>
            <w:shd w:val="clear" w:color="auto" w:fill="FFFFFF" w:themeFill="background1"/>
            <w:noWrap/>
            <w:vAlign w:val="center"/>
            <w:hideMark/>
          </w:tcPr>
          <w:p w14:paraId="331D7477" w14:textId="77777777" w:rsidR="005E3F20" w:rsidRPr="00FD24B8" w:rsidRDefault="005E3F20" w:rsidP="005E3F20">
            <w:pPr>
              <w:spacing w:after="0" w:line="240" w:lineRule="auto"/>
              <w:jc w:val="right"/>
              <w:rPr>
                <w:rFonts w:ascii="Arial" w:hAnsi="Arial" w:cs="Arial"/>
                <w:i/>
                <w:sz w:val="16"/>
                <w:szCs w:val="16"/>
              </w:rPr>
            </w:pPr>
            <w:r w:rsidRPr="00FD24B8">
              <w:rPr>
                <w:rFonts w:ascii="Arial" w:hAnsi="Arial" w:cs="Arial"/>
                <w:i/>
                <w:sz w:val="16"/>
                <w:szCs w:val="16"/>
              </w:rPr>
              <w:t>*</w:t>
            </w:r>
          </w:p>
        </w:tc>
      </w:tr>
      <w:tr w:rsidR="00B31B91" w:rsidRPr="00131EBC" w14:paraId="34B40E7F"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6BBD3BB5" w14:textId="77777777" w:rsidR="005E3F20" w:rsidRPr="00131EBC" w:rsidRDefault="005E3F20" w:rsidP="005E3F20">
            <w:pPr>
              <w:spacing w:after="0" w:line="240" w:lineRule="auto"/>
              <w:ind w:left="340"/>
              <w:jc w:val="left"/>
              <w:rPr>
                <w:rFonts w:ascii="Arial" w:hAnsi="Arial" w:cs="Arial"/>
                <w:i/>
                <w:sz w:val="16"/>
                <w:szCs w:val="16"/>
                <w:highlight w:val="darkCyan"/>
              </w:rPr>
            </w:pPr>
            <w:r w:rsidRPr="00FD24B8">
              <w:rPr>
                <w:rFonts w:ascii="Arial" w:hAnsi="Arial" w:cs="Arial"/>
                <w:i/>
                <w:sz w:val="16"/>
                <w:szCs w:val="16"/>
              </w:rPr>
              <w:t xml:space="preserve">Expenses </w:t>
            </w:r>
          </w:p>
        </w:tc>
        <w:tc>
          <w:tcPr>
            <w:tcW w:w="527" w:type="pct"/>
            <w:tcBorders>
              <w:top w:val="nil"/>
              <w:left w:val="nil"/>
              <w:bottom w:val="nil"/>
              <w:right w:val="nil"/>
            </w:tcBorders>
            <w:shd w:val="clear" w:color="auto" w:fill="FFFFFF" w:themeFill="background1"/>
            <w:noWrap/>
            <w:vAlign w:val="center"/>
            <w:hideMark/>
          </w:tcPr>
          <w:p w14:paraId="55A87302"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58</w:t>
            </w:r>
          </w:p>
        </w:tc>
        <w:tc>
          <w:tcPr>
            <w:tcW w:w="453" w:type="pct"/>
            <w:tcBorders>
              <w:top w:val="nil"/>
              <w:left w:val="nil"/>
              <w:bottom w:val="nil"/>
              <w:right w:val="nil"/>
            </w:tcBorders>
            <w:shd w:val="clear" w:color="auto" w:fill="F2F9FC"/>
            <w:noWrap/>
            <w:vAlign w:val="center"/>
            <w:hideMark/>
          </w:tcPr>
          <w:p w14:paraId="3A50EF11"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4,259</w:t>
            </w:r>
          </w:p>
        </w:tc>
        <w:tc>
          <w:tcPr>
            <w:tcW w:w="542" w:type="pct"/>
            <w:tcBorders>
              <w:top w:val="nil"/>
              <w:left w:val="nil"/>
              <w:bottom w:val="single" w:sz="4" w:space="0" w:color="auto"/>
              <w:right w:val="nil"/>
            </w:tcBorders>
            <w:shd w:val="clear" w:color="auto" w:fill="FFFFFF" w:themeFill="background1"/>
            <w:noWrap/>
            <w:vAlign w:val="center"/>
            <w:hideMark/>
          </w:tcPr>
          <w:p w14:paraId="4DF022C3"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1,398</w:t>
            </w:r>
          </w:p>
        </w:tc>
        <w:tc>
          <w:tcPr>
            <w:tcW w:w="542" w:type="pct"/>
            <w:tcBorders>
              <w:top w:val="nil"/>
              <w:left w:val="nil"/>
              <w:bottom w:val="single" w:sz="4" w:space="0" w:color="auto"/>
              <w:right w:val="nil"/>
            </w:tcBorders>
            <w:shd w:val="clear" w:color="auto" w:fill="FFFFFF" w:themeFill="background1"/>
            <w:noWrap/>
            <w:vAlign w:val="center"/>
            <w:hideMark/>
          </w:tcPr>
          <w:p w14:paraId="1072668A"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8,717</w:t>
            </w:r>
          </w:p>
        </w:tc>
        <w:tc>
          <w:tcPr>
            <w:tcW w:w="542" w:type="pct"/>
            <w:tcBorders>
              <w:top w:val="nil"/>
              <w:left w:val="nil"/>
              <w:bottom w:val="single" w:sz="4" w:space="0" w:color="auto"/>
              <w:right w:val="nil"/>
            </w:tcBorders>
            <w:shd w:val="clear" w:color="auto" w:fill="FFFFFF" w:themeFill="background1"/>
            <w:noWrap/>
            <w:vAlign w:val="center"/>
            <w:hideMark/>
          </w:tcPr>
          <w:p w14:paraId="0FD46B7E"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w:t>
            </w:r>
          </w:p>
        </w:tc>
        <w:tc>
          <w:tcPr>
            <w:tcW w:w="46" w:type="pct"/>
            <w:tcBorders>
              <w:top w:val="nil"/>
              <w:left w:val="nil"/>
              <w:bottom w:val="nil"/>
              <w:right w:val="nil"/>
            </w:tcBorders>
            <w:shd w:val="clear" w:color="auto" w:fill="FFFFFF" w:themeFill="background1"/>
            <w:noWrap/>
            <w:vAlign w:val="center"/>
            <w:hideMark/>
          </w:tcPr>
          <w:p w14:paraId="632C6C74" w14:textId="77777777" w:rsidR="005E3F20" w:rsidRPr="00131EBC" w:rsidRDefault="005E3F20" w:rsidP="005E3F20">
            <w:pPr>
              <w:spacing w:after="0" w:line="240" w:lineRule="auto"/>
              <w:jc w:val="right"/>
              <w:rPr>
                <w:rFonts w:ascii="Arial" w:hAnsi="Arial" w:cs="Arial"/>
                <w:i/>
                <w:sz w:val="16"/>
                <w:szCs w:val="16"/>
                <w:highlight w:val="darkCyan"/>
              </w:rPr>
            </w:pPr>
            <w:r w:rsidRPr="00FD24B8">
              <w:rPr>
                <w:rFonts w:ascii="Arial" w:hAnsi="Arial" w:cs="Arial"/>
                <w:i/>
                <w:sz w:val="16"/>
                <w:szCs w:val="16"/>
              </w:rPr>
              <w:t> </w:t>
            </w:r>
          </w:p>
        </w:tc>
        <w:tc>
          <w:tcPr>
            <w:tcW w:w="534" w:type="pct"/>
            <w:tcBorders>
              <w:top w:val="nil"/>
              <w:left w:val="nil"/>
              <w:bottom w:val="single" w:sz="4" w:space="0" w:color="auto"/>
              <w:right w:val="nil"/>
            </w:tcBorders>
            <w:shd w:val="clear" w:color="auto" w:fill="FFFFFF" w:themeFill="background1"/>
            <w:noWrap/>
            <w:vAlign w:val="center"/>
            <w:hideMark/>
          </w:tcPr>
          <w:p w14:paraId="3A499A5F" w14:textId="77777777" w:rsidR="005E3F20" w:rsidRPr="00FD24B8" w:rsidRDefault="005E3F20" w:rsidP="005E3F20">
            <w:pPr>
              <w:spacing w:after="0" w:line="240" w:lineRule="auto"/>
              <w:jc w:val="right"/>
              <w:rPr>
                <w:rFonts w:ascii="Arial" w:hAnsi="Arial" w:cs="Arial"/>
                <w:i/>
                <w:sz w:val="16"/>
                <w:szCs w:val="16"/>
              </w:rPr>
            </w:pPr>
            <w:r w:rsidRPr="00FD24B8">
              <w:rPr>
                <w:rFonts w:ascii="Arial" w:hAnsi="Arial" w:cs="Arial"/>
                <w:i/>
                <w:sz w:val="16"/>
                <w:szCs w:val="16"/>
              </w:rPr>
              <w:t>*</w:t>
            </w:r>
          </w:p>
        </w:tc>
      </w:tr>
      <w:tr w:rsidR="00B31B91" w:rsidRPr="00131EBC" w14:paraId="383C5AAB" w14:textId="77777777" w:rsidTr="22BCC46E">
        <w:trPr>
          <w:trHeight w:hRule="exact" w:val="225"/>
        </w:trPr>
        <w:tc>
          <w:tcPr>
            <w:tcW w:w="1813" w:type="pct"/>
            <w:tcBorders>
              <w:top w:val="nil"/>
              <w:left w:val="nil"/>
              <w:bottom w:val="nil"/>
              <w:right w:val="nil"/>
            </w:tcBorders>
            <w:shd w:val="clear" w:color="auto" w:fill="FFFFFF" w:themeFill="background1"/>
            <w:noWrap/>
            <w:vAlign w:val="bottom"/>
            <w:hideMark/>
          </w:tcPr>
          <w:p w14:paraId="7A9CEBC2"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 xml:space="preserve">Total parameter and other variations </w:t>
            </w:r>
          </w:p>
        </w:tc>
        <w:tc>
          <w:tcPr>
            <w:tcW w:w="527" w:type="pct"/>
            <w:tcBorders>
              <w:top w:val="single" w:sz="4" w:space="0" w:color="auto"/>
              <w:left w:val="nil"/>
              <w:bottom w:val="nil"/>
              <w:right w:val="nil"/>
            </w:tcBorders>
            <w:shd w:val="clear" w:color="auto" w:fill="FFFFFF" w:themeFill="background1"/>
            <w:noWrap/>
            <w:vAlign w:val="center"/>
            <w:hideMark/>
          </w:tcPr>
          <w:p w14:paraId="710D7892"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single" w:sz="4" w:space="0" w:color="auto"/>
              <w:left w:val="nil"/>
              <w:bottom w:val="nil"/>
              <w:right w:val="nil"/>
            </w:tcBorders>
            <w:shd w:val="clear" w:color="auto" w:fill="F2F9FC"/>
            <w:noWrap/>
            <w:vAlign w:val="center"/>
            <w:hideMark/>
          </w:tcPr>
          <w:p w14:paraId="2CD7661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5E73326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0460806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052B3FCC"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673B2E0E"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6462AAB9"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B31B91" w:rsidRPr="00131EBC" w14:paraId="13FEC311" w14:textId="77777777" w:rsidTr="22BCC46E">
        <w:trPr>
          <w:trHeight w:hRule="exact" w:val="225"/>
        </w:trPr>
        <w:tc>
          <w:tcPr>
            <w:tcW w:w="1813" w:type="pct"/>
            <w:tcBorders>
              <w:top w:val="nil"/>
              <w:left w:val="nil"/>
              <w:bottom w:val="nil"/>
              <w:right w:val="nil"/>
            </w:tcBorders>
            <w:shd w:val="clear" w:color="auto" w:fill="FFFFFF" w:themeFill="background1"/>
            <w:noWrap/>
            <w:vAlign w:val="bottom"/>
            <w:hideMark/>
          </w:tcPr>
          <w:p w14:paraId="7E6F1554" w14:textId="77777777" w:rsidR="005E3F20" w:rsidRPr="00131EBC" w:rsidRDefault="005E3F20" w:rsidP="005E3F20">
            <w:pPr>
              <w:spacing w:after="0" w:line="240" w:lineRule="auto"/>
              <w:ind w:left="170"/>
              <w:jc w:val="left"/>
              <w:rPr>
                <w:rFonts w:ascii="Arial" w:hAnsi="Arial" w:cs="Arial"/>
                <w:sz w:val="16"/>
                <w:szCs w:val="16"/>
                <w:highlight w:val="darkCyan"/>
              </w:rPr>
            </w:pPr>
            <w:r w:rsidRPr="00FD24B8">
              <w:rPr>
                <w:rFonts w:ascii="Arial" w:hAnsi="Arial" w:cs="Arial"/>
                <w:sz w:val="16"/>
                <w:szCs w:val="16"/>
              </w:rPr>
              <w:t>impact on net operating balance</w:t>
            </w:r>
          </w:p>
        </w:tc>
        <w:tc>
          <w:tcPr>
            <w:tcW w:w="527" w:type="pct"/>
            <w:tcBorders>
              <w:top w:val="nil"/>
              <w:left w:val="nil"/>
              <w:bottom w:val="single" w:sz="4" w:space="0" w:color="000000" w:themeColor="text1"/>
              <w:right w:val="nil"/>
            </w:tcBorders>
            <w:shd w:val="clear" w:color="auto" w:fill="FFFFFF" w:themeFill="background1"/>
            <w:noWrap/>
            <w:vAlign w:val="center"/>
            <w:hideMark/>
          </w:tcPr>
          <w:p w14:paraId="0692351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26,209</w:t>
            </w:r>
          </w:p>
        </w:tc>
        <w:tc>
          <w:tcPr>
            <w:tcW w:w="453" w:type="pct"/>
            <w:tcBorders>
              <w:top w:val="nil"/>
              <w:left w:val="nil"/>
              <w:bottom w:val="single" w:sz="4" w:space="0" w:color="000000" w:themeColor="text1"/>
              <w:right w:val="nil"/>
            </w:tcBorders>
            <w:shd w:val="clear" w:color="auto" w:fill="F2F9FC"/>
            <w:noWrap/>
            <w:vAlign w:val="center"/>
            <w:hideMark/>
          </w:tcPr>
          <w:p w14:paraId="320BC40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34,665</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086CAA2C"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27,987</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4BC91B1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14,620</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7D21620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w:t>
            </w:r>
          </w:p>
        </w:tc>
        <w:tc>
          <w:tcPr>
            <w:tcW w:w="46" w:type="pct"/>
            <w:tcBorders>
              <w:top w:val="nil"/>
              <w:left w:val="nil"/>
              <w:bottom w:val="nil"/>
              <w:right w:val="nil"/>
            </w:tcBorders>
            <w:shd w:val="clear" w:color="auto" w:fill="FFFFFF" w:themeFill="background1"/>
            <w:noWrap/>
            <w:vAlign w:val="center"/>
            <w:hideMark/>
          </w:tcPr>
          <w:p w14:paraId="04B984A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single" w:sz="4" w:space="0" w:color="auto"/>
              <w:right w:val="nil"/>
            </w:tcBorders>
            <w:shd w:val="clear" w:color="auto" w:fill="FFFFFF" w:themeFill="background1"/>
            <w:noWrap/>
            <w:vAlign w:val="center"/>
            <w:hideMark/>
          </w:tcPr>
          <w:p w14:paraId="5C21B3E2"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w:t>
            </w:r>
          </w:p>
        </w:tc>
      </w:tr>
      <w:tr w:rsidR="005E3F20" w:rsidRPr="00131EBC" w14:paraId="2FE1434C" w14:textId="77777777" w:rsidTr="22BCC46E">
        <w:trPr>
          <w:trHeight w:hRule="exact" w:val="60"/>
        </w:trPr>
        <w:tc>
          <w:tcPr>
            <w:tcW w:w="1813" w:type="pct"/>
            <w:tcBorders>
              <w:top w:val="nil"/>
              <w:left w:val="nil"/>
              <w:bottom w:val="nil"/>
              <w:right w:val="nil"/>
            </w:tcBorders>
            <w:shd w:val="clear" w:color="auto" w:fill="FFFFFF" w:themeFill="background1"/>
            <w:noWrap/>
            <w:vAlign w:val="center"/>
            <w:hideMark/>
          </w:tcPr>
          <w:p w14:paraId="2F8E0E1C" w14:textId="77777777" w:rsidR="005E3F20" w:rsidRPr="00131EBC" w:rsidRDefault="005E3F20" w:rsidP="005E3F20">
            <w:pPr>
              <w:spacing w:after="0" w:line="240" w:lineRule="auto"/>
              <w:jc w:val="left"/>
              <w:rPr>
                <w:rFonts w:ascii="Arial" w:hAnsi="Arial" w:cs="Arial"/>
                <w:b/>
                <w:sz w:val="16"/>
                <w:szCs w:val="16"/>
                <w:highlight w:val="darkCyan"/>
              </w:rPr>
            </w:pPr>
            <w:r w:rsidRPr="00FD24B8">
              <w:rPr>
                <w:rFonts w:ascii="Arial" w:hAnsi="Arial" w:cs="Arial"/>
                <w:b/>
                <w:sz w:val="16"/>
                <w:szCs w:val="16"/>
              </w:rPr>
              <w:t> </w:t>
            </w:r>
          </w:p>
        </w:tc>
        <w:tc>
          <w:tcPr>
            <w:tcW w:w="527" w:type="pct"/>
            <w:tcBorders>
              <w:top w:val="nil"/>
              <w:left w:val="nil"/>
              <w:bottom w:val="nil"/>
              <w:right w:val="nil"/>
            </w:tcBorders>
            <w:shd w:val="clear" w:color="auto" w:fill="FFFFFF" w:themeFill="background1"/>
            <w:noWrap/>
            <w:vAlign w:val="center"/>
            <w:hideMark/>
          </w:tcPr>
          <w:p w14:paraId="77C02514"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215B7976"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D4F6DD2"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7B34F5D7"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39C8302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4FECAD3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45BE481C"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05F97630"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6FDF8E60" w14:textId="5F1993C8" w:rsidR="005E3F20" w:rsidRPr="00131EBC" w:rsidRDefault="005E3F20" w:rsidP="005E3F20">
            <w:pPr>
              <w:spacing w:after="0" w:line="240" w:lineRule="auto"/>
              <w:jc w:val="left"/>
              <w:rPr>
                <w:rFonts w:ascii="Arial" w:hAnsi="Arial" w:cs="Arial"/>
                <w:b/>
                <w:sz w:val="16"/>
                <w:szCs w:val="16"/>
                <w:highlight w:val="darkCyan"/>
              </w:rPr>
            </w:pPr>
            <w:r w:rsidRPr="00FD24B8">
              <w:rPr>
                <w:rFonts w:ascii="Arial" w:hAnsi="Arial" w:cs="Arial"/>
                <w:b/>
                <w:sz w:val="16"/>
                <w:szCs w:val="16"/>
              </w:rPr>
              <w:t>2022</w:t>
            </w:r>
            <w:r w:rsidR="0031144A" w:rsidRPr="00FD24B8">
              <w:rPr>
                <w:rFonts w:ascii="Arial" w:hAnsi="Arial" w:cs="Arial"/>
                <w:b/>
                <w:sz w:val="16"/>
                <w:szCs w:val="16"/>
              </w:rPr>
              <w:noBreakHyphen/>
            </w:r>
            <w:r w:rsidRPr="00FD24B8">
              <w:rPr>
                <w:rFonts w:ascii="Arial" w:hAnsi="Arial" w:cs="Arial"/>
                <w:b/>
                <w:sz w:val="16"/>
                <w:szCs w:val="16"/>
              </w:rPr>
              <w:t>23 Budget net operating</w:t>
            </w:r>
          </w:p>
        </w:tc>
        <w:tc>
          <w:tcPr>
            <w:tcW w:w="527" w:type="pct"/>
            <w:tcBorders>
              <w:top w:val="nil"/>
              <w:left w:val="nil"/>
              <w:bottom w:val="nil"/>
              <w:right w:val="nil"/>
            </w:tcBorders>
            <w:shd w:val="clear" w:color="auto" w:fill="FFFFFF" w:themeFill="background1"/>
            <w:noWrap/>
            <w:vAlign w:val="center"/>
            <w:hideMark/>
          </w:tcPr>
          <w:p w14:paraId="6E65FBEC"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53" w:type="pct"/>
            <w:tcBorders>
              <w:top w:val="nil"/>
              <w:left w:val="nil"/>
              <w:bottom w:val="nil"/>
              <w:right w:val="nil"/>
            </w:tcBorders>
            <w:shd w:val="clear" w:color="auto" w:fill="F2F9FC"/>
            <w:noWrap/>
            <w:vAlign w:val="center"/>
            <w:hideMark/>
          </w:tcPr>
          <w:p w14:paraId="597E8119"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652B795E"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FDBEA75"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42" w:type="pct"/>
            <w:tcBorders>
              <w:top w:val="nil"/>
              <w:left w:val="nil"/>
              <w:bottom w:val="nil"/>
              <w:right w:val="nil"/>
            </w:tcBorders>
            <w:shd w:val="clear" w:color="auto" w:fill="FFFFFF" w:themeFill="background1"/>
            <w:noWrap/>
            <w:vAlign w:val="center"/>
            <w:hideMark/>
          </w:tcPr>
          <w:p w14:paraId="42BE6624"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46" w:type="pct"/>
            <w:tcBorders>
              <w:top w:val="nil"/>
              <w:left w:val="nil"/>
              <w:bottom w:val="nil"/>
              <w:right w:val="nil"/>
            </w:tcBorders>
            <w:shd w:val="clear" w:color="auto" w:fill="FFFFFF" w:themeFill="background1"/>
            <w:noWrap/>
            <w:vAlign w:val="center"/>
            <w:hideMark/>
          </w:tcPr>
          <w:p w14:paraId="1D61528A"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39A83B58"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5E3F20" w:rsidRPr="00131EBC" w14:paraId="34C1451D"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4E37D366" w14:textId="77777777" w:rsidR="005E3F20" w:rsidRPr="00131EBC" w:rsidRDefault="005E3F20" w:rsidP="005E3F20">
            <w:pPr>
              <w:spacing w:after="0" w:line="240" w:lineRule="auto"/>
              <w:ind w:left="170"/>
              <w:jc w:val="left"/>
              <w:rPr>
                <w:rFonts w:ascii="Arial" w:hAnsi="Arial" w:cs="Arial"/>
                <w:b/>
                <w:sz w:val="16"/>
                <w:szCs w:val="16"/>
                <w:highlight w:val="darkCyan"/>
              </w:rPr>
            </w:pPr>
            <w:r w:rsidRPr="00FD24B8">
              <w:rPr>
                <w:rFonts w:ascii="Arial" w:hAnsi="Arial" w:cs="Arial"/>
                <w:b/>
                <w:sz w:val="16"/>
                <w:szCs w:val="16"/>
              </w:rPr>
              <w:t>balance</w:t>
            </w:r>
          </w:p>
        </w:tc>
        <w:tc>
          <w:tcPr>
            <w:tcW w:w="527" w:type="pct"/>
            <w:tcBorders>
              <w:top w:val="nil"/>
              <w:left w:val="nil"/>
              <w:bottom w:val="nil"/>
              <w:right w:val="nil"/>
            </w:tcBorders>
            <w:shd w:val="clear" w:color="auto" w:fill="FFFFFF" w:themeFill="background1"/>
            <w:noWrap/>
            <w:vAlign w:val="center"/>
            <w:hideMark/>
          </w:tcPr>
          <w:p w14:paraId="4EB5C03A" w14:textId="0F55C4B9"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73,153</w:t>
            </w:r>
          </w:p>
        </w:tc>
        <w:tc>
          <w:tcPr>
            <w:tcW w:w="453" w:type="pct"/>
            <w:tcBorders>
              <w:top w:val="nil"/>
              <w:left w:val="nil"/>
              <w:bottom w:val="nil"/>
              <w:right w:val="nil"/>
            </w:tcBorders>
            <w:shd w:val="clear" w:color="auto" w:fill="F2F9FC"/>
            <w:noWrap/>
            <w:vAlign w:val="center"/>
            <w:hideMark/>
          </w:tcPr>
          <w:p w14:paraId="2D9C588C" w14:textId="146A02E6"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67,522</w:t>
            </w:r>
          </w:p>
        </w:tc>
        <w:tc>
          <w:tcPr>
            <w:tcW w:w="542" w:type="pct"/>
            <w:tcBorders>
              <w:top w:val="nil"/>
              <w:left w:val="nil"/>
              <w:bottom w:val="nil"/>
              <w:right w:val="nil"/>
            </w:tcBorders>
            <w:shd w:val="clear" w:color="auto" w:fill="FFFFFF" w:themeFill="background1"/>
            <w:noWrap/>
            <w:vAlign w:val="center"/>
            <w:hideMark/>
          </w:tcPr>
          <w:p w14:paraId="61FDC6C7" w14:textId="46FFD648"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48,174</w:t>
            </w:r>
          </w:p>
        </w:tc>
        <w:tc>
          <w:tcPr>
            <w:tcW w:w="542" w:type="pct"/>
            <w:tcBorders>
              <w:top w:val="nil"/>
              <w:left w:val="nil"/>
              <w:bottom w:val="nil"/>
              <w:right w:val="nil"/>
            </w:tcBorders>
            <w:shd w:val="clear" w:color="auto" w:fill="FFFFFF" w:themeFill="background1"/>
            <w:noWrap/>
            <w:vAlign w:val="center"/>
            <w:hideMark/>
          </w:tcPr>
          <w:p w14:paraId="5FBFAAEA" w14:textId="3ECCC5D4"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43,629</w:t>
            </w:r>
          </w:p>
        </w:tc>
        <w:tc>
          <w:tcPr>
            <w:tcW w:w="542" w:type="pct"/>
            <w:tcBorders>
              <w:top w:val="nil"/>
              <w:left w:val="nil"/>
              <w:bottom w:val="nil"/>
              <w:right w:val="nil"/>
            </w:tcBorders>
            <w:shd w:val="clear" w:color="auto" w:fill="FFFFFF" w:themeFill="background1"/>
            <w:noWrap/>
            <w:vAlign w:val="center"/>
            <w:hideMark/>
          </w:tcPr>
          <w:p w14:paraId="570CBF0E" w14:textId="0DB61CC6"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31,607</w:t>
            </w:r>
          </w:p>
        </w:tc>
        <w:tc>
          <w:tcPr>
            <w:tcW w:w="46" w:type="pct"/>
            <w:tcBorders>
              <w:top w:val="nil"/>
              <w:left w:val="nil"/>
              <w:bottom w:val="nil"/>
              <w:right w:val="nil"/>
            </w:tcBorders>
            <w:shd w:val="clear" w:color="auto" w:fill="FFFFFF" w:themeFill="background1"/>
            <w:noWrap/>
            <w:vAlign w:val="center"/>
            <w:hideMark/>
          </w:tcPr>
          <w:p w14:paraId="1F0A5314"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4" w:type="pct"/>
            <w:tcBorders>
              <w:top w:val="nil"/>
              <w:left w:val="nil"/>
              <w:bottom w:val="nil"/>
              <w:right w:val="nil"/>
            </w:tcBorders>
            <w:shd w:val="clear" w:color="auto" w:fill="FFFFFF" w:themeFill="background1"/>
            <w:noWrap/>
            <w:vAlign w:val="center"/>
            <w:hideMark/>
          </w:tcPr>
          <w:p w14:paraId="6A21FBAE" w14:textId="5E42E674" w:rsidR="005E3F20" w:rsidRPr="00FD24B8" w:rsidRDefault="0031144A" w:rsidP="005E3F20">
            <w:pPr>
              <w:spacing w:after="0" w:line="240" w:lineRule="auto"/>
              <w:jc w:val="right"/>
              <w:rPr>
                <w:rFonts w:ascii="Arial" w:hAnsi="Arial" w:cs="Arial"/>
                <w:b/>
                <w:sz w:val="16"/>
                <w:szCs w:val="16"/>
              </w:rPr>
            </w:pPr>
            <w:r w:rsidRPr="00FD24B8">
              <w:rPr>
                <w:rFonts w:ascii="Arial" w:hAnsi="Arial" w:cs="Arial"/>
                <w:b/>
                <w:sz w:val="16"/>
                <w:szCs w:val="16"/>
              </w:rPr>
              <w:noBreakHyphen/>
            </w:r>
            <w:r w:rsidR="005E3F20" w:rsidRPr="00FD24B8">
              <w:rPr>
                <w:rFonts w:ascii="Arial" w:hAnsi="Arial" w:cs="Arial"/>
                <w:b/>
                <w:sz w:val="16"/>
                <w:szCs w:val="16"/>
              </w:rPr>
              <w:t>190,931</w:t>
            </w:r>
          </w:p>
        </w:tc>
      </w:tr>
      <w:tr w:rsidR="005E3F20" w:rsidRPr="00131EBC" w14:paraId="79F633B3" w14:textId="77777777" w:rsidTr="22BCC46E">
        <w:trPr>
          <w:trHeight w:hRule="exact" w:val="225"/>
        </w:trPr>
        <w:tc>
          <w:tcPr>
            <w:tcW w:w="1813" w:type="pct"/>
            <w:tcBorders>
              <w:top w:val="nil"/>
              <w:left w:val="nil"/>
              <w:bottom w:val="single" w:sz="4" w:space="0" w:color="000000" w:themeColor="text1"/>
              <w:right w:val="nil"/>
            </w:tcBorders>
            <w:shd w:val="clear" w:color="auto" w:fill="FFFFFF" w:themeFill="background1"/>
            <w:noWrap/>
            <w:vAlign w:val="center"/>
            <w:hideMark/>
          </w:tcPr>
          <w:p w14:paraId="75852985"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27" w:type="pct"/>
            <w:tcBorders>
              <w:top w:val="nil"/>
              <w:left w:val="nil"/>
              <w:bottom w:val="single" w:sz="4" w:space="0" w:color="000000" w:themeColor="text1"/>
              <w:right w:val="nil"/>
            </w:tcBorders>
            <w:shd w:val="clear" w:color="auto" w:fill="FFFFFF" w:themeFill="background1"/>
            <w:noWrap/>
            <w:vAlign w:val="center"/>
            <w:hideMark/>
          </w:tcPr>
          <w:p w14:paraId="1096D82B" w14:textId="723334A1"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3.2</w:t>
            </w:r>
          </w:p>
        </w:tc>
        <w:tc>
          <w:tcPr>
            <w:tcW w:w="453" w:type="pct"/>
            <w:tcBorders>
              <w:top w:val="nil"/>
              <w:left w:val="nil"/>
              <w:bottom w:val="single" w:sz="4" w:space="0" w:color="000000" w:themeColor="text1"/>
              <w:right w:val="nil"/>
            </w:tcBorders>
            <w:shd w:val="clear" w:color="auto" w:fill="F2F9FC"/>
            <w:noWrap/>
            <w:vAlign w:val="center"/>
            <w:hideMark/>
          </w:tcPr>
          <w:p w14:paraId="05EF9F0D" w14:textId="3BDF645D"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2.9</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54B55664" w14:textId="75491ED3"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2.0</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4BC01BA9" w14:textId="0CD2FDD4"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1.8</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23F1FA5D" w14:textId="3037F18A"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1.2</w:t>
            </w:r>
          </w:p>
        </w:tc>
        <w:tc>
          <w:tcPr>
            <w:tcW w:w="46" w:type="pct"/>
            <w:tcBorders>
              <w:top w:val="nil"/>
              <w:left w:val="nil"/>
              <w:bottom w:val="single" w:sz="4" w:space="0" w:color="000000" w:themeColor="text1"/>
              <w:right w:val="nil"/>
            </w:tcBorders>
            <w:shd w:val="clear" w:color="auto" w:fill="FFFFFF" w:themeFill="background1"/>
            <w:noWrap/>
            <w:vAlign w:val="center"/>
            <w:hideMark/>
          </w:tcPr>
          <w:p w14:paraId="151E7EB4"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single" w:sz="4" w:space="0" w:color="000000" w:themeColor="text1"/>
              <w:right w:val="nil"/>
            </w:tcBorders>
            <w:shd w:val="clear" w:color="auto" w:fill="FFFFFF" w:themeFill="background1"/>
            <w:noWrap/>
            <w:vAlign w:val="center"/>
            <w:hideMark/>
          </w:tcPr>
          <w:p w14:paraId="4DEF8CB7"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B31B91" w:rsidRPr="00131EBC" w14:paraId="317F71EB"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752A5774" w14:textId="77777777" w:rsidR="005E3F20" w:rsidRPr="00131EBC" w:rsidRDefault="005E3F20" w:rsidP="005E3F20">
            <w:pPr>
              <w:spacing w:after="0" w:line="240" w:lineRule="auto"/>
              <w:jc w:val="left"/>
              <w:rPr>
                <w:rFonts w:ascii="Arial" w:hAnsi="Arial" w:cs="Arial"/>
                <w:i/>
                <w:sz w:val="16"/>
                <w:szCs w:val="16"/>
                <w:highlight w:val="darkCyan"/>
              </w:rPr>
            </w:pPr>
            <w:r w:rsidRPr="00FD24B8">
              <w:rPr>
                <w:rFonts w:ascii="Arial" w:hAnsi="Arial" w:cs="Arial"/>
                <w:i/>
                <w:sz w:val="16"/>
                <w:szCs w:val="16"/>
              </w:rPr>
              <w:t>Net capital investment</w:t>
            </w:r>
          </w:p>
        </w:tc>
        <w:tc>
          <w:tcPr>
            <w:tcW w:w="527" w:type="pct"/>
            <w:tcBorders>
              <w:top w:val="nil"/>
              <w:left w:val="nil"/>
              <w:bottom w:val="single" w:sz="4" w:space="0" w:color="000000" w:themeColor="text1"/>
              <w:right w:val="nil"/>
            </w:tcBorders>
            <w:shd w:val="clear" w:color="auto" w:fill="FFFFFF" w:themeFill="background1"/>
            <w:noWrap/>
            <w:vAlign w:val="center"/>
            <w:hideMark/>
          </w:tcPr>
          <w:p w14:paraId="746A000A"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53" w:type="pct"/>
            <w:tcBorders>
              <w:top w:val="nil"/>
              <w:left w:val="nil"/>
              <w:bottom w:val="single" w:sz="4" w:space="0" w:color="000000" w:themeColor="text1"/>
              <w:right w:val="nil"/>
            </w:tcBorders>
            <w:shd w:val="clear" w:color="auto" w:fill="F2F9FC"/>
            <w:noWrap/>
            <w:vAlign w:val="center"/>
            <w:hideMark/>
          </w:tcPr>
          <w:p w14:paraId="21906610"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3BA832FA"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3EB87F61"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46FB8EEB"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46" w:type="pct"/>
            <w:tcBorders>
              <w:top w:val="nil"/>
              <w:left w:val="nil"/>
              <w:bottom w:val="nil"/>
              <w:right w:val="nil"/>
            </w:tcBorders>
            <w:shd w:val="clear" w:color="auto" w:fill="FFFFFF" w:themeFill="background1"/>
            <w:noWrap/>
            <w:vAlign w:val="center"/>
            <w:hideMark/>
          </w:tcPr>
          <w:p w14:paraId="3BA6AFAD"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nil"/>
              <w:right w:val="nil"/>
            </w:tcBorders>
            <w:shd w:val="clear" w:color="auto" w:fill="FFFFFF" w:themeFill="background1"/>
            <w:noWrap/>
            <w:vAlign w:val="center"/>
            <w:hideMark/>
          </w:tcPr>
          <w:p w14:paraId="04AE65AE"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r w:rsidR="00B31B91" w:rsidRPr="00131EBC" w14:paraId="1CFDC1B2"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01421692"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Effect of net capital investment(d)</w:t>
            </w:r>
          </w:p>
        </w:tc>
        <w:tc>
          <w:tcPr>
            <w:tcW w:w="527" w:type="pct"/>
            <w:tcBorders>
              <w:top w:val="nil"/>
              <w:left w:val="nil"/>
              <w:bottom w:val="single" w:sz="4" w:space="0" w:color="000000" w:themeColor="text1"/>
              <w:right w:val="nil"/>
            </w:tcBorders>
            <w:shd w:val="clear" w:color="auto" w:fill="FFFFFF" w:themeFill="background1"/>
            <w:noWrap/>
            <w:vAlign w:val="center"/>
            <w:hideMark/>
          </w:tcPr>
          <w:p w14:paraId="5F689C7B"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11,092</w:t>
            </w:r>
          </w:p>
        </w:tc>
        <w:tc>
          <w:tcPr>
            <w:tcW w:w="453" w:type="pct"/>
            <w:tcBorders>
              <w:top w:val="nil"/>
              <w:left w:val="nil"/>
              <w:bottom w:val="single" w:sz="4" w:space="0" w:color="000000" w:themeColor="text1"/>
              <w:right w:val="nil"/>
            </w:tcBorders>
            <w:shd w:val="clear" w:color="auto" w:fill="F2F9FC"/>
            <w:noWrap/>
            <w:vAlign w:val="center"/>
            <w:hideMark/>
          </w:tcPr>
          <w:p w14:paraId="4B47F26D"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11,319</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222C197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10,580</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10D8AF5D"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7,443</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63CC35CF"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8,172</w:t>
            </w:r>
          </w:p>
        </w:tc>
        <w:tc>
          <w:tcPr>
            <w:tcW w:w="46" w:type="pct"/>
            <w:tcBorders>
              <w:top w:val="nil"/>
              <w:left w:val="nil"/>
              <w:bottom w:val="nil"/>
              <w:right w:val="nil"/>
            </w:tcBorders>
            <w:shd w:val="clear" w:color="auto" w:fill="FFFFFF" w:themeFill="background1"/>
            <w:noWrap/>
            <w:vAlign w:val="center"/>
            <w:hideMark/>
          </w:tcPr>
          <w:p w14:paraId="2C393ACA"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single" w:sz="4" w:space="0" w:color="auto"/>
              <w:left w:val="nil"/>
              <w:bottom w:val="single" w:sz="4" w:space="0" w:color="auto"/>
              <w:right w:val="nil"/>
            </w:tcBorders>
            <w:shd w:val="clear" w:color="auto" w:fill="FFFFFF" w:themeFill="background1"/>
            <w:noWrap/>
            <w:vAlign w:val="center"/>
            <w:hideMark/>
          </w:tcPr>
          <w:p w14:paraId="2A912323"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37,515</w:t>
            </w:r>
          </w:p>
        </w:tc>
      </w:tr>
      <w:tr w:rsidR="005E3F20" w:rsidRPr="00131EBC" w14:paraId="1B727BF8" w14:textId="77777777" w:rsidTr="22BCC46E">
        <w:trPr>
          <w:trHeight w:hRule="exact" w:val="225"/>
        </w:trPr>
        <w:tc>
          <w:tcPr>
            <w:tcW w:w="1813" w:type="pct"/>
            <w:tcBorders>
              <w:top w:val="nil"/>
              <w:left w:val="nil"/>
              <w:bottom w:val="nil"/>
              <w:right w:val="nil"/>
            </w:tcBorders>
            <w:shd w:val="clear" w:color="auto" w:fill="FFFFFF" w:themeFill="background1"/>
            <w:noWrap/>
            <w:vAlign w:val="center"/>
            <w:hideMark/>
          </w:tcPr>
          <w:p w14:paraId="4DFC842F" w14:textId="64527385" w:rsidR="005E3F20" w:rsidRPr="00131EBC" w:rsidRDefault="005E3F20" w:rsidP="005E3F20">
            <w:pPr>
              <w:spacing w:after="0" w:line="240" w:lineRule="auto"/>
              <w:jc w:val="left"/>
              <w:rPr>
                <w:rFonts w:ascii="Arial" w:hAnsi="Arial" w:cs="Arial"/>
                <w:b/>
                <w:sz w:val="16"/>
                <w:szCs w:val="16"/>
                <w:highlight w:val="darkCyan"/>
              </w:rPr>
            </w:pPr>
            <w:r w:rsidRPr="00FD24B8">
              <w:rPr>
                <w:rFonts w:ascii="Arial" w:hAnsi="Arial" w:cs="Arial"/>
                <w:b/>
                <w:sz w:val="16"/>
                <w:szCs w:val="16"/>
              </w:rPr>
              <w:t>2022</w:t>
            </w:r>
            <w:r w:rsidR="0031144A" w:rsidRPr="00FD24B8">
              <w:rPr>
                <w:rFonts w:ascii="Arial" w:hAnsi="Arial" w:cs="Arial"/>
                <w:b/>
                <w:sz w:val="16"/>
                <w:szCs w:val="16"/>
              </w:rPr>
              <w:noBreakHyphen/>
            </w:r>
            <w:r w:rsidRPr="00FD24B8">
              <w:rPr>
                <w:rFonts w:ascii="Arial" w:hAnsi="Arial" w:cs="Arial"/>
                <w:b/>
                <w:sz w:val="16"/>
                <w:szCs w:val="16"/>
              </w:rPr>
              <w:t>23 Budget fiscal balance</w:t>
            </w:r>
          </w:p>
        </w:tc>
        <w:tc>
          <w:tcPr>
            <w:tcW w:w="527" w:type="pct"/>
            <w:tcBorders>
              <w:top w:val="nil"/>
              <w:left w:val="nil"/>
              <w:bottom w:val="nil"/>
              <w:right w:val="nil"/>
            </w:tcBorders>
            <w:shd w:val="clear" w:color="auto" w:fill="FFFFFF" w:themeFill="background1"/>
            <w:noWrap/>
            <w:vAlign w:val="center"/>
            <w:hideMark/>
          </w:tcPr>
          <w:p w14:paraId="6B67D397" w14:textId="484E152A"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84,245</w:t>
            </w:r>
          </w:p>
        </w:tc>
        <w:tc>
          <w:tcPr>
            <w:tcW w:w="453" w:type="pct"/>
            <w:tcBorders>
              <w:top w:val="nil"/>
              <w:left w:val="nil"/>
              <w:bottom w:val="nil"/>
              <w:right w:val="nil"/>
            </w:tcBorders>
            <w:shd w:val="clear" w:color="auto" w:fill="F2F9FC"/>
            <w:noWrap/>
            <w:vAlign w:val="center"/>
            <w:hideMark/>
          </w:tcPr>
          <w:p w14:paraId="092D43DE" w14:textId="5CDCCF91"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78,841</w:t>
            </w:r>
          </w:p>
        </w:tc>
        <w:tc>
          <w:tcPr>
            <w:tcW w:w="542" w:type="pct"/>
            <w:tcBorders>
              <w:top w:val="nil"/>
              <w:left w:val="nil"/>
              <w:bottom w:val="nil"/>
              <w:right w:val="nil"/>
            </w:tcBorders>
            <w:shd w:val="clear" w:color="auto" w:fill="FFFFFF" w:themeFill="background1"/>
            <w:noWrap/>
            <w:vAlign w:val="center"/>
            <w:hideMark/>
          </w:tcPr>
          <w:p w14:paraId="28914071" w14:textId="7794E7BA"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58,754</w:t>
            </w:r>
          </w:p>
        </w:tc>
        <w:tc>
          <w:tcPr>
            <w:tcW w:w="542" w:type="pct"/>
            <w:tcBorders>
              <w:top w:val="nil"/>
              <w:left w:val="nil"/>
              <w:bottom w:val="nil"/>
              <w:right w:val="nil"/>
            </w:tcBorders>
            <w:shd w:val="clear" w:color="auto" w:fill="FFFFFF" w:themeFill="background1"/>
            <w:noWrap/>
            <w:vAlign w:val="center"/>
            <w:hideMark/>
          </w:tcPr>
          <w:p w14:paraId="6761E9A5" w14:textId="3313BC63"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51,072</w:t>
            </w:r>
          </w:p>
        </w:tc>
        <w:tc>
          <w:tcPr>
            <w:tcW w:w="542" w:type="pct"/>
            <w:tcBorders>
              <w:top w:val="nil"/>
              <w:left w:val="nil"/>
              <w:bottom w:val="nil"/>
              <w:right w:val="nil"/>
            </w:tcBorders>
            <w:shd w:val="clear" w:color="auto" w:fill="FFFFFF" w:themeFill="background1"/>
            <w:noWrap/>
            <w:vAlign w:val="center"/>
            <w:hideMark/>
          </w:tcPr>
          <w:p w14:paraId="324D3A6E" w14:textId="0098BE59" w:rsidR="005E3F20" w:rsidRPr="00131EBC" w:rsidRDefault="0031144A"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noBreakHyphen/>
            </w:r>
            <w:r w:rsidR="005E3F20" w:rsidRPr="00FD24B8">
              <w:rPr>
                <w:rFonts w:ascii="Arial" w:hAnsi="Arial" w:cs="Arial"/>
                <w:b/>
                <w:sz w:val="16"/>
                <w:szCs w:val="16"/>
              </w:rPr>
              <w:t>39,779</w:t>
            </w:r>
          </w:p>
        </w:tc>
        <w:tc>
          <w:tcPr>
            <w:tcW w:w="46" w:type="pct"/>
            <w:tcBorders>
              <w:top w:val="nil"/>
              <w:left w:val="nil"/>
              <w:bottom w:val="nil"/>
              <w:right w:val="nil"/>
            </w:tcBorders>
            <w:shd w:val="clear" w:color="auto" w:fill="FFFFFF" w:themeFill="background1"/>
            <w:noWrap/>
            <w:vAlign w:val="center"/>
            <w:hideMark/>
          </w:tcPr>
          <w:p w14:paraId="57C75F7B" w14:textId="77777777" w:rsidR="005E3F20" w:rsidRPr="00131EBC" w:rsidRDefault="005E3F20" w:rsidP="005E3F20">
            <w:pPr>
              <w:spacing w:after="0" w:line="240" w:lineRule="auto"/>
              <w:jc w:val="right"/>
              <w:rPr>
                <w:rFonts w:ascii="Arial" w:hAnsi="Arial" w:cs="Arial"/>
                <w:b/>
                <w:sz w:val="16"/>
                <w:szCs w:val="16"/>
                <w:highlight w:val="darkCyan"/>
              </w:rPr>
            </w:pPr>
            <w:r w:rsidRPr="00FD24B8">
              <w:rPr>
                <w:rFonts w:ascii="Arial" w:hAnsi="Arial" w:cs="Arial"/>
                <w:b/>
                <w:sz w:val="16"/>
                <w:szCs w:val="16"/>
              </w:rPr>
              <w:t> </w:t>
            </w:r>
          </w:p>
        </w:tc>
        <w:tc>
          <w:tcPr>
            <w:tcW w:w="534" w:type="pct"/>
            <w:tcBorders>
              <w:top w:val="nil"/>
              <w:left w:val="nil"/>
              <w:bottom w:val="nil"/>
              <w:right w:val="nil"/>
            </w:tcBorders>
            <w:shd w:val="clear" w:color="auto" w:fill="FFFFFF" w:themeFill="background1"/>
            <w:noWrap/>
            <w:vAlign w:val="center"/>
            <w:hideMark/>
          </w:tcPr>
          <w:p w14:paraId="16A6E381" w14:textId="4F49E873" w:rsidR="005E3F20" w:rsidRPr="00FD24B8" w:rsidRDefault="0031144A" w:rsidP="005E3F20">
            <w:pPr>
              <w:spacing w:after="0" w:line="240" w:lineRule="auto"/>
              <w:jc w:val="right"/>
              <w:rPr>
                <w:rFonts w:ascii="Arial" w:hAnsi="Arial" w:cs="Arial"/>
                <w:b/>
                <w:sz w:val="16"/>
                <w:szCs w:val="16"/>
              </w:rPr>
            </w:pPr>
            <w:r w:rsidRPr="00FD24B8">
              <w:rPr>
                <w:rFonts w:ascii="Arial" w:hAnsi="Arial" w:cs="Arial"/>
                <w:b/>
                <w:sz w:val="16"/>
                <w:szCs w:val="16"/>
              </w:rPr>
              <w:noBreakHyphen/>
            </w:r>
            <w:r w:rsidR="005E3F20" w:rsidRPr="00FD24B8">
              <w:rPr>
                <w:rFonts w:ascii="Arial" w:hAnsi="Arial" w:cs="Arial"/>
                <w:b/>
                <w:sz w:val="16"/>
                <w:szCs w:val="16"/>
              </w:rPr>
              <w:t>228,447</w:t>
            </w:r>
          </w:p>
        </w:tc>
      </w:tr>
      <w:tr w:rsidR="005E3F20" w:rsidRPr="00131EBC" w14:paraId="1BFC38C4" w14:textId="77777777" w:rsidTr="22BCC46E">
        <w:trPr>
          <w:trHeight w:hRule="exact" w:val="225"/>
        </w:trPr>
        <w:tc>
          <w:tcPr>
            <w:tcW w:w="1813" w:type="pct"/>
            <w:tcBorders>
              <w:top w:val="nil"/>
              <w:left w:val="nil"/>
              <w:bottom w:val="single" w:sz="4" w:space="0" w:color="000000" w:themeColor="text1"/>
              <w:right w:val="nil"/>
            </w:tcBorders>
            <w:shd w:val="clear" w:color="auto" w:fill="FFFFFF" w:themeFill="background1"/>
            <w:noWrap/>
            <w:vAlign w:val="center"/>
            <w:hideMark/>
          </w:tcPr>
          <w:p w14:paraId="120AA41A" w14:textId="77777777" w:rsidR="005E3F20" w:rsidRPr="00131EBC" w:rsidRDefault="005E3F20" w:rsidP="005E3F20">
            <w:pPr>
              <w:spacing w:after="0" w:line="240" w:lineRule="auto"/>
              <w:jc w:val="left"/>
              <w:rPr>
                <w:rFonts w:ascii="Arial" w:hAnsi="Arial" w:cs="Arial"/>
                <w:sz w:val="16"/>
                <w:szCs w:val="16"/>
                <w:highlight w:val="darkCyan"/>
              </w:rPr>
            </w:pPr>
            <w:r w:rsidRPr="00FD24B8">
              <w:rPr>
                <w:rFonts w:ascii="Arial" w:hAnsi="Arial" w:cs="Arial"/>
                <w:sz w:val="16"/>
                <w:szCs w:val="16"/>
              </w:rPr>
              <w:t>Per cent of GDP</w:t>
            </w:r>
          </w:p>
        </w:tc>
        <w:tc>
          <w:tcPr>
            <w:tcW w:w="527" w:type="pct"/>
            <w:tcBorders>
              <w:top w:val="nil"/>
              <w:left w:val="nil"/>
              <w:bottom w:val="single" w:sz="4" w:space="0" w:color="000000" w:themeColor="text1"/>
              <w:right w:val="nil"/>
            </w:tcBorders>
            <w:shd w:val="clear" w:color="auto" w:fill="FFFFFF" w:themeFill="background1"/>
            <w:noWrap/>
            <w:vAlign w:val="center"/>
            <w:hideMark/>
          </w:tcPr>
          <w:p w14:paraId="3D46261A" w14:textId="562040D4"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3.7</w:t>
            </w:r>
          </w:p>
        </w:tc>
        <w:tc>
          <w:tcPr>
            <w:tcW w:w="453" w:type="pct"/>
            <w:tcBorders>
              <w:top w:val="nil"/>
              <w:left w:val="nil"/>
              <w:bottom w:val="single" w:sz="4" w:space="0" w:color="000000" w:themeColor="text1"/>
              <w:right w:val="nil"/>
            </w:tcBorders>
            <w:shd w:val="clear" w:color="auto" w:fill="F2F9FC"/>
            <w:noWrap/>
            <w:vAlign w:val="center"/>
            <w:hideMark/>
          </w:tcPr>
          <w:p w14:paraId="4730972D" w14:textId="48410B0A"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3.4</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2E246A1F" w14:textId="08904B0B"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2.5</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4607F9C2" w14:textId="45BC880E"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2.1</w:t>
            </w:r>
          </w:p>
        </w:tc>
        <w:tc>
          <w:tcPr>
            <w:tcW w:w="542" w:type="pct"/>
            <w:tcBorders>
              <w:top w:val="nil"/>
              <w:left w:val="nil"/>
              <w:bottom w:val="single" w:sz="4" w:space="0" w:color="000000" w:themeColor="text1"/>
              <w:right w:val="nil"/>
            </w:tcBorders>
            <w:shd w:val="clear" w:color="auto" w:fill="FFFFFF" w:themeFill="background1"/>
            <w:noWrap/>
            <w:vAlign w:val="center"/>
            <w:hideMark/>
          </w:tcPr>
          <w:p w14:paraId="3B0560CB" w14:textId="103420AB" w:rsidR="005E3F20" w:rsidRPr="00131EBC" w:rsidRDefault="0031144A" w:rsidP="005E3F20">
            <w:pPr>
              <w:spacing w:after="0" w:line="240" w:lineRule="auto"/>
              <w:jc w:val="right"/>
              <w:rPr>
                <w:rFonts w:ascii="Arial" w:hAnsi="Arial" w:cs="Arial"/>
                <w:sz w:val="16"/>
                <w:szCs w:val="16"/>
                <w:highlight w:val="darkCyan"/>
              </w:rPr>
            </w:pPr>
            <w:r w:rsidRPr="00FD24B8">
              <w:rPr>
                <w:rFonts w:ascii="Arial" w:hAnsi="Arial" w:cs="Arial"/>
                <w:sz w:val="16"/>
                <w:szCs w:val="16"/>
              </w:rPr>
              <w:noBreakHyphen/>
            </w:r>
            <w:r w:rsidR="005E3F20" w:rsidRPr="00FD24B8">
              <w:rPr>
                <w:rFonts w:ascii="Arial" w:hAnsi="Arial" w:cs="Arial"/>
                <w:sz w:val="16"/>
                <w:szCs w:val="16"/>
              </w:rPr>
              <w:t>1.5</w:t>
            </w:r>
          </w:p>
        </w:tc>
        <w:tc>
          <w:tcPr>
            <w:tcW w:w="46" w:type="pct"/>
            <w:tcBorders>
              <w:top w:val="nil"/>
              <w:left w:val="nil"/>
              <w:bottom w:val="single" w:sz="4" w:space="0" w:color="000000" w:themeColor="text1"/>
              <w:right w:val="nil"/>
            </w:tcBorders>
            <w:shd w:val="clear" w:color="auto" w:fill="FFFFFF" w:themeFill="background1"/>
            <w:noWrap/>
            <w:vAlign w:val="center"/>
            <w:hideMark/>
          </w:tcPr>
          <w:p w14:paraId="585F1300" w14:textId="77777777" w:rsidR="005E3F20" w:rsidRPr="00131EBC" w:rsidRDefault="005E3F20" w:rsidP="005E3F20">
            <w:pPr>
              <w:spacing w:after="0" w:line="240" w:lineRule="auto"/>
              <w:jc w:val="right"/>
              <w:rPr>
                <w:rFonts w:ascii="Arial" w:hAnsi="Arial" w:cs="Arial"/>
                <w:sz w:val="16"/>
                <w:szCs w:val="16"/>
                <w:highlight w:val="darkCyan"/>
              </w:rPr>
            </w:pPr>
            <w:r w:rsidRPr="00FD24B8">
              <w:rPr>
                <w:rFonts w:ascii="Arial" w:hAnsi="Arial" w:cs="Arial"/>
                <w:sz w:val="16"/>
                <w:szCs w:val="16"/>
              </w:rPr>
              <w:t> </w:t>
            </w:r>
          </w:p>
        </w:tc>
        <w:tc>
          <w:tcPr>
            <w:tcW w:w="534" w:type="pct"/>
            <w:tcBorders>
              <w:top w:val="nil"/>
              <w:left w:val="nil"/>
              <w:bottom w:val="single" w:sz="4" w:space="0" w:color="000000" w:themeColor="text1"/>
              <w:right w:val="nil"/>
            </w:tcBorders>
            <w:shd w:val="clear" w:color="auto" w:fill="FFFFFF" w:themeFill="background1"/>
            <w:noWrap/>
            <w:vAlign w:val="center"/>
            <w:hideMark/>
          </w:tcPr>
          <w:p w14:paraId="5268DD3C" w14:textId="77777777" w:rsidR="005E3F20" w:rsidRPr="00FD24B8" w:rsidRDefault="005E3F20" w:rsidP="005E3F20">
            <w:pPr>
              <w:spacing w:after="0" w:line="240" w:lineRule="auto"/>
              <w:jc w:val="right"/>
              <w:rPr>
                <w:rFonts w:ascii="Arial" w:hAnsi="Arial" w:cs="Arial"/>
                <w:sz w:val="16"/>
                <w:szCs w:val="16"/>
              </w:rPr>
            </w:pPr>
            <w:r w:rsidRPr="00FD24B8">
              <w:rPr>
                <w:rFonts w:ascii="Arial" w:hAnsi="Arial" w:cs="Arial"/>
                <w:sz w:val="16"/>
                <w:szCs w:val="16"/>
              </w:rPr>
              <w:t> </w:t>
            </w:r>
          </w:p>
        </w:tc>
      </w:tr>
    </w:tbl>
    <w:p w14:paraId="7BDC569A" w14:textId="0261D59D" w:rsidR="00F81F53" w:rsidRPr="00FD24B8" w:rsidRDefault="00F81F53" w:rsidP="00A7276E">
      <w:pPr>
        <w:pStyle w:val="ChartandTableFootnoteAlpha"/>
        <w:numPr>
          <w:ilvl w:val="0"/>
          <w:numId w:val="0"/>
        </w:numPr>
        <w:ind w:left="284" w:hanging="284"/>
        <w:rPr>
          <w:color w:val="auto"/>
        </w:rPr>
      </w:pPr>
      <w:r w:rsidRPr="00FD24B8">
        <w:rPr>
          <w:color w:val="auto"/>
        </w:rPr>
        <w:t>*Data is not available.</w:t>
      </w:r>
    </w:p>
    <w:p w14:paraId="4EF35884" w14:textId="788BB301" w:rsidR="00F81F53" w:rsidRPr="00FD24B8" w:rsidRDefault="00F81F53" w:rsidP="004D6A22">
      <w:pPr>
        <w:pStyle w:val="ChartandTableFootnoteAlpha"/>
        <w:numPr>
          <w:ilvl w:val="0"/>
          <w:numId w:val="9"/>
        </w:numPr>
        <w:rPr>
          <w:color w:val="auto"/>
        </w:rPr>
      </w:pPr>
      <w:r w:rsidRPr="00FD24B8">
        <w:rPr>
          <w:color w:val="auto"/>
        </w:rPr>
        <w:t>Total is equal to the sum of amounts from 2022</w:t>
      </w:r>
      <w:r w:rsidR="00C1771F" w:rsidRPr="00FD24B8">
        <w:rPr>
          <w:color w:val="auto"/>
        </w:rPr>
        <w:noBreakHyphen/>
      </w:r>
      <w:r w:rsidRPr="00FD24B8">
        <w:rPr>
          <w:color w:val="auto"/>
        </w:rPr>
        <w:t>23 to 2025</w:t>
      </w:r>
      <w:r w:rsidR="00C1771F" w:rsidRPr="00FD24B8">
        <w:rPr>
          <w:color w:val="auto"/>
        </w:rPr>
        <w:noBreakHyphen/>
      </w:r>
      <w:r w:rsidRPr="00FD24B8">
        <w:rPr>
          <w:color w:val="auto"/>
        </w:rPr>
        <w:t>26.</w:t>
      </w:r>
    </w:p>
    <w:p w14:paraId="6897A27B" w14:textId="77777777" w:rsidR="00F81F53" w:rsidRPr="00FD24B8" w:rsidRDefault="00F81F53" w:rsidP="006B6EAF">
      <w:pPr>
        <w:pStyle w:val="ChartandTableFootnoteAlpha"/>
        <w:rPr>
          <w:color w:val="auto"/>
        </w:rPr>
      </w:pPr>
      <w:r w:rsidRPr="00FD24B8">
        <w:rPr>
          <w:color w:val="auto"/>
        </w:rPr>
        <w:t>Excludes secondary impacts on public debt interest of policy decisions and offsets from the Contingency Reserve for decisions taken.</w:t>
      </w:r>
    </w:p>
    <w:p w14:paraId="1C41436B" w14:textId="77777777" w:rsidR="00F81F53" w:rsidRPr="00FD24B8" w:rsidRDefault="00F81F53" w:rsidP="00F81F53">
      <w:pPr>
        <w:pStyle w:val="ChartandTableFootnoteAlpha"/>
        <w:rPr>
          <w:color w:val="auto"/>
        </w:rPr>
      </w:pPr>
      <w:r w:rsidRPr="00FD24B8">
        <w:rPr>
          <w:color w:val="auto"/>
        </w:rPr>
        <w:t>A positive number for revenue improves the net operating balance, while a positive number for expenses worsens the net operating balance.</w:t>
      </w:r>
    </w:p>
    <w:p w14:paraId="0EC42795" w14:textId="77777777" w:rsidR="00F81F53" w:rsidRPr="00FD24B8" w:rsidRDefault="00F81F53" w:rsidP="00DD7DEF">
      <w:pPr>
        <w:pStyle w:val="ChartandTableFootnoteAlpha"/>
        <w:spacing w:after="240"/>
        <w:rPr>
          <w:color w:val="auto"/>
        </w:rPr>
      </w:pPr>
      <w:r w:rsidRPr="00FD24B8">
        <w:rPr>
          <w:color w:val="auto"/>
        </w:rPr>
        <w:t>A positive number for net capital investment worsens the fiscal balance.</w:t>
      </w:r>
    </w:p>
    <w:bookmarkStart w:id="38" w:name="_Toc98757997"/>
    <w:p w14:paraId="7E9DB6B5" w14:textId="176133DC" w:rsidR="00795436" w:rsidRPr="00FD24B8" w:rsidRDefault="00C30F85" w:rsidP="00CA731F">
      <w:pPr>
        <w:pStyle w:val="Heading4"/>
      </w:pPr>
      <w:r w:rsidRPr="00FD24B8">
        <w:fldChar w:fldCharType="begin"/>
      </w:r>
      <w:r w:rsidRPr="00FD24B8">
        <w:instrText xml:space="preserve"> :End:FARM_LS1 </w:instrText>
      </w:r>
      <w:r w:rsidRPr="00FD24B8">
        <w:fldChar w:fldCharType="end"/>
      </w:r>
      <w:r w:rsidRPr="00FD24B8">
        <w:fldChar w:fldCharType="begin"/>
      </w:r>
      <w:r w:rsidRPr="00FD24B8">
        <w:instrText xml:space="preserve"> :Start:BPD_BG1 </w:instrText>
      </w:r>
      <w:r w:rsidRPr="00FD24B8">
        <w:fldChar w:fldCharType="end"/>
      </w:r>
      <w:r w:rsidR="00795436" w:rsidRPr="00FD24B8">
        <w:t>Revenue estimates</w:t>
      </w:r>
      <w:bookmarkEnd w:id="38"/>
    </w:p>
    <w:p w14:paraId="28EAFBCF" w14:textId="1382C01E" w:rsidR="00795436" w:rsidRPr="00FD24B8" w:rsidRDefault="00795436" w:rsidP="00795436">
      <w:r w:rsidRPr="00FD24B8">
        <w:t>Total revenue has been revised up by $</w:t>
      </w:r>
      <w:r w:rsidR="00B12F98" w:rsidRPr="00FD24B8">
        <w:t>30.6</w:t>
      </w:r>
      <w:r w:rsidRPr="00FD24B8">
        <w:t xml:space="preserve"> billion in 202</w:t>
      </w:r>
      <w:r w:rsidR="00C61318" w:rsidRPr="00FD24B8">
        <w:t>2</w:t>
      </w:r>
      <w:r w:rsidRPr="00FD24B8">
        <w:noBreakHyphen/>
        <w:t>2</w:t>
      </w:r>
      <w:r w:rsidR="00C61318" w:rsidRPr="00FD24B8">
        <w:t>3</w:t>
      </w:r>
      <w:r w:rsidRPr="00FD24B8">
        <w:t xml:space="preserve"> and by $</w:t>
      </w:r>
      <w:r w:rsidR="00F6454C" w:rsidRPr="00FD24B8">
        <w:t>86.7</w:t>
      </w:r>
      <w:r w:rsidR="00CB2BDF" w:rsidRPr="00FD24B8">
        <w:t> </w:t>
      </w:r>
      <w:r w:rsidRPr="00FD24B8">
        <w:t xml:space="preserve">billion over the </w:t>
      </w:r>
      <w:r w:rsidR="00F6454C" w:rsidRPr="00FD24B8">
        <w:t>3</w:t>
      </w:r>
      <w:r w:rsidR="002E583F" w:rsidRPr="00FD24B8">
        <w:t xml:space="preserve"> </w:t>
      </w:r>
      <w:r w:rsidRPr="00FD24B8">
        <w:t>years to 20</w:t>
      </w:r>
      <w:r w:rsidR="00F6454C" w:rsidRPr="00FD24B8">
        <w:t>24</w:t>
      </w:r>
      <w:r w:rsidR="0031144A" w:rsidRPr="00FD24B8">
        <w:noBreakHyphen/>
      </w:r>
      <w:r w:rsidR="00F6454C" w:rsidRPr="00FD24B8">
        <w:t>25</w:t>
      </w:r>
      <w:r w:rsidRPr="00FD24B8">
        <w:t xml:space="preserve"> since </w:t>
      </w:r>
      <w:r w:rsidR="00C61318" w:rsidRPr="00FD24B8">
        <w:t>MYEFO</w:t>
      </w:r>
      <w:r w:rsidRPr="00FD24B8">
        <w:t xml:space="preserve">. The revenue estimates are the accrual accounting </w:t>
      </w:r>
      <w:r w:rsidRPr="00FD24B8">
        <w:lastRenderedPageBreak/>
        <w:t>equivalent of the cash</w:t>
      </w:r>
      <w:r w:rsidR="00C1771F" w:rsidRPr="00FD24B8">
        <w:noBreakHyphen/>
      </w:r>
      <w:r w:rsidRPr="00FD24B8">
        <w:t xml:space="preserve">based receipts estimates. Changes in revenue are generally driven by the same factors as receipts. </w:t>
      </w:r>
    </w:p>
    <w:p w14:paraId="59CAE9EC" w14:textId="54DEB998" w:rsidR="00795436" w:rsidRPr="00FD24B8" w:rsidRDefault="00C30F85" w:rsidP="00795436">
      <w:r w:rsidRPr="00FD24B8">
        <w:fldChar w:fldCharType="begin"/>
      </w:r>
      <w:r w:rsidRPr="00FD24B8">
        <w:instrText xml:space="preserve"> :End:BPD_BG1 </w:instrText>
      </w:r>
      <w:r w:rsidRPr="00FD24B8">
        <w:fldChar w:fldCharType="end"/>
      </w:r>
      <w:r w:rsidRPr="00FD24B8">
        <w:fldChar w:fldCharType="begin"/>
      </w:r>
      <w:r w:rsidRPr="00FD24B8">
        <w:instrText xml:space="preserve"> :Start:TAD_KDM1 </w:instrText>
      </w:r>
      <w:r w:rsidRPr="00FD24B8">
        <w:fldChar w:fldCharType="end"/>
      </w:r>
      <w:r w:rsidR="00795436" w:rsidRPr="00FD24B8">
        <w:t>Revenue amounts are usually higher than the cash equivalents as they include amounts that a taxpayer is liable to pay but has not paid. The differences between the accrual and cash amounts therefore generally reflect timing differences.</w:t>
      </w:r>
    </w:p>
    <w:bookmarkStart w:id="39" w:name="_Toc87875878"/>
    <w:bookmarkStart w:id="40" w:name="_Toc87877797"/>
    <w:bookmarkStart w:id="41" w:name="_Toc98757998"/>
    <w:p w14:paraId="7478CE15" w14:textId="5F222169" w:rsidR="00231522" w:rsidRPr="00FD24B8" w:rsidRDefault="00C30F85" w:rsidP="00CA731F">
      <w:pPr>
        <w:pStyle w:val="Heading4"/>
      </w:pPr>
      <w:r w:rsidRPr="00FD24B8">
        <w:fldChar w:fldCharType="begin"/>
      </w:r>
      <w:r w:rsidRPr="00FD24B8">
        <w:instrText xml:space="preserve"> :End:TAD_KDM1 </w:instrText>
      </w:r>
      <w:r w:rsidRPr="00FD24B8">
        <w:fldChar w:fldCharType="end"/>
      </w:r>
      <w:r w:rsidR="008B761F" w:rsidRPr="00FD24B8">
        <w:fldChar w:fldCharType="begin"/>
      </w:r>
      <w:r w:rsidR="008B761F" w:rsidRPr="00FD24B8">
        <w:instrText xml:space="preserve"> :Start:BPCD_JM2 </w:instrText>
      </w:r>
      <w:r w:rsidR="008B761F" w:rsidRPr="00FD24B8">
        <w:fldChar w:fldCharType="end"/>
      </w:r>
      <w:r w:rsidR="00231522" w:rsidRPr="00FD24B8">
        <w:t>Expense estimates</w:t>
      </w:r>
      <w:bookmarkEnd w:id="39"/>
      <w:bookmarkEnd w:id="40"/>
      <w:bookmarkEnd w:id="41"/>
    </w:p>
    <w:p w14:paraId="3682E7F7" w14:textId="0B0291AA" w:rsidR="00447DDE" w:rsidRPr="00FD24B8" w:rsidRDefault="00447DDE" w:rsidP="00231522">
      <w:r w:rsidRPr="00FD24B8">
        <w:t xml:space="preserve">Total expenses </w:t>
      </w:r>
      <w:r w:rsidR="009B12BE" w:rsidRPr="00FD24B8">
        <w:t xml:space="preserve">have </w:t>
      </w:r>
      <w:r w:rsidRPr="00FD24B8">
        <w:t>been revised up by $</w:t>
      </w:r>
      <w:r w:rsidR="0018373D" w:rsidRPr="00FD24B8">
        <w:t>12.2</w:t>
      </w:r>
      <w:r w:rsidRPr="00FD24B8">
        <w:t xml:space="preserve"> billion in 2022</w:t>
      </w:r>
      <w:r w:rsidRPr="00FD24B8">
        <w:noBreakHyphen/>
        <w:t>23 and by $</w:t>
      </w:r>
      <w:r w:rsidR="0018373D" w:rsidRPr="00FD24B8">
        <w:t>34.2</w:t>
      </w:r>
      <w:r w:rsidRPr="00FD24B8">
        <w:t> billion over 3 years to 2024</w:t>
      </w:r>
      <w:r w:rsidR="0031144A" w:rsidRPr="00FD24B8">
        <w:noBreakHyphen/>
      </w:r>
      <w:r w:rsidRPr="00FD24B8">
        <w:t xml:space="preserve">25 since MYEFO. The </w:t>
      </w:r>
      <w:r w:rsidR="00041251" w:rsidRPr="00FD24B8">
        <w:t xml:space="preserve">expenses </w:t>
      </w:r>
      <w:r w:rsidRPr="00FD24B8">
        <w:t>estimates are the accrual accounting equivalent of the cash</w:t>
      </w:r>
      <w:r w:rsidRPr="00FD24B8">
        <w:noBreakHyphen/>
        <w:t xml:space="preserve">based </w:t>
      </w:r>
      <w:r w:rsidR="00041251" w:rsidRPr="00FD24B8">
        <w:t xml:space="preserve">payments </w:t>
      </w:r>
      <w:r w:rsidRPr="00FD24B8">
        <w:t>estimates.</w:t>
      </w:r>
    </w:p>
    <w:p w14:paraId="6F780130" w14:textId="77777777" w:rsidR="00942262" w:rsidRPr="00FD24B8" w:rsidRDefault="00942262" w:rsidP="00942262">
      <w:r w:rsidRPr="00FD24B8">
        <w:t>Movements in expenses over the forward estimates are broadly consistent with movements in cash payments. The key exceptions include:</w:t>
      </w:r>
    </w:p>
    <w:p w14:paraId="69D28CBA" w14:textId="77777777" w:rsidR="00942262" w:rsidRPr="00FD24B8" w:rsidRDefault="00942262" w:rsidP="00C7688D">
      <w:pPr>
        <w:pStyle w:val="Bullet"/>
        <w:rPr>
          <w:rFonts w:eastAsia="Calibri"/>
        </w:rPr>
      </w:pPr>
      <w:r w:rsidRPr="00FD24B8">
        <w:rPr>
          <w:rFonts w:eastAsia="Calibri"/>
        </w:rPr>
        <w:t>Superannuation benefits programs (civilian and military), where there is a timing difference with the expense accruing during employment and cash payments occurring during retirement.</w:t>
      </w:r>
    </w:p>
    <w:p w14:paraId="4D6DAE96" w14:textId="54EF15D0" w:rsidR="00942262" w:rsidRPr="00FD24B8" w:rsidRDefault="00942262" w:rsidP="00C7688D">
      <w:pPr>
        <w:pStyle w:val="Bullet"/>
        <w:rPr>
          <w:rFonts w:eastAsia="Calibri"/>
        </w:rPr>
      </w:pPr>
      <w:r w:rsidRPr="00FD24B8">
        <w:rPr>
          <w:rFonts w:eastAsia="Calibri"/>
        </w:rPr>
        <w:t>Purchases of non</w:t>
      </w:r>
      <w:r w:rsidRPr="00FD24B8">
        <w:rPr>
          <w:rFonts w:eastAsia="Calibri"/>
        </w:rPr>
        <w:noBreakHyphen/>
        <w:t>financial assets, which are included in cash payments but not in accrual expenses. The expense estimates include depreciation of non</w:t>
      </w:r>
      <w:r w:rsidRPr="00FD24B8">
        <w:rPr>
          <w:rFonts w:eastAsia="Calibri"/>
        </w:rPr>
        <w:noBreakHyphen/>
        <w:t>financial assets rather than recognising the impact at the time of purchase.</w:t>
      </w:r>
    </w:p>
    <w:p w14:paraId="08473B8C" w14:textId="043FC436" w:rsidR="00231522" w:rsidRDefault="00EA0F06" w:rsidP="005362CC">
      <w:r w:rsidRPr="00FD24B8">
        <w:t xml:space="preserve">Detailed information on expenses can be found in </w:t>
      </w:r>
      <w:r w:rsidRPr="00FD24B8">
        <w:rPr>
          <w:i/>
        </w:rPr>
        <w:t>Statement 5:</w:t>
      </w:r>
      <w:r w:rsidRPr="00FD24B8">
        <w:t xml:space="preserve"> </w:t>
      </w:r>
      <w:r w:rsidRPr="00FD24B8">
        <w:rPr>
          <w:i/>
        </w:rPr>
        <w:t>Expenses and Net Capital Investment.</w:t>
      </w:r>
      <w:r w:rsidRPr="00FD24B8">
        <w:t xml:space="preserve"> </w:t>
      </w:r>
      <w:r w:rsidR="008B761F">
        <w:fldChar w:fldCharType="begin"/>
      </w:r>
      <w:r w:rsidR="008B761F">
        <w:instrText xml:space="preserve"> :End:BPCD_JM2 </w:instrText>
      </w:r>
      <w:r w:rsidR="008B761F">
        <w:fldChar w:fldCharType="end"/>
      </w:r>
    </w:p>
    <w:p w14:paraId="4D6222BD" w14:textId="48DB88D2" w:rsidR="00276721" w:rsidRDefault="00276721">
      <w:pPr>
        <w:spacing w:after="160" w:line="259" w:lineRule="auto"/>
        <w:jc w:val="left"/>
      </w:pPr>
      <w:r>
        <w:br w:type="page"/>
      </w:r>
    </w:p>
    <w:p w14:paraId="508479FC" w14:textId="5A3D829F" w:rsidR="00276721" w:rsidRPr="00FD24B8" w:rsidRDefault="00276721" w:rsidP="00CA731F">
      <w:pPr>
        <w:pStyle w:val="Heading3"/>
      </w:pPr>
      <w:r>
        <w:lastRenderedPageBreak/>
        <w:fldChar w:fldCharType="begin"/>
      </w:r>
      <w:r>
        <w:instrText xml:space="preserve"> :Start:MAPB_MC1 </w:instrText>
      </w:r>
      <w:r>
        <w:fldChar w:fldCharType="end"/>
      </w:r>
      <w:bookmarkStart w:id="42" w:name="_Toc99102054"/>
      <w:r w:rsidRPr="00FD24B8">
        <w:t>Structural budget balance estimates</w:t>
      </w:r>
      <w:bookmarkEnd w:id="42"/>
    </w:p>
    <w:p w14:paraId="0D7D8FA7" w14:textId="28C9269A" w:rsidR="00C90550" w:rsidRPr="00FD24B8" w:rsidRDefault="00BB229A" w:rsidP="00EE77E4">
      <w:r w:rsidRPr="00FD24B8">
        <w:t>Estimates</w:t>
      </w:r>
      <w:r w:rsidR="00276721" w:rsidRPr="00FD24B8" w:rsidDel="00BB229A">
        <w:t xml:space="preserve"> </w:t>
      </w:r>
      <w:r w:rsidR="00276721" w:rsidRPr="00FD24B8">
        <w:t>of the structural budget balance adjust for temporary factors that influence the underlying cash balance. By removing these factors, the structural budget balance can provide broad insights into the sustainability of fiscal settings.</w:t>
      </w:r>
      <w:r w:rsidR="00C90550" w:rsidRPr="00FD24B8">
        <w:t xml:space="preserve"> Because it is estimated rather than observed, the structural budget balance is sensitive to </w:t>
      </w:r>
      <w:r w:rsidR="00740ACF" w:rsidRPr="00FD24B8">
        <w:t xml:space="preserve">the </w:t>
      </w:r>
      <w:r w:rsidR="00C90550" w:rsidRPr="00FD24B8">
        <w:t xml:space="preserve">assumptions and parameters that underpin it. </w:t>
      </w:r>
      <w:r w:rsidR="00740ACF" w:rsidRPr="00FD24B8">
        <w:t>Due to</w:t>
      </w:r>
      <w:r w:rsidR="00465FF0" w:rsidRPr="00FD24B8">
        <w:t xml:space="preserve"> the </w:t>
      </w:r>
      <w:r w:rsidR="008C7013" w:rsidRPr="00FD24B8">
        <w:t>pandemic</w:t>
      </w:r>
      <w:r w:rsidR="00740ACF" w:rsidRPr="00FD24B8">
        <w:t xml:space="preserve"> and recent volatility in commodity prices</w:t>
      </w:r>
      <w:r w:rsidR="008C7013" w:rsidRPr="00FD24B8">
        <w:t xml:space="preserve">, there is </w:t>
      </w:r>
      <w:r w:rsidR="00B43E92" w:rsidRPr="00FD24B8">
        <w:t>greater than usual</w:t>
      </w:r>
      <w:r w:rsidR="008C7013" w:rsidRPr="00FD24B8">
        <w:t xml:space="preserve"> uncertainty around </w:t>
      </w:r>
      <w:r w:rsidR="00B43E92" w:rsidRPr="00FD24B8">
        <w:t>estimates of the structural budget balance.</w:t>
      </w:r>
    </w:p>
    <w:p w14:paraId="4C24B1A3" w14:textId="623C8602" w:rsidR="00276721" w:rsidRPr="00FD24B8" w:rsidRDefault="00276721" w:rsidP="00276721">
      <w:r w:rsidRPr="00FD24B8">
        <w:t>The underlying cash balance is projected to steadily improve over the forward estimates as temporary fiscal support measures unwind (Chart 3.1</w:t>
      </w:r>
      <w:r w:rsidR="00715A21" w:rsidRPr="00FD24B8">
        <w:t>5</w:t>
      </w:r>
      <w:r w:rsidRPr="00FD24B8">
        <w:t>). Cyclical factors are estimated to contribute to the underlying cash balance in the near term, driven by commodity prices which are expected to be well above their assumed long</w:t>
      </w:r>
      <w:r w:rsidRPr="00FD24B8">
        <w:noBreakHyphen/>
        <w:t>run levels. This positive contribution is projected to recede as commodity prices return to their assumed long</w:t>
      </w:r>
      <w:r w:rsidRPr="00FD24B8">
        <w:noBreakHyphen/>
        <w:t>run levels, in line with the prudent approach adopted in the Budget, and economic activity returns to its potential level.</w:t>
      </w:r>
    </w:p>
    <w:p w14:paraId="36BF939B" w14:textId="6E98A9B2" w:rsidR="00276721" w:rsidRPr="00FD24B8" w:rsidRDefault="00276721" w:rsidP="00276721">
      <w:pPr>
        <w:pStyle w:val="ChartHeading"/>
        <w:rPr>
          <w:rFonts w:ascii="Arial Bold" w:hAnsi="Arial Bold"/>
          <w:b w:val="0"/>
        </w:rPr>
      </w:pPr>
      <w:r w:rsidRPr="00FD24B8">
        <w:t>Chart 3.</w:t>
      </w:r>
      <w:r w:rsidRPr="00FD24B8">
        <w:rPr>
          <w:rFonts w:ascii="Arial Bold" w:hAnsi="Arial Bold"/>
        </w:rPr>
        <w:t>1</w:t>
      </w:r>
      <w:r w:rsidR="00715A21" w:rsidRPr="00FD24B8">
        <w:rPr>
          <w:rFonts w:ascii="Arial Bold" w:hAnsi="Arial Bold"/>
        </w:rPr>
        <w:t>5</w:t>
      </w:r>
      <w:r w:rsidRPr="00FD24B8">
        <w:rPr>
          <w:rFonts w:ascii="Arial Bold" w:hAnsi="Arial Bold"/>
        </w:rPr>
        <w:t xml:space="preserve">: Structural budget balance </w:t>
      </w:r>
    </w:p>
    <w:p w14:paraId="6E8E6F88" w14:textId="3F57BC2F" w:rsidR="00276721" w:rsidRPr="00FD24B8" w:rsidRDefault="00395986" w:rsidP="00F15B34">
      <w:pPr>
        <w:pStyle w:val="ChartGraphic"/>
        <w:rPr>
          <w:rFonts w:eastAsia="Calibri"/>
          <w:lang w:eastAsia="en-US"/>
        </w:rPr>
      </w:pPr>
      <w:r>
        <w:rPr>
          <w:rFonts w:eastAsia="Calibri"/>
          <w:noProof/>
          <w:lang w:eastAsia="en-US"/>
        </w:rPr>
        <w:drawing>
          <wp:inline distT="0" distB="0" distL="0" distR="0" wp14:anchorId="57C01F30" wp14:editId="142BD2A4">
            <wp:extent cx="4678045" cy="2881630"/>
            <wp:effectExtent l="0" t="0" r="0" b="0"/>
            <wp:docPr id="24" name="Picture 24" descr="The structural budget balance is projected to deteriorate in the near term. From 2022-23, it is expected to improve, although remaining in deficit throughout this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e structural budget balance is projected to deteriorate in the near term. From 2022-23, it is expected to improve, although remaining in deficit throughout this period.&#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78045" cy="2881630"/>
                    </a:xfrm>
                    <a:prstGeom prst="rect">
                      <a:avLst/>
                    </a:prstGeom>
                    <a:noFill/>
                    <a:ln>
                      <a:noFill/>
                    </a:ln>
                  </pic:spPr>
                </pic:pic>
              </a:graphicData>
            </a:graphic>
          </wp:inline>
        </w:drawing>
      </w:r>
    </w:p>
    <w:p w14:paraId="6959A685" w14:textId="15EF2729" w:rsidR="00276721" w:rsidRPr="00FD24B8" w:rsidRDefault="00276721" w:rsidP="00276721">
      <w:pPr>
        <w:pStyle w:val="ChartandTableFootnote"/>
        <w:rPr>
          <w:color w:val="auto"/>
        </w:rPr>
      </w:pPr>
      <w:r w:rsidRPr="00FD24B8">
        <w:rPr>
          <w:color w:val="auto"/>
        </w:rPr>
        <w:t>Note:       The presentation of the structural budget balance chart has been adjusted to separate the budgetary impact of temporary measures from structural factors. This approach follows the methodology detailed in Treasury Working Paper 2013</w:t>
      </w:r>
      <w:r w:rsidRPr="00FD24B8">
        <w:rPr>
          <w:color w:val="auto"/>
        </w:rPr>
        <w:noBreakHyphen/>
        <w:t>01. ‘Temporary measures’ comprise selected direct economic and health support measures implemented following the onset of the COVID</w:t>
      </w:r>
      <w:r w:rsidRPr="00FD24B8">
        <w:rPr>
          <w:color w:val="auto"/>
        </w:rPr>
        <w:noBreakHyphen/>
        <w:t xml:space="preserve">19 pandemic. The ‘cyclical factors’ component comprises the estimated impact on the underlying cash balance from automatic stabilisers and cyclical movements in asset and commodity prices. </w:t>
      </w:r>
    </w:p>
    <w:p w14:paraId="2F562EBC" w14:textId="673CB14F" w:rsidR="00276721" w:rsidRPr="00FD24B8" w:rsidRDefault="00276721" w:rsidP="00276721">
      <w:pPr>
        <w:pStyle w:val="Source"/>
      </w:pPr>
      <w:r w:rsidRPr="00FD24B8">
        <w:t>Source:</w:t>
      </w:r>
      <w:r w:rsidR="000C7851" w:rsidRPr="00FD24B8">
        <w:tab/>
      </w:r>
      <w:r w:rsidRPr="00FD24B8">
        <w:t>Treasury.</w:t>
      </w:r>
    </w:p>
    <w:p w14:paraId="184BA3C9" w14:textId="6143DB35" w:rsidR="00276721" w:rsidRPr="00FD24B8" w:rsidRDefault="00F7323E" w:rsidP="00276721">
      <w:pPr>
        <w:rPr>
          <w:rFonts w:eastAsiaTheme="minorHAnsi"/>
        </w:rPr>
      </w:pPr>
      <w:r w:rsidRPr="00FD24B8">
        <w:t>T</w:t>
      </w:r>
      <w:r w:rsidR="00276721" w:rsidRPr="00FD24B8">
        <w:t xml:space="preserve">he structural budget </w:t>
      </w:r>
      <w:r w:rsidR="007C40B5" w:rsidRPr="00FD24B8">
        <w:t>balance</w:t>
      </w:r>
      <w:r w:rsidR="00276721" w:rsidRPr="00FD24B8">
        <w:t xml:space="preserve"> has undergone a</w:t>
      </w:r>
      <w:r w:rsidR="00276721" w:rsidRPr="00FD24B8">
        <w:rPr>
          <w:b/>
        </w:rPr>
        <w:t xml:space="preserve"> </w:t>
      </w:r>
      <w:r w:rsidR="00276721" w:rsidRPr="00FD24B8">
        <w:t xml:space="preserve">deterioration since the onset of the pandemic, with a deficit projected to persist over the forward estimates and medium </w:t>
      </w:r>
      <w:r w:rsidR="00276721" w:rsidRPr="00FD24B8">
        <w:lastRenderedPageBreak/>
        <w:t>term</w:t>
      </w:r>
      <w:r w:rsidR="000D3321" w:rsidRPr="00FD24B8">
        <w:t>.</w:t>
      </w:r>
      <w:r w:rsidR="00276721" w:rsidRPr="00FD24B8">
        <w:t xml:space="preserve"> This</w:t>
      </w:r>
      <w:r w:rsidR="00564681" w:rsidRPr="00FD24B8">
        <w:t> </w:t>
      </w:r>
      <w:r w:rsidR="00276721" w:rsidRPr="00FD24B8">
        <w:t>reflects the major investment in essential services that the Government has undertaken in recent years in areas such as the NDIS and aged care. An increase in interest payments also contributes to the higher payments profile over the medium term</w:t>
      </w:r>
      <w:r w:rsidR="00276721" w:rsidRPr="00FD24B8" w:rsidDel="001979E2">
        <w:t xml:space="preserve">, reflecting the increased levels of debt </w:t>
      </w:r>
      <w:r w:rsidR="00276721" w:rsidRPr="00FD24B8">
        <w:t xml:space="preserve">accumulated </w:t>
      </w:r>
      <w:proofErr w:type="gramStart"/>
      <w:r w:rsidR="00276721" w:rsidRPr="00FD24B8">
        <w:t>as a result of</w:t>
      </w:r>
      <w:proofErr w:type="gramEnd"/>
      <w:r w:rsidR="00276721" w:rsidRPr="00FD24B8">
        <w:t xml:space="preserve"> the pandemic.</w:t>
      </w:r>
    </w:p>
    <w:p w14:paraId="52CD889E" w14:textId="175C7FFA" w:rsidR="00CA3B42" w:rsidRDefault="00DC0E3F" w:rsidP="005362CC">
      <w:r w:rsidRPr="00FD24B8">
        <w:t>T</w:t>
      </w:r>
      <w:r w:rsidR="00276721" w:rsidRPr="00FD24B8">
        <w:t xml:space="preserve">he structural budget </w:t>
      </w:r>
      <w:r w:rsidR="00B57E8E" w:rsidRPr="00FD24B8">
        <w:t xml:space="preserve">deficit is </w:t>
      </w:r>
      <w:r w:rsidR="00697691" w:rsidRPr="00FD24B8">
        <w:t>smaller across the forward estimates and medium term than estimated in MYEFO. This largely reflects</w:t>
      </w:r>
      <w:r w:rsidR="002855AF" w:rsidRPr="00FD24B8">
        <w:t xml:space="preserve"> a stronger outlook for economic conditions and labour income compared with MYEFO</w:t>
      </w:r>
      <w:r w:rsidR="00E567A7" w:rsidRPr="00FD24B8">
        <w:t>, which drive higher tax receipts</w:t>
      </w:r>
      <w:r w:rsidR="00D12814" w:rsidRPr="00FD24B8">
        <w:t>. The structural budget balance</w:t>
      </w:r>
      <w:r w:rsidR="00276721" w:rsidRPr="00FD24B8">
        <w:t xml:space="preserve"> is projected to improve over the medium term, consistent with the outlook for the underlying cash balance.</w:t>
      </w:r>
      <w:r w:rsidR="008131BA" w:rsidRPr="00FD24B8">
        <w:t xml:space="preserve"> </w:t>
      </w:r>
      <w:r w:rsidR="008131BA">
        <w:fldChar w:fldCharType="begin"/>
      </w:r>
      <w:r w:rsidR="008131BA">
        <w:instrText xml:space="preserve"> :End:MAPB_MC1 </w:instrText>
      </w:r>
      <w:r w:rsidR="008131BA">
        <w:fldChar w:fldCharType="end"/>
      </w:r>
    </w:p>
    <w:p w14:paraId="4B690E83" w14:textId="74EBECB5" w:rsidR="00D71511" w:rsidRPr="00FD24B8" w:rsidRDefault="008131BA" w:rsidP="00CA731F">
      <w:pPr>
        <w:pStyle w:val="Heading3"/>
      </w:pPr>
      <w:r>
        <w:rPr>
          <w:lang w:eastAsia="en-US"/>
        </w:rPr>
        <w:fldChar w:fldCharType="begin"/>
      </w:r>
      <w:r>
        <w:rPr>
          <w:lang w:eastAsia="en-US"/>
        </w:rPr>
        <w:instrText xml:space="preserve"> :Start:BPD_BG3 </w:instrText>
      </w:r>
      <w:r>
        <w:rPr>
          <w:lang w:eastAsia="en-US"/>
        </w:rPr>
        <w:fldChar w:fldCharType="end"/>
      </w:r>
      <w:bookmarkStart w:id="43" w:name="_Toc99102055"/>
      <w:r w:rsidR="00D71511" w:rsidRPr="00FD24B8">
        <w:t>Primary balance estimates</w:t>
      </w:r>
      <w:bookmarkEnd w:id="43"/>
    </w:p>
    <w:p w14:paraId="04927A7F" w14:textId="5B85036D" w:rsidR="00392AAE" w:rsidRPr="00FD24B8" w:rsidRDefault="00B05BD8" w:rsidP="00156311">
      <w:r w:rsidRPr="00FD24B8">
        <w:t xml:space="preserve">The primary balance </w:t>
      </w:r>
      <w:r w:rsidR="00392AAE" w:rsidRPr="00FD24B8">
        <w:t>includes the same expenditure and receipts as</w:t>
      </w:r>
      <w:r w:rsidRPr="00FD24B8">
        <w:t xml:space="preserve"> the underlying cash balance</w:t>
      </w:r>
      <w:r w:rsidR="00392AAE" w:rsidRPr="00FD24B8">
        <w:t xml:space="preserve"> but excludes interest payments and receipts</w:t>
      </w:r>
      <w:r w:rsidRPr="00FD24B8">
        <w:t>.</w:t>
      </w:r>
      <w:r w:rsidR="00156311" w:rsidRPr="00FD24B8">
        <w:t xml:space="preserve"> </w:t>
      </w:r>
      <w:r w:rsidR="00392AAE" w:rsidRPr="00FD24B8">
        <w:t>By excluding net interest, the primary balance can highlight imbalances between government receipts and spending.</w:t>
      </w:r>
    </w:p>
    <w:p w14:paraId="0B5FFA91" w14:textId="0C95862B" w:rsidR="00156311" w:rsidRDefault="00392AAE" w:rsidP="00156311">
      <w:r w:rsidRPr="00FD24B8">
        <w:t xml:space="preserve">The </w:t>
      </w:r>
      <w:r w:rsidR="00156311" w:rsidRPr="00FD24B8">
        <w:t xml:space="preserve">primary balance </w:t>
      </w:r>
      <w:r w:rsidRPr="00FD24B8">
        <w:t xml:space="preserve">is expected to be a </w:t>
      </w:r>
      <w:r w:rsidR="00156311" w:rsidRPr="00FD24B8">
        <w:t>deficit of 2.7 per cent of GDP ($62.9 billion) in 2022</w:t>
      </w:r>
      <w:r w:rsidR="0031144A" w:rsidRPr="00FD24B8">
        <w:noBreakHyphen/>
      </w:r>
      <w:r w:rsidR="00156311" w:rsidRPr="00FD24B8">
        <w:t>23</w:t>
      </w:r>
      <w:r w:rsidRPr="00FD24B8">
        <w:t xml:space="preserve"> and</w:t>
      </w:r>
      <w:r w:rsidR="00156311" w:rsidRPr="00FD24B8">
        <w:t xml:space="preserve"> improv</w:t>
      </w:r>
      <w:r w:rsidRPr="00FD24B8">
        <w:t>e</w:t>
      </w:r>
      <w:r w:rsidR="00156311" w:rsidRPr="00FD24B8">
        <w:t xml:space="preserve"> to </w:t>
      </w:r>
      <w:r w:rsidRPr="00FD24B8">
        <w:t>a</w:t>
      </w:r>
      <w:r w:rsidR="00156311" w:rsidRPr="00FD24B8">
        <w:t xml:space="preserve"> deficit of 0.8 per cent of GDP ($20.7 billion) in 2025</w:t>
      </w:r>
      <w:r w:rsidR="0031144A" w:rsidRPr="00FD24B8">
        <w:noBreakHyphen/>
      </w:r>
      <w:r w:rsidR="00156311" w:rsidRPr="00FD24B8">
        <w:t>26. The</w:t>
      </w:r>
      <w:r w:rsidR="00564681" w:rsidRPr="00FD24B8">
        <w:t> </w:t>
      </w:r>
      <w:r w:rsidR="00156311" w:rsidRPr="00FD24B8">
        <w:t xml:space="preserve">primary balance is projected to improve to a surplus of 0.1 per cent of GDP </w:t>
      </w:r>
      <w:r w:rsidR="003A0EBB" w:rsidRPr="00FD24B8">
        <w:t>by the end of the medium term</w:t>
      </w:r>
      <w:r w:rsidR="000511CE" w:rsidRPr="00FD24B8">
        <w:t xml:space="preserve">, compared to </w:t>
      </w:r>
      <w:r w:rsidR="00560B4E" w:rsidRPr="00FD24B8">
        <w:t>a deficit of</w:t>
      </w:r>
      <w:r w:rsidR="000511CE" w:rsidRPr="00FD24B8">
        <w:t xml:space="preserve"> </w:t>
      </w:r>
      <w:r w:rsidR="00560B4E" w:rsidRPr="00FD24B8">
        <w:t>0.9</w:t>
      </w:r>
      <w:r w:rsidR="003A0EBB" w:rsidRPr="00FD24B8">
        <w:t xml:space="preserve"> per cent of GDP at MYEFO</w:t>
      </w:r>
      <w:r w:rsidR="00156311" w:rsidRPr="00FD24B8">
        <w:t xml:space="preserve"> (Chart</w:t>
      </w:r>
      <w:r w:rsidR="00E03ED1" w:rsidRPr="00FD24B8">
        <w:t> </w:t>
      </w:r>
      <w:r w:rsidR="00156311" w:rsidRPr="00FD24B8">
        <w:t>3.16)</w:t>
      </w:r>
      <w:r w:rsidR="00560B4E" w:rsidRPr="00FD24B8">
        <w:t>.</w:t>
      </w:r>
      <w:r w:rsidR="008131BA" w:rsidRPr="00FD24B8">
        <w:rPr>
          <w:lang w:eastAsia="en-US"/>
        </w:rPr>
        <w:t xml:space="preserve"> </w:t>
      </w:r>
      <w:r w:rsidR="008131BA">
        <w:rPr>
          <w:lang w:eastAsia="en-US"/>
        </w:rPr>
        <w:fldChar w:fldCharType="begin"/>
      </w:r>
      <w:r w:rsidR="008131BA">
        <w:rPr>
          <w:lang w:eastAsia="en-US"/>
        </w:rPr>
        <w:instrText xml:space="preserve"> :End:BPD_BG3 </w:instrText>
      </w:r>
      <w:r w:rsidR="008131BA">
        <w:rPr>
          <w:lang w:eastAsia="en-US"/>
        </w:rPr>
        <w:fldChar w:fldCharType="end"/>
      </w:r>
    </w:p>
    <w:p w14:paraId="7C1C482A" w14:textId="78EA4863" w:rsidR="00156311" w:rsidRPr="00FD24B8" w:rsidRDefault="00440E8B" w:rsidP="00156311">
      <w:pPr>
        <w:pStyle w:val="ChartHeading"/>
      </w:pPr>
      <w:r>
        <w:rPr>
          <w:lang w:eastAsia="en-US"/>
        </w:rPr>
        <w:fldChar w:fldCharType="begin"/>
      </w:r>
      <w:r>
        <w:rPr>
          <w:lang w:eastAsia="en-US"/>
        </w:rPr>
        <w:instrText xml:space="preserve"> :Start:BPD_BG1 </w:instrText>
      </w:r>
      <w:r>
        <w:rPr>
          <w:lang w:eastAsia="en-US"/>
        </w:rPr>
        <w:fldChar w:fldCharType="end"/>
      </w:r>
      <w:r w:rsidR="00156311" w:rsidRPr="00FD24B8">
        <w:t xml:space="preserve">Chart 3.16: Primary </w:t>
      </w:r>
      <w:r w:rsidRPr="00FD24B8">
        <w:rPr>
          <w:lang w:eastAsia="en-US"/>
        </w:rPr>
        <w:fldChar w:fldCharType="begin"/>
      </w:r>
      <w:r w:rsidRPr="00FD24B8">
        <w:rPr>
          <w:lang w:eastAsia="en-US"/>
        </w:rPr>
        <w:instrText xml:space="preserve"> :End:BPD_BG1 </w:instrText>
      </w:r>
      <w:r w:rsidRPr="00FD24B8">
        <w:rPr>
          <w:lang w:eastAsia="en-US"/>
        </w:rPr>
        <w:fldChar w:fldCharType="end"/>
      </w:r>
      <w:r w:rsidRPr="00FD24B8">
        <w:rPr>
          <w:lang w:eastAsia="en-US"/>
        </w:rPr>
        <w:fldChar w:fldCharType="begin"/>
      </w:r>
      <w:r w:rsidRPr="00FD24B8">
        <w:rPr>
          <w:lang w:eastAsia="en-US"/>
        </w:rPr>
        <w:instrText xml:space="preserve"> :Start:BPD_BG3 </w:instrText>
      </w:r>
      <w:r w:rsidRPr="00FD24B8">
        <w:rPr>
          <w:lang w:eastAsia="en-US"/>
        </w:rPr>
        <w:fldChar w:fldCharType="end"/>
      </w:r>
      <w:r w:rsidR="00156311" w:rsidRPr="00FD24B8">
        <w:t>cash balance</w:t>
      </w:r>
    </w:p>
    <w:p w14:paraId="3E52B29C" w14:textId="5FF71C8C" w:rsidR="00E86F9E" w:rsidRPr="00FD24B8" w:rsidRDefault="00395986" w:rsidP="00A13161">
      <w:pPr>
        <w:pStyle w:val="ChartGraphic"/>
      </w:pPr>
      <w:r>
        <w:rPr>
          <w:noProof/>
        </w:rPr>
        <w:drawing>
          <wp:inline distT="0" distB="0" distL="0" distR="0" wp14:anchorId="7EF73800" wp14:editId="18B3D636">
            <wp:extent cx="4678045" cy="2541270"/>
            <wp:effectExtent l="0" t="0" r="0" b="0"/>
            <wp:docPr id="25" name="Picture 25" descr="This chart shows the primary cash balance as at the 2022-23 Budget and the 2021-22 MYEFO. At the 2022-23 Budget, the primary balance is expected to be a deficit of 2.7 per cent of GDP in 2022-23 and improve to a deficit of 0.8 per cent of GDP in 2025-26. The primary balance is projected to improve to a surplus of 0.1 per cent of GDP by the end of the medium term, compared to a deficit of 0.9 per cent of GDP at MYEF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chart shows the primary cash balance as at the 2022-23 Budget and the 2021-22 MYEFO. At the 2022-23 Budget, the primary balance is expected to be a deficit of 2.7 per cent of GDP in 2022-23 and improve to a deficit of 0.8 per cent of GDP in 2025-26. The primary balance is projected to improve to a surplus of 0.1 per cent of GDP by the end of the medium term, compared to a deficit of 0.9 per cent of GDP at MYEFO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78045" cy="2541270"/>
                    </a:xfrm>
                    <a:prstGeom prst="rect">
                      <a:avLst/>
                    </a:prstGeom>
                    <a:noFill/>
                    <a:ln>
                      <a:noFill/>
                    </a:ln>
                  </pic:spPr>
                </pic:pic>
              </a:graphicData>
            </a:graphic>
          </wp:inline>
        </w:drawing>
      </w:r>
    </w:p>
    <w:p w14:paraId="291CCA2A" w14:textId="42A4B746" w:rsidR="00231522" w:rsidRPr="00993F95" w:rsidRDefault="00E86F9E" w:rsidP="00993F95">
      <w:pPr>
        <w:pStyle w:val="Source"/>
      </w:pPr>
      <w:r w:rsidRPr="00FD24B8">
        <w:t>Source:</w:t>
      </w:r>
      <w:r w:rsidRPr="00FD24B8">
        <w:tab/>
        <w:t xml:space="preserve">Treasury. </w:t>
      </w:r>
      <w:r>
        <w:rPr>
          <w:lang w:eastAsia="en-US"/>
        </w:rPr>
        <w:fldChar w:fldCharType="begin"/>
      </w:r>
      <w:r>
        <w:rPr>
          <w:lang w:eastAsia="en-US"/>
        </w:rPr>
        <w:instrText xml:space="preserve"> :End:BPD_BG3 </w:instrText>
      </w:r>
      <w:r>
        <w:rPr>
          <w:lang w:eastAsia="en-US"/>
        </w:rPr>
        <w:fldChar w:fldCharType="end"/>
      </w:r>
      <w:r w:rsidR="00156311" w:rsidRPr="00D57BDF" w:rsidDel="00156311">
        <w:t xml:space="preserve"> </w:t>
      </w:r>
    </w:p>
    <w:sectPr w:rsidR="00231522" w:rsidRPr="00993F95" w:rsidSect="00D15C88">
      <w:headerReference w:type="even" r:id="rId34"/>
      <w:headerReference w:type="default" r:id="rId35"/>
      <w:footerReference w:type="even" r:id="rId36"/>
      <w:footerReference w:type="default" r:id="rId37"/>
      <w:headerReference w:type="first" r:id="rId38"/>
      <w:footerReference w:type="first" r:id="rId39"/>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A347C" w14:textId="77777777" w:rsidR="0031767D" w:rsidRDefault="0031767D" w:rsidP="00E40261">
      <w:pPr>
        <w:spacing w:after="0" w:line="240" w:lineRule="auto"/>
      </w:pPr>
      <w:r>
        <w:separator/>
      </w:r>
    </w:p>
  </w:endnote>
  <w:endnote w:type="continuationSeparator" w:id="0">
    <w:p w14:paraId="50617EF6" w14:textId="77777777" w:rsidR="0031767D" w:rsidRDefault="0031767D" w:rsidP="00E40261">
      <w:pPr>
        <w:spacing w:after="0" w:line="240" w:lineRule="auto"/>
      </w:pPr>
      <w:r>
        <w:continuationSeparator/>
      </w:r>
    </w:p>
  </w:endnote>
  <w:endnote w:type="continuationNotice" w:id="1">
    <w:p w14:paraId="79B17FF4" w14:textId="77777777" w:rsidR="0031767D" w:rsidRDefault="003176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DE0D" w14:textId="43E451D8" w:rsidR="00F961A7" w:rsidRDefault="00F961A7" w:rsidP="00F247F5">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2569E4">
        <w:t>Statement 3: Fiscal Strategy and Outlook</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C8543" w14:textId="0092BA98" w:rsidR="00F961A7" w:rsidRDefault="0031767D" w:rsidP="00F247F5">
    <w:pPr>
      <w:pStyle w:val="FooterOdd"/>
    </w:pPr>
    <w:fldSimple w:instr="SUBJECT   \* MERGEFORMAT">
      <w:r w:rsidR="002569E4">
        <w:t>Statement 3: Fiscal Strategy and Outlook</w:t>
      </w:r>
    </w:fldSimple>
    <w:r w:rsidR="00F961A7" w:rsidRPr="00B3705D">
      <w:t xml:space="preserve">  |  </w:t>
    </w:r>
    <w:r w:rsidR="00F961A7" w:rsidRPr="00B3705D">
      <w:rPr>
        <w:b/>
        <w:bCs/>
      </w:rPr>
      <w:t xml:space="preserve">Page </w:t>
    </w:r>
    <w:r w:rsidR="00F961A7" w:rsidRPr="00B3705D">
      <w:rPr>
        <w:b/>
        <w:bCs/>
      </w:rPr>
      <w:fldChar w:fldCharType="begin"/>
    </w:r>
    <w:r w:rsidR="00F961A7" w:rsidRPr="00B3705D">
      <w:rPr>
        <w:b/>
        <w:bCs/>
      </w:rPr>
      <w:instrText xml:space="preserve"> PAGE  \* Arabic  \* MERGEFORMAT </w:instrText>
    </w:r>
    <w:r w:rsidR="00F961A7" w:rsidRPr="00B3705D">
      <w:rPr>
        <w:b/>
        <w:bCs/>
      </w:rPr>
      <w:fldChar w:fldCharType="separate"/>
    </w:r>
    <w:r w:rsidR="00F961A7">
      <w:rPr>
        <w:b/>
        <w:bCs/>
      </w:rPr>
      <w:t>1</w:t>
    </w:r>
    <w:r w:rsidR="00F961A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E4F3" w14:textId="4A19BE67" w:rsidR="00F961A7" w:rsidRDefault="0031767D" w:rsidP="00F247F5">
    <w:pPr>
      <w:pStyle w:val="FooterOdd"/>
    </w:pPr>
    <w:fldSimple w:instr="SUBJECT   \* MERGEFORMAT">
      <w:r w:rsidR="002569E4">
        <w:t>Statement 3: Fiscal Strategy and Outlook</w:t>
      </w:r>
    </w:fldSimple>
    <w:r w:rsidR="00F961A7" w:rsidRPr="00B3705D">
      <w:t xml:space="preserve">  |  </w:t>
    </w:r>
    <w:r w:rsidR="00F961A7" w:rsidRPr="00B3705D">
      <w:rPr>
        <w:b/>
        <w:bCs/>
      </w:rPr>
      <w:t xml:space="preserve">Page </w:t>
    </w:r>
    <w:r w:rsidR="00F961A7" w:rsidRPr="00B3705D">
      <w:rPr>
        <w:b/>
        <w:bCs/>
      </w:rPr>
      <w:fldChar w:fldCharType="begin"/>
    </w:r>
    <w:r w:rsidR="00F961A7" w:rsidRPr="00B3705D">
      <w:rPr>
        <w:b/>
        <w:bCs/>
      </w:rPr>
      <w:instrText xml:space="preserve"> PAGE  \* Arabic  \* MERGEFORMAT </w:instrText>
    </w:r>
    <w:r w:rsidR="00F961A7" w:rsidRPr="00B3705D">
      <w:rPr>
        <w:b/>
        <w:bCs/>
      </w:rPr>
      <w:fldChar w:fldCharType="separate"/>
    </w:r>
    <w:r w:rsidR="00F961A7">
      <w:rPr>
        <w:b/>
        <w:bCs/>
      </w:rPr>
      <w:t>1</w:t>
    </w:r>
    <w:r w:rsidR="00F961A7"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BE1E" w14:textId="116D2DA8" w:rsidR="00D863DC" w:rsidRDefault="00D863DC">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8BE5" w14:textId="75FA535F" w:rsidR="00692105" w:rsidRDefault="00692105" w:rsidP="00055D53">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2569E4">
        <w:t>Statement 3: Fiscal Strategy and Outlook</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A8F94" w14:textId="58CDA302" w:rsidR="00692105" w:rsidRDefault="0031767D" w:rsidP="002A6A16">
    <w:pPr>
      <w:pStyle w:val="FooterOdd"/>
    </w:pPr>
    <w:fldSimple w:instr="SUBJECT   \* MERGEFORMAT">
      <w:r w:rsidR="002569E4">
        <w:t>Statement 3: Fiscal Strategy and Outlook</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6512" w14:textId="0B7BA84A" w:rsidR="00692105" w:rsidRDefault="0031767D" w:rsidP="00F02123">
    <w:pPr>
      <w:pStyle w:val="FooterOdd"/>
    </w:pPr>
    <w:fldSimple w:instr="SUBJECT   \* MERGEFORMAT">
      <w:r w:rsidR="002569E4">
        <w:t>Statement 3: Fiscal Strategy and Outlook</w:t>
      </w:r>
    </w:fldSimple>
    <w:r w:rsidR="00455137" w:rsidRPr="00B3705D">
      <w:t xml:space="preserve">  |  </w:t>
    </w:r>
    <w:r w:rsidR="00455137" w:rsidRPr="00B3705D">
      <w:rPr>
        <w:b/>
        <w:bCs/>
      </w:rPr>
      <w:t xml:space="preserve">Page </w:t>
    </w:r>
    <w:r w:rsidR="00455137" w:rsidRPr="00B3705D">
      <w:rPr>
        <w:b/>
        <w:bCs/>
      </w:rPr>
      <w:fldChar w:fldCharType="begin"/>
    </w:r>
    <w:r w:rsidR="00455137" w:rsidRPr="00B3705D">
      <w:rPr>
        <w:b/>
        <w:bCs/>
      </w:rPr>
      <w:instrText xml:space="preserve"> PAGE  \* Arabic  \* MERGEFORMAT </w:instrText>
    </w:r>
    <w:r w:rsidR="00455137" w:rsidRPr="00B3705D">
      <w:rPr>
        <w:b/>
        <w:bCs/>
      </w:rPr>
      <w:fldChar w:fldCharType="separate"/>
    </w:r>
    <w:r w:rsidR="00455137">
      <w:rPr>
        <w:b/>
        <w:bCs/>
      </w:rPr>
      <w:t>1</w:t>
    </w:r>
    <w:r w:rsidR="00455137"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33B86" w14:textId="77777777" w:rsidR="0031767D" w:rsidRDefault="0031767D" w:rsidP="00E40261">
      <w:pPr>
        <w:spacing w:after="0" w:line="240" w:lineRule="auto"/>
      </w:pPr>
      <w:r>
        <w:separator/>
      </w:r>
    </w:p>
  </w:footnote>
  <w:footnote w:type="continuationSeparator" w:id="0">
    <w:p w14:paraId="6208AB51" w14:textId="77777777" w:rsidR="0031767D" w:rsidRDefault="0031767D" w:rsidP="00E40261">
      <w:pPr>
        <w:spacing w:after="0" w:line="240" w:lineRule="auto"/>
      </w:pPr>
      <w:r>
        <w:continuationSeparator/>
      </w:r>
    </w:p>
  </w:footnote>
  <w:footnote w:type="continuationNotice" w:id="1">
    <w:p w14:paraId="1F6F6FBA" w14:textId="77777777" w:rsidR="0031767D" w:rsidRDefault="0031767D">
      <w:pPr>
        <w:spacing w:after="0" w:line="240" w:lineRule="auto"/>
      </w:pPr>
    </w:p>
  </w:footnote>
  <w:footnote w:id="2">
    <w:p w14:paraId="13BD6BB5" w14:textId="5F48DC03" w:rsidR="00AB3587" w:rsidRDefault="00AB3587" w:rsidP="00AB3587">
      <w:pPr>
        <w:pStyle w:val="FootnoteText"/>
      </w:pPr>
      <w:r w:rsidRPr="002D0651">
        <w:rPr>
          <w:rStyle w:val="FootnoteReference"/>
          <w:vertAlign w:val="baseline"/>
        </w:rPr>
        <w:footnoteRef/>
      </w:r>
      <w:r>
        <w:t xml:space="preserve"> </w:t>
      </w:r>
      <w:r w:rsidR="0045252B" w:rsidRPr="00FD24B8">
        <w:tab/>
      </w:r>
      <w:r w:rsidRPr="00FD24B8">
        <w:t xml:space="preserve">For further information on yield assumptions, see Box 2 in Budget Paper No. 1 </w:t>
      </w:r>
      <w:r w:rsidRPr="00FD24B8">
        <w:rPr>
          <w:i/>
          <w:iCs/>
        </w:rPr>
        <w:t>Statement 7:</w:t>
      </w:r>
      <w:r w:rsidRPr="00FD24B8">
        <w:t xml:space="preserve"> </w:t>
      </w:r>
      <w:r w:rsidRPr="00FD24B8">
        <w:rPr>
          <w:i/>
        </w:rPr>
        <w:t>Debt Statement</w:t>
      </w:r>
      <w:r w:rsidRPr="00FD24B8">
        <w:t xml:space="preserve"> in the 2020</w:t>
      </w:r>
      <w:r w:rsidR="0031144A" w:rsidRPr="00FD24B8">
        <w:noBreakHyphen/>
      </w:r>
      <w:r w:rsidRPr="00FD24B8">
        <w:t>21 Budget.</w:t>
      </w:r>
    </w:p>
  </w:footnote>
  <w:footnote w:id="3">
    <w:p w14:paraId="6C22B1A4" w14:textId="74C36185" w:rsidR="00F01A30" w:rsidRDefault="00F01A30">
      <w:pPr>
        <w:pStyle w:val="FootnoteText"/>
      </w:pPr>
      <w:r w:rsidRPr="002D0651">
        <w:rPr>
          <w:rStyle w:val="FootnoteReference"/>
          <w:vertAlign w:val="baseline"/>
        </w:rPr>
        <w:footnoteRef/>
      </w:r>
      <w:r>
        <w:t xml:space="preserve"> </w:t>
      </w:r>
      <w:r w:rsidR="0045252B" w:rsidRPr="00FD24B8">
        <w:tab/>
      </w:r>
      <w:r w:rsidRPr="00FD24B8">
        <w:t xml:space="preserve">For further information on actions to extend the yield curve, see Box 3.2 in Budget Paper No. 1 </w:t>
      </w:r>
      <w:r w:rsidRPr="00FD24B8">
        <w:rPr>
          <w:i/>
          <w:iCs/>
        </w:rPr>
        <w:t>Statement 3:</w:t>
      </w:r>
      <w:r w:rsidRPr="00FD24B8">
        <w:t xml:space="preserve"> </w:t>
      </w:r>
      <w:r w:rsidRPr="00FD24B8">
        <w:rPr>
          <w:i/>
        </w:rPr>
        <w:t>Fiscal Strategy and Outlook</w:t>
      </w:r>
      <w:r w:rsidRPr="00FD24B8">
        <w:t xml:space="preserve"> in the 2021</w:t>
      </w:r>
      <w:r w:rsidRPr="00FD24B8">
        <w:noBreakHyphen/>
        <w:t>22 Budget.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62F5" w14:textId="73C5C1A0" w:rsidR="00F961A7" w:rsidRPr="00AA5439" w:rsidRDefault="00F961A7" w:rsidP="00F247F5">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F961A7" w14:paraId="5BDBA8F9" w14:textId="77777777" w:rsidTr="00F247F5">
      <w:trPr>
        <w:trHeight w:hRule="exact" w:val="340"/>
      </w:trPr>
      <w:tc>
        <w:tcPr>
          <w:tcW w:w="7797" w:type="dxa"/>
        </w:tcPr>
        <w:p w14:paraId="3D5E0B13" w14:textId="69D40B00" w:rsidR="00F961A7" w:rsidRDefault="00F961A7" w:rsidP="00F247F5">
          <w:pPr>
            <w:pStyle w:val="HeaderEven"/>
            <w:ind w:left="-113"/>
          </w:pPr>
          <w:r w:rsidRPr="000635BE">
            <w:rPr>
              <w:rFonts w:ascii="Arial Bold" w:hAnsi="Arial Bold"/>
              <w:b/>
              <w:bCs/>
              <w:noProof/>
              <w:position w:val="-10"/>
            </w:rPr>
            <w:drawing>
              <wp:inline distT="0" distB="0" distL="0" distR="0" wp14:anchorId="50564B56" wp14:editId="199514E3">
                <wp:extent cx="1000760" cy="22987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r>
            <w:t xml:space="preserve">  |  </w:t>
          </w:r>
          <w:fldSimple w:instr="TITLE   \* MERGEFORMAT">
            <w:r w:rsidR="002569E4">
              <w:t>Budget Paper No. 1</w:t>
            </w:r>
          </w:fldSimple>
        </w:p>
      </w:tc>
    </w:tr>
  </w:tbl>
  <w:p w14:paraId="14EE46D4" w14:textId="77777777" w:rsidR="00F961A7" w:rsidRPr="00AA5439" w:rsidRDefault="00F961A7" w:rsidP="00F247F5">
    <w:pPr>
      <w:pStyle w:val="HeaderEven"/>
      <w:rPr>
        <w:sz w:val="2"/>
        <w:szCs w:val="4"/>
      </w:rPr>
    </w:pPr>
  </w:p>
  <w:p w14:paraId="141FFBD9" w14:textId="77777777" w:rsidR="00F961A7" w:rsidRPr="007703C7" w:rsidRDefault="00F961A7" w:rsidP="00F247F5">
    <w:pPr>
      <w:pStyle w:val="Header"/>
      <w:rPr>
        <w:sz w:val="2"/>
        <w:szCs w:val="2"/>
      </w:rPr>
    </w:pPr>
  </w:p>
  <w:p w14:paraId="2A0D7C97" w14:textId="77777777" w:rsidR="00F961A7" w:rsidRDefault="00F961A7">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75DA" w14:textId="75DA4599" w:rsidR="00F961A7" w:rsidRPr="000635BE" w:rsidRDefault="00F961A7" w:rsidP="00F247F5">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F961A7" w14:paraId="2DA55BFD" w14:textId="77777777" w:rsidTr="00F247F5">
      <w:trPr>
        <w:trHeight w:hRule="exact" w:val="340"/>
      </w:trPr>
      <w:tc>
        <w:tcPr>
          <w:tcW w:w="7797" w:type="dxa"/>
        </w:tcPr>
        <w:p w14:paraId="23EBF1BB" w14:textId="30A95645" w:rsidR="00F961A7" w:rsidRDefault="0031767D" w:rsidP="00F247F5">
          <w:pPr>
            <w:pStyle w:val="HeaderOdd"/>
          </w:pPr>
          <w:fldSimple w:instr="TITLE   \* MERGEFORMAT">
            <w:r w:rsidR="002569E4">
              <w:t>Budget Paper No. 1</w:t>
            </w:r>
          </w:fldSimple>
          <w:r w:rsidR="00F961A7">
            <w:t xml:space="preserve">  |  </w:t>
          </w:r>
          <w:r w:rsidR="00F961A7" w:rsidRPr="000635BE">
            <w:rPr>
              <w:rFonts w:ascii="Arial Bold" w:hAnsi="Arial Bold"/>
              <w:b/>
              <w:bCs/>
              <w:noProof/>
              <w:position w:val="-10"/>
            </w:rPr>
            <w:drawing>
              <wp:inline distT="0" distB="0" distL="0" distR="0" wp14:anchorId="074EF87F" wp14:editId="7B9FE42B">
                <wp:extent cx="1000760" cy="22987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p>
      </w:tc>
    </w:tr>
  </w:tbl>
  <w:p w14:paraId="3BC6D692" w14:textId="77777777" w:rsidR="00F961A7" w:rsidRDefault="00F961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F153" w14:textId="192C7310" w:rsidR="00D863DC" w:rsidRDefault="0031767D">
    <w:pPr>
      <w:pStyle w:val="HeaderEven"/>
    </w:pPr>
    <w:fldSimple w:instr=" TITLE  \* MERGEFORMAT ">
      <w:r w:rsidR="002569E4">
        <w:t>Budget Paper No. 1</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2BE8" w14:textId="3FA8DB1C"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070943B0" w14:textId="77777777" w:rsidTr="002A6A16">
      <w:trPr>
        <w:trHeight w:hRule="exact" w:val="340"/>
      </w:trPr>
      <w:tc>
        <w:tcPr>
          <w:tcW w:w="7797" w:type="dxa"/>
        </w:tcPr>
        <w:p w14:paraId="0F533AF3" w14:textId="76C89738" w:rsidR="00692105" w:rsidRDefault="00692105" w:rsidP="008F55F8">
          <w:pPr>
            <w:pStyle w:val="HeaderEven"/>
            <w:ind w:left="-113"/>
          </w:pPr>
          <w:r w:rsidRPr="000635BE">
            <w:rPr>
              <w:rFonts w:ascii="Arial Bold" w:hAnsi="Arial Bold"/>
              <w:b/>
              <w:bCs/>
              <w:noProof/>
              <w:position w:val="-10"/>
            </w:rPr>
            <w:drawing>
              <wp:inline distT="0" distB="0" distL="0" distR="0" wp14:anchorId="6E23692B" wp14:editId="5F868CEE">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2569E4">
              <w:t>Budget Paper No. 1</w:t>
            </w:r>
          </w:fldSimple>
        </w:p>
      </w:tc>
    </w:tr>
  </w:tbl>
  <w:p w14:paraId="09766E63" w14:textId="77777777" w:rsidR="00692105" w:rsidRPr="00AA5439" w:rsidRDefault="00692105" w:rsidP="00AA5439">
    <w:pPr>
      <w:pStyle w:val="HeaderEven"/>
      <w:rPr>
        <w:sz w:val="2"/>
        <w:szCs w:val="4"/>
      </w:rPr>
    </w:pPr>
  </w:p>
  <w:p w14:paraId="1F758F54" w14:textId="77777777" w:rsidR="00692105" w:rsidRPr="007703C7" w:rsidRDefault="00692105"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BA6A" w14:textId="62E6AA6E"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515D0B0C" w14:textId="77777777" w:rsidTr="002A6A16">
      <w:trPr>
        <w:trHeight w:hRule="exact" w:val="340"/>
      </w:trPr>
      <w:tc>
        <w:tcPr>
          <w:tcW w:w="7797" w:type="dxa"/>
        </w:tcPr>
        <w:p w14:paraId="505E6BDE" w14:textId="20124E21" w:rsidR="00692105" w:rsidRDefault="0031767D" w:rsidP="000635BE">
          <w:pPr>
            <w:pStyle w:val="HeaderOdd"/>
          </w:pPr>
          <w:fldSimple w:instr="TITLE   \* MERGEFORMAT">
            <w:r w:rsidR="002569E4">
              <w:t>Budget Paper No. 1</w:t>
            </w:r>
          </w:fldSimple>
          <w:r w:rsidR="00692105">
            <w:t xml:space="preserve">  |  </w:t>
          </w:r>
          <w:r w:rsidR="00692105" w:rsidRPr="000635BE">
            <w:rPr>
              <w:rFonts w:ascii="Arial Bold" w:hAnsi="Arial Bold"/>
              <w:b/>
              <w:bCs/>
              <w:noProof/>
              <w:position w:val="-10"/>
            </w:rPr>
            <w:drawing>
              <wp:inline distT="0" distB="0" distL="0" distR="0" wp14:anchorId="487914D9" wp14:editId="68219987">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797DBEAC" w14:textId="77777777" w:rsidR="00692105" w:rsidRPr="00AA5439" w:rsidRDefault="00692105"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17D7B" w14:textId="04F35ADE" w:rsidR="00692105" w:rsidRDefault="0069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24D24BD5"/>
    <w:multiLevelType w:val="hybridMultilevel"/>
    <w:tmpl w:val="08DADA10"/>
    <w:name w:val="Box Bullet List2"/>
    <w:lvl w:ilvl="0" w:tplc="0F84863C">
      <w:start w:val="1"/>
      <w:numFmt w:val="bullet"/>
      <w:pStyle w:val="BoxDash"/>
      <w:lvlText w:val="‒"/>
      <w:lvlJc w:val="left"/>
      <w:pPr>
        <w:ind w:left="643" w:hanging="360"/>
      </w:pPr>
      <w:rPr>
        <w:rFonts w:ascii="Times New Roman" w:hAnsi="Times New Roman" w:cs="Times New Roman" w:hint="default"/>
        <w:b w:val="0"/>
        <w:i w:val="0"/>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 w15:restartNumberingAfterBreak="0">
    <w:nsid w:val="25FB5A9B"/>
    <w:multiLevelType w:val="hybridMultilevel"/>
    <w:tmpl w:val="EE9A36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BFF030D"/>
    <w:multiLevelType w:val="multilevel"/>
    <w:tmpl w:val="45065B90"/>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044523"/>
    <w:multiLevelType w:val="hybridMultilevel"/>
    <w:tmpl w:val="1D1E5AC8"/>
    <w:lvl w:ilvl="0" w:tplc="D47E722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5B25DC"/>
    <w:multiLevelType w:val="hybridMultilevel"/>
    <w:tmpl w:val="B8FADC94"/>
    <w:lvl w:ilvl="0" w:tplc="0C090001">
      <w:start w:val="27"/>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4121D0"/>
    <w:multiLevelType w:val="hybridMultilevel"/>
    <w:tmpl w:val="3F7CEC12"/>
    <w:lvl w:ilvl="0" w:tplc="0C090001">
      <w:start w:val="1"/>
      <w:numFmt w:val="bullet"/>
      <w:lvlText w:val=""/>
      <w:lvlJc w:val="left"/>
      <w:pPr>
        <w:ind w:left="360" w:hanging="360"/>
      </w:pPr>
      <w:rPr>
        <w:rFonts w:ascii="Symbol" w:hAnsi="Symbol" w:hint="default"/>
      </w:rPr>
    </w:lvl>
    <w:lvl w:ilvl="1" w:tplc="C4AC7714">
      <w:numFmt w:val="bullet"/>
      <w:lvlText w:val="-"/>
      <w:lvlJc w:val="left"/>
      <w:pPr>
        <w:ind w:left="1080" w:hanging="36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84E5942"/>
    <w:multiLevelType w:val="hybridMultilevel"/>
    <w:tmpl w:val="02C24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B2E19AC"/>
    <w:multiLevelType w:val="singleLevel"/>
    <w:tmpl w:val="6374E914"/>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0" w15:restartNumberingAfterBreak="0">
    <w:nsid w:val="43CA542E"/>
    <w:multiLevelType w:val="hybridMultilevel"/>
    <w:tmpl w:val="87E00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2" w15:restartNumberingAfterBreak="0">
    <w:nsid w:val="4B5C5462"/>
    <w:multiLevelType w:val="hybridMultilevel"/>
    <w:tmpl w:val="E4F8A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F9223D"/>
    <w:multiLevelType w:val="multilevel"/>
    <w:tmpl w:val="930A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421C99"/>
    <w:multiLevelType w:val="hybridMultilevel"/>
    <w:tmpl w:val="8E7CCE4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6B3A695D"/>
    <w:multiLevelType w:val="hybridMultilevel"/>
    <w:tmpl w:val="E8047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9"/>
  </w:num>
  <w:num w:numId="5">
    <w:abstractNumId w:val="2"/>
  </w:num>
  <w:num w:numId="6">
    <w:abstractNumId w:val="9"/>
    <w:lvlOverride w:ilvl="0">
      <w:startOverride w:val="1"/>
    </w:lvlOverride>
  </w:num>
  <w:num w:numId="7">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15"/>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7"/>
  </w:num>
  <w:num w:numId="21">
    <w:abstractNumId w:val="4"/>
  </w:num>
  <w:num w:numId="22">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3"/>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5"/>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16"/>
  </w:num>
  <w:num w:numId="43">
    <w:abstractNumId w:val="6"/>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9"/>
    <w:lvlOverride w:ilvl="0">
      <w:startOverride w:val="1"/>
    </w:lvlOverride>
  </w:num>
  <w:num w:numId="51">
    <w:abstractNumId w:val="9"/>
    <w:lvlOverride w:ilvl="0">
      <w:startOverride w:val="1"/>
    </w:lvlOverride>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 w:numId="56">
    <w:abstractNumId w:val="9"/>
    <w:lvlOverride w:ilvl="0">
      <w:startOverride w:val="1"/>
    </w:lvlOverride>
  </w:num>
  <w:num w:numId="57">
    <w:abstractNumId w:val="9"/>
    <w:lvlOverride w:ilvl="0">
      <w:startOverride w:val="1"/>
    </w:lvlOverride>
  </w:num>
  <w:num w:numId="58">
    <w:abstractNumId w:val="9"/>
    <w:lvlOverride w:ilvl="0">
      <w:startOverride w:val="1"/>
    </w:lvlOverride>
  </w:num>
  <w:num w:numId="59">
    <w:abstractNumId w:val="14"/>
  </w:num>
  <w:num w:numId="60">
    <w:abstractNumId w:val="9"/>
    <w:lvlOverride w:ilvl="0">
      <w:startOverride w:val="1"/>
    </w:lvlOverride>
  </w:num>
  <w:num w:numId="61">
    <w:abstractNumId w:val="12"/>
  </w:num>
  <w:num w:numId="62">
    <w:abstractNumId w:val="9"/>
    <w:lvlOverride w:ilvl="0">
      <w:startOverride w:val="1"/>
    </w:lvlOverride>
  </w:num>
  <w:num w:numId="63">
    <w:abstractNumId w:val="9"/>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9"/>
    <w:lvlOverride w:ilvl="0">
      <w:startOverride w:val="1"/>
    </w:lvlOverride>
  </w:num>
  <w:num w:numId="71">
    <w:abstractNumId w:val="9"/>
    <w:lvlOverride w:ilvl="0">
      <w:startOverride w:val="1"/>
    </w:lvlOverride>
  </w:num>
  <w:num w:numId="72">
    <w:abstractNumId w:val="9"/>
  </w:num>
  <w:num w:numId="73">
    <w:abstractNumId w:val="9"/>
    <w:lvlOverride w:ilvl="0">
      <w:startOverride w:val="1"/>
    </w:lvlOverride>
  </w:num>
  <w:num w:numId="74">
    <w:abstractNumId w:val="13"/>
  </w:num>
  <w:num w:numId="75">
    <w:abstractNumId w:val="9"/>
    <w:lvlOverride w:ilvl="0">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F961A7"/>
    <w:rsid w:val="0000020A"/>
    <w:rsid w:val="0000024A"/>
    <w:rsid w:val="000003E7"/>
    <w:rsid w:val="000003ED"/>
    <w:rsid w:val="00000445"/>
    <w:rsid w:val="00000687"/>
    <w:rsid w:val="00000739"/>
    <w:rsid w:val="00000B81"/>
    <w:rsid w:val="00000BE7"/>
    <w:rsid w:val="00000EAE"/>
    <w:rsid w:val="00000F8E"/>
    <w:rsid w:val="0000135A"/>
    <w:rsid w:val="0000147D"/>
    <w:rsid w:val="00001694"/>
    <w:rsid w:val="00001772"/>
    <w:rsid w:val="0000189C"/>
    <w:rsid w:val="000018D8"/>
    <w:rsid w:val="00001987"/>
    <w:rsid w:val="00001A61"/>
    <w:rsid w:val="00001A98"/>
    <w:rsid w:val="00002118"/>
    <w:rsid w:val="000021BC"/>
    <w:rsid w:val="00002431"/>
    <w:rsid w:val="000024C6"/>
    <w:rsid w:val="000024DF"/>
    <w:rsid w:val="00002511"/>
    <w:rsid w:val="000025FA"/>
    <w:rsid w:val="0000268F"/>
    <w:rsid w:val="000026DC"/>
    <w:rsid w:val="000027D2"/>
    <w:rsid w:val="00002ADF"/>
    <w:rsid w:val="00003572"/>
    <w:rsid w:val="000035B8"/>
    <w:rsid w:val="00003615"/>
    <w:rsid w:val="00003624"/>
    <w:rsid w:val="00003869"/>
    <w:rsid w:val="00003B49"/>
    <w:rsid w:val="00003BFA"/>
    <w:rsid w:val="00003CA6"/>
    <w:rsid w:val="00003D29"/>
    <w:rsid w:val="00003E68"/>
    <w:rsid w:val="00003F33"/>
    <w:rsid w:val="00003F87"/>
    <w:rsid w:val="000041C5"/>
    <w:rsid w:val="000041E3"/>
    <w:rsid w:val="00004294"/>
    <w:rsid w:val="000042C8"/>
    <w:rsid w:val="0000435D"/>
    <w:rsid w:val="0000499F"/>
    <w:rsid w:val="00004A2E"/>
    <w:rsid w:val="00004B61"/>
    <w:rsid w:val="00004C56"/>
    <w:rsid w:val="00004D42"/>
    <w:rsid w:val="00004D8B"/>
    <w:rsid w:val="00004FE5"/>
    <w:rsid w:val="00005189"/>
    <w:rsid w:val="000051B2"/>
    <w:rsid w:val="00005278"/>
    <w:rsid w:val="00005329"/>
    <w:rsid w:val="0000542D"/>
    <w:rsid w:val="000054D3"/>
    <w:rsid w:val="00005652"/>
    <w:rsid w:val="0000568A"/>
    <w:rsid w:val="00005921"/>
    <w:rsid w:val="00005A31"/>
    <w:rsid w:val="00005A71"/>
    <w:rsid w:val="00005CA1"/>
    <w:rsid w:val="00005CE6"/>
    <w:rsid w:val="00005EB0"/>
    <w:rsid w:val="00005F41"/>
    <w:rsid w:val="000060EC"/>
    <w:rsid w:val="00006264"/>
    <w:rsid w:val="000064DF"/>
    <w:rsid w:val="0000653A"/>
    <w:rsid w:val="0000657A"/>
    <w:rsid w:val="00006839"/>
    <w:rsid w:val="00006986"/>
    <w:rsid w:val="00006BDB"/>
    <w:rsid w:val="00006C9B"/>
    <w:rsid w:val="00006CF9"/>
    <w:rsid w:val="00006DCE"/>
    <w:rsid w:val="00006ED9"/>
    <w:rsid w:val="00006F0B"/>
    <w:rsid w:val="00007036"/>
    <w:rsid w:val="0000721C"/>
    <w:rsid w:val="00007585"/>
    <w:rsid w:val="000075D0"/>
    <w:rsid w:val="00007927"/>
    <w:rsid w:val="00007A22"/>
    <w:rsid w:val="00007A6C"/>
    <w:rsid w:val="00007AC5"/>
    <w:rsid w:val="00007DFF"/>
    <w:rsid w:val="00010209"/>
    <w:rsid w:val="0001026D"/>
    <w:rsid w:val="00010395"/>
    <w:rsid w:val="000103D3"/>
    <w:rsid w:val="0001055F"/>
    <w:rsid w:val="0001062E"/>
    <w:rsid w:val="00010725"/>
    <w:rsid w:val="000107AC"/>
    <w:rsid w:val="000107CE"/>
    <w:rsid w:val="00010964"/>
    <w:rsid w:val="00010ACF"/>
    <w:rsid w:val="00010D26"/>
    <w:rsid w:val="00010FD3"/>
    <w:rsid w:val="0001111F"/>
    <w:rsid w:val="00011473"/>
    <w:rsid w:val="00011724"/>
    <w:rsid w:val="00011A79"/>
    <w:rsid w:val="00011B60"/>
    <w:rsid w:val="00011B97"/>
    <w:rsid w:val="00011C4A"/>
    <w:rsid w:val="00011DBB"/>
    <w:rsid w:val="00011E17"/>
    <w:rsid w:val="00011EA6"/>
    <w:rsid w:val="00011FD4"/>
    <w:rsid w:val="00012023"/>
    <w:rsid w:val="00012049"/>
    <w:rsid w:val="000121CA"/>
    <w:rsid w:val="000122F9"/>
    <w:rsid w:val="000125A4"/>
    <w:rsid w:val="00012788"/>
    <w:rsid w:val="0001284D"/>
    <w:rsid w:val="00012859"/>
    <w:rsid w:val="000129FC"/>
    <w:rsid w:val="00012A4C"/>
    <w:rsid w:val="00012C4A"/>
    <w:rsid w:val="00012D3B"/>
    <w:rsid w:val="0001312D"/>
    <w:rsid w:val="000131D2"/>
    <w:rsid w:val="00013313"/>
    <w:rsid w:val="00013552"/>
    <w:rsid w:val="0001360C"/>
    <w:rsid w:val="0001367A"/>
    <w:rsid w:val="00013940"/>
    <w:rsid w:val="000139BE"/>
    <w:rsid w:val="00013D60"/>
    <w:rsid w:val="00013E67"/>
    <w:rsid w:val="00013EA8"/>
    <w:rsid w:val="0001402D"/>
    <w:rsid w:val="0001409D"/>
    <w:rsid w:val="000142BF"/>
    <w:rsid w:val="000144AA"/>
    <w:rsid w:val="000146BF"/>
    <w:rsid w:val="000146F6"/>
    <w:rsid w:val="00014714"/>
    <w:rsid w:val="0001473F"/>
    <w:rsid w:val="00014742"/>
    <w:rsid w:val="0001475F"/>
    <w:rsid w:val="00014805"/>
    <w:rsid w:val="0001495F"/>
    <w:rsid w:val="00014B31"/>
    <w:rsid w:val="00014CF6"/>
    <w:rsid w:val="00014F08"/>
    <w:rsid w:val="00015004"/>
    <w:rsid w:val="00015315"/>
    <w:rsid w:val="0001580F"/>
    <w:rsid w:val="000158FF"/>
    <w:rsid w:val="000159BA"/>
    <w:rsid w:val="00015B6C"/>
    <w:rsid w:val="00015D6B"/>
    <w:rsid w:val="00015E00"/>
    <w:rsid w:val="00015E40"/>
    <w:rsid w:val="00016015"/>
    <w:rsid w:val="0001606E"/>
    <w:rsid w:val="00016127"/>
    <w:rsid w:val="00016214"/>
    <w:rsid w:val="00016422"/>
    <w:rsid w:val="00016442"/>
    <w:rsid w:val="00016529"/>
    <w:rsid w:val="0001660E"/>
    <w:rsid w:val="0001661C"/>
    <w:rsid w:val="000168D8"/>
    <w:rsid w:val="0001697C"/>
    <w:rsid w:val="00016997"/>
    <w:rsid w:val="00016A9F"/>
    <w:rsid w:val="00016AC6"/>
    <w:rsid w:val="00016B03"/>
    <w:rsid w:val="00017280"/>
    <w:rsid w:val="0001728E"/>
    <w:rsid w:val="000173DD"/>
    <w:rsid w:val="000173F5"/>
    <w:rsid w:val="000176BF"/>
    <w:rsid w:val="000179B0"/>
    <w:rsid w:val="00017BDF"/>
    <w:rsid w:val="00017C3D"/>
    <w:rsid w:val="00017C61"/>
    <w:rsid w:val="00017CAC"/>
    <w:rsid w:val="00017DD6"/>
    <w:rsid w:val="00017EAC"/>
    <w:rsid w:val="00020054"/>
    <w:rsid w:val="000202AC"/>
    <w:rsid w:val="0002034C"/>
    <w:rsid w:val="00020413"/>
    <w:rsid w:val="00020470"/>
    <w:rsid w:val="000204FC"/>
    <w:rsid w:val="00020511"/>
    <w:rsid w:val="00020848"/>
    <w:rsid w:val="00020908"/>
    <w:rsid w:val="00020978"/>
    <w:rsid w:val="00020B37"/>
    <w:rsid w:val="00020BDA"/>
    <w:rsid w:val="00020D23"/>
    <w:rsid w:val="00020D6A"/>
    <w:rsid w:val="00020D6B"/>
    <w:rsid w:val="00020E22"/>
    <w:rsid w:val="00020E98"/>
    <w:rsid w:val="00020EF1"/>
    <w:rsid w:val="00021297"/>
    <w:rsid w:val="00021573"/>
    <w:rsid w:val="000216DE"/>
    <w:rsid w:val="000218D0"/>
    <w:rsid w:val="000219D2"/>
    <w:rsid w:val="00021ACD"/>
    <w:rsid w:val="00021BA4"/>
    <w:rsid w:val="00021BC8"/>
    <w:rsid w:val="00021DEA"/>
    <w:rsid w:val="00021F3A"/>
    <w:rsid w:val="00021FB1"/>
    <w:rsid w:val="000220FB"/>
    <w:rsid w:val="000222B0"/>
    <w:rsid w:val="0002232B"/>
    <w:rsid w:val="0002240E"/>
    <w:rsid w:val="0002243E"/>
    <w:rsid w:val="0002276E"/>
    <w:rsid w:val="00022BB0"/>
    <w:rsid w:val="00022DA4"/>
    <w:rsid w:val="00022E9A"/>
    <w:rsid w:val="00023154"/>
    <w:rsid w:val="0002317C"/>
    <w:rsid w:val="00023341"/>
    <w:rsid w:val="000234FA"/>
    <w:rsid w:val="0002362C"/>
    <w:rsid w:val="00023793"/>
    <w:rsid w:val="000238DE"/>
    <w:rsid w:val="00023948"/>
    <w:rsid w:val="00023E45"/>
    <w:rsid w:val="00024021"/>
    <w:rsid w:val="0002415C"/>
    <w:rsid w:val="0002418E"/>
    <w:rsid w:val="0002426F"/>
    <w:rsid w:val="0002429E"/>
    <w:rsid w:val="000243DC"/>
    <w:rsid w:val="000243E9"/>
    <w:rsid w:val="000244C7"/>
    <w:rsid w:val="0002459C"/>
    <w:rsid w:val="0002462C"/>
    <w:rsid w:val="00024644"/>
    <w:rsid w:val="00024915"/>
    <w:rsid w:val="00024C19"/>
    <w:rsid w:val="00024CCA"/>
    <w:rsid w:val="00024DB1"/>
    <w:rsid w:val="00024FA4"/>
    <w:rsid w:val="00025079"/>
    <w:rsid w:val="00025286"/>
    <w:rsid w:val="0002571A"/>
    <w:rsid w:val="000258F5"/>
    <w:rsid w:val="00025B3C"/>
    <w:rsid w:val="00025F7E"/>
    <w:rsid w:val="00025F83"/>
    <w:rsid w:val="000260D9"/>
    <w:rsid w:val="0002624B"/>
    <w:rsid w:val="0002633A"/>
    <w:rsid w:val="0002645F"/>
    <w:rsid w:val="00026471"/>
    <w:rsid w:val="0002659E"/>
    <w:rsid w:val="000265FB"/>
    <w:rsid w:val="00026629"/>
    <w:rsid w:val="000266B7"/>
    <w:rsid w:val="000266C7"/>
    <w:rsid w:val="000267E9"/>
    <w:rsid w:val="00026BF5"/>
    <w:rsid w:val="00026E78"/>
    <w:rsid w:val="00026F55"/>
    <w:rsid w:val="000270CB"/>
    <w:rsid w:val="000270E3"/>
    <w:rsid w:val="0002718A"/>
    <w:rsid w:val="000274A8"/>
    <w:rsid w:val="000279E5"/>
    <w:rsid w:val="00027A6C"/>
    <w:rsid w:val="00027C3B"/>
    <w:rsid w:val="00027CEB"/>
    <w:rsid w:val="00027D81"/>
    <w:rsid w:val="00027E44"/>
    <w:rsid w:val="00027EEF"/>
    <w:rsid w:val="000300B4"/>
    <w:rsid w:val="000300D2"/>
    <w:rsid w:val="00030493"/>
    <w:rsid w:val="00030753"/>
    <w:rsid w:val="00030864"/>
    <w:rsid w:val="0003095D"/>
    <w:rsid w:val="000309BF"/>
    <w:rsid w:val="00030A7B"/>
    <w:rsid w:val="00030E2F"/>
    <w:rsid w:val="00030E79"/>
    <w:rsid w:val="00031079"/>
    <w:rsid w:val="0003118E"/>
    <w:rsid w:val="00031431"/>
    <w:rsid w:val="00031510"/>
    <w:rsid w:val="00031848"/>
    <w:rsid w:val="000318BB"/>
    <w:rsid w:val="00031BCF"/>
    <w:rsid w:val="00031C22"/>
    <w:rsid w:val="00031F17"/>
    <w:rsid w:val="00031F53"/>
    <w:rsid w:val="00031FE7"/>
    <w:rsid w:val="000320CF"/>
    <w:rsid w:val="000322B0"/>
    <w:rsid w:val="00032564"/>
    <w:rsid w:val="0003283B"/>
    <w:rsid w:val="0003286F"/>
    <w:rsid w:val="00032967"/>
    <w:rsid w:val="00032C0A"/>
    <w:rsid w:val="00032C2B"/>
    <w:rsid w:val="00032E37"/>
    <w:rsid w:val="000331A0"/>
    <w:rsid w:val="000332EC"/>
    <w:rsid w:val="0003332D"/>
    <w:rsid w:val="000333C8"/>
    <w:rsid w:val="0003355D"/>
    <w:rsid w:val="000336AB"/>
    <w:rsid w:val="000336DA"/>
    <w:rsid w:val="00033708"/>
    <w:rsid w:val="00033753"/>
    <w:rsid w:val="000337EA"/>
    <w:rsid w:val="00033874"/>
    <w:rsid w:val="0003389A"/>
    <w:rsid w:val="00033C92"/>
    <w:rsid w:val="00033D28"/>
    <w:rsid w:val="00033D89"/>
    <w:rsid w:val="000340A4"/>
    <w:rsid w:val="0003412A"/>
    <w:rsid w:val="000342E5"/>
    <w:rsid w:val="0003433F"/>
    <w:rsid w:val="000344BD"/>
    <w:rsid w:val="00034537"/>
    <w:rsid w:val="00034681"/>
    <w:rsid w:val="0003474B"/>
    <w:rsid w:val="0003476C"/>
    <w:rsid w:val="00034780"/>
    <w:rsid w:val="00034A78"/>
    <w:rsid w:val="00034A80"/>
    <w:rsid w:val="00034A86"/>
    <w:rsid w:val="00034D17"/>
    <w:rsid w:val="00034DDC"/>
    <w:rsid w:val="00034EF6"/>
    <w:rsid w:val="00034FF0"/>
    <w:rsid w:val="00035087"/>
    <w:rsid w:val="000350C1"/>
    <w:rsid w:val="00035138"/>
    <w:rsid w:val="000353D3"/>
    <w:rsid w:val="000353F2"/>
    <w:rsid w:val="000359D1"/>
    <w:rsid w:val="00035A0D"/>
    <w:rsid w:val="00035C01"/>
    <w:rsid w:val="00035D34"/>
    <w:rsid w:val="00035D76"/>
    <w:rsid w:val="00035D8D"/>
    <w:rsid w:val="00035E9F"/>
    <w:rsid w:val="00035F66"/>
    <w:rsid w:val="000360D4"/>
    <w:rsid w:val="000362B1"/>
    <w:rsid w:val="00036310"/>
    <w:rsid w:val="0003689E"/>
    <w:rsid w:val="00036CE7"/>
    <w:rsid w:val="00036DAD"/>
    <w:rsid w:val="00036DD8"/>
    <w:rsid w:val="00036E39"/>
    <w:rsid w:val="00036EA0"/>
    <w:rsid w:val="00036F36"/>
    <w:rsid w:val="00036F78"/>
    <w:rsid w:val="00037000"/>
    <w:rsid w:val="00037013"/>
    <w:rsid w:val="0003708F"/>
    <w:rsid w:val="000370A5"/>
    <w:rsid w:val="000371E6"/>
    <w:rsid w:val="000372A7"/>
    <w:rsid w:val="000374AC"/>
    <w:rsid w:val="000374B6"/>
    <w:rsid w:val="00037842"/>
    <w:rsid w:val="00037855"/>
    <w:rsid w:val="000378BB"/>
    <w:rsid w:val="000379AE"/>
    <w:rsid w:val="000379C4"/>
    <w:rsid w:val="00037A4C"/>
    <w:rsid w:val="00037B39"/>
    <w:rsid w:val="00037DD8"/>
    <w:rsid w:val="00037F48"/>
    <w:rsid w:val="00037F66"/>
    <w:rsid w:val="0004007E"/>
    <w:rsid w:val="00040147"/>
    <w:rsid w:val="0004025A"/>
    <w:rsid w:val="000405CC"/>
    <w:rsid w:val="00040608"/>
    <w:rsid w:val="0004060E"/>
    <w:rsid w:val="0004069D"/>
    <w:rsid w:val="000406BC"/>
    <w:rsid w:val="00040710"/>
    <w:rsid w:val="00040718"/>
    <w:rsid w:val="00040954"/>
    <w:rsid w:val="000409A9"/>
    <w:rsid w:val="00040A54"/>
    <w:rsid w:val="00040A58"/>
    <w:rsid w:val="00040B75"/>
    <w:rsid w:val="00040C20"/>
    <w:rsid w:val="00040CE6"/>
    <w:rsid w:val="00041014"/>
    <w:rsid w:val="000410D1"/>
    <w:rsid w:val="0004111C"/>
    <w:rsid w:val="00041169"/>
    <w:rsid w:val="00041251"/>
    <w:rsid w:val="00041300"/>
    <w:rsid w:val="000413B2"/>
    <w:rsid w:val="000413B8"/>
    <w:rsid w:val="00041510"/>
    <w:rsid w:val="0004177D"/>
    <w:rsid w:val="00041798"/>
    <w:rsid w:val="000418C0"/>
    <w:rsid w:val="00041B2E"/>
    <w:rsid w:val="00041C59"/>
    <w:rsid w:val="00041D00"/>
    <w:rsid w:val="00041DE7"/>
    <w:rsid w:val="00041F3F"/>
    <w:rsid w:val="00041FA1"/>
    <w:rsid w:val="000420B4"/>
    <w:rsid w:val="000420D5"/>
    <w:rsid w:val="00042252"/>
    <w:rsid w:val="00042268"/>
    <w:rsid w:val="00042356"/>
    <w:rsid w:val="000426AA"/>
    <w:rsid w:val="00042718"/>
    <w:rsid w:val="00042818"/>
    <w:rsid w:val="00042AAA"/>
    <w:rsid w:val="00042AB6"/>
    <w:rsid w:val="00042CF8"/>
    <w:rsid w:val="00042DD7"/>
    <w:rsid w:val="00042E3E"/>
    <w:rsid w:val="0004309A"/>
    <w:rsid w:val="00043102"/>
    <w:rsid w:val="0004324D"/>
    <w:rsid w:val="0004332A"/>
    <w:rsid w:val="000433D2"/>
    <w:rsid w:val="00043570"/>
    <w:rsid w:val="00043AA1"/>
    <w:rsid w:val="00043D0A"/>
    <w:rsid w:val="00043D4E"/>
    <w:rsid w:val="00043D4F"/>
    <w:rsid w:val="00044114"/>
    <w:rsid w:val="000445B9"/>
    <w:rsid w:val="0004464E"/>
    <w:rsid w:val="000448F6"/>
    <w:rsid w:val="000449B8"/>
    <w:rsid w:val="00044DBF"/>
    <w:rsid w:val="00045185"/>
    <w:rsid w:val="000453C6"/>
    <w:rsid w:val="0004544E"/>
    <w:rsid w:val="00045589"/>
    <w:rsid w:val="00045617"/>
    <w:rsid w:val="00045947"/>
    <w:rsid w:val="0004599D"/>
    <w:rsid w:val="00045DA9"/>
    <w:rsid w:val="00045DC6"/>
    <w:rsid w:val="00045F40"/>
    <w:rsid w:val="000462AF"/>
    <w:rsid w:val="00046355"/>
    <w:rsid w:val="000466DD"/>
    <w:rsid w:val="00046928"/>
    <w:rsid w:val="00046959"/>
    <w:rsid w:val="00046CCD"/>
    <w:rsid w:val="00046F7A"/>
    <w:rsid w:val="00046FC9"/>
    <w:rsid w:val="000471E6"/>
    <w:rsid w:val="00047219"/>
    <w:rsid w:val="000474C3"/>
    <w:rsid w:val="0004753D"/>
    <w:rsid w:val="0005030B"/>
    <w:rsid w:val="00050513"/>
    <w:rsid w:val="000505D6"/>
    <w:rsid w:val="000507B8"/>
    <w:rsid w:val="00050888"/>
    <w:rsid w:val="00050FCB"/>
    <w:rsid w:val="00051198"/>
    <w:rsid w:val="000511CE"/>
    <w:rsid w:val="0005120D"/>
    <w:rsid w:val="000514F5"/>
    <w:rsid w:val="00051546"/>
    <w:rsid w:val="000515E1"/>
    <w:rsid w:val="0005162C"/>
    <w:rsid w:val="0005167A"/>
    <w:rsid w:val="000517FD"/>
    <w:rsid w:val="00051A26"/>
    <w:rsid w:val="00051A82"/>
    <w:rsid w:val="00051B29"/>
    <w:rsid w:val="00051CD9"/>
    <w:rsid w:val="00051EC5"/>
    <w:rsid w:val="00052068"/>
    <w:rsid w:val="00052196"/>
    <w:rsid w:val="00052199"/>
    <w:rsid w:val="000521F3"/>
    <w:rsid w:val="0005228F"/>
    <w:rsid w:val="000522BD"/>
    <w:rsid w:val="0005231E"/>
    <w:rsid w:val="00052351"/>
    <w:rsid w:val="0005239B"/>
    <w:rsid w:val="000524B3"/>
    <w:rsid w:val="0005259C"/>
    <w:rsid w:val="000526CC"/>
    <w:rsid w:val="00052789"/>
    <w:rsid w:val="000528F8"/>
    <w:rsid w:val="0005290A"/>
    <w:rsid w:val="00052BBE"/>
    <w:rsid w:val="00052C04"/>
    <w:rsid w:val="00052C7A"/>
    <w:rsid w:val="00053024"/>
    <w:rsid w:val="00053164"/>
    <w:rsid w:val="000531F9"/>
    <w:rsid w:val="00053520"/>
    <w:rsid w:val="0005376E"/>
    <w:rsid w:val="000538F9"/>
    <w:rsid w:val="0005394E"/>
    <w:rsid w:val="00053B9F"/>
    <w:rsid w:val="00053BC7"/>
    <w:rsid w:val="00053F88"/>
    <w:rsid w:val="000541AD"/>
    <w:rsid w:val="00054407"/>
    <w:rsid w:val="00054432"/>
    <w:rsid w:val="00054943"/>
    <w:rsid w:val="000549D0"/>
    <w:rsid w:val="00054B7A"/>
    <w:rsid w:val="00054D64"/>
    <w:rsid w:val="00054DB0"/>
    <w:rsid w:val="0005501A"/>
    <w:rsid w:val="00055196"/>
    <w:rsid w:val="00055205"/>
    <w:rsid w:val="000553EF"/>
    <w:rsid w:val="00055401"/>
    <w:rsid w:val="0005563F"/>
    <w:rsid w:val="000558A3"/>
    <w:rsid w:val="000558FB"/>
    <w:rsid w:val="00055B5A"/>
    <w:rsid w:val="00055D53"/>
    <w:rsid w:val="00055E4F"/>
    <w:rsid w:val="00055E73"/>
    <w:rsid w:val="00055FB7"/>
    <w:rsid w:val="000560CF"/>
    <w:rsid w:val="000560D2"/>
    <w:rsid w:val="00056164"/>
    <w:rsid w:val="0005626F"/>
    <w:rsid w:val="00056495"/>
    <w:rsid w:val="00056498"/>
    <w:rsid w:val="000564F6"/>
    <w:rsid w:val="000565DC"/>
    <w:rsid w:val="00056610"/>
    <w:rsid w:val="0005663F"/>
    <w:rsid w:val="0005670C"/>
    <w:rsid w:val="00056865"/>
    <w:rsid w:val="0005691A"/>
    <w:rsid w:val="000569E7"/>
    <w:rsid w:val="00056A65"/>
    <w:rsid w:val="00056AE6"/>
    <w:rsid w:val="00056B42"/>
    <w:rsid w:val="00056C26"/>
    <w:rsid w:val="00056DA2"/>
    <w:rsid w:val="00056DAF"/>
    <w:rsid w:val="00056ED1"/>
    <w:rsid w:val="00056F57"/>
    <w:rsid w:val="00056F8A"/>
    <w:rsid w:val="00056FAE"/>
    <w:rsid w:val="00057007"/>
    <w:rsid w:val="000573C0"/>
    <w:rsid w:val="000579EC"/>
    <w:rsid w:val="00057AF6"/>
    <w:rsid w:val="00057B6C"/>
    <w:rsid w:val="00057B71"/>
    <w:rsid w:val="00057E7F"/>
    <w:rsid w:val="00060418"/>
    <w:rsid w:val="000604E3"/>
    <w:rsid w:val="0006057C"/>
    <w:rsid w:val="0006067F"/>
    <w:rsid w:val="00060742"/>
    <w:rsid w:val="00060750"/>
    <w:rsid w:val="00060A9D"/>
    <w:rsid w:val="00060ABD"/>
    <w:rsid w:val="00060DA6"/>
    <w:rsid w:val="00060DDA"/>
    <w:rsid w:val="0006130D"/>
    <w:rsid w:val="000613F8"/>
    <w:rsid w:val="000615E0"/>
    <w:rsid w:val="0006187F"/>
    <w:rsid w:val="00061B1F"/>
    <w:rsid w:val="00061B4D"/>
    <w:rsid w:val="00061B7E"/>
    <w:rsid w:val="00061C16"/>
    <w:rsid w:val="00061CB1"/>
    <w:rsid w:val="00061CFF"/>
    <w:rsid w:val="00061DC4"/>
    <w:rsid w:val="00061F26"/>
    <w:rsid w:val="000620AF"/>
    <w:rsid w:val="00062162"/>
    <w:rsid w:val="000622DA"/>
    <w:rsid w:val="000623A9"/>
    <w:rsid w:val="0006274F"/>
    <w:rsid w:val="0006275F"/>
    <w:rsid w:val="00062936"/>
    <w:rsid w:val="0006298C"/>
    <w:rsid w:val="000629B2"/>
    <w:rsid w:val="00062A94"/>
    <w:rsid w:val="00062AE6"/>
    <w:rsid w:val="00062E2A"/>
    <w:rsid w:val="00062FB6"/>
    <w:rsid w:val="000630D4"/>
    <w:rsid w:val="000630F0"/>
    <w:rsid w:val="0006351B"/>
    <w:rsid w:val="000635BE"/>
    <w:rsid w:val="000637BB"/>
    <w:rsid w:val="00063802"/>
    <w:rsid w:val="0006382F"/>
    <w:rsid w:val="00063A64"/>
    <w:rsid w:val="00063B2B"/>
    <w:rsid w:val="00063B71"/>
    <w:rsid w:val="00063DF7"/>
    <w:rsid w:val="00064053"/>
    <w:rsid w:val="000640B3"/>
    <w:rsid w:val="000641AF"/>
    <w:rsid w:val="00064581"/>
    <w:rsid w:val="00064B27"/>
    <w:rsid w:val="00064B98"/>
    <w:rsid w:val="00064BF9"/>
    <w:rsid w:val="00064C8C"/>
    <w:rsid w:val="00064F18"/>
    <w:rsid w:val="00065116"/>
    <w:rsid w:val="000651A7"/>
    <w:rsid w:val="000651C6"/>
    <w:rsid w:val="0006523A"/>
    <w:rsid w:val="000653A7"/>
    <w:rsid w:val="0006560A"/>
    <w:rsid w:val="00065770"/>
    <w:rsid w:val="00065A2D"/>
    <w:rsid w:val="00065A98"/>
    <w:rsid w:val="00065E47"/>
    <w:rsid w:val="0006611F"/>
    <w:rsid w:val="00066317"/>
    <w:rsid w:val="000663D4"/>
    <w:rsid w:val="000665D3"/>
    <w:rsid w:val="000665D4"/>
    <w:rsid w:val="000667F5"/>
    <w:rsid w:val="00066CAB"/>
    <w:rsid w:val="00066E83"/>
    <w:rsid w:val="00066F09"/>
    <w:rsid w:val="00067113"/>
    <w:rsid w:val="00067656"/>
    <w:rsid w:val="0006765C"/>
    <w:rsid w:val="0006770A"/>
    <w:rsid w:val="0006777D"/>
    <w:rsid w:val="000677C2"/>
    <w:rsid w:val="000678C6"/>
    <w:rsid w:val="00067999"/>
    <w:rsid w:val="00067BC5"/>
    <w:rsid w:val="00067C8D"/>
    <w:rsid w:val="00067DDC"/>
    <w:rsid w:val="00067ECC"/>
    <w:rsid w:val="00067FE9"/>
    <w:rsid w:val="00070058"/>
    <w:rsid w:val="000702DF"/>
    <w:rsid w:val="0007050D"/>
    <w:rsid w:val="0007059D"/>
    <w:rsid w:val="00070677"/>
    <w:rsid w:val="000707CE"/>
    <w:rsid w:val="00070BCA"/>
    <w:rsid w:val="00070C17"/>
    <w:rsid w:val="00070C68"/>
    <w:rsid w:val="00070CC5"/>
    <w:rsid w:val="00070EA0"/>
    <w:rsid w:val="0007129D"/>
    <w:rsid w:val="00071596"/>
    <w:rsid w:val="000715C5"/>
    <w:rsid w:val="000716B2"/>
    <w:rsid w:val="00071CDD"/>
    <w:rsid w:val="00071E7F"/>
    <w:rsid w:val="00071E99"/>
    <w:rsid w:val="00071EB1"/>
    <w:rsid w:val="00071F72"/>
    <w:rsid w:val="000721D2"/>
    <w:rsid w:val="00072369"/>
    <w:rsid w:val="00072392"/>
    <w:rsid w:val="00072481"/>
    <w:rsid w:val="000724D7"/>
    <w:rsid w:val="00072514"/>
    <w:rsid w:val="000726E3"/>
    <w:rsid w:val="0007278A"/>
    <w:rsid w:val="000727F9"/>
    <w:rsid w:val="000727FD"/>
    <w:rsid w:val="00072857"/>
    <w:rsid w:val="00072A6B"/>
    <w:rsid w:val="00072AB7"/>
    <w:rsid w:val="00072AEB"/>
    <w:rsid w:val="00072B81"/>
    <w:rsid w:val="00072C46"/>
    <w:rsid w:val="00072CE8"/>
    <w:rsid w:val="00072EE6"/>
    <w:rsid w:val="00072F2F"/>
    <w:rsid w:val="00072FCC"/>
    <w:rsid w:val="00073114"/>
    <w:rsid w:val="000731B4"/>
    <w:rsid w:val="0007330E"/>
    <w:rsid w:val="00073454"/>
    <w:rsid w:val="000734E3"/>
    <w:rsid w:val="000735A5"/>
    <w:rsid w:val="00073743"/>
    <w:rsid w:val="000737EC"/>
    <w:rsid w:val="00073974"/>
    <w:rsid w:val="0007399C"/>
    <w:rsid w:val="00073A70"/>
    <w:rsid w:val="00073BA4"/>
    <w:rsid w:val="00073F29"/>
    <w:rsid w:val="00073F57"/>
    <w:rsid w:val="00074021"/>
    <w:rsid w:val="00074071"/>
    <w:rsid w:val="00074311"/>
    <w:rsid w:val="00074566"/>
    <w:rsid w:val="00074798"/>
    <w:rsid w:val="0007484A"/>
    <w:rsid w:val="00074883"/>
    <w:rsid w:val="0007496F"/>
    <w:rsid w:val="00074AD6"/>
    <w:rsid w:val="00075078"/>
    <w:rsid w:val="000751FC"/>
    <w:rsid w:val="00075355"/>
    <w:rsid w:val="000753DB"/>
    <w:rsid w:val="00075528"/>
    <w:rsid w:val="00075567"/>
    <w:rsid w:val="000755C7"/>
    <w:rsid w:val="00075899"/>
    <w:rsid w:val="000758C4"/>
    <w:rsid w:val="00075956"/>
    <w:rsid w:val="00075A6E"/>
    <w:rsid w:val="00075A73"/>
    <w:rsid w:val="00075C45"/>
    <w:rsid w:val="00075DDA"/>
    <w:rsid w:val="00075DE3"/>
    <w:rsid w:val="00075E02"/>
    <w:rsid w:val="000760DA"/>
    <w:rsid w:val="00076146"/>
    <w:rsid w:val="00076207"/>
    <w:rsid w:val="000762C2"/>
    <w:rsid w:val="000763DC"/>
    <w:rsid w:val="0007660D"/>
    <w:rsid w:val="00076EB0"/>
    <w:rsid w:val="00077063"/>
    <w:rsid w:val="00077184"/>
    <w:rsid w:val="00077463"/>
    <w:rsid w:val="00077495"/>
    <w:rsid w:val="00077498"/>
    <w:rsid w:val="00077593"/>
    <w:rsid w:val="000775CC"/>
    <w:rsid w:val="000778A7"/>
    <w:rsid w:val="00077AED"/>
    <w:rsid w:val="00077BB5"/>
    <w:rsid w:val="00077D76"/>
    <w:rsid w:val="00080150"/>
    <w:rsid w:val="0008021E"/>
    <w:rsid w:val="000802D7"/>
    <w:rsid w:val="00080338"/>
    <w:rsid w:val="00080342"/>
    <w:rsid w:val="000805CC"/>
    <w:rsid w:val="0008077A"/>
    <w:rsid w:val="000808C4"/>
    <w:rsid w:val="00080B52"/>
    <w:rsid w:val="00080BDA"/>
    <w:rsid w:val="00081092"/>
    <w:rsid w:val="000810A8"/>
    <w:rsid w:val="000813C3"/>
    <w:rsid w:val="00081458"/>
    <w:rsid w:val="00081524"/>
    <w:rsid w:val="000815D5"/>
    <w:rsid w:val="00081720"/>
    <w:rsid w:val="00081778"/>
    <w:rsid w:val="00081856"/>
    <w:rsid w:val="00081A16"/>
    <w:rsid w:val="00081C26"/>
    <w:rsid w:val="00081C8A"/>
    <w:rsid w:val="00081DE1"/>
    <w:rsid w:val="0008201D"/>
    <w:rsid w:val="000821D0"/>
    <w:rsid w:val="00082467"/>
    <w:rsid w:val="00082484"/>
    <w:rsid w:val="0008285B"/>
    <w:rsid w:val="0008286E"/>
    <w:rsid w:val="0008292B"/>
    <w:rsid w:val="00082949"/>
    <w:rsid w:val="00082B25"/>
    <w:rsid w:val="00082BEE"/>
    <w:rsid w:val="00082C34"/>
    <w:rsid w:val="00082C4D"/>
    <w:rsid w:val="00082C77"/>
    <w:rsid w:val="00082D86"/>
    <w:rsid w:val="00083019"/>
    <w:rsid w:val="00083179"/>
    <w:rsid w:val="000831E8"/>
    <w:rsid w:val="00083306"/>
    <w:rsid w:val="000833F4"/>
    <w:rsid w:val="00083808"/>
    <w:rsid w:val="0008390F"/>
    <w:rsid w:val="00083991"/>
    <w:rsid w:val="00083A22"/>
    <w:rsid w:val="00083D5C"/>
    <w:rsid w:val="00083D76"/>
    <w:rsid w:val="00083F2C"/>
    <w:rsid w:val="0008422D"/>
    <w:rsid w:val="00084458"/>
    <w:rsid w:val="000844A9"/>
    <w:rsid w:val="00084A4E"/>
    <w:rsid w:val="00084C00"/>
    <w:rsid w:val="00084D91"/>
    <w:rsid w:val="00084F43"/>
    <w:rsid w:val="00085163"/>
    <w:rsid w:val="000852B3"/>
    <w:rsid w:val="000852C4"/>
    <w:rsid w:val="00085479"/>
    <w:rsid w:val="000858FB"/>
    <w:rsid w:val="00085B92"/>
    <w:rsid w:val="00085E32"/>
    <w:rsid w:val="00085E42"/>
    <w:rsid w:val="00086058"/>
    <w:rsid w:val="00086288"/>
    <w:rsid w:val="0008638B"/>
    <w:rsid w:val="00086596"/>
    <w:rsid w:val="00086786"/>
    <w:rsid w:val="00086789"/>
    <w:rsid w:val="00086791"/>
    <w:rsid w:val="00086909"/>
    <w:rsid w:val="00086929"/>
    <w:rsid w:val="00086967"/>
    <w:rsid w:val="00086B89"/>
    <w:rsid w:val="00086C0F"/>
    <w:rsid w:val="00086D45"/>
    <w:rsid w:val="00086D63"/>
    <w:rsid w:val="00086ED9"/>
    <w:rsid w:val="000872FF"/>
    <w:rsid w:val="00087451"/>
    <w:rsid w:val="00087644"/>
    <w:rsid w:val="00087730"/>
    <w:rsid w:val="00087D2E"/>
    <w:rsid w:val="00087E35"/>
    <w:rsid w:val="000902D7"/>
    <w:rsid w:val="000902FD"/>
    <w:rsid w:val="0009044A"/>
    <w:rsid w:val="00090456"/>
    <w:rsid w:val="000904B8"/>
    <w:rsid w:val="00090562"/>
    <w:rsid w:val="00090929"/>
    <w:rsid w:val="000909D4"/>
    <w:rsid w:val="00090ACA"/>
    <w:rsid w:val="00090C23"/>
    <w:rsid w:val="00090D78"/>
    <w:rsid w:val="00090D80"/>
    <w:rsid w:val="00090DC0"/>
    <w:rsid w:val="00090DC2"/>
    <w:rsid w:val="00090DC3"/>
    <w:rsid w:val="00090E43"/>
    <w:rsid w:val="00091113"/>
    <w:rsid w:val="00091772"/>
    <w:rsid w:val="000918C8"/>
    <w:rsid w:val="00091BAF"/>
    <w:rsid w:val="00091D64"/>
    <w:rsid w:val="00091E19"/>
    <w:rsid w:val="00091E37"/>
    <w:rsid w:val="00091E5E"/>
    <w:rsid w:val="0009228B"/>
    <w:rsid w:val="0009234C"/>
    <w:rsid w:val="0009240F"/>
    <w:rsid w:val="00092698"/>
    <w:rsid w:val="00092769"/>
    <w:rsid w:val="00092915"/>
    <w:rsid w:val="0009291F"/>
    <w:rsid w:val="00092AA7"/>
    <w:rsid w:val="00092B09"/>
    <w:rsid w:val="00092C45"/>
    <w:rsid w:val="00092E65"/>
    <w:rsid w:val="00092ED4"/>
    <w:rsid w:val="00092F84"/>
    <w:rsid w:val="000930EC"/>
    <w:rsid w:val="0009312F"/>
    <w:rsid w:val="00093179"/>
    <w:rsid w:val="00093241"/>
    <w:rsid w:val="0009324D"/>
    <w:rsid w:val="0009327D"/>
    <w:rsid w:val="0009339A"/>
    <w:rsid w:val="0009352F"/>
    <w:rsid w:val="0009364C"/>
    <w:rsid w:val="00093736"/>
    <w:rsid w:val="00093776"/>
    <w:rsid w:val="00093B2D"/>
    <w:rsid w:val="00093C2A"/>
    <w:rsid w:val="00093D3B"/>
    <w:rsid w:val="00093E0C"/>
    <w:rsid w:val="00093F20"/>
    <w:rsid w:val="000940AF"/>
    <w:rsid w:val="000941A5"/>
    <w:rsid w:val="000946AF"/>
    <w:rsid w:val="000947A6"/>
    <w:rsid w:val="00094854"/>
    <w:rsid w:val="00094C87"/>
    <w:rsid w:val="00094CCD"/>
    <w:rsid w:val="00094FFF"/>
    <w:rsid w:val="00095069"/>
    <w:rsid w:val="000952FA"/>
    <w:rsid w:val="00095415"/>
    <w:rsid w:val="00095492"/>
    <w:rsid w:val="000955C7"/>
    <w:rsid w:val="0009569C"/>
    <w:rsid w:val="000956B2"/>
    <w:rsid w:val="00095766"/>
    <w:rsid w:val="00095788"/>
    <w:rsid w:val="00095A6A"/>
    <w:rsid w:val="00095A98"/>
    <w:rsid w:val="00095BE8"/>
    <w:rsid w:val="00095C0E"/>
    <w:rsid w:val="00095E4D"/>
    <w:rsid w:val="00095E6F"/>
    <w:rsid w:val="00095EA6"/>
    <w:rsid w:val="00095F3B"/>
    <w:rsid w:val="00095FC8"/>
    <w:rsid w:val="00096647"/>
    <w:rsid w:val="00096706"/>
    <w:rsid w:val="00096CB8"/>
    <w:rsid w:val="00096E0C"/>
    <w:rsid w:val="0009713C"/>
    <w:rsid w:val="000971C4"/>
    <w:rsid w:val="0009725B"/>
    <w:rsid w:val="00097466"/>
    <w:rsid w:val="000974AF"/>
    <w:rsid w:val="0009763E"/>
    <w:rsid w:val="0009787C"/>
    <w:rsid w:val="000978A4"/>
    <w:rsid w:val="00097985"/>
    <w:rsid w:val="0009798B"/>
    <w:rsid w:val="00097CD1"/>
    <w:rsid w:val="00097D57"/>
    <w:rsid w:val="00097DAC"/>
    <w:rsid w:val="000A0326"/>
    <w:rsid w:val="000A0331"/>
    <w:rsid w:val="000A043D"/>
    <w:rsid w:val="000A044D"/>
    <w:rsid w:val="000A0488"/>
    <w:rsid w:val="000A0573"/>
    <w:rsid w:val="000A08BC"/>
    <w:rsid w:val="000A08E9"/>
    <w:rsid w:val="000A096C"/>
    <w:rsid w:val="000A0BA7"/>
    <w:rsid w:val="000A0BE0"/>
    <w:rsid w:val="000A0E75"/>
    <w:rsid w:val="000A0EAB"/>
    <w:rsid w:val="000A0FEC"/>
    <w:rsid w:val="000A10D0"/>
    <w:rsid w:val="000A123A"/>
    <w:rsid w:val="000A15CF"/>
    <w:rsid w:val="000A1785"/>
    <w:rsid w:val="000A1874"/>
    <w:rsid w:val="000A1905"/>
    <w:rsid w:val="000A1A22"/>
    <w:rsid w:val="000A1A4E"/>
    <w:rsid w:val="000A1EB8"/>
    <w:rsid w:val="000A1FC3"/>
    <w:rsid w:val="000A2091"/>
    <w:rsid w:val="000A21A5"/>
    <w:rsid w:val="000A2214"/>
    <w:rsid w:val="000A221D"/>
    <w:rsid w:val="000A2270"/>
    <w:rsid w:val="000A2286"/>
    <w:rsid w:val="000A2295"/>
    <w:rsid w:val="000A22BB"/>
    <w:rsid w:val="000A22C0"/>
    <w:rsid w:val="000A23BA"/>
    <w:rsid w:val="000A24A8"/>
    <w:rsid w:val="000A24F5"/>
    <w:rsid w:val="000A2777"/>
    <w:rsid w:val="000A2837"/>
    <w:rsid w:val="000A29E2"/>
    <w:rsid w:val="000A2AED"/>
    <w:rsid w:val="000A2B2F"/>
    <w:rsid w:val="000A2DD0"/>
    <w:rsid w:val="000A2E48"/>
    <w:rsid w:val="000A2FA9"/>
    <w:rsid w:val="000A305A"/>
    <w:rsid w:val="000A3093"/>
    <w:rsid w:val="000A328C"/>
    <w:rsid w:val="000A3363"/>
    <w:rsid w:val="000A33D5"/>
    <w:rsid w:val="000A35B1"/>
    <w:rsid w:val="000A388F"/>
    <w:rsid w:val="000A444A"/>
    <w:rsid w:val="000A455A"/>
    <w:rsid w:val="000A470F"/>
    <w:rsid w:val="000A4A89"/>
    <w:rsid w:val="000A4AAF"/>
    <w:rsid w:val="000A4BE3"/>
    <w:rsid w:val="000A4E65"/>
    <w:rsid w:val="000A502F"/>
    <w:rsid w:val="000A5390"/>
    <w:rsid w:val="000A567C"/>
    <w:rsid w:val="000A5AE6"/>
    <w:rsid w:val="000A5B8A"/>
    <w:rsid w:val="000A5C38"/>
    <w:rsid w:val="000A5C76"/>
    <w:rsid w:val="000A5FDE"/>
    <w:rsid w:val="000A626C"/>
    <w:rsid w:val="000A64FF"/>
    <w:rsid w:val="000A6571"/>
    <w:rsid w:val="000A65D8"/>
    <w:rsid w:val="000A6823"/>
    <w:rsid w:val="000A69AC"/>
    <w:rsid w:val="000A6F09"/>
    <w:rsid w:val="000A7136"/>
    <w:rsid w:val="000A7179"/>
    <w:rsid w:val="000A7447"/>
    <w:rsid w:val="000A7853"/>
    <w:rsid w:val="000B004B"/>
    <w:rsid w:val="000B0320"/>
    <w:rsid w:val="000B03E8"/>
    <w:rsid w:val="000B049F"/>
    <w:rsid w:val="000B063A"/>
    <w:rsid w:val="000B0671"/>
    <w:rsid w:val="000B06C0"/>
    <w:rsid w:val="000B07B1"/>
    <w:rsid w:val="000B0A2C"/>
    <w:rsid w:val="000B0B85"/>
    <w:rsid w:val="000B0D21"/>
    <w:rsid w:val="000B102F"/>
    <w:rsid w:val="000B10AB"/>
    <w:rsid w:val="000B1134"/>
    <w:rsid w:val="000B116D"/>
    <w:rsid w:val="000B128B"/>
    <w:rsid w:val="000B1317"/>
    <w:rsid w:val="000B13E5"/>
    <w:rsid w:val="000B1583"/>
    <w:rsid w:val="000B15B6"/>
    <w:rsid w:val="000B16AF"/>
    <w:rsid w:val="000B1984"/>
    <w:rsid w:val="000B1A56"/>
    <w:rsid w:val="000B1AF2"/>
    <w:rsid w:val="000B1BD6"/>
    <w:rsid w:val="000B2137"/>
    <w:rsid w:val="000B2220"/>
    <w:rsid w:val="000B2395"/>
    <w:rsid w:val="000B2635"/>
    <w:rsid w:val="000B27CC"/>
    <w:rsid w:val="000B28DA"/>
    <w:rsid w:val="000B28E4"/>
    <w:rsid w:val="000B2924"/>
    <w:rsid w:val="000B2AC4"/>
    <w:rsid w:val="000B2B18"/>
    <w:rsid w:val="000B2C03"/>
    <w:rsid w:val="000B2C67"/>
    <w:rsid w:val="000B2EC8"/>
    <w:rsid w:val="000B2F3C"/>
    <w:rsid w:val="000B313A"/>
    <w:rsid w:val="000B3308"/>
    <w:rsid w:val="000B33CE"/>
    <w:rsid w:val="000B359B"/>
    <w:rsid w:val="000B36CD"/>
    <w:rsid w:val="000B3B7D"/>
    <w:rsid w:val="000B3CC9"/>
    <w:rsid w:val="000B3E47"/>
    <w:rsid w:val="000B3ECE"/>
    <w:rsid w:val="000B3FE4"/>
    <w:rsid w:val="000B4075"/>
    <w:rsid w:val="000B40D1"/>
    <w:rsid w:val="000B41A1"/>
    <w:rsid w:val="000B420C"/>
    <w:rsid w:val="000B42F4"/>
    <w:rsid w:val="000B43D8"/>
    <w:rsid w:val="000B441D"/>
    <w:rsid w:val="000B454D"/>
    <w:rsid w:val="000B45A4"/>
    <w:rsid w:val="000B46C2"/>
    <w:rsid w:val="000B471D"/>
    <w:rsid w:val="000B4774"/>
    <w:rsid w:val="000B4843"/>
    <w:rsid w:val="000B4CB5"/>
    <w:rsid w:val="000B4EDC"/>
    <w:rsid w:val="000B4EF4"/>
    <w:rsid w:val="000B523F"/>
    <w:rsid w:val="000B52B7"/>
    <w:rsid w:val="000B5521"/>
    <w:rsid w:val="000B5576"/>
    <w:rsid w:val="000B5708"/>
    <w:rsid w:val="000B5AF8"/>
    <w:rsid w:val="000B5B8E"/>
    <w:rsid w:val="000B5D0D"/>
    <w:rsid w:val="000B5DB3"/>
    <w:rsid w:val="000B5E71"/>
    <w:rsid w:val="000B5F7B"/>
    <w:rsid w:val="000B6302"/>
    <w:rsid w:val="000B65AB"/>
    <w:rsid w:val="000B67FA"/>
    <w:rsid w:val="000B6853"/>
    <w:rsid w:val="000B692B"/>
    <w:rsid w:val="000B69B6"/>
    <w:rsid w:val="000B6AE8"/>
    <w:rsid w:val="000B6BD8"/>
    <w:rsid w:val="000B6BFC"/>
    <w:rsid w:val="000B6DEC"/>
    <w:rsid w:val="000B6EAA"/>
    <w:rsid w:val="000B70BD"/>
    <w:rsid w:val="000B7249"/>
    <w:rsid w:val="000B73B6"/>
    <w:rsid w:val="000B740C"/>
    <w:rsid w:val="000B75D0"/>
    <w:rsid w:val="000B766A"/>
    <w:rsid w:val="000B7A19"/>
    <w:rsid w:val="000B7BA3"/>
    <w:rsid w:val="000B7C21"/>
    <w:rsid w:val="000B7D3C"/>
    <w:rsid w:val="000B7FF8"/>
    <w:rsid w:val="000C0340"/>
    <w:rsid w:val="000C03C2"/>
    <w:rsid w:val="000C0611"/>
    <w:rsid w:val="000C0B1F"/>
    <w:rsid w:val="000C0C37"/>
    <w:rsid w:val="000C0DA5"/>
    <w:rsid w:val="000C0F52"/>
    <w:rsid w:val="000C0FE1"/>
    <w:rsid w:val="000C106D"/>
    <w:rsid w:val="000C10C0"/>
    <w:rsid w:val="000C15DF"/>
    <w:rsid w:val="000C1631"/>
    <w:rsid w:val="000C19C0"/>
    <w:rsid w:val="000C1C07"/>
    <w:rsid w:val="000C1CD7"/>
    <w:rsid w:val="000C246D"/>
    <w:rsid w:val="000C2538"/>
    <w:rsid w:val="000C268B"/>
    <w:rsid w:val="000C27F2"/>
    <w:rsid w:val="000C27F5"/>
    <w:rsid w:val="000C28A6"/>
    <w:rsid w:val="000C2954"/>
    <w:rsid w:val="000C2BFD"/>
    <w:rsid w:val="000C2D2D"/>
    <w:rsid w:val="000C2E57"/>
    <w:rsid w:val="000C2E65"/>
    <w:rsid w:val="000C2E67"/>
    <w:rsid w:val="000C2E6D"/>
    <w:rsid w:val="000C2EB0"/>
    <w:rsid w:val="000C30BD"/>
    <w:rsid w:val="000C35E1"/>
    <w:rsid w:val="000C35EC"/>
    <w:rsid w:val="000C35F1"/>
    <w:rsid w:val="000C36D3"/>
    <w:rsid w:val="000C37A8"/>
    <w:rsid w:val="000C37E6"/>
    <w:rsid w:val="000C3889"/>
    <w:rsid w:val="000C389D"/>
    <w:rsid w:val="000C3984"/>
    <w:rsid w:val="000C3991"/>
    <w:rsid w:val="000C3C43"/>
    <w:rsid w:val="000C3D47"/>
    <w:rsid w:val="000C3E1C"/>
    <w:rsid w:val="000C3F2D"/>
    <w:rsid w:val="000C3F50"/>
    <w:rsid w:val="000C4334"/>
    <w:rsid w:val="000C44CC"/>
    <w:rsid w:val="000C4847"/>
    <w:rsid w:val="000C48BE"/>
    <w:rsid w:val="000C48D2"/>
    <w:rsid w:val="000C4A28"/>
    <w:rsid w:val="000C4A46"/>
    <w:rsid w:val="000C4A9B"/>
    <w:rsid w:val="000C4BAC"/>
    <w:rsid w:val="000C4E25"/>
    <w:rsid w:val="000C4F15"/>
    <w:rsid w:val="000C50DB"/>
    <w:rsid w:val="000C5141"/>
    <w:rsid w:val="000C51FB"/>
    <w:rsid w:val="000C52B6"/>
    <w:rsid w:val="000C53D2"/>
    <w:rsid w:val="000C55D9"/>
    <w:rsid w:val="000C5781"/>
    <w:rsid w:val="000C57FA"/>
    <w:rsid w:val="000C58D4"/>
    <w:rsid w:val="000C5916"/>
    <w:rsid w:val="000C5A21"/>
    <w:rsid w:val="000C5A71"/>
    <w:rsid w:val="000C5C12"/>
    <w:rsid w:val="000C5CDA"/>
    <w:rsid w:val="000C5E4D"/>
    <w:rsid w:val="000C617B"/>
    <w:rsid w:val="000C61DC"/>
    <w:rsid w:val="000C62DB"/>
    <w:rsid w:val="000C6343"/>
    <w:rsid w:val="000C63AD"/>
    <w:rsid w:val="000C6434"/>
    <w:rsid w:val="000C6467"/>
    <w:rsid w:val="000C64FB"/>
    <w:rsid w:val="000C6942"/>
    <w:rsid w:val="000C69DB"/>
    <w:rsid w:val="000C6C66"/>
    <w:rsid w:val="000C6D2B"/>
    <w:rsid w:val="000C6DFB"/>
    <w:rsid w:val="000C702D"/>
    <w:rsid w:val="000C702F"/>
    <w:rsid w:val="000C7192"/>
    <w:rsid w:val="000C725C"/>
    <w:rsid w:val="000C728E"/>
    <w:rsid w:val="000C733A"/>
    <w:rsid w:val="000C76DB"/>
    <w:rsid w:val="000C77EA"/>
    <w:rsid w:val="000C7851"/>
    <w:rsid w:val="000C7AA9"/>
    <w:rsid w:val="000C7DD9"/>
    <w:rsid w:val="000C7EAC"/>
    <w:rsid w:val="000D0115"/>
    <w:rsid w:val="000D0242"/>
    <w:rsid w:val="000D03E0"/>
    <w:rsid w:val="000D08B1"/>
    <w:rsid w:val="000D0A7E"/>
    <w:rsid w:val="000D0A90"/>
    <w:rsid w:val="000D0A9B"/>
    <w:rsid w:val="000D0B0B"/>
    <w:rsid w:val="000D0B56"/>
    <w:rsid w:val="000D0F9B"/>
    <w:rsid w:val="000D11C1"/>
    <w:rsid w:val="000D1563"/>
    <w:rsid w:val="000D1828"/>
    <w:rsid w:val="000D1A04"/>
    <w:rsid w:val="000D1D11"/>
    <w:rsid w:val="000D1D2E"/>
    <w:rsid w:val="000D1F09"/>
    <w:rsid w:val="000D20FB"/>
    <w:rsid w:val="000D2157"/>
    <w:rsid w:val="000D21EF"/>
    <w:rsid w:val="000D21F1"/>
    <w:rsid w:val="000D220D"/>
    <w:rsid w:val="000D23EC"/>
    <w:rsid w:val="000D23EE"/>
    <w:rsid w:val="000D2500"/>
    <w:rsid w:val="000D25A8"/>
    <w:rsid w:val="000D273B"/>
    <w:rsid w:val="000D2822"/>
    <w:rsid w:val="000D2A2B"/>
    <w:rsid w:val="000D2D76"/>
    <w:rsid w:val="000D31C0"/>
    <w:rsid w:val="000D323B"/>
    <w:rsid w:val="000D323E"/>
    <w:rsid w:val="000D32B1"/>
    <w:rsid w:val="000D32BA"/>
    <w:rsid w:val="000D3321"/>
    <w:rsid w:val="000D3392"/>
    <w:rsid w:val="000D356B"/>
    <w:rsid w:val="000D35F8"/>
    <w:rsid w:val="000D3659"/>
    <w:rsid w:val="000D3691"/>
    <w:rsid w:val="000D36E4"/>
    <w:rsid w:val="000D3BDD"/>
    <w:rsid w:val="000D3C36"/>
    <w:rsid w:val="000D4066"/>
    <w:rsid w:val="000D40F9"/>
    <w:rsid w:val="000D4159"/>
    <w:rsid w:val="000D4178"/>
    <w:rsid w:val="000D4235"/>
    <w:rsid w:val="000D43FD"/>
    <w:rsid w:val="000D45BE"/>
    <w:rsid w:val="000D4701"/>
    <w:rsid w:val="000D476A"/>
    <w:rsid w:val="000D47E2"/>
    <w:rsid w:val="000D4955"/>
    <w:rsid w:val="000D49C8"/>
    <w:rsid w:val="000D49D7"/>
    <w:rsid w:val="000D4A0E"/>
    <w:rsid w:val="000D4AA8"/>
    <w:rsid w:val="000D4B2C"/>
    <w:rsid w:val="000D5282"/>
    <w:rsid w:val="000D5470"/>
    <w:rsid w:val="000D5C5E"/>
    <w:rsid w:val="000D5CB2"/>
    <w:rsid w:val="000D5F1F"/>
    <w:rsid w:val="000D6098"/>
    <w:rsid w:val="000D60EC"/>
    <w:rsid w:val="000D6138"/>
    <w:rsid w:val="000D6187"/>
    <w:rsid w:val="000D62E4"/>
    <w:rsid w:val="000D635E"/>
    <w:rsid w:val="000D6369"/>
    <w:rsid w:val="000D6422"/>
    <w:rsid w:val="000D64BB"/>
    <w:rsid w:val="000D651B"/>
    <w:rsid w:val="000D68DB"/>
    <w:rsid w:val="000D6935"/>
    <w:rsid w:val="000D6A91"/>
    <w:rsid w:val="000D6AE8"/>
    <w:rsid w:val="000D6CD7"/>
    <w:rsid w:val="000D6E49"/>
    <w:rsid w:val="000D6F2D"/>
    <w:rsid w:val="000D701F"/>
    <w:rsid w:val="000D7206"/>
    <w:rsid w:val="000D7492"/>
    <w:rsid w:val="000D7579"/>
    <w:rsid w:val="000D76A4"/>
    <w:rsid w:val="000D76C0"/>
    <w:rsid w:val="000D77A8"/>
    <w:rsid w:val="000D7853"/>
    <w:rsid w:val="000D7879"/>
    <w:rsid w:val="000D7895"/>
    <w:rsid w:val="000D7B74"/>
    <w:rsid w:val="000D7BCD"/>
    <w:rsid w:val="000D7BD0"/>
    <w:rsid w:val="000D7C0B"/>
    <w:rsid w:val="000D7D7B"/>
    <w:rsid w:val="000D7D9F"/>
    <w:rsid w:val="000D7DEE"/>
    <w:rsid w:val="000D7E30"/>
    <w:rsid w:val="000D7FDB"/>
    <w:rsid w:val="000E019D"/>
    <w:rsid w:val="000E0217"/>
    <w:rsid w:val="000E0473"/>
    <w:rsid w:val="000E0BEA"/>
    <w:rsid w:val="000E0C12"/>
    <w:rsid w:val="000E0C29"/>
    <w:rsid w:val="000E0C68"/>
    <w:rsid w:val="000E105B"/>
    <w:rsid w:val="000E11D0"/>
    <w:rsid w:val="000E11EC"/>
    <w:rsid w:val="000E12AE"/>
    <w:rsid w:val="000E149B"/>
    <w:rsid w:val="000E1555"/>
    <w:rsid w:val="000E164B"/>
    <w:rsid w:val="000E1857"/>
    <w:rsid w:val="000E1C47"/>
    <w:rsid w:val="000E226C"/>
    <w:rsid w:val="000E22FA"/>
    <w:rsid w:val="000E28C8"/>
    <w:rsid w:val="000E2B4C"/>
    <w:rsid w:val="000E2C41"/>
    <w:rsid w:val="000E2C93"/>
    <w:rsid w:val="000E2CCA"/>
    <w:rsid w:val="000E2DD6"/>
    <w:rsid w:val="000E2EC6"/>
    <w:rsid w:val="000E2EF5"/>
    <w:rsid w:val="000E2FEF"/>
    <w:rsid w:val="000E37C6"/>
    <w:rsid w:val="000E39B3"/>
    <w:rsid w:val="000E3C74"/>
    <w:rsid w:val="000E3E25"/>
    <w:rsid w:val="000E402D"/>
    <w:rsid w:val="000E41C9"/>
    <w:rsid w:val="000E42CB"/>
    <w:rsid w:val="000E44F5"/>
    <w:rsid w:val="000E4621"/>
    <w:rsid w:val="000E4944"/>
    <w:rsid w:val="000E4A25"/>
    <w:rsid w:val="000E4B9A"/>
    <w:rsid w:val="000E4B9E"/>
    <w:rsid w:val="000E4ED0"/>
    <w:rsid w:val="000E5355"/>
    <w:rsid w:val="000E545B"/>
    <w:rsid w:val="000E54A7"/>
    <w:rsid w:val="000E598D"/>
    <w:rsid w:val="000E5AF9"/>
    <w:rsid w:val="000E5DD0"/>
    <w:rsid w:val="000E5E01"/>
    <w:rsid w:val="000E5EEC"/>
    <w:rsid w:val="000E6207"/>
    <w:rsid w:val="000E6378"/>
    <w:rsid w:val="000E63B3"/>
    <w:rsid w:val="000E6509"/>
    <w:rsid w:val="000E675E"/>
    <w:rsid w:val="000E67C5"/>
    <w:rsid w:val="000E690E"/>
    <w:rsid w:val="000E6A77"/>
    <w:rsid w:val="000E6B3C"/>
    <w:rsid w:val="000E6B65"/>
    <w:rsid w:val="000E6BDB"/>
    <w:rsid w:val="000E6EBF"/>
    <w:rsid w:val="000E6ED8"/>
    <w:rsid w:val="000E6F47"/>
    <w:rsid w:val="000E6F97"/>
    <w:rsid w:val="000E70FC"/>
    <w:rsid w:val="000E71D9"/>
    <w:rsid w:val="000E728F"/>
    <w:rsid w:val="000E7324"/>
    <w:rsid w:val="000E7366"/>
    <w:rsid w:val="000E73A6"/>
    <w:rsid w:val="000E7468"/>
    <w:rsid w:val="000E74ED"/>
    <w:rsid w:val="000E75E8"/>
    <w:rsid w:val="000E7745"/>
    <w:rsid w:val="000E7770"/>
    <w:rsid w:val="000E7961"/>
    <w:rsid w:val="000E7A41"/>
    <w:rsid w:val="000E7A6A"/>
    <w:rsid w:val="000E7D00"/>
    <w:rsid w:val="000E7DAA"/>
    <w:rsid w:val="000E7FD8"/>
    <w:rsid w:val="000F0015"/>
    <w:rsid w:val="000F01E8"/>
    <w:rsid w:val="000F03C5"/>
    <w:rsid w:val="000F068D"/>
    <w:rsid w:val="000F0719"/>
    <w:rsid w:val="000F0880"/>
    <w:rsid w:val="000F0A36"/>
    <w:rsid w:val="000F135F"/>
    <w:rsid w:val="000F13DE"/>
    <w:rsid w:val="000F1481"/>
    <w:rsid w:val="000F14F7"/>
    <w:rsid w:val="000F15BA"/>
    <w:rsid w:val="000F1BF5"/>
    <w:rsid w:val="000F1CCC"/>
    <w:rsid w:val="000F1D34"/>
    <w:rsid w:val="000F2076"/>
    <w:rsid w:val="000F20C9"/>
    <w:rsid w:val="000F216B"/>
    <w:rsid w:val="000F22AA"/>
    <w:rsid w:val="000F246C"/>
    <w:rsid w:val="000F27FE"/>
    <w:rsid w:val="000F2844"/>
    <w:rsid w:val="000F2944"/>
    <w:rsid w:val="000F29B5"/>
    <w:rsid w:val="000F2DDD"/>
    <w:rsid w:val="000F2F55"/>
    <w:rsid w:val="000F2F60"/>
    <w:rsid w:val="000F3066"/>
    <w:rsid w:val="000F3159"/>
    <w:rsid w:val="000F320C"/>
    <w:rsid w:val="000F34A0"/>
    <w:rsid w:val="000F375D"/>
    <w:rsid w:val="000F3922"/>
    <w:rsid w:val="000F3CDB"/>
    <w:rsid w:val="000F3DD3"/>
    <w:rsid w:val="000F3F67"/>
    <w:rsid w:val="000F3F69"/>
    <w:rsid w:val="000F402C"/>
    <w:rsid w:val="000F4053"/>
    <w:rsid w:val="000F4058"/>
    <w:rsid w:val="000F41E6"/>
    <w:rsid w:val="000F432E"/>
    <w:rsid w:val="000F4401"/>
    <w:rsid w:val="000F4498"/>
    <w:rsid w:val="000F468F"/>
    <w:rsid w:val="000F473A"/>
    <w:rsid w:val="000F4855"/>
    <w:rsid w:val="000F4C00"/>
    <w:rsid w:val="000F50C0"/>
    <w:rsid w:val="000F5143"/>
    <w:rsid w:val="000F526C"/>
    <w:rsid w:val="000F5370"/>
    <w:rsid w:val="000F54FC"/>
    <w:rsid w:val="000F5576"/>
    <w:rsid w:val="000F55FC"/>
    <w:rsid w:val="000F57C0"/>
    <w:rsid w:val="000F5818"/>
    <w:rsid w:val="000F58A4"/>
    <w:rsid w:val="000F590E"/>
    <w:rsid w:val="000F5995"/>
    <w:rsid w:val="000F5A1B"/>
    <w:rsid w:val="000F5B3F"/>
    <w:rsid w:val="000F5DB1"/>
    <w:rsid w:val="000F5F2F"/>
    <w:rsid w:val="000F5F6E"/>
    <w:rsid w:val="000F600E"/>
    <w:rsid w:val="000F637C"/>
    <w:rsid w:val="000F65D5"/>
    <w:rsid w:val="000F66F0"/>
    <w:rsid w:val="000F67DD"/>
    <w:rsid w:val="000F6AC4"/>
    <w:rsid w:val="000F6CC6"/>
    <w:rsid w:val="000F6E2D"/>
    <w:rsid w:val="000F6ED7"/>
    <w:rsid w:val="000F71FA"/>
    <w:rsid w:val="000F74B6"/>
    <w:rsid w:val="000F7607"/>
    <w:rsid w:val="000F7871"/>
    <w:rsid w:val="000F7903"/>
    <w:rsid w:val="000F79A7"/>
    <w:rsid w:val="000F79B2"/>
    <w:rsid w:val="000F7A51"/>
    <w:rsid w:val="000F7C1B"/>
    <w:rsid w:val="000F7C66"/>
    <w:rsid w:val="000F7ED3"/>
    <w:rsid w:val="00100419"/>
    <w:rsid w:val="0010065A"/>
    <w:rsid w:val="00100734"/>
    <w:rsid w:val="00100736"/>
    <w:rsid w:val="001008B0"/>
    <w:rsid w:val="00100A6F"/>
    <w:rsid w:val="00100B6B"/>
    <w:rsid w:val="00100B90"/>
    <w:rsid w:val="00100C9B"/>
    <w:rsid w:val="00100CFF"/>
    <w:rsid w:val="00100DD4"/>
    <w:rsid w:val="00100E66"/>
    <w:rsid w:val="001010AA"/>
    <w:rsid w:val="0010110A"/>
    <w:rsid w:val="00101690"/>
    <w:rsid w:val="001016CA"/>
    <w:rsid w:val="00101769"/>
    <w:rsid w:val="00101864"/>
    <w:rsid w:val="001018BC"/>
    <w:rsid w:val="00101961"/>
    <w:rsid w:val="00101E02"/>
    <w:rsid w:val="00101F5D"/>
    <w:rsid w:val="00102091"/>
    <w:rsid w:val="001020AB"/>
    <w:rsid w:val="001024C2"/>
    <w:rsid w:val="001027A7"/>
    <w:rsid w:val="0010293A"/>
    <w:rsid w:val="001029FD"/>
    <w:rsid w:val="00102A24"/>
    <w:rsid w:val="00102ADD"/>
    <w:rsid w:val="00102B80"/>
    <w:rsid w:val="0010301A"/>
    <w:rsid w:val="00103102"/>
    <w:rsid w:val="00103351"/>
    <w:rsid w:val="0010342F"/>
    <w:rsid w:val="001038BF"/>
    <w:rsid w:val="00103BF9"/>
    <w:rsid w:val="00103C8B"/>
    <w:rsid w:val="00103D1B"/>
    <w:rsid w:val="00103D81"/>
    <w:rsid w:val="00103ECA"/>
    <w:rsid w:val="00103F65"/>
    <w:rsid w:val="00103FBF"/>
    <w:rsid w:val="00104043"/>
    <w:rsid w:val="00104158"/>
    <w:rsid w:val="001041ED"/>
    <w:rsid w:val="001047C8"/>
    <w:rsid w:val="00104840"/>
    <w:rsid w:val="0010487E"/>
    <w:rsid w:val="0010498F"/>
    <w:rsid w:val="00104B42"/>
    <w:rsid w:val="00104D93"/>
    <w:rsid w:val="00104F31"/>
    <w:rsid w:val="001051D7"/>
    <w:rsid w:val="001052DB"/>
    <w:rsid w:val="00105396"/>
    <w:rsid w:val="00105406"/>
    <w:rsid w:val="0010593C"/>
    <w:rsid w:val="00105993"/>
    <w:rsid w:val="001059BD"/>
    <w:rsid w:val="00105A79"/>
    <w:rsid w:val="00105A8A"/>
    <w:rsid w:val="00105B92"/>
    <w:rsid w:val="00105BB5"/>
    <w:rsid w:val="00105D21"/>
    <w:rsid w:val="00105EF3"/>
    <w:rsid w:val="00106244"/>
    <w:rsid w:val="001062D3"/>
    <w:rsid w:val="001062DE"/>
    <w:rsid w:val="00106560"/>
    <w:rsid w:val="0010692B"/>
    <w:rsid w:val="0010696E"/>
    <w:rsid w:val="00106974"/>
    <w:rsid w:val="0010698B"/>
    <w:rsid w:val="001069AA"/>
    <w:rsid w:val="00106D43"/>
    <w:rsid w:val="00106D9C"/>
    <w:rsid w:val="00106FDD"/>
    <w:rsid w:val="00107013"/>
    <w:rsid w:val="00107680"/>
    <w:rsid w:val="001077DB"/>
    <w:rsid w:val="00107A94"/>
    <w:rsid w:val="00107BD1"/>
    <w:rsid w:val="00107BF5"/>
    <w:rsid w:val="001101DE"/>
    <w:rsid w:val="001101FF"/>
    <w:rsid w:val="0011036F"/>
    <w:rsid w:val="00110433"/>
    <w:rsid w:val="0011053E"/>
    <w:rsid w:val="00110839"/>
    <w:rsid w:val="00110C1D"/>
    <w:rsid w:val="00110DB2"/>
    <w:rsid w:val="00110DB3"/>
    <w:rsid w:val="00110E63"/>
    <w:rsid w:val="00110EF3"/>
    <w:rsid w:val="00110EF9"/>
    <w:rsid w:val="00110FDF"/>
    <w:rsid w:val="00111007"/>
    <w:rsid w:val="001110DB"/>
    <w:rsid w:val="0011112D"/>
    <w:rsid w:val="00111140"/>
    <w:rsid w:val="0011130A"/>
    <w:rsid w:val="00111322"/>
    <w:rsid w:val="0011136D"/>
    <w:rsid w:val="00111504"/>
    <w:rsid w:val="00111692"/>
    <w:rsid w:val="0011175D"/>
    <w:rsid w:val="00111833"/>
    <w:rsid w:val="0011184A"/>
    <w:rsid w:val="00111A0D"/>
    <w:rsid w:val="00111A99"/>
    <w:rsid w:val="00112033"/>
    <w:rsid w:val="001121F5"/>
    <w:rsid w:val="0011231D"/>
    <w:rsid w:val="0011247F"/>
    <w:rsid w:val="001124B9"/>
    <w:rsid w:val="001124EC"/>
    <w:rsid w:val="0011269E"/>
    <w:rsid w:val="001126A8"/>
    <w:rsid w:val="00112A0C"/>
    <w:rsid w:val="00112B14"/>
    <w:rsid w:val="00112C5F"/>
    <w:rsid w:val="00112CAC"/>
    <w:rsid w:val="00112E90"/>
    <w:rsid w:val="00112F51"/>
    <w:rsid w:val="00113110"/>
    <w:rsid w:val="00113137"/>
    <w:rsid w:val="0011323A"/>
    <w:rsid w:val="0011338A"/>
    <w:rsid w:val="001133D0"/>
    <w:rsid w:val="00113591"/>
    <w:rsid w:val="0011383B"/>
    <w:rsid w:val="001138A2"/>
    <w:rsid w:val="0011392F"/>
    <w:rsid w:val="00113C27"/>
    <w:rsid w:val="00113CCE"/>
    <w:rsid w:val="00113DA5"/>
    <w:rsid w:val="00113DAA"/>
    <w:rsid w:val="001142C3"/>
    <w:rsid w:val="00114405"/>
    <w:rsid w:val="001144C6"/>
    <w:rsid w:val="0011458B"/>
    <w:rsid w:val="00114960"/>
    <w:rsid w:val="001149CE"/>
    <w:rsid w:val="00114E9F"/>
    <w:rsid w:val="00115013"/>
    <w:rsid w:val="0011528F"/>
    <w:rsid w:val="00115495"/>
    <w:rsid w:val="001154C5"/>
    <w:rsid w:val="00115507"/>
    <w:rsid w:val="00115682"/>
    <w:rsid w:val="00115874"/>
    <w:rsid w:val="0011591D"/>
    <w:rsid w:val="00115A2E"/>
    <w:rsid w:val="00115A59"/>
    <w:rsid w:val="00115A78"/>
    <w:rsid w:val="00115CD0"/>
    <w:rsid w:val="00115D38"/>
    <w:rsid w:val="00115FBC"/>
    <w:rsid w:val="0011607C"/>
    <w:rsid w:val="0011669D"/>
    <w:rsid w:val="001167DA"/>
    <w:rsid w:val="001168FC"/>
    <w:rsid w:val="00116AF0"/>
    <w:rsid w:val="00116B69"/>
    <w:rsid w:val="00116BFA"/>
    <w:rsid w:val="001170DF"/>
    <w:rsid w:val="0011750B"/>
    <w:rsid w:val="0011768C"/>
    <w:rsid w:val="001177EE"/>
    <w:rsid w:val="00117815"/>
    <w:rsid w:val="0011785E"/>
    <w:rsid w:val="0011788F"/>
    <w:rsid w:val="00117C97"/>
    <w:rsid w:val="00117E0F"/>
    <w:rsid w:val="00117E51"/>
    <w:rsid w:val="00117EF6"/>
    <w:rsid w:val="0012002D"/>
    <w:rsid w:val="0012027E"/>
    <w:rsid w:val="0012031D"/>
    <w:rsid w:val="00120327"/>
    <w:rsid w:val="001203B3"/>
    <w:rsid w:val="00120661"/>
    <w:rsid w:val="001206CC"/>
    <w:rsid w:val="001206D6"/>
    <w:rsid w:val="00120C97"/>
    <w:rsid w:val="00120EBD"/>
    <w:rsid w:val="00120FC1"/>
    <w:rsid w:val="0012112C"/>
    <w:rsid w:val="0012133E"/>
    <w:rsid w:val="0012156C"/>
    <w:rsid w:val="001215C5"/>
    <w:rsid w:val="0012165A"/>
    <w:rsid w:val="001219A5"/>
    <w:rsid w:val="001219E7"/>
    <w:rsid w:val="00121AF3"/>
    <w:rsid w:val="00121B7D"/>
    <w:rsid w:val="00121E16"/>
    <w:rsid w:val="00121EC5"/>
    <w:rsid w:val="00122066"/>
    <w:rsid w:val="001222AD"/>
    <w:rsid w:val="001223A6"/>
    <w:rsid w:val="0012240B"/>
    <w:rsid w:val="00122945"/>
    <w:rsid w:val="00122950"/>
    <w:rsid w:val="00122A3E"/>
    <w:rsid w:val="00122BC9"/>
    <w:rsid w:val="00122D53"/>
    <w:rsid w:val="00122DD1"/>
    <w:rsid w:val="00122E47"/>
    <w:rsid w:val="00122F6F"/>
    <w:rsid w:val="00123232"/>
    <w:rsid w:val="00123357"/>
    <w:rsid w:val="00123470"/>
    <w:rsid w:val="00123486"/>
    <w:rsid w:val="0012381B"/>
    <w:rsid w:val="00123A29"/>
    <w:rsid w:val="00123B74"/>
    <w:rsid w:val="00123C3C"/>
    <w:rsid w:val="00123E57"/>
    <w:rsid w:val="00123E7F"/>
    <w:rsid w:val="0012426D"/>
    <w:rsid w:val="00124326"/>
    <w:rsid w:val="00124448"/>
    <w:rsid w:val="00124474"/>
    <w:rsid w:val="00124716"/>
    <w:rsid w:val="0012476E"/>
    <w:rsid w:val="00124874"/>
    <w:rsid w:val="00124895"/>
    <w:rsid w:val="001249B9"/>
    <w:rsid w:val="00124B3F"/>
    <w:rsid w:val="00124C16"/>
    <w:rsid w:val="00124C87"/>
    <w:rsid w:val="00124C8B"/>
    <w:rsid w:val="00124C9C"/>
    <w:rsid w:val="00124D63"/>
    <w:rsid w:val="00124D9C"/>
    <w:rsid w:val="00124FA6"/>
    <w:rsid w:val="0012504F"/>
    <w:rsid w:val="001251AD"/>
    <w:rsid w:val="00125277"/>
    <w:rsid w:val="00125357"/>
    <w:rsid w:val="00125440"/>
    <w:rsid w:val="001258FB"/>
    <w:rsid w:val="0012598C"/>
    <w:rsid w:val="001259BD"/>
    <w:rsid w:val="00125ADF"/>
    <w:rsid w:val="00125D05"/>
    <w:rsid w:val="00125EC6"/>
    <w:rsid w:val="00125FA7"/>
    <w:rsid w:val="00126255"/>
    <w:rsid w:val="00126399"/>
    <w:rsid w:val="001263B7"/>
    <w:rsid w:val="001269E4"/>
    <w:rsid w:val="00126C98"/>
    <w:rsid w:val="00126CDE"/>
    <w:rsid w:val="00126D49"/>
    <w:rsid w:val="00126D90"/>
    <w:rsid w:val="00126FFD"/>
    <w:rsid w:val="001271FB"/>
    <w:rsid w:val="0012727B"/>
    <w:rsid w:val="001274BB"/>
    <w:rsid w:val="001274FA"/>
    <w:rsid w:val="00127538"/>
    <w:rsid w:val="00127760"/>
    <w:rsid w:val="00127AB3"/>
    <w:rsid w:val="00127ABF"/>
    <w:rsid w:val="00127C21"/>
    <w:rsid w:val="00127EE9"/>
    <w:rsid w:val="00130179"/>
    <w:rsid w:val="0013023D"/>
    <w:rsid w:val="0013029B"/>
    <w:rsid w:val="001302D2"/>
    <w:rsid w:val="00130336"/>
    <w:rsid w:val="00130362"/>
    <w:rsid w:val="001306AA"/>
    <w:rsid w:val="00130870"/>
    <w:rsid w:val="001308A8"/>
    <w:rsid w:val="001308E6"/>
    <w:rsid w:val="00130947"/>
    <w:rsid w:val="00130A1F"/>
    <w:rsid w:val="00130FBD"/>
    <w:rsid w:val="00131088"/>
    <w:rsid w:val="001311E2"/>
    <w:rsid w:val="0013125A"/>
    <w:rsid w:val="001314C8"/>
    <w:rsid w:val="00131599"/>
    <w:rsid w:val="00131984"/>
    <w:rsid w:val="00131A36"/>
    <w:rsid w:val="00131A6F"/>
    <w:rsid w:val="00131AE5"/>
    <w:rsid w:val="00131C8C"/>
    <w:rsid w:val="00131CE9"/>
    <w:rsid w:val="00131D95"/>
    <w:rsid w:val="00131E7A"/>
    <w:rsid w:val="00131EBC"/>
    <w:rsid w:val="00131EF0"/>
    <w:rsid w:val="00131F6F"/>
    <w:rsid w:val="00132262"/>
    <w:rsid w:val="00132477"/>
    <w:rsid w:val="001324DE"/>
    <w:rsid w:val="001324E5"/>
    <w:rsid w:val="001325BC"/>
    <w:rsid w:val="00132611"/>
    <w:rsid w:val="00132677"/>
    <w:rsid w:val="001328B1"/>
    <w:rsid w:val="001328F8"/>
    <w:rsid w:val="001329A3"/>
    <w:rsid w:val="001329EE"/>
    <w:rsid w:val="00132B9B"/>
    <w:rsid w:val="00132C29"/>
    <w:rsid w:val="00132C57"/>
    <w:rsid w:val="00132CDC"/>
    <w:rsid w:val="00132D75"/>
    <w:rsid w:val="00132FE1"/>
    <w:rsid w:val="001330CC"/>
    <w:rsid w:val="001331E5"/>
    <w:rsid w:val="00133358"/>
    <w:rsid w:val="001337C1"/>
    <w:rsid w:val="001339EC"/>
    <w:rsid w:val="00133A91"/>
    <w:rsid w:val="00133AF2"/>
    <w:rsid w:val="00133AF4"/>
    <w:rsid w:val="00133B8A"/>
    <w:rsid w:val="00133C44"/>
    <w:rsid w:val="00133E9D"/>
    <w:rsid w:val="00134162"/>
    <w:rsid w:val="0013442C"/>
    <w:rsid w:val="001344AC"/>
    <w:rsid w:val="00134647"/>
    <w:rsid w:val="00134678"/>
    <w:rsid w:val="0013467E"/>
    <w:rsid w:val="00134762"/>
    <w:rsid w:val="00134872"/>
    <w:rsid w:val="00134AF5"/>
    <w:rsid w:val="00134AFE"/>
    <w:rsid w:val="00134CAE"/>
    <w:rsid w:val="00134D44"/>
    <w:rsid w:val="0013518F"/>
    <w:rsid w:val="001352FC"/>
    <w:rsid w:val="00135360"/>
    <w:rsid w:val="0013543A"/>
    <w:rsid w:val="001354B7"/>
    <w:rsid w:val="00135654"/>
    <w:rsid w:val="00135677"/>
    <w:rsid w:val="00135815"/>
    <w:rsid w:val="00135B15"/>
    <w:rsid w:val="00135F9C"/>
    <w:rsid w:val="00135FE6"/>
    <w:rsid w:val="00136272"/>
    <w:rsid w:val="001365DE"/>
    <w:rsid w:val="001365E2"/>
    <w:rsid w:val="001368FA"/>
    <w:rsid w:val="001369E8"/>
    <w:rsid w:val="00136A01"/>
    <w:rsid w:val="00136AD8"/>
    <w:rsid w:val="00136C05"/>
    <w:rsid w:val="00136DF7"/>
    <w:rsid w:val="00137258"/>
    <w:rsid w:val="001373BB"/>
    <w:rsid w:val="00137758"/>
    <w:rsid w:val="00137816"/>
    <w:rsid w:val="00137A23"/>
    <w:rsid w:val="00137A6B"/>
    <w:rsid w:val="00137AE1"/>
    <w:rsid w:val="00137D7A"/>
    <w:rsid w:val="00137E74"/>
    <w:rsid w:val="0014004C"/>
    <w:rsid w:val="0014049D"/>
    <w:rsid w:val="001404A5"/>
    <w:rsid w:val="001405BA"/>
    <w:rsid w:val="001405E9"/>
    <w:rsid w:val="0014065D"/>
    <w:rsid w:val="001406CC"/>
    <w:rsid w:val="001408A8"/>
    <w:rsid w:val="001408B8"/>
    <w:rsid w:val="001409AB"/>
    <w:rsid w:val="00140AE9"/>
    <w:rsid w:val="00140B16"/>
    <w:rsid w:val="00140C9C"/>
    <w:rsid w:val="00140E7B"/>
    <w:rsid w:val="00141072"/>
    <w:rsid w:val="001412DB"/>
    <w:rsid w:val="0014131B"/>
    <w:rsid w:val="00141382"/>
    <w:rsid w:val="001416FA"/>
    <w:rsid w:val="00141EDA"/>
    <w:rsid w:val="00141F6D"/>
    <w:rsid w:val="0014227D"/>
    <w:rsid w:val="00142305"/>
    <w:rsid w:val="00142490"/>
    <w:rsid w:val="0014264E"/>
    <w:rsid w:val="0014285E"/>
    <w:rsid w:val="00142B89"/>
    <w:rsid w:val="00142BA7"/>
    <w:rsid w:val="00142EA8"/>
    <w:rsid w:val="00142FD5"/>
    <w:rsid w:val="001431CF"/>
    <w:rsid w:val="00143558"/>
    <w:rsid w:val="00143668"/>
    <w:rsid w:val="00143681"/>
    <w:rsid w:val="001437AD"/>
    <w:rsid w:val="001437E4"/>
    <w:rsid w:val="0014394E"/>
    <w:rsid w:val="00143E06"/>
    <w:rsid w:val="001440AA"/>
    <w:rsid w:val="001440C6"/>
    <w:rsid w:val="00144548"/>
    <w:rsid w:val="00144653"/>
    <w:rsid w:val="001446A8"/>
    <w:rsid w:val="001446E6"/>
    <w:rsid w:val="00144752"/>
    <w:rsid w:val="0014479E"/>
    <w:rsid w:val="001448F6"/>
    <w:rsid w:val="00144965"/>
    <w:rsid w:val="00144A25"/>
    <w:rsid w:val="00144BFC"/>
    <w:rsid w:val="00144C55"/>
    <w:rsid w:val="00144E25"/>
    <w:rsid w:val="00144E7D"/>
    <w:rsid w:val="00144EDA"/>
    <w:rsid w:val="00144EFC"/>
    <w:rsid w:val="001450D6"/>
    <w:rsid w:val="0014536A"/>
    <w:rsid w:val="001454B6"/>
    <w:rsid w:val="001454C9"/>
    <w:rsid w:val="001455A5"/>
    <w:rsid w:val="00145772"/>
    <w:rsid w:val="001457C4"/>
    <w:rsid w:val="001458D1"/>
    <w:rsid w:val="00145989"/>
    <w:rsid w:val="00145B20"/>
    <w:rsid w:val="00145B34"/>
    <w:rsid w:val="00145C50"/>
    <w:rsid w:val="0014614E"/>
    <w:rsid w:val="0014623D"/>
    <w:rsid w:val="0014649F"/>
    <w:rsid w:val="001465F3"/>
    <w:rsid w:val="001467FC"/>
    <w:rsid w:val="001469B1"/>
    <w:rsid w:val="00146B91"/>
    <w:rsid w:val="00146BFA"/>
    <w:rsid w:val="00146CAB"/>
    <w:rsid w:val="00146DA1"/>
    <w:rsid w:val="0014708E"/>
    <w:rsid w:val="001470A4"/>
    <w:rsid w:val="0014734C"/>
    <w:rsid w:val="001473B2"/>
    <w:rsid w:val="001474AA"/>
    <w:rsid w:val="00147754"/>
    <w:rsid w:val="00147784"/>
    <w:rsid w:val="00147859"/>
    <w:rsid w:val="001478F4"/>
    <w:rsid w:val="0014796A"/>
    <w:rsid w:val="001479AF"/>
    <w:rsid w:val="00147BC6"/>
    <w:rsid w:val="00147C42"/>
    <w:rsid w:val="00147C50"/>
    <w:rsid w:val="00147CD9"/>
    <w:rsid w:val="00147DBB"/>
    <w:rsid w:val="00147DCE"/>
    <w:rsid w:val="001503A5"/>
    <w:rsid w:val="0015092B"/>
    <w:rsid w:val="001509F2"/>
    <w:rsid w:val="00150A14"/>
    <w:rsid w:val="00150A83"/>
    <w:rsid w:val="00150BAF"/>
    <w:rsid w:val="00150D53"/>
    <w:rsid w:val="00150E21"/>
    <w:rsid w:val="00151007"/>
    <w:rsid w:val="00151075"/>
    <w:rsid w:val="001511A6"/>
    <w:rsid w:val="001512BF"/>
    <w:rsid w:val="001517CF"/>
    <w:rsid w:val="0015189D"/>
    <w:rsid w:val="00151945"/>
    <w:rsid w:val="00151ECD"/>
    <w:rsid w:val="001520D5"/>
    <w:rsid w:val="0015242A"/>
    <w:rsid w:val="001524B7"/>
    <w:rsid w:val="0015252C"/>
    <w:rsid w:val="001526D4"/>
    <w:rsid w:val="0015286C"/>
    <w:rsid w:val="00152910"/>
    <w:rsid w:val="00152A7D"/>
    <w:rsid w:val="00152A80"/>
    <w:rsid w:val="00152AD6"/>
    <w:rsid w:val="00152B0A"/>
    <w:rsid w:val="00152C6F"/>
    <w:rsid w:val="00152D00"/>
    <w:rsid w:val="00152F26"/>
    <w:rsid w:val="0015314A"/>
    <w:rsid w:val="0015319B"/>
    <w:rsid w:val="0015326E"/>
    <w:rsid w:val="001533FA"/>
    <w:rsid w:val="001534D5"/>
    <w:rsid w:val="0015365D"/>
    <w:rsid w:val="0015367E"/>
    <w:rsid w:val="001536BD"/>
    <w:rsid w:val="001538FB"/>
    <w:rsid w:val="00153B90"/>
    <w:rsid w:val="00153BF0"/>
    <w:rsid w:val="00153D43"/>
    <w:rsid w:val="00153E24"/>
    <w:rsid w:val="00153E9B"/>
    <w:rsid w:val="00154048"/>
    <w:rsid w:val="00154200"/>
    <w:rsid w:val="001543A7"/>
    <w:rsid w:val="0015442D"/>
    <w:rsid w:val="001544F4"/>
    <w:rsid w:val="00154533"/>
    <w:rsid w:val="00154CEE"/>
    <w:rsid w:val="00154F08"/>
    <w:rsid w:val="0015537F"/>
    <w:rsid w:val="00155564"/>
    <w:rsid w:val="001555AA"/>
    <w:rsid w:val="001559DC"/>
    <w:rsid w:val="00155AD3"/>
    <w:rsid w:val="00155B2B"/>
    <w:rsid w:val="00155ECF"/>
    <w:rsid w:val="00155FFA"/>
    <w:rsid w:val="0015607C"/>
    <w:rsid w:val="00156089"/>
    <w:rsid w:val="001561A3"/>
    <w:rsid w:val="00156311"/>
    <w:rsid w:val="00156320"/>
    <w:rsid w:val="00156397"/>
    <w:rsid w:val="00156483"/>
    <w:rsid w:val="00156563"/>
    <w:rsid w:val="00156752"/>
    <w:rsid w:val="001568FB"/>
    <w:rsid w:val="0015694D"/>
    <w:rsid w:val="00156C6F"/>
    <w:rsid w:val="00156D41"/>
    <w:rsid w:val="001570DF"/>
    <w:rsid w:val="001571A2"/>
    <w:rsid w:val="001573DC"/>
    <w:rsid w:val="0015750C"/>
    <w:rsid w:val="0015753E"/>
    <w:rsid w:val="0015783F"/>
    <w:rsid w:val="00157973"/>
    <w:rsid w:val="001601A7"/>
    <w:rsid w:val="00160416"/>
    <w:rsid w:val="00160482"/>
    <w:rsid w:val="0016076C"/>
    <w:rsid w:val="001607BB"/>
    <w:rsid w:val="001607CB"/>
    <w:rsid w:val="00160951"/>
    <w:rsid w:val="00160C4A"/>
    <w:rsid w:val="00160C65"/>
    <w:rsid w:val="00160EB8"/>
    <w:rsid w:val="00160EE8"/>
    <w:rsid w:val="001610AE"/>
    <w:rsid w:val="00161102"/>
    <w:rsid w:val="0016111E"/>
    <w:rsid w:val="0016118E"/>
    <w:rsid w:val="001612CC"/>
    <w:rsid w:val="00161590"/>
    <w:rsid w:val="00161591"/>
    <w:rsid w:val="00161729"/>
    <w:rsid w:val="00161A18"/>
    <w:rsid w:val="00161FD2"/>
    <w:rsid w:val="0016227D"/>
    <w:rsid w:val="001622EC"/>
    <w:rsid w:val="0016262D"/>
    <w:rsid w:val="00162630"/>
    <w:rsid w:val="00162779"/>
    <w:rsid w:val="001628A7"/>
    <w:rsid w:val="0016290B"/>
    <w:rsid w:val="00162946"/>
    <w:rsid w:val="00162D70"/>
    <w:rsid w:val="00163191"/>
    <w:rsid w:val="0016325F"/>
    <w:rsid w:val="00163345"/>
    <w:rsid w:val="001633B2"/>
    <w:rsid w:val="001633D2"/>
    <w:rsid w:val="001634FE"/>
    <w:rsid w:val="0016356A"/>
    <w:rsid w:val="001637CE"/>
    <w:rsid w:val="00163A5D"/>
    <w:rsid w:val="00163ACA"/>
    <w:rsid w:val="00163B94"/>
    <w:rsid w:val="00163E09"/>
    <w:rsid w:val="00163E23"/>
    <w:rsid w:val="00163E91"/>
    <w:rsid w:val="00163E96"/>
    <w:rsid w:val="00163EEE"/>
    <w:rsid w:val="00164085"/>
    <w:rsid w:val="00164199"/>
    <w:rsid w:val="0016419B"/>
    <w:rsid w:val="001641F0"/>
    <w:rsid w:val="00164388"/>
    <w:rsid w:val="00164438"/>
    <w:rsid w:val="00164456"/>
    <w:rsid w:val="001648BB"/>
    <w:rsid w:val="00164ABC"/>
    <w:rsid w:val="00164C49"/>
    <w:rsid w:val="00164D35"/>
    <w:rsid w:val="00164ED9"/>
    <w:rsid w:val="00164EFE"/>
    <w:rsid w:val="00165100"/>
    <w:rsid w:val="0016524A"/>
    <w:rsid w:val="001652C2"/>
    <w:rsid w:val="001652EE"/>
    <w:rsid w:val="00165443"/>
    <w:rsid w:val="00165455"/>
    <w:rsid w:val="001657D8"/>
    <w:rsid w:val="001658CD"/>
    <w:rsid w:val="00165D5D"/>
    <w:rsid w:val="00165D61"/>
    <w:rsid w:val="001660F0"/>
    <w:rsid w:val="0016641D"/>
    <w:rsid w:val="00166467"/>
    <w:rsid w:val="001665B0"/>
    <w:rsid w:val="00166884"/>
    <w:rsid w:val="001668E4"/>
    <w:rsid w:val="001668F6"/>
    <w:rsid w:val="00166954"/>
    <w:rsid w:val="001669C9"/>
    <w:rsid w:val="00166BFE"/>
    <w:rsid w:val="00166D98"/>
    <w:rsid w:val="001672D1"/>
    <w:rsid w:val="00167699"/>
    <w:rsid w:val="001677AA"/>
    <w:rsid w:val="00167892"/>
    <w:rsid w:val="00167A97"/>
    <w:rsid w:val="00167BD5"/>
    <w:rsid w:val="00167DC3"/>
    <w:rsid w:val="00167E77"/>
    <w:rsid w:val="00170134"/>
    <w:rsid w:val="00170186"/>
    <w:rsid w:val="001701E1"/>
    <w:rsid w:val="001705B8"/>
    <w:rsid w:val="001705E5"/>
    <w:rsid w:val="001706F0"/>
    <w:rsid w:val="001706F7"/>
    <w:rsid w:val="001708E1"/>
    <w:rsid w:val="0017090B"/>
    <w:rsid w:val="00170C47"/>
    <w:rsid w:val="00170D64"/>
    <w:rsid w:val="00170EEC"/>
    <w:rsid w:val="00170F01"/>
    <w:rsid w:val="00170F9E"/>
    <w:rsid w:val="00170FE6"/>
    <w:rsid w:val="0017106E"/>
    <w:rsid w:val="0017137A"/>
    <w:rsid w:val="001715CA"/>
    <w:rsid w:val="001717E2"/>
    <w:rsid w:val="001719ED"/>
    <w:rsid w:val="00171B7A"/>
    <w:rsid w:val="00171BCD"/>
    <w:rsid w:val="001720F4"/>
    <w:rsid w:val="001721BF"/>
    <w:rsid w:val="00172385"/>
    <w:rsid w:val="00172395"/>
    <w:rsid w:val="0017247C"/>
    <w:rsid w:val="0017251E"/>
    <w:rsid w:val="001726A0"/>
    <w:rsid w:val="00172B6B"/>
    <w:rsid w:val="00172CC8"/>
    <w:rsid w:val="00172CE5"/>
    <w:rsid w:val="00172CFE"/>
    <w:rsid w:val="00172D44"/>
    <w:rsid w:val="00172F67"/>
    <w:rsid w:val="00173057"/>
    <w:rsid w:val="001733F6"/>
    <w:rsid w:val="00173436"/>
    <w:rsid w:val="001734E7"/>
    <w:rsid w:val="001735E5"/>
    <w:rsid w:val="00173642"/>
    <w:rsid w:val="00173679"/>
    <w:rsid w:val="001737D1"/>
    <w:rsid w:val="00173814"/>
    <w:rsid w:val="00173979"/>
    <w:rsid w:val="00173B01"/>
    <w:rsid w:val="00173BE4"/>
    <w:rsid w:val="00173D99"/>
    <w:rsid w:val="00173EF0"/>
    <w:rsid w:val="001741DF"/>
    <w:rsid w:val="001741E4"/>
    <w:rsid w:val="0017445A"/>
    <w:rsid w:val="00174818"/>
    <w:rsid w:val="0017490F"/>
    <w:rsid w:val="00174B6D"/>
    <w:rsid w:val="00174C59"/>
    <w:rsid w:val="00174DDE"/>
    <w:rsid w:val="0017526D"/>
    <w:rsid w:val="0017557F"/>
    <w:rsid w:val="001756C4"/>
    <w:rsid w:val="001756C8"/>
    <w:rsid w:val="00175989"/>
    <w:rsid w:val="00175A09"/>
    <w:rsid w:val="00175BA1"/>
    <w:rsid w:val="00175CFF"/>
    <w:rsid w:val="00175D17"/>
    <w:rsid w:val="00175D61"/>
    <w:rsid w:val="00175E34"/>
    <w:rsid w:val="00175E96"/>
    <w:rsid w:val="0017619F"/>
    <w:rsid w:val="00176575"/>
    <w:rsid w:val="001765E0"/>
    <w:rsid w:val="00176749"/>
    <w:rsid w:val="00176760"/>
    <w:rsid w:val="001767DD"/>
    <w:rsid w:val="00176822"/>
    <w:rsid w:val="001769A0"/>
    <w:rsid w:val="00176B00"/>
    <w:rsid w:val="0017730B"/>
    <w:rsid w:val="001773FF"/>
    <w:rsid w:val="001774BE"/>
    <w:rsid w:val="00177647"/>
    <w:rsid w:val="00177766"/>
    <w:rsid w:val="001779CF"/>
    <w:rsid w:val="00177B06"/>
    <w:rsid w:val="00177C69"/>
    <w:rsid w:val="00177D88"/>
    <w:rsid w:val="00177DC8"/>
    <w:rsid w:val="00180127"/>
    <w:rsid w:val="00180164"/>
    <w:rsid w:val="00180320"/>
    <w:rsid w:val="00180398"/>
    <w:rsid w:val="001803F9"/>
    <w:rsid w:val="001803FA"/>
    <w:rsid w:val="00180A80"/>
    <w:rsid w:val="00180CF9"/>
    <w:rsid w:val="00180FB2"/>
    <w:rsid w:val="0018108A"/>
    <w:rsid w:val="00181145"/>
    <w:rsid w:val="001811D6"/>
    <w:rsid w:val="00181431"/>
    <w:rsid w:val="0018156C"/>
    <w:rsid w:val="001815E3"/>
    <w:rsid w:val="0018169E"/>
    <w:rsid w:val="00181774"/>
    <w:rsid w:val="00181798"/>
    <w:rsid w:val="0018189D"/>
    <w:rsid w:val="00181C3F"/>
    <w:rsid w:val="00181CDB"/>
    <w:rsid w:val="00181D96"/>
    <w:rsid w:val="0018222E"/>
    <w:rsid w:val="00182276"/>
    <w:rsid w:val="00182434"/>
    <w:rsid w:val="001824B1"/>
    <w:rsid w:val="001825E1"/>
    <w:rsid w:val="0018265F"/>
    <w:rsid w:val="00182783"/>
    <w:rsid w:val="00182794"/>
    <w:rsid w:val="00182A04"/>
    <w:rsid w:val="00182AC3"/>
    <w:rsid w:val="00182AFD"/>
    <w:rsid w:val="001833E9"/>
    <w:rsid w:val="00183654"/>
    <w:rsid w:val="001836C5"/>
    <w:rsid w:val="0018373D"/>
    <w:rsid w:val="00183788"/>
    <w:rsid w:val="00183935"/>
    <w:rsid w:val="0018397C"/>
    <w:rsid w:val="00183E65"/>
    <w:rsid w:val="00183EA0"/>
    <w:rsid w:val="00183FA7"/>
    <w:rsid w:val="0018407E"/>
    <w:rsid w:val="0018413B"/>
    <w:rsid w:val="001847FB"/>
    <w:rsid w:val="00184801"/>
    <w:rsid w:val="00184B6C"/>
    <w:rsid w:val="00184CDA"/>
    <w:rsid w:val="00184DFD"/>
    <w:rsid w:val="001856A3"/>
    <w:rsid w:val="001856D7"/>
    <w:rsid w:val="00185717"/>
    <w:rsid w:val="0018574C"/>
    <w:rsid w:val="0018591D"/>
    <w:rsid w:val="001859F5"/>
    <w:rsid w:val="00185AF6"/>
    <w:rsid w:val="00185CAD"/>
    <w:rsid w:val="00185D61"/>
    <w:rsid w:val="00185FD1"/>
    <w:rsid w:val="00185FE8"/>
    <w:rsid w:val="00186179"/>
    <w:rsid w:val="001862CB"/>
    <w:rsid w:val="001862F2"/>
    <w:rsid w:val="00186395"/>
    <w:rsid w:val="00186761"/>
    <w:rsid w:val="00186A06"/>
    <w:rsid w:val="00186A58"/>
    <w:rsid w:val="00186C55"/>
    <w:rsid w:val="00186DC7"/>
    <w:rsid w:val="00186FF8"/>
    <w:rsid w:val="0018710F"/>
    <w:rsid w:val="00187282"/>
    <w:rsid w:val="00187318"/>
    <w:rsid w:val="001873A4"/>
    <w:rsid w:val="00187609"/>
    <w:rsid w:val="0018790C"/>
    <w:rsid w:val="0018797B"/>
    <w:rsid w:val="00187BEF"/>
    <w:rsid w:val="00187C38"/>
    <w:rsid w:val="00187DFD"/>
    <w:rsid w:val="00187EBB"/>
    <w:rsid w:val="00190027"/>
    <w:rsid w:val="001900CC"/>
    <w:rsid w:val="00190228"/>
    <w:rsid w:val="0019037D"/>
    <w:rsid w:val="001904CE"/>
    <w:rsid w:val="001908FA"/>
    <w:rsid w:val="00190E66"/>
    <w:rsid w:val="00190EAF"/>
    <w:rsid w:val="0019115B"/>
    <w:rsid w:val="00191242"/>
    <w:rsid w:val="001916F9"/>
    <w:rsid w:val="00191898"/>
    <w:rsid w:val="001918CB"/>
    <w:rsid w:val="00191C67"/>
    <w:rsid w:val="00191DFF"/>
    <w:rsid w:val="0019213C"/>
    <w:rsid w:val="00192243"/>
    <w:rsid w:val="0019228A"/>
    <w:rsid w:val="00192412"/>
    <w:rsid w:val="001924A3"/>
    <w:rsid w:val="001924BB"/>
    <w:rsid w:val="00192B61"/>
    <w:rsid w:val="00192EE9"/>
    <w:rsid w:val="0019327B"/>
    <w:rsid w:val="0019331C"/>
    <w:rsid w:val="0019350E"/>
    <w:rsid w:val="0019353E"/>
    <w:rsid w:val="0019357C"/>
    <w:rsid w:val="0019364E"/>
    <w:rsid w:val="001936BD"/>
    <w:rsid w:val="00193718"/>
    <w:rsid w:val="00193800"/>
    <w:rsid w:val="0019391C"/>
    <w:rsid w:val="00193B3E"/>
    <w:rsid w:val="00193B97"/>
    <w:rsid w:val="00193C1B"/>
    <w:rsid w:val="00193C8B"/>
    <w:rsid w:val="00193D42"/>
    <w:rsid w:val="00193E6F"/>
    <w:rsid w:val="00194061"/>
    <w:rsid w:val="001941B9"/>
    <w:rsid w:val="0019423B"/>
    <w:rsid w:val="00194299"/>
    <w:rsid w:val="001943A9"/>
    <w:rsid w:val="0019452D"/>
    <w:rsid w:val="001945ED"/>
    <w:rsid w:val="001946CC"/>
    <w:rsid w:val="00194818"/>
    <w:rsid w:val="00194871"/>
    <w:rsid w:val="001949F0"/>
    <w:rsid w:val="00194A35"/>
    <w:rsid w:val="00194AE9"/>
    <w:rsid w:val="00194CCC"/>
    <w:rsid w:val="00194D29"/>
    <w:rsid w:val="00194D87"/>
    <w:rsid w:val="0019507F"/>
    <w:rsid w:val="00195185"/>
    <w:rsid w:val="001951F2"/>
    <w:rsid w:val="00195234"/>
    <w:rsid w:val="00195519"/>
    <w:rsid w:val="001955C9"/>
    <w:rsid w:val="00195BAA"/>
    <w:rsid w:val="00195DE5"/>
    <w:rsid w:val="00195FD1"/>
    <w:rsid w:val="00196065"/>
    <w:rsid w:val="001961C4"/>
    <w:rsid w:val="00196216"/>
    <w:rsid w:val="0019631E"/>
    <w:rsid w:val="0019665F"/>
    <w:rsid w:val="00196865"/>
    <w:rsid w:val="00196D7E"/>
    <w:rsid w:val="00196DAA"/>
    <w:rsid w:val="00196FC0"/>
    <w:rsid w:val="00197010"/>
    <w:rsid w:val="001970BE"/>
    <w:rsid w:val="001970E6"/>
    <w:rsid w:val="00197141"/>
    <w:rsid w:val="0019739F"/>
    <w:rsid w:val="001979E2"/>
    <w:rsid w:val="00197BD6"/>
    <w:rsid w:val="00197D1E"/>
    <w:rsid w:val="00197ED7"/>
    <w:rsid w:val="001A0139"/>
    <w:rsid w:val="001A031A"/>
    <w:rsid w:val="001A0363"/>
    <w:rsid w:val="001A03B9"/>
    <w:rsid w:val="001A03E6"/>
    <w:rsid w:val="001A0614"/>
    <w:rsid w:val="001A0A65"/>
    <w:rsid w:val="001A0A7B"/>
    <w:rsid w:val="001A0B5B"/>
    <w:rsid w:val="001A0BF6"/>
    <w:rsid w:val="001A0CF9"/>
    <w:rsid w:val="001A0E95"/>
    <w:rsid w:val="001A0F58"/>
    <w:rsid w:val="001A0F69"/>
    <w:rsid w:val="001A1061"/>
    <w:rsid w:val="001A116E"/>
    <w:rsid w:val="001A1296"/>
    <w:rsid w:val="001A1590"/>
    <w:rsid w:val="001A159C"/>
    <w:rsid w:val="001A17F8"/>
    <w:rsid w:val="001A1911"/>
    <w:rsid w:val="001A1AA8"/>
    <w:rsid w:val="001A204C"/>
    <w:rsid w:val="001A2191"/>
    <w:rsid w:val="001A21FF"/>
    <w:rsid w:val="001A256E"/>
    <w:rsid w:val="001A2631"/>
    <w:rsid w:val="001A27C6"/>
    <w:rsid w:val="001A2AE9"/>
    <w:rsid w:val="001A2B88"/>
    <w:rsid w:val="001A2E1D"/>
    <w:rsid w:val="001A30A1"/>
    <w:rsid w:val="001A30FF"/>
    <w:rsid w:val="001A3739"/>
    <w:rsid w:val="001A373D"/>
    <w:rsid w:val="001A382A"/>
    <w:rsid w:val="001A3849"/>
    <w:rsid w:val="001A38A8"/>
    <w:rsid w:val="001A392B"/>
    <w:rsid w:val="001A3941"/>
    <w:rsid w:val="001A399D"/>
    <w:rsid w:val="001A39EA"/>
    <w:rsid w:val="001A3AE8"/>
    <w:rsid w:val="001A3BB9"/>
    <w:rsid w:val="001A3E17"/>
    <w:rsid w:val="001A4019"/>
    <w:rsid w:val="001A420B"/>
    <w:rsid w:val="001A468A"/>
    <w:rsid w:val="001A49C9"/>
    <w:rsid w:val="001A4B31"/>
    <w:rsid w:val="001A4CB2"/>
    <w:rsid w:val="001A4EB9"/>
    <w:rsid w:val="001A5516"/>
    <w:rsid w:val="001A55B3"/>
    <w:rsid w:val="001A57F1"/>
    <w:rsid w:val="001A5A0B"/>
    <w:rsid w:val="001A5A3A"/>
    <w:rsid w:val="001A5BD8"/>
    <w:rsid w:val="001A5D32"/>
    <w:rsid w:val="001A5E05"/>
    <w:rsid w:val="001A5E89"/>
    <w:rsid w:val="001A610F"/>
    <w:rsid w:val="001A61F9"/>
    <w:rsid w:val="001A62E4"/>
    <w:rsid w:val="001A635E"/>
    <w:rsid w:val="001A6592"/>
    <w:rsid w:val="001A6610"/>
    <w:rsid w:val="001A666E"/>
    <w:rsid w:val="001A6830"/>
    <w:rsid w:val="001A69AE"/>
    <w:rsid w:val="001A6B54"/>
    <w:rsid w:val="001A6B57"/>
    <w:rsid w:val="001A6E79"/>
    <w:rsid w:val="001A6ED1"/>
    <w:rsid w:val="001A6F9E"/>
    <w:rsid w:val="001A70B7"/>
    <w:rsid w:val="001A71D1"/>
    <w:rsid w:val="001A7214"/>
    <w:rsid w:val="001A74F6"/>
    <w:rsid w:val="001A7503"/>
    <w:rsid w:val="001A7686"/>
    <w:rsid w:val="001A7701"/>
    <w:rsid w:val="001A78E1"/>
    <w:rsid w:val="001A797B"/>
    <w:rsid w:val="001A7BB0"/>
    <w:rsid w:val="001A7C00"/>
    <w:rsid w:val="001A7ECD"/>
    <w:rsid w:val="001B0013"/>
    <w:rsid w:val="001B0062"/>
    <w:rsid w:val="001B011F"/>
    <w:rsid w:val="001B025D"/>
    <w:rsid w:val="001B050D"/>
    <w:rsid w:val="001B05A5"/>
    <w:rsid w:val="001B09CC"/>
    <w:rsid w:val="001B0B1D"/>
    <w:rsid w:val="001B0B7F"/>
    <w:rsid w:val="001B0DB4"/>
    <w:rsid w:val="001B0F10"/>
    <w:rsid w:val="001B0F32"/>
    <w:rsid w:val="001B1064"/>
    <w:rsid w:val="001B1213"/>
    <w:rsid w:val="001B12E2"/>
    <w:rsid w:val="001B13D2"/>
    <w:rsid w:val="001B1628"/>
    <w:rsid w:val="001B17E9"/>
    <w:rsid w:val="001B18F7"/>
    <w:rsid w:val="001B197C"/>
    <w:rsid w:val="001B1CE1"/>
    <w:rsid w:val="001B1D8D"/>
    <w:rsid w:val="001B2300"/>
    <w:rsid w:val="001B246C"/>
    <w:rsid w:val="001B2835"/>
    <w:rsid w:val="001B286A"/>
    <w:rsid w:val="001B2BB8"/>
    <w:rsid w:val="001B2CD9"/>
    <w:rsid w:val="001B2E13"/>
    <w:rsid w:val="001B2E1E"/>
    <w:rsid w:val="001B2F44"/>
    <w:rsid w:val="001B2FBA"/>
    <w:rsid w:val="001B300B"/>
    <w:rsid w:val="001B3040"/>
    <w:rsid w:val="001B3154"/>
    <w:rsid w:val="001B33E7"/>
    <w:rsid w:val="001B35EF"/>
    <w:rsid w:val="001B3645"/>
    <w:rsid w:val="001B37AC"/>
    <w:rsid w:val="001B37B9"/>
    <w:rsid w:val="001B38A5"/>
    <w:rsid w:val="001B3984"/>
    <w:rsid w:val="001B3C68"/>
    <w:rsid w:val="001B3E5C"/>
    <w:rsid w:val="001B4028"/>
    <w:rsid w:val="001B4084"/>
    <w:rsid w:val="001B40FA"/>
    <w:rsid w:val="001B4174"/>
    <w:rsid w:val="001B45C3"/>
    <w:rsid w:val="001B463A"/>
    <w:rsid w:val="001B49EF"/>
    <w:rsid w:val="001B4A2D"/>
    <w:rsid w:val="001B4D63"/>
    <w:rsid w:val="001B4F01"/>
    <w:rsid w:val="001B503A"/>
    <w:rsid w:val="001B5295"/>
    <w:rsid w:val="001B52AE"/>
    <w:rsid w:val="001B550B"/>
    <w:rsid w:val="001B551A"/>
    <w:rsid w:val="001B555E"/>
    <w:rsid w:val="001B56DB"/>
    <w:rsid w:val="001B5A76"/>
    <w:rsid w:val="001B5A99"/>
    <w:rsid w:val="001B5B45"/>
    <w:rsid w:val="001B5E4F"/>
    <w:rsid w:val="001B5F2A"/>
    <w:rsid w:val="001B5FE1"/>
    <w:rsid w:val="001B620B"/>
    <w:rsid w:val="001B6382"/>
    <w:rsid w:val="001B6933"/>
    <w:rsid w:val="001B6CD3"/>
    <w:rsid w:val="001B6E98"/>
    <w:rsid w:val="001B6FDD"/>
    <w:rsid w:val="001B71F9"/>
    <w:rsid w:val="001B720F"/>
    <w:rsid w:val="001B75F8"/>
    <w:rsid w:val="001B786B"/>
    <w:rsid w:val="001B7913"/>
    <w:rsid w:val="001B7BBF"/>
    <w:rsid w:val="001B7D7C"/>
    <w:rsid w:val="001B7FA7"/>
    <w:rsid w:val="001B7FAB"/>
    <w:rsid w:val="001C0015"/>
    <w:rsid w:val="001C03E1"/>
    <w:rsid w:val="001C0734"/>
    <w:rsid w:val="001C0781"/>
    <w:rsid w:val="001C0801"/>
    <w:rsid w:val="001C0843"/>
    <w:rsid w:val="001C088B"/>
    <w:rsid w:val="001C0941"/>
    <w:rsid w:val="001C09CF"/>
    <w:rsid w:val="001C0B77"/>
    <w:rsid w:val="001C0D92"/>
    <w:rsid w:val="001C0F5D"/>
    <w:rsid w:val="001C1033"/>
    <w:rsid w:val="001C1216"/>
    <w:rsid w:val="001C1326"/>
    <w:rsid w:val="001C1933"/>
    <w:rsid w:val="001C1B0F"/>
    <w:rsid w:val="001C1C2C"/>
    <w:rsid w:val="001C1E3F"/>
    <w:rsid w:val="001C1E8D"/>
    <w:rsid w:val="001C20AF"/>
    <w:rsid w:val="001C244D"/>
    <w:rsid w:val="001C2581"/>
    <w:rsid w:val="001C29BA"/>
    <w:rsid w:val="001C29C7"/>
    <w:rsid w:val="001C2AC2"/>
    <w:rsid w:val="001C2E38"/>
    <w:rsid w:val="001C2E46"/>
    <w:rsid w:val="001C2E5F"/>
    <w:rsid w:val="001C2FB3"/>
    <w:rsid w:val="001C30DA"/>
    <w:rsid w:val="001C32D8"/>
    <w:rsid w:val="001C338F"/>
    <w:rsid w:val="001C3429"/>
    <w:rsid w:val="001C3581"/>
    <w:rsid w:val="001C3774"/>
    <w:rsid w:val="001C38E8"/>
    <w:rsid w:val="001C3D7E"/>
    <w:rsid w:val="001C3EA5"/>
    <w:rsid w:val="001C4026"/>
    <w:rsid w:val="001C40E1"/>
    <w:rsid w:val="001C4105"/>
    <w:rsid w:val="001C42B3"/>
    <w:rsid w:val="001C44E2"/>
    <w:rsid w:val="001C481E"/>
    <w:rsid w:val="001C48A3"/>
    <w:rsid w:val="001C4949"/>
    <w:rsid w:val="001C4B1F"/>
    <w:rsid w:val="001C4CD6"/>
    <w:rsid w:val="001C4D7F"/>
    <w:rsid w:val="001C4DD1"/>
    <w:rsid w:val="001C4DD2"/>
    <w:rsid w:val="001C4F3A"/>
    <w:rsid w:val="001C510F"/>
    <w:rsid w:val="001C52C6"/>
    <w:rsid w:val="001C5460"/>
    <w:rsid w:val="001C5701"/>
    <w:rsid w:val="001C59CA"/>
    <w:rsid w:val="001C59D6"/>
    <w:rsid w:val="001C5C4F"/>
    <w:rsid w:val="001C5CE6"/>
    <w:rsid w:val="001C5D30"/>
    <w:rsid w:val="001C5DB0"/>
    <w:rsid w:val="001C60B4"/>
    <w:rsid w:val="001C6194"/>
    <w:rsid w:val="001C61CD"/>
    <w:rsid w:val="001C6211"/>
    <w:rsid w:val="001C6621"/>
    <w:rsid w:val="001C6638"/>
    <w:rsid w:val="001C66EE"/>
    <w:rsid w:val="001C67AD"/>
    <w:rsid w:val="001C6905"/>
    <w:rsid w:val="001C6970"/>
    <w:rsid w:val="001C6B31"/>
    <w:rsid w:val="001C6BA1"/>
    <w:rsid w:val="001C6D52"/>
    <w:rsid w:val="001C6ECB"/>
    <w:rsid w:val="001C707F"/>
    <w:rsid w:val="001C70E5"/>
    <w:rsid w:val="001C735D"/>
    <w:rsid w:val="001C744D"/>
    <w:rsid w:val="001C75B8"/>
    <w:rsid w:val="001C7611"/>
    <w:rsid w:val="001C78E1"/>
    <w:rsid w:val="001C7B05"/>
    <w:rsid w:val="001C7EE8"/>
    <w:rsid w:val="001C7F65"/>
    <w:rsid w:val="001C7F9D"/>
    <w:rsid w:val="001D004E"/>
    <w:rsid w:val="001D0267"/>
    <w:rsid w:val="001D0572"/>
    <w:rsid w:val="001D07DC"/>
    <w:rsid w:val="001D0C24"/>
    <w:rsid w:val="001D0C6B"/>
    <w:rsid w:val="001D0C85"/>
    <w:rsid w:val="001D0D17"/>
    <w:rsid w:val="001D0DF6"/>
    <w:rsid w:val="001D0F65"/>
    <w:rsid w:val="001D101B"/>
    <w:rsid w:val="001D13DA"/>
    <w:rsid w:val="001D177E"/>
    <w:rsid w:val="001D184A"/>
    <w:rsid w:val="001D1B6A"/>
    <w:rsid w:val="001D1D50"/>
    <w:rsid w:val="001D1D82"/>
    <w:rsid w:val="001D1EF0"/>
    <w:rsid w:val="001D2049"/>
    <w:rsid w:val="001D216D"/>
    <w:rsid w:val="001D2239"/>
    <w:rsid w:val="001D22B7"/>
    <w:rsid w:val="001D22CB"/>
    <w:rsid w:val="001D26A5"/>
    <w:rsid w:val="001D2713"/>
    <w:rsid w:val="001D2A85"/>
    <w:rsid w:val="001D2B13"/>
    <w:rsid w:val="001D2BAD"/>
    <w:rsid w:val="001D2C09"/>
    <w:rsid w:val="001D2C60"/>
    <w:rsid w:val="001D2E9F"/>
    <w:rsid w:val="001D2EDE"/>
    <w:rsid w:val="001D338E"/>
    <w:rsid w:val="001D33D6"/>
    <w:rsid w:val="001D3484"/>
    <w:rsid w:val="001D3569"/>
    <w:rsid w:val="001D37D9"/>
    <w:rsid w:val="001D3858"/>
    <w:rsid w:val="001D38C1"/>
    <w:rsid w:val="001D3A96"/>
    <w:rsid w:val="001D3A9D"/>
    <w:rsid w:val="001D3B12"/>
    <w:rsid w:val="001D3B2A"/>
    <w:rsid w:val="001D3BFC"/>
    <w:rsid w:val="001D3EBB"/>
    <w:rsid w:val="001D3F56"/>
    <w:rsid w:val="001D3FE9"/>
    <w:rsid w:val="001D41A4"/>
    <w:rsid w:val="001D42C0"/>
    <w:rsid w:val="001D4425"/>
    <w:rsid w:val="001D4463"/>
    <w:rsid w:val="001D459A"/>
    <w:rsid w:val="001D469D"/>
    <w:rsid w:val="001D46A6"/>
    <w:rsid w:val="001D474B"/>
    <w:rsid w:val="001D4959"/>
    <w:rsid w:val="001D499C"/>
    <w:rsid w:val="001D4B76"/>
    <w:rsid w:val="001D4BE0"/>
    <w:rsid w:val="001D4BF3"/>
    <w:rsid w:val="001D4C23"/>
    <w:rsid w:val="001D4E1B"/>
    <w:rsid w:val="001D4E22"/>
    <w:rsid w:val="001D4E36"/>
    <w:rsid w:val="001D4F14"/>
    <w:rsid w:val="001D4FBC"/>
    <w:rsid w:val="001D50E4"/>
    <w:rsid w:val="001D51CD"/>
    <w:rsid w:val="001D51E9"/>
    <w:rsid w:val="001D5944"/>
    <w:rsid w:val="001D5B3B"/>
    <w:rsid w:val="001D5D13"/>
    <w:rsid w:val="001D5D69"/>
    <w:rsid w:val="001D5DC6"/>
    <w:rsid w:val="001D5DE2"/>
    <w:rsid w:val="001D5F9C"/>
    <w:rsid w:val="001D61C5"/>
    <w:rsid w:val="001D63C8"/>
    <w:rsid w:val="001D643E"/>
    <w:rsid w:val="001D6512"/>
    <w:rsid w:val="001D6C5D"/>
    <w:rsid w:val="001D6DEE"/>
    <w:rsid w:val="001D71C5"/>
    <w:rsid w:val="001D767D"/>
    <w:rsid w:val="001D782E"/>
    <w:rsid w:val="001D78B7"/>
    <w:rsid w:val="001D78D6"/>
    <w:rsid w:val="001D7DA0"/>
    <w:rsid w:val="001E02B5"/>
    <w:rsid w:val="001E03BA"/>
    <w:rsid w:val="001E0413"/>
    <w:rsid w:val="001E0A07"/>
    <w:rsid w:val="001E0C0F"/>
    <w:rsid w:val="001E0D72"/>
    <w:rsid w:val="001E0DBE"/>
    <w:rsid w:val="001E0E0D"/>
    <w:rsid w:val="001E0F6A"/>
    <w:rsid w:val="001E112D"/>
    <w:rsid w:val="001E11CA"/>
    <w:rsid w:val="001E12C9"/>
    <w:rsid w:val="001E145F"/>
    <w:rsid w:val="001E15FC"/>
    <w:rsid w:val="001E174C"/>
    <w:rsid w:val="001E191E"/>
    <w:rsid w:val="001E1B0A"/>
    <w:rsid w:val="001E1BD9"/>
    <w:rsid w:val="001E1D87"/>
    <w:rsid w:val="001E1EDE"/>
    <w:rsid w:val="001E1F83"/>
    <w:rsid w:val="001E2322"/>
    <w:rsid w:val="001E234F"/>
    <w:rsid w:val="001E2479"/>
    <w:rsid w:val="001E2590"/>
    <w:rsid w:val="001E25DC"/>
    <w:rsid w:val="001E270E"/>
    <w:rsid w:val="001E2992"/>
    <w:rsid w:val="001E2C5B"/>
    <w:rsid w:val="001E2D21"/>
    <w:rsid w:val="001E30AE"/>
    <w:rsid w:val="001E342A"/>
    <w:rsid w:val="001E351A"/>
    <w:rsid w:val="001E39E4"/>
    <w:rsid w:val="001E3A39"/>
    <w:rsid w:val="001E3B32"/>
    <w:rsid w:val="001E3B87"/>
    <w:rsid w:val="001E3C07"/>
    <w:rsid w:val="001E3C2E"/>
    <w:rsid w:val="001E3F17"/>
    <w:rsid w:val="001E4126"/>
    <w:rsid w:val="001E41C9"/>
    <w:rsid w:val="001E42CC"/>
    <w:rsid w:val="001E436D"/>
    <w:rsid w:val="001E43EC"/>
    <w:rsid w:val="001E45D2"/>
    <w:rsid w:val="001E46A6"/>
    <w:rsid w:val="001E4986"/>
    <w:rsid w:val="001E49BA"/>
    <w:rsid w:val="001E49C0"/>
    <w:rsid w:val="001E4A4B"/>
    <w:rsid w:val="001E4ADF"/>
    <w:rsid w:val="001E4B92"/>
    <w:rsid w:val="001E4C58"/>
    <w:rsid w:val="001E4C62"/>
    <w:rsid w:val="001E4E4F"/>
    <w:rsid w:val="001E5403"/>
    <w:rsid w:val="001E549B"/>
    <w:rsid w:val="001E5550"/>
    <w:rsid w:val="001E55D5"/>
    <w:rsid w:val="001E57EF"/>
    <w:rsid w:val="001E5929"/>
    <w:rsid w:val="001E5995"/>
    <w:rsid w:val="001E6178"/>
    <w:rsid w:val="001E61A2"/>
    <w:rsid w:val="001E623B"/>
    <w:rsid w:val="001E6450"/>
    <w:rsid w:val="001E64BE"/>
    <w:rsid w:val="001E6557"/>
    <w:rsid w:val="001E66FA"/>
    <w:rsid w:val="001E6967"/>
    <w:rsid w:val="001E6A1E"/>
    <w:rsid w:val="001E6A77"/>
    <w:rsid w:val="001E6BF3"/>
    <w:rsid w:val="001E6C1F"/>
    <w:rsid w:val="001E6CC0"/>
    <w:rsid w:val="001E6D71"/>
    <w:rsid w:val="001E6F47"/>
    <w:rsid w:val="001E7276"/>
    <w:rsid w:val="001E741E"/>
    <w:rsid w:val="001E75D6"/>
    <w:rsid w:val="001E7816"/>
    <w:rsid w:val="001E7A8C"/>
    <w:rsid w:val="001E7B1C"/>
    <w:rsid w:val="001E7B5F"/>
    <w:rsid w:val="001E7BC4"/>
    <w:rsid w:val="001E7BFA"/>
    <w:rsid w:val="001E7DA1"/>
    <w:rsid w:val="001E7DEE"/>
    <w:rsid w:val="001E7F27"/>
    <w:rsid w:val="001F0002"/>
    <w:rsid w:val="001F0011"/>
    <w:rsid w:val="001F0133"/>
    <w:rsid w:val="001F022B"/>
    <w:rsid w:val="001F06D3"/>
    <w:rsid w:val="001F083E"/>
    <w:rsid w:val="001F08DC"/>
    <w:rsid w:val="001F08E1"/>
    <w:rsid w:val="001F08E2"/>
    <w:rsid w:val="001F0A91"/>
    <w:rsid w:val="001F0AB4"/>
    <w:rsid w:val="001F0ACB"/>
    <w:rsid w:val="001F0AE5"/>
    <w:rsid w:val="001F0DC8"/>
    <w:rsid w:val="001F1075"/>
    <w:rsid w:val="001F1102"/>
    <w:rsid w:val="001F1346"/>
    <w:rsid w:val="001F1709"/>
    <w:rsid w:val="001F1790"/>
    <w:rsid w:val="001F1875"/>
    <w:rsid w:val="001F1B4C"/>
    <w:rsid w:val="001F1B9E"/>
    <w:rsid w:val="001F1CD9"/>
    <w:rsid w:val="001F1D5E"/>
    <w:rsid w:val="001F1E21"/>
    <w:rsid w:val="001F1F38"/>
    <w:rsid w:val="001F2024"/>
    <w:rsid w:val="001F206E"/>
    <w:rsid w:val="001F20DB"/>
    <w:rsid w:val="001F2393"/>
    <w:rsid w:val="001F23C8"/>
    <w:rsid w:val="001F247E"/>
    <w:rsid w:val="001F24E4"/>
    <w:rsid w:val="001F2580"/>
    <w:rsid w:val="001F25D9"/>
    <w:rsid w:val="001F2669"/>
    <w:rsid w:val="001F26F1"/>
    <w:rsid w:val="001F27F5"/>
    <w:rsid w:val="001F287D"/>
    <w:rsid w:val="001F2A39"/>
    <w:rsid w:val="001F2A6D"/>
    <w:rsid w:val="001F2E45"/>
    <w:rsid w:val="001F2E79"/>
    <w:rsid w:val="001F2F63"/>
    <w:rsid w:val="001F3191"/>
    <w:rsid w:val="001F3218"/>
    <w:rsid w:val="001F32ED"/>
    <w:rsid w:val="001F39AF"/>
    <w:rsid w:val="001F3B78"/>
    <w:rsid w:val="001F3B96"/>
    <w:rsid w:val="001F3EB5"/>
    <w:rsid w:val="001F400C"/>
    <w:rsid w:val="001F41E4"/>
    <w:rsid w:val="001F4718"/>
    <w:rsid w:val="001F4782"/>
    <w:rsid w:val="001F4AAB"/>
    <w:rsid w:val="001F4C96"/>
    <w:rsid w:val="001F4CDE"/>
    <w:rsid w:val="001F4D4F"/>
    <w:rsid w:val="001F4DFB"/>
    <w:rsid w:val="001F4FA2"/>
    <w:rsid w:val="001F4FA7"/>
    <w:rsid w:val="001F500A"/>
    <w:rsid w:val="001F503F"/>
    <w:rsid w:val="001F5236"/>
    <w:rsid w:val="001F5382"/>
    <w:rsid w:val="001F5579"/>
    <w:rsid w:val="001F5698"/>
    <w:rsid w:val="001F56BF"/>
    <w:rsid w:val="001F56F8"/>
    <w:rsid w:val="001F5918"/>
    <w:rsid w:val="001F5B49"/>
    <w:rsid w:val="001F5B5B"/>
    <w:rsid w:val="001F5C7D"/>
    <w:rsid w:val="001F5D06"/>
    <w:rsid w:val="001F5E66"/>
    <w:rsid w:val="001F5F8A"/>
    <w:rsid w:val="001F61D6"/>
    <w:rsid w:val="001F64FB"/>
    <w:rsid w:val="001F65F2"/>
    <w:rsid w:val="001F6751"/>
    <w:rsid w:val="001F6820"/>
    <w:rsid w:val="001F6A21"/>
    <w:rsid w:val="001F6AC0"/>
    <w:rsid w:val="001F6B76"/>
    <w:rsid w:val="001F6CD2"/>
    <w:rsid w:val="001F6CD6"/>
    <w:rsid w:val="001F6F20"/>
    <w:rsid w:val="001F6F73"/>
    <w:rsid w:val="001F715F"/>
    <w:rsid w:val="001F719E"/>
    <w:rsid w:val="001F71D7"/>
    <w:rsid w:val="001F7201"/>
    <w:rsid w:val="001F721C"/>
    <w:rsid w:val="001F72B9"/>
    <w:rsid w:val="001F73A1"/>
    <w:rsid w:val="001F747F"/>
    <w:rsid w:val="001F764D"/>
    <w:rsid w:val="001F7653"/>
    <w:rsid w:val="001F77B1"/>
    <w:rsid w:val="001F7973"/>
    <w:rsid w:val="001F7D40"/>
    <w:rsid w:val="001F7EA3"/>
    <w:rsid w:val="0020011A"/>
    <w:rsid w:val="002001EB"/>
    <w:rsid w:val="00200211"/>
    <w:rsid w:val="00200314"/>
    <w:rsid w:val="00200476"/>
    <w:rsid w:val="002004C9"/>
    <w:rsid w:val="0020069E"/>
    <w:rsid w:val="00200740"/>
    <w:rsid w:val="0020075B"/>
    <w:rsid w:val="00200BAE"/>
    <w:rsid w:val="00200C18"/>
    <w:rsid w:val="00200C3A"/>
    <w:rsid w:val="00200FC0"/>
    <w:rsid w:val="00201104"/>
    <w:rsid w:val="00201375"/>
    <w:rsid w:val="002013D5"/>
    <w:rsid w:val="00201510"/>
    <w:rsid w:val="002015CB"/>
    <w:rsid w:val="00201A28"/>
    <w:rsid w:val="00201A50"/>
    <w:rsid w:val="00201B5D"/>
    <w:rsid w:val="00201C77"/>
    <w:rsid w:val="00201E55"/>
    <w:rsid w:val="002021E9"/>
    <w:rsid w:val="00202369"/>
    <w:rsid w:val="00202473"/>
    <w:rsid w:val="002024FB"/>
    <w:rsid w:val="00202567"/>
    <w:rsid w:val="00202650"/>
    <w:rsid w:val="00202742"/>
    <w:rsid w:val="0020277F"/>
    <w:rsid w:val="0020287E"/>
    <w:rsid w:val="00202A07"/>
    <w:rsid w:val="00202AC1"/>
    <w:rsid w:val="00202DB4"/>
    <w:rsid w:val="00202E65"/>
    <w:rsid w:val="0020300A"/>
    <w:rsid w:val="002031C4"/>
    <w:rsid w:val="002032C5"/>
    <w:rsid w:val="002032F2"/>
    <w:rsid w:val="0020340A"/>
    <w:rsid w:val="00203535"/>
    <w:rsid w:val="002035C0"/>
    <w:rsid w:val="00203653"/>
    <w:rsid w:val="00203709"/>
    <w:rsid w:val="002037B0"/>
    <w:rsid w:val="0020385F"/>
    <w:rsid w:val="00203A63"/>
    <w:rsid w:val="00203A6A"/>
    <w:rsid w:val="00203AB2"/>
    <w:rsid w:val="00203BA4"/>
    <w:rsid w:val="00203BE9"/>
    <w:rsid w:val="00203CB0"/>
    <w:rsid w:val="00203E2A"/>
    <w:rsid w:val="00203F27"/>
    <w:rsid w:val="00203F74"/>
    <w:rsid w:val="002040EB"/>
    <w:rsid w:val="0020435D"/>
    <w:rsid w:val="0020449A"/>
    <w:rsid w:val="002046EE"/>
    <w:rsid w:val="002048B2"/>
    <w:rsid w:val="0020499D"/>
    <w:rsid w:val="00204AC3"/>
    <w:rsid w:val="00204B1B"/>
    <w:rsid w:val="00204C40"/>
    <w:rsid w:val="00204EA9"/>
    <w:rsid w:val="00205240"/>
    <w:rsid w:val="00205320"/>
    <w:rsid w:val="00205358"/>
    <w:rsid w:val="002054A4"/>
    <w:rsid w:val="0020550B"/>
    <w:rsid w:val="00205588"/>
    <w:rsid w:val="00205655"/>
    <w:rsid w:val="0020574B"/>
    <w:rsid w:val="002059A5"/>
    <w:rsid w:val="00205CEB"/>
    <w:rsid w:val="00205F3A"/>
    <w:rsid w:val="00205F82"/>
    <w:rsid w:val="002060EB"/>
    <w:rsid w:val="00206221"/>
    <w:rsid w:val="00206822"/>
    <w:rsid w:val="00206AC4"/>
    <w:rsid w:val="00206CF9"/>
    <w:rsid w:val="00207136"/>
    <w:rsid w:val="002071F3"/>
    <w:rsid w:val="002072FF"/>
    <w:rsid w:val="00207424"/>
    <w:rsid w:val="002074CA"/>
    <w:rsid w:val="00207685"/>
    <w:rsid w:val="00207967"/>
    <w:rsid w:val="002079BF"/>
    <w:rsid w:val="00207AB4"/>
    <w:rsid w:val="00207D57"/>
    <w:rsid w:val="00207E21"/>
    <w:rsid w:val="00207E77"/>
    <w:rsid w:val="00207F52"/>
    <w:rsid w:val="00210116"/>
    <w:rsid w:val="002102B8"/>
    <w:rsid w:val="00210638"/>
    <w:rsid w:val="002107A0"/>
    <w:rsid w:val="00210942"/>
    <w:rsid w:val="00210BAC"/>
    <w:rsid w:val="00210BFA"/>
    <w:rsid w:val="00210D0B"/>
    <w:rsid w:val="00210D52"/>
    <w:rsid w:val="00210F5A"/>
    <w:rsid w:val="00210F86"/>
    <w:rsid w:val="00210FD6"/>
    <w:rsid w:val="002110D4"/>
    <w:rsid w:val="00211280"/>
    <w:rsid w:val="0021142D"/>
    <w:rsid w:val="00211710"/>
    <w:rsid w:val="00211840"/>
    <w:rsid w:val="002118CF"/>
    <w:rsid w:val="002119D2"/>
    <w:rsid w:val="00211B69"/>
    <w:rsid w:val="00211B90"/>
    <w:rsid w:val="00211BAE"/>
    <w:rsid w:val="00211C0F"/>
    <w:rsid w:val="00211D1C"/>
    <w:rsid w:val="00211E32"/>
    <w:rsid w:val="00211EE0"/>
    <w:rsid w:val="00211F07"/>
    <w:rsid w:val="002120C1"/>
    <w:rsid w:val="002121FA"/>
    <w:rsid w:val="002123F3"/>
    <w:rsid w:val="002125A2"/>
    <w:rsid w:val="0021268F"/>
    <w:rsid w:val="00212764"/>
    <w:rsid w:val="002129FD"/>
    <w:rsid w:val="00212BEC"/>
    <w:rsid w:val="00212D22"/>
    <w:rsid w:val="00212F1B"/>
    <w:rsid w:val="00212F63"/>
    <w:rsid w:val="00213155"/>
    <w:rsid w:val="002131D9"/>
    <w:rsid w:val="0021327E"/>
    <w:rsid w:val="002133A3"/>
    <w:rsid w:val="00213ABE"/>
    <w:rsid w:val="00213CCD"/>
    <w:rsid w:val="00213DB2"/>
    <w:rsid w:val="00213ED3"/>
    <w:rsid w:val="00213FD4"/>
    <w:rsid w:val="002141DA"/>
    <w:rsid w:val="002142CF"/>
    <w:rsid w:val="00214532"/>
    <w:rsid w:val="00214674"/>
    <w:rsid w:val="002148C8"/>
    <w:rsid w:val="00214A6A"/>
    <w:rsid w:val="0021516A"/>
    <w:rsid w:val="002151E4"/>
    <w:rsid w:val="00215246"/>
    <w:rsid w:val="002153A6"/>
    <w:rsid w:val="00215410"/>
    <w:rsid w:val="00215492"/>
    <w:rsid w:val="00215867"/>
    <w:rsid w:val="00215877"/>
    <w:rsid w:val="002159C2"/>
    <w:rsid w:val="00215A9F"/>
    <w:rsid w:val="00215AD7"/>
    <w:rsid w:val="00215CC4"/>
    <w:rsid w:val="00215F9F"/>
    <w:rsid w:val="00215FAA"/>
    <w:rsid w:val="00215FAD"/>
    <w:rsid w:val="00215FFA"/>
    <w:rsid w:val="0021603F"/>
    <w:rsid w:val="0021653E"/>
    <w:rsid w:val="0021657D"/>
    <w:rsid w:val="0021678C"/>
    <w:rsid w:val="002168E5"/>
    <w:rsid w:val="00216AED"/>
    <w:rsid w:val="00216AF6"/>
    <w:rsid w:val="00216B61"/>
    <w:rsid w:val="00216EB0"/>
    <w:rsid w:val="00216FB2"/>
    <w:rsid w:val="0021702D"/>
    <w:rsid w:val="0021727A"/>
    <w:rsid w:val="00217338"/>
    <w:rsid w:val="002175F7"/>
    <w:rsid w:val="00217800"/>
    <w:rsid w:val="002178D3"/>
    <w:rsid w:val="00217BA5"/>
    <w:rsid w:val="00217C80"/>
    <w:rsid w:val="00217D12"/>
    <w:rsid w:val="00217EFE"/>
    <w:rsid w:val="002202B2"/>
    <w:rsid w:val="002204E9"/>
    <w:rsid w:val="002205B4"/>
    <w:rsid w:val="00220712"/>
    <w:rsid w:val="0022087E"/>
    <w:rsid w:val="00220885"/>
    <w:rsid w:val="002209FB"/>
    <w:rsid w:val="00220B4D"/>
    <w:rsid w:val="00220C5F"/>
    <w:rsid w:val="00220D1F"/>
    <w:rsid w:val="00220F2B"/>
    <w:rsid w:val="00220FD6"/>
    <w:rsid w:val="0022113F"/>
    <w:rsid w:val="00221148"/>
    <w:rsid w:val="0022117B"/>
    <w:rsid w:val="002212BA"/>
    <w:rsid w:val="0022141E"/>
    <w:rsid w:val="002214E0"/>
    <w:rsid w:val="00221752"/>
    <w:rsid w:val="00221888"/>
    <w:rsid w:val="00221A40"/>
    <w:rsid w:val="00221ACD"/>
    <w:rsid w:val="00221B37"/>
    <w:rsid w:val="00221C65"/>
    <w:rsid w:val="00221D63"/>
    <w:rsid w:val="00221E0B"/>
    <w:rsid w:val="00221E23"/>
    <w:rsid w:val="00222183"/>
    <w:rsid w:val="00222358"/>
    <w:rsid w:val="00222361"/>
    <w:rsid w:val="002226BA"/>
    <w:rsid w:val="00222913"/>
    <w:rsid w:val="00222976"/>
    <w:rsid w:val="00222AAD"/>
    <w:rsid w:val="00222B8F"/>
    <w:rsid w:val="00223207"/>
    <w:rsid w:val="00223297"/>
    <w:rsid w:val="002235DE"/>
    <w:rsid w:val="002236C9"/>
    <w:rsid w:val="00223714"/>
    <w:rsid w:val="0022392C"/>
    <w:rsid w:val="002239B1"/>
    <w:rsid w:val="00223A3C"/>
    <w:rsid w:val="00223A42"/>
    <w:rsid w:val="00223A86"/>
    <w:rsid w:val="00223B3E"/>
    <w:rsid w:val="00223C59"/>
    <w:rsid w:val="00223D78"/>
    <w:rsid w:val="00224057"/>
    <w:rsid w:val="002240C7"/>
    <w:rsid w:val="00224134"/>
    <w:rsid w:val="00224417"/>
    <w:rsid w:val="00224500"/>
    <w:rsid w:val="00224674"/>
    <w:rsid w:val="00224B9A"/>
    <w:rsid w:val="00224C22"/>
    <w:rsid w:val="00224D88"/>
    <w:rsid w:val="00224F19"/>
    <w:rsid w:val="002250FA"/>
    <w:rsid w:val="0022526C"/>
    <w:rsid w:val="00225286"/>
    <w:rsid w:val="00225585"/>
    <w:rsid w:val="0022559D"/>
    <w:rsid w:val="00225693"/>
    <w:rsid w:val="00225860"/>
    <w:rsid w:val="002259B5"/>
    <w:rsid w:val="002259E6"/>
    <w:rsid w:val="00225C9A"/>
    <w:rsid w:val="00225DE2"/>
    <w:rsid w:val="00225E54"/>
    <w:rsid w:val="00225EB3"/>
    <w:rsid w:val="002260F0"/>
    <w:rsid w:val="00226377"/>
    <w:rsid w:val="0022638F"/>
    <w:rsid w:val="00226391"/>
    <w:rsid w:val="002266CA"/>
    <w:rsid w:val="002266D3"/>
    <w:rsid w:val="002267EC"/>
    <w:rsid w:val="00226832"/>
    <w:rsid w:val="00226939"/>
    <w:rsid w:val="00226A0E"/>
    <w:rsid w:val="00226B11"/>
    <w:rsid w:val="00226DA5"/>
    <w:rsid w:val="00227107"/>
    <w:rsid w:val="002271A3"/>
    <w:rsid w:val="00227322"/>
    <w:rsid w:val="002278C9"/>
    <w:rsid w:val="00227B91"/>
    <w:rsid w:val="00227C5F"/>
    <w:rsid w:val="00227DEB"/>
    <w:rsid w:val="00227EF1"/>
    <w:rsid w:val="00227FE2"/>
    <w:rsid w:val="00230310"/>
    <w:rsid w:val="002304B1"/>
    <w:rsid w:val="0023079B"/>
    <w:rsid w:val="00230945"/>
    <w:rsid w:val="0023096C"/>
    <w:rsid w:val="00230A74"/>
    <w:rsid w:val="00230C6E"/>
    <w:rsid w:val="00230D85"/>
    <w:rsid w:val="0023106F"/>
    <w:rsid w:val="002310D6"/>
    <w:rsid w:val="002312EA"/>
    <w:rsid w:val="00231462"/>
    <w:rsid w:val="00231522"/>
    <w:rsid w:val="00231559"/>
    <w:rsid w:val="00231975"/>
    <w:rsid w:val="00231A31"/>
    <w:rsid w:val="00231B8B"/>
    <w:rsid w:val="00231BF0"/>
    <w:rsid w:val="00231CAF"/>
    <w:rsid w:val="00231D4C"/>
    <w:rsid w:val="00231F17"/>
    <w:rsid w:val="00232081"/>
    <w:rsid w:val="002325F8"/>
    <w:rsid w:val="00232659"/>
    <w:rsid w:val="002328D6"/>
    <w:rsid w:val="00232A94"/>
    <w:rsid w:val="00232AD1"/>
    <w:rsid w:val="00232D2A"/>
    <w:rsid w:val="00232E2B"/>
    <w:rsid w:val="00232E52"/>
    <w:rsid w:val="00232EEA"/>
    <w:rsid w:val="00233358"/>
    <w:rsid w:val="002333B3"/>
    <w:rsid w:val="002333B4"/>
    <w:rsid w:val="00233540"/>
    <w:rsid w:val="00233595"/>
    <w:rsid w:val="00233674"/>
    <w:rsid w:val="00233708"/>
    <w:rsid w:val="00233EBE"/>
    <w:rsid w:val="00234186"/>
    <w:rsid w:val="0023450F"/>
    <w:rsid w:val="00234599"/>
    <w:rsid w:val="002345AE"/>
    <w:rsid w:val="0023473E"/>
    <w:rsid w:val="00234901"/>
    <w:rsid w:val="00234A14"/>
    <w:rsid w:val="00234AE8"/>
    <w:rsid w:val="00234C6E"/>
    <w:rsid w:val="00234E8C"/>
    <w:rsid w:val="0023505D"/>
    <w:rsid w:val="002350D1"/>
    <w:rsid w:val="002355A5"/>
    <w:rsid w:val="002356E4"/>
    <w:rsid w:val="002358B8"/>
    <w:rsid w:val="00235B24"/>
    <w:rsid w:val="00235DB4"/>
    <w:rsid w:val="00236279"/>
    <w:rsid w:val="002363D8"/>
    <w:rsid w:val="0023640F"/>
    <w:rsid w:val="00236487"/>
    <w:rsid w:val="0023674D"/>
    <w:rsid w:val="00236BB5"/>
    <w:rsid w:val="00236C14"/>
    <w:rsid w:val="00236E82"/>
    <w:rsid w:val="00236EC4"/>
    <w:rsid w:val="00236ECE"/>
    <w:rsid w:val="00236FCA"/>
    <w:rsid w:val="00237230"/>
    <w:rsid w:val="00237270"/>
    <w:rsid w:val="00237398"/>
    <w:rsid w:val="00237766"/>
    <w:rsid w:val="00237C5B"/>
    <w:rsid w:val="00237CC5"/>
    <w:rsid w:val="00237CD5"/>
    <w:rsid w:val="00237D35"/>
    <w:rsid w:val="00237F04"/>
    <w:rsid w:val="00237F92"/>
    <w:rsid w:val="00240087"/>
    <w:rsid w:val="002401DB"/>
    <w:rsid w:val="0024023F"/>
    <w:rsid w:val="00240618"/>
    <w:rsid w:val="00240669"/>
    <w:rsid w:val="002406FB"/>
    <w:rsid w:val="00240A6C"/>
    <w:rsid w:val="00240B85"/>
    <w:rsid w:val="00240ED9"/>
    <w:rsid w:val="00240EDE"/>
    <w:rsid w:val="00240F1E"/>
    <w:rsid w:val="00240F6B"/>
    <w:rsid w:val="00241065"/>
    <w:rsid w:val="00241193"/>
    <w:rsid w:val="0024166F"/>
    <w:rsid w:val="00241807"/>
    <w:rsid w:val="00241987"/>
    <w:rsid w:val="00241A11"/>
    <w:rsid w:val="00241A3E"/>
    <w:rsid w:val="00241AC0"/>
    <w:rsid w:val="00241C99"/>
    <w:rsid w:val="00241D7E"/>
    <w:rsid w:val="00241E49"/>
    <w:rsid w:val="00241EB8"/>
    <w:rsid w:val="002425B0"/>
    <w:rsid w:val="0024268B"/>
    <w:rsid w:val="00242785"/>
    <w:rsid w:val="00242A17"/>
    <w:rsid w:val="00242AC5"/>
    <w:rsid w:val="00242B78"/>
    <w:rsid w:val="00242C02"/>
    <w:rsid w:val="00242E20"/>
    <w:rsid w:val="00242E74"/>
    <w:rsid w:val="00242F15"/>
    <w:rsid w:val="00242FE8"/>
    <w:rsid w:val="002430CF"/>
    <w:rsid w:val="002430E9"/>
    <w:rsid w:val="002431CC"/>
    <w:rsid w:val="00243492"/>
    <w:rsid w:val="002435B5"/>
    <w:rsid w:val="002436AF"/>
    <w:rsid w:val="00243716"/>
    <w:rsid w:val="00243720"/>
    <w:rsid w:val="00243769"/>
    <w:rsid w:val="0024393C"/>
    <w:rsid w:val="00243B0A"/>
    <w:rsid w:val="00243B23"/>
    <w:rsid w:val="00243BFC"/>
    <w:rsid w:val="00243C33"/>
    <w:rsid w:val="00243E34"/>
    <w:rsid w:val="00243E68"/>
    <w:rsid w:val="002441F4"/>
    <w:rsid w:val="0024427F"/>
    <w:rsid w:val="0024441A"/>
    <w:rsid w:val="00244595"/>
    <w:rsid w:val="00244626"/>
    <w:rsid w:val="00244760"/>
    <w:rsid w:val="00244A78"/>
    <w:rsid w:val="00244DB4"/>
    <w:rsid w:val="002450CC"/>
    <w:rsid w:val="0024513B"/>
    <w:rsid w:val="0024582C"/>
    <w:rsid w:val="002459B0"/>
    <w:rsid w:val="002459C9"/>
    <w:rsid w:val="00245ADB"/>
    <w:rsid w:val="00245DC3"/>
    <w:rsid w:val="00245F61"/>
    <w:rsid w:val="0024611E"/>
    <w:rsid w:val="00246282"/>
    <w:rsid w:val="0024658C"/>
    <w:rsid w:val="002465DA"/>
    <w:rsid w:val="0024662A"/>
    <w:rsid w:val="00246B32"/>
    <w:rsid w:val="00246BDC"/>
    <w:rsid w:val="00246D53"/>
    <w:rsid w:val="00246D58"/>
    <w:rsid w:val="00246D7B"/>
    <w:rsid w:val="00246EBB"/>
    <w:rsid w:val="00246F88"/>
    <w:rsid w:val="0024721A"/>
    <w:rsid w:val="0024729D"/>
    <w:rsid w:val="002472E7"/>
    <w:rsid w:val="002474EC"/>
    <w:rsid w:val="002475BF"/>
    <w:rsid w:val="0024768A"/>
    <w:rsid w:val="002476B2"/>
    <w:rsid w:val="002477E9"/>
    <w:rsid w:val="00247861"/>
    <w:rsid w:val="002478E1"/>
    <w:rsid w:val="002479A4"/>
    <w:rsid w:val="00247A44"/>
    <w:rsid w:val="00247CD8"/>
    <w:rsid w:val="00247EF0"/>
    <w:rsid w:val="00247F97"/>
    <w:rsid w:val="00250031"/>
    <w:rsid w:val="0025008F"/>
    <w:rsid w:val="0025022D"/>
    <w:rsid w:val="00250269"/>
    <w:rsid w:val="0025074F"/>
    <w:rsid w:val="0025077D"/>
    <w:rsid w:val="002508BB"/>
    <w:rsid w:val="002508D7"/>
    <w:rsid w:val="00250B8B"/>
    <w:rsid w:val="00250DF6"/>
    <w:rsid w:val="0025101F"/>
    <w:rsid w:val="0025104F"/>
    <w:rsid w:val="00251112"/>
    <w:rsid w:val="00251242"/>
    <w:rsid w:val="00251261"/>
    <w:rsid w:val="002512A5"/>
    <w:rsid w:val="002515E5"/>
    <w:rsid w:val="002515EB"/>
    <w:rsid w:val="00251681"/>
    <w:rsid w:val="002518B0"/>
    <w:rsid w:val="002519D7"/>
    <w:rsid w:val="00251A18"/>
    <w:rsid w:val="00251B0F"/>
    <w:rsid w:val="00251B92"/>
    <w:rsid w:val="00251C25"/>
    <w:rsid w:val="00251EFF"/>
    <w:rsid w:val="00251FFF"/>
    <w:rsid w:val="002520B5"/>
    <w:rsid w:val="00252134"/>
    <w:rsid w:val="00252193"/>
    <w:rsid w:val="002522D0"/>
    <w:rsid w:val="0025234D"/>
    <w:rsid w:val="002525AF"/>
    <w:rsid w:val="00252695"/>
    <w:rsid w:val="00252790"/>
    <w:rsid w:val="00252CA6"/>
    <w:rsid w:val="00252D7E"/>
    <w:rsid w:val="00252DD8"/>
    <w:rsid w:val="00252E59"/>
    <w:rsid w:val="00253005"/>
    <w:rsid w:val="0025313A"/>
    <w:rsid w:val="0025324B"/>
    <w:rsid w:val="002532C6"/>
    <w:rsid w:val="0025340F"/>
    <w:rsid w:val="00253463"/>
    <w:rsid w:val="00253528"/>
    <w:rsid w:val="002538E4"/>
    <w:rsid w:val="00253B31"/>
    <w:rsid w:val="00253B3C"/>
    <w:rsid w:val="00253B85"/>
    <w:rsid w:val="00253C03"/>
    <w:rsid w:val="00253ED3"/>
    <w:rsid w:val="00253F94"/>
    <w:rsid w:val="00253FC5"/>
    <w:rsid w:val="0025414C"/>
    <w:rsid w:val="00254221"/>
    <w:rsid w:val="0025422E"/>
    <w:rsid w:val="002544E9"/>
    <w:rsid w:val="002546F4"/>
    <w:rsid w:val="00254726"/>
    <w:rsid w:val="00254772"/>
    <w:rsid w:val="002548E3"/>
    <w:rsid w:val="0025496E"/>
    <w:rsid w:val="0025498A"/>
    <w:rsid w:val="00254A1F"/>
    <w:rsid w:val="00254C4C"/>
    <w:rsid w:val="00254D74"/>
    <w:rsid w:val="00254DE1"/>
    <w:rsid w:val="002550D0"/>
    <w:rsid w:val="00255283"/>
    <w:rsid w:val="002553D7"/>
    <w:rsid w:val="00255475"/>
    <w:rsid w:val="00255619"/>
    <w:rsid w:val="00255849"/>
    <w:rsid w:val="0025591D"/>
    <w:rsid w:val="00255927"/>
    <w:rsid w:val="002559B1"/>
    <w:rsid w:val="00255B67"/>
    <w:rsid w:val="00255C22"/>
    <w:rsid w:val="00255D87"/>
    <w:rsid w:val="00255DE5"/>
    <w:rsid w:val="00255EC8"/>
    <w:rsid w:val="002562C2"/>
    <w:rsid w:val="0025640E"/>
    <w:rsid w:val="00256728"/>
    <w:rsid w:val="0025680E"/>
    <w:rsid w:val="00256935"/>
    <w:rsid w:val="0025693F"/>
    <w:rsid w:val="002569E4"/>
    <w:rsid w:val="00256BB2"/>
    <w:rsid w:val="00256BC0"/>
    <w:rsid w:val="00256CFB"/>
    <w:rsid w:val="00256D1A"/>
    <w:rsid w:val="00256D2D"/>
    <w:rsid w:val="00256ECC"/>
    <w:rsid w:val="00256EF2"/>
    <w:rsid w:val="00256F55"/>
    <w:rsid w:val="00256F62"/>
    <w:rsid w:val="00256FAF"/>
    <w:rsid w:val="0025701C"/>
    <w:rsid w:val="0025714F"/>
    <w:rsid w:val="002573B0"/>
    <w:rsid w:val="002573ED"/>
    <w:rsid w:val="00257683"/>
    <w:rsid w:val="00257A43"/>
    <w:rsid w:val="00257D4E"/>
    <w:rsid w:val="00257E5D"/>
    <w:rsid w:val="0026000F"/>
    <w:rsid w:val="002600A3"/>
    <w:rsid w:val="002602EB"/>
    <w:rsid w:val="00260383"/>
    <w:rsid w:val="00260558"/>
    <w:rsid w:val="00260629"/>
    <w:rsid w:val="00260997"/>
    <w:rsid w:val="00260E8C"/>
    <w:rsid w:val="00260EB6"/>
    <w:rsid w:val="0026100E"/>
    <w:rsid w:val="002610D3"/>
    <w:rsid w:val="0026116C"/>
    <w:rsid w:val="002613E5"/>
    <w:rsid w:val="00261456"/>
    <w:rsid w:val="002615A1"/>
    <w:rsid w:val="0026164F"/>
    <w:rsid w:val="002619E7"/>
    <w:rsid w:val="00261C3A"/>
    <w:rsid w:val="00261CB3"/>
    <w:rsid w:val="00261D72"/>
    <w:rsid w:val="00261F55"/>
    <w:rsid w:val="002622FE"/>
    <w:rsid w:val="00262395"/>
    <w:rsid w:val="0026257B"/>
    <w:rsid w:val="00262713"/>
    <w:rsid w:val="00262759"/>
    <w:rsid w:val="002629CE"/>
    <w:rsid w:val="00262A8B"/>
    <w:rsid w:val="00262AAE"/>
    <w:rsid w:val="00262AFC"/>
    <w:rsid w:val="00262EF1"/>
    <w:rsid w:val="00262FE1"/>
    <w:rsid w:val="00263071"/>
    <w:rsid w:val="00263352"/>
    <w:rsid w:val="002634E9"/>
    <w:rsid w:val="002635D1"/>
    <w:rsid w:val="00263CF6"/>
    <w:rsid w:val="00263DE2"/>
    <w:rsid w:val="00263DFE"/>
    <w:rsid w:val="00263EA3"/>
    <w:rsid w:val="002640DC"/>
    <w:rsid w:val="002640F4"/>
    <w:rsid w:val="00264192"/>
    <w:rsid w:val="0026423C"/>
    <w:rsid w:val="0026433E"/>
    <w:rsid w:val="00264419"/>
    <w:rsid w:val="002644A0"/>
    <w:rsid w:val="002644D4"/>
    <w:rsid w:val="00264585"/>
    <w:rsid w:val="002646A8"/>
    <w:rsid w:val="00264955"/>
    <w:rsid w:val="00264BB4"/>
    <w:rsid w:val="00264E53"/>
    <w:rsid w:val="00264E5F"/>
    <w:rsid w:val="00265049"/>
    <w:rsid w:val="002652F9"/>
    <w:rsid w:val="0026530F"/>
    <w:rsid w:val="00265353"/>
    <w:rsid w:val="00265409"/>
    <w:rsid w:val="002656FC"/>
    <w:rsid w:val="0026583C"/>
    <w:rsid w:val="00265A90"/>
    <w:rsid w:val="00265F16"/>
    <w:rsid w:val="00265F78"/>
    <w:rsid w:val="00265F8E"/>
    <w:rsid w:val="002660AB"/>
    <w:rsid w:val="002660B4"/>
    <w:rsid w:val="0026638D"/>
    <w:rsid w:val="00266546"/>
    <w:rsid w:val="00266862"/>
    <w:rsid w:val="002668D7"/>
    <w:rsid w:val="002668E4"/>
    <w:rsid w:val="002669E3"/>
    <w:rsid w:val="00266BDE"/>
    <w:rsid w:val="00266EA7"/>
    <w:rsid w:val="00267200"/>
    <w:rsid w:val="0026730D"/>
    <w:rsid w:val="00267518"/>
    <w:rsid w:val="0026757D"/>
    <w:rsid w:val="00267883"/>
    <w:rsid w:val="00267916"/>
    <w:rsid w:val="002679AA"/>
    <w:rsid w:val="00267A05"/>
    <w:rsid w:val="00267B17"/>
    <w:rsid w:val="00267B3B"/>
    <w:rsid w:val="00267BBB"/>
    <w:rsid w:val="00267F46"/>
    <w:rsid w:val="002700A0"/>
    <w:rsid w:val="00270163"/>
    <w:rsid w:val="002702A2"/>
    <w:rsid w:val="002704A4"/>
    <w:rsid w:val="002707AF"/>
    <w:rsid w:val="002708AB"/>
    <w:rsid w:val="002709AD"/>
    <w:rsid w:val="00270CFA"/>
    <w:rsid w:val="00270DF6"/>
    <w:rsid w:val="00270FF8"/>
    <w:rsid w:val="002712AE"/>
    <w:rsid w:val="00271496"/>
    <w:rsid w:val="00271780"/>
    <w:rsid w:val="0027180A"/>
    <w:rsid w:val="0027188A"/>
    <w:rsid w:val="00271B03"/>
    <w:rsid w:val="00271DB8"/>
    <w:rsid w:val="00271F5C"/>
    <w:rsid w:val="0027211C"/>
    <w:rsid w:val="002722EE"/>
    <w:rsid w:val="00272329"/>
    <w:rsid w:val="002724BA"/>
    <w:rsid w:val="002728DD"/>
    <w:rsid w:val="00272A18"/>
    <w:rsid w:val="00272A3D"/>
    <w:rsid w:val="00272BC8"/>
    <w:rsid w:val="00272CA7"/>
    <w:rsid w:val="00272D19"/>
    <w:rsid w:val="00272DE8"/>
    <w:rsid w:val="00272FC6"/>
    <w:rsid w:val="0027349A"/>
    <w:rsid w:val="002735EE"/>
    <w:rsid w:val="00273A35"/>
    <w:rsid w:val="00273CB6"/>
    <w:rsid w:val="00273F93"/>
    <w:rsid w:val="00273FDE"/>
    <w:rsid w:val="00274054"/>
    <w:rsid w:val="00274071"/>
    <w:rsid w:val="0027419C"/>
    <w:rsid w:val="0027420D"/>
    <w:rsid w:val="002743B4"/>
    <w:rsid w:val="002745EE"/>
    <w:rsid w:val="002747AD"/>
    <w:rsid w:val="002747BB"/>
    <w:rsid w:val="0027491C"/>
    <w:rsid w:val="00274961"/>
    <w:rsid w:val="002749DA"/>
    <w:rsid w:val="00274A10"/>
    <w:rsid w:val="00274A1E"/>
    <w:rsid w:val="00274AC7"/>
    <w:rsid w:val="00274D0C"/>
    <w:rsid w:val="00274E7E"/>
    <w:rsid w:val="002751F3"/>
    <w:rsid w:val="002753B9"/>
    <w:rsid w:val="002754A4"/>
    <w:rsid w:val="002755DB"/>
    <w:rsid w:val="002758DC"/>
    <w:rsid w:val="00275A62"/>
    <w:rsid w:val="00275AC5"/>
    <w:rsid w:val="00275C08"/>
    <w:rsid w:val="00275C7F"/>
    <w:rsid w:val="00275CDC"/>
    <w:rsid w:val="00275DD6"/>
    <w:rsid w:val="00276525"/>
    <w:rsid w:val="0027669F"/>
    <w:rsid w:val="0027671F"/>
    <w:rsid w:val="00276721"/>
    <w:rsid w:val="002768B6"/>
    <w:rsid w:val="00276999"/>
    <w:rsid w:val="00276A08"/>
    <w:rsid w:val="00276AEB"/>
    <w:rsid w:val="00276CDC"/>
    <w:rsid w:val="00276CE3"/>
    <w:rsid w:val="00276E45"/>
    <w:rsid w:val="00276E67"/>
    <w:rsid w:val="0027711D"/>
    <w:rsid w:val="00277152"/>
    <w:rsid w:val="00277261"/>
    <w:rsid w:val="00277292"/>
    <w:rsid w:val="002774AC"/>
    <w:rsid w:val="00277539"/>
    <w:rsid w:val="00277D85"/>
    <w:rsid w:val="00277F3F"/>
    <w:rsid w:val="002801E0"/>
    <w:rsid w:val="0028027C"/>
    <w:rsid w:val="002802BC"/>
    <w:rsid w:val="002804C3"/>
    <w:rsid w:val="0028064A"/>
    <w:rsid w:val="00280996"/>
    <w:rsid w:val="00280A2E"/>
    <w:rsid w:val="00280B61"/>
    <w:rsid w:val="00280C3D"/>
    <w:rsid w:val="00281076"/>
    <w:rsid w:val="0028116A"/>
    <w:rsid w:val="002811DC"/>
    <w:rsid w:val="002812DB"/>
    <w:rsid w:val="00281364"/>
    <w:rsid w:val="00281716"/>
    <w:rsid w:val="00281761"/>
    <w:rsid w:val="00281861"/>
    <w:rsid w:val="00281AF4"/>
    <w:rsid w:val="00281CAD"/>
    <w:rsid w:val="00281EE0"/>
    <w:rsid w:val="0028218B"/>
    <w:rsid w:val="002824B2"/>
    <w:rsid w:val="00282574"/>
    <w:rsid w:val="0028294E"/>
    <w:rsid w:val="002829A1"/>
    <w:rsid w:val="00282A3D"/>
    <w:rsid w:val="00282A6E"/>
    <w:rsid w:val="00282C2D"/>
    <w:rsid w:val="00282D90"/>
    <w:rsid w:val="00283092"/>
    <w:rsid w:val="00283179"/>
    <w:rsid w:val="00283262"/>
    <w:rsid w:val="0028337B"/>
    <w:rsid w:val="002833AE"/>
    <w:rsid w:val="002835B0"/>
    <w:rsid w:val="002836CB"/>
    <w:rsid w:val="00283750"/>
    <w:rsid w:val="0028378D"/>
    <w:rsid w:val="002838F0"/>
    <w:rsid w:val="00283939"/>
    <w:rsid w:val="00283955"/>
    <w:rsid w:val="002839AA"/>
    <w:rsid w:val="00283BBD"/>
    <w:rsid w:val="00283C27"/>
    <w:rsid w:val="00283E80"/>
    <w:rsid w:val="0028401B"/>
    <w:rsid w:val="0028406F"/>
    <w:rsid w:val="0028412A"/>
    <w:rsid w:val="002842A5"/>
    <w:rsid w:val="002844A9"/>
    <w:rsid w:val="0028453C"/>
    <w:rsid w:val="002845F4"/>
    <w:rsid w:val="0028476F"/>
    <w:rsid w:val="002847E6"/>
    <w:rsid w:val="00284ABA"/>
    <w:rsid w:val="00284AD2"/>
    <w:rsid w:val="00284BC7"/>
    <w:rsid w:val="00284CAA"/>
    <w:rsid w:val="00284E8E"/>
    <w:rsid w:val="00284FC8"/>
    <w:rsid w:val="00285331"/>
    <w:rsid w:val="00285545"/>
    <w:rsid w:val="002855AF"/>
    <w:rsid w:val="00285904"/>
    <w:rsid w:val="00285917"/>
    <w:rsid w:val="00285997"/>
    <w:rsid w:val="002859B3"/>
    <w:rsid w:val="00285A54"/>
    <w:rsid w:val="00285BEF"/>
    <w:rsid w:val="00285C61"/>
    <w:rsid w:val="00285CEB"/>
    <w:rsid w:val="00285DAF"/>
    <w:rsid w:val="00285EEF"/>
    <w:rsid w:val="00285FA9"/>
    <w:rsid w:val="00285FB9"/>
    <w:rsid w:val="00286345"/>
    <w:rsid w:val="00286407"/>
    <w:rsid w:val="0028680B"/>
    <w:rsid w:val="00286826"/>
    <w:rsid w:val="00286850"/>
    <w:rsid w:val="00286880"/>
    <w:rsid w:val="002869DF"/>
    <w:rsid w:val="00286A04"/>
    <w:rsid w:val="00286A13"/>
    <w:rsid w:val="00286A9B"/>
    <w:rsid w:val="00286BF9"/>
    <w:rsid w:val="00286C2E"/>
    <w:rsid w:val="00286C9B"/>
    <w:rsid w:val="00286DC7"/>
    <w:rsid w:val="00286EF1"/>
    <w:rsid w:val="00286F4E"/>
    <w:rsid w:val="00286FD9"/>
    <w:rsid w:val="00287524"/>
    <w:rsid w:val="00287630"/>
    <w:rsid w:val="0028769E"/>
    <w:rsid w:val="002877E8"/>
    <w:rsid w:val="002878A7"/>
    <w:rsid w:val="00287A7D"/>
    <w:rsid w:val="00287C93"/>
    <w:rsid w:val="00287CF3"/>
    <w:rsid w:val="00287D8C"/>
    <w:rsid w:val="00287DBE"/>
    <w:rsid w:val="00287F09"/>
    <w:rsid w:val="0029005D"/>
    <w:rsid w:val="0029013B"/>
    <w:rsid w:val="00290248"/>
    <w:rsid w:val="00290255"/>
    <w:rsid w:val="00290454"/>
    <w:rsid w:val="002904A4"/>
    <w:rsid w:val="00290502"/>
    <w:rsid w:val="00290723"/>
    <w:rsid w:val="00290724"/>
    <w:rsid w:val="00290736"/>
    <w:rsid w:val="0029080E"/>
    <w:rsid w:val="0029092B"/>
    <w:rsid w:val="002909C7"/>
    <w:rsid w:val="00290A71"/>
    <w:rsid w:val="00290AE6"/>
    <w:rsid w:val="00290C60"/>
    <w:rsid w:val="00290E33"/>
    <w:rsid w:val="0029101C"/>
    <w:rsid w:val="0029105C"/>
    <w:rsid w:val="0029110F"/>
    <w:rsid w:val="00291291"/>
    <w:rsid w:val="002915D7"/>
    <w:rsid w:val="00291617"/>
    <w:rsid w:val="002916B1"/>
    <w:rsid w:val="00291772"/>
    <w:rsid w:val="00291842"/>
    <w:rsid w:val="00291914"/>
    <w:rsid w:val="0029191E"/>
    <w:rsid w:val="00291988"/>
    <w:rsid w:val="00291B36"/>
    <w:rsid w:val="00291D9E"/>
    <w:rsid w:val="00291DA1"/>
    <w:rsid w:val="00291FE4"/>
    <w:rsid w:val="002920D0"/>
    <w:rsid w:val="0029221D"/>
    <w:rsid w:val="00292370"/>
    <w:rsid w:val="00292681"/>
    <w:rsid w:val="00292734"/>
    <w:rsid w:val="00292783"/>
    <w:rsid w:val="00292848"/>
    <w:rsid w:val="002929AD"/>
    <w:rsid w:val="00292ADD"/>
    <w:rsid w:val="00292B39"/>
    <w:rsid w:val="00292B66"/>
    <w:rsid w:val="00292C8B"/>
    <w:rsid w:val="00292DAA"/>
    <w:rsid w:val="002930AC"/>
    <w:rsid w:val="0029313F"/>
    <w:rsid w:val="00293221"/>
    <w:rsid w:val="00293336"/>
    <w:rsid w:val="00293424"/>
    <w:rsid w:val="002939B3"/>
    <w:rsid w:val="002939CC"/>
    <w:rsid w:val="00293C65"/>
    <w:rsid w:val="00293CB5"/>
    <w:rsid w:val="00294003"/>
    <w:rsid w:val="002940B8"/>
    <w:rsid w:val="002941D9"/>
    <w:rsid w:val="0029450A"/>
    <w:rsid w:val="0029456D"/>
    <w:rsid w:val="00294876"/>
    <w:rsid w:val="002948DB"/>
    <w:rsid w:val="00294921"/>
    <w:rsid w:val="00294A5F"/>
    <w:rsid w:val="00294D93"/>
    <w:rsid w:val="00294F0B"/>
    <w:rsid w:val="00294F7B"/>
    <w:rsid w:val="00294FC5"/>
    <w:rsid w:val="00295017"/>
    <w:rsid w:val="002957BA"/>
    <w:rsid w:val="002958F9"/>
    <w:rsid w:val="00295A91"/>
    <w:rsid w:val="00295C64"/>
    <w:rsid w:val="00295C90"/>
    <w:rsid w:val="00295DDA"/>
    <w:rsid w:val="00295E25"/>
    <w:rsid w:val="00295E40"/>
    <w:rsid w:val="00295E4C"/>
    <w:rsid w:val="00295F2C"/>
    <w:rsid w:val="00295FD1"/>
    <w:rsid w:val="00296023"/>
    <w:rsid w:val="002960F9"/>
    <w:rsid w:val="00296549"/>
    <w:rsid w:val="002965C0"/>
    <w:rsid w:val="002966A0"/>
    <w:rsid w:val="00296901"/>
    <w:rsid w:val="002969F0"/>
    <w:rsid w:val="00296A82"/>
    <w:rsid w:val="00296B38"/>
    <w:rsid w:val="00296BCF"/>
    <w:rsid w:val="00296C54"/>
    <w:rsid w:val="00296DBC"/>
    <w:rsid w:val="00296E52"/>
    <w:rsid w:val="00296FB1"/>
    <w:rsid w:val="00297188"/>
    <w:rsid w:val="00297403"/>
    <w:rsid w:val="002974E8"/>
    <w:rsid w:val="002976CC"/>
    <w:rsid w:val="0029772E"/>
    <w:rsid w:val="00297734"/>
    <w:rsid w:val="002978C2"/>
    <w:rsid w:val="00297959"/>
    <w:rsid w:val="00297D67"/>
    <w:rsid w:val="00297DA9"/>
    <w:rsid w:val="00297F98"/>
    <w:rsid w:val="002A0080"/>
    <w:rsid w:val="002A0438"/>
    <w:rsid w:val="002A0580"/>
    <w:rsid w:val="002A07D4"/>
    <w:rsid w:val="002A0874"/>
    <w:rsid w:val="002A0918"/>
    <w:rsid w:val="002A0972"/>
    <w:rsid w:val="002A0D32"/>
    <w:rsid w:val="002A0E83"/>
    <w:rsid w:val="002A0F7F"/>
    <w:rsid w:val="002A1198"/>
    <w:rsid w:val="002A1366"/>
    <w:rsid w:val="002A14F2"/>
    <w:rsid w:val="002A153C"/>
    <w:rsid w:val="002A1725"/>
    <w:rsid w:val="002A190A"/>
    <w:rsid w:val="002A1C72"/>
    <w:rsid w:val="002A1DA1"/>
    <w:rsid w:val="002A1DE0"/>
    <w:rsid w:val="002A1FF3"/>
    <w:rsid w:val="002A21DE"/>
    <w:rsid w:val="002A2464"/>
    <w:rsid w:val="002A2480"/>
    <w:rsid w:val="002A261B"/>
    <w:rsid w:val="002A28E8"/>
    <w:rsid w:val="002A2C10"/>
    <w:rsid w:val="002A3058"/>
    <w:rsid w:val="002A30AE"/>
    <w:rsid w:val="002A3113"/>
    <w:rsid w:val="002A315D"/>
    <w:rsid w:val="002A31A4"/>
    <w:rsid w:val="002A34FE"/>
    <w:rsid w:val="002A39F4"/>
    <w:rsid w:val="002A3BE0"/>
    <w:rsid w:val="002A3D8D"/>
    <w:rsid w:val="002A3E75"/>
    <w:rsid w:val="002A3EAB"/>
    <w:rsid w:val="002A4033"/>
    <w:rsid w:val="002A415E"/>
    <w:rsid w:val="002A41C8"/>
    <w:rsid w:val="002A42FA"/>
    <w:rsid w:val="002A4349"/>
    <w:rsid w:val="002A43CD"/>
    <w:rsid w:val="002A4536"/>
    <w:rsid w:val="002A4561"/>
    <w:rsid w:val="002A4858"/>
    <w:rsid w:val="002A4A51"/>
    <w:rsid w:val="002A4C28"/>
    <w:rsid w:val="002A5187"/>
    <w:rsid w:val="002A51A0"/>
    <w:rsid w:val="002A51B2"/>
    <w:rsid w:val="002A52B6"/>
    <w:rsid w:val="002A52BE"/>
    <w:rsid w:val="002A52CB"/>
    <w:rsid w:val="002A53FB"/>
    <w:rsid w:val="002A560F"/>
    <w:rsid w:val="002A576E"/>
    <w:rsid w:val="002A57AB"/>
    <w:rsid w:val="002A5884"/>
    <w:rsid w:val="002A59A3"/>
    <w:rsid w:val="002A59EE"/>
    <w:rsid w:val="002A5DC1"/>
    <w:rsid w:val="002A5F1B"/>
    <w:rsid w:val="002A5F52"/>
    <w:rsid w:val="002A6051"/>
    <w:rsid w:val="002A6220"/>
    <w:rsid w:val="002A62A6"/>
    <w:rsid w:val="002A6368"/>
    <w:rsid w:val="002A646A"/>
    <w:rsid w:val="002A6518"/>
    <w:rsid w:val="002A66A8"/>
    <w:rsid w:val="002A66E2"/>
    <w:rsid w:val="002A6844"/>
    <w:rsid w:val="002A6896"/>
    <w:rsid w:val="002A690F"/>
    <w:rsid w:val="002A6941"/>
    <w:rsid w:val="002A6946"/>
    <w:rsid w:val="002A6A16"/>
    <w:rsid w:val="002A6DBD"/>
    <w:rsid w:val="002A6EBB"/>
    <w:rsid w:val="002A6F59"/>
    <w:rsid w:val="002A709D"/>
    <w:rsid w:val="002A73D6"/>
    <w:rsid w:val="002A75F3"/>
    <w:rsid w:val="002A7844"/>
    <w:rsid w:val="002A7876"/>
    <w:rsid w:val="002A7A7E"/>
    <w:rsid w:val="002A7D4B"/>
    <w:rsid w:val="002A7E5E"/>
    <w:rsid w:val="002A7EFC"/>
    <w:rsid w:val="002B00A6"/>
    <w:rsid w:val="002B0189"/>
    <w:rsid w:val="002B0192"/>
    <w:rsid w:val="002B030F"/>
    <w:rsid w:val="002B032F"/>
    <w:rsid w:val="002B039B"/>
    <w:rsid w:val="002B0560"/>
    <w:rsid w:val="002B06DC"/>
    <w:rsid w:val="002B0766"/>
    <w:rsid w:val="002B090E"/>
    <w:rsid w:val="002B093E"/>
    <w:rsid w:val="002B0980"/>
    <w:rsid w:val="002B0C34"/>
    <w:rsid w:val="002B0CA1"/>
    <w:rsid w:val="002B0DAB"/>
    <w:rsid w:val="002B0E02"/>
    <w:rsid w:val="002B0E18"/>
    <w:rsid w:val="002B128D"/>
    <w:rsid w:val="002B1320"/>
    <w:rsid w:val="002B158D"/>
    <w:rsid w:val="002B16A7"/>
    <w:rsid w:val="002B176D"/>
    <w:rsid w:val="002B18E8"/>
    <w:rsid w:val="002B19EA"/>
    <w:rsid w:val="002B1A24"/>
    <w:rsid w:val="002B1A43"/>
    <w:rsid w:val="002B1B38"/>
    <w:rsid w:val="002B23E2"/>
    <w:rsid w:val="002B244E"/>
    <w:rsid w:val="002B254E"/>
    <w:rsid w:val="002B288F"/>
    <w:rsid w:val="002B2965"/>
    <w:rsid w:val="002B2A49"/>
    <w:rsid w:val="002B2BAF"/>
    <w:rsid w:val="002B31DD"/>
    <w:rsid w:val="002B3211"/>
    <w:rsid w:val="002B3420"/>
    <w:rsid w:val="002B34A2"/>
    <w:rsid w:val="002B34D1"/>
    <w:rsid w:val="002B35D5"/>
    <w:rsid w:val="002B3888"/>
    <w:rsid w:val="002B38E2"/>
    <w:rsid w:val="002B39C1"/>
    <w:rsid w:val="002B3AF4"/>
    <w:rsid w:val="002B434F"/>
    <w:rsid w:val="002B43C6"/>
    <w:rsid w:val="002B4479"/>
    <w:rsid w:val="002B4481"/>
    <w:rsid w:val="002B463C"/>
    <w:rsid w:val="002B4658"/>
    <w:rsid w:val="002B46E3"/>
    <w:rsid w:val="002B4A89"/>
    <w:rsid w:val="002B4BB9"/>
    <w:rsid w:val="002B4BE3"/>
    <w:rsid w:val="002B4C9F"/>
    <w:rsid w:val="002B4D86"/>
    <w:rsid w:val="002B4DD4"/>
    <w:rsid w:val="002B4EE3"/>
    <w:rsid w:val="002B4F73"/>
    <w:rsid w:val="002B4FE0"/>
    <w:rsid w:val="002B50D6"/>
    <w:rsid w:val="002B5135"/>
    <w:rsid w:val="002B559E"/>
    <w:rsid w:val="002B55B8"/>
    <w:rsid w:val="002B5600"/>
    <w:rsid w:val="002B5A79"/>
    <w:rsid w:val="002B5BF5"/>
    <w:rsid w:val="002B5D5F"/>
    <w:rsid w:val="002B5E39"/>
    <w:rsid w:val="002B6106"/>
    <w:rsid w:val="002B610A"/>
    <w:rsid w:val="002B6232"/>
    <w:rsid w:val="002B62FC"/>
    <w:rsid w:val="002B6342"/>
    <w:rsid w:val="002B644F"/>
    <w:rsid w:val="002B6513"/>
    <w:rsid w:val="002B66F2"/>
    <w:rsid w:val="002B68BC"/>
    <w:rsid w:val="002B6B53"/>
    <w:rsid w:val="002B6CF6"/>
    <w:rsid w:val="002B6FA5"/>
    <w:rsid w:val="002B72CD"/>
    <w:rsid w:val="002B72E9"/>
    <w:rsid w:val="002B7448"/>
    <w:rsid w:val="002B7496"/>
    <w:rsid w:val="002B75A9"/>
    <w:rsid w:val="002B76B6"/>
    <w:rsid w:val="002B792D"/>
    <w:rsid w:val="002B795B"/>
    <w:rsid w:val="002B7D1F"/>
    <w:rsid w:val="002B7D62"/>
    <w:rsid w:val="002B7D92"/>
    <w:rsid w:val="002C0065"/>
    <w:rsid w:val="002C006E"/>
    <w:rsid w:val="002C01E6"/>
    <w:rsid w:val="002C028B"/>
    <w:rsid w:val="002C0496"/>
    <w:rsid w:val="002C06A1"/>
    <w:rsid w:val="002C07B5"/>
    <w:rsid w:val="002C08FF"/>
    <w:rsid w:val="002C099A"/>
    <w:rsid w:val="002C0B58"/>
    <w:rsid w:val="002C0B91"/>
    <w:rsid w:val="002C0C38"/>
    <w:rsid w:val="002C0E51"/>
    <w:rsid w:val="002C0EBF"/>
    <w:rsid w:val="002C109B"/>
    <w:rsid w:val="002C10A1"/>
    <w:rsid w:val="002C10C2"/>
    <w:rsid w:val="002C1535"/>
    <w:rsid w:val="002C15B2"/>
    <w:rsid w:val="002C1615"/>
    <w:rsid w:val="002C1D2D"/>
    <w:rsid w:val="002C1E9E"/>
    <w:rsid w:val="002C1EF2"/>
    <w:rsid w:val="002C1F1D"/>
    <w:rsid w:val="002C22F6"/>
    <w:rsid w:val="002C2341"/>
    <w:rsid w:val="002C2431"/>
    <w:rsid w:val="002C2787"/>
    <w:rsid w:val="002C2793"/>
    <w:rsid w:val="002C2AA7"/>
    <w:rsid w:val="002C2F99"/>
    <w:rsid w:val="002C2FAB"/>
    <w:rsid w:val="002C2FE0"/>
    <w:rsid w:val="002C336A"/>
    <w:rsid w:val="002C3668"/>
    <w:rsid w:val="002C3727"/>
    <w:rsid w:val="002C37C7"/>
    <w:rsid w:val="002C37E1"/>
    <w:rsid w:val="002C38F4"/>
    <w:rsid w:val="002C39E7"/>
    <w:rsid w:val="002C3A1D"/>
    <w:rsid w:val="002C3B2D"/>
    <w:rsid w:val="002C3C14"/>
    <w:rsid w:val="002C3C1E"/>
    <w:rsid w:val="002C3DE4"/>
    <w:rsid w:val="002C3DEB"/>
    <w:rsid w:val="002C402B"/>
    <w:rsid w:val="002C40B7"/>
    <w:rsid w:val="002C40D9"/>
    <w:rsid w:val="002C456E"/>
    <w:rsid w:val="002C457C"/>
    <w:rsid w:val="002C4608"/>
    <w:rsid w:val="002C4997"/>
    <w:rsid w:val="002C49D3"/>
    <w:rsid w:val="002C4AEA"/>
    <w:rsid w:val="002C4C10"/>
    <w:rsid w:val="002C4EE3"/>
    <w:rsid w:val="002C4F53"/>
    <w:rsid w:val="002C53F0"/>
    <w:rsid w:val="002C5433"/>
    <w:rsid w:val="002C545B"/>
    <w:rsid w:val="002C5AB6"/>
    <w:rsid w:val="002C5C63"/>
    <w:rsid w:val="002C5C69"/>
    <w:rsid w:val="002C5D9A"/>
    <w:rsid w:val="002C5FD0"/>
    <w:rsid w:val="002C63DF"/>
    <w:rsid w:val="002C6441"/>
    <w:rsid w:val="002C662E"/>
    <w:rsid w:val="002C66B1"/>
    <w:rsid w:val="002C6771"/>
    <w:rsid w:val="002C6864"/>
    <w:rsid w:val="002C6975"/>
    <w:rsid w:val="002C69DA"/>
    <w:rsid w:val="002C6D69"/>
    <w:rsid w:val="002C6E3D"/>
    <w:rsid w:val="002C7690"/>
    <w:rsid w:val="002C7E16"/>
    <w:rsid w:val="002D02C2"/>
    <w:rsid w:val="002D043C"/>
    <w:rsid w:val="002D047B"/>
    <w:rsid w:val="002D051D"/>
    <w:rsid w:val="002D0651"/>
    <w:rsid w:val="002D080E"/>
    <w:rsid w:val="002D09FA"/>
    <w:rsid w:val="002D0AB3"/>
    <w:rsid w:val="002D0BA5"/>
    <w:rsid w:val="002D0CDC"/>
    <w:rsid w:val="002D0D47"/>
    <w:rsid w:val="002D0D4C"/>
    <w:rsid w:val="002D0EEC"/>
    <w:rsid w:val="002D0F7D"/>
    <w:rsid w:val="002D1096"/>
    <w:rsid w:val="002D114C"/>
    <w:rsid w:val="002D1166"/>
    <w:rsid w:val="002D11D4"/>
    <w:rsid w:val="002D12C8"/>
    <w:rsid w:val="002D1478"/>
    <w:rsid w:val="002D1760"/>
    <w:rsid w:val="002D17F7"/>
    <w:rsid w:val="002D1A91"/>
    <w:rsid w:val="002D1AC4"/>
    <w:rsid w:val="002D1BB3"/>
    <w:rsid w:val="002D1C7C"/>
    <w:rsid w:val="002D1CCA"/>
    <w:rsid w:val="002D2102"/>
    <w:rsid w:val="002D227D"/>
    <w:rsid w:val="002D2289"/>
    <w:rsid w:val="002D244B"/>
    <w:rsid w:val="002D247D"/>
    <w:rsid w:val="002D24C3"/>
    <w:rsid w:val="002D2577"/>
    <w:rsid w:val="002D27CF"/>
    <w:rsid w:val="002D2859"/>
    <w:rsid w:val="002D2929"/>
    <w:rsid w:val="002D2C6D"/>
    <w:rsid w:val="002D2DBC"/>
    <w:rsid w:val="002D2DE6"/>
    <w:rsid w:val="002D2E33"/>
    <w:rsid w:val="002D2EB8"/>
    <w:rsid w:val="002D3011"/>
    <w:rsid w:val="002D306A"/>
    <w:rsid w:val="002D30EC"/>
    <w:rsid w:val="002D32D1"/>
    <w:rsid w:val="002D3527"/>
    <w:rsid w:val="002D3643"/>
    <w:rsid w:val="002D3808"/>
    <w:rsid w:val="002D382D"/>
    <w:rsid w:val="002D3A35"/>
    <w:rsid w:val="002D3AAC"/>
    <w:rsid w:val="002D3D1E"/>
    <w:rsid w:val="002D3D56"/>
    <w:rsid w:val="002D41FF"/>
    <w:rsid w:val="002D42BB"/>
    <w:rsid w:val="002D448C"/>
    <w:rsid w:val="002D456C"/>
    <w:rsid w:val="002D4617"/>
    <w:rsid w:val="002D4787"/>
    <w:rsid w:val="002D482C"/>
    <w:rsid w:val="002D4B0F"/>
    <w:rsid w:val="002D4B53"/>
    <w:rsid w:val="002D4BD1"/>
    <w:rsid w:val="002D4D2E"/>
    <w:rsid w:val="002D4DB9"/>
    <w:rsid w:val="002D5159"/>
    <w:rsid w:val="002D51AD"/>
    <w:rsid w:val="002D51C9"/>
    <w:rsid w:val="002D5315"/>
    <w:rsid w:val="002D5382"/>
    <w:rsid w:val="002D5393"/>
    <w:rsid w:val="002D53AD"/>
    <w:rsid w:val="002D54F1"/>
    <w:rsid w:val="002D56DA"/>
    <w:rsid w:val="002D57E1"/>
    <w:rsid w:val="002D59C9"/>
    <w:rsid w:val="002D5A78"/>
    <w:rsid w:val="002D5AF0"/>
    <w:rsid w:val="002D5D4F"/>
    <w:rsid w:val="002D5DC7"/>
    <w:rsid w:val="002D5E93"/>
    <w:rsid w:val="002D5EA8"/>
    <w:rsid w:val="002D5EC3"/>
    <w:rsid w:val="002D60AB"/>
    <w:rsid w:val="002D610D"/>
    <w:rsid w:val="002D6213"/>
    <w:rsid w:val="002D62CE"/>
    <w:rsid w:val="002D6654"/>
    <w:rsid w:val="002D6823"/>
    <w:rsid w:val="002D68CC"/>
    <w:rsid w:val="002D6A05"/>
    <w:rsid w:val="002D6CA8"/>
    <w:rsid w:val="002D709F"/>
    <w:rsid w:val="002D7249"/>
    <w:rsid w:val="002D7352"/>
    <w:rsid w:val="002D758E"/>
    <w:rsid w:val="002D7C12"/>
    <w:rsid w:val="002D7E4D"/>
    <w:rsid w:val="002E0038"/>
    <w:rsid w:val="002E0144"/>
    <w:rsid w:val="002E05CC"/>
    <w:rsid w:val="002E0756"/>
    <w:rsid w:val="002E08D7"/>
    <w:rsid w:val="002E0D12"/>
    <w:rsid w:val="002E0F5D"/>
    <w:rsid w:val="002E1441"/>
    <w:rsid w:val="002E14D2"/>
    <w:rsid w:val="002E1676"/>
    <w:rsid w:val="002E18BB"/>
    <w:rsid w:val="002E1931"/>
    <w:rsid w:val="002E1ABF"/>
    <w:rsid w:val="002E1D68"/>
    <w:rsid w:val="002E1E60"/>
    <w:rsid w:val="002E1FB4"/>
    <w:rsid w:val="002E203D"/>
    <w:rsid w:val="002E205F"/>
    <w:rsid w:val="002E20DC"/>
    <w:rsid w:val="002E2174"/>
    <w:rsid w:val="002E22B5"/>
    <w:rsid w:val="002E23FD"/>
    <w:rsid w:val="002E24A4"/>
    <w:rsid w:val="002E24B7"/>
    <w:rsid w:val="002E2797"/>
    <w:rsid w:val="002E2966"/>
    <w:rsid w:val="002E2A25"/>
    <w:rsid w:val="002E2C6E"/>
    <w:rsid w:val="002E2D79"/>
    <w:rsid w:val="002E3028"/>
    <w:rsid w:val="002E33F3"/>
    <w:rsid w:val="002E34C0"/>
    <w:rsid w:val="002E351C"/>
    <w:rsid w:val="002E37E1"/>
    <w:rsid w:val="002E3B51"/>
    <w:rsid w:val="002E3BA8"/>
    <w:rsid w:val="002E3DDF"/>
    <w:rsid w:val="002E4238"/>
    <w:rsid w:val="002E4784"/>
    <w:rsid w:val="002E47FE"/>
    <w:rsid w:val="002E4ACE"/>
    <w:rsid w:val="002E515D"/>
    <w:rsid w:val="002E51AA"/>
    <w:rsid w:val="002E528C"/>
    <w:rsid w:val="002E533D"/>
    <w:rsid w:val="002E5373"/>
    <w:rsid w:val="002E53F3"/>
    <w:rsid w:val="002E540A"/>
    <w:rsid w:val="002E5452"/>
    <w:rsid w:val="002E5731"/>
    <w:rsid w:val="002E57A7"/>
    <w:rsid w:val="002E583F"/>
    <w:rsid w:val="002E5923"/>
    <w:rsid w:val="002E5BB6"/>
    <w:rsid w:val="002E5CEA"/>
    <w:rsid w:val="002E5D8E"/>
    <w:rsid w:val="002E61B4"/>
    <w:rsid w:val="002E62B5"/>
    <w:rsid w:val="002E6353"/>
    <w:rsid w:val="002E638A"/>
    <w:rsid w:val="002E642A"/>
    <w:rsid w:val="002E6531"/>
    <w:rsid w:val="002E6579"/>
    <w:rsid w:val="002E6686"/>
    <w:rsid w:val="002E6766"/>
    <w:rsid w:val="002E685B"/>
    <w:rsid w:val="002E6A7B"/>
    <w:rsid w:val="002E6A9F"/>
    <w:rsid w:val="002E6B06"/>
    <w:rsid w:val="002E7184"/>
    <w:rsid w:val="002E71D4"/>
    <w:rsid w:val="002E7224"/>
    <w:rsid w:val="002E7715"/>
    <w:rsid w:val="002E7847"/>
    <w:rsid w:val="002E7984"/>
    <w:rsid w:val="002E7AB6"/>
    <w:rsid w:val="002E7B71"/>
    <w:rsid w:val="002E7D28"/>
    <w:rsid w:val="002E7D51"/>
    <w:rsid w:val="002F03A8"/>
    <w:rsid w:val="002F03FC"/>
    <w:rsid w:val="002F05C5"/>
    <w:rsid w:val="002F09A4"/>
    <w:rsid w:val="002F0AC7"/>
    <w:rsid w:val="002F0D85"/>
    <w:rsid w:val="002F115E"/>
    <w:rsid w:val="002F14C8"/>
    <w:rsid w:val="002F1517"/>
    <w:rsid w:val="002F1540"/>
    <w:rsid w:val="002F1565"/>
    <w:rsid w:val="002F1842"/>
    <w:rsid w:val="002F187F"/>
    <w:rsid w:val="002F1AB4"/>
    <w:rsid w:val="002F1D15"/>
    <w:rsid w:val="002F1E06"/>
    <w:rsid w:val="002F21AD"/>
    <w:rsid w:val="002F223D"/>
    <w:rsid w:val="002F225B"/>
    <w:rsid w:val="002F26BB"/>
    <w:rsid w:val="002F26C7"/>
    <w:rsid w:val="002F2775"/>
    <w:rsid w:val="002F28E3"/>
    <w:rsid w:val="002F29CC"/>
    <w:rsid w:val="002F2B8B"/>
    <w:rsid w:val="002F2C02"/>
    <w:rsid w:val="002F2E64"/>
    <w:rsid w:val="002F3016"/>
    <w:rsid w:val="002F30A1"/>
    <w:rsid w:val="002F30F5"/>
    <w:rsid w:val="002F3112"/>
    <w:rsid w:val="002F3292"/>
    <w:rsid w:val="002F34F1"/>
    <w:rsid w:val="002F35BB"/>
    <w:rsid w:val="002F38A9"/>
    <w:rsid w:val="002F3972"/>
    <w:rsid w:val="002F3B4F"/>
    <w:rsid w:val="002F3BE1"/>
    <w:rsid w:val="002F3C81"/>
    <w:rsid w:val="002F3DBC"/>
    <w:rsid w:val="002F408B"/>
    <w:rsid w:val="002F4170"/>
    <w:rsid w:val="002F418B"/>
    <w:rsid w:val="002F42A3"/>
    <w:rsid w:val="002F4300"/>
    <w:rsid w:val="002F433D"/>
    <w:rsid w:val="002F43D3"/>
    <w:rsid w:val="002F4558"/>
    <w:rsid w:val="002F459B"/>
    <w:rsid w:val="002F45CE"/>
    <w:rsid w:val="002F4667"/>
    <w:rsid w:val="002F47AF"/>
    <w:rsid w:val="002F47F0"/>
    <w:rsid w:val="002F47F1"/>
    <w:rsid w:val="002F4859"/>
    <w:rsid w:val="002F49A7"/>
    <w:rsid w:val="002F4AA4"/>
    <w:rsid w:val="002F4B0D"/>
    <w:rsid w:val="002F4B75"/>
    <w:rsid w:val="002F4C5A"/>
    <w:rsid w:val="002F4CAD"/>
    <w:rsid w:val="002F4D7E"/>
    <w:rsid w:val="002F50F7"/>
    <w:rsid w:val="002F52A8"/>
    <w:rsid w:val="002F5407"/>
    <w:rsid w:val="002F5915"/>
    <w:rsid w:val="002F5CEC"/>
    <w:rsid w:val="002F5D30"/>
    <w:rsid w:val="002F5EE6"/>
    <w:rsid w:val="002F5EF4"/>
    <w:rsid w:val="002F6302"/>
    <w:rsid w:val="002F6539"/>
    <w:rsid w:val="002F6666"/>
    <w:rsid w:val="002F68B6"/>
    <w:rsid w:val="002F6AA1"/>
    <w:rsid w:val="002F6B0B"/>
    <w:rsid w:val="002F6BDA"/>
    <w:rsid w:val="002F6C91"/>
    <w:rsid w:val="002F6D30"/>
    <w:rsid w:val="002F7169"/>
    <w:rsid w:val="002F7238"/>
    <w:rsid w:val="002F7261"/>
    <w:rsid w:val="002F7321"/>
    <w:rsid w:val="002F735C"/>
    <w:rsid w:val="002F73B5"/>
    <w:rsid w:val="002F742C"/>
    <w:rsid w:val="002F75C9"/>
    <w:rsid w:val="002F76EA"/>
    <w:rsid w:val="002F773F"/>
    <w:rsid w:val="002F78E4"/>
    <w:rsid w:val="002F799E"/>
    <w:rsid w:val="002F7AD0"/>
    <w:rsid w:val="002F7F1A"/>
    <w:rsid w:val="00300179"/>
    <w:rsid w:val="0030017D"/>
    <w:rsid w:val="003001D1"/>
    <w:rsid w:val="00300464"/>
    <w:rsid w:val="00300673"/>
    <w:rsid w:val="003008F5"/>
    <w:rsid w:val="003009D7"/>
    <w:rsid w:val="00300A1D"/>
    <w:rsid w:val="00300B74"/>
    <w:rsid w:val="00300D43"/>
    <w:rsid w:val="00300DBF"/>
    <w:rsid w:val="00300F38"/>
    <w:rsid w:val="00301303"/>
    <w:rsid w:val="00301449"/>
    <w:rsid w:val="0030163A"/>
    <w:rsid w:val="00301716"/>
    <w:rsid w:val="00301750"/>
    <w:rsid w:val="003018BE"/>
    <w:rsid w:val="00301A49"/>
    <w:rsid w:val="00301ACC"/>
    <w:rsid w:val="00301B7D"/>
    <w:rsid w:val="00301F7F"/>
    <w:rsid w:val="00302249"/>
    <w:rsid w:val="003022C2"/>
    <w:rsid w:val="003023E8"/>
    <w:rsid w:val="00302531"/>
    <w:rsid w:val="003029CD"/>
    <w:rsid w:val="00302C8A"/>
    <w:rsid w:val="00302D28"/>
    <w:rsid w:val="00302DA9"/>
    <w:rsid w:val="00302E9F"/>
    <w:rsid w:val="00302FEC"/>
    <w:rsid w:val="00303077"/>
    <w:rsid w:val="003031FA"/>
    <w:rsid w:val="00303612"/>
    <w:rsid w:val="00303780"/>
    <w:rsid w:val="0030378E"/>
    <w:rsid w:val="0030398D"/>
    <w:rsid w:val="003039A0"/>
    <w:rsid w:val="003039EC"/>
    <w:rsid w:val="00303B1F"/>
    <w:rsid w:val="00303B8D"/>
    <w:rsid w:val="00303E5C"/>
    <w:rsid w:val="00304096"/>
    <w:rsid w:val="003040E8"/>
    <w:rsid w:val="00304347"/>
    <w:rsid w:val="0030446B"/>
    <w:rsid w:val="003046EB"/>
    <w:rsid w:val="003048A5"/>
    <w:rsid w:val="00304A92"/>
    <w:rsid w:val="00304FF1"/>
    <w:rsid w:val="00305054"/>
    <w:rsid w:val="00305161"/>
    <w:rsid w:val="00305261"/>
    <w:rsid w:val="003053F4"/>
    <w:rsid w:val="003054A7"/>
    <w:rsid w:val="00305662"/>
    <w:rsid w:val="003057AC"/>
    <w:rsid w:val="00305812"/>
    <w:rsid w:val="0030585F"/>
    <w:rsid w:val="0030586D"/>
    <w:rsid w:val="00305EA7"/>
    <w:rsid w:val="00305F6C"/>
    <w:rsid w:val="00305FA9"/>
    <w:rsid w:val="00306143"/>
    <w:rsid w:val="00306241"/>
    <w:rsid w:val="00306292"/>
    <w:rsid w:val="003062FC"/>
    <w:rsid w:val="0030633A"/>
    <w:rsid w:val="003063A8"/>
    <w:rsid w:val="003063FF"/>
    <w:rsid w:val="00306477"/>
    <w:rsid w:val="00306479"/>
    <w:rsid w:val="00306482"/>
    <w:rsid w:val="0030649A"/>
    <w:rsid w:val="003065BF"/>
    <w:rsid w:val="003065CE"/>
    <w:rsid w:val="00306745"/>
    <w:rsid w:val="003068B1"/>
    <w:rsid w:val="00306C96"/>
    <w:rsid w:val="00306F2D"/>
    <w:rsid w:val="00306FDB"/>
    <w:rsid w:val="00307296"/>
    <w:rsid w:val="00307520"/>
    <w:rsid w:val="003075D8"/>
    <w:rsid w:val="00307633"/>
    <w:rsid w:val="00307B2C"/>
    <w:rsid w:val="00307B4C"/>
    <w:rsid w:val="00307C9E"/>
    <w:rsid w:val="00307EB7"/>
    <w:rsid w:val="00307FD2"/>
    <w:rsid w:val="00310241"/>
    <w:rsid w:val="003102B1"/>
    <w:rsid w:val="0031030F"/>
    <w:rsid w:val="003104AA"/>
    <w:rsid w:val="003104F8"/>
    <w:rsid w:val="003105D6"/>
    <w:rsid w:val="00310A1B"/>
    <w:rsid w:val="00310D18"/>
    <w:rsid w:val="00310EEF"/>
    <w:rsid w:val="00310F9F"/>
    <w:rsid w:val="003110AB"/>
    <w:rsid w:val="0031144A"/>
    <w:rsid w:val="0031149B"/>
    <w:rsid w:val="003114D2"/>
    <w:rsid w:val="003116D9"/>
    <w:rsid w:val="003116E3"/>
    <w:rsid w:val="00311E45"/>
    <w:rsid w:val="00311F00"/>
    <w:rsid w:val="00311F37"/>
    <w:rsid w:val="00311F79"/>
    <w:rsid w:val="00312235"/>
    <w:rsid w:val="003124EA"/>
    <w:rsid w:val="003125A8"/>
    <w:rsid w:val="003125B4"/>
    <w:rsid w:val="0031295B"/>
    <w:rsid w:val="00312C1A"/>
    <w:rsid w:val="00312EDA"/>
    <w:rsid w:val="00312F99"/>
    <w:rsid w:val="0031326E"/>
    <w:rsid w:val="003135C3"/>
    <w:rsid w:val="00313835"/>
    <w:rsid w:val="0031397B"/>
    <w:rsid w:val="00313AC8"/>
    <w:rsid w:val="00313AD3"/>
    <w:rsid w:val="00313F4E"/>
    <w:rsid w:val="00313FFB"/>
    <w:rsid w:val="003140EE"/>
    <w:rsid w:val="00314135"/>
    <w:rsid w:val="003141A2"/>
    <w:rsid w:val="003141A4"/>
    <w:rsid w:val="003143BB"/>
    <w:rsid w:val="00314521"/>
    <w:rsid w:val="003146B3"/>
    <w:rsid w:val="0031480D"/>
    <w:rsid w:val="00314A9D"/>
    <w:rsid w:val="00314D0A"/>
    <w:rsid w:val="00315008"/>
    <w:rsid w:val="00315069"/>
    <w:rsid w:val="00315222"/>
    <w:rsid w:val="003153B8"/>
    <w:rsid w:val="003153E2"/>
    <w:rsid w:val="003154BC"/>
    <w:rsid w:val="0031569F"/>
    <w:rsid w:val="003156CD"/>
    <w:rsid w:val="00315981"/>
    <w:rsid w:val="00315B5F"/>
    <w:rsid w:val="00315C23"/>
    <w:rsid w:val="00315EA4"/>
    <w:rsid w:val="0031607D"/>
    <w:rsid w:val="003160CF"/>
    <w:rsid w:val="00316168"/>
    <w:rsid w:val="003163DC"/>
    <w:rsid w:val="003164A5"/>
    <w:rsid w:val="0031664A"/>
    <w:rsid w:val="003169E5"/>
    <w:rsid w:val="00316CD2"/>
    <w:rsid w:val="003172A1"/>
    <w:rsid w:val="003172D7"/>
    <w:rsid w:val="0031732D"/>
    <w:rsid w:val="003173A1"/>
    <w:rsid w:val="003174B7"/>
    <w:rsid w:val="0031767D"/>
    <w:rsid w:val="003176D3"/>
    <w:rsid w:val="003176EE"/>
    <w:rsid w:val="0031789C"/>
    <w:rsid w:val="00317BB0"/>
    <w:rsid w:val="00317C19"/>
    <w:rsid w:val="00317C53"/>
    <w:rsid w:val="00317E7A"/>
    <w:rsid w:val="00317EEC"/>
    <w:rsid w:val="003200DE"/>
    <w:rsid w:val="00320112"/>
    <w:rsid w:val="003203AD"/>
    <w:rsid w:val="0032069B"/>
    <w:rsid w:val="003206FA"/>
    <w:rsid w:val="0032078D"/>
    <w:rsid w:val="00320C0D"/>
    <w:rsid w:val="00320CBE"/>
    <w:rsid w:val="00320E19"/>
    <w:rsid w:val="00320E89"/>
    <w:rsid w:val="00320E97"/>
    <w:rsid w:val="00321147"/>
    <w:rsid w:val="003211AD"/>
    <w:rsid w:val="00321235"/>
    <w:rsid w:val="0032150B"/>
    <w:rsid w:val="00321633"/>
    <w:rsid w:val="003216F8"/>
    <w:rsid w:val="0032177F"/>
    <w:rsid w:val="00321869"/>
    <w:rsid w:val="003219BF"/>
    <w:rsid w:val="00321A6D"/>
    <w:rsid w:val="00321C56"/>
    <w:rsid w:val="00322021"/>
    <w:rsid w:val="00322053"/>
    <w:rsid w:val="003222C7"/>
    <w:rsid w:val="00322345"/>
    <w:rsid w:val="003223A3"/>
    <w:rsid w:val="003224F5"/>
    <w:rsid w:val="00322AF3"/>
    <w:rsid w:val="00322B29"/>
    <w:rsid w:val="00322C8A"/>
    <w:rsid w:val="00322CF0"/>
    <w:rsid w:val="00322D0C"/>
    <w:rsid w:val="003230CE"/>
    <w:rsid w:val="0032332D"/>
    <w:rsid w:val="003233B5"/>
    <w:rsid w:val="003234EA"/>
    <w:rsid w:val="0032351C"/>
    <w:rsid w:val="00323705"/>
    <w:rsid w:val="0032386B"/>
    <w:rsid w:val="0032390D"/>
    <w:rsid w:val="00323D32"/>
    <w:rsid w:val="00323EB9"/>
    <w:rsid w:val="00323F55"/>
    <w:rsid w:val="00324147"/>
    <w:rsid w:val="003247BD"/>
    <w:rsid w:val="00324872"/>
    <w:rsid w:val="00324919"/>
    <w:rsid w:val="00324975"/>
    <w:rsid w:val="003249CD"/>
    <w:rsid w:val="00324A1E"/>
    <w:rsid w:val="00324B59"/>
    <w:rsid w:val="00325121"/>
    <w:rsid w:val="00325233"/>
    <w:rsid w:val="00325447"/>
    <w:rsid w:val="00325498"/>
    <w:rsid w:val="00325594"/>
    <w:rsid w:val="003255DE"/>
    <w:rsid w:val="00325613"/>
    <w:rsid w:val="0032594E"/>
    <w:rsid w:val="00325B2F"/>
    <w:rsid w:val="00325B67"/>
    <w:rsid w:val="00325ECF"/>
    <w:rsid w:val="00325F9E"/>
    <w:rsid w:val="0032620D"/>
    <w:rsid w:val="003262CE"/>
    <w:rsid w:val="0032646F"/>
    <w:rsid w:val="00326519"/>
    <w:rsid w:val="0032654D"/>
    <w:rsid w:val="0032674A"/>
    <w:rsid w:val="003267A8"/>
    <w:rsid w:val="00326ADE"/>
    <w:rsid w:val="00326B40"/>
    <w:rsid w:val="00326D79"/>
    <w:rsid w:val="00326FA1"/>
    <w:rsid w:val="00327390"/>
    <w:rsid w:val="003275C8"/>
    <w:rsid w:val="00327639"/>
    <w:rsid w:val="003276C0"/>
    <w:rsid w:val="0032771A"/>
    <w:rsid w:val="00327737"/>
    <w:rsid w:val="00327757"/>
    <w:rsid w:val="003277BA"/>
    <w:rsid w:val="0032789D"/>
    <w:rsid w:val="003278B7"/>
    <w:rsid w:val="00327903"/>
    <w:rsid w:val="003279C7"/>
    <w:rsid w:val="00327C6E"/>
    <w:rsid w:val="00327CD9"/>
    <w:rsid w:val="00327D93"/>
    <w:rsid w:val="003303B0"/>
    <w:rsid w:val="00330441"/>
    <w:rsid w:val="00330577"/>
    <w:rsid w:val="00330659"/>
    <w:rsid w:val="003306AD"/>
    <w:rsid w:val="003307BB"/>
    <w:rsid w:val="00330945"/>
    <w:rsid w:val="00330A5F"/>
    <w:rsid w:val="00330B2B"/>
    <w:rsid w:val="00330D62"/>
    <w:rsid w:val="00330EDA"/>
    <w:rsid w:val="00330FFD"/>
    <w:rsid w:val="003310A3"/>
    <w:rsid w:val="00331135"/>
    <w:rsid w:val="0033114E"/>
    <w:rsid w:val="003312FC"/>
    <w:rsid w:val="00331326"/>
    <w:rsid w:val="0033165A"/>
    <w:rsid w:val="003317D8"/>
    <w:rsid w:val="003318C1"/>
    <w:rsid w:val="00331CA7"/>
    <w:rsid w:val="00331F01"/>
    <w:rsid w:val="0033218E"/>
    <w:rsid w:val="003321AC"/>
    <w:rsid w:val="003322D2"/>
    <w:rsid w:val="00332328"/>
    <w:rsid w:val="00332362"/>
    <w:rsid w:val="00332461"/>
    <w:rsid w:val="00332C93"/>
    <w:rsid w:val="00332D25"/>
    <w:rsid w:val="00332D87"/>
    <w:rsid w:val="00332E09"/>
    <w:rsid w:val="00333045"/>
    <w:rsid w:val="00333230"/>
    <w:rsid w:val="00333250"/>
    <w:rsid w:val="003333AA"/>
    <w:rsid w:val="0033340A"/>
    <w:rsid w:val="0033342A"/>
    <w:rsid w:val="00333541"/>
    <w:rsid w:val="00333675"/>
    <w:rsid w:val="0033377B"/>
    <w:rsid w:val="00333A1D"/>
    <w:rsid w:val="00333BF0"/>
    <w:rsid w:val="00333C95"/>
    <w:rsid w:val="00333E66"/>
    <w:rsid w:val="00333E75"/>
    <w:rsid w:val="003343C6"/>
    <w:rsid w:val="00334445"/>
    <w:rsid w:val="003346B2"/>
    <w:rsid w:val="0033471E"/>
    <w:rsid w:val="0033473F"/>
    <w:rsid w:val="0033481E"/>
    <w:rsid w:val="003349FA"/>
    <w:rsid w:val="00334A68"/>
    <w:rsid w:val="00334CB4"/>
    <w:rsid w:val="00334DD8"/>
    <w:rsid w:val="00334FBF"/>
    <w:rsid w:val="0033502C"/>
    <w:rsid w:val="0033511D"/>
    <w:rsid w:val="00335207"/>
    <w:rsid w:val="00335425"/>
    <w:rsid w:val="00335441"/>
    <w:rsid w:val="003355E1"/>
    <w:rsid w:val="0033586F"/>
    <w:rsid w:val="003358C7"/>
    <w:rsid w:val="00335CAC"/>
    <w:rsid w:val="00335E7F"/>
    <w:rsid w:val="00335EBC"/>
    <w:rsid w:val="00335F6D"/>
    <w:rsid w:val="00336054"/>
    <w:rsid w:val="003362FE"/>
    <w:rsid w:val="0033634F"/>
    <w:rsid w:val="00336428"/>
    <w:rsid w:val="003365F8"/>
    <w:rsid w:val="00336C23"/>
    <w:rsid w:val="003370F2"/>
    <w:rsid w:val="003371D9"/>
    <w:rsid w:val="00337246"/>
    <w:rsid w:val="00337349"/>
    <w:rsid w:val="00337470"/>
    <w:rsid w:val="003376E4"/>
    <w:rsid w:val="00337848"/>
    <w:rsid w:val="003379CD"/>
    <w:rsid w:val="00337B18"/>
    <w:rsid w:val="00337C0C"/>
    <w:rsid w:val="00337E41"/>
    <w:rsid w:val="00337E5E"/>
    <w:rsid w:val="00337EE3"/>
    <w:rsid w:val="00340222"/>
    <w:rsid w:val="00340433"/>
    <w:rsid w:val="003404CA"/>
    <w:rsid w:val="00340704"/>
    <w:rsid w:val="00340760"/>
    <w:rsid w:val="003407A5"/>
    <w:rsid w:val="0034096D"/>
    <w:rsid w:val="003409FC"/>
    <w:rsid w:val="00340C11"/>
    <w:rsid w:val="00340C3C"/>
    <w:rsid w:val="003410BF"/>
    <w:rsid w:val="003411CA"/>
    <w:rsid w:val="00341723"/>
    <w:rsid w:val="0034176C"/>
    <w:rsid w:val="00341825"/>
    <w:rsid w:val="0034188D"/>
    <w:rsid w:val="00341AAF"/>
    <w:rsid w:val="00341F15"/>
    <w:rsid w:val="00341F55"/>
    <w:rsid w:val="00342187"/>
    <w:rsid w:val="003421CD"/>
    <w:rsid w:val="0034244D"/>
    <w:rsid w:val="003424B1"/>
    <w:rsid w:val="003424B9"/>
    <w:rsid w:val="00342531"/>
    <w:rsid w:val="003426EC"/>
    <w:rsid w:val="003429D1"/>
    <w:rsid w:val="00342AAB"/>
    <w:rsid w:val="00342BEC"/>
    <w:rsid w:val="00342C23"/>
    <w:rsid w:val="00342E95"/>
    <w:rsid w:val="00343096"/>
    <w:rsid w:val="0034315E"/>
    <w:rsid w:val="00343203"/>
    <w:rsid w:val="00343323"/>
    <w:rsid w:val="0034361B"/>
    <w:rsid w:val="003436E6"/>
    <w:rsid w:val="0034372C"/>
    <w:rsid w:val="00343791"/>
    <w:rsid w:val="0034382B"/>
    <w:rsid w:val="00343A17"/>
    <w:rsid w:val="00343CA8"/>
    <w:rsid w:val="00343E07"/>
    <w:rsid w:val="00343E4E"/>
    <w:rsid w:val="00343EE7"/>
    <w:rsid w:val="00343FE6"/>
    <w:rsid w:val="0034410D"/>
    <w:rsid w:val="0034438B"/>
    <w:rsid w:val="003444FD"/>
    <w:rsid w:val="003446C4"/>
    <w:rsid w:val="00344952"/>
    <w:rsid w:val="00344ADE"/>
    <w:rsid w:val="00344E44"/>
    <w:rsid w:val="00344E7B"/>
    <w:rsid w:val="00345013"/>
    <w:rsid w:val="00345028"/>
    <w:rsid w:val="00345164"/>
    <w:rsid w:val="003451DF"/>
    <w:rsid w:val="003451F5"/>
    <w:rsid w:val="003453CA"/>
    <w:rsid w:val="00345492"/>
    <w:rsid w:val="003459A9"/>
    <w:rsid w:val="00345BE0"/>
    <w:rsid w:val="00345C6F"/>
    <w:rsid w:val="00345D7B"/>
    <w:rsid w:val="0034603E"/>
    <w:rsid w:val="0034606E"/>
    <w:rsid w:val="003460FC"/>
    <w:rsid w:val="00346141"/>
    <w:rsid w:val="0034651C"/>
    <w:rsid w:val="0034653A"/>
    <w:rsid w:val="0034665F"/>
    <w:rsid w:val="00346741"/>
    <w:rsid w:val="0034683D"/>
    <w:rsid w:val="00346870"/>
    <w:rsid w:val="0034691E"/>
    <w:rsid w:val="0034702F"/>
    <w:rsid w:val="0034721C"/>
    <w:rsid w:val="00347391"/>
    <w:rsid w:val="0034778A"/>
    <w:rsid w:val="003478ED"/>
    <w:rsid w:val="0034792B"/>
    <w:rsid w:val="00347A1E"/>
    <w:rsid w:val="00347AED"/>
    <w:rsid w:val="00347B0C"/>
    <w:rsid w:val="00347C5D"/>
    <w:rsid w:val="00347DE7"/>
    <w:rsid w:val="00347EBA"/>
    <w:rsid w:val="00347EC7"/>
    <w:rsid w:val="00347FC4"/>
    <w:rsid w:val="00347FFD"/>
    <w:rsid w:val="0035021E"/>
    <w:rsid w:val="00350233"/>
    <w:rsid w:val="00350308"/>
    <w:rsid w:val="00350333"/>
    <w:rsid w:val="00350602"/>
    <w:rsid w:val="003506C0"/>
    <w:rsid w:val="0035099D"/>
    <w:rsid w:val="00350A57"/>
    <w:rsid w:val="00350B36"/>
    <w:rsid w:val="00350D13"/>
    <w:rsid w:val="003512D8"/>
    <w:rsid w:val="003514FB"/>
    <w:rsid w:val="0035160C"/>
    <w:rsid w:val="0035168D"/>
    <w:rsid w:val="00351755"/>
    <w:rsid w:val="00351BAA"/>
    <w:rsid w:val="00351BD1"/>
    <w:rsid w:val="00351CBB"/>
    <w:rsid w:val="00351D23"/>
    <w:rsid w:val="00351EC6"/>
    <w:rsid w:val="00351FB9"/>
    <w:rsid w:val="003523BF"/>
    <w:rsid w:val="003523D3"/>
    <w:rsid w:val="00352561"/>
    <w:rsid w:val="003525C2"/>
    <w:rsid w:val="00352657"/>
    <w:rsid w:val="003526BF"/>
    <w:rsid w:val="00352A04"/>
    <w:rsid w:val="00352A0C"/>
    <w:rsid w:val="00352CA1"/>
    <w:rsid w:val="00352DDD"/>
    <w:rsid w:val="00352E44"/>
    <w:rsid w:val="00352EC0"/>
    <w:rsid w:val="00353159"/>
    <w:rsid w:val="00353182"/>
    <w:rsid w:val="0035334B"/>
    <w:rsid w:val="003535EF"/>
    <w:rsid w:val="003536C2"/>
    <w:rsid w:val="00353700"/>
    <w:rsid w:val="0035385E"/>
    <w:rsid w:val="003538FD"/>
    <w:rsid w:val="00353A29"/>
    <w:rsid w:val="00353B63"/>
    <w:rsid w:val="00353B7F"/>
    <w:rsid w:val="00353DF9"/>
    <w:rsid w:val="00353ED7"/>
    <w:rsid w:val="00353EDD"/>
    <w:rsid w:val="00353FAD"/>
    <w:rsid w:val="003545DE"/>
    <w:rsid w:val="003549C5"/>
    <w:rsid w:val="00354A25"/>
    <w:rsid w:val="00354E0E"/>
    <w:rsid w:val="00355108"/>
    <w:rsid w:val="003551D2"/>
    <w:rsid w:val="0035523A"/>
    <w:rsid w:val="0035552E"/>
    <w:rsid w:val="0035559C"/>
    <w:rsid w:val="003555A1"/>
    <w:rsid w:val="00355962"/>
    <w:rsid w:val="00356085"/>
    <w:rsid w:val="00356326"/>
    <w:rsid w:val="00356448"/>
    <w:rsid w:val="00356493"/>
    <w:rsid w:val="00356789"/>
    <w:rsid w:val="00356A0E"/>
    <w:rsid w:val="00356BEB"/>
    <w:rsid w:val="00356D77"/>
    <w:rsid w:val="00356E5D"/>
    <w:rsid w:val="00356F1F"/>
    <w:rsid w:val="00356F27"/>
    <w:rsid w:val="00357172"/>
    <w:rsid w:val="00357188"/>
    <w:rsid w:val="00357426"/>
    <w:rsid w:val="0035747B"/>
    <w:rsid w:val="00357609"/>
    <w:rsid w:val="00357668"/>
    <w:rsid w:val="00357710"/>
    <w:rsid w:val="0035791A"/>
    <w:rsid w:val="00357933"/>
    <w:rsid w:val="00357983"/>
    <w:rsid w:val="003579E8"/>
    <w:rsid w:val="00357B47"/>
    <w:rsid w:val="00357C6B"/>
    <w:rsid w:val="00357CF1"/>
    <w:rsid w:val="0036013E"/>
    <w:rsid w:val="003601C5"/>
    <w:rsid w:val="003602E6"/>
    <w:rsid w:val="00360370"/>
    <w:rsid w:val="00360372"/>
    <w:rsid w:val="00360484"/>
    <w:rsid w:val="003605A3"/>
    <w:rsid w:val="003608CB"/>
    <w:rsid w:val="003608DE"/>
    <w:rsid w:val="00360929"/>
    <w:rsid w:val="00360947"/>
    <w:rsid w:val="00360A64"/>
    <w:rsid w:val="00360C34"/>
    <w:rsid w:val="00360CEC"/>
    <w:rsid w:val="00360D18"/>
    <w:rsid w:val="00360D59"/>
    <w:rsid w:val="00360DF4"/>
    <w:rsid w:val="00360F0B"/>
    <w:rsid w:val="00361476"/>
    <w:rsid w:val="003617E9"/>
    <w:rsid w:val="0036184D"/>
    <w:rsid w:val="00361A71"/>
    <w:rsid w:val="00361D1C"/>
    <w:rsid w:val="00361DBF"/>
    <w:rsid w:val="0036207E"/>
    <w:rsid w:val="0036212C"/>
    <w:rsid w:val="00362338"/>
    <w:rsid w:val="00362603"/>
    <w:rsid w:val="003629DC"/>
    <w:rsid w:val="00362A3B"/>
    <w:rsid w:val="00362A77"/>
    <w:rsid w:val="00362CE1"/>
    <w:rsid w:val="00362EFF"/>
    <w:rsid w:val="00363073"/>
    <w:rsid w:val="00363537"/>
    <w:rsid w:val="0036372E"/>
    <w:rsid w:val="00363788"/>
    <w:rsid w:val="003638A9"/>
    <w:rsid w:val="0036390D"/>
    <w:rsid w:val="00363D3C"/>
    <w:rsid w:val="00363D82"/>
    <w:rsid w:val="00363EFA"/>
    <w:rsid w:val="00364566"/>
    <w:rsid w:val="00364683"/>
    <w:rsid w:val="00364742"/>
    <w:rsid w:val="0036480F"/>
    <w:rsid w:val="003648E9"/>
    <w:rsid w:val="00364970"/>
    <w:rsid w:val="00364A8F"/>
    <w:rsid w:val="00364DD4"/>
    <w:rsid w:val="00364EB4"/>
    <w:rsid w:val="00364F7A"/>
    <w:rsid w:val="0036507A"/>
    <w:rsid w:val="0036531E"/>
    <w:rsid w:val="003653CD"/>
    <w:rsid w:val="00365578"/>
    <w:rsid w:val="003656FD"/>
    <w:rsid w:val="0036578B"/>
    <w:rsid w:val="00365796"/>
    <w:rsid w:val="003658EE"/>
    <w:rsid w:val="00365A59"/>
    <w:rsid w:val="00365D12"/>
    <w:rsid w:val="00365EC2"/>
    <w:rsid w:val="00365FD8"/>
    <w:rsid w:val="00365FF4"/>
    <w:rsid w:val="00366428"/>
    <w:rsid w:val="00366530"/>
    <w:rsid w:val="00366605"/>
    <w:rsid w:val="00366804"/>
    <w:rsid w:val="00366812"/>
    <w:rsid w:val="0036697F"/>
    <w:rsid w:val="00366981"/>
    <w:rsid w:val="00366ABA"/>
    <w:rsid w:val="00366ADE"/>
    <w:rsid w:val="00366B38"/>
    <w:rsid w:val="003672DA"/>
    <w:rsid w:val="0036769B"/>
    <w:rsid w:val="0036789F"/>
    <w:rsid w:val="00367937"/>
    <w:rsid w:val="00367972"/>
    <w:rsid w:val="003679CA"/>
    <w:rsid w:val="00367C2B"/>
    <w:rsid w:val="00367C89"/>
    <w:rsid w:val="00367E5D"/>
    <w:rsid w:val="00367F22"/>
    <w:rsid w:val="00370035"/>
    <w:rsid w:val="003700B8"/>
    <w:rsid w:val="0037067F"/>
    <w:rsid w:val="003707FD"/>
    <w:rsid w:val="00370C49"/>
    <w:rsid w:val="00370F57"/>
    <w:rsid w:val="00370FB1"/>
    <w:rsid w:val="00371601"/>
    <w:rsid w:val="00371743"/>
    <w:rsid w:val="00371918"/>
    <w:rsid w:val="0037192C"/>
    <w:rsid w:val="00371A77"/>
    <w:rsid w:val="00371AE1"/>
    <w:rsid w:val="00371D66"/>
    <w:rsid w:val="00371DE8"/>
    <w:rsid w:val="00371F91"/>
    <w:rsid w:val="003721BC"/>
    <w:rsid w:val="003722DD"/>
    <w:rsid w:val="00372440"/>
    <w:rsid w:val="00372831"/>
    <w:rsid w:val="0037294A"/>
    <w:rsid w:val="00372C35"/>
    <w:rsid w:val="00372D5E"/>
    <w:rsid w:val="003730C2"/>
    <w:rsid w:val="003732D1"/>
    <w:rsid w:val="0037332A"/>
    <w:rsid w:val="003734E5"/>
    <w:rsid w:val="00373667"/>
    <w:rsid w:val="0037385B"/>
    <w:rsid w:val="003739C1"/>
    <w:rsid w:val="00373B58"/>
    <w:rsid w:val="00373B69"/>
    <w:rsid w:val="00373CF5"/>
    <w:rsid w:val="00373D2D"/>
    <w:rsid w:val="00373E7F"/>
    <w:rsid w:val="00373FCD"/>
    <w:rsid w:val="0037407E"/>
    <w:rsid w:val="00374292"/>
    <w:rsid w:val="00374319"/>
    <w:rsid w:val="00374359"/>
    <w:rsid w:val="003743F3"/>
    <w:rsid w:val="00374691"/>
    <w:rsid w:val="003747EF"/>
    <w:rsid w:val="00374887"/>
    <w:rsid w:val="00374A99"/>
    <w:rsid w:val="00374AE9"/>
    <w:rsid w:val="00374AF3"/>
    <w:rsid w:val="00374EFB"/>
    <w:rsid w:val="00374F46"/>
    <w:rsid w:val="00374F85"/>
    <w:rsid w:val="00375083"/>
    <w:rsid w:val="00375374"/>
    <w:rsid w:val="0037538F"/>
    <w:rsid w:val="0037543A"/>
    <w:rsid w:val="00375724"/>
    <w:rsid w:val="003757F0"/>
    <w:rsid w:val="003757F3"/>
    <w:rsid w:val="0037593D"/>
    <w:rsid w:val="00375B6D"/>
    <w:rsid w:val="00375B76"/>
    <w:rsid w:val="00375C1F"/>
    <w:rsid w:val="00376111"/>
    <w:rsid w:val="003761C2"/>
    <w:rsid w:val="0037623D"/>
    <w:rsid w:val="00376240"/>
    <w:rsid w:val="003765D0"/>
    <w:rsid w:val="003766B8"/>
    <w:rsid w:val="003768AE"/>
    <w:rsid w:val="00376A2F"/>
    <w:rsid w:val="00376ABB"/>
    <w:rsid w:val="00376B04"/>
    <w:rsid w:val="00376C3B"/>
    <w:rsid w:val="00376EF9"/>
    <w:rsid w:val="00377204"/>
    <w:rsid w:val="0037729F"/>
    <w:rsid w:val="00377344"/>
    <w:rsid w:val="00377388"/>
    <w:rsid w:val="00377480"/>
    <w:rsid w:val="00377601"/>
    <w:rsid w:val="00377713"/>
    <w:rsid w:val="00377A3D"/>
    <w:rsid w:val="00380182"/>
    <w:rsid w:val="00380291"/>
    <w:rsid w:val="0038038A"/>
    <w:rsid w:val="0038043B"/>
    <w:rsid w:val="00380739"/>
    <w:rsid w:val="0038079E"/>
    <w:rsid w:val="00380817"/>
    <w:rsid w:val="00380B3B"/>
    <w:rsid w:val="00380C9C"/>
    <w:rsid w:val="00380E04"/>
    <w:rsid w:val="00380E17"/>
    <w:rsid w:val="00380F15"/>
    <w:rsid w:val="00380F9A"/>
    <w:rsid w:val="00380FF7"/>
    <w:rsid w:val="00381282"/>
    <w:rsid w:val="00381285"/>
    <w:rsid w:val="00381579"/>
    <w:rsid w:val="003819A0"/>
    <w:rsid w:val="00381C04"/>
    <w:rsid w:val="00381D29"/>
    <w:rsid w:val="00381DAF"/>
    <w:rsid w:val="00381EAC"/>
    <w:rsid w:val="00382009"/>
    <w:rsid w:val="003820EC"/>
    <w:rsid w:val="003822A4"/>
    <w:rsid w:val="003823D1"/>
    <w:rsid w:val="00382415"/>
    <w:rsid w:val="00382477"/>
    <w:rsid w:val="003826D2"/>
    <w:rsid w:val="0038283C"/>
    <w:rsid w:val="00382AAA"/>
    <w:rsid w:val="00382B1C"/>
    <w:rsid w:val="00382DBC"/>
    <w:rsid w:val="00382E3D"/>
    <w:rsid w:val="00382E82"/>
    <w:rsid w:val="00382F0D"/>
    <w:rsid w:val="0038334D"/>
    <w:rsid w:val="003835BA"/>
    <w:rsid w:val="003835D2"/>
    <w:rsid w:val="003838DF"/>
    <w:rsid w:val="003839DF"/>
    <w:rsid w:val="00383B3E"/>
    <w:rsid w:val="00383BCB"/>
    <w:rsid w:val="00383C1D"/>
    <w:rsid w:val="00383DE7"/>
    <w:rsid w:val="00383E36"/>
    <w:rsid w:val="00383EF9"/>
    <w:rsid w:val="00383F7F"/>
    <w:rsid w:val="003841E2"/>
    <w:rsid w:val="003843F6"/>
    <w:rsid w:val="0038440B"/>
    <w:rsid w:val="00384511"/>
    <w:rsid w:val="003847F9"/>
    <w:rsid w:val="00384A5E"/>
    <w:rsid w:val="00384BB7"/>
    <w:rsid w:val="00384D91"/>
    <w:rsid w:val="00384FD3"/>
    <w:rsid w:val="003850CB"/>
    <w:rsid w:val="003851A3"/>
    <w:rsid w:val="003851D1"/>
    <w:rsid w:val="00385285"/>
    <w:rsid w:val="00385309"/>
    <w:rsid w:val="0038539C"/>
    <w:rsid w:val="0038544F"/>
    <w:rsid w:val="00385486"/>
    <w:rsid w:val="00385569"/>
    <w:rsid w:val="003856EA"/>
    <w:rsid w:val="00385769"/>
    <w:rsid w:val="0038581F"/>
    <w:rsid w:val="00385987"/>
    <w:rsid w:val="00385A2A"/>
    <w:rsid w:val="0038603C"/>
    <w:rsid w:val="0038616D"/>
    <w:rsid w:val="00386461"/>
    <w:rsid w:val="003865EA"/>
    <w:rsid w:val="003867AC"/>
    <w:rsid w:val="00387041"/>
    <w:rsid w:val="00387216"/>
    <w:rsid w:val="0038728D"/>
    <w:rsid w:val="00387315"/>
    <w:rsid w:val="003873D7"/>
    <w:rsid w:val="0038746A"/>
    <w:rsid w:val="0038770D"/>
    <w:rsid w:val="00387A78"/>
    <w:rsid w:val="00387C1C"/>
    <w:rsid w:val="00387D8E"/>
    <w:rsid w:val="00387E4E"/>
    <w:rsid w:val="00390069"/>
    <w:rsid w:val="00390289"/>
    <w:rsid w:val="003902F3"/>
    <w:rsid w:val="0039030B"/>
    <w:rsid w:val="0039034C"/>
    <w:rsid w:val="00390511"/>
    <w:rsid w:val="0039064D"/>
    <w:rsid w:val="00390664"/>
    <w:rsid w:val="0039075E"/>
    <w:rsid w:val="00390869"/>
    <w:rsid w:val="003909E2"/>
    <w:rsid w:val="00390B89"/>
    <w:rsid w:val="00390D44"/>
    <w:rsid w:val="0039107B"/>
    <w:rsid w:val="003910C1"/>
    <w:rsid w:val="00391128"/>
    <w:rsid w:val="0039118A"/>
    <w:rsid w:val="0039126A"/>
    <w:rsid w:val="003912F5"/>
    <w:rsid w:val="00391631"/>
    <w:rsid w:val="00391654"/>
    <w:rsid w:val="00391678"/>
    <w:rsid w:val="00391B13"/>
    <w:rsid w:val="00391BD3"/>
    <w:rsid w:val="00391C3D"/>
    <w:rsid w:val="00391CA5"/>
    <w:rsid w:val="00391DD9"/>
    <w:rsid w:val="00392159"/>
    <w:rsid w:val="0039231F"/>
    <w:rsid w:val="00392375"/>
    <w:rsid w:val="00392458"/>
    <w:rsid w:val="003925C5"/>
    <w:rsid w:val="0039277D"/>
    <w:rsid w:val="00392AAE"/>
    <w:rsid w:val="00392B07"/>
    <w:rsid w:val="00392B6A"/>
    <w:rsid w:val="00392C07"/>
    <w:rsid w:val="00393281"/>
    <w:rsid w:val="003932A3"/>
    <w:rsid w:val="003932CA"/>
    <w:rsid w:val="00393387"/>
    <w:rsid w:val="003933B2"/>
    <w:rsid w:val="003933CD"/>
    <w:rsid w:val="003935EE"/>
    <w:rsid w:val="00393B69"/>
    <w:rsid w:val="00393C7E"/>
    <w:rsid w:val="00393CD5"/>
    <w:rsid w:val="00393D92"/>
    <w:rsid w:val="00393F59"/>
    <w:rsid w:val="00394446"/>
    <w:rsid w:val="00394740"/>
    <w:rsid w:val="00394A9C"/>
    <w:rsid w:val="00394DC4"/>
    <w:rsid w:val="00394E5E"/>
    <w:rsid w:val="00395121"/>
    <w:rsid w:val="003952BF"/>
    <w:rsid w:val="00395313"/>
    <w:rsid w:val="00395441"/>
    <w:rsid w:val="00395618"/>
    <w:rsid w:val="00395861"/>
    <w:rsid w:val="00395986"/>
    <w:rsid w:val="00395988"/>
    <w:rsid w:val="0039599E"/>
    <w:rsid w:val="003959EB"/>
    <w:rsid w:val="00395BD3"/>
    <w:rsid w:val="00395ECE"/>
    <w:rsid w:val="00396025"/>
    <w:rsid w:val="00396250"/>
    <w:rsid w:val="0039648E"/>
    <w:rsid w:val="003964A6"/>
    <w:rsid w:val="00396774"/>
    <w:rsid w:val="003967DC"/>
    <w:rsid w:val="003968F6"/>
    <w:rsid w:val="00396917"/>
    <w:rsid w:val="003969E7"/>
    <w:rsid w:val="00396A4E"/>
    <w:rsid w:val="00396AD9"/>
    <w:rsid w:val="00396EA2"/>
    <w:rsid w:val="00397212"/>
    <w:rsid w:val="00397302"/>
    <w:rsid w:val="00397518"/>
    <w:rsid w:val="0039752F"/>
    <w:rsid w:val="003975B8"/>
    <w:rsid w:val="003975C5"/>
    <w:rsid w:val="00397727"/>
    <w:rsid w:val="0039780E"/>
    <w:rsid w:val="00397AFD"/>
    <w:rsid w:val="00397BB6"/>
    <w:rsid w:val="003A00E3"/>
    <w:rsid w:val="003A013F"/>
    <w:rsid w:val="003A02BD"/>
    <w:rsid w:val="003A04D5"/>
    <w:rsid w:val="003A077F"/>
    <w:rsid w:val="003A08DA"/>
    <w:rsid w:val="003A0A2D"/>
    <w:rsid w:val="003A0D30"/>
    <w:rsid w:val="003A0D68"/>
    <w:rsid w:val="003A0D6A"/>
    <w:rsid w:val="003A0EBB"/>
    <w:rsid w:val="003A0F58"/>
    <w:rsid w:val="003A0FFE"/>
    <w:rsid w:val="003A1112"/>
    <w:rsid w:val="003A115B"/>
    <w:rsid w:val="003A11A9"/>
    <w:rsid w:val="003A13CD"/>
    <w:rsid w:val="003A1538"/>
    <w:rsid w:val="003A163E"/>
    <w:rsid w:val="003A1814"/>
    <w:rsid w:val="003A18DD"/>
    <w:rsid w:val="003A194F"/>
    <w:rsid w:val="003A1A76"/>
    <w:rsid w:val="003A1B17"/>
    <w:rsid w:val="003A1C97"/>
    <w:rsid w:val="003A1D09"/>
    <w:rsid w:val="003A1DC5"/>
    <w:rsid w:val="003A1E16"/>
    <w:rsid w:val="003A1E60"/>
    <w:rsid w:val="003A2040"/>
    <w:rsid w:val="003A215A"/>
    <w:rsid w:val="003A22B6"/>
    <w:rsid w:val="003A239C"/>
    <w:rsid w:val="003A24C6"/>
    <w:rsid w:val="003A25AA"/>
    <w:rsid w:val="003A2A02"/>
    <w:rsid w:val="003A2A2E"/>
    <w:rsid w:val="003A2AE9"/>
    <w:rsid w:val="003A2B9A"/>
    <w:rsid w:val="003A2BDE"/>
    <w:rsid w:val="003A2C95"/>
    <w:rsid w:val="003A2E11"/>
    <w:rsid w:val="003A2E9B"/>
    <w:rsid w:val="003A2FEA"/>
    <w:rsid w:val="003A3063"/>
    <w:rsid w:val="003A33EB"/>
    <w:rsid w:val="003A351F"/>
    <w:rsid w:val="003A36D6"/>
    <w:rsid w:val="003A37AF"/>
    <w:rsid w:val="003A386F"/>
    <w:rsid w:val="003A3AC2"/>
    <w:rsid w:val="003A3D50"/>
    <w:rsid w:val="003A405B"/>
    <w:rsid w:val="003A42F3"/>
    <w:rsid w:val="003A4385"/>
    <w:rsid w:val="003A44E8"/>
    <w:rsid w:val="003A45DA"/>
    <w:rsid w:val="003A475C"/>
    <w:rsid w:val="003A4AD1"/>
    <w:rsid w:val="003A4B7F"/>
    <w:rsid w:val="003A52F2"/>
    <w:rsid w:val="003A53A0"/>
    <w:rsid w:val="003A53F1"/>
    <w:rsid w:val="003A5608"/>
    <w:rsid w:val="003A59B4"/>
    <w:rsid w:val="003A5C7F"/>
    <w:rsid w:val="003A62D4"/>
    <w:rsid w:val="003A6593"/>
    <w:rsid w:val="003A6744"/>
    <w:rsid w:val="003A6A05"/>
    <w:rsid w:val="003A6C76"/>
    <w:rsid w:val="003A6DA3"/>
    <w:rsid w:val="003A6EDF"/>
    <w:rsid w:val="003A6F51"/>
    <w:rsid w:val="003A6F74"/>
    <w:rsid w:val="003A6FFA"/>
    <w:rsid w:val="003A705C"/>
    <w:rsid w:val="003A7076"/>
    <w:rsid w:val="003A71A8"/>
    <w:rsid w:val="003A71D4"/>
    <w:rsid w:val="003A71DA"/>
    <w:rsid w:val="003A730F"/>
    <w:rsid w:val="003A7371"/>
    <w:rsid w:val="003A7511"/>
    <w:rsid w:val="003A7642"/>
    <w:rsid w:val="003A77DF"/>
    <w:rsid w:val="003A780A"/>
    <w:rsid w:val="003A7CD7"/>
    <w:rsid w:val="003A7E4B"/>
    <w:rsid w:val="003A7FEF"/>
    <w:rsid w:val="003B0345"/>
    <w:rsid w:val="003B0373"/>
    <w:rsid w:val="003B038B"/>
    <w:rsid w:val="003B03B8"/>
    <w:rsid w:val="003B071F"/>
    <w:rsid w:val="003B073F"/>
    <w:rsid w:val="003B07E6"/>
    <w:rsid w:val="003B0806"/>
    <w:rsid w:val="003B088C"/>
    <w:rsid w:val="003B09A4"/>
    <w:rsid w:val="003B0A95"/>
    <w:rsid w:val="003B0AE4"/>
    <w:rsid w:val="003B0B76"/>
    <w:rsid w:val="003B0C56"/>
    <w:rsid w:val="003B0CA1"/>
    <w:rsid w:val="003B1108"/>
    <w:rsid w:val="003B1159"/>
    <w:rsid w:val="003B1232"/>
    <w:rsid w:val="003B15CD"/>
    <w:rsid w:val="003B1920"/>
    <w:rsid w:val="003B1968"/>
    <w:rsid w:val="003B1A78"/>
    <w:rsid w:val="003B1BCE"/>
    <w:rsid w:val="003B1BD6"/>
    <w:rsid w:val="003B1E7C"/>
    <w:rsid w:val="003B1E82"/>
    <w:rsid w:val="003B1F92"/>
    <w:rsid w:val="003B2269"/>
    <w:rsid w:val="003B2349"/>
    <w:rsid w:val="003B23A3"/>
    <w:rsid w:val="003B24D4"/>
    <w:rsid w:val="003B25CA"/>
    <w:rsid w:val="003B27AD"/>
    <w:rsid w:val="003B280F"/>
    <w:rsid w:val="003B28F7"/>
    <w:rsid w:val="003B2DE6"/>
    <w:rsid w:val="003B2DF1"/>
    <w:rsid w:val="003B2F40"/>
    <w:rsid w:val="003B3256"/>
    <w:rsid w:val="003B338F"/>
    <w:rsid w:val="003B3484"/>
    <w:rsid w:val="003B3486"/>
    <w:rsid w:val="003B34D1"/>
    <w:rsid w:val="003B3670"/>
    <w:rsid w:val="003B3B33"/>
    <w:rsid w:val="003B3F08"/>
    <w:rsid w:val="003B3F40"/>
    <w:rsid w:val="003B405B"/>
    <w:rsid w:val="003B41A9"/>
    <w:rsid w:val="003B41E2"/>
    <w:rsid w:val="003B4283"/>
    <w:rsid w:val="003B42AA"/>
    <w:rsid w:val="003B42DA"/>
    <w:rsid w:val="003B4313"/>
    <w:rsid w:val="003B44B1"/>
    <w:rsid w:val="003B4731"/>
    <w:rsid w:val="003B49B0"/>
    <w:rsid w:val="003B4B35"/>
    <w:rsid w:val="003B4B5C"/>
    <w:rsid w:val="003B4BCF"/>
    <w:rsid w:val="003B4CE7"/>
    <w:rsid w:val="003B4F0C"/>
    <w:rsid w:val="003B4F9E"/>
    <w:rsid w:val="003B5018"/>
    <w:rsid w:val="003B5091"/>
    <w:rsid w:val="003B5768"/>
    <w:rsid w:val="003B58DE"/>
    <w:rsid w:val="003B5B97"/>
    <w:rsid w:val="003B62B9"/>
    <w:rsid w:val="003B670B"/>
    <w:rsid w:val="003B68A4"/>
    <w:rsid w:val="003B6961"/>
    <w:rsid w:val="003B6A3F"/>
    <w:rsid w:val="003B6AE3"/>
    <w:rsid w:val="003B6ECB"/>
    <w:rsid w:val="003B6F65"/>
    <w:rsid w:val="003B72C3"/>
    <w:rsid w:val="003B73F6"/>
    <w:rsid w:val="003B75F7"/>
    <w:rsid w:val="003B7725"/>
    <w:rsid w:val="003B7B66"/>
    <w:rsid w:val="003B7D45"/>
    <w:rsid w:val="003B7D5C"/>
    <w:rsid w:val="003B7EA2"/>
    <w:rsid w:val="003C0003"/>
    <w:rsid w:val="003C0077"/>
    <w:rsid w:val="003C015D"/>
    <w:rsid w:val="003C01DD"/>
    <w:rsid w:val="003C0481"/>
    <w:rsid w:val="003C057C"/>
    <w:rsid w:val="003C06CA"/>
    <w:rsid w:val="003C094E"/>
    <w:rsid w:val="003C0955"/>
    <w:rsid w:val="003C0AC7"/>
    <w:rsid w:val="003C0B9F"/>
    <w:rsid w:val="003C0BA3"/>
    <w:rsid w:val="003C125D"/>
    <w:rsid w:val="003C1390"/>
    <w:rsid w:val="003C1554"/>
    <w:rsid w:val="003C1582"/>
    <w:rsid w:val="003C165B"/>
    <w:rsid w:val="003C16E7"/>
    <w:rsid w:val="003C18C1"/>
    <w:rsid w:val="003C1A52"/>
    <w:rsid w:val="003C1AEA"/>
    <w:rsid w:val="003C1C77"/>
    <w:rsid w:val="003C1CE8"/>
    <w:rsid w:val="003C1DFE"/>
    <w:rsid w:val="003C20AA"/>
    <w:rsid w:val="003C212B"/>
    <w:rsid w:val="003C2183"/>
    <w:rsid w:val="003C2223"/>
    <w:rsid w:val="003C229E"/>
    <w:rsid w:val="003C24CB"/>
    <w:rsid w:val="003C269C"/>
    <w:rsid w:val="003C26E7"/>
    <w:rsid w:val="003C2793"/>
    <w:rsid w:val="003C27FD"/>
    <w:rsid w:val="003C288B"/>
    <w:rsid w:val="003C2A14"/>
    <w:rsid w:val="003C2AB5"/>
    <w:rsid w:val="003C2B4F"/>
    <w:rsid w:val="003C2BF9"/>
    <w:rsid w:val="003C2D46"/>
    <w:rsid w:val="003C2E43"/>
    <w:rsid w:val="003C2E61"/>
    <w:rsid w:val="003C319C"/>
    <w:rsid w:val="003C3290"/>
    <w:rsid w:val="003C33C3"/>
    <w:rsid w:val="003C33E9"/>
    <w:rsid w:val="003C34AD"/>
    <w:rsid w:val="003C3582"/>
    <w:rsid w:val="003C36D9"/>
    <w:rsid w:val="003C3871"/>
    <w:rsid w:val="003C3981"/>
    <w:rsid w:val="003C3BED"/>
    <w:rsid w:val="003C3E48"/>
    <w:rsid w:val="003C3EFD"/>
    <w:rsid w:val="003C413F"/>
    <w:rsid w:val="003C424F"/>
    <w:rsid w:val="003C4402"/>
    <w:rsid w:val="003C4BCC"/>
    <w:rsid w:val="003C4C31"/>
    <w:rsid w:val="003C4CD8"/>
    <w:rsid w:val="003C4CDC"/>
    <w:rsid w:val="003C4E55"/>
    <w:rsid w:val="003C4F71"/>
    <w:rsid w:val="003C4FF8"/>
    <w:rsid w:val="003C5003"/>
    <w:rsid w:val="003C528E"/>
    <w:rsid w:val="003C52D7"/>
    <w:rsid w:val="003C5616"/>
    <w:rsid w:val="003C5754"/>
    <w:rsid w:val="003C5A0B"/>
    <w:rsid w:val="003C5C5B"/>
    <w:rsid w:val="003C5DBF"/>
    <w:rsid w:val="003C5FC5"/>
    <w:rsid w:val="003C680F"/>
    <w:rsid w:val="003C69A9"/>
    <w:rsid w:val="003C6A30"/>
    <w:rsid w:val="003C6A4C"/>
    <w:rsid w:val="003C6C4D"/>
    <w:rsid w:val="003C6DFC"/>
    <w:rsid w:val="003C6E59"/>
    <w:rsid w:val="003C7173"/>
    <w:rsid w:val="003C7291"/>
    <w:rsid w:val="003C729B"/>
    <w:rsid w:val="003C7415"/>
    <w:rsid w:val="003C74EB"/>
    <w:rsid w:val="003C74F0"/>
    <w:rsid w:val="003C7DD2"/>
    <w:rsid w:val="003C7EDE"/>
    <w:rsid w:val="003C7F77"/>
    <w:rsid w:val="003D02F2"/>
    <w:rsid w:val="003D048B"/>
    <w:rsid w:val="003D04A8"/>
    <w:rsid w:val="003D0938"/>
    <w:rsid w:val="003D0D54"/>
    <w:rsid w:val="003D0E54"/>
    <w:rsid w:val="003D1034"/>
    <w:rsid w:val="003D1071"/>
    <w:rsid w:val="003D1447"/>
    <w:rsid w:val="003D168B"/>
    <w:rsid w:val="003D1726"/>
    <w:rsid w:val="003D1893"/>
    <w:rsid w:val="003D1AEA"/>
    <w:rsid w:val="003D1D45"/>
    <w:rsid w:val="003D1ED9"/>
    <w:rsid w:val="003D1FAA"/>
    <w:rsid w:val="003D2275"/>
    <w:rsid w:val="003D22B6"/>
    <w:rsid w:val="003D2397"/>
    <w:rsid w:val="003D25C9"/>
    <w:rsid w:val="003D272A"/>
    <w:rsid w:val="003D283D"/>
    <w:rsid w:val="003D2874"/>
    <w:rsid w:val="003D299D"/>
    <w:rsid w:val="003D2CBF"/>
    <w:rsid w:val="003D2DD6"/>
    <w:rsid w:val="003D33B3"/>
    <w:rsid w:val="003D345E"/>
    <w:rsid w:val="003D3678"/>
    <w:rsid w:val="003D369A"/>
    <w:rsid w:val="003D37F2"/>
    <w:rsid w:val="003D380F"/>
    <w:rsid w:val="003D3A88"/>
    <w:rsid w:val="003D3AAC"/>
    <w:rsid w:val="003D3AF8"/>
    <w:rsid w:val="003D3B60"/>
    <w:rsid w:val="003D3B85"/>
    <w:rsid w:val="003D3FD7"/>
    <w:rsid w:val="003D4132"/>
    <w:rsid w:val="003D4141"/>
    <w:rsid w:val="003D42E7"/>
    <w:rsid w:val="003D42FB"/>
    <w:rsid w:val="003D4484"/>
    <w:rsid w:val="003D4504"/>
    <w:rsid w:val="003D464E"/>
    <w:rsid w:val="003D47A4"/>
    <w:rsid w:val="003D4837"/>
    <w:rsid w:val="003D49CD"/>
    <w:rsid w:val="003D49E1"/>
    <w:rsid w:val="003D4AF7"/>
    <w:rsid w:val="003D4BB1"/>
    <w:rsid w:val="003D4E11"/>
    <w:rsid w:val="003D4F8A"/>
    <w:rsid w:val="003D500D"/>
    <w:rsid w:val="003D54F7"/>
    <w:rsid w:val="003D5613"/>
    <w:rsid w:val="003D5973"/>
    <w:rsid w:val="003D5AC6"/>
    <w:rsid w:val="003D5B1C"/>
    <w:rsid w:val="003D5C73"/>
    <w:rsid w:val="003D5CAA"/>
    <w:rsid w:val="003D5D96"/>
    <w:rsid w:val="003D5DD7"/>
    <w:rsid w:val="003D6009"/>
    <w:rsid w:val="003D61ED"/>
    <w:rsid w:val="003D6864"/>
    <w:rsid w:val="003D6965"/>
    <w:rsid w:val="003D6A20"/>
    <w:rsid w:val="003D6C08"/>
    <w:rsid w:val="003D6D73"/>
    <w:rsid w:val="003D6EA5"/>
    <w:rsid w:val="003D6FA1"/>
    <w:rsid w:val="003D71C3"/>
    <w:rsid w:val="003D7272"/>
    <w:rsid w:val="003D72BC"/>
    <w:rsid w:val="003D73A9"/>
    <w:rsid w:val="003D7470"/>
    <w:rsid w:val="003D74D1"/>
    <w:rsid w:val="003D7692"/>
    <w:rsid w:val="003D7A57"/>
    <w:rsid w:val="003D7C96"/>
    <w:rsid w:val="003D7D37"/>
    <w:rsid w:val="003D7DDA"/>
    <w:rsid w:val="003D7E18"/>
    <w:rsid w:val="003D7E48"/>
    <w:rsid w:val="003D7EF7"/>
    <w:rsid w:val="003D7F6B"/>
    <w:rsid w:val="003D7F74"/>
    <w:rsid w:val="003E0325"/>
    <w:rsid w:val="003E033D"/>
    <w:rsid w:val="003E0413"/>
    <w:rsid w:val="003E07B9"/>
    <w:rsid w:val="003E07CA"/>
    <w:rsid w:val="003E08A2"/>
    <w:rsid w:val="003E0B39"/>
    <w:rsid w:val="003E0E71"/>
    <w:rsid w:val="003E0EB7"/>
    <w:rsid w:val="003E0EEF"/>
    <w:rsid w:val="003E0F42"/>
    <w:rsid w:val="003E105C"/>
    <w:rsid w:val="003E10E7"/>
    <w:rsid w:val="003E1376"/>
    <w:rsid w:val="003E1739"/>
    <w:rsid w:val="003E1A7D"/>
    <w:rsid w:val="003E1AAC"/>
    <w:rsid w:val="003E1BAE"/>
    <w:rsid w:val="003E1C7C"/>
    <w:rsid w:val="003E1F61"/>
    <w:rsid w:val="003E2095"/>
    <w:rsid w:val="003E2116"/>
    <w:rsid w:val="003E2205"/>
    <w:rsid w:val="003E2217"/>
    <w:rsid w:val="003E2370"/>
    <w:rsid w:val="003E255B"/>
    <w:rsid w:val="003E26ED"/>
    <w:rsid w:val="003E2796"/>
    <w:rsid w:val="003E2834"/>
    <w:rsid w:val="003E2B93"/>
    <w:rsid w:val="003E2BFE"/>
    <w:rsid w:val="003E2DD6"/>
    <w:rsid w:val="003E2FD0"/>
    <w:rsid w:val="003E30E2"/>
    <w:rsid w:val="003E3202"/>
    <w:rsid w:val="003E3779"/>
    <w:rsid w:val="003E3819"/>
    <w:rsid w:val="003E3867"/>
    <w:rsid w:val="003E39D5"/>
    <w:rsid w:val="003E3B57"/>
    <w:rsid w:val="003E3C8A"/>
    <w:rsid w:val="003E3D3F"/>
    <w:rsid w:val="003E3E17"/>
    <w:rsid w:val="003E3E80"/>
    <w:rsid w:val="003E3EFE"/>
    <w:rsid w:val="003E4012"/>
    <w:rsid w:val="003E4024"/>
    <w:rsid w:val="003E40A0"/>
    <w:rsid w:val="003E4297"/>
    <w:rsid w:val="003E4303"/>
    <w:rsid w:val="003E4374"/>
    <w:rsid w:val="003E43B8"/>
    <w:rsid w:val="003E4589"/>
    <w:rsid w:val="003E4601"/>
    <w:rsid w:val="003E4644"/>
    <w:rsid w:val="003E4724"/>
    <w:rsid w:val="003E48DB"/>
    <w:rsid w:val="003E49AE"/>
    <w:rsid w:val="003E4A42"/>
    <w:rsid w:val="003E4A6F"/>
    <w:rsid w:val="003E4BAB"/>
    <w:rsid w:val="003E4D1B"/>
    <w:rsid w:val="003E4F3B"/>
    <w:rsid w:val="003E506D"/>
    <w:rsid w:val="003E507E"/>
    <w:rsid w:val="003E50DD"/>
    <w:rsid w:val="003E5148"/>
    <w:rsid w:val="003E55CD"/>
    <w:rsid w:val="003E5660"/>
    <w:rsid w:val="003E579A"/>
    <w:rsid w:val="003E5802"/>
    <w:rsid w:val="003E5A7E"/>
    <w:rsid w:val="003E5CD9"/>
    <w:rsid w:val="003E5DDF"/>
    <w:rsid w:val="003E5F7D"/>
    <w:rsid w:val="003E6031"/>
    <w:rsid w:val="003E6088"/>
    <w:rsid w:val="003E61DD"/>
    <w:rsid w:val="003E61F5"/>
    <w:rsid w:val="003E6263"/>
    <w:rsid w:val="003E650B"/>
    <w:rsid w:val="003E67FE"/>
    <w:rsid w:val="003E6DD9"/>
    <w:rsid w:val="003E6E12"/>
    <w:rsid w:val="003E7040"/>
    <w:rsid w:val="003E7186"/>
    <w:rsid w:val="003E7199"/>
    <w:rsid w:val="003E73E3"/>
    <w:rsid w:val="003E73FD"/>
    <w:rsid w:val="003E7432"/>
    <w:rsid w:val="003E74EA"/>
    <w:rsid w:val="003E7529"/>
    <w:rsid w:val="003E79E6"/>
    <w:rsid w:val="003E7D6A"/>
    <w:rsid w:val="003F0072"/>
    <w:rsid w:val="003F00DC"/>
    <w:rsid w:val="003F02F3"/>
    <w:rsid w:val="003F032A"/>
    <w:rsid w:val="003F0387"/>
    <w:rsid w:val="003F0936"/>
    <w:rsid w:val="003F0F30"/>
    <w:rsid w:val="003F1221"/>
    <w:rsid w:val="003F123D"/>
    <w:rsid w:val="003F129B"/>
    <w:rsid w:val="003F12C8"/>
    <w:rsid w:val="003F1571"/>
    <w:rsid w:val="003F1853"/>
    <w:rsid w:val="003F1A50"/>
    <w:rsid w:val="003F1A75"/>
    <w:rsid w:val="003F1B06"/>
    <w:rsid w:val="003F1F05"/>
    <w:rsid w:val="003F2043"/>
    <w:rsid w:val="003F265A"/>
    <w:rsid w:val="003F2880"/>
    <w:rsid w:val="003F29C4"/>
    <w:rsid w:val="003F2AC8"/>
    <w:rsid w:val="003F2B27"/>
    <w:rsid w:val="003F2BC5"/>
    <w:rsid w:val="003F2BFC"/>
    <w:rsid w:val="003F2CA7"/>
    <w:rsid w:val="003F2E60"/>
    <w:rsid w:val="003F2FA3"/>
    <w:rsid w:val="003F3087"/>
    <w:rsid w:val="003F308D"/>
    <w:rsid w:val="003F31F8"/>
    <w:rsid w:val="003F328F"/>
    <w:rsid w:val="003F32C8"/>
    <w:rsid w:val="003F3370"/>
    <w:rsid w:val="003F356E"/>
    <w:rsid w:val="003F3571"/>
    <w:rsid w:val="003F36E9"/>
    <w:rsid w:val="003F370D"/>
    <w:rsid w:val="003F3784"/>
    <w:rsid w:val="003F39D1"/>
    <w:rsid w:val="003F3A7A"/>
    <w:rsid w:val="003F3AC3"/>
    <w:rsid w:val="003F3C9F"/>
    <w:rsid w:val="003F3EF5"/>
    <w:rsid w:val="003F4167"/>
    <w:rsid w:val="003F42BF"/>
    <w:rsid w:val="003F4688"/>
    <w:rsid w:val="003F4987"/>
    <w:rsid w:val="003F550A"/>
    <w:rsid w:val="003F552B"/>
    <w:rsid w:val="003F5697"/>
    <w:rsid w:val="003F5A69"/>
    <w:rsid w:val="003F5A8F"/>
    <w:rsid w:val="003F5AA8"/>
    <w:rsid w:val="003F5C8D"/>
    <w:rsid w:val="003F5D65"/>
    <w:rsid w:val="003F5FCA"/>
    <w:rsid w:val="003F602F"/>
    <w:rsid w:val="003F6041"/>
    <w:rsid w:val="003F643D"/>
    <w:rsid w:val="003F65ED"/>
    <w:rsid w:val="003F667C"/>
    <w:rsid w:val="003F6973"/>
    <w:rsid w:val="003F697E"/>
    <w:rsid w:val="003F6A78"/>
    <w:rsid w:val="003F6CE5"/>
    <w:rsid w:val="003F6D68"/>
    <w:rsid w:val="003F6DDC"/>
    <w:rsid w:val="003F6E69"/>
    <w:rsid w:val="003F6EA7"/>
    <w:rsid w:val="003F6F0F"/>
    <w:rsid w:val="003F6F18"/>
    <w:rsid w:val="003F6F52"/>
    <w:rsid w:val="003F7148"/>
    <w:rsid w:val="003F718B"/>
    <w:rsid w:val="003F73B9"/>
    <w:rsid w:val="003F7407"/>
    <w:rsid w:val="003F7412"/>
    <w:rsid w:val="003F77E6"/>
    <w:rsid w:val="003F7A14"/>
    <w:rsid w:val="003F7C30"/>
    <w:rsid w:val="003F7D94"/>
    <w:rsid w:val="003F7ED0"/>
    <w:rsid w:val="00400039"/>
    <w:rsid w:val="0040010D"/>
    <w:rsid w:val="004001B3"/>
    <w:rsid w:val="0040048D"/>
    <w:rsid w:val="004004B1"/>
    <w:rsid w:val="0040053A"/>
    <w:rsid w:val="00400619"/>
    <w:rsid w:val="00400686"/>
    <w:rsid w:val="0040093B"/>
    <w:rsid w:val="00400A9B"/>
    <w:rsid w:val="00400BDB"/>
    <w:rsid w:val="00400C9E"/>
    <w:rsid w:val="00401092"/>
    <w:rsid w:val="0040129D"/>
    <w:rsid w:val="00401376"/>
    <w:rsid w:val="004014DD"/>
    <w:rsid w:val="00401653"/>
    <w:rsid w:val="00401A2F"/>
    <w:rsid w:val="00401A4E"/>
    <w:rsid w:val="00401C19"/>
    <w:rsid w:val="00401D1E"/>
    <w:rsid w:val="0040200A"/>
    <w:rsid w:val="004021AB"/>
    <w:rsid w:val="004021DB"/>
    <w:rsid w:val="004021F6"/>
    <w:rsid w:val="004022DA"/>
    <w:rsid w:val="0040246A"/>
    <w:rsid w:val="00402475"/>
    <w:rsid w:val="0040274A"/>
    <w:rsid w:val="004027AC"/>
    <w:rsid w:val="004027D4"/>
    <w:rsid w:val="004029E5"/>
    <w:rsid w:val="00402A25"/>
    <w:rsid w:val="00402B8B"/>
    <w:rsid w:val="00402C91"/>
    <w:rsid w:val="00402EB0"/>
    <w:rsid w:val="00402F56"/>
    <w:rsid w:val="00402F99"/>
    <w:rsid w:val="0040305A"/>
    <w:rsid w:val="0040315A"/>
    <w:rsid w:val="0040342A"/>
    <w:rsid w:val="0040343C"/>
    <w:rsid w:val="004035E1"/>
    <w:rsid w:val="0040365E"/>
    <w:rsid w:val="00403BC6"/>
    <w:rsid w:val="00403CA0"/>
    <w:rsid w:val="00403CC4"/>
    <w:rsid w:val="00403CDF"/>
    <w:rsid w:val="00403E32"/>
    <w:rsid w:val="00403F23"/>
    <w:rsid w:val="00403FD1"/>
    <w:rsid w:val="00404076"/>
    <w:rsid w:val="00404261"/>
    <w:rsid w:val="004047ED"/>
    <w:rsid w:val="004049BE"/>
    <w:rsid w:val="00404ACC"/>
    <w:rsid w:val="00404CF3"/>
    <w:rsid w:val="00404D67"/>
    <w:rsid w:val="00404F19"/>
    <w:rsid w:val="00405111"/>
    <w:rsid w:val="00405175"/>
    <w:rsid w:val="00405195"/>
    <w:rsid w:val="0040523F"/>
    <w:rsid w:val="0040531A"/>
    <w:rsid w:val="00405360"/>
    <w:rsid w:val="00405362"/>
    <w:rsid w:val="00405448"/>
    <w:rsid w:val="00405A61"/>
    <w:rsid w:val="00405A75"/>
    <w:rsid w:val="00405A7C"/>
    <w:rsid w:val="00405E0A"/>
    <w:rsid w:val="0040603A"/>
    <w:rsid w:val="00406307"/>
    <w:rsid w:val="00406443"/>
    <w:rsid w:val="0040648B"/>
    <w:rsid w:val="0040690C"/>
    <w:rsid w:val="0040691B"/>
    <w:rsid w:val="00406A07"/>
    <w:rsid w:val="00406B3B"/>
    <w:rsid w:val="00406D28"/>
    <w:rsid w:val="00406D61"/>
    <w:rsid w:val="00406EC8"/>
    <w:rsid w:val="004073A8"/>
    <w:rsid w:val="0040753A"/>
    <w:rsid w:val="00407583"/>
    <w:rsid w:val="004079E2"/>
    <w:rsid w:val="00407AFA"/>
    <w:rsid w:val="00407BD6"/>
    <w:rsid w:val="00407C7C"/>
    <w:rsid w:val="00407F5F"/>
    <w:rsid w:val="00407F83"/>
    <w:rsid w:val="00410006"/>
    <w:rsid w:val="00410177"/>
    <w:rsid w:val="004103B3"/>
    <w:rsid w:val="004104BF"/>
    <w:rsid w:val="00410619"/>
    <w:rsid w:val="00410667"/>
    <w:rsid w:val="0041073B"/>
    <w:rsid w:val="0041076A"/>
    <w:rsid w:val="0041077B"/>
    <w:rsid w:val="004107A0"/>
    <w:rsid w:val="00410B79"/>
    <w:rsid w:val="00410BF1"/>
    <w:rsid w:val="00410C07"/>
    <w:rsid w:val="00410D83"/>
    <w:rsid w:val="00410DC4"/>
    <w:rsid w:val="00410E85"/>
    <w:rsid w:val="004114AC"/>
    <w:rsid w:val="00411649"/>
    <w:rsid w:val="004119C3"/>
    <w:rsid w:val="00411A77"/>
    <w:rsid w:val="00411A7F"/>
    <w:rsid w:val="00411AEE"/>
    <w:rsid w:val="00411B68"/>
    <w:rsid w:val="00411C1A"/>
    <w:rsid w:val="00411D87"/>
    <w:rsid w:val="00411F11"/>
    <w:rsid w:val="00411FB3"/>
    <w:rsid w:val="00412096"/>
    <w:rsid w:val="004120B8"/>
    <w:rsid w:val="004124F0"/>
    <w:rsid w:val="0041258F"/>
    <w:rsid w:val="00412789"/>
    <w:rsid w:val="0041294D"/>
    <w:rsid w:val="00412A42"/>
    <w:rsid w:val="00412A4A"/>
    <w:rsid w:val="00412AE9"/>
    <w:rsid w:val="00412B36"/>
    <w:rsid w:val="00412B78"/>
    <w:rsid w:val="00412CBF"/>
    <w:rsid w:val="00412CC9"/>
    <w:rsid w:val="00412D00"/>
    <w:rsid w:val="00412D09"/>
    <w:rsid w:val="00412D4F"/>
    <w:rsid w:val="00412EEC"/>
    <w:rsid w:val="0041306B"/>
    <w:rsid w:val="00413095"/>
    <w:rsid w:val="00413312"/>
    <w:rsid w:val="00413369"/>
    <w:rsid w:val="004136B4"/>
    <w:rsid w:val="00413ABA"/>
    <w:rsid w:val="00413BFB"/>
    <w:rsid w:val="00413E43"/>
    <w:rsid w:val="0041418F"/>
    <w:rsid w:val="00414510"/>
    <w:rsid w:val="0041469F"/>
    <w:rsid w:val="004146BF"/>
    <w:rsid w:val="00414782"/>
    <w:rsid w:val="0041480C"/>
    <w:rsid w:val="00414C48"/>
    <w:rsid w:val="00414CDC"/>
    <w:rsid w:val="00414CE9"/>
    <w:rsid w:val="00414D61"/>
    <w:rsid w:val="00414E0E"/>
    <w:rsid w:val="00414E9E"/>
    <w:rsid w:val="00414EDD"/>
    <w:rsid w:val="00415009"/>
    <w:rsid w:val="00415130"/>
    <w:rsid w:val="004152BB"/>
    <w:rsid w:val="00415724"/>
    <w:rsid w:val="00415782"/>
    <w:rsid w:val="004157E4"/>
    <w:rsid w:val="004159F7"/>
    <w:rsid w:val="00415D37"/>
    <w:rsid w:val="00415DE4"/>
    <w:rsid w:val="00415F14"/>
    <w:rsid w:val="00415F40"/>
    <w:rsid w:val="004160F0"/>
    <w:rsid w:val="00416132"/>
    <w:rsid w:val="00416403"/>
    <w:rsid w:val="00416405"/>
    <w:rsid w:val="0041647E"/>
    <w:rsid w:val="004169EC"/>
    <w:rsid w:val="00416A99"/>
    <w:rsid w:val="00416B35"/>
    <w:rsid w:val="00416BAA"/>
    <w:rsid w:val="00416C3C"/>
    <w:rsid w:val="00416E84"/>
    <w:rsid w:val="00417101"/>
    <w:rsid w:val="00417231"/>
    <w:rsid w:val="0041733C"/>
    <w:rsid w:val="00417470"/>
    <w:rsid w:val="0041753B"/>
    <w:rsid w:val="00417552"/>
    <w:rsid w:val="00417584"/>
    <w:rsid w:val="0041776A"/>
    <w:rsid w:val="004178FA"/>
    <w:rsid w:val="0041795B"/>
    <w:rsid w:val="004179CB"/>
    <w:rsid w:val="00417ADD"/>
    <w:rsid w:val="00417D78"/>
    <w:rsid w:val="00417DD1"/>
    <w:rsid w:val="00417DEF"/>
    <w:rsid w:val="004200A4"/>
    <w:rsid w:val="004200CE"/>
    <w:rsid w:val="004201D3"/>
    <w:rsid w:val="00420361"/>
    <w:rsid w:val="00420450"/>
    <w:rsid w:val="00420562"/>
    <w:rsid w:val="00420565"/>
    <w:rsid w:val="004205A8"/>
    <w:rsid w:val="00420771"/>
    <w:rsid w:val="00420869"/>
    <w:rsid w:val="004210E4"/>
    <w:rsid w:val="004213B8"/>
    <w:rsid w:val="004213CF"/>
    <w:rsid w:val="00421444"/>
    <w:rsid w:val="004214B6"/>
    <w:rsid w:val="004218F9"/>
    <w:rsid w:val="0042199B"/>
    <w:rsid w:val="004219E9"/>
    <w:rsid w:val="00421A74"/>
    <w:rsid w:val="00421EB0"/>
    <w:rsid w:val="0042222E"/>
    <w:rsid w:val="004222A1"/>
    <w:rsid w:val="004222DC"/>
    <w:rsid w:val="00422405"/>
    <w:rsid w:val="004225D4"/>
    <w:rsid w:val="00422683"/>
    <w:rsid w:val="0042275F"/>
    <w:rsid w:val="00422A9F"/>
    <w:rsid w:val="00422BAB"/>
    <w:rsid w:val="00423001"/>
    <w:rsid w:val="0042312F"/>
    <w:rsid w:val="004231F3"/>
    <w:rsid w:val="00423317"/>
    <w:rsid w:val="00423345"/>
    <w:rsid w:val="004233DE"/>
    <w:rsid w:val="004237D1"/>
    <w:rsid w:val="00423C31"/>
    <w:rsid w:val="00423CD6"/>
    <w:rsid w:val="00423D86"/>
    <w:rsid w:val="00423E22"/>
    <w:rsid w:val="00423F9A"/>
    <w:rsid w:val="0042415C"/>
    <w:rsid w:val="004243B7"/>
    <w:rsid w:val="00424564"/>
    <w:rsid w:val="00424632"/>
    <w:rsid w:val="00424689"/>
    <w:rsid w:val="004246B7"/>
    <w:rsid w:val="00424927"/>
    <w:rsid w:val="00424AD6"/>
    <w:rsid w:val="00424C65"/>
    <w:rsid w:val="00424C94"/>
    <w:rsid w:val="00424CFA"/>
    <w:rsid w:val="00424D53"/>
    <w:rsid w:val="00424D6A"/>
    <w:rsid w:val="00424E32"/>
    <w:rsid w:val="00424F0B"/>
    <w:rsid w:val="0042519C"/>
    <w:rsid w:val="00425227"/>
    <w:rsid w:val="004252BE"/>
    <w:rsid w:val="0042552E"/>
    <w:rsid w:val="004257E1"/>
    <w:rsid w:val="00425993"/>
    <w:rsid w:val="00425B2E"/>
    <w:rsid w:val="00425C0F"/>
    <w:rsid w:val="00425C41"/>
    <w:rsid w:val="00425C98"/>
    <w:rsid w:val="00425D99"/>
    <w:rsid w:val="00425DBD"/>
    <w:rsid w:val="00425E88"/>
    <w:rsid w:val="00425F63"/>
    <w:rsid w:val="004263D2"/>
    <w:rsid w:val="0042656E"/>
    <w:rsid w:val="00426617"/>
    <w:rsid w:val="004266A0"/>
    <w:rsid w:val="004266E6"/>
    <w:rsid w:val="00426749"/>
    <w:rsid w:val="00426888"/>
    <w:rsid w:val="00426B07"/>
    <w:rsid w:val="00426B2C"/>
    <w:rsid w:val="00426D31"/>
    <w:rsid w:val="00427020"/>
    <w:rsid w:val="004270C6"/>
    <w:rsid w:val="004273D8"/>
    <w:rsid w:val="004275BA"/>
    <w:rsid w:val="00427818"/>
    <w:rsid w:val="00427877"/>
    <w:rsid w:val="004278E9"/>
    <w:rsid w:val="004279CB"/>
    <w:rsid w:val="00427BF8"/>
    <w:rsid w:val="00427C1F"/>
    <w:rsid w:val="00427CF3"/>
    <w:rsid w:val="00427E4B"/>
    <w:rsid w:val="00427F60"/>
    <w:rsid w:val="00430002"/>
    <w:rsid w:val="004300A1"/>
    <w:rsid w:val="004301AF"/>
    <w:rsid w:val="00430228"/>
    <w:rsid w:val="00430237"/>
    <w:rsid w:val="004303D8"/>
    <w:rsid w:val="0043048F"/>
    <w:rsid w:val="00430588"/>
    <w:rsid w:val="004306FD"/>
    <w:rsid w:val="0043075C"/>
    <w:rsid w:val="00430823"/>
    <w:rsid w:val="00430904"/>
    <w:rsid w:val="00430A92"/>
    <w:rsid w:val="00430E2E"/>
    <w:rsid w:val="004310B1"/>
    <w:rsid w:val="00431357"/>
    <w:rsid w:val="004313BD"/>
    <w:rsid w:val="0043142A"/>
    <w:rsid w:val="004317E9"/>
    <w:rsid w:val="00431957"/>
    <w:rsid w:val="00431C7D"/>
    <w:rsid w:val="00431CC8"/>
    <w:rsid w:val="00431D32"/>
    <w:rsid w:val="00431E44"/>
    <w:rsid w:val="00432151"/>
    <w:rsid w:val="004321EC"/>
    <w:rsid w:val="00432293"/>
    <w:rsid w:val="00432570"/>
    <w:rsid w:val="004327B3"/>
    <w:rsid w:val="00432A3B"/>
    <w:rsid w:val="00432AFE"/>
    <w:rsid w:val="00432D30"/>
    <w:rsid w:val="00432D39"/>
    <w:rsid w:val="00432D68"/>
    <w:rsid w:val="00432F07"/>
    <w:rsid w:val="004330E4"/>
    <w:rsid w:val="004330F5"/>
    <w:rsid w:val="00433100"/>
    <w:rsid w:val="0043334D"/>
    <w:rsid w:val="00433420"/>
    <w:rsid w:val="0043348A"/>
    <w:rsid w:val="00433680"/>
    <w:rsid w:val="00433719"/>
    <w:rsid w:val="004338E1"/>
    <w:rsid w:val="00433A6B"/>
    <w:rsid w:val="00433AE3"/>
    <w:rsid w:val="00433B1F"/>
    <w:rsid w:val="0043419C"/>
    <w:rsid w:val="0043428A"/>
    <w:rsid w:val="0043439F"/>
    <w:rsid w:val="00434454"/>
    <w:rsid w:val="0043446A"/>
    <w:rsid w:val="0043466C"/>
    <w:rsid w:val="004348E4"/>
    <w:rsid w:val="004348EB"/>
    <w:rsid w:val="00434A5E"/>
    <w:rsid w:val="00434ACD"/>
    <w:rsid w:val="00434D14"/>
    <w:rsid w:val="00434D2C"/>
    <w:rsid w:val="00434D4D"/>
    <w:rsid w:val="00434FBE"/>
    <w:rsid w:val="00434FCD"/>
    <w:rsid w:val="004351C5"/>
    <w:rsid w:val="004352FE"/>
    <w:rsid w:val="00435450"/>
    <w:rsid w:val="00435546"/>
    <w:rsid w:val="00435626"/>
    <w:rsid w:val="0043562B"/>
    <w:rsid w:val="00435895"/>
    <w:rsid w:val="00435B6E"/>
    <w:rsid w:val="00435E3F"/>
    <w:rsid w:val="00435F84"/>
    <w:rsid w:val="0043601B"/>
    <w:rsid w:val="00436140"/>
    <w:rsid w:val="0043619E"/>
    <w:rsid w:val="004362A6"/>
    <w:rsid w:val="004362A8"/>
    <w:rsid w:val="0043638B"/>
    <w:rsid w:val="0043638C"/>
    <w:rsid w:val="0043640A"/>
    <w:rsid w:val="004365A3"/>
    <w:rsid w:val="004365E5"/>
    <w:rsid w:val="00436793"/>
    <w:rsid w:val="00436820"/>
    <w:rsid w:val="004368B6"/>
    <w:rsid w:val="004368DE"/>
    <w:rsid w:val="0043694B"/>
    <w:rsid w:val="004369A7"/>
    <w:rsid w:val="00436AE6"/>
    <w:rsid w:val="00436B84"/>
    <w:rsid w:val="00436C00"/>
    <w:rsid w:val="00436CCA"/>
    <w:rsid w:val="004370E8"/>
    <w:rsid w:val="00437310"/>
    <w:rsid w:val="004373C8"/>
    <w:rsid w:val="00437574"/>
    <w:rsid w:val="0043761E"/>
    <w:rsid w:val="0043767C"/>
    <w:rsid w:val="004376FE"/>
    <w:rsid w:val="00437805"/>
    <w:rsid w:val="004378A2"/>
    <w:rsid w:val="00437C45"/>
    <w:rsid w:val="00437C99"/>
    <w:rsid w:val="00437CB0"/>
    <w:rsid w:val="00437E09"/>
    <w:rsid w:val="00437EF2"/>
    <w:rsid w:val="00437F13"/>
    <w:rsid w:val="00440088"/>
    <w:rsid w:val="00440112"/>
    <w:rsid w:val="0044041F"/>
    <w:rsid w:val="004405F1"/>
    <w:rsid w:val="004406F1"/>
    <w:rsid w:val="004407DF"/>
    <w:rsid w:val="00440B59"/>
    <w:rsid w:val="00440CE5"/>
    <w:rsid w:val="00440E8B"/>
    <w:rsid w:val="0044102A"/>
    <w:rsid w:val="0044116A"/>
    <w:rsid w:val="00441183"/>
    <w:rsid w:val="004412AA"/>
    <w:rsid w:val="00441527"/>
    <w:rsid w:val="00441834"/>
    <w:rsid w:val="00441883"/>
    <w:rsid w:val="00441A4C"/>
    <w:rsid w:val="00441AFD"/>
    <w:rsid w:val="00441E26"/>
    <w:rsid w:val="00441E77"/>
    <w:rsid w:val="0044211F"/>
    <w:rsid w:val="0044240B"/>
    <w:rsid w:val="00442938"/>
    <w:rsid w:val="004429BB"/>
    <w:rsid w:val="00442A79"/>
    <w:rsid w:val="00442DD0"/>
    <w:rsid w:val="00442EDE"/>
    <w:rsid w:val="00442FFE"/>
    <w:rsid w:val="0044304D"/>
    <w:rsid w:val="00443113"/>
    <w:rsid w:val="004432A0"/>
    <w:rsid w:val="00443343"/>
    <w:rsid w:val="0044360C"/>
    <w:rsid w:val="00443744"/>
    <w:rsid w:val="004438CF"/>
    <w:rsid w:val="00443942"/>
    <w:rsid w:val="00443B20"/>
    <w:rsid w:val="00443C7A"/>
    <w:rsid w:val="00443C8C"/>
    <w:rsid w:val="00443D55"/>
    <w:rsid w:val="00443E41"/>
    <w:rsid w:val="00444025"/>
    <w:rsid w:val="004440A7"/>
    <w:rsid w:val="0044481A"/>
    <w:rsid w:val="00444947"/>
    <w:rsid w:val="0044497A"/>
    <w:rsid w:val="00444A04"/>
    <w:rsid w:val="00444C64"/>
    <w:rsid w:val="00444CD5"/>
    <w:rsid w:val="00444D57"/>
    <w:rsid w:val="00444F83"/>
    <w:rsid w:val="00445136"/>
    <w:rsid w:val="00445162"/>
    <w:rsid w:val="00445390"/>
    <w:rsid w:val="004454B7"/>
    <w:rsid w:val="00445741"/>
    <w:rsid w:val="00445880"/>
    <w:rsid w:val="004458B9"/>
    <w:rsid w:val="00445A9F"/>
    <w:rsid w:val="00445DE8"/>
    <w:rsid w:val="00445F94"/>
    <w:rsid w:val="0044616D"/>
    <w:rsid w:val="00446220"/>
    <w:rsid w:val="00446294"/>
    <w:rsid w:val="0044656E"/>
    <w:rsid w:val="00446594"/>
    <w:rsid w:val="0044660B"/>
    <w:rsid w:val="00446998"/>
    <w:rsid w:val="00446A15"/>
    <w:rsid w:val="00446B53"/>
    <w:rsid w:val="00446B63"/>
    <w:rsid w:val="00446C0E"/>
    <w:rsid w:val="00446EB2"/>
    <w:rsid w:val="00447047"/>
    <w:rsid w:val="0044704D"/>
    <w:rsid w:val="004470B6"/>
    <w:rsid w:val="0044711E"/>
    <w:rsid w:val="0044721C"/>
    <w:rsid w:val="0044729A"/>
    <w:rsid w:val="004472CD"/>
    <w:rsid w:val="0044730C"/>
    <w:rsid w:val="00447323"/>
    <w:rsid w:val="004473D4"/>
    <w:rsid w:val="00447610"/>
    <w:rsid w:val="00447AB9"/>
    <w:rsid w:val="00447B2D"/>
    <w:rsid w:val="00447D49"/>
    <w:rsid w:val="00447DDE"/>
    <w:rsid w:val="00447E2C"/>
    <w:rsid w:val="00447E32"/>
    <w:rsid w:val="00447EB2"/>
    <w:rsid w:val="00447F00"/>
    <w:rsid w:val="00447FDB"/>
    <w:rsid w:val="0045032A"/>
    <w:rsid w:val="004505D5"/>
    <w:rsid w:val="004505FF"/>
    <w:rsid w:val="004506B8"/>
    <w:rsid w:val="0045071C"/>
    <w:rsid w:val="004508B1"/>
    <w:rsid w:val="00450960"/>
    <w:rsid w:val="004509E4"/>
    <w:rsid w:val="00450A53"/>
    <w:rsid w:val="00450AEF"/>
    <w:rsid w:val="00450CE0"/>
    <w:rsid w:val="00450D01"/>
    <w:rsid w:val="00450EDB"/>
    <w:rsid w:val="00451058"/>
    <w:rsid w:val="0045128D"/>
    <w:rsid w:val="004512C8"/>
    <w:rsid w:val="004512DD"/>
    <w:rsid w:val="004512E9"/>
    <w:rsid w:val="00451512"/>
    <w:rsid w:val="00451526"/>
    <w:rsid w:val="004515C5"/>
    <w:rsid w:val="00451658"/>
    <w:rsid w:val="0045178C"/>
    <w:rsid w:val="00451809"/>
    <w:rsid w:val="004519D9"/>
    <w:rsid w:val="00451A75"/>
    <w:rsid w:val="00451B00"/>
    <w:rsid w:val="00451B3C"/>
    <w:rsid w:val="00451B4D"/>
    <w:rsid w:val="00451C11"/>
    <w:rsid w:val="00452000"/>
    <w:rsid w:val="0045252B"/>
    <w:rsid w:val="00452841"/>
    <w:rsid w:val="00452A08"/>
    <w:rsid w:val="00452A21"/>
    <w:rsid w:val="00452C3C"/>
    <w:rsid w:val="00452CB8"/>
    <w:rsid w:val="00452D6C"/>
    <w:rsid w:val="00452E8F"/>
    <w:rsid w:val="00452FA6"/>
    <w:rsid w:val="00453099"/>
    <w:rsid w:val="004530AE"/>
    <w:rsid w:val="00453169"/>
    <w:rsid w:val="004534BF"/>
    <w:rsid w:val="004536A6"/>
    <w:rsid w:val="004536DB"/>
    <w:rsid w:val="0045376F"/>
    <w:rsid w:val="004539E5"/>
    <w:rsid w:val="00453BA8"/>
    <w:rsid w:val="00453DF6"/>
    <w:rsid w:val="00453E16"/>
    <w:rsid w:val="00453F2D"/>
    <w:rsid w:val="00453FF5"/>
    <w:rsid w:val="004543B9"/>
    <w:rsid w:val="004547D8"/>
    <w:rsid w:val="004548BF"/>
    <w:rsid w:val="004549D4"/>
    <w:rsid w:val="00454AF2"/>
    <w:rsid w:val="00454C91"/>
    <w:rsid w:val="00454ED9"/>
    <w:rsid w:val="00454F51"/>
    <w:rsid w:val="00455137"/>
    <w:rsid w:val="004551C8"/>
    <w:rsid w:val="004551D6"/>
    <w:rsid w:val="004551D8"/>
    <w:rsid w:val="004553A9"/>
    <w:rsid w:val="0045545E"/>
    <w:rsid w:val="004556FD"/>
    <w:rsid w:val="004558AD"/>
    <w:rsid w:val="00455B98"/>
    <w:rsid w:val="00455ED5"/>
    <w:rsid w:val="0045603B"/>
    <w:rsid w:val="00456236"/>
    <w:rsid w:val="00456466"/>
    <w:rsid w:val="00456878"/>
    <w:rsid w:val="004568AA"/>
    <w:rsid w:val="00456933"/>
    <w:rsid w:val="00456961"/>
    <w:rsid w:val="0045697A"/>
    <w:rsid w:val="00456A73"/>
    <w:rsid w:val="00456BBC"/>
    <w:rsid w:val="00456DF6"/>
    <w:rsid w:val="00456F1F"/>
    <w:rsid w:val="00457077"/>
    <w:rsid w:val="004570D7"/>
    <w:rsid w:val="004579CC"/>
    <w:rsid w:val="00457A67"/>
    <w:rsid w:val="00457A7F"/>
    <w:rsid w:val="00457CCD"/>
    <w:rsid w:val="00457D7B"/>
    <w:rsid w:val="00457ED0"/>
    <w:rsid w:val="004601C3"/>
    <w:rsid w:val="00460277"/>
    <w:rsid w:val="004602B2"/>
    <w:rsid w:val="004603E7"/>
    <w:rsid w:val="0046046B"/>
    <w:rsid w:val="0046056E"/>
    <w:rsid w:val="00460763"/>
    <w:rsid w:val="0046076B"/>
    <w:rsid w:val="00460805"/>
    <w:rsid w:val="0046087C"/>
    <w:rsid w:val="004608A3"/>
    <w:rsid w:val="00460AB2"/>
    <w:rsid w:val="00460B77"/>
    <w:rsid w:val="00460DED"/>
    <w:rsid w:val="00460FCC"/>
    <w:rsid w:val="00461176"/>
    <w:rsid w:val="0046150C"/>
    <w:rsid w:val="00461728"/>
    <w:rsid w:val="004619DE"/>
    <w:rsid w:val="004619E2"/>
    <w:rsid w:val="00461A54"/>
    <w:rsid w:val="00461C2F"/>
    <w:rsid w:val="00461CCE"/>
    <w:rsid w:val="00461CF0"/>
    <w:rsid w:val="0046206E"/>
    <w:rsid w:val="004620FD"/>
    <w:rsid w:val="00462182"/>
    <w:rsid w:val="004621C0"/>
    <w:rsid w:val="004622DD"/>
    <w:rsid w:val="00462502"/>
    <w:rsid w:val="00462530"/>
    <w:rsid w:val="00462551"/>
    <w:rsid w:val="004625D5"/>
    <w:rsid w:val="00462849"/>
    <w:rsid w:val="00462871"/>
    <w:rsid w:val="004628C7"/>
    <w:rsid w:val="00462A41"/>
    <w:rsid w:val="00462AA0"/>
    <w:rsid w:val="00462BF3"/>
    <w:rsid w:val="00462C4D"/>
    <w:rsid w:val="00462F19"/>
    <w:rsid w:val="00463114"/>
    <w:rsid w:val="00463210"/>
    <w:rsid w:val="004633A0"/>
    <w:rsid w:val="0046363C"/>
    <w:rsid w:val="0046368E"/>
    <w:rsid w:val="0046381B"/>
    <w:rsid w:val="004639BA"/>
    <w:rsid w:val="00463A42"/>
    <w:rsid w:val="00463D4A"/>
    <w:rsid w:val="00463F41"/>
    <w:rsid w:val="004643CC"/>
    <w:rsid w:val="00464493"/>
    <w:rsid w:val="0046450F"/>
    <w:rsid w:val="004647D3"/>
    <w:rsid w:val="00464880"/>
    <w:rsid w:val="004648F6"/>
    <w:rsid w:val="00464923"/>
    <w:rsid w:val="00464995"/>
    <w:rsid w:val="00464B17"/>
    <w:rsid w:val="00464D3A"/>
    <w:rsid w:val="00464E12"/>
    <w:rsid w:val="004651C8"/>
    <w:rsid w:val="00465596"/>
    <w:rsid w:val="0046563C"/>
    <w:rsid w:val="00465990"/>
    <w:rsid w:val="00465ABF"/>
    <w:rsid w:val="00465CA8"/>
    <w:rsid w:val="00465D47"/>
    <w:rsid w:val="00465E03"/>
    <w:rsid w:val="00465FF0"/>
    <w:rsid w:val="0046603E"/>
    <w:rsid w:val="004663A3"/>
    <w:rsid w:val="00466491"/>
    <w:rsid w:val="00466702"/>
    <w:rsid w:val="00466B17"/>
    <w:rsid w:val="00466CCC"/>
    <w:rsid w:val="00466E0C"/>
    <w:rsid w:val="00466EA3"/>
    <w:rsid w:val="00466F57"/>
    <w:rsid w:val="00467206"/>
    <w:rsid w:val="00467237"/>
    <w:rsid w:val="00467247"/>
    <w:rsid w:val="00467284"/>
    <w:rsid w:val="0046740A"/>
    <w:rsid w:val="004675B2"/>
    <w:rsid w:val="004677ED"/>
    <w:rsid w:val="004678C6"/>
    <w:rsid w:val="004678F7"/>
    <w:rsid w:val="00467A4E"/>
    <w:rsid w:val="00467B64"/>
    <w:rsid w:val="00467B95"/>
    <w:rsid w:val="00467BB0"/>
    <w:rsid w:val="00467C99"/>
    <w:rsid w:val="00467DF0"/>
    <w:rsid w:val="00467DF1"/>
    <w:rsid w:val="00467DF5"/>
    <w:rsid w:val="00467EA7"/>
    <w:rsid w:val="00467F3A"/>
    <w:rsid w:val="00467FA9"/>
    <w:rsid w:val="00470070"/>
    <w:rsid w:val="004701DA"/>
    <w:rsid w:val="00470391"/>
    <w:rsid w:val="00470531"/>
    <w:rsid w:val="004706BD"/>
    <w:rsid w:val="004706CE"/>
    <w:rsid w:val="00470702"/>
    <w:rsid w:val="0047074D"/>
    <w:rsid w:val="004707D5"/>
    <w:rsid w:val="00470864"/>
    <w:rsid w:val="00470A9F"/>
    <w:rsid w:val="00470CA2"/>
    <w:rsid w:val="00470EB3"/>
    <w:rsid w:val="0047115E"/>
    <w:rsid w:val="004712CB"/>
    <w:rsid w:val="00471380"/>
    <w:rsid w:val="004713DB"/>
    <w:rsid w:val="00471431"/>
    <w:rsid w:val="00471435"/>
    <w:rsid w:val="00471460"/>
    <w:rsid w:val="0047147F"/>
    <w:rsid w:val="004714C4"/>
    <w:rsid w:val="00471B32"/>
    <w:rsid w:val="00471B65"/>
    <w:rsid w:val="00471BA5"/>
    <w:rsid w:val="00471C40"/>
    <w:rsid w:val="004720CD"/>
    <w:rsid w:val="0047218D"/>
    <w:rsid w:val="00472246"/>
    <w:rsid w:val="004722C7"/>
    <w:rsid w:val="00472325"/>
    <w:rsid w:val="004726E4"/>
    <w:rsid w:val="004726E9"/>
    <w:rsid w:val="00472A43"/>
    <w:rsid w:val="00472AA8"/>
    <w:rsid w:val="00472C29"/>
    <w:rsid w:val="00472C75"/>
    <w:rsid w:val="00472D16"/>
    <w:rsid w:val="00472E4E"/>
    <w:rsid w:val="00472F88"/>
    <w:rsid w:val="004730BB"/>
    <w:rsid w:val="00473124"/>
    <w:rsid w:val="004734EE"/>
    <w:rsid w:val="004736F9"/>
    <w:rsid w:val="004738D1"/>
    <w:rsid w:val="00473977"/>
    <w:rsid w:val="00473A7C"/>
    <w:rsid w:val="00473DFD"/>
    <w:rsid w:val="004740A8"/>
    <w:rsid w:val="004741AE"/>
    <w:rsid w:val="00474240"/>
    <w:rsid w:val="0047427D"/>
    <w:rsid w:val="004743AE"/>
    <w:rsid w:val="004744A3"/>
    <w:rsid w:val="004744E0"/>
    <w:rsid w:val="00474521"/>
    <w:rsid w:val="0047471C"/>
    <w:rsid w:val="0047499B"/>
    <w:rsid w:val="004749AA"/>
    <w:rsid w:val="00474BA6"/>
    <w:rsid w:val="004750ED"/>
    <w:rsid w:val="004751AC"/>
    <w:rsid w:val="00475459"/>
    <w:rsid w:val="00475663"/>
    <w:rsid w:val="0047596D"/>
    <w:rsid w:val="00475CD5"/>
    <w:rsid w:val="00475D3A"/>
    <w:rsid w:val="00475DBD"/>
    <w:rsid w:val="00475E31"/>
    <w:rsid w:val="00475E5A"/>
    <w:rsid w:val="00475F6D"/>
    <w:rsid w:val="00475FD4"/>
    <w:rsid w:val="004761BD"/>
    <w:rsid w:val="0047620D"/>
    <w:rsid w:val="004764F3"/>
    <w:rsid w:val="00476640"/>
    <w:rsid w:val="004766EE"/>
    <w:rsid w:val="004769CE"/>
    <w:rsid w:val="00476AC2"/>
    <w:rsid w:val="00476B0E"/>
    <w:rsid w:val="0047700B"/>
    <w:rsid w:val="004770B2"/>
    <w:rsid w:val="004771F2"/>
    <w:rsid w:val="00477644"/>
    <w:rsid w:val="00477680"/>
    <w:rsid w:val="00477749"/>
    <w:rsid w:val="004778C7"/>
    <w:rsid w:val="004778EA"/>
    <w:rsid w:val="0047793C"/>
    <w:rsid w:val="00477ACB"/>
    <w:rsid w:val="00477BB8"/>
    <w:rsid w:val="00477EE4"/>
    <w:rsid w:val="00477F5B"/>
    <w:rsid w:val="00477F7D"/>
    <w:rsid w:val="00480022"/>
    <w:rsid w:val="00480036"/>
    <w:rsid w:val="0048030F"/>
    <w:rsid w:val="00480350"/>
    <w:rsid w:val="004805D1"/>
    <w:rsid w:val="00480933"/>
    <w:rsid w:val="00480A02"/>
    <w:rsid w:val="00481257"/>
    <w:rsid w:val="00481582"/>
    <w:rsid w:val="004815A6"/>
    <w:rsid w:val="00481619"/>
    <w:rsid w:val="00481799"/>
    <w:rsid w:val="004818A1"/>
    <w:rsid w:val="00481A11"/>
    <w:rsid w:val="00481A9F"/>
    <w:rsid w:val="00481B8C"/>
    <w:rsid w:val="00481D49"/>
    <w:rsid w:val="00481F87"/>
    <w:rsid w:val="00482130"/>
    <w:rsid w:val="00482327"/>
    <w:rsid w:val="0048253A"/>
    <w:rsid w:val="00482764"/>
    <w:rsid w:val="0048277D"/>
    <w:rsid w:val="00482850"/>
    <w:rsid w:val="0048288C"/>
    <w:rsid w:val="00482AA3"/>
    <w:rsid w:val="00482BA6"/>
    <w:rsid w:val="00482D2E"/>
    <w:rsid w:val="00482D4E"/>
    <w:rsid w:val="004832E2"/>
    <w:rsid w:val="004832F9"/>
    <w:rsid w:val="00483342"/>
    <w:rsid w:val="0048335D"/>
    <w:rsid w:val="004835C0"/>
    <w:rsid w:val="00483609"/>
    <w:rsid w:val="00483650"/>
    <w:rsid w:val="004836B5"/>
    <w:rsid w:val="00483720"/>
    <w:rsid w:val="00483926"/>
    <w:rsid w:val="00483A3B"/>
    <w:rsid w:val="00483A52"/>
    <w:rsid w:val="004840FE"/>
    <w:rsid w:val="004841C1"/>
    <w:rsid w:val="0048423B"/>
    <w:rsid w:val="00484339"/>
    <w:rsid w:val="00484440"/>
    <w:rsid w:val="0048450A"/>
    <w:rsid w:val="0048452B"/>
    <w:rsid w:val="004845AE"/>
    <w:rsid w:val="00484804"/>
    <w:rsid w:val="00484A3E"/>
    <w:rsid w:val="00484AD7"/>
    <w:rsid w:val="00484BAC"/>
    <w:rsid w:val="00484D98"/>
    <w:rsid w:val="00484F2B"/>
    <w:rsid w:val="004851F7"/>
    <w:rsid w:val="00485250"/>
    <w:rsid w:val="0048539F"/>
    <w:rsid w:val="00485461"/>
    <w:rsid w:val="004855B1"/>
    <w:rsid w:val="004855FB"/>
    <w:rsid w:val="0048563A"/>
    <w:rsid w:val="004856B4"/>
    <w:rsid w:val="0048576C"/>
    <w:rsid w:val="0048588E"/>
    <w:rsid w:val="004858E9"/>
    <w:rsid w:val="00485B03"/>
    <w:rsid w:val="00485B53"/>
    <w:rsid w:val="00485B8E"/>
    <w:rsid w:val="00485C8A"/>
    <w:rsid w:val="00485F01"/>
    <w:rsid w:val="00485F4F"/>
    <w:rsid w:val="004860A0"/>
    <w:rsid w:val="004861BE"/>
    <w:rsid w:val="00486215"/>
    <w:rsid w:val="004862BA"/>
    <w:rsid w:val="004862CC"/>
    <w:rsid w:val="00486565"/>
    <w:rsid w:val="00486580"/>
    <w:rsid w:val="0048670B"/>
    <w:rsid w:val="00486759"/>
    <w:rsid w:val="00486A85"/>
    <w:rsid w:val="00486D5B"/>
    <w:rsid w:val="00486D5F"/>
    <w:rsid w:val="00486F7A"/>
    <w:rsid w:val="004877BC"/>
    <w:rsid w:val="004877C6"/>
    <w:rsid w:val="004877E0"/>
    <w:rsid w:val="00487983"/>
    <w:rsid w:val="00487984"/>
    <w:rsid w:val="00487AA3"/>
    <w:rsid w:val="00487B28"/>
    <w:rsid w:val="00487C6C"/>
    <w:rsid w:val="00487CEC"/>
    <w:rsid w:val="00487D69"/>
    <w:rsid w:val="00487DBB"/>
    <w:rsid w:val="00487F11"/>
    <w:rsid w:val="0049003B"/>
    <w:rsid w:val="0049011D"/>
    <w:rsid w:val="0049026A"/>
    <w:rsid w:val="0049026B"/>
    <w:rsid w:val="0049040B"/>
    <w:rsid w:val="004904F3"/>
    <w:rsid w:val="00490827"/>
    <w:rsid w:val="0049083A"/>
    <w:rsid w:val="004908DA"/>
    <w:rsid w:val="00490A2F"/>
    <w:rsid w:val="00490C50"/>
    <w:rsid w:val="00490D86"/>
    <w:rsid w:val="00490FCD"/>
    <w:rsid w:val="00491053"/>
    <w:rsid w:val="004912AA"/>
    <w:rsid w:val="00491350"/>
    <w:rsid w:val="00491525"/>
    <w:rsid w:val="004917C4"/>
    <w:rsid w:val="004918E1"/>
    <w:rsid w:val="00491A46"/>
    <w:rsid w:val="00491B51"/>
    <w:rsid w:val="00491BC5"/>
    <w:rsid w:val="00491D3C"/>
    <w:rsid w:val="00491D58"/>
    <w:rsid w:val="00491F2A"/>
    <w:rsid w:val="004920B6"/>
    <w:rsid w:val="004920EE"/>
    <w:rsid w:val="004922E0"/>
    <w:rsid w:val="0049260A"/>
    <w:rsid w:val="00492695"/>
    <w:rsid w:val="004926C9"/>
    <w:rsid w:val="004927C1"/>
    <w:rsid w:val="004928EA"/>
    <w:rsid w:val="00492B3F"/>
    <w:rsid w:val="00492B53"/>
    <w:rsid w:val="00492B6A"/>
    <w:rsid w:val="00492CBE"/>
    <w:rsid w:val="00492D4C"/>
    <w:rsid w:val="00492E3D"/>
    <w:rsid w:val="00492F4D"/>
    <w:rsid w:val="00492F8F"/>
    <w:rsid w:val="00492FCD"/>
    <w:rsid w:val="0049316A"/>
    <w:rsid w:val="0049326D"/>
    <w:rsid w:val="004934A7"/>
    <w:rsid w:val="004935F1"/>
    <w:rsid w:val="004936CB"/>
    <w:rsid w:val="00493947"/>
    <w:rsid w:val="00493B85"/>
    <w:rsid w:val="00493F77"/>
    <w:rsid w:val="00493FC2"/>
    <w:rsid w:val="004943A8"/>
    <w:rsid w:val="00494608"/>
    <w:rsid w:val="004946DF"/>
    <w:rsid w:val="0049475B"/>
    <w:rsid w:val="00494C35"/>
    <w:rsid w:val="00494C92"/>
    <w:rsid w:val="00494DC5"/>
    <w:rsid w:val="00494E0C"/>
    <w:rsid w:val="00494E0E"/>
    <w:rsid w:val="00494F57"/>
    <w:rsid w:val="004952A3"/>
    <w:rsid w:val="00495420"/>
    <w:rsid w:val="00495565"/>
    <w:rsid w:val="00495671"/>
    <w:rsid w:val="0049576E"/>
    <w:rsid w:val="0049584F"/>
    <w:rsid w:val="00495A68"/>
    <w:rsid w:val="00495BB1"/>
    <w:rsid w:val="00495F8F"/>
    <w:rsid w:val="00496048"/>
    <w:rsid w:val="004960A8"/>
    <w:rsid w:val="004961E0"/>
    <w:rsid w:val="00496354"/>
    <w:rsid w:val="004963CA"/>
    <w:rsid w:val="004964E1"/>
    <w:rsid w:val="00496656"/>
    <w:rsid w:val="004967C8"/>
    <w:rsid w:val="00496A20"/>
    <w:rsid w:val="00496C8B"/>
    <w:rsid w:val="00496CDF"/>
    <w:rsid w:val="00496D26"/>
    <w:rsid w:val="00496DF4"/>
    <w:rsid w:val="00496EA6"/>
    <w:rsid w:val="00496FC8"/>
    <w:rsid w:val="00497264"/>
    <w:rsid w:val="0049749A"/>
    <w:rsid w:val="004974FD"/>
    <w:rsid w:val="004978C6"/>
    <w:rsid w:val="004978F3"/>
    <w:rsid w:val="004979A8"/>
    <w:rsid w:val="00497C9B"/>
    <w:rsid w:val="00497E44"/>
    <w:rsid w:val="00497F55"/>
    <w:rsid w:val="004A0085"/>
    <w:rsid w:val="004A0406"/>
    <w:rsid w:val="004A075B"/>
    <w:rsid w:val="004A0A48"/>
    <w:rsid w:val="004A0B37"/>
    <w:rsid w:val="004A0B4C"/>
    <w:rsid w:val="004A0EB0"/>
    <w:rsid w:val="004A135B"/>
    <w:rsid w:val="004A1507"/>
    <w:rsid w:val="004A155C"/>
    <w:rsid w:val="004A15FE"/>
    <w:rsid w:val="004A1604"/>
    <w:rsid w:val="004A173E"/>
    <w:rsid w:val="004A1804"/>
    <w:rsid w:val="004A1A92"/>
    <w:rsid w:val="004A1DCD"/>
    <w:rsid w:val="004A1DE9"/>
    <w:rsid w:val="004A1F15"/>
    <w:rsid w:val="004A1F93"/>
    <w:rsid w:val="004A1FAD"/>
    <w:rsid w:val="004A222A"/>
    <w:rsid w:val="004A223A"/>
    <w:rsid w:val="004A23A3"/>
    <w:rsid w:val="004A257C"/>
    <w:rsid w:val="004A25BA"/>
    <w:rsid w:val="004A2613"/>
    <w:rsid w:val="004A2B8B"/>
    <w:rsid w:val="004A2F44"/>
    <w:rsid w:val="004A3621"/>
    <w:rsid w:val="004A363F"/>
    <w:rsid w:val="004A3990"/>
    <w:rsid w:val="004A3AEC"/>
    <w:rsid w:val="004A3D3A"/>
    <w:rsid w:val="004A4069"/>
    <w:rsid w:val="004A43AA"/>
    <w:rsid w:val="004A447C"/>
    <w:rsid w:val="004A4DBE"/>
    <w:rsid w:val="004A4EA5"/>
    <w:rsid w:val="004A4FD2"/>
    <w:rsid w:val="004A5B50"/>
    <w:rsid w:val="004A5B54"/>
    <w:rsid w:val="004A5BC6"/>
    <w:rsid w:val="004A5C42"/>
    <w:rsid w:val="004A5C81"/>
    <w:rsid w:val="004A5E5D"/>
    <w:rsid w:val="004A60CB"/>
    <w:rsid w:val="004A60F1"/>
    <w:rsid w:val="004A61A4"/>
    <w:rsid w:val="004A6386"/>
    <w:rsid w:val="004A63AB"/>
    <w:rsid w:val="004A63EA"/>
    <w:rsid w:val="004A64BB"/>
    <w:rsid w:val="004A65E5"/>
    <w:rsid w:val="004A671D"/>
    <w:rsid w:val="004A6764"/>
    <w:rsid w:val="004A6840"/>
    <w:rsid w:val="004A68C1"/>
    <w:rsid w:val="004A68D7"/>
    <w:rsid w:val="004A69D0"/>
    <w:rsid w:val="004A6AE3"/>
    <w:rsid w:val="004A6B92"/>
    <w:rsid w:val="004A6C3A"/>
    <w:rsid w:val="004A6DFC"/>
    <w:rsid w:val="004A6E95"/>
    <w:rsid w:val="004A6EA4"/>
    <w:rsid w:val="004A6F54"/>
    <w:rsid w:val="004A6FE0"/>
    <w:rsid w:val="004A6FEA"/>
    <w:rsid w:val="004A73F9"/>
    <w:rsid w:val="004A74B3"/>
    <w:rsid w:val="004A755D"/>
    <w:rsid w:val="004A77A7"/>
    <w:rsid w:val="004A7830"/>
    <w:rsid w:val="004A7BBA"/>
    <w:rsid w:val="004A7C59"/>
    <w:rsid w:val="004A7EBD"/>
    <w:rsid w:val="004A7EE7"/>
    <w:rsid w:val="004A7FFA"/>
    <w:rsid w:val="004B003C"/>
    <w:rsid w:val="004B02B6"/>
    <w:rsid w:val="004B02B8"/>
    <w:rsid w:val="004B0405"/>
    <w:rsid w:val="004B0690"/>
    <w:rsid w:val="004B0748"/>
    <w:rsid w:val="004B07CC"/>
    <w:rsid w:val="004B0857"/>
    <w:rsid w:val="004B0911"/>
    <w:rsid w:val="004B0B2E"/>
    <w:rsid w:val="004B0BA7"/>
    <w:rsid w:val="004B0C17"/>
    <w:rsid w:val="004B0D22"/>
    <w:rsid w:val="004B0FAB"/>
    <w:rsid w:val="004B1000"/>
    <w:rsid w:val="004B1078"/>
    <w:rsid w:val="004B10CD"/>
    <w:rsid w:val="004B10D9"/>
    <w:rsid w:val="004B1276"/>
    <w:rsid w:val="004B135C"/>
    <w:rsid w:val="004B1394"/>
    <w:rsid w:val="004B14B6"/>
    <w:rsid w:val="004B157E"/>
    <w:rsid w:val="004B1604"/>
    <w:rsid w:val="004B161A"/>
    <w:rsid w:val="004B186B"/>
    <w:rsid w:val="004B1883"/>
    <w:rsid w:val="004B18BD"/>
    <w:rsid w:val="004B18F1"/>
    <w:rsid w:val="004B1A91"/>
    <w:rsid w:val="004B1AD2"/>
    <w:rsid w:val="004B1B11"/>
    <w:rsid w:val="004B1CC7"/>
    <w:rsid w:val="004B1FD5"/>
    <w:rsid w:val="004B1FDE"/>
    <w:rsid w:val="004B200E"/>
    <w:rsid w:val="004B2011"/>
    <w:rsid w:val="004B2252"/>
    <w:rsid w:val="004B2540"/>
    <w:rsid w:val="004B25D4"/>
    <w:rsid w:val="004B26A4"/>
    <w:rsid w:val="004B28C4"/>
    <w:rsid w:val="004B2A93"/>
    <w:rsid w:val="004B2DBC"/>
    <w:rsid w:val="004B2FF6"/>
    <w:rsid w:val="004B306B"/>
    <w:rsid w:val="004B334D"/>
    <w:rsid w:val="004B3468"/>
    <w:rsid w:val="004B34B8"/>
    <w:rsid w:val="004B34E4"/>
    <w:rsid w:val="004B363F"/>
    <w:rsid w:val="004B37CD"/>
    <w:rsid w:val="004B3B1B"/>
    <w:rsid w:val="004B3D0A"/>
    <w:rsid w:val="004B3D2D"/>
    <w:rsid w:val="004B3F02"/>
    <w:rsid w:val="004B40B0"/>
    <w:rsid w:val="004B42A1"/>
    <w:rsid w:val="004B42B7"/>
    <w:rsid w:val="004B43A6"/>
    <w:rsid w:val="004B456B"/>
    <w:rsid w:val="004B457F"/>
    <w:rsid w:val="004B4632"/>
    <w:rsid w:val="004B4839"/>
    <w:rsid w:val="004B4B8E"/>
    <w:rsid w:val="004B4C75"/>
    <w:rsid w:val="004B4DAE"/>
    <w:rsid w:val="004B4E47"/>
    <w:rsid w:val="004B4E60"/>
    <w:rsid w:val="004B4F87"/>
    <w:rsid w:val="004B5096"/>
    <w:rsid w:val="004B50B9"/>
    <w:rsid w:val="004B50BF"/>
    <w:rsid w:val="004B514F"/>
    <w:rsid w:val="004B53DB"/>
    <w:rsid w:val="004B5411"/>
    <w:rsid w:val="004B5414"/>
    <w:rsid w:val="004B5591"/>
    <w:rsid w:val="004B576A"/>
    <w:rsid w:val="004B5C29"/>
    <w:rsid w:val="004B5F8E"/>
    <w:rsid w:val="004B604A"/>
    <w:rsid w:val="004B60B3"/>
    <w:rsid w:val="004B61C6"/>
    <w:rsid w:val="004B61F6"/>
    <w:rsid w:val="004B620B"/>
    <w:rsid w:val="004B6361"/>
    <w:rsid w:val="004B63CC"/>
    <w:rsid w:val="004B64C2"/>
    <w:rsid w:val="004B673F"/>
    <w:rsid w:val="004B6757"/>
    <w:rsid w:val="004B67B9"/>
    <w:rsid w:val="004B67D7"/>
    <w:rsid w:val="004B6A12"/>
    <w:rsid w:val="004B6AB7"/>
    <w:rsid w:val="004B6ADA"/>
    <w:rsid w:val="004B6CD0"/>
    <w:rsid w:val="004B6DD3"/>
    <w:rsid w:val="004B6EE4"/>
    <w:rsid w:val="004B6F41"/>
    <w:rsid w:val="004B6FFC"/>
    <w:rsid w:val="004B70C8"/>
    <w:rsid w:val="004B791F"/>
    <w:rsid w:val="004B79E6"/>
    <w:rsid w:val="004B79E8"/>
    <w:rsid w:val="004B7B01"/>
    <w:rsid w:val="004B7BA2"/>
    <w:rsid w:val="004B7C8B"/>
    <w:rsid w:val="004B7DED"/>
    <w:rsid w:val="004B7E86"/>
    <w:rsid w:val="004C0071"/>
    <w:rsid w:val="004C008B"/>
    <w:rsid w:val="004C01E6"/>
    <w:rsid w:val="004C065C"/>
    <w:rsid w:val="004C08F8"/>
    <w:rsid w:val="004C0974"/>
    <w:rsid w:val="004C0A9D"/>
    <w:rsid w:val="004C0B10"/>
    <w:rsid w:val="004C0C72"/>
    <w:rsid w:val="004C0D88"/>
    <w:rsid w:val="004C0DCF"/>
    <w:rsid w:val="004C0E42"/>
    <w:rsid w:val="004C0E84"/>
    <w:rsid w:val="004C0F69"/>
    <w:rsid w:val="004C0FD3"/>
    <w:rsid w:val="004C1232"/>
    <w:rsid w:val="004C1353"/>
    <w:rsid w:val="004C158C"/>
    <w:rsid w:val="004C1655"/>
    <w:rsid w:val="004C16AC"/>
    <w:rsid w:val="004C1B90"/>
    <w:rsid w:val="004C1D2F"/>
    <w:rsid w:val="004C1D6E"/>
    <w:rsid w:val="004C1EBE"/>
    <w:rsid w:val="004C1F1C"/>
    <w:rsid w:val="004C2175"/>
    <w:rsid w:val="004C2246"/>
    <w:rsid w:val="004C22D9"/>
    <w:rsid w:val="004C2447"/>
    <w:rsid w:val="004C2462"/>
    <w:rsid w:val="004C2641"/>
    <w:rsid w:val="004C2852"/>
    <w:rsid w:val="004C28B0"/>
    <w:rsid w:val="004C2969"/>
    <w:rsid w:val="004C29E3"/>
    <w:rsid w:val="004C2B54"/>
    <w:rsid w:val="004C2E8C"/>
    <w:rsid w:val="004C2ED3"/>
    <w:rsid w:val="004C31E0"/>
    <w:rsid w:val="004C34D5"/>
    <w:rsid w:val="004C3510"/>
    <w:rsid w:val="004C356F"/>
    <w:rsid w:val="004C3800"/>
    <w:rsid w:val="004C3804"/>
    <w:rsid w:val="004C387D"/>
    <w:rsid w:val="004C396F"/>
    <w:rsid w:val="004C3C91"/>
    <w:rsid w:val="004C3F2D"/>
    <w:rsid w:val="004C3F99"/>
    <w:rsid w:val="004C404C"/>
    <w:rsid w:val="004C459A"/>
    <w:rsid w:val="004C485F"/>
    <w:rsid w:val="004C4A13"/>
    <w:rsid w:val="004C4DF6"/>
    <w:rsid w:val="004C5090"/>
    <w:rsid w:val="004C510C"/>
    <w:rsid w:val="004C5318"/>
    <w:rsid w:val="004C55D9"/>
    <w:rsid w:val="004C55DA"/>
    <w:rsid w:val="004C57B9"/>
    <w:rsid w:val="004C5851"/>
    <w:rsid w:val="004C58A8"/>
    <w:rsid w:val="004C5943"/>
    <w:rsid w:val="004C597A"/>
    <w:rsid w:val="004C5B7E"/>
    <w:rsid w:val="004C5E36"/>
    <w:rsid w:val="004C5F1E"/>
    <w:rsid w:val="004C5F22"/>
    <w:rsid w:val="004C6295"/>
    <w:rsid w:val="004C65E3"/>
    <w:rsid w:val="004C65F8"/>
    <w:rsid w:val="004C684D"/>
    <w:rsid w:val="004C6A52"/>
    <w:rsid w:val="004C6A79"/>
    <w:rsid w:val="004C6B0A"/>
    <w:rsid w:val="004C6B5F"/>
    <w:rsid w:val="004C6BDC"/>
    <w:rsid w:val="004C6C60"/>
    <w:rsid w:val="004C6E5A"/>
    <w:rsid w:val="004C6E6A"/>
    <w:rsid w:val="004C6ECE"/>
    <w:rsid w:val="004C6FD0"/>
    <w:rsid w:val="004C70C0"/>
    <w:rsid w:val="004C72BB"/>
    <w:rsid w:val="004C73CB"/>
    <w:rsid w:val="004C73D8"/>
    <w:rsid w:val="004C742A"/>
    <w:rsid w:val="004C77A8"/>
    <w:rsid w:val="004C7813"/>
    <w:rsid w:val="004C784E"/>
    <w:rsid w:val="004C79C6"/>
    <w:rsid w:val="004C7B7B"/>
    <w:rsid w:val="004C7C38"/>
    <w:rsid w:val="004C7CC6"/>
    <w:rsid w:val="004C7E4B"/>
    <w:rsid w:val="004C7E6D"/>
    <w:rsid w:val="004C7EED"/>
    <w:rsid w:val="004C7FA8"/>
    <w:rsid w:val="004D017B"/>
    <w:rsid w:val="004D018E"/>
    <w:rsid w:val="004D0215"/>
    <w:rsid w:val="004D0221"/>
    <w:rsid w:val="004D025F"/>
    <w:rsid w:val="004D0329"/>
    <w:rsid w:val="004D034D"/>
    <w:rsid w:val="004D04E2"/>
    <w:rsid w:val="004D0552"/>
    <w:rsid w:val="004D06F6"/>
    <w:rsid w:val="004D0714"/>
    <w:rsid w:val="004D07FA"/>
    <w:rsid w:val="004D08E2"/>
    <w:rsid w:val="004D09F5"/>
    <w:rsid w:val="004D0A5D"/>
    <w:rsid w:val="004D0AE0"/>
    <w:rsid w:val="004D0DCC"/>
    <w:rsid w:val="004D10CA"/>
    <w:rsid w:val="004D10CB"/>
    <w:rsid w:val="004D11C2"/>
    <w:rsid w:val="004D122D"/>
    <w:rsid w:val="004D12AC"/>
    <w:rsid w:val="004D1304"/>
    <w:rsid w:val="004D138F"/>
    <w:rsid w:val="004D13DA"/>
    <w:rsid w:val="004D15EC"/>
    <w:rsid w:val="004D1648"/>
    <w:rsid w:val="004D18A3"/>
    <w:rsid w:val="004D1BD8"/>
    <w:rsid w:val="004D1C72"/>
    <w:rsid w:val="004D1DF0"/>
    <w:rsid w:val="004D1EA1"/>
    <w:rsid w:val="004D1F40"/>
    <w:rsid w:val="004D1F5B"/>
    <w:rsid w:val="004D21A9"/>
    <w:rsid w:val="004D221D"/>
    <w:rsid w:val="004D22A3"/>
    <w:rsid w:val="004D23F4"/>
    <w:rsid w:val="004D2584"/>
    <w:rsid w:val="004D266A"/>
    <w:rsid w:val="004D274F"/>
    <w:rsid w:val="004D28BD"/>
    <w:rsid w:val="004D2EAE"/>
    <w:rsid w:val="004D2F37"/>
    <w:rsid w:val="004D2F43"/>
    <w:rsid w:val="004D3096"/>
    <w:rsid w:val="004D3184"/>
    <w:rsid w:val="004D32D4"/>
    <w:rsid w:val="004D35A3"/>
    <w:rsid w:val="004D35CF"/>
    <w:rsid w:val="004D38B2"/>
    <w:rsid w:val="004D3902"/>
    <w:rsid w:val="004D3B26"/>
    <w:rsid w:val="004D3BC5"/>
    <w:rsid w:val="004D40D5"/>
    <w:rsid w:val="004D42DB"/>
    <w:rsid w:val="004D4427"/>
    <w:rsid w:val="004D4653"/>
    <w:rsid w:val="004D4936"/>
    <w:rsid w:val="004D4959"/>
    <w:rsid w:val="004D4A6A"/>
    <w:rsid w:val="004D4BB8"/>
    <w:rsid w:val="004D4C18"/>
    <w:rsid w:val="004D4C5F"/>
    <w:rsid w:val="004D4E48"/>
    <w:rsid w:val="004D4F71"/>
    <w:rsid w:val="004D4F8E"/>
    <w:rsid w:val="004D502E"/>
    <w:rsid w:val="004D503A"/>
    <w:rsid w:val="004D50FA"/>
    <w:rsid w:val="004D51AD"/>
    <w:rsid w:val="004D53C7"/>
    <w:rsid w:val="004D546D"/>
    <w:rsid w:val="004D5509"/>
    <w:rsid w:val="004D5579"/>
    <w:rsid w:val="004D5702"/>
    <w:rsid w:val="004D57C8"/>
    <w:rsid w:val="004D59DA"/>
    <w:rsid w:val="004D5BF7"/>
    <w:rsid w:val="004D5E4C"/>
    <w:rsid w:val="004D5E4D"/>
    <w:rsid w:val="004D5F8D"/>
    <w:rsid w:val="004D5FA1"/>
    <w:rsid w:val="004D6022"/>
    <w:rsid w:val="004D6029"/>
    <w:rsid w:val="004D60BC"/>
    <w:rsid w:val="004D60BE"/>
    <w:rsid w:val="004D67EC"/>
    <w:rsid w:val="004D6829"/>
    <w:rsid w:val="004D6998"/>
    <w:rsid w:val="004D6A22"/>
    <w:rsid w:val="004D6A46"/>
    <w:rsid w:val="004D6B28"/>
    <w:rsid w:val="004D6BC1"/>
    <w:rsid w:val="004D6C7F"/>
    <w:rsid w:val="004D6D92"/>
    <w:rsid w:val="004D6E2A"/>
    <w:rsid w:val="004D70EC"/>
    <w:rsid w:val="004D71D1"/>
    <w:rsid w:val="004D7357"/>
    <w:rsid w:val="004D73A8"/>
    <w:rsid w:val="004D740E"/>
    <w:rsid w:val="004D741B"/>
    <w:rsid w:val="004D742A"/>
    <w:rsid w:val="004D7463"/>
    <w:rsid w:val="004D7AC5"/>
    <w:rsid w:val="004D7C2C"/>
    <w:rsid w:val="004D7E63"/>
    <w:rsid w:val="004D7EB7"/>
    <w:rsid w:val="004D7FC2"/>
    <w:rsid w:val="004E0158"/>
    <w:rsid w:val="004E0252"/>
    <w:rsid w:val="004E02A8"/>
    <w:rsid w:val="004E039F"/>
    <w:rsid w:val="004E0626"/>
    <w:rsid w:val="004E0778"/>
    <w:rsid w:val="004E08A4"/>
    <w:rsid w:val="004E08E9"/>
    <w:rsid w:val="004E0A91"/>
    <w:rsid w:val="004E0B7E"/>
    <w:rsid w:val="004E0B90"/>
    <w:rsid w:val="004E0CC3"/>
    <w:rsid w:val="004E0D66"/>
    <w:rsid w:val="004E0D88"/>
    <w:rsid w:val="004E0F69"/>
    <w:rsid w:val="004E1069"/>
    <w:rsid w:val="004E139A"/>
    <w:rsid w:val="004E1674"/>
    <w:rsid w:val="004E1710"/>
    <w:rsid w:val="004E1712"/>
    <w:rsid w:val="004E1879"/>
    <w:rsid w:val="004E18E3"/>
    <w:rsid w:val="004E1AAB"/>
    <w:rsid w:val="004E1B69"/>
    <w:rsid w:val="004E1DFC"/>
    <w:rsid w:val="004E1EE0"/>
    <w:rsid w:val="004E1EE1"/>
    <w:rsid w:val="004E1F54"/>
    <w:rsid w:val="004E241A"/>
    <w:rsid w:val="004E2536"/>
    <w:rsid w:val="004E28DA"/>
    <w:rsid w:val="004E2931"/>
    <w:rsid w:val="004E2993"/>
    <w:rsid w:val="004E2B7A"/>
    <w:rsid w:val="004E2C67"/>
    <w:rsid w:val="004E2CE8"/>
    <w:rsid w:val="004E2D47"/>
    <w:rsid w:val="004E2D6A"/>
    <w:rsid w:val="004E322C"/>
    <w:rsid w:val="004E367F"/>
    <w:rsid w:val="004E36CE"/>
    <w:rsid w:val="004E3717"/>
    <w:rsid w:val="004E39B0"/>
    <w:rsid w:val="004E3A43"/>
    <w:rsid w:val="004E3A5E"/>
    <w:rsid w:val="004E3B75"/>
    <w:rsid w:val="004E3B8A"/>
    <w:rsid w:val="004E3CD5"/>
    <w:rsid w:val="004E3E8C"/>
    <w:rsid w:val="004E3EEB"/>
    <w:rsid w:val="004E3FE1"/>
    <w:rsid w:val="004E4207"/>
    <w:rsid w:val="004E4877"/>
    <w:rsid w:val="004E489A"/>
    <w:rsid w:val="004E4AD6"/>
    <w:rsid w:val="004E4B7D"/>
    <w:rsid w:val="004E4CC6"/>
    <w:rsid w:val="004E4CEC"/>
    <w:rsid w:val="004E5061"/>
    <w:rsid w:val="004E50D3"/>
    <w:rsid w:val="004E5171"/>
    <w:rsid w:val="004E525C"/>
    <w:rsid w:val="004E52C1"/>
    <w:rsid w:val="004E54C1"/>
    <w:rsid w:val="004E5598"/>
    <w:rsid w:val="004E56BC"/>
    <w:rsid w:val="004E56E0"/>
    <w:rsid w:val="004E57BE"/>
    <w:rsid w:val="004E57ED"/>
    <w:rsid w:val="004E5ABD"/>
    <w:rsid w:val="004E5C90"/>
    <w:rsid w:val="004E5D27"/>
    <w:rsid w:val="004E5DAC"/>
    <w:rsid w:val="004E5E1C"/>
    <w:rsid w:val="004E5E76"/>
    <w:rsid w:val="004E5E93"/>
    <w:rsid w:val="004E6188"/>
    <w:rsid w:val="004E61A1"/>
    <w:rsid w:val="004E62C5"/>
    <w:rsid w:val="004E646A"/>
    <w:rsid w:val="004E6497"/>
    <w:rsid w:val="004E64D4"/>
    <w:rsid w:val="004E663C"/>
    <w:rsid w:val="004E6997"/>
    <w:rsid w:val="004E6A21"/>
    <w:rsid w:val="004E6A31"/>
    <w:rsid w:val="004E6D1F"/>
    <w:rsid w:val="004E6F7A"/>
    <w:rsid w:val="004E713B"/>
    <w:rsid w:val="004E71CD"/>
    <w:rsid w:val="004E71F2"/>
    <w:rsid w:val="004E72D1"/>
    <w:rsid w:val="004E74BA"/>
    <w:rsid w:val="004E76B6"/>
    <w:rsid w:val="004E77A5"/>
    <w:rsid w:val="004E77D8"/>
    <w:rsid w:val="004E78C6"/>
    <w:rsid w:val="004E7A4F"/>
    <w:rsid w:val="004E7AFE"/>
    <w:rsid w:val="004E7C47"/>
    <w:rsid w:val="004F000E"/>
    <w:rsid w:val="004F0033"/>
    <w:rsid w:val="004F0172"/>
    <w:rsid w:val="004F01D2"/>
    <w:rsid w:val="004F0625"/>
    <w:rsid w:val="004F06B3"/>
    <w:rsid w:val="004F0733"/>
    <w:rsid w:val="004F0A9F"/>
    <w:rsid w:val="004F0AED"/>
    <w:rsid w:val="004F0C19"/>
    <w:rsid w:val="004F0CD1"/>
    <w:rsid w:val="004F0DAC"/>
    <w:rsid w:val="004F0E3D"/>
    <w:rsid w:val="004F0F90"/>
    <w:rsid w:val="004F0F9C"/>
    <w:rsid w:val="004F10B8"/>
    <w:rsid w:val="004F1152"/>
    <w:rsid w:val="004F1170"/>
    <w:rsid w:val="004F11BF"/>
    <w:rsid w:val="004F1374"/>
    <w:rsid w:val="004F14DF"/>
    <w:rsid w:val="004F1809"/>
    <w:rsid w:val="004F196B"/>
    <w:rsid w:val="004F1AE4"/>
    <w:rsid w:val="004F1B49"/>
    <w:rsid w:val="004F1E0E"/>
    <w:rsid w:val="004F1FDF"/>
    <w:rsid w:val="004F246D"/>
    <w:rsid w:val="004F24AA"/>
    <w:rsid w:val="004F25BC"/>
    <w:rsid w:val="004F2709"/>
    <w:rsid w:val="004F2724"/>
    <w:rsid w:val="004F28C9"/>
    <w:rsid w:val="004F297B"/>
    <w:rsid w:val="004F2D4E"/>
    <w:rsid w:val="004F2D81"/>
    <w:rsid w:val="004F2FED"/>
    <w:rsid w:val="004F2FF0"/>
    <w:rsid w:val="004F3142"/>
    <w:rsid w:val="004F3186"/>
    <w:rsid w:val="004F3242"/>
    <w:rsid w:val="004F3436"/>
    <w:rsid w:val="004F350F"/>
    <w:rsid w:val="004F35BC"/>
    <w:rsid w:val="004F375C"/>
    <w:rsid w:val="004F3A65"/>
    <w:rsid w:val="004F3ABC"/>
    <w:rsid w:val="004F3B91"/>
    <w:rsid w:val="004F3BF0"/>
    <w:rsid w:val="004F3FD9"/>
    <w:rsid w:val="004F416F"/>
    <w:rsid w:val="004F44D0"/>
    <w:rsid w:val="004F4719"/>
    <w:rsid w:val="004F481B"/>
    <w:rsid w:val="004F4AB0"/>
    <w:rsid w:val="004F4C60"/>
    <w:rsid w:val="004F4D23"/>
    <w:rsid w:val="004F4DC9"/>
    <w:rsid w:val="004F4E6D"/>
    <w:rsid w:val="004F4EBE"/>
    <w:rsid w:val="004F511F"/>
    <w:rsid w:val="004F514A"/>
    <w:rsid w:val="004F5302"/>
    <w:rsid w:val="004F54D8"/>
    <w:rsid w:val="004F55CB"/>
    <w:rsid w:val="004F582B"/>
    <w:rsid w:val="004F593B"/>
    <w:rsid w:val="004F593E"/>
    <w:rsid w:val="004F5A85"/>
    <w:rsid w:val="004F5C33"/>
    <w:rsid w:val="004F5F85"/>
    <w:rsid w:val="004F60DD"/>
    <w:rsid w:val="004F6150"/>
    <w:rsid w:val="004F62CB"/>
    <w:rsid w:val="004F63E6"/>
    <w:rsid w:val="004F65E9"/>
    <w:rsid w:val="004F68FD"/>
    <w:rsid w:val="004F6BB4"/>
    <w:rsid w:val="004F6BDA"/>
    <w:rsid w:val="004F6C53"/>
    <w:rsid w:val="004F6D4F"/>
    <w:rsid w:val="004F6F3C"/>
    <w:rsid w:val="004F7154"/>
    <w:rsid w:val="004F716E"/>
    <w:rsid w:val="004F7264"/>
    <w:rsid w:val="004F7399"/>
    <w:rsid w:val="004F74F3"/>
    <w:rsid w:val="004F78BB"/>
    <w:rsid w:val="004F79A1"/>
    <w:rsid w:val="004F7A8F"/>
    <w:rsid w:val="004F7D0F"/>
    <w:rsid w:val="004F7E7F"/>
    <w:rsid w:val="004F7EA0"/>
    <w:rsid w:val="004F7F31"/>
    <w:rsid w:val="004F7FED"/>
    <w:rsid w:val="00500025"/>
    <w:rsid w:val="00500110"/>
    <w:rsid w:val="00500161"/>
    <w:rsid w:val="005004D9"/>
    <w:rsid w:val="005004FB"/>
    <w:rsid w:val="005005A5"/>
    <w:rsid w:val="005007A5"/>
    <w:rsid w:val="00500876"/>
    <w:rsid w:val="00500A0C"/>
    <w:rsid w:val="00500A3C"/>
    <w:rsid w:val="00500B12"/>
    <w:rsid w:val="00500B2D"/>
    <w:rsid w:val="00500B88"/>
    <w:rsid w:val="00500C91"/>
    <w:rsid w:val="00500E6E"/>
    <w:rsid w:val="00500F5A"/>
    <w:rsid w:val="00500F85"/>
    <w:rsid w:val="00501487"/>
    <w:rsid w:val="00501593"/>
    <w:rsid w:val="00501658"/>
    <w:rsid w:val="005017C1"/>
    <w:rsid w:val="00501844"/>
    <w:rsid w:val="00501878"/>
    <w:rsid w:val="005018AF"/>
    <w:rsid w:val="00501B1F"/>
    <w:rsid w:val="00501BBB"/>
    <w:rsid w:val="00501E1D"/>
    <w:rsid w:val="00501E1F"/>
    <w:rsid w:val="00501F9F"/>
    <w:rsid w:val="00502225"/>
    <w:rsid w:val="005022D0"/>
    <w:rsid w:val="00502506"/>
    <w:rsid w:val="0050277A"/>
    <w:rsid w:val="00502926"/>
    <w:rsid w:val="00502991"/>
    <w:rsid w:val="00502A97"/>
    <w:rsid w:val="00502F11"/>
    <w:rsid w:val="00503038"/>
    <w:rsid w:val="005030FB"/>
    <w:rsid w:val="0050325E"/>
    <w:rsid w:val="00503305"/>
    <w:rsid w:val="00503415"/>
    <w:rsid w:val="005034DB"/>
    <w:rsid w:val="00503754"/>
    <w:rsid w:val="00503808"/>
    <w:rsid w:val="0050385C"/>
    <w:rsid w:val="00503946"/>
    <w:rsid w:val="00503C38"/>
    <w:rsid w:val="00503CB5"/>
    <w:rsid w:val="00503D9E"/>
    <w:rsid w:val="00503DBB"/>
    <w:rsid w:val="00503DBC"/>
    <w:rsid w:val="0050412D"/>
    <w:rsid w:val="005041CD"/>
    <w:rsid w:val="0050443E"/>
    <w:rsid w:val="00504790"/>
    <w:rsid w:val="00504809"/>
    <w:rsid w:val="00504B87"/>
    <w:rsid w:val="00504D0D"/>
    <w:rsid w:val="00504D83"/>
    <w:rsid w:val="00504DD6"/>
    <w:rsid w:val="00504EA2"/>
    <w:rsid w:val="00504F3A"/>
    <w:rsid w:val="0050500D"/>
    <w:rsid w:val="00505031"/>
    <w:rsid w:val="00505214"/>
    <w:rsid w:val="00505217"/>
    <w:rsid w:val="0050521B"/>
    <w:rsid w:val="0050560A"/>
    <w:rsid w:val="005056DB"/>
    <w:rsid w:val="005058ED"/>
    <w:rsid w:val="00505941"/>
    <w:rsid w:val="0050594C"/>
    <w:rsid w:val="00505CFD"/>
    <w:rsid w:val="00505E0A"/>
    <w:rsid w:val="00505F99"/>
    <w:rsid w:val="00505FCB"/>
    <w:rsid w:val="00506164"/>
    <w:rsid w:val="00506651"/>
    <w:rsid w:val="005066A8"/>
    <w:rsid w:val="00506766"/>
    <w:rsid w:val="00506817"/>
    <w:rsid w:val="005068B7"/>
    <w:rsid w:val="00506961"/>
    <w:rsid w:val="00506ABF"/>
    <w:rsid w:val="00506B19"/>
    <w:rsid w:val="00506BB4"/>
    <w:rsid w:val="00506BFF"/>
    <w:rsid w:val="00506C89"/>
    <w:rsid w:val="00506E66"/>
    <w:rsid w:val="00507019"/>
    <w:rsid w:val="00507031"/>
    <w:rsid w:val="005070D9"/>
    <w:rsid w:val="00507189"/>
    <w:rsid w:val="005072F8"/>
    <w:rsid w:val="00507373"/>
    <w:rsid w:val="005074FA"/>
    <w:rsid w:val="00507632"/>
    <w:rsid w:val="00507A2C"/>
    <w:rsid w:val="00507AE4"/>
    <w:rsid w:val="00507B61"/>
    <w:rsid w:val="00507D7A"/>
    <w:rsid w:val="00507DD4"/>
    <w:rsid w:val="00507DEA"/>
    <w:rsid w:val="00507F9B"/>
    <w:rsid w:val="00510070"/>
    <w:rsid w:val="005100C4"/>
    <w:rsid w:val="00510165"/>
    <w:rsid w:val="00510386"/>
    <w:rsid w:val="005104C1"/>
    <w:rsid w:val="00510759"/>
    <w:rsid w:val="005107DC"/>
    <w:rsid w:val="00510A48"/>
    <w:rsid w:val="00510B78"/>
    <w:rsid w:val="00510C68"/>
    <w:rsid w:val="00510C85"/>
    <w:rsid w:val="00510CA2"/>
    <w:rsid w:val="00510F00"/>
    <w:rsid w:val="00510F4B"/>
    <w:rsid w:val="00511011"/>
    <w:rsid w:val="00511069"/>
    <w:rsid w:val="0051122B"/>
    <w:rsid w:val="00511236"/>
    <w:rsid w:val="005112A1"/>
    <w:rsid w:val="005112FB"/>
    <w:rsid w:val="00511373"/>
    <w:rsid w:val="00511388"/>
    <w:rsid w:val="00511624"/>
    <w:rsid w:val="0051178E"/>
    <w:rsid w:val="00511816"/>
    <w:rsid w:val="005119B1"/>
    <w:rsid w:val="00511A7B"/>
    <w:rsid w:val="00511B3E"/>
    <w:rsid w:val="00511C0E"/>
    <w:rsid w:val="00511D39"/>
    <w:rsid w:val="00511E12"/>
    <w:rsid w:val="00511E17"/>
    <w:rsid w:val="00512056"/>
    <w:rsid w:val="005121C8"/>
    <w:rsid w:val="00512404"/>
    <w:rsid w:val="0051283D"/>
    <w:rsid w:val="005128D4"/>
    <w:rsid w:val="00512A20"/>
    <w:rsid w:val="00512AF4"/>
    <w:rsid w:val="00512C08"/>
    <w:rsid w:val="00512D10"/>
    <w:rsid w:val="00512E12"/>
    <w:rsid w:val="00512E67"/>
    <w:rsid w:val="0051302D"/>
    <w:rsid w:val="0051326A"/>
    <w:rsid w:val="00513307"/>
    <w:rsid w:val="005133CF"/>
    <w:rsid w:val="00513460"/>
    <w:rsid w:val="005135A2"/>
    <w:rsid w:val="005136EC"/>
    <w:rsid w:val="005137F5"/>
    <w:rsid w:val="005138CD"/>
    <w:rsid w:val="005138FF"/>
    <w:rsid w:val="005139D7"/>
    <w:rsid w:val="00513B23"/>
    <w:rsid w:val="00513B47"/>
    <w:rsid w:val="00513BEF"/>
    <w:rsid w:val="00513C1A"/>
    <w:rsid w:val="00513CBE"/>
    <w:rsid w:val="00513F51"/>
    <w:rsid w:val="00514070"/>
    <w:rsid w:val="00514105"/>
    <w:rsid w:val="005141FE"/>
    <w:rsid w:val="005142F4"/>
    <w:rsid w:val="0051440F"/>
    <w:rsid w:val="005144DC"/>
    <w:rsid w:val="00514598"/>
    <w:rsid w:val="0051477D"/>
    <w:rsid w:val="00514796"/>
    <w:rsid w:val="00514866"/>
    <w:rsid w:val="0051491B"/>
    <w:rsid w:val="0051492C"/>
    <w:rsid w:val="00514B56"/>
    <w:rsid w:val="00514BCE"/>
    <w:rsid w:val="00514F8F"/>
    <w:rsid w:val="00515042"/>
    <w:rsid w:val="005151D9"/>
    <w:rsid w:val="005153EB"/>
    <w:rsid w:val="005154D3"/>
    <w:rsid w:val="00515644"/>
    <w:rsid w:val="0051564A"/>
    <w:rsid w:val="00515A19"/>
    <w:rsid w:val="00515A7E"/>
    <w:rsid w:val="00515AB3"/>
    <w:rsid w:val="00515ACF"/>
    <w:rsid w:val="00515B10"/>
    <w:rsid w:val="00515CF5"/>
    <w:rsid w:val="00515DBD"/>
    <w:rsid w:val="00515E23"/>
    <w:rsid w:val="00515EB3"/>
    <w:rsid w:val="00515F35"/>
    <w:rsid w:val="0051604C"/>
    <w:rsid w:val="005160AA"/>
    <w:rsid w:val="005160FB"/>
    <w:rsid w:val="005163AD"/>
    <w:rsid w:val="005164CC"/>
    <w:rsid w:val="0051674C"/>
    <w:rsid w:val="005167D8"/>
    <w:rsid w:val="00516843"/>
    <w:rsid w:val="0051687B"/>
    <w:rsid w:val="00516A94"/>
    <w:rsid w:val="00516C68"/>
    <w:rsid w:val="00516CFB"/>
    <w:rsid w:val="00516D80"/>
    <w:rsid w:val="00516F09"/>
    <w:rsid w:val="00516F1C"/>
    <w:rsid w:val="00516F7C"/>
    <w:rsid w:val="00517252"/>
    <w:rsid w:val="00517372"/>
    <w:rsid w:val="005177AB"/>
    <w:rsid w:val="0051789F"/>
    <w:rsid w:val="00517922"/>
    <w:rsid w:val="00517D50"/>
    <w:rsid w:val="00517D97"/>
    <w:rsid w:val="00517E0B"/>
    <w:rsid w:val="00517E72"/>
    <w:rsid w:val="00517EB7"/>
    <w:rsid w:val="00517F4B"/>
    <w:rsid w:val="005200B8"/>
    <w:rsid w:val="005200FC"/>
    <w:rsid w:val="005201E8"/>
    <w:rsid w:val="00520205"/>
    <w:rsid w:val="00520264"/>
    <w:rsid w:val="00520395"/>
    <w:rsid w:val="00520428"/>
    <w:rsid w:val="00520A57"/>
    <w:rsid w:val="00520ABC"/>
    <w:rsid w:val="00520CF7"/>
    <w:rsid w:val="00520DCA"/>
    <w:rsid w:val="00520F57"/>
    <w:rsid w:val="00520F9C"/>
    <w:rsid w:val="00520FF5"/>
    <w:rsid w:val="0052109E"/>
    <w:rsid w:val="005210A6"/>
    <w:rsid w:val="005211D7"/>
    <w:rsid w:val="00521321"/>
    <w:rsid w:val="0052147C"/>
    <w:rsid w:val="00521570"/>
    <w:rsid w:val="00521597"/>
    <w:rsid w:val="005215E5"/>
    <w:rsid w:val="00521812"/>
    <w:rsid w:val="00521854"/>
    <w:rsid w:val="00521A09"/>
    <w:rsid w:val="00521A0F"/>
    <w:rsid w:val="00521B29"/>
    <w:rsid w:val="00521B66"/>
    <w:rsid w:val="00521CA6"/>
    <w:rsid w:val="00521CA8"/>
    <w:rsid w:val="00521D3B"/>
    <w:rsid w:val="00521FB1"/>
    <w:rsid w:val="00522125"/>
    <w:rsid w:val="00522140"/>
    <w:rsid w:val="0052222C"/>
    <w:rsid w:val="00522377"/>
    <w:rsid w:val="005224B4"/>
    <w:rsid w:val="005226CD"/>
    <w:rsid w:val="00522784"/>
    <w:rsid w:val="005227BF"/>
    <w:rsid w:val="005229C9"/>
    <w:rsid w:val="00522CD4"/>
    <w:rsid w:val="00522D6D"/>
    <w:rsid w:val="00522DAE"/>
    <w:rsid w:val="00523458"/>
    <w:rsid w:val="00523669"/>
    <w:rsid w:val="00523714"/>
    <w:rsid w:val="005237CC"/>
    <w:rsid w:val="00523890"/>
    <w:rsid w:val="005238CC"/>
    <w:rsid w:val="005238DD"/>
    <w:rsid w:val="00523903"/>
    <w:rsid w:val="005239E2"/>
    <w:rsid w:val="00523A6B"/>
    <w:rsid w:val="00523C29"/>
    <w:rsid w:val="00523C2C"/>
    <w:rsid w:val="00523C9D"/>
    <w:rsid w:val="00523E24"/>
    <w:rsid w:val="00523F02"/>
    <w:rsid w:val="0052441E"/>
    <w:rsid w:val="00524639"/>
    <w:rsid w:val="00524641"/>
    <w:rsid w:val="0052480D"/>
    <w:rsid w:val="0052484A"/>
    <w:rsid w:val="00524953"/>
    <w:rsid w:val="00524AAB"/>
    <w:rsid w:val="00524F45"/>
    <w:rsid w:val="0052500A"/>
    <w:rsid w:val="0052502E"/>
    <w:rsid w:val="005254C6"/>
    <w:rsid w:val="0052556A"/>
    <w:rsid w:val="00525730"/>
    <w:rsid w:val="005257FC"/>
    <w:rsid w:val="00525939"/>
    <w:rsid w:val="00525E6B"/>
    <w:rsid w:val="00525EDF"/>
    <w:rsid w:val="005261E6"/>
    <w:rsid w:val="005264D0"/>
    <w:rsid w:val="00526697"/>
    <w:rsid w:val="00526732"/>
    <w:rsid w:val="0052685C"/>
    <w:rsid w:val="00526879"/>
    <w:rsid w:val="00526A10"/>
    <w:rsid w:val="00526C22"/>
    <w:rsid w:val="00526CD9"/>
    <w:rsid w:val="00526F41"/>
    <w:rsid w:val="00526F94"/>
    <w:rsid w:val="00527116"/>
    <w:rsid w:val="00527261"/>
    <w:rsid w:val="0052729B"/>
    <w:rsid w:val="005272DA"/>
    <w:rsid w:val="005273B0"/>
    <w:rsid w:val="005273ED"/>
    <w:rsid w:val="005278CF"/>
    <w:rsid w:val="00527D3E"/>
    <w:rsid w:val="00527F7E"/>
    <w:rsid w:val="005300F9"/>
    <w:rsid w:val="005302CC"/>
    <w:rsid w:val="00530646"/>
    <w:rsid w:val="0053067C"/>
    <w:rsid w:val="00530837"/>
    <w:rsid w:val="00530884"/>
    <w:rsid w:val="00530A47"/>
    <w:rsid w:val="00530A6B"/>
    <w:rsid w:val="00530B7D"/>
    <w:rsid w:val="00530D7B"/>
    <w:rsid w:val="00530E14"/>
    <w:rsid w:val="00530F04"/>
    <w:rsid w:val="00531056"/>
    <w:rsid w:val="00531340"/>
    <w:rsid w:val="00531525"/>
    <w:rsid w:val="005315B6"/>
    <w:rsid w:val="00531603"/>
    <w:rsid w:val="0053166C"/>
    <w:rsid w:val="005316A0"/>
    <w:rsid w:val="005316B6"/>
    <w:rsid w:val="0053178A"/>
    <w:rsid w:val="00531ABD"/>
    <w:rsid w:val="00531CCF"/>
    <w:rsid w:val="00531E3D"/>
    <w:rsid w:val="00531E61"/>
    <w:rsid w:val="00531EB9"/>
    <w:rsid w:val="00531F20"/>
    <w:rsid w:val="00531F26"/>
    <w:rsid w:val="00531FE5"/>
    <w:rsid w:val="005320AD"/>
    <w:rsid w:val="00532102"/>
    <w:rsid w:val="005323B1"/>
    <w:rsid w:val="005327E8"/>
    <w:rsid w:val="005329F6"/>
    <w:rsid w:val="00532CA3"/>
    <w:rsid w:val="00532D33"/>
    <w:rsid w:val="00532E07"/>
    <w:rsid w:val="00532FD8"/>
    <w:rsid w:val="0053312F"/>
    <w:rsid w:val="005332C9"/>
    <w:rsid w:val="005333C6"/>
    <w:rsid w:val="00533595"/>
    <w:rsid w:val="005337B8"/>
    <w:rsid w:val="00533856"/>
    <w:rsid w:val="00533A83"/>
    <w:rsid w:val="00533CEB"/>
    <w:rsid w:val="00533EBB"/>
    <w:rsid w:val="00533F0C"/>
    <w:rsid w:val="00534118"/>
    <w:rsid w:val="0053414A"/>
    <w:rsid w:val="00534159"/>
    <w:rsid w:val="005342CF"/>
    <w:rsid w:val="005343A0"/>
    <w:rsid w:val="00534497"/>
    <w:rsid w:val="00534526"/>
    <w:rsid w:val="00534551"/>
    <w:rsid w:val="00534927"/>
    <w:rsid w:val="00534936"/>
    <w:rsid w:val="00534A21"/>
    <w:rsid w:val="005351FB"/>
    <w:rsid w:val="005353C8"/>
    <w:rsid w:val="00535774"/>
    <w:rsid w:val="00535828"/>
    <w:rsid w:val="0053585E"/>
    <w:rsid w:val="00535927"/>
    <w:rsid w:val="00535AB9"/>
    <w:rsid w:val="00535ADA"/>
    <w:rsid w:val="00535C69"/>
    <w:rsid w:val="00535D57"/>
    <w:rsid w:val="00535ECB"/>
    <w:rsid w:val="00536060"/>
    <w:rsid w:val="005360C4"/>
    <w:rsid w:val="0053618C"/>
    <w:rsid w:val="005361BE"/>
    <w:rsid w:val="005362CC"/>
    <w:rsid w:val="005363C2"/>
    <w:rsid w:val="005363CE"/>
    <w:rsid w:val="005364AE"/>
    <w:rsid w:val="005367EA"/>
    <w:rsid w:val="00536900"/>
    <w:rsid w:val="00536DFD"/>
    <w:rsid w:val="00536EE4"/>
    <w:rsid w:val="00536F9F"/>
    <w:rsid w:val="0053706C"/>
    <w:rsid w:val="00537077"/>
    <w:rsid w:val="005370C1"/>
    <w:rsid w:val="005371BF"/>
    <w:rsid w:val="0053725E"/>
    <w:rsid w:val="00537383"/>
    <w:rsid w:val="005373B8"/>
    <w:rsid w:val="005375C4"/>
    <w:rsid w:val="005377F5"/>
    <w:rsid w:val="00537AC7"/>
    <w:rsid w:val="00537C66"/>
    <w:rsid w:val="00537EEB"/>
    <w:rsid w:val="00537FC4"/>
    <w:rsid w:val="005401B2"/>
    <w:rsid w:val="00540305"/>
    <w:rsid w:val="00540389"/>
    <w:rsid w:val="00540883"/>
    <w:rsid w:val="005408E2"/>
    <w:rsid w:val="005409B5"/>
    <w:rsid w:val="00540BC9"/>
    <w:rsid w:val="00540C31"/>
    <w:rsid w:val="00540C83"/>
    <w:rsid w:val="00540CAF"/>
    <w:rsid w:val="00540F2D"/>
    <w:rsid w:val="00541289"/>
    <w:rsid w:val="0054145F"/>
    <w:rsid w:val="00541478"/>
    <w:rsid w:val="00541576"/>
    <w:rsid w:val="005415C0"/>
    <w:rsid w:val="005416FE"/>
    <w:rsid w:val="005417FF"/>
    <w:rsid w:val="005418CD"/>
    <w:rsid w:val="00541932"/>
    <w:rsid w:val="005419DA"/>
    <w:rsid w:val="00541A22"/>
    <w:rsid w:val="00541BC1"/>
    <w:rsid w:val="00541BE7"/>
    <w:rsid w:val="00541BF0"/>
    <w:rsid w:val="00541F0C"/>
    <w:rsid w:val="005421A6"/>
    <w:rsid w:val="00542221"/>
    <w:rsid w:val="00542420"/>
    <w:rsid w:val="0054256A"/>
    <w:rsid w:val="005425BA"/>
    <w:rsid w:val="00542605"/>
    <w:rsid w:val="005427CA"/>
    <w:rsid w:val="00542801"/>
    <w:rsid w:val="0054295F"/>
    <w:rsid w:val="005429A8"/>
    <w:rsid w:val="005429B9"/>
    <w:rsid w:val="00542A7D"/>
    <w:rsid w:val="00542AF4"/>
    <w:rsid w:val="00542B20"/>
    <w:rsid w:val="00542BB0"/>
    <w:rsid w:val="00542BDD"/>
    <w:rsid w:val="00542D80"/>
    <w:rsid w:val="00542E7D"/>
    <w:rsid w:val="00542E9D"/>
    <w:rsid w:val="00542EB2"/>
    <w:rsid w:val="00543352"/>
    <w:rsid w:val="005434FC"/>
    <w:rsid w:val="00543862"/>
    <w:rsid w:val="005438F7"/>
    <w:rsid w:val="00543911"/>
    <w:rsid w:val="005439F1"/>
    <w:rsid w:val="00543A14"/>
    <w:rsid w:val="00543AB0"/>
    <w:rsid w:val="00543B54"/>
    <w:rsid w:val="00543B8B"/>
    <w:rsid w:val="00543E1B"/>
    <w:rsid w:val="00543F81"/>
    <w:rsid w:val="00543FA9"/>
    <w:rsid w:val="005440FE"/>
    <w:rsid w:val="00544235"/>
    <w:rsid w:val="0054428E"/>
    <w:rsid w:val="005442FF"/>
    <w:rsid w:val="00544398"/>
    <w:rsid w:val="005443F8"/>
    <w:rsid w:val="005446B7"/>
    <w:rsid w:val="00544715"/>
    <w:rsid w:val="00544818"/>
    <w:rsid w:val="00544D79"/>
    <w:rsid w:val="00545027"/>
    <w:rsid w:val="0054504B"/>
    <w:rsid w:val="00545073"/>
    <w:rsid w:val="00545318"/>
    <w:rsid w:val="00545335"/>
    <w:rsid w:val="0054534E"/>
    <w:rsid w:val="00545536"/>
    <w:rsid w:val="005455C2"/>
    <w:rsid w:val="00545773"/>
    <w:rsid w:val="00545A22"/>
    <w:rsid w:val="00545D98"/>
    <w:rsid w:val="00545DDD"/>
    <w:rsid w:val="00545DE2"/>
    <w:rsid w:val="00545F4F"/>
    <w:rsid w:val="00546108"/>
    <w:rsid w:val="005462B7"/>
    <w:rsid w:val="005462D0"/>
    <w:rsid w:val="005463B7"/>
    <w:rsid w:val="005465C2"/>
    <w:rsid w:val="005466D8"/>
    <w:rsid w:val="00546746"/>
    <w:rsid w:val="0054681A"/>
    <w:rsid w:val="0054688B"/>
    <w:rsid w:val="00546945"/>
    <w:rsid w:val="00546ACB"/>
    <w:rsid w:val="00546C61"/>
    <w:rsid w:val="00546EE0"/>
    <w:rsid w:val="00546EF6"/>
    <w:rsid w:val="00547037"/>
    <w:rsid w:val="0054704C"/>
    <w:rsid w:val="005472A6"/>
    <w:rsid w:val="00547335"/>
    <w:rsid w:val="005473EF"/>
    <w:rsid w:val="00547573"/>
    <w:rsid w:val="00547627"/>
    <w:rsid w:val="005477CA"/>
    <w:rsid w:val="00547B58"/>
    <w:rsid w:val="00547C4E"/>
    <w:rsid w:val="00547E48"/>
    <w:rsid w:val="005501AF"/>
    <w:rsid w:val="005503A7"/>
    <w:rsid w:val="005505C3"/>
    <w:rsid w:val="005505D3"/>
    <w:rsid w:val="005507C5"/>
    <w:rsid w:val="0055080E"/>
    <w:rsid w:val="0055095E"/>
    <w:rsid w:val="00550B20"/>
    <w:rsid w:val="00550C85"/>
    <w:rsid w:val="00550D10"/>
    <w:rsid w:val="00550E13"/>
    <w:rsid w:val="005510EE"/>
    <w:rsid w:val="00551162"/>
    <w:rsid w:val="0055146A"/>
    <w:rsid w:val="00551586"/>
    <w:rsid w:val="005517C5"/>
    <w:rsid w:val="00551900"/>
    <w:rsid w:val="00551D6A"/>
    <w:rsid w:val="00551E61"/>
    <w:rsid w:val="00551E93"/>
    <w:rsid w:val="00552061"/>
    <w:rsid w:val="0055221F"/>
    <w:rsid w:val="00552642"/>
    <w:rsid w:val="005528AB"/>
    <w:rsid w:val="00552C93"/>
    <w:rsid w:val="00552CB3"/>
    <w:rsid w:val="00552D91"/>
    <w:rsid w:val="00552DCE"/>
    <w:rsid w:val="00552EF4"/>
    <w:rsid w:val="00552F96"/>
    <w:rsid w:val="00553095"/>
    <w:rsid w:val="005532A4"/>
    <w:rsid w:val="00553301"/>
    <w:rsid w:val="0055331D"/>
    <w:rsid w:val="0055334A"/>
    <w:rsid w:val="0055374A"/>
    <w:rsid w:val="00553792"/>
    <w:rsid w:val="00553AF4"/>
    <w:rsid w:val="00553C1F"/>
    <w:rsid w:val="00553CEE"/>
    <w:rsid w:val="00553DF0"/>
    <w:rsid w:val="00553EAE"/>
    <w:rsid w:val="00553F2F"/>
    <w:rsid w:val="00553FAE"/>
    <w:rsid w:val="00553FC5"/>
    <w:rsid w:val="005541D6"/>
    <w:rsid w:val="005542DB"/>
    <w:rsid w:val="0055431C"/>
    <w:rsid w:val="005543A0"/>
    <w:rsid w:val="0055448E"/>
    <w:rsid w:val="005544DE"/>
    <w:rsid w:val="0055467F"/>
    <w:rsid w:val="00554907"/>
    <w:rsid w:val="00554955"/>
    <w:rsid w:val="0055496A"/>
    <w:rsid w:val="005549BA"/>
    <w:rsid w:val="00554C4F"/>
    <w:rsid w:val="00554C7F"/>
    <w:rsid w:val="00554DE5"/>
    <w:rsid w:val="00554E61"/>
    <w:rsid w:val="00554EB2"/>
    <w:rsid w:val="00554FC8"/>
    <w:rsid w:val="0055507E"/>
    <w:rsid w:val="00555121"/>
    <w:rsid w:val="005551ED"/>
    <w:rsid w:val="00555295"/>
    <w:rsid w:val="00555605"/>
    <w:rsid w:val="005556EE"/>
    <w:rsid w:val="005556FE"/>
    <w:rsid w:val="0055587F"/>
    <w:rsid w:val="0055590C"/>
    <w:rsid w:val="00555B0B"/>
    <w:rsid w:val="00555BF1"/>
    <w:rsid w:val="00555DAC"/>
    <w:rsid w:val="00555EA6"/>
    <w:rsid w:val="005561BC"/>
    <w:rsid w:val="00556383"/>
    <w:rsid w:val="005566A3"/>
    <w:rsid w:val="005566B7"/>
    <w:rsid w:val="005566D8"/>
    <w:rsid w:val="0055693D"/>
    <w:rsid w:val="0055697D"/>
    <w:rsid w:val="00556A01"/>
    <w:rsid w:val="00556A3B"/>
    <w:rsid w:val="00556D1E"/>
    <w:rsid w:val="00556D3C"/>
    <w:rsid w:val="00556E67"/>
    <w:rsid w:val="00556E74"/>
    <w:rsid w:val="00557111"/>
    <w:rsid w:val="00557604"/>
    <w:rsid w:val="00557678"/>
    <w:rsid w:val="0055773F"/>
    <w:rsid w:val="005579E9"/>
    <w:rsid w:val="00557AB9"/>
    <w:rsid w:val="00557B9C"/>
    <w:rsid w:val="00557DDC"/>
    <w:rsid w:val="00557DE8"/>
    <w:rsid w:val="00560012"/>
    <w:rsid w:val="00560170"/>
    <w:rsid w:val="00560284"/>
    <w:rsid w:val="00560550"/>
    <w:rsid w:val="00560558"/>
    <w:rsid w:val="005608A1"/>
    <w:rsid w:val="00560979"/>
    <w:rsid w:val="005609E6"/>
    <w:rsid w:val="00560A6E"/>
    <w:rsid w:val="00560AED"/>
    <w:rsid w:val="00560B4E"/>
    <w:rsid w:val="00560BCF"/>
    <w:rsid w:val="00560BFA"/>
    <w:rsid w:val="00560C38"/>
    <w:rsid w:val="00560C97"/>
    <w:rsid w:val="00560DC7"/>
    <w:rsid w:val="00560E4E"/>
    <w:rsid w:val="00560E93"/>
    <w:rsid w:val="00560F48"/>
    <w:rsid w:val="00561036"/>
    <w:rsid w:val="00561316"/>
    <w:rsid w:val="00561496"/>
    <w:rsid w:val="005617A4"/>
    <w:rsid w:val="00561A82"/>
    <w:rsid w:val="00561B10"/>
    <w:rsid w:val="00561BEA"/>
    <w:rsid w:val="00561E1B"/>
    <w:rsid w:val="00561E74"/>
    <w:rsid w:val="00561E94"/>
    <w:rsid w:val="00561F28"/>
    <w:rsid w:val="00561F69"/>
    <w:rsid w:val="00561F9E"/>
    <w:rsid w:val="00561FE5"/>
    <w:rsid w:val="00562050"/>
    <w:rsid w:val="00562200"/>
    <w:rsid w:val="0056272C"/>
    <w:rsid w:val="00562E46"/>
    <w:rsid w:val="00562F6E"/>
    <w:rsid w:val="00563165"/>
    <w:rsid w:val="005631EF"/>
    <w:rsid w:val="005632DE"/>
    <w:rsid w:val="005633DF"/>
    <w:rsid w:val="005635DC"/>
    <w:rsid w:val="005635F3"/>
    <w:rsid w:val="00563762"/>
    <w:rsid w:val="005637AC"/>
    <w:rsid w:val="005638E7"/>
    <w:rsid w:val="00563D1B"/>
    <w:rsid w:val="00563DD7"/>
    <w:rsid w:val="00563E81"/>
    <w:rsid w:val="00563F46"/>
    <w:rsid w:val="00564084"/>
    <w:rsid w:val="00564289"/>
    <w:rsid w:val="0056445B"/>
    <w:rsid w:val="0056449A"/>
    <w:rsid w:val="00564615"/>
    <w:rsid w:val="00564681"/>
    <w:rsid w:val="005647D7"/>
    <w:rsid w:val="00564D11"/>
    <w:rsid w:val="00564D74"/>
    <w:rsid w:val="005651EF"/>
    <w:rsid w:val="005653DA"/>
    <w:rsid w:val="005653ED"/>
    <w:rsid w:val="0056561C"/>
    <w:rsid w:val="00565630"/>
    <w:rsid w:val="00565987"/>
    <w:rsid w:val="00565A3F"/>
    <w:rsid w:val="00565BE8"/>
    <w:rsid w:val="00565C60"/>
    <w:rsid w:val="00565DDE"/>
    <w:rsid w:val="00565EE5"/>
    <w:rsid w:val="0056610C"/>
    <w:rsid w:val="0056622A"/>
    <w:rsid w:val="00566260"/>
    <w:rsid w:val="00566269"/>
    <w:rsid w:val="0056644D"/>
    <w:rsid w:val="0056655F"/>
    <w:rsid w:val="0056658C"/>
    <w:rsid w:val="00566626"/>
    <w:rsid w:val="00566A35"/>
    <w:rsid w:val="00566AA0"/>
    <w:rsid w:val="00566BB8"/>
    <w:rsid w:val="00566CD3"/>
    <w:rsid w:val="00566E39"/>
    <w:rsid w:val="00566F3B"/>
    <w:rsid w:val="00566F75"/>
    <w:rsid w:val="00567010"/>
    <w:rsid w:val="00567094"/>
    <w:rsid w:val="00567120"/>
    <w:rsid w:val="00567148"/>
    <w:rsid w:val="00567194"/>
    <w:rsid w:val="005671AC"/>
    <w:rsid w:val="005671DF"/>
    <w:rsid w:val="005672FE"/>
    <w:rsid w:val="005673BD"/>
    <w:rsid w:val="005673BE"/>
    <w:rsid w:val="00567510"/>
    <w:rsid w:val="00567571"/>
    <w:rsid w:val="005678E7"/>
    <w:rsid w:val="0056793E"/>
    <w:rsid w:val="00567E17"/>
    <w:rsid w:val="00567F9A"/>
    <w:rsid w:val="00570043"/>
    <w:rsid w:val="005700A9"/>
    <w:rsid w:val="00570101"/>
    <w:rsid w:val="00570246"/>
    <w:rsid w:val="00570458"/>
    <w:rsid w:val="005704D8"/>
    <w:rsid w:val="00570746"/>
    <w:rsid w:val="00570766"/>
    <w:rsid w:val="00570873"/>
    <w:rsid w:val="00570A8C"/>
    <w:rsid w:val="00570BE7"/>
    <w:rsid w:val="00570D1D"/>
    <w:rsid w:val="005710BD"/>
    <w:rsid w:val="005712EA"/>
    <w:rsid w:val="0057154B"/>
    <w:rsid w:val="005716F0"/>
    <w:rsid w:val="005719C3"/>
    <w:rsid w:val="00571AFA"/>
    <w:rsid w:val="00571F8A"/>
    <w:rsid w:val="00571FD6"/>
    <w:rsid w:val="00572164"/>
    <w:rsid w:val="00572254"/>
    <w:rsid w:val="005723E2"/>
    <w:rsid w:val="0057258C"/>
    <w:rsid w:val="0057269D"/>
    <w:rsid w:val="005726A1"/>
    <w:rsid w:val="005727B9"/>
    <w:rsid w:val="0057282C"/>
    <w:rsid w:val="00572D80"/>
    <w:rsid w:val="00572D87"/>
    <w:rsid w:val="00572F6E"/>
    <w:rsid w:val="005733EF"/>
    <w:rsid w:val="0057341E"/>
    <w:rsid w:val="0057343A"/>
    <w:rsid w:val="0057362A"/>
    <w:rsid w:val="005737AA"/>
    <w:rsid w:val="005737B5"/>
    <w:rsid w:val="00573850"/>
    <w:rsid w:val="00573A2B"/>
    <w:rsid w:val="00573AAD"/>
    <w:rsid w:val="00573DE6"/>
    <w:rsid w:val="00573EA0"/>
    <w:rsid w:val="00573FBD"/>
    <w:rsid w:val="0057401E"/>
    <w:rsid w:val="00574063"/>
    <w:rsid w:val="00574107"/>
    <w:rsid w:val="00574110"/>
    <w:rsid w:val="00574264"/>
    <w:rsid w:val="00574456"/>
    <w:rsid w:val="00574552"/>
    <w:rsid w:val="005745E7"/>
    <w:rsid w:val="00574B01"/>
    <w:rsid w:val="00574B22"/>
    <w:rsid w:val="00574C82"/>
    <w:rsid w:val="00574DB4"/>
    <w:rsid w:val="00574EE7"/>
    <w:rsid w:val="00574F5F"/>
    <w:rsid w:val="00575118"/>
    <w:rsid w:val="00575236"/>
    <w:rsid w:val="0057532D"/>
    <w:rsid w:val="005753CD"/>
    <w:rsid w:val="00575585"/>
    <w:rsid w:val="0057560E"/>
    <w:rsid w:val="005756D8"/>
    <w:rsid w:val="005759DD"/>
    <w:rsid w:val="005759F1"/>
    <w:rsid w:val="00575E31"/>
    <w:rsid w:val="00576012"/>
    <w:rsid w:val="00576081"/>
    <w:rsid w:val="005762D1"/>
    <w:rsid w:val="00576407"/>
    <w:rsid w:val="0057648F"/>
    <w:rsid w:val="00576576"/>
    <w:rsid w:val="0057666B"/>
    <w:rsid w:val="005767C6"/>
    <w:rsid w:val="00576967"/>
    <w:rsid w:val="00576CBB"/>
    <w:rsid w:val="00576E19"/>
    <w:rsid w:val="00576FB2"/>
    <w:rsid w:val="00577078"/>
    <w:rsid w:val="00577355"/>
    <w:rsid w:val="00577579"/>
    <w:rsid w:val="005775D9"/>
    <w:rsid w:val="0057765E"/>
    <w:rsid w:val="00577B2D"/>
    <w:rsid w:val="00577C3C"/>
    <w:rsid w:val="00577E3A"/>
    <w:rsid w:val="00577E70"/>
    <w:rsid w:val="00577EAA"/>
    <w:rsid w:val="00580208"/>
    <w:rsid w:val="0058038E"/>
    <w:rsid w:val="005804AD"/>
    <w:rsid w:val="005805D8"/>
    <w:rsid w:val="00580698"/>
    <w:rsid w:val="005809EE"/>
    <w:rsid w:val="00580A42"/>
    <w:rsid w:val="00580A60"/>
    <w:rsid w:val="00580B19"/>
    <w:rsid w:val="00580B1C"/>
    <w:rsid w:val="00580C58"/>
    <w:rsid w:val="00580CB8"/>
    <w:rsid w:val="00580D8D"/>
    <w:rsid w:val="00580E94"/>
    <w:rsid w:val="00581657"/>
    <w:rsid w:val="00581871"/>
    <w:rsid w:val="00581B66"/>
    <w:rsid w:val="00581BCC"/>
    <w:rsid w:val="00581DC0"/>
    <w:rsid w:val="00581DC9"/>
    <w:rsid w:val="00581DF7"/>
    <w:rsid w:val="00581F4B"/>
    <w:rsid w:val="00581FDF"/>
    <w:rsid w:val="005820E7"/>
    <w:rsid w:val="0058220C"/>
    <w:rsid w:val="00582263"/>
    <w:rsid w:val="0058242E"/>
    <w:rsid w:val="00582441"/>
    <w:rsid w:val="00582498"/>
    <w:rsid w:val="005827DE"/>
    <w:rsid w:val="00582876"/>
    <w:rsid w:val="00582A33"/>
    <w:rsid w:val="00582A76"/>
    <w:rsid w:val="00583123"/>
    <w:rsid w:val="0058320C"/>
    <w:rsid w:val="00583362"/>
    <w:rsid w:val="005833C3"/>
    <w:rsid w:val="00583555"/>
    <w:rsid w:val="00583752"/>
    <w:rsid w:val="00583791"/>
    <w:rsid w:val="00583A9A"/>
    <w:rsid w:val="00583AD7"/>
    <w:rsid w:val="00583B12"/>
    <w:rsid w:val="00583C32"/>
    <w:rsid w:val="00583D0C"/>
    <w:rsid w:val="00583DEC"/>
    <w:rsid w:val="00583EE1"/>
    <w:rsid w:val="00584B28"/>
    <w:rsid w:val="00584B76"/>
    <w:rsid w:val="00584BFF"/>
    <w:rsid w:val="00584CB6"/>
    <w:rsid w:val="00584F15"/>
    <w:rsid w:val="005850AA"/>
    <w:rsid w:val="005852DA"/>
    <w:rsid w:val="0058575E"/>
    <w:rsid w:val="00585824"/>
    <w:rsid w:val="005858C0"/>
    <w:rsid w:val="00585A54"/>
    <w:rsid w:val="00585B70"/>
    <w:rsid w:val="00585E1E"/>
    <w:rsid w:val="0058621D"/>
    <w:rsid w:val="0058632B"/>
    <w:rsid w:val="005863DD"/>
    <w:rsid w:val="00586635"/>
    <w:rsid w:val="005866D9"/>
    <w:rsid w:val="00586992"/>
    <w:rsid w:val="00586B1A"/>
    <w:rsid w:val="00586BDA"/>
    <w:rsid w:val="00586C52"/>
    <w:rsid w:val="00586F4F"/>
    <w:rsid w:val="00587105"/>
    <w:rsid w:val="00587265"/>
    <w:rsid w:val="00587358"/>
    <w:rsid w:val="005874BC"/>
    <w:rsid w:val="00587515"/>
    <w:rsid w:val="0058757E"/>
    <w:rsid w:val="0058767C"/>
    <w:rsid w:val="00587875"/>
    <w:rsid w:val="005878DF"/>
    <w:rsid w:val="0058797B"/>
    <w:rsid w:val="00587DDC"/>
    <w:rsid w:val="00587E3C"/>
    <w:rsid w:val="00587FE5"/>
    <w:rsid w:val="00590357"/>
    <w:rsid w:val="00590444"/>
    <w:rsid w:val="00590515"/>
    <w:rsid w:val="00590532"/>
    <w:rsid w:val="0059060B"/>
    <w:rsid w:val="005907B8"/>
    <w:rsid w:val="005907DC"/>
    <w:rsid w:val="005908CA"/>
    <w:rsid w:val="005909CC"/>
    <w:rsid w:val="00590AAB"/>
    <w:rsid w:val="00590DC1"/>
    <w:rsid w:val="00590ED3"/>
    <w:rsid w:val="00590EED"/>
    <w:rsid w:val="00590FE7"/>
    <w:rsid w:val="0059127E"/>
    <w:rsid w:val="00591403"/>
    <w:rsid w:val="005914A1"/>
    <w:rsid w:val="00591645"/>
    <w:rsid w:val="005917D3"/>
    <w:rsid w:val="00591917"/>
    <w:rsid w:val="00591A49"/>
    <w:rsid w:val="00591C8E"/>
    <w:rsid w:val="00591F01"/>
    <w:rsid w:val="00591F61"/>
    <w:rsid w:val="00591FEE"/>
    <w:rsid w:val="00592146"/>
    <w:rsid w:val="005921B1"/>
    <w:rsid w:val="00592213"/>
    <w:rsid w:val="005922B5"/>
    <w:rsid w:val="005924F7"/>
    <w:rsid w:val="005925A7"/>
    <w:rsid w:val="0059273A"/>
    <w:rsid w:val="00592904"/>
    <w:rsid w:val="00592999"/>
    <w:rsid w:val="005929B3"/>
    <w:rsid w:val="00592C17"/>
    <w:rsid w:val="00592C7C"/>
    <w:rsid w:val="00592D7C"/>
    <w:rsid w:val="00592E2B"/>
    <w:rsid w:val="00592FFC"/>
    <w:rsid w:val="005931E7"/>
    <w:rsid w:val="005933F9"/>
    <w:rsid w:val="005935FF"/>
    <w:rsid w:val="005938F5"/>
    <w:rsid w:val="00593B80"/>
    <w:rsid w:val="00593C27"/>
    <w:rsid w:val="00593D43"/>
    <w:rsid w:val="00593F10"/>
    <w:rsid w:val="00593F63"/>
    <w:rsid w:val="00593F90"/>
    <w:rsid w:val="0059406C"/>
    <w:rsid w:val="0059455D"/>
    <w:rsid w:val="005946A2"/>
    <w:rsid w:val="005947F7"/>
    <w:rsid w:val="00594874"/>
    <w:rsid w:val="005948AA"/>
    <w:rsid w:val="00594F32"/>
    <w:rsid w:val="00595014"/>
    <w:rsid w:val="005950F4"/>
    <w:rsid w:val="0059526E"/>
    <w:rsid w:val="0059527A"/>
    <w:rsid w:val="005952E7"/>
    <w:rsid w:val="00595597"/>
    <w:rsid w:val="005955E9"/>
    <w:rsid w:val="00595665"/>
    <w:rsid w:val="005957F0"/>
    <w:rsid w:val="00595911"/>
    <w:rsid w:val="00595B35"/>
    <w:rsid w:val="00595B69"/>
    <w:rsid w:val="00595BCF"/>
    <w:rsid w:val="00595CAF"/>
    <w:rsid w:val="00595EB0"/>
    <w:rsid w:val="00595F5D"/>
    <w:rsid w:val="0059608C"/>
    <w:rsid w:val="005962A2"/>
    <w:rsid w:val="005962B3"/>
    <w:rsid w:val="00596336"/>
    <w:rsid w:val="005963F7"/>
    <w:rsid w:val="00596457"/>
    <w:rsid w:val="0059647F"/>
    <w:rsid w:val="005964B2"/>
    <w:rsid w:val="005965C3"/>
    <w:rsid w:val="005967EC"/>
    <w:rsid w:val="00596854"/>
    <w:rsid w:val="00596898"/>
    <w:rsid w:val="005968C4"/>
    <w:rsid w:val="00596904"/>
    <w:rsid w:val="00596C20"/>
    <w:rsid w:val="00596CE5"/>
    <w:rsid w:val="00596D51"/>
    <w:rsid w:val="00596DEB"/>
    <w:rsid w:val="00596DF9"/>
    <w:rsid w:val="00596F05"/>
    <w:rsid w:val="00596F0C"/>
    <w:rsid w:val="00596F8E"/>
    <w:rsid w:val="005970B1"/>
    <w:rsid w:val="0059717E"/>
    <w:rsid w:val="00597289"/>
    <w:rsid w:val="0059733F"/>
    <w:rsid w:val="00597486"/>
    <w:rsid w:val="005974C9"/>
    <w:rsid w:val="005975D8"/>
    <w:rsid w:val="005977A8"/>
    <w:rsid w:val="00597922"/>
    <w:rsid w:val="00597936"/>
    <w:rsid w:val="00597B05"/>
    <w:rsid w:val="00597CC1"/>
    <w:rsid w:val="00597CCC"/>
    <w:rsid w:val="00597D92"/>
    <w:rsid w:val="00597F06"/>
    <w:rsid w:val="00597FB2"/>
    <w:rsid w:val="005A0169"/>
    <w:rsid w:val="005A0390"/>
    <w:rsid w:val="005A0545"/>
    <w:rsid w:val="005A06DB"/>
    <w:rsid w:val="005A08AC"/>
    <w:rsid w:val="005A09EF"/>
    <w:rsid w:val="005A0A82"/>
    <w:rsid w:val="005A0B28"/>
    <w:rsid w:val="005A0F06"/>
    <w:rsid w:val="005A0F27"/>
    <w:rsid w:val="005A0F42"/>
    <w:rsid w:val="005A0FDB"/>
    <w:rsid w:val="005A109C"/>
    <w:rsid w:val="005A10F1"/>
    <w:rsid w:val="005A112A"/>
    <w:rsid w:val="005A13C6"/>
    <w:rsid w:val="005A155C"/>
    <w:rsid w:val="005A16ED"/>
    <w:rsid w:val="005A1835"/>
    <w:rsid w:val="005A18BC"/>
    <w:rsid w:val="005A198D"/>
    <w:rsid w:val="005A19D5"/>
    <w:rsid w:val="005A1BBA"/>
    <w:rsid w:val="005A1D5F"/>
    <w:rsid w:val="005A2202"/>
    <w:rsid w:val="005A2336"/>
    <w:rsid w:val="005A247B"/>
    <w:rsid w:val="005A26D2"/>
    <w:rsid w:val="005A285B"/>
    <w:rsid w:val="005A2886"/>
    <w:rsid w:val="005A298C"/>
    <w:rsid w:val="005A2997"/>
    <w:rsid w:val="005A2A17"/>
    <w:rsid w:val="005A2A3A"/>
    <w:rsid w:val="005A2AEA"/>
    <w:rsid w:val="005A2C1F"/>
    <w:rsid w:val="005A2CAF"/>
    <w:rsid w:val="005A2D52"/>
    <w:rsid w:val="005A2EA5"/>
    <w:rsid w:val="005A2F23"/>
    <w:rsid w:val="005A35CA"/>
    <w:rsid w:val="005A35E5"/>
    <w:rsid w:val="005A391E"/>
    <w:rsid w:val="005A3AD7"/>
    <w:rsid w:val="005A3E29"/>
    <w:rsid w:val="005A3E8B"/>
    <w:rsid w:val="005A3EC8"/>
    <w:rsid w:val="005A3F59"/>
    <w:rsid w:val="005A43A4"/>
    <w:rsid w:val="005A456F"/>
    <w:rsid w:val="005A4710"/>
    <w:rsid w:val="005A47C8"/>
    <w:rsid w:val="005A4843"/>
    <w:rsid w:val="005A4AC4"/>
    <w:rsid w:val="005A51E3"/>
    <w:rsid w:val="005A5246"/>
    <w:rsid w:val="005A53E8"/>
    <w:rsid w:val="005A54C7"/>
    <w:rsid w:val="005A557E"/>
    <w:rsid w:val="005A5760"/>
    <w:rsid w:val="005A580B"/>
    <w:rsid w:val="005A5A8A"/>
    <w:rsid w:val="005A5A9B"/>
    <w:rsid w:val="005A5C0C"/>
    <w:rsid w:val="005A5CCD"/>
    <w:rsid w:val="005A5F4F"/>
    <w:rsid w:val="005A607B"/>
    <w:rsid w:val="005A6230"/>
    <w:rsid w:val="005A63C9"/>
    <w:rsid w:val="005A63EC"/>
    <w:rsid w:val="005A6406"/>
    <w:rsid w:val="005A65A9"/>
    <w:rsid w:val="005A65D3"/>
    <w:rsid w:val="005A67FD"/>
    <w:rsid w:val="005A68D5"/>
    <w:rsid w:val="005A68DB"/>
    <w:rsid w:val="005A68F2"/>
    <w:rsid w:val="005A6A62"/>
    <w:rsid w:val="005A6B03"/>
    <w:rsid w:val="005A6B5F"/>
    <w:rsid w:val="005A6B7C"/>
    <w:rsid w:val="005A6DAB"/>
    <w:rsid w:val="005A6DCE"/>
    <w:rsid w:val="005A6E37"/>
    <w:rsid w:val="005A6F41"/>
    <w:rsid w:val="005A6FAA"/>
    <w:rsid w:val="005A719D"/>
    <w:rsid w:val="005A7298"/>
    <w:rsid w:val="005A730A"/>
    <w:rsid w:val="005A747E"/>
    <w:rsid w:val="005A74B4"/>
    <w:rsid w:val="005A74E7"/>
    <w:rsid w:val="005A76A5"/>
    <w:rsid w:val="005A76CB"/>
    <w:rsid w:val="005A7B04"/>
    <w:rsid w:val="005A7B47"/>
    <w:rsid w:val="005A7D89"/>
    <w:rsid w:val="005A7E06"/>
    <w:rsid w:val="005A7E08"/>
    <w:rsid w:val="005A7E55"/>
    <w:rsid w:val="005A7E97"/>
    <w:rsid w:val="005A7F15"/>
    <w:rsid w:val="005B0073"/>
    <w:rsid w:val="005B00BD"/>
    <w:rsid w:val="005B03EB"/>
    <w:rsid w:val="005B059D"/>
    <w:rsid w:val="005B06A7"/>
    <w:rsid w:val="005B0803"/>
    <w:rsid w:val="005B0815"/>
    <w:rsid w:val="005B0AA6"/>
    <w:rsid w:val="005B0AD5"/>
    <w:rsid w:val="005B0B45"/>
    <w:rsid w:val="005B0F3A"/>
    <w:rsid w:val="005B11DF"/>
    <w:rsid w:val="005B1260"/>
    <w:rsid w:val="005B143E"/>
    <w:rsid w:val="005B1628"/>
    <w:rsid w:val="005B165B"/>
    <w:rsid w:val="005B1745"/>
    <w:rsid w:val="005B17FD"/>
    <w:rsid w:val="005B181A"/>
    <w:rsid w:val="005B1DAC"/>
    <w:rsid w:val="005B1DCC"/>
    <w:rsid w:val="005B1E97"/>
    <w:rsid w:val="005B205B"/>
    <w:rsid w:val="005B215F"/>
    <w:rsid w:val="005B238F"/>
    <w:rsid w:val="005B2407"/>
    <w:rsid w:val="005B2449"/>
    <w:rsid w:val="005B247F"/>
    <w:rsid w:val="005B2736"/>
    <w:rsid w:val="005B2871"/>
    <w:rsid w:val="005B28A9"/>
    <w:rsid w:val="005B2B9A"/>
    <w:rsid w:val="005B2D66"/>
    <w:rsid w:val="005B2E3D"/>
    <w:rsid w:val="005B2EAF"/>
    <w:rsid w:val="005B2F0E"/>
    <w:rsid w:val="005B3010"/>
    <w:rsid w:val="005B33C7"/>
    <w:rsid w:val="005B37D2"/>
    <w:rsid w:val="005B3836"/>
    <w:rsid w:val="005B3AC5"/>
    <w:rsid w:val="005B3AE7"/>
    <w:rsid w:val="005B3B10"/>
    <w:rsid w:val="005B3CA8"/>
    <w:rsid w:val="005B3CD6"/>
    <w:rsid w:val="005B3F57"/>
    <w:rsid w:val="005B3FBD"/>
    <w:rsid w:val="005B41B0"/>
    <w:rsid w:val="005B43CC"/>
    <w:rsid w:val="005B449E"/>
    <w:rsid w:val="005B44DC"/>
    <w:rsid w:val="005B4791"/>
    <w:rsid w:val="005B486E"/>
    <w:rsid w:val="005B4C4B"/>
    <w:rsid w:val="005B4C6C"/>
    <w:rsid w:val="005B4D5C"/>
    <w:rsid w:val="005B51E6"/>
    <w:rsid w:val="005B5223"/>
    <w:rsid w:val="005B54F7"/>
    <w:rsid w:val="005B5550"/>
    <w:rsid w:val="005B55B4"/>
    <w:rsid w:val="005B5637"/>
    <w:rsid w:val="005B5647"/>
    <w:rsid w:val="005B57C2"/>
    <w:rsid w:val="005B59BD"/>
    <w:rsid w:val="005B5BF1"/>
    <w:rsid w:val="005B5C44"/>
    <w:rsid w:val="005B5DA2"/>
    <w:rsid w:val="005B6020"/>
    <w:rsid w:val="005B6258"/>
    <w:rsid w:val="005B6295"/>
    <w:rsid w:val="005B6387"/>
    <w:rsid w:val="005B64D3"/>
    <w:rsid w:val="005B65B7"/>
    <w:rsid w:val="005B66C2"/>
    <w:rsid w:val="005B68BD"/>
    <w:rsid w:val="005B6C1D"/>
    <w:rsid w:val="005B6CCD"/>
    <w:rsid w:val="005B6F04"/>
    <w:rsid w:val="005B7135"/>
    <w:rsid w:val="005B723C"/>
    <w:rsid w:val="005B770E"/>
    <w:rsid w:val="005B7821"/>
    <w:rsid w:val="005B7868"/>
    <w:rsid w:val="005B7A86"/>
    <w:rsid w:val="005B7B03"/>
    <w:rsid w:val="005B7DF5"/>
    <w:rsid w:val="005B7FF0"/>
    <w:rsid w:val="005C011E"/>
    <w:rsid w:val="005C02D8"/>
    <w:rsid w:val="005C0406"/>
    <w:rsid w:val="005C05E2"/>
    <w:rsid w:val="005C064F"/>
    <w:rsid w:val="005C08A3"/>
    <w:rsid w:val="005C09A2"/>
    <w:rsid w:val="005C0B9C"/>
    <w:rsid w:val="005C1017"/>
    <w:rsid w:val="005C111C"/>
    <w:rsid w:val="005C11EB"/>
    <w:rsid w:val="005C1342"/>
    <w:rsid w:val="005C1348"/>
    <w:rsid w:val="005C14DC"/>
    <w:rsid w:val="005C14FD"/>
    <w:rsid w:val="005C150C"/>
    <w:rsid w:val="005C169D"/>
    <w:rsid w:val="005C19A9"/>
    <w:rsid w:val="005C1D2A"/>
    <w:rsid w:val="005C1D2B"/>
    <w:rsid w:val="005C21EB"/>
    <w:rsid w:val="005C235A"/>
    <w:rsid w:val="005C2435"/>
    <w:rsid w:val="005C249C"/>
    <w:rsid w:val="005C2501"/>
    <w:rsid w:val="005C250A"/>
    <w:rsid w:val="005C2687"/>
    <w:rsid w:val="005C2825"/>
    <w:rsid w:val="005C2CEB"/>
    <w:rsid w:val="005C2EA7"/>
    <w:rsid w:val="005C3125"/>
    <w:rsid w:val="005C34EC"/>
    <w:rsid w:val="005C3557"/>
    <w:rsid w:val="005C3657"/>
    <w:rsid w:val="005C3810"/>
    <w:rsid w:val="005C3923"/>
    <w:rsid w:val="005C3AA0"/>
    <w:rsid w:val="005C3CC0"/>
    <w:rsid w:val="005C3D2E"/>
    <w:rsid w:val="005C3DC7"/>
    <w:rsid w:val="005C3E8C"/>
    <w:rsid w:val="005C3F6B"/>
    <w:rsid w:val="005C40B2"/>
    <w:rsid w:val="005C4205"/>
    <w:rsid w:val="005C4513"/>
    <w:rsid w:val="005C452D"/>
    <w:rsid w:val="005C4562"/>
    <w:rsid w:val="005C47D5"/>
    <w:rsid w:val="005C48B5"/>
    <w:rsid w:val="005C4CC7"/>
    <w:rsid w:val="005C4D08"/>
    <w:rsid w:val="005C4D78"/>
    <w:rsid w:val="005C4EC5"/>
    <w:rsid w:val="005C4EE1"/>
    <w:rsid w:val="005C4F55"/>
    <w:rsid w:val="005C5326"/>
    <w:rsid w:val="005C541A"/>
    <w:rsid w:val="005C566C"/>
    <w:rsid w:val="005C569A"/>
    <w:rsid w:val="005C59E8"/>
    <w:rsid w:val="005C5ACD"/>
    <w:rsid w:val="005C5D72"/>
    <w:rsid w:val="005C618E"/>
    <w:rsid w:val="005C6252"/>
    <w:rsid w:val="005C63F9"/>
    <w:rsid w:val="005C64B1"/>
    <w:rsid w:val="005C64B6"/>
    <w:rsid w:val="005C6661"/>
    <w:rsid w:val="005C6A7B"/>
    <w:rsid w:val="005C6B13"/>
    <w:rsid w:val="005C6C51"/>
    <w:rsid w:val="005C6C80"/>
    <w:rsid w:val="005C6CE4"/>
    <w:rsid w:val="005C6D38"/>
    <w:rsid w:val="005C6E3A"/>
    <w:rsid w:val="005C6F2D"/>
    <w:rsid w:val="005C72E0"/>
    <w:rsid w:val="005C75AC"/>
    <w:rsid w:val="005C77CB"/>
    <w:rsid w:val="005C77F4"/>
    <w:rsid w:val="005C7C01"/>
    <w:rsid w:val="005D0089"/>
    <w:rsid w:val="005D02B6"/>
    <w:rsid w:val="005D0320"/>
    <w:rsid w:val="005D04A4"/>
    <w:rsid w:val="005D0589"/>
    <w:rsid w:val="005D065D"/>
    <w:rsid w:val="005D0835"/>
    <w:rsid w:val="005D096C"/>
    <w:rsid w:val="005D0C4A"/>
    <w:rsid w:val="005D0D38"/>
    <w:rsid w:val="005D0D48"/>
    <w:rsid w:val="005D0E1E"/>
    <w:rsid w:val="005D0E42"/>
    <w:rsid w:val="005D0F32"/>
    <w:rsid w:val="005D0F5D"/>
    <w:rsid w:val="005D0F94"/>
    <w:rsid w:val="005D0FBF"/>
    <w:rsid w:val="005D1077"/>
    <w:rsid w:val="005D10A4"/>
    <w:rsid w:val="005D12B9"/>
    <w:rsid w:val="005D146F"/>
    <w:rsid w:val="005D153F"/>
    <w:rsid w:val="005D15C0"/>
    <w:rsid w:val="005D15E9"/>
    <w:rsid w:val="005D15EE"/>
    <w:rsid w:val="005D1661"/>
    <w:rsid w:val="005D1693"/>
    <w:rsid w:val="005D17F5"/>
    <w:rsid w:val="005D1881"/>
    <w:rsid w:val="005D1A86"/>
    <w:rsid w:val="005D1BAF"/>
    <w:rsid w:val="005D1BF6"/>
    <w:rsid w:val="005D1C4E"/>
    <w:rsid w:val="005D1C5F"/>
    <w:rsid w:val="005D1C88"/>
    <w:rsid w:val="005D1DF6"/>
    <w:rsid w:val="005D2018"/>
    <w:rsid w:val="005D218E"/>
    <w:rsid w:val="005D2271"/>
    <w:rsid w:val="005D23CB"/>
    <w:rsid w:val="005D2417"/>
    <w:rsid w:val="005D245C"/>
    <w:rsid w:val="005D24EF"/>
    <w:rsid w:val="005D26C4"/>
    <w:rsid w:val="005D2753"/>
    <w:rsid w:val="005D283C"/>
    <w:rsid w:val="005D2845"/>
    <w:rsid w:val="005D2928"/>
    <w:rsid w:val="005D2B80"/>
    <w:rsid w:val="005D2C77"/>
    <w:rsid w:val="005D2D2A"/>
    <w:rsid w:val="005D2D49"/>
    <w:rsid w:val="005D2D5F"/>
    <w:rsid w:val="005D2F99"/>
    <w:rsid w:val="005D3091"/>
    <w:rsid w:val="005D355C"/>
    <w:rsid w:val="005D3785"/>
    <w:rsid w:val="005D37B2"/>
    <w:rsid w:val="005D381C"/>
    <w:rsid w:val="005D3A13"/>
    <w:rsid w:val="005D3A76"/>
    <w:rsid w:val="005D3ABD"/>
    <w:rsid w:val="005D3B36"/>
    <w:rsid w:val="005D3BE3"/>
    <w:rsid w:val="005D3C9C"/>
    <w:rsid w:val="005D3DC8"/>
    <w:rsid w:val="005D3EBA"/>
    <w:rsid w:val="005D3EF7"/>
    <w:rsid w:val="005D3F6E"/>
    <w:rsid w:val="005D417B"/>
    <w:rsid w:val="005D44B8"/>
    <w:rsid w:val="005D47E6"/>
    <w:rsid w:val="005D48EC"/>
    <w:rsid w:val="005D4A0B"/>
    <w:rsid w:val="005D4A87"/>
    <w:rsid w:val="005D4C89"/>
    <w:rsid w:val="005D4D3A"/>
    <w:rsid w:val="005D4D78"/>
    <w:rsid w:val="005D4D93"/>
    <w:rsid w:val="005D4E66"/>
    <w:rsid w:val="005D519B"/>
    <w:rsid w:val="005D51E1"/>
    <w:rsid w:val="005D5418"/>
    <w:rsid w:val="005D5489"/>
    <w:rsid w:val="005D54D6"/>
    <w:rsid w:val="005D5622"/>
    <w:rsid w:val="005D564D"/>
    <w:rsid w:val="005D57AC"/>
    <w:rsid w:val="005D57E3"/>
    <w:rsid w:val="005D5896"/>
    <w:rsid w:val="005D5A74"/>
    <w:rsid w:val="005D5AE4"/>
    <w:rsid w:val="005D5C6D"/>
    <w:rsid w:val="005D5FB3"/>
    <w:rsid w:val="005D602A"/>
    <w:rsid w:val="005D613B"/>
    <w:rsid w:val="005D6143"/>
    <w:rsid w:val="005D61A1"/>
    <w:rsid w:val="005D6495"/>
    <w:rsid w:val="005D6513"/>
    <w:rsid w:val="005D65AB"/>
    <w:rsid w:val="005D6617"/>
    <w:rsid w:val="005D66D8"/>
    <w:rsid w:val="005D6798"/>
    <w:rsid w:val="005D6809"/>
    <w:rsid w:val="005D6825"/>
    <w:rsid w:val="005D683F"/>
    <w:rsid w:val="005D68C6"/>
    <w:rsid w:val="005D6A7E"/>
    <w:rsid w:val="005D6BAF"/>
    <w:rsid w:val="005D6C82"/>
    <w:rsid w:val="005D7079"/>
    <w:rsid w:val="005D70B8"/>
    <w:rsid w:val="005D71EF"/>
    <w:rsid w:val="005D71FF"/>
    <w:rsid w:val="005D7245"/>
    <w:rsid w:val="005D73AE"/>
    <w:rsid w:val="005D76DB"/>
    <w:rsid w:val="005D7773"/>
    <w:rsid w:val="005D78E3"/>
    <w:rsid w:val="005D7AEB"/>
    <w:rsid w:val="005D7B11"/>
    <w:rsid w:val="005D7B5F"/>
    <w:rsid w:val="005D7BE9"/>
    <w:rsid w:val="005D7C98"/>
    <w:rsid w:val="005D7D7B"/>
    <w:rsid w:val="005D7E30"/>
    <w:rsid w:val="005D7FFB"/>
    <w:rsid w:val="005E0393"/>
    <w:rsid w:val="005E05DD"/>
    <w:rsid w:val="005E078D"/>
    <w:rsid w:val="005E0916"/>
    <w:rsid w:val="005E0A24"/>
    <w:rsid w:val="005E0BB2"/>
    <w:rsid w:val="005E0E8B"/>
    <w:rsid w:val="005E1005"/>
    <w:rsid w:val="005E1185"/>
    <w:rsid w:val="005E126D"/>
    <w:rsid w:val="005E129F"/>
    <w:rsid w:val="005E12D1"/>
    <w:rsid w:val="005E1313"/>
    <w:rsid w:val="005E1315"/>
    <w:rsid w:val="005E132E"/>
    <w:rsid w:val="005E13CC"/>
    <w:rsid w:val="005E1564"/>
    <w:rsid w:val="005E192C"/>
    <w:rsid w:val="005E1B11"/>
    <w:rsid w:val="005E1B29"/>
    <w:rsid w:val="005E1C14"/>
    <w:rsid w:val="005E2107"/>
    <w:rsid w:val="005E2281"/>
    <w:rsid w:val="005E2389"/>
    <w:rsid w:val="005E23C3"/>
    <w:rsid w:val="005E241A"/>
    <w:rsid w:val="005E24DF"/>
    <w:rsid w:val="005E265C"/>
    <w:rsid w:val="005E26CD"/>
    <w:rsid w:val="005E2725"/>
    <w:rsid w:val="005E2739"/>
    <w:rsid w:val="005E28C1"/>
    <w:rsid w:val="005E2BC4"/>
    <w:rsid w:val="005E2DBF"/>
    <w:rsid w:val="005E2EA6"/>
    <w:rsid w:val="005E306F"/>
    <w:rsid w:val="005E31C3"/>
    <w:rsid w:val="005E324F"/>
    <w:rsid w:val="005E34D1"/>
    <w:rsid w:val="005E35C5"/>
    <w:rsid w:val="005E3772"/>
    <w:rsid w:val="005E37A0"/>
    <w:rsid w:val="005E387E"/>
    <w:rsid w:val="005E3A56"/>
    <w:rsid w:val="005E3B7F"/>
    <w:rsid w:val="005E3CF5"/>
    <w:rsid w:val="005E3D95"/>
    <w:rsid w:val="005E3E27"/>
    <w:rsid w:val="005E3E86"/>
    <w:rsid w:val="005E3F20"/>
    <w:rsid w:val="005E3F2F"/>
    <w:rsid w:val="005E3F60"/>
    <w:rsid w:val="005E40BF"/>
    <w:rsid w:val="005E4117"/>
    <w:rsid w:val="005E422F"/>
    <w:rsid w:val="005E43CB"/>
    <w:rsid w:val="005E4414"/>
    <w:rsid w:val="005E45A1"/>
    <w:rsid w:val="005E4789"/>
    <w:rsid w:val="005E47BD"/>
    <w:rsid w:val="005E487A"/>
    <w:rsid w:val="005E48EC"/>
    <w:rsid w:val="005E4A35"/>
    <w:rsid w:val="005E4A50"/>
    <w:rsid w:val="005E4B4F"/>
    <w:rsid w:val="005E50E4"/>
    <w:rsid w:val="005E5606"/>
    <w:rsid w:val="005E5891"/>
    <w:rsid w:val="005E58EB"/>
    <w:rsid w:val="005E599C"/>
    <w:rsid w:val="005E5DBD"/>
    <w:rsid w:val="005E6226"/>
    <w:rsid w:val="005E6231"/>
    <w:rsid w:val="005E62C1"/>
    <w:rsid w:val="005E6539"/>
    <w:rsid w:val="005E658A"/>
    <w:rsid w:val="005E69D7"/>
    <w:rsid w:val="005E705B"/>
    <w:rsid w:val="005E7079"/>
    <w:rsid w:val="005E707D"/>
    <w:rsid w:val="005E72E3"/>
    <w:rsid w:val="005E7485"/>
    <w:rsid w:val="005E75E3"/>
    <w:rsid w:val="005E792C"/>
    <w:rsid w:val="005E7972"/>
    <w:rsid w:val="005E79D6"/>
    <w:rsid w:val="005E7A4F"/>
    <w:rsid w:val="005E7D60"/>
    <w:rsid w:val="005E7F16"/>
    <w:rsid w:val="005F00A3"/>
    <w:rsid w:val="005F00A8"/>
    <w:rsid w:val="005F012A"/>
    <w:rsid w:val="005F015C"/>
    <w:rsid w:val="005F027B"/>
    <w:rsid w:val="005F046F"/>
    <w:rsid w:val="005F0572"/>
    <w:rsid w:val="005F05E0"/>
    <w:rsid w:val="005F080B"/>
    <w:rsid w:val="005F0AE1"/>
    <w:rsid w:val="005F0BCC"/>
    <w:rsid w:val="005F0C76"/>
    <w:rsid w:val="005F0D69"/>
    <w:rsid w:val="005F0F5B"/>
    <w:rsid w:val="005F1146"/>
    <w:rsid w:val="005F12BC"/>
    <w:rsid w:val="005F13E2"/>
    <w:rsid w:val="005F1509"/>
    <w:rsid w:val="005F15DB"/>
    <w:rsid w:val="005F164F"/>
    <w:rsid w:val="005F182B"/>
    <w:rsid w:val="005F1A2A"/>
    <w:rsid w:val="005F1A64"/>
    <w:rsid w:val="005F1AFC"/>
    <w:rsid w:val="005F1BC2"/>
    <w:rsid w:val="005F1CCF"/>
    <w:rsid w:val="005F1F5B"/>
    <w:rsid w:val="005F223C"/>
    <w:rsid w:val="005F2493"/>
    <w:rsid w:val="005F25B6"/>
    <w:rsid w:val="005F2649"/>
    <w:rsid w:val="005F270C"/>
    <w:rsid w:val="005F2873"/>
    <w:rsid w:val="005F2911"/>
    <w:rsid w:val="005F2989"/>
    <w:rsid w:val="005F29AF"/>
    <w:rsid w:val="005F2A5A"/>
    <w:rsid w:val="005F2EF7"/>
    <w:rsid w:val="005F2F36"/>
    <w:rsid w:val="005F2FBF"/>
    <w:rsid w:val="005F30F9"/>
    <w:rsid w:val="005F3233"/>
    <w:rsid w:val="005F35B0"/>
    <w:rsid w:val="005F376B"/>
    <w:rsid w:val="005F3A38"/>
    <w:rsid w:val="005F3A63"/>
    <w:rsid w:val="005F3CE0"/>
    <w:rsid w:val="005F3D5D"/>
    <w:rsid w:val="005F3FBB"/>
    <w:rsid w:val="005F4054"/>
    <w:rsid w:val="005F407A"/>
    <w:rsid w:val="005F425A"/>
    <w:rsid w:val="005F4546"/>
    <w:rsid w:val="005F4645"/>
    <w:rsid w:val="005F4975"/>
    <w:rsid w:val="005F4B0F"/>
    <w:rsid w:val="005F4B14"/>
    <w:rsid w:val="005F4C65"/>
    <w:rsid w:val="005F500A"/>
    <w:rsid w:val="005F5042"/>
    <w:rsid w:val="005F5064"/>
    <w:rsid w:val="005F50F8"/>
    <w:rsid w:val="005F526E"/>
    <w:rsid w:val="005F52D4"/>
    <w:rsid w:val="005F5325"/>
    <w:rsid w:val="005F5495"/>
    <w:rsid w:val="005F54D0"/>
    <w:rsid w:val="005F5621"/>
    <w:rsid w:val="005F563F"/>
    <w:rsid w:val="005F56C2"/>
    <w:rsid w:val="005F56D5"/>
    <w:rsid w:val="005F574A"/>
    <w:rsid w:val="005F58DD"/>
    <w:rsid w:val="005F5B70"/>
    <w:rsid w:val="005F5E0E"/>
    <w:rsid w:val="005F5EC8"/>
    <w:rsid w:val="005F61D3"/>
    <w:rsid w:val="005F6326"/>
    <w:rsid w:val="005F6A70"/>
    <w:rsid w:val="005F6B9B"/>
    <w:rsid w:val="005F6CC5"/>
    <w:rsid w:val="005F6CCD"/>
    <w:rsid w:val="005F6CF1"/>
    <w:rsid w:val="005F6DC4"/>
    <w:rsid w:val="005F6FF2"/>
    <w:rsid w:val="005F704C"/>
    <w:rsid w:val="005F73B9"/>
    <w:rsid w:val="005F7703"/>
    <w:rsid w:val="005F7869"/>
    <w:rsid w:val="005F794D"/>
    <w:rsid w:val="00600368"/>
    <w:rsid w:val="00600478"/>
    <w:rsid w:val="006005BD"/>
    <w:rsid w:val="006006B2"/>
    <w:rsid w:val="00600B09"/>
    <w:rsid w:val="00600CDE"/>
    <w:rsid w:val="00600F35"/>
    <w:rsid w:val="006010E8"/>
    <w:rsid w:val="00601138"/>
    <w:rsid w:val="00601616"/>
    <w:rsid w:val="006016E1"/>
    <w:rsid w:val="00601C41"/>
    <w:rsid w:val="00601E1A"/>
    <w:rsid w:val="00601E28"/>
    <w:rsid w:val="00601E96"/>
    <w:rsid w:val="006021D8"/>
    <w:rsid w:val="00602216"/>
    <w:rsid w:val="00602490"/>
    <w:rsid w:val="006026E3"/>
    <w:rsid w:val="00602837"/>
    <w:rsid w:val="006029F8"/>
    <w:rsid w:val="00602B1F"/>
    <w:rsid w:val="00602E9F"/>
    <w:rsid w:val="00602FA2"/>
    <w:rsid w:val="0060305C"/>
    <w:rsid w:val="0060307D"/>
    <w:rsid w:val="00603100"/>
    <w:rsid w:val="00603224"/>
    <w:rsid w:val="00603228"/>
    <w:rsid w:val="0060326A"/>
    <w:rsid w:val="00603483"/>
    <w:rsid w:val="006035F0"/>
    <w:rsid w:val="006036B1"/>
    <w:rsid w:val="00603C32"/>
    <w:rsid w:val="00603C61"/>
    <w:rsid w:val="00603CEF"/>
    <w:rsid w:val="00603D0B"/>
    <w:rsid w:val="00603D86"/>
    <w:rsid w:val="00603F5B"/>
    <w:rsid w:val="006040AC"/>
    <w:rsid w:val="00604125"/>
    <w:rsid w:val="006042A1"/>
    <w:rsid w:val="006042B2"/>
    <w:rsid w:val="0060432E"/>
    <w:rsid w:val="006046C1"/>
    <w:rsid w:val="0060472E"/>
    <w:rsid w:val="00604817"/>
    <w:rsid w:val="00604820"/>
    <w:rsid w:val="006049B4"/>
    <w:rsid w:val="00604A19"/>
    <w:rsid w:val="00604BA4"/>
    <w:rsid w:val="00604BFE"/>
    <w:rsid w:val="00604DDC"/>
    <w:rsid w:val="00604FB3"/>
    <w:rsid w:val="00605077"/>
    <w:rsid w:val="0060524E"/>
    <w:rsid w:val="00605595"/>
    <w:rsid w:val="006058B6"/>
    <w:rsid w:val="006058E6"/>
    <w:rsid w:val="006059E4"/>
    <w:rsid w:val="00605A46"/>
    <w:rsid w:val="00605C1B"/>
    <w:rsid w:val="00605CD4"/>
    <w:rsid w:val="0060636E"/>
    <w:rsid w:val="00606495"/>
    <w:rsid w:val="006066F1"/>
    <w:rsid w:val="00606772"/>
    <w:rsid w:val="006069B9"/>
    <w:rsid w:val="00606B1C"/>
    <w:rsid w:val="0060712C"/>
    <w:rsid w:val="0060724C"/>
    <w:rsid w:val="0060744A"/>
    <w:rsid w:val="0060745A"/>
    <w:rsid w:val="006075D0"/>
    <w:rsid w:val="006076AD"/>
    <w:rsid w:val="006076C7"/>
    <w:rsid w:val="006078A4"/>
    <w:rsid w:val="00607C07"/>
    <w:rsid w:val="00607C50"/>
    <w:rsid w:val="00607C94"/>
    <w:rsid w:val="00607D70"/>
    <w:rsid w:val="00607FC3"/>
    <w:rsid w:val="00610138"/>
    <w:rsid w:val="00610283"/>
    <w:rsid w:val="006106D1"/>
    <w:rsid w:val="00610955"/>
    <w:rsid w:val="006109D4"/>
    <w:rsid w:val="00610C05"/>
    <w:rsid w:val="00611107"/>
    <w:rsid w:val="006111D0"/>
    <w:rsid w:val="00611375"/>
    <w:rsid w:val="006114A8"/>
    <w:rsid w:val="006114DB"/>
    <w:rsid w:val="00611713"/>
    <w:rsid w:val="00611773"/>
    <w:rsid w:val="0061188A"/>
    <w:rsid w:val="00611984"/>
    <w:rsid w:val="00611A30"/>
    <w:rsid w:val="00611B47"/>
    <w:rsid w:val="00611BFC"/>
    <w:rsid w:val="00611E6D"/>
    <w:rsid w:val="00611E7E"/>
    <w:rsid w:val="00611EC7"/>
    <w:rsid w:val="006120A3"/>
    <w:rsid w:val="006120C3"/>
    <w:rsid w:val="00612124"/>
    <w:rsid w:val="00612163"/>
    <w:rsid w:val="00612229"/>
    <w:rsid w:val="006122B6"/>
    <w:rsid w:val="0061245F"/>
    <w:rsid w:val="00612558"/>
    <w:rsid w:val="0061256C"/>
    <w:rsid w:val="006125E1"/>
    <w:rsid w:val="0061274C"/>
    <w:rsid w:val="00612810"/>
    <w:rsid w:val="0061293A"/>
    <w:rsid w:val="006129AA"/>
    <w:rsid w:val="00612A2B"/>
    <w:rsid w:val="00612A35"/>
    <w:rsid w:val="00612B2B"/>
    <w:rsid w:val="00612D77"/>
    <w:rsid w:val="00612D8B"/>
    <w:rsid w:val="00612EB5"/>
    <w:rsid w:val="0061305B"/>
    <w:rsid w:val="00613112"/>
    <w:rsid w:val="00613391"/>
    <w:rsid w:val="00613424"/>
    <w:rsid w:val="00613618"/>
    <w:rsid w:val="006137C8"/>
    <w:rsid w:val="00613967"/>
    <w:rsid w:val="00613AC9"/>
    <w:rsid w:val="00613B5F"/>
    <w:rsid w:val="00613D76"/>
    <w:rsid w:val="00613DCE"/>
    <w:rsid w:val="00613E1B"/>
    <w:rsid w:val="00613F7C"/>
    <w:rsid w:val="00614070"/>
    <w:rsid w:val="006140C0"/>
    <w:rsid w:val="00614127"/>
    <w:rsid w:val="0061434F"/>
    <w:rsid w:val="00614504"/>
    <w:rsid w:val="00614532"/>
    <w:rsid w:val="00614554"/>
    <w:rsid w:val="00614571"/>
    <w:rsid w:val="00614754"/>
    <w:rsid w:val="006147AD"/>
    <w:rsid w:val="006148D7"/>
    <w:rsid w:val="00614958"/>
    <w:rsid w:val="006149AE"/>
    <w:rsid w:val="006149C1"/>
    <w:rsid w:val="00614AE5"/>
    <w:rsid w:val="00614D23"/>
    <w:rsid w:val="00614F54"/>
    <w:rsid w:val="00615075"/>
    <w:rsid w:val="00615316"/>
    <w:rsid w:val="00615408"/>
    <w:rsid w:val="006154E0"/>
    <w:rsid w:val="00615574"/>
    <w:rsid w:val="0061570F"/>
    <w:rsid w:val="0061577A"/>
    <w:rsid w:val="006157C3"/>
    <w:rsid w:val="006159F2"/>
    <w:rsid w:val="00615B0B"/>
    <w:rsid w:val="00615B15"/>
    <w:rsid w:val="00615B92"/>
    <w:rsid w:val="00615C0B"/>
    <w:rsid w:val="00615D91"/>
    <w:rsid w:val="00615DFD"/>
    <w:rsid w:val="00615F51"/>
    <w:rsid w:val="00616189"/>
    <w:rsid w:val="0061655F"/>
    <w:rsid w:val="00616645"/>
    <w:rsid w:val="006167C6"/>
    <w:rsid w:val="006168D6"/>
    <w:rsid w:val="00616C7A"/>
    <w:rsid w:val="00616DBD"/>
    <w:rsid w:val="00616E66"/>
    <w:rsid w:val="00616FB7"/>
    <w:rsid w:val="006172F2"/>
    <w:rsid w:val="006173FC"/>
    <w:rsid w:val="00617450"/>
    <w:rsid w:val="006174C9"/>
    <w:rsid w:val="006176CE"/>
    <w:rsid w:val="006176F0"/>
    <w:rsid w:val="0061771A"/>
    <w:rsid w:val="00617B5A"/>
    <w:rsid w:val="00617BD1"/>
    <w:rsid w:val="00617BDD"/>
    <w:rsid w:val="00617E7C"/>
    <w:rsid w:val="00617E91"/>
    <w:rsid w:val="00617F0F"/>
    <w:rsid w:val="00617FF2"/>
    <w:rsid w:val="0062023C"/>
    <w:rsid w:val="00620257"/>
    <w:rsid w:val="00620325"/>
    <w:rsid w:val="00620360"/>
    <w:rsid w:val="0062059B"/>
    <w:rsid w:val="006205AC"/>
    <w:rsid w:val="00620746"/>
    <w:rsid w:val="0062084E"/>
    <w:rsid w:val="00620977"/>
    <w:rsid w:val="006209AB"/>
    <w:rsid w:val="00620A4C"/>
    <w:rsid w:val="00620AF1"/>
    <w:rsid w:val="00620D3E"/>
    <w:rsid w:val="00620E2F"/>
    <w:rsid w:val="0062102C"/>
    <w:rsid w:val="00621254"/>
    <w:rsid w:val="00621399"/>
    <w:rsid w:val="00621647"/>
    <w:rsid w:val="00621696"/>
    <w:rsid w:val="00621A8C"/>
    <w:rsid w:val="00621C96"/>
    <w:rsid w:val="00621EB9"/>
    <w:rsid w:val="00621F88"/>
    <w:rsid w:val="006221F3"/>
    <w:rsid w:val="00622258"/>
    <w:rsid w:val="00622445"/>
    <w:rsid w:val="00622656"/>
    <w:rsid w:val="00622740"/>
    <w:rsid w:val="0062274D"/>
    <w:rsid w:val="00622B3D"/>
    <w:rsid w:val="00622CDB"/>
    <w:rsid w:val="00622E57"/>
    <w:rsid w:val="00622FF3"/>
    <w:rsid w:val="0062321A"/>
    <w:rsid w:val="00623529"/>
    <w:rsid w:val="0062361B"/>
    <w:rsid w:val="00623720"/>
    <w:rsid w:val="00623876"/>
    <w:rsid w:val="00623C4A"/>
    <w:rsid w:val="00623DB8"/>
    <w:rsid w:val="00623E56"/>
    <w:rsid w:val="00623EDB"/>
    <w:rsid w:val="00624058"/>
    <w:rsid w:val="00624384"/>
    <w:rsid w:val="006243CC"/>
    <w:rsid w:val="0062443C"/>
    <w:rsid w:val="006245AC"/>
    <w:rsid w:val="006246AB"/>
    <w:rsid w:val="006247B3"/>
    <w:rsid w:val="00624A57"/>
    <w:rsid w:val="00624EEE"/>
    <w:rsid w:val="00624EF5"/>
    <w:rsid w:val="00624FB8"/>
    <w:rsid w:val="00625199"/>
    <w:rsid w:val="0062526C"/>
    <w:rsid w:val="00625552"/>
    <w:rsid w:val="00625619"/>
    <w:rsid w:val="00625633"/>
    <w:rsid w:val="00625647"/>
    <w:rsid w:val="006258D6"/>
    <w:rsid w:val="0062595E"/>
    <w:rsid w:val="00625FE5"/>
    <w:rsid w:val="0062601A"/>
    <w:rsid w:val="006260CC"/>
    <w:rsid w:val="00626189"/>
    <w:rsid w:val="006261CE"/>
    <w:rsid w:val="00626240"/>
    <w:rsid w:val="00626279"/>
    <w:rsid w:val="006262E2"/>
    <w:rsid w:val="006264D5"/>
    <w:rsid w:val="0062651D"/>
    <w:rsid w:val="006266FF"/>
    <w:rsid w:val="0062678B"/>
    <w:rsid w:val="006267A6"/>
    <w:rsid w:val="006268B3"/>
    <w:rsid w:val="00626B02"/>
    <w:rsid w:val="00626BE2"/>
    <w:rsid w:val="00626CD4"/>
    <w:rsid w:val="00626D57"/>
    <w:rsid w:val="00626E13"/>
    <w:rsid w:val="0062713C"/>
    <w:rsid w:val="006273D7"/>
    <w:rsid w:val="006275A9"/>
    <w:rsid w:val="006275F7"/>
    <w:rsid w:val="006275F9"/>
    <w:rsid w:val="0062779A"/>
    <w:rsid w:val="00627818"/>
    <w:rsid w:val="00627ABB"/>
    <w:rsid w:val="00627AC9"/>
    <w:rsid w:val="00627AF5"/>
    <w:rsid w:val="00627CA0"/>
    <w:rsid w:val="00627F86"/>
    <w:rsid w:val="00627FA3"/>
    <w:rsid w:val="00627FBA"/>
    <w:rsid w:val="00630024"/>
    <w:rsid w:val="006307CD"/>
    <w:rsid w:val="0063084C"/>
    <w:rsid w:val="00630BAE"/>
    <w:rsid w:val="00630C91"/>
    <w:rsid w:val="00631065"/>
    <w:rsid w:val="006311B5"/>
    <w:rsid w:val="006311C5"/>
    <w:rsid w:val="006311DD"/>
    <w:rsid w:val="0063128D"/>
    <w:rsid w:val="0063131E"/>
    <w:rsid w:val="006313EF"/>
    <w:rsid w:val="0063167C"/>
    <w:rsid w:val="006316F5"/>
    <w:rsid w:val="006318D3"/>
    <w:rsid w:val="00631A19"/>
    <w:rsid w:val="00631BB9"/>
    <w:rsid w:val="00631D7A"/>
    <w:rsid w:val="00631DF4"/>
    <w:rsid w:val="00631E6A"/>
    <w:rsid w:val="0063258E"/>
    <w:rsid w:val="006325BC"/>
    <w:rsid w:val="00632762"/>
    <w:rsid w:val="0063276A"/>
    <w:rsid w:val="0063277B"/>
    <w:rsid w:val="0063278D"/>
    <w:rsid w:val="00632816"/>
    <w:rsid w:val="00632C7C"/>
    <w:rsid w:val="00632C8C"/>
    <w:rsid w:val="00632D2B"/>
    <w:rsid w:val="00632E5A"/>
    <w:rsid w:val="00632E83"/>
    <w:rsid w:val="0063300E"/>
    <w:rsid w:val="006331AD"/>
    <w:rsid w:val="00633243"/>
    <w:rsid w:val="006333CB"/>
    <w:rsid w:val="006333FB"/>
    <w:rsid w:val="006335D5"/>
    <w:rsid w:val="0063362A"/>
    <w:rsid w:val="00633640"/>
    <w:rsid w:val="00633738"/>
    <w:rsid w:val="0063374F"/>
    <w:rsid w:val="00633974"/>
    <w:rsid w:val="00633A33"/>
    <w:rsid w:val="00633AED"/>
    <w:rsid w:val="0063409B"/>
    <w:rsid w:val="006343BC"/>
    <w:rsid w:val="006345BB"/>
    <w:rsid w:val="00634801"/>
    <w:rsid w:val="0063499C"/>
    <w:rsid w:val="006349E0"/>
    <w:rsid w:val="00634AAA"/>
    <w:rsid w:val="00634AEE"/>
    <w:rsid w:val="00634D0B"/>
    <w:rsid w:val="00634EF9"/>
    <w:rsid w:val="00634F25"/>
    <w:rsid w:val="00634F5B"/>
    <w:rsid w:val="006350F4"/>
    <w:rsid w:val="0063519E"/>
    <w:rsid w:val="00635333"/>
    <w:rsid w:val="00635675"/>
    <w:rsid w:val="006356A7"/>
    <w:rsid w:val="006359A3"/>
    <w:rsid w:val="00635B2A"/>
    <w:rsid w:val="00635B60"/>
    <w:rsid w:val="00635C49"/>
    <w:rsid w:val="00635F74"/>
    <w:rsid w:val="00636035"/>
    <w:rsid w:val="006360DB"/>
    <w:rsid w:val="00636147"/>
    <w:rsid w:val="00636374"/>
    <w:rsid w:val="00636425"/>
    <w:rsid w:val="00636525"/>
    <w:rsid w:val="0063653F"/>
    <w:rsid w:val="0063683D"/>
    <w:rsid w:val="00636B59"/>
    <w:rsid w:val="00636D01"/>
    <w:rsid w:val="00636DF2"/>
    <w:rsid w:val="00636E05"/>
    <w:rsid w:val="0063709B"/>
    <w:rsid w:val="00637467"/>
    <w:rsid w:val="006376C2"/>
    <w:rsid w:val="00637765"/>
    <w:rsid w:val="0063777C"/>
    <w:rsid w:val="006378FF"/>
    <w:rsid w:val="0063799E"/>
    <w:rsid w:val="00637B3A"/>
    <w:rsid w:val="00637BD7"/>
    <w:rsid w:val="00637C13"/>
    <w:rsid w:val="00637DE4"/>
    <w:rsid w:val="00637F0C"/>
    <w:rsid w:val="00637FB0"/>
    <w:rsid w:val="00640026"/>
    <w:rsid w:val="006400D4"/>
    <w:rsid w:val="006400DE"/>
    <w:rsid w:val="00640191"/>
    <w:rsid w:val="006401C2"/>
    <w:rsid w:val="0064025C"/>
    <w:rsid w:val="0064032E"/>
    <w:rsid w:val="0064065A"/>
    <w:rsid w:val="006408BA"/>
    <w:rsid w:val="006408FA"/>
    <w:rsid w:val="00640B25"/>
    <w:rsid w:val="00640DE3"/>
    <w:rsid w:val="006411E6"/>
    <w:rsid w:val="00641289"/>
    <w:rsid w:val="006412A8"/>
    <w:rsid w:val="006414EE"/>
    <w:rsid w:val="006415A6"/>
    <w:rsid w:val="00641605"/>
    <w:rsid w:val="0064174B"/>
    <w:rsid w:val="00641759"/>
    <w:rsid w:val="006418F2"/>
    <w:rsid w:val="00641A9A"/>
    <w:rsid w:val="00641ACE"/>
    <w:rsid w:val="00641B12"/>
    <w:rsid w:val="00641BB8"/>
    <w:rsid w:val="00641C28"/>
    <w:rsid w:val="00641C9A"/>
    <w:rsid w:val="00641D20"/>
    <w:rsid w:val="00641DA0"/>
    <w:rsid w:val="00641E3C"/>
    <w:rsid w:val="00641F78"/>
    <w:rsid w:val="006421C4"/>
    <w:rsid w:val="00642344"/>
    <w:rsid w:val="006423DF"/>
    <w:rsid w:val="0064241F"/>
    <w:rsid w:val="006424BC"/>
    <w:rsid w:val="006424EF"/>
    <w:rsid w:val="006424FB"/>
    <w:rsid w:val="006426BC"/>
    <w:rsid w:val="00642736"/>
    <w:rsid w:val="006427A2"/>
    <w:rsid w:val="0064283B"/>
    <w:rsid w:val="00642F06"/>
    <w:rsid w:val="00643035"/>
    <w:rsid w:val="006432A9"/>
    <w:rsid w:val="006432DB"/>
    <w:rsid w:val="00643498"/>
    <w:rsid w:val="006436C8"/>
    <w:rsid w:val="00643C2A"/>
    <w:rsid w:val="00643C52"/>
    <w:rsid w:val="00643C58"/>
    <w:rsid w:val="00643E47"/>
    <w:rsid w:val="00643E94"/>
    <w:rsid w:val="00643FCF"/>
    <w:rsid w:val="006441FF"/>
    <w:rsid w:val="006444AE"/>
    <w:rsid w:val="006444F1"/>
    <w:rsid w:val="0064486D"/>
    <w:rsid w:val="00644910"/>
    <w:rsid w:val="00644A16"/>
    <w:rsid w:val="00644A32"/>
    <w:rsid w:val="00644B07"/>
    <w:rsid w:val="00644DE8"/>
    <w:rsid w:val="00644F5C"/>
    <w:rsid w:val="0064518F"/>
    <w:rsid w:val="0064525A"/>
    <w:rsid w:val="00645310"/>
    <w:rsid w:val="006455D6"/>
    <w:rsid w:val="0064571D"/>
    <w:rsid w:val="00645734"/>
    <w:rsid w:val="00645860"/>
    <w:rsid w:val="00645923"/>
    <w:rsid w:val="00645A90"/>
    <w:rsid w:val="00645D41"/>
    <w:rsid w:val="00645DEF"/>
    <w:rsid w:val="00645EED"/>
    <w:rsid w:val="00645F6E"/>
    <w:rsid w:val="00645FCC"/>
    <w:rsid w:val="00646018"/>
    <w:rsid w:val="0064601E"/>
    <w:rsid w:val="00646037"/>
    <w:rsid w:val="006460B2"/>
    <w:rsid w:val="00646390"/>
    <w:rsid w:val="0064639F"/>
    <w:rsid w:val="00646417"/>
    <w:rsid w:val="00646586"/>
    <w:rsid w:val="006465F8"/>
    <w:rsid w:val="0064684D"/>
    <w:rsid w:val="00646B14"/>
    <w:rsid w:val="00646E74"/>
    <w:rsid w:val="00646EDC"/>
    <w:rsid w:val="00647086"/>
    <w:rsid w:val="0064757D"/>
    <w:rsid w:val="00647792"/>
    <w:rsid w:val="00647A1D"/>
    <w:rsid w:val="00647B45"/>
    <w:rsid w:val="00647ED1"/>
    <w:rsid w:val="00647F54"/>
    <w:rsid w:val="00647F94"/>
    <w:rsid w:val="006501C8"/>
    <w:rsid w:val="0065023B"/>
    <w:rsid w:val="0065024D"/>
    <w:rsid w:val="00650421"/>
    <w:rsid w:val="006505E5"/>
    <w:rsid w:val="0065070A"/>
    <w:rsid w:val="0065078D"/>
    <w:rsid w:val="006509A6"/>
    <w:rsid w:val="006509DA"/>
    <w:rsid w:val="006509E6"/>
    <w:rsid w:val="00650A07"/>
    <w:rsid w:val="00650AEC"/>
    <w:rsid w:val="00650B0B"/>
    <w:rsid w:val="00650C39"/>
    <w:rsid w:val="00650D3E"/>
    <w:rsid w:val="006512A4"/>
    <w:rsid w:val="00651526"/>
    <w:rsid w:val="00651629"/>
    <w:rsid w:val="0065184E"/>
    <w:rsid w:val="0065189A"/>
    <w:rsid w:val="006519E7"/>
    <w:rsid w:val="00651D30"/>
    <w:rsid w:val="00651E3A"/>
    <w:rsid w:val="00652217"/>
    <w:rsid w:val="00652326"/>
    <w:rsid w:val="006527E0"/>
    <w:rsid w:val="006528BB"/>
    <w:rsid w:val="006528C8"/>
    <w:rsid w:val="0065298E"/>
    <w:rsid w:val="00652B25"/>
    <w:rsid w:val="00652C50"/>
    <w:rsid w:val="00652D70"/>
    <w:rsid w:val="00652DBC"/>
    <w:rsid w:val="00652F68"/>
    <w:rsid w:val="0065305E"/>
    <w:rsid w:val="006533C9"/>
    <w:rsid w:val="0065349C"/>
    <w:rsid w:val="006537CE"/>
    <w:rsid w:val="006539FB"/>
    <w:rsid w:val="00653B39"/>
    <w:rsid w:val="00653F4E"/>
    <w:rsid w:val="00653F79"/>
    <w:rsid w:val="0065429D"/>
    <w:rsid w:val="00654516"/>
    <w:rsid w:val="0065465B"/>
    <w:rsid w:val="00654813"/>
    <w:rsid w:val="006549CE"/>
    <w:rsid w:val="00654A9E"/>
    <w:rsid w:val="00654ABE"/>
    <w:rsid w:val="00654B48"/>
    <w:rsid w:val="00654B4F"/>
    <w:rsid w:val="00654C1A"/>
    <w:rsid w:val="00654C50"/>
    <w:rsid w:val="00654C70"/>
    <w:rsid w:val="00654CB1"/>
    <w:rsid w:val="00654CBB"/>
    <w:rsid w:val="00654E48"/>
    <w:rsid w:val="00654F4E"/>
    <w:rsid w:val="00655043"/>
    <w:rsid w:val="006550EE"/>
    <w:rsid w:val="006552E5"/>
    <w:rsid w:val="0065547E"/>
    <w:rsid w:val="00655721"/>
    <w:rsid w:val="006557EB"/>
    <w:rsid w:val="006558DC"/>
    <w:rsid w:val="00655B3C"/>
    <w:rsid w:val="00655DDA"/>
    <w:rsid w:val="00655E29"/>
    <w:rsid w:val="00655F03"/>
    <w:rsid w:val="00655FE0"/>
    <w:rsid w:val="00656003"/>
    <w:rsid w:val="00656075"/>
    <w:rsid w:val="00656449"/>
    <w:rsid w:val="00656475"/>
    <w:rsid w:val="006566F3"/>
    <w:rsid w:val="00656776"/>
    <w:rsid w:val="006568AA"/>
    <w:rsid w:val="006569C5"/>
    <w:rsid w:val="006569E9"/>
    <w:rsid w:val="0065719A"/>
    <w:rsid w:val="006571D5"/>
    <w:rsid w:val="00657231"/>
    <w:rsid w:val="0065723D"/>
    <w:rsid w:val="0065738C"/>
    <w:rsid w:val="0065741C"/>
    <w:rsid w:val="006574B9"/>
    <w:rsid w:val="00657793"/>
    <w:rsid w:val="0065785D"/>
    <w:rsid w:val="00657871"/>
    <w:rsid w:val="00657998"/>
    <w:rsid w:val="00657AC2"/>
    <w:rsid w:val="00657AF7"/>
    <w:rsid w:val="00657CF9"/>
    <w:rsid w:val="00657D39"/>
    <w:rsid w:val="00657D62"/>
    <w:rsid w:val="00657EA7"/>
    <w:rsid w:val="00660048"/>
    <w:rsid w:val="006602F2"/>
    <w:rsid w:val="00660458"/>
    <w:rsid w:val="00660611"/>
    <w:rsid w:val="006606C0"/>
    <w:rsid w:val="006607D9"/>
    <w:rsid w:val="0066093E"/>
    <w:rsid w:val="00660C20"/>
    <w:rsid w:val="00660F27"/>
    <w:rsid w:val="00661037"/>
    <w:rsid w:val="00661051"/>
    <w:rsid w:val="00661063"/>
    <w:rsid w:val="006610A1"/>
    <w:rsid w:val="006612F5"/>
    <w:rsid w:val="0066148E"/>
    <w:rsid w:val="0066152C"/>
    <w:rsid w:val="0066184C"/>
    <w:rsid w:val="00661886"/>
    <w:rsid w:val="00661898"/>
    <w:rsid w:val="00661A9F"/>
    <w:rsid w:val="00661C24"/>
    <w:rsid w:val="00661C96"/>
    <w:rsid w:val="00661D9F"/>
    <w:rsid w:val="00661E34"/>
    <w:rsid w:val="00661FB3"/>
    <w:rsid w:val="006620D4"/>
    <w:rsid w:val="00662114"/>
    <w:rsid w:val="00662207"/>
    <w:rsid w:val="006623E1"/>
    <w:rsid w:val="0066240D"/>
    <w:rsid w:val="006626CB"/>
    <w:rsid w:val="006627C6"/>
    <w:rsid w:val="00662AF4"/>
    <w:rsid w:val="00662EE8"/>
    <w:rsid w:val="00662F26"/>
    <w:rsid w:val="006630B8"/>
    <w:rsid w:val="006634A6"/>
    <w:rsid w:val="00663787"/>
    <w:rsid w:val="006638A4"/>
    <w:rsid w:val="00663C4F"/>
    <w:rsid w:val="00663C77"/>
    <w:rsid w:val="00663DA1"/>
    <w:rsid w:val="00663E50"/>
    <w:rsid w:val="00663ED0"/>
    <w:rsid w:val="00663FCF"/>
    <w:rsid w:val="00663FE1"/>
    <w:rsid w:val="0066401D"/>
    <w:rsid w:val="0066403C"/>
    <w:rsid w:val="00664139"/>
    <w:rsid w:val="00664355"/>
    <w:rsid w:val="0066447D"/>
    <w:rsid w:val="006644C5"/>
    <w:rsid w:val="00664893"/>
    <w:rsid w:val="00664AF1"/>
    <w:rsid w:val="00664CBD"/>
    <w:rsid w:val="00664E59"/>
    <w:rsid w:val="00664F1B"/>
    <w:rsid w:val="0066503D"/>
    <w:rsid w:val="006651AA"/>
    <w:rsid w:val="006652F0"/>
    <w:rsid w:val="0066535C"/>
    <w:rsid w:val="006656F2"/>
    <w:rsid w:val="006657F2"/>
    <w:rsid w:val="00665877"/>
    <w:rsid w:val="006658C4"/>
    <w:rsid w:val="00665B40"/>
    <w:rsid w:val="00665E78"/>
    <w:rsid w:val="00665E7B"/>
    <w:rsid w:val="006660B1"/>
    <w:rsid w:val="006662E5"/>
    <w:rsid w:val="00666472"/>
    <w:rsid w:val="00666534"/>
    <w:rsid w:val="006666DD"/>
    <w:rsid w:val="006667F2"/>
    <w:rsid w:val="006668F7"/>
    <w:rsid w:val="006669C6"/>
    <w:rsid w:val="00666FD2"/>
    <w:rsid w:val="00666FDF"/>
    <w:rsid w:val="00667175"/>
    <w:rsid w:val="0066728A"/>
    <w:rsid w:val="006678F6"/>
    <w:rsid w:val="006678F8"/>
    <w:rsid w:val="006679A5"/>
    <w:rsid w:val="00667A5A"/>
    <w:rsid w:val="00667AC6"/>
    <w:rsid w:val="00667B35"/>
    <w:rsid w:val="00667D5C"/>
    <w:rsid w:val="00667E0F"/>
    <w:rsid w:val="00667E95"/>
    <w:rsid w:val="00667F44"/>
    <w:rsid w:val="00667F59"/>
    <w:rsid w:val="00670018"/>
    <w:rsid w:val="006700A8"/>
    <w:rsid w:val="00670162"/>
    <w:rsid w:val="006704CA"/>
    <w:rsid w:val="0067052D"/>
    <w:rsid w:val="006707BB"/>
    <w:rsid w:val="00670898"/>
    <w:rsid w:val="00670A24"/>
    <w:rsid w:val="00670C81"/>
    <w:rsid w:val="00670DDA"/>
    <w:rsid w:val="00671019"/>
    <w:rsid w:val="0067121C"/>
    <w:rsid w:val="006712F3"/>
    <w:rsid w:val="006712FB"/>
    <w:rsid w:val="0067160C"/>
    <w:rsid w:val="006718C9"/>
    <w:rsid w:val="00671922"/>
    <w:rsid w:val="0067197B"/>
    <w:rsid w:val="00671E8A"/>
    <w:rsid w:val="00671F6D"/>
    <w:rsid w:val="006720BB"/>
    <w:rsid w:val="0067231D"/>
    <w:rsid w:val="006724AD"/>
    <w:rsid w:val="00672674"/>
    <w:rsid w:val="00672A31"/>
    <w:rsid w:val="00672C63"/>
    <w:rsid w:val="00672D38"/>
    <w:rsid w:val="00672D87"/>
    <w:rsid w:val="00672DDF"/>
    <w:rsid w:val="00672F1B"/>
    <w:rsid w:val="00673281"/>
    <w:rsid w:val="00673324"/>
    <w:rsid w:val="00673604"/>
    <w:rsid w:val="00673718"/>
    <w:rsid w:val="00673B3B"/>
    <w:rsid w:val="00673D54"/>
    <w:rsid w:val="00673E86"/>
    <w:rsid w:val="00673EF5"/>
    <w:rsid w:val="006742E4"/>
    <w:rsid w:val="0067484E"/>
    <w:rsid w:val="0067485C"/>
    <w:rsid w:val="00674945"/>
    <w:rsid w:val="006749D9"/>
    <w:rsid w:val="00674AD7"/>
    <w:rsid w:val="00674B6A"/>
    <w:rsid w:val="00674C43"/>
    <w:rsid w:val="00674C5B"/>
    <w:rsid w:val="00674EFC"/>
    <w:rsid w:val="006752CE"/>
    <w:rsid w:val="0067537A"/>
    <w:rsid w:val="0067550A"/>
    <w:rsid w:val="006755A3"/>
    <w:rsid w:val="006755E4"/>
    <w:rsid w:val="006756CD"/>
    <w:rsid w:val="006758F9"/>
    <w:rsid w:val="00675992"/>
    <w:rsid w:val="00675B53"/>
    <w:rsid w:val="00675CB6"/>
    <w:rsid w:val="00675DCD"/>
    <w:rsid w:val="00675F83"/>
    <w:rsid w:val="006762CF"/>
    <w:rsid w:val="00676417"/>
    <w:rsid w:val="006765D7"/>
    <w:rsid w:val="0067668F"/>
    <w:rsid w:val="00676940"/>
    <w:rsid w:val="00676978"/>
    <w:rsid w:val="006769E8"/>
    <w:rsid w:val="00676BEC"/>
    <w:rsid w:val="00676CFB"/>
    <w:rsid w:val="00676E8A"/>
    <w:rsid w:val="00677205"/>
    <w:rsid w:val="0067731A"/>
    <w:rsid w:val="00677722"/>
    <w:rsid w:val="0067774F"/>
    <w:rsid w:val="006777D3"/>
    <w:rsid w:val="0067795C"/>
    <w:rsid w:val="006779E9"/>
    <w:rsid w:val="00677E51"/>
    <w:rsid w:val="00677EBB"/>
    <w:rsid w:val="00680060"/>
    <w:rsid w:val="006801FB"/>
    <w:rsid w:val="00680410"/>
    <w:rsid w:val="006804C4"/>
    <w:rsid w:val="00680576"/>
    <w:rsid w:val="0068062A"/>
    <w:rsid w:val="00680768"/>
    <w:rsid w:val="0068079F"/>
    <w:rsid w:val="00680A77"/>
    <w:rsid w:val="00680C58"/>
    <w:rsid w:val="00680CEC"/>
    <w:rsid w:val="00680E59"/>
    <w:rsid w:val="00680EBE"/>
    <w:rsid w:val="00681073"/>
    <w:rsid w:val="006811EE"/>
    <w:rsid w:val="00681457"/>
    <w:rsid w:val="006814D9"/>
    <w:rsid w:val="0068161F"/>
    <w:rsid w:val="00681656"/>
    <w:rsid w:val="00681713"/>
    <w:rsid w:val="00681760"/>
    <w:rsid w:val="006817D6"/>
    <w:rsid w:val="006818B3"/>
    <w:rsid w:val="00681A4D"/>
    <w:rsid w:val="00681AD8"/>
    <w:rsid w:val="00681B0B"/>
    <w:rsid w:val="00681E32"/>
    <w:rsid w:val="00681F5A"/>
    <w:rsid w:val="00682054"/>
    <w:rsid w:val="006820A0"/>
    <w:rsid w:val="0068222D"/>
    <w:rsid w:val="00682607"/>
    <w:rsid w:val="0068294B"/>
    <w:rsid w:val="00682A3C"/>
    <w:rsid w:val="00682B8B"/>
    <w:rsid w:val="00682C88"/>
    <w:rsid w:val="00682CF5"/>
    <w:rsid w:val="00682D05"/>
    <w:rsid w:val="00682D5D"/>
    <w:rsid w:val="00682F75"/>
    <w:rsid w:val="00683082"/>
    <w:rsid w:val="006831E8"/>
    <w:rsid w:val="00683342"/>
    <w:rsid w:val="006833B6"/>
    <w:rsid w:val="006833D1"/>
    <w:rsid w:val="00683463"/>
    <w:rsid w:val="006834B9"/>
    <w:rsid w:val="006834FF"/>
    <w:rsid w:val="0068363E"/>
    <w:rsid w:val="006836FE"/>
    <w:rsid w:val="006837F0"/>
    <w:rsid w:val="0068381C"/>
    <w:rsid w:val="00683824"/>
    <w:rsid w:val="00683849"/>
    <w:rsid w:val="006838DC"/>
    <w:rsid w:val="00683928"/>
    <w:rsid w:val="00683B5F"/>
    <w:rsid w:val="00683C90"/>
    <w:rsid w:val="00683DCC"/>
    <w:rsid w:val="00683F01"/>
    <w:rsid w:val="0068400B"/>
    <w:rsid w:val="00684232"/>
    <w:rsid w:val="006842DC"/>
    <w:rsid w:val="006842F1"/>
    <w:rsid w:val="006843F1"/>
    <w:rsid w:val="006844D0"/>
    <w:rsid w:val="00684704"/>
    <w:rsid w:val="006847BE"/>
    <w:rsid w:val="00684884"/>
    <w:rsid w:val="006849DA"/>
    <w:rsid w:val="00684A75"/>
    <w:rsid w:val="00684D0B"/>
    <w:rsid w:val="00685026"/>
    <w:rsid w:val="00685104"/>
    <w:rsid w:val="0068533F"/>
    <w:rsid w:val="0068540D"/>
    <w:rsid w:val="0068558D"/>
    <w:rsid w:val="00685991"/>
    <w:rsid w:val="00685A4E"/>
    <w:rsid w:val="00685CFC"/>
    <w:rsid w:val="00685DF0"/>
    <w:rsid w:val="00685F72"/>
    <w:rsid w:val="00686358"/>
    <w:rsid w:val="00686396"/>
    <w:rsid w:val="006864B9"/>
    <w:rsid w:val="006865B2"/>
    <w:rsid w:val="006866AD"/>
    <w:rsid w:val="00686856"/>
    <w:rsid w:val="006868E6"/>
    <w:rsid w:val="00686979"/>
    <w:rsid w:val="00686983"/>
    <w:rsid w:val="00686A6C"/>
    <w:rsid w:val="00686D17"/>
    <w:rsid w:val="00686E24"/>
    <w:rsid w:val="00686F85"/>
    <w:rsid w:val="00686FC9"/>
    <w:rsid w:val="00687067"/>
    <w:rsid w:val="006870D8"/>
    <w:rsid w:val="006875CE"/>
    <w:rsid w:val="006875D6"/>
    <w:rsid w:val="006877B3"/>
    <w:rsid w:val="0068796C"/>
    <w:rsid w:val="006879BF"/>
    <w:rsid w:val="00687A0E"/>
    <w:rsid w:val="00687ABA"/>
    <w:rsid w:val="00687B72"/>
    <w:rsid w:val="00687D19"/>
    <w:rsid w:val="00687D6C"/>
    <w:rsid w:val="00687E95"/>
    <w:rsid w:val="006901A2"/>
    <w:rsid w:val="0069061B"/>
    <w:rsid w:val="00690638"/>
    <w:rsid w:val="00690815"/>
    <w:rsid w:val="00690A0C"/>
    <w:rsid w:val="00690A92"/>
    <w:rsid w:val="00690AD8"/>
    <w:rsid w:val="00690AE2"/>
    <w:rsid w:val="00690B90"/>
    <w:rsid w:val="00690DDC"/>
    <w:rsid w:val="00690F26"/>
    <w:rsid w:val="00690F67"/>
    <w:rsid w:val="0069123F"/>
    <w:rsid w:val="00691282"/>
    <w:rsid w:val="006915D9"/>
    <w:rsid w:val="00691671"/>
    <w:rsid w:val="00691B7A"/>
    <w:rsid w:val="00691C71"/>
    <w:rsid w:val="00691C8F"/>
    <w:rsid w:val="00691DA4"/>
    <w:rsid w:val="00691DAD"/>
    <w:rsid w:val="00691F54"/>
    <w:rsid w:val="00692105"/>
    <w:rsid w:val="0069218E"/>
    <w:rsid w:val="00692272"/>
    <w:rsid w:val="00692370"/>
    <w:rsid w:val="00692618"/>
    <w:rsid w:val="006926D5"/>
    <w:rsid w:val="0069275B"/>
    <w:rsid w:val="00692819"/>
    <w:rsid w:val="0069287A"/>
    <w:rsid w:val="00692892"/>
    <w:rsid w:val="00692A8A"/>
    <w:rsid w:val="006930C0"/>
    <w:rsid w:val="0069310C"/>
    <w:rsid w:val="006931BF"/>
    <w:rsid w:val="00693277"/>
    <w:rsid w:val="006932EF"/>
    <w:rsid w:val="006933A0"/>
    <w:rsid w:val="006934FA"/>
    <w:rsid w:val="0069360B"/>
    <w:rsid w:val="00693708"/>
    <w:rsid w:val="006937D6"/>
    <w:rsid w:val="00693851"/>
    <w:rsid w:val="006938B0"/>
    <w:rsid w:val="00693905"/>
    <w:rsid w:val="006939DC"/>
    <w:rsid w:val="00693A95"/>
    <w:rsid w:val="00693ED2"/>
    <w:rsid w:val="006941F1"/>
    <w:rsid w:val="006942DD"/>
    <w:rsid w:val="006942F3"/>
    <w:rsid w:val="00694367"/>
    <w:rsid w:val="00694455"/>
    <w:rsid w:val="00694500"/>
    <w:rsid w:val="00694697"/>
    <w:rsid w:val="006949A8"/>
    <w:rsid w:val="006949F5"/>
    <w:rsid w:val="00694A15"/>
    <w:rsid w:val="00694A27"/>
    <w:rsid w:val="00694D33"/>
    <w:rsid w:val="00694D5F"/>
    <w:rsid w:val="00695028"/>
    <w:rsid w:val="006950C4"/>
    <w:rsid w:val="0069519A"/>
    <w:rsid w:val="00695477"/>
    <w:rsid w:val="0069552E"/>
    <w:rsid w:val="006956BC"/>
    <w:rsid w:val="006957E1"/>
    <w:rsid w:val="006958E1"/>
    <w:rsid w:val="00695B66"/>
    <w:rsid w:val="00695F92"/>
    <w:rsid w:val="0069602F"/>
    <w:rsid w:val="0069618F"/>
    <w:rsid w:val="0069626B"/>
    <w:rsid w:val="00696305"/>
    <w:rsid w:val="0069632A"/>
    <w:rsid w:val="0069643B"/>
    <w:rsid w:val="00696760"/>
    <w:rsid w:val="006967FF"/>
    <w:rsid w:val="00696986"/>
    <w:rsid w:val="00696A27"/>
    <w:rsid w:val="00696D14"/>
    <w:rsid w:val="00696E96"/>
    <w:rsid w:val="00696EAA"/>
    <w:rsid w:val="00697345"/>
    <w:rsid w:val="00697432"/>
    <w:rsid w:val="0069755E"/>
    <w:rsid w:val="00697582"/>
    <w:rsid w:val="00697651"/>
    <w:rsid w:val="00697691"/>
    <w:rsid w:val="00697742"/>
    <w:rsid w:val="006977B8"/>
    <w:rsid w:val="00697889"/>
    <w:rsid w:val="006979B9"/>
    <w:rsid w:val="00697AE7"/>
    <w:rsid w:val="00697C4D"/>
    <w:rsid w:val="00697CC6"/>
    <w:rsid w:val="00697EF3"/>
    <w:rsid w:val="006A009E"/>
    <w:rsid w:val="006A00AF"/>
    <w:rsid w:val="006A01CC"/>
    <w:rsid w:val="006A0443"/>
    <w:rsid w:val="006A05D0"/>
    <w:rsid w:val="006A069D"/>
    <w:rsid w:val="006A08B2"/>
    <w:rsid w:val="006A08B8"/>
    <w:rsid w:val="006A0A98"/>
    <w:rsid w:val="006A0B8F"/>
    <w:rsid w:val="006A0C53"/>
    <w:rsid w:val="006A10FC"/>
    <w:rsid w:val="006A11A6"/>
    <w:rsid w:val="006A11AE"/>
    <w:rsid w:val="006A1514"/>
    <w:rsid w:val="006A163D"/>
    <w:rsid w:val="006A16B9"/>
    <w:rsid w:val="006A1778"/>
    <w:rsid w:val="006A187F"/>
    <w:rsid w:val="006A18E9"/>
    <w:rsid w:val="006A198E"/>
    <w:rsid w:val="006A19E0"/>
    <w:rsid w:val="006A1D41"/>
    <w:rsid w:val="006A1D6D"/>
    <w:rsid w:val="006A1E0E"/>
    <w:rsid w:val="006A1E1F"/>
    <w:rsid w:val="006A1ECB"/>
    <w:rsid w:val="006A1FBA"/>
    <w:rsid w:val="006A225B"/>
    <w:rsid w:val="006A238E"/>
    <w:rsid w:val="006A23B8"/>
    <w:rsid w:val="006A2505"/>
    <w:rsid w:val="006A2904"/>
    <w:rsid w:val="006A2AD4"/>
    <w:rsid w:val="006A2D59"/>
    <w:rsid w:val="006A2EE5"/>
    <w:rsid w:val="006A2EF0"/>
    <w:rsid w:val="006A2FC6"/>
    <w:rsid w:val="006A3237"/>
    <w:rsid w:val="006A3340"/>
    <w:rsid w:val="006A373B"/>
    <w:rsid w:val="006A393E"/>
    <w:rsid w:val="006A3C18"/>
    <w:rsid w:val="006A3CC7"/>
    <w:rsid w:val="006A3D85"/>
    <w:rsid w:val="006A3E9D"/>
    <w:rsid w:val="006A4319"/>
    <w:rsid w:val="006A43B2"/>
    <w:rsid w:val="006A4412"/>
    <w:rsid w:val="006A4497"/>
    <w:rsid w:val="006A461C"/>
    <w:rsid w:val="006A472E"/>
    <w:rsid w:val="006A487B"/>
    <w:rsid w:val="006A4A7D"/>
    <w:rsid w:val="006A4A8B"/>
    <w:rsid w:val="006A4F6B"/>
    <w:rsid w:val="006A4F98"/>
    <w:rsid w:val="006A5039"/>
    <w:rsid w:val="006A5042"/>
    <w:rsid w:val="006A5476"/>
    <w:rsid w:val="006A5510"/>
    <w:rsid w:val="006A56D8"/>
    <w:rsid w:val="006A56E9"/>
    <w:rsid w:val="006A572F"/>
    <w:rsid w:val="006A575F"/>
    <w:rsid w:val="006A5853"/>
    <w:rsid w:val="006A59D3"/>
    <w:rsid w:val="006A5AFE"/>
    <w:rsid w:val="006A5C36"/>
    <w:rsid w:val="006A5CD1"/>
    <w:rsid w:val="006A5D33"/>
    <w:rsid w:val="006A5EA0"/>
    <w:rsid w:val="006A5F6B"/>
    <w:rsid w:val="006A5F6F"/>
    <w:rsid w:val="006A6038"/>
    <w:rsid w:val="006A60E7"/>
    <w:rsid w:val="006A66E0"/>
    <w:rsid w:val="006A680F"/>
    <w:rsid w:val="006A6A0E"/>
    <w:rsid w:val="006A6A6C"/>
    <w:rsid w:val="006A6A8F"/>
    <w:rsid w:val="006A6CCB"/>
    <w:rsid w:val="006A6F6B"/>
    <w:rsid w:val="006A6F9C"/>
    <w:rsid w:val="006A709C"/>
    <w:rsid w:val="006A70D1"/>
    <w:rsid w:val="006A7264"/>
    <w:rsid w:val="006A73CD"/>
    <w:rsid w:val="006A7446"/>
    <w:rsid w:val="006A74C9"/>
    <w:rsid w:val="006A7595"/>
    <w:rsid w:val="006A7710"/>
    <w:rsid w:val="006A78AB"/>
    <w:rsid w:val="006A7B04"/>
    <w:rsid w:val="006A7B75"/>
    <w:rsid w:val="006A7C78"/>
    <w:rsid w:val="006A7FA8"/>
    <w:rsid w:val="006B0018"/>
    <w:rsid w:val="006B04E1"/>
    <w:rsid w:val="006B06F3"/>
    <w:rsid w:val="006B0939"/>
    <w:rsid w:val="006B095B"/>
    <w:rsid w:val="006B09D1"/>
    <w:rsid w:val="006B0E0D"/>
    <w:rsid w:val="006B1014"/>
    <w:rsid w:val="006B1080"/>
    <w:rsid w:val="006B1133"/>
    <w:rsid w:val="006B166D"/>
    <w:rsid w:val="006B171A"/>
    <w:rsid w:val="006B1ABC"/>
    <w:rsid w:val="006B1FD2"/>
    <w:rsid w:val="006B1FF7"/>
    <w:rsid w:val="006B2223"/>
    <w:rsid w:val="006B234A"/>
    <w:rsid w:val="006B23EE"/>
    <w:rsid w:val="006B2521"/>
    <w:rsid w:val="006B26C6"/>
    <w:rsid w:val="006B2AF5"/>
    <w:rsid w:val="006B2D91"/>
    <w:rsid w:val="006B30E3"/>
    <w:rsid w:val="006B3283"/>
    <w:rsid w:val="006B33E9"/>
    <w:rsid w:val="006B3563"/>
    <w:rsid w:val="006B36BD"/>
    <w:rsid w:val="006B38F8"/>
    <w:rsid w:val="006B393D"/>
    <w:rsid w:val="006B39E9"/>
    <w:rsid w:val="006B3A3E"/>
    <w:rsid w:val="006B3AD6"/>
    <w:rsid w:val="006B3C77"/>
    <w:rsid w:val="006B3F20"/>
    <w:rsid w:val="006B3F80"/>
    <w:rsid w:val="006B4040"/>
    <w:rsid w:val="006B4158"/>
    <w:rsid w:val="006B44A1"/>
    <w:rsid w:val="006B4581"/>
    <w:rsid w:val="006B46CA"/>
    <w:rsid w:val="006B480B"/>
    <w:rsid w:val="006B4ABF"/>
    <w:rsid w:val="006B4B3D"/>
    <w:rsid w:val="006B50C3"/>
    <w:rsid w:val="006B525D"/>
    <w:rsid w:val="006B5594"/>
    <w:rsid w:val="006B560D"/>
    <w:rsid w:val="006B5627"/>
    <w:rsid w:val="006B57E7"/>
    <w:rsid w:val="006B5848"/>
    <w:rsid w:val="006B5A96"/>
    <w:rsid w:val="006B5AC9"/>
    <w:rsid w:val="006B5F40"/>
    <w:rsid w:val="006B5F51"/>
    <w:rsid w:val="006B5FE4"/>
    <w:rsid w:val="006B6057"/>
    <w:rsid w:val="006B6090"/>
    <w:rsid w:val="006B6551"/>
    <w:rsid w:val="006B660D"/>
    <w:rsid w:val="006B6790"/>
    <w:rsid w:val="006B6942"/>
    <w:rsid w:val="006B6AD0"/>
    <w:rsid w:val="006B6AFA"/>
    <w:rsid w:val="006B6D23"/>
    <w:rsid w:val="006B6E3F"/>
    <w:rsid w:val="006B6E5C"/>
    <w:rsid w:val="006B6EAF"/>
    <w:rsid w:val="006B6EE6"/>
    <w:rsid w:val="006B6FC5"/>
    <w:rsid w:val="006B6FCE"/>
    <w:rsid w:val="006B71EC"/>
    <w:rsid w:val="006B7635"/>
    <w:rsid w:val="006B78F8"/>
    <w:rsid w:val="006B7907"/>
    <w:rsid w:val="006B7D5F"/>
    <w:rsid w:val="006B7EE9"/>
    <w:rsid w:val="006B7FFE"/>
    <w:rsid w:val="006C01E8"/>
    <w:rsid w:val="006C0523"/>
    <w:rsid w:val="006C09BB"/>
    <w:rsid w:val="006C0ADC"/>
    <w:rsid w:val="006C0AE2"/>
    <w:rsid w:val="006C0B9E"/>
    <w:rsid w:val="006C0C50"/>
    <w:rsid w:val="006C0CB8"/>
    <w:rsid w:val="006C0D7D"/>
    <w:rsid w:val="006C0F47"/>
    <w:rsid w:val="006C0F8B"/>
    <w:rsid w:val="006C1053"/>
    <w:rsid w:val="006C10D5"/>
    <w:rsid w:val="006C12D5"/>
    <w:rsid w:val="006C157E"/>
    <w:rsid w:val="006C1BE2"/>
    <w:rsid w:val="006C1C3A"/>
    <w:rsid w:val="006C1D3F"/>
    <w:rsid w:val="006C1E7E"/>
    <w:rsid w:val="006C1EDD"/>
    <w:rsid w:val="006C2142"/>
    <w:rsid w:val="006C227A"/>
    <w:rsid w:val="006C230F"/>
    <w:rsid w:val="006C26C6"/>
    <w:rsid w:val="006C2943"/>
    <w:rsid w:val="006C297D"/>
    <w:rsid w:val="006C2A29"/>
    <w:rsid w:val="006C2AF1"/>
    <w:rsid w:val="006C2D13"/>
    <w:rsid w:val="006C2D53"/>
    <w:rsid w:val="006C2DD9"/>
    <w:rsid w:val="006C2DE9"/>
    <w:rsid w:val="006C2EDE"/>
    <w:rsid w:val="006C3016"/>
    <w:rsid w:val="006C3019"/>
    <w:rsid w:val="006C3039"/>
    <w:rsid w:val="006C3181"/>
    <w:rsid w:val="006C3231"/>
    <w:rsid w:val="006C3370"/>
    <w:rsid w:val="006C3387"/>
    <w:rsid w:val="006C35BD"/>
    <w:rsid w:val="006C3AD9"/>
    <w:rsid w:val="006C3D11"/>
    <w:rsid w:val="006C3D88"/>
    <w:rsid w:val="006C3E1F"/>
    <w:rsid w:val="006C3E2D"/>
    <w:rsid w:val="006C4550"/>
    <w:rsid w:val="006C4724"/>
    <w:rsid w:val="006C49E5"/>
    <w:rsid w:val="006C4A90"/>
    <w:rsid w:val="006C4B64"/>
    <w:rsid w:val="006C5256"/>
    <w:rsid w:val="006C52E7"/>
    <w:rsid w:val="006C541F"/>
    <w:rsid w:val="006C54D5"/>
    <w:rsid w:val="006C5765"/>
    <w:rsid w:val="006C5A78"/>
    <w:rsid w:val="006C5B4E"/>
    <w:rsid w:val="006C5C96"/>
    <w:rsid w:val="006C5D99"/>
    <w:rsid w:val="006C60BE"/>
    <w:rsid w:val="006C643B"/>
    <w:rsid w:val="006C6493"/>
    <w:rsid w:val="006C64B8"/>
    <w:rsid w:val="006C6745"/>
    <w:rsid w:val="006C67DD"/>
    <w:rsid w:val="006C6876"/>
    <w:rsid w:val="006C68DB"/>
    <w:rsid w:val="006C68E2"/>
    <w:rsid w:val="006C6984"/>
    <w:rsid w:val="006C6A9B"/>
    <w:rsid w:val="006C6B1F"/>
    <w:rsid w:val="006C6BA0"/>
    <w:rsid w:val="006C6C54"/>
    <w:rsid w:val="006C6E1A"/>
    <w:rsid w:val="006C6E5A"/>
    <w:rsid w:val="006C6F69"/>
    <w:rsid w:val="006C70B7"/>
    <w:rsid w:val="006C70DE"/>
    <w:rsid w:val="006C71BA"/>
    <w:rsid w:val="006C725C"/>
    <w:rsid w:val="006C7390"/>
    <w:rsid w:val="006C7448"/>
    <w:rsid w:val="006C7457"/>
    <w:rsid w:val="006C7542"/>
    <w:rsid w:val="006C76E0"/>
    <w:rsid w:val="006C78B4"/>
    <w:rsid w:val="006C7BC0"/>
    <w:rsid w:val="006C7BD9"/>
    <w:rsid w:val="006C7CC8"/>
    <w:rsid w:val="006C7D00"/>
    <w:rsid w:val="006C7E3E"/>
    <w:rsid w:val="006C7EDB"/>
    <w:rsid w:val="006D009C"/>
    <w:rsid w:val="006D02C9"/>
    <w:rsid w:val="006D03DA"/>
    <w:rsid w:val="006D0472"/>
    <w:rsid w:val="006D066A"/>
    <w:rsid w:val="006D0795"/>
    <w:rsid w:val="006D07F3"/>
    <w:rsid w:val="006D09C7"/>
    <w:rsid w:val="006D0B82"/>
    <w:rsid w:val="006D0E1D"/>
    <w:rsid w:val="006D1012"/>
    <w:rsid w:val="006D1070"/>
    <w:rsid w:val="006D1113"/>
    <w:rsid w:val="006D14A4"/>
    <w:rsid w:val="006D1947"/>
    <w:rsid w:val="006D1D69"/>
    <w:rsid w:val="006D1E1B"/>
    <w:rsid w:val="006D1E65"/>
    <w:rsid w:val="006D1FC9"/>
    <w:rsid w:val="006D2079"/>
    <w:rsid w:val="006D20C8"/>
    <w:rsid w:val="006D22C2"/>
    <w:rsid w:val="006D22CD"/>
    <w:rsid w:val="006D2490"/>
    <w:rsid w:val="006D258D"/>
    <w:rsid w:val="006D25A3"/>
    <w:rsid w:val="006D27A5"/>
    <w:rsid w:val="006D2A17"/>
    <w:rsid w:val="006D2B41"/>
    <w:rsid w:val="006D2CAD"/>
    <w:rsid w:val="006D2D96"/>
    <w:rsid w:val="006D2DFD"/>
    <w:rsid w:val="006D3138"/>
    <w:rsid w:val="006D316E"/>
    <w:rsid w:val="006D325D"/>
    <w:rsid w:val="006D3266"/>
    <w:rsid w:val="006D3273"/>
    <w:rsid w:val="006D339C"/>
    <w:rsid w:val="006D33E2"/>
    <w:rsid w:val="006D34E6"/>
    <w:rsid w:val="006D3588"/>
    <w:rsid w:val="006D3614"/>
    <w:rsid w:val="006D3A80"/>
    <w:rsid w:val="006D3ACA"/>
    <w:rsid w:val="006D3D83"/>
    <w:rsid w:val="006D3E5F"/>
    <w:rsid w:val="006D42EA"/>
    <w:rsid w:val="006D4505"/>
    <w:rsid w:val="006D455D"/>
    <w:rsid w:val="006D4604"/>
    <w:rsid w:val="006D4627"/>
    <w:rsid w:val="006D476A"/>
    <w:rsid w:val="006D48F3"/>
    <w:rsid w:val="006D4BF9"/>
    <w:rsid w:val="006D4CEB"/>
    <w:rsid w:val="006D4D05"/>
    <w:rsid w:val="006D4E2E"/>
    <w:rsid w:val="006D51C1"/>
    <w:rsid w:val="006D5302"/>
    <w:rsid w:val="006D53BB"/>
    <w:rsid w:val="006D5574"/>
    <w:rsid w:val="006D5665"/>
    <w:rsid w:val="006D587A"/>
    <w:rsid w:val="006D5C54"/>
    <w:rsid w:val="006D5D33"/>
    <w:rsid w:val="006D5E53"/>
    <w:rsid w:val="006D5FA2"/>
    <w:rsid w:val="006D617F"/>
    <w:rsid w:val="006D618B"/>
    <w:rsid w:val="006D6309"/>
    <w:rsid w:val="006D645B"/>
    <w:rsid w:val="006D6776"/>
    <w:rsid w:val="006D67A9"/>
    <w:rsid w:val="006D695A"/>
    <w:rsid w:val="006D6995"/>
    <w:rsid w:val="006D6BB8"/>
    <w:rsid w:val="006D6C7C"/>
    <w:rsid w:val="006D6DB8"/>
    <w:rsid w:val="006D6DD9"/>
    <w:rsid w:val="006D7165"/>
    <w:rsid w:val="006D72E3"/>
    <w:rsid w:val="006D7361"/>
    <w:rsid w:val="006D7431"/>
    <w:rsid w:val="006D7829"/>
    <w:rsid w:val="006D784E"/>
    <w:rsid w:val="006D7898"/>
    <w:rsid w:val="006D793D"/>
    <w:rsid w:val="006D7AAA"/>
    <w:rsid w:val="006D7B50"/>
    <w:rsid w:val="006D7CD0"/>
    <w:rsid w:val="006D7D05"/>
    <w:rsid w:val="006D7E03"/>
    <w:rsid w:val="006D7F21"/>
    <w:rsid w:val="006D7FF0"/>
    <w:rsid w:val="006E002F"/>
    <w:rsid w:val="006E0052"/>
    <w:rsid w:val="006E018A"/>
    <w:rsid w:val="006E0360"/>
    <w:rsid w:val="006E037E"/>
    <w:rsid w:val="006E06EE"/>
    <w:rsid w:val="006E0846"/>
    <w:rsid w:val="006E0980"/>
    <w:rsid w:val="006E09B0"/>
    <w:rsid w:val="006E0A66"/>
    <w:rsid w:val="006E0AEE"/>
    <w:rsid w:val="006E0C06"/>
    <w:rsid w:val="006E0C48"/>
    <w:rsid w:val="006E0DD2"/>
    <w:rsid w:val="006E0E4C"/>
    <w:rsid w:val="006E103A"/>
    <w:rsid w:val="006E103E"/>
    <w:rsid w:val="006E118C"/>
    <w:rsid w:val="006E11A0"/>
    <w:rsid w:val="006E13B4"/>
    <w:rsid w:val="006E146C"/>
    <w:rsid w:val="006E1711"/>
    <w:rsid w:val="006E174D"/>
    <w:rsid w:val="006E1895"/>
    <w:rsid w:val="006E1ADC"/>
    <w:rsid w:val="006E1D2E"/>
    <w:rsid w:val="006E25B7"/>
    <w:rsid w:val="006E25D5"/>
    <w:rsid w:val="006E25F5"/>
    <w:rsid w:val="006E27E2"/>
    <w:rsid w:val="006E28A0"/>
    <w:rsid w:val="006E2B13"/>
    <w:rsid w:val="006E2CD1"/>
    <w:rsid w:val="006E2DA7"/>
    <w:rsid w:val="006E2E61"/>
    <w:rsid w:val="006E2FC4"/>
    <w:rsid w:val="006E3099"/>
    <w:rsid w:val="006E3141"/>
    <w:rsid w:val="006E31EA"/>
    <w:rsid w:val="006E31FA"/>
    <w:rsid w:val="006E338C"/>
    <w:rsid w:val="006E33F0"/>
    <w:rsid w:val="006E34ED"/>
    <w:rsid w:val="006E357C"/>
    <w:rsid w:val="006E3619"/>
    <w:rsid w:val="006E36F3"/>
    <w:rsid w:val="006E3744"/>
    <w:rsid w:val="006E3AE2"/>
    <w:rsid w:val="006E3C65"/>
    <w:rsid w:val="006E3D91"/>
    <w:rsid w:val="006E3E15"/>
    <w:rsid w:val="006E41AA"/>
    <w:rsid w:val="006E4555"/>
    <w:rsid w:val="006E462C"/>
    <w:rsid w:val="006E4781"/>
    <w:rsid w:val="006E47C5"/>
    <w:rsid w:val="006E48FE"/>
    <w:rsid w:val="006E4958"/>
    <w:rsid w:val="006E495A"/>
    <w:rsid w:val="006E4A75"/>
    <w:rsid w:val="006E4B3C"/>
    <w:rsid w:val="006E4E4A"/>
    <w:rsid w:val="006E4FFE"/>
    <w:rsid w:val="006E51C0"/>
    <w:rsid w:val="006E5329"/>
    <w:rsid w:val="006E5425"/>
    <w:rsid w:val="006E5442"/>
    <w:rsid w:val="006E55E8"/>
    <w:rsid w:val="006E5909"/>
    <w:rsid w:val="006E5916"/>
    <w:rsid w:val="006E5981"/>
    <w:rsid w:val="006E59E3"/>
    <w:rsid w:val="006E633E"/>
    <w:rsid w:val="006E636C"/>
    <w:rsid w:val="006E6559"/>
    <w:rsid w:val="006E6657"/>
    <w:rsid w:val="006E69B5"/>
    <w:rsid w:val="006E6A76"/>
    <w:rsid w:val="006E6AC2"/>
    <w:rsid w:val="006E6B42"/>
    <w:rsid w:val="006E6B4F"/>
    <w:rsid w:val="006E6DBA"/>
    <w:rsid w:val="006E6ECC"/>
    <w:rsid w:val="006E7096"/>
    <w:rsid w:val="006E7113"/>
    <w:rsid w:val="006E7190"/>
    <w:rsid w:val="006E7445"/>
    <w:rsid w:val="006E752D"/>
    <w:rsid w:val="006E7758"/>
    <w:rsid w:val="006E77E9"/>
    <w:rsid w:val="006E79EE"/>
    <w:rsid w:val="006E7B55"/>
    <w:rsid w:val="006E7BAA"/>
    <w:rsid w:val="006E7CA2"/>
    <w:rsid w:val="006E7E0A"/>
    <w:rsid w:val="006E7F46"/>
    <w:rsid w:val="006E7FCA"/>
    <w:rsid w:val="006F013B"/>
    <w:rsid w:val="006F0297"/>
    <w:rsid w:val="006F044F"/>
    <w:rsid w:val="006F0454"/>
    <w:rsid w:val="006F04F7"/>
    <w:rsid w:val="006F0926"/>
    <w:rsid w:val="006F0A4E"/>
    <w:rsid w:val="006F0BA1"/>
    <w:rsid w:val="006F0DB4"/>
    <w:rsid w:val="006F0F98"/>
    <w:rsid w:val="006F1002"/>
    <w:rsid w:val="006F12CF"/>
    <w:rsid w:val="006F13D0"/>
    <w:rsid w:val="006F13EF"/>
    <w:rsid w:val="006F14B3"/>
    <w:rsid w:val="006F14EC"/>
    <w:rsid w:val="006F1594"/>
    <w:rsid w:val="006F18B6"/>
    <w:rsid w:val="006F1C4F"/>
    <w:rsid w:val="006F1C6F"/>
    <w:rsid w:val="006F205C"/>
    <w:rsid w:val="006F25FF"/>
    <w:rsid w:val="006F2705"/>
    <w:rsid w:val="006F28FC"/>
    <w:rsid w:val="006F2DFD"/>
    <w:rsid w:val="006F2E62"/>
    <w:rsid w:val="006F2F0D"/>
    <w:rsid w:val="006F31B8"/>
    <w:rsid w:val="006F326E"/>
    <w:rsid w:val="006F361C"/>
    <w:rsid w:val="006F394E"/>
    <w:rsid w:val="006F3A29"/>
    <w:rsid w:val="006F3CBA"/>
    <w:rsid w:val="006F3FC8"/>
    <w:rsid w:val="006F44B2"/>
    <w:rsid w:val="006F46B7"/>
    <w:rsid w:val="006F4715"/>
    <w:rsid w:val="006F47AA"/>
    <w:rsid w:val="006F4836"/>
    <w:rsid w:val="006F48FC"/>
    <w:rsid w:val="006F4E24"/>
    <w:rsid w:val="006F4F6D"/>
    <w:rsid w:val="006F511C"/>
    <w:rsid w:val="006F528C"/>
    <w:rsid w:val="006F545C"/>
    <w:rsid w:val="006F54A7"/>
    <w:rsid w:val="006F5575"/>
    <w:rsid w:val="006F5756"/>
    <w:rsid w:val="006F594D"/>
    <w:rsid w:val="006F5B3E"/>
    <w:rsid w:val="006F5B5B"/>
    <w:rsid w:val="006F5BED"/>
    <w:rsid w:val="006F5CAD"/>
    <w:rsid w:val="006F612A"/>
    <w:rsid w:val="006F62C7"/>
    <w:rsid w:val="006F62E9"/>
    <w:rsid w:val="006F63EA"/>
    <w:rsid w:val="006F68EE"/>
    <w:rsid w:val="006F6A9D"/>
    <w:rsid w:val="006F6BF0"/>
    <w:rsid w:val="006F6D58"/>
    <w:rsid w:val="006F6DAE"/>
    <w:rsid w:val="006F6F88"/>
    <w:rsid w:val="006F705E"/>
    <w:rsid w:val="006F7106"/>
    <w:rsid w:val="006F7124"/>
    <w:rsid w:val="006F71EC"/>
    <w:rsid w:val="006F770B"/>
    <w:rsid w:val="006F7718"/>
    <w:rsid w:val="006F7750"/>
    <w:rsid w:val="006F775B"/>
    <w:rsid w:val="006F7AA4"/>
    <w:rsid w:val="006F7B73"/>
    <w:rsid w:val="006F7C47"/>
    <w:rsid w:val="006F7C6A"/>
    <w:rsid w:val="006F7ED1"/>
    <w:rsid w:val="0070009C"/>
    <w:rsid w:val="007000F4"/>
    <w:rsid w:val="0070010F"/>
    <w:rsid w:val="007003EC"/>
    <w:rsid w:val="00700545"/>
    <w:rsid w:val="00700590"/>
    <w:rsid w:val="007005F5"/>
    <w:rsid w:val="0070068F"/>
    <w:rsid w:val="007008A5"/>
    <w:rsid w:val="007009C1"/>
    <w:rsid w:val="00700CD6"/>
    <w:rsid w:val="007010E1"/>
    <w:rsid w:val="0070111C"/>
    <w:rsid w:val="00701185"/>
    <w:rsid w:val="00701270"/>
    <w:rsid w:val="007012A3"/>
    <w:rsid w:val="0070139C"/>
    <w:rsid w:val="007013C7"/>
    <w:rsid w:val="00701528"/>
    <w:rsid w:val="0070178C"/>
    <w:rsid w:val="00701908"/>
    <w:rsid w:val="00701923"/>
    <w:rsid w:val="0070193E"/>
    <w:rsid w:val="00701B31"/>
    <w:rsid w:val="00701B45"/>
    <w:rsid w:val="00701EFB"/>
    <w:rsid w:val="00701F0F"/>
    <w:rsid w:val="00702062"/>
    <w:rsid w:val="0070217D"/>
    <w:rsid w:val="007022E2"/>
    <w:rsid w:val="00702304"/>
    <w:rsid w:val="007027DF"/>
    <w:rsid w:val="007027FD"/>
    <w:rsid w:val="00702897"/>
    <w:rsid w:val="00702D58"/>
    <w:rsid w:val="00702FD9"/>
    <w:rsid w:val="00703020"/>
    <w:rsid w:val="00703038"/>
    <w:rsid w:val="00703257"/>
    <w:rsid w:val="00703318"/>
    <w:rsid w:val="00703364"/>
    <w:rsid w:val="00703660"/>
    <w:rsid w:val="0070367F"/>
    <w:rsid w:val="00703699"/>
    <w:rsid w:val="00703791"/>
    <w:rsid w:val="00703897"/>
    <w:rsid w:val="00703A33"/>
    <w:rsid w:val="00703AEE"/>
    <w:rsid w:val="00703B59"/>
    <w:rsid w:val="00703B60"/>
    <w:rsid w:val="00703BF7"/>
    <w:rsid w:val="00703F68"/>
    <w:rsid w:val="00703FC7"/>
    <w:rsid w:val="0070429B"/>
    <w:rsid w:val="00704716"/>
    <w:rsid w:val="00704747"/>
    <w:rsid w:val="007047AC"/>
    <w:rsid w:val="0070486F"/>
    <w:rsid w:val="007048FC"/>
    <w:rsid w:val="007049EB"/>
    <w:rsid w:val="00704A6A"/>
    <w:rsid w:val="00704BB8"/>
    <w:rsid w:val="00704CF7"/>
    <w:rsid w:val="00704D5A"/>
    <w:rsid w:val="00705145"/>
    <w:rsid w:val="007051DA"/>
    <w:rsid w:val="0070520A"/>
    <w:rsid w:val="00705362"/>
    <w:rsid w:val="00705382"/>
    <w:rsid w:val="00705478"/>
    <w:rsid w:val="0070559C"/>
    <w:rsid w:val="00705950"/>
    <w:rsid w:val="00705955"/>
    <w:rsid w:val="00705A70"/>
    <w:rsid w:val="00705A76"/>
    <w:rsid w:val="00705BF6"/>
    <w:rsid w:val="00705D04"/>
    <w:rsid w:val="00705D3A"/>
    <w:rsid w:val="00705FB9"/>
    <w:rsid w:val="007060F2"/>
    <w:rsid w:val="00706174"/>
    <w:rsid w:val="00706193"/>
    <w:rsid w:val="007061AF"/>
    <w:rsid w:val="00706282"/>
    <w:rsid w:val="00706305"/>
    <w:rsid w:val="007064E8"/>
    <w:rsid w:val="0070655C"/>
    <w:rsid w:val="00706578"/>
    <w:rsid w:val="007066A3"/>
    <w:rsid w:val="007067B2"/>
    <w:rsid w:val="007067D4"/>
    <w:rsid w:val="00706A08"/>
    <w:rsid w:val="00706B4E"/>
    <w:rsid w:val="00706C5B"/>
    <w:rsid w:val="00706FB0"/>
    <w:rsid w:val="00706FB2"/>
    <w:rsid w:val="00707020"/>
    <w:rsid w:val="0070711C"/>
    <w:rsid w:val="007072B5"/>
    <w:rsid w:val="00707399"/>
    <w:rsid w:val="00707687"/>
    <w:rsid w:val="00707792"/>
    <w:rsid w:val="0070780F"/>
    <w:rsid w:val="00707AF6"/>
    <w:rsid w:val="00707B44"/>
    <w:rsid w:val="00707E38"/>
    <w:rsid w:val="00707E78"/>
    <w:rsid w:val="00707FAD"/>
    <w:rsid w:val="00710558"/>
    <w:rsid w:val="00710641"/>
    <w:rsid w:val="0071070E"/>
    <w:rsid w:val="0071077F"/>
    <w:rsid w:val="007107BF"/>
    <w:rsid w:val="007108D3"/>
    <w:rsid w:val="007108F3"/>
    <w:rsid w:val="00710A03"/>
    <w:rsid w:val="00710A08"/>
    <w:rsid w:val="00710E25"/>
    <w:rsid w:val="00710E8D"/>
    <w:rsid w:val="00710EAA"/>
    <w:rsid w:val="00710F08"/>
    <w:rsid w:val="00710F7A"/>
    <w:rsid w:val="00710FCE"/>
    <w:rsid w:val="00710FE5"/>
    <w:rsid w:val="00711302"/>
    <w:rsid w:val="00711341"/>
    <w:rsid w:val="0071137E"/>
    <w:rsid w:val="00711480"/>
    <w:rsid w:val="0071189D"/>
    <w:rsid w:val="007119CD"/>
    <w:rsid w:val="00711CFE"/>
    <w:rsid w:val="00711E98"/>
    <w:rsid w:val="00711FAE"/>
    <w:rsid w:val="00712034"/>
    <w:rsid w:val="00712257"/>
    <w:rsid w:val="0071238E"/>
    <w:rsid w:val="00712415"/>
    <w:rsid w:val="007125B2"/>
    <w:rsid w:val="007127C6"/>
    <w:rsid w:val="007128CA"/>
    <w:rsid w:val="007129CB"/>
    <w:rsid w:val="00712A99"/>
    <w:rsid w:val="00712DB1"/>
    <w:rsid w:val="00712DC0"/>
    <w:rsid w:val="00712E07"/>
    <w:rsid w:val="00712EFC"/>
    <w:rsid w:val="0071301D"/>
    <w:rsid w:val="007134F4"/>
    <w:rsid w:val="007137CC"/>
    <w:rsid w:val="00713863"/>
    <w:rsid w:val="007138D7"/>
    <w:rsid w:val="0071397F"/>
    <w:rsid w:val="007139DC"/>
    <w:rsid w:val="00713B2A"/>
    <w:rsid w:val="00713BB1"/>
    <w:rsid w:val="00713C98"/>
    <w:rsid w:val="00713E85"/>
    <w:rsid w:val="00713F64"/>
    <w:rsid w:val="00714072"/>
    <w:rsid w:val="00714143"/>
    <w:rsid w:val="0071416E"/>
    <w:rsid w:val="0071443B"/>
    <w:rsid w:val="00714459"/>
    <w:rsid w:val="007144FF"/>
    <w:rsid w:val="0071461D"/>
    <w:rsid w:val="0071481E"/>
    <w:rsid w:val="00714D30"/>
    <w:rsid w:val="00714E46"/>
    <w:rsid w:val="00715255"/>
    <w:rsid w:val="00715665"/>
    <w:rsid w:val="0071571D"/>
    <w:rsid w:val="00715742"/>
    <w:rsid w:val="007157E7"/>
    <w:rsid w:val="0071587E"/>
    <w:rsid w:val="00715932"/>
    <w:rsid w:val="00715A21"/>
    <w:rsid w:val="00715BFA"/>
    <w:rsid w:val="00715C45"/>
    <w:rsid w:val="00715FCC"/>
    <w:rsid w:val="0071608A"/>
    <w:rsid w:val="007162F8"/>
    <w:rsid w:val="0071667B"/>
    <w:rsid w:val="00716949"/>
    <w:rsid w:val="0071694F"/>
    <w:rsid w:val="00716AB3"/>
    <w:rsid w:val="00716AD3"/>
    <w:rsid w:val="00716BE8"/>
    <w:rsid w:val="00716CDA"/>
    <w:rsid w:val="00716D8F"/>
    <w:rsid w:val="00716E6D"/>
    <w:rsid w:val="0071720D"/>
    <w:rsid w:val="007174BB"/>
    <w:rsid w:val="007174F6"/>
    <w:rsid w:val="007176FE"/>
    <w:rsid w:val="0071773B"/>
    <w:rsid w:val="00717AC3"/>
    <w:rsid w:val="00717D84"/>
    <w:rsid w:val="00717E51"/>
    <w:rsid w:val="007202D6"/>
    <w:rsid w:val="00720531"/>
    <w:rsid w:val="00720586"/>
    <w:rsid w:val="00720D2A"/>
    <w:rsid w:val="00720DCB"/>
    <w:rsid w:val="00720E21"/>
    <w:rsid w:val="00720FC0"/>
    <w:rsid w:val="00720FF2"/>
    <w:rsid w:val="00720FFB"/>
    <w:rsid w:val="007210A7"/>
    <w:rsid w:val="00721231"/>
    <w:rsid w:val="0072126D"/>
    <w:rsid w:val="0072127C"/>
    <w:rsid w:val="007212A1"/>
    <w:rsid w:val="007212B7"/>
    <w:rsid w:val="007212C1"/>
    <w:rsid w:val="00721307"/>
    <w:rsid w:val="00721310"/>
    <w:rsid w:val="007213C3"/>
    <w:rsid w:val="007214CE"/>
    <w:rsid w:val="0072156D"/>
    <w:rsid w:val="0072160D"/>
    <w:rsid w:val="007216C0"/>
    <w:rsid w:val="00721876"/>
    <w:rsid w:val="007218FD"/>
    <w:rsid w:val="00721C2D"/>
    <w:rsid w:val="00721C5B"/>
    <w:rsid w:val="00721F53"/>
    <w:rsid w:val="007220AB"/>
    <w:rsid w:val="0072227E"/>
    <w:rsid w:val="007222AB"/>
    <w:rsid w:val="00722378"/>
    <w:rsid w:val="007224B1"/>
    <w:rsid w:val="007224B3"/>
    <w:rsid w:val="007225F3"/>
    <w:rsid w:val="00722758"/>
    <w:rsid w:val="00722B1C"/>
    <w:rsid w:val="00722BD9"/>
    <w:rsid w:val="0072307A"/>
    <w:rsid w:val="0072315E"/>
    <w:rsid w:val="0072323C"/>
    <w:rsid w:val="00723305"/>
    <w:rsid w:val="007237E5"/>
    <w:rsid w:val="0072385F"/>
    <w:rsid w:val="007238DB"/>
    <w:rsid w:val="00723ADB"/>
    <w:rsid w:val="00723B58"/>
    <w:rsid w:val="00723CDA"/>
    <w:rsid w:val="00723CF6"/>
    <w:rsid w:val="00723D1A"/>
    <w:rsid w:val="007240FA"/>
    <w:rsid w:val="007241A3"/>
    <w:rsid w:val="0072449F"/>
    <w:rsid w:val="007244DC"/>
    <w:rsid w:val="007245F8"/>
    <w:rsid w:val="00724604"/>
    <w:rsid w:val="0072461B"/>
    <w:rsid w:val="007247D1"/>
    <w:rsid w:val="00724973"/>
    <w:rsid w:val="00724B8C"/>
    <w:rsid w:val="00724C12"/>
    <w:rsid w:val="00724F23"/>
    <w:rsid w:val="0072513B"/>
    <w:rsid w:val="00725286"/>
    <w:rsid w:val="007255A0"/>
    <w:rsid w:val="0072574A"/>
    <w:rsid w:val="00725A76"/>
    <w:rsid w:val="00725C0D"/>
    <w:rsid w:val="00725C36"/>
    <w:rsid w:val="00725E82"/>
    <w:rsid w:val="00725E8D"/>
    <w:rsid w:val="00725F2A"/>
    <w:rsid w:val="007262AE"/>
    <w:rsid w:val="00726325"/>
    <w:rsid w:val="00726383"/>
    <w:rsid w:val="00726397"/>
    <w:rsid w:val="00726705"/>
    <w:rsid w:val="00726957"/>
    <w:rsid w:val="00726B49"/>
    <w:rsid w:val="00726BFA"/>
    <w:rsid w:val="00726FC3"/>
    <w:rsid w:val="00727134"/>
    <w:rsid w:val="00727155"/>
    <w:rsid w:val="00727293"/>
    <w:rsid w:val="007273D0"/>
    <w:rsid w:val="007273E5"/>
    <w:rsid w:val="00727423"/>
    <w:rsid w:val="0072742B"/>
    <w:rsid w:val="00727493"/>
    <w:rsid w:val="00727507"/>
    <w:rsid w:val="007275DB"/>
    <w:rsid w:val="007277E3"/>
    <w:rsid w:val="00727C74"/>
    <w:rsid w:val="00727C7E"/>
    <w:rsid w:val="00727D85"/>
    <w:rsid w:val="00727EC8"/>
    <w:rsid w:val="00727F64"/>
    <w:rsid w:val="00727FB8"/>
    <w:rsid w:val="00730320"/>
    <w:rsid w:val="0073035D"/>
    <w:rsid w:val="007303AD"/>
    <w:rsid w:val="00730556"/>
    <w:rsid w:val="00730565"/>
    <w:rsid w:val="00730919"/>
    <w:rsid w:val="00730973"/>
    <w:rsid w:val="00730A2F"/>
    <w:rsid w:val="00730BAD"/>
    <w:rsid w:val="00730C39"/>
    <w:rsid w:val="00730F46"/>
    <w:rsid w:val="00730F58"/>
    <w:rsid w:val="0073108A"/>
    <w:rsid w:val="00731197"/>
    <w:rsid w:val="0073126B"/>
    <w:rsid w:val="007312A0"/>
    <w:rsid w:val="007313F6"/>
    <w:rsid w:val="00731515"/>
    <w:rsid w:val="00731844"/>
    <w:rsid w:val="00731935"/>
    <w:rsid w:val="007319AA"/>
    <w:rsid w:val="00731AE7"/>
    <w:rsid w:val="00731B9A"/>
    <w:rsid w:val="00731BF8"/>
    <w:rsid w:val="00731C62"/>
    <w:rsid w:val="00731CD9"/>
    <w:rsid w:val="00731D28"/>
    <w:rsid w:val="00731E03"/>
    <w:rsid w:val="00731EBE"/>
    <w:rsid w:val="0073205B"/>
    <w:rsid w:val="007321CE"/>
    <w:rsid w:val="00732204"/>
    <w:rsid w:val="00732228"/>
    <w:rsid w:val="0073239E"/>
    <w:rsid w:val="00732435"/>
    <w:rsid w:val="007324D6"/>
    <w:rsid w:val="007324F6"/>
    <w:rsid w:val="0073250E"/>
    <w:rsid w:val="0073254D"/>
    <w:rsid w:val="007326B8"/>
    <w:rsid w:val="007326FD"/>
    <w:rsid w:val="00732B33"/>
    <w:rsid w:val="00732C35"/>
    <w:rsid w:val="00732CA2"/>
    <w:rsid w:val="00732D94"/>
    <w:rsid w:val="00732F1E"/>
    <w:rsid w:val="00733135"/>
    <w:rsid w:val="007335BC"/>
    <w:rsid w:val="00733620"/>
    <w:rsid w:val="007336FB"/>
    <w:rsid w:val="00733B31"/>
    <w:rsid w:val="00733CBA"/>
    <w:rsid w:val="00733FA1"/>
    <w:rsid w:val="00734174"/>
    <w:rsid w:val="0073428C"/>
    <w:rsid w:val="00734401"/>
    <w:rsid w:val="007344DE"/>
    <w:rsid w:val="00734624"/>
    <w:rsid w:val="00734654"/>
    <w:rsid w:val="00734675"/>
    <w:rsid w:val="0073478E"/>
    <w:rsid w:val="007348DE"/>
    <w:rsid w:val="00734A32"/>
    <w:rsid w:val="00734B16"/>
    <w:rsid w:val="00734BB7"/>
    <w:rsid w:val="00734CD6"/>
    <w:rsid w:val="00734F52"/>
    <w:rsid w:val="0073507C"/>
    <w:rsid w:val="007352A3"/>
    <w:rsid w:val="00735497"/>
    <w:rsid w:val="00735556"/>
    <w:rsid w:val="007355A3"/>
    <w:rsid w:val="007356AC"/>
    <w:rsid w:val="0073581C"/>
    <w:rsid w:val="00735C87"/>
    <w:rsid w:val="00735CF6"/>
    <w:rsid w:val="00735D49"/>
    <w:rsid w:val="00735D91"/>
    <w:rsid w:val="00735E5B"/>
    <w:rsid w:val="00735F8B"/>
    <w:rsid w:val="00736058"/>
    <w:rsid w:val="007360C0"/>
    <w:rsid w:val="00736561"/>
    <w:rsid w:val="007365EA"/>
    <w:rsid w:val="00736695"/>
    <w:rsid w:val="007368BC"/>
    <w:rsid w:val="00736A31"/>
    <w:rsid w:val="00736B9E"/>
    <w:rsid w:val="00736C51"/>
    <w:rsid w:val="00736DDA"/>
    <w:rsid w:val="007373D8"/>
    <w:rsid w:val="0073740A"/>
    <w:rsid w:val="007374E8"/>
    <w:rsid w:val="007375AA"/>
    <w:rsid w:val="00737B19"/>
    <w:rsid w:val="00737CF3"/>
    <w:rsid w:val="00737E07"/>
    <w:rsid w:val="00737EE8"/>
    <w:rsid w:val="00737FE8"/>
    <w:rsid w:val="007400B1"/>
    <w:rsid w:val="007400E7"/>
    <w:rsid w:val="0074021B"/>
    <w:rsid w:val="00740386"/>
    <w:rsid w:val="007403BC"/>
    <w:rsid w:val="00740483"/>
    <w:rsid w:val="007404AC"/>
    <w:rsid w:val="007404C2"/>
    <w:rsid w:val="007404D0"/>
    <w:rsid w:val="00740562"/>
    <w:rsid w:val="007405C1"/>
    <w:rsid w:val="007405C3"/>
    <w:rsid w:val="00740736"/>
    <w:rsid w:val="00740788"/>
    <w:rsid w:val="007408D5"/>
    <w:rsid w:val="00740A32"/>
    <w:rsid w:val="00740A43"/>
    <w:rsid w:val="00740ACF"/>
    <w:rsid w:val="00740AFD"/>
    <w:rsid w:val="00740BF3"/>
    <w:rsid w:val="00740C9E"/>
    <w:rsid w:val="00740D49"/>
    <w:rsid w:val="00740F8C"/>
    <w:rsid w:val="00740F98"/>
    <w:rsid w:val="00740FDA"/>
    <w:rsid w:val="007411BA"/>
    <w:rsid w:val="0074134E"/>
    <w:rsid w:val="0074161D"/>
    <w:rsid w:val="007416F4"/>
    <w:rsid w:val="007418BA"/>
    <w:rsid w:val="00741BE5"/>
    <w:rsid w:val="00741E62"/>
    <w:rsid w:val="007420D1"/>
    <w:rsid w:val="007421E6"/>
    <w:rsid w:val="0074265C"/>
    <w:rsid w:val="0074284B"/>
    <w:rsid w:val="0074286E"/>
    <w:rsid w:val="007428A1"/>
    <w:rsid w:val="00742917"/>
    <w:rsid w:val="00742B51"/>
    <w:rsid w:val="00742D32"/>
    <w:rsid w:val="007430B3"/>
    <w:rsid w:val="00743117"/>
    <w:rsid w:val="00743179"/>
    <w:rsid w:val="0074339C"/>
    <w:rsid w:val="007434FC"/>
    <w:rsid w:val="007437CF"/>
    <w:rsid w:val="00743881"/>
    <w:rsid w:val="00743C69"/>
    <w:rsid w:val="00743CAB"/>
    <w:rsid w:val="00743F06"/>
    <w:rsid w:val="0074436B"/>
    <w:rsid w:val="00744746"/>
    <w:rsid w:val="00744747"/>
    <w:rsid w:val="0074486E"/>
    <w:rsid w:val="00744A51"/>
    <w:rsid w:val="00744E9C"/>
    <w:rsid w:val="00744F4E"/>
    <w:rsid w:val="00745200"/>
    <w:rsid w:val="00745290"/>
    <w:rsid w:val="00745393"/>
    <w:rsid w:val="0074546E"/>
    <w:rsid w:val="007454F8"/>
    <w:rsid w:val="00745654"/>
    <w:rsid w:val="00745943"/>
    <w:rsid w:val="00745986"/>
    <w:rsid w:val="00745B41"/>
    <w:rsid w:val="00745D8F"/>
    <w:rsid w:val="00745DD6"/>
    <w:rsid w:val="00745F68"/>
    <w:rsid w:val="007460C5"/>
    <w:rsid w:val="007460E0"/>
    <w:rsid w:val="00746158"/>
    <w:rsid w:val="007461BA"/>
    <w:rsid w:val="007464E1"/>
    <w:rsid w:val="00746A71"/>
    <w:rsid w:val="00746CC6"/>
    <w:rsid w:val="00746D32"/>
    <w:rsid w:val="00746E7F"/>
    <w:rsid w:val="00746F37"/>
    <w:rsid w:val="00747265"/>
    <w:rsid w:val="00747757"/>
    <w:rsid w:val="007479E4"/>
    <w:rsid w:val="00747B1D"/>
    <w:rsid w:val="00747BCA"/>
    <w:rsid w:val="00747D74"/>
    <w:rsid w:val="00747DCC"/>
    <w:rsid w:val="00750156"/>
    <w:rsid w:val="007501F8"/>
    <w:rsid w:val="007502E6"/>
    <w:rsid w:val="007503B0"/>
    <w:rsid w:val="00750580"/>
    <w:rsid w:val="0075060C"/>
    <w:rsid w:val="007507C2"/>
    <w:rsid w:val="007507ED"/>
    <w:rsid w:val="007508E1"/>
    <w:rsid w:val="0075098D"/>
    <w:rsid w:val="00750AA1"/>
    <w:rsid w:val="00750B42"/>
    <w:rsid w:val="00750B87"/>
    <w:rsid w:val="00750BF3"/>
    <w:rsid w:val="00750CEB"/>
    <w:rsid w:val="00750D9F"/>
    <w:rsid w:val="00750DC8"/>
    <w:rsid w:val="00750ED3"/>
    <w:rsid w:val="007510F5"/>
    <w:rsid w:val="007511C2"/>
    <w:rsid w:val="0075126C"/>
    <w:rsid w:val="00751314"/>
    <w:rsid w:val="007516CB"/>
    <w:rsid w:val="00751937"/>
    <w:rsid w:val="00751B2A"/>
    <w:rsid w:val="00751B75"/>
    <w:rsid w:val="00751F71"/>
    <w:rsid w:val="00751FFF"/>
    <w:rsid w:val="00752132"/>
    <w:rsid w:val="007522DB"/>
    <w:rsid w:val="007523B9"/>
    <w:rsid w:val="007523F9"/>
    <w:rsid w:val="00752430"/>
    <w:rsid w:val="00752489"/>
    <w:rsid w:val="0075266B"/>
    <w:rsid w:val="00752854"/>
    <w:rsid w:val="007528B0"/>
    <w:rsid w:val="00752A05"/>
    <w:rsid w:val="00752B05"/>
    <w:rsid w:val="00752BF0"/>
    <w:rsid w:val="00752BFE"/>
    <w:rsid w:val="00752F68"/>
    <w:rsid w:val="007532CC"/>
    <w:rsid w:val="00753353"/>
    <w:rsid w:val="00753440"/>
    <w:rsid w:val="007534CD"/>
    <w:rsid w:val="00753500"/>
    <w:rsid w:val="00753506"/>
    <w:rsid w:val="00753895"/>
    <w:rsid w:val="00753956"/>
    <w:rsid w:val="00753A7A"/>
    <w:rsid w:val="00753A7E"/>
    <w:rsid w:val="00753AA2"/>
    <w:rsid w:val="00753F8C"/>
    <w:rsid w:val="00753F9F"/>
    <w:rsid w:val="00754744"/>
    <w:rsid w:val="007547A2"/>
    <w:rsid w:val="007547B8"/>
    <w:rsid w:val="00754A8F"/>
    <w:rsid w:val="00754CF2"/>
    <w:rsid w:val="00754D53"/>
    <w:rsid w:val="007552F1"/>
    <w:rsid w:val="00755384"/>
    <w:rsid w:val="00755562"/>
    <w:rsid w:val="0075567E"/>
    <w:rsid w:val="007556AA"/>
    <w:rsid w:val="00755771"/>
    <w:rsid w:val="00755998"/>
    <w:rsid w:val="00755A23"/>
    <w:rsid w:val="00755A2B"/>
    <w:rsid w:val="00755A6A"/>
    <w:rsid w:val="00755AA7"/>
    <w:rsid w:val="00755ACF"/>
    <w:rsid w:val="00755CF0"/>
    <w:rsid w:val="00755D3E"/>
    <w:rsid w:val="00755DBF"/>
    <w:rsid w:val="00755DCB"/>
    <w:rsid w:val="00755E82"/>
    <w:rsid w:val="00755EC5"/>
    <w:rsid w:val="00755F34"/>
    <w:rsid w:val="00756052"/>
    <w:rsid w:val="007562EE"/>
    <w:rsid w:val="00756368"/>
    <w:rsid w:val="007564BC"/>
    <w:rsid w:val="0075659A"/>
    <w:rsid w:val="00756610"/>
    <w:rsid w:val="00756755"/>
    <w:rsid w:val="007568D4"/>
    <w:rsid w:val="0075690B"/>
    <w:rsid w:val="00756A72"/>
    <w:rsid w:val="00756B7F"/>
    <w:rsid w:val="00756B9E"/>
    <w:rsid w:val="00756CC1"/>
    <w:rsid w:val="00756CF5"/>
    <w:rsid w:val="00756F27"/>
    <w:rsid w:val="0075712B"/>
    <w:rsid w:val="00757131"/>
    <w:rsid w:val="007571B2"/>
    <w:rsid w:val="007571BB"/>
    <w:rsid w:val="007574FE"/>
    <w:rsid w:val="007575C7"/>
    <w:rsid w:val="007575CC"/>
    <w:rsid w:val="007575EC"/>
    <w:rsid w:val="007577AF"/>
    <w:rsid w:val="007577CB"/>
    <w:rsid w:val="00757808"/>
    <w:rsid w:val="007579EF"/>
    <w:rsid w:val="00757ED4"/>
    <w:rsid w:val="00760110"/>
    <w:rsid w:val="00760281"/>
    <w:rsid w:val="00760346"/>
    <w:rsid w:val="007603FB"/>
    <w:rsid w:val="0076069B"/>
    <w:rsid w:val="007607AC"/>
    <w:rsid w:val="00760A7A"/>
    <w:rsid w:val="00760C82"/>
    <w:rsid w:val="00760D63"/>
    <w:rsid w:val="0076106B"/>
    <w:rsid w:val="0076128B"/>
    <w:rsid w:val="00761308"/>
    <w:rsid w:val="00761732"/>
    <w:rsid w:val="00761887"/>
    <w:rsid w:val="007618D0"/>
    <w:rsid w:val="007619B0"/>
    <w:rsid w:val="00761AE9"/>
    <w:rsid w:val="00761B9B"/>
    <w:rsid w:val="00761BBC"/>
    <w:rsid w:val="00761CE1"/>
    <w:rsid w:val="00761DB0"/>
    <w:rsid w:val="00761F10"/>
    <w:rsid w:val="0076204E"/>
    <w:rsid w:val="00762149"/>
    <w:rsid w:val="007621AC"/>
    <w:rsid w:val="00762411"/>
    <w:rsid w:val="007625F4"/>
    <w:rsid w:val="007626B7"/>
    <w:rsid w:val="00762840"/>
    <w:rsid w:val="007628AE"/>
    <w:rsid w:val="00762915"/>
    <w:rsid w:val="00762F5E"/>
    <w:rsid w:val="0076306B"/>
    <w:rsid w:val="0076319E"/>
    <w:rsid w:val="007631C8"/>
    <w:rsid w:val="007631E6"/>
    <w:rsid w:val="007634AE"/>
    <w:rsid w:val="0076352A"/>
    <w:rsid w:val="007635BD"/>
    <w:rsid w:val="00763622"/>
    <w:rsid w:val="0076367D"/>
    <w:rsid w:val="00763A90"/>
    <w:rsid w:val="00763B86"/>
    <w:rsid w:val="00763BA8"/>
    <w:rsid w:val="00763D72"/>
    <w:rsid w:val="00763D9D"/>
    <w:rsid w:val="00763FC4"/>
    <w:rsid w:val="0076401B"/>
    <w:rsid w:val="00764074"/>
    <w:rsid w:val="0076408D"/>
    <w:rsid w:val="007643F5"/>
    <w:rsid w:val="00764480"/>
    <w:rsid w:val="007644A1"/>
    <w:rsid w:val="007646BD"/>
    <w:rsid w:val="00764AC9"/>
    <w:rsid w:val="00764C87"/>
    <w:rsid w:val="0076508F"/>
    <w:rsid w:val="0076530F"/>
    <w:rsid w:val="0076536C"/>
    <w:rsid w:val="0076552C"/>
    <w:rsid w:val="0076570D"/>
    <w:rsid w:val="007658C7"/>
    <w:rsid w:val="00765A12"/>
    <w:rsid w:val="00765BAE"/>
    <w:rsid w:val="00765F2A"/>
    <w:rsid w:val="00765FAD"/>
    <w:rsid w:val="00765FF0"/>
    <w:rsid w:val="007664D8"/>
    <w:rsid w:val="00766626"/>
    <w:rsid w:val="007667CC"/>
    <w:rsid w:val="00766999"/>
    <w:rsid w:val="00766AEC"/>
    <w:rsid w:val="00766B25"/>
    <w:rsid w:val="00766BC5"/>
    <w:rsid w:val="00766C47"/>
    <w:rsid w:val="00766C5F"/>
    <w:rsid w:val="00766C62"/>
    <w:rsid w:val="00766E2D"/>
    <w:rsid w:val="00766F36"/>
    <w:rsid w:val="00767015"/>
    <w:rsid w:val="007670A9"/>
    <w:rsid w:val="00767143"/>
    <w:rsid w:val="007672B5"/>
    <w:rsid w:val="007673E4"/>
    <w:rsid w:val="007675E5"/>
    <w:rsid w:val="0076773C"/>
    <w:rsid w:val="00767B78"/>
    <w:rsid w:val="00767D3B"/>
    <w:rsid w:val="00767E48"/>
    <w:rsid w:val="00767EB7"/>
    <w:rsid w:val="00770126"/>
    <w:rsid w:val="00770289"/>
    <w:rsid w:val="007703C7"/>
    <w:rsid w:val="00770722"/>
    <w:rsid w:val="00770841"/>
    <w:rsid w:val="00770DF6"/>
    <w:rsid w:val="00770F43"/>
    <w:rsid w:val="007713F2"/>
    <w:rsid w:val="007713FD"/>
    <w:rsid w:val="0077142D"/>
    <w:rsid w:val="007715F5"/>
    <w:rsid w:val="007719B9"/>
    <w:rsid w:val="00772070"/>
    <w:rsid w:val="0077230B"/>
    <w:rsid w:val="007729EA"/>
    <w:rsid w:val="00772A9A"/>
    <w:rsid w:val="00772F24"/>
    <w:rsid w:val="00773189"/>
    <w:rsid w:val="007731DE"/>
    <w:rsid w:val="007733E0"/>
    <w:rsid w:val="0077378F"/>
    <w:rsid w:val="0077386E"/>
    <w:rsid w:val="0077390F"/>
    <w:rsid w:val="00773916"/>
    <w:rsid w:val="0077391C"/>
    <w:rsid w:val="00773A12"/>
    <w:rsid w:val="00773A87"/>
    <w:rsid w:val="00773B22"/>
    <w:rsid w:val="00773B62"/>
    <w:rsid w:val="00773D7F"/>
    <w:rsid w:val="00773F0D"/>
    <w:rsid w:val="00774005"/>
    <w:rsid w:val="007743B1"/>
    <w:rsid w:val="007743BB"/>
    <w:rsid w:val="0077451D"/>
    <w:rsid w:val="0077481D"/>
    <w:rsid w:val="007748A4"/>
    <w:rsid w:val="007748B0"/>
    <w:rsid w:val="00774A08"/>
    <w:rsid w:val="00774B97"/>
    <w:rsid w:val="00774BF9"/>
    <w:rsid w:val="00774C8F"/>
    <w:rsid w:val="00774E5F"/>
    <w:rsid w:val="00774E73"/>
    <w:rsid w:val="00775175"/>
    <w:rsid w:val="00775480"/>
    <w:rsid w:val="007757C6"/>
    <w:rsid w:val="007757D8"/>
    <w:rsid w:val="00775807"/>
    <w:rsid w:val="00775828"/>
    <w:rsid w:val="007758E5"/>
    <w:rsid w:val="007759BA"/>
    <w:rsid w:val="00775AAA"/>
    <w:rsid w:val="00775EFC"/>
    <w:rsid w:val="00776411"/>
    <w:rsid w:val="00776552"/>
    <w:rsid w:val="007766C4"/>
    <w:rsid w:val="007766D2"/>
    <w:rsid w:val="007767A4"/>
    <w:rsid w:val="007767EE"/>
    <w:rsid w:val="00776B29"/>
    <w:rsid w:val="00776B91"/>
    <w:rsid w:val="00776BCB"/>
    <w:rsid w:val="00776F57"/>
    <w:rsid w:val="00777066"/>
    <w:rsid w:val="0077716B"/>
    <w:rsid w:val="00777184"/>
    <w:rsid w:val="007771FF"/>
    <w:rsid w:val="007772FB"/>
    <w:rsid w:val="0077752C"/>
    <w:rsid w:val="007777C8"/>
    <w:rsid w:val="007778F3"/>
    <w:rsid w:val="00777962"/>
    <w:rsid w:val="00777B4C"/>
    <w:rsid w:val="00777C2E"/>
    <w:rsid w:val="00777DE4"/>
    <w:rsid w:val="00777E6C"/>
    <w:rsid w:val="00777FF7"/>
    <w:rsid w:val="00780022"/>
    <w:rsid w:val="00780092"/>
    <w:rsid w:val="007802CA"/>
    <w:rsid w:val="00780570"/>
    <w:rsid w:val="00780581"/>
    <w:rsid w:val="00780585"/>
    <w:rsid w:val="007805ED"/>
    <w:rsid w:val="0078068D"/>
    <w:rsid w:val="00780856"/>
    <w:rsid w:val="00780AC5"/>
    <w:rsid w:val="00780C6C"/>
    <w:rsid w:val="00781025"/>
    <w:rsid w:val="00781044"/>
    <w:rsid w:val="00781231"/>
    <w:rsid w:val="0078139B"/>
    <w:rsid w:val="00781412"/>
    <w:rsid w:val="007814B0"/>
    <w:rsid w:val="00781587"/>
    <w:rsid w:val="00781617"/>
    <w:rsid w:val="0078165D"/>
    <w:rsid w:val="0078167C"/>
    <w:rsid w:val="00781757"/>
    <w:rsid w:val="0078175A"/>
    <w:rsid w:val="00781B02"/>
    <w:rsid w:val="00781CA3"/>
    <w:rsid w:val="00781FD4"/>
    <w:rsid w:val="00782364"/>
    <w:rsid w:val="00782749"/>
    <w:rsid w:val="007828B2"/>
    <w:rsid w:val="00782A2B"/>
    <w:rsid w:val="00782A74"/>
    <w:rsid w:val="00782A9A"/>
    <w:rsid w:val="00782B96"/>
    <w:rsid w:val="00782B9A"/>
    <w:rsid w:val="00782BA4"/>
    <w:rsid w:val="00782D0D"/>
    <w:rsid w:val="00782E16"/>
    <w:rsid w:val="00782E85"/>
    <w:rsid w:val="00782EE3"/>
    <w:rsid w:val="00783078"/>
    <w:rsid w:val="0078339F"/>
    <w:rsid w:val="00783570"/>
    <w:rsid w:val="00783605"/>
    <w:rsid w:val="007838F2"/>
    <w:rsid w:val="00783936"/>
    <w:rsid w:val="00783CE4"/>
    <w:rsid w:val="00783D0F"/>
    <w:rsid w:val="00783DCA"/>
    <w:rsid w:val="00783EB1"/>
    <w:rsid w:val="00783FB8"/>
    <w:rsid w:val="00784426"/>
    <w:rsid w:val="00784466"/>
    <w:rsid w:val="0078449F"/>
    <w:rsid w:val="00784668"/>
    <w:rsid w:val="00784925"/>
    <w:rsid w:val="00784B3B"/>
    <w:rsid w:val="00784B9C"/>
    <w:rsid w:val="00784CCD"/>
    <w:rsid w:val="00784DA2"/>
    <w:rsid w:val="00784DDE"/>
    <w:rsid w:val="00784DE4"/>
    <w:rsid w:val="00784F6C"/>
    <w:rsid w:val="00785017"/>
    <w:rsid w:val="007850DA"/>
    <w:rsid w:val="00785267"/>
    <w:rsid w:val="0078547B"/>
    <w:rsid w:val="00785712"/>
    <w:rsid w:val="007858BC"/>
    <w:rsid w:val="00785900"/>
    <w:rsid w:val="00785E99"/>
    <w:rsid w:val="00786015"/>
    <w:rsid w:val="00786053"/>
    <w:rsid w:val="00786262"/>
    <w:rsid w:val="0078636F"/>
    <w:rsid w:val="0078688A"/>
    <w:rsid w:val="00786A88"/>
    <w:rsid w:val="00786B48"/>
    <w:rsid w:val="00786C98"/>
    <w:rsid w:val="007872A3"/>
    <w:rsid w:val="00787306"/>
    <w:rsid w:val="00787395"/>
    <w:rsid w:val="0078786F"/>
    <w:rsid w:val="00787930"/>
    <w:rsid w:val="00787E4F"/>
    <w:rsid w:val="00787E76"/>
    <w:rsid w:val="00787ECF"/>
    <w:rsid w:val="00790288"/>
    <w:rsid w:val="007902CF"/>
    <w:rsid w:val="00790309"/>
    <w:rsid w:val="0079046D"/>
    <w:rsid w:val="00790646"/>
    <w:rsid w:val="00790687"/>
    <w:rsid w:val="00790875"/>
    <w:rsid w:val="0079092D"/>
    <w:rsid w:val="00790AB7"/>
    <w:rsid w:val="00790C69"/>
    <w:rsid w:val="00790CA1"/>
    <w:rsid w:val="00790D15"/>
    <w:rsid w:val="00790E13"/>
    <w:rsid w:val="00790F17"/>
    <w:rsid w:val="007910B5"/>
    <w:rsid w:val="00791275"/>
    <w:rsid w:val="007913ED"/>
    <w:rsid w:val="00791439"/>
    <w:rsid w:val="00791494"/>
    <w:rsid w:val="007916E3"/>
    <w:rsid w:val="007917FA"/>
    <w:rsid w:val="007918F4"/>
    <w:rsid w:val="00791D81"/>
    <w:rsid w:val="00791FD6"/>
    <w:rsid w:val="00792074"/>
    <w:rsid w:val="007920E3"/>
    <w:rsid w:val="00792196"/>
    <w:rsid w:val="007922C0"/>
    <w:rsid w:val="007923AB"/>
    <w:rsid w:val="0079243B"/>
    <w:rsid w:val="00792871"/>
    <w:rsid w:val="00792BA3"/>
    <w:rsid w:val="00792C08"/>
    <w:rsid w:val="00792D84"/>
    <w:rsid w:val="00792EEF"/>
    <w:rsid w:val="00792F0C"/>
    <w:rsid w:val="00792F1D"/>
    <w:rsid w:val="0079306F"/>
    <w:rsid w:val="00793256"/>
    <w:rsid w:val="0079325F"/>
    <w:rsid w:val="0079327F"/>
    <w:rsid w:val="00793397"/>
    <w:rsid w:val="007934B7"/>
    <w:rsid w:val="00793620"/>
    <w:rsid w:val="007936CA"/>
    <w:rsid w:val="007936F0"/>
    <w:rsid w:val="00793898"/>
    <w:rsid w:val="00793919"/>
    <w:rsid w:val="0079398B"/>
    <w:rsid w:val="00793A03"/>
    <w:rsid w:val="00793AA3"/>
    <w:rsid w:val="00794038"/>
    <w:rsid w:val="007945B4"/>
    <w:rsid w:val="00794604"/>
    <w:rsid w:val="00794700"/>
    <w:rsid w:val="00794830"/>
    <w:rsid w:val="007948FB"/>
    <w:rsid w:val="00794957"/>
    <w:rsid w:val="00794A84"/>
    <w:rsid w:val="00794BAC"/>
    <w:rsid w:val="00794CFA"/>
    <w:rsid w:val="00794E84"/>
    <w:rsid w:val="00794F11"/>
    <w:rsid w:val="00794F21"/>
    <w:rsid w:val="0079531F"/>
    <w:rsid w:val="00795436"/>
    <w:rsid w:val="00795727"/>
    <w:rsid w:val="007957F8"/>
    <w:rsid w:val="007959DB"/>
    <w:rsid w:val="00795A1E"/>
    <w:rsid w:val="00795A81"/>
    <w:rsid w:val="00795A8A"/>
    <w:rsid w:val="00795B26"/>
    <w:rsid w:val="00795FAF"/>
    <w:rsid w:val="00796055"/>
    <w:rsid w:val="0079608E"/>
    <w:rsid w:val="00796115"/>
    <w:rsid w:val="00796176"/>
    <w:rsid w:val="0079669E"/>
    <w:rsid w:val="00796745"/>
    <w:rsid w:val="00796818"/>
    <w:rsid w:val="00796AB3"/>
    <w:rsid w:val="00796B7C"/>
    <w:rsid w:val="00796BAF"/>
    <w:rsid w:val="00796BB9"/>
    <w:rsid w:val="00796E59"/>
    <w:rsid w:val="00796EDD"/>
    <w:rsid w:val="00796F15"/>
    <w:rsid w:val="00797252"/>
    <w:rsid w:val="00797286"/>
    <w:rsid w:val="0079737E"/>
    <w:rsid w:val="00797389"/>
    <w:rsid w:val="00797624"/>
    <w:rsid w:val="007977C6"/>
    <w:rsid w:val="00797BD3"/>
    <w:rsid w:val="00797C83"/>
    <w:rsid w:val="00797CC4"/>
    <w:rsid w:val="00797E1B"/>
    <w:rsid w:val="007A01AF"/>
    <w:rsid w:val="007A0241"/>
    <w:rsid w:val="007A02FA"/>
    <w:rsid w:val="007A0472"/>
    <w:rsid w:val="007A04CA"/>
    <w:rsid w:val="007A0767"/>
    <w:rsid w:val="007A07CA"/>
    <w:rsid w:val="007A0A91"/>
    <w:rsid w:val="007A0BA8"/>
    <w:rsid w:val="007A0C67"/>
    <w:rsid w:val="007A1390"/>
    <w:rsid w:val="007A1407"/>
    <w:rsid w:val="007A16C8"/>
    <w:rsid w:val="007A1706"/>
    <w:rsid w:val="007A197C"/>
    <w:rsid w:val="007A1C2A"/>
    <w:rsid w:val="007A1E72"/>
    <w:rsid w:val="007A255E"/>
    <w:rsid w:val="007A256B"/>
    <w:rsid w:val="007A2629"/>
    <w:rsid w:val="007A2697"/>
    <w:rsid w:val="007A2720"/>
    <w:rsid w:val="007A27D7"/>
    <w:rsid w:val="007A2ADC"/>
    <w:rsid w:val="007A2D5B"/>
    <w:rsid w:val="007A2F57"/>
    <w:rsid w:val="007A3085"/>
    <w:rsid w:val="007A3096"/>
    <w:rsid w:val="007A3537"/>
    <w:rsid w:val="007A3636"/>
    <w:rsid w:val="007A373E"/>
    <w:rsid w:val="007A3781"/>
    <w:rsid w:val="007A38A7"/>
    <w:rsid w:val="007A3916"/>
    <w:rsid w:val="007A3974"/>
    <w:rsid w:val="007A39EE"/>
    <w:rsid w:val="007A3A60"/>
    <w:rsid w:val="007A3C21"/>
    <w:rsid w:val="007A3CCF"/>
    <w:rsid w:val="007A3E58"/>
    <w:rsid w:val="007A3E75"/>
    <w:rsid w:val="007A3EA6"/>
    <w:rsid w:val="007A3EE2"/>
    <w:rsid w:val="007A4048"/>
    <w:rsid w:val="007A42B7"/>
    <w:rsid w:val="007A438B"/>
    <w:rsid w:val="007A4449"/>
    <w:rsid w:val="007A4861"/>
    <w:rsid w:val="007A4AAF"/>
    <w:rsid w:val="007A4E51"/>
    <w:rsid w:val="007A4F18"/>
    <w:rsid w:val="007A51B2"/>
    <w:rsid w:val="007A5215"/>
    <w:rsid w:val="007A52B8"/>
    <w:rsid w:val="007A538F"/>
    <w:rsid w:val="007A53F6"/>
    <w:rsid w:val="007A5439"/>
    <w:rsid w:val="007A55F8"/>
    <w:rsid w:val="007A56C7"/>
    <w:rsid w:val="007A56D5"/>
    <w:rsid w:val="007A592D"/>
    <w:rsid w:val="007A5938"/>
    <w:rsid w:val="007A5992"/>
    <w:rsid w:val="007A5998"/>
    <w:rsid w:val="007A59B5"/>
    <w:rsid w:val="007A59F5"/>
    <w:rsid w:val="007A5ABD"/>
    <w:rsid w:val="007A5B00"/>
    <w:rsid w:val="007A5B92"/>
    <w:rsid w:val="007A5CC1"/>
    <w:rsid w:val="007A5F03"/>
    <w:rsid w:val="007A6374"/>
    <w:rsid w:val="007A655A"/>
    <w:rsid w:val="007A66BC"/>
    <w:rsid w:val="007A67B9"/>
    <w:rsid w:val="007A6850"/>
    <w:rsid w:val="007A699D"/>
    <w:rsid w:val="007A69AB"/>
    <w:rsid w:val="007A6C5D"/>
    <w:rsid w:val="007A6CAA"/>
    <w:rsid w:val="007A6E8B"/>
    <w:rsid w:val="007A7052"/>
    <w:rsid w:val="007A74B0"/>
    <w:rsid w:val="007A7601"/>
    <w:rsid w:val="007A7635"/>
    <w:rsid w:val="007A7694"/>
    <w:rsid w:val="007A7756"/>
    <w:rsid w:val="007A783D"/>
    <w:rsid w:val="007A794E"/>
    <w:rsid w:val="007A7C60"/>
    <w:rsid w:val="007A7EF7"/>
    <w:rsid w:val="007B056E"/>
    <w:rsid w:val="007B0608"/>
    <w:rsid w:val="007B0735"/>
    <w:rsid w:val="007B075D"/>
    <w:rsid w:val="007B0784"/>
    <w:rsid w:val="007B07AB"/>
    <w:rsid w:val="007B08F4"/>
    <w:rsid w:val="007B09CB"/>
    <w:rsid w:val="007B0A93"/>
    <w:rsid w:val="007B0B72"/>
    <w:rsid w:val="007B0DDD"/>
    <w:rsid w:val="007B0E07"/>
    <w:rsid w:val="007B0ECE"/>
    <w:rsid w:val="007B0F70"/>
    <w:rsid w:val="007B0FEE"/>
    <w:rsid w:val="007B10BC"/>
    <w:rsid w:val="007B1319"/>
    <w:rsid w:val="007B1870"/>
    <w:rsid w:val="007B1893"/>
    <w:rsid w:val="007B1949"/>
    <w:rsid w:val="007B1A49"/>
    <w:rsid w:val="007B1BBA"/>
    <w:rsid w:val="007B2110"/>
    <w:rsid w:val="007B2310"/>
    <w:rsid w:val="007B2445"/>
    <w:rsid w:val="007B249B"/>
    <w:rsid w:val="007B251C"/>
    <w:rsid w:val="007B2A0B"/>
    <w:rsid w:val="007B2AF2"/>
    <w:rsid w:val="007B2BE0"/>
    <w:rsid w:val="007B2C1D"/>
    <w:rsid w:val="007B2C50"/>
    <w:rsid w:val="007B2FC5"/>
    <w:rsid w:val="007B3120"/>
    <w:rsid w:val="007B34F2"/>
    <w:rsid w:val="007B3578"/>
    <w:rsid w:val="007B3C8D"/>
    <w:rsid w:val="007B3E4C"/>
    <w:rsid w:val="007B3FD9"/>
    <w:rsid w:val="007B4180"/>
    <w:rsid w:val="007B425D"/>
    <w:rsid w:val="007B43A9"/>
    <w:rsid w:val="007B43D0"/>
    <w:rsid w:val="007B43D6"/>
    <w:rsid w:val="007B4584"/>
    <w:rsid w:val="007B45D7"/>
    <w:rsid w:val="007B468A"/>
    <w:rsid w:val="007B47FA"/>
    <w:rsid w:val="007B4847"/>
    <w:rsid w:val="007B485D"/>
    <w:rsid w:val="007B4B46"/>
    <w:rsid w:val="007B4B4E"/>
    <w:rsid w:val="007B4D53"/>
    <w:rsid w:val="007B4DAA"/>
    <w:rsid w:val="007B4E0D"/>
    <w:rsid w:val="007B4E9B"/>
    <w:rsid w:val="007B50A2"/>
    <w:rsid w:val="007B510A"/>
    <w:rsid w:val="007B51F7"/>
    <w:rsid w:val="007B5348"/>
    <w:rsid w:val="007B54FF"/>
    <w:rsid w:val="007B5609"/>
    <w:rsid w:val="007B5A72"/>
    <w:rsid w:val="007B5C94"/>
    <w:rsid w:val="007B6041"/>
    <w:rsid w:val="007B61A7"/>
    <w:rsid w:val="007B637A"/>
    <w:rsid w:val="007B6462"/>
    <w:rsid w:val="007B68DB"/>
    <w:rsid w:val="007B6A41"/>
    <w:rsid w:val="007B6AD3"/>
    <w:rsid w:val="007B6C18"/>
    <w:rsid w:val="007B6DAB"/>
    <w:rsid w:val="007B6F54"/>
    <w:rsid w:val="007B6FC2"/>
    <w:rsid w:val="007B734F"/>
    <w:rsid w:val="007B746D"/>
    <w:rsid w:val="007B7565"/>
    <w:rsid w:val="007B762C"/>
    <w:rsid w:val="007B763F"/>
    <w:rsid w:val="007B767D"/>
    <w:rsid w:val="007B773D"/>
    <w:rsid w:val="007B7831"/>
    <w:rsid w:val="007B79EF"/>
    <w:rsid w:val="007B79F9"/>
    <w:rsid w:val="007B7A09"/>
    <w:rsid w:val="007B7A28"/>
    <w:rsid w:val="007B7C65"/>
    <w:rsid w:val="007B7F9E"/>
    <w:rsid w:val="007B7FDC"/>
    <w:rsid w:val="007B7FE6"/>
    <w:rsid w:val="007B7FFC"/>
    <w:rsid w:val="007C002F"/>
    <w:rsid w:val="007C00F8"/>
    <w:rsid w:val="007C02B9"/>
    <w:rsid w:val="007C03B0"/>
    <w:rsid w:val="007C0513"/>
    <w:rsid w:val="007C061E"/>
    <w:rsid w:val="007C074D"/>
    <w:rsid w:val="007C089F"/>
    <w:rsid w:val="007C09CC"/>
    <w:rsid w:val="007C0AD4"/>
    <w:rsid w:val="007C0B0C"/>
    <w:rsid w:val="007C0BE2"/>
    <w:rsid w:val="007C0C64"/>
    <w:rsid w:val="007C0D9A"/>
    <w:rsid w:val="007C11DC"/>
    <w:rsid w:val="007C12F0"/>
    <w:rsid w:val="007C1385"/>
    <w:rsid w:val="007C13A5"/>
    <w:rsid w:val="007C14B3"/>
    <w:rsid w:val="007C1586"/>
    <w:rsid w:val="007C15CD"/>
    <w:rsid w:val="007C182F"/>
    <w:rsid w:val="007C1E55"/>
    <w:rsid w:val="007C20FA"/>
    <w:rsid w:val="007C211F"/>
    <w:rsid w:val="007C21DA"/>
    <w:rsid w:val="007C2602"/>
    <w:rsid w:val="007C2710"/>
    <w:rsid w:val="007C2A06"/>
    <w:rsid w:val="007C2B30"/>
    <w:rsid w:val="007C2C21"/>
    <w:rsid w:val="007C2DC2"/>
    <w:rsid w:val="007C2DD6"/>
    <w:rsid w:val="007C2E8C"/>
    <w:rsid w:val="007C2F15"/>
    <w:rsid w:val="007C2F3C"/>
    <w:rsid w:val="007C3185"/>
    <w:rsid w:val="007C31C1"/>
    <w:rsid w:val="007C3387"/>
    <w:rsid w:val="007C34D4"/>
    <w:rsid w:val="007C34DA"/>
    <w:rsid w:val="007C364C"/>
    <w:rsid w:val="007C3658"/>
    <w:rsid w:val="007C391E"/>
    <w:rsid w:val="007C3D18"/>
    <w:rsid w:val="007C3DA0"/>
    <w:rsid w:val="007C40B5"/>
    <w:rsid w:val="007C4159"/>
    <w:rsid w:val="007C4184"/>
    <w:rsid w:val="007C4197"/>
    <w:rsid w:val="007C445C"/>
    <w:rsid w:val="007C44B5"/>
    <w:rsid w:val="007C4534"/>
    <w:rsid w:val="007C4660"/>
    <w:rsid w:val="007C47F5"/>
    <w:rsid w:val="007C4AD3"/>
    <w:rsid w:val="007C4B95"/>
    <w:rsid w:val="007C4BDD"/>
    <w:rsid w:val="007C4BF3"/>
    <w:rsid w:val="007C4C33"/>
    <w:rsid w:val="007C4CE5"/>
    <w:rsid w:val="007C4D1A"/>
    <w:rsid w:val="007C4F48"/>
    <w:rsid w:val="007C5373"/>
    <w:rsid w:val="007C5535"/>
    <w:rsid w:val="007C5548"/>
    <w:rsid w:val="007C5590"/>
    <w:rsid w:val="007C563E"/>
    <w:rsid w:val="007C5658"/>
    <w:rsid w:val="007C583B"/>
    <w:rsid w:val="007C58CD"/>
    <w:rsid w:val="007C5B28"/>
    <w:rsid w:val="007C5D06"/>
    <w:rsid w:val="007C5FC6"/>
    <w:rsid w:val="007C61DB"/>
    <w:rsid w:val="007C647E"/>
    <w:rsid w:val="007C6A36"/>
    <w:rsid w:val="007C6AD2"/>
    <w:rsid w:val="007C6D68"/>
    <w:rsid w:val="007C6DF5"/>
    <w:rsid w:val="007C6E4A"/>
    <w:rsid w:val="007C6ECB"/>
    <w:rsid w:val="007C6F57"/>
    <w:rsid w:val="007C6FFF"/>
    <w:rsid w:val="007C72E2"/>
    <w:rsid w:val="007C753A"/>
    <w:rsid w:val="007C770C"/>
    <w:rsid w:val="007C77F5"/>
    <w:rsid w:val="007C7901"/>
    <w:rsid w:val="007C7ADB"/>
    <w:rsid w:val="007C7CA0"/>
    <w:rsid w:val="007C7FB2"/>
    <w:rsid w:val="007D0113"/>
    <w:rsid w:val="007D0337"/>
    <w:rsid w:val="007D03B6"/>
    <w:rsid w:val="007D03CF"/>
    <w:rsid w:val="007D0461"/>
    <w:rsid w:val="007D05B7"/>
    <w:rsid w:val="007D0641"/>
    <w:rsid w:val="007D07D4"/>
    <w:rsid w:val="007D087C"/>
    <w:rsid w:val="007D0B14"/>
    <w:rsid w:val="007D0B21"/>
    <w:rsid w:val="007D0BA7"/>
    <w:rsid w:val="007D0C6D"/>
    <w:rsid w:val="007D0DEA"/>
    <w:rsid w:val="007D10BD"/>
    <w:rsid w:val="007D117B"/>
    <w:rsid w:val="007D13DD"/>
    <w:rsid w:val="007D1435"/>
    <w:rsid w:val="007D18EC"/>
    <w:rsid w:val="007D1947"/>
    <w:rsid w:val="007D1B63"/>
    <w:rsid w:val="007D1B79"/>
    <w:rsid w:val="007D1ED1"/>
    <w:rsid w:val="007D2009"/>
    <w:rsid w:val="007D203D"/>
    <w:rsid w:val="007D207C"/>
    <w:rsid w:val="007D20FD"/>
    <w:rsid w:val="007D234F"/>
    <w:rsid w:val="007D23D5"/>
    <w:rsid w:val="007D254F"/>
    <w:rsid w:val="007D2581"/>
    <w:rsid w:val="007D25C7"/>
    <w:rsid w:val="007D2778"/>
    <w:rsid w:val="007D293F"/>
    <w:rsid w:val="007D2B11"/>
    <w:rsid w:val="007D2D4E"/>
    <w:rsid w:val="007D2E3C"/>
    <w:rsid w:val="007D3165"/>
    <w:rsid w:val="007D32D1"/>
    <w:rsid w:val="007D331A"/>
    <w:rsid w:val="007D33AD"/>
    <w:rsid w:val="007D37F1"/>
    <w:rsid w:val="007D3A2E"/>
    <w:rsid w:val="007D3B63"/>
    <w:rsid w:val="007D3CFF"/>
    <w:rsid w:val="007D3EB3"/>
    <w:rsid w:val="007D3F0D"/>
    <w:rsid w:val="007D3F96"/>
    <w:rsid w:val="007D3FFB"/>
    <w:rsid w:val="007D4434"/>
    <w:rsid w:val="007D44C7"/>
    <w:rsid w:val="007D45CA"/>
    <w:rsid w:val="007D45D2"/>
    <w:rsid w:val="007D46DF"/>
    <w:rsid w:val="007D494B"/>
    <w:rsid w:val="007D4ABD"/>
    <w:rsid w:val="007D4B0B"/>
    <w:rsid w:val="007D4CF4"/>
    <w:rsid w:val="007D4F45"/>
    <w:rsid w:val="007D5113"/>
    <w:rsid w:val="007D525A"/>
    <w:rsid w:val="007D5813"/>
    <w:rsid w:val="007D5E2A"/>
    <w:rsid w:val="007D5FA4"/>
    <w:rsid w:val="007D5FC8"/>
    <w:rsid w:val="007D6241"/>
    <w:rsid w:val="007D62FD"/>
    <w:rsid w:val="007D6346"/>
    <w:rsid w:val="007D6456"/>
    <w:rsid w:val="007D6630"/>
    <w:rsid w:val="007D6644"/>
    <w:rsid w:val="007D665E"/>
    <w:rsid w:val="007D6872"/>
    <w:rsid w:val="007D6884"/>
    <w:rsid w:val="007D68FF"/>
    <w:rsid w:val="007D718F"/>
    <w:rsid w:val="007D7217"/>
    <w:rsid w:val="007D7240"/>
    <w:rsid w:val="007D7455"/>
    <w:rsid w:val="007D75E7"/>
    <w:rsid w:val="007D77CA"/>
    <w:rsid w:val="007D7945"/>
    <w:rsid w:val="007D7A8F"/>
    <w:rsid w:val="007D7BB8"/>
    <w:rsid w:val="007D7C49"/>
    <w:rsid w:val="007D7C4B"/>
    <w:rsid w:val="007D7CFF"/>
    <w:rsid w:val="007D7E91"/>
    <w:rsid w:val="007D7EB2"/>
    <w:rsid w:val="007D7FF9"/>
    <w:rsid w:val="007E01F1"/>
    <w:rsid w:val="007E0259"/>
    <w:rsid w:val="007E03C9"/>
    <w:rsid w:val="007E068E"/>
    <w:rsid w:val="007E0826"/>
    <w:rsid w:val="007E0963"/>
    <w:rsid w:val="007E0ABC"/>
    <w:rsid w:val="007E0C49"/>
    <w:rsid w:val="007E0E22"/>
    <w:rsid w:val="007E1042"/>
    <w:rsid w:val="007E112C"/>
    <w:rsid w:val="007E1172"/>
    <w:rsid w:val="007E13AC"/>
    <w:rsid w:val="007E14F9"/>
    <w:rsid w:val="007E17B7"/>
    <w:rsid w:val="007E1915"/>
    <w:rsid w:val="007E1A1A"/>
    <w:rsid w:val="007E1A38"/>
    <w:rsid w:val="007E1CB8"/>
    <w:rsid w:val="007E1D89"/>
    <w:rsid w:val="007E1DCB"/>
    <w:rsid w:val="007E1E78"/>
    <w:rsid w:val="007E211D"/>
    <w:rsid w:val="007E2183"/>
    <w:rsid w:val="007E21A0"/>
    <w:rsid w:val="007E2436"/>
    <w:rsid w:val="007E25DE"/>
    <w:rsid w:val="007E2623"/>
    <w:rsid w:val="007E2787"/>
    <w:rsid w:val="007E2BC4"/>
    <w:rsid w:val="007E2D51"/>
    <w:rsid w:val="007E2E4A"/>
    <w:rsid w:val="007E2EB2"/>
    <w:rsid w:val="007E2F8F"/>
    <w:rsid w:val="007E33C9"/>
    <w:rsid w:val="007E33E1"/>
    <w:rsid w:val="007E340D"/>
    <w:rsid w:val="007E34A6"/>
    <w:rsid w:val="007E388E"/>
    <w:rsid w:val="007E38CF"/>
    <w:rsid w:val="007E3964"/>
    <w:rsid w:val="007E3A7A"/>
    <w:rsid w:val="007E3C46"/>
    <w:rsid w:val="007E3D4D"/>
    <w:rsid w:val="007E3DF8"/>
    <w:rsid w:val="007E3EEF"/>
    <w:rsid w:val="007E3F2B"/>
    <w:rsid w:val="007E404E"/>
    <w:rsid w:val="007E446D"/>
    <w:rsid w:val="007E455A"/>
    <w:rsid w:val="007E4720"/>
    <w:rsid w:val="007E4973"/>
    <w:rsid w:val="007E4B91"/>
    <w:rsid w:val="007E4BB8"/>
    <w:rsid w:val="007E4C58"/>
    <w:rsid w:val="007E4DD8"/>
    <w:rsid w:val="007E4E43"/>
    <w:rsid w:val="007E4E70"/>
    <w:rsid w:val="007E50A9"/>
    <w:rsid w:val="007E514E"/>
    <w:rsid w:val="007E5202"/>
    <w:rsid w:val="007E5354"/>
    <w:rsid w:val="007E53CB"/>
    <w:rsid w:val="007E5415"/>
    <w:rsid w:val="007E5815"/>
    <w:rsid w:val="007E5993"/>
    <w:rsid w:val="007E5DA0"/>
    <w:rsid w:val="007E5EC4"/>
    <w:rsid w:val="007E5F71"/>
    <w:rsid w:val="007E60A5"/>
    <w:rsid w:val="007E6104"/>
    <w:rsid w:val="007E6119"/>
    <w:rsid w:val="007E611D"/>
    <w:rsid w:val="007E6129"/>
    <w:rsid w:val="007E6226"/>
    <w:rsid w:val="007E62B4"/>
    <w:rsid w:val="007E6422"/>
    <w:rsid w:val="007E6512"/>
    <w:rsid w:val="007E65E7"/>
    <w:rsid w:val="007E6642"/>
    <w:rsid w:val="007E67C5"/>
    <w:rsid w:val="007E6829"/>
    <w:rsid w:val="007E68A5"/>
    <w:rsid w:val="007E696C"/>
    <w:rsid w:val="007E69FC"/>
    <w:rsid w:val="007E6B4A"/>
    <w:rsid w:val="007E6F2B"/>
    <w:rsid w:val="007E6FB4"/>
    <w:rsid w:val="007E707D"/>
    <w:rsid w:val="007E7179"/>
    <w:rsid w:val="007E726D"/>
    <w:rsid w:val="007E7296"/>
    <w:rsid w:val="007E73B5"/>
    <w:rsid w:val="007E747D"/>
    <w:rsid w:val="007E76FF"/>
    <w:rsid w:val="007E7880"/>
    <w:rsid w:val="007E7A75"/>
    <w:rsid w:val="007E7ABE"/>
    <w:rsid w:val="007E7DA0"/>
    <w:rsid w:val="007E7F19"/>
    <w:rsid w:val="007F004C"/>
    <w:rsid w:val="007F00DC"/>
    <w:rsid w:val="007F02B6"/>
    <w:rsid w:val="007F0546"/>
    <w:rsid w:val="007F057B"/>
    <w:rsid w:val="007F066D"/>
    <w:rsid w:val="007F0A8F"/>
    <w:rsid w:val="007F0D19"/>
    <w:rsid w:val="007F0E30"/>
    <w:rsid w:val="007F0E57"/>
    <w:rsid w:val="007F0EF1"/>
    <w:rsid w:val="007F104B"/>
    <w:rsid w:val="007F110C"/>
    <w:rsid w:val="007F1321"/>
    <w:rsid w:val="007F13FB"/>
    <w:rsid w:val="007F1551"/>
    <w:rsid w:val="007F16D5"/>
    <w:rsid w:val="007F16E1"/>
    <w:rsid w:val="007F1878"/>
    <w:rsid w:val="007F19C4"/>
    <w:rsid w:val="007F1BA0"/>
    <w:rsid w:val="007F1D0B"/>
    <w:rsid w:val="007F1D4C"/>
    <w:rsid w:val="007F1FFC"/>
    <w:rsid w:val="007F20BE"/>
    <w:rsid w:val="007F23BD"/>
    <w:rsid w:val="007F23CB"/>
    <w:rsid w:val="007F244A"/>
    <w:rsid w:val="007F2547"/>
    <w:rsid w:val="007F2599"/>
    <w:rsid w:val="007F25F9"/>
    <w:rsid w:val="007F2772"/>
    <w:rsid w:val="007F2935"/>
    <w:rsid w:val="007F2955"/>
    <w:rsid w:val="007F2E72"/>
    <w:rsid w:val="007F3211"/>
    <w:rsid w:val="007F32F6"/>
    <w:rsid w:val="007F3320"/>
    <w:rsid w:val="007F34BB"/>
    <w:rsid w:val="007F3543"/>
    <w:rsid w:val="007F36BA"/>
    <w:rsid w:val="007F370E"/>
    <w:rsid w:val="007F376F"/>
    <w:rsid w:val="007F39ED"/>
    <w:rsid w:val="007F3A15"/>
    <w:rsid w:val="007F3A51"/>
    <w:rsid w:val="007F3D26"/>
    <w:rsid w:val="007F3E2D"/>
    <w:rsid w:val="007F3EAD"/>
    <w:rsid w:val="007F4135"/>
    <w:rsid w:val="007F467C"/>
    <w:rsid w:val="007F49DB"/>
    <w:rsid w:val="007F4D31"/>
    <w:rsid w:val="007F4F88"/>
    <w:rsid w:val="007F4FB8"/>
    <w:rsid w:val="007F5000"/>
    <w:rsid w:val="007F502D"/>
    <w:rsid w:val="007F52EF"/>
    <w:rsid w:val="007F58B4"/>
    <w:rsid w:val="007F5946"/>
    <w:rsid w:val="007F5A04"/>
    <w:rsid w:val="007F5CED"/>
    <w:rsid w:val="007F5DD3"/>
    <w:rsid w:val="007F659C"/>
    <w:rsid w:val="007F6637"/>
    <w:rsid w:val="007F6681"/>
    <w:rsid w:val="007F6805"/>
    <w:rsid w:val="007F6809"/>
    <w:rsid w:val="007F687E"/>
    <w:rsid w:val="007F68C7"/>
    <w:rsid w:val="007F6911"/>
    <w:rsid w:val="007F6A7B"/>
    <w:rsid w:val="007F6ADC"/>
    <w:rsid w:val="007F6B4D"/>
    <w:rsid w:val="007F6B6D"/>
    <w:rsid w:val="007F6D69"/>
    <w:rsid w:val="007F6EB1"/>
    <w:rsid w:val="007F6F8A"/>
    <w:rsid w:val="007F7568"/>
    <w:rsid w:val="007F757D"/>
    <w:rsid w:val="007F7683"/>
    <w:rsid w:val="007F7759"/>
    <w:rsid w:val="007F7843"/>
    <w:rsid w:val="007F7B12"/>
    <w:rsid w:val="007F7B1C"/>
    <w:rsid w:val="007F7E8B"/>
    <w:rsid w:val="007F7ECF"/>
    <w:rsid w:val="007F7F32"/>
    <w:rsid w:val="007F7F89"/>
    <w:rsid w:val="00800195"/>
    <w:rsid w:val="0080041D"/>
    <w:rsid w:val="00800487"/>
    <w:rsid w:val="008004FF"/>
    <w:rsid w:val="0080059D"/>
    <w:rsid w:val="008005C6"/>
    <w:rsid w:val="00800A36"/>
    <w:rsid w:val="0080102C"/>
    <w:rsid w:val="008013BC"/>
    <w:rsid w:val="0080153E"/>
    <w:rsid w:val="00801B48"/>
    <w:rsid w:val="00801BF0"/>
    <w:rsid w:val="00801E3F"/>
    <w:rsid w:val="0080218E"/>
    <w:rsid w:val="008022E9"/>
    <w:rsid w:val="008023E0"/>
    <w:rsid w:val="0080247A"/>
    <w:rsid w:val="0080265F"/>
    <w:rsid w:val="00802A83"/>
    <w:rsid w:val="00802BAC"/>
    <w:rsid w:val="00802DE9"/>
    <w:rsid w:val="008030CE"/>
    <w:rsid w:val="00803124"/>
    <w:rsid w:val="00803357"/>
    <w:rsid w:val="008033F9"/>
    <w:rsid w:val="0080341F"/>
    <w:rsid w:val="00803447"/>
    <w:rsid w:val="0080357A"/>
    <w:rsid w:val="008035BF"/>
    <w:rsid w:val="0080392C"/>
    <w:rsid w:val="00803BAA"/>
    <w:rsid w:val="00803C23"/>
    <w:rsid w:val="00803C73"/>
    <w:rsid w:val="00803E8B"/>
    <w:rsid w:val="00803F6C"/>
    <w:rsid w:val="00803FED"/>
    <w:rsid w:val="0080402B"/>
    <w:rsid w:val="0080412D"/>
    <w:rsid w:val="00804295"/>
    <w:rsid w:val="0080458C"/>
    <w:rsid w:val="008045DB"/>
    <w:rsid w:val="008045F3"/>
    <w:rsid w:val="00804793"/>
    <w:rsid w:val="0080484C"/>
    <w:rsid w:val="00804DE3"/>
    <w:rsid w:val="00804F63"/>
    <w:rsid w:val="008051F4"/>
    <w:rsid w:val="0080541F"/>
    <w:rsid w:val="00805492"/>
    <w:rsid w:val="00805536"/>
    <w:rsid w:val="00805605"/>
    <w:rsid w:val="0080582E"/>
    <w:rsid w:val="00805858"/>
    <w:rsid w:val="00805989"/>
    <w:rsid w:val="00805C15"/>
    <w:rsid w:val="00805D19"/>
    <w:rsid w:val="00805EDC"/>
    <w:rsid w:val="008063B9"/>
    <w:rsid w:val="008065A4"/>
    <w:rsid w:val="0080670F"/>
    <w:rsid w:val="008069A8"/>
    <w:rsid w:val="00806A28"/>
    <w:rsid w:val="00806A78"/>
    <w:rsid w:val="00806CAC"/>
    <w:rsid w:val="00806F44"/>
    <w:rsid w:val="0080716C"/>
    <w:rsid w:val="008071D7"/>
    <w:rsid w:val="0080720B"/>
    <w:rsid w:val="0080734C"/>
    <w:rsid w:val="00807825"/>
    <w:rsid w:val="0080784F"/>
    <w:rsid w:val="00807939"/>
    <w:rsid w:val="008079EC"/>
    <w:rsid w:val="00807C63"/>
    <w:rsid w:val="00807DC7"/>
    <w:rsid w:val="008100AB"/>
    <w:rsid w:val="0081034D"/>
    <w:rsid w:val="0081038D"/>
    <w:rsid w:val="008108DB"/>
    <w:rsid w:val="00810A2D"/>
    <w:rsid w:val="00810A87"/>
    <w:rsid w:val="00810B6A"/>
    <w:rsid w:val="00810FF9"/>
    <w:rsid w:val="00811012"/>
    <w:rsid w:val="0081106E"/>
    <w:rsid w:val="008110BF"/>
    <w:rsid w:val="0081126E"/>
    <w:rsid w:val="00811513"/>
    <w:rsid w:val="008115CD"/>
    <w:rsid w:val="0081167E"/>
    <w:rsid w:val="00811D7A"/>
    <w:rsid w:val="00811E42"/>
    <w:rsid w:val="0081227E"/>
    <w:rsid w:val="008124AD"/>
    <w:rsid w:val="008126BE"/>
    <w:rsid w:val="00812968"/>
    <w:rsid w:val="00812ACF"/>
    <w:rsid w:val="00812B98"/>
    <w:rsid w:val="00812D31"/>
    <w:rsid w:val="00812DEE"/>
    <w:rsid w:val="00812E43"/>
    <w:rsid w:val="00812F83"/>
    <w:rsid w:val="008131BA"/>
    <w:rsid w:val="008136CC"/>
    <w:rsid w:val="0081393C"/>
    <w:rsid w:val="00813EE6"/>
    <w:rsid w:val="0081409F"/>
    <w:rsid w:val="0081412C"/>
    <w:rsid w:val="00814482"/>
    <w:rsid w:val="008145D2"/>
    <w:rsid w:val="0081472C"/>
    <w:rsid w:val="00814969"/>
    <w:rsid w:val="00814A39"/>
    <w:rsid w:val="00814A82"/>
    <w:rsid w:val="00814AD7"/>
    <w:rsid w:val="00814D44"/>
    <w:rsid w:val="00814E93"/>
    <w:rsid w:val="00814EC5"/>
    <w:rsid w:val="00814FC1"/>
    <w:rsid w:val="00814FEA"/>
    <w:rsid w:val="00815073"/>
    <w:rsid w:val="00815226"/>
    <w:rsid w:val="00815348"/>
    <w:rsid w:val="008154DC"/>
    <w:rsid w:val="008154F8"/>
    <w:rsid w:val="0081555D"/>
    <w:rsid w:val="00815625"/>
    <w:rsid w:val="00815735"/>
    <w:rsid w:val="008157BE"/>
    <w:rsid w:val="0081589B"/>
    <w:rsid w:val="008159AB"/>
    <w:rsid w:val="00815A9A"/>
    <w:rsid w:val="00815B5E"/>
    <w:rsid w:val="00815C23"/>
    <w:rsid w:val="00815C43"/>
    <w:rsid w:val="00815DB2"/>
    <w:rsid w:val="008163A5"/>
    <w:rsid w:val="00816469"/>
    <w:rsid w:val="008165DA"/>
    <w:rsid w:val="00816641"/>
    <w:rsid w:val="0081664D"/>
    <w:rsid w:val="00816973"/>
    <w:rsid w:val="008169E9"/>
    <w:rsid w:val="00816BF0"/>
    <w:rsid w:val="00816D6B"/>
    <w:rsid w:val="00816E31"/>
    <w:rsid w:val="00817176"/>
    <w:rsid w:val="008171BE"/>
    <w:rsid w:val="008172C9"/>
    <w:rsid w:val="00817472"/>
    <w:rsid w:val="00817502"/>
    <w:rsid w:val="0081754E"/>
    <w:rsid w:val="00817574"/>
    <w:rsid w:val="00817589"/>
    <w:rsid w:val="008176EA"/>
    <w:rsid w:val="008177D8"/>
    <w:rsid w:val="00817913"/>
    <w:rsid w:val="008179B0"/>
    <w:rsid w:val="00817B08"/>
    <w:rsid w:val="00817CEF"/>
    <w:rsid w:val="00817E54"/>
    <w:rsid w:val="00817FB7"/>
    <w:rsid w:val="00820103"/>
    <w:rsid w:val="00820198"/>
    <w:rsid w:val="00820210"/>
    <w:rsid w:val="008206D4"/>
    <w:rsid w:val="00820787"/>
    <w:rsid w:val="00820A30"/>
    <w:rsid w:val="00820AB6"/>
    <w:rsid w:val="00820F76"/>
    <w:rsid w:val="00821139"/>
    <w:rsid w:val="008211A3"/>
    <w:rsid w:val="008211AC"/>
    <w:rsid w:val="00821324"/>
    <w:rsid w:val="008213F4"/>
    <w:rsid w:val="00821425"/>
    <w:rsid w:val="008214B0"/>
    <w:rsid w:val="008216BD"/>
    <w:rsid w:val="0082172D"/>
    <w:rsid w:val="0082191D"/>
    <w:rsid w:val="0082192E"/>
    <w:rsid w:val="00821963"/>
    <w:rsid w:val="008219CE"/>
    <w:rsid w:val="00821A82"/>
    <w:rsid w:val="00821B21"/>
    <w:rsid w:val="00821C85"/>
    <w:rsid w:val="0082206B"/>
    <w:rsid w:val="0082218A"/>
    <w:rsid w:val="0082223A"/>
    <w:rsid w:val="0082241C"/>
    <w:rsid w:val="00822577"/>
    <w:rsid w:val="0082260D"/>
    <w:rsid w:val="0082274A"/>
    <w:rsid w:val="0082280C"/>
    <w:rsid w:val="008228CE"/>
    <w:rsid w:val="00822A09"/>
    <w:rsid w:val="00822C9D"/>
    <w:rsid w:val="00822E1A"/>
    <w:rsid w:val="00823011"/>
    <w:rsid w:val="0082303E"/>
    <w:rsid w:val="00823224"/>
    <w:rsid w:val="00823306"/>
    <w:rsid w:val="008235BA"/>
    <w:rsid w:val="0082369E"/>
    <w:rsid w:val="008236A0"/>
    <w:rsid w:val="00823794"/>
    <w:rsid w:val="00823A4F"/>
    <w:rsid w:val="00823BC5"/>
    <w:rsid w:val="00823CB8"/>
    <w:rsid w:val="00823CC1"/>
    <w:rsid w:val="00824116"/>
    <w:rsid w:val="00824119"/>
    <w:rsid w:val="00824243"/>
    <w:rsid w:val="00824253"/>
    <w:rsid w:val="0082455B"/>
    <w:rsid w:val="00824897"/>
    <w:rsid w:val="00824AAB"/>
    <w:rsid w:val="00824B47"/>
    <w:rsid w:val="00824C20"/>
    <w:rsid w:val="00824CA6"/>
    <w:rsid w:val="00824E07"/>
    <w:rsid w:val="00824E43"/>
    <w:rsid w:val="00824EE2"/>
    <w:rsid w:val="00824FED"/>
    <w:rsid w:val="008250A5"/>
    <w:rsid w:val="00825325"/>
    <w:rsid w:val="008253CA"/>
    <w:rsid w:val="008253FB"/>
    <w:rsid w:val="0082547F"/>
    <w:rsid w:val="008256DC"/>
    <w:rsid w:val="00825713"/>
    <w:rsid w:val="00825827"/>
    <w:rsid w:val="00825890"/>
    <w:rsid w:val="008259CD"/>
    <w:rsid w:val="008259F4"/>
    <w:rsid w:val="00825AE9"/>
    <w:rsid w:val="00825AF4"/>
    <w:rsid w:val="00825B54"/>
    <w:rsid w:val="00825B5E"/>
    <w:rsid w:val="00825CDE"/>
    <w:rsid w:val="00825CEE"/>
    <w:rsid w:val="00825EE7"/>
    <w:rsid w:val="008261D6"/>
    <w:rsid w:val="00826810"/>
    <w:rsid w:val="00826813"/>
    <w:rsid w:val="008268F2"/>
    <w:rsid w:val="008269FC"/>
    <w:rsid w:val="00826A7D"/>
    <w:rsid w:val="00826BF8"/>
    <w:rsid w:val="00826EFD"/>
    <w:rsid w:val="00827238"/>
    <w:rsid w:val="008273D1"/>
    <w:rsid w:val="008274EC"/>
    <w:rsid w:val="0082761D"/>
    <w:rsid w:val="008276A5"/>
    <w:rsid w:val="00827793"/>
    <w:rsid w:val="008277AA"/>
    <w:rsid w:val="008279A5"/>
    <w:rsid w:val="00827B2B"/>
    <w:rsid w:val="00827D69"/>
    <w:rsid w:val="00827E21"/>
    <w:rsid w:val="00827E4A"/>
    <w:rsid w:val="0083025A"/>
    <w:rsid w:val="00830505"/>
    <w:rsid w:val="0083059E"/>
    <w:rsid w:val="008308A8"/>
    <w:rsid w:val="00830AF3"/>
    <w:rsid w:val="00830AF4"/>
    <w:rsid w:val="00830BDC"/>
    <w:rsid w:val="00830C1C"/>
    <w:rsid w:val="00830DE8"/>
    <w:rsid w:val="00830E35"/>
    <w:rsid w:val="00830F21"/>
    <w:rsid w:val="0083122F"/>
    <w:rsid w:val="00831234"/>
    <w:rsid w:val="0083165F"/>
    <w:rsid w:val="00831685"/>
    <w:rsid w:val="008317F7"/>
    <w:rsid w:val="00831851"/>
    <w:rsid w:val="00831911"/>
    <w:rsid w:val="0083193D"/>
    <w:rsid w:val="008319B7"/>
    <w:rsid w:val="00831AF1"/>
    <w:rsid w:val="00831C56"/>
    <w:rsid w:val="00831CE9"/>
    <w:rsid w:val="00831F3E"/>
    <w:rsid w:val="008322F6"/>
    <w:rsid w:val="00832441"/>
    <w:rsid w:val="00832476"/>
    <w:rsid w:val="008325C6"/>
    <w:rsid w:val="00832733"/>
    <w:rsid w:val="0083286E"/>
    <w:rsid w:val="0083293E"/>
    <w:rsid w:val="00832BAD"/>
    <w:rsid w:val="0083318B"/>
    <w:rsid w:val="0083347F"/>
    <w:rsid w:val="008335E6"/>
    <w:rsid w:val="00833730"/>
    <w:rsid w:val="00833B83"/>
    <w:rsid w:val="00833CCA"/>
    <w:rsid w:val="00833E11"/>
    <w:rsid w:val="00834089"/>
    <w:rsid w:val="00834150"/>
    <w:rsid w:val="00834164"/>
    <w:rsid w:val="0083417C"/>
    <w:rsid w:val="00834431"/>
    <w:rsid w:val="00834520"/>
    <w:rsid w:val="0083455B"/>
    <w:rsid w:val="00834877"/>
    <w:rsid w:val="008348BA"/>
    <w:rsid w:val="00834AC4"/>
    <w:rsid w:val="00834B8A"/>
    <w:rsid w:val="00834BC7"/>
    <w:rsid w:val="00834D19"/>
    <w:rsid w:val="0083507A"/>
    <w:rsid w:val="008350CD"/>
    <w:rsid w:val="008351CB"/>
    <w:rsid w:val="00835292"/>
    <w:rsid w:val="008358B5"/>
    <w:rsid w:val="008359D4"/>
    <w:rsid w:val="008359E4"/>
    <w:rsid w:val="00835A2C"/>
    <w:rsid w:val="00835B28"/>
    <w:rsid w:val="00835D54"/>
    <w:rsid w:val="00835EF9"/>
    <w:rsid w:val="00835F5C"/>
    <w:rsid w:val="008361D3"/>
    <w:rsid w:val="008363C6"/>
    <w:rsid w:val="0083643F"/>
    <w:rsid w:val="00836489"/>
    <w:rsid w:val="008364B2"/>
    <w:rsid w:val="008365AE"/>
    <w:rsid w:val="008367A1"/>
    <w:rsid w:val="008368E8"/>
    <w:rsid w:val="0083692A"/>
    <w:rsid w:val="00836A19"/>
    <w:rsid w:val="00836B02"/>
    <w:rsid w:val="00836B45"/>
    <w:rsid w:val="00836BA2"/>
    <w:rsid w:val="00836D63"/>
    <w:rsid w:val="0083705E"/>
    <w:rsid w:val="008370EA"/>
    <w:rsid w:val="0083719E"/>
    <w:rsid w:val="00837209"/>
    <w:rsid w:val="00837249"/>
    <w:rsid w:val="00837314"/>
    <w:rsid w:val="00837427"/>
    <w:rsid w:val="00837925"/>
    <w:rsid w:val="008379F9"/>
    <w:rsid w:val="00837BC0"/>
    <w:rsid w:val="00837BE5"/>
    <w:rsid w:val="00837FDE"/>
    <w:rsid w:val="008400BD"/>
    <w:rsid w:val="00840286"/>
    <w:rsid w:val="0084028C"/>
    <w:rsid w:val="0084034A"/>
    <w:rsid w:val="00840785"/>
    <w:rsid w:val="00840789"/>
    <w:rsid w:val="00840960"/>
    <w:rsid w:val="0084098F"/>
    <w:rsid w:val="00840CDF"/>
    <w:rsid w:val="00840D2E"/>
    <w:rsid w:val="00840E08"/>
    <w:rsid w:val="008412B2"/>
    <w:rsid w:val="008413B1"/>
    <w:rsid w:val="0084154C"/>
    <w:rsid w:val="008417C7"/>
    <w:rsid w:val="008419EC"/>
    <w:rsid w:val="00841A99"/>
    <w:rsid w:val="00841AB3"/>
    <w:rsid w:val="00841C3B"/>
    <w:rsid w:val="00841D2D"/>
    <w:rsid w:val="00841D36"/>
    <w:rsid w:val="00841D75"/>
    <w:rsid w:val="00841E5F"/>
    <w:rsid w:val="00841F64"/>
    <w:rsid w:val="00842160"/>
    <w:rsid w:val="0084222E"/>
    <w:rsid w:val="008423F2"/>
    <w:rsid w:val="008424DC"/>
    <w:rsid w:val="00842531"/>
    <w:rsid w:val="00842698"/>
    <w:rsid w:val="0084273C"/>
    <w:rsid w:val="0084277B"/>
    <w:rsid w:val="0084289D"/>
    <w:rsid w:val="008428E7"/>
    <w:rsid w:val="00842C80"/>
    <w:rsid w:val="00842D89"/>
    <w:rsid w:val="00842DC9"/>
    <w:rsid w:val="00842E9B"/>
    <w:rsid w:val="0084334C"/>
    <w:rsid w:val="008433A4"/>
    <w:rsid w:val="008434AC"/>
    <w:rsid w:val="008434D8"/>
    <w:rsid w:val="00843607"/>
    <w:rsid w:val="00843627"/>
    <w:rsid w:val="00843788"/>
    <w:rsid w:val="0084388B"/>
    <w:rsid w:val="008438B2"/>
    <w:rsid w:val="00843982"/>
    <w:rsid w:val="00843F38"/>
    <w:rsid w:val="00843F45"/>
    <w:rsid w:val="00843F84"/>
    <w:rsid w:val="00844101"/>
    <w:rsid w:val="008441FD"/>
    <w:rsid w:val="00844259"/>
    <w:rsid w:val="008442BF"/>
    <w:rsid w:val="008442DB"/>
    <w:rsid w:val="008443BA"/>
    <w:rsid w:val="0084467E"/>
    <w:rsid w:val="008447D8"/>
    <w:rsid w:val="00844B73"/>
    <w:rsid w:val="00844D95"/>
    <w:rsid w:val="00844E4E"/>
    <w:rsid w:val="00844F10"/>
    <w:rsid w:val="00844F85"/>
    <w:rsid w:val="00845238"/>
    <w:rsid w:val="0084525F"/>
    <w:rsid w:val="008452F0"/>
    <w:rsid w:val="008453F3"/>
    <w:rsid w:val="008456D1"/>
    <w:rsid w:val="00845BD6"/>
    <w:rsid w:val="00845C50"/>
    <w:rsid w:val="00846157"/>
    <w:rsid w:val="00846394"/>
    <w:rsid w:val="00846445"/>
    <w:rsid w:val="008465D1"/>
    <w:rsid w:val="00846649"/>
    <w:rsid w:val="00846660"/>
    <w:rsid w:val="008466D6"/>
    <w:rsid w:val="0084687C"/>
    <w:rsid w:val="0084698E"/>
    <w:rsid w:val="00846A73"/>
    <w:rsid w:val="00846BDD"/>
    <w:rsid w:val="00846D53"/>
    <w:rsid w:val="00846E6C"/>
    <w:rsid w:val="00846F66"/>
    <w:rsid w:val="0084709D"/>
    <w:rsid w:val="008472E3"/>
    <w:rsid w:val="00847335"/>
    <w:rsid w:val="0084734E"/>
    <w:rsid w:val="00847400"/>
    <w:rsid w:val="00847744"/>
    <w:rsid w:val="008477D6"/>
    <w:rsid w:val="00847A3D"/>
    <w:rsid w:val="00847CC5"/>
    <w:rsid w:val="00847DFC"/>
    <w:rsid w:val="008501D9"/>
    <w:rsid w:val="0085021D"/>
    <w:rsid w:val="008502D7"/>
    <w:rsid w:val="0085033B"/>
    <w:rsid w:val="008503AF"/>
    <w:rsid w:val="008504B0"/>
    <w:rsid w:val="0085055B"/>
    <w:rsid w:val="00850587"/>
    <w:rsid w:val="008508D0"/>
    <w:rsid w:val="008508D3"/>
    <w:rsid w:val="0085093A"/>
    <w:rsid w:val="00850B75"/>
    <w:rsid w:val="00850B76"/>
    <w:rsid w:val="00850F2A"/>
    <w:rsid w:val="00850F5C"/>
    <w:rsid w:val="0085104E"/>
    <w:rsid w:val="00851394"/>
    <w:rsid w:val="00851619"/>
    <w:rsid w:val="0085166F"/>
    <w:rsid w:val="008516C8"/>
    <w:rsid w:val="008517D9"/>
    <w:rsid w:val="00851870"/>
    <w:rsid w:val="008518AB"/>
    <w:rsid w:val="008519B8"/>
    <w:rsid w:val="00851B62"/>
    <w:rsid w:val="00851CDB"/>
    <w:rsid w:val="00851DE0"/>
    <w:rsid w:val="00851F0B"/>
    <w:rsid w:val="0085224A"/>
    <w:rsid w:val="00852354"/>
    <w:rsid w:val="008524CA"/>
    <w:rsid w:val="008526B8"/>
    <w:rsid w:val="008529EE"/>
    <w:rsid w:val="00852B90"/>
    <w:rsid w:val="00852C37"/>
    <w:rsid w:val="00852D42"/>
    <w:rsid w:val="00852D9C"/>
    <w:rsid w:val="00852E9F"/>
    <w:rsid w:val="00853210"/>
    <w:rsid w:val="00853507"/>
    <w:rsid w:val="008535FE"/>
    <w:rsid w:val="0085382F"/>
    <w:rsid w:val="00853A26"/>
    <w:rsid w:val="00853BF7"/>
    <w:rsid w:val="00853D7E"/>
    <w:rsid w:val="00853ECA"/>
    <w:rsid w:val="008543BA"/>
    <w:rsid w:val="008545D9"/>
    <w:rsid w:val="0085467F"/>
    <w:rsid w:val="008547B2"/>
    <w:rsid w:val="008548FF"/>
    <w:rsid w:val="00854999"/>
    <w:rsid w:val="00854BFE"/>
    <w:rsid w:val="00854C7B"/>
    <w:rsid w:val="008553C0"/>
    <w:rsid w:val="0085545C"/>
    <w:rsid w:val="00855495"/>
    <w:rsid w:val="008554B3"/>
    <w:rsid w:val="00855A80"/>
    <w:rsid w:val="00855B58"/>
    <w:rsid w:val="00855DD2"/>
    <w:rsid w:val="008560A1"/>
    <w:rsid w:val="008561CF"/>
    <w:rsid w:val="0085625E"/>
    <w:rsid w:val="00856347"/>
    <w:rsid w:val="008563C0"/>
    <w:rsid w:val="00856472"/>
    <w:rsid w:val="008564C4"/>
    <w:rsid w:val="008564F6"/>
    <w:rsid w:val="00856687"/>
    <w:rsid w:val="00856827"/>
    <w:rsid w:val="008569D2"/>
    <w:rsid w:val="00856E53"/>
    <w:rsid w:val="00856E68"/>
    <w:rsid w:val="00856E9B"/>
    <w:rsid w:val="00856ECB"/>
    <w:rsid w:val="00857257"/>
    <w:rsid w:val="0085735C"/>
    <w:rsid w:val="00857423"/>
    <w:rsid w:val="00857760"/>
    <w:rsid w:val="008578B1"/>
    <w:rsid w:val="00857ADD"/>
    <w:rsid w:val="00857B5D"/>
    <w:rsid w:val="00857DDC"/>
    <w:rsid w:val="00857EBF"/>
    <w:rsid w:val="00857EC8"/>
    <w:rsid w:val="00860124"/>
    <w:rsid w:val="00860361"/>
    <w:rsid w:val="0086036E"/>
    <w:rsid w:val="00860516"/>
    <w:rsid w:val="008605E7"/>
    <w:rsid w:val="00860661"/>
    <w:rsid w:val="008606F8"/>
    <w:rsid w:val="00860751"/>
    <w:rsid w:val="008607BE"/>
    <w:rsid w:val="00860BC8"/>
    <w:rsid w:val="00860CD3"/>
    <w:rsid w:val="00860E9E"/>
    <w:rsid w:val="00860FD9"/>
    <w:rsid w:val="0086125E"/>
    <w:rsid w:val="00861374"/>
    <w:rsid w:val="0086147A"/>
    <w:rsid w:val="00861550"/>
    <w:rsid w:val="0086155A"/>
    <w:rsid w:val="008615FA"/>
    <w:rsid w:val="00861600"/>
    <w:rsid w:val="008617C8"/>
    <w:rsid w:val="00861A8B"/>
    <w:rsid w:val="00861ADD"/>
    <w:rsid w:val="00861CEA"/>
    <w:rsid w:val="00861E29"/>
    <w:rsid w:val="00861E53"/>
    <w:rsid w:val="00861EB9"/>
    <w:rsid w:val="00861F05"/>
    <w:rsid w:val="008621B5"/>
    <w:rsid w:val="008621DD"/>
    <w:rsid w:val="00862525"/>
    <w:rsid w:val="0086252F"/>
    <w:rsid w:val="00862548"/>
    <w:rsid w:val="008626A1"/>
    <w:rsid w:val="008626EF"/>
    <w:rsid w:val="00862808"/>
    <w:rsid w:val="00862F60"/>
    <w:rsid w:val="0086300E"/>
    <w:rsid w:val="00863468"/>
    <w:rsid w:val="008634A2"/>
    <w:rsid w:val="00863589"/>
    <w:rsid w:val="00863664"/>
    <w:rsid w:val="008637E2"/>
    <w:rsid w:val="008638DB"/>
    <w:rsid w:val="008639D0"/>
    <w:rsid w:val="00863A42"/>
    <w:rsid w:val="00863C91"/>
    <w:rsid w:val="00863E2E"/>
    <w:rsid w:val="00863F33"/>
    <w:rsid w:val="00864068"/>
    <w:rsid w:val="00864174"/>
    <w:rsid w:val="00864195"/>
    <w:rsid w:val="00864379"/>
    <w:rsid w:val="0086444F"/>
    <w:rsid w:val="0086458E"/>
    <w:rsid w:val="0086483F"/>
    <w:rsid w:val="00864A94"/>
    <w:rsid w:val="00864AC5"/>
    <w:rsid w:val="00864AE4"/>
    <w:rsid w:val="00864B8C"/>
    <w:rsid w:val="00864D03"/>
    <w:rsid w:val="00864D58"/>
    <w:rsid w:val="00864D62"/>
    <w:rsid w:val="00864DBC"/>
    <w:rsid w:val="00864EB6"/>
    <w:rsid w:val="00864F75"/>
    <w:rsid w:val="00864F7C"/>
    <w:rsid w:val="00864FD3"/>
    <w:rsid w:val="008650B2"/>
    <w:rsid w:val="00865138"/>
    <w:rsid w:val="0086520C"/>
    <w:rsid w:val="008652E7"/>
    <w:rsid w:val="00865318"/>
    <w:rsid w:val="00865446"/>
    <w:rsid w:val="008655F9"/>
    <w:rsid w:val="00865861"/>
    <w:rsid w:val="008659A7"/>
    <w:rsid w:val="00865AAC"/>
    <w:rsid w:val="00865C2C"/>
    <w:rsid w:val="00865D6F"/>
    <w:rsid w:val="00865F93"/>
    <w:rsid w:val="00866259"/>
    <w:rsid w:val="0086631F"/>
    <w:rsid w:val="008664DF"/>
    <w:rsid w:val="00866AE4"/>
    <w:rsid w:val="00866AE8"/>
    <w:rsid w:val="00866EB6"/>
    <w:rsid w:val="00867029"/>
    <w:rsid w:val="00867245"/>
    <w:rsid w:val="00867463"/>
    <w:rsid w:val="0086765E"/>
    <w:rsid w:val="00867697"/>
    <w:rsid w:val="00867989"/>
    <w:rsid w:val="00867B55"/>
    <w:rsid w:val="00867D3D"/>
    <w:rsid w:val="00867D8D"/>
    <w:rsid w:val="00867F49"/>
    <w:rsid w:val="00867FD4"/>
    <w:rsid w:val="00870115"/>
    <w:rsid w:val="008701B2"/>
    <w:rsid w:val="008702A2"/>
    <w:rsid w:val="008705FA"/>
    <w:rsid w:val="00870717"/>
    <w:rsid w:val="008707E6"/>
    <w:rsid w:val="00870866"/>
    <w:rsid w:val="00870896"/>
    <w:rsid w:val="008708CF"/>
    <w:rsid w:val="00870B86"/>
    <w:rsid w:val="00870E5B"/>
    <w:rsid w:val="00871002"/>
    <w:rsid w:val="0087109D"/>
    <w:rsid w:val="008711C4"/>
    <w:rsid w:val="008711D0"/>
    <w:rsid w:val="00871240"/>
    <w:rsid w:val="008712E7"/>
    <w:rsid w:val="00871445"/>
    <w:rsid w:val="0087148F"/>
    <w:rsid w:val="00871728"/>
    <w:rsid w:val="00871959"/>
    <w:rsid w:val="00871C4D"/>
    <w:rsid w:val="00871E8C"/>
    <w:rsid w:val="00871F5C"/>
    <w:rsid w:val="00871F84"/>
    <w:rsid w:val="008720AE"/>
    <w:rsid w:val="0087210B"/>
    <w:rsid w:val="008723E1"/>
    <w:rsid w:val="00872654"/>
    <w:rsid w:val="008727AD"/>
    <w:rsid w:val="00872830"/>
    <w:rsid w:val="00872EED"/>
    <w:rsid w:val="008731AE"/>
    <w:rsid w:val="008731BE"/>
    <w:rsid w:val="00873213"/>
    <w:rsid w:val="00873274"/>
    <w:rsid w:val="0087336E"/>
    <w:rsid w:val="00873375"/>
    <w:rsid w:val="008733C2"/>
    <w:rsid w:val="0087347F"/>
    <w:rsid w:val="008735BE"/>
    <w:rsid w:val="00873714"/>
    <w:rsid w:val="0087388B"/>
    <w:rsid w:val="0087394D"/>
    <w:rsid w:val="00873A60"/>
    <w:rsid w:val="00873B65"/>
    <w:rsid w:val="00873B6E"/>
    <w:rsid w:val="00873CA7"/>
    <w:rsid w:val="00873EC0"/>
    <w:rsid w:val="00873EF8"/>
    <w:rsid w:val="00873F3E"/>
    <w:rsid w:val="0087431A"/>
    <w:rsid w:val="0087435E"/>
    <w:rsid w:val="00874372"/>
    <w:rsid w:val="0087440B"/>
    <w:rsid w:val="008744EA"/>
    <w:rsid w:val="00874A04"/>
    <w:rsid w:val="00874C47"/>
    <w:rsid w:val="00874D44"/>
    <w:rsid w:val="00875332"/>
    <w:rsid w:val="008753C2"/>
    <w:rsid w:val="008753FC"/>
    <w:rsid w:val="00875569"/>
    <w:rsid w:val="0087567E"/>
    <w:rsid w:val="008756B4"/>
    <w:rsid w:val="00875958"/>
    <w:rsid w:val="00875961"/>
    <w:rsid w:val="00875969"/>
    <w:rsid w:val="0087598F"/>
    <w:rsid w:val="00875B3C"/>
    <w:rsid w:val="00875D02"/>
    <w:rsid w:val="00875FEE"/>
    <w:rsid w:val="00876091"/>
    <w:rsid w:val="008760BD"/>
    <w:rsid w:val="0087610E"/>
    <w:rsid w:val="00876229"/>
    <w:rsid w:val="0087648B"/>
    <w:rsid w:val="0087657C"/>
    <w:rsid w:val="00876630"/>
    <w:rsid w:val="00876676"/>
    <w:rsid w:val="008766C7"/>
    <w:rsid w:val="00876752"/>
    <w:rsid w:val="008767F9"/>
    <w:rsid w:val="00876960"/>
    <w:rsid w:val="008769DA"/>
    <w:rsid w:val="00877196"/>
    <w:rsid w:val="00877269"/>
    <w:rsid w:val="00877468"/>
    <w:rsid w:val="00877481"/>
    <w:rsid w:val="0087775C"/>
    <w:rsid w:val="008777F4"/>
    <w:rsid w:val="008778C8"/>
    <w:rsid w:val="0087793B"/>
    <w:rsid w:val="00877954"/>
    <w:rsid w:val="008779C0"/>
    <w:rsid w:val="008779DE"/>
    <w:rsid w:val="00877AE5"/>
    <w:rsid w:val="00877B77"/>
    <w:rsid w:val="00877C60"/>
    <w:rsid w:val="00877D59"/>
    <w:rsid w:val="00877D89"/>
    <w:rsid w:val="00877D8C"/>
    <w:rsid w:val="00877DC3"/>
    <w:rsid w:val="00877DD7"/>
    <w:rsid w:val="008800BC"/>
    <w:rsid w:val="0088048D"/>
    <w:rsid w:val="00880525"/>
    <w:rsid w:val="008806B3"/>
    <w:rsid w:val="0088078C"/>
    <w:rsid w:val="00880A78"/>
    <w:rsid w:val="00880A7A"/>
    <w:rsid w:val="00880AC3"/>
    <w:rsid w:val="00880B52"/>
    <w:rsid w:val="00880E69"/>
    <w:rsid w:val="00881077"/>
    <w:rsid w:val="008810A1"/>
    <w:rsid w:val="008810F7"/>
    <w:rsid w:val="008811AA"/>
    <w:rsid w:val="0088130F"/>
    <w:rsid w:val="00881387"/>
    <w:rsid w:val="00881477"/>
    <w:rsid w:val="00881500"/>
    <w:rsid w:val="00881647"/>
    <w:rsid w:val="0088182C"/>
    <w:rsid w:val="008819D9"/>
    <w:rsid w:val="00881D59"/>
    <w:rsid w:val="00881E90"/>
    <w:rsid w:val="00881EF1"/>
    <w:rsid w:val="00882176"/>
    <w:rsid w:val="008822A5"/>
    <w:rsid w:val="008822B5"/>
    <w:rsid w:val="00882333"/>
    <w:rsid w:val="00882368"/>
    <w:rsid w:val="00882A70"/>
    <w:rsid w:val="00882CCB"/>
    <w:rsid w:val="00882D25"/>
    <w:rsid w:val="00882DD9"/>
    <w:rsid w:val="00882DF9"/>
    <w:rsid w:val="00882F1F"/>
    <w:rsid w:val="008832DD"/>
    <w:rsid w:val="0088336B"/>
    <w:rsid w:val="0088349A"/>
    <w:rsid w:val="00883688"/>
    <w:rsid w:val="00883769"/>
    <w:rsid w:val="0088381C"/>
    <w:rsid w:val="0088383A"/>
    <w:rsid w:val="00883870"/>
    <w:rsid w:val="00883991"/>
    <w:rsid w:val="00883C95"/>
    <w:rsid w:val="00883D14"/>
    <w:rsid w:val="00883D6E"/>
    <w:rsid w:val="00883DFE"/>
    <w:rsid w:val="00884053"/>
    <w:rsid w:val="008843FD"/>
    <w:rsid w:val="0088448E"/>
    <w:rsid w:val="008844D9"/>
    <w:rsid w:val="00884597"/>
    <w:rsid w:val="00884661"/>
    <w:rsid w:val="008846C4"/>
    <w:rsid w:val="00884830"/>
    <w:rsid w:val="00884A11"/>
    <w:rsid w:val="00884C4C"/>
    <w:rsid w:val="00884CF1"/>
    <w:rsid w:val="00884E98"/>
    <w:rsid w:val="00884F51"/>
    <w:rsid w:val="0088514E"/>
    <w:rsid w:val="0088523D"/>
    <w:rsid w:val="00885607"/>
    <w:rsid w:val="0088561F"/>
    <w:rsid w:val="00885620"/>
    <w:rsid w:val="00885636"/>
    <w:rsid w:val="00885758"/>
    <w:rsid w:val="0088595D"/>
    <w:rsid w:val="00885A7B"/>
    <w:rsid w:val="00885B01"/>
    <w:rsid w:val="00885B78"/>
    <w:rsid w:val="00885DB9"/>
    <w:rsid w:val="00885FF1"/>
    <w:rsid w:val="00886233"/>
    <w:rsid w:val="00886521"/>
    <w:rsid w:val="00886577"/>
    <w:rsid w:val="00886599"/>
    <w:rsid w:val="00886856"/>
    <w:rsid w:val="008868DA"/>
    <w:rsid w:val="008869D2"/>
    <w:rsid w:val="00886AC2"/>
    <w:rsid w:val="00886AE2"/>
    <w:rsid w:val="00886E94"/>
    <w:rsid w:val="00886F07"/>
    <w:rsid w:val="00886F92"/>
    <w:rsid w:val="00886FC2"/>
    <w:rsid w:val="00886FF2"/>
    <w:rsid w:val="008872BD"/>
    <w:rsid w:val="008873D2"/>
    <w:rsid w:val="008874D2"/>
    <w:rsid w:val="00887568"/>
    <w:rsid w:val="00887672"/>
    <w:rsid w:val="0089016F"/>
    <w:rsid w:val="0089018D"/>
    <w:rsid w:val="008903DF"/>
    <w:rsid w:val="0089044B"/>
    <w:rsid w:val="008904EC"/>
    <w:rsid w:val="00890528"/>
    <w:rsid w:val="00890532"/>
    <w:rsid w:val="008905AA"/>
    <w:rsid w:val="008905C3"/>
    <w:rsid w:val="00890638"/>
    <w:rsid w:val="008906E0"/>
    <w:rsid w:val="00890721"/>
    <w:rsid w:val="008908A4"/>
    <w:rsid w:val="00890A8E"/>
    <w:rsid w:val="00890CCF"/>
    <w:rsid w:val="00890D76"/>
    <w:rsid w:val="00890FB6"/>
    <w:rsid w:val="00890FFC"/>
    <w:rsid w:val="0089108B"/>
    <w:rsid w:val="008911B3"/>
    <w:rsid w:val="00891295"/>
    <w:rsid w:val="008912ED"/>
    <w:rsid w:val="00891313"/>
    <w:rsid w:val="008913A0"/>
    <w:rsid w:val="008915F6"/>
    <w:rsid w:val="00891966"/>
    <w:rsid w:val="00891B56"/>
    <w:rsid w:val="00891BFF"/>
    <w:rsid w:val="00891C59"/>
    <w:rsid w:val="00891E2C"/>
    <w:rsid w:val="00892032"/>
    <w:rsid w:val="008920EF"/>
    <w:rsid w:val="00892249"/>
    <w:rsid w:val="00892540"/>
    <w:rsid w:val="008927DB"/>
    <w:rsid w:val="008928B0"/>
    <w:rsid w:val="00892DA9"/>
    <w:rsid w:val="00892F83"/>
    <w:rsid w:val="0089318D"/>
    <w:rsid w:val="008932F6"/>
    <w:rsid w:val="008934F7"/>
    <w:rsid w:val="0089354D"/>
    <w:rsid w:val="008936C3"/>
    <w:rsid w:val="008936D3"/>
    <w:rsid w:val="00893793"/>
    <w:rsid w:val="00893980"/>
    <w:rsid w:val="00893B41"/>
    <w:rsid w:val="00893BA1"/>
    <w:rsid w:val="00893C7D"/>
    <w:rsid w:val="00893D8B"/>
    <w:rsid w:val="00893E45"/>
    <w:rsid w:val="00893F4A"/>
    <w:rsid w:val="008940DF"/>
    <w:rsid w:val="0089418A"/>
    <w:rsid w:val="0089419D"/>
    <w:rsid w:val="00894B16"/>
    <w:rsid w:val="00894BFC"/>
    <w:rsid w:val="00894C8D"/>
    <w:rsid w:val="00894D06"/>
    <w:rsid w:val="00894DF3"/>
    <w:rsid w:val="008950A2"/>
    <w:rsid w:val="00895243"/>
    <w:rsid w:val="0089524B"/>
    <w:rsid w:val="008952D1"/>
    <w:rsid w:val="00895444"/>
    <w:rsid w:val="00895829"/>
    <w:rsid w:val="00895881"/>
    <w:rsid w:val="008958B8"/>
    <w:rsid w:val="008959E2"/>
    <w:rsid w:val="00895ACC"/>
    <w:rsid w:val="00895DAA"/>
    <w:rsid w:val="00895E16"/>
    <w:rsid w:val="00895E36"/>
    <w:rsid w:val="00895E8C"/>
    <w:rsid w:val="00895F14"/>
    <w:rsid w:val="00895FE7"/>
    <w:rsid w:val="008960DA"/>
    <w:rsid w:val="0089629C"/>
    <w:rsid w:val="0089634D"/>
    <w:rsid w:val="0089645A"/>
    <w:rsid w:val="008966DB"/>
    <w:rsid w:val="00896771"/>
    <w:rsid w:val="00896998"/>
    <w:rsid w:val="00896C42"/>
    <w:rsid w:val="00897039"/>
    <w:rsid w:val="00897097"/>
    <w:rsid w:val="00897098"/>
    <w:rsid w:val="0089739E"/>
    <w:rsid w:val="00897541"/>
    <w:rsid w:val="0089777F"/>
    <w:rsid w:val="008978A9"/>
    <w:rsid w:val="00897914"/>
    <w:rsid w:val="00897BBD"/>
    <w:rsid w:val="00897C7B"/>
    <w:rsid w:val="00897CCC"/>
    <w:rsid w:val="00897D2D"/>
    <w:rsid w:val="008A0165"/>
    <w:rsid w:val="008A0357"/>
    <w:rsid w:val="008A0414"/>
    <w:rsid w:val="008A053C"/>
    <w:rsid w:val="008A05E4"/>
    <w:rsid w:val="008A08A6"/>
    <w:rsid w:val="008A0AC0"/>
    <w:rsid w:val="008A0C1F"/>
    <w:rsid w:val="008A0D70"/>
    <w:rsid w:val="008A0DDE"/>
    <w:rsid w:val="008A0DDF"/>
    <w:rsid w:val="008A0EDF"/>
    <w:rsid w:val="008A1111"/>
    <w:rsid w:val="008A1138"/>
    <w:rsid w:val="008A125E"/>
    <w:rsid w:val="008A1396"/>
    <w:rsid w:val="008A13B8"/>
    <w:rsid w:val="008A1407"/>
    <w:rsid w:val="008A145E"/>
    <w:rsid w:val="008A1804"/>
    <w:rsid w:val="008A18E0"/>
    <w:rsid w:val="008A1D8F"/>
    <w:rsid w:val="008A22B9"/>
    <w:rsid w:val="008A245F"/>
    <w:rsid w:val="008A26AA"/>
    <w:rsid w:val="008A282E"/>
    <w:rsid w:val="008A2CC8"/>
    <w:rsid w:val="008A2CE8"/>
    <w:rsid w:val="008A311B"/>
    <w:rsid w:val="008A3231"/>
    <w:rsid w:val="008A329A"/>
    <w:rsid w:val="008A32CC"/>
    <w:rsid w:val="008A3597"/>
    <w:rsid w:val="008A3616"/>
    <w:rsid w:val="008A379B"/>
    <w:rsid w:val="008A3916"/>
    <w:rsid w:val="008A3CDC"/>
    <w:rsid w:val="008A3D34"/>
    <w:rsid w:val="008A3E26"/>
    <w:rsid w:val="008A3E73"/>
    <w:rsid w:val="008A3EDC"/>
    <w:rsid w:val="008A40E7"/>
    <w:rsid w:val="008A410D"/>
    <w:rsid w:val="008A4405"/>
    <w:rsid w:val="008A45B1"/>
    <w:rsid w:val="008A45B8"/>
    <w:rsid w:val="008A46A4"/>
    <w:rsid w:val="008A46C0"/>
    <w:rsid w:val="008A47A6"/>
    <w:rsid w:val="008A489C"/>
    <w:rsid w:val="008A4A1D"/>
    <w:rsid w:val="008A4AE8"/>
    <w:rsid w:val="008A4C9D"/>
    <w:rsid w:val="008A4CEC"/>
    <w:rsid w:val="008A4F1A"/>
    <w:rsid w:val="008A4F5D"/>
    <w:rsid w:val="008A50DA"/>
    <w:rsid w:val="008A50F6"/>
    <w:rsid w:val="008A5131"/>
    <w:rsid w:val="008A51BE"/>
    <w:rsid w:val="008A52A5"/>
    <w:rsid w:val="008A53DB"/>
    <w:rsid w:val="008A5464"/>
    <w:rsid w:val="008A5539"/>
    <w:rsid w:val="008A55AF"/>
    <w:rsid w:val="008A569E"/>
    <w:rsid w:val="008A57DB"/>
    <w:rsid w:val="008A5964"/>
    <w:rsid w:val="008A5A4A"/>
    <w:rsid w:val="008A5DC9"/>
    <w:rsid w:val="008A5F60"/>
    <w:rsid w:val="008A6248"/>
    <w:rsid w:val="008A62A5"/>
    <w:rsid w:val="008A6565"/>
    <w:rsid w:val="008A6627"/>
    <w:rsid w:val="008A6909"/>
    <w:rsid w:val="008A6937"/>
    <w:rsid w:val="008A696A"/>
    <w:rsid w:val="008A6978"/>
    <w:rsid w:val="008A6A35"/>
    <w:rsid w:val="008A6AED"/>
    <w:rsid w:val="008A6B4B"/>
    <w:rsid w:val="008A6C07"/>
    <w:rsid w:val="008A6C20"/>
    <w:rsid w:val="008A6C89"/>
    <w:rsid w:val="008A6E37"/>
    <w:rsid w:val="008A7163"/>
    <w:rsid w:val="008A75EC"/>
    <w:rsid w:val="008A77C8"/>
    <w:rsid w:val="008A78EE"/>
    <w:rsid w:val="008A7951"/>
    <w:rsid w:val="008A7BF0"/>
    <w:rsid w:val="008A7BF6"/>
    <w:rsid w:val="008A7E4B"/>
    <w:rsid w:val="008B0123"/>
    <w:rsid w:val="008B02AE"/>
    <w:rsid w:val="008B0326"/>
    <w:rsid w:val="008B0386"/>
    <w:rsid w:val="008B046A"/>
    <w:rsid w:val="008B04A4"/>
    <w:rsid w:val="008B0537"/>
    <w:rsid w:val="008B0647"/>
    <w:rsid w:val="008B070E"/>
    <w:rsid w:val="008B0A5E"/>
    <w:rsid w:val="008B0DA2"/>
    <w:rsid w:val="008B1395"/>
    <w:rsid w:val="008B142F"/>
    <w:rsid w:val="008B15B4"/>
    <w:rsid w:val="008B16C6"/>
    <w:rsid w:val="008B1770"/>
    <w:rsid w:val="008B17BF"/>
    <w:rsid w:val="008B1BF9"/>
    <w:rsid w:val="008B1C66"/>
    <w:rsid w:val="008B1C6D"/>
    <w:rsid w:val="008B1CB5"/>
    <w:rsid w:val="008B1CF6"/>
    <w:rsid w:val="008B1D5C"/>
    <w:rsid w:val="008B1EAF"/>
    <w:rsid w:val="008B1FD2"/>
    <w:rsid w:val="008B2031"/>
    <w:rsid w:val="008B213F"/>
    <w:rsid w:val="008B2603"/>
    <w:rsid w:val="008B2643"/>
    <w:rsid w:val="008B264B"/>
    <w:rsid w:val="008B28F1"/>
    <w:rsid w:val="008B2947"/>
    <w:rsid w:val="008B2D54"/>
    <w:rsid w:val="008B2E33"/>
    <w:rsid w:val="008B30A1"/>
    <w:rsid w:val="008B30CD"/>
    <w:rsid w:val="008B3495"/>
    <w:rsid w:val="008B350E"/>
    <w:rsid w:val="008B3754"/>
    <w:rsid w:val="008B3A52"/>
    <w:rsid w:val="008B3F35"/>
    <w:rsid w:val="008B3F7C"/>
    <w:rsid w:val="008B3F95"/>
    <w:rsid w:val="008B4163"/>
    <w:rsid w:val="008B4191"/>
    <w:rsid w:val="008B41CE"/>
    <w:rsid w:val="008B4286"/>
    <w:rsid w:val="008B446A"/>
    <w:rsid w:val="008B45E4"/>
    <w:rsid w:val="008B469B"/>
    <w:rsid w:val="008B46D8"/>
    <w:rsid w:val="008B4768"/>
    <w:rsid w:val="008B4809"/>
    <w:rsid w:val="008B49AD"/>
    <w:rsid w:val="008B4A81"/>
    <w:rsid w:val="008B4C39"/>
    <w:rsid w:val="008B4C9F"/>
    <w:rsid w:val="008B4D98"/>
    <w:rsid w:val="008B4E04"/>
    <w:rsid w:val="008B4EAB"/>
    <w:rsid w:val="008B4F6C"/>
    <w:rsid w:val="008B50EF"/>
    <w:rsid w:val="008B50FD"/>
    <w:rsid w:val="008B5122"/>
    <w:rsid w:val="008B52FA"/>
    <w:rsid w:val="008B53D7"/>
    <w:rsid w:val="008B56DE"/>
    <w:rsid w:val="008B58C3"/>
    <w:rsid w:val="008B5A79"/>
    <w:rsid w:val="008B5B7A"/>
    <w:rsid w:val="008B5BDD"/>
    <w:rsid w:val="008B5C58"/>
    <w:rsid w:val="008B5DE1"/>
    <w:rsid w:val="008B6278"/>
    <w:rsid w:val="008B6352"/>
    <w:rsid w:val="008B63A3"/>
    <w:rsid w:val="008B63A8"/>
    <w:rsid w:val="008B6522"/>
    <w:rsid w:val="008B656C"/>
    <w:rsid w:val="008B670D"/>
    <w:rsid w:val="008B6792"/>
    <w:rsid w:val="008B6850"/>
    <w:rsid w:val="008B691B"/>
    <w:rsid w:val="008B692D"/>
    <w:rsid w:val="008B6A89"/>
    <w:rsid w:val="008B6B00"/>
    <w:rsid w:val="008B6BFC"/>
    <w:rsid w:val="008B6D46"/>
    <w:rsid w:val="008B6DBB"/>
    <w:rsid w:val="008B6DD9"/>
    <w:rsid w:val="008B6EA3"/>
    <w:rsid w:val="008B727F"/>
    <w:rsid w:val="008B761F"/>
    <w:rsid w:val="008B7826"/>
    <w:rsid w:val="008B7947"/>
    <w:rsid w:val="008B79C1"/>
    <w:rsid w:val="008B7A7D"/>
    <w:rsid w:val="008B7AC8"/>
    <w:rsid w:val="008B7B7A"/>
    <w:rsid w:val="008B7D28"/>
    <w:rsid w:val="008B7DB6"/>
    <w:rsid w:val="008B7ECF"/>
    <w:rsid w:val="008C066B"/>
    <w:rsid w:val="008C0712"/>
    <w:rsid w:val="008C07BB"/>
    <w:rsid w:val="008C07D2"/>
    <w:rsid w:val="008C08FB"/>
    <w:rsid w:val="008C092A"/>
    <w:rsid w:val="008C0E55"/>
    <w:rsid w:val="008C0E99"/>
    <w:rsid w:val="008C0FD7"/>
    <w:rsid w:val="008C105E"/>
    <w:rsid w:val="008C10F1"/>
    <w:rsid w:val="008C1193"/>
    <w:rsid w:val="008C1285"/>
    <w:rsid w:val="008C1332"/>
    <w:rsid w:val="008C1458"/>
    <w:rsid w:val="008C1487"/>
    <w:rsid w:val="008C161B"/>
    <w:rsid w:val="008C17AD"/>
    <w:rsid w:val="008C1816"/>
    <w:rsid w:val="008C1890"/>
    <w:rsid w:val="008C18EB"/>
    <w:rsid w:val="008C1A85"/>
    <w:rsid w:val="008C2021"/>
    <w:rsid w:val="008C2208"/>
    <w:rsid w:val="008C229D"/>
    <w:rsid w:val="008C2302"/>
    <w:rsid w:val="008C247B"/>
    <w:rsid w:val="008C253E"/>
    <w:rsid w:val="008C2617"/>
    <w:rsid w:val="008C268B"/>
    <w:rsid w:val="008C2790"/>
    <w:rsid w:val="008C28B2"/>
    <w:rsid w:val="008C2954"/>
    <w:rsid w:val="008C29FF"/>
    <w:rsid w:val="008C2C0F"/>
    <w:rsid w:val="008C2C77"/>
    <w:rsid w:val="008C2DC3"/>
    <w:rsid w:val="008C2E47"/>
    <w:rsid w:val="008C3017"/>
    <w:rsid w:val="008C3096"/>
    <w:rsid w:val="008C30C3"/>
    <w:rsid w:val="008C3167"/>
    <w:rsid w:val="008C3191"/>
    <w:rsid w:val="008C3464"/>
    <w:rsid w:val="008C34E5"/>
    <w:rsid w:val="008C3598"/>
    <w:rsid w:val="008C3617"/>
    <w:rsid w:val="008C36E1"/>
    <w:rsid w:val="008C382A"/>
    <w:rsid w:val="008C3EFE"/>
    <w:rsid w:val="008C3FF3"/>
    <w:rsid w:val="008C4068"/>
    <w:rsid w:val="008C4177"/>
    <w:rsid w:val="008C425B"/>
    <w:rsid w:val="008C43B5"/>
    <w:rsid w:val="008C442A"/>
    <w:rsid w:val="008C44E5"/>
    <w:rsid w:val="008C480E"/>
    <w:rsid w:val="008C48EE"/>
    <w:rsid w:val="008C490D"/>
    <w:rsid w:val="008C4933"/>
    <w:rsid w:val="008C4A1F"/>
    <w:rsid w:val="008C4A78"/>
    <w:rsid w:val="008C4C19"/>
    <w:rsid w:val="008C4EDF"/>
    <w:rsid w:val="008C54AB"/>
    <w:rsid w:val="008C54C4"/>
    <w:rsid w:val="008C579B"/>
    <w:rsid w:val="008C57F6"/>
    <w:rsid w:val="008C5819"/>
    <w:rsid w:val="008C5865"/>
    <w:rsid w:val="008C592D"/>
    <w:rsid w:val="008C593E"/>
    <w:rsid w:val="008C5A32"/>
    <w:rsid w:val="008C5B57"/>
    <w:rsid w:val="008C5C18"/>
    <w:rsid w:val="008C5E3E"/>
    <w:rsid w:val="008C5EB8"/>
    <w:rsid w:val="008C6201"/>
    <w:rsid w:val="008C64CF"/>
    <w:rsid w:val="008C64EE"/>
    <w:rsid w:val="008C6528"/>
    <w:rsid w:val="008C6619"/>
    <w:rsid w:val="008C66E7"/>
    <w:rsid w:val="008C6875"/>
    <w:rsid w:val="008C6964"/>
    <w:rsid w:val="008C6AEB"/>
    <w:rsid w:val="008C6BEB"/>
    <w:rsid w:val="008C6C19"/>
    <w:rsid w:val="008C6CEF"/>
    <w:rsid w:val="008C6F3B"/>
    <w:rsid w:val="008C7013"/>
    <w:rsid w:val="008C7097"/>
    <w:rsid w:val="008C70B0"/>
    <w:rsid w:val="008C719C"/>
    <w:rsid w:val="008C7321"/>
    <w:rsid w:val="008C745A"/>
    <w:rsid w:val="008C746A"/>
    <w:rsid w:val="008C754A"/>
    <w:rsid w:val="008C754B"/>
    <w:rsid w:val="008C75E4"/>
    <w:rsid w:val="008C7865"/>
    <w:rsid w:val="008C79B0"/>
    <w:rsid w:val="008C7B02"/>
    <w:rsid w:val="008C7B3A"/>
    <w:rsid w:val="008C7E0A"/>
    <w:rsid w:val="008C7EC3"/>
    <w:rsid w:val="008C7F2A"/>
    <w:rsid w:val="008C7FAA"/>
    <w:rsid w:val="008D028D"/>
    <w:rsid w:val="008D0340"/>
    <w:rsid w:val="008D054C"/>
    <w:rsid w:val="008D05ED"/>
    <w:rsid w:val="008D0875"/>
    <w:rsid w:val="008D0C6E"/>
    <w:rsid w:val="008D0E2C"/>
    <w:rsid w:val="008D0E38"/>
    <w:rsid w:val="008D0E6F"/>
    <w:rsid w:val="008D0F87"/>
    <w:rsid w:val="008D1121"/>
    <w:rsid w:val="008D1287"/>
    <w:rsid w:val="008D13F8"/>
    <w:rsid w:val="008D148B"/>
    <w:rsid w:val="008D14A5"/>
    <w:rsid w:val="008D152C"/>
    <w:rsid w:val="008D1603"/>
    <w:rsid w:val="008D1B3D"/>
    <w:rsid w:val="008D1B95"/>
    <w:rsid w:val="008D1C7D"/>
    <w:rsid w:val="008D1CAB"/>
    <w:rsid w:val="008D1D12"/>
    <w:rsid w:val="008D1D2E"/>
    <w:rsid w:val="008D1DCB"/>
    <w:rsid w:val="008D1DEB"/>
    <w:rsid w:val="008D1FB8"/>
    <w:rsid w:val="008D20BD"/>
    <w:rsid w:val="008D2198"/>
    <w:rsid w:val="008D21AE"/>
    <w:rsid w:val="008D22F9"/>
    <w:rsid w:val="008D2312"/>
    <w:rsid w:val="008D2461"/>
    <w:rsid w:val="008D25C7"/>
    <w:rsid w:val="008D26FC"/>
    <w:rsid w:val="008D27C3"/>
    <w:rsid w:val="008D2A13"/>
    <w:rsid w:val="008D2B70"/>
    <w:rsid w:val="008D2F93"/>
    <w:rsid w:val="008D303A"/>
    <w:rsid w:val="008D30F3"/>
    <w:rsid w:val="008D3334"/>
    <w:rsid w:val="008D33D8"/>
    <w:rsid w:val="008D351E"/>
    <w:rsid w:val="008D369D"/>
    <w:rsid w:val="008D3846"/>
    <w:rsid w:val="008D3AFB"/>
    <w:rsid w:val="008D3C38"/>
    <w:rsid w:val="008D3D01"/>
    <w:rsid w:val="008D3D24"/>
    <w:rsid w:val="008D3DBA"/>
    <w:rsid w:val="008D3DD4"/>
    <w:rsid w:val="008D3EE4"/>
    <w:rsid w:val="008D3FC7"/>
    <w:rsid w:val="008D404E"/>
    <w:rsid w:val="008D408A"/>
    <w:rsid w:val="008D40B7"/>
    <w:rsid w:val="008D40BD"/>
    <w:rsid w:val="008D40DB"/>
    <w:rsid w:val="008D41A9"/>
    <w:rsid w:val="008D45DE"/>
    <w:rsid w:val="008D484E"/>
    <w:rsid w:val="008D486A"/>
    <w:rsid w:val="008D48AE"/>
    <w:rsid w:val="008D490D"/>
    <w:rsid w:val="008D4A0F"/>
    <w:rsid w:val="008D4A4D"/>
    <w:rsid w:val="008D4B9A"/>
    <w:rsid w:val="008D4BF1"/>
    <w:rsid w:val="008D4D56"/>
    <w:rsid w:val="008D4E2F"/>
    <w:rsid w:val="008D4E45"/>
    <w:rsid w:val="008D4E8C"/>
    <w:rsid w:val="008D4ED1"/>
    <w:rsid w:val="008D53A4"/>
    <w:rsid w:val="008D53EC"/>
    <w:rsid w:val="008D549A"/>
    <w:rsid w:val="008D54D2"/>
    <w:rsid w:val="008D5507"/>
    <w:rsid w:val="008D55E3"/>
    <w:rsid w:val="008D563B"/>
    <w:rsid w:val="008D566C"/>
    <w:rsid w:val="008D588E"/>
    <w:rsid w:val="008D5A04"/>
    <w:rsid w:val="008D5A0A"/>
    <w:rsid w:val="008D5B88"/>
    <w:rsid w:val="008D5C65"/>
    <w:rsid w:val="008D5CCA"/>
    <w:rsid w:val="008D5DDC"/>
    <w:rsid w:val="008D5ED3"/>
    <w:rsid w:val="008D5F4C"/>
    <w:rsid w:val="008D5F57"/>
    <w:rsid w:val="008D6044"/>
    <w:rsid w:val="008D606B"/>
    <w:rsid w:val="008D6124"/>
    <w:rsid w:val="008D61B1"/>
    <w:rsid w:val="008D62C2"/>
    <w:rsid w:val="008D669C"/>
    <w:rsid w:val="008D6781"/>
    <w:rsid w:val="008D6820"/>
    <w:rsid w:val="008D6A78"/>
    <w:rsid w:val="008D6CBA"/>
    <w:rsid w:val="008D6D00"/>
    <w:rsid w:val="008D6F09"/>
    <w:rsid w:val="008D6F0B"/>
    <w:rsid w:val="008D6F7F"/>
    <w:rsid w:val="008D71E5"/>
    <w:rsid w:val="008D72E1"/>
    <w:rsid w:val="008D7635"/>
    <w:rsid w:val="008D763A"/>
    <w:rsid w:val="008D7697"/>
    <w:rsid w:val="008D7772"/>
    <w:rsid w:val="008D7880"/>
    <w:rsid w:val="008D78B3"/>
    <w:rsid w:val="008D7BBC"/>
    <w:rsid w:val="008D7E0A"/>
    <w:rsid w:val="008E005A"/>
    <w:rsid w:val="008E007D"/>
    <w:rsid w:val="008E0506"/>
    <w:rsid w:val="008E056E"/>
    <w:rsid w:val="008E060C"/>
    <w:rsid w:val="008E069D"/>
    <w:rsid w:val="008E075B"/>
    <w:rsid w:val="008E078B"/>
    <w:rsid w:val="008E09B9"/>
    <w:rsid w:val="008E0B19"/>
    <w:rsid w:val="008E0E47"/>
    <w:rsid w:val="008E1267"/>
    <w:rsid w:val="008E1294"/>
    <w:rsid w:val="008E12A7"/>
    <w:rsid w:val="008E1497"/>
    <w:rsid w:val="008E152A"/>
    <w:rsid w:val="008E152D"/>
    <w:rsid w:val="008E15EE"/>
    <w:rsid w:val="008E16A2"/>
    <w:rsid w:val="008E184E"/>
    <w:rsid w:val="008E18A6"/>
    <w:rsid w:val="008E19C3"/>
    <w:rsid w:val="008E1A3A"/>
    <w:rsid w:val="008E1AD7"/>
    <w:rsid w:val="008E1B9D"/>
    <w:rsid w:val="008E1C4A"/>
    <w:rsid w:val="008E1D2D"/>
    <w:rsid w:val="008E1DF1"/>
    <w:rsid w:val="008E1E01"/>
    <w:rsid w:val="008E1EE1"/>
    <w:rsid w:val="008E1F8C"/>
    <w:rsid w:val="008E2007"/>
    <w:rsid w:val="008E22AB"/>
    <w:rsid w:val="008E2318"/>
    <w:rsid w:val="008E233B"/>
    <w:rsid w:val="008E24F1"/>
    <w:rsid w:val="008E2662"/>
    <w:rsid w:val="008E2705"/>
    <w:rsid w:val="008E274B"/>
    <w:rsid w:val="008E27D0"/>
    <w:rsid w:val="008E27D8"/>
    <w:rsid w:val="008E28F1"/>
    <w:rsid w:val="008E28F7"/>
    <w:rsid w:val="008E2DDB"/>
    <w:rsid w:val="008E2EFE"/>
    <w:rsid w:val="008E2F2C"/>
    <w:rsid w:val="008E324D"/>
    <w:rsid w:val="008E3277"/>
    <w:rsid w:val="008E3364"/>
    <w:rsid w:val="008E339F"/>
    <w:rsid w:val="008E3419"/>
    <w:rsid w:val="008E34AD"/>
    <w:rsid w:val="008E3579"/>
    <w:rsid w:val="008E37BA"/>
    <w:rsid w:val="008E38D2"/>
    <w:rsid w:val="008E39FE"/>
    <w:rsid w:val="008E3B69"/>
    <w:rsid w:val="008E3BE8"/>
    <w:rsid w:val="008E3BF0"/>
    <w:rsid w:val="008E3D78"/>
    <w:rsid w:val="008E410F"/>
    <w:rsid w:val="008E4227"/>
    <w:rsid w:val="008E4381"/>
    <w:rsid w:val="008E4641"/>
    <w:rsid w:val="008E4BFE"/>
    <w:rsid w:val="008E4CE7"/>
    <w:rsid w:val="008E4E85"/>
    <w:rsid w:val="008E4EA1"/>
    <w:rsid w:val="008E50C3"/>
    <w:rsid w:val="008E50D6"/>
    <w:rsid w:val="008E51BD"/>
    <w:rsid w:val="008E5849"/>
    <w:rsid w:val="008E584B"/>
    <w:rsid w:val="008E5A8F"/>
    <w:rsid w:val="008E5A92"/>
    <w:rsid w:val="008E61FC"/>
    <w:rsid w:val="008E6247"/>
    <w:rsid w:val="008E632C"/>
    <w:rsid w:val="008E6330"/>
    <w:rsid w:val="008E6559"/>
    <w:rsid w:val="008E65BF"/>
    <w:rsid w:val="008E65F0"/>
    <w:rsid w:val="008E6781"/>
    <w:rsid w:val="008E6790"/>
    <w:rsid w:val="008E6A33"/>
    <w:rsid w:val="008E6A52"/>
    <w:rsid w:val="008E6B22"/>
    <w:rsid w:val="008E6B78"/>
    <w:rsid w:val="008E6B9B"/>
    <w:rsid w:val="008E6CD7"/>
    <w:rsid w:val="008E6E11"/>
    <w:rsid w:val="008E6F65"/>
    <w:rsid w:val="008E7149"/>
    <w:rsid w:val="008E71A5"/>
    <w:rsid w:val="008E7206"/>
    <w:rsid w:val="008E7225"/>
    <w:rsid w:val="008E72AC"/>
    <w:rsid w:val="008E7304"/>
    <w:rsid w:val="008E7331"/>
    <w:rsid w:val="008E73B2"/>
    <w:rsid w:val="008E7459"/>
    <w:rsid w:val="008E754E"/>
    <w:rsid w:val="008E7598"/>
    <w:rsid w:val="008E76F7"/>
    <w:rsid w:val="008E7ACF"/>
    <w:rsid w:val="008E7AF5"/>
    <w:rsid w:val="008E7B2D"/>
    <w:rsid w:val="008E7D37"/>
    <w:rsid w:val="008E7D8B"/>
    <w:rsid w:val="008E7DF3"/>
    <w:rsid w:val="008F00CD"/>
    <w:rsid w:val="008F03D5"/>
    <w:rsid w:val="008F05C8"/>
    <w:rsid w:val="008F05CA"/>
    <w:rsid w:val="008F0988"/>
    <w:rsid w:val="008F0BDE"/>
    <w:rsid w:val="008F0D8A"/>
    <w:rsid w:val="008F0EE6"/>
    <w:rsid w:val="008F0F63"/>
    <w:rsid w:val="008F0FA0"/>
    <w:rsid w:val="008F0FDB"/>
    <w:rsid w:val="008F1233"/>
    <w:rsid w:val="008F1333"/>
    <w:rsid w:val="008F1361"/>
    <w:rsid w:val="008F18DA"/>
    <w:rsid w:val="008F19D7"/>
    <w:rsid w:val="008F1B2B"/>
    <w:rsid w:val="008F1D18"/>
    <w:rsid w:val="008F1D87"/>
    <w:rsid w:val="008F1E58"/>
    <w:rsid w:val="008F2008"/>
    <w:rsid w:val="008F2116"/>
    <w:rsid w:val="008F24A4"/>
    <w:rsid w:val="008F270D"/>
    <w:rsid w:val="008F27EB"/>
    <w:rsid w:val="008F27EE"/>
    <w:rsid w:val="008F283E"/>
    <w:rsid w:val="008F2964"/>
    <w:rsid w:val="008F2A94"/>
    <w:rsid w:val="008F2B32"/>
    <w:rsid w:val="008F2B91"/>
    <w:rsid w:val="008F2DC7"/>
    <w:rsid w:val="008F2F0C"/>
    <w:rsid w:val="008F308D"/>
    <w:rsid w:val="008F30E7"/>
    <w:rsid w:val="008F31AF"/>
    <w:rsid w:val="008F3327"/>
    <w:rsid w:val="008F357A"/>
    <w:rsid w:val="008F35EE"/>
    <w:rsid w:val="008F35F3"/>
    <w:rsid w:val="008F37E3"/>
    <w:rsid w:val="008F38DD"/>
    <w:rsid w:val="008F3956"/>
    <w:rsid w:val="008F3B45"/>
    <w:rsid w:val="008F3BA3"/>
    <w:rsid w:val="008F3DEA"/>
    <w:rsid w:val="008F3EB5"/>
    <w:rsid w:val="008F40D9"/>
    <w:rsid w:val="008F4224"/>
    <w:rsid w:val="008F42D5"/>
    <w:rsid w:val="008F43FF"/>
    <w:rsid w:val="008F460B"/>
    <w:rsid w:val="008F4637"/>
    <w:rsid w:val="008F46E3"/>
    <w:rsid w:val="008F47E1"/>
    <w:rsid w:val="008F47EE"/>
    <w:rsid w:val="008F4A2B"/>
    <w:rsid w:val="008F4B9B"/>
    <w:rsid w:val="008F4BEB"/>
    <w:rsid w:val="008F4D28"/>
    <w:rsid w:val="008F4DCA"/>
    <w:rsid w:val="008F4DED"/>
    <w:rsid w:val="008F4F2C"/>
    <w:rsid w:val="008F4F40"/>
    <w:rsid w:val="008F5039"/>
    <w:rsid w:val="008F5099"/>
    <w:rsid w:val="008F5127"/>
    <w:rsid w:val="008F5163"/>
    <w:rsid w:val="008F51BF"/>
    <w:rsid w:val="008F5233"/>
    <w:rsid w:val="008F55C3"/>
    <w:rsid w:val="008F55F8"/>
    <w:rsid w:val="008F594D"/>
    <w:rsid w:val="008F5C78"/>
    <w:rsid w:val="008F5F19"/>
    <w:rsid w:val="008F6005"/>
    <w:rsid w:val="008F6060"/>
    <w:rsid w:val="008F6595"/>
    <w:rsid w:val="008F65DE"/>
    <w:rsid w:val="008F6676"/>
    <w:rsid w:val="008F668C"/>
    <w:rsid w:val="008F6A0A"/>
    <w:rsid w:val="008F6A65"/>
    <w:rsid w:val="008F6EA3"/>
    <w:rsid w:val="008F7081"/>
    <w:rsid w:val="008F70D4"/>
    <w:rsid w:val="008F750A"/>
    <w:rsid w:val="008F7619"/>
    <w:rsid w:val="008F781B"/>
    <w:rsid w:val="008F795E"/>
    <w:rsid w:val="008F7A60"/>
    <w:rsid w:val="008F7C06"/>
    <w:rsid w:val="0090000F"/>
    <w:rsid w:val="009000FA"/>
    <w:rsid w:val="00900180"/>
    <w:rsid w:val="00900458"/>
    <w:rsid w:val="00900502"/>
    <w:rsid w:val="0090053F"/>
    <w:rsid w:val="009005EA"/>
    <w:rsid w:val="00900631"/>
    <w:rsid w:val="00900675"/>
    <w:rsid w:val="00900758"/>
    <w:rsid w:val="00900921"/>
    <w:rsid w:val="00900949"/>
    <w:rsid w:val="00900B45"/>
    <w:rsid w:val="00900EE2"/>
    <w:rsid w:val="00901346"/>
    <w:rsid w:val="00901503"/>
    <w:rsid w:val="0090152D"/>
    <w:rsid w:val="0090167B"/>
    <w:rsid w:val="0090185D"/>
    <w:rsid w:val="00901ACF"/>
    <w:rsid w:val="00901B0C"/>
    <w:rsid w:val="00901C76"/>
    <w:rsid w:val="00901E16"/>
    <w:rsid w:val="00901F4D"/>
    <w:rsid w:val="00901F7A"/>
    <w:rsid w:val="00901F97"/>
    <w:rsid w:val="0090207E"/>
    <w:rsid w:val="00902100"/>
    <w:rsid w:val="00902235"/>
    <w:rsid w:val="0090226F"/>
    <w:rsid w:val="009022AC"/>
    <w:rsid w:val="00902409"/>
    <w:rsid w:val="00902432"/>
    <w:rsid w:val="00902700"/>
    <w:rsid w:val="009027C8"/>
    <w:rsid w:val="00902B84"/>
    <w:rsid w:val="00902C1C"/>
    <w:rsid w:val="00902C9D"/>
    <w:rsid w:val="00902E82"/>
    <w:rsid w:val="00902F4E"/>
    <w:rsid w:val="0090310B"/>
    <w:rsid w:val="0090316D"/>
    <w:rsid w:val="009034E2"/>
    <w:rsid w:val="009035B1"/>
    <w:rsid w:val="00903940"/>
    <w:rsid w:val="0090398E"/>
    <w:rsid w:val="00903A5D"/>
    <w:rsid w:val="00903AB9"/>
    <w:rsid w:val="00903AC4"/>
    <w:rsid w:val="00903C15"/>
    <w:rsid w:val="00903CE9"/>
    <w:rsid w:val="00903D04"/>
    <w:rsid w:val="00903FF4"/>
    <w:rsid w:val="009041CE"/>
    <w:rsid w:val="00904320"/>
    <w:rsid w:val="00904374"/>
    <w:rsid w:val="009044B1"/>
    <w:rsid w:val="00904587"/>
    <w:rsid w:val="0090460F"/>
    <w:rsid w:val="00904675"/>
    <w:rsid w:val="0090480D"/>
    <w:rsid w:val="00904828"/>
    <w:rsid w:val="00904879"/>
    <w:rsid w:val="00904A5C"/>
    <w:rsid w:val="00904E00"/>
    <w:rsid w:val="00904F77"/>
    <w:rsid w:val="00904FEE"/>
    <w:rsid w:val="00905290"/>
    <w:rsid w:val="00905590"/>
    <w:rsid w:val="009055BD"/>
    <w:rsid w:val="0090573D"/>
    <w:rsid w:val="00905910"/>
    <w:rsid w:val="00905971"/>
    <w:rsid w:val="00905A37"/>
    <w:rsid w:val="00905B18"/>
    <w:rsid w:val="00905DA7"/>
    <w:rsid w:val="00905E06"/>
    <w:rsid w:val="00905E45"/>
    <w:rsid w:val="009060B9"/>
    <w:rsid w:val="009062F6"/>
    <w:rsid w:val="0090634A"/>
    <w:rsid w:val="00906435"/>
    <w:rsid w:val="009064DE"/>
    <w:rsid w:val="00906554"/>
    <w:rsid w:val="009067DA"/>
    <w:rsid w:val="0090683E"/>
    <w:rsid w:val="0090687A"/>
    <w:rsid w:val="0090698D"/>
    <w:rsid w:val="00906C07"/>
    <w:rsid w:val="00906E3C"/>
    <w:rsid w:val="00906E68"/>
    <w:rsid w:val="00906E7A"/>
    <w:rsid w:val="00906FBC"/>
    <w:rsid w:val="0090716C"/>
    <w:rsid w:val="009071A1"/>
    <w:rsid w:val="00907260"/>
    <w:rsid w:val="00907307"/>
    <w:rsid w:val="009074AC"/>
    <w:rsid w:val="009074FD"/>
    <w:rsid w:val="0090750A"/>
    <w:rsid w:val="009075EB"/>
    <w:rsid w:val="009075FC"/>
    <w:rsid w:val="00907C00"/>
    <w:rsid w:val="00907C05"/>
    <w:rsid w:val="00907C5B"/>
    <w:rsid w:val="00907DCB"/>
    <w:rsid w:val="00907ED0"/>
    <w:rsid w:val="00910364"/>
    <w:rsid w:val="00910389"/>
    <w:rsid w:val="0091048B"/>
    <w:rsid w:val="00910604"/>
    <w:rsid w:val="00910957"/>
    <w:rsid w:val="00910A0B"/>
    <w:rsid w:val="00910B13"/>
    <w:rsid w:val="00910B5F"/>
    <w:rsid w:val="00910C0F"/>
    <w:rsid w:val="00911206"/>
    <w:rsid w:val="00911209"/>
    <w:rsid w:val="009112C4"/>
    <w:rsid w:val="009114BA"/>
    <w:rsid w:val="009114F2"/>
    <w:rsid w:val="0091168E"/>
    <w:rsid w:val="00911899"/>
    <w:rsid w:val="0091192C"/>
    <w:rsid w:val="00911C66"/>
    <w:rsid w:val="00911D62"/>
    <w:rsid w:val="00911EF5"/>
    <w:rsid w:val="00911F8C"/>
    <w:rsid w:val="00912135"/>
    <w:rsid w:val="0091228E"/>
    <w:rsid w:val="0091231C"/>
    <w:rsid w:val="009125A0"/>
    <w:rsid w:val="009126CC"/>
    <w:rsid w:val="009127F1"/>
    <w:rsid w:val="00912881"/>
    <w:rsid w:val="00912B6B"/>
    <w:rsid w:val="00912BDB"/>
    <w:rsid w:val="00912D4E"/>
    <w:rsid w:val="00912E91"/>
    <w:rsid w:val="00912F35"/>
    <w:rsid w:val="0091335B"/>
    <w:rsid w:val="00913388"/>
    <w:rsid w:val="009133F7"/>
    <w:rsid w:val="00913A70"/>
    <w:rsid w:val="00913B95"/>
    <w:rsid w:val="00913C45"/>
    <w:rsid w:val="00913CEB"/>
    <w:rsid w:val="00913F1E"/>
    <w:rsid w:val="009141FB"/>
    <w:rsid w:val="00914214"/>
    <w:rsid w:val="009142F5"/>
    <w:rsid w:val="0091449D"/>
    <w:rsid w:val="00914538"/>
    <w:rsid w:val="009145B8"/>
    <w:rsid w:val="009146B8"/>
    <w:rsid w:val="00914B58"/>
    <w:rsid w:val="00914BBD"/>
    <w:rsid w:val="00914BC7"/>
    <w:rsid w:val="00914C65"/>
    <w:rsid w:val="00914D32"/>
    <w:rsid w:val="00914DF2"/>
    <w:rsid w:val="0091500C"/>
    <w:rsid w:val="009151F2"/>
    <w:rsid w:val="0091550C"/>
    <w:rsid w:val="009155CA"/>
    <w:rsid w:val="0091568A"/>
    <w:rsid w:val="00915748"/>
    <w:rsid w:val="009157EB"/>
    <w:rsid w:val="00915892"/>
    <w:rsid w:val="009159E1"/>
    <w:rsid w:val="00915B41"/>
    <w:rsid w:val="00915B86"/>
    <w:rsid w:val="00915C00"/>
    <w:rsid w:val="00915D4D"/>
    <w:rsid w:val="00916036"/>
    <w:rsid w:val="00916041"/>
    <w:rsid w:val="00916063"/>
    <w:rsid w:val="00916082"/>
    <w:rsid w:val="00916190"/>
    <w:rsid w:val="009161FA"/>
    <w:rsid w:val="0091626A"/>
    <w:rsid w:val="00916504"/>
    <w:rsid w:val="009167F5"/>
    <w:rsid w:val="009168AC"/>
    <w:rsid w:val="009169C9"/>
    <w:rsid w:val="00916C2B"/>
    <w:rsid w:val="00916C7F"/>
    <w:rsid w:val="00916D44"/>
    <w:rsid w:val="00916D58"/>
    <w:rsid w:val="00916DB9"/>
    <w:rsid w:val="00916E9F"/>
    <w:rsid w:val="00916EAA"/>
    <w:rsid w:val="00917008"/>
    <w:rsid w:val="009170D2"/>
    <w:rsid w:val="009171B5"/>
    <w:rsid w:val="00917261"/>
    <w:rsid w:val="00917331"/>
    <w:rsid w:val="00917624"/>
    <w:rsid w:val="00917677"/>
    <w:rsid w:val="009176A6"/>
    <w:rsid w:val="0091775F"/>
    <w:rsid w:val="00917A0F"/>
    <w:rsid w:val="00917BCE"/>
    <w:rsid w:val="00917C3F"/>
    <w:rsid w:val="00917D0A"/>
    <w:rsid w:val="00917F6D"/>
    <w:rsid w:val="00917F9C"/>
    <w:rsid w:val="009200AA"/>
    <w:rsid w:val="0092037B"/>
    <w:rsid w:val="00920679"/>
    <w:rsid w:val="009207E9"/>
    <w:rsid w:val="00920875"/>
    <w:rsid w:val="00920939"/>
    <w:rsid w:val="0092097E"/>
    <w:rsid w:val="00920C86"/>
    <w:rsid w:val="00920CDF"/>
    <w:rsid w:val="00920DFE"/>
    <w:rsid w:val="00920EDA"/>
    <w:rsid w:val="00920FC1"/>
    <w:rsid w:val="0092130F"/>
    <w:rsid w:val="0092147B"/>
    <w:rsid w:val="009214B7"/>
    <w:rsid w:val="009216E8"/>
    <w:rsid w:val="009217FA"/>
    <w:rsid w:val="00921801"/>
    <w:rsid w:val="009218D4"/>
    <w:rsid w:val="009218FD"/>
    <w:rsid w:val="00921A1E"/>
    <w:rsid w:val="00921B0B"/>
    <w:rsid w:val="00921CCA"/>
    <w:rsid w:val="00921D0B"/>
    <w:rsid w:val="00921E69"/>
    <w:rsid w:val="00921FC1"/>
    <w:rsid w:val="00922168"/>
    <w:rsid w:val="00922346"/>
    <w:rsid w:val="0092259A"/>
    <w:rsid w:val="009225A7"/>
    <w:rsid w:val="009229D5"/>
    <w:rsid w:val="00922B92"/>
    <w:rsid w:val="00922CEF"/>
    <w:rsid w:val="00922E19"/>
    <w:rsid w:val="00922EF1"/>
    <w:rsid w:val="00922F97"/>
    <w:rsid w:val="00923042"/>
    <w:rsid w:val="00923228"/>
    <w:rsid w:val="00923309"/>
    <w:rsid w:val="00923C11"/>
    <w:rsid w:val="00923D82"/>
    <w:rsid w:val="00924278"/>
    <w:rsid w:val="009242D1"/>
    <w:rsid w:val="00924805"/>
    <w:rsid w:val="0092483B"/>
    <w:rsid w:val="009248E9"/>
    <w:rsid w:val="00924A27"/>
    <w:rsid w:val="00924AAD"/>
    <w:rsid w:val="00924ABB"/>
    <w:rsid w:val="00924B14"/>
    <w:rsid w:val="00924BEA"/>
    <w:rsid w:val="00924CF1"/>
    <w:rsid w:val="00924DC6"/>
    <w:rsid w:val="00924E84"/>
    <w:rsid w:val="00924F3B"/>
    <w:rsid w:val="00924F76"/>
    <w:rsid w:val="00925098"/>
    <w:rsid w:val="00925216"/>
    <w:rsid w:val="009258BD"/>
    <w:rsid w:val="0092590D"/>
    <w:rsid w:val="00925A85"/>
    <w:rsid w:val="00925BF7"/>
    <w:rsid w:val="00925C0C"/>
    <w:rsid w:val="00925DB2"/>
    <w:rsid w:val="00925F83"/>
    <w:rsid w:val="009260B6"/>
    <w:rsid w:val="00926255"/>
    <w:rsid w:val="0092645F"/>
    <w:rsid w:val="0092656E"/>
    <w:rsid w:val="0092663D"/>
    <w:rsid w:val="009266BE"/>
    <w:rsid w:val="00926765"/>
    <w:rsid w:val="0092678C"/>
    <w:rsid w:val="009267FD"/>
    <w:rsid w:val="00926852"/>
    <w:rsid w:val="00926967"/>
    <w:rsid w:val="00926BF5"/>
    <w:rsid w:val="00926BF9"/>
    <w:rsid w:val="00926CF4"/>
    <w:rsid w:val="00926E06"/>
    <w:rsid w:val="00926E2C"/>
    <w:rsid w:val="00926E4B"/>
    <w:rsid w:val="00926EAC"/>
    <w:rsid w:val="0092729E"/>
    <w:rsid w:val="009272DB"/>
    <w:rsid w:val="00927379"/>
    <w:rsid w:val="00927468"/>
    <w:rsid w:val="00927674"/>
    <w:rsid w:val="00927793"/>
    <w:rsid w:val="00927977"/>
    <w:rsid w:val="009279F0"/>
    <w:rsid w:val="00927BA9"/>
    <w:rsid w:val="00927CB6"/>
    <w:rsid w:val="00927D3D"/>
    <w:rsid w:val="00927E7B"/>
    <w:rsid w:val="0093031B"/>
    <w:rsid w:val="00930453"/>
    <w:rsid w:val="0093046A"/>
    <w:rsid w:val="00930696"/>
    <w:rsid w:val="009307D3"/>
    <w:rsid w:val="0093084B"/>
    <w:rsid w:val="00930896"/>
    <w:rsid w:val="00930D67"/>
    <w:rsid w:val="00930E00"/>
    <w:rsid w:val="00930E06"/>
    <w:rsid w:val="009310D8"/>
    <w:rsid w:val="00931324"/>
    <w:rsid w:val="00931479"/>
    <w:rsid w:val="009314C9"/>
    <w:rsid w:val="00931544"/>
    <w:rsid w:val="0093158B"/>
    <w:rsid w:val="00931592"/>
    <w:rsid w:val="009315BC"/>
    <w:rsid w:val="00931635"/>
    <w:rsid w:val="00931840"/>
    <w:rsid w:val="009318E6"/>
    <w:rsid w:val="009319CE"/>
    <w:rsid w:val="00931C07"/>
    <w:rsid w:val="009325F7"/>
    <w:rsid w:val="00932AA0"/>
    <w:rsid w:val="00932CBA"/>
    <w:rsid w:val="00933151"/>
    <w:rsid w:val="00933192"/>
    <w:rsid w:val="0093339E"/>
    <w:rsid w:val="0093363A"/>
    <w:rsid w:val="0093364A"/>
    <w:rsid w:val="00933665"/>
    <w:rsid w:val="009336E4"/>
    <w:rsid w:val="009337B0"/>
    <w:rsid w:val="0093399F"/>
    <w:rsid w:val="009339AE"/>
    <w:rsid w:val="00933A79"/>
    <w:rsid w:val="00933A9B"/>
    <w:rsid w:val="00933CF5"/>
    <w:rsid w:val="00933D99"/>
    <w:rsid w:val="00933DDC"/>
    <w:rsid w:val="00934047"/>
    <w:rsid w:val="009341E8"/>
    <w:rsid w:val="009342C8"/>
    <w:rsid w:val="009343F9"/>
    <w:rsid w:val="0093449D"/>
    <w:rsid w:val="009345C5"/>
    <w:rsid w:val="0093467E"/>
    <w:rsid w:val="009346A8"/>
    <w:rsid w:val="009346F7"/>
    <w:rsid w:val="0093473C"/>
    <w:rsid w:val="0093474B"/>
    <w:rsid w:val="00934790"/>
    <w:rsid w:val="00934868"/>
    <w:rsid w:val="00934B8B"/>
    <w:rsid w:val="00934BA1"/>
    <w:rsid w:val="00934BEB"/>
    <w:rsid w:val="00934CF4"/>
    <w:rsid w:val="00934F6F"/>
    <w:rsid w:val="0093503C"/>
    <w:rsid w:val="0093514F"/>
    <w:rsid w:val="0093538D"/>
    <w:rsid w:val="009353AC"/>
    <w:rsid w:val="0093542B"/>
    <w:rsid w:val="0093550A"/>
    <w:rsid w:val="00935546"/>
    <w:rsid w:val="009355D4"/>
    <w:rsid w:val="00935641"/>
    <w:rsid w:val="00935650"/>
    <w:rsid w:val="00935665"/>
    <w:rsid w:val="009356A9"/>
    <w:rsid w:val="0093576D"/>
    <w:rsid w:val="00935A0C"/>
    <w:rsid w:val="00935A0F"/>
    <w:rsid w:val="00935A81"/>
    <w:rsid w:val="00935DF1"/>
    <w:rsid w:val="00935E0B"/>
    <w:rsid w:val="00935F26"/>
    <w:rsid w:val="0093612D"/>
    <w:rsid w:val="009362BE"/>
    <w:rsid w:val="0093638F"/>
    <w:rsid w:val="009364A2"/>
    <w:rsid w:val="0093650A"/>
    <w:rsid w:val="0093677E"/>
    <w:rsid w:val="0093687B"/>
    <w:rsid w:val="009369A5"/>
    <w:rsid w:val="00936A03"/>
    <w:rsid w:val="00936A9D"/>
    <w:rsid w:val="00936C1B"/>
    <w:rsid w:val="00936D94"/>
    <w:rsid w:val="00936DF8"/>
    <w:rsid w:val="00936E19"/>
    <w:rsid w:val="00936E69"/>
    <w:rsid w:val="00936F8F"/>
    <w:rsid w:val="009372A2"/>
    <w:rsid w:val="009372C8"/>
    <w:rsid w:val="0093786A"/>
    <w:rsid w:val="009378FD"/>
    <w:rsid w:val="00937996"/>
    <w:rsid w:val="00937D80"/>
    <w:rsid w:val="00937F3F"/>
    <w:rsid w:val="009401F2"/>
    <w:rsid w:val="00940206"/>
    <w:rsid w:val="00940411"/>
    <w:rsid w:val="0094051B"/>
    <w:rsid w:val="009406CE"/>
    <w:rsid w:val="009408AF"/>
    <w:rsid w:val="009409AB"/>
    <w:rsid w:val="00940B1A"/>
    <w:rsid w:val="00940C77"/>
    <w:rsid w:val="00940C8C"/>
    <w:rsid w:val="00940CB6"/>
    <w:rsid w:val="00940D9F"/>
    <w:rsid w:val="00940E03"/>
    <w:rsid w:val="00940E66"/>
    <w:rsid w:val="00941222"/>
    <w:rsid w:val="00941324"/>
    <w:rsid w:val="009417DC"/>
    <w:rsid w:val="00941859"/>
    <w:rsid w:val="0094186E"/>
    <w:rsid w:val="009418D3"/>
    <w:rsid w:val="00941982"/>
    <w:rsid w:val="00941ABD"/>
    <w:rsid w:val="00941B75"/>
    <w:rsid w:val="00941C6E"/>
    <w:rsid w:val="00941CAA"/>
    <w:rsid w:val="00941DE9"/>
    <w:rsid w:val="00941E80"/>
    <w:rsid w:val="00941F7E"/>
    <w:rsid w:val="0094216C"/>
    <w:rsid w:val="00942262"/>
    <w:rsid w:val="0094280A"/>
    <w:rsid w:val="00942A5F"/>
    <w:rsid w:val="00942B6D"/>
    <w:rsid w:val="00942BFB"/>
    <w:rsid w:val="00942DC0"/>
    <w:rsid w:val="00942F54"/>
    <w:rsid w:val="009430CA"/>
    <w:rsid w:val="00943341"/>
    <w:rsid w:val="0094348D"/>
    <w:rsid w:val="0094372B"/>
    <w:rsid w:val="00943858"/>
    <w:rsid w:val="009438A0"/>
    <w:rsid w:val="00943A4F"/>
    <w:rsid w:val="00943C8B"/>
    <w:rsid w:val="00943D2F"/>
    <w:rsid w:val="00943D59"/>
    <w:rsid w:val="00943D82"/>
    <w:rsid w:val="00943E34"/>
    <w:rsid w:val="009443FD"/>
    <w:rsid w:val="0094440D"/>
    <w:rsid w:val="0094490C"/>
    <w:rsid w:val="009449AF"/>
    <w:rsid w:val="00944C8F"/>
    <w:rsid w:val="00944CEA"/>
    <w:rsid w:val="00944D44"/>
    <w:rsid w:val="00944D4D"/>
    <w:rsid w:val="00944E5B"/>
    <w:rsid w:val="009451DF"/>
    <w:rsid w:val="0094542D"/>
    <w:rsid w:val="0094548E"/>
    <w:rsid w:val="00945920"/>
    <w:rsid w:val="00945931"/>
    <w:rsid w:val="009459FF"/>
    <w:rsid w:val="00945BEB"/>
    <w:rsid w:val="00945BFE"/>
    <w:rsid w:val="00945C01"/>
    <w:rsid w:val="00945C52"/>
    <w:rsid w:val="00945C58"/>
    <w:rsid w:val="00945ED5"/>
    <w:rsid w:val="00945FD9"/>
    <w:rsid w:val="0094607F"/>
    <w:rsid w:val="009465AF"/>
    <w:rsid w:val="009465C3"/>
    <w:rsid w:val="00946734"/>
    <w:rsid w:val="009467AB"/>
    <w:rsid w:val="00946957"/>
    <w:rsid w:val="00947109"/>
    <w:rsid w:val="009475E0"/>
    <w:rsid w:val="0094762E"/>
    <w:rsid w:val="009477A3"/>
    <w:rsid w:val="009478AB"/>
    <w:rsid w:val="00947AD9"/>
    <w:rsid w:val="00947C50"/>
    <w:rsid w:val="00947DD3"/>
    <w:rsid w:val="0095020C"/>
    <w:rsid w:val="00950295"/>
    <w:rsid w:val="009504CF"/>
    <w:rsid w:val="009504FC"/>
    <w:rsid w:val="00950535"/>
    <w:rsid w:val="009505C2"/>
    <w:rsid w:val="00950676"/>
    <w:rsid w:val="00950954"/>
    <w:rsid w:val="00950A8D"/>
    <w:rsid w:val="00950AFC"/>
    <w:rsid w:val="00950C7F"/>
    <w:rsid w:val="00950C80"/>
    <w:rsid w:val="00950D45"/>
    <w:rsid w:val="00950EFA"/>
    <w:rsid w:val="009512DC"/>
    <w:rsid w:val="009512ED"/>
    <w:rsid w:val="009512F5"/>
    <w:rsid w:val="00951510"/>
    <w:rsid w:val="009515DB"/>
    <w:rsid w:val="009515E1"/>
    <w:rsid w:val="00951690"/>
    <w:rsid w:val="00951720"/>
    <w:rsid w:val="009517A0"/>
    <w:rsid w:val="00951859"/>
    <w:rsid w:val="009519BD"/>
    <w:rsid w:val="00951A4A"/>
    <w:rsid w:val="00951C64"/>
    <w:rsid w:val="00951FEF"/>
    <w:rsid w:val="00952077"/>
    <w:rsid w:val="00952738"/>
    <w:rsid w:val="009528F4"/>
    <w:rsid w:val="0095290E"/>
    <w:rsid w:val="00952981"/>
    <w:rsid w:val="009529BA"/>
    <w:rsid w:val="00952A75"/>
    <w:rsid w:val="00953152"/>
    <w:rsid w:val="00953157"/>
    <w:rsid w:val="009531BC"/>
    <w:rsid w:val="009531F7"/>
    <w:rsid w:val="009532F7"/>
    <w:rsid w:val="00953489"/>
    <w:rsid w:val="00953523"/>
    <w:rsid w:val="00953690"/>
    <w:rsid w:val="00953933"/>
    <w:rsid w:val="00953ADE"/>
    <w:rsid w:val="00953D1E"/>
    <w:rsid w:val="00953D44"/>
    <w:rsid w:val="00953DB5"/>
    <w:rsid w:val="00953F79"/>
    <w:rsid w:val="00954014"/>
    <w:rsid w:val="00954076"/>
    <w:rsid w:val="00954108"/>
    <w:rsid w:val="009543C6"/>
    <w:rsid w:val="00954578"/>
    <w:rsid w:val="009546B2"/>
    <w:rsid w:val="00954778"/>
    <w:rsid w:val="00954816"/>
    <w:rsid w:val="00954A70"/>
    <w:rsid w:val="00954D05"/>
    <w:rsid w:val="00954E75"/>
    <w:rsid w:val="00955246"/>
    <w:rsid w:val="0095547D"/>
    <w:rsid w:val="009554DD"/>
    <w:rsid w:val="00955743"/>
    <w:rsid w:val="009558E6"/>
    <w:rsid w:val="00955B11"/>
    <w:rsid w:val="00955B5E"/>
    <w:rsid w:val="00955BF7"/>
    <w:rsid w:val="00955C8B"/>
    <w:rsid w:val="00955ED0"/>
    <w:rsid w:val="00955ED9"/>
    <w:rsid w:val="00955F35"/>
    <w:rsid w:val="00956131"/>
    <w:rsid w:val="00956142"/>
    <w:rsid w:val="0095634C"/>
    <w:rsid w:val="009563BF"/>
    <w:rsid w:val="00956871"/>
    <w:rsid w:val="00956B63"/>
    <w:rsid w:val="00956E61"/>
    <w:rsid w:val="00956F32"/>
    <w:rsid w:val="00956F7F"/>
    <w:rsid w:val="00956FF5"/>
    <w:rsid w:val="00957102"/>
    <w:rsid w:val="009571AB"/>
    <w:rsid w:val="00957210"/>
    <w:rsid w:val="0095734C"/>
    <w:rsid w:val="009573CE"/>
    <w:rsid w:val="009574B5"/>
    <w:rsid w:val="00957555"/>
    <w:rsid w:val="00957751"/>
    <w:rsid w:val="00957C50"/>
    <w:rsid w:val="00957D13"/>
    <w:rsid w:val="00957D9C"/>
    <w:rsid w:val="00957DA4"/>
    <w:rsid w:val="00957E0D"/>
    <w:rsid w:val="00957EF4"/>
    <w:rsid w:val="00960060"/>
    <w:rsid w:val="009600D3"/>
    <w:rsid w:val="00960451"/>
    <w:rsid w:val="009606EC"/>
    <w:rsid w:val="00960878"/>
    <w:rsid w:val="009609CD"/>
    <w:rsid w:val="00960A10"/>
    <w:rsid w:val="00960DAC"/>
    <w:rsid w:val="00960EA6"/>
    <w:rsid w:val="00960EC6"/>
    <w:rsid w:val="00960F87"/>
    <w:rsid w:val="009610C1"/>
    <w:rsid w:val="0096113B"/>
    <w:rsid w:val="00961194"/>
    <w:rsid w:val="009611CE"/>
    <w:rsid w:val="00961317"/>
    <w:rsid w:val="009613FD"/>
    <w:rsid w:val="0096186B"/>
    <w:rsid w:val="009619C5"/>
    <w:rsid w:val="00961A5C"/>
    <w:rsid w:val="00961A6B"/>
    <w:rsid w:val="00961F3A"/>
    <w:rsid w:val="00961F5C"/>
    <w:rsid w:val="00961F5E"/>
    <w:rsid w:val="00962009"/>
    <w:rsid w:val="00962246"/>
    <w:rsid w:val="0096229D"/>
    <w:rsid w:val="00962318"/>
    <w:rsid w:val="00962429"/>
    <w:rsid w:val="0096262D"/>
    <w:rsid w:val="00962BE8"/>
    <w:rsid w:val="00962C02"/>
    <w:rsid w:val="00962CC2"/>
    <w:rsid w:val="0096312F"/>
    <w:rsid w:val="009632DF"/>
    <w:rsid w:val="00963334"/>
    <w:rsid w:val="009634EF"/>
    <w:rsid w:val="00963850"/>
    <w:rsid w:val="0096386B"/>
    <w:rsid w:val="0096393F"/>
    <w:rsid w:val="00963EF2"/>
    <w:rsid w:val="00963F28"/>
    <w:rsid w:val="00963F9D"/>
    <w:rsid w:val="00963FAA"/>
    <w:rsid w:val="00963FDB"/>
    <w:rsid w:val="009643F2"/>
    <w:rsid w:val="00964579"/>
    <w:rsid w:val="00964672"/>
    <w:rsid w:val="009647FE"/>
    <w:rsid w:val="00964A29"/>
    <w:rsid w:val="00964C20"/>
    <w:rsid w:val="00964C54"/>
    <w:rsid w:val="00964E83"/>
    <w:rsid w:val="00964F4D"/>
    <w:rsid w:val="00965146"/>
    <w:rsid w:val="00965279"/>
    <w:rsid w:val="0096557C"/>
    <w:rsid w:val="00965644"/>
    <w:rsid w:val="009657EE"/>
    <w:rsid w:val="009658CF"/>
    <w:rsid w:val="009658E6"/>
    <w:rsid w:val="009658F2"/>
    <w:rsid w:val="009658F4"/>
    <w:rsid w:val="00965AC9"/>
    <w:rsid w:val="00965B3E"/>
    <w:rsid w:val="00965C98"/>
    <w:rsid w:val="00965DB2"/>
    <w:rsid w:val="00965E72"/>
    <w:rsid w:val="00965F4C"/>
    <w:rsid w:val="00965FCD"/>
    <w:rsid w:val="00965FD5"/>
    <w:rsid w:val="0096647D"/>
    <w:rsid w:val="00966658"/>
    <w:rsid w:val="00966759"/>
    <w:rsid w:val="009667E2"/>
    <w:rsid w:val="0096681B"/>
    <w:rsid w:val="0096687C"/>
    <w:rsid w:val="00966BF1"/>
    <w:rsid w:val="00966DA4"/>
    <w:rsid w:val="00966E3B"/>
    <w:rsid w:val="00966F79"/>
    <w:rsid w:val="009670B8"/>
    <w:rsid w:val="0096713A"/>
    <w:rsid w:val="009672D5"/>
    <w:rsid w:val="00967308"/>
    <w:rsid w:val="009674D9"/>
    <w:rsid w:val="0096756D"/>
    <w:rsid w:val="009676F7"/>
    <w:rsid w:val="00967878"/>
    <w:rsid w:val="00967BAB"/>
    <w:rsid w:val="00967DC6"/>
    <w:rsid w:val="00967F47"/>
    <w:rsid w:val="0097001D"/>
    <w:rsid w:val="00970036"/>
    <w:rsid w:val="009701F9"/>
    <w:rsid w:val="00970473"/>
    <w:rsid w:val="00970731"/>
    <w:rsid w:val="009708A4"/>
    <w:rsid w:val="00970966"/>
    <w:rsid w:val="00970D6A"/>
    <w:rsid w:val="00970D8A"/>
    <w:rsid w:val="00970DF4"/>
    <w:rsid w:val="00970EA9"/>
    <w:rsid w:val="00970F73"/>
    <w:rsid w:val="00971176"/>
    <w:rsid w:val="00971583"/>
    <w:rsid w:val="00971904"/>
    <w:rsid w:val="00971A1C"/>
    <w:rsid w:val="00971A82"/>
    <w:rsid w:val="00971CA6"/>
    <w:rsid w:val="00971CBF"/>
    <w:rsid w:val="00971E6C"/>
    <w:rsid w:val="00971F4B"/>
    <w:rsid w:val="0097220E"/>
    <w:rsid w:val="009722D1"/>
    <w:rsid w:val="0097233E"/>
    <w:rsid w:val="00972419"/>
    <w:rsid w:val="009727AE"/>
    <w:rsid w:val="0097284A"/>
    <w:rsid w:val="0097285F"/>
    <w:rsid w:val="00972883"/>
    <w:rsid w:val="009728E6"/>
    <w:rsid w:val="00972BC8"/>
    <w:rsid w:val="00973085"/>
    <w:rsid w:val="009730E2"/>
    <w:rsid w:val="00973325"/>
    <w:rsid w:val="0097333B"/>
    <w:rsid w:val="009733AD"/>
    <w:rsid w:val="0097351D"/>
    <w:rsid w:val="00973803"/>
    <w:rsid w:val="0097389B"/>
    <w:rsid w:val="009738B8"/>
    <w:rsid w:val="0097391B"/>
    <w:rsid w:val="00973AA6"/>
    <w:rsid w:val="00973B07"/>
    <w:rsid w:val="00973B6B"/>
    <w:rsid w:val="00973C64"/>
    <w:rsid w:val="00974047"/>
    <w:rsid w:val="009742DD"/>
    <w:rsid w:val="009743CD"/>
    <w:rsid w:val="00974453"/>
    <w:rsid w:val="0097448C"/>
    <w:rsid w:val="0097453B"/>
    <w:rsid w:val="00974628"/>
    <w:rsid w:val="00974707"/>
    <w:rsid w:val="0097477B"/>
    <w:rsid w:val="00974816"/>
    <w:rsid w:val="0097483D"/>
    <w:rsid w:val="00974987"/>
    <w:rsid w:val="009749BF"/>
    <w:rsid w:val="00974A86"/>
    <w:rsid w:val="00974AE0"/>
    <w:rsid w:val="00974AED"/>
    <w:rsid w:val="00974BAA"/>
    <w:rsid w:val="00974C5A"/>
    <w:rsid w:val="00974D50"/>
    <w:rsid w:val="00974E14"/>
    <w:rsid w:val="00974F73"/>
    <w:rsid w:val="00975001"/>
    <w:rsid w:val="0097516D"/>
    <w:rsid w:val="00975215"/>
    <w:rsid w:val="009754E9"/>
    <w:rsid w:val="00975676"/>
    <w:rsid w:val="00975805"/>
    <w:rsid w:val="009759B0"/>
    <w:rsid w:val="00975AB3"/>
    <w:rsid w:val="00975AB7"/>
    <w:rsid w:val="00975E37"/>
    <w:rsid w:val="00975F74"/>
    <w:rsid w:val="00976020"/>
    <w:rsid w:val="00976022"/>
    <w:rsid w:val="009760C8"/>
    <w:rsid w:val="0097647B"/>
    <w:rsid w:val="0097648F"/>
    <w:rsid w:val="00976566"/>
    <w:rsid w:val="0097656B"/>
    <w:rsid w:val="0097680E"/>
    <w:rsid w:val="00976814"/>
    <w:rsid w:val="00976866"/>
    <w:rsid w:val="009768CB"/>
    <w:rsid w:val="009768F1"/>
    <w:rsid w:val="00976907"/>
    <w:rsid w:val="00976971"/>
    <w:rsid w:val="00976B65"/>
    <w:rsid w:val="00976CB4"/>
    <w:rsid w:val="00976FBA"/>
    <w:rsid w:val="00976FC8"/>
    <w:rsid w:val="0097700C"/>
    <w:rsid w:val="00977109"/>
    <w:rsid w:val="00977204"/>
    <w:rsid w:val="009773BB"/>
    <w:rsid w:val="0097756B"/>
    <w:rsid w:val="00977738"/>
    <w:rsid w:val="009777E9"/>
    <w:rsid w:val="0097785B"/>
    <w:rsid w:val="00977935"/>
    <w:rsid w:val="00977CFB"/>
    <w:rsid w:val="00977D0C"/>
    <w:rsid w:val="00977E0B"/>
    <w:rsid w:val="00977E67"/>
    <w:rsid w:val="00977F1F"/>
    <w:rsid w:val="009800C2"/>
    <w:rsid w:val="0098011B"/>
    <w:rsid w:val="009804F5"/>
    <w:rsid w:val="0098083D"/>
    <w:rsid w:val="009808B2"/>
    <w:rsid w:val="0098092F"/>
    <w:rsid w:val="00980C62"/>
    <w:rsid w:val="00980FC3"/>
    <w:rsid w:val="00980FE8"/>
    <w:rsid w:val="0098103E"/>
    <w:rsid w:val="009813CF"/>
    <w:rsid w:val="0098143F"/>
    <w:rsid w:val="009814AC"/>
    <w:rsid w:val="00981595"/>
    <w:rsid w:val="00981783"/>
    <w:rsid w:val="009819CD"/>
    <w:rsid w:val="009819CF"/>
    <w:rsid w:val="00981B5A"/>
    <w:rsid w:val="00981B8E"/>
    <w:rsid w:val="00981BC6"/>
    <w:rsid w:val="00981E2C"/>
    <w:rsid w:val="00981F2B"/>
    <w:rsid w:val="00981F47"/>
    <w:rsid w:val="0098206B"/>
    <w:rsid w:val="00982137"/>
    <w:rsid w:val="0098217F"/>
    <w:rsid w:val="009821C5"/>
    <w:rsid w:val="0098228A"/>
    <w:rsid w:val="009822FA"/>
    <w:rsid w:val="0098239E"/>
    <w:rsid w:val="00982700"/>
    <w:rsid w:val="009827A7"/>
    <w:rsid w:val="00982808"/>
    <w:rsid w:val="0098286E"/>
    <w:rsid w:val="00982883"/>
    <w:rsid w:val="00982CA5"/>
    <w:rsid w:val="009830CE"/>
    <w:rsid w:val="009833AA"/>
    <w:rsid w:val="0098357A"/>
    <w:rsid w:val="00983651"/>
    <w:rsid w:val="0098391C"/>
    <w:rsid w:val="00983A03"/>
    <w:rsid w:val="00983A20"/>
    <w:rsid w:val="00983D23"/>
    <w:rsid w:val="00984185"/>
    <w:rsid w:val="00984443"/>
    <w:rsid w:val="0098451C"/>
    <w:rsid w:val="0098469A"/>
    <w:rsid w:val="0098477A"/>
    <w:rsid w:val="009847F4"/>
    <w:rsid w:val="00984836"/>
    <w:rsid w:val="00984A2F"/>
    <w:rsid w:val="00984D0F"/>
    <w:rsid w:val="00984D28"/>
    <w:rsid w:val="00984E6B"/>
    <w:rsid w:val="00984F54"/>
    <w:rsid w:val="00984F9B"/>
    <w:rsid w:val="00984F9E"/>
    <w:rsid w:val="009850DE"/>
    <w:rsid w:val="00985131"/>
    <w:rsid w:val="00985158"/>
    <w:rsid w:val="009852C6"/>
    <w:rsid w:val="00985486"/>
    <w:rsid w:val="0098570F"/>
    <w:rsid w:val="00985805"/>
    <w:rsid w:val="00985B8E"/>
    <w:rsid w:val="00985C4E"/>
    <w:rsid w:val="00985C7F"/>
    <w:rsid w:val="00985F14"/>
    <w:rsid w:val="00985FF6"/>
    <w:rsid w:val="00986269"/>
    <w:rsid w:val="009862D4"/>
    <w:rsid w:val="009863A7"/>
    <w:rsid w:val="00986558"/>
    <w:rsid w:val="00986596"/>
    <w:rsid w:val="0098659E"/>
    <w:rsid w:val="00986642"/>
    <w:rsid w:val="00986713"/>
    <w:rsid w:val="00986729"/>
    <w:rsid w:val="009867AF"/>
    <w:rsid w:val="009869B1"/>
    <w:rsid w:val="00986C6B"/>
    <w:rsid w:val="00986D04"/>
    <w:rsid w:val="00986E26"/>
    <w:rsid w:val="00986E96"/>
    <w:rsid w:val="00986EB5"/>
    <w:rsid w:val="00986FD4"/>
    <w:rsid w:val="009870F9"/>
    <w:rsid w:val="009872B2"/>
    <w:rsid w:val="009875B1"/>
    <w:rsid w:val="00987778"/>
    <w:rsid w:val="009878F9"/>
    <w:rsid w:val="00987B01"/>
    <w:rsid w:val="00987D60"/>
    <w:rsid w:val="00987E44"/>
    <w:rsid w:val="00987E94"/>
    <w:rsid w:val="0099006F"/>
    <w:rsid w:val="009901C2"/>
    <w:rsid w:val="00990252"/>
    <w:rsid w:val="009904B2"/>
    <w:rsid w:val="00990723"/>
    <w:rsid w:val="0099093D"/>
    <w:rsid w:val="00990B83"/>
    <w:rsid w:val="00990DA3"/>
    <w:rsid w:val="00990DED"/>
    <w:rsid w:val="00990E5C"/>
    <w:rsid w:val="00991092"/>
    <w:rsid w:val="0099109B"/>
    <w:rsid w:val="0099115E"/>
    <w:rsid w:val="0099122E"/>
    <w:rsid w:val="009912C4"/>
    <w:rsid w:val="00991406"/>
    <w:rsid w:val="00991444"/>
    <w:rsid w:val="00991540"/>
    <w:rsid w:val="009915FB"/>
    <w:rsid w:val="009917B6"/>
    <w:rsid w:val="0099191B"/>
    <w:rsid w:val="00991A87"/>
    <w:rsid w:val="00991BF9"/>
    <w:rsid w:val="00991E0D"/>
    <w:rsid w:val="00991F8F"/>
    <w:rsid w:val="0099207B"/>
    <w:rsid w:val="009921C7"/>
    <w:rsid w:val="009923B4"/>
    <w:rsid w:val="009924FD"/>
    <w:rsid w:val="009925D2"/>
    <w:rsid w:val="0099265B"/>
    <w:rsid w:val="00992746"/>
    <w:rsid w:val="0099291C"/>
    <w:rsid w:val="009929BD"/>
    <w:rsid w:val="00992BBA"/>
    <w:rsid w:val="00992C8F"/>
    <w:rsid w:val="00992ECA"/>
    <w:rsid w:val="00992F79"/>
    <w:rsid w:val="00993170"/>
    <w:rsid w:val="009931A4"/>
    <w:rsid w:val="009931EE"/>
    <w:rsid w:val="00993298"/>
    <w:rsid w:val="0099357F"/>
    <w:rsid w:val="0099358B"/>
    <w:rsid w:val="00993604"/>
    <w:rsid w:val="00993AF9"/>
    <w:rsid w:val="00993BEA"/>
    <w:rsid w:val="00993C04"/>
    <w:rsid w:val="00993C2A"/>
    <w:rsid w:val="00993F95"/>
    <w:rsid w:val="009940F3"/>
    <w:rsid w:val="0099428C"/>
    <w:rsid w:val="009942A2"/>
    <w:rsid w:val="009944F9"/>
    <w:rsid w:val="00994575"/>
    <w:rsid w:val="00994628"/>
    <w:rsid w:val="00994844"/>
    <w:rsid w:val="009948D7"/>
    <w:rsid w:val="00994D06"/>
    <w:rsid w:val="00994F00"/>
    <w:rsid w:val="00994FE9"/>
    <w:rsid w:val="00995089"/>
    <w:rsid w:val="009954E8"/>
    <w:rsid w:val="00995560"/>
    <w:rsid w:val="009955F3"/>
    <w:rsid w:val="0099574D"/>
    <w:rsid w:val="00995C10"/>
    <w:rsid w:val="00995C4E"/>
    <w:rsid w:val="00995CCD"/>
    <w:rsid w:val="00995D44"/>
    <w:rsid w:val="00995D80"/>
    <w:rsid w:val="00995E17"/>
    <w:rsid w:val="00995EA3"/>
    <w:rsid w:val="00995F6E"/>
    <w:rsid w:val="00996056"/>
    <w:rsid w:val="00996113"/>
    <w:rsid w:val="009962D7"/>
    <w:rsid w:val="009964C0"/>
    <w:rsid w:val="0099654B"/>
    <w:rsid w:val="00996784"/>
    <w:rsid w:val="00996AA8"/>
    <w:rsid w:val="00996C43"/>
    <w:rsid w:val="00996CC3"/>
    <w:rsid w:val="00996CE9"/>
    <w:rsid w:val="00996E8A"/>
    <w:rsid w:val="00996EF7"/>
    <w:rsid w:val="009971AC"/>
    <w:rsid w:val="00997347"/>
    <w:rsid w:val="0099738A"/>
    <w:rsid w:val="009973C7"/>
    <w:rsid w:val="009975C9"/>
    <w:rsid w:val="009975FD"/>
    <w:rsid w:val="0099773B"/>
    <w:rsid w:val="0099773E"/>
    <w:rsid w:val="009977AF"/>
    <w:rsid w:val="009978E0"/>
    <w:rsid w:val="00997D21"/>
    <w:rsid w:val="00997DD8"/>
    <w:rsid w:val="00997E4D"/>
    <w:rsid w:val="00997F32"/>
    <w:rsid w:val="00997F61"/>
    <w:rsid w:val="00997F99"/>
    <w:rsid w:val="00997FC0"/>
    <w:rsid w:val="00997FF0"/>
    <w:rsid w:val="009A0185"/>
    <w:rsid w:val="009A01D5"/>
    <w:rsid w:val="009A03FA"/>
    <w:rsid w:val="009A04D1"/>
    <w:rsid w:val="009A0C7C"/>
    <w:rsid w:val="009A1038"/>
    <w:rsid w:val="009A117B"/>
    <w:rsid w:val="009A1409"/>
    <w:rsid w:val="009A184C"/>
    <w:rsid w:val="009A1897"/>
    <w:rsid w:val="009A1909"/>
    <w:rsid w:val="009A1C47"/>
    <w:rsid w:val="009A1E3D"/>
    <w:rsid w:val="009A1F76"/>
    <w:rsid w:val="009A2009"/>
    <w:rsid w:val="009A24D0"/>
    <w:rsid w:val="009A27BB"/>
    <w:rsid w:val="009A2CE7"/>
    <w:rsid w:val="009A2EC4"/>
    <w:rsid w:val="009A2F52"/>
    <w:rsid w:val="009A3014"/>
    <w:rsid w:val="009A31EC"/>
    <w:rsid w:val="009A32DB"/>
    <w:rsid w:val="009A33A4"/>
    <w:rsid w:val="009A3482"/>
    <w:rsid w:val="009A3492"/>
    <w:rsid w:val="009A36AB"/>
    <w:rsid w:val="009A36EF"/>
    <w:rsid w:val="009A3BC4"/>
    <w:rsid w:val="009A3CB8"/>
    <w:rsid w:val="009A3D32"/>
    <w:rsid w:val="009A3D73"/>
    <w:rsid w:val="009A3EB9"/>
    <w:rsid w:val="009A3EF4"/>
    <w:rsid w:val="009A416B"/>
    <w:rsid w:val="009A4759"/>
    <w:rsid w:val="009A4A03"/>
    <w:rsid w:val="009A4A1C"/>
    <w:rsid w:val="009A4B1E"/>
    <w:rsid w:val="009A4BE0"/>
    <w:rsid w:val="009A5066"/>
    <w:rsid w:val="009A5217"/>
    <w:rsid w:val="009A5248"/>
    <w:rsid w:val="009A5359"/>
    <w:rsid w:val="009A545C"/>
    <w:rsid w:val="009A553C"/>
    <w:rsid w:val="009A59A4"/>
    <w:rsid w:val="009A5C6D"/>
    <w:rsid w:val="009A5C98"/>
    <w:rsid w:val="009A5D42"/>
    <w:rsid w:val="009A5DBA"/>
    <w:rsid w:val="009A5EFE"/>
    <w:rsid w:val="009A64CD"/>
    <w:rsid w:val="009A64F0"/>
    <w:rsid w:val="009A6602"/>
    <w:rsid w:val="009A68E3"/>
    <w:rsid w:val="009A68F6"/>
    <w:rsid w:val="009A6907"/>
    <w:rsid w:val="009A6933"/>
    <w:rsid w:val="009A6B87"/>
    <w:rsid w:val="009A6D16"/>
    <w:rsid w:val="009A6E26"/>
    <w:rsid w:val="009A6EC2"/>
    <w:rsid w:val="009A6EFD"/>
    <w:rsid w:val="009A71E8"/>
    <w:rsid w:val="009A7454"/>
    <w:rsid w:val="009A7461"/>
    <w:rsid w:val="009A7493"/>
    <w:rsid w:val="009A772A"/>
    <w:rsid w:val="009A792A"/>
    <w:rsid w:val="009A7AFF"/>
    <w:rsid w:val="009A7C2C"/>
    <w:rsid w:val="009A7C79"/>
    <w:rsid w:val="009A7CB5"/>
    <w:rsid w:val="009A7D94"/>
    <w:rsid w:val="009A7DCD"/>
    <w:rsid w:val="009A7DF8"/>
    <w:rsid w:val="009A7F6F"/>
    <w:rsid w:val="009A7FC8"/>
    <w:rsid w:val="009B0096"/>
    <w:rsid w:val="009B021C"/>
    <w:rsid w:val="009B026D"/>
    <w:rsid w:val="009B052C"/>
    <w:rsid w:val="009B054C"/>
    <w:rsid w:val="009B06B3"/>
    <w:rsid w:val="009B0A09"/>
    <w:rsid w:val="009B0DB7"/>
    <w:rsid w:val="009B0E78"/>
    <w:rsid w:val="009B0EFF"/>
    <w:rsid w:val="009B0F04"/>
    <w:rsid w:val="009B1103"/>
    <w:rsid w:val="009B11E8"/>
    <w:rsid w:val="009B1206"/>
    <w:rsid w:val="009B12BE"/>
    <w:rsid w:val="009B1392"/>
    <w:rsid w:val="009B1954"/>
    <w:rsid w:val="009B1B61"/>
    <w:rsid w:val="009B1CEC"/>
    <w:rsid w:val="009B1D4A"/>
    <w:rsid w:val="009B1F25"/>
    <w:rsid w:val="009B21FA"/>
    <w:rsid w:val="009B2215"/>
    <w:rsid w:val="009B2339"/>
    <w:rsid w:val="009B2413"/>
    <w:rsid w:val="009B242F"/>
    <w:rsid w:val="009B261F"/>
    <w:rsid w:val="009B2661"/>
    <w:rsid w:val="009B272E"/>
    <w:rsid w:val="009B2746"/>
    <w:rsid w:val="009B2760"/>
    <w:rsid w:val="009B2B02"/>
    <w:rsid w:val="009B2D50"/>
    <w:rsid w:val="009B2D53"/>
    <w:rsid w:val="009B2D63"/>
    <w:rsid w:val="009B2E77"/>
    <w:rsid w:val="009B30E1"/>
    <w:rsid w:val="009B3115"/>
    <w:rsid w:val="009B32AB"/>
    <w:rsid w:val="009B344C"/>
    <w:rsid w:val="009B38E3"/>
    <w:rsid w:val="009B39F8"/>
    <w:rsid w:val="009B3A5B"/>
    <w:rsid w:val="009B3CE3"/>
    <w:rsid w:val="009B405B"/>
    <w:rsid w:val="009B40D7"/>
    <w:rsid w:val="009B4112"/>
    <w:rsid w:val="009B4363"/>
    <w:rsid w:val="009B4374"/>
    <w:rsid w:val="009B43F3"/>
    <w:rsid w:val="009B44DF"/>
    <w:rsid w:val="009B474F"/>
    <w:rsid w:val="009B4910"/>
    <w:rsid w:val="009B49A5"/>
    <w:rsid w:val="009B4A52"/>
    <w:rsid w:val="009B4A53"/>
    <w:rsid w:val="009B4C3E"/>
    <w:rsid w:val="009B4C71"/>
    <w:rsid w:val="009B4E23"/>
    <w:rsid w:val="009B5069"/>
    <w:rsid w:val="009B511F"/>
    <w:rsid w:val="009B5129"/>
    <w:rsid w:val="009B51BC"/>
    <w:rsid w:val="009B55C8"/>
    <w:rsid w:val="009B57BB"/>
    <w:rsid w:val="009B5C88"/>
    <w:rsid w:val="009B5D55"/>
    <w:rsid w:val="009B5D7C"/>
    <w:rsid w:val="009B5EAE"/>
    <w:rsid w:val="009B5F2F"/>
    <w:rsid w:val="009B60CD"/>
    <w:rsid w:val="009B613C"/>
    <w:rsid w:val="009B6171"/>
    <w:rsid w:val="009B6277"/>
    <w:rsid w:val="009B63DF"/>
    <w:rsid w:val="009B6932"/>
    <w:rsid w:val="009B69CA"/>
    <w:rsid w:val="009B6B23"/>
    <w:rsid w:val="009B6CCB"/>
    <w:rsid w:val="009B6CFB"/>
    <w:rsid w:val="009B71A7"/>
    <w:rsid w:val="009B74F9"/>
    <w:rsid w:val="009B7AA3"/>
    <w:rsid w:val="009B7B9B"/>
    <w:rsid w:val="009B7C83"/>
    <w:rsid w:val="009B7CCA"/>
    <w:rsid w:val="009B7F10"/>
    <w:rsid w:val="009B7F6A"/>
    <w:rsid w:val="009C007A"/>
    <w:rsid w:val="009C0197"/>
    <w:rsid w:val="009C0260"/>
    <w:rsid w:val="009C02B2"/>
    <w:rsid w:val="009C030D"/>
    <w:rsid w:val="009C059A"/>
    <w:rsid w:val="009C088D"/>
    <w:rsid w:val="009C090D"/>
    <w:rsid w:val="009C0CB5"/>
    <w:rsid w:val="009C10D2"/>
    <w:rsid w:val="009C11BF"/>
    <w:rsid w:val="009C11D1"/>
    <w:rsid w:val="009C139B"/>
    <w:rsid w:val="009C16EA"/>
    <w:rsid w:val="009C1707"/>
    <w:rsid w:val="009C1775"/>
    <w:rsid w:val="009C17F5"/>
    <w:rsid w:val="009C180F"/>
    <w:rsid w:val="009C1896"/>
    <w:rsid w:val="009C191F"/>
    <w:rsid w:val="009C1B7B"/>
    <w:rsid w:val="009C1CAC"/>
    <w:rsid w:val="009C1DC5"/>
    <w:rsid w:val="009C1DC8"/>
    <w:rsid w:val="009C1ECD"/>
    <w:rsid w:val="009C1F29"/>
    <w:rsid w:val="009C205C"/>
    <w:rsid w:val="009C2321"/>
    <w:rsid w:val="009C239A"/>
    <w:rsid w:val="009C239B"/>
    <w:rsid w:val="009C239F"/>
    <w:rsid w:val="009C25C7"/>
    <w:rsid w:val="009C26B7"/>
    <w:rsid w:val="009C2E67"/>
    <w:rsid w:val="009C2FBB"/>
    <w:rsid w:val="009C3075"/>
    <w:rsid w:val="009C3095"/>
    <w:rsid w:val="009C3366"/>
    <w:rsid w:val="009C33F1"/>
    <w:rsid w:val="009C37E9"/>
    <w:rsid w:val="009C3D81"/>
    <w:rsid w:val="009C3F0A"/>
    <w:rsid w:val="009C4861"/>
    <w:rsid w:val="009C4869"/>
    <w:rsid w:val="009C4905"/>
    <w:rsid w:val="009C4B20"/>
    <w:rsid w:val="009C4D8B"/>
    <w:rsid w:val="009C4DC6"/>
    <w:rsid w:val="009C4DF6"/>
    <w:rsid w:val="009C4DFF"/>
    <w:rsid w:val="009C4F33"/>
    <w:rsid w:val="009C4F34"/>
    <w:rsid w:val="009C4F41"/>
    <w:rsid w:val="009C509B"/>
    <w:rsid w:val="009C50A4"/>
    <w:rsid w:val="009C5191"/>
    <w:rsid w:val="009C519A"/>
    <w:rsid w:val="009C52A5"/>
    <w:rsid w:val="009C52F4"/>
    <w:rsid w:val="009C53D7"/>
    <w:rsid w:val="009C55C6"/>
    <w:rsid w:val="009C55DA"/>
    <w:rsid w:val="009C563B"/>
    <w:rsid w:val="009C5729"/>
    <w:rsid w:val="009C5B1E"/>
    <w:rsid w:val="009C5EFE"/>
    <w:rsid w:val="009C6142"/>
    <w:rsid w:val="009C61BF"/>
    <w:rsid w:val="009C6315"/>
    <w:rsid w:val="009C646A"/>
    <w:rsid w:val="009C64E1"/>
    <w:rsid w:val="009C66B3"/>
    <w:rsid w:val="009C6ADC"/>
    <w:rsid w:val="009C6BF9"/>
    <w:rsid w:val="009C6EBB"/>
    <w:rsid w:val="009C6F95"/>
    <w:rsid w:val="009C7333"/>
    <w:rsid w:val="009C74BF"/>
    <w:rsid w:val="009C7625"/>
    <w:rsid w:val="009C7631"/>
    <w:rsid w:val="009C764C"/>
    <w:rsid w:val="009C7670"/>
    <w:rsid w:val="009C7699"/>
    <w:rsid w:val="009C7845"/>
    <w:rsid w:val="009C7F06"/>
    <w:rsid w:val="009C7F2C"/>
    <w:rsid w:val="009C7F8E"/>
    <w:rsid w:val="009D0240"/>
    <w:rsid w:val="009D02D0"/>
    <w:rsid w:val="009D037F"/>
    <w:rsid w:val="009D058A"/>
    <w:rsid w:val="009D080F"/>
    <w:rsid w:val="009D0996"/>
    <w:rsid w:val="009D09A4"/>
    <w:rsid w:val="009D09D8"/>
    <w:rsid w:val="009D0A3B"/>
    <w:rsid w:val="009D0C39"/>
    <w:rsid w:val="009D0CF2"/>
    <w:rsid w:val="009D0D24"/>
    <w:rsid w:val="009D0DF1"/>
    <w:rsid w:val="009D0EFE"/>
    <w:rsid w:val="009D10D9"/>
    <w:rsid w:val="009D10F1"/>
    <w:rsid w:val="009D1545"/>
    <w:rsid w:val="009D15A5"/>
    <w:rsid w:val="009D15E6"/>
    <w:rsid w:val="009D18AA"/>
    <w:rsid w:val="009D1916"/>
    <w:rsid w:val="009D1ACE"/>
    <w:rsid w:val="009D1B42"/>
    <w:rsid w:val="009D1F51"/>
    <w:rsid w:val="009D21CE"/>
    <w:rsid w:val="009D220D"/>
    <w:rsid w:val="009D22CA"/>
    <w:rsid w:val="009D2301"/>
    <w:rsid w:val="009D2316"/>
    <w:rsid w:val="009D265F"/>
    <w:rsid w:val="009D26B3"/>
    <w:rsid w:val="009D293B"/>
    <w:rsid w:val="009D2A4D"/>
    <w:rsid w:val="009D2C0E"/>
    <w:rsid w:val="009D2CB5"/>
    <w:rsid w:val="009D2D85"/>
    <w:rsid w:val="009D2EED"/>
    <w:rsid w:val="009D2F5A"/>
    <w:rsid w:val="009D308F"/>
    <w:rsid w:val="009D327C"/>
    <w:rsid w:val="009D32DF"/>
    <w:rsid w:val="009D3333"/>
    <w:rsid w:val="009D33FC"/>
    <w:rsid w:val="009D34C9"/>
    <w:rsid w:val="009D34CF"/>
    <w:rsid w:val="009D366B"/>
    <w:rsid w:val="009D3827"/>
    <w:rsid w:val="009D38C7"/>
    <w:rsid w:val="009D3AE1"/>
    <w:rsid w:val="009D3B68"/>
    <w:rsid w:val="009D3DFC"/>
    <w:rsid w:val="009D3E15"/>
    <w:rsid w:val="009D3E2B"/>
    <w:rsid w:val="009D42D6"/>
    <w:rsid w:val="009D45A1"/>
    <w:rsid w:val="009D49B4"/>
    <w:rsid w:val="009D4A74"/>
    <w:rsid w:val="009D4BDD"/>
    <w:rsid w:val="009D4D5C"/>
    <w:rsid w:val="009D530C"/>
    <w:rsid w:val="009D5444"/>
    <w:rsid w:val="009D587A"/>
    <w:rsid w:val="009D591E"/>
    <w:rsid w:val="009D5924"/>
    <w:rsid w:val="009D5A67"/>
    <w:rsid w:val="009D5F7D"/>
    <w:rsid w:val="009D5FB4"/>
    <w:rsid w:val="009D6293"/>
    <w:rsid w:val="009D63F4"/>
    <w:rsid w:val="009D671C"/>
    <w:rsid w:val="009D6721"/>
    <w:rsid w:val="009D6784"/>
    <w:rsid w:val="009D6996"/>
    <w:rsid w:val="009D6FA5"/>
    <w:rsid w:val="009D7173"/>
    <w:rsid w:val="009D7193"/>
    <w:rsid w:val="009D72BC"/>
    <w:rsid w:val="009D738D"/>
    <w:rsid w:val="009D748F"/>
    <w:rsid w:val="009D7545"/>
    <w:rsid w:val="009D7662"/>
    <w:rsid w:val="009D77CA"/>
    <w:rsid w:val="009D7879"/>
    <w:rsid w:val="009D79DA"/>
    <w:rsid w:val="009E0016"/>
    <w:rsid w:val="009E014A"/>
    <w:rsid w:val="009E01B7"/>
    <w:rsid w:val="009E020E"/>
    <w:rsid w:val="009E03F1"/>
    <w:rsid w:val="009E0422"/>
    <w:rsid w:val="009E04A5"/>
    <w:rsid w:val="009E0541"/>
    <w:rsid w:val="009E05DF"/>
    <w:rsid w:val="009E073B"/>
    <w:rsid w:val="009E0976"/>
    <w:rsid w:val="009E0D16"/>
    <w:rsid w:val="009E0E05"/>
    <w:rsid w:val="009E0E1D"/>
    <w:rsid w:val="009E1255"/>
    <w:rsid w:val="009E12A5"/>
    <w:rsid w:val="009E142E"/>
    <w:rsid w:val="009E171D"/>
    <w:rsid w:val="009E1AF7"/>
    <w:rsid w:val="009E1BC5"/>
    <w:rsid w:val="009E1CF2"/>
    <w:rsid w:val="009E2154"/>
    <w:rsid w:val="009E2240"/>
    <w:rsid w:val="009E248D"/>
    <w:rsid w:val="009E250A"/>
    <w:rsid w:val="009E250D"/>
    <w:rsid w:val="009E2594"/>
    <w:rsid w:val="009E26BF"/>
    <w:rsid w:val="009E270A"/>
    <w:rsid w:val="009E2881"/>
    <w:rsid w:val="009E28BD"/>
    <w:rsid w:val="009E2B2C"/>
    <w:rsid w:val="009E2CF6"/>
    <w:rsid w:val="009E2D85"/>
    <w:rsid w:val="009E2F54"/>
    <w:rsid w:val="009E3008"/>
    <w:rsid w:val="009E3042"/>
    <w:rsid w:val="009E330F"/>
    <w:rsid w:val="009E34A3"/>
    <w:rsid w:val="009E3531"/>
    <w:rsid w:val="009E3662"/>
    <w:rsid w:val="009E38F8"/>
    <w:rsid w:val="009E39F1"/>
    <w:rsid w:val="009E3BD0"/>
    <w:rsid w:val="009E3C09"/>
    <w:rsid w:val="009E3C6D"/>
    <w:rsid w:val="009E3D6D"/>
    <w:rsid w:val="009E3E5E"/>
    <w:rsid w:val="009E3E89"/>
    <w:rsid w:val="009E4075"/>
    <w:rsid w:val="009E4396"/>
    <w:rsid w:val="009E43DC"/>
    <w:rsid w:val="009E461B"/>
    <w:rsid w:val="009E46D1"/>
    <w:rsid w:val="009E47ED"/>
    <w:rsid w:val="009E490A"/>
    <w:rsid w:val="009E4BCE"/>
    <w:rsid w:val="009E52B8"/>
    <w:rsid w:val="009E53CC"/>
    <w:rsid w:val="009E5526"/>
    <w:rsid w:val="009E6034"/>
    <w:rsid w:val="009E61DA"/>
    <w:rsid w:val="009E625D"/>
    <w:rsid w:val="009E6355"/>
    <w:rsid w:val="009E6366"/>
    <w:rsid w:val="009E68CC"/>
    <w:rsid w:val="009E6B49"/>
    <w:rsid w:val="009E6BA4"/>
    <w:rsid w:val="009E6C6A"/>
    <w:rsid w:val="009E6D58"/>
    <w:rsid w:val="009E7047"/>
    <w:rsid w:val="009E70E6"/>
    <w:rsid w:val="009E711D"/>
    <w:rsid w:val="009E7355"/>
    <w:rsid w:val="009E744C"/>
    <w:rsid w:val="009E766A"/>
    <w:rsid w:val="009E79A9"/>
    <w:rsid w:val="009E7B22"/>
    <w:rsid w:val="009E7B99"/>
    <w:rsid w:val="009E7D3B"/>
    <w:rsid w:val="009E7D8E"/>
    <w:rsid w:val="009E7F1B"/>
    <w:rsid w:val="009F0038"/>
    <w:rsid w:val="009F0241"/>
    <w:rsid w:val="009F026D"/>
    <w:rsid w:val="009F03E7"/>
    <w:rsid w:val="009F066E"/>
    <w:rsid w:val="009F09C6"/>
    <w:rsid w:val="009F0A1D"/>
    <w:rsid w:val="009F0ABF"/>
    <w:rsid w:val="009F0BDA"/>
    <w:rsid w:val="009F0CFD"/>
    <w:rsid w:val="009F0D3E"/>
    <w:rsid w:val="009F1063"/>
    <w:rsid w:val="009F1074"/>
    <w:rsid w:val="009F14A2"/>
    <w:rsid w:val="009F152B"/>
    <w:rsid w:val="009F1674"/>
    <w:rsid w:val="009F17C6"/>
    <w:rsid w:val="009F185B"/>
    <w:rsid w:val="009F1937"/>
    <w:rsid w:val="009F1AD8"/>
    <w:rsid w:val="009F1AEF"/>
    <w:rsid w:val="009F1BEB"/>
    <w:rsid w:val="009F1D64"/>
    <w:rsid w:val="009F22E5"/>
    <w:rsid w:val="009F24A5"/>
    <w:rsid w:val="009F2588"/>
    <w:rsid w:val="009F27BF"/>
    <w:rsid w:val="009F28DA"/>
    <w:rsid w:val="009F2AFD"/>
    <w:rsid w:val="009F2BA6"/>
    <w:rsid w:val="009F2DEA"/>
    <w:rsid w:val="009F3262"/>
    <w:rsid w:val="009F3349"/>
    <w:rsid w:val="009F35FA"/>
    <w:rsid w:val="009F395B"/>
    <w:rsid w:val="009F3AA7"/>
    <w:rsid w:val="009F3B56"/>
    <w:rsid w:val="009F3CC0"/>
    <w:rsid w:val="009F3E4C"/>
    <w:rsid w:val="009F3FF6"/>
    <w:rsid w:val="009F40CB"/>
    <w:rsid w:val="009F42C0"/>
    <w:rsid w:val="009F4435"/>
    <w:rsid w:val="009F44D5"/>
    <w:rsid w:val="009F47E0"/>
    <w:rsid w:val="009F48F0"/>
    <w:rsid w:val="009F4B35"/>
    <w:rsid w:val="009F4CCE"/>
    <w:rsid w:val="009F4D1F"/>
    <w:rsid w:val="009F4DD0"/>
    <w:rsid w:val="009F4DFA"/>
    <w:rsid w:val="009F5209"/>
    <w:rsid w:val="009F5226"/>
    <w:rsid w:val="009F525D"/>
    <w:rsid w:val="009F52D5"/>
    <w:rsid w:val="009F5647"/>
    <w:rsid w:val="009F5957"/>
    <w:rsid w:val="009F5CA3"/>
    <w:rsid w:val="009F5D22"/>
    <w:rsid w:val="009F5DA9"/>
    <w:rsid w:val="009F5DCE"/>
    <w:rsid w:val="009F5DFE"/>
    <w:rsid w:val="009F5F78"/>
    <w:rsid w:val="009F6260"/>
    <w:rsid w:val="009F6649"/>
    <w:rsid w:val="009F6723"/>
    <w:rsid w:val="009F6780"/>
    <w:rsid w:val="009F6920"/>
    <w:rsid w:val="009F69B0"/>
    <w:rsid w:val="009F6A66"/>
    <w:rsid w:val="009F6AD0"/>
    <w:rsid w:val="009F6B1A"/>
    <w:rsid w:val="009F6B5A"/>
    <w:rsid w:val="009F6DD2"/>
    <w:rsid w:val="009F6E0B"/>
    <w:rsid w:val="009F710C"/>
    <w:rsid w:val="009F7148"/>
    <w:rsid w:val="009F73A7"/>
    <w:rsid w:val="009F7474"/>
    <w:rsid w:val="009F7523"/>
    <w:rsid w:val="009F752A"/>
    <w:rsid w:val="009F75A4"/>
    <w:rsid w:val="009F7799"/>
    <w:rsid w:val="009F79C6"/>
    <w:rsid w:val="009F7A63"/>
    <w:rsid w:val="009F7B63"/>
    <w:rsid w:val="009F7B93"/>
    <w:rsid w:val="009F7DFC"/>
    <w:rsid w:val="009F7F76"/>
    <w:rsid w:val="00A0003C"/>
    <w:rsid w:val="00A00056"/>
    <w:rsid w:val="00A0019A"/>
    <w:rsid w:val="00A0026C"/>
    <w:rsid w:val="00A0037D"/>
    <w:rsid w:val="00A004E5"/>
    <w:rsid w:val="00A0065D"/>
    <w:rsid w:val="00A008B9"/>
    <w:rsid w:val="00A0094B"/>
    <w:rsid w:val="00A009AF"/>
    <w:rsid w:val="00A00A43"/>
    <w:rsid w:val="00A00B89"/>
    <w:rsid w:val="00A00E1E"/>
    <w:rsid w:val="00A00E44"/>
    <w:rsid w:val="00A00E57"/>
    <w:rsid w:val="00A00E5B"/>
    <w:rsid w:val="00A00F69"/>
    <w:rsid w:val="00A00F7F"/>
    <w:rsid w:val="00A00FA9"/>
    <w:rsid w:val="00A011A3"/>
    <w:rsid w:val="00A01233"/>
    <w:rsid w:val="00A01287"/>
    <w:rsid w:val="00A012FC"/>
    <w:rsid w:val="00A017AC"/>
    <w:rsid w:val="00A01B99"/>
    <w:rsid w:val="00A01C86"/>
    <w:rsid w:val="00A01CF0"/>
    <w:rsid w:val="00A01D36"/>
    <w:rsid w:val="00A020CF"/>
    <w:rsid w:val="00A021E2"/>
    <w:rsid w:val="00A0230C"/>
    <w:rsid w:val="00A0235D"/>
    <w:rsid w:val="00A024BB"/>
    <w:rsid w:val="00A025AF"/>
    <w:rsid w:val="00A026BF"/>
    <w:rsid w:val="00A02783"/>
    <w:rsid w:val="00A02949"/>
    <w:rsid w:val="00A02A24"/>
    <w:rsid w:val="00A02A33"/>
    <w:rsid w:val="00A02BF9"/>
    <w:rsid w:val="00A02C27"/>
    <w:rsid w:val="00A02E11"/>
    <w:rsid w:val="00A030C5"/>
    <w:rsid w:val="00A033B7"/>
    <w:rsid w:val="00A03410"/>
    <w:rsid w:val="00A03671"/>
    <w:rsid w:val="00A038F0"/>
    <w:rsid w:val="00A03A79"/>
    <w:rsid w:val="00A03A8F"/>
    <w:rsid w:val="00A03E88"/>
    <w:rsid w:val="00A03EF3"/>
    <w:rsid w:val="00A040DE"/>
    <w:rsid w:val="00A040F5"/>
    <w:rsid w:val="00A04183"/>
    <w:rsid w:val="00A04367"/>
    <w:rsid w:val="00A04783"/>
    <w:rsid w:val="00A04957"/>
    <w:rsid w:val="00A04AE9"/>
    <w:rsid w:val="00A04BCA"/>
    <w:rsid w:val="00A04BFB"/>
    <w:rsid w:val="00A04D5E"/>
    <w:rsid w:val="00A04E71"/>
    <w:rsid w:val="00A04ED1"/>
    <w:rsid w:val="00A04FE2"/>
    <w:rsid w:val="00A0508C"/>
    <w:rsid w:val="00A0511B"/>
    <w:rsid w:val="00A05671"/>
    <w:rsid w:val="00A056DF"/>
    <w:rsid w:val="00A056F9"/>
    <w:rsid w:val="00A0574B"/>
    <w:rsid w:val="00A05823"/>
    <w:rsid w:val="00A05872"/>
    <w:rsid w:val="00A05889"/>
    <w:rsid w:val="00A058B0"/>
    <w:rsid w:val="00A05CCC"/>
    <w:rsid w:val="00A05D44"/>
    <w:rsid w:val="00A05ECC"/>
    <w:rsid w:val="00A065B1"/>
    <w:rsid w:val="00A0674D"/>
    <w:rsid w:val="00A067BD"/>
    <w:rsid w:val="00A06925"/>
    <w:rsid w:val="00A069B4"/>
    <w:rsid w:val="00A06AED"/>
    <w:rsid w:val="00A06BCC"/>
    <w:rsid w:val="00A06C67"/>
    <w:rsid w:val="00A06CDC"/>
    <w:rsid w:val="00A06EF2"/>
    <w:rsid w:val="00A0760F"/>
    <w:rsid w:val="00A07613"/>
    <w:rsid w:val="00A0772D"/>
    <w:rsid w:val="00A07A7E"/>
    <w:rsid w:val="00A07A7F"/>
    <w:rsid w:val="00A07B9C"/>
    <w:rsid w:val="00A07BD7"/>
    <w:rsid w:val="00A07D5B"/>
    <w:rsid w:val="00A07D5F"/>
    <w:rsid w:val="00A07D93"/>
    <w:rsid w:val="00A07E6C"/>
    <w:rsid w:val="00A07F5F"/>
    <w:rsid w:val="00A10040"/>
    <w:rsid w:val="00A1022A"/>
    <w:rsid w:val="00A1033B"/>
    <w:rsid w:val="00A1041E"/>
    <w:rsid w:val="00A1047E"/>
    <w:rsid w:val="00A10714"/>
    <w:rsid w:val="00A10897"/>
    <w:rsid w:val="00A10976"/>
    <w:rsid w:val="00A10AC7"/>
    <w:rsid w:val="00A10B2A"/>
    <w:rsid w:val="00A1105B"/>
    <w:rsid w:val="00A11099"/>
    <w:rsid w:val="00A110DC"/>
    <w:rsid w:val="00A11397"/>
    <w:rsid w:val="00A115EE"/>
    <w:rsid w:val="00A11640"/>
    <w:rsid w:val="00A1170C"/>
    <w:rsid w:val="00A1185B"/>
    <w:rsid w:val="00A11932"/>
    <w:rsid w:val="00A11CE7"/>
    <w:rsid w:val="00A11FE7"/>
    <w:rsid w:val="00A121ED"/>
    <w:rsid w:val="00A122AF"/>
    <w:rsid w:val="00A12416"/>
    <w:rsid w:val="00A1303B"/>
    <w:rsid w:val="00A13144"/>
    <w:rsid w:val="00A13161"/>
    <w:rsid w:val="00A133EC"/>
    <w:rsid w:val="00A13614"/>
    <w:rsid w:val="00A13BA3"/>
    <w:rsid w:val="00A13BCC"/>
    <w:rsid w:val="00A13BEE"/>
    <w:rsid w:val="00A13CFD"/>
    <w:rsid w:val="00A13D25"/>
    <w:rsid w:val="00A13D44"/>
    <w:rsid w:val="00A13DB5"/>
    <w:rsid w:val="00A141F5"/>
    <w:rsid w:val="00A144FD"/>
    <w:rsid w:val="00A14772"/>
    <w:rsid w:val="00A14803"/>
    <w:rsid w:val="00A148E9"/>
    <w:rsid w:val="00A14953"/>
    <w:rsid w:val="00A14A16"/>
    <w:rsid w:val="00A14B62"/>
    <w:rsid w:val="00A14EBC"/>
    <w:rsid w:val="00A14EEB"/>
    <w:rsid w:val="00A1521A"/>
    <w:rsid w:val="00A15265"/>
    <w:rsid w:val="00A15590"/>
    <w:rsid w:val="00A155DD"/>
    <w:rsid w:val="00A1583F"/>
    <w:rsid w:val="00A15851"/>
    <w:rsid w:val="00A15B07"/>
    <w:rsid w:val="00A15BB0"/>
    <w:rsid w:val="00A15CAD"/>
    <w:rsid w:val="00A15D6A"/>
    <w:rsid w:val="00A16047"/>
    <w:rsid w:val="00A16145"/>
    <w:rsid w:val="00A1626E"/>
    <w:rsid w:val="00A167C8"/>
    <w:rsid w:val="00A16966"/>
    <w:rsid w:val="00A169C7"/>
    <w:rsid w:val="00A16A71"/>
    <w:rsid w:val="00A16ACB"/>
    <w:rsid w:val="00A16D2A"/>
    <w:rsid w:val="00A16DD9"/>
    <w:rsid w:val="00A16E9F"/>
    <w:rsid w:val="00A16EB3"/>
    <w:rsid w:val="00A170D4"/>
    <w:rsid w:val="00A170E2"/>
    <w:rsid w:val="00A17144"/>
    <w:rsid w:val="00A173F8"/>
    <w:rsid w:val="00A174C0"/>
    <w:rsid w:val="00A1759C"/>
    <w:rsid w:val="00A17A4F"/>
    <w:rsid w:val="00A17B51"/>
    <w:rsid w:val="00A17C47"/>
    <w:rsid w:val="00A17E3D"/>
    <w:rsid w:val="00A17E52"/>
    <w:rsid w:val="00A17E75"/>
    <w:rsid w:val="00A17F6E"/>
    <w:rsid w:val="00A203FF"/>
    <w:rsid w:val="00A2050F"/>
    <w:rsid w:val="00A205F1"/>
    <w:rsid w:val="00A20688"/>
    <w:rsid w:val="00A20847"/>
    <w:rsid w:val="00A20862"/>
    <w:rsid w:val="00A20878"/>
    <w:rsid w:val="00A20962"/>
    <w:rsid w:val="00A209DD"/>
    <w:rsid w:val="00A20B32"/>
    <w:rsid w:val="00A20C84"/>
    <w:rsid w:val="00A20D5A"/>
    <w:rsid w:val="00A2116B"/>
    <w:rsid w:val="00A211C0"/>
    <w:rsid w:val="00A21237"/>
    <w:rsid w:val="00A213CC"/>
    <w:rsid w:val="00A21486"/>
    <w:rsid w:val="00A214BE"/>
    <w:rsid w:val="00A21860"/>
    <w:rsid w:val="00A21AA8"/>
    <w:rsid w:val="00A21EFE"/>
    <w:rsid w:val="00A2208C"/>
    <w:rsid w:val="00A22431"/>
    <w:rsid w:val="00A22508"/>
    <w:rsid w:val="00A2262F"/>
    <w:rsid w:val="00A227AC"/>
    <w:rsid w:val="00A227BB"/>
    <w:rsid w:val="00A227C0"/>
    <w:rsid w:val="00A228F5"/>
    <w:rsid w:val="00A229D9"/>
    <w:rsid w:val="00A22A0E"/>
    <w:rsid w:val="00A22AFA"/>
    <w:rsid w:val="00A22B84"/>
    <w:rsid w:val="00A22D22"/>
    <w:rsid w:val="00A22E4E"/>
    <w:rsid w:val="00A22F67"/>
    <w:rsid w:val="00A2300D"/>
    <w:rsid w:val="00A23092"/>
    <w:rsid w:val="00A23214"/>
    <w:rsid w:val="00A23367"/>
    <w:rsid w:val="00A2356C"/>
    <w:rsid w:val="00A23596"/>
    <w:rsid w:val="00A236D9"/>
    <w:rsid w:val="00A23B39"/>
    <w:rsid w:val="00A23B83"/>
    <w:rsid w:val="00A23B94"/>
    <w:rsid w:val="00A23E05"/>
    <w:rsid w:val="00A23F53"/>
    <w:rsid w:val="00A23FC8"/>
    <w:rsid w:val="00A2419F"/>
    <w:rsid w:val="00A24253"/>
    <w:rsid w:val="00A2427E"/>
    <w:rsid w:val="00A24556"/>
    <w:rsid w:val="00A247C3"/>
    <w:rsid w:val="00A248DF"/>
    <w:rsid w:val="00A24A5F"/>
    <w:rsid w:val="00A24B83"/>
    <w:rsid w:val="00A24E77"/>
    <w:rsid w:val="00A24FA2"/>
    <w:rsid w:val="00A25102"/>
    <w:rsid w:val="00A251CF"/>
    <w:rsid w:val="00A254B6"/>
    <w:rsid w:val="00A258A7"/>
    <w:rsid w:val="00A259B3"/>
    <w:rsid w:val="00A259E6"/>
    <w:rsid w:val="00A25B90"/>
    <w:rsid w:val="00A25ECE"/>
    <w:rsid w:val="00A25F0F"/>
    <w:rsid w:val="00A25F6F"/>
    <w:rsid w:val="00A260B7"/>
    <w:rsid w:val="00A26445"/>
    <w:rsid w:val="00A2653F"/>
    <w:rsid w:val="00A265F7"/>
    <w:rsid w:val="00A26619"/>
    <w:rsid w:val="00A26684"/>
    <w:rsid w:val="00A266E6"/>
    <w:rsid w:val="00A267C9"/>
    <w:rsid w:val="00A268AC"/>
    <w:rsid w:val="00A270E6"/>
    <w:rsid w:val="00A2725A"/>
    <w:rsid w:val="00A2742A"/>
    <w:rsid w:val="00A2767D"/>
    <w:rsid w:val="00A276FB"/>
    <w:rsid w:val="00A27766"/>
    <w:rsid w:val="00A27B75"/>
    <w:rsid w:val="00A27D11"/>
    <w:rsid w:val="00A27DEA"/>
    <w:rsid w:val="00A27FA6"/>
    <w:rsid w:val="00A300DE"/>
    <w:rsid w:val="00A301E1"/>
    <w:rsid w:val="00A30232"/>
    <w:rsid w:val="00A30420"/>
    <w:rsid w:val="00A30489"/>
    <w:rsid w:val="00A305AD"/>
    <w:rsid w:val="00A30680"/>
    <w:rsid w:val="00A3077C"/>
    <w:rsid w:val="00A307DD"/>
    <w:rsid w:val="00A3081B"/>
    <w:rsid w:val="00A30875"/>
    <w:rsid w:val="00A308F0"/>
    <w:rsid w:val="00A30B70"/>
    <w:rsid w:val="00A30F8F"/>
    <w:rsid w:val="00A310B0"/>
    <w:rsid w:val="00A310D4"/>
    <w:rsid w:val="00A310E5"/>
    <w:rsid w:val="00A31149"/>
    <w:rsid w:val="00A312E8"/>
    <w:rsid w:val="00A314B1"/>
    <w:rsid w:val="00A315EE"/>
    <w:rsid w:val="00A31640"/>
    <w:rsid w:val="00A317AB"/>
    <w:rsid w:val="00A31840"/>
    <w:rsid w:val="00A318FC"/>
    <w:rsid w:val="00A31906"/>
    <w:rsid w:val="00A31918"/>
    <w:rsid w:val="00A31993"/>
    <w:rsid w:val="00A319B4"/>
    <w:rsid w:val="00A31EEB"/>
    <w:rsid w:val="00A31F7D"/>
    <w:rsid w:val="00A32015"/>
    <w:rsid w:val="00A32242"/>
    <w:rsid w:val="00A32347"/>
    <w:rsid w:val="00A3240A"/>
    <w:rsid w:val="00A32450"/>
    <w:rsid w:val="00A325EA"/>
    <w:rsid w:val="00A3288E"/>
    <w:rsid w:val="00A32D1E"/>
    <w:rsid w:val="00A32DA9"/>
    <w:rsid w:val="00A32DF3"/>
    <w:rsid w:val="00A32E73"/>
    <w:rsid w:val="00A32FA2"/>
    <w:rsid w:val="00A32FC8"/>
    <w:rsid w:val="00A331DC"/>
    <w:rsid w:val="00A33241"/>
    <w:rsid w:val="00A3324A"/>
    <w:rsid w:val="00A33305"/>
    <w:rsid w:val="00A335D3"/>
    <w:rsid w:val="00A33640"/>
    <w:rsid w:val="00A337B2"/>
    <w:rsid w:val="00A338ED"/>
    <w:rsid w:val="00A33A7E"/>
    <w:rsid w:val="00A33AC2"/>
    <w:rsid w:val="00A33AD5"/>
    <w:rsid w:val="00A33B05"/>
    <w:rsid w:val="00A33B3E"/>
    <w:rsid w:val="00A33B88"/>
    <w:rsid w:val="00A33EAA"/>
    <w:rsid w:val="00A3403D"/>
    <w:rsid w:val="00A340B5"/>
    <w:rsid w:val="00A3429E"/>
    <w:rsid w:val="00A3464D"/>
    <w:rsid w:val="00A34698"/>
    <w:rsid w:val="00A34737"/>
    <w:rsid w:val="00A348AC"/>
    <w:rsid w:val="00A34993"/>
    <w:rsid w:val="00A349B9"/>
    <w:rsid w:val="00A34A33"/>
    <w:rsid w:val="00A34A97"/>
    <w:rsid w:val="00A34AB8"/>
    <w:rsid w:val="00A34CE0"/>
    <w:rsid w:val="00A34F9F"/>
    <w:rsid w:val="00A35006"/>
    <w:rsid w:val="00A3501D"/>
    <w:rsid w:val="00A35063"/>
    <w:rsid w:val="00A350E6"/>
    <w:rsid w:val="00A35252"/>
    <w:rsid w:val="00A35329"/>
    <w:rsid w:val="00A354EB"/>
    <w:rsid w:val="00A355FE"/>
    <w:rsid w:val="00A35703"/>
    <w:rsid w:val="00A357BA"/>
    <w:rsid w:val="00A35841"/>
    <w:rsid w:val="00A35B36"/>
    <w:rsid w:val="00A35EA7"/>
    <w:rsid w:val="00A35F17"/>
    <w:rsid w:val="00A35F67"/>
    <w:rsid w:val="00A36135"/>
    <w:rsid w:val="00A36421"/>
    <w:rsid w:val="00A365CD"/>
    <w:rsid w:val="00A36614"/>
    <w:rsid w:val="00A36616"/>
    <w:rsid w:val="00A366AF"/>
    <w:rsid w:val="00A36754"/>
    <w:rsid w:val="00A3678B"/>
    <w:rsid w:val="00A3681B"/>
    <w:rsid w:val="00A3686A"/>
    <w:rsid w:val="00A3686D"/>
    <w:rsid w:val="00A36880"/>
    <w:rsid w:val="00A3691F"/>
    <w:rsid w:val="00A36969"/>
    <w:rsid w:val="00A369B5"/>
    <w:rsid w:val="00A369E8"/>
    <w:rsid w:val="00A36A80"/>
    <w:rsid w:val="00A36F16"/>
    <w:rsid w:val="00A37215"/>
    <w:rsid w:val="00A3727B"/>
    <w:rsid w:val="00A372ED"/>
    <w:rsid w:val="00A37491"/>
    <w:rsid w:val="00A375D4"/>
    <w:rsid w:val="00A377A1"/>
    <w:rsid w:val="00A37881"/>
    <w:rsid w:val="00A378E3"/>
    <w:rsid w:val="00A37A86"/>
    <w:rsid w:val="00A37AC6"/>
    <w:rsid w:val="00A37AF8"/>
    <w:rsid w:val="00A37EF1"/>
    <w:rsid w:val="00A37F25"/>
    <w:rsid w:val="00A402F4"/>
    <w:rsid w:val="00A40305"/>
    <w:rsid w:val="00A4036A"/>
    <w:rsid w:val="00A404EF"/>
    <w:rsid w:val="00A405E1"/>
    <w:rsid w:val="00A40962"/>
    <w:rsid w:val="00A409B6"/>
    <w:rsid w:val="00A40C32"/>
    <w:rsid w:val="00A40C4E"/>
    <w:rsid w:val="00A41173"/>
    <w:rsid w:val="00A411FF"/>
    <w:rsid w:val="00A413E8"/>
    <w:rsid w:val="00A4149A"/>
    <w:rsid w:val="00A4163D"/>
    <w:rsid w:val="00A416B6"/>
    <w:rsid w:val="00A41780"/>
    <w:rsid w:val="00A41882"/>
    <w:rsid w:val="00A41A6E"/>
    <w:rsid w:val="00A41AC4"/>
    <w:rsid w:val="00A41D6B"/>
    <w:rsid w:val="00A41F3E"/>
    <w:rsid w:val="00A42050"/>
    <w:rsid w:val="00A420AE"/>
    <w:rsid w:val="00A42614"/>
    <w:rsid w:val="00A4266D"/>
    <w:rsid w:val="00A4278C"/>
    <w:rsid w:val="00A42894"/>
    <w:rsid w:val="00A42BB3"/>
    <w:rsid w:val="00A42CB8"/>
    <w:rsid w:val="00A42EEB"/>
    <w:rsid w:val="00A42F07"/>
    <w:rsid w:val="00A43123"/>
    <w:rsid w:val="00A4330E"/>
    <w:rsid w:val="00A43327"/>
    <w:rsid w:val="00A43356"/>
    <w:rsid w:val="00A43538"/>
    <w:rsid w:val="00A4355D"/>
    <w:rsid w:val="00A436EB"/>
    <w:rsid w:val="00A437C0"/>
    <w:rsid w:val="00A4380D"/>
    <w:rsid w:val="00A4387C"/>
    <w:rsid w:val="00A43961"/>
    <w:rsid w:val="00A43A46"/>
    <w:rsid w:val="00A43CFC"/>
    <w:rsid w:val="00A43EAF"/>
    <w:rsid w:val="00A43FB0"/>
    <w:rsid w:val="00A440AF"/>
    <w:rsid w:val="00A440B1"/>
    <w:rsid w:val="00A441D9"/>
    <w:rsid w:val="00A441F9"/>
    <w:rsid w:val="00A44237"/>
    <w:rsid w:val="00A445FD"/>
    <w:rsid w:val="00A44663"/>
    <w:rsid w:val="00A4468E"/>
    <w:rsid w:val="00A446D7"/>
    <w:rsid w:val="00A44790"/>
    <w:rsid w:val="00A447DD"/>
    <w:rsid w:val="00A4499A"/>
    <w:rsid w:val="00A449D6"/>
    <w:rsid w:val="00A44B62"/>
    <w:rsid w:val="00A44B96"/>
    <w:rsid w:val="00A44C0B"/>
    <w:rsid w:val="00A44E19"/>
    <w:rsid w:val="00A44E1C"/>
    <w:rsid w:val="00A44EC9"/>
    <w:rsid w:val="00A450B5"/>
    <w:rsid w:val="00A45361"/>
    <w:rsid w:val="00A4546C"/>
    <w:rsid w:val="00A458BB"/>
    <w:rsid w:val="00A458EB"/>
    <w:rsid w:val="00A4594D"/>
    <w:rsid w:val="00A45969"/>
    <w:rsid w:val="00A459F3"/>
    <w:rsid w:val="00A45A9C"/>
    <w:rsid w:val="00A45D70"/>
    <w:rsid w:val="00A45E7F"/>
    <w:rsid w:val="00A45EFF"/>
    <w:rsid w:val="00A4608C"/>
    <w:rsid w:val="00A4623C"/>
    <w:rsid w:val="00A463EF"/>
    <w:rsid w:val="00A464ED"/>
    <w:rsid w:val="00A465CB"/>
    <w:rsid w:val="00A4699A"/>
    <w:rsid w:val="00A46B79"/>
    <w:rsid w:val="00A46D82"/>
    <w:rsid w:val="00A46EC8"/>
    <w:rsid w:val="00A46FE6"/>
    <w:rsid w:val="00A47290"/>
    <w:rsid w:val="00A472E0"/>
    <w:rsid w:val="00A473F1"/>
    <w:rsid w:val="00A475E4"/>
    <w:rsid w:val="00A477C4"/>
    <w:rsid w:val="00A479B6"/>
    <w:rsid w:val="00A479F3"/>
    <w:rsid w:val="00A47D18"/>
    <w:rsid w:val="00A47E0E"/>
    <w:rsid w:val="00A47F1A"/>
    <w:rsid w:val="00A47F75"/>
    <w:rsid w:val="00A50164"/>
    <w:rsid w:val="00A5021D"/>
    <w:rsid w:val="00A5035D"/>
    <w:rsid w:val="00A50558"/>
    <w:rsid w:val="00A505D6"/>
    <w:rsid w:val="00A5080F"/>
    <w:rsid w:val="00A50849"/>
    <w:rsid w:val="00A50A54"/>
    <w:rsid w:val="00A50AEB"/>
    <w:rsid w:val="00A50BBB"/>
    <w:rsid w:val="00A510A7"/>
    <w:rsid w:val="00A510C2"/>
    <w:rsid w:val="00A510E9"/>
    <w:rsid w:val="00A511E3"/>
    <w:rsid w:val="00A51244"/>
    <w:rsid w:val="00A512AA"/>
    <w:rsid w:val="00A5152E"/>
    <w:rsid w:val="00A517DE"/>
    <w:rsid w:val="00A518A5"/>
    <w:rsid w:val="00A519AD"/>
    <w:rsid w:val="00A519EF"/>
    <w:rsid w:val="00A51AC5"/>
    <w:rsid w:val="00A51BF0"/>
    <w:rsid w:val="00A51CCD"/>
    <w:rsid w:val="00A51CE5"/>
    <w:rsid w:val="00A51D10"/>
    <w:rsid w:val="00A51E86"/>
    <w:rsid w:val="00A52109"/>
    <w:rsid w:val="00A5224A"/>
    <w:rsid w:val="00A523A6"/>
    <w:rsid w:val="00A5250C"/>
    <w:rsid w:val="00A525CE"/>
    <w:rsid w:val="00A5262B"/>
    <w:rsid w:val="00A5293C"/>
    <w:rsid w:val="00A52983"/>
    <w:rsid w:val="00A52A49"/>
    <w:rsid w:val="00A52A94"/>
    <w:rsid w:val="00A52FAF"/>
    <w:rsid w:val="00A52FB4"/>
    <w:rsid w:val="00A5313D"/>
    <w:rsid w:val="00A5316A"/>
    <w:rsid w:val="00A5319A"/>
    <w:rsid w:val="00A532DB"/>
    <w:rsid w:val="00A535E1"/>
    <w:rsid w:val="00A53659"/>
    <w:rsid w:val="00A536B3"/>
    <w:rsid w:val="00A536B6"/>
    <w:rsid w:val="00A53733"/>
    <w:rsid w:val="00A537B2"/>
    <w:rsid w:val="00A53A00"/>
    <w:rsid w:val="00A53BF8"/>
    <w:rsid w:val="00A53C3C"/>
    <w:rsid w:val="00A53DF4"/>
    <w:rsid w:val="00A53E2B"/>
    <w:rsid w:val="00A5400A"/>
    <w:rsid w:val="00A5405C"/>
    <w:rsid w:val="00A54142"/>
    <w:rsid w:val="00A5416C"/>
    <w:rsid w:val="00A542E7"/>
    <w:rsid w:val="00A54424"/>
    <w:rsid w:val="00A5442C"/>
    <w:rsid w:val="00A54495"/>
    <w:rsid w:val="00A54862"/>
    <w:rsid w:val="00A54C1E"/>
    <w:rsid w:val="00A54CBC"/>
    <w:rsid w:val="00A54CBE"/>
    <w:rsid w:val="00A54ED8"/>
    <w:rsid w:val="00A5501D"/>
    <w:rsid w:val="00A55341"/>
    <w:rsid w:val="00A5534B"/>
    <w:rsid w:val="00A55397"/>
    <w:rsid w:val="00A5539E"/>
    <w:rsid w:val="00A5548B"/>
    <w:rsid w:val="00A554F9"/>
    <w:rsid w:val="00A555F8"/>
    <w:rsid w:val="00A557C0"/>
    <w:rsid w:val="00A5598B"/>
    <w:rsid w:val="00A56B05"/>
    <w:rsid w:val="00A56C5A"/>
    <w:rsid w:val="00A56C69"/>
    <w:rsid w:val="00A56C87"/>
    <w:rsid w:val="00A56F90"/>
    <w:rsid w:val="00A57269"/>
    <w:rsid w:val="00A5737B"/>
    <w:rsid w:val="00A573D3"/>
    <w:rsid w:val="00A5748B"/>
    <w:rsid w:val="00A57540"/>
    <w:rsid w:val="00A5762D"/>
    <w:rsid w:val="00A57AD8"/>
    <w:rsid w:val="00A57CC3"/>
    <w:rsid w:val="00A57D54"/>
    <w:rsid w:val="00A57DD9"/>
    <w:rsid w:val="00A57FAE"/>
    <w:rsid w:val="00A601DA"/>
    <w:rsid w:val="00A6024A"/>
    <w:rsid w:val="00A60332"/>
    <w:rsid w:val="00A60565"/>
    <w:rsid w:val="00A607F9"/>
    <w:rsid w:val="00A6098B"/>
    <w:rsid w:val="00A60EF1"/>
    <w:rsid w:val="00A61339"/>
    <w:rsid w:val="00A613BE"/>
    <w:rsid w:val="00A61750"/>
    <w:rsid w:val="00A61804"/>
    <w:rsid w:val="00A61908"/>
    <w:rsid w:val="00A61A56"/>
    <w:rsid w:val="00A61A9F"/>
    <w:rsid w:val="00A61B33"/>
    <w:rsid w:val="00A61C5C"/>
    <w:rsid w:val="00A61E59"/>
    <w:rsid w:val="00A61F84"/>
    <w:rsid w:val="00A62066"/>
    <w:rsid w:val="00A6206D"/>
    <w:rsid w:val="00A620E0"/>
    <w:rsid w:val="00A62120"/>
    <w:rsid w:val="00A621B1"/>
    <w:rsid w:val="00A62383"/>
    <w:rsid w:val="00A624C6"/>
    <w:rsid w:val="00A625EA"/>
    <w:rsid w:val="00A62709"/>
    <w:rsid w:val="00A627B7"/>
    <w:rsid w:val="00A62896"/>
    <w:rsid w:val="00A629E6"/>
    <w:rsid w:val="00A62AC6"/>
    <w:rsid w:val="00A62C94"/>
    <w:rsid w:val="00A6305F"/>
    <w:rsid w:val="00A63575"/>
    <w:rsid w:val="00A63E5F"/>
    <w:rsid w:val="00A641EF"/>
    <w:rsid w:val="00A647E1"/>
    <w:rsid w:val="00A64E0C"/>
    <w:rsid w:val="00A64EF1"/>
    <w:rsid w:val="00A64F30"/>
    <w:rsid w:val="00A64F5F"/>
    <w:rsid w:val="00A64FB4"/>
    <w:rsid w:val="00A64FF3"/>
    <w:rsid w:val="00A65049"/>
    <w:rsid w:val="00A6510C"/>
    <w:rsid w:val="00A651EE"/>
    <w:rsid w:val="00A6548D"/>
    <w:rsid w:val="00A65544"/>
    <w:rsid w:val="00A655B1"/>
    <w:rsid w:val="00A655F2"/>
    <w:rsid w:val="00A65723"/>
    <w:rsid w:val="00A657ED"/>
    <w:rsid w:val="00A65C59"/>
    <w:rsid w:val="00A65C5E"/>
    <w:rsid w:val="00A65ED2"/>
    <w:rsid w:val="00A65F27"/>
    <w:rsid w:val="00A65F89"/>
    <w:rsid w:val="00A660C9"/>
    <w:rsid w:val="00A66130"/>
    <w:rsid w:val="00A6616C"/>
    <w:rsid w:val="00A6629D"/>
    <w:rsid w:val="00A663B7"/>
    <w:rsid w:val="00A66682"/>
    <w:rsid w:val="00A667B7"/>
    <w:rsid w:val="00A66AE1"/>
    <w:rsid w:val="00A66E17"/>
    <w:rsid w:val="00A66E46"/>
    <w:rsid w:val="00A66E5F"/>
    <w:rsid w:val="00A66E6F"/>
    <w:rsid w:val="00A66ED8"/>
    <w:rsid w:val="00A66F02"/>
    <w:rsid w:val="00A6705E"/>
    <w:rsid w:val="00A670B0"/>
    <w:rsid w:val="00A6711A"/>
    <w:rsid w:val="00A67661"/>
    <w:rsid w:val="00A67807"/>
    <w:rsid w:val="00A6781D"/>
    <w:rsid w:val="00A67894"/>
    <w:rsid w:val="00A678A0"/>
    <w:rsid w:val="00A6792A"/>
    <w:rsid w:val="00A67C2D"/>
    <w:rsid w:val="00A67E42"/>
    <w:rsid w:val="00A67EC7"/>
    <w:rsid w:val="00A700B3"/>
    <w:rsid w:val="00A70297"/>
    <w:rsid w:val="00A704E1"/>
    <w:rsid w:val="00A704E9"/>
    <w:rsid w:val="00A70582"/>
    <w:rsid w:val="00A70636"/>
    <w:rsid w:val="00A70718"/>
    <w:rsid w:val="00A70B06"/>
    <w:rsid w:val="00A70B18"/>
    <w:rsid w:val="00A70B90"/>
    <w:rsid w:val="00A70CCD"/>
    <w:rsid w:val="00A70F53"/>
    <w:rsid w:val="00A710FC"/>
    <w:rsid w:val="00A71247"/>
    <w:rsid w:val="00A71446"/>
    <w:rsid w:val="00A71570"/>
    <w:rsid w:val="00A716E7"/>
    <w:rsid w:val="00A71A04"/>
    <w:rsid w:val="00A71A3F"/>
    <w:rsid w:val="00A71AF7"/>
    <w:rsid w:val="00A71B51"/>
    <w:rsid w:val="00A71CEB"/>
    <w:rsid w:val="00A71D2A"/>
    <w:rsid w:val="00A71EF6"/>
    <w:rsid w:val="00A72125"/>
    <w:rsid w:val="00A721AC"/>
    <w:rsid w:val="00A724D6"/>
    <w:rsid w:val="00A72521"/>
    <w:rsid w:val="00A72684"/>
    <w:rsid w:val="00A7276E"/>
    <w:rsid w:val="00A7295A"/>
    <w:rsid w:val="00A72986"/>
    <w:rsid w:val="00A729FB"/>
    <w:rsid w:val="00A72A68"/>
    <w:rsid w:val="00A72ABB"/>
    <w:rsid w:val="00A72EE8"/>
    <w:rsid w:val="00A72F86"/>
    <w:rsid w:val="00A7314D"/>
    <w:rsid w:val="00A73245"/>
    <w:rsid w:val="00A7331C"/>
    <w:rsid w:val="00A73537"/>
    <w:rsid w:val="00A73797"/>
    <w:rsid w:val="00A73974"/>
    <w:rsid w:val="00A73BD0"/>
    <w:rsid w:val="00A73C95"/>
    <w:rsid w:val="00A73CCC"/>
    <w:rsid w:val="00A73F99"/>
    <w:rsid w:val="00A740FC"/>
    <w:rsid w:val="00A7419A"/>
    <w:rsid w:val="00A7434C"/>
    <w:rsid w:val="00A74659"/>
    <w:rsid w:val="00A74686"/>
    <w:rsid w:val="00A7468A"/>
    <w:rsid w:val="00A74D7B"/>
    <w:rsid w:val="00A74F4C"/>
    <w:rsid w:val="00A74FF4"/>
    <w:rsid w:val="00A7512C"/>
    <w:rsid w:val="00A75146"/>
    <w:rsid w:val="00A75189"/>
    <w:rsid w:val="00A752E0"/>
    <w:rsid w:val="00A75538"/>
    <w:rsid w:val="00A75621"/>
    <w:rsid w:val="00A75828"/>
    <w:rsid w:val="00A75AE7"/>
    <w:rsid w:val="00A75E7F"/>
    <w:rsid w:val="00A75EFE"/>
    <w:rsid w:val="00A7611E"/>
    <w:rsid w:val="00A76275"/>
    <w:rsid w:val="00A76292"/>
    <w:rsid w:val="00A76488"/>
    <w:rsid w:val="00A76769"/>
    <w:rsid w:val="00A76AA7"/>
    <w:rsid w:val="00A76F2D"/>
    <w:rsid w:val="00A76F53"/>
    <w:rsid w:val="00A76FE4"/>
    <w:rsid w:val="00A775F4"/>
    <w:rsid w:val="00A77605"/>
    <w:rsid w:val="00A77677"/>
    <w:rsid w:val="00A7768F"/>
    <w:rsid w:val="00A778B7"/>
    <w:rsid w:val="00A779F0"/>
    <w:rsid w:val="00A77A16"/>
    <w:rsid w:val="00A77A3E"/>
    <w:rsid w:val="00A77B01"/>
    <w:rsid w:val="00A77B69"/>
    <w:rsid w:val="00A77D4F"/>
    <w:rsid w:val="00A800D3"/>
    <w:rsid w:val="00A803D5"/>
    <w:rsid w:val="00A806E8"/>
    <w:rsid w:val="00A80A8B"/>
    <w:rsid w:val="00A80C61"/>
    <w:rsid w:val="00A80F15"/>
    <w:rsid w:val="00A8100A"/>
    <w:rsid w:val="00A8107A"/>
    <w:rsid w:val="00A811E6"/>
    <w:rsid w:val="00A81A1F"/>
    <w:rsid w:val="00A81A2E"/>
    <w:rsid w:val="00A81BBC"/>
    <w:rsid w:val="00A81D70"/>
    <w:rsid w:val="00A81FEB"/>
    <w:rsid w:val="00A822A0"/>
    <w:rsid w:val="00A82868"/>
    <w:rsid w:val="00A82885"/>
    <w:rsid w:val="00A828D2"/>
    <w:rsid w:val="00A829A2"/>
    <w:rsid w:val="00A829A6"/>
    <w:rsid w:val="00A82CEE"/>
    <w:rsid w:val="00A82DDC"/>
    <w:rsid w:val="00A83445"/>
    <w:rsid w:val="00A834AE"/>
    <w:rsid w:val="00A835EE"/>
    <w:rsid w:val="00A838FB"/>
    <w:rsid w:val="00A839D7"/>
    <w:rsid w:val="00A83B02"/>
    <w:rsid w:val="00A83CC2"/>
    <w:rsid w:val="00A83D97"/>
    <w:rsid w:val="00A83EA0"/>
    <w:rsid w:val="00A83FA5"/>
    <w:rsid w:val="00A84086"/>
    <w:rsid w:val="00A840E2"/>
    <w:rsid w:val="00A84441"/>
    <w:rsid w:val="00A844B8"/>
    <w:rsid w:val="00A84C2E"/>
    <w:rsid w:val="00A84C42"/>
    <w:rsid w:val="00A84C6E"/>
    <w:rsid w:val="00A84C93"/>
    <w:rsid w:val="00A84D11"/>
    <w:rsid w:val="00A84E3D"/>
    <w:rsid w:val="00A84F1C"/>
    <w:rsid w:val="00A8525D"/>
    <w:rsid w:val="00A8526C"/>
    <w:rsid w:val="00A853AB"/>
    <w:rsid w:val="00A853E2"/>
    <w:rsid w:val="00A85A54"/>
    <w:rsid w:val="00A85B87"/>
    <w:rsid w:val="00A85D15"/>
    <w:rsid w:val="00A85EA9"/>
    <w:rsid w:val="00A85EB3"/>
    <w:rsid w:val="00A85FA2"/>
    <w:rsid w:val="00A85FFA"/>
    <w:rsid w:val="00A860E2"/>
    <w:rsid w:val="00A86489"/>
    <w:rsid w:val="00A865C1"/>
    <w:rsid w:val="00A86604"/>
    <w:rsid w:val="00A8683C"/>
    <w:rsid w:val="00A86BC7"/>
    <w:rsid w:val="00A86CA4"/>
    <w:rsid w:val="00A86CE2"/>
    <w:rsid w:val="00A86EA0"/>
    <w:rsid w:val="00A87003"/>
    <w:rsid w:val="00A87139"/>
    <w:rsid w:val="00A871C5"/>
    <w:rsid w:val="00A872AB"/>
    <w:rsid w:val="00A873A3"/>
    <w:rsid w:val="00A873D8"/>
    <w:rsid w:val="00A87591"/>
    <w:rsid w:val="00A877EE"/>
    <w:rsid w:val="00A87A29"/>
    <w:rsid w:val="00A87C4B"/>
    <w:rsid w:val="00A87DA6"/>
    <w:rsid w:val="00A87EDF"/>
    <w:rsid w:val="00A90080"/>
    <w:rsid w:val="00A900C9"/>
    <w:rsid w:val="00A902BB"/>
    <w:rsid w:val="00A9058D"/>
    <w:rsid w:val="00A90751"/>
    <w:rsid w:val="00A908F1"/>
    <w:rsid w:val="00A9092F"/>
    <w:rsid w:val="00A90A07"/>
    <w:rsid w:val="00A90AB1"/>
    <w:rsid w:val="00A90B8E"/>
    <w:rsid w:val="00A90C96"/>
    <w:rsid w:val="00A9110D"/>
    <w:rsid w:val="00A91141"/>
    <w:rsid w:val="00A91213"/>
    <w:rsid w:val="00A9123A"/>
    <w:rsid w:val="00A9136E"/>
    <w:rsid w:val="00A9154E"/>
    <w:rsid w:val="00A9158B"/>
    <w:rsid w:val="00A91604"/>
    <w:rsid w:val="00A91732"/>
    <w:rsid w:val="00A91772"/>
    <w:rsid w:val="00A91794"/>
    <w:rsid w:val="00A91851"/>
    <w:rsid w:val="00A91A61"/>
    <w:rsid w:val="00A91D11"/>
    <w:rsid w:val="00A91D2D"/>
    <w:rsid w:val="00A92124"/>
    <w:rsid w:val="00A92378"/>
    <w:rsid w:val="00A9248A"/>
    <w:rsid w:val="00A9266C"/>
    <w:rsid w:val="00A926B1"/>
    <w:rsid w:val="00A926E3"/>
    <w:rsid w:val="00A928B8"/>
    <w:rsid w:val="00A9296D"/>
    <w:rsid w:val="00A92A2A"/>
    <w:rsid w:val="00A92A59"/>
    <w:rsid w:val="00A92CB5"/>
    <w:rsid w:val="00A92F4C"/>
    <w:rsid w:val="00A930F9"/>
    <w:rsid w:val="00A93201"/>
    <w:rsid w:val="00A9331F"/>
    <w:rsid w:val="00A933BA"/>
    <w:rsid w:val="00A93567"/>
    <w:rsid w:val="00A937DC"/>
    <w:rsid w:val="00A93843"/>
    <w:rsid w:val="00A93891"/>
    <w:rsid w:val="00A93B18"/>
    <w:rsid w:val="00A93C47"/>
    <w:rsid w:val="00A93EBE"/>
    <w:rsid w:val="00A93EDB"/>
    <w:rsid w:val="00A93F4C"/>
    <w:rsid w:val="00A93F7C"/>
    <w:rsid w:val="00A93FA3"/>
    <w:rsid w:val="00A940F5"/>
    <w:rsid w:val="00A941F7"/>
    <w:rsid w:val="00A9440E"/>
    <w:rsid w:val="00A94550"/>
    <w:rsid w:val="00A94678"/>
    <w:rsid w:val="00A9475A"/>
    <w:rsid w:val="00A9486C"/>
    <w:rsid w:val="00A949C4"/>
    <w:rsid w:val="00A94A73"/>
    <w:rsid w:val="00A94D07"/>
    <w:rsid w:val="00A94FE8"/>
    <w:rsid w:val="00A951AA"/>
    <w:rsid w:val="00A951E7"/>
    <w:rsid w:val="00A951F8"/>
    <w:rsid w:val="00A9539C"/>
    <w:rsid w:val="00A9556F"/>
    <w:rsid w:val="00A9571A"/>
    <w:rsid w:val="00A95837"/>
    <w:rsid w:val="00A958F6"/>
    <w:rsid w:val="00A9598E"/>
    <w:rsid w:val="00A959F2"/>
    <w:rsid w:val="00A95CDE"/>
    <w:rsid w:val="00A9608F"/>
    <w:rsid w:val="00A9615C"/>
    <w:rsid w:val="00A963C8"/>
    <w:rsid w:val="00A96509"/>
    <w:rsid w:val="00A965DA"/>
    <w:rsid w:val="00A965EA"/>
    <w:rsid w:val="00A96661"/>
    <w:rsid w:val="00A96777"/>
    <w:rsid w:val="00A96BE7"/>
    <w:rsid w:val="00A96C7B"/>
    <w:rsid w:val="00A96EDE"/>
    <w:rsid w:val="00A96F94"/>
    <w:rsid w:val="00A97070"/>
    <w:rsid w:val="00A97079"/>
    <w:rsid w:val="00A97131"/>
    <w:rsid w:val="00A973F4"/>
    <w:rsid w:val="00A974E2"/>
    <w:rsid w:val="00A977C8"/>
    <w:rsid w:val="00A9780A"/>
    <w:rsid w:val="00A9786D"/>
    <w:rsid w:val="00A978F9"/>
    <w:rsid w:val="00A979D2"/>
    <w:rsid w:val="00A97A2A"/>
    <w:rsid w:val="00A97A7A"/>
    <w:rsid w:val="00A97B3F"/>
    <w:rsid w:val="00A97B4A"/>
    <w:rsid w:val="00A97E71"/>
    <w:rsid w:val="00A97F46"/>
    <w:rsid w:val="00AA0331"/>
    <w:rsid w:val="00AA07FD"/>
    <w:rsid w:val="00AA0823"/>
    <w:rsid w:val="00AA0998"/>
    <w:rsid w:val="00AA09E7"/>
    <w:rsid w:val="00AA0B09"/>
    <w:rsid w:val="00AA0B32"/>
    <w:rsid w:val="00AA0C07"/>
    <w:rsid w:val="00AA0F31"/>
    <w:rsid w:val="00AA10A5"/>
    <w:rsid w:val="00AA1118"/>
    <w:rsid w:val="00AA1133"/>
    <w:rsid w:val="00AA14CC"/>
    <w:rsid w:val="00AA1563"/>
    <w:rsid w:val="00AA162A"/>
    <w:rsid w:val="00AA1805"/>
    <w:rsid w:val="00AA1A85"/>
    <w:rsid w:val="00AA1A9D"/>
    <w:rsid w:val="00AA1BAD"/>
    <w:rsid w:val="00AA1DF3"/>
    <w:rsid w:val="00AA1FE3"/>
    <w:rsid w:val="00AA2277"/>
    <w:rsid w:val="00AA22D6"/>
    <w:rsid w:val="00AA2643"/>
    <w:rsid w:val="00AA2804"/>
    <w:rsid w:val="00AA285A"/>
    <w:rsid w:val="00AA289D"/>
    <w:rsid w:val="00AA2979"/>
    <w:rsid w:val="00AA29F4"/>
    <w:rsid w:val="00AA2B22"/>
    <w:rsid w:val="00AA2F3A"/>
    <w:rsid w:val="00AA30BC"/>
    <w:rsid w:val="00AA30C5"/>
    <w:rsid w:val="00AA3313"/>
    <w:rsid w:val="00AA34A4"/>
    <w:rsid w:val="00AA355B"/>
    <w:rsid w:val="00AA35D3"/>
    <w:rsid w:val="00AA36AA"/>
    <w:rsid w:val="00AA372B"/>
    <w:rsid w:val="00AA3742"/>
    <w:rsid w:val="00AA3887"/>
    <w:rsid w:val="00AA3999"/>
    <w:rsid w:val="00AA39E2"/>
    <w:rsid w:val="00AA3E62"/>
    <w:rsid w:val="00AA3F1B"/>
    <w:rsid w:val="00AA410E"/>
    <w:rsid w:val="00AA43ED"/>
    <w:rsid w:val="00AA446B"/>
    <w:rsid w:val="00AA45AB"/>
    <w:rsid w:val="00AA4660"/>
    <w:rsid w:val="00AA4991"/>
    <w:rsid w:val="00AA4A77"/>
    <w:rsid w:val="00AA4CD6"/>
    <w:rsid w:val="00AA4D8E"/>
    <w:rsid w:val="00AA4DE4"/>
    <w:rsid w:val="00AA4E23"/>
    <w:rsid w:val="00AA4EAA"/>
    <w:rsid w:val="00AA5040"/>
    <w:rsid w:val="00AA505B"/>
    <w:rsid w:val="00AA5072"/>
    <w:rsid w:val="00AA5439"/>
    <w:rsid w:val="00AA55A8"/>
    <w:rsid w:val="00AA56C0"/>
    <w:rsid w:val="00AA5B43"/>
    <w:rsid w:val="00AA5C41"/>
    <w:rsid w:val="00AA609B"/>
    <w:rsid w:val="00AA6186"/>
    <w:rsid w:val="00AA6280"/>
    <w:rsid w:val="00AA6282"/>
    <w:rsid w:val="00AA636F"/>
    <w:rsid w:val="00AA662C"/>
    <w:rsid w:val="00AA6807"/>
    <w:rsid w:val="00AA69B4"/>
    <w:rsid w:val="00AA69BF"/>
    <w:rsid w:val="00AA6BE4"/>
    <w:rsid w:val="00AA6D12"/>
    <w:rsid w:val="00AA6DC2"/>
    <w:rsid w:val="00AA6F47"/>
    <w:rsid w:val="00AA70FB"/>
    <w:rsid w:val="00AA721D"/>
    <w:rsid w:val="00AA7270"/>
    <w:rsid w:val="00AA754D"/>
    <w:rsid w:val="00AA7631"/>
    <w:rsid w:val="00AA77B4"/>
    <w:rsid w:val="00AA7860"/>
    <w:rsid w:val="00AA7865"/>
    <w:rsid w:val="00AA7879"/>
    <w:rsid w:val="00AA7B11"/>
    <w:rsid w:val="00AA7B3C"/>
    <w:rsid w:val="00AA7C5F"/>
    <w:rsid w:val="00AA7CCB"/>
    <w:rsid w:val="00AA7D0D"/>
    <w:rsid w:val="00AA7DF2"/>
    <w:rsid w:val="00AA7ECA"/>
    <w:rsid w:val="00AA7EEC"/>
    <w:rsid w:val="00AB00EC"/>
    <w:rsid w:val="00AB01F6"/>
    <w:rsid w:val="00AB02AF"/>
    <w:rsid w:val="00AB02CB"/>
    <w:rsid w:val="00AB0317"/>
    <w:rsid w:val="00AB07EB"/>
    <w:rsid w:val="00AB0877"/>
    <w:rsid w:val="00AB0979"/>
    <w:rsid w:val="00AB09A7"/>
    <w:rsid w:val="00AB09E6"/>
    <w:rsid w:val="00AB0D3D"/>
    <w:rsid w:val="00AB0ECA"/>
    <w:rsid w:val="00AB0FBE"/>
    <w:rsid w:val="00AB11DD"/>
    <w:rsid w:val="00AB1205"/>
    <w:rsid w:val="00AB15EF"/>
    <w:rsid w:val="00AB1839"/>
    <w:rsid w:val="00AB1FCE"/>
    <w:rsid w:val="00AB2110"/>
    <w:rsid w:val="00AB2172"/>
    <w:rsid w:val="00AB23B7"/>
    <w:rsid w:val="00AB265B"/>
    <w:rsid w:val="00AB268E"/>
    <w:rsid w:val="00AB2696"/>
    <w:rsid w:val="00AB26D6"/>
    <w:rsid w:val="00AB28BD"/>
    <w:rsid w:val="00AB295B"/>
    <w:rsid w:val="00AB2981"/>
    <w:rsid w:val="00AB2AA5"/>
    <w:rsid w:val="00AB2ADC"/>
    <w:rsid w:val="00AB2D90"/>
    <w:rsid w:val="00AB2F44"/>
    <w:rsid w:val="00AB302D"/>
    <w:rsid w:val="00AB3087"/>
    <w:rsid w:val="00AB3293"/>
    <w:rsid w:val="00AB34C4"/>
    <w:rsid w:val="00AB34F2"/>
    <w:rsid w:val="00AB3587"/>
    <w:rsid w:val="00AB38A1"/>
    <w:rsid w:val="00AB39B1"/>
    <w:rsid w:val="00AB3ADF"/>
    <w:rsid w:val="00AB3DDF"/>
    <w:rsid w:val="00AB3E9E"/>
    <w:rsid w:val="00AB3EED"/>
    <w:rsid w:val="00AB40C0"/>
    <w:rsid w:val="00AB41A8"/>
    <w:rsid w:val="00AB42FA"/>
    <w:rsid w:val="00AB46DD"/>
    <w:rsid w:val="00AB486E"/>
    <w:rsid w:val="00AB48E5"/>
    <w:rsid w:val="00AB4A3E"/>
    <w:rsid w:val="00AB4BBB"/>
    <w:rsid w:val="00AB4C9F"/>
    <w:rsid w:val="00AB4CDA"/>
    <w:rsid w:val="00AB4EDA"/>
    <w:rsid w:val="00AB504E"/>
    <w:rsid w:val="00AB5074"/>
    <w:rsid w:val="00AB50DE"/>
    <w:rsid w:val="00AB513C"/>
    <w:rsid w:val="00AB51D4"/>
    <w:rsid w:val="00AB521A"/>
    <w:rsid w:val="00AB54E1"/>
    <w:rsid w:val="00AB555F"/>
    <w:rsid w:val="00AB55BE"/>
    <w:rsid w:val="00AB5A7B"/>
    <w:rsid w:val="00AB5A9F"/>
    <w:rsid w:val="00AB5E8F"/>
    <w:rsid w:val="00AB6197"/>
    <w:rsid w:val="00AB624F"/>
    <w:rsid w:val="00AB6323"/>
    <w:rsid w:val="00AB63E5"/>
    <w:rsid w:val="00AB67FA"/>
    <w:rsid w:val="00AB6910"/>
    <w:rsid w:val="00AB6B11"/>
    <w:rsid w:val="00AB76C3"/>
    <w:rsid w:val="00AB78EB"/>
    <w:rsid w:val="00AB7A2F"/>
    <w:rsid w:val="00AB7C56"/>
    <w:rsid w:val="00AB7CC7"/>
    <w:rsid w:val="00AB7DFE"/>
    <w:rsid w:val="00AC0102"/>
    <w:rsid w:val="00AC0188"/>
    <w:rsid w:val="00AC01E1"/>
    <w:rsid w:val="00AC02E8"/>
    <w:rsid w:val="00AC0533"/>
    <w:rsid w:val="00AC05B6"/>
    <w:rsid w:val="00AC07BE"/>
    <w:rsid w:val="00AC0957"/>
    <w:rsid w:val="00AC09A4"/>
    <w:rsid w:val="00AC0CB5"/>
    <w:rsid w:val="00AC0E62"/>
    <w:rsid w:val="00AC0E9D"/>
    <w:rsid w:val="00AC0EDE"/>
    <w:rsid w:val="00AC105F"/>
    <w:rsid w:val="00AC1155"/>
    <w:rsid w:val="00AC1217"/>
    <w:rsid w:val="00AC1670"/>
    <w:rsid w:val="00AC1991"/>
    <w:rsid w:val="00AC1B73"/>
    <w:rsid w:val="00AC1D7E"/>
    <w:rsid w:val="00AC1FCF"/>
    <w:rsid w:val="00AC1FD8"/>
    <w:rsid w:val="00AC2059"/>
    <w:rsid w:val="00AC20DF"/>
    <w:rsid w:val="00AC20F2"/>
    <w:rsid w:val="00AC2309"/>
    <w:rsid w:val="00AC2617"/>
    <w:rsid w:val="00AC262A"/>
    <w:rsid w:val="00AC26C5"/>
    <w:rsid w:val="00AC276D"/>
    <w:rsid w:val="00AC2A15"/>
    <w:rsid w:val="00AC2D1B"/>
    <w:rsid w:val="00AC2EFC"/>
    <w:rsid w:val="00AC304F"/>
    <w:rsid w:val="00AC316F"/>
    <w:rsid w:val="00AC339E"/>
    <w:rsid w:val="00AC3615"/>
    <w:rsid w:val="00AC362C"/>
    <w:rsid w:val="00AC384B"/>
    <w:rsid w:val="00AC3905"/>
    <w:rsid w:val="00AC3A5A"/>
    <w:rsid w:val="00AC3A8E"/>
    <w:rsid w:val="00AC3AE9"/>
    <w:rsid w:val="00AC3CA3"/>
    <w:rsid w:val="00AC3D27"/>
    <w:rsid w:val="00AC3DE6"/>
    <w:rsid w:val="00AC3E0F"/>
    <w:rsid w:val="00AC3FAA"/>
    <w:rsid w:val="00AC3FD3"/>
    <w:rsid w:val="00AC4073"/>
    <w:rsid w:val="00AC409C"/>
    <w:rsid w:val="00AC4141"/>
    <w:rsid w:val="00AC41B7"/>
    <w:rsid w:val="00AC41D9"/>
    <w:rsid w:val="00AC423C"/>
    <w:rsid w:val="00AC468C"/>
    <w:rsid w:val="00AC477A"/>
    <w:rsid w:val="00AC4811"/>
    <w:rsid w:val="00AC48F5"/>
    <w:rsid w:val="00AC4B58"/>
    <w:rsid w:val="00AC4CA5"/>
    <w:rsid w:val="00AC4EEE"/>
    <w:rsid w:val="00AC50E5"/>
    <w:rsid w:val="00AC5347"/>
    <w:rsid w:val="00AC546D"/>
    <w:rsid w:val="00AC55B8"/>
    <w:rsid w:val="00AC55FA"/>
    <w:rsid w:val="00AC56FC"/>
    <w:rsid w:val="00AC5790"/>
    <w:rsid w:val="00AC59BE"/>
    <w:rsid w:val="00AC5B0B"/>
    <w:rsid w:val="00AC5CB1"/>
    <w:rsid w:val="00AC5CC4"/>
    <w:rsid w:val="00AC5DA7"/>
    <w:rsid w:val="00AC5E3F"/>
    <w:rsid w:val="00AC5F8A"/>
    <w:rsid w:val="00AC6036"/>
    <w:rsid w:val="00AC60BB"/>
    <w:rsid w:val="00AC6285"/>
    <w:rsid w:val="00AC6393"/>
    <w:rsid w:val="00AC6475"/>
    <w:rsid w:val="00AC6BB0"/>
    <w:rsid w:val="00AC6C13"/>
    <w:rsid w:val="00AC6E0F"/>
    <w:rsid w:val="00AC70F8"/>
    <w:rsid w:val="00AC711B"/>
    <w:rsid w:val="00AC72DF"/>
    <w:rsid w:val="00AC73A3"/>
    <w:rsid w:val="00AC74F8"/>
    <w:rsid w:val="00AC752D"/>
    <w:rsid w:val="00AC757A"/>
    <w:rsid w:val="00AC75CC"/>
    <w:rsid w:val="00AC7838"/>
    <w:rsid w:val="00AC78B1"/>
    <w:rsid w:val="00AC7905"/>
    <w:rsid w:val="00AC7C41"/>
    <w:rsid w:val="00AC7F0E"/>
    <w:rsid w:val="00AD00A2"/>
    <w:rsid w:val="00AD02BA"/>
    <w:rsid w:val="00AD03F4"/>
    <w:rsid w:val="00AD043D"/>
    <w:rsid w:val="00AD05C0"/>
    <w:rsid w:val="00AD0882"/>
    <w:rsid w:val="00AD0B00"/>
    <w:rsid w:val="00AD0B27"/>
    <w:rsid w:val="00AD0FCE"/>
    <w:rsid w:val="00AD13D3"/>
    <w:rsid w:val="00AD14AE"/>
    <w:rsid w:val="00AD1511"/>
    <w:rsid w:val="00AD183C"/>
    <w:rsid w:val="00AD1A74"/>
    <w:rsid w:val="00AD1A76"/>
    <w:rsid w:val="00AD1ADB"/>
    <w:rsid w:val="00AD1C47"/>
    <w:rsid w:val="00AD1CA6"/>
    <w:rsid w:val="00AD1CBD"/>
    <w:rsid w:val="00AD1CEF"/>
    <w:rsid w:val="00AD202E"/>
    <w:rsid w:val="00AD20BF"/>
    <w:rsid w:val="00AD23C1"/>
    <w:rsid w:val="00AD2510"/>
    <w:rsid w:val="00AD2725"/>
    <w:rsid w:val="00AD2830"/>
    <w:rsid w:val="00AD2A9C"/>
    <w:rsid w:val="00AD2AC9"/>
    <w:rsid w:val="00AD2B13"/>
    <w:rsid w:val="00AD2BDF"/>
    <w:rsid w:val="00AD2F79"/>
    <w:rsid w:val="00AD2FCA"/>
    <w:rsid w:val="00AD3062"/>
    <w:rsid w:val="00AD343D"/>
    <w:rsid w:val="00AD36E0"/>
    <w:rsid w:val="00AD39D5"/>
    <w:rsid w:val="00AD3BF2"/>
    <w:rsid w:val="00AD3F44"/>
    <w:rsid w:val="00AD3F4A"/>
    <w:rsid w:val="00AD3F6A"/>
    <w:rsid w:val="00AD4274"/>
    <w:rsid w:val="00AD4389"/>
    <w:rsid w:val="00AD4489"/>
    <w:rsid w:val="00AD448F"/>
    <w:rsid w:val="00AD4520"/>
    <w:rsid w:val="00AD464C"/>
    <w:rsid w:val="00AD476A"/>
    <w:rsid w:val="00AD4810"/>
    <w:rsid w:val="00AD48B7"/>
    <w:rsid w:val="00AD49A5"/>
    <w:rsid w:val="00AD4AA9"/>
    <w:rsid w:val="00AD4CA1"/>
    <w:rsid w:val="00AD4D28"/>
    <w:rsid w:val="00AD4E27"/>
    <w:rsid w:val="00AD4E32"/>
    <w:rsid w:val="00AD4F44"/>
    <w:rsid w:val="00AD519B"/>
    <w:rsid w:val="00AD53F1"/>
    <w:rsid w:val="00AD546F"/>
    <w:rsid w:val="00AD55CB"/>
    <w:rsid w:val="00AD5789"/>
    <w:rsid w:val="00AD5804"/>
    <w:rsid w:val="00AD58DB"/>
    <w:rsid w:val="00AD5A53"/>
    <w:rsid w:val="00AD5AC9"/>
    <w:rsid w:val="00AD5C6E"/>
    <w:rsid w:val="00AD5EE3"/>
    <w:rsid w:val="00AD603A"/>
    <w:rsid w:val="00AD63D5"/>
    <w:rsid w:val="00AD67D3"/>
    <w:rsid w:val="00AD680E"/>
    <w:rsid w:val="00AD6880"/>
    <w:rsid w:val="00AD68DA"/>
    <w:rsid w:val="00AD6941"/>
    <w:rsid w:val="00AD6EA7"/>
    <w:rsid w:val="00AD6F56"/>
    <w:rsid w:val="00AD6F89"/>
    <w:rsid w:val="00AD7203"/>
    <w:rsid w:val="00AD7513"/>
    <w:rsid w:val="00AD764B"/>
    <w:rsid w:val="00AD7C0F"/>
    <w:rsid w:val="00AD7C52"/>
    <w:rsid w:val="00AD7DC2"/>
    <w:rsid w:val="00AE01C3"/>
    <w:rsid w:val="00AE0683"/>
    <w:rsid w:val="00AE0734"/>
    <w:rsid w:val="00AE087D"/>
    <w:rsid w:val="00AE08C0"/>
    <w:rsid w:val="00AE0923"/>
    <w:rsid w:val="00AE142E"/>
    <w:rsid w:val="00AE14AE"/>
    <w:rsid w:val="00AE14D8"/>
    <w:rsid w:val="00AE1522"/>
    <w:rsid w:val="00AE16AF"/>
    <w:rsid w:val="00AE1950"/>
    <w:rsid w:val="00AE19D2"/>
    <w:rsid w:val="00AE1ACA"/>
    <w:rsid w:val="00AE1BFF"/>
    <w:rsid w:val="00AE1F83"/>
    <w:rsid w:val="00AE1FB7"/>
    <w:rsid w:val="00AE1FC8"/>
    <w:rsid w:val="00AE2115"/>
    <w:rsid w:val="00AE244E"/>
    <w:rsid w:val="00AE25C2"/>
    <w:rsid w:val="00AE2638"/>
    <w:rsid w:val="00AE267E"/>
    <w:rsid w:val="00AE26A3"/>
    <w:rsid w:val="00AE2733"/>
    <w:rsid w:val="00AE27EB"/>
    <w:rsid w:val="00AE2B3D"/>
    <w:rsid w:val="00AE2CFA"/>
    <w:rsid w:val="00AE2D44"/>
    <w:rsid w:val="00AE2D97"/>
    <w:rsid w:val="00AE2DF3"/>
    <w:rsid w:val="00AE2E2A"/>
    <w:rsid w:val="00AE2E87"/>
    <w:rsid w:val="00AE2FD2"/>
    <w:rsid w:val="00AE340C"/>
    <w:rsid w:val="00AE3573"/>
    <w:rsid w:val="00AE3809"/>
    <w:rsid w:val="00AE3CC8"/>
    <w:rsid w:val="00AE3CEA"/>
    <w:rsid w:val="00AE3CEE"/>
    <w:rsid w:val="00AE3D43"/>
    <w:rsid w:val="00AE3EDB"/>
    <w:rsid w:val="00AE4029"/>
    <w:rsid w:val="00AE4299"/>
    <w:rsid w:val="00AE43D8"/>
    <w:rsid w:val="00AE4668"/>
    <w:rsid w:val="00AE4846"/>
    <w:rsid w:val="00AE4927"/>
    <w:rsid w:val="00AE4C9F"/>
    <w:rsid w:val="00AE504B"/>
    <w:rsid w:val="00AE50DA"/>
    <w:rsid w:val="00AE5210"/>
    <w:rsid w:val="00AE5232"/>
    <w:rsid w:val="00AE5345"/>
    <w:rsid w:val="00AE5528"/>
    <w:rsid w:val="00AE581F"/>
    <w:rsid w:val="00AE5833"/>
    <w:rsid w:val="00AE5A42"/>
    <w:rsid w:val="00AE5ADA"/>
    <w:rsid w:val="00AE5CC5"/>
    <w:rsid w:val="00AE5D29"/>
    <w:rsid w:val="00AE600B"/>
    <w:rsid w:val="00AE6118"/>
    <w:rsid w:val="00AE61DF"/>
    <w:rsid w:val="00AE63F7"/>
    <w:rsid w:val="00AE646A"/>
    <w:rsid w:val="00AE6697"/>
    <w:rsid w:val="00AE679C"/>
    <w:rsid w:val="00AE6841"/>
    <w:rsid w:val="00AE684E"/>
    <w:rsid w:val="00AE6CB2"/>
    <w:rsid w:val="00AE6CC3"/>
    <w:rsid w:val="00AE6D43"/>
    <w:rsid w:val="00AE6D4F"/>
    <w:rsid w:val="00AE6D5E"/>
    <w:rsid w:val="00AE6DC2"/>
    <w:rsid w:val="00AE6E14"/>
    <w:rsid w:val="00AE6E2D"/>
    <w:rsid w:val="00AE6E75"/>
    <w:rsid w:val="00AE6FC1"/>
    <w:rsid w:val="00AE78FF"/>
    <w:rsid w:val="00AE791E"/>
    <w:rsid w:val="00AE7B1F"/>
    <w:rsid w:val="00AE7C52"/>
    <w:rsid w:val="00AF009D"/>
    <w:rsid w:val="00AF0315"/>
    <w:rsid w:val="00AF031C"/>
    <w:rsid w:val="00AF03BF"/>
    <w:rsid w:val="00AF046A"/>
    <w:rsid w:val="00AF05E7"/>
    <w:rsid w:val="00AF05FD"/>
    <w:rsid w:val="00AF0648"/>
    <w:rsid w:val="00AF06AA"/>
    <w:rsid w:val="00AF0831"/>
    <w:rsid w:val="00AF0837"/>
    <w:rsid w:val="00AF0973"/>
    <w:rsid w:val="00AF09BA"/>
    <w:rsid w:val="00AF0B06"/>
    <w:rsid w:val="00AF0DA0"/>
    <w:rsid w:val="00AF0F01"/>
    <w:rsid w:val="00AF0F33"/>
    <w:rsid w:val="00AF1059"/>
    <w:rsid w:val="00AF11FA"/>
    <w:rsid w:val="00AF123F"/>
    <w:rsid w:val="00AF131D"/>
    <w:rsid w:val="00AF1726"/>
    <w:rsid w:val="00AF1D49"/>
    <w:rsid w:val="00AF1E93"/>
    <w:rsid w:val="00AF2108"/>
    <w:rsid w:val="00AF23DD"/>
    <w:rsid w:val="00AF2465"/>
    <w:rsid w:val="00AF2479"/>
    <w:rsid w:val="00AF2861"/>
    <w:rsid w:val="00AF2871"/>
    <w:rsid w:val="00AF2A57"/>
    <w:rsid w:val="00AF2C35"/>
    <w:rsid w:val="00AF2C9F"/>
    <w:rsid w:val="00AF2CA6"/>
    <w:rsid w:val="00AF2D8C"/>
    <w:rsid w:val="00AF2F7B"/>
    <w:rsid w:val="00AF328C"/>
    <w:rsid w:val="00AF3553"/>
    <w:rsid w:val="00AF367D"/>
    <w:rsid w:val="00AF3726"/>
    <w:rsid w:val="00AF3A26"/>
    <w:rsid w:val="00AF3A3A"/>
    <w:rsid w:val="00AF3B79"/>
    <w:rsid w:val="00AF401D"/>
    <w:rsid w:val="00AF4056"/>
    <w:rsid w:val="00AF41F3"/>
    <w:rsid w:val="00AF4315"/>
    <w:rsid w:val="00AF4402"/>
    <w:rsid w:val="00AF498B"/>
    <w:rsid w:val="00AF4C8D"/>
    <w:rsid w:val="00AF4CD3"/>
    <w:rsid w:val="00AF4D0D"/>
    <w:rsid w:val="00AF4D6E"/>
    <w:rsid w:val="00AF4E8E"/>
    <w:rsid w:val="00AF4FE1"/>
    <w:rsid w:val="00AF5272"/>
    <w:rsid w:val="00AF5346"/>
    <w:rsid w:val="00AF5400"/>
    <w:rsid w:val="00AF54C9"/>
    <w:rsid w:val="00AF5642"/>
    <w:rsid w:val="00AF587C"/>
    <w:rsid w:val="00AF59BE"/>
    <w:rsid w:val="00AF5BDE"/>
    <w:rsid w:val="00AF5C65"/>
    <w:rsid w:val="00AF5D39"/>
    <w:rsid w:val="00AF5E19"/>
    <w:rsid w:val="00AF5FB0"/>
    <w:rsid w:val="00AF5FE8"/>
    <w:rsid w:val="00AF66C9"/>
    <w:rsid w:val="00AF670D"/>
    <w:rsid w:val="00AF686C"/>
    <w:rsid w:val="00AF68D8"/>
    <w:rsid w:val="00AF698E"/>
    <w:rsid w:val="00AF69DC"/>
    <w:rsid w:val="00AF6DBF"/>
    <w:rsid w:val="00AF6EE7"/>
    <w:rsid w:val="00AF6F2A"/>
    <w:rsid w:val="00AF6F55"/>
    <w:rsid w:val="00AF6FCF"/>
    <w:rsid w:val="00AF7189"/>
    <w:rsid w:val="00AF725E"/>
    <w:rsid w:val="00AF737F"/>
    <w:rsid w:val="00AF756D"/>
    <w:rsid w:val="00AF75A4"/>
    <w:rsid w:val="00AF7612"/>
    <w:rsid w:val="00AF78BB"/>
    <w:rsid w:val="00AF79D1"/>
    <w:rsid w:val="00AF7C47"/>
    <w:rsid w:val="00AF7E4D"/>
    <w:rsid w:val="00B00218"/>
    <w:rsid w:val="00B00487"/>
    <w:rsid w:val="00B007D9"/>
    <w:rsid w:val="00B00838"/>
    <w:rsid w:val="00B00B9E"/>
    <w:rsid w:val="00B00D4E"/>
    <w:rsid w:val="00B00DF0"/>
    <w:rsid w:val="00B00EB3"/>
    <w:rsid w:val="00B01079"/>
    <w:rsid w:val="00B010F5"/>
    <w:rsid w:val="00B011DB"/>
    <w:rsid w:val="00B012FD"/>
    <w:rsid w:val="00B01332"/>
    <w:rsid w:val="00B013F7"/>
    <w:rsid w:val="00B0169C"/>
    <w:rsid w:val="00B01A1A"/>
    <w:rsid w:val="00B01A70"/>
    <w:rsid w:val="00B01D5E"/>
    <w:rsid w:val="00B01F90"/>
    <w:rsid w:val="00B02089"/>
    <w:rsid w:val="00B02164"/>
    <w:rsid w:val="00B0239B"/>
    <w:rsid w:val="00B02471"/>
    <w:rsid w:val="00B02785"/>
    <w:rsid w:val="00B0284C"/>
    <w:rsid w:val="00B029ED"/>
    <w:rsid w:val="00B02B2B"/>
    <w:rsid w:val="00B02E06"/>
    <w:rsid w:val="00B02F69"/>
    <w:rsid w:val="00B02F99"/>
    <w:rsid w:val="00B03021"/>
    <w:rsid w:val="00B03184"/>
    <w:rsid w:val="00B03231"/>
    <w:rsid w:val="00B034BB"/>
    <w:rsid w:val="00B03583"/>
    <w:rsid w:val="00B0359A"/>
    <w:rsid w:val="00B035FD"/>
    <w:rsid w:val="00B03814"/>
    <w:rsid w:val="00B03868"/>
    <w:rsid w:val="00B03ADB"/>
    <w:rsid w:val="00B03BC3"/>
    <w:rsid w:val="00B043A4"/>
    <w:rsid w:val="00B045C9"/>
    <w:rsid w:val="00B0469A"/>
    <w:rsid w:val="00B04945"/>
    <w:rsid w:val="00B04D01"/>
    <w:rsid w:val="00B05020"/>
    <w:rsid w:val="00B05038"/>
    <w:rsid w:val="00B054EE"/>
    <w:rsid w:val="00B0551C"/>
    <w:rsid w:val="00B055BF"/>
    <w:rsid w:val="00B05609"/>
    <w:rsid w:val="00B056D5"/>
    <w:rsid w:val="00B0581C"/>
    <w:rsid w:val="00B058EC"/>
    <w:rsid w:val="00B05926"/>
    <w:rsid w:val="00B059C4"/>
    <w:rsid w:val="00B05BD8"/>
    <w:rsid w:val="00B05C5E"/>
    <w:rsid w:val="00B05CF8"/>
    <w:rsid w:val="00B05D83"/>
    <w:rsid w:val="00B05D8F"/>
    <w:rsid w:val="00B05FD2"/>
    <w:rsid w:val="00B060EC"/>
    <w:rsid w:val="00B061B4"/>
    <w:rsid w:val="00B06334"/>
    <w:rsid w:val="00B063D5"/>
    <w:rsid w:val="00B0672F"/>
    <w:rsid w:val="00B06791"/>
    <w:rsid w:val="00B06948"/>
    <w:rsid w:val="00B06EFE"/>
    <w:rsid w:val="00B07039"/>
    <w:rsid w:val="00B071B4"/>
    <w:rsid w:val="00B0731E"/>
    <w:rsid w:val="00B07342"/>
    <w:rsid w:val="00B0735D"/>
    <w:rsid w:val="00B07418"/>
    <w:rsid w:val="00B07517"/>
    <w:rsid w:val="00B0753A"/>
    <w:rsid w:val="00B0769A"/>
    <w:rsid w:val="00B076C9"/>
    <w:rsid w:val="00B077B0"/>
    <w:rsid w:val="00B0794F"/>
    <w:rsid w:val="00B07989"/>
    <w:rsid w:val="00B07A0C"/>
    <w:rsid w:val="00B07D20"/>
    <w:rsid w:val="00B07FE1"/>
    <w:rsid w:val="00B100F0"/>
    <w:rsid w:val="00B10123"/>
    <w:rsid w:val="00B10507"/>
    <w:rsid w:val="00B105F4"/>
    <w:rsid w:val="00B10607"/>
    <w:rsid w:val="00B106DD"/>
    <w:rsid w:val="00B106FA"/>
    <w:rsid w:val="00B107F6"/>
    <w:rsid w:val="00B109B5"/>
    <w:rsid w:val="00B10ADA"/>
    <w:rsid w:val="00B10C05"/>
    <w:rsid w:val="00B10CD5"/>
    <w:rsid w:val="00B10D5A"/>
    <w:rsid w:val="00B10F3E"/>
    <w:rsid w:val="00B11006"/>
    <w:rsid w:val="00B11028"/>
    <w:rsid w:val="00B1104A"/>
    <w:rsid w:val="00B1117E"/>
    <w:rsid w:val="00B11278"/>
    <w:rsid w:val="00B11534"/>
    <w:rsid w:val="00B1172E"/>
    <w:rsid w:val="00B11866"/>
    <w:rsid w:val="00B11A21"/>
    <w:rsid w:val="00B11AF4"/>
    <w:rsid w:val="00B11C4A"/>
    <w:rsid w:val="00B11D2C"/>
    <w:rsid w:val="00B11E71"/>
    <w:rsid w:val="00B11EFE"/>
    <w:rsid w:val="00B12013"/>
    <w:rsid w:val="00B1213E"/>
    <w:rsid w:val="00B121AD"/>
    <w:rsid w:val="00B1230E"/>
    <w:rsid w:val="00B12358"/>
    <w:rsid w:val="00B123AE"/>
    <w:rsid w:val="00B12451"/>
    <w:rsid w:val="00B12556"/>
    <w:rsid w:val="00B12A0D"/>
    <w:rsid w:val="00B12A2D"/>
    <w:rsid w:val="00B12D38"/>
    <w:rsid w:val="00B12F01"/>
    <w:rsid w:val="00B12F98"/>
    <w:rsid w:val="00B131DF"/>
    <w:rsid w:val="00B1350B"/>
    <w:rsid w:val="00B13649"/>
    <w:rsid w:val="00B137E2"/>
    <w:rsid w:val="00B13A57"/>
    <w:rsid w:val="00B13C9F"/>
    <w:rsid w:val="00B13D08"/>
    <w:rsid w:val="00B14199"/>
    <w:rsid w:val="00B143F2"/>
    <w:rsid w:val="00B14504"/>
    <w:rsid w:val="00B14513"/>
    <w:rsid w:val="00B145C2"/>
    <w:rsid w:val="00B145F7"/>
    <w:rsid w:val="00B14771"/>
    <w:rsid w:val="00B14785"/>
    <w:rsid w:val="00B14B2F"/>
    <w:rsid w:val="00B14D8C"/>
    <w:rsid w:val="00B14D8E"/>
    <w:rsid w:val="00B14F03"/>
    <w:rsid w:val="00B14F27"/>
    <w:rsid w:val="00B14F29"/>
    <w:rsid w:val="00B1527D"/>
    <w:rsid w:val="00B154D5"/>
    <w:rsid w:val="00B15748"/>
    <w:rsid w:val="00B15848"/>
    <w:rsid w:val="00B15887"/>
    <w:rsid w:val="00B1597B"/>
    <w:rsid w:val="00B15B7D"/>
    <w:rsid w:val="00B15CBF"/>
    <w:rsid w:val="00B15D4F"/>
    <w:rsid w:val="00B15FAD"/>
    <w:rsid w:val="00B16007"/>
    <w:rsid w:val="00B16103"/>
    <w:rsid w:val="00B164F9"/>
    <w:rsid w:val="00B165EF"/>
    <w:rsid w:val="00B165F5"/>
    <w:rsid w:val="00B167FF"/>
    <w:rsid w:val="00B16AEF"/>
    <w:rsid w:val="00B16CD6"/>
    <w:rsid w:val="00B16D35"/>
    <w:rsid w:val="00B16DFF"/>
    <w:rsid w:val="00B16F3F"/>
    <w:rsid w:val="00B16FBF"/>
    <w:rsid w:val="00B17083"/>
    <w:rsid w:val="00B170CD"/>
    <w:rsid w:val="00B1730C"/>
    <w:rsid w:val="00B1751E"/>
    <w:rsid w:val="00B1764F"/>
    <w:rsid w:val="00B17734"/>
    <w:rsid w:val="00B179EC"/>
    <w:rsid w:val="00B179ED"/>
    <w:rsid w:val="00B17A1F"/>
    <w:rsid w:val="00B17A90"/>
    <w:rsid w:val="00B17AA1"/>
    <w:rsid w:val="00B17AA8"/>
    <w:rsid w:val="00B17AF1"/>
    <w:rsid w:val="00B17C9B"/>
    <w:rsid w:val="00B17CB5"/>
    <w:rsid w:val="00B17D33"/>
    <w:rsid w:val="00B17D4B"/>
    <w:rsid w:val="00B17E2A"/>
    <w:rsid w:val="00B17FB0"/>
    <w:rsid w:val="00B20091"/>
    <w:rsid w:val="00B203A4"/>
    <w:rsid w:val="00B2080A"/>
    <w:rsid w:val="00B2086D"/>
    <w:rsid w:val="00B20A4D"/>
    <w:rsid w:val="00B20B12"/>
    <w:rsid w:val="00B20C35"/>
    <w:rsid w:val="00B21641"/>
    <w:rsid w:val="00B217BD"/>
    <w:rsid w:val="00B21AE4"/>
    <w:rsid w:val="00B21BEA"/>
    <w:rsid w:val="00B21C29"/>
    <w:rsid w:val="00B21D5A"/>
    <w:rsid w:val="00B21DDE"/>
    <w:rsid w:val="00B21E34"/>
    <w:rsid w:val="00B21F35"/>
    <w:rsid w:val="00B2212A"/>
    <w:rsid w:val="00B221BB"/>
    <w:rsid w:val="00B2226E"/>
    <w:rsid w:val="00B225F3"/>
    <w:rsid w:val="00B22A88"/>
    <w:rsid w:val="00B22B35"/>
    <w:rsid w:val="00B22B96"/>
    <w:rsid w:val="00B22EA0"/>
    <w:rsid w:val="00B23017"/>
    <w:rsid w:val="00B23046"/>
    <w:rsid w:val="00B2335E"/>
    <w:rsid w:val="00B23412"/>
    <w:rsid w:val="00B235EC"/>
    <w:rsid w:val="00B238B1"/>
    <w:rsid w:val="00B23A74"/>
    <w:rsid w:val="00B24043"/>
    <w:rsid w:val="00B2417D"/>
    <w:rsid w:val="00B241A3"/>
    <w:rsid w:val="00B241C9"/>
    <w:rsid w:val="00B245CC"/>
    <w:rsid w:val="00B24710"/>
    <w:rsid w:val="00B24712"/>
    <w:rsid w:val="00B24A3D"/>
    <w:rsid w:val="00B24D32"/>
    <w:rsid w:val="00B24E2D"/>
    <w:rsid w:val="00B24E63"/>
    <w:rsid w:val="00B24EDC"/>
    <w:rsid w:val="00B25022"/>
    <w:rsid w:val="00B25050"/>
    <w:rsid w:val="00B25240"/>
    <w:rsid w:val="00B258E1"/>
    <w:rsid w:val="00B25984"/>
    <w:rsid w:val="00B25A52"/>
    <w:rsid w:val="00B25AC1"/>
    <w:rsid w:val="00B25B27"/>
    <w:rsid w:val="00B25B6D"/>
    <w:rsid w:val="00B25C77"/>
    <w:rsid w:val="00B25E1C"/>
    <w:rsid w:val="00B26090"/>
    <w:rsid w:val="00B26215"/>
    <w:rsid w:val="00B263C3"/>
    <w:rsid w:val="00B263CB"/>
    <w:rsid w:val="00B263DE"/>
    <w:rsid w:val="00B26756"/>
    <w:rsid w:val="00B26764"/>
    <w:rsid w:val="00B2696B"/>
    <w:rsid w:val="00B26E7B"/>
    <w:rsid w:val="00B26FA4"/>
    <w:rsid w:val="00B26FB8"/>
    <w:rsid w:val="00B270F4"/>
    <w:rsid w:val="00B27355"/>
    <w:rsid w:val="00B273AA"/>
    <w:rsid w:val="00B274A8"/>
    <w:rsid w:val="00B275C2"/>
    <w:rsid w:val="00B279C0"/>
    <w:rsid w:val="00B27AAF"/>
    <w:rsid w:val="00B27B37"/>
    <w:rsid w:val="00B27B94"/>
    <w:rsid w:val="00B27BC9"/>
    <w:rsid w:val="00B27CAF"/>
    <w:rsid w:val="00B27D58"/>
    <w:rsid w:val="00B27E0C"/>
    <w:rsid w:val="00B27F7E"/>
    <w:rsid w:val="00B301B8"/>
    <w:rsid w:val="00B30214"/>
    <w:rsid w:val="00B303A0"/>
    <w:rsid w:val="00B304F0"/>
    <w:rsid w:val="00B30547"/>
    <w:rsid w:val="00B305D7"/>
    <w:rsid w:val="00B30631"/>
    <w:rsid w:val="00B30A63"/>
    <w:rsid w:val="00B30C08"/>
    <w:rsid w:val="00B30C0B"/>
    <w:rsid w:val="00B30D44"/>
    <w:rsid w:val="00B30D55"/>
    <w:rsid w:val="00B30E0E"/>
    <w:rsid w:val="00B30E24"/>
    <w:rsid w:val="00B30E38"/>
    <w:rsid w:val="00B3108C"/>
    <w:rsid w:val="00B3112A"/>
    <w:rsid w:val="00B31411"/>
    <w:rsid w:val="00B31589"/>
    <w:rsid w:val="00B315B8"/>
    <w:rsid w:val="00B31784"/>
    <w:rsid w:val="00B31B43"/>
    <w:rsid w:val="00B31B44"/>
    <w:rsid w:val="00B31B91"/>
    <w:rsid w:val="00B31BAC"/>
    <w:rsid w:val="00B31BFC"/>
    <w:rsid w:val="00B31C43"/>
    <w:rsid w:val="00B31C83"/>
    <w:rsid w:val="00B31D0A"/>
    <w:rsid w:val="00B320E0"/>
    <w:rsid w:val="00B32168"/>
    <w:rsid w:val="00B321EB"/>
    <w:rsid w:val="00B32329"/>
    <w:rsid w:val="00B323CD"/>
    <w:rsid w:val="00B32651"/>
    <w:rsid w:val="00B32917"/>
    <w:rsid w:val="00B329F1"/>
    <w:rsid w:val="00B32F7C"/>
    <w:rsid w:val="00B33140"/>
    <w:rsid w:val="00B33158"/>
    <w:rsid w:val="00B33161"/>
    <w:rsid w:val="00B33259"/>
    <w:rsid w:val="00B3342C"/>
    <w:rsid w:val="00B334DA"/>
    <w:rsid w:val="00B3363D"/>
    <w:rsid w:val="00B338B3"/>
    <w:rsid w:val="00B33A30"/>
    <w:rsid w:val="00B33D1C"/>
    <w:rsid w:val="00B33E92"/>
    <w:rsid w:val="00B33F90"/>
    <w:rsid w:val="00B3410C"/>
    <w:rsid w:val="00B341E0"/>
    <w:rsid w:val="00B341FB"/>
    <w:rsid w:val="00B3437A"/>
    <w:rsid w:val="00B3498B"/>
    <w:rsid w:val="00B3499C"/>
    <w:rsid w:val="00B34A0D"/>
    <w:rsid w:val="00B34AAA"/>
    <w:rsid w:val="00B3511A"/>
    <w:rsid w:val="00B351E7"/>
    <w:rsid w:val="00B3528F"/>
    <w:rsid w:val="00B352C8"/>
    <w:rsid w:val="00B3541C"/>
    <w:rsid w:val="00B3551E"/>
    <w:rsid w:val="00B35974"/>
    <w:rsid w:val="00B35BDE"/>
    <w:rsid w:val="00B35E39"/>
    <w:rsid w:val="00B35E5F"/>
    <w:rsid w:val="00B35E73"/>
    <w:rsid w:val="00B35EDA"/>
    <w:rsid w:val="00B35EFA"/>
    <w:rsid w:val="00B36090"/>
    <w:rsid w:val="00B3636A"/>
    <w:rsid w:val="00B36441"/>
    <w:rsid w:val="00B364EE"/>
    <w:rsid w:val="00B36751"/>
    <w:rsid w:val="00B3680E"/>
    <w:rsid w:val="00B3685C"/>
    <w:rsid w:val="00B368DC"/>
    <w:rsid w:val="00B36B0C"/>
    <w:rsid w:val="00B36E0A"/>
    <w:rsid w:val="00B36E27"/>
    <w:rsid w:val="00B36EBA"/>
    <w:rsid w:val="00B3701B"/>
    <w:rsid w:val="00B37091"/>
    <w:rsid w:val="00B37415"/>
    <w:rsid w:val="00B374CE"/>
    <w:rsid w:val="00B37798"/>
    <w:rsid w:val="00B37AB6"/>
    <w:rsid w:val="00B37D58"/>
    <w:rsid w:val="00B37F54"/>
    <w:rsid w:val="00B40159"/>
    <w:rsid w:val="00B40254"/>
    <w:rsid w:val="00B409A0"/>
    <w:rsid w:val="00B40AF4"/>
    <w:rsid w:val="00B40AF5"/>
    <w:rsid w:val="00B40C97"/>
    <w:rsid w:val="00B40C9D"/>
    <w:rsid w:val="00B40DD4"/>
    <w:rsid w:val="00B41001"/>
    <w:rsid w:val="00B41238"/>
    <w:rsid w:val="00B4137D"/>
    <w:rsid w:val="00B41388"/>
    <w:rsid w:val="00B414BD"/>
    <w:rsid w:val="00B414ED"/>
    <w:rsid w:val="00B414EE"/>
    <w:rsid w:val="00B41647"/>
    <w:rsid w:val="00B416FC"/>
    <w:rsid w:val="00B41962"/>
    <w:rsid w:val="00B41C5B"/>
    <w:rsid w:val="00B41E6C"/>
    <w:rsid w:val="00B41EC0"/>
    <w:rsid w:val="00B41F91"/>
    <w:rsid w:val="00B4216A"/>
    <w:rsid w:val="00B422F6"/>
    <w:rsid w:val="00B423B8"/>
    <w:rsid w:val="00B423BD"/>
    <w:rsid w:val="00B4247D"/>
    <w:rsid w:val="00B4277A"/>
    <w:rsid w:val="00B4290A"/>
    <w:rsid w:val="00B42C89"/>
    <w:rsid w:val="00B43132"/>
    <w:rsid w:val="00B43A25"/>
    <w:rsid w:val="00B43A8C"/>
    <w:rsid w:val="00B43E92"/>
    <w:rsid w:val="00B43EE6"/>
    <w:rsid w:val="00B43FA2"/>
    <w:rsid w:val="00B43FEB"/>
    <w:rsid w:val="00B44257"/>
    <w:rsid w:val="00B44601"/>
    <w:rsid w:val="00B44903"/>
    <w:rsid w:val="00B44A10"/>
    <w:rsid w:val="00B44A25"/>
    <w:rsid w:val="00B44AE1"/>
    <w:rsid w:val="00B44AED"/>
    <w:rsid w:val="00B44B37"/>
    <w:rsid w:val="00B44BE6"/>
    <w:rsid w:val="00B44E3F"/>
    <w:rsid w:val="00B44E4C"/>
    <w:rsid w:val="00B450D2"/>
    <w:rsid w:val="00B45329"/>
    <w:rsid w:val="00B4536A"/>
    <w:rsid w:val="00B45447"/>
    <w:rsid w:val="00B454D9"/>
    <w:rsid w:val="00B455A7"/>
    <w:rsid w:val="00B45602"/>
    <w:rsid w:val="00B45B7B"/>
    <w:rsid w:val="00B4614E"/>
    <w:rsid w:val="00B4620F"/>
    <w:rsid w:val="00B463B3"/>
    <w:rsid w:val="00B465ED"/>
    <w:rsid w:val="00B466BD"/>
    <w:rsid w:val="00B469C8"/>
    <w:rsid w:val="00B46A87"/>
    <w:rsid w:val="00B46C92"/>
    <w:rsid w:val="00B46E3A"/>
    <w:rsid w:val="00B4716F"/>
    <w:rsid w:val="00B471B0"/>
    <w:rsid w:val="00B4751D"/>
    <w:rsid w:val="00B4759D"/>
    <w:rsid w:val="00B476AF"/>
    <w:rsid w:val="00B47BB9"/>
    <w:rsid w:val="00B47C5E"/>
    <w:rsid w:val="00B47C7E"/>
    <w:rsid w:val="00B47D4F"/>
    <w:rsid w:val="00B47D93"/>
    <w:rsid w:val="00B47EB2"/>
    <w:rsid w:val="00B47EFF"/>
    <w:rsid w:val="00B502A2"/>
    <w:rsid w:val="00B5038A"/>
    <w:rsid w:val="00B507A3"/>
    <w:rsid w:val="00B5088A"/>
    <w:rsid w:val="00B50918"/>
    <w:rsid w:val="00B50A0A"/>
    <w:rsid w:val="00B51128"/>
    <w:rsid w:val="00B5134D"/>
    <w:rsid w:val="00B51439"/>
    <w:rsid w:val="00B5184D"/>
    <w:rsid w:val="00B5187F"/>
    <w:rsid w:val="00B518A1"/>
    <w:rsid w:val="00B51B14"/>
    <w:rsid w:val="00B51BD2"/>
    <w:rsid w:val="00B51C6B"/>
    <w:rsid w:val="00B51D3F"/>
    <w:rsid w:val="00B51E9D"/>
    <w:rsid w:val="00B51F51"/>
    <w:rsid w:val="00B52018"/>
    <w:rsid w:val="00B5201A"/>
    <w:rsid w:val="00B520D6"/>
    <w:rsid w:val="00B523F2"/>
    <w:rsid w:val="00B5244A"/>
    <w:rsid w:val="00B52588"/>
    <w:rsid w:val="00B5288E"/>
    <w:rsid w:val="00B52967"/>
    <w:rsid w:val="00B52A00"/>
    <w:rsid w:val="00B52A1E"/>
    <w:rsid w:val="00B52AA3"/>
    <w:rsid w:val="00B52F19"/>
    <w:rsid w:val="00B5309C"/>
    <w:rsid w:val="00B530E2"/>
    <w:rsid w:val="00B534D6"/>
    <w:rsid w:val="00B53535"/>
    <w:rsid w:val="00B53568"/>
    <w:rsid w:val="00B53570"/>
    <w:rsid w:val="00B535BC"/>
    <w:rsid w:val="00B53637"/>
    <w:rsid w:val="00B53726"/>
    <w:rsid w:val="00B538E1"/>
    <w:rsid w:val="00B53AA0"/>
    <w:rsid w:val="00B53BD0"/>
    <w:rsid w:val="00B53E05"/>
    <w:rsid w:val="00B53E65"/>
    <w:rsid w:val="00B5420E"/>
    <w:rsid w:val="00B5421F"/>
    <w:rsid w:val="00B542C9"/>
    <w:rsid w:val="00B5439F"/>
    <w:rsid w:val="00B54604"/>
    <w:rsid w:val="00B54638"/>
    <w:rsid w:val="00B54810"/>
    <w:rsid w:val="00B54830"/>
    <w:rsid w:val="00B5487D"/>
    <w:rsid w:val="00B549ED"/>
    <w:rsid w:val="00B54AC8"/>
    <w:rsid w:val="00B54DFB"/>
    <w:rsid w:val="00B550AF"/>
    <w:rsid w:val="00B55121"/>
    <w:rsid w:val="00B5520F"/>
    <w:rsid w:val="00B554C1"/>
    <w:rsid w:val="00B55670"/>
    <w:rsid w:val="00B55726"/>
    <w:rsid w:val="00B5573B"/>
    <w:rsid w:val="00B557CD"/>
    <w:rsid w:val="00B5585A"/>
    <w:rsid w:val="00B558A5"/>
    <w:rsid w:val="00B558C2"/>
    <w:rsid w:val="00B559A5"/>
    <w:rsid w:val="00B559AA"/>
    <w:rsid w:val="00B55AA1"/>
    <w:rsid w:val="00B55EE3"/>
    <w:rsid w:val="00B560FD"/>
    <w:rsid w:val="00B56112"/>
    <w:rsid w:val="00B561CD"/>
    <w:rsid w:val="00B5646E"/>
    <w:rsid w:val="00B564E9"/>
    <w:rsid w:val="00B56822"/>
    <w:rsid w:val="00B5690A"/>
    <w:rsid w:val="00B5694E"/>
    <w:rsid w:val="00B56A21"/>
    <w:rsid w:val="00B56A57"/>
    <w:rsid w:val="00B56DC1"/>
    <w:rsid w:val="00B56DCB"/>
    <w:rsid w:val="00B5705E"/>
    <w:rsid w:val="00B571BF"/>
    <w:rsid w:val="00B57235"/>
    <w:rsid w:val="00B5723A"/>
    <w:rsid w:val="00B572F7"/>
    <w:rsid w:val="00B575E0"/>
    <w:rsid w:val="00B57A17"/>
    <w:rsid w:val="00B57B0F"/>
    <w:rsid w:val="00B57B35"/>
    <w:rsid w:val="00B57B37"/>
    <w:rsid w:val="00B57CEC"/>
    <w:rsid w:val="00B57DEF"/>
    <w:rsid w:val="00B57E3B"/>
    <w:rsid w:val="00B57E8E"/>
    <w:rsid w:val="00B57F1B"/>
    <w:rsid w:val="00B57FC7"/>
    <w:rsid w:val="00B60024"/>
    <w:rsid w:val="00B603C4"/>
    <w:rsid w:val="00B604EA"/>
    <w:rsid w:val="00B605DA"/>
    <w:rsid w:val="00B60A8A"/>
    <w:rsid w:val="00B60C39"/>
    <w:rsid w:val="00B60CB9"/>
    <w:rsid w:val="00B60DF9"/>
    <w:rsid w:val="00B60EDB"/>
    <w:rsid w:val="00B611C8"/>
    <w:rsid w:val="00B611FD"/>
    <w:rsid w:val="00B61228"/>
    <w:rsid w:val="00B61346"/>
    <w:rsid w:val="00B6136E"/>
    <w:rsid w:val="00B61572"/>
    <w:rsid w:val="00B61648"/>
    <w:rsid w:val="00B6168F"/>
    <w:rsid w:val="00B616BA"/>
    <w:rsid w:val="00B616FE"/>
    <w:rsid w:val="00B61712"/>
    <w:rsid w:val="00B619F0"/>
    <w:rsid w:val="00B61AA9"/>
    <w:rsid w:val="00B61B37"/>
    <w:rsid w:val="00B61B55"/>
    <w:rsid w:val="00B61BB3"/>
    <w:rsid w:val="00B61BE4"/>
    <w:rsid w:val="00B61DF4"/>
    <w:rsid w:val="00B620E3"/>
    <w:rsid w:val="00B6214B"/>
    <w:rsid w:val="00B6231F"/>
    <w:rsid w:val="00B62359"/>
    <w:rsid w:val="00B626C3"/>
    <w:rsid w:val="00B62890"/>
    <w:rsid w:val="00B62AC6"/>
    <w:rsid w:val="00B62AC8"/>
    <w:rsid w:val="00B62D6B"/>
    <w:rsid w:val="00B62D89"/>
    <w:rsid w:val="00B62ED8"/>
    <w:rsid w:val="00B6300B"/>
    <w:rsid w:val="00B6315C"/>
    <w:rsid w:val="00B631ED"/>
    <w:rsid w:val="00B63341"/>
    <w:rsid w:val="00B633F6"/>
    <w:rsid w:val="00B6367F"/>
    <w:rsid w:val="00B636DB"/>
    <w:rsid w:val="00B637C9"/>
    <w:rsid w:val="00B63852"/>
    <w:rsid w:val="00B639EB"/>
    <w:rsid w:val="00B63B1A"/>
    <w:rsid w:val="00B63B48"/>
    <w:rsid w:val="00B63E2E"/>
    <w:rsid w:val="00B63FB1"/>
    <w:rsid w:val="00B64196"/>
    <w:rsid w:val="00B6420F"/>
    <w:rsid w:val="00B6440F"/>
    <w:rsid w:val="00B6450F"/>
    <w:rsid w:val="00B6452B"/>
    <w:rsid w:val="00B645C3"/>
    <w:rsid w:val="00B646A2"/>
    <w:rsid w:val="00B6489F"/>
    <w:rsid w:val="00B64987"/>
    <w:rsid w:val="00B64A41"/>
    <w:rsid w:val="00B64CED"/>
    <w:rsid w:val="00B64CF5"/>
    <w:rsid w:val="00B64D31"/>
    <w:rsid w:val="00B64EA4"/>
    <w:rsid w:val="00B65025"/>
    <w:rsid w:val="00B650BF"/>
    <w:rsid w:val="00B651AA"/>
    <w:rsid w:val="00B65256"/>
    <w:rsid w:val="00B652F0"/>
    <w:rsid w:val="00B658C0"/>
    <w:rsid w:val="00B658E0"/>
    <w:rsid w:val="00B65991"/>
    <w:rsid w:val="00B65ABC"/>
    <w:rsid w:val="00B65B98"/>
    <w:rsid w:val="00B65B99"/>
    <w:rsid w:val="00B66057"/>
    <w:rsid w:val="00B66060"/>
    <w:rsid w:val="00B662D7"/>
    <w:rsid w:val="00B6645F"/>
    <w:rsid w:val="00B664AC"/>
    <w:rsid w:val="00B664F1"/>
    <w:rsid w:val="00B66769"/>
    <w:rsid w:val="00B66BEC"/>
    <w:rsid w:val="00B66C86"/>
    <w:rsid w:val="00B66D66"/>
    <w:rsid w:val="00B66D90"/>
    <w:rsid w:val="00B66DEF"/>
    <w:rsid w:val="00B66EC7"/>
    <w:rsid w:val="00B66F2C"/>
    <w:rsid w:val="00B66F8D"/>
    <w:rsid w:val="00B670C1"/>
    <w:rsid w:val="00B67126"/>
    <w:rsid w:val="00B672D9"/>
    <w:rsid w:val="00B67523"/>
    <w:rsid w:val="00B675AC"/>
    <w:rsid w:val="00B675C1"/>
    <w:rsid w:val="00B675CA"/>
    <w:rsid w:val="00B677CD"/>
    <w:rsid w:val="00B677FE"/>
    <w:rsid w:val="00B67AB9"/>
    <w:rsid w:val="00B67B87"/>
    <w:rsid w:val="00B701F4"/>
    <w:rsid w:val="00B70250"/>
    <w:rsid w:val="00B70273"/>
    <w:rsid w:val="00B70291"/>
    <w:rsid w:val="00B702EE"/>
    <w:rsid w:val="00B704C9"/>
    <w:rsid w:val="00B705B1"/>
    <w:rsid w:val="00B70621"/>
    <w:rsid w:val="00B7062A"/>
    <w:rsid w:val="00B70A66"/>
    <w:rsid w:val="00B70B3B"/>
    <w:rsid w:val="00B70C2E"/>
    <w:rsid w:val="00B713F7"/>
    <w:rsid w:val="00B715F3"/>
    <w:rsid w:val="00B716BA"/>
    <w:rsid w:val="00B71709"/>
    <w:rsid w:val="00B71861"/>
    <w:rsid w:val="00B71889"/>
    <w:rsid w:val="00B71990"/>
    <w:rsid w:val="00B71AFC"/>
    <w:rsid w:val="00B71B1C"/>
    <w:rsid w:val="00B71B2D"/>
    <w:rsid w:val="00B71B4F"/>
    <w:rsid w:val="00B71C51"/>
    <w:rsid w:val="00B71E2A"/>
    <w:rsid w:val="00B71F97"/>
    <w:rsid w:val="00B72047"/>
    <w:rsid w:val="00B7207C"/>
    <w:rsid w:val="00B72266"/>
    <w:rsid w:val="00B722AB"/>
    <w:rsid w:val="00B7246F"/>
    <w:rsid w:val="00B724E1"/>
    <w:rsid w:val="00B726E0"/>
    <w:rsid w:val="00B72835"/>
    <w:rsid w:val="00B72935"/>
    <w:rsid w:val="00B72AE9"/>
    <w:rsid w:val="00B72E39"/>
    <w:rsid w:val="00B72ED8"/>
    <w:rsid w:val="00B72F7C"/>
    <w:rsid w:val="00B72FFC"/>
    <w:rsid w:val="00B7318F"/>
    <w:rsid w:val="00B733C4"/>
    <w:rsid w:val="00B73561"/>
    <w:rsid w:val="00B7365A"/>
    <w:rsid w:val="00B73B05"/>
    <w:rsid w:val="00B73E3F"/>
    <w:rsid w:val="00B73EC3"/>
    <w:rsid w:val="00B742E3"/>
    <w:rsid w:val="00B7430B"/>
    <w:rsid w:val="00B747E5"/>
    <w:rsid w:val="00B749F9"/>
    <w:rsid w:val="00B74B63"/>
    <w:rsid w:val="00B74B93"/>
    <w:rsid w:val="00B74BBA"/>
    <w:rsid w:val="00B74C70"/>
    <w:rsid w:val="00B753DB"/>
    <w:rsid w:val="00B7540F"/>
    <w:rsid w:val="00B75860"/>
    <w:rsid w:val="00B75964"/>
    <w:rsid w:val="00B75B9C"/>
    <w:rsid w:val="00B75CE4"/>
    <w:rsid w:val="00B75FB4"/>
    <w:rsid w:val="00B760E9"/>
    <w:rsid w:val="00B7613B"/>
    <w:rsid w:val="00B763C3"/>
    <w:rsid w:val="00B76418"/>
    <w:rsid w:val="00B765A4"/>
    <w:rsid w:val="00B76D99"/>
    <w:rsid w:val="00B76F3A"/>
    <w:rsid w:val="00B77047"/>
    <w:rsid w:val="00B77130"/>
    <w:rsid w:val="00B77148"/>
    <w:rsid w:val="00B771D7"/>
    <w:rsid w:val="00B773A6"/>
    <w:rsid w:val="00B773AA"/>
    <w:rsid w:val="00B775DD"/>
    <w:rsid w:val="00B77635"/>
    <w:rsid w:val="00B7785E"/>
    <w:rsid w:val="00B77CB8"/>
    <w:rsid w:val="00B77CE7"/>
    <w:rsid w:val="00B77DC2"/>
    <w:rsid w:val="00B77E8F"/>
    <w:rsid w:val="00B80261"/>
    <w:rsid w:val="00B804BD"/>
    <w:rsid w:val="00B804C2"/>
    <w:rsid w:val="00B805C2"/>
    <w:rsid w:val="00B8061A"/>
    <w:rsid w:val="00B8063D"/>
    <w:rsid w:val="00B80800"/>
    <w:rsid w:val="00B80821"/>
    <w:rsid w:val="00B809CF"/>
    <w:rsid w:val="00B80CA3"/>
    <w:rsid w:val="00B80F68"/>
    <w:rsid w:val="00B80FAC"/>
    <w:rsid w:val="00B80FCF"/>
    <w:rsid w:val="00B810E0"/>
    <w:rsid w:val="00B81335"/>
    <w:rsid w:val="00B8137B"/>
    <w:rsid w:val="00B813A1"/>
    <w:rsid w:val="00B81549"/>
    <w:rsid w:val="00B81694"/>
    <w:rsid w:val="00B81959"/>
    <w:rsid w:val="00B81A23"/>
    <w:rsid w:val="00B81C95"/>
    <w:rsid w:val="00B81F13"/>
    <w:rsid w:val="00B81F7A"/>
    <w:rsid w:val="00B82008"/>
    <w:rsid w:val="00B820EA"/>
    <w:rsid w:val="00B8217F"/>
    <w:rsid w:val="00B82305"/>
    <w:rsid w:val="00B82309"/>
    <w:rsid w:val="00B82368"/>
    <w:rsid w:val="00B8255B"/>
    <w:rsid w:val="00B82606"/>
    <w:rsid w:val="00B8296E"/>
    <w:rsid w:val="00B82983"/>
    <w:rsid w:val="00B82BCD"/>
    <w:rsid w:val="00B82C19"/>
    <w:rsid w:val="00B832DF"/>
    <w:rsid w:val="00B83350"/>
    <w:rsid w:val="00B833D2"/>
    <w:rsid w:val="00B83684"/>
    <w:rsid w:val="00B839B7"/>
    <w:rsid w:val="00B83F69"/>
    <w:rsid w:val="00B83F6D"/>
    <w:rsid w:val="00B84181"/>
    <w:rsid w:val="00B841F3"/>
    <w:rsid w:val="00B842C3"/>
    <w:rsid w:val="00B8436D"/>
    <w:rsid w:val="00B845D6"/>
    <w:rsid w:val="00B8468C"/>
    <w:rsid w:val="00B848FC"/>
    <w:rsid w:val="00B849D8"/>
    <w:rsid w:val="00B84F47"/>
    <w:rsid w:val="00B8509F"/>
    <w:rsid w:val="00B851D7"/>
    <w:rsid w:val="00B852AD"/>
    <w:rsid w:val="00B853CB"/>
    <w:rsid w:val="00B85402"/>
    <w:rsid w:val="00B8550E"/>
    <w:rsid w:val="00B855DE"/>
    <w:rsid w:val="00B85636"/>
    <w:rsid w:val="00B8565A"/>
    <w:rsid w:val="00B8570F"/>
    <w:rsid w:val="00B8572C"/>
    <w:rsid w:val="00B858A6"/>
    <w:rsid w:val="00B85C21"/>
    <w:rsid w:val="00B85E30"/>
    <w:rsid w:val="00B85E6F"/>
    <w:rsid w:val="00B86090"/>
    <w:rsid w:val="00B8623A"/>
    <w:rsid w:val="00B8630B"/>
    <w:rsid w:val="00B8630C"/>
    <w:rsid w:val="00B8633B"/>
    <w:rsid w:val="00B8633F"/>
    <w:rsid w:val="00B86470"/>
    <w:rsid w:val="00B865A5"/>
    <w:rsid w:val="00B866FA"/>
    <w:rsid w:val="00B86966"/>
    <w:rsid w:val="00B86ABC"/>
    <w:rsid w:val="00B86B6E"/>
    <w:rsid w:val="00B86C35"/>
    <w:rsid w:val="00B86D63"/>
    <w:rsid w:val="00B86E9D"/>
    <w:rsid w:val="00B870D1"/>
    <w:rsid w:val="00B87205"/>
    <w:rsid w:val="00B87322"/>
    <w:rsid w:val="00B87354"/>
    <w:rsid w:val="00B874B4"/>
    <w:rsid w:val="00B874C4"/>
    <w:rsid w:val="00B87564"/>
    <w:rsid w:val="00B8767B"/>
    <w:rsid w:val="00B87784"/>
    <w:rsid w:val="00B878CD"/>
    <w:rsid w:val="00B87B66"/>
    <w:rsid w:val="00B87BCB"/>
    <w:rsid w:val="00B87EEC"/>
    <w:rsid w:val="00B90107"/>
    <w:rsid w:val="00B9048F"/>
    <w:rsid w:val="00B90602"/>
    <w:rsid w:val="00B9062D"/>
    <w:rsid w:val="00B90657"/>
    <w:rsid w:val="00B90668"/>
    <w:rsid w:val="00B907B6"/>
    <w:rsid w:val="00B908AB"/>
    <w:rsid w:val="00B90B0D"/>
    <w:rsid w:val="00B90CF0"/>
    <w:rsid w:val="00B90D46"/>
    <w:rsid w:val="00B90F31"/>
    <w:rsid w:val="00B90FBC"/>
    <w:rsid w:val="00B910EE"/>
    <w:rsid w:val="00B91107"/>
    <w:rsid w:val="00B91113"/>
    <w:rsid w:val="00B911BA"/>
    <w:rsid w:val="00B912D3"/>
    <w:rsid w:val="00B912DA"/>
    <w:rsid w:val="00B913C0"/>
    <w:rsid w:val="00B913FF"/>
    <w:rsid w:val="00B915AD"/>
    <w:rsid w:val="00B915B9"/>
    <w:rsid w:val="00B916A4"/>
    <w:rsid w:val="00B919A9"/>
    <w:rsid w:val="00B919DF"/>
    <w:rsid w:val="00B91A5F"/>
    <w:rsid w:val="00B91AED"/>
    <w:rsid w:val="00B91B56"/>
    <w:rsid w:val="00B91BA9"/>
    <w:rsid w:val="00B91D9A"/>
    <w:rsid w:val="00B91F66"/>
    <w:rsid w:val="00B91F76"/>
    <w:rsid w:val="00B9201F"/>
    <w:rsid w:val="00B9206A"/>
    <w:rsid w:val="00B922BA"/>
    <w:rsid w:val="00B922E7"/>
    <w:rsid w:val="00B92555"/>
    <w:rsid w:val="00B92B24"/>
    <w:rsid w:val="00B92C57"/>
    <w:rsid w:val="00B92DAE"/>
    <w:rsid w:val="00B92DD2"/>
    <w:rsid w:val="00B92E39"/>
    <w:rsid w:val="00B92F9A"/>
    <w:rsid w:val="00B931BF"/>
    <w:rsid w:val="00B93226"/>
    <w:rsid w:val="00B9353E"/>
    <w:rsid w:val="00B93545"/>
    <w:rsid w:val="00B93549"/>
    <w:rsid w:val="00B93854"/>
    <w:rsid w:val="00B93ED4"/>
    <w:rsid w:val="00B93FF9"/>
    <w:rsid w:val="00B940B9"/>
    <w:rsid w:val="00B941B7"/>
    <w:rsid w:val="00B94218"/>
    <w:rsid w:val="00B942B0"/>
    <w:rsid w:val="00B94333"/>
    <w:rsid w:val="00B94526"/>
    <w:rsid w:val="00B94857"/>
    <w:rsid w:val="00B9487A"/>
    <w:rsid w:val="00B9498E"/>
    <w:rsid w:val="00B94AA9"/>
    <w:rsid w:val="00B94C9A"/>
    <w:rsid w:val="00B94E42"/>
    <w:rsid w:val="00B94F02"/>
    <w:rsid w:val="00B94F64"/>
    <w:rsid w:val="00B94FC5"/>
    <w:rsid w:val="00B95056"/>
    <w:rsid w:val="00B952A1"/>
    <w:rsid w:val="00B9576A"/>
    <w:rsid w:val="00B95833"/>
    <w:rsid w:val="00B95AE4"/>
    <w:rsid w:val="00B95CF9"/>
    <w:rsid w:val="00B95F02"/>
    <w:rsid w:val="00B95FAD"/>
    <w:rsid w:val="00B96377"/>
    <w:rsid w:val="00B966D0"/>
    <w:rsid w:val="00B9695A"/>
    <w:rsid w:val="00B96A23"/>
    <w:rsid w:val="00B96A39"/>
    <w:rsid w:val="00B96CC9"/>
    <w:rsid w:val="00B96D61"/>
    <w:rsid w:val="00B96E21"/>
    <w:rsid w:val="00B9704B"/>
    <w:rsid w:val="00B972B8"/>
    <w:rsid w:val="00B97306"/>
    <w:rsid w:val="00B97313"/>
    <w:rsid w:val="00B9736F"/>
    <w:rsid w:val="00B97385"/>
    <w:rsid w:val="00B97456"/>
    <w:rsid w:val="00B974C2"/>
    <w:rsid w:val="00B975BB"/>
    <w:rsid w:val="00B979BD"/>
    <w:rsid w:val="00B97A9B"/>
    <w:rsid w:val="00B97B23"/>
    <w:rsid w:val="00B97BA2"/>
    <w:rsid w:val="00B97C4B"/>
    <w:rsid w:val="00B97DA9"/>
    <w:rsid w:val="00B97DF4"/>
    <w:rsid w:val="00BA0028"/>
    <w:rsid w:val="00BA01E6"/>
    <w:rsid w:val="00BA039A"/>
    <w:rsid w:val="00BA07D0"/>
    <w:rsid w:val="00BA0DF1"/>
    <w:rsid w:val="00BA0E5C"/>
    <w:rsid w:val="00BA109C"/>
    <w:rsid w:val="00BA11A9"/>
    <w:rsid w:val="00BA12C9"/>
    <w:rsid w:val="00BA1518"/>
    <w:rsid w:val="00BA15AA"/>
    <w:rsid w:val="00BA1839"/>
    <w:rsid w:val="00BA1D07"/>
    <w:rsid w:val="00BA1DD3"/>
    <w:rsid w:val="00BA1FDF"/>
    <w:rsid w:val="00BA2014"/>
    <w:rsid w:val="00BA2257"/>
    <w:rsid w:val="00BA264D"/>
    <w:rsid w:val="00BA2722"/>
    <w:rsid w:val="00BA27F3"/>
    <w:rsid w:val="00BA296C"/>
    <w:rsid w:val="00BA2AB3"/>
    <w:rsid w:val="00BA2C9F"/>
    <w:rsid w:val="00BA2D99"/>
    <w:rsid w:val="00BA3049"/>
    <w:rsid w:val="00BA3230"/>
    <w:rsid w:val="00BA3286"/>
    <w:rsid w:val="00BA32ED"/>
    <w:rsid w:val="00BA377F"/>
    <w:rsid w:val="00BA3813"/>
    <w:rsid w:val="00BA3A29"/>
    <w:rsid w:val="00BA3A6A"/>
    <w:rsid w:val="00BA3BC2"/>
    <w:rsid w:val="00BA3D95"/>
    <w:rsid w:val="00BA3EAF"/>
    <w:rsid w:val="00BA3EC9"/>
    <w:rsid w:val="00BA3F3F"/>
    <w:rsid w:val="00BA3FB0"/>
    <w:rsid w:val="00BA425C"/>
    <w:rsid w:val="00BA4373"/>
    <w:rsid w:val="00BA43E0"/>
    <w:rsid w:val="00BA442C"/>
    <w:rsid w:val="00BA4806"/>
    <w:rsid w:val="00BA4990"/>
    <w:rsid w:val="00BA49C4"/>
    <w:rsid w:val="00BA4B3D"/>
    <w:rsid w:val="00BA4D42"/>
    <w:rsid w:val="00BA4DEF"/>
    <w:rsid w:val="00BA4F13"/>
    <w:rsid w:val="00BA50D8"/>
    <w:rsid w:val="00BA534E"/>
    <w:rsid w:val="00BA543B"/>
    <w:rsid w:val="00BA58EA"/>
    <w:rsid w:val="00BA596A"/>
    <w:rsid w:val="00BA5974"/>
    <w:rsid w:val="00BA598F"/>
    <w:rsid w:val="00BA5AD9"/>
    <w:rsid w:val="00BA5C2B"/>
    <w:rsid w:val="00BA5CBD"/>
    <w:rsid w:val="00BA600B"/>
    <w:rsid w:val="00BA60F9"/>
    <w:rsid w:val="00BA6763"/>
    <w:rsid w:val="00BA6803"/>
    <w:rsid w:val="00BA6ADF"/>
    <w:rsid w:val="00BA6BB3"/>
    <w:rsid w:val="00BA6C04"/>
    <w:rsid w:val="00BA6CB2"/>
    <w:rsid w:val="00BA6CD7"/>
    <w:rsid w:val="00BA6D93"/>
    <w:rsid w:val="00BA6DF8"/>
    <w:rsid w:val="00BA6EEA"/>
    <w:rsid w:val="00BA6FD8"/>
    <w:rsid w:val="00BA7163"/>
    <w:rsid w:val="00BA77E0"/>
    <w:rsid w:val="00BA788C"/>
    <w:rsid w:val="00BA78B4"/>
    <w:rsid w:val="00BA7A6A"/>
    <w:rsid w:val="00BA7B89"/>
    <w:rsid w:val="00BA7C21"/>
    <w:rsid w:val="00BA7CF8"/>
    <w:rsid w:val="00BB0122"/>
    <w:rsid w:val="00BB0197"/>
    <w:rsid w:val="00BB01FD"/>
    <w:rsid w:val="00BB0486"/>
    <w:rsid w:val="00BB0584"/>
    <w:rsid w:val="00BB0661"/>
    <w:rsid w:val="00BB0857"/>
    <w:rsid w:val="00BB0868"/>
    <w:rsid w:val="00BB09B0"/>
    <w:rsid w:val="00BB0B26"/>
    <w:rsid w:val="00BB0C7D"/>
    <w:rsid w:val="00BB0C85"/>
    <w:rsid w:val="00BB0CE9"/>
    <w:rsid w:val="00BB0D48"/>
    <w:rsid w:val="00BB0D62"/>
    <w:rsid w:val="00BB0D6A"/>
    <w:rsid w:val="00BB0F55"/>
    <w:rsid w:val="00BB1052"/>
    <w:rsid w:val="00BB105A"/>
    <w:rsid w:val="00BB1439"/>
    <w:rsid w:val="00BB146A"/>
    <w:rsid w:val="00BB1593"/>
    <w:rsid w:val="00BB15CA"/>
    <w:rsid w:val="00BB15D7"/>
    <w:rsid w:val="00BB188D"/>
    <w:rsid w:val="00BB18B6"/>
    <w:rsid w:val="00BB1D57"/>
    <w:rsid w:val="00BB1D5A"/>
    <w:rsid w:val="00BB207D"/>
    <w:rsid w:val="00BB229A"/>
    <w:rsid w:val="00BB2347"/>
    <w:rsid w:val="00BB249F"/>
    <w:rsid w:val="00BB24CB"/>
    <w:rsid w:val="00BB26CA"/>
    <w:rsid w:val="00BB27D9"/>
    <w:rsid w:val="00BB2B9B"/>
    <w:rsid w:val="00BB2C6D"/>
    <w:rsid w:val="00BB2DED"/>
    <w:rsid w:val="00BB2E78"/>
    <w:rsid w:val="00BB2ECC"/>
    <w:rsid w:val="00BB3160"/>
    <w:rsid w:val="00BB31D2"/>
    <w:rsid w:val="00BB31E8"/>
    <w:rsid w:val="00BB3926"/>
    <w:rsid w:val="00BB395C"/>
    <w:rsid w:val="00BB39E7"/>
    <w:rsid w:val="00BB3B47"/>
    <w:rsid w:val="00BB3BA3"/>
    <w:rsid w:val="00BB3C91"/>
    <w:rsid w:val="00BB3D8F"/>
    <w:rsid w:val="00BB3EDB"/>
    <w:rsid w:val="00BB3F31"/>
    <w:rsid w:val="00BB3F8E"/>
    <w:rsid w:val="00BB3FC4"/>
    <w:rsid w:val="00BB416B"/>
    <w:rsid w:val="00BB4241"/>
    <w:rsid w:val="00BB4305"/>
    <w:rsid w:val="00BB4424"/>
    <w:rsid w:val="00BB4506"/>
    <w:rsid w:val="00BB456F"/>
    <w:rsid w:val="00BB4BBE"/>
    <w:rsid w:val="00BB4D50"/>
    <w:rsid w:val="00BB4DE2"/>
    <w:rsid w:val="00BB4DEE"/>
    <w:rsid w:val="00BB5051"/>
    <w:rsid w:val="00BB5168"/>
    <w:rsid w:val="00BB517C"/>
    <w:rsid w:val="00BB534A"/>
    <w:rsid w:val="00BB54C9"/>
    <w:rsid w:val="00BB55ED"/>
    <w:rsid w:val="00BB55F6"/>
    <w:rsid w:val="00BB5611"/>
    <w:rsid w:val="00BB586A"/>
    <w:rsid w:val="00BB592A"/>
    <w:rsid w:val="00BB5AFE"/>
    <w:rsid w:val="00BB5B44"/>
    <w:rsid w:val="00BB5BB3"/>
    <w:rsid w:val="00BB5E06"/>
    <w:rsid w:val="00BB5FD5"/>
    <w:rsid w:val="00BB60B3"/>
    <w:rsid w:val="00BB6377"/>
    <w:rsid w:val="00BB63C7"/>
    <w:rsid w:val="00BB643D"/>
    <w:rsid w:val="00BB675A"/>
    <w:rsid w:val="00BB675C"/>
    <w:rsid w:val="00BB6993"/>
    <w:rsid w:val="00BB6D16"/>
    <w:rsid w:val="00BB6DA1"/>
    <w:rsid w:val="00BB7076"/>
    <w:rsid w:val="00BB7093"/>
    <w:rsid w:val="00BB7153"/>
    <w:rsid w:val="00BB7230"/>
    <w:rsid w:val="00BB74C0"/>
    <w:rsid w:val="00BB75B6"/>
    <w:rsid w:val="00BB79E5"/>
    <w:rsid w:val="00BB7A86"/>
    <w:rsid w:val="00BB7C9C"/>
    <w:rsid w:val="00BB7E47"/>
    <w:rsid w:val="00BB7F74"/>
    <w:rsid w:val="00BB7F7F"/>
    <w:rsid w:val="00BC0044"/>
    <w:rsid w:val="00BC0068"/>
    <w:rsid w:val="00BC0226"/>
    <w:rsid w:val="00BC028A"/>
    <w:rsid w:val="00BC02C8"/>
    <w:rsid w:val="00BC0452"/>
    <w:rsid w:val="00BC0513"/>
    <w:rsid w:val="00BC05A1"/>
    <w:rsid w:val="00BC05A9"/>
    <w:rsid w:val="00BC07B2"/>
    <w:rsid w:val="00BC0925"/>
    <w:rsid w:val="00BC096B"/>
    <w:rsid w:val="00BC0986"/>
    <w:rsid w:val="00BC0A31"/>
    <w:rsid w:val="00BC0A7B"/>
    <w:rsid w:val="00BC0B6A"/>
    <w:rsid w:val="00BC0BE8"/>
    <w:rsid w:val="00BC0C2C"/>
    <w:rsid w:val="00BC0DAC"/>
    <w:rsid w:val="00BC0E7E"/>
    <w:rsid w:val="00BC1245"/>
    <w:rsid w:val="00BC125A"/>
    <w:rsid w:val="00BC12CC"/>
    <w:rsid w:val="00BC13D8"/>
    <w:rsid w:val="00BC156E"/>
    <w:rsid w:val="00BC15EB"/>
    <w:rsid w:val="00BC189B"/>
    <w:rsid w:val="00BC1B7F"/>
    <w:rsid w:val="00BC2107"/>
    <w:rsid w:val="00BC220D"/>
    <w:rsid w:val="00BC225E"/>
    <w:rsid w:val="00BC2273"/>
    <w:rsid w:val="00BC22CC"/>
    <w:rsid w:val="00BC233D"/>
    <w:rsid w:val="00BC243C"/>
    <w:rsid w:val="00BC2592"/>
    <w:rsid w:val="00BC25D6"/>
    <w:rsid w:val="00BC2710"/>
    <w:rsid w:val="00BC275E"/>
    <w:rsid w:val="00BC28C1"/>
    <w:rsid w:val="00BC2976"/>
    <w:rsid w:val="00BC2CED"/>
    <w:rsid w:val="00BC2F38"/>
    <w:rsid w:val="00BC324E"/>
    <w:rsid w:val="00BC32A9"/>
    <w:rsid w:val="00BC335D"/>
    <w:rsid w:val="00BC339C"/>
    <w:rsid w:val="00BC34C2"/>
    <w:rsid w:val="00BC34F9"/>
    <w:rsid w:val="00BC3525"/>
    <w:rsid w:val="00BC355B"/>
    <w:rsid w:val="00BC362F"/>
    <w:rsid w:val="00BC37A2"/>
    <w:rsid w:val="00BC3867"/>
    <w:rsid w:val="00BC39C1"/>
    <w:rsid w:val="00BC3A1E"/>
    <w:rsid w:val="00BC3C7C"/>
    <w:rsid w:val="00BC3CC8"/>
    <w:rsid w:val="00BC3F86"/>
    <w:rsid w:val="00BC40BA"/>
    <w:rsid w:val="00BC40C9"/>
    <w:rsid w:val="00BC40CA"/>
    <w:rsid w:val="00BC40CB"/>
    <w:rsid w:val="00BC4244"/>
    <w:rsid w:val="00BC428E"/>
    <w:rsid w:val="00BC42AA"/>
    <w:rsid w:val="00BC4364"/>
    <w:rsid w:val="00BC45E2"/>
    <w:rsid w:val="00BC46C0"/>
    <w:rsid w:val="00BC4797"/>
    <w:rsid w:val="00BC49A3"/>
    <w:rsid w:val="00BC5070"/>
    <w:rsid w:val="00BC5386"/>
    <w:rsid w:val="00BC5544"/>
    <w:rsid w:val="00BC56C4"/>
    <w:rsid w:val="00BC56DB"/>
    <w:rsid w:val="00BC593D"/>
    <w:rsid w:val="00BC5964"/>
    <w:rsid w:val="00BC5C19"/>
    <w:rsid w:val="00BC5C95"/>
    <w:rsid w:val="00BC5CDA"/>
    <w:rsid w:val="00BC5E42"/>
    <w:rsid w:val="00BC5E50"/>
    <w:rsid w:val="00BC5F18"/>
    <w:rsid w:val="00BC5F2A"/>
    <w:rsid w:val="00BC63A7"/>
    <w:rsid w:val="00BC63CA"/>
    <w:rsid w:val="00BC660A"/>
    <w:rsid w:val="00BC661C"/>
    <w:rsid w:val="00BC66D1"/>
    <w:rsid w:val="00BC6971"/>
    <w:rsid w:val="00BC6AE3"/>
    <w:rsid w:val="00BC6B9F"/>
    <w:rsid w:val="00BC6BD0"/>
    <w:rsid w:val="00BC6C4C"/>
    <w:rsid w:val="00BC6DD9"/>
    <w:rsid w:val="00BC6F93"/>
    <w:rsid w:val="00BC70D7"/>
    <w:rsid w:val="00BC7131"/>
    <w:rsid w:val="00BC71F5"/>
    <w:rsid w:val="00BC72B3"/>
    <w:rsid w:val="00BC7360"/>
    <w:rsid w:val="00BC7411"/>
    <w:rsid w:val="00BC7670"/>
    <w:rsid w:val="00BC7679"/>
    <w:rsid w:val="00BC7888"/>
    <w:rsid w:val="00BC7B1E"/>
    <w:rsid w:val="00BD016D"/>
    <w:rsid w:val="00BD029D"/>
    <w:rsid w:val="00BD05E5"/>
    <w:rsid w:val="00BD0701"/>
    <w:rsid w:val="00BD079D"/>
    <w:rsid w:val="00BD0BEF"/>
    <w:rsid w:val="00BD0F70"/>
    <w:rsid w:val="00BD1133"/>
    <w:rsid w:val="00BD116E"/>
    <w:rsid w:val="00BD13CB"/>
    <w:rsid w:val="00BD14A6"/>
    <w:rsid w:val="00BD1672"/>
    <w:rsid w:val="00BD167F"/>
    <w:rsid w:val="00BD1811"/>
    <w:rsid w:val="00BD1845"/>
    <w:rsid w:val="00BD1846"/>
    <w:rsid w:val="00BD187A"/>
    <w:rsid w:val="00BD18EA"/>
    <w:rsid w:val="00BD1982"/>
    <w:rsid w:val="00BD1BCE"/>
    <w:rsid w:val="00BD1CA7"/>
    <w:rsid w:val="00BD1D33"/>
    <w:rsid w:val="00BD1D42"/>
    <w:rsid w:val="00BD1E53"/>
    <w:rsid w:val="00BD1FAC"/>
    <w:rsid w:val="00BD1FBF"/>
    <w:rsid w:val="00BD20BD"/>
    <w:rsid w:val="00BD21FC"/>
    <w:rsid w:val="00BD2289"/>
    <w:rsid w:val="00BD23B5"/>
    <w:rsid w:val="00BD26CD"/>
    <w:rsid w:val="00BD27D2"/>
    <w:rsid w:val="00BD2995"/>
    <w:rsid w:val="00BD2AA0"/>
    <w:rsid w:val="00BD2BEA"/>
    <w:rsid w:val="00BD2C01"/>
    <w:rsid w:val="00BD2D41"/>
    <w:rsid w:val="00BD2E38"/>
    <w:rsid w:val="00BD2F1E"/>
    <w:rsid w:val="00BD2FE2"/>
    <w:rsid w:val="00BD3033"/>
    <w:rsid w:val="00BD3160"/>
    <w:rsid w:val="00BD332A"/>
    <w:rsid w:val="00BD343C"/>
    <w:rsid w:val="00BD3589"/>
    <w:rsid w:val="00BD3856"/>
    <w:rsid w:val="00BD38A3"/>
    <w:rsid w:val="00BD3A4A"/>
    <w:rsid w:val="00BD3B89"/>
    <w:rsid w:val="00BD3BBB"/>
    <w:rsid w:val="00BD3BD3"/>
    <w:rsid w:val="00BD3CFC"/>
    <w:rsid w:val="00BD3E1F"/>
    <w:rsid w:val="00BD3F0D"/>
    <w:rsid w:val="00BD3FD8"/>
    <w:rsid w:val="00BD4128"/>
    <w:rsid w:val="00BD4290"/>
    <w:rsid w:val="00BD4439"/>
    <w:rsid w:val="00BD44B7"/>
    <w:rsid w:val="00BD4533"/>
    <w:rsid w:val="00BD45D9"/>
    <w:rsid w:val="00BD4779"/>
    <w:rsid w:val="00BD4AF6"/>
    <w:rsid w:val="00BD4BD1"/>
    <w:rsid w:val="00BD5004"/>
    <w:rsid w:val="00BD50EF"/>
    <w:rsid w:val="00BD51B9"/>
    <w:rsid w:val="00BD54F0"/>
    <w:rsid w:val="00BD55A2"/>
    <w:rsid w:val="00BD55B0"/>
    <w:rsid w:val="00BD565F"/>
    <w:rsid w:val="00BD56B8"/>
    <w:rsid w:val="00BD575E"/>
    <w:rsid w:val="00BD5807"/>
    <w:rsid w:val="00BD5BA8"/>
    <w:rsid w:val="00BD5BE9"/>
    <w:rsid w:val="00BD5DC5"/>
    <w:rsid w:val="00BD5E1C"/>
    <w:rsid w:val="00BD605B"/>
    <w:rsid w:val="00BD60CC"/>
    <w:rsid w:val="00BD6201"/>
    <w:rsid w:val="00BD645E"/>
    <w:rsid w:val="00BD65E1"/>
    <w:rsid w:val="00BD65EA"/>
    <w:rsid w:val="00BD66E2"/>
    <w:rsid w:val="00BD68A5"/>
    <w:rsid w:val="00BD6C11"/>
    <w:rsid w:val="00BD6CBF"/>
    <w:rsid w:val="00BD6DC7"/>
    <w:rsid w:val="00BD6F0F"/>
    <w:rsid w:val="00BD700F"/>
    <w:rsid w:val="00BD7054"/>
    <w:rsid w:val="00BD7123"/>
    <w:rsid w:val="00BD71AA"/>
    <w:rsid w:val="00BD71AF"/>
    <w:rsid w:val="00BD73E0"/>
    <w:rsid w:val="00BD7424"/>
    <w:rsid w:val="00BD752C"/>
    <w:rsid w:val="00BD7626"/>
    <w:rsid w:val="00BD7721"/>
    <w:rsid w:val="00BD7956"/>
    <w:rsid w:val="00BD7962"/>
    <w:rsid w:val="00BD7ABE"/>
    <w:rsid w:val="00BD7C84"/>
    <w:rsid w:val="00BD7CFB"/>
    <w:rsid w:val="00BD7D38"/>
    <w:rsid w:val="00BD7E6D"/>
    <w:rsid w:val="00BD7FDA"/>
    <w:rsid w:val="00BD7FEA"/>
    <w:rsid w:val="00BE00AB"/>
    <w:rsid w:val="00BE060A"/>
    <w:rsid w:val="00BE0613"/>
    <w:rsid w:val="00BE0666"/>
    <w:rsid w:val="00BE0668"/>
    <w:rsid w:val="00BE0845"/>
    <w:rsid w:val="00BE08F5"/>
    <w:rsid w:val="00BE092E"/>
    <w:rsid w:val="00BE0AFA"/>
    <w:rsid w:val="00BE0ECE"/>
    <w:rsid w:val="00BE0FA9"/>
    <w:rsid w:val="00BE10A9"/>
    <w:rsid w:val="00BE1438"/>
    <w:rsid w:val="00BE14C9"/>
    <w:rsid w:val="00BE162F"/>
    <w:rsid w:val="00BE1737"/>
    <w:rsid w:val="00BE17EF"/>
    <w:rsid w:val="00BE1BAB"/>
    <w:rsid w:val="00BE1E5C"/>
    <w:rsid w:val="00BE1F75"/>
    <w:rsid w:val="00BE1FB9"/>
    <w:rsid w:val="00BE21BE"/>
    <w:rsid w:val="00BE2290"/>
    <w:rsid w:val="00BE2573"/>
    <w:rsid w:val="00BE28F0"/>
    <w:rsid w:val="00BE2948"/>
    <w:rsid w:val="00BE2AC3"/>
    <w:rsid w:val="00BE2C54"/>
    <w:rsid w:val="00BE2CDA"/>
    <w:rsid w:val="00BE2EF5"/>
    <w:rsid w:val="00BE321D"/>
    <w:rsid w:val="00BE333D"/>
    <w:rsid w:val="00BE3484"/>
    <w:rsid w:val="00BE365B"/>
    <w:rsid w:val="00BE37F9"/>
    <w:rsid w:val="00BE37FB"/>
    <w:rsid w:val="00BE3847"/>
    <w:rsid w:val="00BE3873"/>
    <w:rsid w:val="00BE3C23"/>
    <w:rsid w:val="00BE3CBE"/>
    <w:rsid w:val="00BE3D75"/>
    <w:rsid w:val="00BE3DEE"/>
    <w:rsid w:val="00BE4101"/>
    <w:rsid w:val="00BE4318"/>
    <w:rsid w:val="00BE43FF"/>
    <w:rsid w:val="00BE44D7"/>
    <w:rsid w:val="00BE4665"/>
    <w:rsid w:val="00BE4666"/>
    <w:rsid w:val="00BE4724"/>
    <w:rsid w:val="00BE4B07"/>
    <w:rsid w:val="00BE4B9F"/>
    <w:rsid w:val="00BE4C73"/>
    <w:rsid w:val="00BE4EC0"/>
    <w:rsid w:val="00BE4FE4"/>
    <w:rsid w:val="00BE50F8"/>
    <w:rsid w:val="00BE51F8"/>
    <w:rsid w:val="00BE565B"/>
    <w:rsid w:val="00BE56BA"/>
    <w:rsid w:val="00BE56E2"/>
    <w:rsid w:val="00BE5752"/>
    <w:rsid w:val="00BE59EB"/>
    <w:rsid w:val="00BE5B95"/>
    <w:rsid w:val="00BE5BCD"/>
    <w:rsid w:val="00BE5C6F"/>
    <w:rsid w:val="00BE5C88"/>
    <w:rsid w:val="00BE5D5B"/>
    <w:rsid w:val="00BE5E30"/>
    <w:rsid w:val="00BE5EFD"/>
    <w:rsid w:val="00BE5F94"/>
    <w:rsid w:val="00BE5FB3"/>
    <w:rsid w:val="00BE6128"/>
    <w:rsid w:val="00BE612F"/>
    <w:rsid w:val="00BE6368"/>
    <w:rsid w:val="00BE64C0"/>
    <w:rsid w:val="00BE64E6"/>
    <w:rsid w:val="00BE6520"/>
    <w:rsid w:val="00BE65A6"/>
    <w:rsid w:val="00BE6690"/>
    <w:rsid w:val="00BE6882"/>
    <w:rsid w:val="00BE6CC8"/>
    <w:rsid w:val="00BE6F02"/>
    <w:rsid w:val="00BE704D"/>
    <w:rsid w:val="00BE707F"/>
    <w:rsid w:val="00BE7198"/>
    <w:rsid w:val="00BE7239"/>
    <w:rsid w:val="00BE739E"/>
    <w:rsid w:val="00BE73D3"/>
    <w:rsid w:val="00BE73F7"/>
    <w:rsid w:val="00BE74F7"/>
    <w:rsid w:val="00BE7759"/>
    <w:rsid w:val="00BE77A5"/>
    <w:rsid w:val="00BE7A0F"/>
    <w:rsid w:val="00BE7CB9"/>
    <w:rsid w:val="00BE7CD8"/>
    <w:rsid w:val="00BF01A3"/>
    <w:rsid w:val="00BF0247"/>
    <w:rsid w:val="00BF03BC"/>
    <w:rsid w:val="00BF041B"/>
    <w:rsid w:val="00BF06FC"/>
    <w:rsid w:val="00BF0811"/>
    <w:rsid w:val="00BF0833"/>
    <w:rsid w:val="00BF0837"/>
    <w:rsid w:val="00BF08D7"/>
    <w:rsid w:val="00BF0980"/>
    <w:rsid w:val="00BF0B17"/>
    <w:rsid w:val="00BF0CC1"/>
    <w:rsid w:val="00BF0E21"/>
    <w:rsid w:val="00BF0E7F"/>
    <w:rsid w:val="00BF0FC6"/>
    <w:rsid w:val="00BF0FDB"/>
    <w:rsid w:val="00BF1013"/>
    <w:rsid w:val="00BF10F8"/>
    <w:rsid w:val="00BF11A3"/>
    <w:rsid w:val="00BF126B"/>
    <w:rsid w:val="00BF12C1"/>
    <w:rsid w:val="00BF13B9"/>
    <w:rsid w:val="00BF1594"/>
    <w:rsid w:val="00BF15CA"/>
    <w:rsid w:val="00BF16EA"/>
    <w:rsid w:val="00BF170E"/>
    <w:rsid w:val="00BF1796"/>
    <w:rsid w:val="00BF19F3"/>
    <w:rsid w:val="00BF19FC"/>
    <w:rsid w:val="00BF1A8D"/>
    <w:rsid w:val="00BF1A90"/>
    <w:rsid w:val="00BF1B8E"/>
    <w:rsid w:val="00BF1CB5"/>
    <w:rsid w:val="00BF1EA4"/>
    <w:rsid w:val="00BF1EAE"/>
    <w:rsid w:val="00BF1F92"/>
    <w:rsid w:val="00BF20D5"/>
    <w:rsid w:val="00BF2105"/>
    <w:rsid w:val="00BF2246"/>
    <w:rsid w:val="00BF2527"/>
    <w:rsid w:val="00BF2A13"/>
    <w:rsid w:val="00BF2D14"/>
    <w:rsid w:val="00BF2F31"/>
    <w:rsid w:val="00BF30A5"/>
    <w:rsid w:val="00BF31BB"/>
    <w:rsid w:val="00BF3385"/>
    <w:rsid w:val="00BF33A8"/>
    <w:rsid w:val="00BF350D"/>
    <w:rsid w:val="00BF3525"/>
    <w:rsid w:val="00BF35B4"/>
    <w:rsid w:val="00BF364B"/>
    <w:rsid w:val="00BF389A"/>
    <w:rsid w:val="00BF3B0F"/>
    <w:rsid w:val="00BF3BA3"/>
    <w:rsid w:val="00BF3C4B"/>
    <w:rsid w:val="00BF3CB2"/>
    <w:rsid w:val="00BF3EBE"/>
    <w:rsid w:val="00BF4165"/>
    <w:rsid w:val="00BF4217"/>
    <w:rsid w:val="00BF4340"/>
    <w:rsid w:val="00BF4535"/>
    <w:rsid w:val="00BF45D9"/>
    <w:rsid w:val="00BF45F3"/>
    <w:rsid w:val="00BF47E1"/>
    <w:rsid w:val="00BF4ACA"/>
    <w:rsid w:val="00BF4E33"/>
    <w:rsid w:val="00BF4E6C"/>
    <w:rsid w:val="00BF4EE7"/>
    <w:rsid w:val="00BF4F5B"/>
    <w:rsid w:val="00BF4FEB"/>
    <w:rsid w:val="00BF50C3"/>
    <w:rsid w:val="00BF50DC"/>
    <w:rsid w:val="00BF5295"/>
    <w:rsid w:val="00BF52AA"/>
    <w:rsid w:val="00BF531B"/>
    <w:rsid w:val="00BF53B9"/>
    <w:rsid w:val="00BF5715"/>
    <w:rsid w:val="00BF59A2"/>
    <w:rsid w:val="00BF59E5"/>
    <w:rsid w:val="00BF5B01"/>
    <w:rsid w:val="00BF5B54"/>
    <w:rsid w:val="00BF5B8F"/>
    <w:rsid w:val="00BF5C00"/>
    <w:rsid w:val="00BF6015"/>
    <w:rsid w:val="00BF61AB"/>
    <w:rsid w:val="00BF622B"/>
    <w:rsid w:val="00BF6434"/>
    <w:rsid w:val="00BF648C"/>
    <w:rsid w:val="00BF674A"/>
    <w:rsid w:val="00BF677D"/>
    <w:rsid w:val="00BF6789"/>
    <w:rsid w:val="00BF67C6"/>
    <w:rsid w:val="00BF6A2B"/>
    <w:rsid w:val="00BF6BB6"/>
    <w:rsid w:val="00BF6D71"/>
    <w:rsid w:val="00BF6FFD"/>
    <w:rsid w:val="00BF713D"/>
    <w:rsid w:val="00BF7462"/>
    <w:rsid w:val="00BF7651"/>
    <w:rsid w:val="00BF76D5"/>
    <w:rsid w:val="00BF77ED"/>
    <w:rsid w:val="00BF7A91"/>
    <w:rsid w:val="00BF7ACC"/>
    <w:rsid w:val="00BF7DA6"/>
    <w:rsid w:val="00BF7DB4"/>
    <w:rsid w:val="00BF7EDD"/>
    <w:rsid w:val="00C00011"/>
    <w:rsid w:val="00C00018"/>
    <w:rsid w:val="00C0024E"/>
    <w:rsid w:val="00C00297"/>
    <w:rsid w:val="00C00326"/>
    <w:rsid w:val="00C003C0"/>
    <w:rsid w:val="00C004C3"/>
    <w:rsid w:val="00C00609"/>
    <w:rsid w:val="00C006E5"/>
    <w:rsid w:val="00C0076E"/>
    <w:rsid w:val="00C009C7"/>
    <w:rsid w:val="00C00E1B"/>
    <w:rsid w:val="00C00E22"/>
    <w:rsid w:val="00C00FBA"/>
    <w:rsid w:val="00C010C0"/>
    <w:rsid w:val="00C0156A"/>
    <w:rsid w:val="00C01661"/>
    <w:rsid w:val="00C01689"/>
    <w:rsid w:val="00C017D3"/>
    <w:rsid w:val="00C01A5B"/>
    <w:rsid w:val="00C01AD7"/>
    <w:rsid w:val="00C01CE4"/>
    <w:rsid w:val="00C01E24"/>
    <w:rsid w:val="00C01ECF"/>
    <w:rsid w:val="00C0204F"/>
    <w:rsid w:val="00C021A8"/>
    <w:rsid w:val="00C022EF"/>
    <w:rsid w:val="00C0232C"/>
    <w:rsid w:val="00C0239F"/>
    <w:rsid w:val="00C0256E"/>
    <w:rsid w:val="00C025F2"/>
    <w:rsid w:val="00C0261C"/>
    <w:rsid w:val="00C02718"/>
    <w:rsid w:val="00C02948"/>
    <w:rsid w:val="00C02DF2"/>
    <w:rsid w:val="00C02E59"/>
    <w:rsid w:val="00C0309F"/>
    <w:rsid w:val="00C03164"/>
    <w:rsid w:val="00C035BE"/>
    <w:rsid w:val="00C037A0"/>
    <w:rsid w:val="00C038BA"/>
    <w:rsid w:val="00C039A0"/>
    <w:rsid w:val="00C03A51"/>
    <w:rsid w:val="00C03CBA"/>
    <w:rsid w:val="00C03D5A"/>
    <w:rsid w:val="00C03E0F"/>
    <w:rsid w:val="00C04049"/>
    <w:rsid w:val="00C04054"/>
    <w:rsid w:val="00C040CB"/>
    <w:rsid w:val="00C040DB"/>
    <w:rsid w:val="00C041AF"/>
    <w:rsid w:val="00C0429B"/>
    <w:rsid w:val="00C04399"/>
    <w:rsid w:val="00C0485E"/>
    <w:rsid w:val="00C04868"/>
    <w:rsid w:val="00C0488A"/>
    <w:rsid w:val="00C049AA"/>
    <w:rsid w:val="00C04A40"/>
    <w:rsid w:val="00C04ACE"/>
    <w:rsid w:val="00C04AEE"/>
    <w:rsid w:val="00C04B35"/>
    <w:rsid w:val="00C04B81"/>
    <w:rsid w:val="00C04BAE"/>
    <w:rsid w:val="00C04E5D"/>
    <w:rsid w:val="00C05328"/>
    <w:rsid w:val="00C053E6"/>
    <w:rsid w:val="00C0542D"/>
    <w:rsid w:val="00C05A3C"/>
    <w:rsid w:val="00C05C0F"/>
    <w:rsid w:val="00C05CD3"/>
    <w:rsid w:val="00C05D4B"/>
    <w:rsid w:val="00C05F56"/>
    <w:rsid w:val="00C060D7"/>
    <w:rsid w:val="00C060EB"/>
    <w:rsid w:val="00C062B3"/>
    <w:rsid w:val="00C06369"/>
    <w:rsid w:val="00C0657D"/>
    <w:rsid w:val="00C066A8"/>
    <w:rsid w:val="00C06A37"/>
    <w:rsid w:val="00C06DF3"/>
    <w:rsid w:val="00C06EFC"/>
    <w:rsid w:val="00C06FAD"/>
    <w:rsid w:val="00C071C3"/>
    <w:rsid w:val="00C071F4"/>
    <w:rsid w:val="00C072BA"/>
    <w:rsid w:val="00C07321"/>
    <w:rsid w:val="00C07723"/>
    <w:rsid w:val="00C0775E"/>
    <w:rsid w:val="00C077AD"/>
    <w:rsid w:val="00C07848"/>
    <w:rsid w:val="00C07A29"/>
    <w:rsid w:val="00C07BC8"/>
    <w:rsid w:val="00C07DAC"/>
    <w:rsid w:val="00C07E76"/>
    <w:rsid w:val="00C10072"/>
    <w:rsid w:val="00C10102"/>
    <w:rsid w:val="00C10260"/>
    <w:rsid w:val="00C10315"/>
    <w:rsid w:val="00C10509"/>
    <w:rsid w:val="00C106B2"/>
    <w:rsid w:val="00C10811"/>
    <w:rsid w:val="00C10D81"/>
    <w:rsid w:val="00C10E0C"/>
    <w:rsid w:val="00C10E5F"/>
    <w:rsid w:val="00C10E8C"/>
    <w:rsid w:val="00C10F10"/>
    <w:rsid w:val="00C11030"/>
    <w:rsid w:val="00C1126F"/>
    <w:rsid w:val="00C11295"/>
    <w:rsid w:val="00C113E5"/>
    <w:rsid w:val="00C114A2"/>
    <w:rsid w:val="00C114F6"/>
    <w:rsid w:val="00C115B5"/>
    <w:rsid w:val="00C115CE"/>
    <w:rsid w:val="00C117E1"/>
    <w:rsid w:val="00C117EF"/>
    <w:rsid w:val="00C118F0"/>
    <w:rsid w:val="00C119D6"/>
    <w:rsid w:val="00C119FE"/>
    <w:rsid w:val="00C11B96"/>
    <w:rsid w:val="00C11BEC"/>
    <w:rsid w:val="00C11ED7"/>
    <w:rsid w:val="00C1215B"/>
    <w:rsid w:val="00C12164"/>
    <w:rsid w:val="00C12166"/>
    <w:rsid w:val="00C12176"/>
    <w:rsid w:val="00C121E9"/>
    <w:rsid w:val="00C1223B"/>
    <w:rsid w:val="00C1246E"/>
    <w:rsid w:val="00C125C3"/>
    <w:rsid w:val="00C125CA"/>
    <w:rsid w:val="00C127B4"/>
    <w:rsid w:val="00C1285D"/>
    <w:rsid w:val="00C129AD"/>
    <w:rsid w:val="00C129D3"/>
    <w:rsid w:val="00C129F6"/>
    <w:rsid w:val="00C12A3B"/>
    <w:rsid w:val="00C12AB0"/>
    <w:rsid w:val="00C12B41"/>
    <w:rsid w:val="00C12E34"/>
    <w:rsid w:val="00C12E39"/>
    <w:rsid w:val="00C12F3E"/>
    <w:rsid w:val="00C1307F"/>
    <w:rsid w:val="00C13125"/>
    <w:rsid w:val="00C13157"/>
    <w:rsid w:val="00C1318B"/>
    <w:rsid w:val="00C1343E"/>
    <w:rsid w:val="00C1392A"/>
    <w:rsid w:val="00C1399E"/>
    <w:rsid w:val="00C13B60"/>
    <w:rsid w:val="00C13F1E"/>
    <w:rsid w:val="00C13FFD"/>
    <w:rsid w:val="00C14739"/>
    <w:rsid w:val="00C147D1"/>
    <w:rsid w:val="00C149A8"/>
    <w:rsid w:val="00C14B5C"/>
    <w:rsid w:val="00C14C65"/>
    <w:rsid w:val="00C14CE4"/>
    <w:rsid w:val="00C14E00"/>
    <w:rsid w:val="00C14EFC"/>
    <w:rsid w:val="00C15123"/>
    <w:rsid w:val="00C15127"/>
    <w:rsid w:val="00C1515E"/>
    <w:rsid w:val="00C15187"/>
    <w:rsid w:val="00C1529C"/>
    <w:rsid w:val="00C15302"/>
    <w:rsid w:val="00C15542"/>
    <w:rsid w:val="00C155DE"/>
    <w:rsid w:val="00C1565B"/>
    <w:rsid w:val="00C15710"/>
    <w:rsid w:val="00C15850"/>
    <w:rsid w:val="00C158AD"/>
    <w:rsid w:val="00C159EC"/>
    <w:rsid w:val="00C15C57"/>
    <w:rsid w:val="00C15C7B"/>
    <w:rsid w:val="00C15D4C"/>
    <w:rsid w:val="00C15D8D"/>
    <w:rsid w:val="00C15D91"/>
    <w:rsid w:val="00C15DB1"/>
    <w:rsid w:val="00C15DE9"/>
    <w:rsid w:val="00C15EBE"/>
    <w:rsid w:val="00C15ED2"/>
    <w:rsid w:val="00C161E9"/>
    <w:rsid w:val="00C16309"/>
    <w:rsid w:val="00C1630D"/>
    <w:rsid w:val="00C164A0"/>
    <w:rsid w:val="00C16A10"/>
    <w:rsid w:val="00C16AEC"/>
    <w:rsid w:val="00C1704C"/>
    <w:rsid w:val="00C17116"/>
    <w:rsid w:val="00C17146"/>
    <w:rsid w:val="00C172D0"/>
    <w:rsid w:val="00C174C0"/>
    <w:rsid w:val="00C1771F"/>
    <w:rsid w:val="00C17799"/>
    <w:rsid w:val="00C17879"/>
    <w:rsid w:val="00C17A84"/>
    <w:rsid w:val="00C17AB5"/>
    <w:rsid w:val="00C17AB6"/>
    <w:rsid w:val="00C17ACA"/>
    <w:rsid w:val="00C17B93"/>
    <w:rsid w:val="00C17C02"/>
    <w:rsid w:val="00C17CB0"/>
    <w:rsid w:val="00C17D90"/>
    <w:rsid w:val="00C17E8E"/>
    <w:rsid w:val="00C17F91"/>
    <w:rsid w:val="00C17FB9"/>
    <w:rsid w:val="00C2005C"/>
    <w:rsid w:val="00C2018C"/>
    <w:rsid w:val="00C2030A"/>
    <w:rsid w:val="00C20458"/>
    <w:rsid w:val="00C20521"/>
    <w:rsid w:val="00C205AA"/>
    <w:rsid w:val="00C20793"/>
    <w:rsid w:val="00C20B03"/>
    <w:rsid w:val="00C20DD2"/>
    <w:rsid w:val="00C20EA7"/>
    <w:rsid w:val="00C21056"/>
    <w:rsid w:val="00C2110F"/>
    <w:rsid w:val="00C21175"/>
    <w:rsid w:val="00C2127E"/>
    <w:rsid w:val="00C2175D"/>
    <w:rsid w:val="00C218F1"/>
    <w:rsid w:val="00C21ACA"/>
    <w:rsid w:val="00C21CD7"/>
    <w:rsid w:val="00C21D9C"/>
    <w:rsid w:val="00C221BB"/>
    <w:rsid w:val="00C221C8"/>
    <w:rsid w:val="00C222ED"/>
    <w:rsid w:val="00C22552"/>
    <w:rsid w:val="00C22783"/>
    <w:rsid w:val="00C22823"/>
    <w:rsid w:val="00C22ADA"/>
    <w:rsid w:val="00C22AFD"/>
    <w:rsid w:val="00C2303E"/>
    <w:rsid w:val="00C230E7"/>
    <w:rsid w:val="00C23107"/>
    <w:rsid w:val="00C232CC"/>
    <w:rsid w:val="00C2348F"/>
    <w:rsid w:val="00C23580"/>
    <w:rsid w:val="00C2370D"/>
    <w:rsid w:val="00C2394A"/>
    <w:rsid w:val="00C239CD"/>
    <w:rsid w:val="00C23A2D"/>
    <w:rsid w:val="00C23B13"/>
    <w:rsid w:val="00C23B6A"/>
    <w:rsid w:val="00C23D91"/>
    <w:rsid w:val="00C23DD6"/>
    <w:rsid w:val="00C23E17"/>
    <w:rsid w:val="00C23E44"/>
    <w:rsid w:val="00C23E62"/>
    <w:rsid w:val="00C23F14"/>
    <w:rsid w:val="00C24115"/>
    <w:rsid w:val="00C24595"/>
    <w:rsid w:val="00C24834"/>
    <w:rsid w:val="00C24870"/>
    <w:rsid w:val="00C24975"/>
    <w:rsid w:val="00C24F9D"/>
    <w:rsid w:val="00C24FBA"/>
    <w:rsid w:val="00C25073"/>
    <w:rsid w:val="00C25117"/>
    <w:rsid w:val="00C2535D"/>
    <w:rsid w:val="00C253D2"/>
    <w:rsid w:val="00C253E0"/>
    <w:rsid w:val="00C25691"/>
    <w:rsid w:val="00C25CB2"/>
    <w:rsid w:val="00C25CB9"/>
    <w:rsid w:val="00C25CFE"/>
    <w:rsid w:val="00C25D67"/>
    <w:rsid w:val="00C25DC1"/>
    <w:rsid w:val="00C25E67"/>
    <w:rsid w:val="00C26360"/>
    <w:rsid w:val="00C263AD"/>
    <w:rsid w:val="00C263B8"/>
    <w:rsid w:val="00C26482"/>
    <w:rsid w:val="00C2675D"/>
    <w:rsid w:val="00C26B4D"/>
    <w:rsid w:val="00C26D5A"/>
    <w:rsid w:val="00C26F19"/>
    <w:rsid w:val="00C271C8"/>
    <w:rsid w:val="00C2727E"/>
    <w:rsid w:val="00C2740C"/>
    <w:rsid w:val="00C2741C"/>
    <w:rsid w:val="00C27525"/>
    <w:rsid w:val="00C27548"/>
    <w:rsid w:val="00C276F9"/>
    <w:rsid w:val="00C27761"/>
    <w:rsid w:val="00C27794"/>
    <w:rsid w:val="00C27ABC"/>
    <w:rsid w:val="00C30020"/>
    <w:rsid w:val="00C30649"/>
    <w:rsid w:val="00C308A4"/>
    <w:rsid w:val="00C308FD"/>
    <w:rsid w:val="00C309EC"/>
    <w:rsid w:val="00C30BEC"/>
    <w:rsid w:val="00C30CC3"/>
    <w:rsid w:val="00C30E49"/>
    <w:rsid w:val="00C30F85"/>
    <w:rsid w:val="00C30F8F"/>
    <w:rsid w:val="00C31281"/>
    <w:rsid w:val="00C31306"/>
    <w:rsid w:val="00C3152B"/>
    <w:rsid w:val="00C3159E"/>
    <w:rsid w:val="00C315A8"/>
    <w:rsid w:val="00C31899"/>
    <w:rsid w:val="00C319B9"/>
    <w:rsid w:val="00C31C4B"/>
    <w:rsid w:val="00C31D7F"/>
    <w:rsid w:val="00C31F06"/>
    <w:rsid w:val="00C31F9F"/>
    <w:rsid w:val="00C3209F"/>
    <w:rsid w:val="00C320E7"/>
    <w:rsid w:val="00C321EE"/>
    <w:rsid w:val="00C322F0"/>
    <w:rsid w:val="00C322F5"/>
    <w:rsid w:val="00C32835"/>
    <w:rsid w:val="00C3289D"/>
    <w:rsid w:val="00C32AE7"/>
    <w:rsid w:val="00C32B16"/>
    <w:rsid w:val="00C32FA8"/>
    <w:rsid w:val="00C3301D"/>
    <w:rsid w:val="00C330B0"/>
    <w:rsid w:val="00C33129"/>
    <w:rsid w:val="00C33212"/>
    <w:rsid w:val="00C332FE"/>
    <w:rsid w:val="00C3343F"/>
    <w:rsid w:val="00C334E0"/>
    <w:rsid w:val="00C335AC"/>
    <w:rsid w:val="00C3376E"/>
    <w:rsid w:val="00C338D8"/>
    <w:rsid w:val="00C33B1F"/>
    <w:rsid w:val="00C33B27"/>
    <w:rsid w:val="00C33B34"/>
    <w:rsid w:val="00C33E04"/>
    <w:rsid w:val="00C33E1E"/>
    <w:rsid w:val="00C33E20"/>
    <w:rsid w:val="00C340AF"/>
    <w:rsid w:val="00C3413A"/>
    <w:rsid w:val="00C34152"/>
    <w:rsid w:val="00C3416F"/>
    <w:rsid w:val="00C34201"/>
    <w:rsid w:val="00C34259"/>
    <w:rsid w:val="00C34270"/>
    <w:rsid w:val="00C3464A"/>
    <w:rsid w:val="00C3470B"/>
    <w:rsid w:val="00C3481C"/>
    <w:rsid w:val="00C34963"/>
    <w:rsid w:val="00C349BD"/>
    <w:rsid w:val="00C349D4"/>
    <w:rsid w:val="00C34B92"/>
    <w:rsid w:val="00C34C29"/>
    <w:rsid w:val="00C34C81"/>
    <w:rsid w:val="00C34CA0"/>
    <w:rsid w:val="00C34F10"/>
    <w:rsid w:val="00C351C8"/>
    <w:rsid w:val="00C3537E"/>
    <w:rsid w:val="00C35412"/>
    <w:rsid w:val="00C35717"/>
    <w:rsid w:val="00C3574C"/>
    <w:rsid w:val="00C357AA"/>
    <w:rsid w:val="00C35A78"/>
    <w:rsid w:val="00C35B19"/>
    <w:rsid w:val="00C35BA2"/>
    <w:rsid w:val="00C35D5F"/>
    <w:rsid w:val="00C35EE7"/>
    <w:rsid w:val="00C36593"/>
    <w:rsid w:val="00C36658"/>
    <w:rsid w:val="00C36997"/>
    <w:rsid w:val="00C36C1F"/>
    <w:rsid w:val="00C36D17"/>
    <w:rsid w:val="00C36DC1"/>
    <w:rsid w:val="00C3702B"/>
    <w:rsid w:val="00C37132"/>
    <w:rsid w:val="00C37200"/>
    <w:rsid w:val="00C37243"/>
    <w:rsid w:val="00C3755C"/>
    <w:rsid w:val="00C3784B"/>
    <w:rsid w:val="00C379DD"/>
    <w:rsid w:val="00C37A18"/>
    <w:rsid w:val="00C37B4E"/>
    <w:rsid w:val="00C37C5E"/>
    <w:rsid w:val="00C37E44"/>
    <w:rsid w:val="00C37F41"/>
    <w:rsid w:val="00C40018"/>
    <w:rsid w:val="00C4041D"/>
    <w:rsid w:val="00C40572"/>
    <w:rsid w:val="00C40741"/>
    <w:rsid w:val="00C4083C"/>
    <w:rsid w:val="00C40948"/>
    <w:rsid w:val="00C40973"/>
    <w:rsid w:val="00C40A6D"/>
    <w:rsid w:val="00C40AD9"/>
    <w:rsid w:val="00C40B77"/>
    <w:rsid w:val="00C40C46"/>
    <w:rsid w:val="00C40D8B"/>
    <w:rsid w:val="00C40DE2"/>
    <w:rsid w:val="00C40EB8"/>
    <w:rsid w:val="00C41061"/>
    <w:rsid w:val="00C4112C"/>
    <w:rsid w:val="00C411A6"/>
    <w:rsid w:val="00C412AC"/>
    <w:rsid w:val="00C41413"/>
    <w:rsid w:val="00C41429"/>
    <w:rsid w:val="00C4154B"/>
    <w:rsid w:val="00C41712"/>
    <w:rsid w:val="00C41815"/>
    <w:rsid w:val="00C41912"/>
    <w:rsid w:val="00C41AB0"/>
    <w:rsid w:val="00C41DBD"/>
    <w:rsid w:val="00C41FEC"/>
    <w:rsid w:val="00C42118"/>
    <w:rsid w:val="00C421B6"/>
    <w:rsid w:val="00C423C1"/>
    <w:rsid w:val="00C4252F"/>
    <w:rsid w:val="00C42719"/>
    <w:rsid w:val="00C42818"/>
    <w:rsid w:val="00C428D6"/>
    <w:rsid w:val="00C4293F"/>
    <w:rsid w:val="00C42A16"/>
    <w:rsid w:val="00C42ADC"/>
    <w:rsid w:val="00C42B78"/>
    <w:rsid w:val="00C42D4C"/>
    <w:rsid w:val="00C432E0"/>
    <w:rsid w:val="00C432FE"/>
    <w:rsid w:val="00C433FA"/>
    <w:rsid w:val="00C43568"/>
    <w:rsid w:val="00C438BC"/>
    <w:rsid w:val="00C43902"/>
    <w:rsid w:val="00C439CA"/>
    <w:rsid w:val="00C439D6"/>
    <w:rsid w:val="00C43C47"/>
    <w:rsid w:val="00C43F89"/>
    <w:rsid w:val="00C4405B"/>
    <w:rsid w:val="00C44172"/>
    <w:rsid w:val="00C44195"/>
    <w:rsid w:val="00C44447"/>
    <w:rsid w:val="00C4455C"/>
    <w:rsid w:val="00C44622"/>
    <w:rsid w:val="00C446FE"/>
    <w:rsid w:val="00C44711"/>
    <w:rsid w:val="00C44716"/>
    <w:rsid w:val="00C447DD"/>
    <w:rsid w:val="00C44874"/>
    <w:rsid w:val="00C449A0"/>
    <w:rsid w:val="00C449C9"/>
    <w:rsid w:val="00C44A3D"/>
    <w:rsid w:val="00C44EC6"/>
    <w:rsid w:val="00C44EF8"/>
    <w:rsid w:val="00C44F4F"/>
    <w:rsid w:val="00C44F95"/>
    <w:rsid w:val="00C45133"/>
    <w:rsid w:val="00C4569E"/>
    <w:rsid w:val="00C4581C"/>
    <w:rsid w:val="00C45B21"/>
    <w:rsid w:val="00C45C79"/>
    <w:rsid w:val="00C45F13"/>
    <w:rsid w:val="00C461BE"/>
    <w:rsid w:val="00C4620E"/>
    <w:rsid w:val="00C4657A"/>
    <w:rsid w:val="00C469AE"/>
    <w:rsid w:val="00C46A64"/>
    <w:rsid w:val="00C46AED"/>
    <w:rsid w:val="00C46C61"/>
    <w:rsid w:val="00C46D18"/>
    <w:rsid w:val="00C46DEB"/>
    <w:rsid w:val="00C46EA9"/>
    <w:rsid w:val="00C470A8"/>
    <w:rsid w:val="00C470F2"/>
    <w:rsid w:val="00C4733E"/>
    <w:rsid w:val="00C47452"/>
    <w:rsid w:val="00C4795E"/>
    <w:rsid w:val="00C47ABD"/>
    <w:rsid w:val="00C47CAD"/>
    <w:rsid w:val="00C47F9C"/>
    <w:rsid w:val="00C500FB"/>
    <w:rsid w:val="00C50195"/>
    <w:rsid w:val="00C50200"/>
    <w:rsid w:val="00C50217"/>
    <w:rsid w:val="00C505F2"/>
    <w:rsid w:val="00C50613"/>
    <w:rsid w:val="00C50630"/>
    <w:rsid w:val="00C5067C"/>
    <w:rsid w:val="00C5069A"/>
    <w:rsid w:val="00C5069D"/>
    <w:rsid w:val="00C5070A"/>
    <w:rsid w:val="00C5077D"/>
    <w:rsid w:val="00C50818"/>
    <w:rsid w:val="00C50C13"/>
    <w:rsid w:val="00C50C63"/>
    <w:rsid w:val="00C51022"/>
    <w:rsid w:val="00C5106B"/>
    <w:rsid w:val="00C51309"/>
    <w:rsid w:val="00C51526"/>
    <w:rsid w:val="00C51961"/>
    <w:rsid w:val="00C51C6F"/>
    <w:rsid w:val="00C51D57"/>
    <w:rsid w:val="00C51F62"/>
    <w:rsid w:val="00C52345"/>
    <w:rsid w:val="00C52834"/>
    <w:rsid w:val="00C528FB"/>
    <w:rsid w:val="00C52936"/>
    <w:rsid w:val="00C529F3"/>
    <w:rsid w:val="00C52B43"/>
    <w:rsid w:val="00C52D68"/>
    <w:rsid w:val="00C52DF1"/>
    <w:rsid w:val="00C52F62"/>
    <w:rsid w:val="00C52FD2"/>
    <w:rsid w:val="00C5302F"/>
    <w:rsid w:val="00C530BC"/>
    <w:rsid w:val="00C53288"/>
    <w:rsid w:val="00C53530"/>
    <w:rsid w:val="00C53659"/>
    <w:rsid w:val="00C53CAB"/>
    <w:rsid w:val="00C53D05"/>
    <w:rsid w:val="00C54292"/>
    <w:rsid w:val="00C5448D"/>
    <w:rsid w:val="00C54873"/>
    <w:rsid w:val="00C5487F"/>
    <w:rsid w:val="00C54A1C"/>
    <w:rsid w:val="00C54A42"/>
    <w:rsid w:val="00C54AA2"/>
    <w:rsid w:val="00C54CA9"/>
    <w:rsid w:val="00C54D01"/>
    <w:rsid w:val="00C54DB9"/>
    <w:rsid w:val="00C54E6A"/>
    <w:rsid w:val="00C54F4A"/>
    <w:rsid w:val="00C55090"/>
    <w:rsid w:val="00C55186"/>
    <w:rsid w:val="00C55522"/>
    <w:rsid w:val="00C55771"/>
    <w:rsid w:val="00C558F6"/>
    <w:rsid w:val="00C559DC"/>
    <w:rsid w:val="00C55FB3"/>
    <w:rsid w:val="00C55FCE"/>
    <w:rsid w:val="00C5610D"/>
    <w:rsid w:val="00C5622A"/>
    <w:rsid w:val="00C562B8"/>
    <w:rsid w:val="00C563E2"/>
    <w:rsid w:val="00C564F5"/>
    <w:rsid w:val="00C5687F"/>
    <w:rsid w:val="00C57085"/>
    <w:rsid w:val="00C571F2"/>
    <w:rsid w:val="00C572C9"/>
    <w:rsid w:val="00C572DC"/>
    <w:rsid w:val="00C574BE"/>
    <w:rsid w:val="00C57598"/>
    <w:rsid w:val="00C57928"/>
    <w:rsid w:val="00C579EF"/>
    <w:rsid w:val="00C57A02"/>
    <w:rsid w:val="00C57B80"/>
    <w:rsid w:val="00C57C18"/>
    <w:rsid w:val="00C57D16"/>
    <w:rsid w:val="00C60095"/>
    <w:rsid w:val="00C601D0"/>
    <w:rsid w:val="00C602A1"/>
    <w:rsid w:val="00C60335"/>
    <w:rsid w:val="00C605DA"/>
    <w:rsid w:val="00C60600"/>
    <w:rsid w:val="00C606D5"/>
    <w:rsid w:val="00C606FF"/>
    <w:rsid w:val="00C60703"/>
    <w:rsid w:val="00C607A7"/>
    <w:rsid w:val="00C60A17"/>
    <w:rsid w:val="00C60A94"/>
    <w:rsid w:val="00C60AFD"/>
    <w:rsid w:val="00C60B17"/>
    <w:rsid w:val="00C60DBE"/>
    <w:rsid w:val="00C60F7D"/>
    <w:rsid w:val="00C60FB7"/>
    <w:rsid w:val="00C60FE0"/>
    <w:rsid w:val="00C61129"/>
    <w:rsid w:val="00C61318"/>
    <w:rsid w:val="00C6159B"/>
    <w:rsid w:val="00C616AC"/>
    <w:rsid w:val="00C61733"/>
    <w:rsid w:val="00C617DD"/>
    <w:rsid w:val="00C61883"/>
    <w:rsid w:val="00C61B77"/>
    <w:rsid w:val="00C61C86"/>
    <w:rsid w:val="00C61C9B"/>
    <w:rsid w:val="00C6206C"/>
    <w:rsid w:val="00C625D8"/>
    <w:rsid w:val="00C62730"/>
    <w:rsid w:val="00C6280E"/>
    <w:rsid w:val="00C62A18"/>
    <w:rsid w:val="00C62A96"/>
    <w:rsid w:val="00C62AD6"/>
    <w:rsid w:val="00C62D51"/>
    <w:rsid w:val="00C62EF6"/>
    <w:rsid w:val="00C62FA2"/>
    <w:rsid w:val="00C630F3"/>
    <w:rsid w:val="00C632E4"/>
    <w:rsid w:val="00C6339D"/>
    <w:rsid w:val="00C635D8"/>
    <w:rsid w:val="00C636DE"/>
    <w:rsid w:val="00C6379F"/>
    <w:rsid w:val="00C63A28"/>
    <w:rsid w:val="00C63B2D"/>
    <w:rsid w:val="00C63C6E"/>
    <w:rsid w:val="00C63C89"/>
    <w:rsid w:val="00C63CC2"/>
    <w:rsid w:val="00C63D2A"/>
    <w:rsid w:val="00C63D2E"/>
    <w:rsid w:val="00C63E1C"/>
    <w:rsid w:val="00C63E26"/>
    <w:rsid w:val="00C63F17"/>
    <w:rsid w:val="00C6415A"/>
    <w:rsid w:val="00C643AD"/>
    <w:rsid w:val="00C64762"/>
    <w:rsid w:val="00C647F3"/>
    <w:rsid w:val="00C647F4"/>
    <w:rsid w:val="00C64856"/>
    <w:rsid w:val="00C648C7"/>
    <w:rsid w:val="00C649B3"/>
    <w:rsid w:val="00C649FD"/>
    <w:rsid w:val="00C64A38"/>
    <w:rsid w:val="00C64CC1"/>
    <w:rsid w:val="00C64E34"/>
    <w:rsid w:val="00C64ED3"/>
    <w:rsid w:val="00C64F8E"/>
    <w:rsid w:val="00C65282"/>
    <w:rsid w:val="00C653D0"/>
    <w:rsid w:val="00C65423"/>
    <w:rsid w:val="00C65569"/>
    <w:rsid w:val="00C656A7"/>
    <w:rsid w:val="00C657D1"/>
    <w:rsid w:val="00C65834"/>
    <w:rsid w:val="00C65C21"/>
    <w:rsid w:val="00C65DE9"/>
    <w:rsid w:val="00C65E97"/>
    <w:rsid w:val="00C65F44"/>
    <w:rsid w:val="00C66243"/>
    <w:rsid w:val="00C6652C"/>
    <w:rsid w:val="00C66535"/>
    <w:rsid w:val="00C6661C"/>
    <w:rsid w:val="00C666FF"/>
    <w:rsid w:val="00C66857"/>
    <w:rsid w:val="00C668F1"/>
    <w:rsid w:val="00C66A04"/>
    <w:rsid w:val="00C66D33"/>
    <w:rsid w:val="00C675EC"/>
    <w:rsid w:val="00C67632"/>
    <w:rsid w:val="00C67A31"/>
    <w:rsid w:val="00C67BDD"/>
    <w:rsid w:val="00C67C23"/>
    <w:rsid w:val="00C67F12"/>
    <w:rsid w:val="00C701E6"/>
    <w:rsid w:val="00C702CF"/>
    <w:rsid w:val="00C70652"/>
    <w:rsid w:val="00C706C6"/>
    <w:rsid w:val="00C708F5"/>
    <w:rsid w:val="00C709C6"/>
    <w:rsid w:val="00C709E9"/>
    <w:rsid w:val="00C70A1F"/>
    <w:rsid w:val="00C70A6E"/>
    <w:rsid w:val="00C70AAB"/>
    <w:rsid w:val="00C70AC5"/>
    <w:rsid w:val="00C70B9C"/>
    <w:rsid w:val="00C70C2B"/>
    <w:rsid w:val="00C70E10"/>
    <w:rsid w:val="00C70E87"/>
    <w:rsid w:val="00C70F01"/>
    <w:rsid w:val="00C71020"/>
    <w:rsid w:val="00C71367"/>
    <w:rsid w:val="00C71DEF"/>
    <w:rsid w:val="00C71FA5"/>
    <w:rsid w:val="00C720F8"/>
    <w:rsid w:val="00C7216E"/>
    <w:rsid w:val="00C72415"/>
    <w:rsid w:val="00C7241C"/>
    <w:rsid w:val="00C724D0"/>
    <w:rsid w:val="00C726A3"/>
    <w:rsid w:val="00C72716"/>
    <w:rsid w:val="00C728A5"/>
    <w:rsid w:val="00C729AA"/>
    <w:rsid w:val="00C72B79"/>
    <w:rsid w:val="00C72E7F"/>
    <w:rsid w:val="00C7316C"/>
    <w:rsid w:val="00C73249"/>
    <w:rsid w:val="00C735BC"/>
    <w:rsid w:val="00C736CF"/>
    <w:rsid w:val="00C73A1C"/>
    <w:rsid w:val="00C73AEA"/>
    <w:rsid w:val="00C73B51"/>
    <w:rsid w:val="00C73C4A"/>
    <w:rsid w:val="00C73C76"/>
    <w:rsid w:val="00C73F2C"/>
    <w:rsid w:val="00C740B2"/>
    <w:rsid w:val="00C740C3"/>
    <w:rsid w:val="00C74102"/>
    <w:rsid w:val="00C742B0"/>
    <w:rsid w:val="00C7454F"/>
    <w:rsid w:val="00C7483A"/>
    <w:rsid w:val="00C74852"/>
    <w:rsid w:val="00C748F0"/>
    <w:rsid w:val="00C749F2"/>
    <w:rsid w:val="00C74B09"/>
    <w:rsid w:val="00C74B2F"/>
    <w:rsid w:val="00C74C67"/>
    <w:rsid w:val="00C74D83"/>
    <w:rsid w:val="00C74DC8"/>
    <w:rsid w:val="00C74DF5"/>
    <w:rsid w:val="00C74E96"/>
    <w:rsid w:val="00C74ECD"/>
    <w:rsid w:val="00C74F7D"/>
    <w:rsid w:val="00C7514B"/>
    <w:rsid w:val="00C75205"/>
    <w:rsid w:val="00C75393"/>
    <w:rsid w:val="00C7548D"/>
    <w:rsid w:val="00C7556B"/>
    <w:rsid w:val="00C75763"/>
    <w:rsid w:val="00C757B9"/>
    <w:rsid w:val="00C75A4F"/>
    <w:rsid w:val="00C75ABC"/>
    <w:rsid w:val="00C75AF4"/>
    <w:rsid w:val="00C75CAD"/>
    <w:rsid w:val="00C75D06"/>
    <w:rsid w:val="00C75E6A"/>
    <w:rsid w:val="00C7605D"/>
    <w:rsid w:val="00C76065"/>
    <w:rsid w:val="00C760AE"/>
    <w:rsid w:val="00C762A2"/>
    <w:rsid w:val="00C7655C"/>
    <w:rsid w:val="00C765E1"/>
    <w:rsid w:val="00C76601"/>
    <w:rsid w:val="00C76613"/>
    <w:rsid w:val="00C76694"/>
    <w:rsid w:val="00C76695"/>
    <w:rsid w:val="00C7671A"/>
    <w:rsid w:val="00C76776"/>
    <w:rsid w:val="00C7688D"/>
    <w:rsid w:val="00C768C4"/>
    <w:rsid w:val="00C7697F"/>
    <w:rsid w:val="00C76A0E"/>
    <w:rsid w:val="00C76AB5"/>
    <w:rsid w:val="00C76B63"/>
    <w:rsid w:val="00C76C44"/>
    <w:rsid w:val="00C76C7E"/>
    <w:rsid w:val="00C76CC2"/>
    <w:rsid w:val="00C76DDA"/>
    <w:rsid w:val="00C76EEC"/>
    <w:rsid w:val="00C76F69"/>
    <w:rsid w:val="00C76FB0"/>
    <w:rsid w:val="00C77040"/>
    <w:rsid w:val="00C770B4"/>
    <w:rsid w:val="00C7711A"/>
    <w:rsid w:val="00C7718B"/>
    <w:rsid w:val="00C776D3"/>
    <w:rsid w:val="00C7797D"/>
    <w:rsid w:val="00C779EC"/>
    <w:rsid w:val="00C77C43"/>
    <w:rsid w:val="00C77C46"/>
    <w:rsid w:val="00C77CD9"/>
    <w:rsid w:val="00C77F23"/>
    <w:rsid w:val="00C80148"/>
    <w:rsid w:val="00C80356"/>
    <w:rsid w:val="00C8037E"/>
    <w:rsid w:val="00C80415"/>
    <w:rsid w:val="00C80538"/>
    <w:rsid w:val="00C80553"/>
    <w:rsid w:val="00C8056E"/>
    <w:rsid w:val="00C806BB"/>
    <w:rsid w:val="00C80960"/>
    <w:rsid w:val="00C80AEB"/>
    <w:rsid w:val="00C80AFF"/>
    <w:rsid w:val="00C80E7E"/>
    <w:rsid w:val="00C81121"/>
    <w:rsid w:val="00C81212"/>
    <w:rsid w:val="00C8147F"/>
    <w:rsid w:val="00C81597"/>
    <w:rsid w:val="00C816E2"/>
    <w:rsid w:val="00C8192A"/>
    <w:rsid w:val="00C81BD6"/>
    <w:rsid w:val="00C81D81"/>
    <w:rsid w:val="00C81DEE"/>
    <w:rsid w:val="00C81EA1"/>
    <w:rsid w:val="00C81FAB"/>
    <w:rsid w:val="00C8201E"/>
    <w:rsid w:val="00C82031"/>
    <w:rsid w:val="00C821D7"/>
    <w:rsid w:val="00C82271"/>
    <w:rsid w:val="00C822FB"/>
    <w:rsid w:val="00C82479"/>
    <w:rsid w:val="00C82482"/>
    <w:rsid w:val="00C82499"/>
    <w:rsid w:val="00C824E8"/>
    <w:rsid w:val="00C8256F"/>
    <w:rsid w:val="00C825B2"/>
    <w:rsid w:val="00C82604"/>
    <w:rsid w:val="00C8286E"/>
    <w:rsid w:val="00C82914"/>
    <w:rsid w:val="00C82918"/>
    <w:rsid w:val="00C82B83"/>
    <w:rsid w:val="00C82BA3"/>
    <w:rsid w:val="00C82BA6"/>
    <w:rsid w:val="00C82C86"/>
    <w:rsid w:val="00C82D6C"/>
    <w:rsid w:val="00C82E42"/>
    <w:rsid w:val="00C82F50"/>
    <w:rsid w:val="00C831D0"/>
    <w:rsid w:val="00C831D7"/>
    <w:rsid w:val="00C831DE"/>
    <w:rsid w:val="00C8327E"/>
    <w:rsid w:val="00C833E0"/>
    <w:rsid w:val="00C83473"/>
    <w:rsid w:val="00C8347A"/>
    <w:rsid w:val="00C83826"/>
    <w:rsid w:val="00C83837"/>
    <w:rsid w:val="00C839F0"/>
    <w:rsid w:val="00C83A95"/>
    <w:rsid w:val="00C83F77"/>
    <w:rsid w:val="00C84281"/>
    <w:rsid w:val="00C842AC"/>
    <w:rsid w:val="00C8432E"/>
    <w:rsid w:val="00C84462"/>
    <w:rsid w:val="00C8449B"/>
    <w:rsid w:val="00C84510"/>
    <w:rsid w:val="00C8476F"/>
    <w:rsid w:val="00C8484A"/>
    <w:rsid w:val="00C8495E"/>
    <w:rsid w:val="00C849E9"/>
    <w:rsid w:val="00C84C15"/>
    <w:rsid w:val="00C84C64"/>
    <w:rsid w:val="00C84EDA"/>
    <w:rsid w:val="00C84EE5"/>
    <w:rsid w:val="00C84EF7"/>
    <w:rsid w:val="00C8507B"/>
    <w:rsid w:val="00C8529B"/>
    <w:rsid w:val="00C853AD"/>
    <w:rsid w:val="00C85466"/>
    <w:rsid w:val="00C85471"/>
    <w:rsid w:val="00C8555B"/>
    <w:rsid w:val="00C85917"/>
    <w:rsid w:val="00C85940"/>
    <w:rsid w:val="00C85A45"/>
    <w:rsid w:val="00C85CAE"/>
    <w:rsid w:val="00C85D15"/>
    <w:rsid w:val="00C85E72"/>
    <w:rsid w:val="00C861BB"/>
    <w:rsid w:val="00C86341"/>
    <w:rsid w:val="00C8634C"/>
    <w:rsid w:val="00C865BE"/>
    <w:rsid w:val="00C866CE"/>
    <w:rsid w:val="00C867B4"/>
    <w:rsid w:val="00C86B0E"/>
    <w:rsid w:val="00C86BD8"/>
    <w:rsid w:val="00C86C8B"/>
    <w:rsid w:val="00C86D49"/>
    <w:rsid w:val="00C86E65"/>
    <w:rsid w:val="00C86EA4"/>
    <w:rsid w:val="00C86F34"/>
    <w:rsid w:val="00C86FAD"/>
    <w:rsid w:val="00C871FF"/>
    <w:rsid w:val="00C8720C"/>
    <w:rsid w:val="00C8732E"/>
    <w:rsid w:val="00C873D1"/>
    <w:rsid w:val="00C873D7"/>
    <w:rsid w:val="00C87413"/>
    <w:rsid w:val="00C8774B"/>
    <w:rsid w:val="00C87812"/>
    <w:rsid w:val="00C878D0"/>
    <w:rsid w:val="00C87978"/>
    <w:rsid w:val="00C87B10"/>
    <w:rsid w:val="00C87C30"/>
    <w:rsid w:val="00C87CCF"/>
    <w:rsid w:val="00C87D10"/>
    <w:rsid w:val="00C87F8C"/>
    <w:rsid w:val="00C9003B"/>
    <w:rsid w:val="00C900E6"/>
    <w:rsid w:val="00C902DC"/>
    <w:rsid w:val="00C90484"/>
    <w:rsid w:val="00C90550"/>
    <w:rsid w:val="00C9079D"/>
    <w:rsid w:val="00C908FD"/>
    <w:rsid w:val="00C90A4D"/>
    <w:rsid w:val="00C90A9B"/>
    <w:rsid w:val="00C90D12"/>
    <w:rsid w:val="00C90E48"/>
    <w:rsid w:val="00C90E75"/>
    <w:rsid w:val="00C90FE4"/>
    <w:rsid w:val="00C91058"/>
    <w:rsid w:val="00C910D5"/>
    <w:rsid w:val="00C911E7"/>
    <w:rsid w:val="00C913CE"/>
    <w:rsid w:val="00C914F5"/>
    <w:rsid w:val="00C9161F"/>
    <w:rsid w:val="00C9187B"/>
    <w:rsid w:val="00C918A8"/>
    <w:rsid w:val="00C91954"/>
    <w:rsid w:val="00C919F9"/>
    <w:rsid w:val="00C91D45"/>
    <w:rsid w:val="00C91E7C"/>
    <w:rsid w:val="00C91ECE"/>
    <w:rsid w:val="00C921AA"/>
    <w:rsid w:val="00C925D7"/>
    <w:rsid w:val="00C92A5E"/>
    <w:rsid w:val="00C92AC9"/>
    <w:rsid w:val="00C92C75"/>
    <w:rsid w:val="00C92D1A"/>
    <w:rsid w:val="00C92FBD"/>
    <w:rsid w:val="00C93069"/>
    <w:rsid w:val="00C93133"/>
    <w:rsid w:val="00C93343"/>
    <w:rsid w:val="00C93398"/>
    <w:rsid w:val="00C93514"/>
    <w:rsid w:val="00C93555"/>
    <w:rsid w:val="00C93685"/>
    <w:rsid w:val="00C93788"/>
    <w:rsid w:val="00C9386A"/>
    <w:rsid w:val="00C93AC1"/>
    <w:rsid w:val="00C93AD8"/>
    <w:rsid w:val="00C93B70"/>
    <w:rsid w:val="00C93DCB"/>
    <w:rsid w:val="00C93E6D"/>
    <w:rsid w:val="00C93E8D"/>
    <w:rsid w:val="00C9426D"/>
    <w:rsid w:val="00C943EB"/>
    <w:rsid w:val="00C94476"/>
    <w:rsid w:val="00C9492F"/>
    <w:rsid w:val="00C94AF5"/>
    <w:rsid w:val="00C94C5E"/>
    <w:rsid w:val="00C94F4F"/>
    <w:rsid w:val="00C951C1"/>
    <w:rsid w:val="00C95291"/>
    <w:rsid w:val="00C956F4"/>
    <w:rsid w:val="00C95ADD"/>
    <w:rsid w:val="00C95E8E"/>
    <w:rsid w:val="00C95F4A"/>
    <w:rsid w:val="00C95F55"/>
    <w:rsid w:val="00C95F64"/>
    <w:rsid w:val="00C96015"/>
    <w:rsid w:val="00C96426"/>
    <w:rsid w:val="00C96727"/>
    <w:rsid w:val="00C96842"/>
    <w:rsid w:val="00C9687C"/>
    <w:rsid w:val="00C96AE9"/>
    <w:rsid w:val="00C96D7C"/>
    <w:rsid w:val="00C96D93"/>
    <w:rsid w:val="00C971F9"/>
    <w:rsid w:val="00C97287"/>
    <w:rsid w:val="00C9737E"/>
    <w:rsid w:val="00C97806"/>
    <w:rsid w:val="00C97888"/>
    <w:rsid w:val="00C978E9"/>
    <w:rsid w:val="00C97B3F"/>
    <w:rsid w:val="00C97D4F"/>
    <w:rsid w:val="00C97E0A"/>
    <w:rsid w:val="00C97FF7"/>
    <w:rsid w:val="00CA00A1"/>
    <w:rsid w:val="00CA0107"/>
    <w:rsid w:val="00CA0117"/>
    <w:rsid w:val="00CA018F"/>
    <w:rsid w:val="00CA027D"/>
    <w:rsid w:val="00CA0595"/>
    <w:rsid w:val="00CA0614"/>
    <w:rsid w:val="00CA062B"/>
    <w:rsid w:val="00CA06DB"/>
    <w:rsid w:val="00CA0700"/>
    <w:rsid w:val="00CA074A"/>
    <w:rsid w:val="00CA0822"/>
    <w:rsid w:val="00CA08CC"/>
    <w:rsid w:val="00CA0C38"/>
    <w:rsid w:val="00CA0D9B"/>
    <w:rsid w:val="00CA138A"/>
    <w:rsid w:val="00CA1466"/>
    <w:rsid w:val="00CA1519"/>
    <w:rsid w:val="00CA175E"/>
    <w:rsid w:val="00CA1A53"/>
    <w:rsid w:val="00CA1AE1"/>
    <w:rsid w:val="00CA1C61"/>
    <w:rsid w:val="00CA1E70"/>
    <w:rsid w:val="00CA1F12"/>
    <w:rsid w:val="00CA2024"/>
    <w:rsid w:val="00CA2050"/>
    <w:rsid w:val="00CA21C3"/>
    <w:rsid w:val="00CA2572"/>
    <w:rsid w:val="00CA2599"/>
    <w:rsid w:val="00CA2ADE"/>
    <w:rsid w:val="00CA2B95"/>
    <w:rsid w:val="00CA3012"/>
    <w:rsid w:val="00CA3167"/>
    <w:rsid w:val="00CA349E"/>
    <w:rsid w:val="00CA37D0"/>
    <w:rsid w:val="00CA3AE6"/>
    <w:rsid w:val="00CA3B42"/>
    <w:rsid w:val="00CA3CCA"/>
    <w:rsid w:val="00CA3DF5"/>
    <w:rsid w:val="00CA4246"/>
    <w:rsid w:val="00CA42BA"/>
    <w:rsid w:val="00CA46B8"/>
    <w:rsid w:val="00CA46EA"/>
    <w:rsid w:val="00CA4824"/>
    <w:rsid w:val="00CA48D3"/>
    <w:rsid w:val="00CA4917"/>
    <w:rsid w:val="00CA499A"/>
    <w:rsid w:val="00CA4C4D"/>
    <w:rsid w:val="00CA5047"/>
    <w:rsid w:val="00CA50DD"/>
    <w:rsid w:val="00CA51C8"/>
    <w:rsid w:val="00CA55CD"/>
    <w:rsid w:val="00CA587C"/>
    <w:rsid w:val="00CA59B0"/>
    <w:rsid w:val="00CA5B22"/>
    <w:rsid w:val="00CA5B2E"/>
    <w:rsid w:val="00CA5DA7"/>
    <w:rsid w:val="00CA5EA3"/>
    <w:rsid w:val="00CA5EC6"/>
    <w:rsid w:val="00CA5EFC"/>
    <w:rsid w:val="00CA6228"/>
    <w:rsid w:val="00CA6309"/>
    <w:rsid w:val="00CA66B0"/>
    <w:rsid w:val="00CA6810"/>
    <w:rsid w:val="00CA6897"/>
    <w:rsid w:val="00CA69BF"/>
    <w:rsid w:val="00CA6B6F"/>
    <w:rsid w:val="00CA71F2"/>
    <w:rsid w:val="00CA731F"/>
    <w:rsid w:val="00CA7364"/>
    <w:rsid w:val="00CA751C"/>
    <w:rsid w:val="00CA755D"/>
    <w:rsid w:val="00CA7749"/>
    <w:rsid w:val="00CA7D86"/>
    <w:rsid w:val="00CA7DAF"/>
    <w:rsid w:val="00CA7E54"/>
    <w:rsid w:val="00CB0001"/>
    <w:rsid w:val="00CB0290"/>
    <w:rsid w:val="00CB042F"/>
    <w:rsid w:val="00CB04C9"/>
    <w:rsid w:val="00CB05FD"/>
    <w:rsid w:val="00CB079B"/>
    <w:rsid w:val="00CB07BC"/>
    <w:rsid w:val="00CB07D8"/>
    <w:rsid w:val="00CB0A51"/>
    <w:rsid w:val="00CB0B46"/>
    <w:rsid w:val="00CB0B50"/>
    <w:rsid w:val="00CB0DDC"/>
    <w:rsid w:val="00CB0DE7"/>
    <w:rsid w:val="00CB0F0D"/>
    <w:rsid w:val="00CB0FCA"/>
    <w:rsid w:val="00CB1263"/>
    <w:rsid w:val="00CB1367"/>
    <w:rsid w:val="00CB1498"/>
    <w:rsid w:val="00CB184E"/>
    <w:rsid w:val="00CB18A8"/>
    <w:rsid w:val="00CB19BC"/>
    <w:rsid w:val="00CB1BCF"/>
    <w:rsid w:val="00CB20AC"/>
    <w:rsid w:val="00CB237E"/>
    <w:rsid w:val="00CB2549"/>
    <w:rsid w:val="00CB2576"/>
    <w:rsid w:val="00CB2981"/>
    <w:rsid w:val="00CB2A51"/>
    <w:rsid w:val="00CB2BDF"/>
    <w:rsid w:val="00CB2CAF"/>
    <w:rsid w:val="00CB2DD9"/>
    <w:rsid w:val="00CB2E82"/>
    <w:rsid w:val="00CB2EB1"/>
    <w:rsid w:val="00CB2F9B"/>
    <w:rsid w:val="00CB2FA4"/>
    <w:rsid w:val="00CB30FD"/>
    <w:rsid w:val="00CB31DF"/>
    <w:rsid w:val="00CB33AE"/>
    <w:rsid w:val="00CB3538"/>
    <w:rsid w:val="00CB38BB"/>
    <w:rsid w:val="00CB38E5"/>
    <w:rsid w:val="00CB39AF"/>
    <w:rsid w:val="00CB39D2"/>
    <w:rsid w:val="00CB39E0"/>
    <w:rsid w:val="00CB3B32"/>
    <w:rsid w:val="00CB3BCC"/>
    <w:rsid w:val="00CB3C86"/>
    <w:rsid w:val="00CB3D22"/>
    <w:rsid w:val="00CB3D41"/>
    <w:rsid w:val="00CB3E3D"/>
    <w:rsid w:val="00CB3F77"/>
    <w:rsid w:val="00CB41C5"/>
    <w:rsid w:val="00CB424D"/>
    <w:rsid w:val="00CB44B2"/>
    <w:rsid w:val="00CB4A86"/>
    <w:rsid w:val="00CB4B13"/>
    <w:rsid w:val="00CB4B92"/>
    <w:rsid w:val="00CB4D54"/>
    <w:rsid w:val="00CB4E19"/>
    <w:rsid w:val="00CB52E2"/>
    <w:rsid w:val="00CB52FD"/>
    <w:rsid w:val="00CB5639"/>
    <w:rsid w:val="00CB578A"/>
    <w:rsid w:val="00CB5A3A"/>
    <w:rsid w:val="00CB5BFD"/>
    <w:rsid w:val="00CB5C32"/>
    <w:rsid w:val="00CB5C55"/>
    <w:rsid w:val="00CB5D1C"/>
    <w:rsid w:val="00CB5D41"/>
    <w:rsid w:val="00CB5D92"/>
    <w:rsid w:val="00CB5D9E"/>
    <w:rsid w:val="00CB5E56"/>
    <w:rsid w:val="00CB5E65"/>
    <w:rsid w:val="00CB609F"/>
    <w:rsid w:val="00CB60B8"/>
    <w:rsid w:val="00CB6213"/>
    <w:rsid w:val="00CB6278"/>
    <w:rsid w:val="00CB6500"/>
    <w:rsid w:val="00CB650A"/>
    <w:rsid w:val="00CB654B"/>
    <w:rsid w:val="00CB65D2"/>
    <w:rsid w:val="00CB65E3"/>
    <w:rsid w:val="00CB66A4"/>
    <w:rsid w:val="00CB6B35"/>
    <w:rsid w:val="00CB6C0A"/>
    <w:rsid w:val="00CB6D04"/>
    <w:rsid w:val="00CB6D35"/>
    <w:rsid w:val="00CB7037"/>
    <w:rsid w:val="00CB7067"/>
    <w:rsid w:val="00CB7313"/>
    <w:rsid w:val="00CB756F"/>
    <w:rsid w:val="00CB76A1"/>
    <w:rsid w:val="00CB7A4E"/>
    <w:rsid w:val="00CB7A9E"/>
    <w:rsid w:val="00CB7B15"/>
    <w:rsid w:val="00CB7B8C"/>
    <w:rsid w:val="00CB7D6F"/>
    <w:rsid w:val="00CB7EC5"/>
    <w:rsid w:val="00CB7ED1"/>
    <w:rsid w:val="00CC0224"/>
    <w:rsid w:val="00CC0272"/>
    <w:rsid w:val="00CC02BF"/>
    <w:rsid w:val="00CC062E"/>
    <w:rsid w:val="00CC077B"/>
    <w:rsid w:val="00CC0789"/>
    <w:rsid w:val="00CC0D0B"/>
    <w:rsid w:val="00CC0E19"/>
    <w:rsid w:val="00CC0E33"/>
    <w:rsid w:val="00CC120A"/>
    <w:rsid w:val="00CC1535"/>
    <w:rsid w:val="00CC154F"/>
    <w:rsid w:val="00CC166E"/>
    <w:rsid w:val="00CC17F7"/>
    <w:rsid w:val="00CC197C"/>
    <w:rsid w:val="00CC1ADC"/>
    <w:rsid w:val="00CC1B4E"/>
    <w:rsid w:val="00CC1CA3"/>
    <w:rsid w:val="00CC1CB9"/>
    <w:rsid w:val="00CC1CBA"/>
    <w:rsid w:val="00CC1D57"/>
    <w:rsid w:val="00CC1D67"/>
    <w:rsid w:val="00CC1F36"/>
    <w:rsid w:val="00CC210E"/>
    <w:rsid w:val="00CC21D7"/>
    <w:rsid w:val="00CC23E7"/>
    <w:rsid w:val="00CC280B"/>
    <w:rsid w:val="00CC28A6"/>
    <w:rsid w:val="00CC2935"/>
    <w:rsid w:val="00CC2EA5"/>
    <w:rsid w:val="00CC3070"/>
    <w:rsid w:val="00CC3235"/>
    <w:rsid w:val="00CC3325"/>
    <w:rsid w:val="00CC3375"/>
    <w:rsid w:val="00CC33D8"/>
    <w:rsid w:val="00CC34D7"/>
    <w:rsid w:val="00CC350D"/>
    <w:rsid w:val="00CC35EC"/>
    <w:rsid w:val="00CC36B7"/>
    <w:rsid w:val="00CC36F0"/>
    <w:rsid w:val="00CC38A7"/>
    <w:rsid w:val="00CC39DA"/>
    <w:rsid w:val="00CC3A82"/>
    <w:rsid w:val="00CC3B0A"/>
    <w:rsid w:val="00CC3BB6"/>
    <w:rsid w:val="00CC3DAF"/>
    <w:rsid w:val="00CC3E92"/>
    <w:rsid w:val="00CC3F32"/>
    <w:rsid w:val="00CC407C"/>
    <w:rsid w:val="00CC41E1"/>
    <w:rsid w:val="00CC44BA"/>
    <w:rsid w:val="00CC4527"/>
    <w:rsid w:val="00CC47AB"/>
    <w:rsid w:val="00CC48CB"/>
    <w:rsid w:val="00CC49E1"/>
    <w:rsid w:val="00CC4BE6"/>
    <w:rsid w:val="00CC4C9E"/>
    <w:rsid w:val="00CC5034"/>
    <w:rsid w:val="00CC509E"/>
    <w:rsid w:val="00CC55EC"/>
    <w:rsid w:val="00CC55F1"/>
    <w:rsid w:val="00CC5699"/>
    <w:rsid w:val="00CC56A5"/>
    <w:rsid w:val="00CC5A2A"/>
    <w:rsid w:val="00CC5BBE"/>
    <w:rsid w:val="00CC6004"/>
    <w:rsid w:val="00CC6042"/>
    <w:rsid w:val="00CC6065"/>
    <w:rsid w:val="00CC61D0"/>
    <w:rsid w:val="00CC64BB"/>
    <w:rsid w:val="00CC6971"/>
    <w:rsid w:val="00CC69AA"/>
    <w:rsid w:val="00CC6AE6"/>
    <w:rsid w:val="00CC6C0A"/>
    <w:rsid w:val="00CC6D51"/>
    <w:rsid w:val="00CC703D"/>
    <w:rsid w:val="00CC72EB"/>
    <w:rsid w:val="00CC732F"/>
    <w:rsid w:val="00CC7384"/>
    <w:rsid w:val="00CC73EA"/>
    <w:rsid w:val="00CC7406"/>
    <w:rsid w:val="00CC74C2"/>
    <w:rsid w:val="00CC7536"/>
    <w:rsid w:val="00CC76C5"/>
    <w:rsid w:val="00CC781B"/>
    <w:rsid w:val="00CC7A4E"/>
    <w:rsid w:val="00CC7A70"/>
    <w:rsid w:val="00CC7AC8"/>
    <w:rsid w:val="00CC7B38"/>
    <w:rsid w:val="00CC7B59"/>
    <w:rsid w:val="00CC7CC8"/>
    <w:rsid w:val="00CC7EAE"/>
    <w:rsid w:val="00CD00CA"/>
    <w:rsid w:val="00CD0345"/>
    <w:rsid w:val="00CD0430"/>
    <w:rsid w:val="00CD04E7"/>
    <w:rsid w:val="00CD04EB"/>
    <w:rsid w:val="00CD063B"/>
    <w:rsid w:val="00CD065E"/>
    <w:rsid w:val="00CD06E1"/>
    <w:rsid w:val="00CD098C"/>
    <w:rsid w:val="00CD0B17"/>
    <w:rsid w:val="00CD0C3C"/>
    <w:rsid w:val="00CD0CC6"/>
    <w:rsid w:val="00CD0D23"/>
    <w:rsid w:val="00CD0D77"/>
    <w:rsid w:val="00CD0D93"/>
    <w:rsid w:val="00CD1114"/>
    <w:rsid w:val="00CD1231"/>
    <w:rsid w:val="00CD12FE"/>
    <w:rsid w:val="00CD1372"/>
    <w:rsid w:val="00CD1452"/>
    <w:rsid w:val="00CD14EB"/>
    <w:rsid w:val="00CD15EE"/>
    <w:rsid w:val="00CD165D"/>
    <w:rsid w:val="00CD165F"/>
    <w:rsid w:val="00CD171B"/>
    <w:rsid w:val="00CD18A2"/>
    <w:rsid w:val="00CD1B4E"/>
    <w:rsid w:val="00CD1B78"/>
    <w:rsid w:val="00CD1D12"/>
    <w:rsid w:val="00CD1ED8"/>
    <w:rsid w:val="00CD1EE6"/>
    <w:rsid w:val="00CD214B"/>
    <w:rsid w:val="00CD2291"/>
    <w:rsid w:val="00CD2298"/>
    <w:rsid w:val="00CD25FB"/>
    <w:rsid w:val="00CD2C4E"/>
    <w:rsid w:val="00CD2CD2"/>
    <w:rsid w:val="00CD2E7E"/>
    <w:rsid w:val="00CD2EC2"/>
    <w:rsid w:val="00CD2F12"/>
    <w:rsid w:val="00CD30F8"/>
    <w:rsid w:val="00CD3136"/>
    <w:rsid w:val="00CD31AF"/>
    <w:rsid w:val="00CD324C"/>
    <w:rsid w:val="00CD326C"/>
    <w:rsid w:val="00CD33E5"/>
    <w:rsid w:val="00CD36CD"/>
    <w:rsid w:val="00CD3892"/>
    <w:rsid w:val="00CD3C6C"/>
    <w:rsid w:val="00CD3E3C"/>
    <w:rsid w:val="00CD3FE6"/>
    <w:rsid w:val="00CD414B"/>
    <w:rsid w:val="00CD4204"/>
    <w:rsid w:val="00CD4365"/>
    <w:rsid w:val="00CD436F"/>
    <w:rsid w:val="00CD44D8"/>
    <w:rsid w:val="00CD4629"/>
    <w:rsid w:val="00CD46BE"/>
    <w:rsid w:val="00CD4728"/>
    <w:rsid w:val="00CD493B"/>
    <w:rsid w:val="00CD4987"/>
    <w:rsid w:val="00CD4B65"/>
    <w:rsid w:val="00CD4CA5"/>
    <w:rsid w:val="00CD4D8F"/>
    <w:rsid w:val="00CD4E32"/>
    <w:rsid w:val="00CD501B"/>
    <w:rsid w:val="00CD5034"/>
    <w:rsid w:val="00CD50D0"/>
    <w:rsid w:val="00CD5139"/>
    <w:rsid w:val="00CD526C"/>
    <w:rsid w:val="00CD5381"/>
    <w:rsid w:val="00CD58F9"/>
    <w:rsid w:val="00CD5AB4"/>
    <w:rsid w:val="00CD5C37"/>
    <w:rsid w:val="00CD5CE1"/>
    <w:rsid w:val="00CD5F87"/>
    <w:rsid w:val="00CD6138"/>
    <w:rsid w:val="00CD6347"/>
    <w:rsid w:val="00CD64DF"/>
    <w:rsid w:val="00CD6710"/>
    <w:rsid w:val="00CD6824"/>
    <w:rsid w:val="00CD68E5"/>
    <w:rsid w:val="00CD6A69"/>
    <w:rsid w:val="00CD6C0C"/>
    <w:rsid w:val="00CD73FF"/>
    <w:rsid w:val="00CD7434"/>
    <w:rsid w:val="00CD744B"/>
    <w:rsid w:val="00CD76AF"/>
    <w:rsid w:val="00CD7B09"/>
    <w:rsid w:val="00CD7D70"/>
    <w:rsid w:val="00CD7FC2"/>
    <w:rsid w:val="00CE016C"/>
    <w:rsid w:val="00CE0548"/>
    <w:rsid w:val="00CE06FE"/>
    <w:rsid w:val="00CE0764"/>
    <w:rsid w:val="00CE09F1"/>
    <w:rsid w:val="00CE0BDF"/>
    <w:rsid w:val="00CE0C4A"/>
    <w:rsid w:val="00CE0DA4"/>
    <w:rsid w:val="00CE0E24"/>
    <w:rsid w:val="00CE0E28"/>
    <w:rsid w:val="00CE0E4E"/>
    <w:rsid w:val="00CE0EB1"/>
    <w:rsid w:val="00CE0F8F"/>
    <w:rsid w:val="00CE1032"/>
    <w:rsid w:val="00CE10EC"/>
    <w:rsid w:val="00CE1137"/>
    <w:rsid w:val="00CE1185"/>
    <w:rsid w:val="00CE1360"/>
    <w:rsid w:val="00CE14B5"/>
    <w:rsid w:val="00CE15D5"/>
    <w:rsid w:val="00CE16C8"/>
    <w:rsid w:val="00CE18C3"/>
    <w:rsid w:val="00CE1CCF"/>
    <w:rsid w:val="00CE1CEA"/>
    <w:rsid w:val="00CE1CFC"/>
    <w:rsid w:val="00CE1E04"/>
    <w:rsid w:val="00CE1EA8"/>
    <w:rsid w:val="00CE211A"/>
    <w:rsid w:val="00CE220A"/>
    <w:rsid w:val="00CE244A"/>
    <w:rsid w:val="00CE256D"/>
    <w:rsid w:val="00CE2687"/>
    <w:rsid w:val="00CE26C7"/>
    <w:rsid w:val="00CE2BB9"/>
    <w:rsid w:val="00CE2DA5"/>
    <w:rsid w:val="00CE2E4B"/>
    <w:rsid w:val="00CE3004"/>
    <w:rsid w:val="00CE3177"/>
    <w:rsid w:val="00CE3350"/>
    <w:rsid w:val="00CE33A9"/>
    <w:rsid w:val="00CE33C5"/>
    <w:rsid w:val="00CE36C1"/>
    <w:rsid w:val="00CE375F"/>
    <w:rsid w:val="00CE3972"/>
    <w:rsid w:val="00CE3AE7"/>
    <w:rsid w:val="00CE3D9E"/>
    <w:rsid w:val="00CE3F4B"/>
    <w:rsid w:val="00CE3FCB"/>
    <w:rsid w:val="00CE40A8"/>
    <w:rsid w:val="00CE4274"/>
    <w:rsid w:val="00CE43EE"/>
    <w:rsid w:val="00CE472B"/>
    <w:rsid w:val="00CE47D4"/>
    <w:rsid w:val="00CE4826"/>
    <w:rsid w:val="00CE48E6"/>
    <w:rsid w:val="00CE49CD"/>
    <w:rsid w:val="00CE4CFA"/>
    <w:rsid w:val="00CE4DD4"/>
    <w:rsid w:val="00CE5079"/>
    <w:rsid w:val="00CE518A"/>
    <w:rsid w:val="00CE522E"/>
    <w:rsid w:val="00CE524C"/>
    <w:rsid w:val="00CE52A3"/>
    <w:rsid w:val="00CE53E2"/>
    <w:rsid w:val="00CE5494"/>
    <w:rsid w:val="00CE5633"/>
    <w:rsid w:val="00CE5655"/>
    <w:rsid w:val="00CE5888"/>
    <w:rsid w:val="00CE58B4"/>
    <w:rsid w:val="00CE5B4B"/>
    <w:rsid w:val="00CE5BE7"/>
    <w:rsid w:val="00CE5D8C"/>
    <w:rsid w:val="00CE5DC2"/>
    <w:rsid w:val="00CE619A"/>
    <w:rsid w:val="00CE6307"/>
    <w:rsid w:val="00CE64DD"/>
    <w:rsid w:val="00CE665E"/>
    <w:rsid w:val="00CE67B6"/>
    <w:rsid w:val="00CE6C9C"/>
    <w:rsid w:val="00CE6CFE"/>
    <w:rsid w:val="00CE6D1E"/>
    <w:rsid w:val="00CE6E78"/>
    <w:rsid w:val="00CE7065"/>
    <w:rsid w:val="00CE718B"/>
    <w:rsid w:val="00CE72C5"/>
    <w:rsid w:val="00CE731C"/>
    <w:rsid w:val="00CE7332"/>
    <w:rsid w:val="00CE7567"/>
    <w:rsid w:val="00CE769C"/>
    <w:rsid w:val="00CE7975"/>
    <w:rsid w:val="00CE79AC"/>
    <w:rsid w:val="00CE79CB"/>
    <w:rsid w:val="00CE7A45"/>
    <w:rsid w:val="00CE7B78"/>
    <w:rsid w:val="00CE7BFB"/>
    <w:rsid w:val="00CE7EA6"/>
    <w:rsid w:val="00CF005B"/>
    <w:rsid w:val="00CF0180"/>
    <w:rsid w:val="00CF01B4"/>
    <w:rsid w:val="00CF027F"/>
    <w:rsid w:val="00CF0774"/>
    <w:rsid w:val="00CF08EB"/>
    <w:rsid w:val="00CF0AD0"/>
    <w:rsid w:val="00CF0F94"/>
    <w:rsid w:val="00CF101D"/>
    <w:rsid w:val="00CF1067"/>
    <w:rsid w:val="00CF10F0"/>
    <w:rsid w:val="00CF1228"/>
    <w:rsid w:val="00CF15BD"/>
    <w:rsid w:val="00CF163D"/>
    <w:rsid w:val="00CF18F1"/>
    <w:rsid w:val="00CF1E94"/>
    <w:rsid w:val="00CF1FBC"/>
    <w:rsid w:val="00CF1FC1"/>
    <w:rsid w:val="00CF238E"/>
    <w:rsid w:val="00CF23D8"/>
    <w:rsid w:val="00CF2434"/>
    <w:rsid w:val="00CF2439"/>
    <w:rsid w:val="00CF2472"/>
    <w:rsid w:val="00CF2628"/>
    <w:rsid w:val="00CF262D"/>
    <w:rsid w:val="00CF268F"/>
    <w:rsid w:val="00CF29BA"/>
    <w:rsid w:val="00CF2AF9"/>
    <w:rsid w:val="00CF2D34"/>
    <w:rsid w:val="00CF2F23"/>
    <w:rsid w:val="00CF2F8B"/>
    <w:rsid w:val="00CF3047"/>
    <w:rsid w:val="00CF306D"/>
    <w:rsid w:val="00CF30D2"/>
    <w:rsid w:val="00CF34DF"/>
    <w:rsid w:val="00CF36E0"/>
    <w:rsid w:val="00CF3754"/>
    <w:rsid w:val="00CF37A5"/>
    <w:rsid w:val="00CF381B"/>
    <w:rsid w:val="00CF3859"/>
    <w:rsid w:val="00CF387A"/>
    <w:rsid w:val="00CF39E2"/>
    <w:rsid w:val="00CF3B2A"/>
    <w:rsid w:val="00CF3BA0"/>
    <w:rsid w:val="00CF3D7E"/>
    <w:rsid w:val="00CF3DB7"/>
    <w:rsid w:val="00CF3F13"/>
    <w:rsid w:val="00CF3F8A"/>
    <w:rsid w:val="00CF4087"/>
    <w:rsid w:val="00CF480D"/>
    <w:rsid w:val="00CF4902"/>
    <w:rsid w:val="00CF4906"/>
    <w:rsid w:val="00CF4910"/>
    <w:rsid w:val="00CF49A8"/>
    <w:rsid w:val="00CF4E39"/>
    <w:rsid w:val="00CF4FF4"/>
    <w:rsid w:val="00CF502E"/>
    <w:rsid w:val="00CF5064"/>
    <w:rsid w:val="00CF51EF"/>
    <w:rsid w:val="00CF538C"/>
    <w:rsid w:val="00CF5465"/>
    <w:rsid w:val="00CF5624"/>
    <w:rsid w:val="00CF5664"/>
    <w:rsid w:val="00CF57D4"/>
    <w:rsid w:val="00CF585C"/>
    <w:rsid w:val="00CF5A08"/>
    <w:rsid w:val="00CF5B82"/>
    <w:rsid w:val="00CF5C0E"/>
    <w:rsid w:val="00CF5E9C"/>
    <w:rsid w:val="00CF5E9E"/>
    <w:rsid w:val="00CF6101"/>
    <w:rsid w:val="00CF6146"/>
    <w:rsid w:val="00CF6350"/>
    <w:rsid w:val="00CF67D2"/>
    <w:rsid w:val="00CF682B"/>
    <w:rsid w:val="00CF68A1"/>
    <w:rsid w:val="00CF696D"/>
    <w:rsid w:val="00CF69BF"/>
    <w:rsid w:val="00CF6E3F"/>
    <w:rsid w:val="00CF7006"/>
    <w:rsid w:val="00CF7176"/>
    <w:rsid w:val="00CF7182"/>
    <w:rsid w:val="00CF71B6"/>
    <w:rsid w:val="00CF7482"/>
    <w:rsid w:val="00CF7494"/>
    <w:rsid w:val="00CF760F"/>
    <w:rsid w:val="00CF76CE"/>
    <w:rsid w:val="00CF7721"/>
    <w:rsid w:val="00CF7ABD"/>
    <w:rsid w:val="00CF7AEE"/>
    <w:rsid w:val="00CF7B5D"/>
    <w:rsid w:val="00CF7B9C"/>
    <w:rsid w:val="00CF7FE3"/>
    <w:rsid w:val="00D000C5"/>
    <w:rsid w:val="00D00164"/>
    <w:rsid w:val="00D0029A"/>
    <w:rsid w:val="00D0033E"/>
    <w:rsid w:val="00D00386"/>
    <w:rsid w:val="00D00538"/>
    <w:rsid w:val="00D00868"/>
    <w:rsid w:val="00D008EA"/>
    <w:rsid w:val="00D00957"/>
    <w:rsid w:val="00D009A5"/>
    <w:rsid w:val="00D00B9C"/>
    <w:rsid w:val="00D00C2F"/>
    <w:rsid w:val="00D00C35"/>
    <w:rsid w:val="00D00CC1"/>
    <w:rsid w:val="00D00CC4"/>
    <w:rsid w:val="00D00D37"/>
    <w:rsid w:val="00D00D84"/>
    <w:rsid w:val="00D00EC3"/>
    <w:rsid w:val="00D00ECA"/>
    <w:rsid w:val="00D01062"/>
    <w:rsid w:val="00D01089"/>
    <w:rsid w:val="00D0118F"/>
    <w:rsid w:val="00D0131B"/>
    <w:rsid w:val="00D01432"/>
    <w:rsid w:val="00D01462"/>
    <w:rsid w:val="00D014CB"/>
    <w:rsid w:val="00D01670"/>
    <w:rsid w:val="00D0174D"/>
    <w:rsid w:val="00D017D9"/>
    <w:rsid w:val="00D01889"/>
    <w:rsid w:val="00D0194F"/>
    <w:rsid w:val="00D01A2B"/>
    <w:rsid w:val="00D01D93"/>
    <w:rsid w:val="00D022B9"/>
    <w:rsid w:val="00D022DA"/>
    <w:rsid w:val="00D02369"/>
    <w:rsid w:val="00D024F7"/>
    <w:rsid w:val="00D02572"/>
    <w:rsid w:val="00D02A41"/>
    <w:rsid w:val="00D02B1B"/>
    <w:rsid w:val="00D02B75"/>
    <w:rsid w:val="00D030B9"/>
    <w:rsid w:val="00D03190"/>
    <w:rsid w:val="00D033F1"/>
    <w:rsid w:val="00D03480"/>
    <w:rsid w:val="00D034B4"/>
    <w:rsid w:val="00D034D3"/>
    <w:rsid w:val="00D034DC"/>
    <w:rsid w:val="00D03591"/>
    <w:rsid w:val="00D0391E"/>
    <w:rsid w:val="00D03B0A"/>
    <w:rsid w:val="00D03B5B"/>
    <w:rsid w:val="00D03BD0"/>
    <w:rsid w:val="00D03DD4"/>
    <w:rsid w:val="00D03F16"/>
    <w:rsid w:val="00D0415F"/>
    <w:rsid w:val="00D0425F"/>
    <w:rsid w:val="00D04854"/>
    <w:rsid w:val="00D048E2"/>
    <w:rsid w:val="00D0491F"/>
    <w:rsid w:val="00D0492F"/>
    <w:rsid w:val="00D04999"/>
    <w:rsid w:val="00D04A0E"/>
    <w:rsid w:val="00D04C51"/>
    <w:rsid w:val="00D04D26"/>
    <w:rsid w:val="00D04D4E"/>
    <w:rsid w:val="00D04F2B"/>
    <w:rsid w:val="00D05192"/>
    <w:rsid w:val="00D051CE"/>
    <w:rsid w:val="00D055D0"/>
    <w:rsid w:val="00D056A8"/>
    <w:rsid w:val="00D056EE"/>
    <w:rsid w:val="00D057A1"/>
    <w:rsid w:val="00D057B6"/>
    <w:rsid w:val="00D057E1"/>
    <w:rsid w:val="00D058AE"/>
    <w:rsid w:val="00D05C14"/>
    <w:rsid w:val="00D05C37"/>
    <w:rsid w:val="00D05C7C"/>
    <w:rsid w:val="00D05CC1"/>
    <w:rsid w:val="00D06226"/>
    <w:rsid w:val="00D062A5"/>
    <w:rsid w:val="00D0640B"/>
    <w:rsid w:val="00D065A2"/>
    <w:rsid w:val="00D0666B"/>
    <w:rsid w:val="00D06717"/>
    <w:rsid w:val="00D0675B"/>
    <w:rsid w:val="00D06766"/>
    <w:rsid w:val="00D06916"/>
    <w:rsid w:val="00D06BD7"/>
    <w:rsid w:val="00D06C39"/>
    <w:rsid w:val="00D06ED6"/>
    <w:rsid w:val="00D0711D"/>
    <w:rsid w:val="00D07539"/>
    <w:rsid w:val="00D07595"/>
    <w:rsid w:val="00D0779B"/>
    <w:rsid w:val="00D07880"/>
    <w:rsid w:val="00D07903"/>
    <w:rsid w:val="00D07A1B"/>
    <w:rsid w:val="00D07B27"/>
    <w:rsid w:val="00D07C6F"/>
    <w:rsid w:val="00D07D39"/>
    <w:rsid w:val="00D102BC"/>
    <w:rsid w:val="00D102F1"/>
    <w:rsid w:val="00D10340"/>
    <w:rsid w:val="00D1039A"/>
    <w:rsid w:val="00D10465"/>
    <w:rsid w:val="00D105FD"/>
    <w:rsid w:val="00D1065B"/>
    <w:rsid w:val="00D1066E"/>
    <w:rsid w:val="00D10882"/>
    <w:rsid w:val="00D10BD7"/>
    <w:rsid w:val="00D10CE1"/>
    <w:rsid w:val="00D11513"/>
    <w:rsid w:val="00D115D2"/>
    <w:rsid w:val="00D11626"/>
    <w:rsid w:val="00D11965"/>
    <w:rsid w:val="00D119CC"/>
    <w:rsid w:val="00D11ADE"/>
    <w:rsid w:val="00D11C12"/>
    <w:rsid w:val="00D11CB3"/>
    <w:rsid w:val="00D11F1C"/>
    <w:rsid w:val="00D11F62"/>
    <w:rsid w:val="00D11FFC"/>
    <w:rsid w:val="00D12079"/>
    <w:rsid w:val="00D12231"/>
    <w:rsid w:val="00D1236E"/>
    <w:rsid w:val="00D123AA"/>
    <w:rsid w:val="00D12446"/>
    <w:rsid w:val="00D12814"/>
    <w:rsid w:val="00D12A84"/>
    <w:rsid w:val="00D12B0A"/>
    <w:rsid w:val="00D1317C"/>
    <w:rsid w:val="00D13465"/>
    <w:rsid w:val="00D138F4"/>
    <w:rsid w:val="00D139C8"/>
    <w:rsid w:val="00D13DB7"/>
    <w:rsid w:val="00D14062"/>
    <w:rsid w:val="00D14315"/>
    <w:rsid w:val="00D1438C"/>
    <w:rsid w:val="00D1456B"/>
    <w:rsid w:val="00D145AC"/>
    <w:rsid w:val="00D14626"/>
    <w:rsid w:val="00D146C3"/>
    <w:rsid w:val="00D14704"/>
    <w:rsid w:val="00D147B5"/>
    <w:rsid w:val="00D14B50"/>
    <w:rsid w:val="00D14C08"/>
    <w:rsid w:val="00D14C3D"/>
    <w:rsid w:val="00D14E56"/>
    <w:rsid w:val="00D14F1C"/>
    <w:rsid w:val="00D14F53"/>
    <w:rsid w:val="00D1500D"/>
    <w:rsid w:val="00D150CD"/>
    <w:rsid w:val="00D150D6"/>
    <w:rsid w:val="00D151B9"/>
    <w:rsid w:val="00D152F5"/>
    <w:rsid w:val="00D15319"/>
    <w:rsid w:val="00D15439"/>
    <w:rsid w:val="00D15463"/>
    <w:rsid w:val="00D154F3"/>
    <w:rsid w:val="00D15537"/>
    <w:rsid w:val="00D155A1"/>
    <w:rsid w:val="00D156F2"/>
    <w:rsid w:val="00D1593B"/>
    <w:rsid w:val="00D15B82"/>
    <w:rsid w:val="00D15C67"/>
    <w:rsid w:val="00D15C72"/>
    <w:rsid w:val="00D15C88"/>
    <w:rsid w:val="00D15D48"/>
    <w:rsid w:val="00D160DE"/>
    <w:rsid w:val="00D16299"/>
    <w:rsid w:val="00D162BC"/>
    <w:rsid w:val="00D165AD"/>
    <w:rsid w:val="00D165F7"/>
    <w:rsid w:val="00D1685E"/>
    <w:rsid w:val="00D16B7B"/>
    <w:rsid w:val="00D16E1B"/>
    <w:rsid w:val="00D170D0"/>
    <w:rsid w:val="00D17338"/>
    <w:rsid w:val="00D173E3"/>
    <w:rsid w:val="00D17510"/>
    <w:rsid w:val="00D177A1"/>
    <w:rsid w:val="00D177C0"/>
    <w:rsid w:val="00D17846"/>
    <w:rsid w:val="00D17889"/>
    <w:rsid w:val="00D17900"/>
    <w:rsid w:val="00D17A1D"/>
    <w:rsid w:val="00D17B32"/>
    <w:rsid w:val="00D17B62"/>
    <w:rsid w:val="00D17FC1"/>
    <w:rsid w:val="00D20078"/>
    <w:rsid w:val="00D20188"/>
    <w:rsid w:val="00D20554"/>
    <w:rsid w:val="00D2066D"/>
    <w:rsid w:val="00D20A2A"/>
    <w:rsid w:val="00D20A5E"/>
    <w:rsid w:val="00D20AD6"/>
    <w:rsid w:val="00D20BCE"/>
    <w:rsid w:val="00D20D43"/>
    <w:rsid w:val="00D20E33"/>
    <w:rsid w:val="00D2100C"/>
    <w:rsid w:val="00D2108A"/>
    <w:rsid w:val="00D21272"/>
    <w:rsid w:val="00D213A6"/>
    <w:rsid w:val="00D21488"/>
    <w:rsid w:val="00D21504"/>
    <w:rsid w:val="00D21525"/>
    <w:rsid w:val="00D21A3A"/>
    <w:rsid w:val="00D21B68"/>
    <w:rsid w:val="00D21D2C"/>
    <w:rsid w:val="00D21DD0"/>
    <w:rsid w:val="00D223DB"/>
    <w:rsid w:val="00D22440"/>
    <w:rsid w:val="00D227CB"/>
    <w:rsid w:val="00D22926"/>
    <w:rsid w:val="00D22944"/>
    <w:rsid w:val="00D22981"/>
    <w:rsid w:val="00D22AC1"/>
    <w:rsid w:val="00D2302D"/>
    <w:rsid w:val="00D230CC"/>
    <w:rsid w:val="00D23113"/>
    <w:rsid w:val="00D235AF"/>
    <w:rsid w:val="00D23879"/>
    <w:rsid w:val="00D23950"/>
    <w:rsid w:val="00D23C3E"/>
    <w:rsid w:val="00D23C86"/>
    <w:rsid w:val="00D23CF4"/>
    <w:rsid w:val="00D23DA2"/>
    <w:rsid w:val="00D2407C"/>
    <w:rsid w:val="00D2417A"/>
    <w:rsid w:val="00D24374"/>
    <w:rsid w:val="00D243E8"/>
    <w:rsid w:val="00D245A9"/>
    <w:rsid w:val="00D24777"/>
    <w:rsid w:val="00D24779"/>
    <w:rsid w:val="00D24914"/>
    <w:rsid w:val="00D24942"/>
    <w:rsid w:val="00D24A51"/>
    <w:rsid w:val="00D24BF1"/>
    <w:rsid w:val="00D24C1D"/>
    <w:rsid w:val="00D24CFB"/>
    <w:rsid w:val="00D24D50"/>
    <w:rsid w:val="00D24EDE"/>
    <w:rsid w:val="00D24EFF"/>
    <w:rsid w:val="00D24F91"/>
    <w:rsid w:val="00D24FA3"/>
    <w:rsid w:val="00D25083"/>
    <w:rsid w:val="00D25422"/>
    <w:rsid w:val="00D259CF"/>
    <w:rsid w:val="00D25A04"/>
    <w:rsid w:val="00D25A58"/>
    <w:rsid w:val="00D25A70"/>
    <w:rsid w:val="00D25AB1"/>
    <w:rsid w:val="00D26074"/>
    <w:rsid w:val="00D26220"/>
    <w:rsid w:val="00D262D2"/>
    <w:rsid w:val="00D263A9"/>
    <w:rsid w:val="00D264B1"/>
    <w:rsid w:val="00D26A28"/>
    <w:rsid w:val="00D26A3A"/>
    <w:rsid w:val="00D26BF9"/>
    <w:rsid w:val="00D26E0E"/>
    <w:rsid w:val="00D26E9B"/>
    <w:rsid w:val="00D27078"/>
    <w:rsid w:val="00D271C4"/>
    <w:rsid w:val="00D2728B"/>
    <w:rsid w:val="00D2730C"/>
    <w:rsid w:val="00D275EE"/>
    <w:rsid w:val="00D2771C"/>
    <w:rsid w:val="00D277FE"/>
    <w:rsid w:val="00D27890"/>
    <w:rsid w:val="00D27C29"/>
    <w:rsid w:val="00D27C2A"/>
    <w:rsid w:val="00D27C93"/>
    <w:rsid w:val="00D27ED9"/>
    <w:rsid w:val="00D27FA9"/>
    <w:rsid w:val="00D3010E"/>
    <w:rsid w:val="00D303A6"/>
    <w:rsid w:val="00D30414"/>
    <w:rsid w:val="00D30626"/>
    <w:rsid w:val="00D30980"/>
    <w:rsid w:val="00D30D79"/>
    <w:rsid w:val="00D30DC5"/>
    <w:rsid w:val="00D30E0B"/>
    <w:rsid w:val="00D30E32"/>
    <w:rsid w:val="00D30F10"/>
    <w:rsid w:val="00D31037"/>
    <w:rsid w:val="00D310FF"/>
    <w:rsid w:val="00D3110D"/>
    <w:rsid w:val="00D31429"/>
    <w:rsid w:val="00D3177C"/>
    <w:rsid w:val="00D31933"/>
    <w:rsid w:val="00D31B4F"/>
    <w:rsid w:val="00D31B76"/>
    <w:rsid w:val="00D31D11"/>
    <w:rsid w:val="00D31D69"/>
    <w:rsid w:val="00D32189"/>
    <w:rsid w:val="00D32265"/>
    <w:rsid w:val="00D3255D"/>
    <w:rsid w:val="00D32568"/>
    <w:rsid w:val="00D3260C"/>
    <w:rsid w:val="00D326B5"/>
    <w:rsid w:val="00D3275B"/>
    <w:rsid w:val="00D32845"/>
    <w:rsid w:val="00D32848"/>
    <w:rsid w:val="00D32BFC"/>
    <w:rsid w:val="00D32FD8"/>
    <w:rsid w:val="00D332FC"/>
    <w:rsid w:val="00D33374"/>
    <w:rsid w:val="00D33401"/>
    <w:rsid w:val="00D336E3"/>
    <w:rsid w:val="00D33732"/>
    <w:rsid w:val="00D33869"/>
    <w:rsid w:val="00D339C1"/>
    <w:rsid w:val="00D33AD5"/>
    <w:rsid w:val="00D33AF0"/>
    <w:rsid w:val="00D33DA1"/>
    <w:rsid w:val="00D33FA8"/>
    <w:rsid w:val="00D33FAA"/>
    <w:rsid w:val="00D34117"/>
    <w:rsid w:val="00D341B6"/>
    <w:rsid w:val="00D342B2"/>
    <w:rsid w:val="00D34404"/>
    <w:rsid w:val="00D345CF"/>
    <w:rsid w:val="00D346B9"/>
    <w:rsid w:val="00D34843"/>
    <w:rsid w:val="00D348C9"/>
    <w:rsid w:val="00D34954"/>
    <w:rsid w:val="00D349DD"/>
    <w:rsid w:val="00D34AF9"/>
    <w:rsid w:val="00D34B99"/>
    <w:rsid w:val="00D34F77"/>
    <w:rsid w:val="00D34F92"/>
    <w:rsid w:val="00D34FD4"/>
    <w:rsid w:val="00D3500F"/>
    <w:rsid w:val="00D35076"/>
    <w:rsid w:val="00D35434"/>
    <w:rsid w:val="00D354A5"/>
    <w:rsid w:val="00D354C4"/>
    <w:rsid w:val="00D35729"/>
    <w:rsid w:val="00D3573C"/>
    <w:rsid w:val="00D35821"/>
    <w:rsid w:val="00D35870"/>
    <w:rsid w:val="00D35B27"/>
    <w:rsid w:val="00D35BA8"/>
    <w:rsid w:val="00D35CA4"/>
    <w:rsid w:val="00D35FD7"/>
    <w:rsid w:val="00D360A3"/>
    <w:rsid w:val="00D3613F"/>
    <w:rsid w:val="00D3618D"/>
    <w:rsid w:val="00D362F1"/>
    <w:rsid w:val="00D368B4"/>
    <w:rsid w:val="00D36915"/>
    <w:rsid w:val="00D36938"/>
    <w:rsid w:val="00D36B5D"/>
    <w:rsid w:val="00D36C76"/>
    <w:rsid w:val="00D36F22"/>
    <w:rsid w:val="00D36F2C"/>
    <w:rsid w:val="00D37086"/>
    <w:rsid w:val="00D371B3"/>
    <w:rsid w:val="00D3720A"/>
    <w:rsid w:val="00D37265"/>
    <w:rsid w:val="00D372D8"/>
    <w:rsid w:val="00D37448"/>
    <w:rsid w:val="00D37452"/>
    <w:rsid w:val="00D37535"/>
    <w:rsid w:val="00D376ED"/>
    <w:rsid w:val="00D37791"/>
    <w:rsid w:val="00D377FC"/>
    <w:rsid w:val="00D37845"/>
    <w:rsid w:val="00D3788C"/>
    <w:rsid w:val="00D379C7"/>
    <w:rsid w:val="00D379D7"/>
    <w:rsid w:val="00D37B28"/>
    <w:rsid w:val="00D37C6C"/>
    <w:rsid w:val="00D37DC7"/>
    <w:rsid w:val="00D37E8E"/>
    <w:rsid w:val="00D37F71"/>
    <w:rsid w:val="00D37FB8"/>
    <w:rsid w:val="00D4012E"/>
    <w:rsid w:val="00D40339"/>
    <w:rsid w:val="00D40358"/>
    <w:rsid w:val="00D40713"/>
    <w:rsid w:val="00D40741"/>
    <w:rsid w:val="00D4078E"/>
    <w:rsid w:val="00D4079C"/>
    <w:rsid w:val="00D4082C"/>
    <w:rsid w:val="00D40887"/>
    <w:rsid w:val="00D40A9E"/>
    <w:rsid w:val="00D40ADC"/>
    <w:rsid w:val="00D40AFA"/>
    <w:rsid w:val="00D40EDC"/>
    <w:rsid w:val="00D40F83"/>
    <w:rsid w:val="00D40F9B"/>
    <w:rsid w:val="00D4101E"/>
    <w:rsid w:val="00D410E4"/>
    <w:rsid w:val="00D41114"/>
    <w:rsid w:val="00D41324"/>
    <w:rsid w:val="00D41383"/>
    <w:rsid w:val="00D41622"/>
    <w:rsid w:val="00D417E4"/>
    <w:rsid w:val="00D4197F"/>
    <w:rsid w:val="00D41A8A"/>
    <w:rsid w:val="00D41AA6"/>
    <w:rsid w:val="00D41B70"/>
    <w:rsid w:val="00D41C9A"/>
    <w:rsid w:val="00D41CA2"/>
    <w:rsid w:val="00D41E4E"/>
    <w:rsid w:val="00D41F26"/>
    <w:rsid w:val="00D42051"/>
    <w:rsid w:val="00D4207C"/>
    <w:rsid w:val="00D421F5"/>
    <w:rsid w:val="00D4226D"/>
    <w:rsid w:val="00D4227A"/>
    <w:rsid w:val="00D423F2"/>
    <w:rsid w:val="00D4241C"/>
    <w:rsid w:val="00D4245D"/>
    <w:rsid w:val="00D425D4"/>
    <w:rsid w:val="00D4278B"/>
    <w:rsid w:val="00D42898"/>
    <w:rsid w:val="00D42A8E"/>
    <w:rsid w:val="00D42B67"/>
    <w:rsid w:val="00D42BAF"/>
    <w:rsid w:val="00D42C7A"/>
    <w:rsid w:val="00D42E3A"/>
    <w:rsid w:val="00D42E77"/>
    <w:rsid w:val="00D42F33"/>
    <w:rsid w:val="00D43232"/>
    <w:rsid w:val="00D432E7"/>
    <w:rsid w:val="00D43388"/>
    <w:rsid w:val="00D436DF"/>
    <w:rsid w:val="00D4372F"/>
    <w:rsid w:val="00D43963"/>
    <w:rsid w:val="00D43A08"/>
    <w:rsid w:val="00D43A19"/>
    <w:rsid w:val="00D43B9F"/>
    <w:rsid w:val="00D43BDB"/>
    <w:rsid w:val="00D43C1B"/>
    <w:rsid w:val="00D43EB1"/>
    <w:rsid w:val="00D44096"/>
    <w:rsid w:val="00D44230"/>
    <w:rsid w:val="00D443B2"/>
    <w:rsid w:val="00D44702"/>
    <w:rsid w:val="00D44B7B"/>
    <w:rsid w:val="00D44F63"/>
    <w:rsid w:val="00D450DC"/>
    <w:rsid w:val="00D45156"/>
    <w:rsid w:val="00D4521D"/>
    <w:rsid w:val="00D45239"/>
    <w:rsid w:val="00D45516"/>
    <w:rsid w:val="00D455BC"/>
    <w:rsid w:val="00D4561F"/>
    <w:rsid w:val="00D45656"/>
    <w:rsid w:val="00D4575D"/>
    <w:rsid w:val="00D459F0"/>
    <w:rsid w:val="00D45AB0"/>
    <w:rsid w:val="00D45AB9"/>
    <w:rsid w:val="00D45ADD"/>
    <w:rsid w:val="00D45B7F"/>
    <w:rsid w:val="00D45D4B"/>
    <w:rsid w:val="00D45DBC"/>
    <w:rsid w:val="00D45E04"/>
    <w:rsid w:val="00D45EA0"/>
    <w:rsid w:val="00D45F63"/>
    <w:rsid w:val="00D4601E"/>
    <w:rsid w:val="00D46198"/>
    <w:rsid w:val="00D46782"/>
    <w:rsid w:val="00D469B9"/>
    <w:rsid w:val="00D46A60"/>
    <w:rsid w:val="00D46A67"/>
    <w:rsid w:val="00D46B80"/>
    <w:rsid w:val="00D46B98"/>
    <w:rsid w:val="00D46E0C"/>
    <w:rsid w:val="00D46E6D"/>
    <w:rsid w:val="00D46F02"/>
    <w:rsid w:val="00D46F87"/>
    <w:rsid w:val="00D46FE9"/>
    <w:rsid w:val="00D4713D"/>
    <w:rsid w:val="00D4774C"/>
    <w:rsid w:val="00D47900"/>
    <w:rsid w:val="00D47BEA"/>
    <w:rsid w:val="00D47C82"/>
    <w:rsid w:val="00D47E4F"/>
    <w:rsid w:val="00D47F1D"/>
    <w:rsid w:val="00D50090"/>
    <w:rsid w:val="00D5018E"/>
    <w:rsid w:val="00D50220"/>
    <w:rsid w:val="00D5026F"/>
    <w:rsid w:val="00D502F6"/>
    <w:rsid w:val="00D5049A"/>
    <w:rsid w:val="00D50672"/>
    <w:rsid w:val="00D508E5"/>
    <w:rsid w:val="00D5098F"/>
    <w:rsid w:val="00D50A90"/>
    <w:rsid w:val="00D50D12"/>
    <w:rsid w:val="00D50EE7"/>
    <w:rsid w:val="00D51088"/>
    <w:rsid w:val="00D512F9"/>
    <w:rsid w:val="00D5138E"/>
    <w:rsid w:val="00D513C7"/>
    <w:rsid w:val="00D513DF"/>
    <w:rsid w:val="00D51405"/>
    <w:rsid w:val="00D515B7"/>
    <w:rsid w:val="00D51662"/>
    <w:rsid w:val="00D516CF"/>
    <w:rsid w:val="00D516DE"/>
    <w:rsid w:val="00D51BB9"/>
    <w:rsid w:val="00D52027"/>
    <w:rsid w:val="00D52074"/>
    <w:rsid w:val="00D521EC"/>
    <w:rsid w:val="00D5231D"/>
    <w:rsid w:val="00D52578"/>
    <w:rsid w:val="00D527E3"/>
    <w:rsid w:val="00D5282F"/>
    <w:rsid w:val="00D52870"/>
    <w:rsid w:val="00D52886"/>
    <w:rsid w:val="00D52ADE"/>
    <w:rsid w:val="00D52DA6"/>
    <w:rsid w:val="00D52DF9"/>
    <w:rsid w:val="00D52F00"/>
    <w:rsid w:val="00D53029"/>
    <w:rsid w:val="00D5331B"/>
    <w:rsid w:val="00D537AD"/>
    <w:rsid w:val="00D537CF"/>
    <w:rsid w:val="00D5395E"/>
    <w:rsid w:val="00D53C0D"/>
    <w:rsid w:val="00D53C22"/>
    <w:rsid w:val="00D53D6A"/>
    <w:rsid w:val="00D54082"/>
    <w:rsid w:val="00D541C2"/>
    <w:rsid w:val="00D543CB"/>
    <w:rsid w:val="00D544F0"/>
    <w:rsid w:val="00D54599"/>
    <w:rsid w:val="00D546ED"/>
    <w:rsid w:val="00D54776"/>
    <w:rsid w:val="00D549F9"/>
    <w:rsid w:val="00D54C1D"/>
    <w:rsid w:val="00D54C8D"/>
    <w:rsid w:val="00D54CF8"/>
    <w:rsid w:val="00D54D05"/>
    <w:rsid w:val="00D54E2B"/>
    <w:rsid w:val="00D54E6F"/>
    <w:rsid w:val="00D54FAD"/>
    <w:rsid w:val="00D55219"/>
    <w:rsid w:val="00D55518"/>
    <w:rsid w:val="00D55680"/>
    <w:rsid w:val="00D55878"/>
    <w:rsid w:val="00D559BC"/>
    <w:rsid w:val="00D55A40"/>
    <w:rsid w:val="00D55CCF"/>
    <w:rsid w:val="00D55DC1"/>
    <w:rsid w:val="00D55F9E"/>
    <w:rsid w:val="00D55FCA"/>
    <w:rsid w:val="00D56024"/>
    <w:rsid w:val="00D5658E"/>
    <w:rsid w:val="00D5691E"/>
    <w:rsid w:val="00D56A39"/>
    <w:rsid w:val="00D56B2A"/>
    <w:rsid w:val="00D56B38"/>
    <w:rsid w:val="00D56DA9"/>
    <w:rsid w:val="00D56F1F"/>
    <w:rsid w:val="00D56F4B"/>
    <w:rsid w:val="00D57140"/>
    <w:rsid w:val="00D57262"/>
    <w:rsid w:val="00D5729E"/>
    <w:rsid w:val="00D573F9"/>
    <w:rsid w:val="00D574BF"/>
    <w:rsid w:val="00D57531"/>
    <w:rsid w:val="00D57586"/>
    <w:rsid w:val="00D57653"/>
    <w:rsid w:val="00D576D7"/>
    <w:rsid w:val="00D576F9"/>
    <w:rsid w:val="00D578B0"/>
    <w:rsid w:val="00D57B16"/>
    <w:rsid w:val="00D57BA9"/>
    <w:rsid w:val="00D57BDF"/>
    <w:rsid w:val="00D57C7A"/>
    <w:rsid w:val="00D57C85"/>
    <w:rsid w:val="00D57D7F"/>
    <w:rsid w:val="00D57F65"/>
    <w:rsid w:val="00D57F7F"/>
    <w:rsid w:val="00D57F85"/>
    <w:rsid w:val="00D57F9E"/>
    <w:rsid w:val="00D600A8"/>
    <w:rsid w:val="00D60102"/>
    <w:rsid w:val="00D60119"/>
    <w:rsid w:val="00D60344"/>
    <w:rsid w:val="00D603A4"/>
    <w:rsid w:val="00D60508"/>
    <w:rsid w:val="00D60575"/>
    <w:rsid w:val="00D605F5"/>
    <w:rsid w:val="00D606F8"/>
    <w:rsid w:val="00D6076F"/>
    <w:rsid w:val="00D609D0"/>
    <w:rsid w:val="00D60A55"/>
    <w:rsid w:val="00D60A5E"/>
    <w:rsid w:val="00D60EC6"/>
    <w:rsid w:val="00D610AB"/>
    <w:rsid w:val="00D61114"/>
    <w:rsid w:val="00D611FD"/>
    <w:rsid w:val="00D612A3"/>
    <w:rsid w:val="00D612D6"/>
    <w:rsid w:val="00D6134D"/>
    <w:rsid w:val="00D6155B"/>
    <w:rsid w:val="00D6162E"/>
    <w:rsid w:val="00D6175F"/>
    <w:rsid w:val="00D617A7"/>
    <w:rsid w:val="00D618BF"/>
    <w:rsid w:val="00D618FC"/>
    <w:rsid w:val="00D61AF5"/>
    <w:rsid w:val="00D61B54"/>
    <w:rsid w:val="00D61B6C"/>
    <w:rsid w:val="00D61B9E"/>
    <w:rsid w:val="00D61C5B"/>
    <w:rsid w:val="00D61CEF"/>
    <w:rsid w:val="00D61ED4"/>
    <w:rsid w:val="00D61F6D"/>
    <w:rsid w:val="00D61F78"/>
    <w:rsid w:val="00D62004"/>
    <w:rsid w:val="00D620A5"/>
    <w:rsid w:val="00D62266"/>
    <w:rsid w:val="00D6232A"/>
    <w:rsid w:val="00D623D7"/>
    <w:rsid w:val="00D623E1"/>
    <w:rsid w:val="00D6240E"/>
    <w:rsid w:val="00D6267C"/>
    <w:rsid w:val="00D626F0"/>
    <w:rsid w:val="00D62826"/>
    <w:rsid w:val="00D62916"/>
    <w:rsid w:val="00D62A2D"/>
    <w:rsid w:val="00D62E04"/>
    <w:rsid w:val="00D62F00"/>
    <w:rsid w:val="00D62F6B"/>
    <w:rsid w:val="00D62FB9"/>
    <w:rsid w:val="00D631EA"/>
    <w:rsid w:val="00D63394"/>
    <w:rsid w:val="00D633C7"/>
    <w:rsid w:val="00D6341A"/>
    <w:rsid w:val="00D6348F"/>
    <w:rsid w:val="00D635C5"/>
    <w:rsid w:val="00D6360E"/>
    <w:rsid w:val="00D63A15"/>
    <w:rsid w:val="00D63A23"/>
    <w:rsid w:val="00D63AC8"/>
    <w:rsid w:val="00D63E2E"/>
    <w:rsid w:val="00D640AD"/>
    <w:rsid w:val="00D6434D"/>
    <w:rsid w:val="00D6435C"/>
    <w:rsid w:val="00D64364"/>
    <w:rsid w:val="00D644F8"/>
    <w:rsid w:val="00D64514"/>
    <w:rsid w:val="00D645CA"/>
    <w:rsid w:val="00D645D5"/>
    <w:rsid w:val="00D646FC"/>
    <w:rsid w:val="00D6470E"/>
    <w:rsid w:val="00D647EA"/>
    <w:rsid w:val="00D64958"/>
    <w:rsid w:val="00D649D7"/>
    <w:rsid w:val="00D64A68"/>
    <w:rsid w:val="00D64BAF"/>
    <w:rsid w:val="00D64BD5"/>
    <w:rsid w:val="00D64CDF"/>
    <w:rsid w:val="00D64FE2"/>
    <w:rsid w:val="00D64FFA"/>
    <w:rsid w:val="00D650DF"/>
    <w:rsid w:val="00D650F9"/>
    <w:rsid w:val="00D6515E"/>
    <w:rsid w:val="00D651AA"/>
    <w:rsid w:val="00D651FA"/>
    <w:rsid w:val="00D6528E"/>
    <w:rsid w:val="00D6536C"/>
    <w:rsid w:val="00D6570B"/>
    <w:rsid w:val="00D65769"/>
    <w:rsid w:val="00D65C40"/>
    <w:rsid w:val="00D65DAE"/>
    <w:rsid w:val="00D65E8F"/>
    <w:rsid w:val="00D66057"/>
    <w:rsid w:val="00D66253"/>
    <w:rsid w:val="00D663CA"/>
    <w:rsid w:val="00D66461"/>
    <w:rsid w:val="00D66572"/>
    <w:rsid w:val="00D6696E"/>
    <w:rsid w:val="00D6698F"/>
    <w:rsid w:val="00D66A8F"/>
    <w:rsid w:val="00D66AF8"/>
    <w:rsid w:val="00D66B93"/>
    <w:rsid w:val="00D66CB2"/>
    <w:rsid w:val="00D66CC8"/>
    <w:rsid w:val="00D66F71"/>
    <w:rsid w:val="00D66FE1"/>
    <w:rsid w:val="00D672C6"/>
    <w:rsid w:val="00D67797"/>
    <w:rsid w:val="00D6788C"/>
    <w:rsid w:val="00D678DA"/>
    <w:rsid w:val="00D67C1F"/>
    <w:rsid w:val="00D67C5D"/>
    <w:rsid w:val="00D67CA0"/>
    <w:rsid w:val="00D67D30"/>
    <w:rsid w:val="00D67FE5"/>
    <w:rsid w:val="00D703D0"/>
    <w:rsid w:val="00D704B3"/>
    <w:rsid w:val="00D70803"/>
    <w:rsid w:val="00D70BEA"/>
    <w:rsid w:val="00D70C87"/>
    <w:rsid w:val="00D70E96"/>
    <w:rsid w:val="00D70F22"/>
    <w:rsid w:val="00D711AC"/>
    <w:rsid w:val="00D7133A"/>
    <w:rsid w:val="00D714AE"/>
    <w:rsid w:val="00D71511"/>
    <w:rsid w:val="00D7166A"/>
    <w:rsid w:val="00D71859"/>
    <w:rsid w:val="00D71A14"/>
    <w:rsid w:val="00D71A45"/>
    <w:rsid w:val="00D71DAA"/>
    <w:rsid w:val="00D71E45"/>
    <w:rsid w:val="00D71EA0"/>
    <w:rsid w:val="00D71EC2"/>
    <w:rsid w:val="00D7229C"/>
    <w:rsid w:val="00D722B0"/>
    <w:rsid w:val="00D72667"/>
    <w:rsid w:val="00D72772"/>
    <w:rsid w:val="00D727A7"/>
    <w:rsid w:val="00D728D0"/>
    <w:rsid w:val="00D72A30"/>
    <w:rsid w:val="00D72AD6"/>
    <w:rsid w:val="00D72AE2"/>
    <w:rsid w:val="00D72C09"/>
    <w:rsid w:val="00D72D58"/>
    <w:rsid w:val="00D72D89"/>
    <w:rsid w:val="00D72DDD"/>
    <w:rsid w:val="00D72EDC"/>
    <w:rsid w:val="00D72F97"/>
    <w:rsid w:val="00D72FB3"/>
    <w:rsid w:val="00D730C5"/>
    <w:rsid w:val="00D73209"/>
    <w:rsid w:val="00D73260"/>
    <w:rsid w:val="00D73412"/>
    <w:rsid w:val="00D73539"/>
    <w:rsid w:val="00D73589"/>
    <w:rsid w:val="00D7361C"/>
    <w:rsid w:val="00D73805"/>
    <w:rsid w:val="00D73955"/>
    <w:rsid w:val="00D73AF3"/>
    <w:rsid w:val="00D73CA6"/>
    <w:rsid w:val="00D73ED2"/>
    <w:rsid w:val="00D74135"/>
    <w:rsid w:val="00D7425D"/>
    <w:rsid w:val="00D743E3"/>
    <w:rsid w:val="00D745E3"/>
    <w:rsid w:val="00D7460B"/>
    <w:rsid w:val="00D74643"/>
    <w:rsid w:val="00D746E0"/>
    <w:rsid w:val="00D74748"/>
    <w:rsid w:val="00D74867"/>
    <w:rsid w:val="00D74994"/>
    <w:rsid w:val="00D74BF9"/>
    <w:rsid w:val="00D74E49"/>
    <w:rsid w:val="00D757F6"/>
    <w:rsid w:val="00D75A3E"/>
    <w:rsid w:val="00D75C18"/>
    <w:rsid w:val="00D75C3C"/>
    <w:rsid w:val="00D75CD1"/>
    <w:rsid w:val="00D75D16"/>
    <w:rsid w:val="00D75D8A"/>
    <w:rsid w:val="00D75DB3"/>
    <w:rsid w:val="00D75F91"/>
    <w:rsid w:val="00D76285"/>
    <w:rsid w:val="00D76330"/>
    <w:rsid w:val="00D7645F"/>
    <w:rsid w:val="00D764D7"/>
    <w:rsid w:val="00D76609"/>
    <w:rsid w:val="00D76638"/>
    <w:rsid w:val="00D76645"/>
    <w:rsid w:val="00D7667C"/>
    <w:rsid w:val="00D76854"/>
    <w:rsid w:val="00D7687B"/>
    <w:rsid w:val="00D769A0"/>
    <w:rsid w:val="00D76ABD"/>
    <w:rsid w:val="00D76BC9"/>
    <w:rsid w:val="00D76CD7"/>
    <w:rsid w:val="00D76F8C"/>
    <w:rsid w:val="00D76FB3"/>
    <w:rsid w:val="00D7703D"/>
    <w:rsid w:val="00D7718B"/>
    <w:rsid w:val="00D772F3"/>
    <w:rsid w:val="00D7750E"/>
    <w:rsid w:val="00D7767E"/>
    <w:rsid w:val="00D776BE"/>
    <w:rsid w:val="00D77710"/>
    <w:rsid w:val="00D777C2"/>
    <w:rsid w:val="00D7784F"/>
    <w:rsid w:val="00D7786E"/>
    <w:rsid w:val="00D77978"/>
    <w:rsid w:val="00D77B4C"/>
    <w:rsid w:val="00D77BB3"/>
    <w:rsid w:val="00D8013D"/>
    <w:rsid w:val="00D8020F"/>
    <w:rsid w:val="00D8027A"/>
    <w:rsid w:val="00D802FF"/>
    <w:rsid w:val="00D804BE"/>
    <w:rsid w:val="00D80715"/>
    <w:rsid w:val="00D8074B"/>
    <w:rsid w:val="00D807EB"/>
    <w:rsid w:val="00D8081D"/>
    <w:rsid w:val="00D8082B"/>
    <w:rsid w:val="00D80847"/>
    <w:rsid w:val="00D80DF7"/>
    <w:rsid w:val="00D80F28"/>
    <w:rsid w:val="00D80F74"/>
    <w:rsid w:val="00D810B0"/>
    <w:rsid w:val="00D81174"/>
    <w:rsid w:val="00D81200"/>
    <w:rsid w:val="00D81522"/>
    <w:rsid w:val="00D81858"/>
    <w:rsid w:val="00D81B8B"/>
    <w:rsid w:val="00D81C3E"/>
    <w:rsid w:val="00D81D77"/>
    <w:rsid w:val="00D81E0C"/>
    <w:rsid w:val="00D81F7D"/>
    <w:rsid w:val="00D82101"/>
    <w:rsid w:val="00D821C6"/>
    <w:rsid w:val="00D8234B"/>
    <w:rsid w:val="00D823DB"/>
    <w:rsid w:val="00D82526"/>
    <w:rsid w:val="00D82566"/>
    <w:rsid w:val="00D82861"/>
    <w:rsid w:val="00D82922"/>
    <w:rsid w:val="00D82925"/>
    <w:rsid w:val="00D82B07"/>
    <w:rsid w:val="00D82B0F"/>
    <w:rsid w:val="00D82D8F"/>
    <w:rsid w:val="00D83020"/>
    <w:rsid w:val="00D8306D"/>
    <w:rsid w:val="00D83267"/>
    <w:rsid w:val="00D83285"/>
    <w:rsid w:val="00D8368F"/>
    <w:rsid w:val="00D8370E"/>
    <w:rsid w:val="00D83C9F"/>
    <w:rsid w:val="00D83E95"/>
    <w:rsid w:val="00D840E2"/>
    <w:rsid w:val="00D84438"/>
    <w:rsid w:val="00D84645"/>
    <w:rsid w:val="00D847D7"/>
    <w:rsid w:val="00D84A9F"/>
    <w:rsid w:val="00D84D33"/>
    <w:rsid w:val="00D84E0C"/>
    <w:rsid w:val="00D84E13"/>
    <w:rsid w:val="00D84E73"/>
    <w:rsid w:val="00D84E96"/>
    <w:rsid w:val="00D850A3"/>
    <w:rsid w:val="00D8530C"/>
    <w:rsid w:val="00D8530D"/>
    <w:rsid w:val="00D853AA"/>
    <w:rsid w:val="00D85420"/>
    <w:rsid w:val="00D854B8"/>
    <w:rsid w:val="00D8562B"/>
    <w:rsid w:val="00D85707"/>
    <w:rsid w:val="00D85C30"/>
    <w:rsid w:val="00D85CC9"/>
    <w:rsid w:val="00D85D20"/>
    <w:rsid w:val="00D85EF5"/>
    <w:rsid w:val="00D85F68"/>
    <w:rsid w:val="00D86073"/>
    <w:rsid w:val="00D860B1"/>
    <w:rsid w:val="00D860CF"/>
    <w:rsid w:val="00D86236"/>
    <w:rsid w:val="00D863DC"/>
    <w:rsid w:val="00D866A3"/>
    <w:rsid w:val="00D866D0"/>
    <w:rsid w:val="00D8671F"/>
    <w:rsid w:val="00D867C5"/>
    <w:rsid w:val="00D867C7"/>
    <w:rsid w:val="00D867D6"/>
    <w:rsid w:val="00D86879"/>
    <w:rsid w:val="00D869B3"/>
    <w:rsid w:val="00D86AA7"/>
    <w:rsid w:val="00D86B4A"/>
    <w:rsid w:val="00D86D8A"/>
    <w:rsid w:val="00D86DE7"/>
    <w:rsid w:val="00D8735F"/>
    <w:rsid w:val="00D874D0"/>
    <w:rsid w:val="00D874E5"/>
    <w:rsid w:val="00D879B0"/>
    <w:rsid w:val="00D87DE3"/>
    <w:rsid w:val="00D87FB9"/>
    <w:rsid w:val="00D90007"/>
    <w:rsid w:val="00D902A9"/>
    <w:rsid w:val="00D90591"/>
    <w:rsid w:val="00D90693"/>
    <w:rsid w:val="00D90ACA"/>
    <w:rsid w:val="00D90B2B"/>
    <w:rsid w:val="00D90B44"/>
    <w:rsid w:val="00D90B93"/>
    <w:rsid w:val="00D90C5C"/>
    <w:rsid w:val="00D90D4B"/>
    <w:rsid w:val="00D90DA5"/>
    <w:rsid w:val="00D90E87"/>
    <w:rsid w:val="00D90FB3"/>
    <w:rsid w:val="00D911D1"/>
    <w:rsid w:val="00D9122C"/>
    <w:rsid w:val="00D91554"/>
    <w:rsid w:val="00D9189C"/>
    <w:rsid w:val="00D91A20"/>
    <w:rsid w:val="00D91B25"/>
    <w:rsid w:val="00D91C83"/>
    <w:rsid w:val="00D91CFB"/>
    <w:rsid w:val="00D91DB2"/>
    <w:rsid w:val="00D91EEF"/>
    <w:rsid w:val="00D91FCF"/>
    <w:rsid w:val="00D92027"/>
    <w:rsid w:val="00D92141"/>
    <w:rsid w:val="00D92192"/>
    <w:rsid w:val="00D925D1"/>
    <w:rsid w:val="00D926FE"/>
    <w:rsid w:val="00D927E5"/>
    <w:rsid w:val="00D92978"/>
    <w:rsid w:val="00D92D01"/>
    <w:rsid w:val="00D92DCF"/>
    <w:rsid w:val="00D931BA"/>
    <w:rsid w:val="00D9326A"/>
    <w:rsid w:val="00D93318"/>
    <w:rsid w:val="00D9346A"/>
    <w:rsid w:val="00D934A1"/>
    <w:rsid w:val="00D934BF"/>
    <w:rsid w:val="00D93797"/>
    <w:rsid w:val="00D9383E"/>
    <w:rsid w:val="00D9384A"/>
    <w:rsid w:val="00D93C83"/>
    <w:rsid w:val="00D93E3C"/>
    <w:rsid w:val="00D93F9A"/>
    <w:rsid w:val="00D93FF8"/>
    <w:rsid w:val="00D9404A"/>
    <w:rsid w:val="00D942F3"/>
    <w:rsid w:val="00D944AE"/>
    <w:rsid w:val="00D944C4"/>
    <w:rsid w:val="00D9458B"/>
    <w:rsid w:val="00D9468B"/>
    <w:rsid w:val="00D946B6"/>
    <w:rsid w:val="00D94AD9"/>
    <w:rsid w:val="00D94BC4"/>
    <w:rsid w:val="00D94E4B"/>
    <w:rsid w:val="00D94FD8"/>
    <w:rsid w:val="00D950C9"/>
    <w:rsid w:val="00D95274"/>
    <w:rsid w:val="00D95354"/>
    <w:rsid w:val="00D9550D"/>
    <w:rsid w:val="00D9558B"/>
    <w:rsid w:val="00D955F0"/>
    <w:rsid w:val="00D9566D"/>
    <w:rsid w:val="00D956AC"/>
    <w:rsid w:val="00D957E6"/>
    <w:rsid w:val="00D95A31"/>
    <w:rsid w:val="00D95C2C"/>
    <w:rsid w:val="00D95C81"/>
    <w:rsid w:val="00D95D35"/>
    <w:rsid w:val="00D95F54"/>
    <w:rsid w:val="00D95F93"/>
    <w:rsid w:val="00D96211"/>
    <w:rsid w:val="00D962AC"/>
    <w:rsid w:val="00D96331"/>
    <w:rsid w:val="00D963A5"/>
    <w:rsid w:val="00D965A9"/>
    <w:rsid w:val="00D965FF"/>
    <w:rsid w:val="00D96722"/>
    <w:rsid w:val="00D967AA"/>
    <w:rsid w:val="00D96AFD"/>
    <w:rsid w:val="00D96AFF"/>
    <w:rsid w:val="00D96B49"/>
    <w:rsid w:val="00D96BE4"/>
    <w:rsid w:val="00D96D4F"/>
    <w:rsid w:val="00D96E7A"/>
    <w:rsid w:val="00D96F2C"/>
    <w:rsid w:val="00D970D4"/>
    <w:rsid w:val="00D9711A"/>
    <w:rsid w:val="00D97240"/>
    <w:rsid w:val="00D9726E"/>
    <w:rsid w:val="00D974ED"/>
    <w:rsid w:val="00D974F1"/>
    <w:rsid w:val="00D97511"/>
    <w:rsid w:val="00D97684"/>
    <w:rsid w:val="00D9769A"/>
    <w:rsid w:val="00D976EE"/>
    <w:rsid w:val="00D97708"/>
    <w:rsid w:val="00D977CA"/>
    <w:rsid w:val="00D97845"/>
    <w:rsid w:val="00D979B8"/>
    <w:rsid w:val="00D97A3E"/>
    <w:rsid w:val="00D97A67"/>
    <w:rsid w:val="00D97ADB"/>
    <w:rsid w:val="00D97AF4"/>
    <w:rsid w:val="00D97B3E"/>
    <w:rsid w:val="00D97BB7"/>
    <w:rsid w:val="00D97CF9"/>
    <w:rsid w:val="00D97F78"/>
    <w:rsid w:val="00D97F82"/>
    <w:rsid w:val="00D97F91"/>
    <w:rsid w:val="00D97F93"/>
    <w:rsid w:val="00DA003D"/>
    <w:rsid w:val="00DA00DB"/>
    <w:rsid w:val="00DA021F"/>
    <w:rsid w:val="00DA04B4"/>
    <w:rsid w:val="00DA0687"/>
    <w:rsid w:val="00DA06CF"/>
    <w:rsid w:val="00DA0907"/>
    <w:rsid w:val="00DA09B3"/>
    <w:rsid w:val="00DA0A17"/>
    <w:rsid w:val="00DA0A32"/>
    <w:rsid w:val="00DA0B3C"/>
    <w:rsid w:val="00DA0C53"/>
    <w:rsid w:val="00DA0C6D"/>
    <w:rsid w:val="00DA0C6F"/>
    <w:rsid w:val="00DA0CB1"/>
    <w:rsid w:val="00DA0CE0"/>
    <w:rsid w:val="00DA0CFB"/>
    <w:rsid w:val="00DA0D1F"/>
    <w:rsid w:val="00DA0D53"/>
    <w:rsid w:val="00DA0D64"/>
    <w:rsid w:val="00DA0EFD"/>
    <w:rsid w:val="00DA14C5"/>
    <w:rsid w:val="00DA14E5"/>
    <w:rsid w:val="00DA16DE"/>
    <w:rsid w:val="00DA16EF"/>
    <w:rsid w:val="00DA18A4"/>
    <w:rsid w:val="00DA19E9"/>
    <w:rsid w:val="00DA1A14"/>
    <w:rsid w:val="00DA1CBF"/>
    <w:rsid w:val="00DA1CCA"/>
    <w:rsid w:val="00DA1CD5"/>
    <w:rsid w:val="00DA1D95"/>
    <w:rsid w:val="00DA1E1E"/>
    <w:rsid w:val="00DA1F01"/>
    <w:rsid w:val="00DA1F4D"/>
    <w:rsid w:val="00DA201F"/>
    <w:rsid w:val="00DA224C"/>
    <w:rsid w:val="00DA2360"/>
    <w:rsid w:val="00DA24B6"/>
    <w:rsid w:val="00DA2823"/>
    <w:rsid w:val="00DA2CD4"/>
    <w:rsid w:val="00DA2E14"/>
    <w:rsid w:val="00DA2F3E"/>
    <w:rsid w:val="00DA2FB6"/>
    <w:rsid w:val="00DA3016"/>
    <w:rsid w:val="00DA3319"/>
    <w:rsid w:val="00DA3334"/>
    <w:rsid w:val="00DA33A3"/>
    <w:rsid w:val="00DA33BE"/>
    <w:rsid w:val="00DA371C"/>
    <w:rsid w:val="00DA374B"/>
    <w:rsid w:val="00DA38C8"/>
    <w:rsid w:val="00DA3916"/>
    <w:rsid w:val="00DA39B8"/>
    <w:rsid w:val="00DA3E28"/>
    <w:rsid w:val="00DA3F09"/>
    <w:rsid w:val="00DA3FE8"/>
    <w:rsid w:val="00DA40EB"/>
    <w:rsid w:val="00DA42A3"/>
    <w:rsid w:val="00DA437F"/>
    <w:rsid w:val="00DA47ED"/>
    <w:rsid w:val="00DA489A"/>
    <w:rsid w:val="00DA4BBF"/>
    <w:rsid w:val="00DA4C12"/>
    <w:rsid w:val="00DA4C9B"/>
    <w:rsid w:val="00DA4CF4"/>
    <w:rsid w:val="00DA4D9C"/>
    <w:rsid w:val="00DA4ED2"/>
    <w:rsid w:val="00DA50A8"/>
    <w:rsid w:val="00DA52B5"/>
    <w:rsid w:val="00DA53AD"/>
    <w:rsid w:val="00DA5511"/>
    <w:rsid w:val="00DA556A"/>
    <w:rsid w:val="00DA57BA"/>
    <w:rsid w:val="00DA58C6"/>
    <w:rsid w:val="00DA5921"/>
    <w:rsid w:val="00DA59DA"/>
    <w:rsid w:val="00DA5AA1"/>
    <w:rsid w:val="00DA5B2A"/>
    <w:rsid w:val="00DA5B75"/>
    <w:rsid w:val="00DA5DBC"/>
    <w:rsid w:val="00DA6165"/>
    <w:rsid w:val="00DA61D0"/>
    <w:rsid w:val="00DA6291"/>
    <w:rsid w:val="00DA63BE"/>
    <w:rsid w:val="00DA6653"/>
    <w:rsid w:val="00DA66EB"/>
    <w:rsid w:val="00DA6708"/>
    <w:rsid w:val="00DA6872"/>
    <w:rsid w:val="00DA6972"/>
    <w:rsid w:val="00DA6A95"/>
    <w:rsid w:val="00DA6AE0"/>
    <w:rsid w:val="00DA6B45"/>
    <w:rsid w:val="00DA6BCB"/>
    <w:rsid w:val="00DA6CA4"/>
    <w:rsid w:val="00DA6E1A"/>
    <w:rsid w:val="00DA6F6E"/>
    <w:rsid w:val="00DA7000"/>
    <w:rsid w:val="00DA7031"/>
    <w:rsid w:val="00DA707E"/>
    <w:rsid w:val="00DA7108"/>
    <w:rsid w:val="00DA73B6"/>
    <w:rsid w:val="00DA75A1"/>
    <w:rsid w:val="00DA7773"/>
    <w:rsid w:val="00DA77D9"/>
    <w:rsid w:val="00DA793C"/>
    <w:rsid w:val="00DA7B55"/>
    <w:rsid w:val="00DA7BF6"/>
    <w:rsid w:val="00DB036A"/>
    <w:rsid w:val="00DB0686"/>
    <w:rsid w:val="00DB06B6"/>
    <w:rsid w:val="00DB071A"/>
    <w:rsid w:val="00DB0721"/>
    <w:rsid w:val="00DB0755"/>
    <w:rsid w:val="00DB0806"/>
    <w:rsid w:val="00DB0B38"/>
    <w:rsid w:val="00DB0D6E"/>
    <w:rsid w:val="00DB0E16"/>
    <w:rsid w:val="00DB10E4"/>
    <w:rsid w:val="00DB12A5"/>
    <w:rsid w:val="00DB12E8"/>
    <w:rsid w:val="00DB1494"/>
    <w:rsid w:val="00DB153D"/>
    <w:rsid w:val="00DB1563"/>
    <w:rsid w:val="00DB171C"/>
    <w:rsid w:val="00DB179A"/>
    <w:rsid w:val="00DB17D5"/>
    <w:rsid w:val="00DB188D"/>
    <w:rsid w:val="00DB1BB8"/>
    <w:rsid w:val="00DB1BFE"/>
    <w:rsid w:val="00DB1D6F"/>
    <w:rsid w:val="00DB1D91"/>
    <w:rsid w:val="00DB1EBB"/>
    <w:rsid w:val="00DB1EFA"/>
    <w:rsid w:val="00DB234B"/>
    <w:rsid w:val="00DB24D0"/>
    <w:rsid w:val="00DB25A6"/>
    <w:rsid w:val="00DB2865"/>
    <w:rsid w:val="00DB28A2"/>
    <w:rsid w:val="00DB28D8"/>
    <w:rsid w:val="00DB2B7D"/>
    <w:rsid w:val="00DB2C37"/>
    <w:rsid w:val="00DB2D61"/>
    <w:rsid w:val="00DB2F9A"/>
    <w:rsid w:val="00DB2FBB"/>
    <w:rsid w:val="00DB30B5"/>
    <w:rsid w:val="00DB32F3"/>
    <w:rsid w:val="00DB3465"/>
    <w:rsid w:val="00DB363E"/>
    <w:rsid w:val="00DB3736"/>
    <w:rsid w:val="00DB379F"/>
    <w:rsid w:val="00DB3C8A"/>
    <w:rsid w:val="00DB3D12"/>
    <w:rsid w:val="00DB3D5F"/>
    <w:rsid w:val="00DB4176"/>
    <w:rsid w:val="00DB4191"/>
    <w:rsid w:val="00DB4215"/>
    <w:rsid w:val="00DB447A"/>
    <w:rsid w:val="00DB47D8"/>
    <w:rsid w:val="00DB4947"/>
    <w:rsid w:val="00DB4B16"/>
    <w:rsid w:val="00DB4C1B"/>
    <w:rsid w:val="00DB4C7E"/>
    <w:rsid w:val="00DB4CA9"/>
    <w:rsid w:val="00DB4DAB"/>
    <w:rsid w:val="00DB4E61"/>
    <w:rsid w:val="00DB4EDD"/>
    <w:rsid w:val="00DB4EED"/>
    <w:rsid w:val="00DB4F2A"/>
    <w:rsid w:val="00DB5054"/>
    <w:rsid w:val="00DB5098"/>
    <w:rsid w:val="00DB514F"/>
    <w:rsid w:val="00DB5317"/>
    <w:rsid w:val="00DB59F9"/>
    <w:rsid w:val="00DB5AFA"/>
    <w:rsid w:val="00DB5E38"/>
    <w:rsid w:val="00DB5F5E"/>
    <w:rsid w:val="00DB5FBA"/>
    <w:rsid w:val="00DB5FDD"/>
    <w:rsid w:val="00DB60C5"/>
    <w:rsid w:val="00DB6659"/>
    <w:rsid w:val="00DB669F"/>
    <w:rsid w:val="00DB670A"/>
    <w:rsid w:val="00DB6718"/>
    <w:rsid w:val="00DB672D"/>
    <w:rsid w:val="00DB6748"/>
    <w:rsid w:val="00DB6C98"/>
    <w:rsid w:val="00DB6F0B"/>
    <w:rsid w:val="00DB70A3"/>
    <w:rsid w:val="00DB712B"/>
    <w:rsid w:val="00DB71C5"/>
    <w:rsid w:val="00DB727F"/>
    <w:rsid w:val="00DB72B5"/>
    <w:rsid w:val="00DB7541"/>
    <w:rsid w:val="00DB76F3"/>
    <w:rsid w:val="00DB77F9"/>
    <w:rsid w:val="00DB7A1D"/>
    <w:rsid w:val="00DB7BCD"/>
    <w:rsid w:val="00DB7CD3"/>
    <w:rsid w:val="00DB7DDF"/>
    <w:rsid w:val="00DB7E1F"/>
    <w:rsid w:val="00DB7E6D"/>
    <w:rsid w:val="00DB7E9B"/>
    <w:rsid w:val="00DB7F4C"/>
    <w:rsid w:val="00DC00BB"/>
    <w:rsid w:val="00DC06BB"/>
    <w:rsid w:val="00DC06E7"/>
    <w:rsid w:val="00DC07F2"/>
    <w:rsid w:val="00DC0831"/>
    <w:rsid w:val="00DC0D44"/>
    <w:rsid w:val="00DC0E3F"/>
    <w:rsid w:val="00DC0F57"/>
    <w:rsid w:val="00DC0FF6"/>
    <w:rsid w:val="00DC104F"/>
    <w:rsid w:val="00DC1109"/>
    <w:rsid w:val="00DC1265"/>
    <w:rsid w:val="00DC13FF"/>
    <w:rsid w:val="00DC168F"/>
    <w:rsid w:val="00DC1995"/>
    <w:rsid w:val="00DC19CF"/>
    <w:rsid w:val="00DC1BFE"/>
    <w:rsid w:val="00DC1F8A"/>
    <w:rsid w:val="00DC20B3"/>
    <w:rsid w:val="00DC22CA"/>
    <w:rsid w:val="00DC239A"/>
    <w:rsid w:val="00DC23D4"/>
    <w:rsid w:val="00DC2663"/>
    <w:rsid w:val="00DC2974"/>
    <w:rsid w:val="00DC298D"/>
    <w:rsid w:val="00DC2B22"/>
    <w:rsid w:val="00DC2D71"/>
    <w:rsid w:val="00DC2F87"/>
    <w:rsid w:val="00DC3226"/>
    <w:rsid w:val="00DC32B7"/>
    <w:rsid w:val="00DC36F1"/>
    <w:rsid w:val="00DC382F"/>
    <w:rsid w:val="00DC3862"/>
    <w:rsid w:val="00DC396A"/>
    <w:rsid w:val="00DC3A55"/>
    <w:rsid w:val="00DC3ADC"/>
    <w:rsid w:val="00DC3BAE"/>
    <w:rsid w:val="00DC3BDA"/>
    <w:rsid w:val="00DC3CE1"/>
    <w:rsid w:val="00DC3F3C"/>
    <w:rsid w:val="00DC3F5E"/>
    <w:rsid w:val="00DC3F79"/>
    <w:rsid w:val="00DC3F9C"/>
    <w:rsid w:val="00DC411C"/>
    <w:rsid w:val="00DC440E"/>
    <w:rsid w:val="00DC44B7"/>
    <w:rsid w:val="00DC46ED"/>
    <w:rsid w:val="00DC47A4"/>
    <w:rsid w:val="00DC4863"/>
    <w:rsid w:val="00DC4869"/>
    <w:rsid w:val="00DC4969"/>
    <w:rsid w:val="00DC4B13"/>
    <w:rsid w:val="00DC4C3C"/>
    <w:rsid w:val="00DC50E9"/>
    <w:rsid w:val="00DC55BA"/>
    <w:rsid w:val="00DC57AE"/>
    <w:rsid w:val="00DC57BA"/>
    <w:rsid w:val="00DC59E9"/>
    <w:rsid w:val="00DC5AD7"/>
    <w:rsid w:val="00DC5AE9"/>
    <w:rsid w:val="00DC5C6E"/>
    <w:rsid w:val="00DC5DCD"/>
    <w:rsid w:val="00DC5E1D"/>
    <w:rsid w:val="00DC5EA8"/>
    <w:rsid w:val="00DC5F01"/>
    <w:rsid w:val="00DC5F50"/>
    <w:rsid w:val="00DC601C"/>
    <w:rsid w:val="00DC653F"/>
    <w:rsid w:val="00DC6725"/>
    <w:rsid w:val="00DC68B5"/>
    <w:rsid w:val="00DC69E6"/>
    <w:rsid w:val="00DC6B85"/>
    <w:rsid w:val="00DC6EE0"/>
    <w:rsid w:val="00DC6F46"/>
    <w:rsid w:val="00DC7136"/>
    <w:rsid w:val="00DC75B2"/>
    <w:rsid w:val="00DC76CC"/>
    <w:rsid w:val="00DC7931"/>
    <w:rsid w:val="00DC79B9"/>
    <w:rsid w:val="00DC7AE9"/>
    <w:rsid w:val="00DC7C21"/>
    <w:rsid w:val="00DC7D65"/>
    <w:rsid w:val="00DC7DA1"/>
    <w:rsid w:val="00DC7E1F"/>
    <w:rsid w:val="00DC7EF0"/>
    <w:rsid w:val="00DC7F6C"/>
    <w:rsid w:val="00DD009D"/>
    <w:rsid w:val="00DD02D4"/>
    <w:rsid w:val="00DD077C"/>
    <w:rsid w:val="00DD07F1"/>
    <w:rsid w:val="00DD08C5"/>
    <w:rsid w:val="00DD0A37"/>
    <w:rsid w:val="00DD0B11"/>
    <w:rsid w:val="00DD0CA6"/>
    <w:rsid w:val="00DD0CAC"/>
    <w:rsid w:val="00DD0D8C"/>
    <w:rsid w:val="00DD0F1A"/>
    <w:rsid w:val="00DD0F7D"/>
    <w:rsid w:val="00DD0FC2"/>
    <w:rsid w:val="00DD10FD"/>
    <w:rsid w:val="00DD1142"/>
    <w:rsid w:val="00DD1287"/>
    <w:rsid w:val="00DD133D"/>
    <w:rsid w:val="00DD1500"/>
    <w:rsid w:val="00DD16D9"/>
    <w:rsid w:val="00DD1700"/>
    <w:rsid w:val="00DD177D"/>
    <w:rsid w:val="00DD17AE"/>
    <w:rsid w:val="00DD17C4"/>
    <w:rsid w:val="00DD1843"/>
    <w:rsid w:val="00DD1B3C"/>
    <w:rsid w:val="00DD1C42"/>
    <w:rsid w:val="00DD1C73"/>
    <w:rsid w:val="00DD1CCF"/>
    <w:rsid w:val="00DD1E24"/>
    <w:rsid w:val="00DD20EB"/>
    <w:rsid w:val="00DD219C"/>
    <w:rsid w:val="00DD2282"/>
    <w:rsid w:val="00DD2346"/>
    <w:rsid w:val="00DD2396"/>
    <w:rsid w:val="00DD23A1"/>
    <w:rsid w:val="00DD256F"/>
    <w:rsid w:val="00DD2970"/>
    <w:rsid w:val="00DD29DE"/>
    <w:rsid w:val="00DD2A40"/>
    <w:rsid w:val="00DD2DAC"/>
    <w:rsid w:val="00DD30FB"/>
    <w:rsid w:val="00DD3123"/>
    <w:rsid w:val="00DD32FF"/>
    <w:rsid w:val="00DD33E3"/>
    <w:rsid w:val="00DD341D"/>
    <w:rsid w:val="00DD3789"/>
    <w:rsid w:val="00DD385D"/>
    <w:rsid w:val="00DD38E9"/>
    <w:rsid w:val="00DD394B"/>
    <w:rsid w:val="00DD3A32"/>
    <w:rsid w:val="00DD3CA8"/>
    <w:rsid w:val="00DD4248"/>
    <w:rsid w:val="00DD42F0"/>
    <w:rsid w:val="00DD465B"/>
    <w:rsid w:val="00DD480B"/>
    <w:rsid w:val="00DD49AF"/>
    <w:rsid w:val="00DD49B1"/>
    <w:rsid w:val="00DD4A70"/>
    <w:rsid w:val="00DD4B97"/>
    <w:rsid w:val="00DD4BF2"/>
    <w:rsid w:val="00DD4C3B"/>
    <w:rsid w:val="00DD4C3D"/>
    <w:rsid w:val="00DD4EE0"/>
    <w:rsid w:val="00DD5125"/>
    <w:rsid w:val="00DD52EC"/>
    <w:rsid w:val="00DD55D8"/>
    <w:rsid w:val="00DD5AB9"/>
    <w:rsid w:val="00DD5AC3"/>
    <w:rsid w:val="00DD5B6A"/>
    <w:rsid w:val="00DD5DCC"/>
    <w:rsid w:val="00DD61BE"/>
    <w:rsid w:val="00DD61E8"/>
    <w:rsid w:val="00DD63AC"/>
    <w:rsid w:val="00DD63B3"/>
    <w:rsid w:val="00DD65EA"/>
    <w:rsid w:val="00DD66D8"/>
    <w:rsid w:val="00DD6B7F"/>
    <w:rsid w:val="00DD6D1A"/>
    <w:rsid w:val="00DD71EE"/>
    <w:rsid w:val="00DD7424"/>
    <w:rsid w:val="00DD7623"/>
    <w:rsid w:val="00DD7753"/>
    <w:rsid w:val="00DD77D4"/>
    <w:rsid w:val="00DD7B0E"/>
    <w:rsid w:val="00DD7B46"/>
    <w:rsid w:val="00DD7BB8"/>
    <w:rsid w:val="00DD7C93"/>
    <w:rsid w:val="00DD7DEF"/>
    <w:rsid w:val="00DE0057"/>
    <w:rsid w:val="00DE00F5"/>
    <w:rsid w:val="00DE0205"/>
    <w:rsid w:val="00DE0291"/>
    <w:rsid w:val="00DE0487"/>
    <w:rsid w:val="00DE057A"/>
    <w:rsid w:val="00DE090E"/>
    <w:rsid w:val="00DE0944"/>
    <w:rsid w:val="00DE0B13"/>
    <w:rsid w:val="00DE0CA1"/>
    <w:rsid w:val="00DE0CA4"/>
    <w:rsid w:val="00DE0CCD"/>
    <w:rsid w:val="00DE0E6B"/>
    <w:rsid w:val="00DE0EF1"/>
    <w:rsid w:val="00DE0F05"/>
    <w:rsid w:val="00DE0FDE"/>
    <w:rsid w:val="00DE0FF4"/>
    <w:rsid w:val="00DE1158"/>
    <w:rsid w:val="00DE11A3"/>
    <w:rsid w:val="00DE125C"/>
    <w:rsid w:val="00DE125D"/>
    <w:rsid w:val="00DE16CC"/>
    <w:rsid w:val="00DE173B"/>
    <w:rsid w:val="00DE198A"/>
    <w:rsid w:val="00DE1A6E"/>
    <w:rsid w:val="00DE1BA4"/>
    <w:rsid w:val="00DE1D00"/>
    <w:rsid w:val="00DE1EAE"/>
    <w:rsid w:val="00DE212A"/>
    <w:rsid w:val="00DE21F7"/>
    <w:rsid w:val="00DE2235"/>
    <w:rsid w:val="00DE2301"/>
    <w:rsid w:val="00DE2426"/>
    <w:rsid w:val="00DE268A"/>
    <w:rsid w:val="00DE2897"/>
    <w:rsid w:val="00DE2E09"/>
    <w:rsid w:val="00DE2EF0"/>
    <w:rsid w:val="00DE3143"/>
    <w:rsid w:val="00DE316C"/>
    <w:rsid w:val="00DE32B5"/>
    <w:rsid w:val="00DE33BB"/>
    <w:rsid w:val="00DE340C"/>
    <w:rsid w:val="00DE370B"/>
    <w:rsid w:val="00DE3738"/>
    <w:rsid w:val="00DE3808"/>
    <w:rsid w:val="00DE3888"/>
    <w:rsid w:val="00DE38A8"/>
    <w:rsid w:val="00DE3AFC"/>
    <w:rsid w:val="00DE3DD9"/>
    <w:rsid w:val="00DE3E55"/>
    <w:rsid w:val="00DE3E83"/>
    <w:rsid w:val="00DE3E98"/>
    <w:rsid w:val="00DE3F4E"/>
    <w:rsid w:val="00DE3FB1"/>
    <w:rsid w:val="00DE3FCE"/>
    <w:rsid w:val="00DE3FDE"/>
    <w:rsid w:val="00DE4218"/>
    <w:rsid w:val="00DE4778"/>
    <w:rsid w:val="00DE4827"/>
    <w:rsid w:val="00DE493A"/>
    <w:rsid w:val="00DE4C8E"/>
    <w:rsid w:val="00DE4F47"/>
    <w:rsid w:val="00DE5045"/>
    <w:rsid w:val="00DE51E2"/>
    <w:rsid w:val="00DE5344"/>
    <w:rsid w:val="00DE55BC"/>
    <w:rsid w:val="00DE5661"/>
    <w:rsid w:val="00DE5CB9"/>
    <w:rsid w:val="00DE5DD4"/>
    <w:rsid w:val="00DE5EA5"/>
    <w:rsid w:val="00DE5EBE"/>
    <w:rsid w:val="00DE5FBA"/>
    <w:rsid w:val="00DE60E1"/>
    <w:rsid w:val="00DE61C3"/>
    <w:rsid w:val="00DE61C4"/>
    <w:rsid w:val="00DE63EB"/>
    <w:rsid w:val="00DE6629"/>
    <w:rsid w:val="00DE66CA"/>
    <w:rsid w:val="00DE68BF"/>
    <w:rsid w:val="00DE692A"/>
    <w:rsid w:val="00DE6952"/>
    <w:rsid w:val="00DE6997"/>
    <w:rsid w:val="00DE69D7"/>
    <w:rsid w:val="00DE6B16"/>
    <w:rsid w:val="00DE6BF0"/>
    <w:rsid w:val="00DE6C83"/>
    <w:rsid w:val="00DE717B"/>
    <w:rsid w:val="00DE71AF"/>
    <w:rsid w:val="00DE71D2"/>
    <w:rsid w:val="00DE7278"/>
    <w:rsid w:val="00DE7A6E"/>
    <w:rsid w:val="00DE7C70"/>
    <w:rsid w:val="00DE7E31"/>
    <w:rsid w:val="00DE7ECE"/>
    <w:rsid w:val="00DE7F60"/>
    <w:rsid w:val="00DF00B4"/>
    <w:rsid w:val="00DF00DE"/>
    <w:rsid w:val="00DF0174"/>
    <w:rsid w:val="00DF04A2"/>
    <w:rsid w:val="00DF060F"/>
    <w:rsid w:val="00DF06AD"/>
    <w:rsid w:val="00DF072C"/>
    <w:rsid w:val="00DF08E4"/>
    <w:rsid w:val="00DF095B"/>
    <w:rsid w:val="00DF0BD2"/>
    <w:rsid w:val="00DF0C28"/>
    <w:rsid w:val="00DF0F87"/>
    <w:rsid w:val="00DF1190"/>
    <w:rsid w:val="00DF11BB"/>
    <w:rsid w:val="00DF11C7"/>
    <w:rsid w:val="00DF1203"/>
    <w:rsid w:val="00DF120C"/>
    <w:rsid w:val="00DF1286"/>
    <w:rsid w:val="00DF1465"/>
    <w:rsid w:val="00DF1647"/>
    <w:rsid w:val="00DF16AE"/>
    <w:rsid w:val="00DF174F"/>
    <w:rsid w:val="00DF1757"/>
    <w:rsid w:val="00DF17DA"/>
    <w:rsid w:val="00DF185A"/>
    <w:rsid w:val="00DF1D71"/>
    <w:rsid w:val="00DF1E00"/>
    <w:rsid w:val="00DF1E25"/>
    <w:rsid w:val="00DF1F23"/>
    <w:rsid w:val="00DF1F8A"/>
    <w:rsid w:val="00DF2128"/>
    <w:rsid w:val="00DF2146"/>
    <w:rsid w:val="00DF2239"/>
    <w:rsid w:val="00DF22D3"/>
    <w:rsid w:val="00DF24CC"/>
    <w:rsid w:val="00DF2783"/>
    <w:rsid w:val="00DF27C2"/>
    <w:rsid w:val="00DF27D9"/>
    <w:rsid w:val="00DF280C"/>
    <w:rsid w:val="00DF28A5"/>
    <w:rsid w:val="00DF292B"/>
    <w:rsid w:val="00DF29EC"/>
    <w:rsid w:val="00DF2CDD"/>
    <w:rsid w:val="00DF31AA"/>
    <w:rsid w:val="00DF32AE"/>
    <w:rsid w:val="00DF334F"/>
    <w:rsid w:val="00DF356C"/>
    <w:rsid w:val="00DF387E"/>
    <w:rsid w:val="00DF39DD"/>
    <w:rsid w:val="00DF3A8A"/>
    <w:rsid w:val="00DF3BEF"/>
    <w:rsid w:val="00DF3D03"/>
    <w:rsid w:val="00DF3D28"/>
    <w:rsid w:val="00DF3D55"/>
    <w:rsid w:val="00DF3F87"/>
    <w:rsid w:val="00DF403D"/>
    <w:rsid w:val="00DF42BB"/>
    <w:rsid w:val="00DF44F9"/>
    <w:rsid w:val="00DF45D5"/>
    <w:rsid w:val="00DF4652"/>
    <w:rsid w:val="00DF46CD"/>
    <w:rsid w:val="00DF47A2"/>
    <w:rsid w:val="00DF4811"/>
    <w:rsid w:val="00DF4890"/>
    <w:rsid w:val="00DF4A4A"/>
    <w:rsid w:val="00DF4C71"/>
    <w:rsid w:val="00DF4E40"/>
    <w:rsid w:val="00DF509D"/>
    <w:rsid w:val="00DF517B"/>
    <w:rsid w:val="00DF517D"/>
    <w:rsid w:val="00DF53C5"/>
    <w:rsid w:val="00DF5610"/>
    <w:rsid w:val="00DF586B"/>
    <w:rsid w:val="00DF598E"/>
    <w:rsid w:val="00DF5D13"/>
    <w:rsid w:val="00DF605F"/>
    <w:rsid w:val="00DF613B"/>
    <w:rsid w:val="00DF64BB"/>
    <w:rsid w:val="00DF65E9"/>
    <w:rsid w:val="00DF6638"/>
    <w:rsid w:val="00DF673F"/>
    <w:rsid w:val="00DF6869"/>
    <w:rsid w:val="00DF6A1F"/>
    <w:rsid w:val="00DF6B3E"/>
    <w:rsid w:val="00DF6C33"/>
    <w:rsid w:val="00DF6F26"/>
    <w:rsid w:val="00DF6F8B"/>
    <w:rsid w:val="00DF704C"/>
    <w:rsid w:val="00DF7055"/>
    <w:rsid w:val="00DF70CD"/>
    <w:rsid w:val="00DF7128"/>
    <w:rsid w:val="00DF7957"/>
    <w:rsid w:val="00DF79BE"/>
    <w:rsid w:val="00DF7A6E"/>
    <w:rsid w:val="00DF7CC0"/>
    <w:rsid w:val="00DF7FE6"/>
    <w:rsid w:val="00E000D6"/>
    <w:rsid w:val="00E00275"/>
    <w:rsid w:val="00E00295"/>
    <w:rsid w:val="00E002C8"/>
    <w:rsid w:val="00E0038E"/>
    <w:rsid w:val="00E00393"/>
    <w:rsid w:val="00E0071E"/>
    <w:rsid w:val="00E009C5"/>
    <w:rsid w:val="00E00A58"/>
    <w:rsid w:val="00E00E22"/>
    <w:rsid w:val="00E00FC9"/>
    <w:rsid w:val="00E00FD1"/>
    <w:rsid w:val="00E01014"/>
    <w:rsid w:val="00E01024"/>
    <w:rsid w:val="00E01136"/>
    <w:rsid w:val="00E0113F"/>
    <w:rsid w:val="00E01611"/>
    <w:rsid w:val="00E016B3"/>
    <w:rsid w:val="00E019D3"/>
    <w:rsid w:val="00E01BB1"/>
    <w:rsid w:val="00E01C81"/>
    <w:rsid w:val="00E01D5B"/>
    <w:rsid w:val="00E01EB8"/>
    <w:rsid w:val="00E0200D"/>
    <w:rsid w:val="00E0227D"/>
    <w:rsid w:val="00E0247F"/>
    <w:rsid w:val="00E02599"/>
    <w:rsid w:val="00E026A2"/>
    <w:rsid w:val="00E02758"/>
    <w:rsid w:val="00E02894"/>
    <w:rsid w:val="00E02916"/>
    <w:rsid w:val="00E02BCE"/>
    <w:rsid w:val="00E0315A"/>
    <w:rsid w:val="00E031BF"/>
    <w:rsid w:val="00E03203"/>
    <w:rsid w:val="00E0324D"/>
    <w:rsid w:val="00E0364E"/>
    <w:rsid w:val="00E039E3"/>
    <w:rsid w:val="00E03BE9"/>
    <w:rsid w:val="00E03ED1"/>
    <w:rsid w:val="00E0404B"/>
    <w:rsid w:val="00E0411F"/>
    <w:rsid w:val="00E04173"/>
    <w:rsid w:val="00E04271"/>
    <w:rsid w:val="00E04274"/>
    <w:rsid w:val="00E04344"/>
    <w:rsid w:val="00E043EC"/>
    <w:rsid w:val="00E0447C"/>
    <w:rsid w:val="00E044C5"/>
    <w:rsid w:val="00E04AB3"/>
    <w:rsid w:val="00E04C45"/>
    <w:rsid w:val="00E04CA5"/>
    <w:rsid w:val="00E04E65"/>
    <w:rsid w:val="00E05035"/>
    <w:rsid w:val="00E05066"/>
    <w:rsid w:val="00E050FE"/>
    <w:rsid w:val="00E05163"/>
    <w:rsid w:val="00E0530E"/>
    <w:rsid w:val="00E055BE"/>
    <w:rsid w:val="00E057D8"/>
    <w:rsid w:val="00E0585D"/>
    <w:rsid w:val="00E059DB"/>
    <w:rsid w:val="00E05D6B"/>
    <w:rsid w:val="00E060B4"/>
    <w:rsid w:val="00E0657B"/>
    <w:rsid w:val="00E06613"/>
    <w:rsid w:val="00E06627"/>
    <w:rsid w:val="00E068A6"/>
    <w:rsid w:val="00E06BDB"/>
    <w:rsid w:val="00E06E60"/>
    <w:rsid w:val="00E06F03"/>
    <w:rsid w:val="00E0705D"/>
    <w:rsid w:val="00E07390"/>
    <w:rsid w:val="00E07460"/>
    <w:rsid w:val="00E07653"/>
    <w:rsid w:val="00E07688"/>
    <w:rsid w:val="00E077E1"/>
    <w:rsid w:val="00E07890"/>
    <w:rsid w:val="00E079F0"/>
    <w:rsid w:val="00E07A79"/>
    <w:rsid w:val="00E07D59"/>
    <w:rsid w:val="00E07D6D"/>
    <w:rsid w:val="00E07E73"/>
    <w:rsid w:val="00E101EC"/>
    <w:rsid w:val="00E10201"/>
    <w:rsid w:val="00E10301"/>
    <w:rsid w:val="00E103C4"/>
    <w:rsid w:val="00E1058F"/>
    <w:rsid w:val="00E10605"/>
    <w:rsid w:val="00E10623"/>
    <w:rsid w:val="00E1088C"/>
    <w:rsid w:val="00E108F6"/>
    <w:rsid w:val="00E10CD8"/>
    <w:rsid w:val="00E10CF6"/>
    <w:rsid w:val="00E10E8B"/>
    <w:rsid w:val="00E10EA4"/>
    <w:rsid w:val="00E10F29"/>
    <w:rsid w:val="00E11160"/>
    <w:rsid w:val="00E112D0"/>
    <w:rsid w:val="00E11509"/>
    <w:rsid w:val="00E11780"/>
    <w:rsid w:val="00E11911"/>
    <w:rsid w:val="00E11A1F"/>
    <w:rsid w:val="00E11B2F"/>
    <w:rsid w:val="00E11B7B"/>
    <w:rsid w:val="00E11BE8"/>
    <w:rsid w:val="00E11E7D"/>
    <w:rsid w:val="00E11F4A"/>
    <w:rsid w:val="00E11FAE"/>
    <w:rsid w:val="00E1216E"/>
    <w:rsid w:val="00E12718"/>
    <w:rsid w:val="00E12D0D"/>
    <w:rsid w:val="00E12D7A"/>
    <w:rsid w:val="00E12DC7"/>
    <w:rsid w:val="00E12F8E"/>
    <w:rsid w:val="00E131A4"/>
    <w:rsid w:val="00E13599"/>
    <w:rsid w:val="00E1371C"/>
    <w:rsid w:val="00E13834"/>
    <w:rsid w:val="00E13CCB"/>
    <w:rsid w:val="00E13D6B"/>
    <w:rsid w:val="00E13DF9"/>
    <w:rsid w:val="00E13F5A"/>
    <w:rsid w:val="00E140F8"/>
    <w:rsid w:val="00E147B9"/>
    <w:rsid w:val="00E1482B"/>
    <w:rsid w:val="00E14A83"/>
    <w:rsid w:val="00E14BE4"/>
    <w:rsid w:val="00E14BE9"/>
    <w:rsid w:val="00E14D60"/>
    <w:rsid w:val="00E14E5A"/>
    <w:rsid w:val="00E150A7"/>
    <w:rsid w:val="00E151D0"/>
    <w:rsid w:val="00E15227"/>
    <w:rsid w:val="00E1545A"/>
    <w:rsid w:val="00E1551F"/>
    <w:rsid w:val="00E1566A"/>
    <w:rsid w:val="00E15899"/>
    <w:rsid w:val="00E1597D"/>
    <w:rsid w:val="00E15E1B"/>
    <w:rsid w:val="00E15EC0"/>
    <w:rsid w:val="00E16085"/>
    <w:rsid w:val="00E16181"/>
    <w:rsid w:val="00E16268"/>
    <w:rsid w:val="00E162F0"/>
    <w:rsid w:val="00E166CA"/>
    <w:rsid w:val="00E16755"/>
    <w:rsid w:val="00E16858"/>
    <w:rsid w:val="00E16859"/>
    <w:rsid w:val="00E16A46"/>
    <w:rsid w:val="00E16D56"/>
    <w:rsid w:val="00E16E15"/>
    <w:rsid w:val="00E16E45"/>
    <w:rsid w:val="00E171CB"/>
    <w:rsid w:val="00E174EC"/>
    <w:rsid w:val="00E1750A"/>
    <w:rsid w:val="00E176EB"/>
    <w:rsid w:val="00E178FD"/>
    <w:rsid w:val="00E17BC1"/>
    <w:rsid w:val="00E200E5"/>
    <w:rsid w:val="00E2037B"/>
    <w:rsid w:val="00E2056F"/>
    <w:rsid w:val="00E207C8"/>
    <w:rsid w:val="00E20AB5"/>
    <w:rsid w:val="00E20BBE"/>
    <w:rsid w:val="00E20C48"/>
    <w:rsid w:val="00E20DDB"/>
    <w:rsid w:val="00E20DE4"/>
    <w:rsid w:val="00E20DF4"/>
    <w:rsid w:val="00E20F03"/>
    <w:rsid w:val="00E213D7"/>
    <w:rsid w:val="00E21689"/>
    <w:rsid w:val="00E21A67"/>
    <w:rsid w:val="00E21C09"/>
    <w:rsid w:val="00E21E0C"/>
    <w:rsid w:val="00E221E3"/>
    <w:rsid w:val="00E221EA"/>
    <w:rsid w:val="00E22266"/>
    <w:rsid w:val="00E22545"/>
    <w:rsid w:val="00E2257E"/>
    <w:rsid w:val="00E225F6"/>
    <w:rsid w:val="00E228CC"/>
    <w:rsid w:val="00E22B85"/>
    <w:rsid w:val="00E22C2A"/>
    <w:rsid w:val="00E22D34"/>
    <w:rsid w:val="00E22E99"/>
    <w:rsid w:val="00E22EEA"/>
    <w:rsid w:val="00E22F42"/>
    <w:rsid w:val="00E23086"/>
    <w:rsid w:val="00E231D8"/>
    <w:rsid w:val="00E233BA"/>
    <w:rsid w:val="00E233C4"/>
    <w:rsid w:val="00E233CB"/>
    <w:rsid w:val="00E23588"/>
    <w:rsid w:val="00E23706"/>
    <w:rsid w:val="00E23773"/>
    <w:rsid w:val="00E23E3E"/>
    <w:rsid w:val="00E24133"/>
    <w:rsid w:val="00E2415E"/>
    <w:rsid w:val="00E24258"/>
    <w:rsid w:val="00E242ED"/>
    <w:rsid w:val="00E24372"/>
    <w:rsid w:val="00E2443E"/>
    <w:rsid w:val="00E2467A"/>
    <w:rsid w:val="00E248B8"/>
    <w:rsid w:val="00E248F0"/>
    <w:rsid w:val="00E24C86"/>
    <w:rsid w:val="00E24DC6"/>
    <w:rsid w:val="00E24E37"/>
    <w:rsid w:val="00E24FB8"/>
    <w:rsid w:val="00E25424"/>
    <w:rsid w:val="00E25594"/>
    <w:rsid w:val="00E257DC"/>
    <w:rsid w:val="00E2580F"/>
    <w:rsid w:val="00E25856"/>
    <w:rsid w:val="00E25A11"/>
    <w:rsid w:val="00E25D12"/>
    <w:rsid w:val="00E25EC4"/>
    <w:rsid w:val="00E25F72"/>
    <w:rsid w:val="00E25FBF"/>
    <w:rsid w:val="00E260DF"/>
    <w:rsid w:val="00E261C3"/>
    <w:rsid w:val="00E26304"/>
    <w:rsid w:val="00E2633B"/>
    <w:rsid w:val="00E26351"/>
    <w:rsid w:val="00E26433"/>
    <w:rsid w:val="00E264A2"/>
    <w:rsid w:val="00E264C2"/>
    <w:rsid w:val="00E264E6"/>
    <w:rsid w:val="00E26559"/>
    <w:rsid w:val="00E266FA"/>
    <w:rsid w:val="00E26896"/>
    <w:rsid w:val="00E26977"/>
    <w:rsid w:val="00E26A4E"/>
    <w:rsid w:val="00E26A5C"/>
    <w:rsid w:val="00E26BB6"/>
    <w:rsid w:val="00E26BC0"/>
    <w:rsid w:val="00E26CBA"/>
    <w:rsid w:val="00E26CF6"/>
    <w:rsid w:val="00E26E6D"/>
    <w:rsid w:val="00E27011"/>
    <w:rsid w:val="00E271EA"/>
    <w:rsid w:val="00E27224"/>
    <w:rsid w:val="00E2745D"/>
    <w:rsid w:val="00E274AE"/>
    <w:rsid w:val="00E2777C"/>
    <w:rsid w:val="00E277AC"/>
    <w:rsid w:val="00E27A48"/>
    <w:rsid w:val="00E27AF8"/>
    <w:rsid w:val="00E27CCD"/>
    <w:rsid w:val="00E27D10"/>
    <w:rsid w:val="00E27D6B"/>
    <w:rsid w:val="00E27E1F"/>
    <w:rsid w:val="00E3004C"/>
    <w:rsid w:val="00E302F4"/>
    <w:rsid w:val="00E30452"/>
    <w:rsid w:val="00E3091C"/>
    <w:rsid w:val="00E30C5D"/>
    <w:rsid w:val="00E30CA3"/>
    <w:rsid w:val="00E31117"/>
    <w:rsid w:val="00E311A2"/>
    <w:rsid w:val="00E3121F"/>
    <w:rsid w:val="00E312C7"/>
    <w:rsid w:val="00E312EF"/>
    <w:rsid w:val="00E31436"/>
    <w:rsid w:val="00E31571"/>
    <w:rsid w:val="00E315A7"/>
    <w:rsid w:val="00E31630"/>
    <w:rsid w:val="00E31694"/>
    <w:rsid w:val="00E3174C"/>
    <w:rsid w:val="00E3179E"/>
    <w:rsid w:val="00E31846"/>
    <w:rsid w:val="00E318F3"/>
    <w:rsid w:val="00E31CFB"/>
    <w:rsid w:val="00E31D67"/>
    <w:rsid w:val="00E32007"/>
    <w:rsid w:val="00E32119"/>
    <w:rsid w:val="00E3215C"/>
    <w:rsid w:val="00E32332"/>
    <w:rsid w:val="00E3235A"/>
    <w:rsid w:val="00E32446"/>
    <w:rsid w:val="00E3249F"/>
    <w:rsid w:val="00E324E1"/>
    <w:rsid w:val="00E3265C"/>
    <w:rsid w:val="00E32D09"/>
    <w:rsid w:val="00E32D7E"/>
    <w:rsid w:val="00E32D95"/>
    <w:rsid w:val="00E32DAF"/>
    <w:rsid w:val="00E32ED2"/>
    <w:rsid w:val="00E32EDD"/>
    <w:rsid w:val="00E32F88"/>
    <w:rsid w:val="00E330D7"/>
    <w:rsid w:val="00E331F9"/>
    <w:rsid w:val="00E333A7"/>
    <w:rsid w:val="00E335C2"/>
    <w:rsid w:val="00E33678"/>
    <w:rsid w:val="00E3383B"/>
    <w:rsid w:val="00E338DA"/>
    <w:rsid w:val="00E33960"/>
    <w:rsid w:val="00E33C3B"/>
    <w:rsid w:val="00E33CEF"/>
    <w:rsid w:val="00E33DC6"/>
    <w:rsid w:val="00E33FB5"/>
    <w:rsid w:val="00E34171"/>
    <w:rsid w:val="00E3428B"/>
    <w:rsid w:val="00E345CE"/>
    <w:rsid w:val="00E34868"/>
    <w:rsid w:val="00E348FB"/>
    <w:rsid w:val="00E34B46"/>
    <w:rsid w:val="00E34B86"/>
    <w:rsid w:val="00E34C9F"/>
    <w:rsid w:val="00E34D27"/>
    <w:rsid w:val="00E34DD7"/>
    <w:rsid w:val="00E34F1A"/>
    <w:rsid w:val="00E351D6"/>
    <w:rsid w:val="00E35413"/>
    <w:rsid w:val="00E35606"/>
    <w:rsid w:val="00E35B58"/>
    <w:rsid w:val="00E35C32"/>
    <w:rsid w:val="00E35D0C"/>
    <w:rsid w:val="00E35D17"/>
    <w:rsid w:val="00E360A7"/>
    <w:rsid w:val="00E360E9"/>
    <w:rsid w:val="00E36675"/>
    <w:rsid w:val="00E3672A"/>
    <w:rsid w:val="00E367DD"/>
    <w:rsid w:val="00E3696D"/>
    <w:rsid w:val="00E369CA"/>
    <w:rsid w:val="00E36BCB"/>
    <w:rsid w:val="00E36D8E"/>
    <w:rsid w:val="00E36ECD"/>
    <w:rsid w:val="00E372A1"/>
    <w:rsid w:val="00E37391"/>
    <w:rsid w:val="00E373FB"/>
    <w:rsid w:val="00E37421"/>
    <w:rsid w:val="00E37436"/>
    <w:rsid w:val="00E374CB"/>
    <w:rsid w:val="00E374D8"/>
    <w:rsid w:val="00E37565"/>
    <w:rsid w:val="00E37608"/>
    <w:rsid w:val="00E37624"/>
    <w:rsid w:val="00E376A2"/>
    <w:rsid w:val="00E376DF"/>
    <w:rsid w:val="00E376EA"/>
    <w:rsid w:val="00E37861"/>
    <w:rsid w:val="00E378FD"/>
    <w:rsid w:val="00E37CA9"/>
    <w:rsid w:val="00E37CB6"/>
    <w:rsid w:val="00E37CCC"/>
    <w:rsid w:val="00E37D36"/>
    <w:rsid w:val="00E37F00"/>
    <w:rsid w:val="00E4003B"/>
    <w:rsid w:val="00E4013D"/>
    <w:rsid w:val="00E40185"/>
    <w:rsid w:val="00E40261"/>
    <w:rsid w:val="00E4036B"/>
    <w:rsid w:val="00E403B1"/>
    <w:rsid w:val="00E4043A"/>
    <w:rsid w:val="00E404A5"/>
    <w:rsid w:val="00E40627"/>
    <w:rsid w:val="00E40B08"/>
    <w:rsid w:val="00E40B91"/>
    <w:rsid w:val="00E40C3D"/>
    <w:rsid w:val="00E40D1C"/>
    <w:rsid w:val="00E40E67"/>
    <w:rsid w:val="00E41014"/>
    <w:rsid w:val="00E41063"/>
    <w:rsid w:val="00E41128"/>
    <w:rsid w:val="00E4125B"/>
    <w:rsid w:val="00E4149E"/>
    <w:rsid w:val="00E41670"/>
    <w:rsid w:val="00E417E3"/>
    <w:rsid w:val="00E4192C"/>
    <w:rsid w:val="00E4196B"/>
    <w:rsid w:val="00E41ED4"/>
    <w:rsid w:val="00E422F5"/>
    <w:rsid w:val="00E42339"/>
    <w:rsid w:val="00E423B6"/>
    <w:rsid w:val="00E4244F"/>
    <w:rsid w:val="00E42497"/>
    <w:rsid w:val="00E42650"/>
    <w:rsid w:val="00E42694"/>
    <w:rsid w:val="00E42882"/>
    <w:rsid w:val="00E42A9A"/>
    <w:rsid w:val="00E42AD3"/>
    <w:rsid w:val="00E42C84"/>
    <w:rsid w:val="00E42D38"/>
    <w:rsid w:val="00E42D67"/>
    <w:rsid w:val="00E42EDA"/>
    <w:rsid w:val="00E431A1"/>
    <w:rsid w:val="00E4323A"/>
    <w:rsid w:val="00E43431"/>
    <w:rsid w:val="00E4353A"/>
    <w:rsid w:val="00E43586"/>
    <w:rsid w:val="00E435D4"/>
    <w:rsid w:val="00E437AB"/>
    <w:rsid w:val="00E438A7"/>
    <w:rsid w:val="00E438E4"/>
    <w:rsid w:val="00E43B02"/>
    <w:rsid w:val="00E43B3A"/>
    <w:rsid w:val="00E43D99"/>
    <w:rsid w:val="00E43F94"/>
    <w:rsid w:val="00E441CD"/>
    <w:rsid w:val="00E44400"/>
    <w:rsid w:val="00E44417"/>
    <w:rsid w:val="00E4458A"/>
    <w:rsid w:val="00E445B5"/>
    <w:rsid w:val="00E44690"/>
    <w:rsid w:val="00E44C63"/>
    <w:rsid w:val="00E4503D"/>
    <w:rsid w:val="00E4537F"/>
    <w:rsid w:val="00E453D3"/>
    <w:rsid w:val="00E4575B"/>
    <w:rsid w:val="00E4578D"/>
    <w:rsid w:val="00E457F2"/>
    <w:rsid w:val="00E458A5"/>
    <w:rsid w:val="00E459D3"/>
    <w:rsid w:val="00E45AA0"/>
    <w:rsid w:val="00E45AC7"/>
    <w:rsid w:val="00E45B86"/>
    <w:rsid w:val="00E45CAB"/>
    <w:rsid w:val="00E45D73"/>
    <w:rsid w:val="00E45DDA"/>
    <w:rsid w:val="00E45E3F"/>
    <w:rsid w:val="00E45E66"/>
    <w:rsid w:val="00E45EC9"/>
    <w:rsid w:val="00E45F05"/>
    <w:rsid w:val="00E460BB"/>
    <w:rsid w:val="00E46189"/>
    <w:rsid w:val="00E46305"/>
    <w:rsid w:val="00E46527"/>
    <w:rsid w:val="00E466FB"/>
    <w:rsid w:val="00E4685E"/>
    <w:rsid w:val="00E46869"/>
    <w:rsid w:val="00E46ACF"/>
    <w:rsid w:val="00E46B7F"/>
    <w:rsid w:val="00E46C0E"/>
    <w:rsid w:val="00E46D33"/>
    <w:rsid w:val="00E46DFE"/>
    <w:rsid w:val="00E46EAB"/>
    <w:rsid w:val="00E46F3C"/>
    <w:rsid w:val="00E470AF"/>
    <w:rsid w:val="00E471D0"/>
    <w:rsid w:val="00E47280"/>
    <w:rsid w:val="00E4737A"/>
    <w:rsid w:val="00E4741D"/>
    <w:rsid w:val="00E47846"/>
    <w:rsid w:val="00E479B6"/>
    <w:rsid w:val="00E479F5"/>
    <w:rsid w:val="00E47B40"/>
    <w:rsid w:val="00E47CA6"/>
    <w:rsid w:val="00E47D9D"/>
    <w:rsid w:val="00E47FC3"/>
    <w:rsid w:val="00E50126"/>
    <w:rsid w:val="00E501E3"/>
    <w:rsid w:val="00E502E9"/>
    <w:rsid w:val="00E504DE"/>
    <w:rsid w:val="00E50628"/>
    <w:rsid w:val="00E506DF"/>
    <w:rsid w:val="00E50979"/>
    <w:rsid w:val="00E50AE8"/>
    <w:rsid w:val="00E50D54"/>
    <w:rsid w:val="00E513BA"/>
    <w:rsid w:val="00E513FB"/>
    <w:rsid w:val="00E5152C"/>
    <w:rsid w:val="00E5165D"/>
    <w:rsid w:val="00E51666"/>
    <w:rsid w:val="00E5187E"/>
    <w:rsid w:val="00E51901"/>
    <w:rsid w:val="00E519EE"/>
    <w:rsid w:val="00E519F6"/>
    <w:rsid w:val="00E51A7D"/>
    <w:rsid w:val="00E51A9C"/>
    <w:rsid w:val="00E51B88"/>
    <w:rsid w:val="00E51C16"/>
    <w:rsid w:val="00E51C58"/>
    <w:rsid w:val="00E51D00"/>
    <w:rsid w:val="00E51F55"/>
    <w:rsid w:val="00E51FA5"/>
    <w:rsid w:val="00E523E0"/>
    <w:rsid w:val="00E525B3"/>
    <w:rsid w:val="00E52706"/>
    <w:rsid w:val="00E52E46"/>
    <w:rsid w:val="00E52E8B"/>
    <w:rsid w:val="00E52EB5"/>
    <w:rsid w:val="00E53049"/>
    <w:rsid w:val="00E53087"/>
    <w:rsid w:val="00E531C1"/>
    <w:rsid w:val="00E5339A"/>
    <w:rsid w:val="00E5341D"/>
    <w:rsid w:val="00E53422"/>
    <w:rsid w:val="00E5349E"/>
    <w:rsid w:val="00E53630"/>
    <w:rsid w:val="00E53819"/>
    <w:rsid w:val="00E53A9E"/>
    <w:rsid w:val="00E53D34"/>
    <w:rsid w:val="00E54069"/>
    <w:rsid w:val="00E541C2"/>
    <w:rsid w:val="00E54286"/>
    <w:rsid w:val="00E543D7"/>
    <w:rsid w:val="00E54470"/>
    <w:rsid w:val="00E544AE"/>
    <w:rsid w:val="00E545B9"/>
    <w:rsid w:val="00E54709"/>
    <w:rsid w:val="00E548FA"/>
    <w:rsid w:val="00E548FF"/>
    <w:rsid w:val="00E54A9A"/>
    <w:rsid w:val="00E54B70"/>
    <w:rsid w:val="00E54C3E"/>
    <w:rsid w:val="00E54CE8"/>
    <w:rsid w:val="00E54F1A"/>
    <w:rsid w:val="00E54FCE"/>
    <w:rsid w:val="00E55199"/>
    <w:rsid w:val="00E551FF"/>
    <w:rsid w:val="00E55325"/>
    <w:rsid w:val="00E55590"/>
    <w:rsid w:val="00E5562E"/>
    <w:rsid w:val="00E5566D"/>
    <w:rsid w:val="00E556F9"/>
    <w:rsid w:val="00E5588D"/>
    <w:rsid w:val="00E55A5B"/>
    <w:rsid w:val="00E55ADC"/>
    <w:rsid w:val="00E55B4E"/>
    <w:rsid w:val="00E55BC4"/>
    <w:rsid w:val="00E55C6E"/>
    <w:rsid w:val="00E55E66"/>
    <w:rsid w:val="00E55F4E"/>
    <w:rsid w:val="00E55FF4"/>
    <w:rsid w:val="00E560FE"/>
    <w:rsid w:val="00E561A1"/>
    <w:rsid w:val="00E56273"/>
    <w:rsid w:val="00E56445"/>
    <w:rsid w:val="00E56681"/>
    <w:rsid w:val="00E567A7"/>
    <w:rsid w:val="00E567CB"/>
    <w:rsid w:val="00E56887"/>
    <w:rsid w:val="00E56A12"/>
    <w:rsid w:val="00E56A1C"/>
    <w:rsid w:val="00E56AA9"/>
    <w:rsid w:val="00E56AF5"/>
    <w:rsid w:val="00E56EBE"/>
    <w:rsid w:val="00E5709F"/>
    <w:rsid w:val="00E5744D"/>
    <w:rsid w:val="00E574A7"/>
    <w:rsid w:val="00E575BC"/>
    <w:rsid w:val="00E576F1"/>
    <w:rsid w:val="00E578B6"/>
    <w:rsid w:val="00E57942"/>
    <w:rsid w:val="00E57972"/>
    <w:rsid w:val="00E579C8"/>
    <w:rsid w:val="00E57A30"/>
    <w:rsid w:val="00E57C67"/>
    <w:rsid w:val="00E57CF6"/>
    <w:rsid w:val="00E57F40"/>
    <w:rsid w:val="00E57F77"/>
    <w:rsid w:val="00E60176"/>
    <w:rsid w:val="00E60245"/>
    <w:rsid w:val="00E603CB"/>
    <w:rsid w:val="00E60523"/>
    <w:rsid w:val="00E60683"/>
    <w:rsid w:val="00E60777"/>
    <w:rsid w:val="00E608D8"/>
    <w:rsid w:val="00E60917"/>
    <w:rsid w:val="00E60A3C"/>
    <w:rsid w:val="00E60A6C"/>
    <w:rsid w:val="00E60A75"/>
    <w:rsid w:val="00E60B0A"/>
    <w:rsid w:val="00E60B6B"/>
    <w:rsid w:val="00E60C9A"/>
    <w:rsid w:val="00E60E1C"/>
    <w:rsid w:val="00E61020"/>
    <w:rsid w:val="00E612BA"/>
    <w:rsid w:val="00E61555"/>
    <w:rsid w:val="00E61565"/>
    <w:rsid w:val="00E619E3"/>
    <w:rsid w:val="00E619FD"/>
    <w:rsid w:val="00E61AC5"/>
    <w:rsid w:val="00E61B35"/>
    <w:rsid w:val="00E61BFD"/>
    <w:rsid w:val="00E61D91"/>
    <w:rsid w:val="00E61F49"/>
    <w:rsid w:val="00E6215D"/>
    <w:rsid w:val="00E623EE"/>
    <w:rsid w:val="00E62668"/>
    <w:rsid w:val="00E626BB"/>
    <w:rsid w:val="00E62806"/>
    <w:rsid w:val="00E62AC9"/>
    <w:rsid w:val="00E62B27"/>
    <w:rsid w:val="00E62D69"/>
    <w:rsid w:val="00E631AA"/>
    <w:rsid w:val="00E6330A"/>
    <w:rsid w:val="00E635C6"/>
    <w:rsid w:val="00E636A0"/>
    <w:rsid w:val="00E637B1"/>
    <w:rsid w:val="00E637E3"/>
    <w:rsid w:val="00E638C6"/>
    <w:rsid w:val="00E63988"/>
    <w:rsid w:val="00E63A4A"/>
    <w:rsid w:val="00E64371"/>
    <w:rsid w:val="00E64424"/>
    <w:rsid w:val="00E64425"/>
    <w:rsid w:val="00E64706"/>
    <w:rsid w:val="00E64823"/>
    <w:rsid w:val="00E64A0E"/>
    <w:rsid w:val="00E64C8C"/>
    <w:rsid w:val="00E64D29"/>
    <w:rsid w:val="00E64E72"/>
    <w:rsid w:val="00E64FA3"/>
    <w:rsid w:val="00E650C7"/>
    <w:rsid w:val="00E65183"/>
    <w:rsid w:val="00E6520E"/>
    <w:rsid w:val="00E652EE"/>
    <w:rsid w:val="00E6591D"/>
    <w:rsid w:val="00E6595B"/>
    <w:rsid w:val="00E659E5"/>
    <w:rsid w:val="00E65B1E"/>
    <w:rsid w:val="00E65B3F"/>
    <w:rsid w:val="00E65C0C"/>
    <w:rsid w:val="00E65D79"/>
    <w:rsid w:val="00E661A9"/>
    <w:rsid w:val="00E667D0"/>
    <w:rsid w:val="00E66821"/>
    <w:rsid w:val="00E669D3"/>
    <w:rsid w:val="00E66BD6"/>
    <w:rsid w:val="00E66CCE"/>
    <w:rsid w:val="00E66D9D"/>
    <w:rsid w:val="00E66EFF"/>
    <w:rsid w:val="00E670C5"/>
    <w:rsid w:val="00E67153"/>
    <w:rsid w:val="00E6731F"/>
    <w:rsid w:val="00E673F2"/>
    <w:rsid w:val="00E67457"/>
    <w:rsid w:val="00E67469"/>
    <w:rsid w:val="00E67AF2"/>
    <w:rsid w:val="00E67B08"/>
    <w:rsid w:val="00E67B0D"/>
    <w:rsid w:val="00E67E23"/>
    <w:rsid w:val="00E703DA"/>
    <w:rsid w:val="00E70403"/>
    <w:rsid w:val="00E70649"/>
    <w:rsid w:val="00E707E5"/>
    <w:rsid w:val="00E70D81"/>
    <w:rsid w:val="00E70E6C"/>
    <w:rsid w:val="00E70ECB"/>
    <w:rsid w:val="00E70FB7"/>
    <w:rsid w:val="00E71069"/>
    <w:rsid w:val="00E71098"/>
    <w:rsid w:val="00E7110D"/>
    <w:rsid w:val="00E711B6"/>
    <w:rsid w:val="00E711E3"/>
    <w:rsid w:val="00E7123A"/>
    <w:rsid w:val="00E7126D"/>
    <w:rsid w:val="00E713D5"/>
    <w:rsid w:val="00E714EB"/>
    <w:rsid w:val="00E71583"/>
    <w:rsid w:val="00E7166B"/>
    <w:rsid w:val="00E7167C"/>
    <w:rsid w:val="00E71755"/>
    <w:rsid w:val="00E71796"/>
    <w:rsid w:val="00E7180F"/>
    <w:rsid w:val="00E719E0"/>
    <w:rsid w:val="00E71A39"/>
    <w:rsid w:val="00E71A3B"/>
    <w:rsid w:val="00E71AB1"/>
    <w:rsid w:val="00E71B65"/>
    <w:rsid w:val="00E71B68"/>
    <w:rsid w:val="00E71B6F"/>
    <w:rsid w:val="00E71D10"/>
    <w:rsid w:val="00E71D2B"/>
    <w:rsid w:val="00E71D44"/>
    <w:rsid w:val="00E71D52"/>
    <w:rsid w:val="00E71E13"/>
    <w:rsid w:val="00E71F61"/>
    <w:rsid w:val="00E71FF4"/>
    <w:rsid w:val="00E72007"/>
    <w:rsid w:val="00E72175"/>
    <w:rsid w:val="00E7217A"/>
    <w:rsid w:val="00E721BC"/>
    <w:rsid w:val="00E7253D"/>
    <w:rsid w:val="00E7259E"/>
    <w:rsid w:val="00E727AC"/>
    <w:rsid w:val="00E72AE5"/>
    <w:rsid w:val="00E72C5F"/>
    <w:rsid w:val="00E72D2C"/>
    <w:rsid w:val="00E72D53"/>
    <w:rsid w:val="00E72FA4"/>
    <w:rsid w:val="00E72FD7"/>
    <w:rsid w:val="00E730AD"/>
    <w:rsid w:val="00E731B7"/>
    <w:rsid w:val="00E736C6"/>
    <w:rsid w:val="00E737A2"/>
    <w:rsid w:val="00E7398F"/>
    <w:rsid w:val="00E73ABE"/>
    <w:rsid w:val="00E73B7E"/>
    <w:rsid w:val="00E73BCF"/>
    <w:rsid w:val="00E73DEA"/>
    <w:rsid w:val="00E742BD"/>
    <w:rsid w:val="00E7454E"/>
    <w:rsid w:val="00E747E9"/>
    <w:rsid w:val="00E74870"/>
    <w:rsid w:val="00E74A94"/>
    <w:rsid w:val="00E74BDF"/>
    <w:rsid w:val="00E74C74"/>
    <w:rsid w:val="00E74CAD"/>
    <w:rsid w:val="00E74CC3"/>
    <w:rsid w:val="00E74EEC"/>
    <w:rsid w:val="00E74F2A"/>
    <w:rsid w:val="00E74F51"/>
    <w:rsid w:val="00E752DB"/>
    <w:rsid w:val="00E75421"/>
    <w:rsid w:val="00E7544F"/>
    <w:rsid w:val="00E75483"/>
    <w:rsid w:val="00E75954"/>
    <w:rsid w:val="00E75B7E"/>
    <w:rsid w:val="00E75DD6"/>
    <w:rsid w:val="00E75EE2"/>
    <w:rsid w:val="00E76086"/>
    <w:rsid w:val="00E76170"/>
    <w:rsid w:val="00E7656C"/>
    <w:rsid w:val="00E76643"/>
    <w:rsid w:val="00E76708"/>
    <w:rsid w:val="00E768AF"/>
    <w:rsid w:val="00E76A5B"/>
    <w:rsid w:val="00E76A9C"/>
    <w:rsid w:val="00E7709A"/>
    <w:rsid w:val="00E7730B"/>
    <w:rsid w:val="00E773F5"/>
    <w:rsid w:val="00E77581"/>
    <w:rsid w:val="00E77708"/>
    <w:rsid w:val="00E778D3"/>
    <w:rsid w:val="00E778FD"/>
    <w:rsid w:val="00E77962"/>
    <w:rsid w:val="00E779D6"/>
    <w:rsid w:val="00E77AFB"/>
    <w:rsid w:val="00E77B05"/>
    <w:rsid w:val="00E77C44"/>
    <w:rsid w:val="00E77C97"/>
    <w:rsid w:val="00E80210"/>
    <w:rsid w:val="00E80295"/>
    <w:rsid w:val="00E803DA"/>
    <w:rsid w:val="00E80555"/>
    <w:rsid w:val="00E805C5"/>
    <w:rsid w:val="00E806CE"/>
    <w:rsid w:val="00E80BDB"/>
    <w:rsid w:val="00E80C2D"/>
    <w:rsid w:val="00E80DD9"/>
    <w:rsid w:val="00E811DE"/>
    <w:rsid w:val="00E812AA"/>
    <w:rsid w:val="00E81361"/>
    <w:rsid w:val="00E8136E"/>
    <w:rsid w:val="00E81876"/>
    <w:rsid w:val="00E818BC"/>
    <w:rsid w:val="00E81947"/>
    <w:rsid w:val="00E819D1"/>
    <w:rsid w:val="00E81C4A"/>
    <w:rsid w:val="00E81D55"/>
    <w:rsid w:val="00E81F2D"/>
    <w:rsid w:val="00E8210C"/>
    <w:rsid w:val="00E82187"/>
    <w:rsid w:val="00E821E1"/>
    <w:rsid w:val="00E8241E"/>
    <w:rsid w:val="00E82493"/>
    <w:rsid w:val="00E825DB"/>
    <w:rsid w:val="00E826A3"/>
    <w:rsid w:val="00E82A16"/>
    <w:rsid w:val="00E82BF8"/>
    <w:rsid w:val="00E82C37"/>
    <w:rsid w:val="00E832D5"/>
    <w:rsid w:val="00E836BD"/>
    <w:rsid w:val="00E83818"/>
    <w:rsid w:val="00E8389C"/>
    <w:rsid w:val="00E83AF8"/>
    <w:rsid w:val="00E83B53"/>
    <w:rsid w:val="00E83DAB"/>
    <w:rsid w:val="00E840AE"/>
    <w:rsid w:val="00E8432F"/>
    <w:rsid w:val="00E8438A"/>
    <w:rsid w:val="00E845A5"/>
    <w:rsid w:val="00E848FA"/>
    <w:rsid w:val="00E84A25"/>
    <w:rsid w:val="00E84C4C"/>
    <w:rsid w:val="00E84CD1"/>
    <w:rsid w:val="00E84CDF"/>
    <w:rsid w:val="00E84E2D"/>
    <w:rsid w:val="00E84E92"/>
    <w:rsid w:val="00E8509B"/>
    <w:rsid w:val="00E85210"/>
    <w:rsid w:val="00E852F1"/>
    <w:rsid w:val="00E857BA"/>
    <w:rsid w:val="00E85844"/>
    <w:rsid w:val="00E85A7C"/>
    <w:rsid w:val="00E85D49"/>
    <w:rsid w:val="00E85D8D"/>
    <w:rsid w:val="00E85ED6"/>
    <w:rsid w:val="00E85EE1"/>
    <w:rsid w:val="00E85FD0"/>
    <w:rsid w:val="00E86213"/>
    <w:rsid w:val="00E86AB2"/>
    <w:rsid w:val="00E86E03"/>
    <w:rsid w:val="00E86F38"/>
    <w:rsid w:val="00E86F96"/>
    <w:rsid w:val="00E86F9E"/>
    <w:rsid w:val="00E870B3"/>
    <w:rsid w:val="00E87341"/>
    <w:rsid w:val="00E87365"/>
    <w:rsid w:val="00E87457"/>
    <w:rsid w:val="00E874AD"/>
    <w:rsid w:val="00E8752E"/>
    <w:rsid w:val="00E875A6"/>
    <w:rsid w:val="00E876C1"/>
    <w:rsid w:val="00E878AB"/>
    <w:rsid w:val="00E87B9F"/>
    <w:rsid w:val="00E87C76"/>
    <w:rsid w:val="00E87F4F"/>
    <w:rsid w:val="00E90297"/>
    <w:rsid w:val="00E902FA"/>
    <w:rsid w:val="00E9032E"/>
    <w:rsid w:val="00E90401"/>
    <w:rsid w:val="00E9044C"/>
    <w:rsid w:val="00E904C7"/>
    <w:rsid w:val="00E90604"/>
    <w:rsid w:val="00E9069C"/>
    <w:rsid w:val="00E90713"/>
    <w:rsid w:val="00E90864"/>
    <w:rsid w:val="00E90B19"/>
    <w:rsid w:val="00E90D70"/>
    <w:rsid w:val="00E90FAB"/>
    <w:rsid w:val="00E9105D"/>
    <w:rsid w:val="00E91095"/>
    <w:rsid w:val="00E9115C"/>
    <w:rsid w:val="00E91474"/>
    <w:rsid w:val="00E91545"/>
    <w:rsid w:val="00E9163C"/>
    <w:rsid w:val="00E91640"/>
    <w:rsid w:val="00E917C7"/>
    <w:rsid w:val="00E91938"/>
    <w:rsid w:val="00E91A2F"/>
    <w:rsid w:val="00E91C10"/>
    <w:rsid w:val="00E91D5A"/>
    <w:rsid w:val="00E91D6D"/>
    <w:rsid w:val="00E91E22"/>
    <w:rsid w:val="00E91F12"/>
    <w:rsid w:val="00E92016"/>
    <w:rsid w:val="00E9209F"/>
    <w:rsid w:val="00E921C9"/>
    <w:rsid w:val="00E921F9"/>
    <w:rsid w:val="00E92306"/>
    <w:rsid w:val="00E92445"/>
    <w:rsid w:val="00E9277B"/>
    <w:rsid w:val="00E928D7"/>
    <w:rsid w:val="00E92936"/>
    <w:rsid w:val="00E9295B"/>
    <w:rsid w:val="00E92CF3"/>
    <w:rsid w:val="00E92D6D"/>
    <w:rsid w:val="00E92E03"/>
    <w:rsid w:val="00E9314C"/>
    <w:rsid w:val="00E931ED"/>
    <w:rsid w:val="00E93522"/>
    <w:rsid w:val="00E935F2"/>
    <w:rsid w:val="00E93717"/>
    <w:rsid w:val="00E937A2"/>
    <w:rsid w:val="00E939AD"/>
    <w:rsid w:val="00E93BBB"/>
    <w:rsid w:val="00E93C4F"/>
    <w:rsid w:val="00E93F51"/>
    <w:rsid w:val="00E94000"/>
    <w:rsid w:val="00E9412B"/>
    <w:rsid w:val="00E9427E"/>
    <w:rsid w:val="00E94308"/>
    <w:rsid w:val="00E94A09"/>
    <w:rsid w:val="00E94AA2"/>
    <w:rsid w:val="00E94B7B"/>
    <w:rsid w:val="00E94FF7"/>
    <w:rsid w:val="00E95001"/>
    <w:rsid w:val="00E95132"/>
    <w:rsid w:val="00E9528C"/>
    <w:rsid w:val="00E95717"/>
    <w:rsid w:val="00E95730"/>
    <w:rsid w:val="00E9576A"/>
    <w:rsid w:val="00E958CC"/>
    <w:rsid w:val="00E95919"/>
    <w:rsid w:val="00E959D0"/>
    <w:rsid w:val="00E95B09"/>
    <w:rsid w:val="00E95DEA"/>
    <w:rsid w:val="00E9610B"/>
    <w:rsid w:val="00E96116"/>
    <w:rsid w:val="00E964EE"/>
    <w:rsid w:val="00E965B4"/>
    <w:rsid w:val="00E96605"/>
    <w:rsid w:val="00E96628"/>
    <w:rsid w:val="00E96677"/>
    <w:rsid w:val="00E9669F"/>
    <w:rsid w:val="00E96738"/>
    <w:rsid w:val="00E96AC7"/>
    <w:rsid w:val="00E96B02"/>
    <w:rsid w:val="00E96D71"/>
    <w:rsid w:val="00E96DFF"/>
    <w:rsid w:val="00E96EC7"/>
    <w:rsid w:val="00E96F30"/>
    <w:rsid w:val="00E9716B"/>
    <w:rsid w:val="00E971B1"/>
    <w:rsid w:val="00E973FF"/>
    <w:rsid w:val="00E97526"/>
    <w:rsid w:val="00E97734"/>
    <w:rsid w:val="00E97A2A"/>
    <w:rsid w:val="00E97A89"/>
    <w:rsid w:val="00E97AA3"/>
    <w:rsid w:val="00E97D39"/>
    <w:rsid w:val="00E97E01"/>
    <w:rsid w:val="00E97E3B"/>
    <w:rsid w:val="00E97F76"/>
    <w:rsid w:val="00EA020D"/>
    <w:rsid w:val="00EA05F0"/>
    <w:rsid w:val="00EA06B7"/>
    <w:rsid w:val="00EA0739"/>
    <w:rsid w:val="00EA08D9"/>
    <w:rsid w:val="00EA0915"/>
    <w:rsid w:val="00EA0C51"/>
    <w:rsid w:val="00EA0D36"/>
    <w:rsid w:val="00EA0F06"/>
    <w:rsid w:val="00EA125B"/>
    <w:rsid w:val="00EA1333"/>
    <w:rsid w:val="00EA14B5"/>
    <w:rsid w:val="00EA15E7"/>
    <w:rsid w:val="00EA168E"/>
    <w:rsid w:val="00EA16FB"/>
    <w:rsid w:val="00EA1791"/>
    <w:rsid w:val="00EA190F"/>
    <w:rsid w:val="00EA1A48"/>
    <w:rsid w:val="00EA1B8E"/>
    <w:rsid w:val="00EA1C31"/>
    <w:rsid w:val="00EA1DCB"/>
    <w:rsid w:val="00EA23DB"/>
    <w:rsid w:val="00EA250E"/>
    <w:rsid w:val="00EA2531"/>
    <w:rsid w:val="00EA2593"/>
    <w:rsid w:val="00EA2754"/>
    <w:rsid w:val="00EA2761"/>
    <w:rsid w:val="00EA2B1C"/>
    <w:rsid w:val="00EA2B81"/>
    <w:rsid w:val="00EA2BC4"/>
    <w:rsid w:val="00EA2C0C"/>
    <w:rsid w:val="00EA2CC4"/>
    <w:rsid w:val="00EA2D59"/>
    <w:rsid w:val="00EA2F30"/>
    <w:rsid w:val="00EA3068"/>
    <w:rsid w:val="00EA30BF"/>
    <w:rsid w:val="00EA3459"/>
    <w:rsid w:val="00EA3544"/>
    <w:rsid w:val="00EA3631"/>
    <w:rsid w:val="00EA3A70"/>
    <w:rsid w:val="00EA3AC1"/>
    <w:rsid w:val="00EA3AE1"/>
    <w:rsid w:val="00EA3CEE"/>
    <w:rsid w:val="00EA3E74"/>
    <w:rsid w:val="00EA3EDE"/>
    <w:rsid w:val="00EA3EE4"/>
    <w:rsid w:val="00EA3FCA"/>
    <w:rsid w:val="00EA3FED"/>
    <w:rsid w:val="00EA40AF"/>
    <w:rsid w:val="00EA411F"/>
    <w:rsid w:val="00EA41C6"/>
    <w:rsid w:val="00EA41F1"/>
    <w:rsid w:val="00EA442D"/>
    <w:rsid w:val="00EA44CB"/>
    <w:rsid w:val="00EA47A4"/>
    <w:rsid w:val="00EA4AB6"/>
    <w:rsid w:val="00EA4CED"/>
    <w:rsid w:val="00EA52E4"/>
    <w:rsid w:val="00EA5349"/>
    <w:rsid w:val="00EA5591"/>
    <w:rsid w:val="00EA55D3"/>
    <w:rsid w:val="00EA5639"/>
    <w:rsid w:val="00EA586B"/>
    <w:rsid w:val="00EA5973"/>
    <w:rsid w:val="00EA598F"/>
    <w:rsid w:val="00EA5A48"/>
    <w:rsid w:val="00EA5A87"/>
    <w:rsid w:val="00EA5E6D"/>
    <w:rsid w:val="00EA5F37"/>
    <w:rsid w:val="00EA5FEC"/>
    <w:rsid w:val="00EA6037"/>
    <w:rsid w:val="00EA61FF"/>
    <w:rsid w:val="00EA6326"/>
    <w:rsid w:val="00EA6384"/>
    <w:rsid w:val="00EA64DB"/>
    <w:rsid w:val="00EA665D"/>
    <w:rsid w:val="00EA66A3"/>
    <w:rsid w:val="00EA683C"/>
    <w:rsid w:val="00EA6A8F"/>
    <w:rsid w:val="00EA6B7C"/>
    <w:rsid w:val="00EA6BC7"/>
    <w:rsid w:val="00EA6CA7"/>
    <w:rsid w:val="00EA6FDA"/>
    <w:rsid w:val="00EA74C3"/>
    <w:rsid w:val="00EA75F5"/>
    <w:rsid w:val="00EA7752"/>
    <w:rsid w:val="00EA77FD"/>
    <w:rsid w:val="00EA7822"/>
    <w:rsid w:val="00EB006B"/>
    <w:rsid w:val="00EB01F7"/>
    <w:rsid w:val="00EB0253"/>
    <w:rsid w:val="00EB02A9"/>
    <w:rsid w:val="00EB035B"/>
    <w:rsid w:val="00EB03E6"/>
    <w:rsid w:val="00EB0457"/>
    <w:rsid w:val="00EB0610"/>
    <w:rsid w:val="00EB06E7"/>
    <w:rsid w:val="00EB0898"/>
    <w:rsid w:val="00EB08B1"/>
    <w:rsid w:val="00EB09C3"/>
    <w:rsid w:val="00EB0B8A"/>
    <w:rsid w:val="00EB0CD7"/>
    <w:rsid w:val="00EB0CF3"/>
    <w:rsid w:val="00EB0F19"/>
    <w:rsid w:val="00EB0F3F"/>
    <w:rsid w:val="00EB0FA3"/>
    <w:rsid w:val="00EB11A1"/>
    <w:rsid w:val="00EB130A"/>
    <w:rsid w:val="00EB13CF"/>
    <w:rsid w:val="00EB14B5"/>
    <w:rsid w:val="00EB1791"/>
    <w:rsid w:val="00EB17F7"/>
    <w:rsid w:val="00EB1BB1"/>
    <w:rsid w:val="00EB2005"/>
    <w:rsid w:val="00EB21DC"/>
    <w:rsid w:val="00EB2467"/>
    <w:rsid w:val="00EB291D"/>
    <w:rsid w:val="00EB2C59"/>
    <w:rsid w:val="00EB2D21"/>
    <w:rsid w:val="00EB2EFD"/>
    <w:rsid w:val="00EB2F9E"/>
    <w:rsid w:val="00EB302C"/>
    <w:rsid w:val="00EB3385"/>
    <w:rsid w:val="00EB361B"/>
    <w:rsid w:val="00EB3894"/>
    <w:rsid w:val="00EB395A"/>
    <w:rsid w:val="00EB3A7B"/>
    <w:rsid w:val="00EB3CE2"/>
    <w:rsid w:val="00EB3CE4"/>
    <w:rsid w:val="00EB3F40"/>
    <w:rsid w:val="00EB4058"/>
    <w:rsid w:val="00EB40EB"/>
    <w:rsid w:val="00EB4182"/>
    <w:rsid w:val="00EB42C6"/>
    <w:rsid w:val="00EB4306"/>
    <w:rsid w:val="00EB4350"/>
    <w:rsid w:val="00EB4454"/>
    <w:rsid w:val="00EB4476"/>
    <w:rsid w:val="00EB447A"/>
    <w:rsid w:val="00EB44E9"/>
    <w:rsid w:val="00EB45AD"/>
    <w:rsid w:val="00EB460B"/>
    <w:rsid w:val="00EB477A"/>
    <w:rsid w:val="00EB4802"/>
    <w:rsid w:val="00EB4850"/>
    <w:rsid w:val="00EB4AFF"/>
    <w:rsid w:val="00EB4B1D"/>
    <w:rsid w:val="00EB4B4C"/>
    <w:rsid w:val="00EB4F21"/>
    <w:rsid w:val="00EB5085"/>
    <w:rsid w:val="00EB5295"/>
    <w:rsid w:val="00EB56D4"/>
    <w:rsid w:val="00EB5746"/>
    <w:rsid w:val="00EB5C50"/>
    <w:rsid w:val="00EB5C5E"/>
    <w:rsid w:val="00EB5DC2"/>
    <w:rsid w:val="00EB5F45"/>
    <w:rsid w:val="00EB6114"/>
    <w:rsid w:val="00EB62C9"/>
    <w:rsid w:val="00EB6650"/>
    <w:rsid w:val="00EB67FF"/>
    <w:rsid w:val="00EB69B9"/>
    <w:rsid w:val="00EB6A3D"/>
    <w:rsid w:val="00EB6CFB"/>
    <w:rsid w:val="00EB70DA"/>
    <w:rsid w:val="00EB7235"/>
    <w:rsid w:val="00EB7376"/>
    <w:rsid w:val="00EB739F"/>
    <w:rsid w:val="00EB751A"/>
    <w:rsid w:val="00EB7717"/>
    <w:rsid w:val="00EB7725"/>
    <w:rsid w:val="00EB77E4"/>
    <w:rsid w:val="00EB7AA7"/>
    <w:rsid w:val="00EB7BAE"/>
    <w:rsid w:val="00EB7BEB"/>
    <w:rsid w:val="00EB7D85"/>
    <w:rsid w:val="00EB7FA6"/>
    <w:rsid w:val="00EC000C"/>
    <w:rsid w:val="00EC00FF"/>
    <w:rsid w:val="00EC02D0"/>
    <w:rsid w:val="00EC042B"/>
    <w:rsid w:val="00EC0501"/>
    <w:rsid w:val="00EC08F5"/>
    <w:rsid w:val="00EC0912"/>
    <w:rsid w:val="00EC0A2A"/>
    <w:rsid w:val="00EC0A56"/>
    <w:rsid w:val="00EC0AC4"/>
    <w:rsid w:val="00EC0B4E"/>
    <w:rsid w:val="00EC0BEE"/>
    <w:rsid w:val="00EC0F7D"/>
    <w:rsid w:val="00EC1258"/>
    <w:rsid w:val="00EC1402"/>
    <w:rsid w:val="00EC1405"/>
    <w:rsid w:val="00EC146C"/>
    <w:rsid w:val="00EC1640"/>
    <w:rsid w:val="00EC178A"/>
    <w:rsid w:val="00EC192C"/>
    <w:rsid w:val="00EC1B6B"/>
    <w:rsid w:val="00EC1C9E"/>
    <w:rsid w:val="00EC1E10"/>
    <w:rsid w:val="00EC1E2E"/>
    <w:rsid w:val="00EC1F8E"/>
    <w:rsid w:val="00EC1FF5"/>
    <w:rsid w:val="00EC20D4"/>
    <w:rsid w:val="00EC2181"/>
    <w:rsid w:val="00EC2379"/>
    <w:rsid w:val="00EC24B3"/>
    <w:rsid w:val="00EC2512"/>
    <w:rsid w:val="00EC2566"/>
    <w:rsid w:val="00EC2905"/>
    <w:rsid w:val="00EC2B2F"/>
    <w:rsid w:val="00EC2D11"/>
    <w:rsid w:val="00EC2F2A"/>
    <w:rsid w:val="00EC2FDA"/>
    <w:rsid w:val="00EC308F"/>
    <w:rsid w:val="00EC32A6"/>
    <w:rsid w:val="00EC33D3"/>
    <w:rsid w:val="00EC3485"/>
    <w:rsid w:val="00EC350A"/>
    <w:rsid w:val="00EC361E"/>
    <w:rsid w:val="00EC3635"/>
    <w:rsid w:val="00EC367C"/>
    <w:rsid w:val="00EC38B0"/>
    <w:rsid w:val="00EC39BF"/>
    <w:rsid w:val="00EC3B38"/>
    <w:rsid w:val="00EC3B7E"/>
    <w:rsid w:val="00EC3CEB"/>
    <w:rsid w:val="00EC3CF9"/>
    <w:rsid w:val="00EC4549"/>
    <w:rsid w:val="00EC4576"/>
    <w:rsid w:val="00EC47F3"/>
    <w:rsid w:val="00EC49B1"/>
    <w:rsid w:val="00EC4ADD"/>
    <w:rsid w:val="00EC4C96"/>
    <w:rsid w:val="00EC4D1B"/>
    <w:rsid w:val="00EC4D56"/>
    <w:rsid w:val="00EC4E31"/>
    <w:rsid w:val="00EC4E33"/>
    <w:rsid w:val="00EC4E37"/>
    <w:rsid w:val="00EC4EB1"/>
    <w:rsid w:val="00EC4F9B"/>
    <w:rsid w:val="00EC516F"/>
    <w:rsid w:val="00EC5395"/>
    <w:rsid w:val="00EC5589"/>
    <w:rsid w:val="00EC5786"/>
    <w:rsid w:val="00EC5828"/>
    <w:rsid w:val="00EC59BB"/>
    <w:rsid w:val="00EC59E7"/>
    <w:rsid w:val="00EC5A25"/>
    <w:rsid w:val="00EC5BFC"/>
    <w:rsid w:val="00EC5C9D"/>
    <w:rsid w:val="00EC5DD6"/>
    <w:rsid w:val="00EC5DEC"/>
    <w:rsid w:val="00EC5DFF"/>
    <w:rsid w:val="00EC5EF9"/>
    <w:rsid w:val="00EC60AC"/>
    <w:rsid w:val="00EC64AA"/>
    <w:rsid w:val="00EC6540"/>
    <w:rsid w:val="00EC655D"/>
    <w:rsid w:val="00EC6A09"/>
    <w:rsid w:val="00EC6C32"/>
    <w:rsid w:val="00EC6CAF"/>
    <w:rsid w:val="00EC6D32"/>
    <w:rsid w:val="00EC6DDE"/>
    <w:rsid w:val="00EC6F30"/>
    <w:rsid w:val="00EC6FDE"/>
    <w:rsid w:val="00EC6FF8"/>
    <w:rsid w:val="00EC7016"/>
    <w:rsid w:val="00EC7042"/>
    <w:rsid w:val="00EC7093"/>
    <w:rsid w:val="00EC72C4"/>
    <w:rsid w:val="00EC7A2C"/>
    <w:rsid w:val="00EC7A5C"/>
    <w:rsid w:val="00EC7AF9"/>
    <w:rsid w:val="00EC7AFE"/>
    <w:rsid w:val="00EC7BF9"/>
    <w:rsid w:val="00EC7C20"/>
    <w:rsid w:val="00EC7D97"/>
    <w:rsid w:val="00EC7DE7"/>
    <w:rsid w:val="00EC7E64"/>
    <w:rsid w:val="00EC7F07"/>
    <w:rsid w:val="00ED014D"/>
    <w:rsid w:val="00ED03A7"/>
    <w:rsid w:val="00ED03F0"/>
    <w:rsid w:val="00ED041D"/>
    <w:rsid w:val="00ED0769"/>
    <w:rsid w:val="00ED089D"/>
    <w:rsid w:val="00ED0939"/>
    <w:rsid w:val="00ED0953"/>
    <w:rsid w:val="00ED09E2"/>
    <w:rsid w:val="00ED09E4"/>
    <w:rsid w:val="00ED0A86"/>
    <w:rsid w:val="00ED0AA2"/>
    <w:rsid w:val="00ED0ECB"/>
    <w:rsid w:val="00ED0FAF"/>
    <w:rsid w:val="00ED10D3"/>
    <w:rsid w:val="00ED1144"/>
    <w:rsid w:val="00ED13D8"/>
    <w:rsid w:val="00ED16CA"/>
    <w:rsid w:val="00ED173B"/>
    <w:rsid w:val="00ED1AA2"/>
    <w:rsid w:val="00ED1B4A"/>
    <w:rsid w:val="00ED1B82"/>
    <w:rsid w:val="00ED1C59"/>
    <w:rsid w:val="00ED1C6C"/>
    <w:rsid w:val="00ED1E9E"/>
    <w:rsid w:val="00ED1EB4"/>
    <w:rsid w:val="00ED1EC0"/>
    <w:rsid w:val="00ED1F64"/>
    <w:rsid w:val="00ED200C"/>
    <w:rsid w:val="00ED207B"/>
    <w:rsid w:val="00ED20EC"/>
    <w:rsid w:val="00ED2105"/>
    <w:rsid w:val="00ED2134"/>
    <w:rsid w:val="00ED2225"/>
    <w:rsid w:val="00ED22FD"/>
    <w:rsid w:val="00ED24B6"/>
    <w:rsid w:val="00ED2705"/>
    <w:rsid w:val="00ED288E"/>
    <w:rsid w:val="00ED2B88"/>
    <w:rsid w:val="00ED3179"/>
    <w:rsid w:val="00ED3252"/>
    <w:rsid w:val="00ED3318"/>
    <w:rsid w:val="00ED342A"/>
    <w:rsid w:val="00ED34FB"/>
    <w:rsid w:val="00ED37B8"/>
    <w:rsid w:val="00ED38DA"/>
    <w:rsid w:val="00ED3924"/>
    <w:rsid w:val="00ED39C2"/>
    <w:rsid w:val="00ED3A4F"/>
    <w:rsid w:val="00ED3B40"/>
    <w:rsid w:val="00ED3B6F"/>
    <w:rsid w:val="00ED3DA4"/>
    <w:rsid w:val="00ED3F2C"/>
    <w:rsid w:val="00ED3FF2"/>
    <w:rsid w:val="00ED41EC"/>
    <w:rsid w:val="00ED4B80"/>
    <w:rsid w:val="00ED4B8A"/>
    <w:rsid w:val="00ED4BE8"/>
    <w:rsid w:val="00ED4F63"/>
    <w:rsid w:val="00ED5440"/>
    <w:rsid w:val="00ED55C6"/>
    <w:rsid w:val="00ED584B"/>
    <w:rsid w:val="00ED5C57"/>
    <w:rsid w:val="00ED5D8E"/>
    <w:rsid w:val="00ED5D9C"/>
    <w:rsid w:val="00ED5E37"/>
    <w:rsid w:val="00ED62DA"/>
    <w:rsid w:val="00ED69B3"/>
    <w:rsid w:val="00ED69BD"/>
    <w:rsid w:val="00ED6BE8"/>
    <w:rsid w:val="00ED6C2D"/>
    <w:rsid w:val="00ED6F2F"/>
    <w:rsid w:val="00ED7080"/>
    <w:rsid w:val="00ED70FA"/>
    <w:rsid w:val="00ED72C1"/>
    <w:rsid w:val="00ED72C3"/>
    <w:rsid w:val="00ED7449"/>
    <w:rsid w:val="00ED7928"/>
    <w:rsid w:val="00ED7959"/>
    <w:rsid w:val="00ED7D21"/>
    <w:rsid w:val="00ED7F6D"/>
    <w:rsid w:val="00EE0247"/>
    <w:rsid w:val="00EE026B"/>
    <w:rsid w:val="00EE02D9"/>
    <w:rsid w:val="00EE0307"/>
    <w:rsid w:val="00EE0439"/>
    <w:rsid w:val="00EE0593"/>
    <w:rsid w:val="00EE06DA"/>
    <w:rsid w:val="00EE0948"/>
    <w:rsid w:val="00EE09FF"/>
    <w:rsid w:val="00EE0B67"/>
    <w:rsid w:val="00EE0E57"/>
    <w:rsid w:val="00EE0FE8"/>
    <w:rsid w:val="00EE10B3"/>
    <w:rsid w:val="00EE1148"/>
    <w:rsid w:val="00EE1250"/>
    <w:rsid w:val="00EE143E"/>
    <w:rsid w:val="00EE1716"/>
    <w:rsid w:val="00EE17DC"/>
    <w:rsid w:val="00EE18BB"/>
    <w:rsid w:val="00EE19FE"/>
    <w:rsid w:val="00EE1A09"/>
    <w:rsid w:val="00EE1AB9"/>
    <w:rsid w:val="00EE1AD9"/>
    <w:rsid w:val="00EE1C34"/>
    <w:rsid w:val="00EE1D8A"/>
    <w:rsid w:val="00EE2041"/>
    <w:rsid w:val="00EE2079"/>
    <w:rsid w:val="00EE2090"/>
    <w:rsid w:val="00EE21AA"/>
    <w:rsid w:val="00EE2711"/>
    <w:rsid w:val="00EE2740"/>
    <w:rsid w:val="00EE2938"/>
    <w:rsid w:val="00EE2ADD"/>
    <w:rsid w:val="00EE2AE9"/>
    <w:rsid w:val="00EE2D2A"/>
    <w:rsid w:val="00EE3052"/>
    <w:rsid w:val="00EE3265"/>
    <w:rsid w:val="00EE328B"/>
    <w:rsid w:val="00EE3330"/>
    <w:rsid w:val="00EE36A4"/>
    <w:rsid w:val="00EE375D"/>
    <w:rsid w:val="00EE384C"/>
    <w:rsid w:val="00EE3AF5"/>
    <w:rsid w:val="00EE3B85"/>
    <w:rsid w:val="00EE3C3D"/>
    <w:rsid w:val="00EE3D75"/>
    <w:rsid w:val="00EE3F7E"/>
    <w:rsid w:val="00EE43D4"/>
    <w:rsid w:val="00EE440B"/>
    <w:rsid w:val="00EE4600"/>
    <w:rsid w:val="00EE46F5"/>
    <w:rsid w:val="00EE4BEF"/>
    <w:rsid w:val="00EE4C1D"/>
    <w:rsid w:val="00EE4D3E"/>
    <w:rsid w:val="00EE4D4C"/>
    <w:rsid w:val="00EE4DDD"/>
    <w:rsid w:val="00EE4F9C"/>
    <w:rsid w:val="00EE50E6"/>
    <w:rsid w:val="00EE5578"/>
    <w:rsid w:val="00EE560B"/>
    <w:rsid w:val="00EE598D"/>
    <w:rsid w:val="00EE59E8"/>
    <w:rsid w:val="00EE5BB4"/>
    <w:rsid w:val="00EE6071"/>
    <w:rsid w:val="00EE61D2"/>
    <w:rsid w:val="00EE62BA"/>
    <w:rsid w:val="00EE672D"/>
    <w:rsid w:val="00EE68BA"/>
    <w:rsid w:val="00EE692D"/>
    <w:rsid w:val="00EE6A53"/>
    <w:rsid w:val="00EE6B82"/>
    <w:rsid w:val="00EE6DC6"/>
    <w:rsid w:val="00EE70F5"/>
    <w:rsid w:val="00EE748F"/>
    <w:rsid w:val="00EE75B5"/>
    <w:rsid w:val="00EE7671"/>
    <w:rsid w:val="00EE76F2"/>
    <w:rsid w:val="00EE77E4"/>
    <w:rsid w:val="00EE7950"/>
    <w:rsid w:val="00EE7C98"/>
    <w:rsid w:val="00EE7D63"/>
    <w:rsid w:val="00EE7E1E"/>
    <w:rsid w:val="00EE7E29"/>
    <w:rsid w:val="00EE7F16"/>
    <w:rsid w:val="00EE7FBD"/>
    <w:rsid w:val="00EE7FC3"/>
    <w:rsid w:val="00EF001D"/>
    <w:rsid w:val="00EF003C"/>
    <w:rsid w:val="00EF0073"/>
    <w:rsid w:val="00EF01C7"/>
    <w:rsid w:val="00EF01FD"/>
    <w:rsid w:val="00EF0334"/>
    <w:rsid w:val="00EF04AB"/>
    <w:rsid w:val="00EF087C"/>
    <w:rsid w:val="00EF095C"/>
    <w:rsid w:val="00EF0B9A"/>
    <w:rsid w:val="00EF0D46"/>
    <w:rsid w:val="00EF0DC7"/>
    <w:rsid w:val="00EF142C"/>
    <w:rsid w:val="00EF1496"/>
    <w:rsid w:val="00EF1E50"/>
    <w:rsid w:val="00EF1F49"/>
    <w:rsid w:val="00EF211B"/>
    <w:rsid w:val="00EF2156"/>
    <w:rsid w:val="00EF25C4"/>
    <w:rsid w:val="00EF25F8"/>
    <w:rsid w:val="00EF270E"/>
    <w:rsid w:val="00EF271C"/>
    <w:rsid w:val="00EF273E"/>
    <w:rsid w:val="00EF274B"/>
    <w:rsid w:val="00EF28AB"/>
    <w:rsid w:val="00EF2A69"/>
    <w:rsid w:val="00EF2C6B"/>
    <w:rsid w:val="00EF2CE8"/>
    <w:rsid w:val="00EF2DD3"/>
    <w:rsid w:val="00EF2E57"/>
    <w:rsid w:val="00EF2ED1"/>
    <w:rsid w:val="00EF3015"/>
    <w:rsid w:val="00EF3035"/>
    <w:rsid w:val="00EF31E3"/>
    <w:rsid w:val="00EF3380"/>
    <w:rsid w:val="00EF35B5"/>
    <w:rsid w:val="00EF37AD"/>
    <w:rsid w:val="00EF3963"/>
    <w:rsid w:val="00EF396B"/>
    <w:rsid w:val="00EF3C17"/>
    <w:rsid w:val="00EF3C1C"/>
    <w:rsid w:val="00EF3F25"/>
    <w:rsid w:val="00EF3F64"/>
    <w:rsid w:val="00EF433F"/>
    <w:rsid w:val="00EF4977"/>
    <w:rsid w:val="00EF4983"/>
    <w:rsid w:val="00EF4C8A"/>
    <w:rsid w:val="00EF4CAC"/>
    <w:rsid w:val="00EF4CC5"/>
    <w:rsid w:val="00EF4E5C"/>
    <w:rsid w:val="00EF4FE1"/>
    <w:rsid w:val="00EF5130"/>
    <w:rsid w:val="00EF57C1"/>
    <w:rsid w:val="00EF59E0"/>
    <w:rsid w:val="00EF5A34"/>
    <w:rsid w:val="00EF5AEC"/>
    <w:rsid w:val="00EF60E1"/>
    <w:rsid w:val="00EF6127"/>
    <w:rsid w:val="00EF612E"/>
    <w:rsid w:val="00EF62A7"/>
    <w:rsid w:val="00EF672B"/>
    <w:rsid w:val="00EF6B66"/>
    <w:rsid w:val="00EF6CEA"/>
    <w:rsid w:val="00EF6E2F"/>
    <w:rsid w:val="00EF6FFF"/>
    <w:rsid w:val="00EF720F"/>
    <w:rsid w:val="00EF7329"/>
    <w:rsid w:val="00EF740C"/>
    <w:rsid w:val="00EF741A"/>
    <w:rsid w:val="00EF742A"/>
    <w:rsid w:val="00EF74B0"/>
    <w:rsid w:val="00EF770B"/>
    <w:rsid w:val="00EF775D"/>
    <w:rsid w:val="00EF78D4"/>
    <w:rsid w:val="00EF7B1D"/>
    <w:rsid w:val="00EF7B78"/>
    <w:rsid w:val="00EF7E5C"/>
    <w:rsid w:val="00F001FC"/>
    <w:rsid w:val="00F00219"/>
    <w:rsid w:val="00F002AE"/>
    <w:rsid w:val="00F00524"/>
    <w:rsid w:val="00F007D7"/>
    <w:rsid w:val="00F00975"/>
    <w:rsid w:val="00F00A7F"/>
    <w:rsid w:val="00F00AAA"/>
    <w:rsid w:val="00F00B82"/>
    <w:rsid w:val="00F00D49"/>
    <w:rsid w:val="00F00D80"/>
    <w:rsid w:val="00F00E9D"/>
    <w:rsid w:val="00F00EF1"/>
    <w:rsid w:val="00F0130A"/>
    <w:rsid w:val="00F0130B"/>
    <w:rsid w:val="00F014D2"/>
    <w:rsid w:val="00F015EB"/>
    <w:rsid w:val="00F01A13"/>
    <w:rsid w:val="00F01A30"/>
    <w:rsid w:val="00F01C91"/>
    <w:rsid w:val="00F01D59"/>
    <w:rsid w:val="00F01D97"/>
    <w:rsid w:val="00F01F86"/>
    <w:rsid w:val="00F02123"/>
    <w:rsid w:val="00F021FC"/>
    <w:rsid w:val="00F02295"/>
    <w:rsid w:val="00F02389"/>
    <w:rsid w:val="00F023EE"/>
    <w:rsid w:val="00F02469"/>
    <w:rsid w:val="00F027D9"/>
    <w:rsid w:val="00F02819"/>
    <w:rsid w:val="00F02A78"/>
    <w:rsid w:val="00F02ACD"/>
    <w:rsid w:val="00F02D18"/>
    <w:rsid w:val="00F02D50"/>
    <w:rsid w:val="00F02F44"/>
    <w:rsid w:val="00F0312D"/>
    <w:rsid w:val="00F0316F"/>
    <w:rsid w:val="00F032B5"/>
    <w:rsid w:val="00F032F9"/>
    <w:rsid w:val="00F03632"/>
    <w:rsid w:val="00F0366F"/>
    <w:rsid w:val="00F03706"/>
    <w:rsid w:val="00F03A1E"/>
    <w:rsid w:val="00F03B67"/>
    <w:rsid w:val="00F03B86"/>
    <w:rsid w:val="00F03C86"/>
    <w:rsid w:val="00F03CBA"/>
    <w:rsid w:val="00F03EC5"/>
    <w:rsid w:val="00F04025"/>
    <w:rsid w:val="00F040E5"/>
    <w:rsid w:val="00F0421B"/>
    <w:rsid w:val="00F044DD"/>
    <w:rsid w:val="00F047AE"/>
    <w:rsid w:val="00F04BD9"/>
    <w:rsid w:val="00F04CB4"/>
    <w:rsid w:val="00F04D49"/>
    <w:rsid w:val="00F05035"/>
    <w:rsid w:val="00F051AB"/>
    <w:rsid w:val="00F053DB"/>
    <w:rsid w:val="00F0547C"/>
    <w:rsid w:val="00F0554C"/>
    <w:rsid w:val="00F055DA"/>
    <w:rsid w:val="00F056E0"/>
    <w:rsid w:val="00F05746"/>
    <w:rsid w:val="00F05877"/>
    <w:rsid w:val="00F05885"/>
    <w:rsid w:val="00F05A05"/>
    <w:rsid w:val="00F05A60"/>
    <w:rsid w:val="00F05D35"/>
    <w:rsid w:val="00F05EC5"/>
    <w:rsid w:val="00F05F14"/>
    <w:rsid w:val="00F06046"/>
    <w:rsid w:val="00F06153"/>
    <w:rsid w:val="00F0623D"/>
    <w:rsid w:val="00F063F2"/>
    <w:rsid w:val="00F06870"/>
    <w:rsid w:val="00F06B2F"/>
    <w:rsid w:val="00F06D04"/>
    <w:rsid w:val="00F06DBB"/>
    <w:rsid w:val="00F06DEB"/>
    <w:rsid w:val="00F07195"/>
    <w:rsid w:val="00F07291"/>
    <w:rsid w:val="00F076A4"/>
    <w:rsid w:val="00F0776E"/>
    <w:rsid w:val="00F077AD"/>
    <w:rsid w:val="00F078BA"/>
    <w:rsid w:val="00F079D2"/>
    <w:rsid w:val="00F07A8F"/>
    <w:rsid w:val="00F07AB6"/>
    <w:rsid w:val="00F07B9B"/>
    <w:rsid w:val="00F07DA2"/>
    <w:rsid w:val="00F10085"/>
    <w:rsid w:val="00F1036C"/>
    <w:rsid w:val="00F103AF"/>
    <w:rsid w:val="00F1046A"/>
    <w:rsid w:val="00F1078E"/>
    <w:rsid w:val="00F109C2"/>
    <w:rsid w:val="00F109D9"/>
    <w:rsid w:val="00F10A53"/>
    <w:rsid w:val="00F10A54"/>
    <w:rsid w:val="00F10B69"/>
    <w:rsid w:val="00F10C77"/>
    <w:rsid w:val="00F10D4B"/>
    <w:rsid w:val="00F10DFD"/>
    <w:rsid w:val="00F10E90"/>
    <w:rsid w:val="00F11148"/>
    <w:rsid w:val="00F113D0"/>
    <w:rsid w:val="00F11633"/>
    <w:rsid w:val="00F116BE"/>
    <w:rsid w:val="00F11938"/>
    <w:rsid w:val="00F1197B"/>
    <w:rsid w:val="00F11A9A"/>
    <w:rsid w:val="00F11CF7"/>
    <w:rsid w:val="00F12232"/>
    <w:rsid w:val="00F12518"/>
    <w:rsid w:val="00F127FD"/>
    <w:rsid w:val="00F1290D"/>
    <w:rsid w:val="00F12923"/>
    <w:rsid w:val="00F12959"/>
    <w:rsid w:val="00F129CA"/>
    <w:rsid w:val="00F129E2"/>
    <w:rsid w:val="00F12B6A"/>
    <w:rsid w:val="00F12E4C"/>
    <w:rsid w:val="00F12FAB"/>
    <w:rsid w:val="00F12FCE"/>
    <w:rsid w:val="00F13077"/>
    <w:rsid w:val="00F1317D"/>
    <w:rsid w:val="00F13180"/>
    <w:rsid w:val="00F131E2"/>
    <w:rsid w:val="00F1348D"/>
    <w:rsid w:val="00F135B0"/>
    <w:rsid w:val="00F13654"/>
    <w:rsid w:val="00F13703"/>
    <w:rsid w:val="00F1377D"/>
    <w:rsid w:val="00F13AB2"/>
    <w:rsid w:val="00F13D7A"/>
    <w:rsid w:val="00F13EAC"/>
    <w:rsid w:val="00F13FCD"/>
    <w:rsid w:val="00F14092"/>
    <w:rsid w:val="00F143A6"/>
    <w:rsid w:val="00F14481"/>
    <w:rsid w:val="00F144FE"/>
    <w:rsid w:val="00F1482B"/>
    <w:rsid w:val="00F14963"/>
    <w:rsid w:val="00F14AC2"/>
    <w:rsid w:val="00F14B67"/>
    <w:rsid w:val="00F14D45"/>
    <w:rsid w:val="00F14F1D"/>
    <w:rsid w:val="00F152B0"/>
    <w:rsid w:val="00F15366"/>
    <w:rsid w:val="00F1537E"/>
    <w:rsid w:val="00F154CC"/>
    <w:rsid w:val="00F156A0"/>
    <w:rsid w:val="00F15AB9"/>
    <w:rsid w:val="00F15B34"/>
    <w:rsid w:val="00F15C26"/>
    <w:rsid w:val="00F15C93"/>
    <w:rsid w:val="00F15DBE"/>
    <w:rsid w:val="00F15EF1"/>
    <w:rsid w:val="00F16187"/>
    <w:rsid w:val="00F16193"/>
    <w:rsid w:val="00F16335"/>
    <w:rsid w:val="00F163CA"/>
    <w:rsid w:val="00F164FB"/>
    <w:rsid w:val="00F168FA"/>
    <w:rsid w:val="00F16B59"/>
    <w:rsid w:val="00F16CDB"/>
    <w:rsid w:val="00F16CF5"/>
    <w:rsid w:val="00F16EC4"/>
    <w:rsid w:val="00F16F03"/>
    <w:rsid w:val="00F16F90"/>
    <w:rsid w:val="00F16FB9"/>
    <w:rsid w:val="00F17068"/>
    <w:rsid w:val="00F17186"/>
    <w:rsid w:val="00F172C7"/>
    <w:rsid w:val="00F1738F"/>
    <w:rsid w:val="00F17399"/>
    <w:rsid w:val="00F1780B"/>
    <w:rsid w:val="00F17816"/>
    <w:rsid w:val="00F17910"/>
    <w:rsid w:val="00F17C43"/>
    <w:rsid w:val="00F17C9F"/>
    <w:rsid w:val="00F17E0D"/>
    <w:rsid w:val="00F17EBA"/>
    <w:rsid w:val="00F17EC0"/>
    <w:rsid w:val="00F17FDC"/>
    <w:rsid w:val="00F20013"/>
    <w:rsid w:val="00F20060"/>
    <w:rsid w:val="00F20163"/>
    <w:rsid w:val="00F20239"/>
    <w:rsid w:val="00F2028F"/>
    <w:rsid w:val="00F20405"/>
    <w:rsid w:val="00F20548"/>
    <w:rsid w:val="00F2072F"/>
    <w:rsid w:val="00F207C5"/>
    <w:rsid w:val="00F20903"/>
    <w:rsid w:val="00F20A02"/>
    <w:rsid w:val="00F20AF4"/>
    <w:rsid w:val="00F20BCC"/>
    <w:rsid w:val="00F20DA6"/>
    <w:rsid w:val="00F210BE"/>
    <w:rsid w:val="00F21191"/>
    <w:rsid w:val="00F2161F"/>
    <w:rsid w:val="00F21AA2"/>
    <w:rsid w:val="00F21B05"/>
    <w:rsid w:val="00F21B0A"/>
    <w:rsid w:val="00F21BC6"/>
    <w:rsid w:val="00F22025"/>
    <w:rsid w:val="00F2205A"/>
    <w:rsid w:val="00F22574"/>
    <w:rsid w:val="00F226D8"/>
    <w:rsid w:val="00F229ED"/>
    <w:rsid w:val="00F22BA1"/>
    <w:rsid w:val="00F22C86"/>
    <w:rsid w:val="00F22FD2"/>
    <w:rsid w:val="00F23179"/>
    <w:rsid w:val="00F231C6"/>
    <w:rsid w:val="00F233FA"/>
    <w:rsid w:val="00F23473"/>
    <w:rsid w:val="00F2350D"/>
    <w:rsid w:val="00F23523"/>
    <w:rsid w:val="00F236A9"/>
    <w:rsid w:val="00F23750"/>
    <w:rsid w:val="00F238C1"/>
    <w:rsid w:val="00F23979"/>
    <w:rsid w:val="00F239AE"/>
    <w:rsid w:val="00F23D9E"/>
    <w:rsid w:val="00F23E07"/>
    <w:rsid w:val="00F23ED0"/>
    <w:rsid w:val="00F2414A"/>
    <w:rsid w:val="00F24161"/>
    <w:rsid w:val="00F24639"/>
    <w:rsid w:val="00F247F5"/>
    <w:rsid w:val="00F249A3"/>
    <w:rsid w:val="00F24BB1"/>
    <w:rsid w:val="00F24C7F"/>
    <w:rsid w:val="00F24D0F"/>
    <w:rsid w:val="00F24D69"/>
    <w:rsid w:val="00F24DCD"/>
    <w:rsid w:val="00F2518A"/>
    <w:rsid w:val="00F25194"/>
    <w:rsid w:val="00F25339"/>
    <w:rsid w:val="00F25379"/>
    <w:rsid w:val="00F2540F"/>
    <w:rsid w:val="00F254D9"/>
    <w:rsid w:val="00F25535"/>
    <w:rsid w:val="00F2574E"/>
    <w:rsid w:val="00F257AC"/>
    <w:rsid w:val="00F25934"/>
    <w:rsid w:val="00F25999"/>
    <w:rsid w:val="00F25CC9"/>
    <w:rsid w:val="00F25E30"/>
    <w:rsid w:val="00F2641E"/>
    <w:rsid w:val="00F2657B"/>
    <w:rsid w:val="00F266EA"/>
    <w:rsid w:val="00F268DA"/>
    <w:rsid w:val="00F26A31"/>
    <w:rsid w:val="00F26AC6"/>
    <w:rsid w:val="00F26B2C"/>
    <w:rsid w:val="00F26BD2"/>
    <w:rsid w:val="00F26CB5"/>
    <w:rsid w:val="00F26F45"/>
    <w:rsid w:val="00F270EB"/>
    <w:rsid w:val="00F27213"/>
    <w:rsid w:val="00F27288"/>
    <w:rsid w:val="00F272EE"/>
    <w:rsid w:val="00F273B2"/>
    <w:rsid w:val="00F27597"/>
    <w:rsid w:val="00F278A2"/>
    <w:rsid w:val="00F27ACF"/>
    <w:rsid w:val="00F27D6F"/>
    <w:rsid w:val="00F27E82"/>
    <w:rsid w:val="00F27EE6"/>
    <w:rsid w:val="00F300F3"/>
    <w:rsid w:val="00F301E8"/>
    <w:rsid w:val="00F303EC"/>
    <w:rsid w:val="00F304F8"/>
    <w:rsid w:val="00F305E0"/>
    <w:rsid w:val="00F30660"/>
    <w:rsid w:val="00F306F6"/>
    <w:rsid w:val="00F30769"/>
    <w:rsid w:val="00F308B4"/>
    <w:rsid w:val="00F30957"/>
    <w:rsid w:val="00F30C8D"/>
    <w:rsid w:val="00F31035"/>
    <w:rsid w:val="00F31067"/>
    <w:rsid w:val="00F31095"/>
    <w:rsid w:val="00F313B1"/>
    <w:rsid w:val="00F31410"/>
    <w:rsid w:val="00F31440"/>
    <w:rsid w:val="00F314ED"/>
    <w:rsid w:val="00F315C3"/>
    <w:rsid w:val="00F31941"/>
    <w:rsid w:val="00F31AC0"/>
    <w:rsid w:val="00F31C42"/>
    <w:rsid w:val="00F31DAC"/>
    <w:rsid w:val="00F32015"/>
    <w:rsid w:val="00F321B4"/>
    <w:rsid w:val="00F32596"/>
    <w:rsid w:val="00F32818"/>
    <w:rsid w:val="00F32832"/>
    <w:rsid w:val="00F32899"/>
    <w:rsid w:val="00F32936"/>
    <w:rsid w:val="00F32974"/>
    <w:rsid w:val="00F32ED0"/>
    <w:rsid w:val="00F32F13"/>
    <w:rsid w:val="00F332D9"/>
    <w:rsid w:val="00F33481"/>
    <w:rsid w:val="00F334B4"/>
    <w:rsid w:val="00F335D7"/>
    <w:rsid w:val="00F33909"/>
    <w:rsid w:val="00F33B52"/>
    <w:rsid w:val="00F340C5"/>
    <w:rsid w:val="00F341B0"/>
    <w:rsid w:val="00F3422F"/>
    <w:rsid w:val="00F34333"/>
    <w:rsid w:val="00F34524"/>
    <w:rsid w:val="00F3474B"/>
    <w:rsid w:val="00F3499B"/>
    <w:rsid w:val="00F34CFC"/>
    <w:rsid w:val="00F34E42"/>
    <w:rsid w:val="00F34E62"/>
    <w:rsid w:val="00F35158"/>
    <w:rsid w:val="00F35750"/>
    <w:rsid w:val="00F358A1"/>
    <w:rsid w:val="00F358EC"/>
    <w:rsid w:val="00F35C9A"/>
    <w:rsid w:val="00F35CEB"/>
    <w:rsid w:val="00F35CF8"/>
    <w:rsid w:val="00F35D3F"/>
    <w:rsid w:val="00F360B5"/>
    <w:rsid w:val="00F36178"/>
    <w:rsid w:val="00F362DE"/>
    <w:rsid w:val="00F36315"/>
    <w:rsid w:val="00F3640F"/>
    <w:rsid w:val="00F36458"/>
    <w:rsid w:val="00F3652F"/>
    <w:rsid w:val="00F3656E"/>
    <w:rsid w:val="00F3658D"/>
    <w:rsid w:val="00F3674F"/>
    <w:rsid w:val="00F3678B"/>
    <w:rsid w:val="00F367D4"/>
    <w:rsid w:val="00F36A50"/>
    <w:rsid w:val="00F36C3A"/>
    <w:rsid w:val="00F3703D"/>
    <w:rsid w:val="00F370C8"/>
    <w:rsid w:val="00F37356"/>
    <w:rsid w:val="00F3738C"/>
    <w:rsid w:val="00F37547"/>
    <w:rsid w:val="00F3756B"/>
    <w:rsid w:val="00F375F8"/>
    <w:rsid w:val="00F376CE"/>
    <w:rsid w:val="00F376D3"/>
    <w:rsid w:val="00F376F5"/>
    <w:rsid w:val="00F3772F"/>
    <w:rsid w:val="00F379DC"/>
    <w:rsid w:val="00F37B28"/>
    <w:rsid w:val="00F37C6C"/>
    <w:rsid w:val="00F37CA8"/>
    <w:rsid w:val="00F37E70"/>
    <w:rsid w:val="00F4018E"/>
    <w:rsid w:val="00F40265"/>
    <w:rsid w:val="00F402FA"/>
    <w:rsid w:val="00F403FA"/>
    <w:rsid w:val="00F406E7"/>
    <w:rsid w:val="00F40788"/>
    <w:rsid w:val="00F40854"/>
    <w:rsid w:val="00F408AB"/>
    <w:rsid w:val="00F40900"/>
    <w:rsid w:val="00F40ADC"/>
    <w:rsid w:val="00F40BD4"/>
    <w:rsid w:val="00F40C61"/>
    <w:rsid w:val="00F40CAD"/>
    <w:rsid w:val="00F40DEA"/>
    <w:rsid w:val="00F41064"/>
    <w:rsid w:val="00F411FB"/>
    <w:rsid w:val="00F415EB"/>
    <w:rsid w:val="00F41676"/>
    <w:rsid w:val="00F416D3"/>
    <w:rsid w:val="00F41C2B"/>
    <w:rsid w:val="00F41E32"/>
    <w:rsid w:val="00F421D0"/>
    <w:rsid w:val="00F4233B"/>
    <w:rsid w:val="00F42405"/>
    <w:rsid w:val="00F428D0"/>
    <w:rsid w:val="00F428EF"/>
    <w:rsid w:val="00F42923"/>
    <w:rsid w:val="00F42A55"/>
    <w:rsid w:val="00F42A83"/>
    <w:rsid w:val="00F42AE0"/>
    <w:rsid w:val="00F42DC0"/>
    <w:rsid w:val="00F42F4A"/>
    <w:rsid w:val="00F42FF4"/>
    <w:rsid w:val="00F43052"/>
    <w:rsid w:val="00F430BD"/>
    <w:rsid w:val="00F43234"/>
    <w:rsid w:val="00F4332D"/>
    <w:rsid w:val="00F43570"/>
    <w:rsid w:val="00F436D5"/>
    <w:rsid w:val="00F4393A"/>
    <w:rsid w:val="00F4394E"/>
    <w:rsid w:val="00F43988"/>
    <w:rsid w:val="00F439B6"/>
    <w:rsid w:val="00F43B75"/>
    <w:rsid w:val="00F43DCA"/>
    <w:rsid w:val="00F43F04"/>
    <w:rsid w:val="00F4403D"/>
    <w:rsid w:val="00F4408A"/>
    <w:rsid w:val="00F44103"/>
    <w:rsid w:val="00F44197"/>
    <w:rsid w:val="00F4436D"/>
    <w:rsid w:val="00F44416"/>
    <w:rsid w:val="00F447A1"/>
    <w:rsid w:val="00F448CB"/>
    <w:rsid w:val="00F44C2B"/>
    <w:rsid w:val="00F44ED1"/>
    <w:rsid w:val="00F45104"/>
    <w:rsid w:val="00F45119"/>
    <w:rsid w:val="00F455D4"/>
    <w:rsid w:val="00F455DA"/>
    <w:rsid w:val="00F455E3"/>
    <w:rsid w:val="00F45679"/>
    <w:rsid w:val="00F45736"/>
    <w:rsid w:val="00F45A9E"/>
    <w:rsid w:val="00F45BFD"/>
    <w:rsid w:val="00F45CF5"/>
    <w:rsid w:val="00F45FDD"/>
    <w:rsid w:val="00F4602F"/>
    <w:rsid w:val="00F46057"/>
    <w:rsid w:val="00F4609A"/>
    <w:rsid w:val="00F46130"/>
    <w:rsid w:val="00F4662F"/>
    <w:rsid w:val="00F4663A"/>
    <w:rsid w:val="00F46719"/>
    <w:rsid w:val="00F468C2"/>
    <w:rsid w:val="00F46993"/>
    <w:rsid w:val="00F46A7A"/>
    <w:rsid w:val="00F46C3B"/>
    <w:rsid w:val="00F46DA7"/>
    <w:rsid w:val="00F46FE8"/>
    <w:rsid w:val="00F472CF"/>
    <w:rsid w:val="00F4731C"/>
    <w:rsid w:val="00F47377"/>
    <w:rsid w:val="00F47548"/>
    <w:rsid w:val="00F4771A"/>
    <w:rsid w:val="00F477E1"/>
    <w:rsid w:val="00F4784C"/>
    <w:rsid w:val="00F4791C"/>
    <w:rsid w:val="00F47B4E"/>
    <w:rsid w:val="00F47BC1"/>
    <w:rsid w:val="00F47CFB"/>
    <w:rsid w:val="00F47DB4"/>
    <w:rsid w:val="00F47EBC"/>
    <w:rsid w:val="00F47EF7"/>
    <w:rsid w:val="00F503DF"/>
    <w:rsid w:val="00F50488"/>
    <w:rsid w:val="00F5082F"/>
    <w:rsid w:val="00F50837"/>
    <w:rsid w:val="00F50860"/>
    <w:rsid w:val="00F50865"/>
    <w:rsid w:val="00F50916"/>
    <w:rsid w:val="00F50A39"/>
    <w:rsid w:val="00F50B62"/>
    <w:rsid w:val="00F50D27"/>
    <w:rsid w:val="00F50DDB"/>
    <w:rsid w:val="00F50E1F"/>
    <w:rsid w:val="00F50E7F"/>
    <w:rsid w:val="00F51197"/>
    <w:rsid w:val="00F51362"/>
    <w:rsid w:val="00F51392"/>
    <w:rsid w:val="00F513DC"/>
    <w:rsid w:val="00F51A50"/>
    <w:rsid w:val="00F51BC3"/>
    <w:rsid w:val="00F51BD5"/>
    <w:rsid w:val="00F51DA2"/>
    <w:rsid w:val="00F51E88"/>
    <w:rsid w:val="00F5209E"/>
    <w:rsid w:val="00F5243F"/>
    <w:rsid w:val="00F525DF"/>
    <w:rsid w:val="00F5287E"/>
    <w:rsid w:val="00F52969"/>
    <w:rsid w:val="00F52E2C"/>
    <w:rsid w:val="00F53229"/>
    <w:rsid w:val="00F53235"/>
    <w:rsid w:val="00F535D2"/>
    <w:rsid w:val="00F53601"/>
    <w:rsid w:val="00F5373E"/>
    <w:rsid w:val="00F53A32"/>
    <w:rsid w:val="00F53AE9"/>
    <w:rsid w:val="00F53BF8"/>
    <w:rsid w:val="00F53CF4"/>
    <w:rsid w:val="00F53D21"/>
    <w:rsid w:val="00F53DBA"/>
    <w:rsid w:val="00F53FC9"/>
    <w:rsid w:val="00F54067"/>
    <w:rsid w:val="00F54070"/>
    <w:rsid w:val="00F54236"/>
    <w:rsid w:val="00F549F5"/>
    <w:rsid w:val="00F54A14"/>
    <w:rsid w:val="00F54C39"/>
    <w:rsid w:val="00F54E7A"/>
    <w:rsid w:val="00F54F80"/>
    <w:rsid w:val="00F54FA3"/>
    <w:rsid w:val="00F551AF"/>
    <w:rsid w:val="00F552BD"/>
    <w:rsid w:val="00F553F1"/>
    <w:rsid w:val="00F5542D"/>
    <w:rsid w:val="00F55483"/>
    <w:rsid w:val="00F5568C"/>
    <w:rsid w:val="00F556BC"/>
    <w:rsid w:val="00F55862"/>
    <w:rsid w:val="00F558A4"/>
    <w:rsid w:val="00F558FA"/>
    <w:rsid w:val="00F55AF9"/>
    <w:rsid w:val="00F55E3B"/>
    <w:rsid w:val="00F55EB1"/>
    <w:rsid w:val="00F56806"/>
    <w:rsid w:val="00F56A95"/>
    <w:rsid w:val="00F56B15"/>
    <w:rsid w:val="00F56BCA"/>
    <w:rsid w:val="00F56CE3"/>
    <w:rsid w:val="00F56DAF"/>
    <w:rsid w:val="00F56E2D"/>
    <w:rsid w:val="00F56E64"/>
    <w:rsid w:val="00F56E9A"/>
    <w:rsid w:val="00F56EA5"/>
    <w:rsid w:val="00F570D3"/>
    <w:rsid w:val="00F572AD"/>
    <w:rsid w:val="00F573B7"/>
    <w:rsid w:val="00F575E5"/>
    <w:rsid w:val="00F57750"/>
    <w:rsid w:val="00F577CB"/>
    <w:rsid w:val="00F5785C"/>
    <w:rsid w:val="00F5797C"/>
    <w:rsid w:val="00F57B8A"/>
    <w:rsid w:val="00F57BFB"/>
    <w:rsid w:val="00F57CFB"/>
    <w:rsid w:val="00F601BD"/>
    <w:rsid w:val="00F603A8"/>
    <w:rsid w:val="00F604FC"/>
    <w:rsid w:val="00F60673"/>
    <w:rsid w:val="00F60788"/>
    <w:rsid w:val="00F60820"/>
    <w:rsid w:val="00F60A70"/>
    <w:rsid w:val="00F60B2D"/>
    <w:rsid w:val="00F60E9B"/>
    <w:rsid w:val="00F61049"/>
    <w:rsid w:val="00F6127E"/>
    <w:rsid w:val="00F61400"/>
    <w:rsid w:val="00F61419"/>
    <w:rsid w:val="00F61552"/>
    <w:rsid w:val="00F6155C"/>
    <w:rsid w:val="00F6164D"/>
    <w:rsid w:val="00F618FA"/>
    <w:rsid w:val="00F61A78"/>
    <w:rsid w:val="00F61FDE"/>
    <w:rsid w:val="00F6206A"/>
    <w:rsid w:val="00F6211D"/>
    <w:rsid w:val="00F621DF"/>
    <w:rsid w:val="00F62244"/>
    <w:rsid w:val="00F62289"/>
    <w:rsid w:val="00F622EF"/>
    <w:rsid w:val="00F622F1"/>
    <w:rsid w:val="00F626C5"/>
    <w:rsid w:val="00F626E9"/>
    <w:rsid w:val="00F62723"/>
    <w:rsid w:val="00F62837"/>
    <w:rsid w:val="00F62A70"/>
    <w:rsid w:val="00F62C2D"/>
    <w:rsid w:val="00F62E50"/>
    <w:rsid w:val="00F62FCA"/>
    <w:rsid w:val="00F63056"/>
    <w:rsid w:val="00F634FC"/>
    <w:rsid w:val="00F635F5"/>
    <w:rsid w:val="00F6366E"/>
    <w:rsid w:val="00F63700"/>
    <w:rsid w:val="00F638AE"/>
    <w:rsid w:val="00F63C03"/>
    <w:rsid w:val="00F63C0F"/>
    <w:rsid w:val="00F63F85"/>
    <w:rsid w:val="00F641FD"/>
    <w:rsid w:val="00F64220"/>
    <w:rsid w:val="00F64226"/>
    <w:rsid w:val="00F6422F"/>
    <w:rsid w:val="00F64271"/>
    <w:rsid w:val="00F64298"/>
    <w:rsid w:val="00F642E5"/>
    <w:rsid w:val="00F642F9"/>
    <w:rsid w:val="00F643EF"/>
    <w:rsid w:val="00F644D3"/>
    <w:rsid w:val="00F6454C"/>
    <w:rsid w:val="00F646F7"/>
    <w:rsid w:val="00F648C8"/>
    <w:rsid w:val="00F64A97"/>
    <w:rsid w:val="00F64B5F"/>
    <w:rsid w:val="00F64CE7"/>
    <w:rsid w:val="00F64F0E"/>
    <w:rsid w:val="00F65003"/>
    <w:rsid w:val="00F653DE"/>
    <w:rsid w:val="00F657A4"/>
    <w:rsid w:val="00F659B2"/>
    <w:rsid w:val="00F65A87"/>
    <w:rsid w:val="00F65B37"/>
    <w:rsid w:val="00F65CCC"/>
    <w:rsid w:val="00F65D21"/>
    <w:rsid w:val="00F66347"/>
    <w:rsid w:val="00F6649C"/>
    <w:rsid w:val="00F66981"/>
    <w:rsid w:val="00F66F48"/>
    <w:rsid w:val="00F66F71"/>
    <w:rsid w:val="00F6719A"/>
    <w:rsid w:val="00F671AC"/>
    <w:rsid w:val="00F67567"/>
    <w:rsid w:val="00F678AD"/>
    <w:rsid w:val="00F67B27"/>
    <w:rsid w:val="00F67B80"/>
    <w:rsid w:val="00F67BB7"/>
    <w:rsid w:val="00F67D86"/>
    <w:rsid w:val="00F67F5C"/>
    <w:rsid w:val="00F67FD7"/>
    <w:rsid w:val="00F70106"/>
    <w:rsid w:val="00F701B2"/>
    <w:rsid w:val="00F7022B"/>
    <w:rsid w:val="00F702EB"/>
    <w:rsid w:val="00F70374"/>
    <w:rsid w:val="00F7037D"/>
    <w:rsid w:val="00F7052F"/>
    <w:rsid w:val="00F7056E"/>
    <w:rsid w:val="00F70744"/>
    <w:rsid w:val="00F707FB"/>
    <w:rsid w:val="00F708A6"/>
    <w:rsid w:val="00F70AAD"/>
    <w:rsid w:val="00F70CA2"/>
    <w:rsid w:val="00F70DEE"/>
    <w:rsid w:val="00F70E17"/>
    <w:rsid w:val="00F70F2E"/>
    <w:rsid w:val="00F70FF9"/>
    <w:rsid w:val="00F71008"/>
    <w:rsid w:val="00F71207"/>
    <w:rsid w:val="00F71312"/>
    <w:rsid w:val="00F7137D"/>
    <w:rsid w:val="00F7155E"/>
    <w:rsid w:val="00F71623"/>
    <w:rsid w:val="00F7176E"/>
    <w:rsid w:val="00F7181B"/>
    <w:rsid w:val="00F71B5B"/>
    <w:rsid w:val="00F71D8C"/>
    <w:rsid w:val="00F7205E"/>
    <w:rsid w:val="00F7254D"/>
    <w:rsid w:val="00F726A4"/>
    <w:rsid w:val="00F727F6"/>
    <w:rsid w:val="00F72FD1"/>
    <w:rsid w:val="00F73112"/>
    <w:rsid w:val="00F7323E"/>
    <w:rsid w:val="00F733B4"/>
    <w:rsid w:val="00F73448"/>
    <w:rsid w:val="00F7357B"/>
    <w:rsid w:val="00F73787"/>
    <w:rsid w:val="00F73C60"/>
    <w:rsid w:val="00F73FF1"/>
    <w:rsid w:val="00F7401E"/>
    <w:rsid w:val="00F742AD"/>
    <w:rsid w:val="00F742CB"/>
    <w:rsid w:val="00F74957"/>
    <w:rsid w:val="00F74E23"/>
    <w:rsid w:val="00F74F9D"/>
    <w:rsid w:val="00F750FD"/>
    <w:rsid w:val="00F751FE"/>
    <w:rsid w:val="00F75256"/>
    <w:rsid w:val="00F7542B"/>
    <w:rsid w:val="00F75559"/>
    <w:rsid w:val="00F7577C"/>
    <w:rsid w:val="00F75D0D"/>
    <w:rsid w:val="00F75D24"/>
    <w:rsid w:val="00F75DD1"/>
    <w:rsid w:val="00F75EAE"/>
    <w:rsid w:val="00F75ED8"/>
    <w:rsid w:val="00F7643A"/>
    <w:rsid w:val="00F76533"/>
    <w:rsid w:val="00F76562"/>
    <w:rsid w:val="00F7668E"/>
    <w:rsid w:val="00F76761"/>
    <w:rsid w:val="00F76965"/>
    <w:rsid w:val="00F76C6E"/>
    <w:rsid w:val="00F76E35"/>
    <w:rsid w:val="00F76EF5"/>
    <w:rsid w:val="00F770AF"/>
    <w:rsid w:val="00F770EB"/>
    <w:rsid w:val="00F7715F"/>
    <w:rsid w:val="00F771F8"/>
    <w:rsid w:val="00F77384"/>
    <w:rsid w:val="00F7758C"/>
    <w:rsid w:val="00F77702"/>
    <w:rsid w:val="00F77861"/>
    <w:rsid w:val="00F7798A"/>
    <w:rsid w:val="00F77A5A"/>
    <w:rsid w:val="00F77C0E"/>
    <w:rsid w:val="00F80033"/>
    <w:rsid w:val="00F80209"/>
    <w:rsid w:val="00F803E7"/>
    <w:rsid w:val="00F80421"/>
    <w:rsid w:val="00F804E5"/>
    <w:rsid w:val="00F80753"/>
    <w:rsid w:val="00F80811"/>
    <w:rsid w:val="00F809D0"/>
    <w:rsid w:val="00F80AD2"/>
    <w:rsid w:val="00F80C2C"/>
    <w:rsid w:val="00F80E71"/>
    <w:rsid w:val="00F80EB2"/>
    <w:rsid w:val="00F80EE9"/>
    <w:rsid w:val="00F80F18"/>
    <w:rsid w:val="00F81050"/>
    <w:rsid w:val="00F81160"/>
    <w:rsid w:val="00F81243"/>
    <w:rsid w:val="00F81475"/>
    <w:rsid w:val="00F818E3"/>
    <w:rsid w:val="00F8199B"/>
    <w:rsid w:val="00F81F09"/>
    <w:rsid w:val="00F81F53"/>
    <w:rsid w:val="00F821A0"/>
    <w:rsid w:val="00F8274D"/>
    <w:rsid w:val="00F828BF"/>
    <w:rsid w:val="00F828D5"/>
    <w:rsid w:val="00F8290E"/>
    <w:rsid w:val="00F82912"/>
    <w:rsid w:val="00F82923"/>
    <w:rsid w:val="00F829B1"/>
    <w:rsid w:val="00F829B3"/>
    <w:rsid w:val="00F829BC"/>
    <w:rsid w:val="00F82A0E"/>
    <w:rsid w:val="00F82CE0"/>
    <w:rsid w:val="00F82D19"/>
    <w:rsid w:val="00F82DFE"/>
    <w:rsid w:val="00F8304D"/>
    <w:rsid w:val="00F83144"/>
    <w:rsid w:val="00F8316E"/>
    <w:rsid w:val="00F832B4"/>
    <w:rsid w:val="00F8347C"/>
    <w:rsid w:val="00F835AE"/>
    <w:rsid w:val="00F836F0"/>
    <w:rsid w:val="00F8373B"/>
    <w:rsid w:val="00F83802"/>
    <w:rsid w:val="00F83941"/>
    <w:rsid w:val="00F83D2B"/>
    <w:rsid w:val="00F83EB4"/>
    <w:rsid w:val="00F83F1F"/>
    <w:rsid w:val="00F84031"/>
    <w:rsid w:val="00F840C5"/>
    <w:rsid w:val="00F8410B"/>
    <w:rsid w:val="00F84156"/>
    <w:rsid w:val="00F84425"/>
    <w:rsid w:val="00F84479"/>
    <w:rsid w:val="00F84789"/>
    <w:rsid w:val="00F84A34"/>
    <w:rsid w:val="00F84D66"/>
    <w:rsid w:val="00F84DFE"/>
    <w:rsid w:val="00F84F40"/>
    <w:rsid w:val="00F84FDB"/>
    <w:rsid w:val="00F852D2"/>
    <w:rsid w:val="00F854C9"/>
    <w:rsid w:val="00F85571"/>
    <w:rsid w:val="00F8569F"/>
    <w:rsid w:val="00F8570A"/>
    <w:rsid w:val="00F8577A"/>
    <w:rsid w:val="00F8582E"/>
    <w:rsid w:val="00F8599C"/>
    <w:rsid w:val="00F859E4"/>
    <w:rsid w:val="00F85B27"/>
    <w:rsid w:val="00F85B74"/>
    <w:rsid w:val="00F85CCA"/>
    <w:rsid w:val="00F85D16"/>
    <w:rsid w:val="00F85D6B"/>
    <w:rsid w:val="00F85E82"/>
    <w:rsid w:val="00F85F7B"/>
    <w:rsid w:val="00F860B7"/>
    <w:rsid w:val="00F86120"/>
    <w:rsid w:val="00F86235"/>
    <w:rsid w:val="00F8651C"/>
    <w:rsid w:val="00F86793"/>
    <w:rsid w:val="00F86874"/>
    <w:rsid w:val="00F8695E"/>
    <w:rsid w:val="00F86AC5"/>
    <w:rsid w:val="00F86AD8"/>
    <w:rsid w:val="00F86AED"/>
    <w:rsid w:val="00F86BC7"/>
    <w:rsid w:val="00F87005"/>
    <w:rsid w:val="00F8719F"/>
    <w:rsid w:val="00F8727C"/>
    <w:rsid w:val="00F87967"/>
    <w:rsid w:val="00F87B9D"/>
    <w:rsid w:val="00F87C0F"/>
    <w:rsid w:val="00F9008A"/>
    <w:rsid w:val="00F901AA"/>
    <w:rsid w:val="00F9028C"/>
    <w:rsid w:val="00F902C4"/>
    <w:rsid w:val="00F90409"/>
    <w:rsid w:val="00F904E4"/>
    <w:rsid w:val="00F90618"/>
    <w:rsid w:val="00F90666"/>
    <w:rsid w:val="00F908E4"/>
    <w:rsid w:val="00F913BC"/>
    <w:rsid w:val="00F91540"/>
    <w:rsid w:val="00F915AE"/>
    <w:rsid w:val="00F91748"/>
    <w:rsid w:val="00F91A55"/>
    <w:rsid w:val="00F91D1F"/>
    <w:rsid w:val="00F91DB1"/>
    <w:rsid w:val="00F9208C"/>
    <w:rsid w:val="00F92188"/>
    <w:rsid w:val="00F922E2"/>
    <w:rsid w:val="00F92602"/>
    <w:rsid w:val="00F92857"/>
    <w:rsid w:val="00F928CD"/>
    <w:rsid w:val="00F9299A"/>
    <w:rsid w:val="00F930B1"/>
    <w:rsid w:val="00F9374A"/>
    <w:rsid w:val="00F93796"/>
    <w:rsid w:val="00F9390D"/>
    <w:rsid w:val="00F93D16"/>
    <w:rsid w:val="00F94055"/>
    <w:rsid w:val="00F9429D"/>
    <w:rsid w:val="00F94398"/>
    <w:rsid w:val="00F9441B"/>
    <w:rsid w:val="00F9455F"/>
    <w:rsid w:val="00F9461E"/>
    <w:rsid w:val="00F946D4"/>
    <w:rsid w:val="00F94726"/>
    <w:rsid w:val="00F94742"/>
    <w:rsid w:val="00F948B4"/>
    <w:rsid w:val="00F949F1"/>
    <w:rsid w:val="00F94B11"/>
    <w:rsid w:val="00F94B7E"/>
    <w:rsid w:val="00F94C3A"/>
    <w:rsid w:val="00F94C64"/>
    <w:rsid w:val="00F94DB8"/>
    <w:rsid w:val="00F950B8"/>
    <w:rsid w:val="00F951F3"/>
    <w:rsid w:val="00F9526B"/>
    <w:rsid w:val="00F952F9"/>
    <w:rsid w:val="00F9546F"/>
    <w:rsid w:val="00F954F5"/>
    <w:rsid w:val="00F955BE"/>
    <w:rsid w:val="00F956B2"/>
    <w:rsid w:val="00F958CD"/>
    <w:rsid w:val="00F95A58"/>
    <w:rsid w:val="00F95F1F"/>
    <w:rsid w:val="00F95F96"/>
    <w:rsid w:val="00F96012"/>
    <w:rsid w:val="00F9608B"/>
    <w:rsid w:val="00F960B7"/>
    <w:rsid w:val="00F961A7"/>
    <w:rsid w:val="00F965B0"/>
    <w:rsid w:val="00F966DD"/>
    <w:rsid w:val="00F96700"/>
    <w:rsid w:val="00F9688B"/>
    <w:rsid w:val="00F96906"/>
    <w:rsid w:val="00F96BE8"/>
    <w:rsid w:val="00F97107"/>
    <w:rsid w:val="00F972EA"/>
    <w:rsid w:val="00F974A8"/>
    <w:rsid w:val="00F97529"/>
    <w:rsid w:val="00F975E8"/>
    <w:rsid w:val="00F97647"/>
    <w:rsid w:val="00F97664"/>
    <w:rsid w:val="00F9769E"/>
    <w:rsid w:val="00F97723"/>
    <w:rsid w:val="00F9781F"/>
    <w:rsid w:val="00F978A3"/>
    <w:rsid w:val="00F97A1D"/>
    <w:rsid w:val="00F97A8D"/>
    <w:rsid w:val="00F97AD7"/>
    <w:rsid w:val="00F97D5A"/>
    <w:rsid w:val="00F97EF6"/>
    <w:rsid w:val="00F97F20"/>
    <w:rsid w:val="00FA02A2"/>
    <w:rsid w:val="00FA039B"/>
    <w:rsid w:val="00FA04C0"/>
    <w:rsid w:val="00FA0635"/>
    <w:rsid w:val="00FA06BE"/>
    <w:rsid w:val="00FA0721"/>
    <w:rsid w:val="00FA07C0"/>
    <w:rsid w:val="00FA0813"/>
    <w:rsid w:val="00FA09F2"/>
    <w:rsid w:val="00FA0A01"/>
    <w:rsid w:val="00FA0AC2"/>
    <w:rsid w:val="00FA0B6D"/>
    <w:rsid w:val="00FA0D0A"/>
    <w:rsid w:val="00FA0EFB"/>
    <w:rsid w:val="00FA107E"/>
    <w:rsid w:val="00FA108B"/>
    <w:rsid w:val="00FA1176"/>
    <w:rsid w:val="00FA13D3"/>
    <w:rsid w:val="00FA1545"/>
    <w:rsid w:val="00FA1548"/>
    <w:rsid w:val="00FA166E"/>
    <w:rsid w:val="00FA1875"/>
    <w:rsid w:val="00FA1A55"/>
    <w:rsid w:val="00FA1B53"/>
    <w:rsid w:val="00FA1CAA"/>
    <w:rsid w:val="00FA20E7"/>
    <w:rsid w:val="00FA25D8"/>
    <w:rsid w:val="00FA267B"/>
    <w:rsid w:val="00FA275B"/>
    <w:rsid w:val="00FA28E6"/>
    <w:rsid w:val="00FA299A"/>
    <w:rsid w:val="00FA2A23"/>
    <w:rsid w:val="00FA2A2E"/>
    <w:rsid w:val="00FA2D0D"/>
    <w:rsid w:val="00FA2F15"/>
    <w:rsid w:val="00FA30F8"/>
    <w:rsid w:val="00FA31A7"/>
    <w:rsid w:val="00FA31B1"/>
    <w:rsid w:val="00FA37EE"/>
    <w:rsid w:val="00FA3816"/>
    <w:rsid w:val="00FA382F"/>
    <w:rsid w:val="00FA3A28"/>
    <w:rsid w:val="00FA3D16"/>
    <w:rsid w:val="00FA41AD"/>
    <w:rsid w:val="00FA4574"/>
    <w:rsid w:val="00FA45AB"/>
    <w:rsid w:val="00FA49CC"/>
    <w:rsid w:val="00FA4BBA"/>
    <w:rsid w:val="00FA4C83"/>
    <w:rsid w:val="00FA4CA2"/>
    <w:rsid w:val="00FA4CFA"/>
    <w:rsid w:val="00FA50B8"/>
    <w:rsid w:val="00FA5233"/>
    <w:rsid w:val="00FA5282"/>
    <w:rsid w:val="00FA5429"/>
    <w:rsid w:val="00FA551B"/>
    <w:rsid w:val="00FA5715"/>
    <w:rsid w:val="00FA5765"/>
    <w:rsid w:val="00FA5931"/>
    <w:rsid w:val="00FA5BF5"/>
    <w:rsid w:val="00FA5D49"/>
    <w:rsid w:val="00FA5E70"/>
    <w:rsid w:val="00FA6068"/>
    <w:rsid w:val="00FA60CF"/>
    <w:rsid w:val="00FA61B9"/>
    <w:rsid w:val="00FA62D8"/>
    <w:rsid w:val="00FA63D5"/>
    <w:rsid w:val="00FA64C5"/>
    <w:rsid w:val="00FA6A74"/>
    <w:rsid w:val="00FA6E46"/>
    <w:rsid w:val="00FA707B"/>
    <w:rsid w:val="00FA724A"/>
    <w:rsid w:val="00FA738B"/>
    <w:rsid w:val="00FA7703"/>
    <w:rsid w:val="00FA77E0"/>
    <w:rsid w:val="00FA7AA6"/>
    <w:rsid w:val="00FA7B9E"/>
    <w:rsid w:val="00FA7C41"/>
    <w:rsid w:val="00FA7C9B"/>
    <w:rsid w:val="00FA7CCD"/>
    <w:rsid w:val="00FA7D7F"/>
    <w:rsid w:val="00FA7ECC"/>
    <w:rsid w:val="00FB0007"/>
    <w:rsid w:val="00FB0272"/>
    <w:rsid w:val="00FB02EE"/>
    <w:rsid w:val="00FB0600"/>
    <w:rsid w:val="00FB0715"/>
    <w:rsid w:val="00FB07B7"/>
    <w:rsid w:val="00FB0885"/>
    <w:rsid w:val="00FB0D75"/>
    <w:rsid w:val="00FB0EB2"/>
    <w:rsid w:val="00FB0EFD"/>
    <w:rsid w:val="00FB0F0F"/>
    <w:rsid w:val="00FB10D7"/>
    <w:rsid w:val="00FB10E0"/>
    <w:rsid w:val="00FB1165"/>
    <w:rsid w:val="00FB1331"/>
    <w:rsid w:val="00FB1379"/>
    <w:rsid w:val="00FB147E"/>
    <w:rsid w:val="00FB18D4"/>
    <w:rsid w:val="00FB1A5C"/>
    <w:rsid w:val="00FB1BB6"/>
    <w:rsid w:val="00FB1F15"/>
    <w:rsid w:val="00FB21CE"/>
    <w:rsid w:val="00FB2377"/>
    <w:rsid w:val="00FB2449"/>
    <w:rsid w:val="00FB24AC"/>
    <w:rsid w:val="00FB25A4"/>
    <w:rsid w:val="00FB25C9"/>
    <w:rsid w:val="00FB2601"/>
    <w:rsid w:val="00FB268A"/>
    <w:rsid w:val="00FB273C"/>
    <w:rsid w:val="00FB27F0"/>
    <w:rsid w:val="00FB2989"/>
    <w:rsid w:val="00FB2D3C"/>
    <w:rsid w:val="00FB2D87"/>
    <w:rsid w:val="00FB2E33"/>
    <w:rsid w:val="00FB31E3"/>
    <w:rsid w:val="00FB31F0"/>
    <w:rsid w:val="00FB329E"/>
    <w:rsid w:val="00FB35BF"/>
    <w:rsid w:val="00FB35FB"/>
    <w:rsid w:val="00FB3861"/>
    <w:rsid w:val="00FB3864"/>
    <w:rsid w:val="00FB386C"/>
    <w:rsid w:val="00FB3941"/>
    <w:rsid w:val="00FB3960"/>
    <w:rsid w:val="00FB396D"/>
    <w:rsid w:val="00FB3A17"/>
    <w:rsid w:val="00FB3A24"/>
    <w:rsid w:val="00FB3BA0"/>
    <w:rsid w:val="00FB3BB0"/>
    <w:rsid w:val="00FB3C2A"/>
    <w:rsid w:val="00FB3C32"/>
    <w:rsid w:val="00FB3D11"/>
    <w:rsid w:val="00FB3FBC"/>
    <w:rsid w:val="00FB405E"/>
    <w:rsid w:val="00FB40AB"/>
    <w:rsid w:val="00FB40DC"/>
    <w:rsid w:val="00FB410B"/>
    <w:rsid w:val="00FB448E"/>
    <w:rsid w:val="00FB449F"/>
    <w:rsid w:val="00FB4526"/>
    <w:rsid w:val="00FB453C"/>
    <w:rsid w:val="00FB482F"/>
    <w:rsid w:val="00FB493E"/>
    <w:rsid w:val="00FB4B09"/>
    <w:rsid w:val="00FB4B4A"/>
    <w:rsid w:val="00FB4F16"/>
    <w:rsid w:val="00FB4F53"/>
    <w:rsid w:val="00FB5056"/>
    <w:rsid w:val="00FB52D0"/>
    <w:rsid w:val="00FB5376"/>
    <w:rsid w:val="00FB57A6"/>
    <w:rsid w:val="00FB5975"/>
    <w:rsid w:val="00FB5A9A"/>
    <w:rsid w:val="00FB5B39"/>
    <w:rsid w:val="00FB5F68"/>
    <w:rsid w:val="00FB6006"/>
    <w:rsid w:val="00FB6218"/>
    <w:rsid w:val="00FB6318"/>
    <w:rsid w:val="00FB6697"/>
    <w:rsid w:val="00FB67A0"/>
    <w:rsid w:val="00FB67F2"/>
    <w:rsid w:val="00FB69B1"/>
    <w:rsid w:val="00FB6ACD"/>
    <w:rsid w:val="00FB6B45"/>
    <w:rsid w:val="00FB6D47"/>
    <w:rsid w:val="00FB774C"/>
    <w:rsid w:val="00FB77BE"/>
    <w:rsid w:val="00FB7844"/>
    <w:rsid w:val="00FB792E"/>
    <w:rsid w:val="00FB79C5"/>
    <w:rsid w:val="00FB7CE6"/>
    <w:rsid w:val="00FC004B"/>
    <w:rsid w:val="00FC011C"/>
    <w:rsid w:val="00FC018F"/>
    <w:rsid w:val="00FC01DF"/>
    <w:rsid w:val="00FC02C4"/>
    <w:rsid w:val="00FC041F"/>
    <w:rsid w:val="00FC04A8"/>
    <w:rsid w:val="00FC0923"/>
    <w:rsid w:val="00FC0E3E"/>
    <w:rsid w:val="00FC1061"/>
    <w:rsid w:val="00FC118B"/>
    <w:rsid w:val="00FC1226"/>
    <w:rsid w:val="00FC1355"/>
    <w:rsid w:val="00FC1623"/>
    <w:rsid w:val="00FC1664"/>
    <w:rsid w:val="00FC1776"/>
    <w:rsid w:val="00FC1805"/>
    <w:rsid w:val="00FC1961"/>
    <w:rsid w:val="00FC19A9"/>
    <w:rsid w:val="00FC1B2A"/>
    <w:rsid w:val="00FC1BAD"/>
    <w:rsid w:val="00FC1BB5"/>
    <w:rsid w:val="00FC1BD2"/>
    <w:rsid w:val="00FC1C2E"/>
    <w:rsid w:val="00FC1E0A"/>
    <w:rsid w:val="00FC1FC7"/>
    <w:rsid w:val="00FC1FD3"/>
    <w:rsid w:val="00FC2016"/>
    <w:rsid w:val="00FC20A9"/>
    <w:rsid w:val="00FC219E"/>
    <w:rsid w:val="00FC21BC"/>
    <w:rsid w:val="00FC21D4"/>
    <w:rsid w:val="00FC2280"/>
    <w:rsid w:val="00FC2299"/>
    <w:rsid w:val="00FC248F"/>
    <w:rsid w:val="00FC2665"/>
    <w:rsid w:val="00FC27DE"/>
    <w:rsid w:val="00FC284B"/>
    <w:rsid w:val="00FC29DD"/>
    <w:rsid w:val="00FC2AC4"/>
    <w:rsid w:val="00FC2DF1"/>
    <w:rsid w:val="00FC2E8B"/>
    <w:rsid w:val="00FC32A3"/>
    <w:rsid w:val="00FC3544"/>
    <w:rsid w:val="00FC3902"/>
    <w:rsid w:val="00FC39DE"/>
    <w:rsid w:val="00FC3BEA"/>
    <w:rsid w:val="00FC3E5E"/>
    <w:rsid w:val="00FC3EC1"/>
    <w:rsid w:val="00FC3F42"/>
    <w:rsid w:val="00FC4247"/>
    <w:rsid w:val="00FC4677"/>
    <w:rsid w:val="00FC46CD"/>
    <w:rsid w:val="00FC4870"/>
    <w:rsid w:val="00FC4921"/>
    <w:rsid w:val="00FC4ADB"/>
    <w:rsid w:val="00FC4B95"/>
    <w:rsid w:val="00FC4CA8"/>
    <w:rsid w:val="00FC4CA9"/>
    <w:rsid w:val="00FC4DD7"/>
    <w:rsid w:val="00FC4E97"/>
    <w:rsid w:val="00FC4ECB"/>
    <w:rsid w:val="00FC510D"/>
    <w:rsid w:val="00FC51BC"/>
    <w:rsid w:val="00FC52C9"/>
    <w:rsid w:val="00FC52CC"/>
    <w:rsid w:val="00FC5450"/>
    <w:rsid w:val="00FC5528"/>
    <w:rsid w:val="00FC5841"/>
    <w:rsid w:val="00FC5A19"/>
    <w:rsid w:val="00FC5C4E"/>
    <w:rsid w:val="00FC5C53"/>
    <w:rsid w:val="00FC5EF1"/>
    <w:rsid w:val="00FC6056"/>
    <w:rsid w:val="00FC6128"/>
    <w:rsid w:val="00FC61FD"/>
    <w:rsid w:val="00FC625C"/>
    <w:rsid w:val="00FC64FD"/>
    <w:rsid w:val="00FC68D4"/>
    <w:rsid w:val="00FC6956"/>
    <w:rsid w:val="00FC6AC5"/>
    <w:rsid w:val="00FC6AC9"/>
    <w:rsid w:val="00FC6CC4"/>
    <w:rsid w:val="00FC6D37"/>
    <w:rsid w:val="00FC6E0A"/>
    <w:rsid w:val="00FC7250"/>
    <w:rsid w:val="00FC7371"/>
    <w:rsid w:val="00FC753D"/>
    <w:rsid w:val="00FC7953"/>
    <w:rsid w:val="00FC799B"/>
    <w:rsid w:val="00FC7AE9"/>
    <w:rsid w:val="00FC7C45"/>
    <w:rsid w:val="00FC7D63"/>
    <w:rsid w:val="00FD0013"/>
    <w:rsid w:val="00FD0193"/>
    <w:rsid w:val="00FD01E8"/>
    <w:rsid w:val="00FD0234"/>
    <w:rsid w:val="00FD0350"/>
    <w:rsid w:val="00FD0647"/>
    <w:rsid w:val="00FD0756"/>
    <w:rsid w:val="00FD094E"/>
    <w:rsid w:val="00FD09B6"/>
    <w:rsid w:val="00FD0AD3"/>
    <w:rsid w:val="00FD0B30"/>
    <w:rsid w:val="00FD0BBE"/>
    <w:rsid w:val="00FD0F8E"/>
    <w:rsid w:val="00FD114C"/>
    <w:rsid w:val="00FD1248"/>
    <w:rsid w:val="00FD12D8"/>
    <w:rsid w:val="00FD1416"/>
    <w:rsid w:val="00FD15AD"/>
    <w:rsid w:val="00FD1A21"/>
    <w:rsid w:val="00FD1C1F"/>
    <w:rsid w:val="00FD1E46"/>
    <w:rsid w:val="00FD1E9F"/>
    <w:rsid w:val="00FD1ECE"/>
    <w:rsid w:val="00FD1F11"/>
    <w:rsid w:val="00FD2187"/>
    <w:rsid w:val="00FD2188"/>
    <w:rsid w:val="00FD2456"/>
    <w:rsid w:val="00FD24B8"/>
    <w:rsid w:val="00FD2504"/>
    <w:rsid w:val="00FD27AE"/>
    <w:rsid w:val="00FD2852"/>
    <w:rsid w:val="00FD2884"/>
    <w:rsid w:val="00FD2A2B"/>
    <w:rsid w:val="00FD2AAE"/>
    <w:rsid w:val="00FD2BC9"/>
    <w:rsid w:val="00FD2CF2"/>
    <w:rsid w:val="00FD2EFE"/>
    <w:rsid w:val="00FD2FF2"/>
    <w:rsid w:val="00FD303B"/>
    <w:rsid w:val="00FD3199"/>
    <w:rsid w:val="00FD32B1"/>
    <w:rsid w:val="00FD3378"/>
    <w:rsid w:val="00FD345E"/>
    <w:rsid w:val="00FD359F"/>
    <w:rsid w:val="00FD35A5"/>
    <w:rsid w:val="00FD35F8"/>
    <w:rsid w:val="00FD3775"/>
    <w:rsid w:val="00FD37BE"/>
    <w:rsid w:val="00FD38A8"/>
    <w:rsid w:val="00FD3BAB"/>
    <w:rsid w:val="00FD3E54"/>
    <w:rsid w:val="00FD3ECB"/>
    <w:rsid w:val="00FD3FF4"/>
    <w:rsid w:val="00FD418F"/>
    <w:rsid w:val="00FD4213"/>
    <w:rsid w:val="00FD4344"/>
    <w:rsid w:val="00FD436B"/>
    <w:rsid w:val="00FD4442"/>
    <w:rsid w:val="00FD45D7"/>
    <w:rsid w:val="00FD4640"/>
    <w:rsid w:val="00FD4759"/>
    <w:rsid w:val="00FD47B9"/>
    <w:rsid w:val="00FD49BD"/>
    <w:rsid w:val="00FD49E9"/>
    <w:rsid w:val="00FD49FD"/>
    <w:rsid w:val="00FD4CE9"/>
    <w:rsid w:val="00FD4D31"/>
    <w:rsid w:val="00FD4DF0"/>
    <w:rsid w:val="00FD4FF9"/>
    <w:rsid w:val="00FD507F"/>
    <w:rsid w:val="00FD5283"/>
    <w:rsid w:val="00FD52CE"/>
    <w:rsid w:val="00FD546D"/>
    <w:rsid w:val="00FD5473"/>
    <w:rsid w:val="00FD55A7"/>
    <w:rsid w:val="00FD55DE"/>
    <w:rsid w:val="00FD57F8"/>
    <w:rsid w:val="00FD5D35"/>
    <w:rsid w:val="00FD6130"/>
    <w:rsid w:val="00FD6184"/>
    <w:rsid w:val="00FD61A1"/>
    <w:rsid w:val="00FD61CB"/>
    <w:rsid w:val="00FD62C3"/>
    <w:rsid w:val="00FD62CB"/>
    <w:rsid w:val="00FD64D4"/>
    <w:rsid w:val="00FD6607"/>
    <w:rsid w:val="00FD693E"/>
    <w:rsid w:val="00FD69A3"/>
    <w:rsid w:val="00FD6BB3"/>
    <w:rsid w:val="00FD6E19"/>
    <w:rsid w:val="00FD6E3D"/>
    <w:rsid w:val="00FD6F3E"/>
    <w:rsid w:val="00FD703A"/>
    <w:rsid w:val="00FD7234"/>
    <w:rsid w:val="00FD7497"/>
    <w:rsid w:val="00FD74B3"/>
    <w:rsid w:val="00FD772A"/>
    <w:rsid w:val="00FD7765"/>
    <w:rsid w:val="00FD79A4"/>
    <w:rsid w:val="00FD7A14"/>
    <w:rsid w:val="00FD7A19"/>
    <w:rsid w:val="00FD7AF2"/>
    <w:rsid w:val="00FD7B8B"/>
    <w:rsid w:val="00FD7C71"/>
    <w:rsid w:val="00FD7F9D"/>
    <w:rsid w:val="00FE0053"/>
    <w:rsid w:val="00FE0141"/>
    <w:rsid w:val="00FE018B"/>
    <w:rsid w:val="00FE025F"/>
    <w:rsid w:val="00FE02C2"/>
    <w:rsid w:val="00FE036C"/>
    <w:rsid w:val="00FE0594"/>
    <w:rsid w:val="00FE07BF"/>
    <w:rsid w:val="00FE07F9"/>
    <w:rsid w:val="00FE0F00"/>
    <w:rsid w:val="00FE0FC5"/>
    <w:rsid w:val="00FE112B"/>
    <w:rsid w:val="00FE1275"/>
    <w:rsid w:val="00FE12ED"/>
    <w:rsid w:val="00FE135F"/>
    <w:rsid w:val="00FE13C4"/>
    <w:rsid w:val="00FE143F"/>
    <w:rsid w:val="00FE14C8"/>
    <w:rsid w:val="00FE15FA"/>
    <w:rsid w:val="00FE16FC"/>
    <w:rsid w:val="00FE1803"/>
    <w:rsid w:val="00FE1889"/>
    <w:rsid w:val="00FE191B"/>
    <w:rsid w:val="00FE1E6C"/>
    <w:rsid w:val="00FE1EE2"/>
    <w:rsid w:val="00FE20EA"/>
    <w:rsid w:val="00FE2290"/>
    <w:rsid w:val="00FE22E5"/>
    <w:rsid w:val="00FE2315"/>
    <w:rsid w:val="00FE2364"/>
    <w:rsid w:val="00FE23CD"/>
    <w:rsid w:val="00FE25E3"/>
    <w:rsid w:val="00FE26E1"/>
    <w:rsid w:val="00FE28CF"/>
    <w:rsid w:val="00FE2925"/>
    <w:rsid w:val="00FE2955"/>
    <w:rsid w:val="00FE2A44"/>
    <w:rsid w:val="00FE2A5B"/>
    <w:rsid w:val="00FE2B47"/>
    <w:rsid w:val="00FE2C05"/>
    <w:rsid w:val="00FE2C54"/>
    <w:rsid w:val="00FE2D4A"/>
    <w:rsid w:val="00FE2F12"/>
    <w:rsid w:val="00FE2F81"/>
    <w:rsid w:val="00FE32B3"/>
    <w:rsid w:val="00FE330D"/>
    <w:rsid w:val="00FE34A3"/>
    <w:rsid w:val="00FE3BF7"/>
    <w:rsid w:val="00FE3C08"/>
    <w:rsid w:val="00FE3C7C"/>
    <w:rsid w:val="00FE4007"/>
    <w:rsid w:val="00FE40BB"/>
    <w:rsid w:val="00FE41DF"/>
    <w:rsid w:val="00FE4390"/>
    <w:rsid w:val="00FE4396"/>
    <w:rsid w:val="00FE449B"/>
    <w:rsid w:val="00FE4515"/>
    <w:rsid w:val="00FE469B"/>
    <w:rsid w:val="00FE4747"/>
    <w:rsid w:val="00FE47B1"/>
    <w:rsid w:val="00FE47B8"/>
    <w:rsid w:val="00FE48A3"/>
    <w:rsid w:val="00FE4A88"/>
    <w:rsid w:val="00FE4F11"/>
    <w:rsid w:val="00FE4F16"/>
    <w:rsid w:val="00FE4F25"/>
    <w:rsid w:val="00FE50B0"/>
    <w:rsid w:val="00FE5215"/>
    <w:rsid w:val="00FE5248"/>
    <w:rsid w:val="00FE5314"/>
    <w:rsid w:val="00FE54A7"/>
    <w:rsid w:val="00FE587C"/>
    <w:rsid w:val="00FE58D8"/>
    <w:rsid w:val="00FE5DC1"/>
    <w:rsid w:val="00FE6091"/>
    <w:rsid w:val="00FE6634"/>
    <w:rsid w:val="00FE6714"/>
    <w:rsid w:val="00FE6729"/>
    <w:rsid w:val="00FE681A"/>
    <w:rsid w:val="00FE68B9"/>
    <w:rsid w:val="00FE69FE"/>
    <w:rsid w:val="00FE6D1B"/>
    <w:rsid w:val="00FE6DD8"/>
    <w:rsid w:val="00FE6E1F"/>
    <w:rsid w:val="00FE6E6E"/>
    <w:rsid w:val="00FE6EFE"/>
    <w:rsid w:val="00FE6FDD"/>
    <w:rsid w:val="00FE702C"/>
    <w:rsid w:val="00FE71A5"/>
    <w:rsid w:val="00FE71FB"/>
    <w:rsid w:val="00FE736D"/>
    <w:rsid w:val="00FE75BF"/>
    <w:rsid w:val="00FE76A7"/>
    <w:rsid w:val="00FE7797"/>
    <w:rsid w:val="00FE77CF"/>
    <w:rsid w:val="00FE78F7"/>
    <w:rsid w:val="00FE7988"/>
    <w:rsid w:val="00FE7A45"/>
    <w:rsid w:val="00FE7CDD"/>
    <w:rsid w:val="00FF00C5"/>
    <w:rsid w:val="00FF0133"/>
    <w:rsid w:val="00FF028A"/>
    <w:rsid w:val="00FF0444"/>
    <w:rsid w:val="00FF04FC"/>
    <w:rsid w:val="00FF05C6"/>
    <w:rsid w:val="00FF078A"/>
    <w:rsid w:val="00FF0C1C"/>
    <w:rsid w:val="00FF0C6E"/>
    <w:rsid w:val="00FF0D71"/>
    <w:rsid w:val="00FF1026"/>
    <w:rsid w:val="00FF1246"/>
    <w:rsid w:val="00FF12F8"/>
    <w:rsid w:val="00FF136C"/>
    <w:rsid w:val="00FF14D1"/>
    <w:rsid w:val="00FF162C"/>
    <w:rsid w:val="00FF1A0E"/>
    <w:rsid w:val="00FF1B87"/>
    <w:rsid w:val="00FF1D8E"/>
    <w:rsid w:val="00FF2266"/>
    <w:rsid w:val="00FF2378"/>
    <w:rsid w:val="00FF237D"/>
    <w:rsid w:val="00FF276E"/>
    <w:rsid w:val="00FF28FC"/>
    <w:rsid w:val="00FF2C18"/>
    <w:rsid w:val="00FF2D2A"/>
    <w:rsid w:val="00FF2E1C"/>
    <w:rsid w:val="00FF31CE"/>
    <w:rsid w:val="00FF34B3"/>
    <w:rsid w:val="00FF386D"/>
    <w:rsid w:val="00FF3A06"/>
    <w:rsid w:val="00FF3AD5"/>
    <w:rsid w:val="00FF3D9C"/>
    <w:rsid w:val="00FF4028"/>
    <w:rsid w:val="00FF4075"/>
    <w:rsid w:val="00FF42ED"/>
    <w:rsid w:val="00FF4440"/>
    <w:rsid w:val="00FF451F"/>
    <w:rsid w:val="00FF4521"/>
    <w:rsid w:val="00FF4689"/>
    <w:rsid w:val="00FF46FA"/>
    <w:rsid w:val="00FF489E"/>
    <w:rsid w:val="00FF4EF6"/>
    <w:rsid w:val="00FF5102"/>
    <w:rsid w:val="00FF5169"/>
    <w:rsid w:val="00FF52B2"/>
    <w:rsid w:val="00FF52FD"/>
    <w:rsid w:val="00FF5383"/>
    <w:rsid w:val="00FF5494"/>
    <w:rsid w:val="00FF553C"/>
    <w:rsid w:val="00FF5CD9"/>
    <w:rsid w:val="00FF5D13"/>
    <w:rsid w:val="00FF5D81"/>
    <w:rsid w:val="00FF6151"/>
    <w:rsid w:val="00FF6431"/>
    <w:rsid w:val="00FF6592"/>
    <w:rsid w:val="00FF660D"/>
    <w:rsid w:val="00FF674A"/>
    <w:rsid w:val="00FF6A2B"/>
    <w:rsid w:val="00FF6B42"/>
    <w:rsid w:val="00FF6BB3"/>
    <w:rsid w:val="00FF6BC7"/>
    <w:rsid w:val="00FF6D4D"/>
    <w:rsid w:val="00FF6DA7"/>
    <w:rsid w:val="00FF6DF5"/>
    <w:rsid w:val="00FF704E"/>
    <w:rsid w:val="00FF7094"/>
    <w:rsid w:val="00FF71BC"/>
    <w:rsid w:val="00FF722A"/>
    <w:rsid w:val="00FF7414"/>
    <w:rsid w:val="00FF76FC"/>
    <w:rsid w:val="00FF7753"/>
    <w:rsid w:val="00FF7921"/>
    <w:rsid w:val="00FF79C5"/>
    <w:rsid w:val="00FF7A0E"/>
    <w:rsid w:val="00FF7B42"/>
    <w:rsid w:val="00FF7D9C"/>
    <w:rsid w:val="00FF7EB4"/>
    <w:rsid w:val="00FF7F83"/>
    <w:rsid w:val="00FF7FA5"/>
    <w:rsid w:val="0119C290"/>
    <w:rsid w:val="01A9FD22"/>
    <w:rsid w:val="01F02D6F"/>
    <w:rsid w:val="02367BCB"/>
    <w:rsid w:val="0250A14B"/>
    <w:rsid w:val="0331CEAB"/>
    <w:rsid w:val="03D294B3"/>
    <w:rsid w:val="03EDDDE0"/>
    <w:rsid w:val="03F0E799"/>
    <w:rsid w:val="0406DB5D"/>
    <w:rsid w:val="04091DAA"/>
    <w:rsid w:val="041C5AC4"/>
    <w:rsid w:val="0429381B"/>
    <w:rsid w:val="0457467C"/>
    <w:rsid w:val="047EF3DF"/>
    <w:rsid w:val="049CC440"/>
    <w:rsid w:val="055C756C"/>
    <w:rsid w:val="05768E9B"/>
    <w:rsid w:val="05F31CA8"/>
    <w:rsid w:val="0626EEEB"/>
    <w:rsid w:val="06712394"/>
    <w:rsid w:val="069156AC"/>
    <w:rsid w:val="07176F2A"/>
    <w:rsid w:val="0752F009"/>
    <w:rsid w:val="07697444"/>
    <w:rsid w:val="077F9402"/>
    <w:rsid w:val="078C319B"/>
    <w:rsid w:val="08653733"/>
    <w:rsid w:val="087CD24E"/>
    <w:rsid w:val="08FFF12F"/>
    <w:rsid w:val="0902E800"/>
    <w:rsid w:val="093471BB"/>
    <w:rsid w:val="095E45C3"/>
    <w:rsid w:val="0986F3EE"/>
    <w:rsid w:val="09E4C54A"/>
    <w:rsid w:val="09F0E7B6"/>
    <w:rsid w:val="0A3458D5"/>
    <w:rsid w:val="0AD838DA"/>
    <w:rsid w:val="0B7DDE43"/>
    <w:rsid w:val="0C492871"/>
    <w:rsid w:val="0CA89455"/>
    <w:rsid w:val="0D42A591"/>
    <w:rsid w:val="0E17333F"/>
    <w:rsid w:val="0EC78C06"/>
    <w:rsid w:val="0F2D1AB6"/>
    <w:rsid w:val="0F3178D8"/>
    <w:rsid w:val="0FA034C1"/>
    <w:rsid w:val="0FD1A943"/>
    <w:rsid w:val="0FEC2AA8"/>
    <w:rsid w:val="10265197"/>
    <w:rsid w:val="102BD20A"/>
    <w:rsid w:val="10409103"/>
    <w:rsid w:val="1042982C"/>
    <w:rsid w:val="107B6F96"/>
    <w:rsid w:val="10CCCB6E"/>
    <w:rsid w:val="111B0E93"/>
    <w:rsid w:val="112296DF"/>
    <w:rsid w:val="11248FB2"/>
    <w:rsid w:val="112E7096"/>
    <w:rsid w:val="1275A1FE"/>
    <w:rsid w:val="12A7B469"/>
    <w:rsid w:val="12CE27E5"/>
    <w:rsid w:val="1326A9E0"/>
    <w:rsid w:val="1399CA37"/>
    <w:rsid w:val="1456D588"/>
    <w:rsid w:val="14C1CA1F"/>
    <w:rsid w:val="158ED789"/>
    <w:rsid w:val="158F47F1"/>
    <w:rsid w:val="1683AAD8"/>
    <w:rsid w:val="16A39927"/>
    <w:rsid w:val="16C2C339"/>
    <w:rsid w:val="1701F8AC"/>
    <w:rsid w:val="17211D7A"/>
    <w:rsid w:val="17281979"/>
    <w:rsid w:val="180C1000"/>
    <w:rsid w:val="1959D693"/>
    <w:rsid w:val="1972F3B0"/>
    <w:rsid w:val="1A12356B"/>
    <w:rsid w:val="1AC31496"/>
    <w:rsid w:val="1AC5D07D"/>
    <w:rsid w:val="1B52641C"/>
    <w:rsid w:val="1C1891AA"/>
    <w:rsid w:val="1C2FBBBE"/>
    <w:rsid w:val="1C35A5DF"/>
    <w:rsid w:val="1CBD990F"/>
    <w:rsid w:val="1CD46A7B"/>
    <w:rsid w:val="1CE10B75"/>
    <w:rsid w:val="1D2822AB"/>
    <w:rsid w:val="1DDAE382"/>
    <w:rsid w:val="1E1A73A4"/>
    <w:rsid w:val="1E36E386"/>
    <w:rsid w:val="1E5EB665"/>
    <w:rsid w:val="1E5FE5DB"/>
    <w:rsid w:val="1E91C8D0"/>
    <w:rsid w:val="1EEDFA84"/>
    <w:rsid w:val="1F533110"/>
    <w:rsid w:val="1FD2F7A0"/>
    <w:rsid w:val="1FF9BB0C"/>
    <w:rsid w:val="200F12C0"/>
    <w:rsid w:val="20829843"/>
    <w:rsid w:val="20AF3417"/>
    <w:rsid w:val="214F097A"/>
    <w:rsid w:val="21A5E3DE"/>
    <w:rsid w:val="21C0F788"/>
    <w:rsid w:val="22083753"/>
    <w:rsid w:val="2209E9AE"/>
    <w:rsid w:val="222441DD"/>
    <w:rsid w:val="22756A62"/>
    <w:rsid w:val="22BCC46E"/>
    <w:rsid w:val="23486698"/>
    <w:rsid w:val="23FAB3E7"/>
    <w:rsid w:val="25434D5A"/>
    <w:rsid w:val="254B425D"/>
    <w:rsid w:val="25EB3253"/>
    <w:rsid w:val="2664CCA7"/>
    <w:rsid w:val="266A888E"/>
    <w:rsid w:val="26BC8E9D"/>
    <w:rsid w:val="2774A28D"/>
    <w:rsid w:val="27AC218C"/>
    <w:rsid w:val="27B34C85"/>
    <w:rsid w:val="2825F359"/>
    <w:rsid w:val="28277C5F"/>
    <w:rsid w:val="284F086C"/>
    <w:rsid w:val="285D4009"/>
    <w:rsid w:val="286366AF"/>
    <w:rsid w:val="28637E8C"/>
    <w:rsid w:val="289EDEFB"/>
    <w:rsid w:val="28DFBC43"/>
    <w:rsid w:val="292D40B2"/>
    <w:rsid w:val="29EC2AFC"/>
    <w:rsid w:val="29F41FE8"/>
    <w:rsid w:val="2A946BAE"/>
    <w:rsid w:val="2B1B33E5"/>
    <w:rsid w:val="2B861B36"/>
    <w:rsid w:val="2C1BAA92"/>
    <w:rsid w:val="2C6834EB"/>
    <w:rsid w:val="2CFF422E"/>
    <w:rsid w:val="2D8CC062"/>
    <w:rsid w:val="2DC76370"/>
    <w:rsid w:val="2E0ED963"/>
    <w:rsid w:val="2E54E7E0"/>
    <w:rsid w:val="2E7A4C67"/>
    <w:rsid w:val="2EA2C9BE"/>
    <w:rsid w:val="2EE3CAA5"/>
    <w:rsid w:val="2EF7CDC6"/>
    <w:rsid w:val="2FB13DAF"/>
    <w:rsid w:val="303203C9"/>
    <w:rsid w:val="306CAF01"/>
    <w:rsid w:val="30F289E1"/>
    <w:rsid w:val="311CC0C5"/>
    <w:rsid w:val="31382E81"/>
    <w:rsid w:val="317A7CA8"/>
    <w:rsid w:val="3231B50B"/>
    <w:rsid w:val="323BD6B4"/>
    <w:rsid w:val="323FB88C"/>
    <w:rsid w:val="325BB7BC"/>
    <w:rsid w:val="327534B3"/>
    <w:rsid w:val="328F6547"/>
    <w:rsid w:val="331A4852"/>
    <w:rsid w:val="33447187"/>
    <w:rsid w:val="3348B5A2"/>
    <w:rsid w:val="337BB1AA"/>
    <w:rsid w:val="33E139A5"/>
    <w:rsid w:val="3400F8F6"/>
    <w:rsid w:val="3404A128"/>
    <w:rsid w:val="3480B336"/>
    <w:rsid w:val="3494ECFC"/>
    <w:rsid w:val="35BCD5D2"/>
    <w:rsid w:val="35ECE43C"/>
    <w:rsid w:val="35FABD99"/>
    <w:rsid w:val="35FC2554"/>
    <w:rsid w:val="364B3182"/>
    <w:rsid w:val="365D27FD"/>
    <w:rsid w:val="36B9CEFB"/>
    <w:rsid w:val="37002A58"/>
    <w:rsid w:val="37080978"/>
    <w:rsid w:val="3725A2D3"/>
    <w:rsid w:val="3762E07C"/>
    <w:rsid w:val="3771EBD3"/>
    <w:rsid w:val="378C61A5"/>
    <w:rsid w:val="37B495D2"/>
    <w:rsid w:val="37D33E4C"/>
    <w:rsid w:val="37D84900"/>
    <w:rsid w:val="37EA73D9"/>
    <w:rsid w:val="381FCFD0"/>
    <w:rsid w:val="3872A73F"/>
    <w:rsid w:val="38A94091"/>
    <w:rsid w:val="38BB79CF"/>
    <w:rsid w:val="38E19952"/>
    <w:rsid w:val="398163EE"/>
    <w:rsid w:val="398FA39F"/>
    <w:rsid w:val="3A53F11C"/>
    <w:rsid w:val="3A60CFA7"/>
    <w:rsid w:val="3A69C29D"/>
    <w:rsid w:val="3AA3EAC9"/>
    <w:rsid w:val="3AFD9494"/>
    <w:rsid w:val="3B0A0BBE"/>
    <w:rsid w:val="3B30B156"/>
    <w:rsid w:val="3B6231CA"/>
    <w:rsid w:val="3B8028E3"/>
    <w:rsid w:val="3B84D617"/>
    <w:rsid w:val="3BA93D1C"/>
    <w:rsid w:val="3BB7E695"/>
    <w:rsid w:val="3C0BAD28"/>
    <w:rsid w:val="3D253E31"/>
    <w:rsid w:val="3E5953AB"/>
    <w:rsid w:val="3E5AD39F"/>
    <w:rsid w:val="3E6AD2A2"/>
    <w:rsid w:val="3E718F3A"/>
    <w:rsid w:val="3EACC33D"/>
    <w:rsid w:val="3EC3BF3A"/>
    <w:rsid w:val="3EDE3B62"/>
    <w:rsid w:val="3EF0381D"/>
    <w:rsid w:val="3F247C52"/>
    <w:rsid w:val="3F5BA095"/>
    <w:rsid w:val="3FEF835E"/>
    <w:rsid w:val="3FFC95D5"/>
    <w:rsid w:val="403AD69E"/>
    <w:rsid w:val="4044BCEB"/>
    <w:rsid w:val="407B31EF"/>
    <w:rsid w:val="408D3377"/>
    <w:rsid w:val="40A70007"/>
    <w:rsid w:val="40C686AB"/>
    <w:rsid w:val="412C708A"/>
    <w:rsid w:val="414580EC"/>
    <w:rsid w:val="41B2BA98"/>
    <w:rsid w:val="41B7A729"/>
    <w:rsid w:val="4206A5E7"/>
    <w:rsid w:val="423535C7"/>
    <w:rsid w:val="426802C2"/>
    <w:rsid w:val="426E5D3D"/>
    <w:rsid w:val="426F3FB0"/>
    <w:rsid w:val="4272F2CD"/>
    <w:rsid w:val="42CFB348"/>
    <w:rsid w:val="42D0B062"/>
    <w:rsid w:val="42FCF618"/>
    <w:rsid w:val="43E9C892"/>
    <w:rsid w:val="442E363B"/>
    <w:rsid w:val="444102F4"/>
    <w:rsid w:val="444F7027"/>
    <w:rsid w:val="44A2954E"/>
    <w:rsid w:val="453256CD"/>
    <w:rsid w:val="453D17B9"/>
    <w:rsid w:val="455B6D84"/>
    <w:rsid w:val="457021C1"/>
    <w:rsid w:val="45E8E690"/>
    <w:rsid w:val="4622232F"/>
    <w:rsid w:val="46AE211F"/>
    <w:rsid w:val="4726701A"/>
    <w:rsid w:val="472CE1C9"/>
    <w:rsid w:val="4786B02F"/>
    <w:rsid w:val="47AF64D4"/>
    <w:rsid w:val="47BDA9FA"/>
    <w:rsid w:val="483FB8C3"/>
    <w:rsid w:val="48501DB3"/>
    <w:rsid w:val="48608C12"/>
    <w:rsid w:val="48B1D862"/>
    <w:rsid w:val="48D266C4"/>
    <w:rsid w:val="48D44EE5"/>
    <w:rsid w:val="48F10CD8"/>
    <w:rsid w:val="48F188C7"/>
    <w:rsid w:val="4900B550"/>
    <w:rsid w:val="490CC067"/>
    <w:rsid w:val="49418395"/>
    <w:rsid w:val="499E6F5B"/>
    <w:rsid w:val="49F93774"/>
    <w:rsid w:val="49FEAB1B"/>
    <w:rsid w:val="4A27DA54"/>
    <w:rsid w:val="4A2BEED6"/>
    <w:rsid w:val="4A615745"/>
    <w:rsid w:val="4A92FD8B"/>
    <w:rsid w:val="4ACAD6FE"/>
    <w:rsid w:val="4B8758D5"/>
    <w:rsid w:val="4C09140E"/>
    <w:rsid w:val="4C1730BA"/>
    <w:rsid w:val="4C1D884D"/>
    <w:rsid w:val="4C923B06"/>
    <w:rsid w:val="4D34D499"/>
    <w:rsid w:val="4D7FBC5D"/>
    <w:rsid w:val="4DC2FAC4"/>
    <w:rsid w:val="4E3427BD"/>
    <w:rsid w:val="4E69FE9B"/>
    <w:rsid w:val="4EEBDE6C"/>
    <w:rsid w:val="4EF8734E"/>
    <w:rsid w:val="4F0945DC"/>
    <w:rsid w:val="4F6E9F12"/>
    <w:rsid w:val="4F86AF4A"/>
    <w:rsid w:val="4FC2F207"/>
    <w:rsid w:val="4FEFBB23"/>
    <w:rsid w:val="5055DF79"/>
    <w:rsid w:val="51012E3C"/>
    <w:rsid w:val="5149CD57"/>
    <w:rsid w:val="518C5E8E"/>
    <w:rsid w:val="51F076CF"/>
    <w:rsid w:val="53690F79"/>
    <w:rsid w:val="53F72C43"/>
    <w:rsid w:val="546A2BB6"/>
    <w:rsid w:val="547138D4"/>
    <w:rsid w:val="54CD186E"/>
    <w:rsid w:val="54CDC3CC"/>
    <w:rsid w:val="55CB0320"/>
    <w:rsid w:val="55E2253C"/>
    <w:rsid w:val="55F3FFE1"/>
    <w:rsid w:val="564C72A0"/>
    <w:rsid w:val="56592DBB"/>
    <w:rsid w:val="565CC899"/>
    <w:rsid w:val="56714C86"/>
    <w:rsid w:val="5687599B"/>
    <w:rsid w:val="572B2B95"/>
    <w:rsid w:val="57A1956A"/>
    <w:rsid w:val="57F072CB"/>
    <w:rsid w:val="57FC46E6"/>
    <w:rsid w:val="5831CD98"/>
    <w:rsid w:val="5882C2AA"/>
    <w:rsid w:val="58899D05"/>
    <w:rsid w:val="58B1CC3B"/>
    <w:rsid w:val="5905F344"/>
    <w:rsid w:val="591E936E"/>
    <w:rsid w:val="59678DDA"/>
    <w:rsid w:val="5992AADE"/>
    <w:rsid w:val="59AF0A6E"/>
    <w:rsid w:val="59EF8100"/>
    <w:rsid w:val="5A2F1BE9"/>
    <w:rsid w:val="5A537369"/>
    <w:rsid w:val="5AD2D0A3"/>
    <w:rsid w:val="5ADE9570"/>
    <w:rsid w:val="5B1629B1"/>
    <w:rsid w:val="5B20771E"/>
    <w:rsid w:val="5B7C857A"/>
    <w:rsid w:val="5B83DBCD"/>
    <w:rsid w:val="5B9303CC"/>
    <w:rsid w:val="5BDBB18B"/>
    <w:rsid w:val="5C1F8310"/>
    <w:rsid w:val="5C93BF3F"/>
    <w:rsid w:val="5CA65BC3"/>
    <w:rsid w:val="5CCD9127"/>
    <w:rsid w:val="5CCF2091"/>
    <w:rsid w:val="5D0A9FEA"/>
    <w:rsid w:val="5D214E81"/>
    <w:rsid w:val="5D370601"/>
    <w:rsid w:val="5DA04EBC"/>
    <w:rsid w:val="5DC47C40"/>
    <w:rsid w:val="5DF72E95"/>
    <w:rsid w:val="5E0587AC"/>
    <w:rsid w:val="5E5E0CA8"/>
    <w:rsid w:val="5EC873FE"/>
    <w:rsid w:val="5EE793B0"/>
    <w:rsid w:val="5F1692DE"/>
    <w:rsid w:val="5F2516B1"/>
    <w:rsid w:val="5F4D44C4"/>
    <w:rsid w:val="5FA63394"/>
    <w:rsid w:val="60365D38"/>
    <w:rsid w:val="6108513E"/>
    <w:rsid w:val="6160490B"/>
    <w:rsid w:val="616306E2"/>
    <w:rsid w:val="61A61B49"/>
    <w:rsid w:val="62A5BF2F"/>
    <w:rsid w:val="62A62426"/>
    <w:rsid w:val="631B1C4B"/>
    <w:rsid w:val="634CEBEA"/>
    <w:rsid w:val="63933EDA"/>
    <w:rsid w:val="6395CE9F"/>
    <w:rsid w:val="63ACEE54"/>
    <w:rsid w:val="63EB15A4"/>
    <w:rsid w:val="64425380"/>
    <w:rsid w:val="645D3854"/>
    <w:rsid w:val="64905553"/>
    <w:rsid w:val="64AA0C4D"/>
    <w:rsid w:val="650159A4"/>
    <w:rsid w:val="6521E81C"/>
    <w:rsid w:val="654C6DB2"/>
    <w:rsid w:val="654F2859"/>
    <w:rsid w:val="65CBB975"/>
    <w:rsid w:val="65EE3D9F"/>
    <w:rsid w:val="662A266A"/>
    <w:rsid w:val="662B8DF9"/>
    <w:rsid w:val="66666AE5"/>
    <w:rsid w:val="66943A8A"/>
    <w:rsid w:val="66F0E2FD"/>
    <w:rsid w:val="66F54A0D"/>
    <w:rsid w:val="6703DF06"/>
    <w:rsid w:val="677CB840"/>
    <w:rsid w:val="678ED48E"/>
    <w:rsid w:val="67B5AD03"/>
    <w:rsid w:val="6811DD22"/>
    <w:rsid w:val="68668062"/>
    <w:rsid w:val="686BE1E8"/>
    <w:rsid w:val="69386E03"/>
    <w:rsid w:val="693F4751"/>
    <w:rsid w:val="69450DBE"/>
    <w:rsid w:val="6980776A"/>
    <w:rsid w:val="6A49D7A1"/>
    <w:rsid w:val="6A58688C"/>
    <w:rsid w:val="6A6952DD"/>
    <w:rsid w:val="6B1798BF"/>
    <w:rsid w:val="6B3CFBB3"/>
    <w:rsid w:val="6C2ACC60"/>
    <w:rsid w:val="6C60BD6C"/>
    <w:rsid w:val="6C9DC476"/>
    <w:rsid w:val="6CC6B7B8"/>
    <w:rsid w:val="6D164B71"/>
    <w:rsid w:val="6D2701A8"/>
    <w:rsid w:val="6D72006A"/>
    <w:rsid w:val="6D810DA7"/>
    <w:rsid w:val="6D8326A3"/>
    <w:rsid w:val="6D9C7561"/>
    <w:rsid w:val="6DAF4A93"/>
    <w:rsid w:val="6DBCFF41"/>
    <w:rsid w:val="6E02A958"/>
    <w:rsid w:val="6E507C3E"/>
    <w:rsid w:val="6E568AD5"/>
    <w:rsid w:val="6E61E665"/>
    <w:rsid w:val="6E9B3E82"/>
    <w:rsid w:val="6EC480E4"/>
    <w:rsid w:val="6F1E3424"/>
    <w:rsid w:val="6F425A01"/>
    <w:rsid w:val="6F4AEF4B"/>
    <w:rsid w:val="6F756F27"/>
    <w:rsid w:val="7002E005"/>
    <w:rsid w:val="7008743A"/>
    <w:rsid w:val="70347FC2"/>
    <w:rsid w:val="7040AAA9"/>
    <w:rsid w:val="7071D73C"/>
    <w:rsid w:val="70A3C4F2"/>
    <w:rsid w:val="7101E445"/>
    <w:rsid w:val="7117C93A"/>
    <w:rsid w:val="7124AE8D"/>
    <w:rsid w:val="7149321E"/>
    <w:rsid w:val="714BB8FA"/>
    <w:rsid w:val="715E90C8"/>
    <w:rsid w:val="716433E3"/>
    <w:rsid w:val="716D30A3"/>
    <w:rsid w:val="71F56C6C"/>
    <w:rsid w:val="72047334"/>
    <w:rsid w:val="72391A16"/>
    <w:rsid w:val="732D1B82"/>
    <w:rsid w:val="73D25828"/>
    <w:rsid w:val="73D8B26C"/>
    <w:rsid w:val="73EE6C1D"/>
    <w:rsid w:val="74BC8F30"/>
    <w:rsid w:val="74E2ED40"/>
    <w:rsid w:val="752ED49B"/>
    <w:rsid w:val="755A5E26"/>
    <w:rsid w:val="761A702A"/>
    <w:rsid w:val="76C05C34"/>
    <w:rsid w:val="76D26D6A"/>
    <w:rsid w:val="76D2A341"/>
    <w:rsid w:val="76E7D50F"/>
    <w:rsid w:val="7735E7AE"/>
    <w:rsid w:val="773ED46E"/>
    <w:rsid w:val="77CB69D4"/>
    <w:rsid w:val="782A2703"/>
    <w:rsid w:val="78444A3E"/>
    <w:rsid w:val="78564EBA"/>
    <w:rsid w:val="7869D6CF"/>
    <w:rsid w:val="78773A8E"/>
    <w:rsid w:val="78790FF2"/>
    <w:rsid w:val="78B9081D"/>
    <w:rsid w:val="78CCD5BE"/>
    <w:rsid w:val="78E39560"/>
    <w:rsid w:val="78E63870"/>
    <w:rsid w:val="793C3B7B"/>
    <w:rsid w:val="796AFCB2"/>
    <w:rsid w:val="79E12FD5"/>
    <w:rsid w:val="7A171C91"/>
    <w:rsid w:val="7A8A9891"/>
    <w:rsid w:val="7AA55BF9"/>
    <w:rsid w:val="7B5231D3"/>
    <w:rsid w:val="7B63384B"/>
    <w:rsid w:val="7B789722"/>
    <w:rsid w:val="7B9D850A"/>
    <w:rsid w:val="7BB8566C"/>
    <w:rsid w:val="7BD2567E"/>
    <w:rsid w:val="7BD3CAFB"/>
    <w:rsid w:val="7BDE74FA"/>
    <w:rsid w:val="7BE1C749"/>
    <w:rsid w:val="7BF24759"/>
    <w:rsid w:val="7C1549AD"/>
    <w:rsid w:val="7C192584"/>
    <w:rsid w:val="7C95C723"/>
    <w:rsid w:val="7CC727D3"/>
    <w:rsid w:val="7CE23E4F"/>
    <w:rsid w:val="7CEFAD72"/>
    <w:rsid w:val="7CFD2185"/>
    <w:rsid w:val="7D000318"/>
    <w:rsid w:val="7D39B315"/>
    <w:rsid w:val="7D7FF49F"/>
    <w:rsid w:val="7D9EE921"/>
    <w:rsid w:val="7DB27312"/>
    <w:rsid w:val="7DBCA7C2"/>
    <w:rsid w:val="7EEE9ED0"/>
    <w:rsid w:val="7F023AAB"/>
    <w:rsid w:val="7F1BB608"/>
    <w:rsid w:val="7F397ADB"/>
    <w:rsid w:val="7F847327"/>
    <w:rsid w:val="7FEFB49F"/>
    <w:rsid w:val="7FF28A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A7199D"/>
  <w15:chartTrackingRefBased/>
  <w15:docId w15:val="{6129BBA0-671F-4129-AE73-55061D99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522"/>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E42D67"/>
    <w:pPr>
      <w:tabs>
        <w:tab w:val="center" w:pos="4153"/>
        <w:tab w:val="right" w:pos="8306"/>
      </w:tabs>
    </w:pPr>
  </w:style>
  <w:style w:type="character" w:customStyle="1" w:styleId="HeaderChar">
    <w:name w:val="Header Char"/>
    <w:basedOn w:val="DefaultParagraphFont"/>
    <w:link w:val="Header"/>
    <w:rsid w:val="00BB207D"/>
    <w:rPr>
      <w:rFonts w:ascii="Arial" w:eastAsia="Times New Roman" w:hAnsi="Arial" w:cs="Times New Roman"/>
      <w:sz w:val="18"/>
      <w:szCs w:val="20"/>
      <w:lang w:eastAsia="en-AU"/>
    </w:rPr>
  </w:style>
  <w:style w:type="paragraph" w:styleId="Footer">
    <w:name w:val="footer"/>
    <w:basedOn w:val="FooterBase"/>
    <w:link w:val="FooterChar"/>
    <w:rsid w:val="00E42D67"/>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2D67"/>
    <w:pPr>
      <w:spacing w:before="240" w:after="60"/>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caps/>
      <w:sz w:val="24"/>
      <w:szCs w:val="20"/>
      <w:lang w:eastAsia="en-AU"/>
    </w:rPr>
  </w:style>
  <w:style w:type="paragraph" w:customStyle="1" w:styleId="SecurityClassificationFooter">
    <w:name w:val="Security Classification Footer"/>
    <w:link w:val="SecurityClassificationFooterChar"/>
    <w:rsid w:val="00E42D67"/>
    <w:pPr>
      <w:spacing w:before="60" w:after="240"/>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caps/>
      <w:sz w:val="24"/>
      <w:szCs w:val="20"/>
      <w:lang w:eastAsia="en-AU"/>
    </w:rPr>
  </w:style>
  <w:style w:type="paragraph" w:customStyle="1" w:styleId="DLMSecurityHeader">
    <w:name w:val="DLM Security Header"/>
    <w:link w:val="DLMSecurityHeaderChar"/>
    <w:rsid w:val="00E42D67"/>
    <w:pPr>
      <w:spacing w:before="60" w:after="240"/>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E40261"/>
    <w:rPr>
      <w:rFonts w:ascii="Calibri" w:eastAsia="Times New Roman" w:hAnsi="Calibri" w:cs="Calibri"/>
      <w:b/>
      <w:caps/>
      <w:sz w:val="24"/>
      <w:szCs w:val="20"/>
      <w:lang w:eastAsia="en-AU"/>
    </w:rPr>
  </w:style>
  <w:style w:type="paragraph" w:customStyle="1" w:styleId="DLMSecurityFooter">
    <w:name w:val="DLM Security Footer"/>
    <w:link w:val="DLMSecurityFooterChar"/>
    <w:rsid w:val="00E42D67"/>
    <w:pPr>
      <w:spacing w:before="240" w:after="60"/>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E40261"/>
    <w:rPr>
      <w:rFonts w:ascii="Calibri" w:eastAsia="Times New Roman" w:hAnsi="Calibri" w:cs="Calibri"/>
      <w:b/>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E42D67"/>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link w:val="BoxTextChar"/>
    <w:qFormat/>
    <w:rsid w:val="00BB207D"/>
    <w:pPr>
      <w:spacing w:before="120" w:after="120" w:line="240" w:lineRule="auto"/>
    </w:pPr>
  </w:style>
  <w:style w:type="paragraph" w:customStyle="1" w:styleId="BoxBullet">
    <w:name w:val="Box Bullet"/>
    <w:basedOn w:val="BoxText"/>
    <w:rsid w:val="00E42D67"/>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ody,b + line,b1,level 1,Bullet + line"/>
    <w:basedOn w:val="Normal"/>
    <w:link w:val="BulletChar"/>
    <w:qFormat/>
    <w:rsid w:val="00E42D67"/>
    <w:pPr>
      <w:numPr>
        <w:numId w:val="3"/>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E42D67"/>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link w:val="ChartGraphicChar"/>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3"/>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E42D67"/>
    <w:pPr>
      <w:numPr>
        <w:ilvl w:val="2"/>
        <w:numId w:val="3"/>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customStyle="1" w:styleId="BoxDash">
    <w:name w:val="Box Dash"/>
    <w:basedOn w:val="BoxBullet"/>
    <w:qFormat/>
    <w:rsid w:val="00F961A7"/>
    <w:pPr>
      <w:numPr>
        <w:numId w:val="5"/>
      </w:numPr>
      <w:tabs>
        <w:tab w:val="left" w:pos="567"/>
      </w:tabs>
      <w:ind w:left="568"/>
    </w:pPr>
  </w:style>
  <w:style w:type="character" w:customStyle="1" w:styleId="ChartandTableFootnoteAlphaChar">
    <w:name w:val="Chart and Table Footnote Alpha Char"/>
    <w:link w:val="ChartandTableFootnoteAlpha"/>
    <w:locked/>
    <w:rsid w:val="00F961A7"/>
    <w:rPr>
      <w:rFonts w:ascii="Arial" w:eastAsia="Times New Roman" w:hAnsi="Arial" w:cs="Times New Roman"/>
      <w:color w:val="000000"/>
      <w:sz w:val="16"/>
      <w:szCs w:val="20"/>
      <w:lang w:eastAsia="en-AU"/>
    </w:rPr>
  </w:style>
  <w:style w:type="paragraph" w:customStyle="1" w:styleId="ChartorTableNote">
    <w:name w:val="Chart or Table Note"/>
    <w:rsid w:val="00F961A7"/>
    <w:pPr>
      <w:tabs>
        <w:tab w:val="left" w:pos="482"/>
      </w:tabs>
      <w:spacing w:after="20" w:line="240" w:lineRule="auto"/>
      <w:ind w:left="482" w:hanging="482"/>
      <w:jc w:val="both"/>
    </w:pPr>
    <w:rPr>
      <w:rFonts w:ascii="Arial" w:eastAsia="Times New Roman" w:hAnsi="Arial" w:cs="Times New Roman"/>
      <w:color w:val="000000"/>
      <w:sz w:val="16"/>
      <w:szCs w:val="20"/>
      <w:lang w:eastAsia="en-AU"/>
    </w:rPr>
  </w:style>
  <w:style w:type="character" w:customStyle="1" w:styleId="BulletChar">
    <w:name w:val="Bullet Char"/>
    <w:aliases w:val="b Char,Body Char,Bullet + line Char,b + line Char,b + line Char Char,b Char Char,b1 Char,level 1 Char,Bullets Char,Number Char"/>
    <w:link w:val="Bullet"/>
    <w:qFormat/>
    <w:locked/>
    <w:rsid w:val="00F961A7"/>
    <w:rPr>
      <w:rFonts w:ascii="Book Antiqua" w:eastAsia="Times New Roman" w:hAnsi="Book Antiqua" w:cs="Times New Roman"/>
      <w:sz w:val="20"/>
      <w:szCs w:val="20"/>
      <w:lang w:eastAsia="en-AU"/>
    </w:rPr>
  </w:style>
  <w:style w:type="character" w:customStyle="1" w:styleId="apple-tab-span">
    <w:name w:val="apple-tab-span"/>
    <w:basedOn w:val="DefaultParagraphFont"/>
    <w:rsid w:val="00F961A7"/>
  </w:style>
  <w:style w:type="character" w:styleId="FollowedHyperlink">
    <w:name w:val="FollowedHyperlink"/>
    <w:basedOn w:val="DefaultParagraphFont"/>
    <w:uiPriority w:val="99"/>
    <w:semiHidden/>
    <w:unhideWhenUsed/>
    <w:rsid w:val="00F961A7"/>
    <w:rPr>
      <w:color w:val="E61E26" w:themeColor="followedHyperlink"/>
      <w:u w:val="single"/>
    </w:rPr>
  </w:style>
  <w:style w:type="character" w:customStyle="1" w:styleId="ChartGraphicChar">
    <w:name w:val="Chart Graphic Char"/>
    <w:basedOn w:val="DefaultParagraphFont"/>
    <w:link w:val="ChartGraphic"/>
    <w:locked/>
    <w:rsid w:val="00F961A7"/>
    <w:rPr>
      <w:rFonts w:ascii="Arial" w:eastAsia="Times New Roman" w:hAnsi="Arial" w:cs="Times New Roman"/>
      <w:sz w:val="20"/>
      <w:szCs w:val="20"/>
      <w:lang w:eastAsia="en-AU"/>
    </w:rPr>
  </w:style>
  <w:style w:type="paragraph" w:styleId="Revision">
    <w:name w:val="Revision"/>
    <w:hidden/>
    <w:uiPriority w:val="99"/>
    <w:semiHidden/>
    <w:rsid w:val="00F961A7"/>
    <w:pPr>
      <w:spacing w:after="0" w:line="240" w:lineRule="auto"/>
    </w:pPr>
    <w:rPr>
      <w:rFonts w:ascii="Book Antiqua" w:eastAsia="Times New Roman" w:hAnsi="Book Antiqua" w:cs="Times New Roman"/>
      <w:sz w:val="20"/>
      <w:szCs w:val="20"/>
      <w:lang w:eastAsia="en-AU"/>
    </w:rPr>
  </w:style>
  <w:style w:type="paragraph" w:styleId="NormalWeb">
    <w:name w:val="Normal (Web)"/>
    <w:basedOn w:val="Normal"/>
    <w:uiPriority w:val="99"/>
    <w:unhideWhenUsed/>
    <w:rsid w:val="00F961A7"/>
    <w:rPr>
      <w:rFonts w:ascii="Times New Roman" w:hAnsi="Times New Roman"/>
      <w:sz w:val="24"/>
      <w:szCs w:val="24"/>
    </w:rPr>
  </w:style>
  <w:style w:type="paragraph" w:styleId="ListParagraph">
    <w:name w:val="List Paragraph"/>
    <w:basedOn w:val="Normal"/>
    <w:uiPriority w:val="34"/>
    <w:qFormat/>
    <w:rsid w:val="00622B3D"/>
    <w:pPr>
      <w:spacing w:after="0" w:line="240" w:lineRule="auto"/>
      <w:ind w:left="720"/>
      <w:jc w:val="left"/>
    </w:pPr>
    <w:rPr>
      <w:rFonts w:ascii="Calibri" w:eastAsiaTheme="minorHAnsi" w:hAnsi="Calibri" w:cs="Calibri"/>
      <w:sz w:val="22"/>
      <w:szCs w:val="22"/>
      <w:lang w:eastAsia="en-US"/>
    </w:rPr>
  </w:style>
  <w:style w:type="character" w:styleId="UnresolvedMention">
    <w:name w:val="Unresolved Mention"/>
    <w:basedOn w:val="DefaultParagraphFont"/>
    <w:uiPriority w:val="99"/>
    <w:unhideWhenUsed/>
    <w:rsid w:val="00820103"/>
    <w:rPr>
      <w:color w:val="605E5C"/>
      <w:shd w:val="clear" w:color="auto" w:fill="E1DFDD"/>
    </w:rPr>
  </w:style>
  <w:style w:type="character" w:styleId="Mention">
    <w:name w:val="Mention"/>
    <w:basedOn w:val="DefaultParagraphFont"/>
    <w:uiPriority w:val="99"/>
    <w:unhideWhenUsed/>
    <w:rsid w:val="00820103"/>
    <w:rPr>
      <w:color w:val="2B579A"/>
      <w:shd w:val="clear" w:color="auto" w:fill="E1DFDD"/>
    </w:rPr>
  </w:style>
  <w:style w:type="paragraph" w:customStyle="1" w:styleId="OutlineNumbered1">
    <w:name w:val="Outline Numbered 1"/>
    <w:basedOn w:val="Normal"/>
    <w:link w:val="OutlineNumbered1Char"/>
    <w:rsid w:val="00E9032E"/>
    <w:pPr>
      <w:tabs>
        <w:tab w:val="num" w:pos="520"/>
      </w:tabs>
      <w:spacing w:after="160" w:line="259" w:lineRule="auto"/>
      <w:ind w:left="520" w:hanging="520"/>
      <w:jc w:val="left"/>
    </w:pPr>
    <w:rPr>
      <w:rFonts w:asciiTheme="minorHAnsi" w:eastAsiaTheme="minorHAnsi" w:hAnsiTheme="minorHAnsi" w:cstheme="minorBidi"/>
      <w:sz w:val="22"/>
      <w:szCs w:val="22"/>
      <w:lang w:eastAsia="en-US"/>
    </w:rPr>
  </w:style>
  <w:style w:type="character" w:customStyle="1" w:styleId="OutlineNumbered1Char">
    <w:name w:val="Outline Numbered 1 Char"/>
    <w:basedOn w:val="DefaultParagraphFont"/>
    <w:link w:val="OutlineNumbered1"/>
    <w:rsid w:val="00E9032E"/>
  </w:style>
  <w:style w:type="character" w:customStyle="1" w:styleId="BoxTextChar">
    <w:name w:val="Box Text Char"/>
    <w:basedOn w:val="DefaultParagraphFont"/>
    <w:link w:val="BoxText"/>
    <w:rsid w:val="001C4DD1"/>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9959">
      <w:bodyDiv w:val="1"/>
      <w:marLeft w:val="0"/>
      <w:marRight w:val="0"/>
      <w:marTop w:val="0"/>
      <w:marBottom w:val="0"/>
      <w:divBdr>
        <w:top w:val="none" w:sz="0" w:space="0" w:color="auto"/>
        <w:left w:val="none" w:sz="0" w:space="0" w:color="auto"/>
        <w:bottom w:val="none" w:sz="0" w:space="0" w:color="auto"/>
        <w:right w:val="none" w:sz="0" w:space="0" w:color="auto"/>
      </w:divBdr>
    </w:div>
    <w:div w:id="29304585">
      <w:bodyDiv w:val="1"/>
      <w:marLeft w:val="0"/>
      <w:marRight w:val="0"/>
      <w:marTop w:val="0"/>
      <w:marBottom w:val="0"/>
      <w:divBdr>
        <w:top w:val="none" w:sz="0" w:space="0" w:color="auto"/>
        <w:left w:val="none" w:sz="0" w:space="0" w:color="auto"/>
        <w:bottom w:val="none" w:sz="0" w:space="0" w:color="auto"/>
        <w:right w:val="none" w:sz="0" w:space="0" w:color="auto"/>
      </w:divBdr>
    </w:div>
    <w:div w:id="51388764">
      <w:bodyDiv w:val="1"/>
      <w:marLeft w:val="0"/>
      <w:marRight w:val="0"/>
      <w:marTop w:val="0"/>
      <w:marBottom w:val="0"/>
      <w:divBdr>
        <w:top w:val="none" w:sz="0" w:space="0" w:color="auto"/>
        <w:left w:val="none" w:sz="0" w:space="0" w:color="auto"/>
        <w:bottom w:val="none" w:sz="0" w:space="0" w:color="auto"/>
        <w:right w:val="none" w:sz="0" w:space="0" w:color="auto"/>
      </w:divBdr>
    </w:div>
    <w:div w:id="60636942">
      <w:bodyDiv w:val="1"/>
      <w:marLeft w:val="0"/>
      <w:marRight w:val="0"/>
      <w:marTop w:val="0"/>
      <w:marBottom w:val="0"/>
      <w:divBdr>
        <w:top w:val="none" w:sz="0" w:space="0" w:color="auto"/>
        <w:left w:val="none" w:sz="0" w:space="0" w:color="auto"/>
        <w:bottom w:val="none" w:sz="0" w:space="0" w:color="auto"/>
        <w:right w:val="none" w:sz="0" w:space="0" w:color="auto"/>
      </w:divBdr>
    </w:div>
    <w:div w:id="249897115">
      <w:bodyDiv w:val="1"/>
      <w:marLeft w:val="0"/>
      <w:marRight w:val="0"/>
      <w:marTop w:val="0"/>
      <w:marBottom w:val="0"/>
      <w:divBdr>
        <w:top w:val="none" w:sz="0" w:space="0" w:color="auto"/>
        <w:left w:val="none" w:sz="0" w:space="0" w:color="auto"/>
        <w:bottom w:val="none" w:sz="0" w:space="0" w:color="auto"/>
        <w:right w:val="none" w:sz="0" w:space="0" w:color="auto"/>
      </w:divBdr>
    </w:div>
    <w:div w:id="255597857">
      <w:bodyDiv w:val="1"/>
      <w:marLeft w:val="0"/>
      <w:marRight w:val="0"/>
      <w:marTop w:val="0"/>
      <w:marBottom w:val="0"/>
      <w:divBdr>
        <w:top w:val="none" w:sz="0" w:space="0" w:color="auto"/>
        <w:left w:val="none" w:sz="0" w:space="0" w:color="auto"/>
        <w:bottom w:val="none" w:sz="0" w:space="0" w:color="auto"/>
        <w:right w:val="none" w:sz="0" w:space="0" w:color="auto"/>
      </w:divBdr>
    </w:div>
    <w:div w:id="259726969">
      <w:bodyDiv w:val="1"/>
      <w:marLeft w:val="0"/>
      <w:marRight w:val="0"/>
      <w:marTop w:val="0"/>
      <w:marBottom w:val="0"/>
      <w:divBdr>
        <w:top w:val="none" w:sz="0" w:space="0" w:color="auto"/>
        <w:left w:val="none" w:sz="0" w:space="0" w:color="auto"/>
        <w:bottom w:val="none" w:sz="0" w:space="0" w:color="auto"/>
        <w:right w:val="none" w:sz="0" w:space="0" w:color="auto"/>
      </w:divBdr>
    </w:div>
    <w:div w:id="272590390">
      <w:bodyDiv w:val="1"/>
      <w:marLeft w:val="0"/>
      <w:marRight w:val="0"/>
      <w:marTop w:val="0"/>
      <w:marBottom w:val="0"/>
      <w:divBdr>
        <w:top w:val="none" w:sz="0" w:space="0" w:color="auto"/>
        <w:left w:val="none" w:sz="0" w:space="0" w:color="auto"/>
        <w:bottom w:val="none" w:sz="0" w:space="0" w:color="auto"/>
        <w:right w:val="none" w:sz="0" w:space="0" w:color="auto"/>
      </w:divBdr>
    </w:div>
    <w:div w:id="274749992">
      <w:bodyDiv w:val="1"/>
      <w:marLeft w:val="0"/>
      <w:marRight w:val="0"/>
      <w:marTop w:val="0"/>
      <w:marBottom w:val="0"/>
      <w:divBdr>
        <w:top w:val="none" w:sz="0" w:space="0" w:color="auto"/>
        <w:left w:val="none" w:sz="0" w:space="0" w:color="auto"/>
        <w:bottom w:val="none" w:sz="0" w:space="0" w:color="auto"/>
        <w:right w:val="none" w:sz="0" w:space="0" w:color="auto"/>
      </w:divBdr>
    </w:div>
    <w:div w:id="295835976">
      <w:bodyDiv w:val="1"/>
      <w:marLeft w:val="0"/>
      <w:marRight w:val="0"/>
      <w:marTop w:val="0"/>
      <w:marBottom w:val="0"/>
      <w:divBdr>
        <w:top w:val="none" w:sz="0" w:space="0" w:color="auto"/>
        <w:left w:val="none" w:sz="0" w:space="0" w:color="auto"/>
        <w:bottom w:val="none" w:sz="0" w:space="0" w:color="auto"/>
        <w:right w:val="none" w:sz="0" w:space="0" w:color="auto"/>
      </w:divBdr>
    </w:div>
    <w:div w:id="323120367">
      <w:bodyDiv w:val="1"/>
      <w:marLeft w:val="0"/>
      <w:marRight w:val="0"/>
      <w:marTop w:val="0"/>
      <w:marBottom w:val="0"/>
      <w:divBdr>
        <w:top w:val="none" w:sz="0" w:space="0" w:color="auto"/>
        <w:left w:val="none" w:sz="0" w:space="0" w:color="auto"/>
        <w:bottom w:val="none" w:sz="0" w:space="0" w:color="auto"/>
        <w:right w:val="none" w:sz="0" w:space="0" w:color="auto"/>
      </w:divBdr>
    </w:div>
    <w:div w:id="325790766">
      <w:bodyDiv w:val="1"/>
      <w:marLeft w:val="0"/>
      <w:marRight w:val="0"/>
      <w:marTop w:val="0"/>
      <w:marBottom w:val="0"/>
      <w:divBdr>
        <w:top w:val="none" w:sz="0" w:space="0" w:color="auto"/>
        <w:left w:val="none" w:sz="0" w:space="0" w:color="auto"/>
        <w:bottom w:val="none" w:sz="0" w:space="0" w:color="auto"/>
        <w:right w:val="none" w:sz="0" w:space="0" w:color="auto"/>
      </w:divBdr>
    </w:div>
    <w:div w:id="368378513">
      <w:bodyDiv w:val="1"/>
      <w:marLeft w:val="0"/>
      <w:marRight w:val="0"/>
      <w:marTop w:val="0"/>
      <w:marBottom w:val="0"/>
      <w:divBdr>
        <w:top w:val="none" w:sz="0" w:space="0" w:color="auto"/>
        <w:left w:val="none" w:sz="0" w:space="0" w:color="auto"/>
        <w:bottom w:val="none" w:sz="0" w:space="0" w:color="auto"/>
        <w:right w:val="none" w:sz="0" w:space="0" w:color="auto"/>
      </w:divBdr>
    </w:div>
    <w:div w:id="383795308">
      <w:bodyDiv w:val="1"/>
      <w:marLeft w:val="0"/>
      <w:marRight w:val="0"/>
      <w:marTop w:val="0"/>
      <w:marBottom w:val="0"/>
      <w:divBdr>
        <w:top w:val="none" w:sz="0" w:space="0" w:color="auto"/>
        <w:left w:val="none" w:sz="0" w:space="0" w:color="auto"/>
        <w:bottom w:val="none" w:sz="0" w:space="0" w:color="auto"/>
        <w:right w:val="none" w:sz="0" w:space="0" w:color="auto"/>
      </w:divBdr>
    </w:div>
    <w:div w:id="405079675">
      <w:bodyDiv w:val="1"/>
      <w:marLeft w:val="0"/>
      <w:marRight w:val="0"/>
      <w:marTop w:val="0"/>
      <w:marBottom w:val="0"/>
      <w:divBdr>
        <w:top w:val="none" w:sz="0" w:space="0" w:color="auto"/>
        <w:left w:val="none" w:sz="0" w:space="0" w:color="auto"/>
        <w:bottom w:val="none" w:sz="0" w:space="0" w:color="auto"/>
        <w:right w:val="none" w:sz="0" w:space="0" w:color="auto"/>
      </w:divBdr>
    </w:div>
    <w:div w:id="428426991">
      <w:bodyDiv w:val="1"/>
      <w:marLeft w:val="0"/>
      <w:marRight w:val="0"/>
      <w:marTop w:val="0"/>
      <w:marBottom w:val="0"/>
      <w:divBdr>
        <w:top w:val="none" w:sz="0" w:space="0" w:color="auto"/>
        <w:left w:val="none" w:sz="0" w:space="0" w:color="auto"/>
        <w:bottom w:val="none" w:sz="0" w:space="0" w:color="auto"/>
        <w:right w:val="none" w:sz="0" w:space="0" w:color="auto"/>
      </w:divBdr>
    </w:div>
    <w:div w:id="431359699">
      <w:bodyDiv w:val="1"/>
      <w:marLeft w:val="0"/>
      <w:marRight w:val="0"/>
      <w:marTop w:val="0"/>
      <w:marBottom w:val="0"/>
      <w:divBdr>
        <w:top w:val="none" w:sz="0" w:space="0" w:color="auto"/>
        <w:left w:val="none" w:sz="0" w:space="0" w:color="auto"/>
        <w:bottom w:val="none" w:sz="0" w:space="0" w:color="auto"/>
        <w:right w:val="none" w:sz="0" w:space="0" w:color="auto"/>
      </w:divBdr>
    </w:div>
    <w:div w:id="441656855">
      <w:bodyDiv w:val="1"/>
      <w:marLeft w:val="0"/>
      <w:marRight w:val="0"/>
      <w:marTop w:val="0"/>
      <w:marBottom w:val="0"/>
      <w:divBdr>
        <w:top w:val="none" w:sz="0" w:space="0" w:color="auto"/>
        <w:left w:val="none" w:sz="0" w:space="0" w:color="auto"/>
        <w:bottom w:val="none" w:sz="0" w:space="0" w:color="auto"/>
        <w:right w:val="none" w:sz="0" w:space="0" w:color="auto"/>
      </w:divBdr>
    </w:div>
    <w:div w:id="442923933">
      <w:bodyDiv w:val="1"/>
      <w:marLeft w:val="0"/>
      <w:marRight w:val="0"/>
      <w:marTop w:val="0"/>
      <w:marBottom w:val="0"/>
      <w:divBdr>
        <w:top w:val="none" w:sz="0" w:space="0" w:color="auto"/>
        <w:left w:val="none" w:sz="0" w:space="0" w:color="auto"/>
        <w:bottom w:val="none" w:sz="0" w:space="0" w:color="auto"/>
        <w:right w:val="none" w:sz="0" w:space="0" w:color="auto"/>
      </w:divBdr>
    </w:div>
    <w:div w:id="452679611">
      <w:bodyDiv w:val="1"/>
      <w:marLeft w:val="0"/>
      <w:marRight w:val="0"/>
      <w:marTop w:val="0"/>
      <w:marBottom w:val="0"/>
      <w:divBdr>
        <w:top w:val="none" w:sz="0" w:space="0" w:color="auto"/>
        <w:left w:val="none" w:sz="0" w:space="0" w:color="auto"/>
        <w:bottom w:val="none" w:sz="0" w:space="0" w:color="auto"/>
        <w:right w:val="none" w:sz="0" w:space="0" w:color="auto"/>
      </w:divBdr>
    </w:div>
    <w:div w:id="463815035">
      <w:bodyDiv w:val="1"/>
      <w:marLeft w:val="0"/>
      <w:marRight w:val="0"/>
      <w:marTop w:val="0"/>
      <w:marBottom w:val="0"/>
      <w:divBdr>
        <w:top w:val="none" w:sz="0" w:space="0" w:color="auto"/>
        <w:left w:val="none" w:sz="0" w:space="0" w:color="auto"/>
        <w:bottom w:val="none" w:sz="0" w:space="0" w:color="auto"/>
        <w:right w:val="none" w:sz="0" w:space="0" w:color="auto"/>
      </w:divBdr>
    </w:div>
    <w:div w:id="482547454">
      <w:bodyDiv w:val="1"/>
      <w:marLeft w:val="0"/>
      <w:marRight w:val="0"/>
      <w:marTop w:val="0"/>
      <w:marBottom w:val="0"/>
      <w:divBdr>
        <w:top w:val="none" w:sz="0" w:space="0" w:color="auto"/>
        <w:left w:val="none" w:sz="0" w:space="0" w:color="auto"/>
        <w:bottom w:val="none" w:sz="0" w:space="0" w:color="auto"/>
        <w:right w:val="none" w:sz="0" w:space="0" w:color="auto"/>
      </w:divBdr>
    </w:div>
    <w:div w:id="486285550">
      <w:bodyDiv w:val="1"/>
      <w:marLeft w:val="0"/>
      <w:marRight w:val="0"/>
      <w:marTop w:val="0"/>
      <w:marBottom w:val="0"/>
      <w:divBdr>
        <w:top w:val="none" w:sz="0" w:space="0" w:color="auto"/>
        <w:left w:val="none" w:sz="0" w:space="0" w:color="auto"/>
        <w:bottom w:val="none" w:sz="0" w:space="0" w:color="auto"/>
        <w:right w:val="none" w:sz="0" w:space="0" w:color="auto"/>
      </w:divBdr>
    </w:div>
    <w:div w:id="519583030">
      <w:bodyDiv w:val="1"/>
      <w:marLeft w:val="0"/>
      <w:marRight w:val="0"/>
      <w:marTop w:val="0"/>
      <w:marBottom w:val="0"/>
      <w:divBdr>
        <w:top w:val="none" w:sz="0" w:space="0" w:color="auto"/>
        <w:left w:val="none" w:sz="0" w:space="0" w:color="auto"/>
        <w:bottom w:val="none" w:sz="0" w:space="0" w:color="auto"/>
        <w:right w:val="none" w:sz="0" w:space="0" w:color="auto"/>
      </w:divBdr>
    </w:div>
    <w:div w:id="521669107">
      <w:bodyDiv w:val="1"/>
      <w:marLeft w:val="0"/>
      <w:marRight w:val="0"/>
      <w:marTop w:val="0"/>
      <w:marBottom w:val="0"/>
      <w:divBdr>
        <w:top w:val="none" w:sz="0" w:space="0" w:color="auto"/>
        <w:left w:val="none" w:sz="0" w:space="0" w:color="auto"/>
        <w:bottom w:val="none" w:sz="0" w:space="0" w:color="auto"/>
        <w:right w:val="none" w:sz="0" w:space="0" w:color="auto"/>
      </w:divBdr>
    </w:div>
    <w:div w:id="555554614">
      <w:bodyDiv w:val="1"/>
      <w:marLeft w:val="0"/>
      <w:marRight w:val="0"/>
      <w:marTop w:val="0"/>
      <w:marBottom w:val="0"/>
      <w:divBdr>
        <w:top w:val="none" w:sz="0" w:space="0" w:color="auto"/>
        <w:left w:val="none" w:sz="0" w:space="0" w:color="auto"/>
        <w:bottom w:val="none" w:sz="0" w:space="0" w:color="auto"/>
        <w:right w:val="none" w:sz="0" w:space="0" w:color="auto"/>
      </w:divBdr>
    </w:div>
    <w:div w:id="558055453">
      <w:bodyDiv w:val="1"/>
      <w:marLeft w:val="0"/>
      <w:marRight w:val="0"/>
      <w:marTop w:val="0"/>
      <w:marBottom w:val="0"/>
      <w:divBdr>
        <w:top w:val="none" w:sz="0" w:space="0" w:color="auto"/>
        <w:left w:val="none" w:sz="0" w:space="0" w:color="auto"/>
        <w:bottom w:val="none" w:sz="0" w:space="0" w:color="auto"/>
        <w:right w:val="none" w:sz="0" w:space="0" w:color="auto"/>
      </w:divBdr>
    </w:div>
    <w:div w:id="561910584">
      <w:bodyDiv w:val="1"/>
      <w:marLeft w:val="0"/>
      <w:marRight w:val="0"/>
      <w:marTop w:val="0"/>
      <w:marBottom w:val="0"/>
      <w:divBdr>
        <w:top w:val="none" w:sz="0" w:space="0" w:color="auto"/>
        <w:left w:val="none" w:sz="0" w:space="0" w:color="auto"/>
        <w:bottom w:val="none" w:sz="0" w:space="0" w:color="auto"/>
        <w:right w:val="none" w:sz="0" w:space="0" w:color="auto"/>
      </w:divBdr>
    </w:div>
    <w:div w:id="584605554">
      <w:bodyDiv w:val="1"/>
      <w:marLeft w:val="0"/>
      <w:marRight w:val="0"/>
      <w:marTop w:val="0"/>
      <w:marBottom w:val="0"/>
      <w:divBdr>
        <w:top w:val="none" w:sz="0" w:space="0" w:color="auto"/>
        <w:left w:val="none" w:sz="0" w:space="0" w:color="auto"/>
        <w:bottom w:val="none" w:sz="0" w:space="0" w:color="auto"/>
        <w:right w:val="none" w:sz="0" w:space="0" w:color="auto"/>
      </w:divBdr>
    </w:div>
    <w:div w:id="600995472">
      <w:bodyDiv w:val="1"/>
      <w:marLeft w:val="0"/>
      <w:marRight w:val="0"/>
      <w:marTop w:val="0"/>
      <w:marBottom w:val="0"/>
      <w:divBdr>
        <w:top w:val="none" w:sz="0" w:space="0" w:color="auto"/>
        <w:left w:val="none" w:sz="0" w:space="0" w:color="auto"/>
        <w:bottom w:val="none" w:sz="0" w:space="0" w:color="auto"/>
        <w:right w:val="none" w:sz="0" w:space="0" w:color="auto"/>
      </w:divBdr>
    </w:div>
    <w:div w:id="619459405">
      <w:bodyDiv w:val="1"/>
      <w:marLeft w:val="0"/>
      <w:marRight w:val="0"/>
      <w:marTop w:val="0"/>
      <w:marBottom w:val="0"/>
      <w:divBdr>
        <w:top w:val="none" w:sz="0" w:space="0" w:color="auto"/>
        <w:left w:val="none" w:sz="0" w:space="0" w:color="auto"/>
        <w:bottom w:val="none" w:sz="0" w:space="0" w:color="auto"/>
        <w:right w:val="none" w:sz="0" w:space="0" w:color="auto"/>
      </w:divBdr>
    </w:div>
    <w:div w:id="626473693">
      <w:bodyDiv w:val="1"/>
      <w:marLeft w:val="0"/>
      <w:marRight w:val="0"/>
      <w:marTop w:val="0"/>
      <w:marBottom w:val="0"/>
      <w:divBdr>
        <w:top w:val="none" w:sz="0" w:space="0" w:color="auto"/>
        <w:left w:val="none" w:sz="0" w:space="0" w:color="auto"/>
        <w:bottom w:val="none" w:sz="0" w:space="0" w:color="auto"/>
        <w:right w:val="none" w:sz="0" w:space="0" w:color="auto"/>
      </w:divBdr>
    </w:div>
    <w:div w:id="636304992">
      <w:bodyDiv w:val="1"/>
      <w:marLeft w:val="0"/>
      <w:marRight w:val="0"/>
      <w:marTop w:val="0"/>
      <w:marBottom w:val="0"/>
      <w:divBdr>
        <w:top w:val="none" w:sz="0" w:space="0" w:color="auto"/>
        <w:left w:val="none" w:sz="0" w:space="0" w:color="auto"/>
        <w:bottom w:val="none" w:sz="0" w:space="0" w:color="auto"/>
        <w:right w:val="none" w:sz="0" w:space="0" w:color="auto"/>
      </w:divBdr>
    </w:div>
    <w:div w:id="658113259">
      <w:bodyDiv w:val="1"/>
      <w:marLeft w:val="0"/>
      <w:marRight w:val="0"/>
      <w:marTop w:val="0"/>
      <w:marBottom w:val="0"/>
      <w:divBdr>
        <w:top w:val="none" w:sz="0" w:space="0" w:color="auto"/>
        <w:left w:val="none" w:sz="0" w:space="0" w:color="auto"/>
        <w:bottom w:val="none" w:sz="0" w:space="0" w:color="auto"/>
        <w:right w:val="none" w:sz="0" w:space="0" w:color="auto"/>
      </w:divBdr>
    </w:div>
    <w:div w:id="665285108">
      <w:bodyDiv w:val="1"/>
      <w:marLeft w:val="0"/>
      <w:marRight w:val="0"/>
      <w:marTop w:val="0"/>
      <w:marBottom w:val="0"/>
      <w:divBdr>
        <w:top w:val="none" w:sz="0" w:space="0" w:color="auto"/>
        <w:left w:val="none" w:sz="0" w:space="0" w:color="auto"/>
        <w:bottom w:val="none" w:sz="0" w:space="0" w:color="auto"/>
        <w:right w:val="none" w:sz="0" w:space="0" w:color="auto"/>
      </w:divBdr>
    </w:div>
    <w:div w:id="708644794">
      <w:bodyDiv w:val="1"/>
      <w:marLeft w:val="0"/>
      <w:marRight w:val="0"/>
      <w:marTop w:val="0"/>
      <w:marBottom w:val="0"/>
      <w:divBdr>
        <w:top w:val="none" w:sz="0" w:space="0" w:color="auto"/>
        <w:left w:val="none" w:sz="0" w:space="0" w:color="auto"/>
        <w:bottom w:val="none" w:sz="0" w:space="0" w:color="auto"/>
        <w:right w:val="none" w:sz="0" w:space="0" w:color="auto"/>
      </w:divBdr>
    </w:div>
    <w:div w:id="751707717">
      <w:bodyDiv w:val="1"/>
      <w:marLeft w:val="0"/>
      <w:marRight w:val="0"/>
      <w:marTop w:val="0"/>
      <w:marBottom w:val="0"/>
      <w:divBdr>
        <w:top w:val="none" w:sz="0" w:space="0" w:color="auto"/>
        <w:left w:val="none" w:sz="0" w:space="0" w:color="auto"/>
        <w:bottom w:val="none" w:sz="0" w:space="0" w:color="auto"/>
        <w:right w:val="none" w:sz="0" w:space="0" w:color="auto"/>
      </w:divBdr>
    </w:div>
    <w:div w:id="751976103">
      <w:bodyDiv w:val="1"/>
      <w:marLeft w:val="0"/>
      <w:marRight w:val="0"/>
      <w:marTop w:val="0"/>
      <w:marBottom w:val="0"/>
      <w:divBdr>
        <w:top w:val="none" w:sz="0" w:space="0" w:color="auto"/>
        <w:left w:val="none" w:sz="0" w:space="0" w:color="auto"/>
        <w:bottom w:val="none" w:sz="0" w:space="0" w:color="auto"/>
        <w:right w:val="none" w:sz="0" w:space="0" w:color="auto"/>
      </w:divBdr>
    </w:div>
    <w:div w:id="772896861">
      <w:bodyDiv w:val="1"/>
      <w:marLeft w:val="0"/>
      <w:marRight w:val="0"/>
      <w:marTop w:val="0"/>
      <w:marBottom w:val="0"/>
      <w:divBdr>
        <w:top w:val="none" w:sz="0" w:space="0" w:color="auto"/>
        <w:left w:val="none" w:sz="0" w:space="0" w:color="auto"/>
        <w:bottom w:val="none" w:sz="0" w:space="0" w:color="auto"/>
        <w:right w:val="none" w:sz="0" w:space="0" w:color="auto"/>
      </w:divBdr>
    </w:div>
    <w:div w:id="781724344">
      <w:bodyDiv w:val="1"/>
      <w:marLeft w:val="0"/>
      <w:marRight w:val="0"/>
      <w:marTop w:val="0"/>
      <w:marBottom w:val="0"/>
      <w:divBdr>
        <w:top w:val="none" w:sz="0" w:space="0" w:color="auto"/>
        <w:left w:val="none" w:sz="0" w:space="0" w:color="auto"/>
        <w:bottom w:val="none" w:sz="0" w:space="0" w:color="auto"/>
        <w:right w:val="none" w:sz="0" w:space="0" w:color="auto"/>
      </w:divBdr>
    </w:div>
    <w:div w:id="809595665">
      <w:bodyDiv w:val="1"/>
      <w:marLeft w:val="0"/>
      <w:marRight w:val="0"/>
      <w:marTop w:val="0"/>
      <w:marBottom w:val="0"/>
      <w:divBdr>
        <w:top w:val="none" w:sz="0" w:space="0" w:color="auto"/>
        <w:left w:val="none" w:sz="0" w:space="0" w:color="auto"/>
        <w:bottom w:val="none" w:sz="0" w:space="0" w:color="auto"/>
        <w:right w:val="none" w:sz="0" w:space="0" w:color="auto"/>
      </w:divBdr>
    </w:div>
    <w:div w:id="821848344">
      <w:bodyDiv w:val="1"/>
      <w:marLeft w:val="0"/>
      <w:marRight w:val="0"/>
      <w:marTop w:val="0"/>
      <w:marBottom w:val="0"/>
      <w:divBdr>
        <w:top w:val="none" w:sz="0" w:space="0" w:color="auto"/>
        <w:left w:val="none" w:sz="0" w:space="0" w:color="auto"/>
        <w:bottom w:val="none" w:sz="0" w:space="0" w:color="auto"/>
        <w:right w:val="none" w:sz="0" w:space="0" w:color="auto"/>
      </w:divBdr>
    </w:div>
    <w:div w:id="831406633">
      <w:bodyDiv w:val="1"/>
      <w:marLeft w:val="0"/>
      <w:marRight w:val="0"/>
      <w:marTop w:val="0"/>
      <w:marBottom w:val="0"/>
      <w:divBdr>
        <w:top w:val="none" w:sz="0" w:space="0" w:color="auto"/>
        <w:left w:val="none" w:sz="0" w:space="0" w:color="auto"/>
        <w:bottom w:val="none" w:sz="0" w:space="0" w:color="auto"/>
        <w:right w:val="none" w:sz="0" w:space="0" w:color="auto"/>
      </w:divBdr>
    </w:div>
    <w:div w:id="840660013">
      <w:bodyDiv w:val="1"/>
      <w:marLeft w:val="0"/>
      <w:marRight w:val="0"/>
      <w:marTop w:val="0"/>
      <w:marBottom w:val="0"/>
      <w:divBdr>
        <w:top w:val="none" w:sz="0" w:space="0" w:color="auto"/>
        <w:left w:val="none" w:sz="0" w:space="0" w:color="auto"/>
        <w:bottom w:val="none" w:sz="0" w:space="0" w:color="auto"/>
        <w:right w:val="none" w:sz="0" w:space="0" w:color="auto"/>
      </w:divBdr>
    </w:div>
    <w:div w:id="851844667">
      <w:bodyDiv w:val="1"/>
      <w:marLeft w:val="0"/>
      <w:marRight w:val="0"/>
      <w:marTop w:val="0"/>
      <w:marBottom w:val="0"/>
      <w:divBdr>
        <w:top w:val="none" w:sz="0" w:space="0" w:color="auto"/>
        <w:left w:val="none" w:sz="0" w:space="0" w:color="auto"/>
        <w:bottom w:val="none" w:sz="0" w:space="0" w:color="auto"/>
        <w:right w:val="none" w:sz="0" w:space="0" w:color="auto"/>
      </w:divBdr>
      <w:divsChild>
        <w:div w:id="437484341">
          <w:marLeft w:val="0"/>
          <w:marRight w:val="0"/>
          <w:marTop w:val="0"/>
          <w:marBottom w:val="0"/>
          <w:divBdr>
            <w:top w:val="none" w:sz="0" w:space="0" w:color="auto"/>
            <w:left w:val="none" w:sz="0" w:space="0" w:color="auto"/>
            <w:bottom w:val="none" w:sz="0" w:space="0" w:color="auto"/>
            <w:right w:val="none" w:sz="0" w:space="0" w:color="auto"/>
          </w:divBdr>
          <w:divsChild>
            <w:div w:id="1733846268">
              <w:marLeft w:val="0"/>
              <w:marRight w:val="0"/>
              <w:marTop w:val="0"/>
              <w:marBottom w:val="0"/>
              <w:divBdr>
                <w:top w:val="none" w:sz="0" w:space="0" w:color="auto"/>
                <w:left w:val="none" w:sz="0" w:space="0" w:color="auto"/>
                <w:bottom w:val="none" w:sz="0" w:space="0" w:color="auto"/>
                <w:right w:val="none" w:sz="0" w:space="0" w:color="auto"/>
              </w:divBdr>
              <w:divsChild>
                <w:div w:id="126167548">
                  <w:marLeft w:val="0"/>
                  <w:marRight w:val="0"/>
                  <w:marTop w:val="0"/>
                  <w:marBottom w:val="0"/>
                  <w:divBdr>
                    <w:top w:val="none" w:sz="0" w:space="0" w:color="auto"/>
                    <w:left w:val="none" w:sz="0" w:space="0" w:color="auto"/>
                    <w:bottom w:val="none" w:sz="0" w:space="0" w:color="auto"/>
                    <w:right w:val="none" w:sz="0" w:space="0" w:color="auto"/>
                  </w:divBdr>
                </w:div>
                <w:div w:id="1258635281">
                  <w:marLeft w:val="0"/>
                  <w:marRight w:val="0"/>
                  <w:marTop w:val="0"/>
                  <w:marBottom w:val="0"/>
                  <w:divBdr>
                    <w:top w:val="none" w:sz="0" w:space="0" w:color="auto"/>
                    <w:left w:val="none" w:sz="0" w:space="0" w:color="auto"/>
                    <w:bottom w:val="none" w:sz="0" w:space="0" w:color="auto"/>
                    <w:right w:val="none" w:sz="0" w:space="0" w:color="auto"/>
                  </w:divBdr>
                </w:div>
              </w:divsChild>
            </w:div>
            <w:div w:id="1866166471">
              <w:marLeft w:val="0"/>
              <w:marRight w:val="0"/>
              <w:marTop w:val="0"/>
              <w:marBottom w:val="0"/>
              <w:divBdr>
                <w:top w:val="none" w:sz="0" w:space="0" w:color="auto"/>
                <w:left w:val="none" w:sz="0" w:space="0" w:color="auto"/>
                <w:bottom w:val="none" w:sz="0" w:space="0" w:color="auto"/>
                <w:right w:val="none" w:sz="0" w:space="0" w:color="auto"/>
              </w:divBdr>
              <w:divsChild>
                <w:div w:id="615218151">
                  <w:marLeft w:val="0"/>
                  <w:marRight w:val="0"/>
                  <w:marTop w:val="0"/>
                  <w:marBottom w:val="0"/>
                  <w:divBdr>
                    <w:top w:val="none" w:sz="0" w:space="0" w:color="auto"/>
                    <w:left w:val="none" w:sz="0" w:space="0" w:color="auto"/>
                    <w:bottom w:val="none" w:sz="0" w:space="0" w:color="auto"/>
                    <w:right w:val="none" w:sz="0" w:space="0" w:color="auto"/>
                  </w:divBdr>
                  <w:divsChild>
                    <w:div w:id="1368720121">
                      <w:marLeft w:val="0"/>
                      <w:marRight w:val="0"/>
                      <w:marTop w:val="0"/>
                      <w:marBottom w:val="0"/>
                      <w:divBdr>
                        <w:top w:val="none" w:sz="0" w:space="0" w:color="auto"/>
                        <w:left w:val="none" w:sz="0" w:space="0" w:color="auto"/>
                        <w:bottom w:val="none" w:sz="0" w:space="0" w:color="auto"/>
                        <w:right w:val="none" w:sz="0" w:space="0" w:color="auto"/>
                      </w:divBdr>
                      <w:divsChild>
                        <w:div w:id="8295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27131">
          <w:marLeft w:val="0"/>
          <w:marRight w:val="0"/>
          <w:marTop w:val="0"/>
          <w:marBottom w:val="0"/>
          <w:divBdr>
            <w:top w:val="none" w:sz="0" w:space="0" w:color="auto"/>
            <w:left w:val="none" w:sz="0" w:space="0" w:color="auto"/>
            <w:bottom w:val="none" w:sz="0" w:space="0" w:color="auto"/>
            <w:right w:val="none" w:sz="0" w:space="0" w:color="auto"/>
          </w:divBdr>
          <w:divsChild>
            <w:div w:id="41029254">
              <w:marLeft w:val="0"/>
              <w:marRight w:val="0"/>
              <w:marTop w:val="0"/>
              <w:marBottom w:val="0"/>
              <w:divBdr>
                <w:top w:val="none" w:sz="0" w:space="0" w:color="auto"/>
                <w:left w:val="none" w:sz="0" w:space="0" w:color="auto"/>
                <w:bottom w:val="none" w:sz="0" w:space="0" w:color="auto"/>
                <w:right w:val="none" w:sz="0" w:space="0" w:color="auto"/>
              </w:divBdr>
              <w:divsChild>
                <w:div w:id="1519389249">
                  <w:marLeft w:val="0"/>
                  <w:marRight w:val="0"/>
                  <w:marTop w:val="0"/>
                  <w:marBottom w:val="0"/>
                  <w:divBdr>
                    <w:top w:val="none" w:sz="0" w:space="0" w:color="auto"/>
                    <w:left w:val="none" w:sz="0" w:space="0" w:color="auto"/>
                    <w:bottom w:val="none" w:sz="0" w:space="0" w:color="auto"/>
                    <w:right w:val="none" w:sz="0" w:space="0" w:color="auto"/>
                  </w:divBdr>
                </w:div>
                <w:div w:id="2047753384">
                  <w:marLeft w:val="0"/>
                  <w:marRight w:val="0"/>
                  <w:marTop w:val="0"/>
                  <w:marBottom w:val="0"/>
                  <w:divBdr>
                    <w:top w:val="none" w:sz="0" w:space="0" w:color="auto"/>
                    <w:left w:val="none" w:sz="0" w:space="0" w:color="auto"/>
                    <w:bottom w:val="none" w:sz="0" w:space="0" w:color="auto"/>
                    <w:right w:val="none" w:sz="0" w:space="0" w:color="auto"/>
                  </w:divBdr>
                </w:div>
              </w:divsChild>
            </w:div>
            <w:div w:id="358287389">
              <w:marLeft w:val="0"/>
              <w:marRight w:val="0"/>
              <w:marTop w:val="0"/>
              <w:marBottom w:val="0"/>
              <w:divBdr>
                <w:top w:val="none" w:sz="0" w:space="0" w:color="auto"/>
                <w:left w:val="none" w:sz="0" w:space="0" w:color="auto"/>
                <w:bottom w:val="none" w:sz="0" w:space="0" w:color="auto"/>
                <w:right w:val="none" w:sz="0" w:space="0" w:color="auto"/>
              </w:divBdr>
              <w:divsChild>
                <w:div w:id="1437628138">
                  <w:marLeft w:val="0"/>
                  <w:marRight w:val="0"/>
                  <w:marTop w:val="0"/>
                  <w:marBottom w:val="0"/>
                  <w:divBdr>
                    <w:top w:val="none" w:sz="0" w:space="0" w:color="auto"/>
                    <w:left w:val="none" w:sz="0" w:space="0" w:color="auto"/>
                    <w:bottom w:val="none" w:sz="0" w:space="0" w:color="auto"/>
                    <w:right w:val="none" w:sz="0" w:space="0" w:color="auto"/>
                  </w:divBdr>
                  <w:divsChild>
                    <w:div w:id="1333026488">
                      <w:marLeft w:val="0"/>
                      <w:marRight w:val="0"/>
                      <w:marTop w:val="0"/>
                      <w:marBottom w:val="0"/>
                      <w:divBdr>
                        <w:top w:val="none" w:sz="0" w:space="0" w:color="auto"/>
                        <w:left w:val="none" w:sz="0" w:space="0" w:color="auto"/>
                        <w:bottom w:val="none" w:sz="0" w:space="0" w:color="auto"/>
                        <w:right w:val="none" w:sz="0" w:space="0" w:color="auto"/>
                      </w:divBdr>
                      <w:divsChild>
                        <w:div w:id="9185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509454">
          <w:marLeft w:val="0"/>
          <w:marRight w:val="0"/>
          <w:marTop w:val="0"/>
          <w:marBottom w:val="0"/>
          <w:divBdr>
            <w:top w:val="none" w:sz="0" w:space="0" w:color="auto"/>
            <w:left w:val="none" w:sz="0" w:space="0" w:color="auto"/>
            <w:bottom w:val="none" w:sz="0" w:space="0" w:color="auto"/>
            <w:right w:val="none" w:sz="0" w:space="0" w:color="auto"/>
          </w:divBdr>
          <w:divsChild>
            <w:div w:id="638804899">
              <w:marLeft w:val="0"/>
              <w:marRight w:val="0"/>
              <w:marTop w:val="0"/>
              <w:marBottom w:val="0"/>
              <w:divBdr>
                <w:top w:val="none" w:sz="0" w:space="0" w:color="auto"/>
                <w:left w:val="none" w:sz="0" w:space="0" w:color="auto"/>
                <w:bottom w:val="none" w:sz="0" w:space="0" w:color="auto"/>
                <w:right w:val="none" w:sz="0" w:space="0" w:color="auto"/>
              </w:divBdr>
              <w:divsChild>
                <w:div w:id="64183820">
                  <w:marLeft w:val="0"/>
                  <w:marRight w:val="0"/>
                  <w:marTop w:val="0"/>
                  <w:marBottom w:val="0"/>
                  <w:divBdr>
                    <w:top w:val="none" w:sz="0" w:space="0" w:color="auto"/>
                    <w:left w:val="none" w:sz="0" w:space="0" w:color="auto"/>
                    <w:bottom w:val="none" w:sz="0" w:space="0" w:color="auto"/>
                    <w:right w:val="none" w:sz="0" w:space="0" w:color="auto"/>
                  </w:divBdr>
                </w:div>
              </w:divsChild>
            </w:div>
            <w:div w:id="2010325704">
              <w:marLeft w:val="0"/>
              <w:marRight w:val="0"/>
              <w:marTop w:val="0"/>
              <w:marBottom w:val="0"/>
              <w:divBdr>
                <w:top w:val="none" w:sz="0" w:space="0" w:color="auto"/>
                <w:left w:val="none" w:sz="0" w:space="0" w:color="auto"/>
                <w:bottom w:val="none" w:sz="0" w:space="0" w:color="auto"/>
                <w:right w:val="none" w:sz="0" w:space="0" w:color="auto"/>
              </w:divBdr>
              <w:divsChild>
                <w:div w:id="2036424123">
                  <w:marLeft w:val="0"/>
                  <w:marRight w:val="0"/>
                  <w:marTop w:val="0"/>
                  <w:marBottom w:val="0"/>
                  <w:divBdr>
                    <w:top w:val="none" w:sz="0" w:space="0" w:color="auto"/>
                    <w:left w:val="none" w:sz="0" w:space="0" w:color="auto"/>
                    <w:bottom w:val="none" w:sz="0" w:space="0" w:color="auto"/>
                    <w:right w:val="none" w:sz="0" w:space="0" w:color="auto"/>
                  </w:divBdr>
                  <w:divsChild>
                    <w:div w:id="1505970908">
                      <w:marLeft w:val="0"/>
                      <w:marRight w:val="0"/>
                      <w:marTop w:val="0"/>
                      <w:marBottom w:val="0"/>
                      <w:divBdr>
                        <w:top w:val="none" w:sz="0" w:space="0" w:color="auto"/>
                        <w:left w:val="none" w:sz="0" w:space="0" w:color="auto"/>
                        <w:bottom w:val="none" w:sz="0" w:space="0" w:color="auto"/>
                        <w:right w:val="none" w:sz="0" w:space="0" w:color="auto"/>
                      </w:divBdr>
                      <w:divsChild>
                        <w:div w:id="4143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4587">
      <w:bodyDiv w:val="1"/>
      <w:marLeft w:val="0"/>
      <w:marRight w:val="0"/>
      <w:marTop w:val="0"/>
      <w:marBottom w:val="0"/>
      <w:divBdr>
        <w:top w:val="none" w:sz="0" w:space="0" w:color="auto"/>
        <w:left w:val="none" w:sz="0" w:space="0" w:color="auto"/>
        <w:bottom w:val="none" w:sz="0" w:space="0" w:color="auto"/>
        <w:right w:val="none" w:sz="0" w:space="0" w:color="auto"/>
      </w:divBdr>
    </w:div>
    <w:div w:id="885996110">
      <w:bodyDiv w:val="1"/>
      <w:marLeft w:val="0"/>
      <w:marRight w:val="0"/>
      <w:marTop w:val="0"/>
      <w:marBottom w:val="0"/>
      <w:divBdr>
        <w:top w:val="none" w:sz="0" w:space="0" w:color="auto"/>
        <w:left w:val="none" w:sz="0" w:space="0" w:color="auto"/>
        <w:bottom w:val="none" w:sz="0" w:space="0" w:color="auto"/>
        <w:right w:val="none" w:sz="0" w:space="0" w:color="auto"/>
      </w:divBdr>
    </w:div>
    <w:div w:id="995457086">
      <w:bodyDiv w:val="1"/>
      <w:marLeft w:val="0"/>
      <w:marRight w:val="0"/>
      <w:marTop w:val="0"/>
      <w:marBottom w:val="0"/>
      <w:divBdr>
        <w:top w:val="none" w:sz="0" w:space="0" w:color="auto"/>
        <w:left w:val="none" w:sz="0" w:space="0" w:color="auto"/>
        <w:bottom w:val="none" w:sz="0" w:space="0" w:color="auto"/>
        <w:right w:val="none" w:sz="0" w:space="0" w:color="auto"/>
      </w:divBdr>
    </w:div>
    <w:div w:id="1000960638">
      <w:bodyDiv w:val="1"/>
      <w:marLeft w:val="0"/>
      <w:marRight w:val="0"/>
      <w:marTop w:val="0"/>
      <w:marBottom w:val="0"/>
      <w:divBdr>
        <w:top w:val="none" w:sz="0" w:space="0" w:color="auto"/>
        <w:left w:val="none" w:sz="0" w:space="0" w:color="auto"/>
        <w:bottom w:val="none" w:sz="0" w:space="0" w:color="auto"/>
        <w:right w:val="none" w:sz="0" w:space="0" w:color="auto"/>
      </w:divBdr>
    </w:div>
    <w:div w:id="1042171273">
      <w:bodyDiv w:val="1"/>
      <w:marLeft w:val="0"/>
      <w:marRight w:val="0"/>
      <w:marTop w:val="0"/>
      <w:marBottom w:val="0"/>
      <w:divBdr>
        <w:top w:val="none" w:sz="0" w:space="0" w:color="auto"/>
        <w:left w:val="none" w:sz="0" w:space="0" w:color="auto"/>
        <w:bottom w:val="none" w:sz="0" w:space="0" w:color="auto"/>
        <w:right w:val="none" w:sz="0" w:space="0" w:color="auto"/>
      </w:divBdr>
    </w:div>
    <w:div w:id="1045444838">
      <w:bodyDiv w:val="1"/>
      <w:marLeft w:val="0"/>
      <w:marRight w:val="0"/>
      <w:marTop w:val="0"/>
      <w:marBottom w:val="0"/>
      <w:divBdr>
        <w:top w:val="none" w:sz="0" w:space="0" w:color="auto"/>
        <w:left w:val="none" w:sz="0" w:space="0" w:color="auto"/>
        <w:bottom w:val="none" w:sz="0" w:space="0" w:color="auto"/>
        <w:right w:val="none" w:sz="0" w:space="0" w:color="auto"/>
      </w:divBdr>
    </w:div>
    <w:div w:id="1050574243">
      <w:bodyDiv w:val="1"/>
      <w:marLeft w:val="0"/>
      <w:marRight w:val="0"/>
      <w:marTop w:val="0"/>
      <w:marBottom w:val="0"/>
      <w:divBdr>
        <w:top w:val="none" w:sz="0" w:space="0" w:color="auto"/>
        <w:left w:val="none" w:sz="0" w:space="0" w:color="auto"/>
        <w:bottom w:val="none" w:sz="0" w:space="0" w:color="auto"/>
        <w:right w:val="none" w:sz="0" w:space="0" w:color="auto"/>
      </w:divBdr>
    </w:div>
    <w:div w:id="1054156770">
      <w:bodyDiv w:val="1"/>
      <w:marLeft w:val="0"/>
      <w:marRight w:val="0"/>
      <w:marTop w:val="0"/>
      <w:marBottom w:val="0"/>
      <w:divBdr>
        <w:top w:val="none" w:sz="0" w:space="0" w:color="auto"/>
        <w:left w:val="none" w:sz="0" w:space="0" w:color="auto"/>
        <w:bottom w:val="none" w:sz="0" w:space="0" w:color="auto"/>
        <w:right w:val="none" w:sz="0" w:space="0" w:color="auto"/>
      </w:divBdr>
    </w:div>
    <w:div w:id="1089039187">
      <w:bodyDiv w:val="1"/>
      <w:marLeft w:val="0"/>
      <w:marRight w:val="0"/>
      <w:marTop w:val="0"/>
      <w:marBottom w:val="0"/>
      <w:divBdr>
        <w:top w:val="none" w:sz="0" w:space="0" w:color="auto"/>
        <w:left w:val="none" w:sz="0" w:space="0" w:color="auto"/>
        <w:bottom w:val="none" w:sz="0" w:space="0" w:color="auto"/>
        <w:right w:val="none" w:sz="0" w:space="0" w:color="auto"/>
      </w:divBdr>
    </w:div>
    <w:div w:id="1099256049">
      <w:bodyDiv w:val="1"/>
      <w:marLeft w:val="0"/>
      <w:marRight w:val="0"/>
      <w:marTop w:val="0"/>
      <w:marBottom w:val="0"/>
      <w:divBdr>
        <w:top w:val="none" w:sz="0" w:space="0" w:color="auto"/>
        <w:left w:val="none" w:sz="0" w:space="0" w:color="auto"/>
        <w:bottom w:val="none" w:sz="0" w:space="0" w:color="auto"/>
        <w:right w:val="none" w:sz="0" w:space="0" w:color="auto"/>
      </w:divBdr>
    </w:div>
    <w:div w:id="1101611322">
      <w:bodyDiv w:val="1"/>
      <w:marLeft w:val="0"/>
      <w:marRight w:val="0"/>
      <w:marTop w:val="0"/>
      <w:marBottom w:val="0"/>
      <w:divBdr>
        <w:top w:val="none" w:sz="0" w:space="0" w:color="auto"/>
        <w:left w:val="none" w:sz="0" w:space="0" w:color="auto"/>
        <w:bottom w:val="none" w:sz="0" w:space="0" w:color="auto"/>
        <w:right w:val="none" w:sz="0" w:space="0" w:color="auto"/>
      </w:divBdr>
    </w:div>
    <w:div w:id="1153721437">
      <w:bodyDiv w:val="1"/>
      <w:marLeft w:val="0"/>
      <w:marRight w:val="0"/>
      <w:marTop w:val="0"/>
      <w:marBottom w:val="0"/>
      <w:divBdr>
        <w:top w:val="none" w:sz="0" w:space="0" w:color="auto"/>
        <w:left w:val="none" w:sz="0" w:space="0" w:color="auto"/>
        <w:bottom w:val="none" w:sz="0" w:space="0" w:color="auto"/>
        <w:right w:val="none" w:sz="0" w:space="0" w:color="auto"/>
      </w:divBdr>
    </w:div>
    <w:div w:id="1171024294">
      <w:bodyDiv w:val="1"/>
      <w:marLeft w:val="0"/>
      <w:marRight w:val="0"/>
      <w:marTop w:val="0"/>
      <w:marBottom w:val="0"/>
      <w:divBdr>
        <w:top w:val="none" w:sz="0" w:space="0" w:color="auto"/>
        <w:left w:val="none" w:sz="0" w:space="0" w:color="auto"/>
        <w:bottom w:val="none" w:sz="0" w:space="0" w:color="auto"/>
        <w:right w:val="none" w:sz="0" w:space="0" w:color="auto"/>
      </w:divBdr>
    </w:div>
    <w:div w:id="1171867258">
      <w:bodyDiv w:val="1"/>
      <w:marLeft w:val="0"/>
      <w:marRight w:val="0"/>
      <w:marTop w:val="0"/>
      <w:marBottom w:val="0"/>
      <w:divBdr>
        <w:top w:val="none" w:sz="0" w:space="0" w:color="auto"/>
        <w:left w:val="none" w:sz="0" w:space="0" w:color="auto"/>
        <w:bottom w:val="none" w:sz="0" w:space="0" w:color="auto"/>
        <w:right w:val="none" w:sz="0" w:space="0" w:color="auto"/>
      </w:divBdr>
    </w:div>
    <w:div w:id="1173226929">
      <w:bodyDiv w:val="1"/>
      <w:marLeft w:val="0"/>
      <w:marRight w:val="0"/>
      <w:marTop w:val="0"/>
      <w:marBottom w:val="0"/>
      <w:divBdr>
        <w:top w:val="none" w:sz="0" w:space="0" w:color="auto"/>
        <w:left w:val="none" w:sz="0" w:space="0" w:color="auto"/>
        <w:bottom w:val="none" w:sz="0" w:space="0" w:color="auto"/>
        <w:right w:val="none" w:sz="0" w:space="0" w:color="auto"/>
      </w:divBdr>
    </w:div>
    <w:div w:id="1197237253">
      <w:bodyDiv w:val="1"/>
      <w:marLeft w:val="0"/>
      <w:marRight w:val="0"/>
      <w:marTop w:val="0"/>
      <w:marBottom w:val="0"/>
      <w:divBdr>
        <w:top w:val="none" w:sz="0" w:space="0" w:color="auto"/>
        <w:left w:val="none" w:sz="0" w:space="0" w:color="auto"/>
        <w:bottom w:val="none" w:sz="0" w:space="0" w:color="auto"/>
        <w:right w:val="none" w:sz="0" w:space="0" w:color="auto"/>
      </w:divBdr>
    </w:div>
    <w:div w:id="1200554300">
      <w:bodyDiv w:val="1"/>
      <w:marLeft w:val="0"/>
      <w:marRight w:val="0"/>
      <w:marTop w:val="0"/>
      <w:marBottom w:val="0"/>
      <w:divBdr>
        <w:top w:val="none" w:sz="0" w:space="0" w:color="auto"/>
        <w:left w:val="none" w:sz="0" w:space="0" w:color="auto"/>
        <w:bottom w:val="none" w:sz="0" w:space="0" w:color="auto"/>
        <w:right w:val="none" w:sz="0" w:space="0" w:color="auto"/>
      </w:divBdr>
    </w:div>
    <w:div w:id="1206680597">
      <w:bodyDiv w:val="1"/>
      <w:marLeft w:val="0"/>
      <w:marRight w:val="0"/>
      <w:marTop w:val="0"/>
      <w:marBottom w:val="0"/>
      <w:divBdr>
        <w:top w:val="none" w:sz="0" w:space="0" w:color="auto"/>
        <w:left w:val="none" w:sz="0" w:space="0" w:color="auto"/>
        <w:bottom w:val="none" w:sz="0" w:space="0" w:color="auto"/>
        <w:right w:val="none" w:sz="0" w:space="0" w:color="auto"/>
      </w:divBdr>
    </w:div>
    <w:div w:id="1223830791">
      <w:bodyDiv w:val="1"/>
      <w:marLeft w:val="0"/>
      <w:marRight w:val="0"/>
      <w:marTop w:val="0"/>
      <w:marBottom w:val="0"/>
      <w:divBdr>
        <w:top w:val="none" w:sz="0" w:space="0" w:color="auto"/>
        <w:left w:val="none" w:sz="0" w:space="0" w:color="auto"/>
        <w:bottom w:val="none" w:sz="0" w:space="0" w:color="auto"/>
        <w:right w:val="none" w:sz="0" w:space="0" w:color="auto"/>
      </w:divBdr>
    </w:div>
    <w:div w:id="1237203065">
      <w:bodyDiv w:val="1"/>
      <w:marLeft w:val="0"/>
      <w:marRight w:val="0"/>
      <w:marTop w:val="0"/>
      <w:marBottom w:val="0"/>
      <w:divBdr>
        <w:top w:val="none" w:sz="0" w:space="0" w:color="auto"/>
        <w:left w:val="none" w:sz="0" w:space="0" w:color="auto"/>
        <w:bottom w:val="none" w:sz="0" w:space="0" w:color="auto"/>
        <w:right w:val="none" w:sz="0" w:space="0" w:color="auto"/>
      </w:divBdr>
    </w:div>
    <w:div w:id="1243026678">
      <w:bodyDiv w:val="1"/>
      <w:marLeft w:val="0"/>
      <w:marRight w:val="0"/>
      <w:marTop w:val="0"/>
      <w:marBottom w:val="0"/>
      <w:divBdr>
        <w:top w:val="none" w:sz="0" w:space="0" w:color="auto"/>
        <w:left w:val="none" w:sz="0" w:space="0" w:color="auto"/>
        <w:bottom w:val="none" w:sz="0" w:space="0" w:color="auto"/>
        <w:right w:val="none" w:sz="0" w:space="0" w:color="auto"/>
      </w:divBdr>
    </w:div>
    <w:div w:id="1327438218">
      <w:bodyDiv w:val="1"/>
      <w:marLeft w:val="0"/>
      <w:marRight w:val="0"/>
      <w:marTop w:val="0"/>
      <w:marBottom w:val="0"/>
      <w:divBdr>
        <w:top w:val="none" w:sz="0" w:space="0" w:color="auto"/>
        <w:left w:val="none" w:sz="0" w:space="0" w:color="auto"/>
        <w:bottom w:val="none" w:sz="0" w:space="0" w:color="auto"/>
        <w:right w:val="none" w:sz="0" w:space="0" w:color="auto"/>
      </w:divBdr>
    </w:div>
    <w:div w:id="1328095239">
      <w:bodyDiv w:val="1"/>
      <w:marLeft w:val="0"/>
      <w:marRight w:val="0"/>
      <w:marTop w:val="0"/>
      <w:marBottom w:val="0"/>
      <w:divBdr>
        <w:top w:val="none" w:sz="0" w:space="0" w:color="auto"/>
        <w:left w:val="none" w:sz="0" w:space="0" w:color="auto"/>
        <w:bottom w:val="none" w:sz="0" w:space="0" w:color="auto"/>
        <w:right w:val="none" w:sz="0" w:space="0" w:color="auto"/>
      </w:divBdr>
    </w:div>
    <w:div w:id="1358316395">
      <w:bodyDiv w:val="1"/>
      <w:marLeft w:val="0"/>
      <w:marRight w:val="0"/>
      <w:marTop w:val="0"/>
      <w:marBottom w:val="0"/>
      <w:divBdr>
        <w:top w:val="none" w:sz="0" w:space="0" w:color="auto"/>
        <w:left w:val="none" w:sz="0" w:space="0" w:color="auto"/>
        <w:bottom w:val="none" w:sz="0" w:space="0" w:color="auto"/>
        <w:right w:val="none" w:sz="0" w:space="0" w:color="auto"/>
      </w:divBdr>
    </w:div>
    <w:div w:id="1414477073">
      <w:bodyDiv w:val="1"/>
      <w:marLeft w:val="0"/>
      <w:marRight w:val="0"/>
      <w:marTop w:val="0"/>
      <w:marBottom w:val="0"/>
      <w:divBdr>
        <w:top w:val="none" w:sz="0" w:space="0" w:color="auto"/>
        <w:left w:val="none" w:sz="0" w:space="0" w:color="auto"/>
        <w:bottom w:val="none" w:sz="0" w:space="0" w:color="auto"/>
        <w:right w:val="none" w:sz="0" w:space="0" w:color="auto"/>
      </w:divBdr>
    </w:div>
    <w:div w:id="1425032782">
      <w:bodyDiv w:val="1"/>
      <w:marLeft w:val="0"/>
      <w:marRight w:val="0"/>
      <w:marTop w:val="0"/>
      <w:marBottom w:val="0"/>
      <w:divBdr>
        <w:top w:val="none" w:sz="0" w:space="0" w:color="auto"/>
        <w:left w:val="none" w:sz="0" w:space="0" w:color="auto"/>
        <w:bottom w:val="none" w:sz="0" w:space="0" w:color="auto"/>
        <w:right w:val="none" w:sz="0" w:space="0" w:color="auto"/>
      </w:divBdr>
    </w:div>
    <w:div w:id="1440491279">
      <w:bodyDiv w:val="1"/>
      <w:marLeft w:val="0"/>
      <w:marRight w:val="0"/>
      <w:marTop w:val="0"/>
      <w:marBottom w:val="0"/>
      <w:divBdr>
        <w:top w:val="none" w:sz="0" w:space="0" w:color="auto"/>
        <w:left w:val="none" w:sz="0" w:space="0" w:color="auto"/>
        <w:bottom w:val="none" w:sz="0" w:space="0" w:color="auto"/>
        <w:right w:val="none" w:sz="0" w:space="0" w:color="auto"/>
      </w:divBdr>
    </w:div>
    <w:div w:id="1449158849">
      <w:bodyDiv w:val="1"/>
      <w:marLeft w:val="0"/>
      <w:marRight w:val="0"/>
      <w:marTop w:val="0"/>
      <w:marBottom w:val="0"/>
      <w:divBdr>
        <w:top w:val="none" w:sz="0" w:space="0" w:color="auto"/>
        <w:left w:val="none" w:sz="0" w:space="0" w:color="auto"/>
        <w:bottom w:val="none" w:sz="0" w:space="0" w:color="auto"/>
        <w:right w:val="none" w:sz="0" w:space="0" w:color="auto"/>
      </w:divBdr>
    </w:div>
    <w:div w:id="1452435007">
      <w:bodyDiv w:val="1"/>
      <w:marLeft w:val="0"/>
      <w:marRight w:val="0"/>
      <w:marTop w:val="0"/>
      <w:marBottom w:val="0"/>
      <w:divBdr>
        <w:top w:val="none" w:sz="0" w:space="0" w:color="auto"/>
        <w:left w:val="none" w:sz="0" w:space="0" w:color="auto"/>
        <w:bottom w:val="none" w:sz="0" w:space="0" w:color="auto"/>
        <w:right w:val="none" w:sz="0" w:space="0" w:color="auto"/>
      </w:divBdr>
    </w:div>
    <w:div w:id="1556965176">
      <w:bodyDiv w:val="1"/>
      <w:marLeft w:val="0"/>
      <w:marRight w:val="0"/>
      <w:marTop w:val="0"/>
      <w:marBottom w:val="0"/>
      <w:divBdr>
        <w:top w:val="none" w:sz="0" w:space="0" w:color="auto"/>
        <w:left w:val="none" w:sz="0" w:space="0" w:color="auto"/>
        <w:bottom w:val="none" w:sz="0" w:space="0" w:color="auto"/>
        <w:right w:val="none" w:sz="0" w:space="0" w:color="auto"/>
      </w:divBdr>
    </w:div>
    <w:div w:id="1590194529">
      <w:bodyDiv w:val="1"/>
      <w:marLeft w:val="0"/>
      <w:marRight w:val="0"/>
      <w:marTop w:val="0"/>
      <w:marBottom w:val="0"/>
      <w:divBdr>
        <w:top w:val="none" w:sz="0" w:space="0" w:color="auto"/>
        <w:left w:val="none" w:sz="0" w:space="0" w:color="auto"/>
        <w:bottom w:val="none" w:sz="0" w:space="0" w:color="auto"/>
        <w:right w:val="none" w:sz="0" w:space="0" w:color="auto"/>
      </w:divBdr>
    </w:div>
    <w:div w:id="1605962487">
      <w:bodyDiv w:val="1"/>
      <w:marLeft w:val="0"/>
      <w:marRight w:val="0"/>
      <w:marTop w:val="0"/>
      <w:marBottom w:val="0"/>
      <w:divBdr>
        <w:top w:val="none" w:sz="0" w:space="0" w:color="auto"/>
        <w:left w:val="none" w:sz="0" w:space="0" w:color="auto"/>
        <w:bottom w:val="none" w:sz="0" w:space="0" w:color="auto"/>
        <w:right w:val="none" w:sz="0" w:space="0" w:color="auto"/>
      </w:divBdr>
    </w:div>
    <w:div w:id="1610970000">
      <w:bodyDiv w:val="1"/>
      <w:marLeft w:val="0"/>
      <w:marRight w:val="0"/>
      <w:marTop w:val="0"/>
      <w:marBottom w:val="0"/>
      <w:divBdr>
        <w:top w:val="none" w:sz="0" w:space="0" w:color="auto"/>
        <w:left w:val="none" w:sz="0" w:space="0" w:color="auto"/>
        <w:bottom w:val="none" w:sz="0" w:space="0" w:color="auto"/>
        <w:right w:val="none" w:sz="0" w:space="0" w:color="auto"/>
      </w:divBdr>
    </w:div>
    <w:div w:id="1612544055">
      <w:bodyDiv w:val="1"/>
      <w:marLeft w:val="0"/>
      <w:marRight w:val="0"/>
      <w:marTop w:val="0"/>
      <w:marBottom w:val="0"/>
      <w:divBdr>
        <w:top w:val="none" w:sz="0" w:space="0" w:color="auto"/>
        <w:left w:val="none" w:sz="0" w:space="0" w:color="auto"/>
        <w:bottom w:val="none" w:sz="0" w:space="0" w:color="auto"/>
        <w:right w:val="none" w:sz="0" w:space="0" w:color="auto"/>
      </w:divBdr>
    </w:div>
    <w:div w:id="1614482009">
      <w:bodyDiv w:val="1"/>
      <w:marLeft w:val="0"/>
      <w:marRight w:val="0"/>
      <w:marTop w:val="0"/>
      <w:marBottom w:val="0"/>
      <w:divBdr>
        <w:top w:val="none" w:sz="0" w:space="0" w:color="auto"/>
        <w:left w:val="none" w:sz="0" w:space="0" w:color="auto"/>
        <w:bottom w:val="none" w:sz="0" w:space="0" w:color="auto"/>
        <w:right w:val="none" w:sz="0" w:space="0" w:color="auto"/>
      </w:divBdr>
    </w:div>
    <w:div w:id="1634404343">
      <w:bodyDiv w:val="1"/>
      <w:marLeft w:val="0"/>
      <w:marRight w:val="0"/>
      <w:marTop w:val="0"/>
      <w:marBottom w:val="0"/>
      <w:divBdr>
        <w:top w:val="none" w:sz="0" w:space="0" w:color="auto"/>
        <w:left w:val="none" w:sz="0" w:space="0" w:color="auto"/>
        <w:bottom w:val="none" w:sz="0" w:space="0" w:color="auto"/>
        <w:right w:val="none" w:sz="0" w:space="0" w:color="auto"/>
      </w:divBdr>
    </w:div>
    <w:div w:id="1665157453">
      <w:bodyDiv w:val="1"/>
      <w:marLeft w:val="0"/>
      <w:marRight w:val="0"/>
      <w:marTop w:val="0"/>
      <w:marBottom w:val="0"/>
      <w:divBdr>
        <w:top w:val="none" w:sz="0" w:space="0" w:color="auto"/>
        <w:left w:val="none" w:sz="0" w:space="0" w:color="auto"/>
        <w:bottom w:val="none" w:sz="0" w:space="0" w:color="auto"/>
        <w:right w:val="none" w:sz="0" w:space="0" w:color="auto"/>
      </w:divBdr>
    </w:div>
    <w:div w:id="1675108066">
      <w:bodyDiv w:val="1"/>
      <w:marLeft w:val="0"/>
      <w:marRight w:val="0"/>
      <w:marTop w:val="0"/>
      <w:marBottom w:val="0"/>
      <w:divBdr>
        <w:top w:val="none" w:sz="0" w:space="0" w:color="auto"/>
        <w:left w:val="none" w:sz="0" w:space="0" w:color="auto"/>
        <w:bottom w:val="none" w:sz="0" w:space="0" w:color="auto"/>
        <w:right w:val="none" w:sz="0" w:space="0" w:color="auto"/>
      </w:divBdr>
    </w:div>
    <w:div w:id="1678998449">
      <w:bodyDiv w:val="1"/>
      <w:marLeft w:val="0"/>
      <w:marRight w:val="0"/>
      <w:marTop w:val="0"/>
      <w:marBottom w:val="0"/>
      <w:divBdr>
        <w:top w:val="none" w:sz="0" w:space="0" w:color="auto"/>
        <w:left w:val="none" w:sz="0" w:space="0" w:color="auto"/>
        <w:bottom w:val="none" w:sz="0" w:space="0" w:color="auto"/>
        <w:right w:val="none" w:sz="0" w:space="0" w:color="auto"/>
      </w:divBdr>
    </w:div>
    <w:div w:id="1691756000">
      <w:bodyDiv w:val="1"/>
      <w:marLeft w:val="0"/>
      <w:marRight w:val="0"/>
      <w:marTop w:val="0"/>
      <w:marBottom w:val="0"/>
      <w:divBdr>
        <w:top w:val="none" w:sz="0" w:space="0" w:color="auto"/>
        <w:left w:val="none" w:sz="0" w:space="0" w:color="auto"/>
        <w:bottom w:val="none" w:sz="0" w:space="0" w:color="auto"/>
        <w:right w:val="none" w:sz="0" w:space="0" w:color="auto"/>
      </w:divBdr>
    </w:div>
    <w:div w:id="1701855199">
      <w:bodyDiv w:val="1"/>
      <w:marLeft w:val="0"/>
      <w:marRight w:val="0"/>
      <w:marTop w:val="0"/>
      <w:marBottom w:val="0"/>
      <w:divBdr>
        <w:top w:val="none" w:sz="0" w:space="0" w:color="auto"/>
        <w:left w:val="none" w:sz="0" w:space="0" w:color="auto"/>
        <w:bottom w:val="none" w:sz="0" w:space="0" w:color="auto"/>
        <w:right w:val="none" w:sz="0" w:space="0" w:color="auto"/>
      </w:divBdr>
    </w:div>
    <w:div w:id="1712143417">
      <w:bodyDiv w:val="1"/>
      <w:marLeft w:val="0"/>
      <w:marRight w:val="0"/>
      <w:marTop w:val="0"/>
      <w:marBottom w:val="0"/>
      <w:divBdr>
        <w:top w:val="none" w:sz="0" w:space="0" w:color="auto"/>
        <w:left w:val="none" w:sz="0" w:space="0" w:color="auto"/>
        <w:bottom w:val="none" w:sz="0" w:space="0" w:color="auto"/>
        <w:right w:val="none" w:sz="0" w:space="0" w:color="auto"/>
      </w:divBdr>
    </w:div>
    <w:div w:id="1735010914">
      <w:bodyDiv w:val="1"/>
      <w:marLeft w:val="0"/>
      <w:marRight w:val="0"/>
      <w:marTop w:val="0"/>
      <w:marBottom w:val="0"/>
      <w:divBdr>
        <w:top w:val="none" w:sz="0" w:space="0" w:color="auto"/>
        <w:left w:val="none" w:sz="0" w:space="0" w:color="auto"/>
        <w:bottom w:val="none" w:sz="0" w:space="0" w:color="auto"/>
        <w:right w:val="none" w:sz="0" w:space="0" w:color="auto"/>
      </w:divBdr>
    </w:div>
    <w:div w:id="1738091503">
      <w:bodyDiv w:val="1"/>
      <w:marLeft w:val="0"/>
      <w:marRight w:val="0"/>
      <w:marTop w:val="0"/>
      <w:marBottom w:val="0"/>
      <w:divBdr>
        <w:top w:val="none" w:sz="0" w:space="0" w:color="auto"/>
        <w:left w:val="none" w:sz="0" w:space="0" w:color="auto"/>
        <w:bottom w:val="none" w:sz="0" w:space="0" w:color="auto"/>
        <w:right w:val="none" w:sz="0" w:space="0" w:color="auto"/>
      </w:divBdr>
    </w:div>
    <w:div w:id="1740711521">
      <w:bodyDiv w:val="1"/>
      <w:marLeft w:val="0"/>
      <w:marRight w:val="0"/>
      <w:marTop w:val="0"/>
      <w:marBottom w:val="0"/>
      <w:divBdr>
        <w:top w:val="none" w:sz="0" w:space="0" w:color="auto"/>
        <w:left w:val="none" w:sz="0" w:space="0" w:color="auto"/>
        <w:bottom w:val="none" w:sz="0" w:space="0" w:color="auto"/>
        <w:right w:val="none" w:sz="0" w:space="0" w:color="auto"/>
      </w:divBdr>
    </w:div>
    <w:div w:id="1749227350">
      <w:bodyDiv w:val="1"/>
      <w:marLeft w:val="0"/>
      <w:marRight w:val="0"/>
      <w:marTop w:val="0"/>
      <w:marBottom w:val="0"/>
      <w:divBdr>
        <w:top w:val="none" w:sz="0" w:space="0" w:color="auto"/>
        <w:left w:val="none" w:sz="0" w:space="0" w:color="auto"/>
        <w:bottom w:val="none" w:sz="0" w:space="0" w:color="auto"/>
        <w:right w:val="none" w:sz="0" w:space="0" w:color="auto"/>
      </w:divBdr>
    </w:div>
    <w:div w:id="1752116934">
      <w:bodyDiv w:val="1"/>
      <w:marLeft w:val="0"/>
      <w:marRight w:val="0"/>
      <w:marTop w:val="0"/>
      <w:marBottom w:val="0"/>
      <w:divBdr>
        <w:top w:val="none" w:sz="0" w:space="0" w:color="auto"/>
        <w:left w:val="none" w:sz="0" w:space="0" w:color="auto"/>
        <w:bottom w:val="none" w:sz="0" w:space="0" w:color="auto"/>
        <w:right w:val="none" w:sz="0" w:space="0" w:color="auto"/>
      </w:divBdr>
    </w:div>
    <w:div w:id="1776558426">
      <w:bodyDiv w:val="1"/>
      <w:marLeft w:val="0"/>
      <w:marRight w:val="0"/>
      <w:marTop w:val="0"/>
      <w:marBottom w:val="0"/>
      <w:divBdr>
        <w:top w:val="none" w:sz="0" w:space="0" w:color="auto"/>
        <w:left w:val="none" w:sz="0" w:space="0" w:color="auto"/>
        <w:bottom w:val="none" w:sz="0" w:space="0" w:color="auto"/>
        <w:right w:val="none" w:sz="0" w:space="0" w:color="auto"/>
      </w:divBdr>
    </w:div>
    <w:div w:id="1855417328">
      <w:bodyDiv w:val="1"/>
      <w:marLeft w:val="0"/>
      <w:marRight w:val="0"/>
      <w:marTop w:val="0"/>
      <w:marBottom w:val="0"/>
      <w:divBdr>
        <w:top w:val="none" w:sz="0" w:space="0" w:color="auto"/>
        <w:left w:val="none" w:sz="0" w:space="0" w:color="auto"/>
        <w:bottom w:val="none" w:sz="0" w:space="0" w:color="auto"/>
        <w:right w:val="none" w:sz="0" w:space="0" w:color="auto"/>
      </w:divBdr>
    </w:div>
    <w:div w:id="1863932146">
      <w:bodyDiv w:val="1"/>
      <w:marLeft w:val="0"/>
      <w:marRight w:val="0"/>
      <w:marTop w:val="0"/>
      <w:marBottom w:val="0"/>
      <w:divBdr>
        <w:top w:val="none" w:sz="0" w:space="0" w:color="auto"/>
        <w:left w:val="none" w:sz="0" w:space="0" w:color="auto"/>
        <w:bottom w:val="none" w:sz="0" w:space="0" w:color="auto"/>
        <w:right w:val="none" w:sz="0" w:space="0" w:color="auto"/>
      </w:divBdr>
    </w:div>
    <w:div w:id="1870334122">
      <w:bodyDiv w:val="1"/>
      <w:marLeft w:val="0"/>
      <w:marRight w:val="0"/>
      <w:marTop w:val="0"/>
      <w:marBottom w:val="0"/>
      <w:divBdr>
        <w:top w:val="none" w:sz="0" w:space="0" w:color="auto"/>
        <w:left w:val="none" w:sz="0" w:space="0" w:color="auto"/>
        <w:bottom w:val="none" w:sz="0" w:space="0" w:color="auto"/>
        <w:right w:val="none" w:sz="0" w:space="0" w:color="auto"/>
      </w:divBdr>
    </w:div>
    <w:div w:id="1873029137">
      <w:bodyDiv w:val="1"/>
      <w:marLeft w:val="0"/>
      <w:marRight w:val="0"/>
      <w:marTop w:val="0"/>
      <w:marBottom w:val="0"/>
      <w:divBdr>
        <w:top w:val="none" w:sz="0" w:space="0" w:color="auto"/>
        <w:left w:val="none" w:sz="0" w:space="0" w:color="auto"/>
        <w:bottom w:val="none" w:sz="0" w:space="0" w:color="auto"/>
        <w:right w:val="none" w:sz="0" w:space="0" w:color="auto"/>
      </w:divBdr>
    </w:div>
    <w:div w:id="1886524819">
      <w:bodyDiv w:val="1"/>
      <w:marLeft w:val="0"/>
      <w:marRight w:val="0"/>
      <w:marTop w:val="0"/>
      <w:marBottom w:val="0"/>
      <w:divBdr>
        <w:top w:val="none" w:sz="0" w:space="0" w:color="auto"/>
        <w:left w:val="none" w:sz="0" w:space="0" w:color="auto"/>
        <w:bottom w:val="none" w:sz="0" w:space="0" w:color="auto"/>
        <w:right w:val="none" w:sz="0" w:space="0" w:color="auto"/>
      </w:divBdr>
    </w:div>
    <w:div w:id="1928659335">
      <w:bodyDiv w:val="1"/>
      <w:marLeft w:val="0"/>
      <w:marRight w:val="0"/>
      <w:marTop w:val="0"/>
      <w:marBottom w:val="0"/>
      <w:divBdr>
        <w:top w:val="none" w:sz="0" w:space="0" w:color="auto"/>
        <w:left w:val="none" w:sz="0" w:space="0" w:color="auto"/>
        <w:bottom w:val="none" w:sz="0" w:space="0" w:color="auto"/>
        <w:right w:val="none" w:sz="0" w:space="0" w:color="auto"/>
      </w:divBdr>
    </w:div>
    <w:div w:id="1934630875">
      <w:bodyDiv w:val="1"/>
      <w:marLeft w:val="0"/>
      <w:marRight w:val="0"/>
      <w:marTop w:val="0"/>
      <w:marBottom w:val="0"/>
      <w:divBdr>
        <w:top w:val="none" w:sz="0" w:space="0" w:color="auto"/>
        <w:left w:val="none" w:sz="0" w:space="0" w:color="auto"/>
        <w:bottom w:val="none" w:sz="0" w:space="0" w:color="auto"/>
        <w:right w:val="none" w:sz="0" w:space="0" w:color="auto"/>
      </w:divBdr>
    </w:div>
    <w:div w:id="1950892677">
      <w:bodyDiv w:val="1"/>
      <w:marLeft w:val="0"/>
      <w:marRight w:val="0"/>
      <w:marTop w:val="0"/>
      <w:marBottom w:val="0"/>
      <w:divBdr>
        <w:top w:val="none" w:sz="0" w:space="0" w:color="auto"/>
        <w:left w:val="none" w:sz="0" w:space="0" w:color="auto"/>
        <w:bottom w:val="none" w:sz="0" w:space="0" w:color="auto"/>
        <w:right w:val="none" w:sz="0" w:space="0" w:color="auto"/>
      </w:divBdr>
    </w:div>
    <w:div w:id="1953585195">
      <w:bodyDiv w:val="1"/>
      <w:marLeft w:val="0"/>
      <w:marRight w:val="0"/>
      <w:marTop w:val="0"/>
      <w:marBottom w:val="0"/>
      <w:divBdr>
        <w:top w:val="none" w:sz="0" w:space="0" w:color="auto"/>
        <w:left w:val="none" w:sz="0" w:space="0" w:color="auto"/>
        <w:bottom w:val="none" w:sz="0" w:space="0" w:color="auto"/>
        <w:right w:val="none" w:sz="0" w:space="0" w:color="auto"/>
      </w:divBdr>
    </w:div>
    <w:div w:id="2017074299">
      <w:bodyDiv w:val="1"/>
      <w:marLeft w:val="0"/>
      <w:marRight w:val="0"/>
      <w:marTop w:val="0"/>
      <w:marBottom w:val="0"/>
      <w:divBdr>
        <w:top w:val="none" w:sz="0" w:space="0" w:color="auto"/>
        <w:left w:val="none" w:sz="0" w:space="0" w:color="auto"/>
        <w:bottom w:val="none" w:sz="0" w:space="0" w:color="auto"/>
        <w:right w:val="none" w:sz="0" w:space="0" w:color="auto"/>
      </w:divBdr>
    </w:div>
    <w:div w:id="2026319821">
      <w:bodyDiv w:val="1"/>
      <w:marLeft w:val="0"/>
      <w:marRight w:val="0"/>
      <w:marTop w:val="0"/>
      <w:marBottom w:val="0"/>
      <w:divBdr>
        <w:top w:val="none" w:sz="0" w:space="0" w:color="auto"/>
        <w:left w:val="none" w:sz="0" w:space="0" w:color="auto"/>
        <w:bottom w:val="none" w:sz="0" w:space="0" w:color="auto"/>
        <w:right w:val="none" w:sz="0" w:space="0" w:color="auto"/>
      </w:divBdr>
    </w:div>
    <w:div w:id="2029596527">
      <w:bodyDiv w:val="1"/>
      <w:marLeft w:val="0"/>
      <w:marRight w:val="0"/>
      <w:marTop w:val="0"/>
      <w:marBottom w:val="0"/>
      <w:divBdr>
        <w:top w:val="none" w:sz="0" w:space="0" w:color="auto"/>
        <w:left w:val="none" w:sz="0" w:space="0" w:color="auto"/>
        <w:bottom w:val="none" w:sz="0" w:space="0" w:color="auto"/>
        <w:right w:val="none" w:sz="0" w:space="0" w:color="auto"/>
      </w:divBdr>
    </w:div>
    <w:div w:id="2044477987">
      <w:bodyDiv w:val="1"/>
      <w:marLeft w:val="0"/>
      <w:marRight w:val="0"/>
      <w:marTop w:val="0"/>
      <w:marBottom w:val="0"/>
      <w:divBdr>
        <w:top w:val="none" w:sz="0" w:space="0" w:color="auto"/>
        <w:left w:val="none" w:sz="0" w:space="0" w:color="auto"/>
        <w:bottom w:val="none" w:sz="0" w:space="0" w:color="auto"/>
        <w:right w:val="none" w:sz="0" w:space="0" w:color="auto"/>
      </w:divBdr>
    </w:div>
    <w:div w:id="2056078012">
      <w:bodyDiv w:val="1"/>
      <w:marLeft w:val="0"/>
      <w:marRight w:val="0"/>
      <w:marTop w:val="0"/>
      <w:marBottom w:val="0"/>
      <w:divBdr>
        <w:top w:val="none" w:sz="0" w:space="0" w:color="auto"/>
        <w:left w:val="none" w:sz="0" w:space="0" w:color="auto"/>
        <w:bottom w:val="none" w:sz="0" w:space="0" w:color="auto"/>
        <w:right w:val="none" w:sz="0" w:space="0" w:color="auto"/>
      </w:divBdr>
    </w:div>
    <w:div w:id="2057898474">
      <w:bodyDiv w:val="1"/>
      <w:marLeft w:val="0"/>
      <w:marRight w:val="0"/>
      <w:marTop w:val="0"/>
      <w:marBottom w:val="0"/>
      <w:divBdr>
        <w:top w:val="none" w:sz="0" w:space="0" w:color="auto"/>
        <w:left w:val="none" w:sz="0" w:space="0" w:color="auto"/>
        <w:bottom w:val="none" w:sz="0" w:space="0" w:color="auto"/>
        <w:right w:val="none" w:sz="0" w:space="0" w:color="auto"/>
      </w:divBdr>
    </w:div>
    <w:div w:id="2070304338">
      <w:bodyDiv w:val="1"/>
      <w:marLeft w:val="0"/>
      <w:marRight w:val="0"/>
      <w:marTop w:val="0"/>
      <w:marBottom w:val="0"/>
      <w:divBdr>
        <w:top w:val="none" w:sz="0" w:space="0" w:color="auto"/>
        <w:left w:val="none" w:sz="0" w:space="0" w:color="auto"/>
        <w:bottom w:val="none" w:sz="0" w:space="0" w:color="auto"/>
        <w:right w:val="none" w:sz="0" w:space="0" w:color="auto"/>
      </w:divBdr>
    </w:div>
    <w:div w:id="2071417525">
      <w:bodyDiv w:val="1"/>
      <w:marLeft w:val="0"/>
      <w:marRight w:val="0"/>
      <w:marTop w:val="0"/>
      <w:marBottom w:val="0"/>
      <w:divBdr>
        <w:top w:val="none" w:sz="0" w:space="0" w:color="auto"/>
        <w:left w:val="none" w:sz="0" w:space="0" w:color="auto"/>
        <w:bottom w:val="none" w:sz="0" w:space="0" w:color="auto"/>
        <w:right w:val="none" w:sz="0" w:space="0" w:color="auto"/>
      </w:divBdr>
    </w:div>
    <w:div w:id="2112316403">
      <w:bodyDiv w:val="1"/>
      <w:marLeft w:val="0"/>
      <w:marRight w:val="0"/>
      <w:marTop w:val="0"/>
      <w:marBottom w:val="0"/>
      <w:divBdr>
        <w:top w:val="none" w:sz="0" w:space="0" w:color="auto"/>
        <w:left w:val="none" w:sz="0" w:space="0" w:color="auto"/>
        <w:bottom w:val="none" w:sz="0" w:space="0" w:color="auto"/>
        <w:right w:val="none" w:sz="0" w:space="0" w:color="auto"/>
      </w:divBdr>
    </w:div>
    <w:div w:id="2118256808">
      <w:bodyDiv w:val="1"/>
      <w:marLeft w:val="0"/>
      <w:marRight w:val="0"/>
      <w:marTop w:val="0"/>
      <w:marBottom w:val="0"/>
      <w:divBdr>
        <w:top w:val="none" w:sz="0" w:space="0" w:color="auto"/>
        <w:left w:val="none" w:sz="0" w:space="0" w:color="auto"/>
        <w:bottom w:val="none" w:sz="0" w:space="0" w:color="auto"/>
        <w:right w:val="none" w:sz="0" w:space="0" w:color="auto"/>
      </w:divBdr>
    </w:div>
    <w:div w:id="2123378754">
      <w:bodyDiv w:val="1"/>
      <w:marLeft w:val="0"/>
      <w:marRight w:val="0"/>
      <w:marTop w:val="0"/>
      <w:marBottom w:val="0"/>
      <w:divBdr>
        <w:top w:val="none" w:sz="0" w:space="0" w:color="auto"/>
        <w:left w:val="none" w:sz="0" w:space="0" w:color="auto"/>
        <w:bottom w:val="none" w:sz="0" w:space="0" w:color="auto"/>
        <w:right w:val="none" w:sz="0" w:space="0" w:color="auto"/>
      </w:divBdr>
    </w:div>
    <w:div w:id="213610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image" Target="media/image10.png"/><Relationship Id="rId39"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eader" Target="header4.xml"/><Relationship Id="rId42"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image" Target="media/image13.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_rels/header5.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documenttasks/documenttasks1.xml><?xml version="1.0" encoding="utf-8"?>
<t:Tasks xmlns:t="http://schemas.microsoft.com/office/tasks/2019/documenttasks" xmlns:oel="http://schemas.microsoft.com/office/2019/extlst">
  <t:Task id="{D39C7369-83B0-4FA5-87CF-AE784894FBE1}">
    <t:Anchor>
      <t:Comment id="361616103"/>
    </t:Anchor>
    <t:History>
      <t:Event id="{2B3E2C3C-3EEA-4A53-A927-322CAB02E141}" time="2022-03-22T22:41:56.315Z">
        <t:Attribution userId="S::luke.beveridge@aofm.gov.au::17260bcb-ccdd-4780-ad27-7b11879e0472" userProvider="AD" userName="Beveridge, Luke"/>
        <t:Anchor>
          <t:Comment id="361616103"/>
        </t:Anchor>
        <t:Create/>
      </t:Event>
      <t:Event id="{8A5F9774-7626-4CD6-A668-C5EABFEC0D64}" time="2022-03-22T22:41:56.315Z">
        <t:Attribution userId="S::luke.beveridge@aofm.gov.au::17260bcb-ccdd-4780-ad27-7b11879e0472" userProvider="AD" userName="Beveridge, Luke"/>
        <t:Anchor>
          <t:Comment id="361616103"/>
        </t:Anchor>
        <t:Assign userId="S::HollyRose.McMath@treasury.gov.au::b7ff2456-610b-453b-a4b5-d952378b3876" userProvider="AD" userName="McMath, Holly Rose"/>
      </t:Event>
      <t:Event id="{AF0021B9-0D10-41E1-AA06-09F68E705934}" time="2022-03-22T22:41:56.315Z">
        <t:Attribution userId="S::luke.beveridge@aofm.gov.au::17260bcb-ccdd-4780-ad27-7b11879e0472" userProvider="AD" userName="Beveridge, Luke"/>
        <t:Anchor>
          <t:Comment id="361616103"/>
        </t:Anchor>
        <t:SetTitle title="@McMath, Holly Rose Hi Holly, we think this might be mis allocated."/>
      </t:Event>
    </t:History>
  </t:Task>
  <t:Task id="{5EE6635B-3CE2-42F8-9AFC-12E0677B57D3}">
    <t:Anchor>
      <t:Comment id="314868125"/>
    </t:Anchor>
    <t:History>
      <t:Event id="{B253BD63-4FFC-4DC3-9A5A-2FD7EC7E1662}" time="2022-03-24T09:59:27.269Z">
        <t:Attribution userId="S::liz.jaspers@treasury.gov.au::1b7fad90-d103-40f7-9d81-9cb47b79fbe1" userProvider="AD" userName="Jaspers, Liz"/>
        <t:Anchor>
          <t:Comment id="314868125"/>
        </t:Anchor>
        <t:Create/>
      </t:Event>
      <t:Event id="{BDC1C483-BFBD-4935-9BC5-70AA5A6ECBCC}" time="2022-03-24T09:59:27.269Z">
        <t:Attribution userId="S::liz.jaspers@treasury.gov.au::1b7fad90-d103-40f7-9d81-9cb47b79fbe1" userProvider="AD" userName="Jaspers, Liz"/>
        <t:Anchor>
          <t:Comment id="314868125"/>
        </t:Anchor>
        <t:Assign userId="S::Jack.Elliott@treasury.gov.au::47febcbc-0311-4635-bf3e-62ee2d0ebbc1" userProvider="AD" userName="Elliott, Jack"/>
      </t:Event>
      <t:Event id="{F9C440CD-C528-4DBC-9DBC-275608C4D854}" time="2022-03-24T09:59:27.269Z">
        <t:Attribution userId="S::liz.jaspers@treasury.gov.au::1b7fad90-d103-40f7-9d81-9cb47b79fbe1" userProvider="AD" userName="Jaspers, Liz"/>
        <t:Anchor>
          <t:Comment id="314868125"/>
        </t:Anchor>
        <t:SetTitle title="@Elliott, Jack Please add TAD to the formal accountabilities for this section for Sandy sign-off"/>
      </t:Event>
    </t:History>
  </t:Task>
</t:Task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B34EB-D0E7-4D82-84AB-10F9D6549F79}">
  <ds:schemaRefs>
    <ds:schemaRef ds:uri="http://schemas.microsoft.com/office/2006/metadata/properties"/>
    <ds:schemaRef ds:uri="http://schemas.microsoft.com/office/infopath/2007/PartnerControls"/>
    <ds:schemaRef ds:uri="http://schemas.microsoft.com/sharepoint/v3"/>
    <ds:schemaRef ds:uri="9115ddca-c623-419f-a3c0-6a1c58c4dac8"/>
  </ds:schemaRefs>
</ds:datastoreItem>
</file>

<file path=customXml/itemProps2.xml><?xml version="1.0" encoding="utf-8"?>
<ds:datastoreItem xmlns:ds="http://schemas.openxmlformats.org/officeDocument/2006/customXml" ds:itemID="{A7FFEA08-A801-4BA5-B440-902345AF03A8}">
  <ds:schemaRefs>
    <ds:schemaRef ds:uri="http://schemas.microsoft.com/sharepoint/v3/contenttype/forms"/>
  </ds:schemaRefs>
</ds:datastoreItem>
</file>

<file path=customXml/itemProps3.xml><?xml version="1.0" encoding="utf-8"?>
<ds:datastoreItem xmlns:ds="http://schemas.openxmlformats.org/officeDocument/2006/customXml" ds:itemID="{6E8EC010-AA5D-467A-AF3B-AFFAA8E37ABA}">
  <ds:schemaRefs>
    <ds:schemaRef ds:uri="http://schemas.openxmlformats.org/officeDocument/2006/bibliography"/>
  </ds:schemaRefs>
</ds:datastoreItem>
</file>

<file path=customXml/itemProps4.xml><?xml version="1.0" encoding="utf-8"?>
<ds:datastoreItem xmlns:ds="http://schemas.openxmlformats.org/officeDocument/2006/customXml" ds:itemID="{87FC2B15-2A58-4A80-B543-0F338FDAC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1187</TotalTime>
  <Pages>38</Pages>
  <Words>10078</Words>
  <Characters>57446</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Company>
  <LinksUpToDate>false</LinksUpToDate>
  <CharactersWithSpaces>67390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3: Fiscal Strategy and Outlook</dc:subject>
  <dc:creator>Australian Government</dc:creator>
  <cp:keywords/>
  <dc:description/>
  <cp:lastModifiedBy>Palmer, Selene</cp:lastModifiedBy>
  <cp:revision>771</cp:revision>
  <cp:lastPrinted>2022-03-30T00:01:00Z</cp:lastPrinted>
  <dcterms:created xsi:type="dcterms:W3CDTF">2022-03-27T01:54:00Z</dcterms:created>
  <dcterms:modified xsi:type="dcterms:W3CDTF">2022-03-30T00:01:00Z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ContentTypeId">
    <vt:lpwstr>0x010100DA4EFA3CD0C9384883E202483A01CFD0</vt:lpwstr>
  </property>
  <property fmtid="{D5CDD505-2E9C-101B-9397-08002B2CF9AE}" pid="5" name="metadataUpdateName">
    <vt:lpwstr>2022-23 Budget</vt:lpwstr>
  </property>
  <property fmtid="{D5CDD505-2E9C-101B-9397-08002B2CF9AE}" pid="6" name="metadataStatementName">
    <vt:lpwstr>Budget Statement 3</vt:lpwstr>
  </property>
  <property fmtid="{D5CDD505-2E9C-101B-9397-08002B2CF9AE}" pid="7" name="metadataCoordinator">
    <vt:lpwstr>Holly Rose McMath (x3282) Jack Elliott (x3942)</vt:lpwstr>
  </property>
  <property fmtid="{D5CDD505-2E9C-101B-9397-08002B2CF9AE}" pid="8" name="GlobalLastAccountabilityID">
    <vt:lpwstr>SPD_LE1</vt:lpwstr>
  </property>
</Properties>
</file>