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A3930" w14:textId="58FECBF7" w:rsidR="003C48F3" w:rsidRPr="003C48F3" w:rsidRDefault="003C48F3" w:rsidP="003C48F3">
      <w:pPr>
        <w:keepNext/>
        <w:spacing w:after="640" w:line="240" w:lineRule="auto"/>
        <w:jc w:val="center"/>
        <w:rPr>
          <w:rFonts w:ascii="Arial Bold" w:hAnsi="Arial Bold"/>
          <w:b/>
          <w:sz w:val="36"/>
          <w:szCs w:val="36"/>
        </w:rPr>
      </w:pPr>
      <w:r w:rsidRPr="47177C5E">
        <w:rPr>
          <w:rFonts w:ascii="Arial Bold" w:hAnsi="Arial Bold"/>
          <w:b/>
          <w:sz w:val="36"/>
          <w:szCs w:val="36"/>
        </w:rPr>
        <w:t xml:space="preserve">Statement </w:t>
      </w:r>
      <w:r w:rsidR="00E4682E" w:rsidRPr="47177C5E">
        <w:rPr>
          <w:rFonts w:ascii="Arial Bold" w:hAnsi="Arial Bold"/>
          <w:b/>
          <w:sz w:val="36"/>
          <w:szCs w:val="36"/>
        </w:rPr>
        <w:t>6</w:t>
      </w:r>
      <w:r w:rsidRPr="47177C5E">
        <w:rPr>
          <w:rFonts w:ascii="Arial Bold" w:hAnsi="Arial Bold"/>
          <w:b/>
          <w:sz w:val="36"/>
          <w:szCs w:val="36"/>
        </w:rPr>
        <w:t>: Debt Statement</w:t>
      </w:r>
    </w:p>
    <w:tbl>
      <w:tblPr>
        <w:tblW w:w="5000" w:type="pct"/>
        <w:jc w:val="center"/>
        <w:shd w:val="clear" w:color="auto" w:fill="F2F9FC"/>
        <w:tblLayout w:type="fixed"/>
        <w:tblCellMar>
          <w:top w:w="284" w:type="dxa"/>
          <w:left w:w="284" w:type="dxa"/>
          <w:bottom w:w="284" w:type="dxa"/>
          <w:right w:w="284" w:type="dxa"/>
        </w:tblCellMar>
        <w:tblLook w:val="0000" w:firstRow="0" w:lastRow="0" w:firstColumn="0" w:lastColumn="0" w:noHBand="0" w:noVBand="0"/>
      </w:tblPr>
      <w:tblGrid>
        <w:gridCol w:w="7710"/>
      </w:tblGrid>
      <w:tr w:rsidR="003C48F3" w:rsidRPr="003C48F3" w14:paraId="5909E276" w14:textId="77777777" w:rsidTr="00005D62">
        <w:trPr>
          <w:cantSplit/>
          <w:jc w:val="center"/>
        </w:trPr>
        <w:tc>
          <w:tcPr>
            <w:tcW w:w="7655" w:type="dxa"/>
            <w:shd w:val="clear" w:color="auto" w:fill="F2F9FC"/>
            <w:tcMar>
              <w:top w:w="284" w:type="dxa"/>
              <w:left w:w="284" w:type="dxa"/>
              <w:bottom w:w="284" w:type="dxa"/>
              <w:right w:w="284" w:type="dxa"/>
            </w:tcMar>
          </w:tcPr>
          <w:p w14:paraId="7A959F36" w14:textId="586CAB7F" w:rsidR="003C48F3" w:rsidRPr="003C48F3" w:rsidRDefault="00EF0DC8" w:rsidP="003C48F3">
            <w:pPr>
              <w:spacing w:before="120" w:after="0" w:line="240" w:lineRule="auto"/>
            </w:pPr>
            <w:r w:rsidRPr="00091680">
              <w:t>The Debt Statement provides information on Government gross debt, net debt,</w:t>
            </w:r>
            <w:r w:rsidR="003A3510" w:rsidRPr="00091680">
              <w:t xml:space="preserve"> Australian Government Securities</w:t>
            </w:r>
            <w:r w:rsidR="00427C4E" w:rsidRPr="00091680">
              <w:t xml:space="preserve"> (AGS) issuance</w:t>
            </w:r>
            <w:r w:rsidR="00CD64C5" w:rsidRPr="00091680">
              <w:t>, interest costs</w:t>
            </w:r>
            <w:r w:rsidR="0000102F" w:rsidRPr="00091680">
              <w:t xml:space="preserve">, and details of climate spending, including the </w:t>
            </w:r>
            <w:r w:rsidR="000F0880" w:rsidRPr="00091680">
              <w:t>extent</w:t>
            </w:r>
            <w:r w:rsidR="009F618E" w:rsidRPr="00091680">
              <w:t xml:space="preserve"> to which spending </w:t>
            </w:r>
            <w:r w:rsidR="000732A0" w:rsidRPr="00091680">
              <w:t>has contributed to debt.</w:t>
            </w:r>
          </w:p>
        </w:tc>
      </w:tr>
    </w:tbl>
    <w:p w14:paraId="6B41AED8" w14:textId="77777777" w:rsidR="003C48F3" w:rsidRPr="003C48F3" w:rsidRDefault="003C48F3" w:rsidP="003C48F3">
      <w:pPr>
        <w:spacing w:after="0"/>
      </w:pPr>
    </w:p>
    <w:p w14:paraId="51DD7679" w14:textId="3524EB67" w:rsidR="003C48F3" w:rsidRPr="00091680" w:rsidRDefault="003C48F3" w:rsidP="003C48F3">
      <w:pPr>
        <w:keepNext/>
        <w:spacing w:after="480" w:line="240" w:lineRule="auto"/>
        <w:jc w:val="center"/>
        <w:rPr>
          <w:rFonts w:ascii="Arial Bold" w:hAnsi="Arial Bold"/>
          <w:b/>
          <w:sz w:val="36"/>
        </w:rPr>
      </w:pPr>
      <w:r w:rsidRPr="00091680">
        <w:rPr>
          <w:rFonts w:ascii="Arial Bold" w:hAnsi="Arial Bold"/>
          <w:b/>
          <w:sz w:val="36"/>
        </w:rPr>
        <w:t>Contents</w:t>
      </w:r>
    </w:p>
    <w:p w14:paraId="7B609672" w14:textId="5825F8F9" w:rsidR="0098026B" w:rsidRPr="00091680" w:rsidRDefault="003C48F3">
      <w:pPr>
        <w:pStyle w:val="TOC1"/>
        <w:rPr>
          <w:rFonts w:asciiTheme="minorHAnsi" w:eastAsiaTheme="minorEastAsia" w:hAnsiTheme="minorHAnsi" w:cstheme="minorBidi"/>
          <w:b w:val="0"/>
          <w:noProof/>
          <w:szCs w:val="22"/>
        </w:rPr>
      </w:pPr>
      <w:r w:rsidRPr="00091680">
        <w:rPr>
          <w:b w:val="0"/>
          <w:i/>
        </w:rPr>
        <w:fldChar w:fldCharType="begin"/>
      </w:r>
      <w:r w:rsidRPr="00091680">
        <w:rPr>
          <w:b w:val="0"/>
        </w:rPr>
        <w:instrText xml:space="preserve"> TOC \t "Heading 2,1,Heading 3,2,Appendix Heading,1" </w:instrText>
      </w:r>
      <w:r w:rsidRPr="00091680">
        <w:rPr>
          <w:b w:val="0"/>
          <w:i/>
        </w:rPr>
        <w:fldChar w:fldCharType="separate"/>
      </w:r>
      <w:r w:rsidR="0098026B" w:rsidRPr="00091680">
        <w:rPr>
          <w:noProof/>
        </w:rPr>
        <w:t>Overview</w:t>
      </w:r>
      <w:r w:rsidR="0098026B" w:rsidRPr="00091680">
        <w:rPr>
          <w:noProof/>
        </w:rPr>
        <w:tab/>
      </w:r>
      <w:r w:rsidR="0098026B" w:rsidRPr="00091680">
        <w:rPr>
          <w:noProof/>
        </w:rPr>
        <w:fldChar w:fldCharType="begin"/>
      </w:r>
      <w:r w:rsidR="0098026B" w:rsidRPr="00091680">
        <w:rPr>
          <w:noProof/>
        </w:rPr>
        <w:instrText xml:space="preserve"> PAGEREF _Toc98531926 \h </w:instrText>
      </w:r>
      <w:r w:rsidR="0098026B" w:rsidRPr="00091680">
        <w:rPr>
          <w:noProof/>
        </w:rPr>
      </w:r>
      <w:r w:rsidR="0098026B" w:rsidRPr="00091680">
        <w:rPr>
          <w:noProof/>
        </w:rPr>
        <w:fldChar w:fldCharType="separate"/>
      </w:r>
      <w:r w:rsidR="008370D9">
        <w:rPr>
          <w:noProof/>
        </w:rPr>
        <w:t>185</w:t>
      </w:r>
      <w:r w:rsidR="0098026B" w:rsidRPr="00091680">
        <w:rPr>
          <w:noProof/>
        </w:rPr>
        <w:fldChar w:fldCharType="end"/>
      </w:r>
    </w:p>
    <w:p w14:paraId="43788574" w14:textId="34331242" w:rsidR="0098026B" w:rsidRPr="00091680" w:rsidRDefault="0098026B">
      <w:pPr>
        <w:pStyle w:val="TOC1"/>
        <w:rPr>
          <w:rFonts w:asciiTheme="minorHAnsi" w:eastAsiaTheme="minorEastAsia" w:hAnsiTheme="minorHAnsi" w:cstheme="minorBidi"/>
          <w:b w:val="0"/>
          <w:noProof/>
          <w:szCs w:val="22"/>
        </w:rPr>
      </w:pPr>
      <w:r w:rsidRPr="00091680">
        <w:rPr>
          <w:noProof/>
        </w:rPr>
        <w:t>Australian Government Securities issuance</w:t>
      </w:r>
      <w:r w:rsidRPr="00091680">
        <w:rPr>
          <w:noProof/>
        </w:rPr>
        <w:tab/>
      </w:r>
      <w:r w:rsidRPr="00091680">
        <w:rPr>
          <w:noProof/>
        </w:rPr>
        <w:fldChar w:fldCharType="begin"/>
      </w:r>
      <w:r w:rsidRPr="00091680">
        <w:rPr>
          <w:noProof/>
        </w:rPr>
        <w:instrText xml:space="preserve"> PAGEREF _Toc98531927 \h </w:instrText>
      </w:r>
      <w:r w:rsidRPr="00091680">
        <w:rPr>
          <w:noProof/>
        </w:rPr>
      </w:r>
      <w:r w:rsidRPr="00091680">
        <w:rPr>
          <w:noProof/>
        </w:rPr>
        <w:fldChar w:fldCharType="separate"/>
      </w:r>
      <w:r w:rsidR="008370D9">
        <w:rPr>
          <w:noProof/>
        </w:rPr>
        <w:t>185</w:t>
      </w:r>
      <w:r w:rsidRPr="00091680">
        <w:rPr>
          <w:noProof/>
        </w:rPr>
        <w:fldChar w:fldCharType="end"/>
      </w:r>
    </w:p>
    <w:p w14:paraId="01A49EAB" w14:textId="6DC3B26B" w:rsidR="0098026B" w:rsidRPr="00091680" w:rsidRDefault="0098026B">
      <w:pPr>
        <w:pStyle w:val="TOC1"/>
        <w:rPr>
          <w:rFonts w:asciiTheme="minorHAnsi" w:eastAsiaTheme="minorEastAsia" w:hAnsiTheme="minorHAnsi" w:cstheme="minorBidi"/>
          <w:b w:val="0"/>
          <w:noProof/>
          <w:szCs w:val="22"/>
        </w:rPr>
      </w:pPr>
      <w:r w:rsidRPr="00091680">
        <w:rPr>
          <w:noProof/>
        </w:rPr>
        <w:t>Estimates of AGS on issue</w:t>
      </w:r>
      <w:r w:rsidRPr="00091680">
        <w:rPr>
          <w:noProof/>
        </w:rPr>
        <w:tab/>
      </w:r>
      <w:r w:rsidRPr="00091680">
        <w:rPr>
          <w:noProof/>
        </w:rPr>
        <w:fldChar w:fldCharType="begin"/>
      </w:r>
      <w:r w:rsidRPr="00091680">
        <w:rPr>
          <w:noProof/>
        </w:rPr>
        <w:instrText xml:space="preserve"> PAGEREF _Toc98531928 \h </w:instrText>
      </w:r>
      <w:r w:rsidRPr="00091680">
        <w:rPr>
          <w:noProof/>
        </w:rPr>
      </w:r>
      <w:r w:rsidRPr="00091680">
        <w:rPr>
          <w:noProof/>
        </w:rPr>
        <w:fldChar w:fldCharType="separate"/>
      </w:r>
      <w:r w:rsidR="008370D9">
        <w:rPr>
          <w:noProof/>
        </w:rPr>
        <w:t>186</w:t>
      </w:r>
      <w:r w:rsidRPr="00091680">
        <w:rPr>
          <w:noProof/>
        </w:rPr>
        <w:fldChar w:fldCharType="end"/>
      </w:r>
    </w:p>
    <w:p w14:paraId="2367AC56" w14:textId="398A2284" w:rsidR="0098026B" w:rsidRPr="00091680" w:rsidRDefault="0098026B">
      <w:pPr>
        <w:pStyle w:val="TOC2"/>
        <w:rPr>
          <w:rFonts w:asciiTheme="minorHAnsi" w:eastAsiaTheme="minorEastAsia" w:hAnsiTheme="minorHAnsi" w:cstheme="minorBidi"/>
          <w:noProof/>
          <w:sz w:val="22"/>
          <w:szCs w:val="22"/>
        </w:rPr>
      </w:pPr>
      <w:r w:rsidRPr="00091680">
        <w:rPr>
          <w:noProof/>
        </w:rPr>
        <w:t>Changes in AGS on issue since the 2021</w:t>
      </w:r>
      <w:r w:rsidRPr="00091680">
        <w:rPr>
          <w:noProof/>
        </w:rPr>
        <w:noBreakHyphen/>
        <w:t>22 MYEFO</w:t>
      </w:r>
      <w:r w:rsidRPr="00091680">
        <w:rPr>
          <w:noProof/>
        </w:rPr>
        <w:tab/>
      </w:r>
      <w:r w:rsidRPr="00091680">
        <w:rPr>
          <w:noProof/>
        </w:rPr>
        <w:fldChar w:fldCharType="begin"/>
      </w:r>
      <w:r w:rsidRPr="00091680">
        <w:rPr>
          <w:noProof/>
        </w:rPr>
        <w:instrText xml:space="preserve"> PAGEREF _Toc98531929 \h </w:instrText>
      </w:r>
      <w:r w:rsidRPr="00091680">
        <w:rPr>
          <w:noProof/>
        </w:rPr>
      </w:r>
      <w:r w:rsidRPr="00091680">
        <w:rPr>
          <w:noProof/>
        </w:rPr>
        <w:fldChar w:fldCharType="separate"/>
      </w:r>
      <w:r w:rsidR="008370D9">
        <w:rPr>
          <w:noProof/>
        </w:rPr>
        <w:t>188</w:t>
      </w:r>
      <w:r w:rsidRPr="00091680">
        <w:rPr>
          <w:noProof/>
        </w:rPr>
        <w:fldChar w:fldCharType="end"/>
      </w:r>
    </w:p>
    <w:p w14:paraId="5B4B2B25" w14:textId="54D38868" w:rsidR="0098026B" w:rsidRPr="00091680" w:rsidRDefault="0098026B">
      <w:pPr>
        <w:pStyle w:val="TOC2"/>
        <w:rPr>
          <w:rFonts w:asciiTheme="minorHAnsi" w:eastAsiaTheme="minorEastAsia" w:hAnsiTheme="minorHAnsi" w:cstheme="minorBidi"/>
          <w:noProof/>
          <w:sz w:val="22"/>
          <w:szCs w:val="22"/>
        </w:rPr>
      </w:pPr>
      <w:r w:rsidRPr="00091680">
        <w:rPr>
          <w:noProof/>
        </w:rPr>
        <w:t>Breakdown of AGS currently on issue</w:t>
      </w:r>
      <w:r w:rsidRPr="00091680">
        <w:rPr>
          <w:noProof/>
        </w:rPr>
        <w:tab/>
      </w:r>
      <w:r w:rsidRPr="00091680">
        <w:rPr>
          <w:noProof/>
        </w:rPr>
        <w:fldChar w:fldCharType="begin"/>
      </w:r>
      <w:r w:rsidRPr="00091680">
        <w:rPr>
          <w:noProof/>
        </w:rPr>
        <w:instrText xml:space="preserve"> PAGEREF _Toc98531930 \h </w:instrText>
      </w:r>
      <w:r w:rsidRPr="00091680">
        <w:rPr>
          <w:noProof/>
        </w:rPr>
      </w:r>
      <w:r w:rsidRPr="00091680">
        <w:rPr>
          <w:noProof/>
        </w:rPr>
        <w:fldChar w:fldCharType="separate"/>
      </w:r>
      <w:r w:rsidR="008370D9">
        <w:rPr>
          <w:noProof/>
        </w:rPr>
        <w:t>189</w:t>
      </w:r>
      <w:r w:rsidRPr="00091680">
        <w:rPr>
          <w:noProof/>
        </w:rPr>
        <w:fldChar w:fldCharType="end"/>
      </w:r>
    </w:p>
    <w:p w14:paraId="6DC30FDB" w14:textId="6E3974D9" w:rsidR="0098026B" w:rsidRPr="00091680" w:rsidRDefault="0098026B">
      <w:pPr>
        <w:pStyle w:val="TOC2"/>
        <w:rPr>
          <w:rFonts w:asciiTheme="minorHAnsi" w:eastAsiaTheme="minorEastAsia" w:hAnsiTheme="minorHAnsi" w:cstheme="minorBidi"/>
          <w:noProof/>
          <w:sz w:val="22"/>
          <w:szCs w:val="22"/>
        </w:rPr>
      </w:pPr>
      <w:r w:rsidRPr="00091680">
        <w:rPr>
          <w:noProof/>
        </w:rPr>
        <w:t>Treasury Bonds</w:t>
      </w:r>
      <w:r w:rsidRPr="00091680">
        <w:rPr>
          <w:noProof/>
        </w:rPr>
        <w:tab/>
      </w:r>
      <w:r w:rsidRPr="00091680">
        <w:rPr>
          <w:noProof/>
        </w:rPr>
        <w:fldChar w:fldCharType="begin"/>
      </w:r>
      <w:r w:rsidRPr="00091680">
        <w:rPr>
          <w:noProof/>
        </w:rPr>
        <w:instrText xml:space="preserve"> PAGEREF _Toc98531931 \h </w:instrText>
      </w:r>
      <w:r w:rsidRPr="00091680">
        <w:rPr>
          <w:noProof/>
        </w:rPr>
      </w:r>
      <w:r w:rsidRPr="00091680">
        <w:rPr>
          <w:noProof/>
        </w:rPr>
        <w:fldChar w:fldCharType="separate"/>
      </w:r>
      <w:r w:rsidR="008370D9">
        <w:rPr>
          <w:noProof/>
        </w:rPr>
        <w:t>190</w:t>
      </w:r>
      <w:r w:rsidRPr="00091680">
        <w:rPr>
          <w:noProof/>
        </w:rPr>
        <w:fldChar w:fldCharType="end"/>
      </w:r>
    </w:p>
    <w:p w14:paraId="6F442BCF" w14:textId="3CDC3E30" w:rsidR="0098026B" w:rsidRPr="00091680" w:rsidRDefault="0098026B">
      <w:pPr>
        <w:pStyle w:val="TOC2"/>
        <w:rPr>
          <w:rFonts w:asciiTheme="minorHAnsi" w:eastAsiaTheme="minorEastAsia" w:hAnsiTheme="minorHAnsi" w:cstheme="minorBidi"/>
          <w:noProof/>
          <w:sz w:val="22"/>
          <w:szCs w:val="22"/>
        </w:rPr>
      </w:pPr>
      <w:r w:rsidRPr="00091680">
        <w:rPr>
          <w:noProof/>
        </w:rPr>
        <w:t>Treasury Indexed Bonds</w:t>
      </w:r>
      <w:r w:rsidRPr="00091680">
        <w:rPr>
          <w:noProof/>
        </w:rPr>
        <w:tab/>
      </w:r>
      <w:r w:rsidRPr="00091680">
        <w:rPr>
          <w:noProof/>
        </w:rPr>
        <w:fldChar w:fldCharType="begin"/>
      </w:r>
      <w:r w:rsidRPr="00091680">
        <w:rPr>
          <w:noProof/>
        </w:rPr>
        <w:instrText xml:space="preserve"> PAGEREF _Toc98531932 \h </w:instrText>
      </w:r>
      <w:r w:rsidRPr="00091680">
        <w:rPr>
          <w:noProof/>
        </w:rPr>
      </w:r>
      <w:r w:rsidRPr="00091680">
        <w:rPr>
          <w:noProof/>
        </w:rPr>
        <w:fldChar w:fldCharType="separate"/>
      </w:r>
      <w:r w:rsidR="008370D9">
        <w:rPr>
          <w:noProof/>
        </w:rPr>
        <w:t>191</w:t>
      </w:r>
      <w:r w:rsidRPr="00091680">
        <w:rPr>
          <w:noProof/>
        </w:rPr>
        <w:fldChar w:fldCharType="end"/>
      </w:r>
    </w:p>
    <w:p w14:paraId="255189BB" w14:textId="100D3E75" w:rsidR="0098026B" w:rsidRPr="00091680" w:rsidRDefault="0098026B" w:rsidP="0004382D">
      <w:pPr>
        <w:pStyle w:val="TOC2"/>
        <w:rPr>
          <w:rFonts w:asciiTheme="minorHAnsi" w:eastAsiaTheme="minorEastAsia" w:hAnsiTheme="minorHAnsi" w:cstheme="minorBidi"/>
          <w:b/>
          <w:noProof/>
          <w:szCs w:val="22"/>
        </w:rPr>
      </w:pPr>
      <w:r w:rsidRPr="00091680">
        <w:rPr>
          <w:noProof/>
        </w:rPr>
        <w:t>Treasury Notes</w:t>
      </w:r>
      <w:r w:rsidRPr="00091680">
        <w:rPr>
          <w:noProof/>
        </w:rPr>
        <w:tab/>
      </w:r>
      <w:r w:rsidRPr="00091680">
        <w:rPr>
          <w:noProof/>
        </w:rPr>
        <w:fldChar w:fldCharType="begin"/>
      </w:r>
      <w:r w:rsidRPr="00091680">
        <w:rPr>
          <w:noProof/>
        </w:rPr>
        <w:instrText xml:space="preserve"> PAGEREF _Toc98531933 \h </w:instrText>
      </w:r>
      <w:r w:rsidRPr="00091680">
        <w:rPr>
          <w:noProof/>
        </w:rPr>
      </w:r>
      <w:r w:rsidRPr="00091680">
        <w:rPr>
          <w:noProof/>
        </w:rPr>
        <w:fldChar w:fldCharType="separate"/>
      </w:r>
      <w:r w:rsidR="008370D9">
        <w:rPr>
          <w:noProof/>
        </w:rPr>
        <w:t>191</w:t>
      </w:r>
      <w:r w:rsidRPr="00091680">
        <w:rPr>
          <w:noProof/>
        </w:rPr>
        <w:fldChar w:fldCharType="end"/>
      </w:r>
    </w:p>
    <w:p w14:paraId="441D8334" w14:textId="18E44046" w:rsidR="0098026B" w:rsidRPr="00091680" w:rsidRDefault="0098026B">
      <w:pPr>
        <w:pStyle w:val="TOC1"/>
        <w:rPr>
          <w:rFonts w:asciiTheme="minorHAnsi" w:eastAsiaTheme="minorEastAsia" w:hAnsiTheme="minorHAnsi" w:cstheme="minorBidi"/>
          <w:b w:val="0"/>
          <w:noProof/>
          <w:szCs w:val="22"/>
        </w:rPr>
      </w:pPr>
      <w:r w:rsidRPr="00091680">
        <w:rPr>
          <w:noProof/>
        </w:rPr>
        <w:t>Non</w:t>
      </w:r>
      <w:r w:rsidRPr="00091680">
        <w:rPr>
          <w:noProof/>
        </w:rPr>
        <w:noBreakHyphen/>
        <w:t>resident holdings of AGS on issue</w:t>
      </w:r>
      <w:r w:rsidRPr="00091680">
        <w:rPr>
          <w:noProof/>
        </w:rPr>
        <w:tab/>
      </w:r>
      <w:r w:rsidRPr="00091680">
        <w:rPr>
          <w:noProof/>
        </w:rPr>
        <w:fldChar w:fldCharType="begin"/>
      </w:r>
      <w:r w:rsidRPr="00091680">
        <w:rPr>
          <w:noProof/>
        </w:rPr>
        <w:instrText xml:space="preserve"> PAGEREF _Toc98531934 \h </w:instrText>
      </w:r>
      <w:r w:rsidRPr="00091680">
        <w:rPr>
          <w:noProof/>
        </w:rPr>
      </w:r>
      <w:r w:rsidRPr="00091680">
        <w:rPr>
          <w:noProof/>
        </w:rPr>
        <w:fldChar w:fldCharType="separate"/>
      </w:r>
      <w:r w:rsidR="008370D9">
        <w:rPr>
          <w:noProof/>
        </w:rPr>
        <w:t>192</w:t>
      </w:r>
      <w:r w:rsidRPr="00091680">
        <w:rPr>
          <w:noProof/>
        </w:rPr>
        <w:fldChar w:fldCharType="end"/>
      </w:r>
    </w:p>
    <w:p w14:paraId="3B3F4B8A" w14:textId="36B8B1D6" w:rsidR="0098026B" w:rsidRPr="00091680" w:rsidRDefault="0098026B">
      <w:pPr>
        <w:pStyle w:val="TOC1"/>
        <w:rPr>
          <w:rFonts w:asciiTheme="minorHAnsi" w:eastAsiaTheme="minorEastAsia" w:hAnsiTheme="minorHAnsi" w:cstheme="minorBidi"/>
          <w:b w:val="0"/>
          <w:noProof/>
          <w:szCs w:val="22"/>
        </w:rPr>
      </w:pPr>
      <w:r w:rsidRPr="00091680">
        <w:rPr>
          <w:noProof/>
        </w:rPr>
        <w:t>Estimates and projections of net debt</w:t>
      </w:r>
      <w:r w:rsidRPr="00091680">
        <w:rPr>
          <w:noProof/>
        </w:rPr>
        <w:tab/>
      </w:r>
      <w:r w:rsidRPr="00091680">
        <w:rPr>
          <w:noProof/>
        </w:rPr>
        <w:fldChar w:fldCharType="begin"/>
      </w:r>
      <w:r w:rsidRPr="00091680">
        <w:rPr>
          <w:noProof/>
        </w:rPr>
        <w:instrText xml:space="preserve"> PAGEREF _Toc98531935 \h </w:instrText>
      </w:r>
      <w:r w:rsidRPr="00091680">
        <w:rPr>
          <w:noProof/>
        </w:rPr>
      </w:r>
      <w:r w:rsidRPr="00091680">
        <w:rPr>
          <w:noProof/>
        </w:rPr>
        <w:fldChar w:fldCharType="separate"/>
      </w:r>
      <w:r w:rsidR="008370D9">
        <w:rPr>
          <w:noProof/>
        </w:rPr>
        <w:t>193</w:t>
      </w:r>
      <w:r w:rsidRPr="00091680">
        <w:rPr>
          <w:noProof/>
        </w:rPr>
        <w:fldChar w:fldCharType="end"/>
      </w:r>
    </w:p>
    <w:p w14:paraId="0641CB52" w14:textId="0448F1DA" w:rsidR="0098026B" w:rsidRPr="00091680" w:rsidRDefault="0098026B">
      <w:pPr>
        <w:pStyle w:val="TOC2"/>
        <w:rPr>
          <w:rFonts w:asciiTheme="minorHAnsi" w:eastAsiaTheme="minorEastAsia" w:hAnsiTheme="minorHAnsi" w:cstheme="minorBidi"/>
          <w:noProof/>
          <w:sz w:val="22"/>
          <w:szCs w:val="22"/>
        </w:rPr>
      </w:pPr>
      <w:r w:rsidRPr="00091680">
        <w:rPr>
          <w:noProof/>
        </w:rPr>
        <w:t>Changes in net debt since the 2021</w:t>
      </w:r>
      <w:r w:rsidRPr="00091680">
        <w:rPr>
          <w:noProof/>
        </w:rPr>
        <w:noBreakHyphen/>
        <w:t>22 MYEFO</w:t>
      </w:r>
      <w:r w:rsidRPr="00091680">
        <w:rPr>
          <w:noProof/>
        </w:rPr>
        <w:tab/>
      </w:r>
      <w:r w:rsidRPr="00091680">
        <w:rPr>
          <w:noProof/>
        </w:rPr>
        <w:fldChar w:fldCharType="begin"/>
      </w:r>
      <w:r w:rsidRPr="00091680">
        <w:rPr>
          <w:noProof/>
        </w:rPr>
        <w:instrText xml:space="preserve"> PAGEREF _Toc98531936 \h </w:instrText>
      </w:r>
      <w:r w:rsidRPr="00091680">
        <w:rPr>
          <w:noProof/>
        </w:rPr>
      </w:r>
      <w:r w:rsidRPr="00091680">
        <w:rPr>
          <w:noProof/>
        </w:rPr>
        <w:fldChar w:fldCharType="separate"/>
      </w:r>
      <w:r w:rsidR="008370D9">
        <w:rPr>
          <w:noProof/>
        </w:rPr>
        <w:t>194</w:t>
      </w:r>
      <w:r w:rsidRPr="00091680">
        <w:rPr>
          <w:noProof/>
        </w:rPr>
        <w:fldChar w:fldCharType="end"/>
      </w:r>
    </w:p>
    <w:p w14:paraId="2521C8A1" w14:textId="3AB42F15" w:rsidR="0098026B" w:rsidRPr="00091680" w:rsidRDefault="0098026B">
      <w:pPr>
        <w:pStyle w:val="TOC1"/>
        <w:rPr>
          <w:rFonts w:asciiTheme="minorHAnsi" w:eastAsiaTheme="minorEastAsia" w:hAnsiTheme="minorHAnsi" w:cstheme="minorBidi"/>
          <w:b w:val="0"/>
          <w:noProof/>
          <w:szCs w:val="22"/>
        </w:rPr>
      </w:pPr>
      <w:r w:rsidRPr="00091680">
        <w:rPr>
          <w:noProof/>
        </w:rPr>
        <w:t>Interest on AGS</w:t>
      </w:r>
      <w:r w:rsidRPr="00091680">
        <w:rPr>
          <w:noProof/>
        </w:rPr>
        <w:tab/>
      </w:r>
      <w:r w:rsidRPr="00091680">
        <w:rPr>
          <w:noProof/>
        </w:rPr>
        <w:fldChar w:fldCharType="begin"/>
      </w:r>
      <w:r w:rsidRPr="00091680">
        <w:rPr>
          <w:noProof/>
        </w:rPr>
        <w:instrText xml:space="preserve"> PAGEREF _Toc98531937 \h </w:instrText>
      </w:r>
      <w:r w:rsidRPr="00091680">
        <w:rPr>
          <w:noProof/>
        </w:rPr>
      </w:r>
      <w:r w:rsidRPr="00091680">
        <w:rPr>
          <w:noProof/>
        </w:rPr>
        <w:fldChar w:fldCharType="separate"/>
      </w:r>
      <w:r w:rsidR="008370D9">
        <w:rPr>
          <w:noProof/>
        </w:rPr>
        <w:t>195</w:t>
      </w:r>
      <w:r w:rsidRPr="00091680">
        <w:rPr>
          <w:noProof/>
        </w:rPr>
        <w:fldChar w:fldCharType="end"/>
      </w:r>
    </w:p>
    <w:p w14:paraId="1C1A990A" w14:textId="7E2B2051" w:rsidR="0098026B" w:rsidRPr="00091680" w:rsidRDefault="0098026B">
      <w:pPr>
        <w:pStyle w:val="TOC1"/>
        <w:rPr>
          <w:rFonts w:asciiTheme="minorHAnsi" w:eastAsiaTheme="minorEastAsia" w:hAnsiTheme="minorHAnsi" w:cstheme="minorBidi"/>
          <w:b w:val="0"/>
          <w:noProof/>
          <w:szCs w:val="22"/>
        </w:rPr>
      </w:pPr>
      <w:r w:rsidRPr="00091680">
        <w:rPr>
          <w:noProof/>
        </w:rPr>
        <w:t>Climate spending</w:t>
      </w:r>
      <w:r w:rsidRPr="00091680">
        <w:rPr>
          <w:noProof/>
        </w:rPr>
        <w:tab/>
      </w:r>
      <w:r w:rsidRPr="00091680">
        <w:rPr>
          <w:noProof/>
        </w:rPr>
        <w:fldChar w:fldCharType="begin"/>
      </w:r>
      <w:r w:rsidRPr="00091680">
        <w:rPr>
          <w:noProof/>
        </w:rPr>
        <w:instrText xml:space="preserve"> PAGEREF _Toc98531938 \h </w:instrText>
      </w:r>
      <w:r w:rsidRPr="00091680">
        <w:rPr>
          <w:noProof/>
        </w:rPr>
      </w:r>
      <w:r w:rsidRPr="00091680">
        <w:rPr>
          <w:noProof/>
        </w:rPr>
        <w:fldChar w:fldCharType="separate"/>
      </w:r>
      <w:r w:rsidR="008370D9">
        <w:rPr>
          <w:noProof/>
        </w:rPr>
        <w:t>198</w:t>
      </w:r>
      <w:r w:rsidRPr="00091680">
        <w:rPr>
          <w:noProof/>
        </w:rPr>
        <w:fldChar w:fldCharType="end"/>
      </w:r>
    </w:p>
    <w:p w14:paraId="436DD239" w14:textId="722069D3" w:rsidR="0098026B" w:rsidRPr="00091680" w:rsidRDefault="0098026B">
      <w:pPr>
        <w:pStyle w:val="TOC2"/>
        <w:rPr>
          <w:rFonts w:asciiTheme="minorHAnsi" w:eastAsiaTheme="minorEastAsia" w:hAnsiTheme="minorHAnsi" w:cstheme="minorBidi"/>
          <w:noProof/>
          <w:sz w:val="22"/>
          <w:szCs w:val="22"/>
        </w:rPr>
      </w:pPr>
      <w:r w:rsidRPr="00091680">
        <w:rPr>
          <w:noProof/>
        </w:rPr>
        <w:t>Impact of climate spending on debt</w:t>
      </w:r>
      <w:r w:rsidRPr="00091680">
        <w:rPr>
          <w:noProof/>
        </w:rPr>
        <w:tab/>
      </w:r>
      <w:r w:rsidRPr="00091680">
        <w:rPr>
          <w:noProof/>
        </w:rPr>
        <w:fldChar w:fldCharType="begin"/>
      </w:r>
      <w:r w:rsidRPr="00091680">
        <w:rPr>
          <w:noProof/>
        </w:rPr>
        <w:instrText xml:space="preserve"> PAGEREF _Toc98531939 \h </w:instrText>
      </w:r>
      <w:r w:rsidRPr="00091680">
        <w:rPr>
          <w:noProof/>
        </w:rPr>
      </w:r>
      <w:r w:rsidRPr="00091680">
        <w:rPr>
          <w:noProof/>
        </w:rPr>
        <w:fldChar w:fldCharType="separate"/>
      </w:r>
      <w:r w:rsidR="008370D9">
        <w:rPr>
          <w:noProof/>
        </w:rPr>
        <w:t>199</w:t>
      </w:r>
      <w:r w:rsidRPr="00091680">
        <w:rPr>
          <w:noProof/>
        </w:rPr>
        <w:fldChar w:fldCharType="end"/>
      </w:r>
    </w:p>
    <w:p w14:paraId="70E10F25" w14:textId="6467A21C" w:rsidR="003C48F3" w:rsidRPr="003C48F3" w:rsidRDefault="003C48F3" w:rsidP="003C48F3">
      <w:r w:rsidRPr="00091680">
        <w:fldChar w:fldCharType="end"/>
      </w:r>
    </w:p>
    <w:p w14:paraId="050EEA7E" w14:textId="77777777" w:rsidR="003C48F3" w:rsidRPr="003C48F3" w:rsidRDefault="003C48F3" w:rsidP="003C48F3">
      <w:pPr>
        <w:sectPr w:rsidR="003C48F3" w:rsidRPr="003C48F3" w:rsidSect="00A613FE">
          <w:headerReference w:type="even" r:id="rId11"/>
          <w:headerReference w:type="default" r:id="rId12"/>
          <w:footerReference w:type="even" r:id="rId13"/>
          <w:footerReference w:type="default" r:id="rId14"/>
          <w:headerReference w:type="first" r:id="rId15"/>
          <w:footerReference w:type="first" r:id="rId16"/>
          <w:footnotePr>
            <w:numStart w:val="19"/>
          </w:footnotePr>
          <w:pgSz w:w="11906" w:h="16838" w:code="9"/>
          <w:pgMar w:top="2835" w:right="2098" w:bottom="2466" w:left="2098" w:header="1814" w:footer="1814" w:gutter="0"/>
          <w:pgNumType w:start="183"/>
          <w:cols w:space="708"/>
          <w:titlePg/>
          <w:docGrid w:linePitch="360"/>
        </w:sectPr>
      </w:pPr>
    </w:p>
    <w:p w14:paraId="2846948E" w14:textId="1ACF2EF5" w:rsidR="003C48F3" w:rsidRPr="003C48F3" w:rsidRDefault="003C48F3" w:rsidP="00936FB6">
      <w:pPr>
        <w:pStyle w:val="Heading1"/>
      </w:pPr>
      <w:r w:rsidRPr="003C48F3">
        <w:lastRenderedPageBreak/>
        <w:t xml:space="preserve">Statement </w:t>
      </w:r>
      <w:r w:rsidR="00E4682E">
        <w:t>6</w:t>
      </w:r>
      <w:r w:rsidRPr="003C48F3">
        <w:t>: Debt Statement</w:t>
      </w:r>
    </w:p>
    <w:p w14:paraId="36BDC894" w14:textId="76C30840" w:rsidR="003C48F3" w:rsidRPr="00091680" w:rsidRDefault="003C48F3" w:rsidP="00936FB6">
      <w:pPr>
        <w:pStyle w:val="Heading2"/>
      </w:pPr>
      <w:bookmarkStart w:id="0" w:name="_Toc51582824"/>
      <w:bookmarkStart w:id="1" w:name="_Toc98531926"/>
      <w:r w:rsidRPr="00091680">
        <w:t>Overview</w:t>
      </w:r>
      <w:bookmarkEnd w:id="0"/>
      <w:bookmarkEnd w:id="1"/>
    </w:p>
    <w:p w14:paraId="0215BFED" w14:textId="53E9BC74" w:rsidR="00A87F2C" w:rsidRPr="00091680" w:rsidRDefault="00DB0D22" w:rsidP="003C48F3">
      <w:bookmarkStart w:id="2" w:name="_Toc51582825"/>
      <w:r w:rsidRPr="00091680">
        <w:t>Gross and net debt as a share of GDP are both expected to be lower than at MYEFO and decline over time</w:t>
      </w:r>
      <w:r w:rsidR="00154B54" w:rsidRPr="00091680">
        <w:t>.</w:t>
      </w:r>
      <w:r w:rsidR="00BB2799" w:rsidRPr="00091680">
        <w:t xml:space="preserve"> </w:t>
      </w:r>
    </w:p>
    <w:p w14:paraId="71C13210" w14:textId="07651E33" w:rsidR="00AF614C" w:rsidRDefault="0080122F" w:rsidP="003C48F3">
      <w:r w:rsidRPr="00091680">
        <w:t>Gross debt</w:t>
      </w:r>
      <w:r w:rsidR="003C48F3" w:rsidRPr="00091680">
        <w:t xml:space="preserve"> is expected to be </w:t>
      </w:r>
      <w:r w:rsidR="00620192" w:rsidRPr="00091680">
        <w:t>42.</w:t>
      </w:r>
      <w:r w:rsidR="00F16956" w:rsidRPr="00091680">
        <w:t>5</w:t>
      </w:r>
      <w:r w:rsidR="003C48F3" w:rsidRPr="00091680">
        <w:t> per cent of GDP</w:t>
      </w:r>
      <w:r w:rsidR="00C77D66" w:rsidRPr="00091680">
        <w:t xml:space="preserve"> </w:t>
      </w:r>
      <w:r w:rsidR="003C48F3" w:rsidRPr="00091680">
        <w:t>at 30</w:t>
      </w:r>
      <w:r w:rsidR="00FC0D5A" w:rsidRPr="00091680">
        <w:t> </w:t>
      </w:r>
      <w:r w:rsidR="003C48F3" w:rsidRPr="00091680">
        <w:t>June</w:t>
      </w:r>
      <w:r w:rsidR="00FC0D5A" w:rsidRPr="00091680">
        <w:t> </w:t>
      </w:r>
      <w:r w:rsidR="0042647D" w:rsidRPr="00091680">
        <w:t>2023</w:t>
      </w:r>
      <w:r w:rsidR="003C48F3" w:rsidRPr="00091680">
        <w:t>, increasin</w:t>
      </w:r>
      <w:r w:rsidR="00290197" w:rsidRPr="00091680">
        <w:t>g</w:t>
      </w:r>
      <w:r w:rsidR="003C48F3" w:rsidRPr="00091680">
        <w:t xml:space="preserve"> to </w:t>
      </w:r>
      <w:r w:rsidR="00200A9C" w:rsidRPr="00091680">
        <w:t xml:space="preserve">a peak of </w:t>
      </w:r>
      <w:r w:rsidR="001A53F4" w:rsidRPr="00091680">
        <w:t>44.</w:t>
      </w:r>
      <w:r w:rsidR="00BA3CDC" w:rsidRPr="00091680">
        <w:t>9</w:t>
      </w:r>
      <w:r w:rsidR="001A53F4" w:rsidRPr="00091680">
        <w:t xml:space="preserve"> per cent of GDP </w:t>
      </w:r>
      <w:r w:rsidR="006F1317" w:rsidRPr="00091680">
        <w:t xml:space="preserve">at </w:t>
      </w:r>
      <w:r w:rsidR="001A53F4" w:rsidRPr="00091680">
        <w:t>30 June 2025</w:t>
      </w:r>
      <w:r w:rsidR="00D16F63" w:rsidRPr="00091680">
        <w:t xml:space="preserve"> </w:t>
      </w:r>
      <w:r w:rsidR="00141C3D" w:rsidRPr="00091680">
        <w:t>before</w:t>
      </w:r>
      <w:r w:rsidR="003C48F3" w:rsidRPr="00091680">
        <w:t xml:space="preserve"> </w:t>
      </w:r>
      <w:r w:rsidR="0003794A" w:rsidRPr="00091680">
        <w:t>declining</w:t>
      </w:r>
      <w:r w:rsidR="003C48F3" w:rsidRPr="00091680">
        <w:t xml:space="preserve"> </w:t>
      </w:r>
      <w:r w:rsidR="007D4AD5" w:rsidRPr="00091680">
        <w:t xml:space="preserve">to </w:t>
      </w:r>
      <w:r w:rsidR="00F2609F" w:rsidRPr="00091680">
        <w:t>4</w:t>
      </w:r>
      <w:r w:rsidR="004E2F4F" w:rsidRPr="00091680">
        <w:t>0</w:t>
      </w:r>
      <w:r w:rsidR="00F2609F" w:rsidRPr="00091680">
        <w:t>.</w:t>
      </w:r>
      <w:r w:rsidR="004E2F4F" w:rsidRPr="00091680">
        <w:t>3</w:t>
      </w:r>
      <w:r w:rsidR="00654F4A" w:rsidRPr="00091680">
        <w:t xml:space="preserve"> per cent of GDP by the end of</w:t>
      </w:r>
      <w:r w:rsidR="003C48F3" w:rsidRPr="00091680">
        <w:t xml:space="preserve"> the medium term.</w:t>
      </w:r>
      <w:r w:rsidR="002712D0" w:rsidRPr="00091680">
        <w:t xml:space="preserve"> </w:t>
      </w:r>
    </w:p>
    <w:p w14:paraId="5E3DDDFB" w14:textId="07628DD3" w:rsidR="00AA1EF3" w:rsidRDefault="00AF614C" w:rsidP="003C48F3">
      <w:r w:rsidRPr="00091680">
        <w:t xml:space="preserve">Net debt is expected to be </w:t>
      </w:r>
      <w:r w:rsidR="008054E5" w:rsidRPr="00091680">
        <w:t>31.1</w:t>
      </w:r>
      <w:r w:rsidRPr="00091680">
        <w:t xml:space="preserve"> per cent of GDP at 30 June 2023 </w:t>
      </w:r>
      <w:r w:rsidR="00643197" w:rsidRPr="00091680">
        <w:t xml:space="preserve">before stabilising at </w:t>
      </w:r>
      <w:r w:rsidR="00C30363" w:rsidRPr="00091680">
        <w:t>33.1</w:t>
      </w:r>
      <w:r w:rsidRPr="00091680">
        <w:t xml:space="preserve"> per cent of GDP </w:t>
      </w:r>
      <w:r w:rsidR="001D5862" w:rsidRPr="00091680">
        <w:t>at</w:t>
      </w:r>
      <w:r w:rsidRPr="00091680">
        <w:t xml:space="preserve"> </w:t>
      </w:r>
      <w:r w:rsidR="009C597F" w:rsidRPr="00091680">
        <w:t xml:space="preserve">the end of </w:t>
      </w:r>
      <w:r w:rsidR="002B70E7" w:rsidRPr="00091680">
        <w:t>forward estimates</w:t>
      </w:r>
      <w:r w:rsidR="00D85875" w:rsidRPr="00091680">
        <w:t xml:space="preserve"> and</w:t>
      </w:r>
      <w:r w:rsidRPr="00091680">
        <w:t xml:space="preserve"> falling to </w:t>
      </w:r>
      <w:r w:rsidR="00F2609F" w:rsidRPr="00091680">
        <w:t>2</w:t>
      </w:r>
      <w:r w:rsidR="001245BF" w:rsidRPr="00091680">
        <w:t>6</w:t>
      </w:r>
      <w:r w:rsidR="00F2609F" w:rsidRPr="00091680">
        <w:t>.</w:t>
      </w:r>
      <w:r w:rsidR="001245BF" w:rsidRPr="00091680">
        <w:t>9</w:t>
      </w:r>
      <w:r w:rsidRPr="00091680">
        <w:t> per cent of GDP by the end of the medium term.</w:t>
      </w:r>
      <w:r w:rsidR="00077529" w:rsidRPr="00091680">
        <w:t xml:space="preserve"> </w:t>
      </w:r>
    </w:p>
    <w:p w14:paraId="79310A41" w14:textId="6AE79CCF" w:rsidR="005F5B15" w:rsidRPr="00091680" w:rsidRDefault="00CE3138" w:rsidP="003C48F3">
      <w:r w:rsidRPr="00091680">
        <w:t xml:space="preserve">Interest </w:t>
      </w:r>
      <w:r w:rsidR="0006025A" w:rsidRPr="00091680">
        <w:t xml:space="preserve">payments on AGS as a </w:t>
      </w:r>
      <w:r w:rsidR="005B79EB" w:rsidRPr="00091680">
        <w:t>share of GDP are expected to</w:t>
      </w:r>
      <w:r w:rsidR="00CD1E94" w:rsidRPr="00091680">
        <w:t xml:space="preserve"> remain br</w:t>
      </w:r>
      <w:r w:rsidR="00CC7CFB" w:rsidRPr="00091680">
        <w:t xml:space="preserve">oadly consistent with </w:t>
      </w:r>
      <w:r w:rsidR="00A72C52" w:rsidRPr="00091680">
        <w:t xml:space="preserve">estimates </w:t>
      </w:r>
      <w:r w:rsidR="00BA3EBD" w:rsidRPr="00091680">
        <w:t>at MYEFO</w:t>
      </w:r>
      <w:r w:rsidR="00797E92" w:rsidRPr="00091680">
        <w:t xml:space="preserve"> and around long</w:t>
      </w:r>
      <w:r w:rsidR="00562C02" w:rsidRPr="00091680">
        <w:noBreakHyphen/>
      </w:r>
      <w:r w:rsidR="00797E92" w:rsidRPr="00091680">
        <w:t>run average levels</w:t>
      </w:r>
      <w:r w:rsidR="00286A73" w:rsidRPr="00091680">
        <w:t xml:space="preserve">. </w:t>
      </w:r>
    </w:p>
    <w:p w14:paraId="3FE0353C" w14:textId="5277A423" w:rsidR="005F5B15" w:rsidRPr="000C381F" w:rsidRDefault="005F5B15" w:rsidP="009F536B">
      <w:pPr>
        <w:spacing w:after="160" w:line="259" w:lineRule="auto"/>
      </w:pPr>
      <w:r w:rsidRPr="00091680">
        <w:t xml:space="preserve">Further detail on debt over the forward estimates is provided below. Charts showing debt projections over </w:t>
      </w:r>
      <w:r w:rsidR="00287751" w:rsidRPr="00091680">
        <w:t xml:space="preserve">the </w:t>
      </w:r>
      <w:r w:rsidRPr="00091680">
        <w:t xml:space="preserve">forward estimates and medium term can be found in </w:t>
      </w:r>
      <w:r w:rsidRPr="00091680">
        <w:rPr>
          <w:i/>
        </w:rPr>
        <w:t>Statement</w:t>
      </w:r>
      <w:r w:rsidR="00EA00AE">
        <w:rPr>
          <w:i/>
        </w:rPr>
        <w:t> </w:t>
      </w:r>
      <w:r w:rsidRPr="00091680">
        <w:rPr>
          <w:i/>
        </w:rPr>
        <w:t>3: Fiscal Strategy and Outlook</w:t>
      </w:r>
      <w:r w:rsidR="00AF614C" w:rsidRPr="00091680">
        <w:t>.</w:t>
      </w:r>
    </w:p>
    <w:p w14:paraId="5CE792B2" w14:textId="52E0C521" w:rsidR="003C48F3" w:rsidRPr="00091680" w:rsidRDefault="003C48F3" w:rsidP="00936FB6">
      <w:pPr>
        <w:pStyle w:val="Heading2"/>
      </w:pPr>
      <w:bookmarkStart w:id="3" w:name="_Toc98531927"/>
      <w:r w:rsidRPr="00091680">
        <w:t>Australian Government Securities issuance</w:t>
      </w:r>
      <w:bookmarkEnd w:id="2"/>
      <w:bookmarkEnd w:id="3"/>
    </w:p>
    <w:p w14:paraId="3AF3A7CF" w14:textId="046D4D52" w:rsidR="003C48F3" w:rsidRPr="00091680" w:rsidRDefault="003C48F3" w:rsidP="003C48F3">
      <w:r w:rsidRPr="00091680">
        <w:t>The Government finances its activities either through receipts or by borrowing.</w:t>
      </w:r>
      <w:r w:rsidR="00071E06">
        <w:t xml:space="preserve"> </w:t>
      </w:r>
      <w:r w:rsidRPr="00091680">
        <w:t>When</w:t>
      </w:r>
      <w:r w:rsidR="000464B4">
        <w:t> </w:t>
      </w:r>
      <w:r w:rsidRPr="00091680">
        <w:t>receipts fall short of payments, the Government borrows by issuing AGS.</w:t>
      </w:r>
    </w:p>
    <w:p w14:paraId="30798552" w14:textId="433AB201" w:rsidR="003C48F3" w:rsidRPr="00091680" w:rsidRDefault="003C48F3" w:rsidP="003C48F3">
      <w:r w:rsidRPr="00091680">
        <w:t>The Australian Office of Financial Management (AOFM) is responsible for issuing AGS and managing the Government’s financing activities. The AOFM currently issues three types of securities:</w:t>
      </w:r>
    </w:p>
    <w:p w14:paraId="40FC5B74" w14:textId="686436AE" w:rsidR="003C48F3" w:rsidRPr="00091680" w:rsidRDefault="003C48F3" w:rsidP="00936FB6">
      <w:pPr>
        <w:pStyle w:val="Bullet"/>
      </w:pPr>
      <w:r w:rsidRPr="00091680">
        <w:rPr>
          <w:b/>
        </w:rPr>
        <w:t>Treasury Bonds:</w:t>
      </w:r>
      <w:r w:rsidRPr="00091680">
        <w:t xml:space="preserve"> medium to long</w:t>
      </w:r>
      <w:r w:rsidRPr="00091680">
        <w:noBreakHyphen/>
        <w:t>term securities with a fixed annual rate of interest payable every six months.</w:t>
      </w:r>
    </w:p>
    <w:p w14:paraId="2C4D419D" w14:textId="7E152A8F" w:rsidR="003C48F3" w:rsidRPr="00091680" w:rsidRDefault="003C48F3" w:rsidP="00936FB6">
      <w:pPr>
        <w:pStyle w:val="Bullet"/>
      </w:pPr>
      <w:r w:rsidRPr="00091680">
        <w:rPr>
          <w:b/>
        </w:rPr>
        <w:t>Treasury Indexed Bonds (TIBs)</w:t>
      </w:r>
      <w:r w:rsidRPr="00091680">
        <w:t>: medium to long</w:t>
      </w:r>
      <w:r w:rsidRPr="00091680">
        <w:noBreakHyphen/>
        <w:t>term securities for which the capital value of the security is adjusted for movements in the consumer price index (CPI). Interest on TIBs is paid quarterly, at a fixed rate, on the adjusted capital value.</w:t>
      </w:r>
    </w:p>
    <w:p w14:paraId="2ADB0106" w14:textId="68F2D3F7" w:rsidR="003C48F3" w:rsidRPr="00091680" w:rsidRDefault="003C48F3" w:rsidP="00936FB6">
      <w:pPr>
        <w:pStyle w:val="Bullet"/>
      </w:pPr>
      <w:r w:rsidRPr="00091680">
        <w:rPr>
          <w:b/>
        </w:rPr>
        <w:t>Treasury Notes:</w:t>
      </w:r>
      <w:r w:rsidRPr="00091680">
        <w:t xml:space="preserve"> short</w:t>
      </w:r>
      <w:r w:rsidRPr="00091680">
        <w:noBreakHyphen/>
        <w:t>term discount securities, which mature within one year of issuance. The volume of Treasury Notes on issue will vary over the course of the year, depending on the size and profile of the within</w:t>
      </w:r>
      <w:r w:rsidRPr="00091680">
        <w:noBreakHyphen/>
        <w:t>year funding requirements.</w:t>
      </w:r>
    </w:p>
    <w:p w14:paraId="2EC3069E" w14:textId="77777777" w:rsidR="003C48F3" w:rsidRPr="00091680" w:rsidRDefault="003C48F3" w:rsidP="003C48F3">
      <w:r w:rsidRPr="00091680">
        <w:t xml:space="preserve">Within these three broad categories of AGS, issuance is undertaken into a limited number of maturities (known as lines). The number of lines on issue is determined by </w:t>
      </w:r>
      <w:r w:rsidRPr="00091680">
        <w:lastRenderedPageBreak/>
        <w:t>the AOFM as part of its debt portfolio management role. Each line has a fixed maturity date (the date on which the Government repays the principal it has borrowed) and, for Treasury Bonds and TIBs, a coupon rate (the annual fixed interest rate paid on the security).</w:t>
      </w:r>
    </w:p>
    <w:p w14:paraId="0AE1A129" w14:textId="77777777" w:rsidR="003C48F3" w:rsidRPr="00091680" w:rsidRDefault="003C48F3" w:rsidP="003C48F3">
      <w:r w:rsidRPr="00091680">
        <w:t>Concentrating AGS issuance into a limited number of lines (rather than issuing securities with a specific tenor, such as 10 years) ensures each line is sufficiently large that it can be more readily traded in the secondary market. Strong liquidity in the secondary market is attractive to investors and intermediaries, promotes demand for AGS and assists in lowering borrowing costs. All AGS issuance is undertaken in Australian dollars.</w:t>
      </w:r>
    </w:p>
    <w:p w14:paraId="0CF0597F" w14:textId="40E841BE" w:rsidR="003C48F3" w:rsidRPr="00091680" w:rsidRDefault="003C48F3" w:rsidP="003C48F3">
      <w:r w:rsidRPr="00091680">
        <w:t>The AOFM exercises operational independence in the execution of its duties. Its</w:t>
      </w:r>
      <w:r w:rsidR="000464B4">
        <w:t> </w:t>
      </w:r>
      <w:r w:rsidRPr="00091680">
        <w:t>announced issuance program for each year is determined on the basis of maturing AGS, net new issuance required to fund the Budget and operational considerations.</w:t>
      </w:r>
    </w:p>
    <w:p w14:paraId="7BA60811" w14:textId="4B27A939" w:rsidR="003C48F3" w:rsidRPr="00091680" w:rsidRDefault="003C48F3" w:rsidP="003C48F3">
      <w:r w:rsidRPr="00091680">
        <w:t>Operational considerations often mean that the annual issuance program may not be equivalent to the financing task for a particular year. For example, the AOFM may decide there is merit in partially pre</w:t>
      </w:r>
      <w:r w:rsidRPr="00091680">
        <w:noBreakHyphen/>
        <w:t>funding the following year’s financing task. Alternatively, the AOFM might choose to smooth issuance across several financial years in order to minimise changes in AGS supply from one financial year to the next.</w:t>
      </w:r>
    </w:p>
    <w:p w14:paraId="51AF9B23" w14:textId="13F76AD8" w:rsidR="003C48F3" w:rsidRPr="003C48F3" w:rsidRDefault="003C48F3" w:rsidP="003C48F3">
      <w:r w:rsidRPr="00091680">
        <w:t>The AOFM aims to maintain an AGS yield curve out to a 30</w:t>
      </w:r>
      <w:r w:rsidRPr="00091680">
        <w:noBreakHyphen/>
        <w:t>year benchmark bond. This</w:t>
      </w:r>
      <w:r w:rsidR="000464B4">
        <w:t> </w:t>
      </w:r>
      <w:r w:rsidRPr="00091680">
        <w:t xml:space="preserve">facilitates a lower risk profile of maturing debt, broadens the investor base and helps to reduce the impact of interest rate volatility on budget outcomes. </w:t>
      </w:r>
      <w:bookmarkStart w:id="4" w:name="_Toc51582826"/>
      <w:r w:rsidRPr="00091680">
        <w:t xml:space="preserve">Further details on the AOFM’s debt issuance program are available on the AOFM website at </w:t>
      </w:r>
      <w:hyperlink r:id="rId17" w:history="1">
        <w:r w:rsidRPr="00091680">
          <w:t>www.aofm.gov.au</w:t>
        </w:r>
      </w:hyperlink>
      <w:r w:rsidRPr="00091680">
        <w:t>.</w:t>
      </w:r>
      <w:bookmarkEnd w:id="4"/>
    </w:p>
    <w:p w14:paraId="58DF7F88" w14:textId="15CA8A82" w:rsidR="003C48F3" w:rsidRPr="00091680" w:rsidRDefault="003C48F3" w:rsidP="00936FB6">
      <w:pPr>
        <w:pStyle w:val="Heading2"/>
      </w:pPr>
      <w:bookmarkStart w:id="5" w:name="_Toc51582827"/>
      <w:bookmarkStart w:id="6" w:name="_Toc98531928"/>
      <w:r w:rsidRPr="00091680">
        <w:t>Estimates of AGS on issue</w:t>
      </w:r>
      <w:bookmarkEnd w:id="5"/>
      <w:bookmarkEnd w:id="6"/>
    </w:p>
    <w:p w14:paraId="43008EE7" w14:textId="5395BF79" w:rsidR="00DD02E8" w:rsidRPr="00091680" w:rsidRDefault="00DF4EF5" w:rsidP="00DD02E8">
      <w:r w:rsidRPr="00091680">
        <w:t>E</w:t>
      </w:r>
      <w:r w:rsidR="00DD02E8" w:rsidRPr="00091680">
        <w:t>stimates of AGS on issue are published in both face value and market value terms in this Statement.</w:t>
      </w:r>
    </w:p>
    <w:p w14:paraId="3EA109C5" w14:textId="24F9D6F4" w:rsidR="00DD02E8" w:rsidRPr="00091680" w:rsidRDefault="00DD02E8" w:rsidP="00306140">
      <w:pPr>
        <w:pStyle w:val="Bullet"/>
      </w:pPr>
      <w:r w:rsidRPr="00091680">
        <w:t xml:space="preserve">The </w:t>
      </w:r>
      <w:r w:rsidRPr="00091680">
        <w:rPr>
          <w:b/>
        </w:rPr>
        <w:t>face value</w:t>
      </w:r>
      <w:r w:rsidRPr="00091680">
        <w:t xml:space="preserve"> of AGS on issue </w:t>
      </w:r>
      <w:r w:rsidR="00663A3E" w:rsidRPr="00091680">
        <w:t>(also referred to as gross debt)</w:t>
      </w:r>
      <w:r w:rsidRPr="00091680">
        <w:t xml:space="preserve"> is the amount that the Government pays back to investors at maturity, independent of fluctuations in market prices.</w:t>
      </w:r>
      <w:r w:rsidRPr="00091680">
        <w:rPr>
          <w:vertAlign w:val="superscript"/>
        </w:rPr>
        <w:footnoteReference w:id="2"/>
      </w:r>
      <w:r w:rsidRPr="00091680">
        <w:t xml:space="preserve"> The total face value of AGS on issue changes when new securities are issued, or when securities are repurchased or reach maturity.</w:t>
      </w:r>
    </w:p>
    <w:p w14:paraId="09BDC31A" w14:textId="16304CE2" w:rsidR="00E45A54" w:rsidRDefault="00516FF5" w:rsidP="00516FF5">
      <w:pPr>
        <w:pStyle w:val="Bullet"/>
      </w:pPr>
      <w:r w:rsidRPr="00091680">
        <w:t xml:space="preserve">The </w:t>
      </w:r>
      <w:r w:rsidRPr="00091680">
        <w:rPr>
          <w:b/>
        </w:rPr>
        <w:t>market value</w:t>
      </w:r>
      <w:r w:rsidRPr="00091680">
        <w:t xml:space="preserve"> of AGS on issue represents the value of securities as traded on the secondary market, which changes continuously with movements in market prices (often quoted as a yield to maturity). Consistent with external reporting standards, </w:t>
      </w:r>
      <w:r w:rsidRPr="00091680">
        <w:lastRenderedPageBreak/>
        <w:t>the market value of AGS on issue is reported in the Australian Government general government sector balance sheet.</w:t>
      </w:r>
    </w:p>
    <w:p w14:paraId="112C5AE0" w14:textId="2F9DB5C8" w:rsidR="003C48F3" w:rsidRPr="003C48F3" w:rsidRDefault="003C48F3" w:rsidP="003C48F3">
      <w:r w:rsidRPr="00091680">
        <w:t xml:space="preserve">Table </w:t>
      </w:r>
      <w:r w:rsidR="00F6053E" w:rsidRPr="00091680">
        <w:t>6</w:t>
      </w:r>
      <w:r w:rsidRPr="00091680">
        <w:t>.1 contains estimates of the face value (end</w:t>
      </w:r>
      <w:r w:rsidRPr="00091680">
        <w:noBreakHyphen/>
        <w:t>of</w:t>
      </w:r>
      <w:r w:rsidRPr="00091680">
        <w:noBreakHyphen/>
        <w:t>year and within</w:t>
      </w:r>
      <w:r w:rsidRPr="00091680">
        <w:noBreakHyphen/>
        <w:t>year peak)</w:t>
      </w:r>
      <w:r w:rsidRPr="00091680">
        <w:rPr>
          <w:vertAlign w:val="superscript"/>
        </w:rPr>
        <w:footnoteReference w:id="3"/>
      </w:r>
      <w:r w:rsidRPr="00091680">
        <w:t xml:space="preserve"> and the market value (end</w:t>
      </w:r>
      <w:r w:rsidRPr="00091680">
        <w:noBreakHyphen/>
        <w:t>of</w:t>
      </w:r>
      <w:r w:rsidRPr="00091680">
        <w:noBreakHyphen/>
        <w:t>year) of AGS on issue.</w:t>
      </w:r>
    </w:p>
    <w:p w14:paraId="3CDF7242" w14:textId="2CB3B5D5" w:rsidR="003C48F3" w:rsidRPr="003C48F3" w:rsidRDefault="003C48F3" w:rsidP="003C48F3">
      <w:pPr>
        <w:spacing w:after="200"/>
      </w:pPr>
      <w:r w:rsidRPr="00091680">
        <w:t xml:space="preserve">The </w:t>
      </w:r>
      <w:r w:rsidRPr="00091680">
        <w:rPr>
          <w:i/>
        </w:rPr>
        <w:t>Commonwealth Inscribed Stock Act 1911</w:t>
      </w:r>
      <w:r w:rsidRPr="00091680">
        <w:t xml:space="preserve"> (CIS Act) requires the Treasurer to issue a direction stipulating the maximum face value of relevant AGS that may be on issue.</w:t>
      </w:r>
      <w:r w:rsidR="00244F42" w:rsidRPr="00091680">
        <w:t xml:space="preserve"> </w:t>
      </w:r>
      <w:r w:rsidR="00D416BB" w:rsidRPr="00091680">
        <w:t>Effective from</w:t>
      </w:r>
      <w:r w:rsidR="00244F42" w:rsidRPr="00091680">
        <w:t xml:space="preserve"> 7 October 2020, the Treasurer directed that the maximum face value of AGS that can be on issue is $1,200 billion.</w:t>
      </w:r>
      <w:r w:rsidR="00D416BB" w:rsidRPr="00091680">
        <w:t xml:space="preserve"> </w:t>
      </w:r>
      <w:r w:rsidRPr="00091680">
        <w:t xml:space="preserve">As required by the </w:t>
      </w:r>
      <w:r w:rsidRPr="00091680">
        <w:rPr>
          <w:i/>
        </w:rPr>
        <w:t>Charter of Budget Honesty Act 1998</w:t>
      </w:r>
      <w:r w:rsidRPr="00091680">
        <w:t xml:space="preserve">, Table </w:t>
      </w:r>
      <w:r w:rsidR="00F6053E" w:rsidRPr="00091680">
        <w:t>6</w:t>
      </w:r>
      <w:r w:rsidRPr="00091680">
        <w:t>.1 reports estimates of AGS on issue subject to the Treasurer’s Direction.</w:t>
      </w:r>
      <w:r w:rsidRPr="003C48F3">
        <w:t xml:space="preserve"> </w:t>
      </w:r>
    </w:p>
    <w:p w14:paraId="632F31B4" w14:textId="0553876C" w:rsidR="003C48F3" w:rsidRPr="00091680" w:rsidRDefault="003C48F3" w:rsidP="003C48F3">
      <w:pPr>
        <w:spacing w:before="240"/>
      </w:pPr>
      <w:r w:rsidRPr="00091680">
        <w:t xml:space="preserve">When considering these estimates, it is important to note that the AOFM publishes an issuance program for the budget year only. Estimates beyond the budget year are based on a set of technical assumptions and will vary with changes to these assumptions and budget estimates. </w:t>
      </w:r>
    </w:p>
    <w:p w14:paraId="46AF7177" w14:textId="2413F121" w:rsidR="008B0186" w:rsidRPr="00091680" w:rsidRDefault="003C48F3" w:rsidP="002D6485">
      <w:pPr>
        <w:pStyle w:val="TableHeading"/>
        <w:rPr>
          <w:rFonts w:asciiTheme="minorHAnsi" w:eastAsiaTheme="minorHAnsi" w:hAnsiTheme="minorHAnsi" w:cstheme="minorBidi"/>
          <w:b w:val="0"/>
          <w:lang w:eastAsia="en-US"/>
        </w:rPr>
      </w:pPr>
      <w:r w:rsidRPr="00091680">
        <w:t xml:space="preserve">Table </w:t>
      </w:r>
      <w:r w:rsidR="001E52C1" w:rsidRPr="00091680">
        <w:t>6</w:t>
      </w:r>
      <w:r w:rsidRPr="00091680">
        <w:t>.1: Estimates of AGS on issue subject to the Treasurer’s Direction</w:t>
      </w:r>
      <w:r w:rsidRPr="00091680">
        <w:rPr>
          <w:vertAlign w:val="superscript"/>
        </w:rPr>
        <w:t>(a)(b)</w:t>
      </w:r>
      <w:r w:rsidRPr="00091680">
        <w:t xml:space="preserve"> </w:t>
      </w:r>
      <w:bookmarkStart w:id="7" w:name="_1709703750"/>
      <w:bookmarkEnd w:id="7"/>
    </w:p>
    <w:tbl>
      <w:tblPr>
        <w:tblW w:w="5000" w:type="pct"/>
        <w:tblCellMar>
          <w:left w:w="0" w:type="dxa"/>
          <w:right w:w="28" w:type="dxa"/>
        </w:tblCellMar>
        <w:tblLook w:val="04A0" w:firstRow="1" w:lastRow="0" w:firstColumn="1" w:lastColumn="0" w:noHBand="0" w:noVBand="1"/>
      </w:tblPr>
      <w:tblGrid>
        <w:gridCol w:w="2802"/>
        <w:gridCol w:w="981"/>
        <w:gridCol w:w="981"/>
        <w:gridCol w:w="981"/>
        <w:gridCol w:w="981"/>
        <w:gridCol w:w="984"/>
      </w:tblGrid>
      <w:tr w:rsidR="008B0186" w:rsidRPr="005546AF" w14:paraId="690E19A5" w14:textId="77777777" w:rsidTr="00BF7B93">
        <w:trPr>
          <w:divId w:val="1773821036"/>
          <w:trHeight w:hRule="exact" w:val="225"/>
        </w:trPr>
        <w:tc>
          <w:tcPr>
            <w:tcW w:w="1818" w:type="pct"/>
            <w:tcBorders>
              <w:top w:val="single" w:sz="4" w:space="0" w:color="000000"/>
              <w:left w:val="nil"/>
              <w:bottom w:val="nil"/>
              <w:right w:val="nil"/>
            </w:tcBorders>
            <w:shd w:val="clear" w:color="auto" w:fill="auto"/>
            <w:noWrap/>
            <w:vAlign w:val="center"/>
            <w:hideMark/>
          </w:tcPr>
          <w:p w14:paraId="39CFA1BE" w14:textId="444C85A2" w:rsidR="008B0186" w:rsidRPr="00091680" w:rsidRDefault="008B0186" w:rsidP="000468AD">
            <w:pPr>
              <w:spacing w:after="0" w:line="240" w:lineRule="auto"/>
              <w:rPr>
                <w:rFonts w:ascii="Arial" w:hAnsi="Arial" w:cs="Arial"/>
                <w:b/>
                <w:sz w:val="16"/>
                <w:szCs w:val="16"/>
              </w:rPr>
            </w:pPr>
            <w:r w:rsidRPr="00091680">
              <w:rPr>
                <w:rFonts w:ascii="Arial" w:hAnsi="Arial" w:cs="Arial"/>
                <w:b/>
                <w:sz w:val="16"/>
                <w:szCs w:val="16"/>
              </w:rPr>
              <w:t> </w:t>
            </w:r>
          </w:p>
        </w:tc>
        <w:tc>
          <w:tcPr>
            <w:tcW w:w="3182" w:type="pct"/>
            <w:gridSpan w:val="5"/>
            <w:tcBorders>
              <w:top w:val="single" w:sz="4" w:space="0" w:color="000000"/>
              <w:left w:val="nil"/>
              <w:bottom w:val="single" w:sz="4" w:space="0" w:color="000000"/>
              <w:right w:val="nil"/>
            </w:tcBorders>
            <w:shd w:val="clear" w:color="auto" w:fill="auto"/>
            <w:noWrap/>
            <w:vAlign w:val="center"/>
            <w:hideMark/>
          </w:tcPr>
          <w:p w14:paraId="6D7CD541" w14:textId="77777777" w:rsidR="008B0186" w:rsidRPr="00091680" w:rsidRDefault="008B0186" w:rsidP="000468AD">
            <w:pPr>
              <w:spacing w:after="0" w:line="240" w:lineRule="auto"/>
              <w:jc w:val="center"/>
              <w:rPr>
                <w:rFonts w:ascii="Arial" w:hAnsi="Arial" w:cs="Arial"/>
                <w:sz w:val="16"/>
                <w:szCs w:val="16"/>
              </w:rPr>
            </w:pPr>
            <w:r w:rsidRPr="00091680">
              <w:rPr>
                <w:rFonts w:ascii="Arial" w:hAnsi="Arial" w:cs="Arial"/>
                <w:sz w:val="16"/>
                <w:szCs w:val="16"/>
              </w:rPr>
              <w:t>Estimates</w:t>
            </w:r>
          </w:p>
        </w:tc>
      </w:tr>
      <w:tr w:rsidR="008B0186" w:rsidRPr="005546AF" w14:paraId="700B182A"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5CFAB2AB" w14:textId="77777777" w:rsidR="008B0186" w:rsidRPr="00091680" w:rsidRDefault="008B0186" w:rsidP="00496222">
            <w:pPr>
              <w:spacing w:after="0" w:line="240" w:lineRule="auto"/>
              <w:jc w:val="center"/>
              <w:rPr>
                <w:rFonts w:ascii="Arial" w:hAnsi="Arial" w:cs="Arial"/>
                <w:sz w:val="16"/>
                <w:szCs w:val="16"/>
              </w:rPr>
            </w:pPr>
          </w:p>
        </w:tc>
        <w:tc>
          <w:tcPr>
            <w:tcW w:w="636" w:type="pct"/>
            <w:tcBorders>
              <w:top w:val="nil"/>
              <w:left w:val="nil"/>
              <w:bottom w:val="nil"/>
              <w:right w:val="nil"/>
            </w:tcBorders>
            <w:shd w:val="clear" w:color="auto" w:fill="auto"/>
            <w:noWrap/>
            <w:vAlign w:val="center"/>
            <w:hideMark/>
          </w:tcPr>
          <w:p w14:paraId="18A54143" w14:textId="77777777" w:rsidR="008B0186" w:rsidRPr="00091680" w:rsidRDefault="008B0186" w:rsidP="00496222">
            <w:pPr>
              <w:spacing w:after="0" w:line="240" w:lineRule="auto"/>
              <w:jc w:val="right"/>
              <w:rPr>
                <w:rFonts w:ascii="Arial" w:hAnsi="Arial" w:cs="Arial"/>
                <w:sz w:val="16"/>
                <w:szCs w:val="16"/>
              </w:rPr>
            </w:pPr>
            <w:r w:rsidRPr="00091680">
              <w:rPr>
                <w:rFonts w:ascii="Arial" w:hAnsi="Arial" w:cs="Arial"/>
                <w:sz w:val="16"/>
                <w:szCs w:val="16"/>
              </w:rPr>
              <w:t>2021-22</w:t>
            </w:r>
          </w:p>
        </w:tc>
        <w:tc>
          <w:tcPr>
            <w:tcW w:w="636" w:type="pct"/>
            <w:tcBorders>
              <w:top w:val="nil"/>
              <w:left w:val="nil"/>
              <w:bottom w:val="nil"/>
              <w:right w:val="nil"/>
            </w:tcBorders>
            <w:shd w:val="clear" w:color="000000" w:fill="F2F9FC"/>
            <w:noWrap/>
            <w:vAlign w:val="center"/>
            <w:hideMark/>
          </w:tcPr>
          <w:p w14:paraId="16C5537A" w14:textId="77777777" w:rsidR="008B0186" w:rsidRPr="00091680" w:rsidRDefault="008B0186" w:rsidP="00496222">
            <w:pPr>
              <w:spacing w:after="0" w:line="240" w:lineRule="auto"/>
              <w:jc w:val="right"/>
              <w:rPr>
                <w:rFonts w:ascii="Arial" w:hAnsi="Arial" w:cs="Arial"/>
                <w:sz w:val="16"/>
                <w:szCs w:val="16"/>
              </w:rPr>
            </w:pPr>
            <w:r w:rsidRPr="00091680">
              <w:rPr>
                <w:rFonts w:ascii="Arial" w:hAnsi="Arial" w:cs="Arial"/>
                <w:sz w:val="16"/>
                <w:szCs w:val="16"/>
              </w:rPr>
              <w:t>2022-23</w:t>
            </w:r>
          </w:p>
        </w:tc>
        <w:tc>
          <w:tcPr>
            <w:tcW w:w="636" w:type="pct"/>
            <w:tcBorders>
              <w:top w:val="nil"/>
              <w:left w:val="nil"/>
              <w:bottom w:val="nil"/>
              <w:right w:val="nil"/>
            </w:tcBorders>
            <w:shd w:val="clear" w:color="auto" w:fill="auto"/>
            <w:noWrap/>
            <w:vAlign w:val="center"/>
            <w:hideMark/>
          </w:tcPr>
          <w:p w14:paraId="2B202246" w14:textId="77777777" w:rsidR="008B0186" w:rsidRPr="00091680" w:rsidRDefault="008B0186" w:rsidP="00496222">
            <w:pPr>
              <w:spacing w:after="0" w:line="240" w:lineRule="auto"/>
              <w:jc w:val="right"/>
              <w:rPr>
                <w:rFonts w:ascii="Arial" w:hAnsi="Arial" w:cs="Arial"/>
                <w:sz w:val="16"/>
                <w:szCs w:val="16"/>
              </w:rPr>
            </w:pPr>
            <w:r w:rsidRPr="00091680">
              <w:rPr>
                <w:rFonts w:ascii="Arial" w:hAnsi="Arial" w:cs="Arial"/>
                <w:sz w:val="16"/>
                <w:szCs w:val="16"/>
              </w:rPr>
              <w:t>2023-24</w:t>
            </w:r>
          </w:p>
        </w:tc>
        <w:tc>
          <w:tcPr>
            <w:tcW w:w="636" w:type="pct"/>
            <w:tcBorders>
              <w:top w:val="nil"/>
              <w:left w:val="nil"/>
              <w:bottom w:val="nil"/>
              <w:right w:val="nil"/>
            </w:tcBorders>
            <w:shd w:val="clear" w:color="auto" w:fill="auto"/>
            <w:noWrap/>
            <w:vAlign w:val="center"/>
            <w:hideMark/>
          </w:tcPr>
          <w:p w14:paraId="0ACF9EB1" w14:textId="77777777" w:rsidR="008B0186" w:rsidRPr="00091680" w:rsidRDefault="008B0186" w:rsidP="00496222">
            <w:pPr>
              <w:spacing w:after="0" w:line="240" w:lineRule="auto"/>
              <w:jc w:val="right"/>
              <w:rPr>
                <w:rFonts w:ascii="Arial" w:hAnsi="Arial" w:cs="Arial"/>
                <w:sz w:val="16"/>
                <w:szCs w:val="16"/>
              </w:rPr>
            </w:pPr>
            <w:r w:rsidRPr="00091680">
              <w:rPr>
                <w:rFonts w:ascii="Arial" w:hAnsi="Arial" w:cs="Arial"/>
                <w:sz w:val="16"/>
                <w:szCs w:val="16"/>
              </w:rPr>
              <w:t>2024-25</w:t>
            </w:r>
          </w:p>
        </w:tc>
        <w:tc>
          <w:tcPr>
            <w:tcW w:w="636" w:type="pct"/>
            <w:tcBorders>
              <w:top w:val="nil"/>
              <w:left w:val="nil"/>
              <w:bottom w:val="nil"/>
              <w:right w:val="nil"/>
            </w:tcBorders>
            <w:shd w:val="clear" w:color="auto" w:fill="auto"/>
            <w:noWrap/>
            <w:vAlign w:val="center"/>
            <w:hideMark/>
          </w:tcPr>
          <w:p w14:paraId="5A0795CF" w14:textId="77777777" w:rsidR="008B0186" w:rsidRPr="00091680" w:rsidRDefault="008B0186" w:rsidP="00496222">
            <w:pPr>
              <w:spacing w:after="0" w:line="240" w:lineRule="auto"/>
              <w:jc w:val="right"/>
              <w:rPr>
                <w:rFonts w:ascii="Arial" w:hAnsi="Arial" w:cs="Arial"/>
                <w:sz w:val="16"/>
                <w:szCs w:val="16"/>
              </w:rPr>
            </w:pPr>
            <w:r w:rsidRPr="00091680">
              <w:rPr>
                <w:rFonts w:ascii="Arial" w:hAnsi="Arial" w:cs="Arial"/>
                <w:sz w:val="16"/>
                <w:szCs w:val="16"/>
              </w:rPr>
              <w:t>2025-26</w:t>
            </w:r>
          </w:p>
        </w:tc>
      </w:tr>
      <w:tr w:rsidR="008B0186" w:rsidRPr="005546AF" w14:paraId="7F329CD5"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74AAE7A9" w14:textId="77777777" w:rsidR="008B0186" w:rsidRPr="00091680" w:rsidRDefault="008B0186" w:rsidP="008A3171">
            <w:pPr>
              <w:spacing w:after="0" w:line="240" w:lineRule="auto"/>
              <w:jc w:val="right"/>
              <w:rPr>
                <w:rFonts w:ascii="Arial" w:hAnsi="Arial" w:cs="Arial"/>
                <w:sz w:val="16"/>
                <w:szCs w:val="16"/>
              </w:rPr>
            </w:pPr>
          </w:p>
        </w:tc>
        <w:tc>
          <w:tcPr>
            <w:tcW w:w="636" w:type="pct"/>
            <w:tcBorders>
              <w:top w:val="nil"/>
              <w:left w:val="nil"/>
              <w:bottom w:val="single" w:sz="4" w:space="0" w:color="000000"/>
              <w:right w:val="nil"/>
            </w:tcBorders>
            <w:shd w:val="clear" w:color="auto" w:fill="auto"/>
            <w:noWrap/>
            <w:vAlign w:val="center"/>
            <w:hideMark/>
          </w:tcPr>
          <w:p w14:paraId="5B862784" w14:textId="77777777" w:rsidR="008B0186" w:rsidRPr="00091680" w:rsidRDefault="008B0186" w:rsidP="008A3171">
            <w:pPr>
              <w:spacing w:after="0" w:line="240" w:lineRule="auto"/>
              <w:jc w:val="right"/>
              <w:rPr>
                <w:rFonts w:ascii="Arial" w:hAnsi="Arial" w:cs="Arial"/>
                <w:sz w:val="16"/>
                <w:szCs w:val="16"/>
              </w:rPr>
            </w:pPr>
            <w:r w:rsidRPr="00091680">
              <w:rPr>
                <w:rFonts w:ascii="Arial" w:hAnsi="Arial" w:cs="Arial"/>
                <w:sz w:val="16"/>
                <w:szCs w:val="16"/>
              </w:rPr>
              <w:t>$b</w:t>
            </w:r>
          </w:p>
        </w:tc>
        <w:tc>
          <w:tcPr>
            <w:tcW w:w="636" w:type="pct"/>
            <w:tcBorders>
              <w:top w:val="nil"/>
              <w:left w:val="nil"/>
              <w:bottom w:val="single" w:sz="4" w:space="0" w:color="000000"/>
              <w:right w:val="nil"/>
            </w:tcBorders>
            <w:shd w:val="clear" w:color="000000" w:fill="F2F9FC"/>
            <w:noWrap/>
            <w:vAlign w:val="center"/>
            <w:hideMark/>
          </w:tcPr>
          <w:p w14:paraId="44A6ED29" w14:textId="77777777" w:rsidR="008B0186" w:rsidRPr="00091680" w:rsidRDefault="008B0186" w:rsidP="008A3171">
            <w:pPr>
              <w:spacing w:after="0" w:line="240" w:lineRule="auto"/>
              <w:jc w:val="right"/>
              <w:rPr>
                <w:rFonts w:ascii="Arial" w:hAnsi="Arial" w:cs="Arial"/>
                <w:sz w:val="16"/>
                <w:szCs w:val="16"/>
              </w:rPr>
            </w:pPr>
            <w:r w:rsidRPr="00091680">
              <w:rPr>
                <w:rFonts w:ascii="Arial" w:hAnsi="Arial" w:cs="Arial"/>
                <w:sz w:val="16"/>
                <w:szCs w:val="16"/>
              </w:rPr>
              <w:t>$b</w:t>
            </w:r>
          </w:p>
        </w:tc>
        <w:tc>
          <w:tcPr>
            <w:tcW w:w="636" w:type="pct"/>
            <w:tcBorders>
              <w:top w:val="nil"/>
              <w:left w:val="nil"/>
              <w:bottom w:val="single" w:sz="4" w:space="0" w:color="000000"/>
              <w:right w:val="nil"/>
            </w:tcBorders>
            <w:shd w:val="clear" w:color="auto" w:fill="auto"/>
            <w:noWrap/>
            <w:vAlign w:val="center"/>
            <w:hideMark/>
          </w:tcPr>
          <w:p w14:paraId="52E5218C" w14:textId="77777777" w:rsidR="008B0186" w:rsidRPr="00091680" w:rsidRDefault="008B0186" w:rsidP="008A3171">
            <w:pPr>
              <w:spacing w:after="0" w:line="240" w:lineRule="auto"/>
              <w:jc w:val="right"/>
              <w:rPr>
                <w:rFonts w:ascii="Arial" w:hAnsi="Arial" w:cs="Arial"/>
                <w:sz w:val="16"/>
                <w:szCs w:val="16"/>
              </w:rPr>
            </w:pPr>
            <w:r w:rsidRPr="00091680">
              <w:rPr>
                <w:rFonts w:ascii="Arial" w:hAnsi="Arial" w:cs="Arial"/>
                <w:sz w:val="16"/>
                <w:szCs w:val="16"/>
              </w:rPr>
              <w:t>$b</w:t>
            </w:r>
          </w:p>
        </w:tc>
        <w:tc>
          <w:tcPr>
            <w:tcW w:w="636" w:type="pct"/>
            <w:tcBorders>
              <w:top w:val="nil"/>
              <w:left w:val="nil"/>
              <w:bottom w:val="single" w:sz="4" w:space="0" w:color="000000"/>
              <w:right w:val="nil"/>
            </w:tcBorders>
            <w:shd w:val="clear" w:color="auto" w:fill="auto"/>
            <w:noWrap/>
            <w:vAlign w:val="center"/>
            <w:hideMark/>
          </w:tcPr>
          <w:p w14:paraId="3B44E807" w14:textId="77777777" w:rsidR="008B0186" w:rsidRPr="00091680" w:rsidRDefault="008B0186" w:rsidP="008A3171">
            <w:pPr>
              <w:spacing w:after="0" w:line="240" w:lineRule="auto"/>
              <w:jc w:val="right"/>
              <w:rPr>
                <w:rFonts w:ascii="Arial" w:hAnsi="Arial" w:cs="Arial"/>
                <w:sz w:val="16"/>
                <w:szCs w:val="16"/>
              </w:rPr>
            </w:pPr>
            <w:r w:rsidRPr="00091680">
              <w:rPr>
                <w:rFonts w:ascii="Arial" w:hAnsi="Arial" w:cs="Arial"/>
                <w:sz w:val="16"/>
                <w:szCs w:val="16"/>
              </w:rPr>
              <w:t>$b</w:t>
            </w:r>
          </w:p>
        </w:tc>
        <w:tc>
          <w:tcPr>
            <w:tcW w:w="636" w:type="pct"/>
            <w:tcBorders>
              <w:top w:val="nil"/>
              <w:left w:val="nil"/>
              <w:bottom w:val="single" w:sz="4" w:space="0" w:color="000000"/>
              <w:right w:val="nil"/>
            </w:tcBorders>
            <w:shd w:val="clear" w:color="auto" w:fill="auto"/>
            <w:noWrap/>
            <w:vAlign w:val="center"/>
            <w:hideMark/>
          </w:tcPr>
          <w:p w14:paraId="5D862B29" w14:textId="77777777" w:rsidR="008B0186" w:rsidRPr="00091680" w:rsidRDefault="008B0186" w:rsidP="008A3171">
            <w:pPr>
              <w:spacing w:after="0" w:line="240" w:lineRule="auto"/>
              <w:jc w:val="right"/>
              <w:rPr>
                <w:rFonts w:ascii="Arial" w:hAnsi="Arial" w:cs="Arial"/>
                <w:sz w:val="16"/>
                <w:szCs w:val="16"/>
              </w:rPr>
            </w:pPr>
            <w:r w:rsidRPr="00091680">
              <w:rPr>
                <w:rFonts w:ascii="Arial" w:hAnsi="Arial" w:cs="Arial"/>
                <w:sz w:val="16"/>
                <w:szCs w:val="16"/>
              </w:rPr>
              <w:t>$b</w:t>
            </w:r>
          </w:p>
        </w:tc>
      </w:tr>
      <w:tr w:rsidR="008B0186" w:rsidRPr="005546AF" w14:paraId="6DD48C90"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53B78885" w14:textId="77777777" w:rsidR="008B0186" w:rsidRPr="00091680" w:rsidRDefault="008B0186" w:rsidP="00C23D5E">
            <w:pPr>
              <w:spacing w:after="0" w:line="240" w:lineRule="auto"/>
              <w:jc w:val="right"/>
              <w:rPr>
                <w:rFonts w:ascii="Arial" w:hAnsi="Arial" w:cs="Arial"/>
                <w:sz w:val="16"/>
                <w:szCs w:val="16"/>
              </w:rPr>
            </w:pPr>
          </w:p>
        </w:tc>
        <w:tc>
          <w:tcPr>
            <w:tcW w:w="636" w:type="pct"/>
            <w:tcBorders>
              <w:top w:val="nil"/>
              <w:left w:val="nil"/>
              <w:bottom w:val="nil"/>
              <w:right w:val="nil"/>
            </w:tcBorders>
            <w:shd w:val="clear" w:color="auto" w:fill="auto"/>
            <w:noWrap/>
            <w:vAlign w:val="center"/>
            <w:hideMark/>
          </w:tcPr>
          <w:p w14:paraId="42FD3AF2" w14:textId="77777777" w:rsidR="008B0186" w:rsidRPr="00091680" w:rsidRDefault="008B0186" w:rsidP="00C23D5E">
            <w:pPr>
              <w:spacing w:after="0" w:line="240" w:lineRule="auto"/>
              <w:jc w:val="left"/>
              <w:rPr>
                <w:rFonts w:ascii="Times New Roman" w:hAnsi="Times New Roman"/>
              </w:rPr>
            </w:pPr>
          </w:p>
        </w:tc>
        <w:tc>
          <w:tcPr>
            <w:tcW w:w="636" w:type="pct"/>
            <w:tcBorders>
              <w:top w:val="nil"/>
              <w:left w:val="nil"/>
              <w:bottom w:val="nil"/>
              <w:right w:val="nil"/>
            </w:tcBorders>
            <w:shd w:val="clear" w:color="000000" w:fill="F2F9FC"/>
            <w:noWrap/>
            <w:vAlign w:val="center"/>
            <w:hideMark/>
          </w:tcPr>
          <w:p w14:paraId="07CB2D95"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 </w:t>
            </w:r>
          </w:p>
        </w:tc>
        <w:tc>
          <w:tcPr>
            <w:tcW w:w="636" w:type="pct"/>
            <w:tcBorders>
              <w:top w:val="nil"/>
              <w:left w:val="nil"/>
              <w:bottom w:val="nil"/>
              <w:right w:val="nil"/>
            </w:tcBorders>
            <w:shd w:val="clear" w:color="auto" w:fill="auto"/>
            <w:noWrap/>
            <w:vAlign w:val="center"/>
            <w:hideMark/>
          </w:tcPr>
          <w:p w14:paraId="18A0748A" w14:textId="77777777" w:rsidR="008B0186" w:rsidRPr="00091680" w:rsidRDefault="008B0186" w:rsidP="00C23D5E">
            <w:pPr>
              <w:spacing w:after="0" w:line="240" w:lineRule="auto"/>
              <w:jc w:val="right"/>
              <w:rPr>
                <w:rFonts w:ascii="Arial" w:hAnsi="Arial" w:cs="Arial"/>
                <w:sz w:val="16"/>
                <w:szCs w:val="16"/>
              </w:rPr>
            </w:pPr>
          </w:p>
        </w:tc>
        <w:tc>
          <w:tcPr>
            <w:tcW w:w="636" w:type="pct"/>
            <w:tcBorders>
              <w:top w:val="nil"/>
              <w:left w:val="nil"/>
              <w:bottom w:val="nil"/>
              <w:right w:val="nil"/>
            </w:tcBorders>
            <w:shd w:val="clear" w:color="auto" w:fill="auto"/>
            <w:noWrap/>
            <w:vAlign w:val="center"/>
            <w:hideMark/>
          </w:tcPr>
          <w:p w14:paraId="5EA38994" w14:textId="77777777" w:rsidR="008B0186" w:rsidRPr="00091680" w:rsidRDefault="008B0186" w:rsidP="00C23D5E">
            <w:pPr>
              <w:spacing w:after="0" w:line="240" w:lineRule="auto"/>
              <w:jc w:val="right"/>
              <w:rPr>
                <w:rFonts w:ascii="Times New Roman" w:hAnsi="Times New Roman"/>
              </w:rPr>
            </w:pPr>
          </w:p>
        </w:tc>
        <w:tc>
          <w:tcPr>
            <w:tcW w:w="636" w:type="pct"/>
            <w:tcBorders>
              <w:top w:val="nil"/>
              <w:left w:val="nil"/>
              <w:bottom w:val="nil"/>
              <w:right w:val="nil"/>
            </w:tcBorders>
            <w:shd w:val="clear" w:color="auto" w:fill="auto"/>
            <w:noWrap/>
            <w:vAlign w:val="center"/>
            <w:hideMark/>
          </w:tcPr>
          <w:p w14:paraId="42E1DC7D" w14:textId="77777777" w:rsidR="008B0186" w:rsidRPr="00091680" w:rsidRDefault="008B0186" w:rsidP="00C23D5E">
            <w:pPr>
              <w:spacing w:after="0" w:line="240" w:lineRule="auto"/>
              <w:jc w:val="right"/>
              <w:rPr>
                <w:rFonts w:ascii="Times New Roman" w:hAnsi="Times New Roman"/>
              </w:rPr>
            </w:pPr>
          </w:p>
        </w:tc>
      </w:tr>
      <w:tr w:rsidR="008B0186" w:rsidRPr="005546AF" w14:paraId="4D2D33FE"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0E215266" w14:textId="77777777" w:rsidR="008B0186" w:rsidRPr="00091680" w:rsidRDefault="008B0186" w:rsidP="00C23D5E">
            <w:pPr>
              <w:spacing w:after="0" w:line="240" w:lineRule="auto"/>
              <w:jc w:val="left"/>
              <w:rPr>
                <w:rFonts w:ascii="Arial" w:hAnsi="Arial" w:cs="Arial"/>
                <w:sz w:val="16"/>
                <w:szCs w:val="16"/>
              </w:rPr>
            </w:pPr>
            <w:r w:rsidRPr="00091680">
              <w:rPr>
                <w:rFonts w:ascii="Arial" w:hAnsi="Arial" w:cs="Arial"/>
                <w:sz w:val="16"/>
                <w:szCs w:val="16"/>
              </w:rPr>
              <w:t>Face value – end-of-year</w:t>
            </w:r>
          </w:p>
        </w:tc>
        <w:tc>
          <w:tcPr>
            <w:tcW w:w="636" w:type="pct"/>
            <w:tcBorders>
              <w:top w:val="nil"/>
              <w:left w:val="nil"/>
              <w:bottom w:val="nil"/>
              <w:right w:val="nil"/>
            </w:tcBorders>
            <w:shd w:val="clear" w:color="auto" w:fill="auto"/>
            <w:noWrap/>
            <w:vAlign w:val="center"/>
            <w:hideMark/>
          </w:tcPr>
          <w:p w14:paraId="2F62BDB1"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906</w:t>
            </w:r>
          </w:p>
        </w:tc>
        <w:tc>
          <w:tcPr>
            <w:tcW w:w="636" w:type="pct"/>
            <w:tcBorders>
              <w:top w:val="nil"/>
              <w:left w:val="nil"/>
              <w:bottom w:val="nil"/>
              <w:right w:val="nil"/>
            </w:tcBorders>
            <w:shd w:val="clear" w:color="000000" w:fill="F2F9FC"/>
            <w:noWrap/>
            <w:vAlign w:val="center"/>
            <w:hideMark/>
          </w:tcPr>
          <w:p w14:paraId="7A13F056"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977</w:t>
            </w:r>
          </w:p>
        </w:tc>
        <w:tc>
          <w:tcPr>
            <w:tcW w:w="636" w:type="pct"/>
            <w:tcBorders>
              <w:top w:val="nil"/>
              <w:left w:val="nil"/>
              <w:bottom w:val="nil"/>
              <w:right w:val="nil"/>
            </w:tcBorders>
            <w:shd w:val="clear" w:color="auto" w:fill="auto"/>
            <w:noWrap/>
            <w:vAlign w:val="center"/>
            <w:hideMark/>
          </w:tcPr>
          <w:p w14:paraId="69F8068E"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1,056</w:t>
            </w:r>
          </w:p>
        </w:tc>
        <w:tc>
          <w:tcPr>
            <w:tcW w:w="636" w:type="pct"/>
            <w:tcBorders>
              <w:top w:val="nil"/>
              <w:left w:val="nil"/>
              <w:bottom w:val="nil"/>
              <w:right w:val="nil"/>
            </w:tcBorders>
            <w:shd w:val="clear" w:color="auto" w:fill="auto"/>
            <w:noWrap/>
            <w:vAlign w:val="center"/>
            <w:hideMark/>
          </w:tcPr>
          <w:p w14:paraId="6B206467"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1,117</w:t>
            </w:r>
          </w:p>
        </w:tc>
        <w:tc>
          <w:tcPr>
            <w:tcW w:w="636" w:type="pct"/>
            <w:tcBorders>
              <w:top w:val="nil"/>
              <w:left w:val="nil"/>
              <w:bottom w:val="nil"/>
              <w:right w:val="nil"/>
            </w:tcBorders>
            <w:shd w:val="clear" w:color="auto" w:fill="auto"/>
            <w:noWrap/>
            <w:vAlign w:val="center"/>
            <w:hideMark/>
          </w:tcPr>
          <w:p w14:paraId="54B8B60F"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1,169</w:t>
            </w:r>
          </w:p>
        </w:tc>
      </w:tr>
      <w:tr w:rsidR="008B0186" w:rsidRPr="005546AF" w14:paraId="3B03D3EF"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5A30693E" w14:textId="77777777" w:rsidR="008B0186" w:rsidRPr="00091680" w:rsidRDefault="008B0186" w:rsidP="00C23D5E">
            <w:pPr>
              <w:spacing w:after="0" w:line="240" w:lineRule="auto"/>
              <w:ind w:left="170"/>
              <w:jc w:val="left"/>
              <w:rPr>
                <w:rFonts w:ascii="Arial" w:hAnsi="Arial" w:cs="Arial"/>
                <w:sz w:val="16"/>
                <w:szCs w:val="16"/>
              </w:rPr>
            </w:pPr>
            <w:r w:rsidRPr="00091680">
              <w:rPr>
                <w:rFonts w:ascii="Arial" w:hAnsi="Arial" w:cs="Arial"/>
                <w:sz w:val="16"/>
                <w:szCs w:val="16"/>
              </w:rPr>
              <w:t>Per cent of GDP</w:t>
            </w:r>
          </w:p>
        </w:tc>
        <w:tc>
          <w:tcPr>
            <w:tcW w:w="636" w:type="pct"/>
            <w:tcBorders>
              <w:top w:val="nil"/>
              <w:left w:val="nil"/>
              <w:bottom w:val="nil"/>
              <w:right w:val="nil"/>
            </w:tcBorders>
            <w:shd w:val="clear" w:color="auto" w:fill="auto"/>
            <w:noWrap/>
            <w:vAlign w:val="center"/>
            <w:hideMark/>
          </w:tcPr>
          <w:p w14:paraId="0E4264CA"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39.5</w:t>
            </w:r>
          </w:p>
        </w:tc>
        <w:tc>
          <w:tcPr>
            <w:tcW w:w="636" w:type="pct"/>
            <w:tcBorders>
              <w:top w:val="nil"/>
              <w:left w:val="nil"/>
              <w:bottom w:val="nil"/>
              <w:right w:val="nil"/>
            </w:tcBorders>
            <w:shd w:val="clear" w:color="000000" w:fill="F2F9FC"/>
            <w:noWrap/>
            <w:vAlign w:val="center"/>
            <w:hideMark/>
          </w:tcPr>
          <w:p w14:paraId="24215720"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42.5</w:t>
            </w:r>
          </w:p>
        </w:tc>
        <w:tc>
          <w:tcPr>
            <w:tcW w:w="636" w:type="pct"/>
            <w:tcBorders>
              <w:top w:val="nil"/>
              <w:left w:val="nil"/>
              <w:bottom w:val="nil"/>
              <w:right w:val="nil"/>
            </w:tcBorders>
            <w:shd w:val="clear" w:color="auto" w:fill="auto"/>
            <w:noWrap/>
            <w:vAlign w:val="center"/>
            <w:hideMark/>
          </w:tcPr>
          <w:p w14:paraId="2E1833E1"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44.6</w:t>
            </w:r>
          </w:p>
        </w:tc>
        <w:tc>
          <w:tcPr>
            <w:tcW w:w="636" w:type="pct"/>
            <w:tcBorders>
              <w:top w:val="nil"/>
              <w:left w:val="nil"/>
              <w:bottom w:val="nil"/>
              <w:right w:val="nil"/>
            </w:tcBorders>
            <w:shd w:val="clear" w:color="auto" w:fill="auto"/>
            <w:noWrap/>
            <w:vAlign w:val="center"/>
            <w:hideMark/>
          </w:tcPr>
          <w:p w14:paraId="718AFCA0"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44.9</w:t>
            </w:r>
          </w:p>
        </w:tc>
        <w:tc>
          <w:tcPr>
            <w:tcW w:w="636" w:type="pct"/>
            <w:tcBorders>
              <w:top w:val="nil"/>
              <w:left w:val="nil"/>
              <w:bottom w:val="nil"/>
              <w:right w:val="nil"/>
            </w:tcBorders>
            <w:shd w:val="clear" w:color="auto" w:fill="auto"/>
            <w:noWrap/>
            <w:vAlign w:val="center"/>
            <w:hideMark/>
          </w:tcPr>
          <w:p w14:paraId="7C0A87AC"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44.7</w:t>
            </w:r>
          </w:p>
        </w:tc>
      </w:tr>
      <w:tr w:rsidR="008B0186" w:rsidRPr="005546AF" w14:paraId="2DE0B4B1"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1CE65ACF" w14:textId="77777777" w:rsidR="008B0186" w:rsidRPr="00091680" w:rsidRDefault="008B0186" w:rsidP="00C23D5E">
            <w:pPr>
              <w:spacing w:after="0" w:line="240" w:lineRule="auto"/>
              <w:jc w:val="left"/>
              <w:rPr>
                <w:rFonts w:ascii="Arial" w:hAnsi="Arial" w:cs="Arial"/>
                <w:sz w:val="16"/>
                <w:szCs w:val="16"/>
              </w:rPr>
            </w:pPr>
            <w:r w:rsidRPr="00091680">
              <w:rPr>
                <w:rFonts w:ascii="Arial" w:hAnsi="Arial" w:cs="Arial"/>
                <w:sz w:val="16"/>
                <w:szCs w:val="16"/>
              </w:rPr>
              <w:t>Face value – within-year peak(c)</w:t>
            </w:r>
          </w:p>
        </w:tc>
        <w:tc>
          <w:tcPr>
            <w:tcW w:w="636" w:type="pct"/>
            <w:tcBorders>
              <w:top w:val="nil"/>
              <w:left w:val="nil"/>
              <w:bottom w:val="nil"/>
              <w:right w:val="nil"/>
            </w:tcBorders>
            <w:shd w:val="clear" w:color="auto" w:fill="auto"/>
            <w:noWrap/>
            <w:vAlign w:val="center"/>
            <w:hideMark/>
          </w:tcPr>
          <w:p w14:paraId="4C3668A7"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906</w:t>
            </w:r>
          </w:p>
        </w:tc>
        <w:tc>
          <w:tcPr>
            <w:tcW w:w="636" w:type="pct"/>
            <w:tcBorders>
              <w:top w:val="nil"/>
              <w:left w:val="nil"/>
              <w:bottom w:val="nil"/>
              <w:right w:val="nil"/>
            </w:tcBorders>
            <w:shd w:val="clear" w:color="000000" w:fill="F2F9FC"/>
            <w:noWrap/>
            <w:vAlign w:val="center"/>
            <w:hideMark/>
          </w:tcPr>
          <w:p w14:paraId="5E59A403"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982</w:t>
            </w:r>
          </w:p>
        </w:tc>
        <w:tc>
          <w:tcPr>
            <w:tcW w:w="636" w:type="pct"/>
            <w:tcBorders>
              <w:top w:val="nil"/>
              <w:left w:val="nil"/>
              <w:bottom w:val="nil"/>
              <w:right w:val="nil"/>
            </w:tcBorders>
            <w:shd w:val="clear" w:color="auto" w:fill="auto"/>
            <w:noWrap/>
            <w:vAlign w:val="center"/>
            <w:hideMark/>
          </w:tcPr>
          <w:p w14:paraId="2FF5DCA9"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1,071</w:t>
            </w:r>
          </w:p>
        </w:tc>
        <w:tc>
          <w:tcPr>
            <w:tcW w:w="636" w:type="pct"/>
            <w:tcBorders>
              <w:top w:val="nil"/>
              <w:left w:val="nil"/>
              <w:bottom w:val="nil"/>
              <w:right w:val="nil"/>
            </w:tcBorders>
            <w:shd w:val="clear" w:color="auto" w:fill="auto"/>
            <w:noWrap/>
            <w:vAlign w:val="center"/>
            <w:hideMark/>
          </w:tcPr>
          <w:p w14:paraId="061F0382"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1,131</w:t>
            </w:r>
          </w:p>
        </w:tc>
        <w:tc>
          <w:tcPr>
            <w:tcW w:w="636" w:type="pct"/>
            <w:tcBorders>
              <w:top w:val="nil"/>
              <w:left w:val="nil"/>
              <w:bottom w:val="nil"/>
              <w:right w:val="nil"/>
            </w:tcBorders>
            <w:shd w:val="clear" w:color="auto" w:fill="auto"/>
            <w:noWrap/>
            <w:vAlign w:val="center"/>
            <w:hideMark/>
          </w:tcPr>
          <w:p w14:paraId="6ED649F8" w14:textId="77777777" w:rsidR="008B0186" w:rsidRPr="00091680" w:rsidRDefault="008B0186" w:rsidP="00C23D5E">
            <w:pPr>
              <w:spacing w:after="0" w:line="240" w:lineRule="auto"/>
              <w:jc w:val="right"/>
              <w:rPr>
                <w:rFonts w:ascii="Arial" w:hAnsi="Arial" w:cs="Arial"/>
                <w:sz w:val="16"/>
                <w:szCs w:val="16"/>
              </w:rPr>
            </w:pPr>
            <w:r w:rsidRPr="00091680">
              <w:rPr>
                <w:rFonts w:ascii="Arial" w:hAnsi="Arial" w:cs="Arial"/>
                <w:sz w:val="16"/>
                <w:szCs w:val="16"/>
              </w:rPr>
              <w:t>1,193</w:t>
            </w:r>
          </w:p>
        </w:tc>
      </w:tr>
      <w:tr w:rsidR="008B0186" w:rsidRPr="005546AF" w14:paraId="5CF46542"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2080BF0C" w14:textId="77777777" w:rsidR="008B0186" w:rsidRPr="00091680" w:rsidRDefault="008B0186" w:rsidP="00D33BEC">
            <w:pPr>
              <w:spacing w:after="0" w:line="240" w:lineRule="auto"/>
              <w:ind w:left="170"/>
              <w:jc w:val="left"/>
              <w:rPr>
                <w:rFonts w:ascii="Arial" w:hAnsi="Arial" w:cs="Arial"/>
                <w:sz w:val="16"/>
                <w:szCs w:val="16"/>
              </w:rPr>
            </w:pPr>
            <w:r w:rsidRPr="00091680">
              <w:rPr>
                <w:rFonts w:ascii="Arial" w:hAnsi="Arial" w:cs="Arial"/>
                <w:sz w:val="16"/>
                <w:szCs w:val="16"/>
              </w:rPr>
              <w:t>Per cent of GDP(c)</w:t>
            </w:r>
          </w:p>
        </w:tc>
        <w:tc>
          <w:tcPr>
            <w:tcW w:w="636" w:type="pct"/>
            <w:tcBorders>
              <w:top w:val="nil"/>
              <w:left w:val="nil"/>
              <w:bottom w:val="nil"/>
              <w:right w:val="nil"/>
            </w:tcBorders>
            <w:shd w:val="clear" w:color="auto" w:fill="auto"/>
            <w:noWrap/>
            <w:vAlign w:val="center"/>
            <w:hideMark/>
          </w:tcPr>
          <w:p w14:paraId="062DF38C"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39.5</w:t>
            </w:r>
          </w:p>
        </w:tc>
        <w:tc>
          <w:tcPr>
            <w:tcW w:w="636" w:type="pct"/>
            <w:tcBorders>
              <w:top w:val="nil"/>
              <w:left w:val="nil"/>
              <w:bottom w:val="nil"/>
              <w:right w:val="nil"/>
            </w:tcBorders>
            <w:shd w:val="clear" w:color="000000" w:fill="F2F9FC"/>
            <w:noWrap/>
            <w:vAlign w:val="center"/>
            <w:hideMark/>
          </w:tcPr>
          <w:p w14:paraId="2BE50093"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42.7</w:t>
            </w:r>
          </w:p>
        </w:tc>
        <w:tc>
          <w:tcPr>
            <w:tcW w:w="636" w:type="pct"/>
            <w:tcBorders>
              <w:top w:val="nil"/>
              <w:left w:val="nil"/>
              <w:bottom w:val="nil"/>
              <w:right w:val="nil"/>
            </w:tcBorders>
            <w:shd w:val="clear" w:color="auto" w:fill="auto"/>
            <w:noWrap/>
            <w:vAlign w:val="center"/>
            <w:hideMark/>
          </w:tcPr>
          <w:p w14:paraId="0B53E285"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45.2</w:t>
            </w:r>
          </w:p>
        </w:tc>
        <w:tc>
          <w:tcPr>
            <w:tcW w:w="636" w:type="pct"/>
            <w:tcBorders>
              <w:top w:val="nil"/>
              <w:left w:val="nil"/>
              <w:bottom w:val="nil"/>
              <w:right w:val="nil"/>
            </w:tcBorders>
            <w:shd w:val="clear" w:color="auto" w:fill="auto"/>
            <w:noWrap/>
            <w:vAlign w:val="center"/>
            <w:hideMark/>
          </w:tcPr>
          <w:p w14:paraId="2C25B700"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45.4</w:t>
            </w:r>
          </w:p>
        </w:tc>
        <w:tc>
          <w:tcPr>
            <w:tcW w:w="636" w:type="pct"/>
            <w:tcBorders>
              <w:top w:val="nil"/>
              <w:left w:val="nil"/>
              <w:bottom w:val="nil"/>
              <w:right w:val="nil"/>
            </w:tcBorders>
            <w:shd w:val="clear" w:color="auto" w:fill="auto"/>
            <w:noWrap/>
            <w:vAlign w:val="center"/>
            <w:hideMark/>
          </w:tcPr>
          <w:p w14:paraId="3DEA34B2"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45.6</w:t>
            </w:r>
          </w:p>
        </w:tc>
      </w:tr>
      <w:tr w:rsidR="008B0186" w:rsidRPr="005546AF" w14:paraId="4A11705F"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26DD7197" w14:textId="77777777" w:rsidR="008B0186" w:rsidRPr="00091680" w:rsidRDefault="008B0186" w:rsidP="00D33BEC">
            <w:pPr>
              <w:spacing w:after="0" w:line="240" w:lineRule="auto"/>
              <w:ind w:left="170"/>
              <w:jc w:val="left"/>
              <w:rPr>
                <w:rFonts w:ascii="Arial" w:hAnsi="Arial" w:cs="Arial"/>
                <w:i/>
                <w:sz w:val="16"/>
                <w:szCs w:val="16"/>
              </w:rPr>
            </w:pPr>
            <w:r w:rsidRPr="00091680">
              <w:rPr>
                <w:rFonts w:ascii="Arial" w:hAnsi="Arial" w:cs="Arial"/>
                <w:i/>
                <w:sz w:val="16"/>
                <w:szCs w:val="16"/>
              </w:rPr>
              <w:t>Month of peak(c)</w:t>
            </w:r>
          </w:p>
        </w:tc>
        <w:tc>
          <w:tcPr>
            <w:tcW w:w="636" w:type="pct"/>
            <w:tcBorders>
              <w:top w:val="nil"/>
              <w:left w:val="nil"/>
              <w:bottom w:val="nil"/>
              <w:right w:val="nil"/>
            </w:tcBorders>
            <w:shd w:val="clear" w:color="auto" w:fill="auto"/>
            <w:noWrap/>
            <w:vAlign w:val="center"/>
            <w:hideMark/>
          </w:tcPr>
          <w:p w14:paraId="185B74D1" w14:textId="77777777" w:rsidR="008B0186" w:rsidRPr="00091680" w:rsidRDefault="008B0186" w:rsidP="00D33BEC">
            <w:pPr>
              <w:spacing w:after="0" w:line="240" w:lineRule="auto"/>
              <w:jc w:val="right"/>
              <w:rPr>
                <w:rFonts w:ascii="Arial" w:hAnsi="Arial" w:cs="Arial"/>
                <w:i/>
                <w:sz w:val="16"/>
                <w:szCs w:val="16"/>
              </w:rPr>
            </w:pPr>
            <w:r w:rsidRPr="00091680">
              <w:rPr>
                <w:rFonts w:ascii="Arial" w:hAnsi="Arial" w:cs="Arial"/>
                <w:i/>
                <w:sz w:val="16"/>
                <w:szCs w:val="16"/>
              </w:rPr>
              <w:t>Jun-22</w:t>
            </w:r>
          </w:p>
        </w:tc>
        <w:tc>
          <w:tcPr>
            <w:tcW w:w="636" w:type="pct"/>
            <w:tcBorders>
              <w:top w:val="nil"/>
              <w:left w:val="nil"/>
              <w:bottom w:val="nil"/>
              <w:right w:val="nil"/>
            </w:tcBorders>
            <w:shd w:val="clear" w:color="000000" w:fill="F2F9FC"/>
            <w:noWrap/>
            <w:vAlign w:val="center"/>
            <w:hideMark/>
          </w:tcPr>
          <w:p w14:paraId="079D29EE" w14:textId="77777777" w:rsidR="008B0186" w:rsidRPr="00091680" w:rsidRDefault="008B0186" w:rsidP="00D33BEC">
            <w:pPr>
              <w:spacing w:after="0" w:line="240" w:lineRule="auto"/>
              <w:jc w:val="right"/>
              <w:rPr>
                <w:rFonts w:ascii="Arial" w:hAnsi="Arial" w:cs="Arial"/>
                <w:i/>
                <w:sz w:val="16"/>
                <w:szCs w:val="16"/>
              </w:rPr>
            </w:pPr>
            <w:r w:rsidRPr="00091680">
              <w:rPr>
                <w:rFonts w:ascii="Arial" w:hAnsi="Arial" w:cs="Arial"/>
                <w:i/>
                <w:sz w:val="16"/>
                <w:szCs w:val="16"/>
              </w:rPr>
              <w:t>Apr-23</w:t>
            </w:r>
          </w:p>
        </w:tc>
        <w:tc>
          <w:tcPr>
            <w:tcW w:w="636" w:type="pct"/>
            <w:tcBorders>
              <w:top w:val="nil"/>
              <w:left w:val="nil"/>
              <w:bottom w:val="nil"/>
              <w:right w:val="nil"/>
            </w:tcBorders>
            <w:shd w:val="clear" w:color="auto" w:fill="auto"/>
            <w:noWrap/>
            <w:vAlign w:val="center"/>
            <w:hideMark/>
          </w:tcPr>
          <w:p w14:paraId="335E4530" w14:textId="77777777" w:rsidR="008B0186" w:rsidRPr="00091680" w:rsidRDefault="008B0186" w:rsidP="00D33BEC">
            <w:pPr>
              <w:spacing w:after="0" w:line="240" w:lineRule="auto"/>
              <w:jc w:val="right"/>
              <w:rPr>
                <w:rFonts w:ascii="Arial" w:hAnsi="Arial" w:cs="Arial"/>
                <w:i/>
                <w:sz w:val="16"/>
                <w:szCs w:val="16"/>
              </w:rPr>
            </w:pPr>
            <w:r w:rsidRPr="00091680">
              <w:rPr>
                <w:rFonts w:ascii="Arial" w:hAnsi="Arial" w:cs="Arial"/>
                <w:i/>
                <w:sz w:val="16"/>
                <w:szCs w:val="16"/>
              </w:rPr>
              <w:t>Apr-24</w:t>
            </w:r>
          </w:p>
        </w:tc>
        <w:tc>
          <w:tcPr>
            <w:tcW w:w="636" w:type="pct"/>
            <w:tcBorders>
              <w:top w:val="nil"/>
              <w:left w:val="nil"/>
              <w:bottom w:val="nil"/>
              <w:right w:val="nil"/>
            </w:tcBorders>
            <w:shd w:val="clear" w:color="auto" w:fill="auto"/>
            <w:noWrap/>
            <w:vAlign w:val="center"/>
            <w:hideMark/>
          </w:tcPr>
          <w:p w14:paraId="4290FEFB" w14:textId="77777777" w:rsidR="008B0186" w:rsidRPr="00091680" w:rsidRDefault="008B0186" w:rsidP="00D33BEC">
            <w:pPr>
              <w:spacing w:after="0" w:line="240" w:lineRule="auto"/>
              <w:jc w:val="right"/>
              <w:rPr>
                <w:rFonts w:ascii="Arial" w:hAnsi="Arial" w:cs="Arial"/>
                <w:i/>
                <w:sz w:val="16"/>
                <w:szCs w:val="16"/>
              </w:rPr>
            </w:pPr>
            <w:r w:rsidRPr="00091680">
              <w:rPr>
                <w:rFonts w:ascii="Arial" w:hAnsi="Arial" w:cs="Arial"/>
                <w:i/>
                <w:sz w:val="16"/>
                <w:szCs w:val="16"/>
              </w:rPr>
              <w:t>Apr-25</w:t>
            </w:r>
          </w:p>
        </w:tc>
        <w:tc>
          <w:tcPr>
            <w:tcW w:w="636" w:type="pct"/>
            <w:tcBorders>
              <w:top w:val="nil"/>
              <w:left w:val="nil"/>
              <w:bottom w:val="nil"/>
              <w:right w:val="nil"/>
            </w:tcBorders>
            <w:shd w:val="clear" w:color="auto" w:fill="auto"/>
            <w:noWrap/>
            <w:vAlign w:val="center"/>
            <w:hideMark/>
          </w:tcPr>
          <w:p w14:paraId="4F92B408" w14:textId="77777777" w:rsidR="008B0186" w:rsidRPr="00091680" w:rsidRDefault="008B0186" w:rsidP="00D33BEC">
            <w:pPr>
              <w:spacing w:after="0" w:line="240" w:lineRule="auto"/>
              <w:jc w:val="right"/>
              <w:rPr>
                <w:rFonts w:ascii="Arial" w:hAnsi="Arial" w:cs="Arial"/>
                <w:i/>
                <w:sz w:val="16"/>
                <w:szCs w:val="16"/>
              </w:rPr>
            </w:pPr>
            <w:r w:rsidRPr="00091680">
              <w:rPr>
                <w:rFonts w:ascii="Arial" w:hAnsi="Arial" w:cs="Arial"/>
                <w:i/>
                <w:sz w:val="16"/>
                <w:szCs w:val="16"/>
              </w:rPr>
              <w:t>Apr-26</w:t>
            </w:r>
          </w:p>
        </w:tc>
      </w:tr>
      <w:tr w:rsidR="008B0186" w:rsidRPr="005546AF" w14:paraId="4E5AFD75" w14:textId="77777777" w:rsidTr="00BF7B93">
        <w:trPr>
          <w:divId w:val="1773821036"/>
          <w:trHeight w:hRule="exact" w:val="225"/>
        </w:trPr>
        <w:tc>
          <w:tcPr>
            <w:tcW w:w="1818" w:type="pct"/>
            <w:tcBorders>
              <w:top w:val="nil"/>
              <w:left w:val="nil"/>
              <w:bottom w:val="nil"/>
              <w:right w:val="nil"/>
            </w:tcBorders>
            <w:shd w:val="clear" w:color="auto" w:fill="auto"/>
            <w:noWrap/>
            <w:vAlign w:val="center"/>
            <w:hideMark/>
          </w:tcPr>
          <w:p w14:paraId="1A10C1B5" w14:textId="77777777" w:rsidR="008B0186" w:rsidRPr="00091680" w:rsidRDefault="008B0186" w:rsidP="00D33BEC">
            <w:pPr>
              <w:spacing w:after="0" w:line="240" w:lineRule="auto"/>
              <w:jc w:val="left"/>
              <w:rPr>
                <w:rFonts w:ascii="Arial" w:hAnsi="Arial" w:cs="Arial"/>
                <w:sz w:val="16"/>
                <w:szCs w:val="16"/>
              </w:rPr>
            </w:pPr>
            <w:r w:rsidRPr="00091680">
              <w:rPr>
                <w:rFonts w:ascii="Arial" w:hAnsi="Arial" w:cs="Arial"/>
                <w:sz w:val="16"/>
                <w:szCs w:val="16"/>
              </w:rPr>
              <w:t>Market value – end-of-year</w:t>
            </w:r>
          </w:p>
        </w:tc>
        <w:tc>
          <w:tcPr>
            <w:tcW w:w="636" w:type="pct"/>
            <w:tcBorders>
              <w:top w:val="nil"/>
              <w:left w:val="nil"/>
              <w:bottom w:val="nil"/>
              <w:right w:val="nil"/>
            </w:tcBorders>
            <w:shd w:val="clear" w:color="auto" w:fill="auto"/>
            <w:noWrap/>
            <w:vAlign w:val="center"/>
            <w:hideMark/>
          </w:tcPr>
          <w:p w14:paraId="0FE40463"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929</w:t>
            </w:r>
          </w:p>
        </w:tc>
        <w:tc>
          <w:tcPr>
            <w:tcW w:w="636" w:type="pct"/>
            <w:tcBorders>
              <w:top w:val="nil"/>
              <w:left w:val="nil"/>
              <w:bottom w:val="nil"/>
              <w:right w:val="nil"/>
            </w:tcBorders>
            <w:shd w:val="clear" w:color="000000" w:fill="F2F9FC"/>
            <w:noWrap/>
            <w:vAlign w:val="center"/>
            <w:hideMark/>
          </w:tcPr>
          <w:p w14:paraId="39891651"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1,004</w:t>
            </w:r>
          </w:p>
        </w:tc>
        <w:tc>
          <w:tcPr>
            <w:tcW w:w="636" w:type="pct"/>
            <w:tcBorders>
              <w:top w:val="nil"/>
              <w:left w:val="nil"/>
              <w:bottom w:val="nil"/>
              <w:right w:val="nil"/>
            </w:tcBorders>
            <w:shd w:val="clear" w:color="auto" w:fill="auto"/>
            <w:noWrap/>
            <w:vAlign w:val="center"/>
            <w:hideMark/>
          </w:tcPr>
          <w:p w14:paraId="5B29FEC9"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1,088</w:t>
            </w:r>
          </w:p>
        </w:tc>
        <w:tc>
          <w:tcPr>
            <w:tcW w:w="636" w:type="pct"/>
            <w:tcBorders>
              <w:top w:val="nil"/>
              <w:left w:val="nil"/>
              <w:bottom w:val="nil"/>
              <w:right w:val="nil"/>
            </w:tcBorders>
            <w:shd w:val="clear" w:color="auto" w:fill="auto"/>
            <w:noWrap/>
            <w:vAlign w:val="center"/>
            <w:hideMark/>
          </w:tcPr>
          <w:p w14:paraId="75204B4B"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1,153</w:t>
            </w:r>
          </w:p>
        </w:tc>
        <w:tc>
          <w:tcPr>
            <w:tcW w:w="636" w:type="pct"/>
            <w:tcBorders>
              <w:top w:val="nil"/>
              <w:left w:val="nil"/>
              <w:bottom w:val="nil"/>
              <w:right w:val="nil"/>
            </w:tcBorders>
            <w:shd w:val="clear" w:color="auto" w:fill="auto"/>
            <w:noWrap/>
            <w:vAlign w:val="center"/>
            <w:hideMark/>
          </w:tcPr>
          <w:p w14:paraId="72F57A1F" w14:textId="77777777" w:rsidR="008B0186" w:rsidRPr="00091680" w:rsidRDefault="008B0186" w:rsidP="00D33BEC">
            <w:pPr>
              <w:spacing w:after="0" w:line="240" w:lineRule="auto"/>
              <w:jc w:val="right"/>
              <w:rPr>
                <w:rFonts w:ascii="Arial" w:hAnsi="Arial" w:cs="Arial"/>
                <w:sz w:val="16"/>
                <w:szCs w:val="16"/>
              </w:rPr>
            </w:pPr>
            <w:r w:rsidRPr="00091680">
              <w:rPr>
                <w:rFonts w:ascii="Arial" w:hAnsi="Arial" w:cs="Arial"/>
                <w:sz w:val="16"/>
                <w:szCs w:val="16"/>
              </w:rPr>
              <w:t>1,207</w:t>
            </w:r>
          </w:p>
        </w:tc>
      </w:tr>
      <w:tr w:rsidR="008B0186" w:rsidRPr="005546AF" w14:paraId="05D1B745" w14:textId="77777777" w:rsidTr="00BF7B93">
        <w:trPr>
          <w:divId w:val="1773821036"/>
          <w:trHeight w:hRule="exact" w:val="225"/>
        </w:trPr>
        <w:tc>
          <w:tcPr>
            <w:tcW w:w="1818" w:type="pct"/>
            <w:tcBorders>
              <w:top w:val="nil"/>
              <w:left w:val="nil"/>
              <w:bottom w:val="single" w:sz="4" w:space="0" w:color="000000"/>
              <w:right w:val="nil"/>
            </w:tcBorders>
            <w:shd w:val="clear" w:color="auto" w:fill="auto"/>
            <w:noWrap/>
            <w:vAlign w:val="center"/>
            <w:hideMark/>
          </w:tcPr>
          <w:p w14:paraId="13BA57A2" w14:textId="77777777" w:rsidR="008B0186" w:rsidRPr="00091680" w:rsidRDefault="008B0186" w:rsidP="00887E41">
            <w:pPr>
              <w:spacing w:after="0" w:line="240" w:lineRule="auto"/>
              <w:ind w:left="170"/>
              <w:jc w:val="left"/>
              <w:rPr>
                <w:rFonts w:ascii="Arial" w:hAnsi="Arial" w:cs="Arial"/>
                <w:sz w:val="16"/>
                <w:szCs w:val="16"/>
              </w:rPr>
            </w:pPr>
            <w:r w:rsidRPr="00091680">
              <w:rPr>
                <w:rFonts w:ascii="Arial" w:hAnsi="Arial" w:cs="Arial"/>
                <w:sz w:val="16"/>
                <w:szCs w:val="16"/>
              </w:rPr>
              <w:t>Per cent of GDP</w:t>
            </w:r>
          </w:p>
        </w:tc>
        <w:tc>
          <w:tcPr>
            <w:tcW w:w="636" w:type="pct"/>
            <w:tcBorders>
              <w:top w:val="nil"/>
              <w:left w:val="nil"/>
              <w:bottom w:val="single" w:sz="4" w:space="0" w:color="auto"/>
              <w:right w:val="nil"/>
            </w:tcBorders>
            <w:shd w:val="clear" w:color="auto" w:fill="auto"/>
            <w:noWrap/>
            <w:vAlign w:val="center"/>
            <w:hideMark/>
          </w:tcPr>
          <w:p w14:paraId="6EC0AB6E" w14:textId="77777777" w:rsidR="008B0186" w:rsidRPr="00091680" w:rsidRDefault="008B0186" w:rsidP="00887E41">
            <w:pPr>
              <w:spacing w:after="0" w:line="240" w:lineRule="auto"/>
              <w:jc w:val="right"/>
              <w:rPr>
                <w:rFonts w:ascii="Arial" w:hAnsi="Arial" w:cs="Arial"/>
                <w:sz w:val="16"/>
                <w:szCs w:val="16"/>
              </w:rPr>
            </w:pPr>
            <w:r w:rsidRPr="00091680">
              <w:rPr>
                <w:rFonts w:ascii="Arial" w:hAnsi="Arial" w:cs="Arial"/>
                <w:sz w:val="16"/>
                <w:szCs w:val="16"/>
              </w:rPr>
              <w:t>40.5</w:t>
            </w:r>
          </w:p>
        </w:tc>
        <w:tc>
          <w:tcPr>
            <w:tcW w:w="636" w:type="pct"/>
            <w:tcBorders>
              <w:top w:val="nil"/>
              <w:left w:val="nil"/>
              <w:bottom w:val="single" w:sz="4" w:space="0" w:color="auto"/>
              <w:right w:val="nil"/>
            </w:tcBorders>
            <w:shd w:val="clear" w:color="000000" w:fill="F2F9FC"/>
            <w:noWrap/>
            <w:vAlign w:val="center"/>
            <w:hideMark/>
          </w:tcPr>
          <w:p w14:paraId="707D8309" w14:textId="77777777" w:rsidR="008B0186" w:rsidRPr="00091680" w:rsidRDefault="008B0186" w:rsidP="00887E41">
            <w:pPr>
              <w:spacing w:after="0" w:line="240" w:lineRule="auto"/>
              <w:jc w:val="right"/>
              <w:rPr>
                <w:rFonts w:ascii="Arial" w:hAnsi="Arial" w:cs="Arial"/>
                <w:sz w:val="16"/>
                <w:szCs w:val="16"/>
              </w:rPr>
            </w:pPr>
            <w:r w:rsidRPr="00091680">
              <w:rPr>
                <w:rFonts w:ascii="Arial" w:hAnsi="Arial" w:cs="Arial"/>
                <w:sz w:val="16"/>
                <w:szCs w:val="16"/>
              </w:rPr>
              <w:t>43.6</w:t>
            </w:r>
          </w:p>
        </w:tc>
        <w:tc>
          <w:tcPr>
            <w:tcW w:w="636" w:type="pct"/>
            <w:tcBorders>
              <w:top w:val="nil"/>
              <w:left w:val="nil"/>
              <w:bottom w:val="single" w:sz="4" w:space="0" w:color="auto"/>
              <w:right w:val="nil"/>
            </w:tcBorders>
            <w:shd w:val="clear" w:color="auto" w:fill="auto"/>
            <w:noWrap/>
            <w:vAlign w:val="center"/>
            <w:hideMark/>
          </w:tcPr>
          <w:p w14:paraId="1A18D5A6" w14:textId="77777777" w:rsidR="008B0186" w:rsidRPr="00091680" w:rsidRDefault="008B0186" w:rsidP="00887E41">
            <w:pPr>
              <w:spacing w:after="0" w:line="240" w:lineRule="auto"/>
              <w:jc w:val="right"/>
              <w:rPr>
                <w:rFonts w:ascii="Arial" w:hAnsi="Arial" w:cs="Arial"/>
                <w:sz w:val="16"/>
                <w:szCs w:val="16"/>
              </w:rPr>
            </w:pPr>
            <w:r w:rsidRPr="00091680">
              <w:rPr>
                <w:rFonts w:ascii="Arial" w:hAnsi="Arial" w:cs="Arial"/>
                <w:sz w:val="16"/>
                <w:szCs w:val="16"/>
              </w:rPr>
              <w:t>46.0</w:t>
            </w:r>
          </w:p>
        </w:tc>
        <w:tc>
          <w:tcPr>
            <w:tcW w:w="636" w:type="pct"/>
            <w:tcBorders>
              <w:top w:val="nil"/>
              <w:left w:val="nil"/>
              <w:bottom w:val="single" w:sz="4" w:space="0" w:color="auto"/>
              <w:right w:val="nil"/>
            </w:tcBorders>
            <w:shd w:val="clear" w:color="auto" w:fill="auto"/>
            <w:noWrap/>
            <w:vAlign w:val="center"/>
            <w:hideMark/>
          </w:tcPr>
          <w:p w14:paraId="45C91201" w14:textId="77777777" w:rsidR="008B0186" w:rsidRPr="00091680" w:rsidRDefault="008B0186" w:rsidP="00887E41">
            <w:pPr>
              <w:spacing w:after="0" w:line="240" w:lineRule="auto"/>
              <w:jc w:val="right"/>
              <w:rPr>
                <w:rFonts w:ascii="Arial" w:hAnsi="Arial" w:cs="Arial"/>
                <w:sz w:val="16"/>
                <w:szCs w:val="16"/>
              </w:rPr>
            </w:pPr>
            <w:r w:rsidRPr="00091680">
              <w:rPr>
                <w:rFonts w:ascii="Arial" w:hAnsi="Arial" w:cs="Arial"/>
                <w:sz w:val="16"/>
                <w:szCs w:val="16"/>
              </w:rPr>
              <w:t>46.3</w:t>
            </w:r>
          </w:p>
        </w:tc>
        <w:tc>
          <w:tcPr>
            <w:tcW w:w="636" w:type="pct"/>
            <w:tcBorders>
              <w:top w:val="nil"/>
              <w:left w:val="nil"/>
              <w:bottom w:val="single" w:sz="4" w:space="0" w:color="auto"/>
              <w:right w:val="nil"/>
            </w:tcBorders>
            <w:shd w:val="clear" w:color="auto" w:fill="auto"/>
            <w:noWrap/>
            <w:vAlign w:val="center"/>
            <w:hideMark/>
          </w:tcPr>
          <w:p w14:paraId="4DC47BE4" w14:textId="77777777" w:rsidR="008B0186" w:rsidRPr="00091680" w:rsidRDefault="008B0186" w:rsidP="00887E41">
            <w:pPr>
              <w:spacing w:after="0" w:line="240" w:lineRule="auto"/>
              <w:jc w:val="right"/>
              <w:rPr>
                <w:rFonts w:ascii="Arial" w:hAnsi="Arial" w:cs="Arial"/>
                <w:sz w:val="16"/>
                <w:szCs w:val="16"/>
              </w:rPr>
            </w:pPr>
            <w:r w:rsidRPr="00091680">
              <w:rPr>
                <w:rFonts w:ascii="Arial" w:hAnsi="Arial" w:cs="Arial"/>
                <w:sz w:val="16"/>
                <w:szCs w:val="16"/>
              </w:rPr>
              <w:t>46.1</w:t>
            </w:r>
          </w:p>
        </w:tc>
      </w:tr>
    </w:tbl>
    <w:p w14:paraId="52B6A5E3" w14:textId="2110FF04" w:rsidR="00F97E98" w:rsidRPr="00091680" w:rsidRDefault="003C48F3" w:rsidP="00564F52">
      <w:pPr>
        <w:pStyle w:val="ChartandTableFootnoteAlpha"/>
        <w:rPr>
          <w:color w:val="auto"/>
        </w:rPr>
      </w:pPr>
      <w:r w:rsidRPr="00091680">
        <w:rPr>
          <w:color w:val="auto"/>
        </w:rPr>
        <w:t>The Treasurer’s Direction applies to the face value of AGS on issue. This table also shows the equivalent market value of AGS that are subject to the Treasurer’s Direction.</w:t>
      </w:r>
    </w:p>
    <w:p w14:paraId="3D0D40F1" w14:textId="63AF49F7" w:rsidR="00F97E98" w:rsidRPr="00091680" w:rsidRDefault="003C48F3" w:rsidP="00670DAD">
      <w:pPr>
        <w:pStyle w:val="ChartandTableFootnoteAlpha"/>
        <w:rPr>
          <w:color w:val="auto"/>
        </w:rPr>
      </w:pPr>
      <w:r w:rsidRPr="00091680">
        <w:rPr>
          <w:color w:val="auto"/>
        </w:rPr>
        <w:t xml:space="preserve">The stock and securities that are excluded from the current limit set by the Treasurer’s Direction are outlined in subsection 51JA(2A) of the CIS Act. </w:t>
      </w:r>
    </w:p>
    <w:p w14:paraId="40813165" w14:textId="2FD9B7A0" w:rsidR="003C48F3" w:rsidRPr="00091680" w:rsidRDefault="003C48F3" w:rsidP="00670DAD">
      <w:pPr>
        <w:pStyle w:val="ChartandTableFootnoteAlpha"/>
        <w:rPr>
          <w:color w:val="auto"/>
        </w:rPr>
      </w:pPr>
      <w:r w:rsidRPr="00091680">
        <w:rPr>
          <w:color w:val="auto"/>
        </w:rPr>
        <w:t>The precise within</w:t>
      </w:r>
      <w:r w:rsidRPr="00091680">
        <w:rPr>
          <w:color w:val="auto"/>
        </w:rPr>
        <w:noBreakHyphen/>
        <w:t>year timing of cash receipts and payments is not known. Estimated peaks of AGS on issue are therefore subject to considerable uncertainty.</w:t>
      </w:r>
    </w:p>
    <w:p w14:paraId="3750D359" w14:textId="4E66485F" w:rsidR="003C48F3" w:rsidRPr="00091680" w:rsidRDefault="003C48F3" w:rsidP="00936FB6">
      <w:pPr>
        <w:pStyle w:val="Source"/>
      </w:pPr>
      <w:r w:rsidRPr="00091680">
        <w:t xml:space="preserve">Source: </w:t>
      </w:r>
      <w:r w:rsidRPr="00091680">
        <w:tab/>
        <w:t>AOFM.</w:t>
      </w:r>
    </w:p>
    <w:p w14:paraId="32C8C723" w14:textId="094DF8CC" w:rsidR="003C48F3" w:rsidRPr="00091680" w:rsidRDefault="003C48F3" w:rsidP="003C48F3">
      <w:r w:rsidRPr="00091680">
        <w:t>The total amount of AGS on issue subject to the Treasurer’s Direction is reported weekly on the AOFM website.</w:t>
      </w:r>
    </w:p>
    <w:p w14:paraId="5B8C6055" w14:textId="766BADC2" w:rsidR="003C48F3" w:rsidRPr="00091680" w:rsidRDefault="003C48F3" w:rsidP="003C48F3">
      <w:r w:rsidRPr="00091680">
        <w:t xml:space="preserve">In </w:t>
      </w:r>
      <w:r w:rsidR="00D001E8" w:rsidRPr="00091680">
        <w:t>2022</w:t>
      </w:r>
      <w:r w:rsidR="00CB5997" w:rsidRPr="00091680">
        <w:noBreakHyphen/>
      </w:r>
      <w:r w:rsidR="00D001E8" w:rsidRPr="00091680">
        <w:t>23</w:t>
      </w:r>
      <w:r w:rsidRPr="00091680">
        <w:t xml:space="preserve">, the </w:t>
      </w:r>
      <w:r w:rsidR="4B0485CE" w:rsidRPr="00091680">
        <w:t>end</w:t>
      </w:r>
      <w:r w:rsidR="00C42B0B" w:rsidRPr="00091680">
        <w:noBreakHyphen/>
      </w:r>
      <w:r w:rsidR="4B0485CE" w:rsidRPr="00091680">
        <w:t>of</w:t>
      </w:r>
      <w:r w:rsidR="00C42B0B" w:rsidRPr="00091680">
        <w:noBreakHyphen/>
      </w:r>
      <w:r w:rsidR="4B0485CE" w:rsidRPr="00091680">
        <w:t>year</w:t>
      </w:r>
      <w:r w:rsidRPr="00091680">
        <w:t xml:space="preserve"> face value of AGS on issue subject to the Treasurer’s Direction is expected to be around $</w:t>
      </w:r>
      <w:r w:rsidR="006D1CA6" w:rsidRPr="00091680">
        <w:t>977</w:t>
      </w:r>
      <w:r w:rsidRPr="00091680">
        <w:t xml:space="preserve"> billion, compared with $1</w:t>
      </w:r>
      <w:r w:rsidR="00866282" w:rsidRPr="00091680">
        <w:t>,</w:t>
      </w:r>
      <w:r w:rsidR="00DC72AF" w:rsidRPr="00091680">
        <w:t>017</w:t>
      </w:r>
      <w:r w:rsidRPr="00091680">
        <w:t xml:space="preserve"> billion at </w:t>
      </w:r>
      <w:r w:rsidR="00002FBE" w:rsidRPr="00091680">
        <w:t>MYEFO</w:t>
      </w:r>
      <w:r w:rsidRPr="00091680">
        <w:t xml:space="preserve">. </w:t>
      </w:r>
      <w:r w:rsidRPr="00091680">
        <w:lastRenderedPageBreak/>
        <w:t xml:space="preserve">The </w:t>
      </w:r>
      <w:r w:rsidR="4B0485CE" w:rsidRPr="00091680">
        <w:t>end</w:t>
      </w:r>
      <w:r w:rsidR="00C42B0B" w:rsidRPr="00091680">
        <w:noBreakHyphen/>
      </w:r>
      <w:r w:rsidR="4B0485CE" w:rsidRPr="00091680">
        <w:t>of</w:t>
      </w:r>
      <w:r w:rsidR="00C42B0B" w:rsidRPr="00091680">
        <w:noBreakHyphen/>
      </w:r>
      <w:r w:rsidR="4B0485CE" w:rsidRPr="00091680">
        <w:t>year</w:t>
      </w:r>
      <w:r w:rsidRPr="00091680">
        <w:t xml:space="preserve"> face value of AGS on issue subject to the Treasurer’s Direction is expected to reach around $1,</w:t>
      </w:r>
      <w:r w:rsidR="00831080" w:rsidRPr="00091680">
        <w:t>169</w:t>
      </w:r>
      <w:r w:rsidRPr="00091680">
        <w:t xml:space="preserve"> billion in </w:t>
      </w:r>
      <w:r w:rsidR="00A13B3E" w:rsidRPr="00091680">
        <w:t>2025</w:t>
      </w:r>
      <w:r w:rsidR="00CB5997" w:rsidRPr="00091680">
        <w:noBreakHyphen/>
      </w:r>
      <w:r w:rsidR="00A13B3E" w:rsidRPr="00091680">
        <w:t>26</w:t>
      </w:r>
      <w:r w:rsidRPr="00091680">
        <w:t>.</w:t>
      </w:r>
    </w:p>
    <w:p w14:paraId="1D739130" w14:textId="007E0D52" w:rsidR="003C48F3" w:rsidRPr="003C48F3" w:rsidRDefault="003C48F3" w:rsidP="00531B78">
      <w:r w:rsidRPr="00091680">
        <w:t xml:space="preserve">In </w:t>
      </w:r>
      <w:r w:rsidR="00A13B3E" w:rsidRPr="00091680">
        <w:t>2022</w:t>
      </w:r>
      <w:r w:rsidR="00CB5997" w:rsidRPr="00091680">
        <w:noBreakHyphen/>
      </w:r>
      <w:r w:rsidR="00A13B3E" w:rsidRPr="00091680">
        <w:t>23</w:t>
      </w:r>
      <w:r w:rsidRPr="00091680">
        <w:t>, the face value of AGS on issue subject to the Treasurer’s Direction is expected to reach a within</w:t>
      </w:r>
      <w:r w:rsidRPr="00091680">
        <w:noBreakHyphen/>
        <w:t>year peak of around $</w:t>
      </w:r>
      <w:r w:rsidR="087A7296" w:rsidRPr="00091680">
        <w:t>982</w:t>
      </w:r>
      <w:r w:rsidRPr="00091680">
        <w:t xml:space="preserve"> billion. In </w:t>
      </w:r>
      <w:r w:rsidR="00A60208" w:rsidRPr="00091680">
        <w:t>2025</w:t>
      </w:r>
      <w:r w:rsidR="00CB5997" w:rsidRPr="00091680">
        <w:noBreakHyphen/>
      </w:r>
      <w:r w:rsidR="00A60208" w:rsidRPr="00091680">
        <w:t>26</w:t>
      </w:r>
      <w:r w:rsidRPr="00091680">
        <w:t>, this is estimated to rise to a within</w:t>
      </w:r>
      <w:r w:rsidRPr="00091680">
        <w:noBreakHyphen/>
        <w:t>year peak of $1,</w:t>
      </w:r>
      <w:r w:rsidR="087A7296" w:rsidRPr="00091680">
        <w:t>193</w:t>
      </w:r>
      <w:r w:rsidRPr="00091680">
        <w:t> billion.</w:t>
      </w:r>
      <w:r w:rsidR="00D67203" w:rsidRPr="00091680">
        <w:t xml:space="preserve"> </w:t>
      </w:r>
      <w:r w:rsidR="001E001B" w:rsidRPr="00091680">
        <w:t xml:space="preserve">The </w:t>
      </w:r>
      <w:r w:rsidR="008B661F" w:rsidRPr="00091680">
        <w:t>estimate</w:t>
      </w:r>
      <w:r w:rsidR="00E75524" w:rsidRPr="00091680">
        <w:t xml:space="preserve">s </w:t>
      </w:r>
      <w:r w:rsidR="008B661F" w:rsidRPr="00091680">
        <w:t xml:space="preserve">of </w:t>
      </w:r>
      <w:r w:rsidR="00793B47" w:rsidRPr="00091680">
        <w:t>within</w:t>
      </w:r>
      <w:r w:rsidR="00CB5997" w:rsidRPr="00091680">
        <w:noBreakHyphen/>
      </w:r>
      <w:r w:rsidR="00793B47" w:rsidRPr="00091680">
        <w:t>year peak and end</w:t>
      </w:r>
      <w:r w:rsidR="0076754D" w:rsidRPr="00091680">
        <w:noBreakHyphen/>
      </w:r>
      <w:r w:rsidR="00793B47" w:rsidRPr="00091680">
        <w:t>of</w:t>
      </w:r>
      <w:r w:rsidR="0076754D" w:rsidRPr="00091680">
        <w:noBreakHyphen/>
      </w:r>
      <w:r w:rsidR="00793B47" w:rsidRPr="00091680">
        <w:t>year face value</w:t>
      </w:r>
      <w:r w:rsidR="00470349" w:rsidRPr="00091680">
        <w:t xml:space="preserve"> of AGS on issue</w:t>
      </w:r>
      <w:r w:rsidR="00793B47" w:rsidRPr="00091680">
        <w:t xml:space="preserve"> to the end of the forward estimates </w:t>
      </w:r>
      <w:r w:rsidR="008B3459" w:rsidRPr="00091680">
        <w:t xml:space="preserve">period </w:t>
      </w:r>
      <w:r w:rsidR="00760062" w:rsidRPr="00091680">
        <w:t>remain belo</w:t>
      </w:r>
      <w:r w:rsidR="00E07245" w:rsidRPr="00091680">
        <w:t xml:space="preserve">w the Treasurer’s </w:t>
      </w:r>
      <w:r w:rsidR="00470349" w:rsidRPr="00091680">
        <w:t>Direction</w:t>
      </w:r>
      <w:r w:rsidR="00E07245" w:rsidRPr="00091680">
        <w:t xml:space="preserve"> </w:t>
      </w:r>
      <w:r w:rsidR="00C828CA" w:rsidRPr="00091680">
        <w:t>of the maximum</w:t>
      </w:r>
      <w:r w:rsidR="008B3459" w:rsidRPr="00091680">
        <w:t xml:space="preserve"> face value of AGS that can be on issue.</w:t>
      </w:r>
      <w:r w:rsidR="00E145A6" w:rsidRPr="00091680">
        <w:t xml:space="preserve"> </w:t>
      </w:r>
      <w:bookmarkStart w:id="8" w:name="_Toc67660281"/>
    </w:p>
    <w:p w14:paraId="7595B234" w14:textId="7ED1A5C7" w:rsidR="003C48F3" w:rsidRPr="00091680" w:rsidRDefault="003C48F3" w:rsidP="006971E8">
      <w:pPr>
        <w:pStyle w:val="Heading3"/>
      </w:pPr>
      <w:bookmarkStart w:id="9" w:name="_Toc98531929"/>
      <w:r w:rsidRPr="00091680">
        <w:t xml:space="preserve">Changes in AGS on issue since the </w:t>
      </w:r>
      <w:r w:rsidR="0078050B" w:rsidRPr="00091680">
        <w:t>2021</w:t>
      </w:r>
      <w:r w:rsidR="00CB5997" w:rsidRPr="00091680">
        <w:noBreakHyphen/>
      </w:r>
      <w:r w:rsidR="0078050B" w:rsidRPr="00091680">
        <w:t>22</w:t>
      </w:r>
      <w:r w:rsidRPr="00091680">
        <w:t xml:space="preserve"> </w:t>
      </w:r>
      <w:bookmarkEnd w:id="8"/>
      <w:r w:rsidR="00CB3A23" w:rsidRPr="00091680">
        <w:t>MYEFO</w:t>
      </w:r>
      <w:bookmarkEnd w:id="9"/>
    </w:p>
    <w:p w14:paraId="0AE277F2" w14:textId="41480AAE" w:rsidR="003C48F3" w:rsidRPr="00091680" w:rsidRDefault="003C48F3" w:rsidP="003C48F3">
      <w:r w:rsidRPr="00091680">
        <w:t xml:space="preserve">Table </w:t>
      </w:r>
      <w:r w:rsidR="001E52C1" w:rsidRPr="00091680">
        <w:t>6</w:t>
      </w:r>
      <w:r w:rsidRPr="00091680">
        <w:t>.2 shows the change in the estimated end</w:t>
      </w:r>
      <w:r w:rsidRPr="00091680">
        <w:noBreakHyphen/>
        <w:t>of</w:t>
      </w:r>
      <w:r w:rsidRPr="00091680">
        <w:noBreakHyphen/>
        <w:t xml:space="preserve">year face value of AGS on issue subject to the Treasurer’s Direction between </w:t>
      </w:r>
      <w:r w:rsidR="00C67EAB" w:rsidRPr="00091680">
        <w:t>MYEFO</w:t>
      </w:r>
      <w:r w:rsidRPr="00091680">
        <w:t xml:space="preserve"> and the </w:t>
      </w:r>
      <w:r w:rsidR="00F26D82" w:rsidRPr="00091680">
        <w:t>2022</w:t>
      </w:r>
      <w:r w:rsidR="00C67EAB" w:rsidRPr="00091680">
        <w:noBreakHyphen/>
      </w:r>
      <w:r w:rsidR="00F26D82" w:rsidRPr="00091680">
        <w:t>23</w:t>
      </w:r>
      <w:r w:rsidRPr="00091680">
        <w:t> Budget.</w:t>
      </w:r>
    </w:p>
    <w:p w14:paraId="2D20268D" w14:textId="0AA581BC" w:rsidR="003C48F3" w:rsidRPr="00CA0EC8" w:rsidRDefault="00F212FB" w:rsidP="003C48F3">
      <w:pPr>
        <w:spacing w:after="200"/>
      </w:pPr>
      <w:r w:rsidRPr="00091680">
        <w:t>G</w:t>
      </w:r>
      <w:r w:rsidR="003C48F3" w:rsidRPr="00091680">
        <w:t xml:space="preserve">ross debt </w:t>
      </w:r>
      <w:r w:rsidR="00032A07">
        <w:t xml:space="preserve">as a share of GDP </w:t>
      </w:r>
      <w:r w:rsidR="003C48F3" w:rsidRPr="00091680">
        <w:t xml:space="preserve">is expected to be lower across </w:t>
      </w:r>
      <w:r w:rsidR="009152C4" w:rsidRPr="00091680">
        <w:t>each year of the forward estimates</w:t>
      </w:r>
      <w:r w:rsidR="00CC1F3F" w:rsidRPr="00091680">
        <w:t xml:space="preserve"> and</w:t>
      </w:r>
      <w:r w:rsidR="00CC1F3F" w:rsidRPr="000C381F">
        <w:t xml:space="preserve"> </w:t>
      </w:r>
      <w:r w:rsidR="00CC1F3F" w:rsidRPr="00091680">
        <w:t>medium term</w:t>
      </w:r>
      <w:r w:rsidRPr="00091680">
        <w:t xml:space="preserve"> than </w:t>
      </w:r>
      <w:r w:rsidR="00032A07">
        <w:t xml:space="preserve">expected </w:t>
      </w:r>
      <w:r w:rsidRPr="00091680">
        <w:t>at MYEFO</w:t>
      </w:r>
      <w:r w:rsidR="003C48F3" w:rsidRPr="00091680">
        <w:t>.</w:t>
      </w:r>
      <w:r w:rsidR="000E5E4B" w:rsidRPr="00091680">
        <w:t xml:space="preserve"> </w:t>
      </w:r>
      <w:r w:rsidR="003C48F3" w:rsidRPr="00091680">
        <w:t xml:space="preserve">The improvement is </w:t>
      </w:r>
      <w:r w:rsidR="00AF2241" w:rsidRPr="00091680">
        <w:t xml:space="preserve">primarily </w:t>
      </w:r>
      <w:r w:rsidR="003C48F3" w:rsidRPr="00091680">
        <w:t xml:space="preserve">driven by the </w:t>
      </w:r>
      <w:r w:rsidR="00D24696" w:rsidRPr="00091680">
        <w:t xml:space="preserve">improved outlook for the </w:t>
      </w:r>
      <w:r w:rsidR="00BA39B6" w:rsidRPr="00091680">
        <w:t xml:space="preserve">underlying cash </w:t>
      </w:r>
      <w:r w:rsidR="00D24696" w:rsidRPr="00091680">
        <w:t>balance</w:t>
      </w:r>
      <w:r w:rsidR="003C48F3" w:rsidRPr="00091680">
        <w:t>.</w:t>
      </w:r>
    </w:p>
    <w:p w14:paraId="0C07DA58" w14:textId="21330173" w:rsidR="00610378" w:rsidRPr="00CA0EC8" w:rsidRDefault="004F463E" w:rsidP="00A72EDF">
      <w:pPr>
        <w:spacing w:after="160" w:line="259" w:lineRule="auto"/>
      </w:pPr>
      <w:r w:rsidRPr="00091680">
        <w:t>Gross debt</w:t>
      </w:r>
      <w:r w:rsidR="00222142" w:rsidRPr="00091680">
        <w:t xml:space="preserve"> as a share of the economy</w:t>
      </w:r>
      <w:r w:rsidR="00A3578F" w:rsidRPr="00091680">
        <w:t xml:space="preserve"> is expected to </w:t>
      </w:r>
      <w:r w:rsidR="009E5DC4" w:rsidRPr="00091680">
        <w:t xml:space="preserve">peak </w:t>
      </w:r>
      <w:r w:rsidR="00946308" w:rsidRPr="00091680">
        <w:t>at 44.</w:t>
      </w:r>
      <w:r w:rsidR="00EC3DFB" w:rsidRPr="00091680">
        <w:t>9</w:t>
      </w:r>
      <w:r w:rsidR="00946308" w:rsidRPr="00091680">
        <w:t xml:space="preserve"> per cent of GDP at </w:t>
      </w:r>
      <w:r w:rsidR="00FA6C10" w:rsidRPr="00091680">
        <w:t>30</w:t>
      </w:r>
      <w:r w:rsidR="009A4582" w:rsidRPr="00091680">
        <w:t> </w:t>
      </w:r>
      <w:r w:rsidR="00FA6C10" w:rsidRPr="00091680">
        <w:t>June 202</w:t>
      </w:r>
      <w:r w:rsidR="00064BC5" w:rsidRPr="00091680">
        <w:t>5</w:t>
      </w:r>
      <w:r w:rsidR="00F17CD0" w:rsidRPr="00091680">
        <w:t xml:space="preserve">, </w:t>
      </w:r>
      <w:r w:rsidR="00200F91" w:rsidRPr="00091680">
        <w:t>5.4</w:t>
      </w:r>
      <w:r w:rsidR="006C5F6C" w:rsidRPr="00091680">
        <w:t xml:space="preserve"> percentage points lower</w:t>
      </w:r>
      <w:r w:rsidR="00F8704E" w:rsidRPr="00091680">
        <w:t xml:space="preserve"> </w:t>
      </w:r>
      <w:r w:rsidR="009208D0" w:rsidRPr="00091680">
        <w:t xml:space="preserve">and </w:t>
      </w:r>
      <w:r w:rsidR="003E7D9A" w:rsidRPr="00091680">
        <w:t>4</w:t>
      </w:r>
      <w:r w:rsidR="009208D0" w:rsidRPr="00091680">
        <w:t xml:space="preserve"> years earlier</w:t>
      </w:r>
      <w:r w:rsidR="00923C67" w:rsidRPr="00091680">
        <w:t xml:space="preserve"> </w:t>
      </w:r>
      <w:r w:rsidR="00E376C7" w:rsidRPr="00091680">
        <w:t>than at</w:t>
      </w:r>
      <w:r w:rsidR="000507FA" w:rsidRPr="00091680">
        <w:t xml:space="preserve"> MY</w:t>
      </w:r>
      <w:r w:rsidR="002804FD" w:rsidRPr="00091680">
        <w:t>EFO</w:t>
      </w:r>
      <w:r w:rsidR="00200F91" w:rsidRPr="00091680">
        <w:t xml:space="preserve">. Gross </w:t>
      </w:r>
      <w:r w:rsidR="00C87DED" w:rsidRPr="00091680">
        <w:t xml:space="preserve">debt </w:t>
      </w:r>
      <w:r w:rsidR="00F27985" w:rsidRPr="00091680">
        <w:t>is</w:t>
      </w:r>
      <w:r w:rsidR="00C87DED" w:rsidRPr="00091680">
        <w:t xml:space="preserve"> then</w:t>
      </w:r>
      <w:r w:rsidR="00F8704E" w:rsidRPr="00091680">
        <w:t xml:space="preserve"> </w:t>
      </w:r>
      <w:r w:rsidR="00F27985" w:rsidRPr="00091680">
        <w:t>projected to</w:t>
      </w:r>
      <w:r w:rsidR="00F8704E" w:rsidRPr="00091680">
        <w:t xml:space="preserve"> </w:t>
      </w:r>
      <w:r w:rsidR="00A3578F" w:rsidRPr="00091680">
        <w:t xml:space="preserve">fall </w:t>
      </w:r>
      <w:r w:rsidR="00F27985" w:rsidRPr="00091680">
        <w:t>to 4</w:t>
      </w:r>
      <w:r w:rsidR="00B0473D" w:rsidRPr="00091680">
        <w:t>0</w:t>
      </w:r>
      <w:r w:rsidR="00F27985" w:rsidRPr="00091680">
        <w:t>.</w:t>
      </w:r>
      <w:r w:rsidR="00B0473D" w:rsidRPr="00091680">
        <w:t>3</w:t>
      </w:r>
      <w:r w:rsidR="004866AD" w:rsidRPr="00091680">
        <w:t xml:space="preserve"> per cent of GDP by the end of</w:t>
      </w:r>
      <w:r w:rsidR="00A3578F" w:rsidRPr="00091680">
        <w:t xml:space="preserve"> the medium term. At</w:t>
      </w:r>
      <w:r w:rsidR="00091C10">
        <w:t> </w:t>
      </w:r>
      <w:r w:rsidR="00A3578F" w:rsidRPr="00091680">
        <w:t>MYEFO, gross debt was projected to stabilise at around 50 per cent of GDP in the medium term.</w:t>
      </w:r>
    </w:p>
    <w:p w14:paraId="6F5C43E6" w14:textId="713533CC" w:rsidR="000562B3" w:rsidRPr="00091680" w:rsidRDefault="003C48F3" w:rsidP="001B7EAF">
      <w:pPr>
        <w:pStyle w:val="TableHeading"/>
        <w:rPr>
          <w:rFonts w:asciiTheme="minorHAnsi" w:eastAsiaTheme="minorHAnsi" w:hAnsiTheme="minorHAnsi" w:cstheme="minorBidi"/>
          <w:b w:val="0"/>
          <w:sz w:val="22"/>
          <w:szCs w:val="22"/>
          <w:lang w:eastAsia="en-US"/>
        </w:rPr>
      </w:pPr>
      <w:r w:rsidRPr="00091680">
        <w:t xml:space="preserve">Table </w:t>
      </w:r>
      <w:r w:rsidR="001E52C1" w:rsidRPr="00091680">
        <w:t>6</w:t>
      </w:r>
      <w:r w:rsidRPr="00091680">
        <w:t>.2: Estimate</w:t>
      </w:r>
      <w:r w:rsidR="00044470" w:rsidRPr="00091680">
        <w:t>s of</w:t>
      </w:r>
      <w:r w:rsidRPr="00091680">
        <w:t xml:space="preserve"> AGS on issue subject to the Treasurer’s Direction —reconciliation from the </w:t>
      </w:r>
      <w:r w:rsidR="00853CFE" w:rsidRPr="00091680">
        <w:t>2021</w:t>
      </w:r>
      <w:r w:rsidR="00CB5997" w:rsidRPr="00091680">
        <w:noBreakHyphen/>
      </w:r>
      <w:r w:rsidR="00853CFE" w:rsidRPr="00091680">
        <w:t>22 MYEFO</w:t>
      </w:r>
      <w:r w:rsidRPr="00091680">
        <w:t xml:space="preserve"> to the </w:t>
      </w:r>
      <w:r w:rsidR="00853CFE" w:rsidRPr="00091680">
        <w:t>2022</w:t>
      </w:r>
      <w:r w:rsidR="00CB5997" w:rsidRPr="00091680">
        <w:noBreakHyphen/>
      </w:r>
      <w:r w:rsidR="00853CFE" w:rsidRPr="00091680">
        <w:t>23</w:t>
      </w:r>
      <w:r w:rsidRPr="00091680">
        <w:t xml:space="preserve"> Budge</w:t>
      </w:r>
      <w:r w:rsidR="00DD1A38" w:rsidRPr="00091680">
        <w:t>t</w:t>
      </w:r>
      <w:bookmarkStart w:id="10" w:name="_1709644441"/>
      <w:bookmarkStart w:id="11" w:name="_1709665764"/>
      <w:bookmarkStart w:id="12" w:name="_1709665771"/>
      <w:bookmarkEnd w:id="10"/>
      <w:bookmarkEnd w:id="11"/>
      <w:bookmarkEnd w:id="12"/>
    </w:p>
    <w:tbl>
      <w:tblPr>
        <w:tblW w:w="5000" w:type="pct"/>
        <w:tblCellMar>
          <w:left w:w="0" w:type="dxa"/>
          <w:right w:w="28" w:type="dxa"/>
        </w:tblCellMar>
        <w:tblLook w:val="04A0" w:firstRow="1" w:lastRow="0" w:firstColumn="1" w:lastColumn="0" w:noHBand="0" w:noVBand="1"/>
      </w:tblPr>
      <w:tblGrid>
        <w:gridCol w:w="4630"/>
        <w:gridCol w:w="725"/>
        <w:gridCol w:w="725"/>
        <w:gridCol w:w="905"/>
        <w:gridCol w:w="725"/>
      </w:tblGrid>
      <w:tr w:rsidR="000562B3" w:rsidRPr="005546AF" w14:paraId="769DFD9E" w14:textId="77777777" w:rsidTr="0095176D">
        <w:trPr>
          <w:trHeight w:hRule="exact" w:val="225"/>
        </w:trPr>
        <w:tc>
          <w:tcPr>
            <w:tcW w:w="3003" w:type="pct"/>
            <w:tcBorders>
              <w:top w:val="single" w:sz="4" w:space="0" w:color="000000"/>
              <w:left w:val="nil"/>
              <w:bottom w:val="nil"/>
              <w:right w:val="nil"/>
            </w:tcBorders>
            <w:shd w:val="clear" w:color="auto" w:fill="auto"/>
            <w:noWrap/>
            <w:vAlign w:val="center"/>
            <w:hideMark/>
          </w:tcPr>
          <w:p w14:paraId="4355816B" w14:textId="0643BAA7" w:rsidR="000562B3" w:rsidRPr="00091680" w:rsidRDefault="000562B3">
            <w:pPr>
              <w:rPr>
                <w:rFonts w:ascii="Arial" w:hAnsi="Arial" w:cs="Arial"/>
                <w:sz w:val="16"/>
                <w:szCs w:val="16"/>
              </w:rPr>
            </w:pPr>
            <w:r w:rsidRPr="00091680">
              <w:rPr>
                <w:rFonts w:ascii="Arial" w:hAnsi="Arial" w:cs="Arial"/>
                <w:sz w:val="16"/>
                <w:szCs w:val="16"/>
              </w:rPr>
              <w:t> </w:t>
            </w:r>
          </w:p>
        </w:tc>
        <w:tc>
          <w:tcPr>
            <w:tcW w:w="470" w:type="pct"/>
            <w:tcBorders>
              <w:top w:val="single" w:sz="4" w:space="0" w:color="000000"/>
              <w:left w:val="nil"/>
              <w:bottom w:val="nil"/>
              <w:right w:val="nil"/>
            </w:tcBorders>
            <w:shd w:val="clear" w:color="auto" w:fill="auto"/>
            <w:noWrap/>
            <w:vAlign w:val="center"/>
            <w:hideMark/>
          </w:tcPr>
          <w:p w14:paraId="4252CFAC"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2021-22</w:t>
            </w:r>
          </w:p>
        </w:tc>
        <w:tc>
          <w:tcPr>
            <w:tcW w:w="470" w:type="pct"/>
            <w:tcBorders>
              <w:top w:val="single" w:sz="4" w:space="0" w:color="000000"/>
              <w:left w:val="nil"/>
              <w:bottom w:val="nil"/>
              <w:right w:val="nil"/>
            </w:tcBorders>
            <w:shd w:val="clear" w:color="000000" w:fill="F2F9FC"/>
            <w:noWrap/>
            <w:vAlign w:val="center"/>
            <w:hideMark/>
          </w:tcPr>
          <w:p w14:paraId="7DF5BF3D"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2022-23</w:t>
            </w:r>
          </w:p>
        </w:tc>
        <w:tc>
          <w:tcPr>
            <w:tcW w:w="587" w:type="pct"/>
            <w:tcBorders>
              <w:top w:val="single" w:sz="4" w:space="0" w:color="000000"/>
              <w:left w:val="nil"/>
              <w:bottom w:val="nil"/>
              <w:right w:val="nil"/>
            </w:tcBorders>
            <w:shd w:val="clear" w:color="auto" w:fill="auto"/>
            <w:noWrap/>
            <w:vAlign w:val="center"/>
            <w:hideMark/>
          </w:tcPr>
          <w:p w14:paraId="57B68B7B"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2023-24</w:t>
            </w:r>
          </w:p>
        </w:tc>
        <w:tc>
          <w:tcPr>
            <w:tcW w:w="470" w:type="pct"/>
            <w:tcBorders>
              <w:top w:val="single" w:sz="4" w:space="0" w:color="000000"/>
              <w:left w:val="nil"/>
              <w:bottom w:val="nil"/>
              <w:right w:val="nil"/>
            </w:tcBorders>
            <w:shd w:val="clear" w:color="auto" w:fill="auto"/>
            <w:noWrap/>
            <w:vAlign w:val="center"/>
            <w:hideMark/>
          </w:tcPr>
          <w:p w14:paraId="1111E57F"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2024-25</w:t>
            </w:r>
          </w:p>
        </w:tc>
      </w:tr>
      <w:tr w:rsidR="000562B3" w:rsidRPr="005546AF" w14:paraId="4516EE02" w14:textId="77777777" w:rsidTr="0095176D">
        <w:trPr>
          <w:trHeight w:hRule="exact" w:val="225"/>
        </w:trPr>
        <w:tc>
          <w:tcPr>
            <w:tcW w:w="3003" w:type="pct"/>
            <w:tcBorders>
              <w:top w:val="nil"/>
              <w:left w:val="nil"/>
              <w:bottom w:val="nil"/>
              <w:right w:val="nil"/>
            </w:tcBorders>
            <w:shd w:val="clear" w:color="auto" w:fill="auto"/>
            <w:noWrap/>
            <w:vAlign w:val="center"/>
            <w:hideMark/>
          </w:tcPr>
          <w:p w14:paraId="2617975A" w14:textId="77777777" w:rsidR="000562B3" w:rsidRPr="00091680" w:rsidRDefault="000562B3" w:rsidP="00BA4DF1">
            <w:pPr>
              <w:spacing w:after="0" w:line="240" w:lineRule="auto"/>
              <w:jc w:val="right"/>
              <w:rPr>
                <w:rFonts w:ascii="Arial" w:hAnsi="Arial" w:cs="Arial"/>
                <w:sz w:val="16"/>
                <w:szCs w:val="16"/>
              </w:rPr>
            </w:pPr>
          </w:p>
        </w:tc>
        <w:tc>
          <w:tcPr>
            <w:tcW w:w="470" w:type="pct"/>
            <w:tcBorders>
              <w:top w:val="nil"/>
              <w:left w:val="nil"/>
              <w:bottom w:val="single" w:sz="4" w:space="0" w:color="auto"/>
              <w:right w:val="nil"/>
            </w:tcBorders>
            <w:shd w:val="clear" w:color="auto" w:fill="auto"/>
            <w:noWrap/>
            <w:vAlign w:val="center"/>
            <w:hideMark/>
          </w:tcPr>
          <w:p w14:paraId="72162265"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$b</w:t>
            </w:r>
          </w:p>
        </w:tc>
        <w:tc>
          <w:tcPr>
            <w:tcW w:w="470" w:type="pct"/>
            <w:tcBorders>
              <w:top w:val="nil"/>
              <w:left w:val="nil"/>
              <w:bottom w:val="single" w:sz="4" w:space="0" w:color="000000"/>
              <w:right w:val="nil"/>
            </w:tcBorders>
            <w:shd w:val="clear" w:color="000000" w:fill="F2F9FC"/>
            <w:noWrap/>
            <w:vAlign w:val="center"/>
            <w:hideMark/>
          </w:tcPr>
          <w:p w14:paraId="56328090"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$b</w:t>
            </w:r>
          </w:p>
        </w:tc>
        <w:tc>
          <w:tcPr>
            <w:tcW w:w="587" w:type="pct"/>
            <w:tcBorders>
              <w:top w:val="nil"/>
              <w:left w:val="nil"/>
              <w:bottom w:val="single" w:sz="4" w:space="0" w:color="000000"/>
              <w:right w:val="nil"/>
            </w:tcBorders>
            <w:shd w:val="clear" w:color="000000" w:fill="FFFFFF"/>
            <w:noWrap/>
            <w:vAlign w:val="center"/>
            <w:hideMark/>
          </w:tcPr>
          <w:p w14:paraId="6A7B0886"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$b</w:t>
            </w:r>
          </w:p>
        </w:tc>
        <w:tc>
          <w:tcPr>
            <w:tcW w:w="470" w:type="pct"/>
            <w:tcBorders>
              <w:top w:val="nil"/>
              <w:left w:val="nil"/>
              <w:bottom w:val="single" w:sz="4" w:space="0" w:color="000000"/>
              <w:right w:val="nil"/>
            </w:tcBorders>
            <w:shd w:val="clear" w:color="000000" w:fill="FFFFFF"/>
            <w:noWrap/>
            <w:vAlign w:val="center"/>
            <w:hideMark/>
          </w:tcPr>
          <w:p w14:paraId="0D02F252"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$b</w:t>
            </w:r>
          </w:p>
        </w:tc>
      </w:tr>
      <w:tr w:rsidR="000562B3" w:rsidRPr="005546AF" w14:paraId="22966BCA" w14:textId="77777777" w:rsidTr="0095176D">
        <w:trPr>
          <w:trHeight w:hRule="exact" w:val="60"/>
        </w:trPr>
        <w:tc>
          <w:tcPr>
            <w:tcW w:w="3003" w:type="pct"/>
            <w:tcBorders>
              <w:top w:val="nil"/>
              <w:left w:val="nil"/>
              <w:bottom w:val="nil"/>
              <w:right w:val="nil"/>
            </w:tcBorders>
            <w:shd w:val="clear" w:color="auto" w:fill="auto"/>
            <w:noWrap/>
            <w:vAlign w:val="center"/>
            <w:hideMark/>
          </w:tcPr>
          <w:p w14:paraId="1BB5A1BD" w14:textId="77777777" w:rsidR="000562B3" w:rsidRPr="00091680" w:rsidRDefault="000562B3" w:rsidP="00BA4DF1">
            <w:pPr>
              <w:spacing w:after="0" w:line="240" w:lineRule="auto"/>
              <w:jc w:val="right"/>
              <w:rPr>
                <w:rFonts w:ascii="Arial" w:hAnsi="Arial" w:cs="Arial"/>
                <w:sz w:val="16"/>
                <w:szCs w:val="16"/>
              </w:rPr>
            </w:pPr>
          </w:p>
        </w:tc>
        <w:tc>
          <w:tcPr>
            <w:tcW w:w="470" w:type="pct"/>
            <w:tcBorders>
              <w:top w:val="nil"/>
              <w:left w:val="nil"/>
              <w:bottom w:val="nil"/>
              <w:right w:val="nil"/>
            </w:tcBorders>
            <w:shd w:val="clear" w:color="auto" w:fill="auto"/>
            <w:noWrap/>
            <w:vAlign w:val="center"/>
            <w:hideMark/>
          </w:tcPr>
          <w:p w14:paraId="220A8F6D" w14:textId="77777777" w:rsidR="000562B3" w:rsidRPr="00091680" w:rsidRDefault="000562B3" w:rsidP="00BA4DF1">
            <w:pPr>
              <w:spacing w:after="0" w:line="240" w:lineRule="auto"/>
              <w:jc w:val="left"/>
              <w:rPr>
                <w:rFonts w:ascii="Times New Roman" w:hAnsi="Times New Roman"/>
              </w:rPr>
            </w:pPr>
          </w:p>
        </w:tc>
        <w:tc>
          <w:tcPr>
            <w:tcW w:w="470" w:type="pct"/>
            <w:tcBorders>
              <w:top w:val="nil"/>
              <w:left w:val="nil"/>
              <w:bottom w:val="nil"/>
              <w:right w:val="nil"/>
            </w:tcBorders>
            <w:shd w:val="clear" w:color="000000" w:fill="F2F9FC"/>
            <w:noWrap/>
            <w:vAlign w:val="center"/>
            <w:hideMark/>
          </w:tcPr>
          <w:p w14:paraId="0A2D122E"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 </w:t>
            </w:r>
          </w:p>
        </w:tc>
        <w:tc>
          <w:tcPr>
            <w:tcW w:w="587" w:type="pct"/>
            <w:tcBorders>
              <w:top w:val="nil"/>
              <w:left w:val="nil"/>
              <w:bottom w:val="nil"/>
              <w:right w:val="nil"/>
            </w:tcBorders>
            <w:shd w:val="clear" w:color="000000" w:fill="FFFFFF"/>
            <w:noWrap/>
            <w:vAlign w:val="center"/>
            <w:hideMark/>
          </w:tcPr>
          <w:p w14:paraId="7E1F306B"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 </w:t>
            </w:r>
          </w:p>
        </w:tc>
        <w:tc>
          <w:tcPr>
            <w:tcW w:w="470" w:type="pct"/>
            <w:tcBorders>
              <w:top w:val="nil"/>
              <w:left w:val="nil"/>
              <w:bottom w:val="nil"/>
              <w:right w:val="nil"/>
            </w:tcBorders>
            <w:shd w:val="clear" w:color="000000" w:fill="FFFFFF"/>
            <w:noWrap/>
            <w:vAlign w:val="center"/>
            <w:hideMark/>
          </w:tcPr>
          <w:p w14:paraId="0D91848A"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 </w:t>
            </w:r>
          </w:p>
        </w:tc>
      </w:tr>
      <w:tr w:rsidR="000562B3" w:rsidRPr="005546AF" w14:paraId="4F66A267" w14:textId="77777777" w:rsidTr="0095176D">
        <w:trPr>
          <w:trHeight w:hRule="exact" w:val="450"/>
        </w:trPr>
        <w:tc>
          <w:tcPr>
            <w:tcW w:w="3003" w:type="pct"/>
            <w:tcBorders>
              <w:top w:val="nil"/>
              <w:left w:val="nil"/>
              <w:bottom w:val="nil"/>
              <w:right w:val="nil"/>
            </w:tcBorders>
            <w:shd w:val="clear" w:color="auto" w:fill="auto"/>
            <w:vAlign w:val="center"/>
            <w:hideMark/>
          </w:tcPr>
          <w:p w14:paraId="7FB1ED0F" w14:textId="77777777" w:rsidR="000562B3" w:rsidRPr="00091680" w:rsidRDefault="000562B3" w:rsidP="00BA4DF1">
            <w:pPr>
              <w:spacing w:after="0" w:line="240" w:lineRule="auto"/>
              <w:jc w:val="left"/>
              <w:rPr>
                <w:rFonts w:ascii="Arial" w:hAnsi="Arial" w:cs="Arial"/>
                <w:b/>
                <w:sz w:val="16"/>
                <w:szCs w:val="16"/>
              </w:rPr>
            </w:pPr>
            <w:r w:rsidRPr="00091680">
              <w:rPr>
                <w:rFonts w:ascii="Arial" w:hAnsi="Arial" w:cs="Arial"/>
                <w:b/>
                <w:sz w:val="16"/>
                <w:szCs w:val="16"/>
              </w:rPr>
              <w:t>Total face value of AGS on issue subject to the Treasurer's Direction as at 2021-22 MYEFO</w:t>
            </w:r>
          </w:p>
        </w:tc>
        <w:tc>
          <w:tcPr>
            <w:tcW w:w="470" w:type="pct"/>
            <w:tcBorders>
              <w:top w:val="nil"/>
              <w:left w:val="nil"/>
              <w:bottom w:val="nil"/>
              <w:right w:val="nil"/>
            </w:tcBorders>
            <w:shd w:val="clear" w:color="auto" w:fill="auto"/>
            <w:noWrap/>
            <w:vAlign w:val="bottom"/>
            <w:hideMark/>
          </w:tcPr>
          <w:p w14:paraId="67E05FFE" w14:textId="77777777" w:rsidR="000562B3" w:rsidRPr="00091680" w:rsidRDefault="000562B3" w:rsidP="00847E0D">
            <w:pPr>
              <w:spacing w:after="0" w:line="240" w:lineRule="auto"/>
              <w:jc w:val="right"/>
              <w:rPr>
                <w:rFonts w:ascii="Arial" w:hAnsi="Arial" w:cs="Arial"/>
                <w:b/>
                <w:sz w:val="16"/>
                <w:szCs w:val="16"/>
              </w:rPr>
            </w:pPr>
            <w:r w:rsidRPr="00091680">
              <w:rPr>
                <w:rFonts w:ascii="Arial" w:hAnsi="Arial" w:cs="Arial"/>
                <w:b/>
                <w:sz w:val="16"/>
                <w:szCs w:val="16"/>
              </w:rPr>
              <w:t>919</w:t>
            </w:r>
          </w:p>
        </w:tc>
        <w:tc>
          <w:tcPr>
            <w:tcW w:w="470" w:type="pct"/>
            <w:tcBorders>
              <w:top w:val="nil"/>
              <w:left w:val="nil"/>
              <w:bottom w:val="nil"/>
              <w:right w:val="nil"/>
            </w:tcBorders>
            <w:shd w:val="clear" w:color="000000" w:fill="F2F9FC"/>
            <w:noWrap/>
            <w:vAlign w:val="bottom"/>
            <w:hideMark/>
          </w:tcPr>
          <w:p w14:paraId="25CF83BE" w14:textId="77777777" w:rsidR="000562B3" w:rsidRPr="00091680" w:rsidRDefault="000562B3" w:rsidP="00847E0D">
            <w:pPr>
              <w:spacing w:after="0" w:line="240" w:lineRule="auto"/>
              <w:jc w:val="right"/>
              <w:rPr>
                <w:rFonts w:ascii="Arial" w:hAnsi="Arial" w:cs="Arial"/>
                <w:b/>
                <w:sz w:val="16"/>
                <w:szCs w:val="16"/>
              </w:rPr>
            </w:pPr>
            <w:r w:rsidRPr="00091680">
              <w:rPr>
                <w:rFonts w:ascii="Arial" w:hAnsi="Arial" w:cs="Arial"/>
                <w:b/>
                <w:sz w:val="16"/>
                <w:szCs w:val="16"/>
              </w:rPr>
              <w:t xml:space="preserve">   1,017 </w:t>
            </w:r>
          </w:p>
        </w:tc>
        <w:tc>
          <w:tcPr>
            <w:tcW w:w="587" w:type="pct"/>
            <w:tcBorders>
              <w:top w:val="nil"/>
              <w:left w:val="nil"/>
              <w:bottom w:val="nil"/>
              <w:right w:val="nil"/>
            </w:tcBorders>
            <w:shd w:val="clear" w:color="auto" w:fill="auto"/>
            <w:noWrap/>
            <w:vAlign w:val="bottom"/>
            <w:hideMark/>
          </w:tcPr>
          <w:p w14:paraId="24FDDC27" w14:textId="77777777" w:rsidR="000562B3" w:rsidRPr="00091680" w:rsidRDefault="000562B3" w:rsidP="00847E0D">
            <w:pPr>
              <w:spacing w:after="0" w:line="240" w:lineRule="auto"/>
              <w:jc w:val="right"/>
              <w:rPr>
                <w:rFonts w:ascii="Arial" w:hAnsi="Arial" w:cs="Arial"/>
                <w:b/>
                <w:sz w:val="16"/>
                <w:szCs w:val="16"/>
              </w:rPr>
            </w:pPr>
            <w:r w:rsidRPr="00091680">
              <w:rPr>
                <w:rFonts w:ascii="Arial" w:hAnsi="Arial" w:cs="Arial"/>
                <w:b/>
                <w:sz w:val="16"/>
                <w:szCs w:val="16"/>
              </w:rPr>
              <w:t xml:space="preserve">        1,110 </w:t>
            </w:r>
          </w:p>
        </w:tc>
        <w:tc>
          <w:tcPr>
            <w:tcW w:w="470" w:type="pct"/>
            <w:tcBorders>
              <w:top w:val="nil"/>
              <w:left w:val="nil"/>
              <w:bottom w:val="nil"/>
              <w:right w:val="nil"/>
            </w:tcBorders>
            <w:shd w:val="clear" w:color="auto" w:fill="auto"/>
            <w:noWrap/>
            <w:vAlign w:val="bottom"/>
            <w:hideMark/>
          </w:tcPr>
          <w:p w14:paraId="39F38CA0" w14:textId="77777777" w:rsidR="000562B3" w:rsidRPr="00091680" w:rsidRDefault="000562B3" w:rsidP="00847E0D">
            <w:pPr>
              <w:spacing w:after="0" w:line="240" w:lineRule="auto"/>
              <w:jc w:val="right"/>
              <w:rPr>
                <w:rFonts w:ascii="Arial" w:hAnsi="Arial" w:cs="Arial"/>
                <w:b/>
                <w:sz w:val="16"/>
                <w:szCs w:val="16"/>
              </w:rPr>
            </w:pPr>
            <w:r w:rsidRPr="00091680">
              <w:rPr>
                <w:rFonts w:ascii="Arial" w:hAnsi="Arial" w:cs="Arial"/>
                <w:b/>
                <w:sz w:val="16"/>
                <w:szCs w:val="16"/>
              </w:rPr>
              <w:t xml:space="preserve">   1,189 </w:t>
            </w:r>
          </w:p>
        </w:tc>
      </w:tr>
      <w:tr w:rsidR="000562B3" w:rsidRPr="005546AF" w14:paraId="157A0B6A" w14:textId="77777777" w:rsidTr="0095176D">
        <w:trPr>
          <w:trHeight w:hRule="exact" w:val="60"/>
        </w:trPr>
        <w:tc>
          <w:tcPr>
            <w:tcW w:w="3003" w:type="pct"/>
            <w:tcBorders>
              <w:top w:val="nil"/>
              <w:left w:val="nil"/>
              <w:bottom w:val="nil"/>
              <w:right w:val="nil"/>
            </w:tcBorders>
            <w:shd w:val="clear" w:color="auto" w:fill="auto"/>
            <w:vAlign w:val="center"/>
            <w:hideMark/>
          </w:tcPr>
          <w:p w14:paraId="2F711FD0" w14:textId="77777777" w:rsidR="000562B3" w:rsidRPr="00091680" w:rsidRDefault="000562B3" w:rsidP="00BA4DF1">
            <w:pPr>
              <w:spacing w:after="0" w:line="240" w:lineRule="auto"/>
              <w:jc w:val="right"/>
              <w:rPr>
                <w:rFonts w:ascii="Arial" w:hAnsi="Arial" w:cs="Arial"/>
                <w:b/>
                <w:sz w:val="16"/>
                <w:szCs w:val="16"/>
              </w:rPr>
            </w:pPr>
          </w:p>
        </w:tc>
        <w:tc>
          <w:tcPr>
            <w:tcW w:w="470" w:type="pct"/>
            <w:tcBorders>
              <w:top w:val="nil"/>
              <w:left w:val="nil"/>
              <w:bottom w:val="nil"/>
              <w:right w:val="nil"/>
            </w:tcBorders>
            <w:shd w:val="clear" w:color="auto" w:fill="auto"/>
            <w:noWrap/>
            <w:vAlign w:val="bottom"/>
            <w:hideMark/>
          </w:tcPr>
          <w:p w14:paraId="21DE3299" w14:textId="77777777" w:rsidR="000562B3" w:rsidRPr="00091680" w:rsidRDefault="000562B3" w:rsidP="00BA4DF1">
            <w:pPr>
              <w:spacing w:after="0" w:line="240" w:lineRule="auto"/>
              <w:jc w:val="left"/>
              <w:rPr>
                <w:rFonts w:ascii="Times New Roman" w:hAnsi="Times New Roman"/>
              </w:rPr>
            </w:pPr>
          </w:p>
        </w:tc>
        <w:tc>
          <w:tcPr>
            <w:tcW w:w="470" w:type="pct"/>
            <w:tcBorders>
              <w:top w:val="nil"/>
              <w:left w:val="nil"/>
              <w:bottom w:val="nil"/>
              <w:right w:val="nil"/>
            </w:tcBorders>
            <w:shd w:val="clear" w:color="000000" w:fill="F2F9FC"/>
            <w:noWrap/>
            <w:vAlign w:val="bottom"/>
            <w:hideMark/>
          </w:tcPr>
          <w:p w14:paraId="6447EEB9"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 </w:t>
            </w:r>
          </w:p>
        </w:tc>
        <w:tc>
          <w:tcPr>
            <w:tcW w:w="587" w:type="pct"/>
            <w:tcBorders>
              <w:top w:val="nil"/>
              <w:left w:val="nil"/>
              <w:bottom w:val="nil"/>
              <w:right w:val="nil"/>
            </w:tcBorders>
            <w:shd w:val="clear" w:color="auto" w:fill="auto"/>
            <w:noWrap/>
            <w:vAlign w:val="bottom"/>
            <w:hideMark/>
          </w:tcPr>
          <w:p w14:paraId="369E1290" w14:textId="77777777" w:rsidR="000562B3" w:rsidRPr="00091680" w:rsidRDefault="000562B3" w:rsidP="00847E0D">
            <w:pPr>
              <w:spacing w:after="0" w:line="240" w:lineRule="auto"/>
              <w:jc w:val="right"/>
              <w:rPr>
                <w:rFonts w:ascii="Arial" w:hAnsi="Arial" w:cs="Arial"/>
                <w:sz w:val="16"/>
                <w:szCs w:val="16"/>
              </w:rPr>
            </w:pPr>
          </w:p>
        </w:tc>
        <w:tc>
          <w:tcPr>
            <w:tcW w:w="470" w:type="pct"/>
            <w:tcBorders>
              <w:top w:val="nil"/>
              <w:left w:val="nil"/>
              <w:bottom w:val="nil"/>
              <w:right w:val="nil"/>
            </w:tcBorders>
            <w:shd w:val="clear" w:color="auto" w:fill="auto"/>
            <w:noWrap/>
            <w:vAlign w:val="bottom"/>
            <w:hideMark/>
          </w:tcPr>
          <w:p w14:paraId="693AF29B" w14:textId="77777777" w:rsidR="000562B3" w:rsidRPr="00091680" w:rsidRDefault="000562B3" w:rsidP="00847E0D">
            <w:pPr>
              <w:spacing w:after="0" w:line="240" w:lineRule="auto"/>
              <w:jc w:val="right"/>
              <w:rPr>
                <w:rFonts w:ascii="Times New Roman" w:hAnsi="Times New Roman"/>
              </w:rPr>
            </w:pPr>
          </w:p>
        </w:tc>
      </w:tr>
      <w:tr w:rsidR="000562B3" w:rsidRPr="005546AF" w14:paraId="4E52954B" w14:textId="77777777" w:rsidTr="0095176D">
        <w:trPr>
          <w:trHeight w:hRule="exact" w:val="450"/>
        </w:trPr>
        <w:tc>
          <w:tcPr>
            <w:tcW w:w="3003" w:type="pct"/>
            <w:tcBorders>
              <w:top w:val="nil"/>
              <w:left w:val="nil"/>
              <w:bottom w:val="nil"/>
              <w:right w:val="nil"/>
            </w:tcBorders>
            <w:shd w:val="clear" w:color="auto" w:fill="auto"/>
            <w:vAlign w:val="center"/>
            <w:hideMark/>
          </w:tcPr>
          <w:p w14:paraId="06149297" w14:textId="77777777" w:rsidR="000562B3" w:rsidRPr="00091680" w:rsidRDefault="000562B3" w:rsidP="00BA4DF1">
            <w:pPr>
              <w:spacing w:after="0" w:line="240" w:lineRule="auto"/>
              <w:jc w:val="left"/>
              <w:rPr>
                <w:rFonts w:ascii="Arial" w:hAnsi="Arial" w:cs="Arial"/>
                <w:b/>
                <w:sz w:val="16"/>
                <w:szCs w:val="16"/>
              </w:rPr>
            </w:pPr>
            <w:r w:rsidRPr="00091680">
              <w:rPr>
                <w:rFonts w:ascii="Arial" w:hAnsi="Arial" w:cs="Arial"/>
                <w:b/>
                <w:sz w:val="16"/>
                <w:szCs w:val="16"/>
              </w:rPr>
              <w:t>Factors affecting the change in face value of AGS on issue from 2021-22 MYEFO to 2022-23 Budget(a)</w:t>
            </w:r>
          </w:p>
        </w:tc>
        <w:tc>
          <w:tcPr>
            <w:tcW w:w="470" w:type="pct"/>
            <w:tcBorders>
              <w:top w:val="nil"/>
              <w:left w:val="nil"/>
              <w:bottom w:val="nil"/>
              <w:right w:val="nil"/>
            </w:tcBorders>
            <w:shd w:val="clear" w:color="auto" w:fill="auto"/>
            <w:noWrap/>
            <w:vAlign w:val="center"/>
            <w:hideMark/>
          </w:tcPr>
          <w:p w14:paraId="5E485D5B" w14:textId="77777777" w:rsidR="000562B3" w:rsidRPr="00091680" w:rsidRDefault="000562B3" w:rsidP="00BA4DF1">
            <w:pPr>
              <w:spacing w:after="0" w:line="240" w:lineRule="auto"/>
              <w:jc w:val="left"/>
              <w:rPr>
                <w:rFonts w:ascii="Arial" w:hAnsi="Arial" w:cs="Arial"/>
                <w:b/>
                <w:sz w:val="16"/>
                <w:szCs w:val="16"/>
              </w:rPr>
            </w:pPr>
          </w:p>
        </w:tc>
        <w:tc>
          <w:tcPr>
            <w:tcW w:w="470" w:type="pct"/>
            <w:tcBorders>
              <w:top w:val="nil"/>
              <w:left w:val="nil"/>
              <w:bottom w:val="nil"/>
              <w:right w:val="nil"/>
            </w:tcBorders>
            <w:shd w:val="clear" w:color="000000" w:fill="F2F9FC"/>
            <w:noWrap/>
            <w:vAlign w:val="center"/>
            <w:hideMark/>
          </w:tcPr>
          <w:p w14:paraId="1932563C"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 </w:t>
            </w:r>
          </w:p>
        </w:tc>
        <w:tc>
          <w:tcPr>
            <w:tcW w:w="587" w:type="pct"/>
            <w:tcBorders>
              <w:top w:val="nil"/>
              <w:left w:val="nil"/>
              <w:bottom w:val="nil"/>
              <w:right w:val="nil"/>
            </w:tcBorders>
            <w:shd w:val="clear" w:color="auto" w:fill="auto"/>
            <w:noWrap/>
            <w:vAlign w:val="center"/>
            <w:hideMark/>
          </w:tcPr>
          <w:p w14:paraId="3B22FE09" w14:textId="77777777" w:rsidR="000562B3" w:rsidRPr="00091680" w:rsidRDefault="000562B3" w:rsidP="00847E0D">
            <w:pPr>
              <w:spacing w:after="0" w:line="240" w:lineRule="auto"/>
              <w:jc w:val="right"/>
              <w:rPr>
                <w:rFonts w:ascii="Arial" w:hAnsi="Arial" w:cs="Arial"/>
                <w:sz w:val="16"/>
                <w:szCs w:val="16"/>
              </w:rPr>
            </w:pPr>
          </w:p>
        </w:tc>
        <w:tc>
          <w:tcPr>
            <w:tcW w:w="470" w:type="pct"/>
            <w:tcBorders>
              <w:top w:val="nil"/>
              <w:left w:val="nil"/>
              <w:bottom w:val="nil"/>
              <w:right w:val="nil"/>
            </w:tcBorders>
            <w:shd w:val="clear" w:color="auto" w:fill="auto"/>
            <w:noWrap/>
            <w:vAlign w:val="center"/>
            <w:hideMark/>
          </w:tcPr>
          <w:p w14:paraId="487868A0" w14:textId="77777777" w:rsidR="000562B3" w:rsidRPr="00091680" w:rsidRDefault="000562B3" w:rsidP="00847E0D">
            <w:pPr>
              <w:spacing w:after="0" w:line="240" w:lineRule="auto"/>
              <w:jc w:val="right"/>
              <w:rPr>
                <w:rFonts w:ascii="Times New Roman" w:hAnsi="Times New Roman"/>
              </w:rPr>
            </w:pPr>
          </w:p>
        </w:tc>
      </w:tr>
      <w:tr w:rsidR="000562B3" w:rsidRPr="005546AF" w14:paraId="01B925A0" w14:textId="77777777" w:rsidTr="0095176D">
        <w:trPr>
          <w:trHeight w:hRule="exact" w:val="225"/>
        </w:trPr>
        <w:tc>
          <w:tcPr>
            <w:tcW w:w="3003" w:type="pct"/>
            <w:tcBorders>
              <w:top w:val="nil"/>
              <w:left w:val="nil"/>
              <w:bottom w:val="nil"/>
              <w:right w:val="nil"/>
            </w:tcBorders>
            <w:shd w:val="clear" w:color="auto" w:fill="auto"/>
            <w:vAlign w:val="center"/>
            <w:hideMark/>
          </w:tcPr>
          <w:p w14:paraId="51364FE9" w14:textId="77777777" w:rsidR="000562B3" w:rsidRPr="00091680" w:rsidRDefault="000562B3" w:rsidP="00BA4DF1">
            <w:pPr>
              <w:spacing w:after="0" w:line="240" w:lineRule="auto"/>
              <w:jc w:val="left"/>
              <w:rPr>
                <w:rFonts w:ascii="Arial" w:hAnsi="Arial" w:cs="Arial"/>
                <w:sz w:val="16"/>
                <w:szCs w:val="16"/>
              </w:rPr>
            </w:pPr>
            <w:r w:rsidRPr="00091680">
              <w:rPr>
                <w:rFonts w:ascii="Arial" w:hAnsi="Arial" w:cs="Arial"/>
                <w:sz w:val="16"/>
                <w:szCs w:val="16"/>
              </w:rPr>
              <w:t>Cumulative receipts decisions</w:t>
            </w:r>
          </w:p>
        </w:tc>
        <w:tc>
          <w:tcPr>
            <w:tcW w:w="470" w:type="pct"/>
            <w:tcBorders>
              <w:top w:val="nil"/>
              <w:left w:val="nil"/>
              <w:bottom w:val="nil"/>
              <w:right w:val="nil"/>
            </w:tcBorders>
            <w:shd w:val="clear" w:color="auto" w:fill="auto"/>
            <w:noWrap/>
            <w:vAlign w:val="center"/>
            <w:hideMark/>
          </w:tcPr>
          <w:p w14:paraId="2BA48C8A"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2.3</w:t>
            </w:r>
          </w:p>
        </w:tc>
        <w:tc>
          <w:tcPr>
            <w:tcW w:w="470" w:type="pct"/>
            <w:tcBorders>
              <w:top w:val="nil"/>
              <w:left w:val="nil"/>
              <w:bottom w:val="nil"/>
              <w:right w:val="nil"/>
            </w:tcBorders>
            <w:shd w:val="clear" w:color="000000" w:fill="F2F9FC"/>
            <w:noWrap/>
            <w:vAlign w:val="center"/>
            <w:hideMark/>
          </w:tcPr>
          <w:p w14:paraId="62B05D60"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10.7</w:t>
            </w:r>
          </w:p>
        </w:tc>
        <w:tc>
          <w:tcPr>
            <w:tcW w:w="587" w:type="pct"/>
            <w:tcBorders>
              <w:top w:val="nil"/>
              <w:left w:val="nil"/>
              <w:bottom w:val="nil"/>
              <w:right w:val="nil"/>
            </w:tcBorders>
            <w:shd w:val="clear" w:color="auto" w:fill="auto"/>
            <w:noWrap/>
            <w:vAlign w:val="center"/>
            <w:hideMark/>
          </w:tcPr>
          <w:p w14:paraId="22FB2483"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9.1</w:t>
            </w:r>
          </w:p>
        </w:tc>
        <w:tc>
          <w:tcPr>
            <w:tcW w:w="470" w:type="pct"/>
            <w:tcBorders>
              <w:top w:val="nil"/>
              <w:left w:val="nil"/>
              <w:bottom w:val="nil"/>
              <w:right w:val="nil"/>
            </w:tcBorders>
            <w:shd w:val="clear" w:color="auto" w:fill="auto"/>
            <w:noWrap/>
            <w:vAlign w:val="center"/>
            <w:hideMark/>
          </w:tcPr>
          <w:p w14:paraId="17B47A01"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8.5</w:t>
            </w:r>
          </w:p>
        </w:tc>
      </w:tr>
      <w:tr w:rsidR="000562B3" w:rsidRPr="005546AF" w14:paraId="7203E1D1" w14:textId="77777777" w:rsidTr="0095176D">
        <w:trPr>
          <w:trHeight w:hRule="exact" w:val="225"/>
        </w:trPr>
        <w:tc>
          <w:tcPr>
            <w:tcW w:w="3003" w:type="pct"/>
            <w:tcBorders>
              <w:top w:val="nil"/>
              <w:left w:val="nil"/>
              <w:bottom w:val="nil"/>
              <w:right w:val="nil"/>
            </w:tcBorders>
            <w:shd w:val="clear" w:color="auto" w:fill="auto"/>
            <w:noWrap/>
            <w:vAlign w:val="center"/>
            <w:hideMark/>
          </w:tcPr>
          <w:p w14:paraId="36E51383" w14:textId="77777777" w:rsidR="000562B3" w:rsidRPr="00091680" w:rsidRDefault="000562B3" w:rsidP="00BA4DF1">
            <w:pPr>
              <w:spacing w:after="0" w:line="240" w:lineRule="auto"/>
              <w:jc w:val="left"/>
              <w:rPr>
                <w:rFonts w:ascii="Arial" w:hAnsi="Arial" w:cs="Arial"/>
                <w:sz w:val="16"/>
                <w:szCs w:val="16"/>
              </w:rPr>
            </w:pPr>
            <w:r w:rsidRPr="00091680">
              <w:rPr>
                <w:rFonts w:ascii="Arial" w:hAnsi="Arial" w:cs="Arial"/>
                <w:sz w:val="16"/>
                <w:szCs w:val="16"/>
              </w:rPr>
              <w:t>Cumulative receipts variations</w:t>
            </w:r>
          </w:p>
        </w:tc>
        <w:tc>
          <w:tcPr>
            <w:tcW w:w="470" w:type="pct"/>
            <w:tcBorders>
              <w:top w:val="nil"/>
              <w:left w:val="nil"/>
              <w:bottom w:val="nil"/>
              <w:right w:val="nil"/>
            </w:tcBorders>
            <w:shd w:val="clear" w:color="auto" w:fill="auto"/>
            <w:noWrap/>
            <w:vAlign w:val="center"/>
            <w:hideMark/>
          </w:tcPr>
          <w:p w14:paraId="0D2A5EC3"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-26.8</w:t>
            </w:r>
          </w:p>
        </w:tc>
        <w:tc>
          <w:tcPr>
            <w:tcW w:w="470" w:type="pct"/>
            <w:tcBorders>
              <w:top w:val="nil"/>
              <w:left w:val="nil"/>
              <w:bottom w:val="nil"/>
              <w:right w:val="nil"/>
            </w:tcBorders>
            <w:shd w:val="clear" w:color="000000" w:fill="F2F9FC"/>
            <w:noWrap/>
            <w:vAlign w:val="center"/>
            <w:hideMark/>
          </w:tcPr>
          <w:p w14:paraId="2D8224F9"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-66.4</w:t>
            </w:r>
          </w:p>
        </w:tc>
        <w:tc>
          <w:tcPr>
            <w:tcW w:w="587" w:type="pct"/>
            <w:tcBorders>
              <w:top w:val="nil"/>
              <w:left w:val="nil"/>
              <w:bottom w:val="nil"/>
              <w:right w:val="nil"/>
            </w:tcBorders>
            <w:shd w:val="clear" w:color="auto" w:fill="auto"/>
            <w:noWrap/>
            <w:vAlign w:val="center"/>
            <w:hideMark/>
          </w:tcPr>
          <w:p w14:paraId="74D13EE5"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-99.7</w:t>
            </w:r>
          </w:p>
        </w:tc>
        <w:tc>
          <w:tcPr>
            <w:tcW w:w="470" w:type="pct"/>
            <w:tcBorders>
              <w:top w:val="nil"/>
              <w:left w:val="nil"/>
              <w:bottom w:val="nil"/>
              <w:right w:val="nil"/>
            </w:tcBorders>
            <w:shd w:val="clear" w:color="auto" w:fill="auto"/>
            <w:noWrap/>
            <w:vAlign w:val="center"/>
            <w:hideMark/>
          </w:tcPr>
          <w:p w14:paraId="1A66BA40"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-123.2</w:t>
            </w:r>
          </w:p>
        </w:tc>
      </w:tr>
      <w:tr w:rsidR="000562B3" w:rsidRPr="005546AF" w14:paraId="14F16FA7" w14:textId="77777777" w:rsidTr="0095176D">
        <w:trPr>
          <w:trHeight w:hRule="exact" w:val="225"/>
        </w:trPr>
        <w:tc>
          <w:tcPr>
            <w:tcW w:w="3003" w:type="pct"/>
            <w:tcBorders>
              <w:top w:val="nil"/>
              <w:left w:val="nil"/>
              <w:bottom w:val="nil"/>
              <w:right w:val="nil"/>
            </w:tcBorders>
            <w:shd w:val="clear" w:color="auto" w:fill="auto"/>
            <w:vAlign w:val="center"/>
            <w:hideMark/>
          </w:tcPr>
          <w:p w14:paraId="19FB1473" w14:textId="77777777" w:rsidR="000562B3" w:rsidRPr="00091680" w:rsidRDefault="000562B3" w:rsidP="00BA4DF1">
            <w:pPr>
              <w:spacing w:after="0" w:line="240" w:lineRule="auto"/>
              <w:jc w:val="left"/>
              <w:rPr>
                <w:rFonts w:ascii="Arial" w:hAnsi="Arial" w:cs="Arial"/>
                <w:sz w:val="16"/>
                <w:szCs w:val="16"/>
              </w:rPr>
            </w:pPr>
            <w:r w:rsidRPr="00091680">
              <w:rPr>
                <w:rFonts w:ascii="Arial" w:hAnsi="Arial" w:cs="Arial"/>
                <w:sz w:val="16"/>
                <w:szCs w:val="16"/>
              </w:rPr>
              <w:t>Cumulative payment decisions</w:t>
            </w:r>
          </w:p>
        </w:tc>
        <w:tc>
          <w:tcPr>
            <w:tcW w:w="470" w:type="pct"/>
            <w:tcBorders>
              <w:top w:val="nil"/>
              <w:left w:val="nil"/>
              <w:bottom w:val="nil"/>
              <w:right w:val="nil"/>
            </w:tcBorders>
            <w:shd w:val="clear" w:color="auto" w:fill="auto"/>
            <w:noWrap/>
            <w:vAlign w:val="center"/>
            <w:hideMark/>
          </w:tcPr>
          <w:p w14:paraId="504C4DA1"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6.5</w:t>
            </w:r>
          </w:p>
        </w:tc>
        <w:tc>
          <w:tcPr>
            <w:tcW w:w="470" w:type="pct"/>
            <w:tcBorders>
              <w:top w:val="nil"/>
              <w:left w:val="nil"/>
              <w:bottom w:val="nil"/>
              <w:right w:val="nil"/>
            </w:tcBorders>
            <w:shd w:val="clear" w:color="000000" w:fill="F2F9FC"/>
            <w:noWrap/>
            <w:vAlign w:val="center"/>
            <w:hideMark/>
          </w:tcPr>
          <w:p w14:paraId="1A4AE8C4"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15.3</w:t>
            </w:r>
          </w:p>
        </w:tc>
        <w:tc>
          <w:tcPr>
            <w:tcW w:w="587" w:type="pct"/>
            <w:tcBorders>
              <w:top w:val="nil"/>
              <w:left w:val="nil"/>
              <w:bottom w:val="nil"/>
              <w:right w:val="nil"/>
            </w:tcBorders>
            <w:shd w:val="clear" w:color="auto" w:fill="auto"/>
            <w:noWrap/>
            <w:vAlign w:val="center"/>
            <w:hideMark/>
          </w:tcPr>
          <w:p w14:paraId="46D0616C"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21.1</w:t>
            </w:r>
          </w:p>
        </w:tc>
        <w:tc>
          <w:tcPr>
            <w:tcW w:w="470" w:type="pct"/>
            <w:tcBorders>
              <w:top w:val="nil"/>
              <w:left w:val="nil"/>
              <w:bottom w:val="nil"/>
              <w:right w:val="nil"/>
            </w:tcBorders>
            <w:shd w:val="clear" w:color="auto" w:fill="auto"/>
            <w:noWrap/>
            <w:vAlign w:val="center"/>
            <w:hideMark/>
          </w:tcPr>
          <w:p w14:paraId="43364B3E"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26.9</w:t>
            </w:r>
          </w:p>
        </w:tc>
      </w:tr>
      <w:tr w:rsidR="000562B3" w:rsidRPr="005546AF" w14:paraId="6CBD65A8" w14:textId="77777777" w:rsidTr="0095176D">
        <w:trPr>
          <w:trHeight w:hRule="exact" w:val="225"/>
        </w:trPr>
        <w:tc>
          <w:tcPr>
            <w:tcW w:w="3003" w:type="pct"/>
            <w:tcBorders>
              <w:top w:val="nil"/>
              <w:left w:val="nil"/>
              <w:bottom w:val="nil"/>
              <w:right w:val="nil"/>
            </w:tcBorders>
            <w:shd w:val="clear" w:color="auto" w:fill="auto"/>
            <w:noWrap/>
            <w:vAlign w:val="center"/>
            <w:hideMark/>
          </w:tcPr>
          <w:p w14:paraId="0D552340" w14:textId="77777777" w:rsidR="000562B3" w:rsidRPr="00091680" w:rsidRDefault="000562B3" w:rsidP="00BA4DF1">
            <w:pPr>
              <w:spacing w:after="0" w:line="240" w:lineRule="auto"/>
              <w:jc w:val="left"/>
              <w:rPr>
                <w:rFonts w:ascii="Arial" w:hAnsi="Arial" w:cs="Arial"/>
                <w:sz w:val="16"/>
                <w:szCs w:val="16"/>
              </w:rPr>
            </w:pPr>
            <w:r w:rsidRPr="00091680">
              <w:rPr>
                <w:rFonts w:ascii="Arial" w:hAnsi="Arial" w:cs="Arial"/>
                <w:sz w:val="16"/>
                <w:szCs w:val="16"/>
              </w:rPr>
              <w:t>Cumulative payment variations</w:t>
            </w:r>
          </w:p>
        </w:tc>
        <w:tc>
          <w:tcPr>
            <w:tcW w:w="470" w:type="pct"/>
            <w:tcBorders>
              <w:top w:val="nil"/>
              <w:left w:val="nil"/>
              <w:bottom w:val="nil"/>
              <w:right w:val="nil"/>
            </w:tcBorders>
            <w:shd w:val="clear" w:color="auto" w:fill="auto"/>
            <w:noWrap/>
            <w:vAlign w:val="center"/>
            <w:hideMark/>
          </w:tcPr>
          <w:p w14:paraId="16360FF7"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-1.4</w:t>
            </w:r>
          </w:p>
        </w:tc>
        <w:tc>
          <w:tcPr>
            <w:tcW w:w="470" w:type="pct"/>
            <w:tcBorders>
              <w:top w:val="nil"/>
              <w:left w:val="nil"/>
              <w:bottom w:val="nil"/>
              <w:right w:val="nil"/>
            </w:tcBorders>
            <w:shd w:val="clear" w:color="000000" w:fill="F2F9FC"/>
            <w:noWrap/>
            <w:vAlign w:val="center"/>
            <w:hideMark/>
          </w:tcPr>
          <w:p w14:paraId="330F35AC"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0.0</w:t>
            </w:r>
          </w:p>
        </w:tc>
        <w:tc>
          <w:tcPr>
            <w:tcW w:w="587" w:type="pct"/>
            <w:tcBorders>
              <w:top w:val="nil"/>
              <w:left w:val="nil"/>
              <w:bottom w:val="nil"/>
              <w:right w:val="nil"/>
            </w:tcBorders>
            <w:shd w:val="clear" w:color="auto" w:fill="auto"/>
            <w:noWrap/>
            <w:vAlign w:val="center"/>
            <w:hideMark/>
          </w:tcPr>
          <w:p w14:paraId="698AD123"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1.3</w:t>
            </w:r>
          </w:p>
        </w:tc>
        <w:tc>
          <w:tcPr>
            <w:tcW w:w="470" w:type="pct"/>
            <w:tcBorders>
              <w:top w:val="nil"/>
              <w:left w:val="nil"/>
              <w:bottom w:val="nil"/>
              <w:right w:val="nil"/>
            </w:tcBorders>
            <w:shd w:val="clear" w:color="auto" w:fill="auto"/>
            <w:noWrap/>
            <w:vAlign w:val="center"/>
            <w:hideMark/>
          </w:tcPr>
          <w:p w14:paraId="0D861AC3"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9.2</w:t>
            </w:r>
          </w:p>
        </w:tc>
      </w:tr>
      <w:tr w:rsidR="000562B3" w:rsidRPr="005546AF" w14:paraId="50F99D4B" w14:textId="77777777" w:rsidTr="0095176D">
        <w:trPr>
          <w:trHeight w:hRule="exact" w:val="225"/>
        </w:trPr>
        <w:tc>
          <w:tcPr>
            <w:tcW w:w="3003" w:type="pct"/>
            <w:tcBorders>
              <w:top w:val="nil"/>
              <w:left w:val="nil"/>
              <w:bottom w:val="nil"/>
              <w:right w:val="nil"/>
            </w:tcBorders>
            <w:shd w:val="clear" w:color="auto" w:fill="auto"/>
            <w:noWrap/>
            <w:vAlign w:val="center"/>
            <w:hideMark/>
          </w:tcPr>
          <w:p w14:paraId="38F1CE6D" w14:textId="77777777" w:rsidR="000562B3" w:rsidRPr="00091680" w:rsidRDefault="000562B3" w:rsidP="00BA4DF1">
            <w:pPr>
              <w:spacing w:after="0" w:line="240" w:lineRule="auto"/>
              <w:jc w:val="left"/>
              <w:rPr>
                <w:rFonts w:ascii="Arial" w:hAnsi="Arial" w:cs="Arial"/>
                <w:sz w:val="16"/>
                <w:szCs w:val="16"/>
              </w:rPr>
            </w:pPr>
            <w:r w:rsidRPr="00091680">
              <w:rPr>
                <w:rFonts w:ascii="Arial" w:hAnsi="Arial" w:cs="Arial"/>
                <w:sz w:val="16"/>
                <w:szCs w:val="16"/>
              </w:rPr>
              <w:t>Cumulative change in net investments in financial assets(b)</w:t>
            </w:r>
          </w:p>
        </w:tc>
        <w:tc>
          <w:tcPr>
            <w:tcW w:w="470" w:type="pct"/>
            <w:tcBorders>
              <w:top w:val="nil"/>
              <w:left w:val="nil"/>
              <w:bottom w:val="nil"/>
              <w:right w:val="nil"/>
            </w:tcBorders>
            <w:shd w:val="clear" w:color="auto" w:fill="auto"/>
            <w:noWrap/>
            <w:vAlign w:val="center"/>
            <w:hideMark/>
          </w:tcPr>
          <w:p w14:paraId="2F88F0C2"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-0.7</w:t>
            </w:r>
          </w:p>
        </w:tc>
        <w:tc>
          <w:tcPr>
            <w:tcW w:w="470" w:type="pct"/>
            <w:tcBorders>
              <w:top w:val="nil"/>
              <w:left w:val="nil"/>
              <w:bottom w:val="nil"/>
              <w:right w:val="nil"/>
            </w:tcBorders>
            <w:shd w:val="clear" w:color="000000" w:fill="F2F9FC"/>
            <w:noWrap/>
            <w:vAlign w:val="center"/>
            <w:hideMark/>
          </w:tcPr>
          <w:p w14:paraId="33890F0E"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-0.3</w:t>
            </w:r>
          </w:p>
        </w:tc>
        <w:tc>
          <w:tcPr>
            <w:tcW w:w="587" w:type="pct"/>
            <w:tcBorders>
              <w:top w:val="nil"/>
              <w:left w:val="nil"/>
              <w:bottom w:val="nil"/>
              <w:right w:val="nil"/>
            </w:tcBorders>
            <w:shd w:val="clear" w:color="auto" w:fill="auto"/>
            <w:noWrap/>
            <w:vAlign w:val="center"/>
            <w:hideMark/>
          </w:tcPr>
          <w:p w14:paraId="2C1357FD"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0.3</w:t>
            </w:r>
          </w:p>
        </w:tc>
        <w:tc>
          <w:tcPr>
            <w:tcW w:w="470" w:type="pct"/>
            <w:tcBorders>
              <w:top w:val="nil"/>
              <w:left w:val="nil"/>
              <w:bottom w:val="nil"/>
              <w:right w:val="nil"/>
            </w:tcBorders>
            <w:shd w:val="clear" w:color="auto" w:fill="auto"/>
            <w:noWrap/>
            <w:vAlign w:val="center"/>
            <w:hideMark/>
          </w:tcPr>
          <w:p w14:paraId="7D235ED2"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1.9</w:t>
            </w:r>
          </w:p>
        </w:tc>
      </w:tr>
      <w:tr w:rsidR="000562B3" w:rsidRPr="005546AF" w14:paraId="3B8A22FC" w14:textId="77777777" w:rsidTr="0095176D">
        <w:trPr>
          <w:trHeight w:hRule="exact" w:val="255"/>
        </w:trPr>
        <w:tc>
          <w:tcPr>
            <w:tcW w:w="3003" w:type="pct"/>
            <w:tcBorders>
              <w:top w:val="nil"/>
              <w:left w:val="nil"/>
              <w:bottom w:val="nil"/>
              <w:right w:val="nil"/>
            </w:tcBorders>
            <w:shd w:val="clear" w:color="auto" w:fill="auto"/>
            <w:noWrap/>
            <w:vAlign w:val="center"/>
            <w:hideMark/>
          </w:tcPr>
          <w:p w14:paraId="13141B98" w14:textId="77777777" w:rsidR="000562B3" w:rsidRPr="00091680" w:rsidRDefault="000562B3" w:rsidP="00BA4DF1">
            <w:pPr>
              <w:spacing w:after="0" w:line="240" w:lineRule="auto"/>
              <w:jc w:val="left"/>
              <w:rPr>
                <w:rFonts w:ascii="Arial" w:hAnsi="Arial" w:cs="Arial"/>
                <w:sz w:val="16"/>
                <w:szCs w:val="16"/>
              </w:rPr>
            </w:pPr>
            <w:r w:rsidRPr="00091680">
              <w:rPr>
                <w:rFonts w:ascii="Arial" w:hAnsi="Arial" w:cs="Arial"/>
                <w:sz w:val="16"/>
                <w:szCs w:val="16"/>
              </w:rPr>
              <w:t>Other contributors</w:t>
            </w:r>
          </w:p>
        </w:tc>
        <w:tc>
          <w:tcPr>
            <w:tcW w:w="470" w:type="pct"/>
            <w:tcBorders>
              <w:top w:val="nil"/>
              <w:left w:val="nil"/>
              <w:bottom w:val="nil"/>
              <w:right w:val="nil"/>
            </w:tcBorders>
            <w:shd w:val="clear" w:color="auto" w:fill="auto"/>
            <w:noWrap/>
            <w:vAlign w:val="center"/>
            <w:hideMark/>
          </w:tcPr>
          <w:p w14:paraId="0573456D"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6.9</w:t>
            </w:r>
          </w:p>
        </w:tc>
        <w:tc>
          <w:tcPr>
            <w:tcW w:w="470" w:type="pct"/>
            <w:tcBorders>
              <w:top w:val="nil"/>
              <w:left w:val="nil"/>
              <w:bottom w:val="nil"/>
              <w:right w:val="nil"/>
            </w:tcBorders>
            <w:shd w:val="clear" w:color="000000" w:fill="F2F9FC"/>
            <w:noWrap/>
            <w:vAlign w:val="center"/>
            <w:hideMark/>
          </w:tcPr>
          <w:p w14:paraId="323B2AB5"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0.4</w:t>
            </w:r>
          </w:p>
        </w:tc>
        <w:tc>
          <w:tcPr>
            <w:tcW w:w="587" w:type="pct"/>
            <w:tcBorders>
              <w:top w:val="nil"/>
              <w:left w:val="nil"/>
              <w:bottom w:val="nil"/>
              <w:right w:val="nil"/>
            </w:tcBorders>
            <w:shd w:val="clear" w:color="auto" w:fill="auto"/>
            <w:noWrap/>
            <w:vAlign w:val="center"/>
            <w:hideMark/>
          </w:tcPr>
          <w:p w14:paraId="22E23FDE"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14.3</w:t>
            </w:r>
          </w:p>
        </w:tc>
        <w:tc>
          <w:tcPr>
            <w:tcW w:w="470" w:type="pct"/>
            <w:tcBorders>
              <w:top w:val="nil"/>
              <w:left w:val="nil"/>
              <w:bottom w:val="nil"/>
              <w:right w:val="nil"/>
            </w:tcBorders>
            <w:shd w:val="clear" w:color="auto" w:fill="auto"/>
            <w:noWrap/>
            <w:vAlign w:val="center"/>
            <w:hideMark/>
          </w:tcPr>
          <w:p w14:paraId="5CB8E085"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4.3</w:t>
            </w:r>
          </w:p>
        </w:tc>
      </w:tr>
      <w:tr w:rsidR="000562B3" w:rsidRPr="005546AF" w14:paraId="4D21A97E" w14:textId="77777777" w:rsidTr="0095176D">
        <w:trPr>
          <w:trHeight w:hRule="exact" w:val="180"/>
        </w:trPr>
        <w:tc>
          <w:tcPr>
            <w:tcW w:w="3003" w:type="pct"/>
            <w:tcBorders>
              <w:top w:val="nil"/>
              <w:left w:val="nil"/>
              <w:bottom w:val="nil"/>
              <w:right w:val="nil"/>
            </w:tcBorders>
            <w:shd w:val="clear" w:color="auto" w:fill="auto"/>
            <w:noWrap/>
            <w:vAlign w:val="center"/>
            <w:hideMark/>
          </w:tcPr>
          <w:p w14:paraId="3D6D0121" w14:textId="77777777" w:rsidR="000562B3" w:rsidRPr="00091680" w:rsidRDefault="000562B3" w:rsidP="00BA4DF1">
            <w:pPr>
              <w:spacing w:after="0" w:line="240" w:lineRule="auto"/>
              <w:jc w:val="right"/>
              <w:rPr>
                <w:rFonts w:ascii="Arial" w:hAnsi="Arial" w:cs="Arial"/>
                <w:sz w:val="16"/>
                <w:szCs w:val="16"/>
              </w:rPr>
            </w:pPr>
          </w:p>
        </w:tc>
        <w:tc>
          <w:tcPr>
            <w:tcW w:w="470" w:type="pct"/>
            <w:tcBorders>
              <w:top w:val="nil"/>
              <w:left w:val="nil"/>
              <w:bottom w:val="nil"/>
              <w:right w:val="nil"/>
            </w:tcBorders>
            <w:shd w:val="clear" w:color="auto" w:fill="auto"/>
            <w:noWrap/>
            <w:vAlign w:val="center"/>
            <w:hideMark/>
          </w:tcPr>
          <w:p w14:paraId="19D111D4" w14:textId="77777777" w:rsidR="000562B3" w:rsidRPr="00091680" w:rsidRDefault="000562B3" w:rsidP="00BA4DF1">
            <w:pPr>
              <w:spacing w:after="0" w:line="240" w:lineRule="auto"/>
              <w:jc w:val="left"/>
              <w:rPr>
                <w:rFonts w:ascii="Times New Roman" w:hAnsi="Times New Roman"/>
              </w:rPr>
            </w:pPr>
          </w:p>
        </w:tc>
        <w:tc>
          <w:tcPr>
            <w:tcW w:w="470" w:type="pct"/>
            <w:tcBorders>
              <w:top w:val="nil"/>
              <w:left w:val="nil"/>
              <w:bottom w:val="nil"/>
              <w:right w:val="nil"/>
            </w:tcBorders>
            <w:shd w:val="clear" w:color="000000" w:fill="F2F9FC"/>
            <w:noWrap/>
            <w:vAlign w:val="center"/>
            <w:hideMark/>
          </w:tcPr>
          <w:p w14:paraId="04A5A665" w14:textId="77777777" w:rsidR="000562B3" w:rsidRPr="00091680" w:rsidRDefault="000562B3" w:rsidP="00847E0D">
            <w:pPr>
              <w:spacing w:after="0" w:line="240" w:lineRule="auto"/>
              <w:jc w:val="right"/>
              <w:rPr>
                <w:rFonts w:ascii="Arial" w:hAnsi="Arial" w:cs="Arial"/>
                <w:sz w:val="16"/>
                <w:szCs w:val="16"/>
              </w:rPr>
            </w:pPr>
            <w:r w:rsidRPr="00091680">
              <w:rPr>
                <w:rFonts w:ascii="Arial" w:hAnsi="Arial" w:cs="Arial"/>
                <w:sz w:val="16"/>
                <w:szCs w:val="16"/>
              </w:rPr>
              <w:t> </w:t>
            </w:r>
          </w:p>
        </w:tc>
        <w:tc>
          <w:tcPr>
            <w:tcW w:w="587" w:type="pct"/>
            <w:tcBorders>
              <w:top w:val="nil"/>
              <w:left w:val="nil"/>
              <w:bottom w:val="nil"/>
              <w:right w:val="nil"/>
            </w:tcBorders>
            <w:shd w:val="clear" w:color="auto" w:fill="auto"/>
            <w:noWrap/>
            <w:vAlign w:val="center"/>
            <w:hideMark/>
          </w:tcPr>
          <w:p w14:paraId="61ED22E4" w14:textId="77777777" w:rsidR="000562B3" w:rsidRPr="00091680" w:rsidRDefault="000562B3" w:rsidP="00847E0D">
            <w:pPr>
              <w:spacing w:after="0" w:line="240" w:lineRule="auto"/>
              <w:jc w:val="right"/>
              <w:rPr>
                <w:rFonts w:ascii="Arial" w:hAnsi="Arial" w:cs="Arial"/>
                <w:sz w:val="16"/>
                <w:szCs w:val="16"/>
              </w:rPr>
            </w:pPr>
          </w:p>
        </w:tc>
        <w:tc>
          <w:tcPr>
            <w:tcW w:w="470" w:type="pct"/>
            <w:tcBorders>
              <w:top w:val="nil"/>
              <w:left w:val="nil"/>
              <w:bottom w:val="nil"/>
              <w:right w:val="nil"/>
            </w:tcBorders>
            <w:shd w:val="clear" w:color="auto" w:fill="auto"/>
            <w:noWrap/>
            <w:vAlign w:val="center"/>
            <w:hideMark/>
          </w:tcPr>
          <w:p w14:paraId="6160797D" w14:textId="77777777" w:rsidR="000562B3" w:rsidRPr="00091680" w:rsidRDefault="000562B3" w:rsidP="00847E0D">
            <w:pPr>
              <w:spacing w:after="0" w:line="240" w:lineRule="auto"/>
              <w:jc w:val="right"/>
              <w:rPr>
                <w:rFonts w:ascii="Times New Roman" w:hAnsi="Times New Roman"/>
              </w:rPr>
            </w:pPr>
          </w:p>
        </w:tc>
      </w:tr>
      <w:tr w:rsidR="000562B3" w:rsidRPr="005546AF" w14:paraId="447A88E7" w14:textId="77777777" w:rsidTr="0095176D">
        <w:trPr>
          <w:trHeight w:hRule="exact" w:val="450"/>
        </w:trPr>
        <w:tc>
          <w:tcPr>
            <w:tcW w:w="3003" w:type="pct"/>
            <w:tcBorders>
              <w:top w:val="nil"/>
              <w:left w:val="nil"/>
              <w:bottom w:val="single" w:sz="4" w:space="0" w:color="000000"/>
              <w:right w:val="nil"/>
            </w:tcBorders>
            <w:shd w:val="clear" w:color="auto" w:fill="auto"/>
            <w:vAlign w:val="center"/>
            <w:hideMark/>
          </w:tcPr>
          <w:p w14:paraId="1F7034FF" w14:textId="77777777" w:rsidR="000562B3" w:rsidRPr="00091680" w:rsidRDefault="000562B3" w:rsidP="00BA4DF1">
            <w:pPr>
              <w:spacing w:after="0" w:line="240" w:lineRule="auto"/>
              <w:jc w:val="left"/>
              <w:rPr>
                <w:rFonts w:ascii="Arial" w:hAnsi="Arial" w:cs="Arial"/>
                <w:b/>
                <w:sz w:val="16"/>
                <w:szCs w:val="16"/>
              </w:rPr>
            </w:pPr>
            <w:r w:rsidRPr="00091680">
              <w:rPr>
                <w:rFonts w:ascii="Arial" w:hAnsi="Arial" w:cs="Arial"/>
                <w:b/>
                <w:sz w:val="16"/>
                <w:szCs w:val="16"/>
              </w:rPr>
              <w:t>Total face value of AGS on issue subject to the Treasurer's Direction as at 2022-23 Budget</w:t>
            </w:r>
          </w:p>
        </w:tc>
        <w:tc>
          <w:tcPr>
            <w:tcW w:w="470" w:type="pct"/>
            <w:tcBorders>
              <w:top w:val="single" w:sz="4" w:space="0" w:color="000000"/>
              <w:left w:val="nil"/>
              <w:bottom w:val="single" w:sz="4" w:space="0" w:color="000000"/>
              <w:right w:val="nil"/>
            </w:tcBorders>
            <w:shd w:val="clear" w:color="auto" w:fill="auto"/>
            <w:noWrap/>
            <w:vAlign w:val="bottom"/>
            <w:hideMark/>
          </w:tcPr>
          <w:p w14:paraId="2EADD588" w14:textId="77777777" w:rsidR="000562B3" w:rsidRPr="00091680" w:rsidRDefault="000562B3" w:rsidP="00847E0D">
            <w:pPr>
              <w:spacing w:after="0" w:line="240" w:lineRule="auto"/>
              <w:jc w:val="right"/>
              <w:rPr>
                <w:rFonts w:ascii="Arial" w:hAnsi="Arial" w:cs="Arial"/>
                <w:b/>
                <w:sz w:val="16"/>
                <w:szCs w:val="16"/>
              </w:rPr>
            </w:pPr>
            <w:r w:rsidRPr="00091680">
              <w:rPr>
                <w:rFonts w:ascii="Arial" w:hAnsi="Arial" w:cs="Arial"/>
                <w:b/>
                <w:sz w:val="16"/>
                <w:szCs w:val="16"/>
              </w:rPr>
              <w:t>906</w:t>
            </w:r>
          </w:p>
        </w:tc>
        <w:tc>
          <w:tcPr>
            <w:tcW w:w="470" w:type="pct"/>
            <w:tcBorders>
              <w:top w:val="single" w:sz="4" w:space="0" w:color="000000"/>
              <w:left w:val="nil"/>
              <w:bottom w:val="single" w:sz="4" w:space="0" w:color="000000"/>
              <w:right w:val="nil"/>
            </w:tcBorders>
            <w:shd w:val="clear" w:color="000000" w:fill="F2F9FC"/>
            <w:noWrap/>
            <w:vAlign w:val="bottom"/>
            <w:hideMark/>
          </w:tcPr>
          <w:p w14:paraId="5DE59367" w14:textId="77777777" w:rsidR="000562B3" w:rsidRPr="00091680" w:rsidRDefault="000562B3" w:rsidP="00847E0D">
            <w:pPr>
              <w:spacing w:after="0" w:line="240" w:lineRule="auto"/>
              <w:jc w:val="right"/>
              <w:rPr>
                <w:rFonts w:ascii="Arial" w:hAnsi="Arial" w:cs="Arial"/>
                <w:b/>
                <w:sz w:val="16"/>
                <w:szCs w:val="16"/>
              </w:rPr>
            </w:pPr>
            <w:r w:rsidRPr="00091680">
              <w:rPr>
                <w:rFonts w:ascii="Arial" w:hAnsi="Arial" w:cs="Arial"/>
                <w:b/>
                <w:sz w:val="16"/>
                <w:szCs w:val="16"/>
              </w:rPr>
              <w:t>977</w:t>
            </w:r>
          </w:p>
        </w:tc>
        <w:tc>
          <w:tcPr>
            <w:tcW w:w="587" w:type="pct"/>
            <w:tcBorders>
              <w:top w:val="single" w:sz="4" w:space="0" w:color="000000"/>
              <w:left w:val="nil"/>
              <w:bottom w:val="single" w:sz="4" w:space="0" w:color="000000"/>
              <w:right w:val="nil"/>
            </w:tcBorders>
            <w:shd w:val="clear" w:color="auto" w:fill="auto"/>
            <w:noWrap/>
            <w:vAlign w:val="bottom"/>
            <w:hideMark/>
          </w:tcPr>
          <w:p w14:paraId="4B54BDD2" w14:textId="323EC66B" w:rsidR="000562B3" w:rsidRPr="00091680" w:rsidRDefault="0095176D" w:rsidP="00847E0D">
            <w:pPr>
              <w:spacing w:after="0" w:line="240" w:lineRule="auto"/>
              <w:jc w:val="right"/>
              <w:rPr>
                <w:rFonts w:ascii="Arial" w:hAnsi="Arial" w:cs="Arial"/>
                <w:b/>
                <w:sz w:val="16"/>
                <w:szCs w:val="16"/>
              </w:rPr>
            </w:pPr>
            <w:r w:rsidRPr="00091680">
              <w:rPr>
                <w:rFonts w:ascii="Arial" w:hAnsi="Arial" w:cs="Arial"/>
                <w:b/>
                <w:sz w:val="16"/>
                <w:szCs w:val="16"/>
              </w:rPr>
              <w:t xml:space="preserve">1,056 </w:t>
            </w:r>
          </w:p>
        </w:tc>
        <w:tc>
          <w:tcPr>
            <w:tcW w:w="470" w:type="pct"/>
            <w:tcBorders>
              <w:top w:val="single" w:sz="4" w:space="0" w:color="000000"/>
              <w:left w:val="nil"/>
              <w:bottom w:val="single" w:sz="4" w:space="0" w:color="000000"/>
              <w:right w:val="nil"/>
            </w:tcBorders>
            <w:shd w:val="clear" w:color="auto" w:fill="auto"/>
            <w:noWrap/>
            <w:vAlign w:val="bottom"/>
            <w:hideMark/>
          </w:tcPr>
          <w:p w14:paraId="0D02EE3E" w14:textId="4011D12C" w:rsidR="000562B3" w:rsidRPr="00091680" w:rsidRDefault="0095176D" w:rsidP="00847E0D">
            <w:pPr>
              <w:spacing w:after="0" w:line="240" w:lineRule="auto"/>
              <w:jc w:val="right"/>
              <w:rPr>
                <w:rFonts w:ascii="Arial" w:hAnsi="Arial" w:cs="Arial"/>
                <w:b/>
                <w:sz w:val="16"/>
                <w:szCs w:val="16"/>
              </w:rPr>
            </w:pPr>
            <w:r w:rsidRPr="00091680">
              <w:rPr>
                <w:rFonts w:ascii="Arial" w:hAnsi="Arial" w:cs="Arial"/>
                <w:b/>
                <w:sz w:val="16"/>
                <w:szCs w:val="16"/>
              </w:rPr>
              <w:t xml:space="preserve">1,117 </w:t>
            </w:r>
          </w:p>
        </w:tc>
      </w:tr>
    </w:tbl>
    <w:p w14:paraId="0C314246" w14:textId="5FD7B485" w:rsidR="003C48F3" w:rsidRPr="00091680" w:rsidRDefault="003C48F3" w:rsidP="003A10A4">
      <w:pPr>
        <w:pStyle w:val="ChartandTableFootnoteAlpha"/>
        <w:numPr>
          <w:ilvl w:val="0"/>
          <w:numId w:val="11"/>
        </w:numPr>
        <w:rPr>
          <w:color w:val="auto"/>
        </w:rPr>
      </w:pPr>
      <w:r w:rsidRPr="00091680">
        <w:rPr>
          <w:color w:val="auto"/>
        </w:rPr>
        <w:t xml:space="preserve">Cumulative impact of decisions and variations from </w:t>
      </w:r>
      <w:r w:rsidR="00C665B2" w:rsidRPr="00C665B2">
        <w:rPr>
          <w:color w:val="auto"/>
        </w:rPr>
        <w:t>2021-22 to 2024-25</w:t>
      </w:r>
      <w:r w:rsidRPr="00091680">
        <w:rPr>
          <w:color w:val="auto"/>
        </w:rPr>
        <w:t>. Increases to payments are shown as</w:t>
      </w:r>
      <w:r w:rsidRPr="00091680" w:rsidDel="000562B3">
        <w:rPr>
          <w:color w:val="auto"/>
        </w:rPr>
        <w:t xml:space="preserve"> </w:t>
      </w:r>
      <w:r w:rsidRPr="00091680">
        <w:rPr>
          <w:color w:val="auto"/>
        </w:rPr>
        <w:t xml:space="preserve">positive and increases to receipts are shown as negative. </w:t>
      </w:r>
    </w:p>
    <w:p w14:paraId="58C81C85" w14:textId="77777777" w:rsidR="003C48F3" w:rsidRPr="00091680" w:rsidRDefault="003C48F3" w:rsidP="005A1803">
      <w:pPr>
        <w:pStyle w:val="ChartandTableFootnoteAlpha"/>
        <w:rPr>
          <w:color w:val="auto"/>
        </w:rPr>
      </w:pPr>
      <w:r w:rsidRPr="00091680">
        <w:rPr>
          <w:color w:val="auto"/>
        </w:rPr>
        <w:t>Change in net cash flows from investments in financial assets for policy and liquidity purposes.</w:t>
      </w:r>
    </w:p>
    <w:p w14:paraId="28F41A06" w14:textId="60051697" w:rsidR="003C48F3" w:rsidRDefault="003C48F3" w:rsidP="00A170D7">
      <w:pPr>
        <w:pStyle w:val="ChartandTableFootnoteAlpha"/>
        <w:numPr>
          <w:ilvl w:val="0"/>
          <w:numId w:val="0"/>
        </w:numPr>
      </w:pPr>
      <w:r w:rsidRPr="00091680">
        <w:rPr>
          <w:color w:val="auto"/>
        </w:rPr>
        <w:t>Note:</w:t>
      </w:r>
      <w:r w:rsidR="00A170D7" w:rsidRPr="00091680">
        <w:rPr>
          <w:color w:val="auto"/>
        </w:rPr>
        <w:t xml:space="preserve"> </w:t>
      </w:r>
      <w:r w:rsidR="00652D6F" w:rsidRPr="00091680">
        <w:rPr>
          <w:color w:val="auto"/>
        </w:rPr>
        <w:tab/>
      </w:r>
      <w:r w:rsidRPr="00091680">
        <w:rPr>
          <w:color w:val="auto"/>
        </w:rPr>
        <w:t>End</w:t>
      </w:r>
      <w:r w:rsidRPr="00091680">
        <w:rPr>
          <w:color w:val="auto"/>
        </w:rPr>
        <w:noBreakHyphen/>
        <w:t>of</w:t>
      </w:r>
      <w:r w:rsidRPr="00091680">
        <w:rPr>
          <w:color w:val="auto"/>
        </w:rPr>
        <w:noBreakHyphen/>
        <w:t>year data.</w:t>
      </w:r>
    </w:p>
    <w:p w14:paraId="37D79934" w14:textId="3E40976A" w:rsidR="003C48F3" w:rsidRPr="00091680" w:rsidRDefault="003C48F3" w:rsidP="006971E8">
      <w:pPr>
        <w:pStyle w:val="Heading3"/>
      </w:pPr>
      <w:bookmarkStart w:id="13" w:name="_Toc67660282"/>
      <w:bookmarkStart w:id="14" w:name="_Toc98531930"/>
      <w:r w:rsidRPr="00091680">
        <w:lastRenderedPageBreak/>
        <w:t>Breakdown of AGS currently on issue</w:t>
      </w:r>
      <w:bookmarkEnd w:id="13"/>
      <w:bookmarkEnd w:id="14"/>
    </w:p>
    <w:p w14:paraId="651D2725" w14:textId="5F98BAE3" w:rsidR="003C48F3" w:rsidRPr="00091680" w:rsidRDefault="003C48F3" w:rsidP="003C48F3">
      <w:r w:rsidRPr="00091680">
        <w:t xml:space="preserve">Table </w:t>
      </w:r>
      <w:r w:rsidR="001E52C1" w:rsidRPr="00091680">
        <w:t>6</w:t>
      </w:r>
      <w:r w:rsidRPr="00091680">
        <w:t xml:space="preserve">.3 provides a breakdown of the AGS on issue by type of security as at </w:t>
      </w:r>
      <w:r w:rsidR="00A96BAB" w:rsidRPr="00091680">
        <w:t>1</w:t>
      </w:r>
      <w:r w:rsidR="00780204" w:rsidRPr="00091680">
        <w:t>8</w:t>
      </w:r>
      <w:r w:rsidRPr="00091680">
        <w:t> </w:t>
      </w:r>
      <w:r w:rsidR="006A04C4" w:rsidRPr="00091680">
        <w:t>March</w:t>
      </w:r>
      <w:r w:rsidR="004E1EEF" w:rsidRPr="00091680">
        <w:t> </w:t>
      </w:r>
      <w:r w:rsidR="006A04C4" w:rsidRPr="00091680">
        <w:t>2022</w:t>
      </w:r>
      <w:r w:rsidRPr="00091680">
        <w:t>.</w:t>
      </w:r>
    </w:p>
    <w:p w14:paraId="0703D64F" w14:textId="0D6B137F" w:rsidR="005E4E0B" w:rsidRPr="00091680" w:rsidRDefault="003C48F3" w:rsidP="009531FA">
      <w:pPr>
        <w:pStyle w:val="TableHeading"/>
        <w:rPr>
          <w:rFonts w:asciiTheme="minorHAnsi" w:eastAsiaTheme="minorHAnsi" w:hAnsiTheme="minorHAnsi" w:cstheme="minorBidi"/>
          <w:sz w:val="22"/>
          <w:szCs w:val="22"/>
          <w:lang w:eastAsia="en-US"/>
        </w:rPr>
      </w:pPr>
      <w:r w:rsidRPr="00091680">
        <w:t xml:space="preserve">Table </w:t>
      </w:r>
      <w:r w:rsidR="001E52C1" w:rsidRPr="00091680">
        <w:t>6</w:t>
      </w:r>
      <w:r w:rsidRPr="00091680">
        <w:t>.3: Breakdown of current Australian Government Securities on issu</w:t>
      </w:r>
      <w:r w:rsidR="00CF03E9" w:rsidRPr="00091680">
        <w:t>e</w:t>
      </w:r>
      <w:bookmarkStart w:id="15" w:name="_1709802672"/>
      <w:bookmarkStart w:id="16" w:name="_1709802789"/>
      <w:bookmarkStart w:id="17" w:name="_1709753362"/>
      <w:bookmarkStart w:id="18" w:name="_1709753404"/>
      <w:bookmarkStart w:id="19" w:name="_1709748751"/>
      <w:bookmarkStart w:id="20" w:name="_1709731638"/>
      <w:bookmarkStart w:id="21" w:name="_1709721044"/>
      <w:bookmarkStart w:id="22" w:name="_1709801993"/>
      <w:bookmarkEnd w:id="15"/>
      <w:bookmarkEnd w:id="16"/>
      <w:bookmarkEnd w:id="17"/>
      <w:bookmarkEnd w:id="18"/>
      <w:bookmarkEnd w:id="19"/>
      <w:bookmarkEnd w:id="20"/>
      <w:bookmarkEnd w:id="21"/>
      <w:bookmarkEnd w:id="22"/>
    </w:p>
    <w:tbl>
      <w:tblPr>
        <w:tblW w:w="5000" w:type="pct"/>
        <w:tblCellMar>
          <w:left w:w="0" w:type="dxa"/>
          <w:right w:w="28" w:type="dxa"/>
        </w:tblCellMar>
        <w:tblLook w:val="04A0" w:firstRow="1" w:lastRow="0" w:firstColumn="1" w:lastColumn="0" w:noHBand="0" w:noVBand="1"/>
      </w:tblPr>
      <w:tblGrid>
        <w:gridCol w:w="5666"/>
        <w:gridCol w:w="945"/>
        <w:gridCol w:w="1099"/>
      </w:tblGrid>
      <w:tr w:rsidR="00A6042B" w:rsidRPr="005546AF" w14:paraId="2E9D3E3C" w14:textId="77777777" w:rsidTr="003456AD">
        <w:trPr>
          <w:trHeight w:hRule="exact" w:val="225"/>
        </w:trPr>
        <w:tc>
          <w:tcPr>
            <w:tcW w:w="3674" w:type="pct"/>
            <w:tcBorders>
              <w:top w:val="single" w:sz="4" w:space="0" w:color="auto"/>
              <w:left w:val="nil"/>
              <w:bottom w:val="nil"/>
              <w:right w:val="nil"/>
            </w:tcBorders>
            <w:shd w:val="clear" w:color="auto" w:fill="auto"/>
            <w:noWrap/>
            <w:vAlign w:val="center"/>
            <w:hideMark/>
          </w:tcPr>
          <w:p w14:paraId="6EF30ECD" w14:textId="6E9742FD" w:rsidR="004B52E3" w:rsidRPr="00091680" w:rsidRDefault="004B52E3" w:rsidP="008C3AED">
            <w:pPr>
              <w:rPr>
                <w:rFonts w:asciiTheme="minorHAnsi" w:eastAsiaTheme="minorHAnsi" w:hAnsiTheme="minorHAnsi" w:cstheme="minorBidi"/>
                <w:sz w:val="22"/>
                <w:szCs w:val="22"/>
                <w:lang w:eastAsia="en-US"/>
              </w:rPr>
            </w:pPr>
            <w:bookmarkStart w:id="23" w:name="_1709665965"/>
            <w:bookmarkStart w:id="24" w:name="_1709724252"/>
            <w:bookmarkStart w:id="25" w:name="_1709703158"/>
            <w:bookmarkStart w:id="26" w:name="_1709802910"/>
            <w:bookmarkEnd w:id="23"/>
            <w:bookmarkEnd w:id="24"/>
            <w:bookmarkEnd w:id="25"/>
            <w:bookmarkEnd w:id="26"/>
          </w:p>
          <w:tbl>
            <w:tblPr>
              <w:tblW w:w="5936" w:type="dxa"/>
              <w:tblLook w:val="04A0" w:firstRow="1" w:lastRow="0" w:firstColumn="1" w:lastColumn="0" w:noHBand="0" w:noVBand="1"/>
            </w:tblPr>
            <w:tblGrid>
              <w:gridCol w:w="3090"/>
              <w:gridCol w:w="1179"/>
              <w:gridCol w:w="1369"/>
            </w:tblGrid>
            <w:tr w:rsidR="004B52E3" w:rsidRPr="005546AF" w14:paraId="0D07E5DB" w14:textId="77777777" w:rsidTr="004B52E3">
              <w:trPr>
                <w:trHeight w:val="225"/>
              </w:trPr>
              <w:tc>
                <w:tcPr>
                  <w:tcW w:w="3262" w:type="dxa"/>
                  <w:tcBorders>
                    <w:top w:val="single" w:sz="4" w:space="0" w:color="auto"/>
                    <w:left w:val="nil"/>
                    <w:bottom w:val="nil"/>
                    <w:right w:val="nil"/>
                  </w:tcBorders>
                  <w:shd w:val="clear" w:color="auto" w:fill="auto"/>
                  <w:noWrap/>
                  <w:vAlign w:val="center"/>
                  <w:hideMark/>
                </w:tcPr>
                <w:p w14:paraId="1175FCDA" w14:textId="04849FCC" w:rsidR="004B52E3" w:rsidRPr="00091680" w:rsidRDefault="004B52E3" w:rsidP="004B52E3">
                  <w:pPr>
                    <w:spacing w:after="0" w:line="240" w:lineRule="auto"/>
                    <w:jc w:val="left"/>
                    <w:rPr>
                      <w:rFonts w:ascii="Arial" w:hAnsi="Arial" w:cs="Arial"/>
                      <w:sz w:val="16"/>
                      <w:szCs w:val="16"/>
                    </w:rPr>
                  </w:pPr>
                  <w:r w:rsidRPr="00091680">
                    <w:rPr>
                      <w:rFonts w:ascii="Arial" w:hAnsi="Arial" w:cs="Arial"/>
                      <w:sz w:val="16"/>
                      <w:szCs w:val="16"/>
                    </w:rPr>
                    <w:t> </w:t>
                  </w:r>
                </w:p>
              </w:tc>
              <w:tc>
                <w:tcPr>
                  <w:tcW w:w="2674" w:type="dxa"/>
                  <w:gridSpan w:val="2"/>
                  <w:tcBorders>
                    <w:top w:val="single" w:sz="4" w:space="0" w:color="auto"/>
                    <w:left w:val="nil"/>
                    <w:bottom w:val="single" w:sz="4" w:space="0" w:color="auto"/>
                    <w:right w:val="nil"/>
                  </w:tcBorders>
                  <w:shd w:val="clear" w:color="auto" w:fill="auto"/>
                  <w:noWrap/>
                  <w:vAlign w:val="center"/>
                  <w:hideMark/>
                </w:tcPr>
                <w:p w14:paraId="7671F66F" w14:textId="77777777" w:rsidR="004B52E3" w:rsidRPr="00091680" w:rsidRDefault="004B52E3" w:rsidP="004B52E3">
                  <w:pPr>
                    <w:spacing w:after="0" w:line="240" w:lineRule="auto"/>
                    <w:jc w:val="center"/>
                    <w:rPr>
                      <w:rFonts w:ascii="Arial" w:hAnsi="Arial" w:cs="Arial"/>
                      <w:sz w:val="16"/>
                      <w:szCs w:val="16"/>
                    </w:rPr>
                  </w:pPr>
                  <w:r w:rsidRPr="00091680">
                    <w:rPr>
                      <w:rFonts w:ascii="Arial" w:hAnsi="Arial" w:cs="Arial"/>
                      <w:sz w:val="16"/>
                      <w:szCs w:val="16"/>
                    </w:rPr>
                    <w:t>On issue as at 18 March 2022</w:t>
                  </w:r>
                </w:p>
              </w:tc>
            </w:tr>
            <w:tr w:rsidR="004B52E3" w:rsidRPr="005546AF" w14:paraId="4413F5C2" w14:textId="77777777" w:rsidTr="004B52E3">
              <w:trPr>
                <w:trHeight w:val="225"/>
              </w:trPr>
              <w:tc>
                <w:tcPr>
                  <w:tcW w:w="3262" w:type="dxa"/>
                  <w:tcBorders>
                    <w:top w:val="nil"/>
                    <w:left w:val="nil"/>
                    <w:bottom w:val="nil"/>
                    <w:right w:val="nil"/>
                  </w:tcBorders>
                  <w:shd w:val="clear" w:color="auto" w:fill="auto"/>
                  <w:noWrap/>
                  <w:vAlign w:val="center"/>
                  <w:hideMark/>
                </w:tcPr>
                <w:p w14:paraId="0309BAD5" w14:textId="77777777" w:rsidR="004B52E3" w:rsidRPr="00091680" w:rsidRDefault="004B52E3" w:rsidP="004B52E3">
                  <w:pPr>
                    <w:spacing w:after="0" w:line="240" w:lineRule="auto"/>
                    <w:jc w:val="center"/>
                    <w:rPr>
                      <w:rFonts w:ascii="Arial" w:hAnsi="Arial" w:cs="Arial"/>
                      <w:sz w:val="16"/>
                      <w:szCs w:val="16"/>
                    </w:rPr>
                  </w:pPr>
                </w:p>
              </w:tc>
              <w:tc>
                <w:tcPr>
                  <w:tcW w:w="1236" w:type="dxa"/>
                  <w:tcBorders>
                    <w:top w:val="nil"/>
                    <w:left w:val="nil"/>
                    <w:bottom w:val="nil"/>
                    <w:right w:val="nil"/>
                  </w:tcBorders>
                  <w:shd w:val="clear" w:color="auto" w:fill="auto"/>
                  <w:noWrap/>
                  <w:vAlign w:val="center"/>
                  <w:hideMark/>
                </w:tcPr>
                <w:p w14:paraId="275140AB"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Face value</w:t>
                  </w:r>
                </w:p>
              </w:tc>
              <w:tc>
                <w:tcPr>
                  <w:tcW w:w="1438" w:type="dxa"/>
                  <w:tcBorders>
                    <w:top w:val="nil"/>
                    <w:left w:val="nil"/>
                    <w:bottom w:val="nil"/>
                    <w:right w:val="nil"/>
                  </w:tcBorders>
                  <w:shd w:val="clear" w:color="auto" w:fill="auto"/>
                  <w:noWrap/>
                  <w:vAlign w:val="center"/>
                  <w:hideMark/>
                </w:tcPr>
                <w:p w14:paraId="732A97F1"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Market value</w:t>
                  </w:r>
                </w:p>
              </w:tc>
            </w:tr>
            <w:tr w:rsidR="004B52E3" w:rsidRPr="005546AF" w14:paraId="4882B4B5" w14:textId="77777777" w:rsidTr="004B52E3">
              <w:trPr>
                <w:trHeight w:val="225"/>
              </w:trPr>
              <w:tc>
                <w:tcPr>
                  <w:tcW w:w="3262" w:type="dxa"/>
                  <w:tcBorders>
                    <w:top w:val="nil"/>
                    <w:left w:val="nil"/>
                    <w:bottom w:val="nil"/>
                    <w:right w:val="nil"/>
                  </w:tcBorders>
                  <w:shd w:val="clear" w:color="auto" w:fill="auto"/>
                  <w:noWrap/>
                  <w:vAlign w:val="center"/>
                  <w:hideMark/>
                </w:tcPr>
                <w:p w14:paraId="4CC7DB08" w14:textId="77777777" w:rsidR="004B52E3" w:rsidRPr="00091680" w:rsidRDefault="004B52E3" w:rsidP="004B52E3">
                  <w:pPr>
                    <w:spacing w:after="0" w:line="240" w:lineRule="auto"/>
                    <w:jc w:val="right"/>
                    <w:rPr>
                      <w:rFonts w:ascii="Arial" w:hAnsi="Arial" w:cs="Arial"/>
                      <w:sz w:val="16"/>
                      <w:szCs w:val="16"/>
                    </w:rPr>
                  </w:pPr>
                </w:p>
              </w:tc>
              <w:tc>
                <w:tcPr>
                  <w:tcW w:w="1236" w:type="dxa"/>
                  <w:tcBorders>
                    <w:top w:val="nil"/>
                    <w:left w:val="nil"/>
                    <w:bottom w:val="single" w:sz="4" w:space="0" w:color="auto"/>
                    <w:right w:val="nil"/>
                  </w:tcBorders>
                  <w:shd w:val="clear" w:color="auto" w:fill="auto"/>
                  <w:noWrap/>
                  <w:vAlign w:val="center"/>
                  <w:hideMark/>
                </w:tcPr>
                <w:p w14:paraId="2A2AADA8"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$m</w:t>
                  </w:r>
                </w:p>
              </w:tc>
              <w:tc>
                <w:tcPr>
                  <w:tcW w:w="1438" w:type="dxa"/>
                  <w:tcBorders>
                    <w:top w:val="nil"/>
                    <w:left w:val="nil"/>
                    <w:bottom w:val="single" w:sz="4" w:space="0" w:color="auto"/>
                    <w:right w:val="nil"/>
                  </w:tcBorders>
                  <w:shd w:val="clear" w:color="auto" w:fill="auto"/>
                  <w:noWrap/>
                  <w:vAlign w:val="center"/>
                  <w:hideMark/>
                </w:tcPr>
                <w:p w14:paraId="4254C126"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$m</w:t>
                  </w:r>
                </w:p>
              </w:tc>
            </w:tr>
            <w:tr w:rsidR="004B52E3" w:rsidRPr="005546AF" w14:paraId="6F21D2D0" w14:textId="77777777" w:rsidTr="004B52E3">
              <w:trPr>
                <w:trHeight w:val="225"/>
              </w:trPr>
              <w:tc>
                <w:tcPr>
                  <w:tcW w:w="3262" w:type="dxa"/>
                  <w:tcBorders>
                    <w:top w:val="nil"/>
                    <w:left w:val="nil"/>
                    <w:bottom w:val="nil"/>
                    <w:right w:val="nil"/>
                  </w:tcBorders>
                  <w:shd w:val="clear" w:color="auto" w:fill="auto"/>
                  <w:noWrap/>
                  <w:vAlign w:val="center"/>
                  <w:hideMark/>
                </w:tcPr>
                <w:p w14:paraId="595B5ECA" w14:textId="77777777" w:rsidR="004B52E3" w:rsidRPr="00091680" w:rsidRDefault="004B52E3" w:rsidP="004B52E3">
                  <w:pPr>
                    <w:spacing w:after="0" w:line="240" w:lineRule="auto"/>
                    <w:jc w:val="left"/>
                    <w:rPr>
                      <w:rFonts w:ascii="Arial" w:hAnsi="Arial" w:cs="Arial"/>
                      <w:sz w:val="16"/>
                      <w:szCs w:val="16"/>
                    </w:rPr>
                  </w:pPr>
                  <w:r w:rsidRPr="00091680">
                    <w:rPr>
                      <w:rFonts w:ascii="Arial" w:hAnsi="Arial" w:cs="Arial"/>
                      <w:sz w:val="16"/>
                      <w:szCs w:val="16"/>
                    </w:rPr>
                    <w:t>Treasury Bonds</w:t>
                  </w:r>
                </w:p>
              </w:tc>
              <w:tc>
                <w:tcPr>
                  <w:tcW w:w="1236" w:type="dxa"/>
                  <w:tcBorders>
                    <w:top w:val="nil"/>
                    <w:left w:val="nil"/>
                    <w:bottom w:val="nil"/>
                    <w:right w:val="nil"/>
                  </w:tcBorders>
                  <w:shd w:val="clear" w:color="auto" w:fill="auto"/>
                  <w:noWrap/>
                  <w:vAlign w:val="center"/>
                  <w:hideMark/>
                </w:tcPr>
                <w:p w14:paraId="21505FD3"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800,112</w:t>
                  </w:r>
                </w:p>
              </w:tc>
              <w:tc>
                <w:tcPr>
                  <w:tcW w:w="1438" w:type="dxa"/>
                  <w:tcBorders>
                    <w:top w:val="nil"/>
                    <w:left w:val="nil"/>
                    <w:bottom w:val="nil"/>
                    <w:right w:val="nil"/>
                  </w:tcBorders>
                  <w:shd w:val="clear" w:color="auto" w:fill="auto"/>
                  <w:noWrap/>
                  <w:vAlign w:val="center"/>
                  <w:hideMark/>
                </w:tcPr>
                <w:p w14:paraId="2378DF78"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799,297</w:t>
                  </w:r>
                </w:p>
              </w:tc>
            </w:tr>
            <w:tr w:rsidR="004B52E3" w:rsidRPr="005546AF" w14:paraId="2394DB7C" w14:textId="77777777" w:rsidTr="004B52E3">
              <w:trPr>
                <w:trHeight w:val="225"/>
              </w:trPr>
              <w:tc>
                <w:tcPr>
                  <w:tcW w:w="3262" w:type="dxa"/>
                  <w:tcBorders>
                    <w:top w:val="nil"/>
                    <w:left w:val="nil"/>
                    <w:bottom w:val="nil"/>
                    <w:right w:val="nil"/>
                  </w:tcBorders>
                  <w:shd w:val="clear" w:color="auto" w:fill="auto"/>
                  <w:noWrap/>
                  <w:vAlign w:val="center"/>
                  <w:hideMark/>
                </w:tcPr>
                <w:p w14:paraId="7FA155B1" w14:textId="77777777" w:rsidR="004B52E3" w:rsidRPr="00091680" w:rsidRDefault="004B52E3" w:rsidP="004B52E3">
                  <w:pPr>
                    <w:spacing w:after="0" w:line="240" w:lineRule="auto"/>
                    <w:jc w:val="left"/>
                    <w:rPr>
                      <w:rFonts w:ascii="Arial" w:hAnsi="Arial" w:cs="Arial"/>
                      <w:sz w:val="16"/>
                      <w:szCs w:val="16"/>
                    </w:rPr>
                  </w:pPr>
                  <w:r w:rsidRPr="00091680">
                    <w:rPr>
                      <w:rFonts w:ascii="Arial" w:hAnsi="Arial" w:cs="Arial"/>
                      <w:sz w:val="16"/>
                      <w:szCs w:val="16"/>
                    </w:rPr>
                    <w:t>Treasury Indexed Bonds</w:t>
                  </w:r>
                </w:p>
              </w:tc>
              <w:tc>
                <w:tcPr>
                  <w:tcW w:w="1236" w:type="dxa"/>
                  <w:tcBorders>
                    <w:top w:val="nil"/>
                    <w:left w:val="nil"/>
                    <w:bottom w:val="nil"/>
                    <w:right w:val="nil"/>
                  </w:tcBorders>
                  <w:shd w:val="clear" w:color="auto" w:fill="auto"/>
                  <w:noWrap/>
                  <w:vAlign w:val="center"/>
                  <w:hideMark/>
                </w:tcPr>
                <w:p w14:paraId="6B61694D"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36,535</w:t>
                  </w:r>
                </w:p>
              </w:tc>
              <w:tc>
                <w:tcPr>
                  <w:tcW w:w="1438" w:type="dxa"/>
                  <w:tcBorders>
                    <w:top w:val="nil"/>
                    <w:left w:val="nil"/>
                    <w:bottom w:val="nil"/>
                    <w:right w:val="nil"/>
                  </w:tcBorders>
                  <w:shd w:val="clear" w:color="auto" w:fill="auto"/>
                  <w:noWrap/>
                  <w:vAlign w:val="center"/>
                  <w:hideMark/>
                </w:tcPr>
                <w:p w14:paraId="13118E82"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48,474</w:t>
                  </w:r>
                </w:p>
              </w:tc>
            </w:tr>
            <w:tr w:rsidR="004B52E3" w:rsidRPr="005546AF" w14:paraId="376D11D4" w14:textId="77777777" w:rsidTr="004B52E3">
              <w:trPr>
                <w:trHeight w:val="225"/>
              </w:trPr>
              <w:tc>
                <w:tcPr>
                  <w:tcW w:w="3262" w:type="dxa"/>
                  <w:tcBorders>
                    <w:top w:val="nil"/>
                    <w:left w:val="nil"/>
                    <w:bottom w:val="nil"/>
                    <w:right w:val="nil"/>
                  </w:tcBorders>
                  <w:shd w:val="clear" w:color="auto" w:fill="auto"/>
                  <w:noWrap/>
                  <w:vAlign w:val="center"/>
                  <w:hideMark/>
                </w:tcPr>
                <w:p w14:paraId="20B4D7C0" w14:textId="77777777" w:rsidR="004B52E3" w:rsidRPr="00091680" w:rsidRDefault="004B52E3" w:rsidP="004B52E3">
                  <w:pPr>
                    <w:spacing w:after="0" w:line="240" w:lineRule="auto"/>
                    <w:jc w:val="left"/>
                    <w:rPr>
                      <w:rFonts w:ascii="Arial" w:hAnsi="Arial" w:cs="Arial"/>
                      <w:sz w:val="16"/>
                      <w:szCs w:val="16"/>
                    </w:rPr>
                  </w:pPr>
                  <w:r w:rsidRPr="00091680">
                    <w:rPr>
                      <w:rFonts w:ascii="Arial" w:hAnsi="Arial" w:cs="Arial"/>
                      <w:sz w:val="16"/>
                      <w:szCs w:val="16"/>
                    </w:rPr>
                    <w:t>Treasury Notes</w:t>
                  </w:r>
                </w:p>
              </w:tc>
              <w:tc>
                <w:tcPr>
                  <w:tcW w:w="1236" w:type="dxa"/>
                  <w:tcBorders>
                    <w:top w:val="nil"/>
                    <w:left w:val="nil"/>
                    <w:bottom w:val="nil"/>
                    <w:right w:val="nil"/>
                  </w:tcBorders>
                  <w:shd w:val="clear" w:color="auto" w:fill="auto"/>
                  <w:noWrap/>
                  <w:vAlign w:val="center"/>
                  <w:hideMark/>
                </w:tcPr>
                <w:p w14:paraId="54C5A0F6"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31,500</w:t>
                  </w:r>
                </w:p>
              </w:tc>
              <w:tc>
                <w:tcPr>
                  <w:tcW w:w="1438" w:type="dxa"/>
                  <w:tcBorders>
                    <w:top w:val="nil"/>
                    <w:left w:val="nil"/>
                    <w:bottom w:val="nil"/>
                    <w:right w:val="nil"/>
                  </w:tcBorders>
                  <w:shd w:val="clear" w:color="auto" w:fill="auto"/>
                  <w:noWrap/>
                  <w:vAlign w:val="center"/>
                  <w:hideMark/>
                </w:tcPr>
                <w:p w14:paraId="3CBCF0C2"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31,496</w:t>
                  </w:r>
                </w:p>
              </w:tc>
            </w:tr>
            <w:tr w:rsidR="004B52E3" w:rsidRPr="005546AF" w14:paraId="717A1C09" w14:textId="77777777" w:rsidTr="004B52E3">
              <w:trPr>
                <w:trHeight w:val="225"/>
              </w:trPr>
              <w:tc>
                <w:tcPr>
                  <w:tcW w:w="3262" w:type="dxa"/>
                  <w:tcBorders>
                    <w:top w:val="nil"/>
                    <w:left w:val="nil"/>
                    <w:bottom w:val="nil"/>
                    <w:right w:val="nil"/>
                  </w:tcBorders>
                  <w:shd w:val="clear" w:color="auto" w:fill="auto"/>
                  <w:noWrap/>
                  <w:vAlign w:val="center"/>
                  <w:hideMark/>
                </w:tcPr>
                <w:p w14:paraId="6E51B333" w14:textId="77777777" w:rsidR="004B52E3" w:rsidRPr="00091680" w:rsidRDefault="004B52E3" w:rsidP="004B52E3">
                  <w:pPr>
                    <w:spacing w:after="0" w:line="240" w:lineRule="auto"/>
                    <w:jc w:val="left"/>
                    <w:rPr>
                      <w:rFonts w:ascii="Arial" w:hAnsi="Arial" w:cs="Arial"/>
                      <w:b/>
                      <w:sz w:val="16"/>
                      <w:szCs w:val="16"/>
                    </w:rPr>
                  </w:pPr>
                  <w:r w:rsidRPr="00091680">
                    <w:rPr>
                      <w:rFonts w:ascii="Arial" w:hAnsi="Arial" w:cs="Arial"/>
                      <w:b/>
                      <w:sz w:val="16"/>
                      <w:szCs w:val="16"/>
                    </w:rPr>
                    <w:t>Total AGS subject to Treasurer's Direction(a)</w:t>
                  </w:r>
                </w:p>
              </w:tc>
              <w:tc>
                <w:tcPr>
                  <w:tcW w:w="1236" w:type="dxa"/>
                  <w:tcBorders>
                    <w:top w:val="nil"/>
                    <w:left w:val="nil"/>
                    <w:bottom w:val="nil"/>
                    <w:right w:val="nil"/>
                  </w:tcBorders>
                  <w:shd w:val="clear" w:color="auto" w:fill="auto"/>
                  <w:noWrap/>
                  <w:vAlign w:val="center"/>
                  <w:hideMark/>
                </w:tcPr>
                <w:p w14:paraId="4F54ACC7" w14:textId="77777777" w:rsidR="004B52E3" w:rsidRPr="00091680" w:rsidRDefault="004B52E3" w:rsidP="004B52E3">
                  <w:pPr>
                    <w:spacing w:after="0" w:line="240" w:lineRule="auto"/>
                    <w:jc w:val="right"/>
                    <w:rPr>
                      <w:rFonts w:ascii="Arial" w:hAnsi="Arial" w:cs="Arial"/>
                      <w:b/>
                      <w:sz w:val="16"/>
                      <w:szCs w:val="16"/>
                    </w:rPr>
                  </w:pPr>
                  <w:r w:rsidRPr="00091680">
                    <w:rPr>
                      <w:rFonts w:ascii="Arial" w:hAnsi="Arial" w:cs="Arial"/>
                      <w:b/>
                      <w:sz w:val="16"/>
                      <w:szCs w:val="16"/>
                    </w:rPr>
                    <w:t>868,147</w:t>
                  </w:r>
                </w:p>
              </w:tc>
              <w:tc>
                <w:tcPr>
                  <w:tcW w:w="1438" w:type="dxa"/>
                  <w:tcBorders>
                    <w:top w:val="nil"/>
                    <w:left w:val="nil"/>
                    <w:bottom w:val="nil"/>
                    <w:right w:val="nil"/>
                  </w:tcBorders>
                  <w:shd w:val="clear" w:color="auto" w:fill="auto"/>
                  <w:noWrap/>
                  <w:vAlign w:val="center"/>
                  <w:hideMark/>
                </w:tcPr>
                <w:p w14:paraId="7E7534DE" w14:textId="77777777" w:rsidR="004B52E3" w:rsidRPr="00091680" w:rsidRDefault="004B52E3" w:rsidP="004B52E3">
                  <w:pPr>
                    <w:spacing w:after="0" w:line="240" w:lineRule="auto"/>
                    <w:jc w:val="right"/>
                    <w:rPr>
                      <w:rFonts w:ascii="Arial" w:hAnsi="Arial" w:cs="Arial"/>
                      <w:b/>
                      <w:sz w:val="16"/>
                      <w:szCs w:val="16"/>
                    </w:rPr>
                  </w:pPr>
                  <w:r w:rsidRPr="00091680">
                    <w:rPr>
                      <w:rFonts w:ascii="Arial" w:hAnsi="Arial" w:cs="Arial"/>
                      <w:b/>
                      <w:sz w:val="16"/>
                      <w:szCs w:val="16"/>
                    </w:rPr>
                    <w:t>879,267</w:t>
                  </w:r>
                </w:p>
              </w:tc>
            </w:tr>
            <w:tr w:rsidR="004B52E3" w:rsidRPr="005546AF" w14:paraId="6498CC56" w14:textId="77777777" w:rsidTr="004B52E3">
              <w:trPr>
                <w:trHeight w:val="225"/>
              </w:trPr>
              <w:tc>
                <w:tcPr>
                  <w:tcW w:w="3262" w:type="dxa"/>
                  <w:tcBorders>
                    <w:top w:val="nil"/>
                    <w:left w:val="nil"/>
                    <w:bottom w:val="nil"/>
                    <w:right w:val="nil"/>
                  </w:tcBorders>
                  <w:shd w:val="clear" w:color="auto" w:fill="auto"/>
                  <w:noWrap/>
                  <w:vAlign w:val="center"/>
                  <w:hideMark/>
                </w:tcPr>
                <w:p w14:paraId="74927AFB" w14:textId="77777777" w:rsidR="004B52E3" w:rsidRPr="00091680" w:rsidRDefault="004B52E3" w:rsidP="004B52E3">
                  <w:pPr>
                    <w:spacing w:after="0" w:line="240" w:lineRule="auto"/>
                    <w:jc w:val="left"/>
                    <w:rPr>
                      <w:rFonts w:ascii="Arial" w:hAnsi="Arial" w:cs="Arial"/>
                      <w:sz w:val="16"/>
                      <w:szCs w:val="16"/>
                    </w:rPr>
                  </w:pPr>
                  <w:r w:rsidRPr="00091680">
                    <w:rPr>
                      <w:rFonts w:ascii="Arial" w:hAnsi="Arial" w:cs="Arial"/>
                      <w:sz w:val="16"/>
                      <w:szCs w:val="16"/>
                    </w:rPr>
                    <w:t>Other stock and securities</w:t>
                  </w:r>
                </w:p>
              </w:tc>
              <w:tc>
                <w:tcPr>
                  <w:tcW w:w="1236" w:type="dxa"/>
                  <w:tcBorders>
                    <w:top w:val="nil"/>
                    <w:left w:val="nil"/>
                    <w:bottom w:val="nil"/>
                    <w:right w:val="nil"/>
                  </w:tcBorders>
                  <w:shd w:val="clear" w:color="auto" w:fill="auto"/>
                  <w:noWrap/>
                  <w:vAlign w:val="center"/>
                  <w:hideMark/>
                </w:tcPr>
                <w:p w14:paraId="3284D6D0"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5</w:t>
                  </w:r>
                </w:p>
              </w:tc>
              <w:tc>
                <w:tcPr>
                  <w:tcW w:w="1438" w:type="dxa"/>
                  <w:tcBorders>
                    <w:top w:val="nil"/>
                    <w:left w:val="nil"/>
                    <w:bottom w:val="nil"/>
                    <w:right w:val="nil"/>
                  </w:tcBorders>
                  <w:shd w:val="clear" w:color="auto" w:fill="auto"/>
                  <w:noWrap/>
                  <w:vAlign w:val="center"/>
                  <w:hideMark/>
                </w:tcPr>
                <w:p w14:paraId="2D31A522" w14:textId="77777777" w:rsidR="004B52E3" w:rsidRPr="00091680" w:rsidRDefault="004B52E3" w:rsidP="004B52E3">
                  <w:pPr>
                    <w:spacing w:after="0" w:line="240" w:lineRule="auto"/>
                    <w:jc w:val="right"/>
                    <w:rPr>
                      <w:rFonts w:ascii="Arial" w:hAnsi="Arial" w:cs="Arial"/>
                      <w:sz w:val="16"/>
                      <w:szCs w:val="16"/>
                    </w:rPr>
                  </w:pPr>
                  <w:r w:rsidRPr="00091680">
                    <w:rPr>
                      <w:rFonts w:ascii="Arial" w:hAnsi="Arial" w:cs="Arial"/>
                      <w:sz w:val="16"/>
                      <w:szCs w:val="16"/>
                    </w:rPr>
                    <w:t>5</w:t>
                  </w:r>
                </w:p>
              </w:tc>
            </w:tr>
            <w:tr w:rsidR="004B52E3" w:rsidRPr="005546AF" w14:paraId="758DE928" w14:textId="77777777" w:rsidTr="004B52E3">
              <w:trPr>
                <w:trHeight w:val="225"/>
              </w:trPr>
              <w:tc>
                <w:tcPr>
                  <w:tcW w:w="3262" w:type="dxa"/>
                  <w:tcBorders>
                    <w:top w:val="nil"/>
                    <w:left w:val="nil"/>
                    <w:bottom w:val="single" w:sz="4" w:space="0" w:color="auto"/>
                    <w:right w:val="nil"/>
                  </w:tcBorders>
                  <w:shd w:val="clear" w:color="auto" w:fill="auto"/>
                  <w:noWrap/>
                  <w:vAlign w:val="center"/>
                  <w:hideMark/>
                </w:tcPr>
                <w:p w14:paraId="54E3E7EB" w14:textId="77777777" w:rsidR="004B52E3" w:rsidRPr="00091680" w:rsidRDefault="004B52E3" w:rsidP="004B52E3">
                  <w:pPr>
                    <w:spacing w:after="0" w:line="240" w:lineRule="auto"/>
                    <w:jc w:val="left"/>
                    <w:rPr>
                      <w:rFonts w:ascii="Arial" w:hAnsi="Arial" w:cs="Arial"/>
                      <w:b/>
                      <w:sz w:val="16"/>
                      <w:szCs w:val="16"/>
                    </w:rPr>
                  </w:pPr>
                  <w:r w:rsidRPr="00091680">
                    <w:rPr>
                      <w:rFonts w:ascii="Arial" w:hAnsi="Arial" w:cs="Arial"/>
                      <w:b/>
                      <w:sz w:val="16"/>
                      <w:szCs w:val="16"/>
                    </w:rPr>
                    <w:t>Total AGS on issue</w:t>
                  </w:r>
                </w:p>
              </w:tc>
              <w:tc>
                <w:tcPr>
                  <w:tcW w:w="1236" w:type="dxa"/>
                  <w:tcBorders>
                    <w:top w:val="nil"/>
                    <w:left w:val="nil"/>
                    <w:bottom w:val="single" w:sz="4" w:space="0" w:color="auto"/>
                    <w:right w:val="nil"/>
                  </w:tcBorders>
                  <w:shd w:val="clear" w:color="auto" w:fill="auto"/>
                  <w:noWrap/>
                  <w:vAlign w:val="center"/>
                  <w:hideMark/>
                </w:tcPr>
                <w:p w14:paraId="4644F2B2" w14:textId="77777777" w:rsidR="004B52E3" w:rsidRPr="00091680" w:rsidRDefault="004B52E3" w:rsidP="004B52E3">
                  <w:pPr>
                    <w:spacing w:after="0" w:line="240" w:lineRule="auto"/>
                    <w:jc w:val="right"/>
                    <w:rPr>
                      <w:rFonts w:ascii="Arial" w:hAnsi="Arial" w:cs="Arial"/>
                      <w:b/>
                      <w:sz w:val="16"/>
                      <w:szCs w:val="16"/>
                    </w:rPr>
                  </w:pPr>
                  <w:r w:rsidRPr="00091680">
                    <w:rPr>
                      <w:rFonts w:ascii="Arial" w:hAnsi="Arial" w:cs="Arial"/>
                      <w:b/>
                      <w:sz w:val="16"/>
                      <w:szCs w:val="16"/>
                    </w:rPr>
                    <w:t>868,153</w:t>
                  </w:r>
                </w:p>
              </w:tc>
              <w:tc>
                <w:tcPr>
                  <w:tcW w:w="1438" w:type="dxa"/>
                  <w:tcBorders>
                    <w:top w:val="nil"/>
                    <w:left w:val="nil"/>
                    <w:bottom w:val="single" w:sz="4" w:space="0" w:color="auto"/>
                    <w:right w:val="nil"/>
                  </w:tcBorders>
                  <w:shd w:val="clear" w:color="auto" w:fill="auto"/>
                  <w:noWrap/>
                  <w:vAlign w:val="center"/>
                  <w:hideMark/>
                </w:tcPr>
                <w:p w14:paraId="5E1F65B6" w14:textId="77777777" w:rsidR="004B52E3" w:rsidRPr="00091680" w:rsidRDefault="004B52E3" w:rsidP="004B52E3">
                  <w:pPr>
                    <w:spacing w:after="0" w:line="240" w:lineRule="auto"/>
                    <w:jc w:val="right"/>
                    <w:rPr>
                      <w:rFonts w:ascii="Arial" w:hAnsi="Arial" w:cs="Arial"/>
                      <w:b/>
                      <w:sz w:val="16"/>
                      <w:szCs w:val="16"/>
                    </w:rPr>
                  </w:pPr>
                  <w:r w:rsidRPr="00091680">
                    <w:rPr>
                      <w:rFonts w:ascii="Arial" w:hAnsi="Arial" w:cs="Arial"/>
                      <w:b/>
                      <w:sz w:val="16"/>
                      <w:szCs w:val="16"/>
                    </w:rPr>
                    <w:t>879,272</w:t>
                  </w:r>
                </w:p>
              </w:tc>
            </w:tr>
          </w:tbl>
          <w:p w14:paraId="5B775264" w14:textId="2C164D11" w:rsidR="005E4E0B" w:rsidRPr="00091680" w:rsidRDefault="005E4E0B" w:rsidP="008C3AED">
            <w:pPr>
              <w:rPr>
                <w:rFonts w:ascii="Arial" w:hAnsi="Arial" w:cs="Arial"/>
                <w:sz w:val="16"/>
                <w:szCs w:val="16"/>
              </w:rPr>
            </w:pPr>
          </w:p>
        </w:tc>
        <w:tc>
          <w:tcPr>
            <w:tcW w:w="1326" w:type="pct"/>
            <w:gridSpan w:val="2"/>
            <w:tcBorders>
              <w:top w:val="single" w:sz="4" w:space="0" w:color="auto"/>
              <w:left w:val="nil"/>
              <w:bottom w:val="single" w:sz="4" w:space="0" w:color="auto"/>
              <w:right w:val="nil"/>
            </w:tcBorders>
            <w:shd w:val="clear" w:color="auto" w:fill="auto"/>
            <w:noWrap/>
            <w:vAlign w:val="center"/>
            <w:hideMark/>
          </w:tcPr>
          <w:p w14:paraId="0BA0B06F" w14:textId="77777777" w:rsidR="005E4E0B" w:rsidRPr="00091680" w:rsidRDefault="005E4E0B" w:rsidP="008C3AED">
            <w:pPr>
              <w:spacing w:after="0" w:line="240" w:lineRule="auto"/>
              <w:jc w:val="center"/>
              <w:rPr>
                <w:rFonts w:ascii="Arial" w:hAnsi="Arial" w:cs="Arial"/>
                <w:sz w:val="16"/>
                <w:szCs w:val="16"/>
              </w:rPr>
            </w:pPr>
            <w:r w:rsidRPr="00091680">
              <w:rPr>
                <w:rFonts w:ascii="Arial" w:hAnsi="Arial" w:cs="Arial"/>
                <w:sz w:val="16"/>
                <w:szCs w:val="16"/>
              </w:rPr>
              <w:t>On issue as at 18 March 2022</w:t>
            </w:r>
          </w:p>
        </w:tc>
      </w:tr>
      <w:tr w:rsidR="00A6042B" w:rsidRPr="005546AF" w14:paraId="307ACDCB" w14:textId="77777777" w:rsidTr="003456AD">
        <w:trPr>
          <w:trHeight w:hRule="exact" w:val="225"/>
        </w:trPr>
        <w:tc>
          <w:tcPr>
            <w:tcW w:w="3674" w:type="pct"/>
            <w:tcBorders>
              <w:top w:val="nil"/>
              <w:left w:val="nil"/>
              <w:bottom w:val="nil"/>
              <w:right w:val="nil"/>
            </w:tcBorders>
            <w:shd w:val="clear" w:color="auto" w:fill="auto"/>
            <w:noWrap/>
            <w:vAlign w:val="center"/>
            <w:hideMark/>
          </w:tcPr>
          <w:p w14:paraId="61694834" w14:textId="77777777" w:rsidR="005E4E0B" w:rsidRPr="00091680" w:rsidRDefault="005E4E0B" w:rsidP="008C3AED">
            <w:pPr>
              <w:spacing w:after="0" w:line="240" w:lineRule="auto"/>
              <w:jc w:val="center"/>
              <w:rPr>
                <w:rFonts w:ascii="Arial" w:hAnsi="Arial" w:cs="Arial"/>
                <w:sz w:val="16"/>
                <w:szCs w:val="16"/>
              </w:rPr>
            </w:pPr>
          </w:p>
        </w:tc>
        <w:tc>
          <w:tcPr>
            <w:tcW w:w="613" w:type="pct"/>
            <w:tcBorders>
              <w:top w:val="nil"/>
              <w:left w:val="nil"/>
              <w:bottom w:val="nil"/>
              <w:right w:val="nil"/>
            </w:tcBorders>
            <w:shd w:val="clear" w:color="auto" w:fill="auto"/>
            <w:noWrap/>
            <w:vAlign w:val="center"/>
            <w:hideMark/>
          </w:tcPr>
          <w:p w14:paraId="1F03ECE0"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Face value</w:t>
            </w:r>
          </w:p>
        </w:tc>
        <w:tc>
          <w:tcPr>
            <w:tcW w:w="713" w:type="pct"/>
            <w:tcBorders>
              <w:top w:val="nil"/>
              <w:left w:val="nil"/>
              <w:bottom w:val="nil"/>
              <w:right w:val="nil"/>
            </w:tcBorders>
            <w:shd w:val="clear" w:color="auto" w:fill="auto"/>
            <w:noWrap/>
            <w:vAlign w:val="center"/>
            <w:hideMark/>
          </w:tcPr>
          <w:p w14:paraId="74A31C1F"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Market value</w:t>
            </w:r>
          </w:p>
        </w:tc>
      </w:tr>
      <w:tr w:rsidR="00A6042B" w:rsidRPr="005546AF" w14:paraId="731558EA" w14:textId="77777777" w:rsidTr="003456AD">
        <w:trPr>
          <w:trHeight w:hRule="exact" w:val="225"/>
        </w:trPr>
        <w:tc>
          <w:tcPr>
            <w:tcW w:w="3674" w:type="pct"/>
            <w:tcBorders>
              <w:top w:val="nil"/>
              <w:left w:val="nil"/>
              <w:bottom w:val="nil"/>
              <w:right w:val="nil"/>
            </w:tcBorders>
            <w:shd w:val="clear" w:color="auto" w:fill="auto"/>
            <w:noWrap/>
            <w:vAlign w:val="center"/>
            <w:hideMark/>
          </w:tcPr>
          <w:p w14:paraId="7235BA63" w14:textId="77777777" w:rsidR="005E4E0B" w:rsidRPr="00091680" w:rsidRDefault="005E4E0B" w:rsidP="008C3AED">
            <w:pPr>
              <w:spacing w:after="0" w:line="240" w:lineRule="auto"/>
              <w:jc w:val="right"/>
              <w:rPr>
                <w:rFonts w:ascii="Arial" w:hAnsi="Arial" w:cs="Arial"/>
                <w:sz w:val="16"/>
                <w:szCs w:val="16"/>
              </w:rPr>
            </w:pPr>
          </w:p>
        </w:tc>
        <w:tc>
          <w:tcPr>
            <w:tcW w:w="613" w:type="pct"/>
            <w:tcBorders>
              <w:top w:val="nil"/>
              <w:left w:val="nil"/>
              <w:bottom w:val="single" w:sz="4" w:space="0" w:color="auto"/>
              <w:right w:val="nil"/>
            </w:tcBorders>
            <w:shd w:val="clear" w:color="auto" w:fill="auto"/>
            <w:noWrap/>
            <w:vAlign w:val="center"/>
            <w:hideMark/>
          </w:tcPr>
          <w:p w14:paraId="123C5969"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$m</w:t>
            </w:r>
          </w:p>
        </w:tc>
        <w:tc>
          <w:tcPr>
            <w:tcW w:w="713" w:type="pct"/>
            <w:tcBorders>
              <w:top w:val="nil"/>
              <w:left w:val="nil"/>
              <w:bottom w:val="single" w:sz="4" w:space="0" w:color="auto"/>
              <w:right w:val="nil"/>
            </w:tcBorders>
            <w:shd w:val="clear" w:color="auto" w:fill="auto"/>
            <w:noWrap/>
            <w:vAlign w:val="center"/>
            <w:hideMark/>
          </w:tcPr>
          <w:p w14:paraId="303EC4EC"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$m</w:t>
            </w:r>
          </w:p>
        </w:tc>
      </w:tr>
      <w:tr w:rsidR="00A6042B" w:rsidRPr="005546AF" w14:paraId="32CE35B9" w14:textId="77777777" w:rsidTr="003456AD">
        <w:trPr>
          <w:trHeight w:hRule="exact" w:val="225"/>
        </w:trPr>
        <w:tc>
          <w:tcPr>
            <w:tcW w:w="3674" w:type="pct"/>
            <w:tcBorders>
              <w:top w:val="nil"/>
              <w:left w:val="nil"/>
              <w:bottom w:val="nil"/>
              <w:right w:val="nil"/>
            </w:tcBorders>
            <w:shd w:val="clear" w:color="auto" w:fill="auto"/>
            <w:noWrap/>
            <w:vAlign w:val="center"/>
            <w:hideMark/>
          </w:tcPr>
          <w:p w14:paraId="1500F847" w14:textId="77777777" w:rsidR="005E4E0B" w:rsidRPr="00091680" w:rsidRDefault="005E4E0B" w:rsidP="008C3AED">
            <w:pPr>
              <w:spacing w:after="0" w:line="240" w:lineRule="auto"/>
              <w:jc w:val="left"/>
              <w:rPr>
                <w:rFonts w:ascii="Arial" w:hAnsi="Arial" w:cs="Arial"/>
                <w:sz w:val="16"/>
                <w:szCs w:val="16"/>
              </w:rPr>
            </w:pPr>
            <w:r w:rsidRPr="00091680">
              <w:rPr>
                <w:rFonts w:ascii="Arial" w:hAnsi="Arial" w:cs="Arial"/>
                <w:sz w:val="16"/>
                <w:szCs w:val="16"/>
              </w:rPr>
              <w:t>Treasury Bonds</w:t>
            </w:r>
          </w:p>
        </w:tc>
        <w:tc>
          <w:tcPr>
            <w:tcW w:w="613" w:type="pct"/>
            <w:tcBorders>
              <w:top w:val="nil"/>
              <w:left w:val="nil"/>
              <w:bottom w:val="nil"/>
              <w:right w:val="nil"/>
            </w:tcBorders>
            <w:shd w:val="clear" w:color="auto" w:fill="auto"/>
            <w:noWrap/>
            <w:vAlign w:val="center"/>
            <w:hideMark/>
          </w:tcPr>
          <w:p w14:paraId="61418B97"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800,112</w:t>
            </w:r>
          </w:p>
        </w:tc>
        <w:tc>
          <w:tcPr>
            <w:tcW w:w="713" w:type="pct"/>
            <w:tcBorders>
              <w:top w:val="nil"/>
              <w:left w:val="nil"/>
              <w:bottom w:val="nil"/>
              <w:right w:val="nil"/>
            </w:tcBorders>
            <w:shd w:val="clear" w:color="auto" w:fill="auto"/>
            <w:noWrap/>
            <w:vAlign w:val="center"/>
            <w:hideMark/>
          </w:tcPr>
          <w:p w14:paraId="2A950ADB"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799,297</w:t>
            </w:r>
          </w:p>
        </w:tc>
      </w:tr>
      <w:tr w:rsidR="00A6042B" w:rsidRPr="005546AF" w14:paraId="5D1BB05E" w14:textId="77777777" w:rsidTr="003456AD">
        <w:trPr>
          <w:trHeight w:hRule="exact" w:val="225"/>
        </w:trPr>
        <w:tc>
          <w:tcPr>
            <w:tcW w:w="3674" w:type="pct"/>
            <w:tcBorders>
              <w:top w:val="nil"/>
              <w:left w:val="nil"/>
              <w:bottom w:val="nil"/>
              <w:right w:val="nil"/>
            </w:tcBorders>
            <w:shd w:val="clear" w:color="auto" w:fill="auto"/>
            <w:noWrap/>
            <w:vAlign w:val="center"/>
            <w:hideMark/>
          </w:tcPr>
          <w:p w14:paraId="2BEFBC98" w14:textId="77777777" w:rsidR="005E4E0B" w:rsidRPr="00091680" w:rsidRDefault="005E4E0B" w:rsidP="003F3611">
            <w:pPr>
              <w:pStyle w:val="TableTextLeft"/>
            </w:pPr>
            <w:r w:rsidRPr="00091680">
              <w:t>Treasury Indexed Bonds</w:t>
            </w:r>
          </w:p>
        </w:tc>
        <w:tc>
          <w:tcPr>
            <w:tcW w:w="613" w:type="pct"/>
            <w:tcBorders>
              <w:top w:val="nil"/>
              <w:left w:val="nil"/>
              <w:bottom w:val="nil"/>
              <w:right w:val="nil"/>
            </w:tcBorders>
            <w:shd w:val="clear" w:color="auto" w:fill="auto"/>
            <w:noWrap/>
            <w:vAlign w:val="center"/>
            <w:hideMark/>
          </w:tcPr>
          <w:p w14:paraId="2722EA83"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36,535</w:t>
            </w:r>
          </w:p>
        </w:tc>
        <w:tc>
          <w:tcPr>
            <w:tcW w:w="713" w:type="pct"/>
            <w:tcBorders>
              <w:top w:val="nil"/>
              <w:left w:val="nil"/>
              <w:bottom w:val="nil"/>
              <w:right w:val="nil"/>
            </w:tcBorders>
            <w:shd w:val="clear" w:color="auto" w:fill="auto"/>
            <w:noWrap/>
            <w:vAlign w:val="center"/>
            <w:hideMark/>
          </w:tcPr>
          <w:p w14:paraId="018B6E86"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48,474</w:t>
            </w:r>
          </w:p>
        </w:tc>
      </w:tr>
      <w:tr w:rsidR="00A6042B" w:rsidRPr="005546AF" w14:paraId="0AF722BC" w14:textId="77777777" w:rsidTr="003456AD">
        <w:trPr>
          <w:trHeight w:hRule="exact" w:val="225"/>
        </w:trPr>
        <w:tc>
          <w:tcPr>
            <w:tcW w:w="3674" w:type="pct"/>
            <w:tcBorders>
              <w:top w:val="nil"/>
              <w:left w:val="nil"/>
              <w:bottom w:val="nil"/>
              <w:right w:val="nil"/>
            </w:tcBorders>
            <w:shd w:val="clear" w:color="auto" w:fill="auto"/>
            <w:noWrap/>
            <w:vAlign w:val="center"/>
            <w:hideMark/>
          </w:tcPr>
          <w:p w14:paraId="0A49EE01" w14:textId="77777777" w:rsidR="005E4E0B" w:rsidRPr="00091680" w:rsidRDefault="005E4E0B" w:rsidP="008C3AED">
            <w:pPr>
              <w:spacing w:after="0" w:line="240" w:lineRule="auto"/>
              <w:jc w:val="left"/>
              <w:rPr>
                <w:rFonts w:ascii="Arial" w:hAnsi="Arial" w:cs="Arial"/>
                <w:sz w:val="16"/>
                <w:szCs w:val="16"/>
              </w:rPr>
            </w:pPr>
            <w:r w:rsidRPr="00091680">
              <w:rPr>
                <w:rFonts w:ascii="Arial" w:hAnsi="Arial" w:cs="Arial"/>
                <w:sz w:val="16"/>
                <w:szCs w:val="16"/>
              </w:rPr>
              <w:t>Treasury Notes</w:t>
            </w:r>
          </w:p>
        </w:tc>
        <w:tc>
          <w:tcPr>
            <w:tcW w:w="613" w:type="pct"/>
            <w:tcBorders>
              <w:top w:val="nil"/>
              <w:left w:val="nil"/>
              <w:bottom w:val="nil"/>
              <w:right w:val="nil"/>
            </w:tcBorders>
            <w:shd w:val="clear" w:color="auto" w:fill="auto"/>
            <w:noWrap/>
            <w:vAlign w:val="center"/>
            <w:hideMark/>
          </w:tcPr>
          <w:p w14:paraId="513C51DD"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31,500</w:t>
            </w:r>
          </w:p>
        </w:tc>
        <w:tc>
          <w:tcPr>
            <w:tcW w:w="713" w:type="pct"/>
            <w:tcBorders>
              <w:top w:val="nil"/>
              <w:left w:val="nil"/>
              <w:bottom w:val="nil"/>
              <w:right w:val="nil"/>
            </w:tcBorders>
            <w:shd w:val="clear" w:color="auto" w:fill="auto"/>
            <w:noWrap/>
            <w:vAlign w:val="center"/>
            <w:hideMark/>
          </w:tcPr>
          <w:p w14:paraId="121D594A"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31,496</w:t>
            </w:r>
          </w:p>
        </w:tc>
      </w:tr>
      <w:tr w:rsidR="00A6042B" w:rsidRPr="005546AF" w14:paraId="6578C87C" w14:textId="77777777" w:rsidTr="003456AD">
        <w:trPr>
          <w:trHeight w:hRule="exact" w:val="225"/>
        </w:trPr>
        <w:tc>
          <w:tcPr>
            <w:tcW w:w="3674" w:type="pct"/>
            <w:tcBorders>
              <w:top w:val="nil"/>
              <w:left w:val="nil"/>
              <w:bottom w:val="nil"/>
              <w:right w:val="nil"/>
            </w:tcBorders>
            <w:shd w:val="clear" w:color="auto" w:fill="auto"/>
            <w:noWrap/>
            <w:vAlign w:val="center"/>
            <w:hideMark/>
          </w:tcPr>
          <w:p w14:paraId="45FC3846" w14:textId="3B947A80" w:rsidR="005E4E0B" w:rsidRPr="00091680" w:rsidRDefault="005E4E0B" w:rsidP="008C3AED">
            <w:pPr>
              <w:spacing w:after="0" w:line="240" w:lineRule="auto"/>
              <w:jc w:val="left"/>
              <w:rPr>
                <w:rFonts w:ascii="Arial" w:hAnsi="Arial" w:cs="Arial"/>
                <w:b/>
                <w:sz w:val="16"/>
                <w:szCs w:val="16"/>
              </w:rPr>
            </w:pPr>
            <w:r w:rsidRPr="00091680">
              <w:rPr>
                <w:rFonts w:ascii="Arial" w:hAnsi="Arial" w:cs="Arial"/>
                <w:b/>
                <w:sz w:val="16"/>
                <w:szCs w:val="16"/>
              </w:rPr>
              <w:t>Total AGS subject to Treasurer</w:t>
            </w:r>
            <w:r w:rsidR="00C42B0B" w:rsidRPr="00091680">
              <w:rPr>
                <w:rFonts w:ascii="Arial" w:hAnsi="Arial" w:cs="Arial"/>
                <w:b/>
                <w:sz w:val="16"/>
                <w:szCs w:val="16"/>
              </w:rPr>
              <w:t>’</w:t>
            </w:r>
            <w:r w:rsidRPr="00091680">
              <w:rPr>
                <w:rFonts w:ascii="Arial" w:hAnsi="Arial" w:cs="Arial"/>
                <w:b/>
                <w:sz w:val="16"/>
                <w:szCs w:val="16"/>
              </w:rPr>
              <w:t>s Direction(a)</w:t>
            </w:r>
          </w:p>
        </w:tc>
        <w:tc>
          <w:tcPr>
            <w:tcW w:w="613" w:type="pct"/>
            <w:tcBorders>
              <w:top w:val="nil"/>
              <w:left w:val="nil"/>
              <w:bottom w:val="nil"/>
              <w:right w:val="nil"/>
            </w:tcBorders>
            <w:shd w:val="clear" w:color="auto" w:fill="auto"/>
            <w:noWrap/>
            <w:vAlign w:val="center"/>
            <w:hideMark/>
          </w:tcPr>
          <w:p w14:paraId="7807B52F" w14:textId="77777777" w:rsidR="005E4E0B" w:rsidRPr="00091680" w:rsidRDefault="005E4E0B" w:rsidP="008C3AED">
            <w:pPr>
              <w:spacing w:after="0" w:line="240" w:lineRule="auto"/>
              <w:jc w:val="right"/>
              <w:rPr>
                <w:rFonts w:ascii="Arial" w:hAnsi="Arial" w:cs="Arial"/>
                <w:b/>
                <w:sz w:val="16"/>
                <w:szCs w:val="16"/>
              </w:rPr>
            </w:pPr>
            <w:r w:rsidRPr="00091680">
              <w:rPr>
                <w:rFonts w:ascii="Arial" w:hAnsi="Arial" w:cs="Arial"/>
                <w:b/>
                <w:sz w:val="16"/>
                <w:szCs w:val="16"/>
              </w:rPr>
              <w:t>868,147</w:t>
            </w:r>
          </w:p>
        </w:tc>
        <w:tc>
          <w:tcPr>
            <w:tcW w:w="713" w:type="pct"/>
            <w:tcBorders>
              <w:top w:val="nil"/>
              <w:left w:val="nil"/>
              <w:bottom w:val="nil"/>
              <w:right w:val="nil"/>
            </w:tcBorders>
            <w:shd w:val="clear" w:color="auto" w:fill="auto"/>
            <w:noWrap/>
            <w:vAlign w:val="center"/>
            <w:hideMark/>
          </w:tcPr>
          <w:p w14:paraId="5ABED185" w14:textId="77777777" w:rsidR="005E4E0B" w:rsidRPr="00091680" w:rsidRDefault="005E4E0B" w:rsidP="008C3AED">
            <w:pPr>
              <w:spacing w:after="0" w:line="240" w:lineRule="auto"/>
              <w:jc w:val="right"/>
              <w:rPr>
                <w:rFonts w:ascii="Arial" w:hAnsi="Arial" w:cs="Arial"/>
                <w:b/>
                <w:sz w:val="16"/>
                <w:szCs w:val="16"/>
              </w:rPr>
            </w:pPr>
            <w:r w:rsidRPr="00091680">
              <w:rPr>
                <w:rFonts w:ascii="Arial" w:hAnsi="Arial" w:cs="Arial"/>
                <w:b/>
                <w:sz w:val="16"/>
                <w:szCs w:val="16"/>
              </w:rPr>
              <w:t>879,267</w:t>
            </w:r>
          </w:p>
        </w:tc>
      </w:tr>
      <w:tr w:rsidR="00A6042B" w:rsidRPr="005546AF" w14:paraId="2FDC598E" w14:textId="77777777" w:rsidTr="003456AD">
        <w:trPr>
          <w:trHeight w:hRule="exact" w:val="225"/>
        </w:trPr>
        <w:tc>
          <w:tcPr>
            <w:tcW w:w="3674" w:type="pct"/>
            <w:tcBorders>
              <w:top w:val="nil"/>
              <w:left w:val="nil"/>
              <w:bottom w:val="nil"/>
              <w:right w:val="nil"/>
            </w:tcBorders>
            <w:shd w:val="clear" w:color="auto" w:fill="auto"/>
            <w:noWrap/>
            <w:vAlign w:val="center"/>
            <w:hideMark/>
          </w:tcPr>
          <w:p w14:paraId="65B02FD6" w14:textId="77777777" w:rsidR="005E4E0B" w:rsidRPr="00091680" w:rsidRDefault="005E4E0B" w:rsidP="008C3AED">
            <w:pPr>
              <w:spacing w:after="0" w:line="240" w:lineRule="auto"/>
              <w:jc w:val="left"/>
              <w:rPr>
                <w:rFonts w:ascii="Arial" w:hAnsi="Arial" w:cs="Arial"/>
                <w:sz w:val="16"/>
                <w:szCs w:val="16"/>
              </w:rPr>
            </w:pPr>
            <w:r w:rsidRPr="00091680">
              <w:rPr>
                <w:rFonts w:ascii="Arial" w:hAnsi="Arial" w:cs="Arial"/>
                <w:sz w:val="16"/>
                <w:szCs w:val="16"/>
              </w:rPr>
              <w:t>Other stock and securities</w:t>
            </w:r>
          </w:p>
        </w:tc>
        <w:tc>
          <w:tcPr>
            <w:tcW w:w="613" w:type="pct"/>
            <w:tcBorders>
              <w:top w:val="nil"/>
              <w:left w:val="nil"/>
              <w:bottom w:val="nil"/>
              <w:right w:val="nil"/>
            </w:tcBorders>
            <w:shd w:val="clear" w:color="auto" w:fill="auto"/>
            <w:noWrap/>
            <w:vAlign w:val="center"/>
            <w:hideMark/>
          </w:tcPr>
          <w:p w14:paraId="33280913"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5</w:t>
            </w:r>
          </w:p>
        </w:tc>
        <w:tc>
          <w:tcPr>
            <w:tcW w:w="713" w:type="pct"/>
            <w:tcBorders>
              <w:top w:val="nil"/>
              <w:left w:val="nil"/>
              <w:bottom w:val="nil"/>
              <w:right w:val="nil"/>
            </w:tcBorders>
            <w:shd w:val="clear" w:color="auto" w:fill="auto"/>
            <w:noWrap/>
            <w:vAlign w:val="center"/>
            <w:hideMark/>
          </w:tcPr>
          <w:p w14:paraId="21F0D9B3" w14:textId="77777777" w:rsidR="005E4E0B" w:rsidRPr="00091680" w:rsidRDefault="005E4E0B" w:rsidP="008C3AED">
            <w:pPr>
              <w:spacing w:after="0" w:line="240" w:lineRule="auto"/>
              <w:jc w:val="right"/>
              <w:rPr>
                <w:rFonts w:ascii="Arial" w:hAnsi="Arial" w:cs="Arial"/>
                <w:sz w:val="16"/>
                <w:szCs w:val="16"/>
              </w:rPr>
            </w:pPr>
            <w:r w:rsidRPr="00091680">
              <w:rPr>
                <w:rFonts w:ascii="Arial" w:hAnsi="Arial" w:cs="Arial"/>
                <w:sz w:val="16"/>
                <w:szCs w:val="16"/>
              </w:rPr>
              <w:t>5</w:t>
            </w:r>
          </w:p>
        </w:tc>
      </w:tr>
      <w:tr w:rsidR="00A6042B" w:rsidRPr="005546AF" w14:paraId="78560A6B" w14:textId="77777777" w:rsidTr="003456AD">
        <w:trPr>
          <w:trHeight w:hRule="exact" w:val="225"/>
        </w:trPr>
        <w:tc>
          <w:tcPr>
            <w:tcW w:w="3674" w:type="pct"/>
            <w:tcBorders>
              <w:top w:val="nil"/>
              <w:left w:val="nil"/>
              <w:bottom w:val="single" w:sz="4" w:space="0" w:color="auto"/>
              <w:right w:val="nil"/>
            </w:tcBorders>
            <w:shd w:val="clear" w:color="auto" w:fill="auto"/>
            <w:noWrap/>
            <w:vAlign w:val="center"/>
            <w:hideMark/>
          </w:tcPr>
          <w:p w14:paraId="336478E6" w14:textId="77777777" w:rsidR="005E4E0B" w:rsidRPr="00091680" w:rsidRDefault="005E4E0B" w:rsidP="008C3AED">
            <w:pPr>
              <w:spacing w:after="0" w:line="240" w:lineRule="auto"/>
              <w:jc w:val="left"/>
              <w:rPr>
                <w:rFonts w:ascii="Arial" w:hAnsi="Arial" w:cs="Arial"/>
                <w:b/>
                <w:sz w:val="16"/>
                <w:szCs w:val="16"/>
              </w:rPr>
            </w:pPr>
            <w:r w:rsidRPr="00091680">
              <w:rPr>
                <w:rFonts w:ascii="Arial" w:hAnsi="Arial" w:cs="Arial"/>
                <w:b/>
                <w:sz w:val="16"/>
                <w:szCs w:val="16"/>
              </w:rPr>
              <w:t>Total AGS on issue</w:t>
            </w:r>
          </w:p>
        </w:tc>
        <w:tc>
          <w:tcPr>
            <w:tcW w:w="613" w:type="pct"/>
            <w:tcBorders>
              <w:top w:val="nil"/>
              <w:left w:val="nil"/>
              <w:bottom w:val="single" w:sz="4" w:space="0" w:color="auto"/>
              <w:right w:val="nil"/>
            </w:tcBorders>
            <w:shd w:val="clear" w:color="auto" w:fill="auto"/>
            <w:noWrap/>
            <w:vAlign w:val="center"/>
            <w:hideMark/>
          </w:tcPr>
          <w:p w14:paraId="307EE101" w14:textId="77777777" w:rsidR="005E4E0B" w:rsidRPr="00091680" w:rsidRDefault="005E4E0B" w:rsidP="008C3AED">
            <w:pPr>
              <w:spacing w:after="0" w:line="240" w:lineRule="auto"/>
              <w:jc w:val="right"/>
              <w:rPr>
                <w:rFonts w:ascii="Arial" w:hAnsi="Arial" w:cs="Arial"/>
                <w:b/>
                <w:sz w:val="16"/>
                <w:szCs w:val="16"/>
              </w:rPr>
            </w:pPr>
            <w:r w:rsidRPr="00091680">
              <w:rPr>
                <w:rFonts w:ascii="Arial" w:hAnsi="Arial" w:cs="Arial"/>
                <w:b/>
                <w:sz w:val="16"/>
                <w:szCs w:val="16"/>
              </w:rPr>
              <w:t>868,153</w:t>
            </w:r>
          </w:p>
        </w:tc>
        <w:tc>
          <w:tcPr>
            <w:tcW w:w="713" w:type="pct"/>
            <w:tcBorders>
              <w:top w:val="nil"/>
              <w:left w:val="nil"/>
              <w:bottom w:val="single" w:sz="4" w:space="0" w:color="auto"/>
              <w:right w:val="nil"/>
            </w:tcBorders>
            <w:shd w:val="clear" w:color="auto" w:fill="auto"/>
            <w:noWrap/>
            <w:vAlign w:val="center"/>
            <w:hideMark/>
          </w:tcPr>
          <w:p w14:paraId="0E8AA7DA" w14:textId="77777777" w:rsidR="005E4E0B" w:rsidRPr="00091680" w:rsidRDefault="005E4E0B" w:rsidP="008C3AED">
            <w:pPr>
              <w:spacing w:after="0" w:line="240" w:lineRule="auto"/>
              <w:jc w:val="right"/>
              <w:rPr>
                <w:rFonts w:ascii="Arial" w:hAnsi="Arial" w:cs="Arial"/>
                <w:b/>
                <w:sz w:val="16"/>
                <w:szCs w:val="16"/>
              </w:rPr>
            </w:pPr>
            <w:r w:rsidRPr="00091680">
              <w:rPr>
                <w:rFonts w:ascii="Arial" w:hAnsi="Arial" w:cs="Arial"/>
                <w:b/>
                <w:sz w:val="16"/>
                <w:szCs w:val="16"/>
              </w:rPr>
              <w:t>879,272</w:t>
            </w:r>
          </w:p>
        </w:tc>
      </w:tr>
    </w:tbl>
    <w:p w14:paraId="2795D39F" w14:textId="69BCDCAF" w:rsidR="003C48F3" w:rsidRPr="00091680" w:rsidRDefault="003C48F3" w:rsidP="003A10A4">
      <w:pPr>
        <w:pStyle w:val="ChartandTableFootnoteAlpha"/>
        <w:numPr>
          <w:ilvl w:val="0"/>
          <w:numId w:val="9"/>
        </w:numPr>
        <w:rPr>
          <w:color w:val="auto"/>
        </w:rPr>
      </w:pPr>
      <w:r w:rsidRPr="00091680">
        <w:rPr>
          <w:color w:val="auto"/>
        </w:rPr>
        <w:t>The stock and securities that are excluded from the current limit set by the Treasurer’s Direction are outlined in subsection 51JA(2A) of the CIS Act.</w:t>
      </w:r>
    </w:p>
    <w:p w14:paraId="39E43009" w14:textId="4EFDA150" w:rsidR="003C48F3" w:rsidRPr="003C48F3" w:rsidRDefault="003C48F3" w:rsidP="006971E8">
      <w:pPr>
        <w:pStyle w:val="Source"/>
      </w:pPr>
      <w:r w:rsidRPr="00091680">
        <w:t xml:space="preserve">Source: </w:t>
      </w:r>
      <w:r w:rsidRPr="00091680">
        <w:tab/>
        <w:t xml:space="preserve"> AOFM.</w:t>
      </w:r>
    </w:p>
    <w:p w14:paraId="47B7D339" w14:textId="45F7E591" w:rsidR="004D540E" w:rsidRDefault="008C534C">
      <w:pPr>
        <w:spacing w:after="160" w:line="259" w:lineRule="auto"/>
        <w:jc w:val="left"/>
      </w:pPr>
      <w:bookmarkStart w:id="27" w:name="_Toc67660283"/>
      <w:r>
        <w:br w:type="page"/>
      </w:r>
    </w:p>
    <w:p w14:paraId="0213A8BB" w14:textId="732251CD" w:rsidR="003C48F3" w:rsidRPr="00091680" w:rsidRDefault="003C48F3" w:rsidP="004D540E">
      <w:pPr>
        <w:pStyle w:val="Heading3"/>
        <w:pageBreakBefore/>
      </w:pPr>
      <w:bookmarkStart w:id="28" w:name="_Toc98531931"/>
      <w:r w:rsidRPr="00091680">
        <w:lastRenderedPageBreak/>
        <w:t>Treasury Bonds</w:t>
      </w:r>
      <w:bookmarkEnd w:id="27"/>
      <w:bookmarkEnd w:id="28"/>
    </w:p>
    <w:p w14:paraId="60356E0D" w14:textId="1CFB31A0" w:rsidR="005F5506" w:rsidRPr="00091680" w:rsidRDefault="003C48F3" w:rsidP="003C48F3">
      <w:r w:rsidRPr="00091680">
        <w:t xml:space="preserve">Table </w:t>
      </w:r>
      <w:r w:rsidR="001E52C1" w:rsidRPr="00091680">
        <w:t>6</w:t>
      </w:r>
      <w:r w:rsidRPr="00091680">
        <w:t xml:space="preserve">.4 lists Treasury Bonds currently on issue, as well as the annual interest rate (the coupon) and the timing of coupon payments. As at </w:t>
      </w:r>
      <w:r w:rsidR="006637F0" w:rsidRPr="00091680">
        <w:t>1</w:t>
      </w:r>
      <w:r w:rsidR="00DD119B" w:rsidRPr="00091680">
        <w:t>8</w:t>
      </w:r>
      <w:r w:rsidR="00D863DB" w:rsidRPr="00091680">
        <w:t xml:space="preserve"> March 2022</w:t>
      </w:r>
      <w:r w:rsidRPr="00091680">
        <w:t xml:space="preserve">, there were </w:t>
      </w:r>
      <w:r w:rsidR="00666123" w:rsidRPr="00091680">
        <w:t>28</w:t>
      </w:r>
      <w:r w:rsidRPr="00091680">
        <w:t> Treasury Bond lines on issue, with a weighted average term to maturity of around 7.</w:t>
      </w:r>
      <w:r w:rsidR="00E1771B" w:rsidRPr="00091680">
        <w:t>2</w:t>
      </w:r>
      <w:r w:rsidRPr="00091680">
        <w:t> years and the longest maturity extending to June</w:t>
      </w:r>
      <w:r w:rsidR="00E1771B" w:rsidRPr="00091680">
        <w:t xml:space="preserve"> </w:t>
      </w:r>
      <w:r w:rsidRPr="00091680">
        <w:t>2051.</w:t>
      </w:r>
      <w:r w:rsidR="009C0FB9" w:rsidRPr="00091680">
        <w:t xml:space="preserve"> Further </w:t>
      </w:r>
      <w:r w:rsidR="00DA3097" w:rsidRPr="00091680">
        <w:t>information on the</w:t>
      </w:r>
      <w:r w:rsidR="00D74123" w:rsidRPr="00091680">
        <w:t xml:space="preserve"> AOFM’s strategy that has lengthened the</w:t>
      </w:r>
      <w:r w:rsidR="00DA3097" w:rsidRPr="00091680">
        <w:t xml:space="preserve"> weighted average term to maturity</w:t>
      </w:r>
      <w:r w:rsidR="006B4276" w:rsidRPr="00091680">
        <w:t xml:space="preserve"> over the past decade</w:t>
      </w:r>
      <w:r w:rsidR="00DA3097" w:rsidRPr="00091680">
        <w:t xml:space="preserve"> can be found in </w:t>
      </w:r>
      <w:r w:rsidR="00DA3097" w:rsidRPr="00091680">
        <w:rPr>
          <w:i/>
        </w:rPr>
        <w:t>Statement 3: Fiscal Strategy and Outlook</w:t>
      </w:r>
      <w:r w:rsidR="00DA3097" w:rsidRPr="00091680">
        <w:t>.</w:t>
      </w:r>
    </w:p>
    <w:p w14:paraId="1462E28B" w14:textId="118300A8" w:rsidR="00E24972" w:rsidRPr="00091680" w:rsidRDefault="003C48F3" w:rsidP="00E24972">
      <w:pPr>
        <w:pStyle w:val="TableHeading"/>
        <w:rPr>
          <w:rFonts w:asciiTheme="minorHAnsi" w:eastAsiaTheme="minorHAnsi" w:hAnsiTheme="minorHAnsi" w:cstheme="minorBidi"/>
          <w:sz w:val="22"/>
          <w:szCs w:val="22"/>
          <w:lang w:eastAsia="en-US"/>
        </w:rPr>
      </w:pPr>
      <w:r w:rsidRPr="00091680">
        <w:t xml:space="preserve">Table </w:t>
      </w:r>
      <w:r w:rsidR="001E52C1" w:rsidRPr="00091680">
        <w:t>6</w:t>
      </w:r>
      <w:r w:rsidRPr="00091680">
        <w:t>.4: Treasury Bonds on issu</w:t>
      </w:r>
      <w:r w:rsidR="00776644" w:rsidRPr="00091680">
        <w:t>e</w:t>
      </w:r>
    </w:p>
    <w:tbl>
      <w:tblPr>
        <w:tblW w:w="7711" w:type="dxa"/>
        <w:tblLook w:val="04A0" w:firstRow="1" w:lastRow="0" w:firstColumn="1" w:lastColumn="0" w:noHBand="0" w:noVBand="1"/>
      </w:tblPr>
      <w:tblGrid>
        <w:gridCol w:w="1057"/>
        <w:gridCol w:w="1247"/>
        <w:gridCol w:w="1563"/>
        <w:gridCol w:w="1728"/>
        <w:gridCol w:w="1058"/>
        <w:gridCol w:w="1058"/>
      </w:tblGrid>
      <w:tr w:rsidR="00E24972" w:rsidRPr="005546AF" w14:paraId="499A7826" w14:textId="77777777" w:rsidTr="00E24972">
        <w:trPr>
          <w:trHeight w:val="225"/>
        </w:trPr>
        <w:tc>
          <w:tcPr>
            <w:tcW w:w="1000" w:type="dxa"/>
            <w:tcBorders>
              <w:top w:val="single" w:sz="4" w:space="0" w:color="000000"/>
              <w:left w:val="nil"/>
              <w:bottom w:val="nil"/>
              <w:right w:val="nil"/>
            </w:tcBorders>
            <w:shd w:val="clear" w:color="auto" w:fill="auto"/>
            <w:noWrap/>
            <w:vAlign w:val="center"/>
            <w:hideMark/>
          </w:tcPr>
          <w:p w14:paraId="29ED6FDE" w14:textId="5272ACFA"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 </w:t>
            </w:r>
          </w:p>
        </w:tc>
        <w:tc>
          <w:tcPr>
            <w:tcW w:w="1180" w:type="dxa"/>
            <w:tcBorders>
              <w:top w:val="single" w:sz="4" w:space="0" w:color="000000"/>
              <w:left w:val="nil"/>
              <w:bottom w:val="nil"/>
              <w:right w:val="nil"/>
            </w:tcBorders>
            <w:shd w:val="clear" w:color="auto" w:fill="auto"/>
            <w:noWrap/>
            <w:vAlign w:val="center"/>
            <w:hideMark/>
          </w:tcPr>
          <w:p w14:paraId="14E95EA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 </w:t>
            </w:r>
          </w:p>
        </w:tc>
        <w:tc>
          <w:tcPr>
            <w:tcW w:w="1480" w:type="dxa"/>
            <w:tcBorders>
              <w:top w:val="single" w:sz="4" w:space="0" w:color="000000"/>
              <w:left w:val="nil"/>
              <w:bottom w:val="nil"/>
              <w:right w:val="nil"/>
            </w:tcBorders>
            <w:shd w:val="clear" w:color="auto" w:fill="auto"/>
            <w:noWrap/>
            <w:vAlign w:val="center"/>
            <w:hideMark/>
          </w:tcPr>
          <w:p w14:paraId="57E21A8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On issue as at</w:t>
            </w:r>
          </w:p>
        </w:tc>
        <w:tc>
          <w:tcPr>
            <w:tcW w:w="3640" w:type="dxa"/>
            <w:gridSpan w:val="3"/>
            <w:tcBorders>
              <w:top w:val="single" w:sz="4" w:space="0" w:color="000000"/>
              <w:left w:val="nil"/>
              <w:bottom w:val="nil"/>
              <w:right w:val="nil"/>
            </w:tcBorders>
            <w:shd w:val="clear" w:color="auto" w:fill="auto"/>
            <w:noWrap/>
            <w:vAlign w:val="center"/>
            <w:hideMark/>
          </w:tcPr>
          <w:p w14:paraId="18211E77" w14:textId="77777777" w:rsidR="00E24972" w:rsidRPr="00091680" w:rsidRDefault="00E24972" w:rsidP="00E24972">
            <w:pPr>
              <w:spacing w:after="0" w:line="240" w:lineRule="auto"/>
              <w:jc w:val="center"/>
              <w:rPr>
                <w:rFonts w:ascii="Arial" w:hAnsi="Arial" w:cs="Arial"/>
                <w:sz w:val="16"/>
                <w:szCs w:val="16"/>
              </w:rPr>
            </w:pPr>
            <w:r w:rsidRPr="00091680">
              <w:rPr>
                <w:rFonts w:ascii="Arial" w:hAnsi="Arial" w:cs="Arial"/>
                <w:sz w:val="16"/>
                <w:szCs w:val="16"/>
              </w:rPr>
              <w:t> </w:t>
            </w:r>
          </w:p>
        </w:tc>
      </w:tr>
      <w:tr w:rsidR="00E24972" w:rsidRPr="005546AF" w14:paraId="54FC3990" w14:textId="77777777" w:rsidTr="00E24972">
        <w:trPr>
          <w:trHeight w:val="225"/>
        </w:trPr>
        <w:tc>
          <w:tcPr>
            <w:tcW w:w="1000" w:type="dxa"/>
            <w:tcBorders>
              <w:top w:val="nil"/>
              <w:left w:val="nil"/>
              <w:bottom w:val="nil"/>
              <w:right w:val="nil"/>
            </w:tcBorders>
            <w:shd w:val="clear" w:color="auto" w:fill="auto"/>
            <w:noWrap/>
            <w:vAlign w:val="center"/>
            <w:hideMark/>
          </w:tcPr>
          <w:p w14:paraId="4600172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Coupon</w:t>
            </w:r>
          </w:p>
        </w:tc>
        <w:tc>
          <w:tcPr>
            <w:tcW w:w="1180" w:type="dxa"/>
            <w:tcBorders>
              <w:top w:val="nil"/>
              <w:left w:val="nil"/>
              <w:bottom w:val="nil"/>
              <w:right w:val="nil"/>
            </w:tcBorders>
            <w:shd w:val="clear" w:color="auto" w:fill="auto"/>
            <w:noWrap/>
            <w:vAlign w:val="center"/>
            <w:hideMark/>
          </w:tcPr>
          <w:p w14:paraId="0C843837" w14:textId="77777777" w:rsidR="00E24972" w:rsidRPr="00091680" w:rsidRDefault="00E24972" w:rsidP="00E24972">
            <w:pPr>
              <w:spacing w:after="0" w:line="240" w:lineRule="auto"/>
              <w:jc w:val="right"/>
              <w:rPr>
                <w:rFonts w:ascii="Arial" w:hAnsi="Arial" w:cs="Arial"/>
                <w:sz w:val="16"/>
                <w:szCs w:val="16"/>
              </w:rPr>
            </w:pPr>
          </w:p>
        </w:tc>
        <w:tc>
          <w:tcPr>
            <w:tcW w:w="1480" w:type="dxa"/>
            <w:tcBorders>
              <w:top w:val="nil"/>
              <w:left w:val="nil"/>
              <w:bottom w:val="nil"/>
              <w:right w:val="nil"/>
            </w:tcBorders>
            <w:shd w:val="clear" w:color="auto" w:fill="auto"/>
            <w:noWrap/>
            <w:vAlign w:val="center"/>
            <w:hideMark/>
          </w:tcPr>
          <w:p w14:paraId="476D46A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18 March 2022</w:t>
            </w:r>
          </w:p>
        </w:tc>
        <w:tc>
          <w:tcPr>
            <w:tcW w:w="1636" w:type="dxa"/>
            <w:tcBorders>
              <w:top w:val="nil"/>
              <w:left w:val="nil"/>
              <w:bottom w:val="nil"/>
              <w:right w:val="nil"/>
            </w:tcBorders>
            <w:shd w:val="clear" w:color="auto" w:fill="auto"/>
            <w:noWrap/>
            <w:vAlign w:val="center"/>
            <w:hideMark/>
          </w:tcPr>
          <w:p w14:paraId="463D83F6" w14:textId="77777777" w:rsidR="00E24972" w:rsidRPr="00091680" w:rsidRDefault="00E24972" w:rsidP="00E24972">
            <w:pPr>
              <w:spacing w:after="0" w:line="240" w:lineRule="auto"/>
              <w:jc w:val="right"/>
              <w:rPr>
                <w:rFonts w:ascii="Arial" w:hAnsi="Arial" w:cs="Arial"/>
                <w:sz w:val="16"/>
                <w:szCs w:val="16"/>
              </w:rPr>
            </w:pPr>
          </w:p>
        </w:tc>
        <w:tc>
          <w:tcPr>
            <w:tcW w:w="1002" w:type="dxa"/>
            <w:tcBorders>
              <w:top w:val="nil"/>
              <w:left w:val="nil"/>
              <w:bottom w:val="nil"/>
              <w:right w:val="nil"/>
            </w:tcBorders>
            <w:shd w:val="clear" w:color="auto" w:fill="auto"/>
            <w:noWrap/>
            <w:vAlign w:val="center"/>
            <w:hideMark/>
          </w:tcPr>
          <w:p w14:paraId="40FC4CC8" w14:textId="77777777" w:rsidR="00E24972" w:rsidRPr="00091680" w:rsidRDefault="00E24972" w:rsidP="00E24972">
            <w:pPr>
              <w:spacing w:after="0" w:line="240" w:lineRule="auto"/>
              <w:jc w:val="left"/>
              <w:rPr>
                <w:rFonts w:ascii="Times New Roman" w:hAnsi="Times New Roman"/>
              </w:rPr>
            </w:pPr>
          </w:p>
        </w:tc>
        <w:tc>
          <w:tcPr>
            <w:tcW w:w="1002" w:type="dxa"/>
            <w:tcBorders>
              <w:top w:val="nil"/>
              <w:left w:val="nil"/>
              <w:bottom w:val="nil"/>
              <w:right w:val="nil"/>
            </w:tcBorders>
            <w:shd w:val="clear" w:color="auto" w:fill="auto"/>
            <w:noWrap/>
            <w:vAlign w:val="center"/>
            <w:hideMark/>
          </w:tcPr>
          <w:p w14:paraId="2A1A7B62" w14:textId="77777777" w:rsidR="00E24972" w:rsidRPr="00091680" w:rsidRDefault="00E24972" w:rsidP="00E24972">
            <w:pPr>
              <w:spacing w:after="0" w:line="240" w:lineRule="auto"/>
              <w:jc w:val="right"/>
              <w:rPr>
                <w:rFonts w:ascii="Times New Roman" w:hAnsi="Times New Roman"/>
              </w:rPr>
            </w:pPr>
          </w:p>
        </w:tc>
      </w:tr>
      <w:tr w:rsidR="00E24972" w:rsidRPr="005546AF" w14:paraId="101B1D38" w14:textId="77777777" w:rsidTr="00E24972">
        <w:trPr>
          <w:trHeight w:val="225"/>
        </w:trPr>
        <w:tc>
          <w:tcPr>
            <w:tcW w:w="1000" w:type="dxa"/>
            <w:tcBorders>
              <w:top w:val="nil"/>
              <w:left w:val="nil"/>
              <w:bottom w:val="single" w:sz="4" w:space="0" w:color="000000"/>
              <w:right w:val="nil"/>
            </w:tcBorders>
            <w:shd w:val="clear" w:color="auto" w:fill="auto"/>
            <w:noWrap/>
            <w:vAlign w:val="center"/>
            <w:hideMark/>
          </w:tcPr>
          <w:p w14:paraId="6B3936C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Per cent</w:t>
            </w:r>
          </w:p>
        </w:tc>
        <w:tc>
          <w:tcPr>
            <w:tcW w:w="1180" w:type="dxa"/>
            <w:tcBorders>
              <w:top w:val="nil"/>
              <w:left w:val="nil"/>
              <w:bottom w:val="single" w:sz="4" w:space="0" w:color="000000"/>
              <w:right w:val="nil"/>
            </w:tcBorders>
            <w:shd w:val="clear" w:color="auto" w:fill="auto"/>
            <w:noWrap/>
            <w:vAlign w:val="center"/>
            <w:hideMark/>
          </w:tcPr>
          <w:p w14:paraId="0CF77EF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Maturity</w:t>
            </w:r>
          </w:p>
        </w:tc>
        <w:tc>
          <w:tcPr>
            <w:tcW w:w="1480" w:type="dxa"/>
            <w:tcBorders>
              <w:top w:val="nil"/>
              <w:left w:val="nil"/>
              <w:bottom w:val="single" w:sz="4" w:space="0" w:color="000000"/>
              <w:right w:val="nil"/>
            </w:tcBorders>
            <w:shd w:val="clear" w:color="auto" w:fill="auto"/>
            <w:noWrap/>
            <w:vAlign w:val="center"/>
            <w:hideMark/>
          </w:tcPr>
          <w:p w14:paraId="0DCE50D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$m</w:t>
            </w:r>
          </w:p>
        </w:tc>
        <w:tc>
          <w:tcPr>
            <w:tcW w:w="3640" w:type="dxa"/>
            <w:gridSpan w:val="3"/>
            <w:tcBorders>
              <w:top w:val="nil"/>
              <w:left w:val="nil"/>
              <w:bottom w:val="single" w:sz="4" w:space="0" w:color="000000"/>
              <w:right w:val="nil"/>
            </w:tcBorders>
            <w:shd w:val="clear" w:color="auto" w:fill="auto"/>
            <w:noWrap/>
            <w:vAlign w:val="center"/>
            <w:hideMark/>
          </w:tcPr>
          <w:p w14:paraId="3F00787D" w14:textId="77777777" w:rsidR="00E24972" w:rsidRPr="00091680" w:rsidRDefault="00E24972" w:rsidP="00E24972">
            <w:pPr>
              <w:spacing w:after="0" w:line="240" w:lineRule="auto"/>
              <w:jc w:val="center"/>
              <w:rPr>
                <w:rFonts w:ascii="Arial" w:hAnsi="Arial" w:cs="Arial"/>
                <w:sz w:val="16"/>
                <w:szCs w:val="16"/>
              </w:rPr>
            </w:pPr>
            <w:r w:rsidRPr="00091680">
              <w:rPr>
                <w:rFonts w:ascii="Arial" w:hAnsi="Arial" w:cs="Arial"/>
                <w:sz w:val="16"/>
                <w:szCs w:val="16"/>
              </w:rPr>
              <w:t>Timing of interest payments(a)</w:t>
            </w:r>
          </w:p>
        </w:tc>
      </w:tr>
      <w:tr w:rsidR="00E24972" w:rsidRPr="005546AF" w14:paraId="1337A123" w14:textId="77777777" w:rsidTr="00E24972">
        <w:trPr>
          <w:trHeight w:val="225"/>
        </w:trPr>
        <w:tc>
          <w:tcPr>
            <w:tcW w:w="1000" w:type="dxa"/>
            <w:tcBorders>
              <w:top w:val="nil"/>
              <w:left w:val="nil"/>
              <w:bottom w:val="nil"/>
              <w:right w:val="nil"/>
            </w:tcBorders>
            <w:shd w:val="clear" w:color="auto" w:fill="auto"/>
            <w:noWrap/>
            <w:vAlign w:val="center"/>
            <w:hideMark/>
          </w:tcPr>
          <w:p w14:paraId="7B3C9D9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5.75</w:t>
            </w:r>
          </w:p>
        </w:tc>
        <w:tc>
          <w:tcPr>
            <w:tcW w:w="1180" w:type="dxa"/>
            <w:tcBorders>
              <w:top w:val="nil"/>
              <w:left w:val="nil"/>
              <w:bottom w:val="nil"/>
              <w:right w:val="nil"/>
            </w:tcBorders>
            <w:shd w:val="clear" w:color="auto" w:fill="auto"/>
            <w:noWrap/>
            <w:vAlign w:val="center"/>
            <w:hideMark/>
          </w:tcPr>
          <w:p w14:paraId="5F76CF8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15-Jul-22</w:t>
            </w:r>
          </w:p>
        </w:tc>
        <w:tc>
          <w:tcPr>
            <w:tcW w:w="1480" w:type="dxa"/>
            <w:tcBorders>
              <w:top w:val="nil"/>
              <w:left w:val="nil"/>
              <w:bottom w:val="nil"/>
              <w:right w:val="nil"/>
            </w:tcBorders>
            <w:shd w:val="clear" w:color="auto" w:fill="auto"/>
            <w:noWrap/>
            <w:vAlign w:val="center"/>
            <w:hideMark/>
          </w:tcPr>
          <w:p w14:paraId="6C04128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24,763</w:t>
            </w:r>
          </w:p>
        </w:tc>
        <w:tc>
          <w:tcPr>
            <w:tcW w:w="1636" w:type="dxa"/>
            <w:tcBorders>
              <w:top w:val="nil"/>
              <w:left w:val="nil"/>
              <w:bottom w:val="nil"/>
              <w:right w:val="nil"/>
            </w:tcBorders>
            <w:shd w:val="clear" w:color="auto" w:fill="auto"/>
            <w:noWrap/>
            <w:vAlign w:val="center"/>
            <w:hideMark/>
          </w:tcPr>
          <w:p w14:paraId="7347D6D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260A555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15-Jul</w:t>
            </w:r>
          </w:p>
        </w:tc>
        <w:tc>
          <w:tcPr>
            <w:tcW w:w="1002" w:type="dxa"/>
            <w:tcBorders>
              <w:top w:val="nil"/>
              <w:left w:val="nil"/>
              <w:bottom w:val="nil"/>
              <w:right w:val="nil"/>
            </w:tcBorders>
            <w:shd w:val="clear" w:color="auto" w:fill="auto"/>
            <w:noWrap/>
            <w:vAlign w:val="center"/>
            <w:hideMark/>
          </w:tcPr>
          <w:p w14:paraId="7577E27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15-Jan</w:t>
            </w:r>
          </w:p>
        </w:tc>
      </w:tr>
      <w:tr w:rsidR="00E24972" w:rsidRPr="005546AF" w14:paraId="3E16B22D" w14:textId="77777777" w:rsidTr="00E24972">
        <w:trPr>
          <w:trHeight w:val="225"/>
        </w:trPr>
        <w:tc>
          <w:tcPr>
            <w:tcW w:w="1000" w:type="dxa"/>
            <w:tcBorders>
              <w:top w:val="nil"/>
              <w:left w:val="nil"/>
              <w:bottom w:val="nil"/>
              <w:right w:val="nil"/>
            </w:tcBorders>
            <w:shd w:val="clear" w:color="auto" w:fill="auto"/>
            <w:noWrap/>
            <w:vAlign w:val="center"/>
            <w:hideMark/>
          </w:tcPr>
          <w:p w14:paraId="582D6E4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2.25</w:t>
            </w:r>
          </w:p>
        </w:tc>
        <w:tc>
          <w:tcPr>
            <w:tcW w:w="1180" w:type="dxa"/>
            <w:tcBorders>
              <w:top w:val="nil"/>
              <w:left w:val="nil"/>
              <w:bottom w:val="nil"/>
              <w:right w:val="nil"/>
            </w:tcBorders>
            <w:shd w:val="clear" w:color="auto" w:fill="auto"/>
            <w:noWrap/>
            <w:vAlign w:val="center"/>
            <w:hideMark/>
          </w:tcPr>
          <w:p w14:paraId="61ECFE0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21-Nov-22</w:t>
            </w:r>
          </w:p>
        </w:tc>
        <w:tc>
          <w:tcPr>
            <w:tcW w:w="1480" w:type="dxa"/>
            <w:tcBorders>
              <w:top w:val="nil"/>
              <w:left w:val="nil"/>
              <w:bottom w:val="nil"/>
              <w:right w:val="nil"/>
            </w:tcBorders>
            <w:shd w:val="clear" w:color="auto" w:fill="auto"/>
            <w:noWrap/>
            <w:vAlign w:val="center"/>
            <w:hideMark/>
          </w:tcPr>
          <w:p w14:paraId="5BDA10A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26,500</w:t>
            </w:r>
          </w:p>
        </w:tc>
        <w:tc>
          <w:tcPr>
            <w:tcW w:w="1636" w:type="dxa"/>
            <w:tcBorders>
              <w:top w:val="nil"/>
              <w:left w:val="nil"/>
              <w:bottom w:val="nil"/>
              <w:right w:val="nil"/>
            </w:tcBorders>
            <w:shd w:val="clear" w:color="auto" w:fill="auto"/>
            <w:noWrap/>
            <w:vAlign w:val="center"/>
            <w:hideMark/>
          </w:tcPr>
          <w:p w14:paraId="57BDED1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2C3EB44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7C96BE7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7F851C47" w14:textId="77777777" w:rsidTr="00E24972">
        <w:trPr>
          <w:trHeight w:val="225"/>
        </w:trPr>
        <w:tc>
          <w:tcPr>
            <w:tcW w:w="1000" w:type="dxa"/>
            <w:tcBorders>
              <w:top w:val="nil"/>
              <w:left w:val="nil"/>
              <w:bottom w:val="nil"/>
              <w:right w:val="nil"/>
            </w:tcBorders>
            <w:shd w:val="clear" w:color="auto" w:fill="auto"/>
            <w:noWrap/>
            <w:vAlign w:val="center"/>
            <w:hideMark/>
          </w:tcPr>
          <w:p w14:paraId="07BE506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5.50</w:t>
            </w:r>
          </w:p>
        </w:tc>
        <w:tc>
          <w:tcPr>
            <w:tcW w:w="1180" w:type="dxa"/>
            <w:tcBorders>
              <w:top w:val="nil"/>
              <w:left w:val="nil"/>
              <w:bottom w:val="nil"/>
              <w:right w:val="nil"/>
            </w:tcBorders>
            <w:shd w:val="clear" w:color="auto" w:fill="auto"/>
            <w:noWrap/>
            <w:vAlign w:val="center"/>
            <w:hideMark/>
          </w:tcPr>
          <w:p w14:paraId="2B20248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21-Apr-23</w:t>
            </w:r>
          </w:p>
        </w:tc>
        <w:tc>
          <w:tcPr>
            <w:tcW w:w="1480" w:type="dxa"/>
            <w:tcBorders>
              <w:top w:val="nil"/>
              <w:left w:val="nil"/>
              <w:bottom w:val="nil"/>
              <w:right w:val="nil"/>
            </w:tcBorders>
            <w:shd w:val="clear" w:color="auto" w:fill="auto"/>
            <w:noWrap/>
            <w:vAlign w:val="center"/>
            <w:hideMark/>
          </w:tcPr>
          <w:p w14:paraId="0B268BC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34,200</w:t>
            </w:r>
          </w:p>
        </w:tc>
        <w:tc>
          <w:tcPr>
            <w:tcW w:w="1636" w:type="dxa"/>
            <w:tcBorders>
              <w:top w:val="nil"/>
              <w:left w:val="nil"/>
              <w:bottom w:val="nil"/>
              <w:right w:val="nil"/>
            </w:tcBorders>
            <w:shd w:val="clear" w:color="auto" w:fill="auto"/>
            <w:noWrap/>
            <w:vAlign w:val="center"/>
            <w:hideMark/>
          </w:tcPr>
          <w:p w14:paraId="60CD8D1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48A97FF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29A023A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6EDF32B2" w14:textId="77777777" w:rsidTr="00E24972">
        <w:trPr>
          <w:trHeight w:val="225"/>
        </w:trPr>
        <w:tc>
          <w:tcPr>
            <w:tcW w:w="1000" w:type="dxa"/>
            <w:tcBorders>
              <w:top w:val="nil"/>
              <w:left w:val="nil"/>
              <w:bottom w:val="nil"/>
              <w:right w:val="nil"/>
            </w:tcBorders>
            <w:shd w:val="clear" w:color="auto" w:fill="auto"/>
            <w:noWrap/>
            <w:vAlign w:val="center"/>
            <w:hideMark/>
          </w:tcPr>
          <w:p w14:paraId="309AC2BC"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2.75</w:t>
            </w:r>
          </w:p>
        </w:tc>
        <w:tc>
          <w:tcPr>
            <w:tcW w:w="1180" w:type="dxa"/>
            <w:tcBorders>
              <w:top w:val="nil"/>
              <w:left w:val="nil"/>
              <w:bottom w:val="nil"/>
              <w:right w:val="nil"/>
            </w:tcBorders>
            <w:shd w:val="clear" w:color="auto" w:fill="auto"/>
            <w:noWrap/>
            <w:vAlign w:val="center"/>
            <w:hideMark/>
          </w:tcPr>
          <w:p w14:paraId="3C2D725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21-Apr-24</w:t>
            </w:r>
          </w:p>
        </w:tc>
        <w:tc>
          <w:tcPr>
            <w:tcW w:w="1480" w:type="dxa"/>
            <w:tcBorders>
              <w:top w:val="nil"/>
              <w:left w:val="nil"/>
              <w:bottom w:val="nil"/>
              <w:right w:val="nil"/>
            </w:tcBorders>
            <w:shd w:val="clear" w:color="auto" w:fill="auto"/>
            <w:noWrap/>
            <w:vAlign w:val="center"/>
            <w:hideMark/>
          </w:tcPr>
          <w:p w14:paraId="3688A82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34,400</w:t>
            </w:r>
          </w:p>
        </w:tc>
        <w:tc>
          <w:tcPr>
            <w:tcW w:w="1636" w:type="dxa"/>
            <w:tcBorders>
              <w:top w:val="nil"/>
              <w:left w:val="nil"/>
              <w:bottom w:val="nil"/>
              <w:right w:val="nil"/>
            </w:tcBorders>
            <w:shd w:val="clear" w:color="auto" w:fill="auto"/>
            <w:noWrap/>
            <w:vAlign w:val="center"/>
            <w:hideMark/>
          </w:tcPr>
          <w:p w14:paraId="33A8E37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712B6EF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2A4D346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5C340338" w14:textId="77777777" w:rsidTr="00E24972">
        <w:trPr>
          <w:trHeight w:val="225"/>
        </w:trPr>
        <w:tc>
          <w:tcPr>
            <w:tcW w:w="1000" w:type="dxa"/>
            <w:tcBorders>
              <w:top w:val="nil"/>
              <w:left w:val="nil"/>
              <w:bottom w:val="nil"/>
              <w:right w:val="nil"/>
            </w:tcBorders>
            <w:shd w:val="clear" w:color="auto" w:fill="auto"/>
            <w:noWrap/>
            <w:vAlign w:val="center"/>
            <w:hideMark/>
          </w:tcPr>
          <w:p w14:paraId="03A8BF1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0.25</w:t>
            </w:r>
          </w:p>
        </w:tc>
        <w:tc>
          <w:tcPr>
            <w:tcW w:w="1180" w:type="dxa"/>
            <w:tcBorders>
              <w:top w:val="nil"/>
              <w:left w:val="nil"/>
              <w:bottom w:val="nil"/>
              <w:right w:val="nil"/>
            </w:tcBorders>
            <w:shd w:val="clear" w:color="auto" w:fill="auto"/>
            <w:noWrap/>
            <w:vAlign w:val="center"/>
            <w:hideMark/>
          </w:tcPr>
          <w:p w14:paraId="7BB89D7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21-Nov-24</w:t>
            </w:r>
          </w:p>
        </w:tc>
        <w:tc>
          <w:tcPr>
            <w:tcW w:w="1480" w:type="dxa"/>
            <w:tcBorders>
              <w:top w:val="nil"/>
              <w:left w:val="nil"/>
              <w:bottom w:val="nil"/>
              <w:right w:val="nil"/>
            </w:tcBorders>
            <w:shd w:val="clear" w:color="auto" w:fill="auto"/>
            <w:noWrap/>
            <w:vAlign w:val="center"/>
            <w:hideMark/>
          </w:tcPr>
          <w:p w14:paraId="747DC79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39,600</w:t>
            </w:r>
          </w:p>
        </w:tc>
        <w:tc>
          <w:tcPr>
            <w:tcW w:w="1636" w:type="dxa"/>
            <w:tcBorders>
              <w:top w:val="nil"/>
              <w:left w:val="nil"/>
              <w:bottom w:val="nil"/>
              <w:right w:val="nil"/>
            </w:tcBorders>
            <w:shd w:val="clear" w:color="auto" w:fill="auto"/>
            <w:noWrap/>
            <w:vAlign w:val="center"/>
            <w:hideMark/>
          </w:tcPr>
          <w:p w14:paraId="185E619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77D2BC3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6A8A719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16DCFCF7" w14:textId="77777777" w:rsidTr="00E24972">
        <w:trPr>
          <w:trHeight w:val="225"/>
        </w:trPr>
        <w:tc>
          <w:tcPr>
            <w:tcW w:w="1000" w:type="dxa"/>
            <w:tcBorders>
              <w:top w:val="nil"/>
              <w:left w:val="nil"/>
              <w:bottom w:val="nil"/>
              <w:right w:val="nil"/>
            </w:tcBorders>
            <w:shd w:val="clear" w:color="auto" w:fill="auto"/>
            <w:noWrap/>
            <w:vAlign w:val="center"/>
            <w:hideMark/>
          </w:tcPr>
          <w:p w14:paraId="526C6DFC"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3.25</w:t>
            </w:r>
          </w:p>
        </w:tc>
        <w:tc>
          <w:tcPr>
            <w:tcW w:w="1180" w:type="dxa"/>
            <w:tcBorders>
              <w:top w:val="nil"/>
              <w:left w:val="nil"/>
              <w:bottom w:val="nil"/>
              <w:right w:val="nil"/>
            </w:tcBorders>
            <w:shd w:val="clear" w:color="auto" w:fill="auto"/>
            <w:noWrap/>
            <w:vAlign w:val="center"/>
            <w:hideMark/>
          </w:tcPr>
          <w:p w14:paraId="24C432F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21-Apr-25</w:t>
            </w:r>
          </w:p>
        </w:tc>
        <w:tc>
          <w:tcPr>
            <w:tcW w:w="1480" w:type="dxa"/>
            <w:tcBorders>
              <w:top w:val="nil"/>
              <w:left w:val="nil"/>
              <w:bottom w:val="nil"/>
              <w:right w:val="nil"/>
            </w:tcBorders>
            <w:shd w:val="clear" w:color="auto" w:fill="auto"/>
            <w:noWrap/>
            <w:vAlign w:val="center"/>
            <w:hideMark/>
          </w:tcPr>
          <w:p w14:paraId="15E30B9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38,100</w:t>
            </w:r>
          </w:p>
        </w:tc>
        <w:tc>
          <w:tcPr>
            <w:tcW w:w="1636" w:type="dxa"/>
            <w:tcBorders>
              <w:top w:val="nil"/>
              <w:left w:val="nil"/>
              <w:bottom w:val="nil"/>
              <w:right w:val="nil"/>
            </w:tcBorders>
            <w:shd w:val="clear" w:color="auto" w:fill="auto"/>
            <w:noWrap/>
            <w:vAlign w:val="center"/>
            <w:hideMark/>
          </w:tcPr>
          <w:p w14:paraId="424050A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38623A3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2B5FD78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55AAF3AE" w14:textId="77777777" w:rsidTr="00E24972">
        <w:trPr>
          <w:trHeight w:val="225"/>
        </w:trPr>
        <w:tc>
          <w:tcPr>
            <w:tcW w:w="1000" w:type="dxa"/>
            <w:tcBorders>
              <w:top w:val="nil"/>
              <w:left w:val="nil"/>
              <w:bottom w:val="nil"/>
              <w:right w:val="nil"/>
            </w:tcBorders>
            <w:shd w:val="clear" w:color="auto" w:fill="auto"/>
            <w:noWrap/>
            <w:vAlign w:val="center"/>
            <w:hideMark/>
          </w:tcPr>
          <w:p w14:paraId="36E140C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0.25</w:t>
            </w:r>
          </w:p>
        </w:tc>
        <w:tc>
          <w:tcPr>
            <w:tcW w:w="1180" w:type="dxa"/>
            <w:tcBorders>
              <w:top w:val="nil"/>
              <w:left w:val="nil"/>
              <w:bottom w:val="nil"/>
              <w:right w:val="nil"/>
            </w:tcBorders>
            <w:shd w:val="clear" w:color="auto" w:fill="auto"/>
            <w:noWrap/>
            <w:vAlign w:val="center"/>
            <w:hideMark/>
          </w:tcPr>
          <w:p w14:paraId="7A801E1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21-Nov-25</w:t>
            </w:r>
          </w:p>
        </w:tc>
        <w:tc>
          <w:tcPr>
            <w:tcW w:w="1480" w:type="dxa"/>
            <w:tcBorders>
              <w:top w:val="nil"/>
              <w:left w:val="nil"/>
              <w:bottom w:val="nil"/>
              <w:right w:val="nil"/>
            </w:tcBorders>
            <w:shd w:val="clear" w:color="auto" w:fill="auto"/>
            <w:noWrap/>
            <w:vAlign w:val="center"/>
            <w:hideMark/>
          </w:tcPr>
          <w:p w14:paraId="200E35F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36,800</w:t>
            </w:r>
          </w:p>
        </w:tc>
        <w:tc>
          <w:tcPr>
            <w:tcW w:w="1636" w:type="dxa"/>
            <w:tcBorders>
              <w:top w:val="nil"/>
              <w:left w:val="nil"/>
              <w:bottom w:val="nil"/>
              <w:right w:val="nil"/>
            </w:tcBorders>
            <w:shd w:val="clear" w:color="auto" w:fill="auto"/>
            <w:noWrap/>
            <w:vAlign w:val="center"/>
            <w:hideMark/>
          </w:tcPr>
          <w:p w14:paraId="5C39ED3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354E740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1DC625F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3FF651A9" w14:textId="77777777" w:rsidTr="00E24972">
        <w:trPr>
          <w:trHeight w:val="225"/>
        </w:trPr>
        <w:tc>
          <w:tcPr>
            <w:tcW w:w="1000" w:type="dxa"/>
            <w:tcBorders>
              <w:top w:val="nil"/>
              <w:left w:val="nil"/>
              <w:bottom w:val="nil"/>
              <w:right w:val="nil"/>
            </w:tcBorders>
            <w:shd w:val="clear" w:color="auto" w:fill="auto"/>
            <w:noWrap/>
            <w:vAlign w:val="center"/>
            <w:hideMark/>
          </w:tcPr>
          <w:p w14:paraId="1A53459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4.25</w:t>
            </w:r>
          </w:p>
        </w:tc>
        <w:tc>
          <w:tcPr>
            <w:tcW w:w="1180" w:type="dxa"/>
            <w:tcBorders>
              <w:top w:val="nil"/>
              <w:left w:val="nil"/>
              <w:bottom w:val="nil"/>
              <w:right w:val="nil"/>
            </w:tcBorders>
            <w:shd w:val="clear" w:color="auto" w:fill="auto"/>
            <w:noWrap/>
            <w:vAlign w:val="center"/>
            <w:hideMark/>
          </w:tcPr>
          <w:p w14:paraId="07A14A2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21-Apr-26</w:t>
            </w:r>
          </w:p>
        </w:tc>
        <w:tc>
          <w:tcPr>
            <w:tcW w:w="1480" w:type="dxa"/>
            <w:tcBorders>
              <w:top w:val="nil"/>
              <w:left w:val="nil"/>
              <w:bottom w:val="nil"/>
              <w:right w:val="nil"/>
            </w:tcBorders>
            <w:shd w:val="clear" w:color="auto" w:fill="auto"/>
            <w:noWrap/>
            <w:vAlign w:val="center"/>
            <w:hideMark/>
          </w:tcPr>
          <w:p w14:paraId="51A5CE7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38,100</w:t>
            </w:r>
          </w:p>
        </w:tc>
        <w:tc>
          <w:tcPr>
            <w:tcW w:w="1636" w:type="dxa"/>
            <w:tcBorders>
              <w:top w:val="nil"/>
              <w:left w:val="nil"/>
              <w:bottom w:val="nil"/>
              <w:right w:val="nil"/>
            </w:tcBorders>
            <w:shd w:val="clear" w:color="auto" w:fill="auto"/>
            <w:noWrap/>
            <w:vAlign w:val="center"/>
            <w:hideMark/>
          </w:tcPr>
          <w:p w14:paraId="60EFB74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6757E4A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31EBD92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3C39ED52" w14:textId="77777777" w:rsidTr="00E24972">
        <w:trPr>
          <w:trHeight w:val="225"/>
        </w:trPr>
        <w:tc>
          <w:tcPr>
            <w:tcW w:w="1000" w:type="dxa"/>
            <w:tcBorders>
              <w:top w:val="nil"/>
              <w:left w:val="nil"/>
              <w:bottom w:val="nil"/>
              <w:right w:val="nil"/>
            </w:tcBorders>
            <w:shd w:val="clear" w:color="auto" w:fill="auto"/>
            <w:noWrap/>
            <w:vAlign w:val="center"/>
            <w:hideMark/>
          </w:tcPr>
          <w:p w14:paraId="67A7857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0.50</w:t>
            </w:r>
          </w:p>
        </w:tc>
        <w:tc>
          <w:tcPr>
            <w:tcW w:w="1180" w:type="dxa"/>
            <w:tcBorders>
              <w:top w:val="nil"/>
              <w:left w:val="nil"/>
              <w:bottom w:val="nil"/>
              <w:right w:val="nil"/>
            </w:tcBorders>
            <w:shd w:val="clear" w:color="auto" w:fill="auto"/>
            <w:noWrap/>
            <w:vAlign w:val="center"/>
            <w:hideMark/>
          </w:tcPr>
          <w:p w14:paraId="20B8854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21-Sep-26</w:t>
            </w:r>
          </w:p>
        </w:tc>
        <w:tc>
          <w:tcPr>
            <w:tcW w:w="1480" w:type="dxa"/>
            <w:tcBorders>
              <w:top w:val="nil"/>
              <w:left w:val="nil"/>
              <w:bottom w:val="nil"/>
              <w:right w:val="nil"/>
            </w:tcBorders>
            <w:shd w:val="clear" w:color="auto" w:fill="auto"/>
            <w:noWrap/>
            <w:vAlign w:val="center"/>
            <w:hideMark/>
          </w:tcPr>
          <w:p w14:paraId="61DE5E4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32,800</w:t>
            </w:r>
          </w:p>
        </w:tc>
        <w:tc>
          <w:tcPr>
            <w:tcW w:w="1636" w:type="dxa"/>
            <w:tcBorders>
              <w:top w:val="nil"/>
              <w:left w:val="nil"/>
              <w:bottom w:val="nil"/>
              <w:right w:val="nil"/>
            </w:tcBorders>
            <w:shd w:val="clear" w:color="auto" w:fill="auto"/>
            <w:noWrap/>
            <w:vAlign w:val="center"/>
            <w:hideMark/>
          </w:tcPr>
          <w:p w14:paraId="2AD3569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08AE547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21-Sep</w:t>
            </w:r>
          </w:p>
        </w:tc>
        <w:tc>
          <w:tcPr>
            <w:tcW w:w="1002" w:type="dxa"/>
            <w:tcBorders>
              <w:top w:val="nil"/>
              <w:left w:val="nil"/>
              <w:bottom w:val="nil"/>
              <w:right w:val="nil"/>
            </w:tcBorders>
            <w:shd w:val="clear" w:color="auto" w:fill="auto"/>
            <w:noWrap/>
            <w:vAlign w:val="center"/>
            <w:hideMark/>
          </w:tcPr>
          <w:p w14:paraId="22EB697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21-Mar</w:t>
            </w:r>
          </w:p>
        </w:tc>
      </w:tr>
      <w:tr w:rsidR="00E24972" w:rsidRPr="005546AF" w14:paraId="5DC2C3F7" w14:textId="77777777" w:rsidTr="00E24972">
        <w:trPr>
          <w:trHeight w:val="225"/>
        </w:trPr>
        <w:tc>
          <w:tcPr>
            <w:tcW w:w="1000" w:type="dxa"/>
            <w:tcBorders>
              <w:top w:val="nil"/>
              <w:left w:val="nil"/>
              <w:bottom w:val="nil"/>
              <w:right w:val="nil"/>
            </w:tcBorders>
            <w:shd w:val="clear" w:color="auto" w:fill="auto"/>
            <w:noWrap/>
            <w:vAlign w:val="center"/>
            <w:hideMark/>
          </w:tcPr>
          <w:p w14:paraId="15523CA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4.75</w:t>
            </w:r>
          </w:p>
        </w:tc>
        <w:tc>
          <w:tcPr>
            <w:tcW w:w="1180" w:type="dxa"/>
            <w:tcBorders>
              <w:top w:val="nil"/>
              <w:left w:val="nil"/>
              <w:bottom w:val="nil"/>
              <w:right w:val="nil"/>
            </w:tcBorders>
            <w:shd w:val="clear" w:color="auto" w:fill="auto"/>
            <w:noWrap/>
            <w:vAlign w:val="center"/>
            <w:hideMark/>
          </w:tcPr>
          <w:p w14:paraId="0EECBE2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21-Apr-27</w:t>
            </w:r>
          </w:p>
        </w:tc>
        <w:tc>
          <w:tcPr>
            <w:tcW w:w="1480" w:type="dxa"/>
            <w:tcBorders>
              <w:top w:val="nil"/>
              <w:left w:val="nil"/>
              <w:bottom w:val="nil"/>
              <w:right w:val="nil"/>
            </w:tcBorders>
            <w:shd w:val="clear" w:color="auto" w:fill="auto"/>
            <w:noWrap/>
            <w:vAlign w:val="center"/>
            <w:hideMark/>
          </w:tcPr>
          <w:p w14:paraId="2B48044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33,900</w:t>
            </w:r>
          </w:p>
        </w:tc>
        <w:tc>
          <w:tcPr>
            <w:tcW w:w="1636" w:type="dxa"/>
            <w:tcBorders>
              <w:top w:val="nil"/>
              <w:left w:val="nil"/>
              <w:bottom w:val="nil"/>
              <w:right w:val="nil"/>
            </w:tcBorders>
            <w:shd w:val="clear" w:color="auto" w:fill="auto"/>
            <w:noWrap/>
            <w:vAlign w:val="center"/>
            <w:hideMark/>
          </w:tcPr>
          <w:p w14:paraId="04D932C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1B7C952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1572520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1E784E9F" w14:textId="77777777" w:rsidTr="00E24972">
        <w:trPr>
          <w:trHeight w:val="225"/>
        </w:trPr>
        <w:tc>
          <w:tcPr>
            <w:tcW w:w="1000" w:type="dxa"/>
            <w:tcBorders>
              <w:top w:val="nil"/>
              <w:left w:val="nil"/>
              <w:bottom w:val="nil"/>
              <w:right w:val="nil"/>
            </w:tcBorders>
            <w:shd w:val="clear" w:color="auto" w:fill="auto"/>
            <w:noWrap/>
            <w:vAlign w:val="center"/>
            <w:hideMark/>
          </w:tcPr>
          <w:p w14:paraId="13E4D59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2.75</w:t>
            </w:r>
          </w:p>
        </w:tc>
        <w:tc>
          <w:tcPr>
            <w:tcW w:w="1180" w:type="dxa"/>
            <w:tcBorders>
              <w:top w:val="nil"/>
              <w:left w:val="nil"/>
              <w:bottom w:val="nil"/>
              <w:right w:val="nil"/>
            </w:tcBorders>
            <w:shd w:val="clear" w:color="auto" w:fill="auto"/>
            <w:noWrap/>
            <w:vAlign w:val="center"/>
            <w:hideMark/>
          </w:tcPr>
          <w:p w14:paraId="4CE3BDA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21-Nov-27</w:t>
            </w:r>
          </w:p>
        </w:tc>
        <w:tc>
          <w:tcPr>
            <w:tcW w:w="1480" w:type="dxa"/>
            <w:tcBorders>
              <w:top w:val="nil"/>
              <w:left w:val="nil"/>
              <w:bottom w:val="nil"/>
              <w:right w:val="nil"/>
            </w:tcBorders>
            <w:shd w:val="clear" w:color="auto" w:fill="auto"/>
            <w:noWrap/>
            <w:vAlign w:val="center"/>
            <w:hideMark/>
          </w:tcPr>
          <w:p w14:paraId="57F0874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29,700</w:t>
            </w:r>
          </w:p>
        </w:tc>
        <w:tc>
          <w:tcPr>
            <w:tcW w:w="1636" w:type="dxa"/>
            <w:tcBorders>
              <w:top w:val="nil"/>
              <w:left w:val="nil"/>
              <w:bottom w:val="nil"/>
              <w:right w:val="nil"/>
            </w:tcBorders>
            <w:shd w:val="clear" w:color="auto" w:fill="auto"/>
            <w:noWrap/>
            <w:vAlign w:val="center"/>
            <w:hideMark/>
          </w:tcPr>
          <w:p w14:paraId="4182FBD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5905799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421799E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138BD6BB" w14:textId="77777777" w:rsidTr="00E24972">
        <w:trPr>
          <w:trHeight w:val="225"/>
        </w:trPr>
        <w:tc>
          <w:tcPr>
            <w:tcW w:w="1000" w:type="dxa"/>
            <w:tcBorders>
              <w:top w:val="nil"/>
              <w:left w:val="nil"/>
              <w:bottom w:val="nil"/>
              <w:right w:val="nil"/>
            </w:tcBorders>
            <w:shd w:val="clear" w:color="auto" w:fill="auto"/>
            <w:noWrap/>
            <w:vAlign w:val="center"/>
            <w:hideMark/>
          </w:tcPr>
          <w:p w14:paraId="086CEE7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2.25</w:t>
            </w:r>
          </w:p>
        </w:tc>
        <w:tc>
          <w:tcPr>
            <w:tcW w:w="1180" w:type="dxa"/>
            <w:tcBorders>
              <w:top w:val="nil"/>
              <w:left w:val="nil"/>
              <w:bottom w:val="nil"/>
              <w:right w:val="nil"/>
            </w:tcBorders>
            <w:shd w:val="clear" w:color="auto" w:fill="auto"/>
            <w:noWrap/>
            <w:vAlign w:val="center"/>
            <w:hideMark/>
          </w:tcPr>
          <w:p w14:paraId="5605611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21-May-28</w:t>
            </w:r>
          </w:p>
        </w:tc>
        <w:tc>
          <w:tcPr>
            <w:tcW w:w="1480" w:type="dxa"/>
            <w:tcBorders>
              <w:top w:val="nil"/>
              <w:left w:val="nil"/>
              <w:bottom w:val="nil"/>
              <w:right w:val="nil"/>
            </w:tcBorders>
            <w:shd w:val="clear" w:color="auto" w:fill="auto"/>
            <w:noWrap/>
            <w:vAlign w:val="center"/>
            <w:hideMark/>
          </w:tcPr>
          <w:p w14:paraId="276A6D9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29,700</w:t>
            </w:r>
          </w:p>
        </w:tc>
        <w:tc>
          <w:tcPr>
            <w:tcW w:w="1636" w:type="dxa"/>
            <w:tcBorders>
              <w:top w:val="nil"/>
              <w:left w:val="nil"/>
              <w:bottom w:val="nil"/>
              <w:right w:val="nil"/>
            </w:tcBorders>
            <w:shd w:val="clear" w:color="auto" w:fill="auto"/>
            <w:noWrap/>
            <w:vAlign w:val="center"/>
            <w:hideMark/>
          </w:tcPr>
          <w:p w14:paraId="38FC446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40D9F75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c>
          <w:tcPr>
            <w:tcW w:w="1002" w:type="dxa"/>
            <w:tcBorders>
              <w:top w:val="nil"/>
              <w:left w:val="nil"/>
              <w:bottom w:val="nil"/>
              <w:right w:val="nil"/>
            </w:tcBorders>
            <w:shd w:val="clear" w:color="auto" w:fill="auto"/>
            <w:noWrap/>
            <w:vAlign w:val="center"/>
            <w:hideMark/>
          </w:tcPr>
          <w:p w14:paraId="04F3AEF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r>
      <w:tr w:rsidR="00E24972" w:rsidRPr="005546AF" w14:paraId="4A603057" w14:textId="77777777" w:rsidTr="00E24972">
        <w:trPr>
          <w:trHeight w:val="225"/>
        </w:trPr>
        <w:tc>
          <w:tcPr>
            <w:tcW w:w="1000" w:type="dxa"/>
            <w:tcBorders>
              <w:top w:val="nil"/>
              <w:left w:val="nil"/>
              <w:bottom w:val="nil"/>
              <w:right w:val="nil"/>
            </w:tcBorders>
            <w:shd w:val="clear" w:color="auto" w:fill="auto"/>
            <w:noWrap/>
            <w:vAlign w:val="center"/>
            <w:hideMark/>
          </w:tcPr>
          <w:p w14:paraId="76B982B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2.75</w:t>
            </w:r>
          </w:p>
        </w:tc>
        <w:tc>
          <w:tcPr>
            <w:tcW w:w="1180" w:type="dxa"/>
            <w:tcBorders>
              <w:top w:val="nil"/>
              <w:left w:val="nil"/>
              <w:bottom w:val="nil"/>
              <w:right w:val="nil"/>
            </w:tcBorders>
            <w:shd w:val="clear" w:color="auto" w:fill="auto"/>
            <w:noWrap/>
            <w:vAlign w:val="center"/>
            <w:hideMark/>
          </w:tcPr>
          <w:p w14:paraId="45D8D54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21-Nov-28</w:t>
            </w:r>
          </w:p>
        </w:tc>
        <w:tc>
          <w:tcPr>
            <w:tcW w:w="1480" w:type="dxa"/>
            <w:tcBorders>
              <w:top w:val="nil"/>
              <w:left w:val="nil"/>
              <w:bottom w:val="nil"/>
              <w:right w:val="nil"/>
            </w:tcBorders>
            <w:shd w:val="clear" w:color="auto" w:fill="auto"/>
            <w:noWrap/>
            <w:vAlign w:val="center"/>
            <w:hideMark/>
          </w:tcPr>
          <w:p w14:paraId="2A7B48E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32,600</w:t>
            </w:r>
          </w:p>
        </w:tc>
        <w:tc>
          <w:tcPr>
            <w:tcW w:w="1636" w:type="dxa"/>
            <w:tcBorders>
              <w:top w:val="nil"/>
              <w:left w:val="nil"/>
              <w:bottom w:val="nil"/>
              <w:right w:val="nil"/>
            </w:tcBorders>
            <w:shd w:val="clear" w:color="auto" w:fill="auto"/>
            <w:noWrap/>
            <w:vAlign w:val="center"/>
            <w:hideMark/>
          </w:tcPr>
          <w:p w14:paraId="56A7C72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7D8F7D0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04BC644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65E32C7F" w14:textId="77777777" w:rsidTr="00E24972">
        <w:trPr>
          <w:trHeight w:val="225"/>
        </w:trPr>
        <w:tc>
          <w:tcPr>
            <w:tcW w:w="1000" w:type="dxa"/>
            <w:tcBorders>
              <w:top w:val="nil"/>
              <w:left w:val="nil"/>
              <w:bottom w:val="nil"/>
              <w:right w:val="nil"/>
            </w:tcBorders>
            <w:shd w:val="clear" w:color="auto" w:fill="auto"/>
            <w:noWrap/>
            <w:vAlign w:val="center"/>
            <w:hideMark/>
          </w:tcPr>
          <w:p w14:paraId="672B620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3.25</w:t>
            </w:r>
          </w:p>
        </w:tc>
        <w:tc>
          <w:tcPr>
            <w:tcW w:w="1180" w:type="dxa"/>
            <w:tcBorders>
              <w:top w:val="nil"/>
              <w:left w:val="nil"/>
              <w:bottom w:val="nil"/>
              <w:right w:val="nil"/>
            </w:tcBorders>
            <w:shd w:val="clear" w:color="auto" w:fill="auto"/>
            <w:noWrap/>
            <w:vAlign w:val="center"/>
            <w:hideMark/>
          </w:tcPr>
          <w:p w14:paraId="065D94D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21-Apr-29</w:t>
            </w:r>
          </w:p>
        </w:tc>
        <w:tc>
          <w:tcPr>
            <w:tcW w:w="1480" w:type="dxa"/>
            <w:tcBorders>
              <w:top w:val="nil"/>
              <w:left w:val="nil"/>
              <w:bottom w:val="nil"/>
              <w:right w:val="nil"/>
            </w:tcBorders>
            <w:shd w:val="clear" w:color="auto" w:fill="auto"/>
            <w:noWrap/>
            <w:vAlign w:val="center"/>
            <w:hideMark/>
          </w:tcPr>
          <w:p w14:paraId="4F24E40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33,000</w:t>
            </w:r>
          </w:p>
        </w:tc>
        <w:tc>
          <w:tcPr>
            <w:tcW w:w="1636" w:type="dxa"/>
            <w:tcBorders>
              <w:top w:val="nil"/>
              <w:left w:val="nil"/>
              <w:bottom w:val="nil"/>
              <w:right w:val="nil"/>
            </w:tcBorders>
            <w:shd w:val="clear" w:color="auto" w:fill="auto"/>
            <w:noWrap/>
            <w:vAlign w:val="center"/>
            <w:hideMark/>
          </w:tcPr>
          <w:p w14:paraId="554E045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2D0A59B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0120E44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0AABEEC5" w14:textId="77777777" w:rsidTr="00E24972">
        <w:trPr>
          <w:trHeight w:val="225"/>
        </w:trPr>
        <w:tc>
          <w:tcPr>
            <w:tcW w:w="1000" w:type="dxa"/>
            <w:tcBorders>
              <w:top w:val="nil"/>
              <w:left w:val="nil"/>
              <w:bottom w:val="nil"/>
              <w:right w:val="nil"/>
            </w:tcBorders>
            <w:shd w:val="clear" w:color="auto" w:fill="auto"/>
            <w:noWrap/>
            <w:vAlign w:val="center"/>
            <w:hideMark/>
          </w:tcPr>
          <w:p w14:paraId="572EEBC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2.75</w:t>
            </w:r>
          </w:p>
        </w:tc>
        <w:tc>
          <w:tcPr>
            <w:tcW w:w="1180" w:type="dxa"/>
            <w:tcBorders>
              <w:top w:val="nil"/>
              <w:left w:val="nil"/>
              <w:bottom w:val="nil"/>
              <w:right w:val="nil"/>
            </w:tcBorders>
            <w:shd w:val="clear" w:color="auto" w:fill="auto"/>
            <w:noWrap/>
            <w:vAlign w:val="center"/>
            <w:hideMark/>
          </w:tcPr>
          <w:p w14:paraId="3E17852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21-Nov-29</w:t>
            </w:r>
          </w:p>
        </w:tc>
        <w:tc>
          <w:tcPr>
            <w:tcW w:w="1480" w:type="dxa"/>
            <w:tcBorders>
              <w:top w:val="nil"/>
              <w:left w:val="nil"/>
              <w:bottom w:val="nil"/>
              <w:right w:val="nil"/>
            </w:tcBorders>
            <w:shd w:val="clear" w:color="auto" w:fill="auto"/>
            <w:noWrap/>
            <w:vAlign w:val="center"/>
            <w:hideMark/>
          </w:tcPr>
          <w:p w14:paraId="275C504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33,400</w:t>
            </w:r>
          </w:p>
        </w:tc>
        <w:tc>
          <w:tcPr>
            <w:tcW w:w="1636" w:type="dxa"/>
            <w:tcBorders>
              <w:top w:val="nil"/>
              <w:left w:val="nil"/>
              <w:bottom w:val="nil"/>
              <w:right w:val="nil"/>
            </w:tcBorders>
            <w:shd w:val="clear" w:color="auto" w:fill="auto"/>
            <w:noWrap/>
            <w:vAlign w:val="center"/>
            <w:hideMark/>
          </w:tcPr>
          <w:p w14:paraId="1B7FD01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115DD8B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584FDBB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61CC0DCD" w14:textId="77777777" w:rsidTr="00E24972">
        <w:trPr>
          <w:trHeight w:val="225"/>
        </w:trPr>
        <w:tc>
          <w:tcPr>
            <w:tcW w:w="1000" w:type="dxa"/>
            <w:tcBorders>
              <w:top w:val="nil"/>
              <w:left w:val="nil"/>
              <w:bottom w:val="nil"/>
              <w:right w:val="nil"/>
            </w:tcBorders>
            <w:shd w:val="clear" w:color="auto" w:fill="auto"/>
            <w:noWrap/>
            <w:vAlign w:val="center"/>
            <w:hideMark/>
          </w:tcPr>
          <w:p w14:paraId="00F3AA6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2.50</w:t>
            </w:r>
          </w:p>
        </w:tc>
        <w:tc>
          <w:tcPr>
            <w:tcW w:w="1180" w:type="dxa"/>
            <w:tcBorders>
              <w:top w:val="nil"/>
              <w:left w:val="nil"/>
              <w:bottom w:val="nil"/>
              <w:right w:val="nil"/>
            </w:tcBorders>
            <w:shd w:val="clear" w:color="auto" w:fill="auto"/>
            <w:noWrap/>
            <w:vAlign w:val="center"/>
            <w:hideMark/>
          </w:tcPr>
          <w:p w14:paraId="1EDCD2B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21-May-30</w:t>
            </w:r>
          </w:p>
        </w:tc>
        <w:tc>
          <w:tcPr>
            <w:tcW w:w="1480" w:type="dxa"/>
            <w:tcBorders>
              <w:top w:val="nil"/>
              <w:left w:val="nil"/>
              <w:bottom w:val="nil"/>
              <w:right w:val="nil"/>
            </w:tcBorders>
            <w:shd w:val="clear" w:color="auto" w:fill="auto"/>
            <w:noWrap/>
            <w:vAlign w:val="center"/>
            <w:hideMark/>
          </w:tcPr>
          <w:p w14:paraId="188B764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36,600</w:t>
            </w:r>
          </w:p>
        </w:tc>
        <w:tc>
          <w:tcPr>
            <w:tcW w:w="1636" w:type="dxa"/>
            <w:tcBorders>
              <w:top w:val="nil"/>
              <w:left w:val="nil"/>
              <w:bottom w:val="nil"/>
              <w:right w:val="nil"/>
            </w:tcBorders>
            <w:shd w:val="clear" w:color="auto" w:fill="auto"/>
            <w:noWrap/>
            <w:vAlign w:val="center"/>
            <w:hideMark/>
          </w:tcPr>
          <w:p w14:paraId="3945DDB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4858B6F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c>
          <w:tcPr>
            <w:tcW w:w="1002" w:type="dxa"/>
            <w:tcBorders>
              <w:top w:val="nil"/>
              <w:left w:val="nil"/>
              <w:bottom w:val="nil"/>
              <w:right w:val="nil"/>
            </w:tcBorders>
            <w:shd w:val="clear" w:color="auto" w:fill="auto"/>
            <w:noWrap/>
            <w:vAlign w:val="center"/>
            <w:hideMark/>
          </w:tcPr>
          <w:p w14:paraId="0E6F603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r>
      <w:tr w:rsidR="00E24972" w:rsidRPr="005546AF" w14:paraId="60DD2FB7" w14:textId="77777777" w:rsidTr="00E24972">
        <w:trPr>
          <w:trHeight w:val="225"/>
        </w:trPr>
        <w:tc>
          <w:tcPr>
            <w:tcW w:w="1000" w:type="dxa"/>
            <w:tcBorders>
              <w:top w:val="nil"/>
              <w:left w:val="nil"/>
              <w:bottom w:val="nil"/>
              <w:right w:val="nil"/>
            </w:tcBorders>
            <w:shd w:val="clear" w:color="auto" w:fill="auto"/>
            <w:noWrap/>
            <w:vAlign w:val="center"/>
            <w:hideMark/>
          </w:tcPr>
          <w:p w14:paraId="6C3A652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1.00</w:t>
            </w:r>
          </w:p>
        </w:tc>
        <w:tc>
          <w:tcPr>
            <w:tcW w:w="1180" w:type="dxa"/>
            <w:tcBorders>
              <w:top w:val="nil"/>
              <w:left w:val="nil"/>
              <w:bottom w:val="nil"/>
              <w:right w:val="nil"/>
            </w:tcBorders>
            <w:shd w:val="clear" w:color="auto" w:fill="auto"/>
            <w:noWrap/>
            <w:vAlign w:val="center"/>
            <w:hideMark/>
          </w:tcPr>
          <w:p w14:paraId="1747C11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21-Dec-30</w:t>
            </w:r>
          </w:p>
        </w:tc>
        <w:tc>
          <w:tcPr>
            <w:tcW w:w="1480" w:type="dxa"/>
            <w:tcBorders>
              <w:top w:val="nil"/>
              <w:left w:val="nil"/>
              <w:bottom w:val="nil"/>
              <w:right w:val="nil"/>
            </w:tcBorders>
            <w:shd w:val="clear" w:color="auto" w:fill="auto"/>
            <w:noWrap/>
            <w:vAlign w:val="center"/>
            <w:hideMark/>
          </w:tcPr>
          <w:p w14:paraId="36C8730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38,700</w:t>
            </w:r>
          </w:p>
        </w:tc>
        <w:tc>
          <w:tcPr>
            <w:tcW w:w="1636" w:type="dxa"/>
            <w:tcBorders>
              <w:top w:val="nil"/>
              <w:left w:val="nil"/>
              <w:bottom w:val="nil"/>
              <w:right w:val="nil"/>
            </w:tcBorders>
            <w:shd w:val="clear" w:color="auto" w:fill="auto"/>
            <w:noWrap/>
            <w:vAlign w:val="center"/>
            <w:hideMark/>
          </w:tcPr>
          <w:p w14:paraId="42F229F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5F41A33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21-Dec</w:t>
            </w:r>
          </w:p>
        </w:tc>
        <w:tc>
          <w:tcPr>
            <w:tcW w:w="1002" w:type="dxa"/>
            <w:tcBorders>
              <w:top w:val="nil"/>
              <w:left w:val="nil"/>
              <w:bottom w:val="nil"/>
              <w:right w:val="nil"/>
            </w:tcBorders>
            <w:shd w:val="clear" w:color="auto" w:fill="auto"/>
            <w:noWrap/>
            <w:vAlign w:val="center"/>
            <w:hideMark/>
          </w:tcPr>
          <w:p w14:paraId="741EE8F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w:t>
            </w:r>
          </w:p>
        </w:tc>
      </w:tr>
      <w:tr w:rsidR="00E24972" w:rsidRPr="005546AF" w14:paraId="5B2E3F45" w14:textId="77777777" w:rsidTr="00E24972">
        <w:trPr>
          <w:trHeight w:val="225"/>
        </w:trPr>
        <w:tc>
          <w:tcPr>
            <w:tcW w:w="1000" w:type="dxa"/>
            <w:tcBorders>
              <w:top w:val="nil"/>
              <w:left w:val="nil"/>
              <w:bottom w:val="nil"/>
              <w:right w:val="nil"/>
            </w:tcBorders>
            <w:shd w:val="clear" w:color="auto" w:fill="auto"/>
            <w:noWrap/>
            <w:vAlign w:val="center"/>
            <w:hideMark/>
          </w:tcPr>
          <w:p w14:paraId="207C586C"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1.50</w:t>
            </w:r>
          </w:p>
        </w:tc>
        <w:tc>
          <w:tcPr>
            <w:tcW w:w="1180" w:type="dxa"/>
            <w:tcBorders>
              <w:top w:val="nil"/>
              <w:left w:val="nil"/>
              <w:bottom w:val="nil"/>
              <w:right w:val="nil"/>
            </w:tcBorders>
            <w:shd w:val="clear" w:color="auto" w:fill="auto"/>
            <w:noWrap/>
            <w:vAlign w:val="center"/>
            <w:hideMark/>
          </w:tcPr>
          <w:p w14:paraId="5D58F20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21-Jun-31</w:t>
            </w:r>
          </w:p>
        </w:tc>
        <w:tc>
          <w:tcPr>
            <w:tcW w:w="1480" w:type="dxa"/>
            <w:tcBorders>
              <w:top w:val="nil"/>
              <w:left w:val="nil"/>
              <w:bottom w:val="nil"/>
              <w:right w:val="nil"/>
            </w:tcBorders>
            <w:shd w:val="clear" w:color="auto" w:fill="auto"/>
            <w:noWrap/>
            <w:vAlign w:val="center"/>
            <w:hideMark/>
          </w:tcPr>
          <w:p w14:paraId="3849419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37,300</w:t>
            </w:r>
          </w:p>
        </w:tc>
        <w:tc>
          <w:tcPr>
            <w:tcW w:w="1636" w:type="dxa"/>
            <w:tcBorders>
              <w:top w:val="nil"/>
              <w:left w:val="nil"/>
              <w:bottom w:val="nil"/>
              <w:right w:val="nil"/>
            </w:tcBorders>
            <w:shd w:val="clear" w:color="auto" w:fill="auto"/>
            <w:noWrap/>
            <w:vAlign w:val="center"/>
            <w:hideMark/>
          </w:tcPr>
          <w:p w14:paraId="6D6547C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617F203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w:t>
            </w:r>
          </w:p>
        </w:tc>
        <w:tc>
          <w:tcPr>
            <w:tcW w:w="1002" w:type="dxa"/>
            <w:tcBorders>
              <w:top w:val="nil"/>
              <w:left w:val="nil"/>
              <w:bottom w:val="nil"/>
              <w:right w:val="nil"/>
            </w:tcBorders>
            <w:shd w:val="clear" w:color="auto" w:fill="auto"/>
            <w:noWrap/>
            <w:vAlign w:val="center"/>
            <w:hideMark/>
          </w:tcPr>
          <w:p w14:paraId="6503BB1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21-Dec</w:t>
            </w:r>
          </w:p>
        </w:tc>
      </w:tr>
      <w:tr w:rsidR="00E24972" w:rsidRPr="005546AF" w14:paraId="1E740E9A" w14:textId="77777777" w:rsidTr="00E24972">
        <w:trPr>
          <w:trHeight w:val="225"/>
        </w:trPr>
        <w:tc>
          <w:tcPr>
            <w:tcW w:w="1000" w:type="dxa"/>
            <w:tcBorders>
              <w:top w:val="nil"/>
              <w:left w:val="nil"/>
              <w:bottom w:val="nil"/>
              <w:right w:val="nil"/>
            </w:tcBorders>
            <w:shd w:val="clear" w:color="auto" w:fill="auto"/>
            <w:noWrap/>
            <w:vAlign w:val="center"/>
            <w:hideMark/>
          </w:tcPr>
          <w:p w14:paraId="183E1DF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1.00</w:t>
            </w:r>
          </w:p>
        </w:tc>
        <w:tc>
          <w:tcPr>
            <w:tcW w:w="1180" w:type="dxa"/>
            <w:tcBorders>
              <w:top w:val="nil"/>
              <w:left w:val="nil"/>
              <w:bottom w:val="nil"/>
              <w:right w:val="nil"/>
            </w:tcBorders>
            <w:shd w:val="clear" w:color="auto" w:fill="auto"/>
            <w:noWrap/>
            <w:vAlign w:val="center"/>
            <w:hideMark/>
          </w:tcPr>
          <w:p w14:paraId="220FABA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21-Nov-31</w:t>
            </w:r>
          </w:p>
        </w:tc>
        <w:tc>
          <w:tcPr>
            <w:tcW w:w="1480" w:type="dxa"/>
            <w:tcBorders>
              <w:top w:val="nil"/>
              <w:left w:val="nil"/>
              <w:bottom w:val="nil"/>
              <w:right w:val="nil"/>
            </w:tcBorders>
            <w:shd w:val="clear" w:color="auto" w:fill="auto"/>
            <w:noWrap/>
            <w:vAlign w:val="center"/>
            <w:hideMark/>
          </w:tcPr>
          <w:p w14:paraId="4E37E36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40,000</w:t>
            </w:r>
          </w:p>
        </w:tc>
        <w:tc>
          <w:tcPr>
            <w:tcW w:w="1636" w:type="dxa"/>
            <w:tcBorders>
              <w:top w:val="nil"/>
              <w:left w:val="nil"/>
              <w:bottom w:val="nil"/>
              <w:right w:val="nil"/>
            </w:tcBorders>
            <w:shd w:val="clear" w:color="auto" w:fill="auto"/>
            <w:noWrap/>
            <w:vAlign w:val="center"/>
            <w:hideMark/>
          </w:tcPr>
          <w:p w14:paraId="511ADA4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0E35A28E"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3AA9C84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5B21C40F" w14:textId="77777777" w:rsidTr="00E24972">
        <w:trPr>
          <w:trHeight w:val="225"/>
        </w:trPr>
        <w:tc>
          <w:tcPr>
            <w:tcW w:w="1000" w:type="dxa"/>
            <w:tcBorders>
              <w:top w:val="nil"/>
              <w:left w:val="nil"/>
              <w:bottom w:val="nil"/>
              <w:right w:val="nil"/>
            </w:tcBorders>
            <w:shd w:val="clear" w:color="auto" w:fill="auto"/>
            <w:noWrap/>
            <w:vAlign w:val="center"/>
            <w:hideMark/>
          </w:tcPr>
          <w:p w14:paraId="6560EB2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1.25</w:t>
            </w:r>
          </w:p>
        </w:tc>
        <w:tc>
          <w:tcPr>
            <w:tcW w:w="1180" w:type="dxa"/>
            <w:tcBorders>
              <w:top w:val="nil"/>
              <w:left w:val="nil"/>
              <w:bottom w:val="nil"/>
              <w:right w:val="nil"/>
            </w:tcBorders>
            <w:shd w:val="clear" w:color="auto" w:fill="auto"/>
            <w:noWrap/>
            <w:vAlign w:val="center"/>
            <w:hideMark/>
          </w:tcPr>
          <w:p w14:paraId="5229523D"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21-May-32</w:t>
            </w:r>
          </w:p>
        </w:tc>
        <w:tc>
          <w:tcPr>
            <w:tcW w:w="1480" w:type="dxa"/>
            <w:tcBorders>
              <w:top w:val="nil"/>
              <w:left w:val="nil"/>
              <w:bottom w:val="nil"/>
              <w:right w:val="nil"/>
            </w:tcBorders>
            <w:shd w:val="clear" w:color="auto" w:fill="auto"/>
            <w:noWrap/>
            <w:vAlign w:val="center"/>
            <w:hideMark/>
          </w:tcPr>
          <w:p w14:paraId="1644D4A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33,200</w:t>
            </w:r>
          </w:p>
        </w:tc>
        <w:tc>
          <w:tcPr>
            <w:tcW w:w="1636" w:type="dxa"/>
            <w:tcBorders>
              <w:top w:val="nil"/>
              <w:left w:val="nil"/>
              <w:bottom w:val="nil"/>
              <w:right w:val="nil"/>
            </w:tcBorders>
            <w:shd w:val="clear" w:color="auto" w:fill="auto"/>
            <w:noWrap/>
            <w:vAlign w:val="center"/>
            <w:hideMark/>
          </w:tcPr>
          <w:p w14:paraId="699F43D0"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1DF97C6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c>
          <w:tcPr>
            <w:tcW w:w="1002" w:type="dxa"/>
            <w:tcBorders>
              <w:top w:val="nil"/>
              <w:left w:val="nil"/>
              <w:bottom w:val="nil"/>
              <w:right w:val="nil"/>
            </w:tcBorders>
            <w:shd w:val="clear" w:color="auto" w:fill="auto"/>
            <w:noWrap/>
            <w:vAlign w:val="center"/>
            <w:hideMark/>
          </w:tcPr>
          <w:p w14:paraId="072615D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r>
      <w:tr w:rsidR="00E24972" w:rsidRPr="005546AF" w14:paraId="6408A9F8" w14:textId="77777777" w:rsidTr="00E24972">
        <w:trPr>
          <w:trHeight w:val="225"/>
        </w:trPr>
        <w:tc>
          <w:tcPr>
            <w:tcW w:w="1000" w:type="dxa"/>
            <w:tcBorders>
              <w:top w:val="nil"/>
              <w:left w:val="nil"/>
              <w:bottom w:val="nil"/>
              <w:right w:val="nil"/>
            </w:tcBorders>
            <w:shd w:val="clear" w:color="auto" w:fill="auto"/>
            <w:noWrap/>
            <w:vAlign w:val="center"/>
            <w:hideMark/>
          </w:tcPr>
          <w:p w14:paraId="396B483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1.75</w:t>
            </w:r>
          </w:p>
        </w:tc>
        <w:tc>
          <w:tcPr>
            <w:tcW w:w="1180" w:type="dxa"/>
            <w:tcBorders>
              <w:top w:val="nil"/>
              <w:left w:val="nil"/>
              <w:bottom w:val="nil"/>
              <w:right w:val="nil"/>
            </w:tcBorders>
            <w:shd w:val="clear" w:color="auto" w:fill="auto"/>
            <w:noWrap/>
            <w:vAlign w:val="center"/>
            <w:hideMark/>
          </w:tcPr>
          <w:p w14:paraId="63BD6A5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21-Nov-32</w:t>
            </w:r>
          </w:p>
        </w:tc>
        <w:tc>
          <w:tcPr>
            <w:tcW w:w="1480" w:type="dxa"/>
            <w:tcBorders>
              <w:top w:val="nil"/>
              <w:left w:val="nil"/>
              <w:bottom w:val="nil"/>
              <w:right w:val="nil"/>
            </w:tcBorders>
            <w:shd w:val="clear" w:color="auto" w:fill="auto"/>
            <w:noWrap/>
            <w:vAlign w:val="center"/>
            <w:hideMark/>
          </w:tcPr>
          <w:p w14:paraId="74A5BD6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22,800</w:t>
            </w:r>
          </w:p>
        </w:tc>
        <w:tc>
          <w:tcPr>
            <w:tcW w:w="1636" w:type="dxa"/>
            <w:tcBorders>
              <w:top w:val="nil"/>
              <w:left w:val="nil"/>
              <w:bottom w:val="nil"/>
              <w:right w:val="nil"/>
            </w:tcBorders>
            <w:shd w:val="clear" w:color="auto" w:fill="auto"/>
            <w:noWrap/>
            <w:vAlign w:val="center"/>
            <w:hideMark/>
          </w:tcPr>
          <w:p w14:paraId="1560404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288DF90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c>
          <w:tcPr>
            <w:tcW w:w="1002" w:type="dxa"/>
            <w:tcBorders>
              <w:top w:val="nil"/>
              <w:left w:val="nil"/>
              <w:bottom w:val="nil"/>
              <w:right w:val="nil"/>
            </w:tcBorders>
            <w:shd w:val="clear" w:color="auto" w:fill="auto"/>
            <w:noWrap/>
            <w:vAlign w:val="center"/>
            <w:hideMark/>
          </w:tcPr>
          <w:p w14:paraId="699714D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r>
      <w:tr w:rsidR="00E24972" w:rsidRPr="005546AF" w14:paraId="2787DDB5" w14:textId="77777777" w:rsidTr="00E24972">
        <w:trPr>
          <w:trHeight w:val="225"/>
        </w:trPr>
        <w:tc>
          <w:tcPr>
            <w:tcW w:w="1000" w:type="dxa"/>
            <w:tcBorders>
              <w:top w:val="nil"/>
              <w:left w:val="nil"/>
              <w:bottom w:val="nil"/>
              <w:right w:val="nil"/>
            </w:tcBorders>
            <w:shd w:val="clear" w:color="auto" w:fill="auto"/>
            <w:noWrap/>
            <w:vAlign w:val="center"/>
            <w:hideMark/>
          </w:tcPr>
          <w:p w14:paraId="3B6D6BB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4.50</w:t>
            </w:r>
          </w:p>
        </w:tc>
        <w:tc>
          <w:tcPr>
            <w:tcW w:w="1180" w:type="dxa"/>
            <w:tcBorders>
              <w:top w:val="nil"/>
              <w:left w:val="nil"/>
              <w:bottom w:val="nil"/>
              <w:right w:val="nil"/>
            </w:tcBorders>
            <w:shd w:val="clear" w:color="auto" w:fill="auto"/>
            <w:noWrap/>
            <w:vAlign w:val="center"/>
            <w:hideMark/>
          </w:tcPr>
          <w:p w14:paraId="6FC9C5B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21-Apr-33</w:t>
            </w:r>
          </w:p>
        </w:tc>
        <w:tc>
          <w:tcPr>
            <w:tcW w:w="1480" w:type="dxa"/>
            <w:tcBorders>
              <w:top w:val="nil"/>
              <w:left w:val="nil"/>
              <w:bottom w:val="nil"/>
              <w:right w:val="nil"/>
            </w:tcBorders>
            <w:shd w:val="clear" w:color="auto" w:fill="auto"/>
            <w:noWrap/>
            <w:vAlign w:val="center"/>
            <w:hideMark/>
          </w:tcPr>
          <w:p w14:paraId="2AB2B17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19,800</w:t>
            </w:r>
          </w:p>
        </w:tc>
        <w:tc>
          <w:tcPr>
            <w:tcW w:w="1636" w:type="dxa"/>
            <w:tcBorders>
              <w:top w:val="nil"/>
              <w:left w:val="nil"/>
              <w:bottom w:val="nil"/>
              <w:right w:val="nil"/>
            </w:tcBorders>
            <w:shd w:val="clear" w:color="auto" w:fill="auto"/>
            <w:noWrap/>
            <w:vAlign w:val="center"/>
            <w:hideMark/>
          </w:tcPr>
          <w:p w14:paraId="244F97EC"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1C84033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0F7C1D9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4433D0DD" w14:textId="77777777" w:rsidTr="00E24972">
        <w:trPr>
          <w:trHeight w:val="225"/>
        </w:trPr>
        <w:tc>
          <w:tcPr>
            <w:tcW w:w="1000" w:type="dxa"/>
            <w:tcBorders>
              <w:top w:val="nil"/>
              <w:left w:val="nil"/>
              <w:bottom w:val="nil"/>
              <w:right w:val="nil"/>
            </w:tcBorders>
            <w:shd w:val="clear" w:color="auto" w:fill="auto"/>
            <w:noWrap/>
            <w:vAlign w:val="center"/>
            <w:hideMark/>
          </w:tcPr>
          <w:p w14:paraId="225136E8"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2.75</w:t>
            </w:r>
          </w:p>
        </w:tc>
        <w:tc>
          <w:tcPr>
            <w:tcW w:w="1180" w:type="dxa"/>
            <w:tcBorders>
              <w:top w:val="nil"/>
              <w:left w:val="nil"/>
              <w:bottom w:val="nil"/>
              <w:right w:val="nil"/>
            </w:tcBorders>
            <w:shd w:val="clear" w:color="auto" w:fill="auto"/>
            <w:noWrap/>
            <w:vAlign w:val="center"/>
            <w:hideMark/>
          </w:tcPr>
          <w:p w14:paraId="20B4271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21-Jun-35</w:t>
            </w:r>
          </w:p>
        </w:tc>
        <w:tc>
          <w:tcPr>
            <w:tcW w:w="1480" w:type="dxa"/>
            <w:tcBorders>
              <w:top w:val="nil"/>
              <w:left w:val="nil"/>
              <w:bottom w:val="nil"/>
              <w:right w:val="nil"/>
            </w:tcBorders>
            <w:shd w:val="clear" w:color="auto" w:fill="auto"/>
            <w:noWrap/>
            <w:vAlign w:val="center"/>
            <w:hideMark/>
          </w:tcPr>
          <w:p w14:paraId="3A4B874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9,550</w:t>
            </w:r>
          </w:p>
        </w:tc>
        <w:tc>
          <w:tcPr>
            <w:tcW w:w="1636" w:type="dxa"/>
            <w:tcBorders>
              <w:top w:val="nil"/>
              <w:left w:val="nil"/>
              <w:bottom w:val="nil"/>
              <w:right w:val="nil"/>
            </w:tcBorders>
            <w:shd w:val="clear" w:color="auto" w:fill="auto"/>
            <w:noWrap/>
            <w:vAlign w:val="center"/>
            <w:hideMark/>
          </w:tcPr>
          <w:p w14:paraId="7E9168E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2B73973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w:t>
            </w:r>
          </w:p>
        </w:tc>
        <w:tc>
          <w:tcPr>
            <w:tcW w:w="1002" w:type="dxa"/>
            <w:tcBorders>
              <w:top w:val="nil"/>
              <w:left w:val="nil"/>
              <w:bottom w:val="nil"/>
              <w:right w:val="nil"/>
            </w:tcBorders>
            <w:shd w:val="clear" w:color="auto" w:fill="auto"/>
            <w:noWrap/>
            <w:vAlign w:val="center"/>
            <w:hideMark/>
          </w:tcPr>
          <w:p w14:paraId="0C7D766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21-Dec</w:t>
            </w:r>
          </w:p>
        </w:tc>
      </w:tr>
      <w:tr w:rsidR="00E24972" w:rsidRPr="005546AF" w14:paraId="2F2D67C8" w14:textId="77777777" w:rsidTr="00E24972">
        <w:trPr>
          <w:trHeight w:val="225"/>
        </w:trPr>
        <w:tc>
          <w:tcPr>
            <w:tcW w:w="1000" w:type="dxa"/>
            <w:tcBorders>
              <w:top w:val="nil"/>
              <w:left w:val="nil"/>
              <w:bottom w:val="nil"/>
              <w:right w:val="nil"/>
            </w:tcBorders>
            <w:shd w:val="clear" w:color="auto" w:fill="auto"/>
            <w:noWrap/>
            <w:vAlign w:val="center"/>
            <w:hideMark/>
          </w:tcPr>
          <w:p w14:paraId="12E095C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3.75</w:t>
            </w:r>
          </w:p>
        </w:tc>
        <w:tc>
          <w:tcPr>
            <w:tcW w:w="1180" w:type="dxa"/>
            <w:tcBorders>
              <w:top w:val="nil"/>
              <w:left w:val="nil"/>
              <w:bottom w:val="nil"/>
              <w:right w:val="nil"/>
            </w:tcBorders>
            <w:shd w:val="clear" w:color="auto" w:fill="auto"/>
            <w:noWrap/>
            <w:vAlign w:val="center"/>
            <w:hideMark/>
          </w:tcPr>
          <w:p w14:paraId="4CDE2DC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21-Apr-37</w:t>
            </w:r>
          </w:p>
        </w:tc>
        <w:tc>
          <w:tcPr>
            <w:tcW w:w="1480" w:type="dxa"/>
            <w:tcBorders>
              <w:top w:val="nil"/>
              <w:left w:val="nil"/>
              <w:bottom w:val="nil"/>
              <w:right w:val="nil"/>
            </w:tcBorders>
            <w:shd w:val="clear" w:color="auto" w:fill="auto"/>
            <w:noWrap/>
            <w:vAlign w:val="center"/>
            <w:hideMark/>
          </w:tcPr>
          <w:p w14:paraId="028E561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12,000</w:t>
            </w:r>
          </w:p>
        </w:tc>
        <w:tc>
          <w:tcPr>
            <w:tcW w:w="1636" w:type="dxa"/>
            <w:tcBorders>
              <w:top w:val="nil"/>
              <w:left w:val="nil"/>
              <w:bottom w:val="nil"/>
              <w:right w:val="nil"/>
            </w:tcBorders>
            <w:shd w:val="clear" w:color="auto" w:fill="auto"/>
            <w:noWrap/>
            <w:vAlign w:val="center"/>
            <w:hideMark/>
          </w:tcPr>
          <w:p w14:paraId="2989E92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2AC16DFC"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21-Apr</w:t>
            </w:r>
          </w:p>
        </w:tc>
        <w:tc>
          <w:tcPr>
            <w:tcW w:w="1002" w:type="dxa"/>
            <w:tcBorders>
              <w:top w:val="nil"/>
              <w:left w:val="nil"/>
              <w:bottom w:val="nil"/>
              <w:right w:val="nil"/>
            </w:tcBorders>
            <w:shd w:val="clear" w:color="auto" w:fill="auto"/>
            <w:noWrap/>
            <w:vAlign w:val="center"/>
            <w:hideMark/>
          </w:tcPr>
          <w:p w14:paraId="59A5229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21-Oct</w:t>
            </w:r>
          </w:p>
        </w:tc>
      </w:tr>
      <w:tr w:rsidR="00E24972" w:rsidRPr="005546AF" w14:paraId="7A73860E" w14:textId="77777777" w:rsidTr="00E24972">
        <w:trPr>
          <w:trHeight w:val="225"/>
        </w:trPr>
        <w:tc>
          <w:tcPr>
            <w:tcW w:w="1000" w:type="dxa"/>
            <w:tcBorders>
              <w:top w:val="nil"/>
              <w:left w:val="nil"/>
              <w:bottom w:val="nil"/>
              <w:right w:val="nil"/>
            </w:tcBorders>
            <w:shd w:val="clear" w:color="auto" w:fill="auto"/>
            <w:noWrap/>
            <w:vAlign w:val="center"/>
            <w:hideMark/>
          </w:tcPr>
          <w:p w14:paraId="7BF32477"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3.25</w:t>
            </w:r>
          </w:p>
        </w:tc>
        <w:tc>
          <w:tcPr>
            <w:tcW w:w="1180" w:type="dxa"/>
            <w:tcBorders>
              <w:top w:val="nil"/>
              <w:left w:val="nil"/>
              <w:bottom w:val="nil"/>
              <w:right w:val="nil"/>
            </w:tcBorders>
            <w:shd w:val="clear" w:color="auto" w:fill="auto"/>
            <w:noWrap/>
            <w:vAlign w:val="center"/>
            <w:hideMark/>
          </w:tcPr>
          <w:p w14:paraId="39CAEE01"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21-Jun-39</w:t>
            </w:r>
          </w:p>
        </w:tc>
        <w:tc>
          <w:tcPr>
            <w:tcW w:w="1480" w:type="dxa"/>
            <w:tcBorders>
              <w:top w:val="nil"/>
              <w:left w:val="nil"/>
              <w:bottom w:val="nil"/>
              <w:right w:val="nil"/>
            </w:tcBorders>
            <w:shd w:val="clear" w:color="auto" w:fill="auto"/>
            <w:noWrap/>
            <w:vAlign w:val="center"/>
            <w:hideMark/>
          </w:tcPr>
          <w:p w14:paraId="3919711C"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9,900</w:t>
            </w:r>
          </w:p>
        </w:tc>
        <w:tc>
          <w:tcPr>
            <w:tcW w:w="1636" w:type="dxa"/>
            <w:tcBorders>
              <w:top w:val="nil"/>
              <w:left w:val="nil"/>
              <w:bottom w:val="nil"/>
              <w:right w:val="nil"/>
            </w:tcBorders>
            <w:shd w:val="clear" w:color="auto" w:fill="auto"/>
            <w:noWrap/>
            <w:vAlign w:val="center"/>
            <w:hideMark/>
          </w:tcPr>
          <w:p w14:paraId="2015035C"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612E9F2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w:t>
            </w:r>
          </w:p>
        </w:tc>
        <w:tc>
          <w:tcPr>
            <w:tcW w:w="1002" w:type="dxa"/>
            <w:tcBorders>
              <w:top w:val="nil"/>
              <w:left w:val="nil"/>
              <w:bottom w:val="nil"/>
              <w:right w:val="nil"/>
            </w:tcBorders>
            <w:shd w:val="clear" w:color="auto" w:fill="auto"/>
            <w:noWrap/>
            <w:vAlign w:val="center"/>
            <w:hideMark/>
          </w:tcPr>
          <w:p w14:paraId="549BDCD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21-Dec</w:t>
            </w:r>
          </w:p>
        </w:tc>
      </w:tr>
      <w:tr w:rsidR="00E24972" w:rsidRPr="005546AF" w14:paraId="5AA5712E" w14:textId="77777777" w:rsidTr="00E24972">
        <w:trPr>
          <w:trHeight w:val="225"/>
        </w:trPr>
        <w:tc>
          <w:tcPr>
            <w:tcW w:w="1000" w:type="dxa"/>
            <w:tcBorders>
              <w:top w:val="nil"/>
              <w:left w:val="nil"/>
              <w:bottom w:val="nil"/>
              <w:right w:val="nil"/>
            </w:tcBorders>
            <w:shd w:val="clear" w:color="auto" w:fill="auto"/>
            <w:noWrap/>
            <w:vAlign w:val="center"/>
            <w:hideMark/>
          </w:tcPr>
          <w:p w14:paraId="3CEACD82"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2.75</w:t>
            </w:r>
          </w:p>
        </w:tc>
        <w:tc>
          <w:tcPr>
            <w:tcW w:w="1180" w:type="dxa"/>
            <w:tcBorders>
              <w:top w:val="nil"/>
              <w:left w:val="nil"/>
              <w:bottom w:val="nil"/>
              <w:right w:val="nil"/>
            </w:tcBorders>
            <w:shd w:val="clear" w:color="auto" w:fill="auto"/>
            <w:noWrap/>
            <w:vAlign w:val="center"/>
            <w:hideMark/>
          </w:tcPr>
          <w:p w14:paraId="16DAC8F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21-May-41</w:t>
            </w:r>
          </w:p>
        </w:tc>
        <w:tc>
          <w:tcPr>
            <w:tcW w:w="1480" w:type="dxa"/>
            <w:tcBorders>
              <w:top w:val="nil"/>
              <w:left w:val="nil"/>
              <w:bottom w:val="nil"/>
              <w:right w:val="nil"/>
            </w:tcBorders>
            <w:shd w:val="clear" w:color="auto" w:fill="auto"/>
            <w:noWrap/>
            <w:vAlign w:val="center"/>
            <w:hideMark/>
          </w:tcPr>
          <w:p w14:paraId="625CBCA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13,500</w:t>
            </w:r>
          </w:p>
        </w:tc>
        <w:tc>
          <w:tcPr>
            <w:tcW w:w="1636" w:type="dxa"/>
            <w:tcBorders>
              <w:top w:val="nil"/>
              <w:left w:val="nil"/>
              <w:bottom w:val="nil"/>
              <w:right w:val="nil"/>
            </w:tcBorders>
            <w:shd w:val="clear" w:color="auto" w:fill="auto"/>
            <w:noWrap/>
            <w:vAlign w:val="center"/>
            <w:hideMark/>
          </w:tcPr>
          <w:p w14:paraId="1ABDC4A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7D2E3C2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21-May</w:t>
            </w:r>
          </w:p>
        </w:tc>
        <w:tc>
          <w:tcPr>
            <w:tcW w:w="1002" w:type="dxa"/>
            <w:tcBorders>
              <w:top w:val="nil"/>
              <w:left w:val="nil"/>
              <w:bottom w:val="nil"/>
              <w:right w:val="nil"/>
            </w:tcBorders>
            <w:shd w:val="clear" w:color="auto" w:fill="auto"/>
            <w:noWrap/>
            <w:vAlign w:val="center"/>
            <w:hideMark/>
          </w:tcPr>
          <w:p w14:paraId="71C62C7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21-Nov</w:t>
            </w:r>
          </w:p>
        </w:tc>
      </w:tr>
      <w:tr w:rsidR="00E24972" w:rsidRPr="005546AF" w14:paraId="4183CCED" w14:textId="77777777" w:rsidTr="00E24972">
        <w:trPr>
          <w:trHeight w:val="225"/>
        </w:trPr>
        <w:tc>
          <w:tcPr>
            <w:tcW w:w="1000" w:type="dxa"/>
            <w:tcBorders>
              <w:top w:val="nil"/>
              <w:left w:val="nil"/>
              <w:bottom w:val="nil"/>
              <w:right w:val="nil"/>
            </w:tcBorders>
            <w:shd w:val="clear" w:color="auto" w:fill="auto"/>
            <w:noWrap/>
            <w:vAlign w:val="center"/>
            <w:hideMark/>
          </w:tcPr>
          <w:p w14:paraId="17F3CD5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3.00</w:t>
            </w:r>
          </w:p>
        </w:tc>
        <w:tc>
          <w:tcPr>
            <w:tcW w:w="1180" w:type="dxa"/>
            <w:tcBorders>
              <w:top w:val="nil"/>
              <w:left w:val="nil"/>
              <w:bottom w:val="nil"/>
              <w:right w:val="nil"/>
            </w:tcBorders>
            <w:shd w:val="clear" w:color="auto" w:fill="auto"/>
            <w:noWrap/>
            <w:vAlign w:val="center"/>
            <w:hideMark/>
          </w:tcPr>
          <w:p w14:paraId="7F19AECA"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21-Mar-47</w:t>
            </w:r>
          </w:p>
        </w:tc>
        <w:tc>
          <w:tcPr>
            <w:tcW w:w="1480" w:type="dxa"/>
            <w:tcBorders>
              <w:top w:val="nil"/>
              <w:left w:val="nil"/>
              <w:bottom w:val="nil"/>
              <w:right w:val="nil"/>
            </w:tcBorders>
            <w:shd w:val="clear" w:color="auto" w:fill="auto"/>
            <w:noWrap/>
            <w:vAlign w:val="center"/>
            <w:hideMark/>
          </w:tcPr>
          <w:p w14:paraId="175364F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13,300</w:t>
            </w:r>
          </w:p>
        </w:tc>
        <w:tc>
          <w:tcPr>
            <w:tcW w:w="1636" w:type="dxa"/>
            <w:tcBorders>
              <w:top w:val="nil"/>
              <w:left w:val="nil"/>
              <w:bottom w:val="nil"/>
              <w:right w:val="nil"/>
            </w:tcBorders>
            <w:shd w:val="clear" w:color="auto" w:fill="auto"/>
            <w:noWrap/>
            <w:vAlign w:val="center"/>
            <w:hideMark/>
          </w:tcPr>
          <w:p w14:paraId="7554E24B"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nil"/>
              <w:right w:val="nil"/>
            </w:tcBorders>
            <w:shd w:val="clear" w:color="auto" w:fill="auto"/>
            <w:noWrap/>
            <w:vAlign w:val="center"/>
            <w:hideMark/>
          </w:tcPr>
          <w:p w14:paraId="547A488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21-Mar</w:t>
            </w:r>
          </w:p>
        </w:tc>
        <w:tc>
          <w:tcPr>
            <w:tcW w:w="1002" w:type="dxa"/>
            <w:tcBorders>
              <w:top w:val="nil"/>
              <w:left w:val="nil"/>
              <w:bottom w:val="nil"/>
              <w:right w:val="nil"/>
            </w:tcBorders>
            <w:shd w:val="clear" w:color="auto" w:fill="auto"/>
            <w:noWrap/>
            <w:vAlign w:val="center"/>
            <w:hideMark/>
          </w:tcPr>
          <w:p w14:paraId="723DA22F"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21-Sep</w:t>
            </w:r>
          </w:p>
        </w:tc>
      </w:tr>
      <w:tr w:rsidR="00E24972" w:rsidRPr="005546AF" w14:paraId="28878C45" w14:textId="77777777" w:rsidTr="00E24972">
        <w:trPr>
          <w:trHeight w:val="225"/>
        </w:trPr>
        <w:tc>
          <w:tcPr>
            <w:tcW w:w="1000" w:type="dxa"/>
            <w:tcBorders>
              <w:top w:val="nil"/>
              <w:left w:val="nil"/>
              <w:bottom w:val="single" w:sz="4" w:space="0" w:color="000000"/>
              <w:right w:val="nil"/>
            </w:tcBorders>
            <w:shd w:val="clear" w:color="auto" w:fill="auto"/>
            <w:noWrap/>
            <w:vAlign w:val="center"/>
            <w:hideMark/>
          </w:tcPr>
          <w:p w14:paraId="785970A4"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1.75</w:t>
            </w:r>
          </w:p>
        </w:tc>
        <w:tc>
          <w:tcPr>
            <w:tcW w:w="1180" w:type="dxa"/>
            <w:tcBorders>
              <w:top w:val="nil"/>
              <w:left w:val="nil"/>
              <w:bottom w:val="single" w:sz="4" w:space="0" w:color="000000"/>
              <w:right w:val="nil"/>
            </w:tcBorders>
            <w:shd w:val="clear" w:color="auto" w:fill="auto"/>
            <w:noWrap/>
            <w:vAlign w:val="center"/>
            <w:hideMark/>
          </w:tcPr>
          <w:p w14:paraId="1A434DE6"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21-Jun-51</w:t>
            </w:r>
          </w:p>
        </w:tc>
        <w:tc>
          <w:tcPr>
            <w:tcW w:w="1480" w:type="dxa"/>
            <w:tcBorders>
              <w:top w:val="nil"/>
              <w:left w:val="nil"/>
              <w:bottom w:val="single" w:sz="4" w:space="0" w:color="000000"/>
              <w:right w:val="nil"/>
            </w:tcBorders>
            <w:shd w:val="clear" w:color="auto" w:fill="auto"/>
            <w:noWrap/>
            <w:vAlign w:val="center"/>
            <w:hideMark/>
          </w:tcPr>
          <w:p w14:paraId="23103005"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15,900</w:t>
            </w:r>
          </w:p>
        </w:tc>
        <w:tc>
          <w:tcPr>
            <w:tcW w:w="1636" w:type="dxa"/>
            <w:tcBorders>
              <w:top w:val="nil"/>
              <w:left w:val="nil"/>
              <w:bottom w:val="single" w:sz="4" w:space="0" w:color="000000"/>
              <w:right w:val="nil"/>
            </w:tcBorders>
            <w:shd w:val="clear" w:color="auto" w:fill="auto"/>
            <w:noWrap/>
            <w:vAlign w:val="center"/>
            <w:hideMark/>
          </w:tcPr>
          <w:p w14:paraId="3F0F03E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Twice yearly</w:t>
            </w:r>
          </w:p>
        </w:tc>
        <w:tc>
          <w:tcPr>
            <w:tcW w:w="1002" w:type="dxa"/>
            <w:tcBorders>
              <w:top w:val="nil"/>
              <w:left w:val="nil"/>
              <w:bottom w:val="single" w:sz="4" w:space="0" w:color="000000"/>
              <w:right w:val="nil"/>
            </w:tcBorders>
            <w:shd w:val="clear" w:color="auto" w:fill="auto"/>
            <w:noWrap/>
            <w:vAlign w:val="center"/>
            <w:hideMark/>
          </w:tcPr>
          <w:p w14:paraId="3E14EDA9"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21-Jun</w:t>
            </w:r>
          </w:p>
        </w:tc>
        <w:tc>
          <w:tcPr>
            <w:tcW w:w="1002" w:type="dxa"/>
            <w:tcBorders>
              <w:top w:val="nil"/>
              <w:left w:val="nil"/>
              <w:bottom w:val="single" w:sz="4" w:space="0" w:color="000000"/>
              <w:right w:val="nil"/>
            </w:tcBorders>
            <w:shd w:val="clear" w:color="auto" w:fill="auto"/>
            <w:noWrap/>
            <w:vAlign w:val="center"/>
            <w:hideMark/>
          </w:tcPr>
          <w:p w14:paraId="43EE5033" w14:textId="77777777" w:rsidR="00E24972" w:rsidRPr="00091680" w:rsidRDefault="00E24972" w:rsidP="00E24972">
            <w:pPr>
              <w:spacing w:after="0" w:line="240" w:lineRule="auto"/>
              <w:jc w:val="right"/>
              <w:rPr>
                <w:rFonts w:ascii="Arial" w:hAnsi="Arial" w:cs="Arial"/>
                <w:sz w:val="16"/>
                <w:szCs w:val="16"/>
              </w:rPr>
            </w:pPr>
            <w:r w:rsidRPr="00091680">
              <w:rPr>
                <w:rFonts w:ascii="Arial" w:hAnsi="Arial" w:cs="Arial"/>
                <w:sz w:val="16"/>
                <w:szCs w:val="16"/>
              </w:rPr>
              <w:t>21-Dec</w:t>
            </w:r>
          </w:p>
        </w:tc>
      </w:tr>
    </w:tbl>
    <w:p w14:paraId="3586601D" w14:textId="62E54B34" w:rsidR="003C48F3" w:rsidRPr="00091680" w:rsidRDefault="003C48F3" w:rsidP="00631638">
      <w:pPr>
        <w:pStyle w:val="ChartandTableFootnoteAlpha"/>
        <w:numPr>
          <w:ilvl w:val="0"/>
          <w:numId w:val="13"/>
        </w:numPr>
        <w:rPr>
          <w:color w:val="auto"/>
        </w:rPr>
      </w:pPr>
      <w:r w:rsidRPr="00091680">
        <w:rPr>
          <w:color w:val="auto"/>
        </w:rPr>
        <w:t>Where the timing of an interest payment falls on a non</w:t>
      </w:r>
      <w:r w:rsidRPr="00091680">
        <w:rPr>
          <w:color w:val="auto"/>
        </w:rPr>
        <w:noBreakHyphen/>
        <w:t>business day, the payment will occur on the following business day.</w:t>
      </w:r>
    </w:p>
    <w:p w14:paraId="7F21F6B9" w14:textId="205F6375" w:rsidR="003C48F3" w:rsidRPr="003C48F3" w:rsidRDefault="003C48F3" w:rsidP="006971E8">
      <w:pPr>
        <w:pStyle w:val="Source"/>
      </w:pPr>
      <w:r w:rsidRPr="00091680">
        <w:t xml:space="preserve">Source: </w:t>
      </w:r>
      <w:r w:rsidRPr="00091680">
        <w:tab/>
        <w:t>AOFM.</w:t>
      </w:r>
      <w:r w:rsidR="00D67203" w:rsidRPr="003C48F3">
        <w:t xml:space="preserve"> </w:t>
      </w:r>
      <w:r w:rsidRPr="003C48F3">
        <w:br w:type="page"/>
      </w:r>
    </w:p>
    <w:p w14:paraId="55030E44" w14:textId="0677512E" w:rsidR="003C48F3" w:rsidRPr="00091680" w:rsidRDefault="003C48F3" w:rsidP="006971E8">
      <w:pPr>
        <w:pStyle w:val="Heading3"/>
      </w:pPr>
      <w:bookmarkStart w:id="29" w:name="_Toc67660284"/>
      <w:bookmarkStart w:id="30" w:name="_Toc98531932"/>
      <w:r w:rsidRPr="00091680">
        <w:lastRenderedPageBreak/>
        <w:t>Treasury Indexed Bonds</w:t>
      </w:r>
      <w:bookmarkEnd w:id="29"/>
      <w:bookmarkEnd w:id="30"/>
    </w:p>
    <w:p w14:paraId="714738AB" w14:textId="19300DDE" w:rsidR="003C48F3" w:rsidRPr="00091680" w:rsidRDefault="003C48F3" w:rsidP="003C48F3">
      <w:pPr>
        <w:keepNext/>
        <w:keepLines/>
      </w:pPr>
      <w:r w:rsidRPr="00091680">
        <w:t xml:space="preserve">Table </w:t>
      </w:r>
      <w:r w:rsidR="001E52C1" w:rsidRPr="00091680">
        <w:t>6</w:t>
      </w:r>
      <w:r w:rsidRPr="00091680">
        <w:t>.5 lists TIBs currently on issue, as well as the annual interest rate (the coupon) and the timing of coupon payments. As at </w:t>
      </w:r>
      <w:r w:rsidR="006E034C" w:rsidRPr="00091680">
        <w:t>1</w:t>
      </w:r>
      <w:r w:rsidR="00DD119B" w:rsidRPr="00091680">
        <w:t>8</w:t>
      </w:r>
      <w:r w:rsidR="00B95C92" w:rsidRPr="00091680">
        <w:t xml:space="preserve"> March 2022</w:t>
      </w:r>
      <w:r w:rsidRPr="00091680">
        <w:t xml:space="preserve">, there were 7 TIB lines on issue, with a weighted average term to maturity of around </w:t>
      </w:r>
      <w:r w:rsidR="0091680A" w:rsidRPr="00091680">
        <w:t>10.6</w:t>
      </w:r>
      <w:r w:rsidRPr="00091680">
        <w:t> years and the longest maturity extending to February 2050.</w:t>
      </w:r>
    </w:p>
    <w:p w14:paraId="33B99585" w14:textId="63D7A517" w:rsidR="001770D5" w:rsidRPr="00091680" w:rsidRDefault="003C48F3" w:rsidP="00922FC7">
      <w:pPr>
        <w:pStyle w:val="TableGraphic"/>
        <w:rPr>
          <w:rFonts w:ascii="Arial" w:eastAsiaTheme="minorHAnsi" w:hAnsi="Arial" w:cs="Arial"/>
          <w:b/>
          <w:sz w:val="22"/>
          <w:szCs w:val="22"/>
          <w:lang w:eastAsia="en-US"/>
        </w:rPr>
      </w:pPr>
      <w:r w:rsidRPr="00091680">
        <w:rPr>
          <w:rFonts w:ascii="Arial" w:hAnsi="Arial" w:cs="Arial"/>
          <w:b/>
        </w:rPr>
        <w:t xml:space="preserve">Table </w:t>
      </w:r>
      <w:r w:rsidR="001E52C1" w:rsidRPr="00091680">
        <w:rPr>
          <w:rFonts w:ascii="Arial" w:hAnsi="Arial" w:cs="Arial"/>
          <w:b/>
        </w:rPr>
        <w:t>6</w:t>
      </w:r>
      <w:r w:rsidRPr="00091680">
        <w:rPr>
          <w:rFonts w:ascii="Arial" w:hAnsi="Arial" w:cs="Arial"/>
          <w:b/>
        </w:rPr>
        <w:t>.5: Treasury Indexed Bonds on issue</w:t>
      </w:r>
    </w:p>
    <w:tbl>
      <w:tblPr>
        <w:tblW w:w="5000" w:type="pct"/>
        <w:tblCellMar>
          <w:left w:w="0" w:type="dxa"/>
          <w:right w:w="28" w:type="dxa"/>
        </w:tblCellMar>
        <w:tblLook w:val="04A0" w:firstRow="1" w:lastRow="0" w:firstColumn="1" w:lastColumn="0" w:noHBand="0" w:noVBand="1"/>
      </w:tblPr>
      <w:tblGrid>
        <w:gridCol w:w="815"/>
        <w:gridCol w:w="1089"/>
        <w:gridCol w:w="1540"/>
        <w:gridCol w:w="1002"/>
        <w:gridCol w:w="796"/>
        <w:gridCol w:w="823"/>
        <w:gridCol w:w="823"/>
        <w:gridCol w:w="822"/>
      </w:tblGrid>
      <w:tr w:rsidR="005E5EC6" w:rsidRPr="005546AF" w14:paraId="20061B40" w14:textId="77777777" w:rsidTr="00DE2A30">
        <w:trPr>
          <w:trHeight w:hRule="exact" w:val="225"/>
        </w:trPr>
        <w:tc>
          <w:tcPr>
            <w:tcW w:w="528" w:type="pct"/>
            <w:tcBorders>
              <w:top w:val="single" w:sz="4" w:space="0" w:color="000000"/>
              <w:left w:val="nil"/>
              <w:bottom w:val="nil"/>
              <w:right w:val="nil"/>
            </w:tcBorders>
            <w:shd w:val="clear" w:color="auto" w:fill="auto"/>
            <w:noWrap/>
            <w:vAlign w:val="center"/>
            <w:hideMark/>
          </w:tcPr>
          <w:p w14:paraId="73CCC876" w14:textId="217C2C3B" w:rsidR="001770D5" w:rsidRPr="00091680" w:rsidRDefault="001770D5">
            <w:pPr>
              <w:jc w:val="right"/>
              <w:rPr>
                <w:rFonts w:ascii="Arial" w:hAnsi="Arial" w:cs="Arial"/>
                <w:sz w:val="16"/>
                <w:szCs w:val="16"/>
              </w:rPr>
            </w:pPr>
            <w:r w:rsidRPr="00091680">
              <w:rPr>
                <w:rFonts w:ascii="Arial" w:hAnsi="Arial" w:cs="Arial"/>
                <w:sz w:val="16"/>
                <w:szCs w:val="16"/>
              </w:rPr>
              <w:t> </w:t>
            </w:r>
          </w:p>
        </w:tc>
        <w:tc>
          <w:tcPr>
            <w:tcW w:w="706" w:type="pct"/>
            <w:tcBorders>
              <w:top w:val="single" w:sz="4" w:space="0" w:color="000000"/>
              <w:left w:val="nil"/>
              <w:bottom w:val="nil"/>
              <w:right w:val="nil"/>
            </w:tcBorders>
            <w:shd w:val="clear" w:color="auto" w:fill="auto"/>
            <w:noWrap/>
            <w:vAlign w:val="center"/>
            <w:hideMark/>
          </w:tcPr>
          <w:p w14:paraId="123343F7" w14:textId="77777777" w:rsidR="001770D5" w:rsidRPr="00091680" w:rsidRDefault="001770D5" w:rsidP="00DE2A30">
            <w:pPr>
              <w:spacing w:after="0" w:line="240" w:lineRule="auto"/>
              <w:jc w:val="right"/>
              <w:rPr>
                <w:rFonts w:ascii="Arial" w:hAnsi="Arial" w:cs="Arial"/>
                <w:sz w:val="16"/>
                <w:szCs w:val="16"/>
              </w:rPr>
            </w:pPr>
            <w:r w:rsidRPr="00091680">
              <w:rPr>
                <w:rFonts w:ascii="Arial" w:hAnsi="Arial" w:cs="Arial"/>
                <w:sz w:val="16"/>
                <w:szCs w:val="16"/>
              </w:rPr>
              <w:t> </w:t>
            </w:r>
          </w:p>
        </w:tc>
        <w:tc>
          <w:tcPr>
            <w:tcW w:w="999" w:type="pct"/>
            <w:tcBorders>
              <w:top w:val="single" w:sz="4" w:space="0" w:color="000000"/>
              <w:left w:val="nil"/>
              <w:bottom w:val="nil"/>
              <w:right w:val="nil"/>
            </w:tcBorders>
            <w:shd w:val="clear" w:color="auto" w:fill="auto"/>
            <w:noWrap/>
            <w:vAlign w:val="bottom"/>
            <w:hideMark/>
          </w:tcPr>
          <w:p w14:paraId="53C32030" w14:textId="77777777" w:rsidR="001770D5" w:rsidRPr="00091680" w:rsidRDefault="001770D5" w:rsidP="00DE2A30">
            <w:pPr>
              <w:spacing w:after="0" w:line="240" w:lineRule="auto"/>
              <w:jc w:val="right"/>
              <w:rPr>
                <w:rFonts w:ascii="Arial" w:hAnsi="Arial" w:cs="Arial"/>
                <w:sz w:val="16"/>
                <w:szCs w:val="16"/>
              </w:rPr>
            </w:pPr>
            <w:r w:rsidRPr="00091680">
              <w:rPr>
                <w:rFonts w:ascii="Arial" w:hAnsi="Arial" w:cs="Arial"/>
                <w:sz w:val="16"/>
                <w:szCs w:val="16"/>
              </w:rPr>
              <w:t xml:space="preserve"> On issue as at </w:t>
            </w:r>
          </w:p>
        </w:tc>
        <w:tc>
          <w:tcPr>
            <w:tcW w:w="2766" w:type="pct"/>
            <w:gridSpan w:val="5"/>
            <w:tcBorders>
              <w:top w:val="single" w:sz="4" w:space="0" w:color="000000"/>
              <w:left w:val="nil"/>
              <w:bottom w:val="nil"/>
              <w:right w:val="nil"/>
            </w:tcBorders>
            <w:shd w:val="clear" w:color="auto" w:fill="auto"/>
            <w:noWrap/>
            <w:vAlign w:val="center"/>
            <w:hideMark/>
          </w:tcPr>
          <w:p w14:paraId="7FB6B9E2" w14:textId="77777777" w:rsidR="001770D5" w:rsidRPr="00091680" w:rsidRDefault="001770D5" w:rsidP="00DE2A30">
            <w:pPr>
              <w:spacing w:after="0" w:line="240" w:lineRule="auto"/>
              <w:jc w:val="center"/>
              <w:rPr>
                <w:rFonts w:ascii="Arial" w:hAnsi="Arial" w:cs="Arial"/>
                <w:sz w:val="16"/>
                <w:szCs w:val="16"/>
              </w:rPr>
            </w:pPr>
            <w:r w:rsidRPr="00091680">
              <w:rPr>
                <w:rFonts w:ascii="Arial" w:hAnsi="Arial" w:cs="Arial"/>
                <w:sz w:val="16"/>
                <w:szCs w:val="16"/>
              </w:rPr>
              <w:t> </w:t>
            </w:r>
          </w:p>
        </w:tc>
      </w:tr>
      <w:tr w:rsidR="005E5EC6" w:rsidRPr="005546AF" w14:paraId="0AC5A1F5" w14:textId="77777777" w:rsidTr="00DE2A30">
        <w:trPr>
          <w:trHeight w:hRule="exact" w:val="225"/>
        </w:trPr>
        <w:tc>
          <w:tcPr>
            <w:tcW w:w="528" w:type="pct"/>
            <w:tcBorders>
              <w:top w:val="nil"/>
              <w:left w:val="nil"/>
              <w:bottom w:val="nil"/>
              <w:right w:val="nil"/>
            </w:tcBorders>
            <w:shd w:val="clear" w:color="auto" w:fill="auto"/>
            <w:noWrap/>
            <w:vAlign w:val="center"/>
            <w:hideMark/>
          </w:tcPr>
          <w:p w14:paraId="25501B60"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Coupon</w:t>
            </w:r>
          </w:p>
        </w:tc>
        <w:tc>
          <w:tcPr>
            <w:tcW w:w="706" w:type="pct"/>
            <w:tcBorders>
              <w:top w:val="nil"/>
              <w:left w:val="nil"/>
              <w:bottom w:val="nil"/>
              <w:right w:val="nil"/>
            </w:tcBorders>
            <w:shd w:val="clear" w:color="auto" w:fill="auto"/>
            <w:noWrap/>
            <w:vAlign w:val="center"/>
            <w:hideMark/>
          </w:tcPr>
          <w:p w14:paraId="0D370367" w14:textId="77777777" w:rsidR="001770D5" w:rsidRPr="00091680" w:rsidRDefault="001770D5" w:rsidP="00C837C1">
            <w:pPr>
              <w:spacing w:after="0" w:line="240" w:lineRule="auto"/>
              <w:jc w:val="right"/>
              <w:rPr>
                <w:rFonts w:ascii="Arial" w:hAnsi="Arial" w:cs="Arial"/>
                <w:sz w:val="16"/>
                <w:szCs w:val="16"/>
              </w:rPr>
            </w:pPr>
          </w:p>
        </w:tc>
        <w:tc>
          <w:tcPr>
            <w:tcW w:w="999" w:type="pct"/>
            <w:tcBorders>
              <w:top w:val="nil"/>
              <w:left w:val="nil"/>
              <w:bottom w:val="nil"/>
              <w:right w:val="nil"/>
            </w:tcBorders>
            <w:shd w:val="clear" w:color="auto" w:fill="auto"/>
            <w:noWrap/>
            <w:vAlign w:val="bottom"/>
            <w:hideMark/>
          </w:tcPr>
          <w:p w14:paraId="128A2B83" w14:textId="1D4F7261" w:rsidR="001770D5" w:rsidRPr="00091680" w:rsidRDefault="005E5EC6" w:rsidP="00C837C1">
            <w:pPr>
              <w:spacing w:after="0" w:line="240" w:lineRule="auto"/>
              <w:jc w:val="right"/>
              <w:rPr>
                <w:rFonts w:ascii="Arial" w:hAnsi="Arial" w:cs="Arial"/>
                <w:sz w:val="16"/>
                <w:szCs w:val="16"/>
              </w:rPr>
            </w:pPr>
            <w:r w:rsidRPr="00091680">
              <w:rPr>
                <w:rFonts w:ascii="Arial" w:hAnsi="Arial" w:cs="Arial"/>
                <w:sz w:val="16"/>
                <w:szCs w:val="16"/>
              </w:rPr>
              <w:t>18 March 2022</w:t>
            </w:r>
          </w:p>
        </w:tc>
        <w:tc>
          <w:tcPr>
            <w:tcW w:w="650" w:type="pct"/>
            <w:tcBorders>
              <w:top w:val="nil"/>
              <w:left w:val="nil"/>
              <w:bottom w:val="nil"/>
              <w:right w:val="nil"/>
            </w:tcBorders>
            <w:shd w:val="clear" w:color="auto" w:fill="auto"/>
            <w:noWrap/>
            <w:vAlign w:val="center"/>
            <w:hideMark/>
          </w:tcPr>
          <w:p w14:paraId="59B3F0B1" w14:textId="77777777" w:rsidR="001770D5" w:rsidRPr="00091680" w:rsidRDefault="001770D5" w:rsidP="00C837C1">
            <w:pPr>
              <w:spacing w:after="0" w:line="240" w:lineRule="auto"/>
              <w:jc w:val="right"/>
              <w:rPr>
                <w:rFonts w:ascii="Arial" w:hAnsi="Arial" w:cs="Arial"/>
                <w:sz w:val="16"/>
                <w:szCs w:val="16"/>
              </w:rPr>
            </w:pPr>
          </w:p>
        </w:tc>
        <w:tc>
          <w:tcPr>
            <w:tcW w:w="516" w:type="pct"/>
            <w:tcBorders>
              <w:top w:val="nil"/>
              <w:left w:val="nil"/>
              <w:bottom w:val="nil"/>
              <w:right w:val="nil"/>
            </w:tcBorders>
            <w:shd w:val="clear" w:color="auto" w:fill="auto"/>
            <w:noWrap/>
            <w:vAlign w:val="center"/>
            <w:hideMark/>
          </w:tcPr>
          <w:p w14:paraId="6725A7AA" w14:textId="77777777" w:rsidR="001770D5" w:rsidRPr="00091680" w:rsidRDefault="001770D5" w:rsidP="00C837C1">
            <w:pPr>
              <w:spacing w:after="0" w:line="240" w:lineRule="auto"/>
              <w:jc w:val="right"/>
              <w:rPr>
                <w:rFonts w:ascii="Times New Roman" w:hAnsi="Times New Roman"/>
              </w:rPr>
            </w:pPr>
          </w:p>
        </w:tc>
        <w:tc>
          <w:tcPr>
            <w:tcW w:w="534" w:type="pct"/>
            <w:tcBorders>
              <w:top w:val="nil"/>
              <w:left w:val="nil"/>
              <w:bottom w:val="nil"/>
              <w:right w:val="nil"/>
            </w:tcBorders>
            <w:shd w:val="clear" w:color="auto" w:fill="auto"/>
            <w:noWrap/>
            <w:vAlign w:val="center"/>
            <w:hideMark/>
          </w:tcPr>
          <w:p w14:paraId="2A9E1E25" w14:textId="77777777" w:rsidR="001770D5" w:rsidRPr="00091680" w:rsidRDefault="001770D5" w:rsidP="00C837C1">
            <w:pPr>
              <w:spacing w:after="0" w:line="240" w:lineRule="auto"/>
              <w:jc w:val="right"/>
              <w:rPr>
                <w:rFonts w:ascii="Times New Roman" w:hAnsi="Times New Roman"/>
              </w:rPr>
            </w:pPr>
          </w:p>
        </w:tc>
        <w:tc>
          <w:tcPr>
            <w:tcW w:w="534" w:type="pct"/>
            <w:tcBorders>
              <w:top w:val="nil"/>
              <w:left w:val="nil"/>
              <w:bottom w:val="nil"/>
              <w:right w:val="nil"/>
            </w:tcBorders>
            <w:shd w:val="clear" w:color="auto" w:fill="auto"/>
            <w:noWrap/>
            <w:vAlign w:val="center"/>
            <w:hideMark/>
          </w:tcPr>
          <w:p w14:paraId="0EF72ED0" w14:textId="77777777" w:rsidR="001770D5" w:rsidRPr="00091680" w:rsidRDefault="001770D5" w:rsidP="00C837C1">
            <w:pPr>
              <w:spacing w:after="0" w:line="240" w:lineRule="auto"/>
              <w:jc w:val="right"/>
              <w:rPr>
                <w:rFonts w:ascii="Times New Roman" w:hAnsi="Times New Roman"/>
              </w:rPr>
            </w:pPr>
          </w:p>
        </w:tc>
        <w:tc>
          <w:tcPr>
            <w:tcW w:w="534" w:type="pct"/>
            <w:tcBorders>
              <w:top w:val="nil"/>
              <w:left w:val="nil"/>
              <w:bottom w:val="nil"/>
              <w:right w:val="nil"/>
            </w:tcBorders>
            <w:shd w:val="clear" w:color="auto" w:fill="auto"/>
            <w:noWrap/>
            <w:vAlign w:val="center"/>
            <w:hideMark/>
          </w:tcPr>
          <w:p w14:paraId="3BCB8BF9" w14:textId="77777777" w:rsidR="001770D5" w:rsidRPr="00091680" w:rsidRDefault="001770D5" w:rsidP="00C837C1">
            <w:pPr>
              <w:spacing w:after="0" w:line="240" w:lineRule="auto"/>
              <w:jc w:val="right"/>
              <w:rPr>
                <w:rFonts w:ascii="Times New Roman" w:hAnsi="Times New Roman"/>
              </w:rPr>
            </w:pPr>
          </w:p>
        </w:tc>
      </w:tr>
      <w:tr w:rsidR="005E5EC6" w:rsidRPr="005546AF" w14:paraId="252FE389" w14:textId="77777777" w:rsidTr="00DE2A30">
        <w:trPr>
          <w:trHeight w:hRule="exact" w:val="225"/>
        </w:trPr>
        <w:tc>
          <w:tcPr>
            <w:tcW w:w="528" w:type="pct"/>
            <w:tcBorders>
              <w:top w:val="nil"/>
              <w:left w:val="nil"/>
              <w:bottom w:val="single" w:sz="4" w:space="0" w:color="000000"/>
              <w:right w:val="nil"/>
            </w:tcBorders>
            <w:shd w:val="clear" w:color="auto" w:fill="auto"/>
            <w:noWrap/>
            <w:vAlign w:val="center"/>
            <w:hideMark/>
          </w:tcPr>
          <w:p w14:paraId="5AE2E6F4"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Per cent</w:t>
            </w:r>
          </w:p>
        </w:tc>
        <w:tc>
          <w:tcPr>
            <w:tcW w:w="706" w:type="pct"/>
            <w:tcBorders>
              <w:top w:val="nil"/>
              <w:left w:val="nil"/>
              <w:bottom w:val="single" w:sz="4" w:space="0" w:color="000000"/>
              <w:right w:val="nil"/>
            </w:tcBorders>
            <w:shd w:val="clear" w:color="auto" w:fill="auto"/>
            <w:noWrap/>
            <w:vAlign w:val="center"/>
            <w:hideMark/>
          </w:tcPr>
          <w:p w14:paraId="4DC30C43"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Maturity</w:t>
            </w:r>
          </w:p>
        </w:tc>
        <w:tc>
          <w:tcPr>
            <w:tcW w:w="999" w:type="pct"/>
            <w:tcBorders>
              <w:top w:val="nil"/>
              <w:left w:val="nil"/>
              <w:bottom w:val="single" w:sz="4" w:space="0" w:color="000000"/>
              <w:right w:val="nil"/>
            </w:tcBorders>
            <w:shd w:val="clear" w:color="auto" w:fill="auto"/>
            <w:noWrap/>
            <w:vAlign w:val="bottom"/>
            <w:hideMark/>
          </w:tcPr>
          <w:p w14:paraId="4EBA3636"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 xml:space="preserve"> $m </w:t>
            </w:r>
          </w:p>
        </w:tc>
        <w:tc>
          <w:tcPr>
            <w:tcW w:w="2766" w:type="pct"/>
            <w:gridSpan w:val="5"/>
            <w:tcBorders>
              <w:top w:val="nil"/>
              <w:left w:val="nil"/>
              <w:bottom w:val="single" w:sz="4" w:space="0" w:color="000000"/>
              <w:right w:val="nil"/>
            </w:tcBorders>
            <w:shd w:val="clear" w:color="auto" w:fill="auto"/>
            <w:noWrap/>
            <w:vAlign w:val="center"/>
            <w:hideMark/>
          </w:tcPr>
          <w:p w14:paraId="58BEA795" w14:textId="77777777" w:rsidR="001770D5" w:rsidRPr="00091680" w:rsidRDefault="001770D5" w:rsidP="00C837C1">
            <w:pPr>
              <w:spacing w:after="0" w:line="240" w:lineRule="auto"/>
              <w:jc w:val="center"/>
              <w:rPr>
                <w:rFonts w:ascii="Arial" w:hAnsi="Arial" w:cs="Arial"/>
                <w:sz w:val="16"/>
                <w:szCs w:val="16"/>
              </w:rPr>
            </w:pPr>
            <w:r w:rsidRPr="00091680">
              <w:rPr>
                <w:rFonts w:ascii="Arial" w:hAnsi="Arial" w:cs="Arial"/>
                <w:sz w:val="16"/>
                <w:szCs w:val="16"/>
              </w:rPr>
              <w:t>Timing of interest payments(a)</w:t>
            </w:r>
          </w:p>
        </w:tc>
      </w:tr>
      <w:tr w:rsidR="005E5EC6" w:rsidRPr="005546AF" w14:paraId="440624CD" w14:textId="77777777" w:rsidTr="00DE2A30">
        <w:trPr>
          <w:trHeight w:hRule="exact" w:val="225"/>
        </w:trPr>
        <w:tc>
          <w:tcPr>
            <w:tcW w:w="528" w:type="pct"/>
            <w:tcBorders>
              <w:top w:val="nil"/>
              <w:left w:val="nil"/>
              <w:bottom w:val="nil"/>
              <w:right w:val="nil"/>
            </w:tcBorders>
            <w:shd w:val="clear" w:color="auto" w:fill="auto"/>
            <w:noWrap/>
            <w:vAlign w:val="center"/>
            <w:hideMark/>
          </w:tcPr>
          <w:p w14:paraId="3938C188"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3.00</w:t>
            </w:r>
          </w:p>
        </w:tc>
        <w:tc>
          <w:tcPr>
            <w:tcW w:w="706" w:type="pct"/>
            <w:tcBorders>
              <w:top w:val="nil"/>
              <w:left w:val="nil"/>
              <w:bottom w:val="nil"/>
              <w:right w:val="nil"/>
            </w:tcBorders>
            <w:shd w:val="clear" w:color="auto" w:fill="auto"/>
            <w:noWrap/>
            <w:vAlign w:val="center"/>
            <w:hideMark/>
          </w:tcPr>
          <w:p w14:paraId="5165522D"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20-Sep-25</w:t>
            </w:r>
          </w:p>
        </w:tc>
        <w:tc>
          <w:tcPr>
            <w:tcW w:w="999" w:type="pct"/>
            <w:tcBorders>
              <w:top w:val="nil"/>
              <w:left w:val="nil"/>
              <w:bottom w:val="nil"/>
              <w:right w:val="nil"/>
            </w:tcBorders>
            <w:shd w:val="clear" w:color="auto" w:fill="auto"/>
            <w:noWrap/>
            <w:vAlign w:val="bottom"/>
            <w:hideMark/>
          </w:tcPr>
          <w:p w14:paraId="370E6509" w14:textId="38D87CA2" w:rsidR="001770D5" w:rsidRPr="00091680" w:rsidRDefault="005E5EC6" w:rsidP="00C837C1">
            <w:pPr>
              <w:spacing w:after="0" w:line="240" w:lineRule="auto"/>
              <w:jc w:val="right"/>
              <w:rPr>
                <w:rFonts w:ascii="Arial" w:hAnsi="Arial" w:cs="Arial"/>
                <w:sz w:val="16"/>
                <w:szCs w:val="16"/>
              </w:rPr>
            </w:pPr>
            <w:r w:rsidRPr="00091680">
              <w:rPr>
                <w:rFonts w:ascii="Arial" w:hAnsi="Arial" w:cs="Arial"/>
                <w:sz w:val="16"/>
                <w:szCs w:val="16"/>
              </w:rPr>
              <w:t xml:space="preserve">7,893 </w:t>
            </w:r>
          </w:p>
        </w:tc>
        <w:tc>
          <w:tcPr>
            <w:tcW w:w="650" w:type="pct"/>
            <w:tcBorders>
              <w:top w:val="nil"/>
              <w:left w:val="nil"/>
              <w:bottom w:val="nil"/>
              <w:right w:val="nil"/>
            </w:tcBorders>
            <w:shd w:val="clear" w:color="auto" w:fill="auto"/>
            <w:noWrap/>
            <w:vAlign w:val="center"/>
            <w:hideMark/>
          </w:tcPr>
          <w:p w14:paraId="3E46D832"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3EE0CC68"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20-Sep</w:t>
            </w:r>
          </w:p>
        </w:tc>
        <w:tc>
          <w:tcPr>
            <w:tcW w:w="534" w:type="pct"/>
            <w:tcBorders>
              <w:top w:val="nil"/>
              <w:left w:val="nil"/>
              <w:bottom w:val="nil"/>
              <w:right w:val="nil"/>
            </w:tcBorders>
            <w:shd w:val="clear" w:color="auto" w:fill="auto"/>
            <w:noWrap/>
            <w:vAlign w:val="center"/>
            <w:hideMark/>
          </w:tcPr>
          <w:p w14:paraId="510E8E3E"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20-Dec</w:t>
            </w:r>
          </w:p>
        </w:tc>
        <w:tc>
          <w:tcPr>
            <w:tcW w:w="534" w:type="pct"/>
            <w:tcBorders>
              <w:top w:val="nil"/>
              <w:left w:val="nil"/>
              <w:bottom w:val="nil"/>
              <w:right w:val="nil"/>
            </w:tcBorders>
            <w:shd w:val="clear" w:color="auto" w:fill="auto"/>
            <w:noWrap/>
            <w:vAlign w:val="center"/>
            <w:hideMark/>
          </w:tcPr>
          <w:p w14:paraId="3673BFE8"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20-Mar</w:t>
            </w:r>
          </w:p>
        </w:tc>
        <w:tc>
          <w:tcPr>
            <w:tcW w:w="534" w:type="pct"/>
            <w:tcBorders>
              <w:top w:val="nil"/>
              <w:left w:val="nil"/>
              <w:bottom w:val="nil"/>
              <w:right w:val="nil"/>
            </w:tcBorders>
            <w:shd w:val="clear" w:color="auto" w:fill="auto"/>
            <w:noWrap/>
            <w:vAlign w:val="bottom"/>
            <w:hideMark/>
          </w:tcPr>
          <w:p w14:paraId="119609E4" w14:textId="77777777" w:rsidR="001770D5" w:rsidRPr="00091680" w:rsidRDefault="001770D5" w:rsidP="00C837C1">
            <w:pPr>
              <w:spacing w:after="0" w:line="240" w:lineRule="auto"/>
              <w:jc w:val="right"/>
              <w:rPr>
                <w:rFonts w:ascii="Arial" w:hAnsi="Arial" w:cs="Arial"/>
                <w:sz w:val="16"/>
                <w:szCs w:val="16"/>
              </w:rPr>
            </w:pPr>
            <w:r w:rsidRPr="00091680">
              <w:rPr>
                <w:rFonts w:ascii="Arial" w:hAnsi="Arial" w:cs="Arial"/>
                <w:sz w:val="16"/>
                <w:szCs w:val="16"/>
              </w:rPr>
              <w:t>20-Jun</w:t>
            </w:r>
          </w:p>
        </w:tc>
      </w:tr>
      <w:tr w:rsidR="005E5EC6" w:rsidRPr="005546AF" w14:paraId="3ABAB2A4" w14:textId="77777777" w:rsidTr="00DE2A30">
        <w:trPr>
          <w:trHeight w:hRule="exact" w:val="225"/>
        </w:trPr>
        <w:tc>
          <w:tcPr>
            <w:tcW w:w="528" w:type="pct"/>
            <w:tcBorders>
              <w:top w:val="nil"/>
              <w:left w:val="nil"/>
              <w:bottom w:val="nil"/>
              <w:right w:val="nil"/>
            </w:tcBorders>
            <w:shd w:val="clear" w:color="auto" w:fill="auto"/>
            <w:noWrap/>
            <w:vAlign w:val="center"/>
            <w:hideMark/>
          </w:tcPr>
          <w:p w14:paraId="3ABEB66C"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0.75</w:t>
            </w:r>
          </w:p>
        </w:tc>
        <w:tc>
          <w:tcPr>
            <w:tcW w:w="706" w:type="pct"/>
            <w:tcBorders>
              <w:top w:val="nil"/>
              <w:left w:val="nil"/>
              <w:bottom w:val="nil"/>
              <w:right w:val="nil"/>
            </w:tcBorders>
            <w:shd w:val="clear" w:color="auto" w:fill="auto"/>
            <w:noWrap/>
            <w:vAlign w:val="center"/>
            <w:hideMark/>
          </w:tcPr>
          <w:p w14:paraId="416920EE"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21-Nov-27</w:t>
            </w:r>
          </w:p>
        </w:tc>
        <w:tc>
          <w:tcPr>
            <w:tcW w:w="999" w:type="pct"/>
            <w:tcBorders>
              <w:top w:val="nil"/>
              <w:left w:val="nil"/>
              <w:bottom w:val="nil"/>
              <w:right w:val="nil"/>
            </w:tcBorders>
            <w:shd w:val="clear" w:color="auto" w:fill="auto"/>
            <w:noWrap/>
            <w:vAlign w:val="bottom"/>
            <w:hideMark/>
          </w:tcPr>
          <w:p w14:paraId="7921202D" w14:textId="74790D81" w:rsidR="001770D5" w:rsidRPr="00091680" w:rsidRDefault="005E5EC6" w:rsidP="009C0435">
            <w:pPr>
              <w:spacing w:after="0" w:line="240" w:lineRule="auto"/>
              <w:jc w:val="right"/>
              <w:rPr>
                <w:rFonts w:ascii="Arial" w:hAnsi="Arial" w:cs="Arial"/>
                <w:sz w:val="16"/>
                <w:szCs w:val="16"/>
              </w:rPr>
            </w:pPr>
            <w:r w:rsidRPr="00091680">
              <w:rPr>
                <w:rFonts w:ascii="Arial" w:hAnsi="Arial" w:cs="Arial"/>
                <w:sz w:val="16"/>
                <w:szCs w:val="16"/>
              </w:rPr>
              <w:t xml:space="preserve">6,500 </w:t>
            </w:r>
          </w:p>
        </w:tc>
        <w:tc>
          <w:tcPr>
            <w:tcW w:w="650" w:type="pct"/>
            <w:tcBorders>
              <w:top w:val="nil"/>
              <w:left w:val="nil"/>
              <w:bottom w:val="nil"/>
              <w:right w:val="nil"/>
            </w:tcBorders>
            <w:shd w:val="clear" w:color="auto" w:fill="auto"/>
            <w:noWrap/>
            <w:vAlign w:val="center"/>
            <w:hideMark/>
          </w:tcPr>
          <w:p w14:paraId="06DC56C3"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4DF9266B"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21-Nov</w:t>
            </w:r>
          </w:p>
        </w:tc>
        <w:tc>
          <w:tcPr>
            <w:tcW w:w="534" w:type="pct"/>
            <w:tcBorders>
              <w:top w:val="nil"/>
              <w:left w:val="nil"/>
              <w:bottom w:val="nil"/>
              <w:right w:val="nil"/>
            </w:tcBorders>
            <w:shd w:val="clear" w:color="auto" w:fill="auto"/>
            <w:noWrap/>
            <w:vAlign w:val="center"/>
            <w:hideMark/>
          </w:tcPr>
          <w:p w14:paraId="6A43BDD2"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21-Feb</w:t>
            </w:r>
          </w:p>
        </w:tc>
        <w:tc>
          <w:tcPr>
            <w:tcW w:w="534" w:type="pct"/>
            <w:tcBorders>
              <w:top w:val="nil"/>
              <w:left w:val="nil"/>
              <w:bottom w:val="nil"/>
              <w:right w:val="nil"/>
            </w:tcBorders>
            <w:shd w:val="clear" w:color="auto" w:fill="auto"/>
            <w:noWrap/>
            <w:vAlign w:val="center"/>
            <w:hideMark/>
          </w:tcPr>
          <w:p w14:paraId="43D61128"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21-May</w:t>
            </w:r>
          </w:p>
        </w:tc>
        <w:tc>
          <w:tcPr>
            <w:tcW w:w="534" w:type="pct"/>
            <w:tcBorders>
              <w:top w:val="nil"/>
              <w:left w:val="nil"/>
              <w:bottom w:val="nil"/>
              <w:right w:val="nil"/>
            </w:tcBorders>
            <w:shd w:val="clear" w:color="auto" w:fill="auto"/>
            <w:noWrap/>
            <w:vAlign w:val="center"/>
            <w:hideMark/>
          </w:tcPr>
          <w:p w14:paraId="065D0CA4"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21-Aug</w:t>
            </w:r>
          </w:p>
        </w:tc>
      </w:tr>
      <w:tr w:rsidR="005E5EC6" w:rsidRPr="005546AF" w14:paraId="3A7B117B" w14:textId="77777777" w:rsidTr="00DE2A30">
        <w:trPr>
          <w:trHeight w:hRule="exact" w:val="225"/>
        </w:trPr>
        <w:tc>
          <w:tcPr>
            <w:tcW w:w="528" w:type="pct"/>
            <w:tcBorders>
              <w:top w:val="nil"/>
              <w:left w:val="nil"/>
              <w:bottom w:val="nil"/>
              <w:right w:val="nil"/>
            </w:tcBorders>
            <w:shd w:val="clear" w:color="auto" w:fill="auto"/>
            <w:noWrap/>
            <w:vAlign w:val="center"/>
            <w:hideMark/>
          </w:tcPr>
          <w:p w14:paraId="276406DC"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2.50</w:t>
            </w:r>
          </w:p>
        </w:tc>
        <w:tc>
          <w:tcPr>
            <w:tcW w:w="706" w:type="pct"/>
            <w:tcBorders>
              <w:top w:val="nil"/>
              <w:left w:val="nil"/>
              <w:bottom w:val="nil"/>
              <w:right w:val="nil"/>
            </w:tcBorders>
            <w:shd w:val="clear" w:color="auto" w:fill="auto"/>
            <w:noWrap/>
            <w:vAlign w:val="center"/>
            <w:hideMark/>
          </w:tcPr>
          <w:p w14:paraId="4367F220"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20-Sep-30</w:t>
            </w:r>
          </w:p>
        </w:tc>
        <w:tc>
          <w:tcPr>
            <w:tcW w:w="999" w:type="pct"/>
            <w:tcBorders>
              <w:top w:val="nil"/>
              <w:left w:val="nil"/>
              <w:bottom w:val="nil"/>
              <w:right w:val="nil"/>
            </w:tcBorders>
            <w:shd w:val="clear" w:color="auto" w:fill="auto"/>
            <w:noWrap/>
            <w:vAlign w:val="bottom"/>
            <w:hideMark/>
          </w:tcPr>
          <w:p w14:paraId="05C0850E" w14:textId="44DD0D45" w:rsidR="001770D5" w:rsidRPr="00091680" w:rsidRDefault="005E5EC6" w:rsidP="009C0435">
            <w:pPr>
              <w:spacing w:after="0" w:line="240" w:lineRule="auto"/>
              <w:jc w:val="right"/>
              <w:rPr>
                <w:rFonts w:ascii="Arial" w:hAnsi="Arial" w:cs="Arial"/>
                <w:sz w:val="16"/>
                <w:szCs w:val="16"/>
              </w:rPr>
            </w:pPr>
            <w:r w:rsidRPr="00091680">
              <w:rPr>
                <w:rFonts w:ascii="Arial" w:hAnsi="Arial" w:cs="Arial"/>
                <w:sz w:val="16"/>
                <w:szCs w:val="16"/>
              </w:rPr>
              <w:t xml:space="preserve">6,343 </w:t>
            </w:r>
          </w:p>
        </w:tc>
        <w:tc>
          <w:tcPr>
            <w:tcW w:w="650" w:type="pct"/>
            <w:tcBorders>
              <w:top w:val="nil"/>
              <w:left w:val="nil"/>
              <w:bottom w:val="nil"/>
              <w:right w:val="nil"/>
            </w:tcBorders>
            <w:shd w:val="clear" w:color="auto" w:fill="auto"/>
            <w:noWrap/>
            <w:vAlign w:val="center"/>
            <w:hideMark/>
          </w:tcPr>
          <w:p w14:paraId="45BD0BE1"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007D8D82"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20-Sep</w:t>
            </w:r>
          </w:p>
        </w:tc>
        <w:tc>
          <w:tcPr>
            <w:tcW w:w="534" w:type="pct"/>
            <w:tcBorders>
              <w:top w:val="nil"/>
              <w:left w:val="nil"/>
              <w:bottom w:val="nil"/>
              <w:right w:val="nil"/>
            </w:tcBorders>
            <w:shd w:val="clear" w:color="auto" w:fill="auto"/>
            <w:noWrap/>
            <w:vAlign w:val="center"/>
            <w:hideMark/>
          </w:tcPr>
          <w:p w14:paraId="6BAA74BD"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20-Dec</w:t>
            </w:r>
          </w:p>
        </w:tc>
        <w:tc>
          <w:tcPr>
            <w:tcW w:w="534" w:type="pct"/>
            <w:tcBorders>
              <w:top w:val="nil"/>
              <w:left w:val="nil"/>
              <w:bottom w:val="nil"/>
              <w:right w:val="nil"/>
            </w:tcBorders>
            <w:shd w:val="clear" w:color="auto" w:fill="auto"/>
            <w:noWrap/>
            <w:vAlign w:val="center"/>
            <w:hideMark/>
          </w:tcPr>
          <w:p w14:paraId="054D5F91"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20-Mar</w:t>
            </w:r>
          </w:p>
        </w:tc>
        <w:tc>
          <w:tcPr>
            <w:tcW w:w="534" w:type="pct"/>
            <w:tcBorders>
              <w:top w:val="nil"/>
              <w:left w:val="nil"/>
              <w:bottom w:val="nil"/>
              <w:right w:val="nil"/>
            </w:tcBorders>
            <w:shd w:val="clear" w:color="auto" w:fill="auto"/>
            <w:noWrap/>
            <w:vAlign w:val="center"/>
            <w:hideMark/>
          </w:tcPr>
          <w:p w14:paraId="0457E1B8"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20-Jun</w:t>
            </w:r>
          </w:p>
        </w:tc>
      </w:tr>
      <w:tr w:rsidR="005E5EC6" w:rsidRPr="005546AF" w14:paraId="23739992" w14:textId="77777777" w:rsidTr="00DE2A30">
        <w:trPr>
          <w:trHeight w:hRule="exact" w:val="225"/>
        </w:trPr>
        <w:tc>
          <w:tcPr>
            <w:tcW w:w="528" w:type="pct"/>
            <w:tcBorders>
              <w:top w:val="nil"/>
              <w:left w:val="nil"/>
              <w:bottom w:val="nil"/>
              <w:right w:val="nil"/>
            </w:tcBorders>
            <w:shd w:val="clear" w:color="auto" w:fill="auto"/>
            <w:noWrap/>
            <w:vAlign w:val="center"/>
            <w:hideMark/>
          </w:tcPr>
          <w:p w14:paraId="1E5A7A05"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0.25</w:t>
            </w:r>
          </w:p>
        </w:tc>
        <w:tc>
          <w:tcPr>
            <w:tcW w:w="706" w:type="pct"/>
            <w:tcBorders>
              <w:top w:val="nil"/>
              <w:left w:val="nil"/>
              <w:bottom w:val="nil"/>
              <w:right w:val="nil"/>
            </w:tcBorders>
            <w:shd w:val="clear" w:color="auto" w:fill="auto"/>
            <w:noWrap/>
            <w:vAlign w:val="center"/>
            <w:hideMark/>
          </w:tcPr>
          <w:p w14:paraId="1007DF98"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21-Nov-32</w:t>
            </w:r>
          </w:p>
        </w:tc>
        <w:tc>
          <w:tcPr>
            <w:tcW w:w="999" w:type="pct"/>
            <w:tcBorders>
              <w:top w:val="nil"/>
              <w:left w:val="nil"/>
              <w:bottom w:val="nil"/>
              <w:right w:val="nil"/>
            </w:tcBorders>
            <w:shd w:val="clear" w:color="auto" w:fill="auto"/>
            <w:noWrap/>
            <w:vAlign w:val="bottom"/>
            <w:hideMark/>
          </w:tcPr>
          <w:p w14:paraId="19199287" w14:textId="5C2ECC14" w:rsidR="001770D5" w:rsidRPr="00091680" w:rsidRDefault="005E5EC6" w:rsidP="009C0435">
            <w:pPr>
              <w:spacing w:after="0" w:line="240" w:lineRule="auto"/>
              <w:jc w:val="right"/>
              <w:rPr>
                <w:rFonts w:ascii="Arial" w:hAnsi="Arial" w:cs="Arial"/>
                <w:sz w:val="16"/>
                <w:szCs w:val="16"/>
              </w:rPr>
            </w:pPr>
            <w:r w:rsidRPr="00091680">
              <w:rPr>
                <w:rFonts w:ascii="Arial" w:hAnsi="Arial" w:cs="Arial"/>
                <w:sz w:val="16"/>
                <w:szCs w:val="16"/>
              </w:rPr>
              <w:t xml:space="preserve">3,550 </w:t>
            </w:r>
          </w:p>
        </w:tc>
        <w:tc>
          <w:tcPr>
            <w:tcW w:w="650" w:type="pct"/>
            <w:tcBorders>
              <w:top w:val="nil"/>
              <w:left w:val="nil"/>
              <w:bottom w:val="nil"/>
              <w:right w:val="nil"/>
            </w:tcBorders>
            <w:shd w:val="clear" w:color="auto" w:fill="auto"/>
            <w:noWrap/>
            <w:vAlign w:val="center"/>
            <w:hideMark/>
          </w:tcPr>
          <w:p w14:paraId="05170363"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5EE9A53C"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21-Nov</w:t>
            </w:r>
          </w:p>
        </w:tc>
        <w:tc>
          <w:tcPr>
            <w:tcW w:w="534" w:type="pct"/>
            <w:tcBorders>
              <w:top w:val="nil"/>
              <w:left w:val="nil"/>
              <w:bottom w:val="nil"/>
              <w:right w:val="nil"/>
            </w:tcBorders>
            <w:shd w:val="clear" w:color="auto" w:fill="auto"/>
            <w:noWrap/>
            <w:vAlign w:val="center"/>
            <w:hideMark/>
          </w:tcPr>
          <w:p w14:paraId="4474D872"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21-Feb</w:t>
            </w:r>
          </w:p>
        </w:tc>
        <w:tc>
          <w:tcPr>
            <w:tcW w:w="534" w:type="pct"/>
            <w:tcBorders>
              <w:top w:val="nil"/>
              <w:left w:val="nil"/>
              <w:bottom w:val="nil"/>
              <w:right w:val="nil"/>
            </w:tcBorders>
            <w:shd w:val="clear" w:color="auto" w:fill="auto"/>
            <w:noWrap/>
            <w:vAlign w:val="center"/>
            <w:hideMark/>
          </w:tcPr>
          <w:p w14:paraId="51A06B99"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21-May</w:t>
            </w:r>
          </w:p>
        </w:tc>
        <w:tc>
          <w:tcPr>
            <w:tcW w:w="534" w:type="pct"/>
            <w:tcBorders>
              <w:top w:val="nil"/>
              <w:left w:val="nil"/>
              <w:bottom w:val="nil"/>
              <w:right w:val="nil"/>
            </w:tcBorders>
            <w:shd w:val="clear" w:color="auto" w:fill="auto"/>
            <w:noWrap/>
            <w:vAlign w:val="center"/>
            <w:hideMark/>
          </w:tcPr>
          <w:p w14:paraId="124CB2CA"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21-Aug</w:t>
            </w:r>
          </w:p>
        </w:tc>
      </w:tr>
      <w:tr w:rsidR="005E5EC6" w:rsidRPr="005546AF" w14:paraId="68446F25" w14:textId="77777777" w:rsidTr="00DE2A30">
        <w:trPr>
          <w:trHeight w:hRule="exact" w:val="225"/>
        </w:trPr>
        <w:tc>
          <w:tcPr>
            <w:tcW w:w="528" w:type="pct"/>
            <w:tcBorders>
              <w:top w:val="nil"/>
              <w:left w:val="nil"/>
              <w:bottom w:val="nil"/>
              <w:right w:val="nil"/>
            </w:tcBorders>
            <w:shd w:val="clear" w:color="auto" w:fill="auto"/>
            <w:noWrap/>
            <w:vAlign w:val="center"/>
            <w:hideMark/>
          </w:tcPr>
          <w:p w14:paraId="24D733A2"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2.00</w:t>
            </w:r>
          </w:p>
        </w:tc>
        <w:tc>
          <w:tcPr>
            <w:tcW w:w="706" w:type="pct"/>
            <w:tcBorders>
              <w:top w:val="nil"/>
              <w:left w:val="nil"/>
              <w:bottom w:val="nil"/>
              <w:right w:val="nil"/>
            </w:tcBorders>
            <w:shd w:val="clear" w:color="auto" w:fill="auto"/>
            <w:noWrap/>
            <w:vAlign w:val="center"/>
            <w:hideMark/>
          </w:tcPr>
          <w:p w14:paraId="6EE48D2A"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21-Aug-35</w:t>
            </w:r>
          </w:p>
        </w:tc>
        <w:tc>
          <w:tcPr>
            <w:tcW w:w="999" w:type="pct"/>
            <w:tcBorders>
              <w:top w:val="nil"/>
              <w:left w:val="nil"/>
              <w:bottom w:val="nil"/>
              <w:right w:val="nil"/>
            </w:tcBorders>
            <w:shd w:val="clear" w:color="auto" w:fill="auto"/>
            <w:noWrap/>
            <w:vAlign w:val="bottom"/>
            <w:hideMark/>
          </w:tcPr>
          <w:p w14:paraId="510870C1" w14:textId="6F0BF451" w:rsidR="001770D5" w:rsidRPr="00091680" w:rsidRDefault="005E5EC6" w:rsidP="009C0435">
            <w:pPr>
              <w:spacing w:after="0" w:line="240" w:lineRule="auto"/>
              <w:jc w:val="right"/>
              <w:rPr>
                <w:rFonts w:ascii="Arial" w:hAnsi="Arial" w:cs="Arial"/>
                <w:sz w:val="16"/>
                <w:szCs w:val="16"/>
              </w:rPr>
            </w:pPr>
            <w:r w:rsidRPr="00091680">
              <w:rPr>
                <w:rFonts w:ascii="Arial" w:hAnsi="Arial" w:cs="Arial"/>
                <w:sz w:val="16"/>
                <w:szCs w:val="16"/>
              </w:rPr>
              <w:t xml:space="preserve">4,350 </w:t>
            </w:r>
          </w:p>
        </w:tc>
        <w:tc>
          <w:tcPr>
            <w:tcW w:w="650" w:type="pct"/>
            <w:tcBorders>
              <w:top w:val="nil"/>
              <w:left w:val="nil"/>
              <w:bottom w:val="nil"/>
              <w:right w:val="nil"/>
            </w:tcBorders>
            <w:shd w:val="clear" w:color="auto" w:fill="auto"/>
            <w:noWrap/>
            <w:vAlign w:val="center"/>
            <w:hideMark/>
          </w:tcPr>
          <w:p w14:paraId="4BDA768D"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1702E248"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21-Aug</w:t>
            </w:r>
          </w:p>
        </w:tc>
        <w:tc>
          <w:tcPr>
            <w:tcW w:w="534" w:type="pct"/>
            <w:tcBorders>
              <w:top w:val="nil"/>
              <w:left w:val="nil"/>
              <w:bottom w:val="nil"/>
              <w:right w:val="nil"/>
            </w:tcBorders>
            <w:shd w:val="clear" w:color="auto" w:fill="auto"/>
            <w:noWrap/>
            <w:vAlign w:val="center"/>
            <w:hideMark/>
          </w:tcPr>
          <w:p w14:paraId="64AF9C93"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21-Nov</w:t>
            </w:r>
          </w:p>
        </w:tc>
        <w:tc>
          <w:tcPr>
            <w:tcW w:w="534" w:type="pct"/>
            <w:tcBorders>
              <w:top w:val="nil"/>
              <w:left w:val="nil"/>
              <w:bottom w:val="nil"/>
              <w:right w:val="nil"/>
            </w:tcBorders>
            <w:shd w:val="clear" w:color="auto" w:fill="auto"/>
            <w:noWrap/>
            <w:vAlign w:val="center"/>
            <w:hideMark/>
          </w:tcPr>
          <w:p w14:paraId="4016AAFD"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21-Feb</w:t>
            </w:r>
          </w:p>
        </w:tc>
        <w:tc>
          <w:tcPr>
            <w:tcW w:w="534" w:type="pct"/>
            <w:tcBorders>
              <w:top w:val="nil"/>
              <w:left w:val="nil"/>
              <w:bottom w:val="nil"/>
              <w:right w:val="nil"/>
            </w:tcBorders>
            <w:shd w:val="clear" w:color="auto" w:fill="auto"/>
            <w:noWrap/>
            <w:vAlign w:val="center"/>
            <w:hideMark/>
          </w:tcPr>
          <w:p w14:paraId="40AA81DA"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21-May</w:t>
            </w:r>
          </w:p>
        </w:tc>
      </w:tr>
      <w:tr w:rsidR="005E5EC6" w:rsidRPr="005546AF" w14:paraId="731B5244" w14:textId="77777777" w:rsidTr="00DE2A30">
        <w:trPr>
          <w:trHeight w:hRule="exact" w:val="225"/>
        </w:trPr>
        <w:tc>
          <w:tcPr>
            <w:tcW w:w="528" w:type="pct"/>
            <w:tcBorders>
              <w:top w:val="nil"/>
              <w:left w:val="nil"/>
              <w:bottom w:val="nil"/>
              <w:right w:val="nil"/>
            </w:tcBorders>
            <w:shd w:val="clear" w:color="auto" w:fill="auto"/>
            <w:noWrap/>
            <w:vAlign w:val="center"/>
            <w:hideMark/>
          </w:tcPr>
          <w:p w14:paraId="2468CE50"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1.25</w:t>
            </w:r>
          </w:p>
        </w:tc>
        <w:tc>
          <w:tcPr>
            <w:tcW w:w="706" w:type="pct"/>
            <w:tcBorders>
              <w:top w:val="nil"/>
              <w:left w:val="nil"/>
              <w:bottom w:val="nil"/>
              <w:right w:val="nil"/>
            </w:tcBorders>
            <w:shd w:val="clear" w:color="auto" w:fill="auto"/>
            <w:noWrap/>
            <w:vAlign w:val="center"/>
            <w:hideMark/>
          </w:tcPr>
          <w:p w14:paraId="63BF8DCE"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21-Aug-40</w:t>
            </w:r>
          </w:p>
        </w:tc>
        <w:tc>
          <w:tcPr>
            <w:tcW w:w="999" w:type="pct"/>
            <w:tcBorders>
              <w:top w:val="nil"/>
              <w:left w:val="nil"/>
              <w:bottom w:val="nil"/>
              <w:right w:val="nil"/>
            </w:tcBorders>
            <w:shd w:val="clear" w:color="auto" w:fill="auto"/>
            <w:noWrap/>
            <w:vAlign w:val="bottom"/>
            <w:hideMark/>
          </w:tcPr>
          <w:p w14:paraId="46B00143" w14:textId="3DD13F4E" w:rsidR="001770D5" w:rsidRPr="00091680" w:rsidRDefault="005E5EC6" w:rsidP="009C0435">
            <w:pPr>
              <w:spacing w:after="0" w:line="240" w:lineRule="auto"/>
              <w:jc w:val="right"/>
              <w:rPr>
                <w:rFonts w:ascii="Arial" w:hAnsi="Arial" w:cs="Arial"/>
                <w:sz w:val="16"/>
                <w:szCs w:val="16"/>
              </w:rPr>
            </w:pPr>
            <w:r w:rsidRPr="00091680">
              <w:rPr>
                <w:rFonts w:ascii="Arial" w:hAnsi="Arial" w:cs="Arial"/>
                <w:sz w:val="16"/>
                <w:szCs w:val="16"/>
              </w:rPr>
              <w:t xml:space="preserve">3,950 </w:t>
            </w:r>
          </w:p>
        </w:tc>
        <w:tc>
          <w:tcPr>
            <w:tcW w:w="650" w:type="pct"/>
            <w:tcBorders>
              <w:top w:val="nil"/>
              <w:left w:val="nil"/>
              <w:bottom w:val="nil"/>
              <w:right w:val="nil"/>
            </w:tcBorders>
            <w:shd w:val="clear" w:color="auto" w:fill="auto"/>
            <w:noWrap/>
            <w:vAlign w:val="center"/>
            <w:hideMark/>
          </w:tcPr>
          <w:p w14:paraId="692D309E"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05AF0FF8"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21-Aug</w:t>
            </w:r>
          </w:p>
        </w:tc>
        <w:tc>
          <w:tcPr>
            <w:tcW w:w="534" w:type="pct"/>
            <w:tcBorders>
              <w:top w:val="nil"/>
              <w:left w:val="nil"/>
              <w:bottom w:val="nil"/>
              <w:right w:val="nil"/>
            </w:tcBorders>
            <w:shd w:val="clear" w:color="auto" w:fill="auto"/>
            <w:noWrap/>
            <w:vAlign w:val="center"/>
            <w:hideMark/>
          </w:tcPr>
          <w:p w14:paraId="28044628"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21-Nov</w:t>
            </w:r>
          </w:p>
        </w:tc>
        <w:tc>
          <w:tcPr>
            <w:tcW w:w="534" w:type="pct"/>
            <w:tcBorders>
              <w:top w:val="nil"/>
              <w:left w:val="nil"/>
              <w:bottom w:val="nil"/>
              <w:right w:val="nil"/>
            </w:tcBorders>
            <w:shd w:val="clear" w:color="auto" w:fill="auto"/>
            <w:noWrap/>
            <w:vAlign w:val="center"/>
            <w:hideMark/>
          </w:tcPr>
          <w:p w14:paraId="470434B0"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21-Feb</w:t>
            </w:r>
          </w:p>
        </w:tc>
        <w:tc>
          <w:tcPr>
            <w:tcW w:w="534" w:type="pct"/>
            <w:tcBorders>
              <w:top w:val="nil"/>
              <w:left w:val="nil"/>
              <w:bottom w:val="nil"/>
              <w:right w:val="nil"/>
            </w:tcBorders>
            <w:shd w:val="clear" w:color="auto" w:fill="auto"/>
            <w:noWrap/>
            <w:vAlign w:val="center"/>
            <w:hideMark/>
          </w:tcPr>
          <w:p w14:paraId="07661AB5"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21-May</w:t>
            </w:r>
          </w:p>
        </w:tc>
      </w:tr>
      <w:tr w:rsidR="005E5EC6" w:rsidRPr="005546AF" w14:paraId="040E941A" w14:textId="77777777" w:rsidTr="00DE2A30">
        <w:trPr>
          <w:trHeight w:hRule="exact" w:val="225"/>
        </w:trPr>
        <w:tc>
          <w:tcPr>
            <w:tcW w:w="528" w:type="pct"/>
            <w:tcBorders>
              <w:top w:val="nil"/>
              <w:left w:val="nil"/>
              <w:bottom w:val="single" w:sz="4" w:space="0" w:color="000000"/>
              <w:right w:val="nil"/>
            </w:tcBorders>
            <w:shd w:val="clear" w:color="auto" w:fill="auto"/>
            <w:noWrap/>
            <w:vAlign w:val="center"/>
            <w:hideMark/>
          </w:tcPr>
          <w:p w14:paraId="7A2FE399"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1.00</w:t>
            </w:r>
          </w:p>
        </w:tc>
        <w:tc>
          <w:tcPr>
            <w:tcW w:w="706" w:type="pct"/>
            <w:tcBorders>
              <w:top w:val="nil"/>
              <w:left w:val="nil"/>
              <w:bottom w:val="single" w:sz="4" w:space="0" w:color="000000"/>
              <w:right w:val="nil"/>
            </w:tcBorders>
            <w:shd w:val="clear" w:color="auto" w:fill="auto"/>
            <w:noWrap/>
            <w:vAlign w:val="center"/>
            <w:hideMark/>
          </w:tcPr>
          <w:p w14:paraId="1A3B702D"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21-Feb-50</w:t>
            </w:r>
          </w:p>
        </w:tc>
        <w:tc>
          <w:tcPr>
            <w:tcW w:w="999" w:type="pct"/>
            <w:tcBorders>
              <w:top w:val="nil"/>
              <w:left w:val="nil"/>
              <w:bottom w:val="single" w:sz="4" w:space="0" w:color="000000"/>
              <w:right w:val="nil"/>
            </w:tcBorders>
            <w:shd w:val="clear" w:color="auto" w:fill="auto"/>
            <w:noWrap/>
            <w:vAlign w:val="center"/>
            <w:hideMark/>
          </w:tcPr>
          <w:p w14:paraId="754B311B" w14:textId="1CA35065" w:rsidR="001770D5" w:rsidRPr="00091680" w:rsidRDefault="005E5EC6" w:rsidP="009C0435">
            <w:pPr>
              <w:spacing w:after="0" w:line="240" w:lineRule="auto"/>
              <w:jc w:val="right"/>
              <w:rPr>
                <w:rFonts w:ascii="Arial" w:hAnsi="Arial" w:cs="Arial"/>
                <w:sz w:val="16"/>
                <w:szCs w:val="16"/>
              </w:rPr>
            </w:pPr>
            <w:r w:rsidRPr="00091680">
              <w:rPr>
                <w:rFonts w:ascii="Arial" w:hAnsi="Arial" w:cs="Arial"/>
                <w:sz w:val="16"/>
                <w:szCs w:val="16"/>
              </w:rPr>
              <w:t xml:space="preserve">3,950 </w:t>
            </w:r>
          </w:p>
        </w:tc>
        <w:tc>
          <w:tcPr>
            <w:tcW w:w="650" w:type="pct"/>
            <w:tcBorders>
              <w:top w:val="nil"/>
              <w:left w:val="nil"/>
              <w:bottom w:val="single" w:sz="4" w:space="0" w:color="000000"/>
              <w:right w:val="nil"/>
            </w:tcBorders>
            <w:shd w:val="clear" w:color="auto" w:fill="auto"/>
            <w:noWrap/>
            <w:vAlign w:val="center"/>
            <w:hideMark/>
          </w:tcPr>
          <w:p w14:paraId="60A7D2F1"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Quarterly</w:t>
            </w:r>
          </w:p>
        </w:tc>
        <w:tc>
          <w:tcPr>
            <w:tcW w:w="516" w:type="pct"/>
            <w:tcBorders>
              <w:top w:val="nil"/>
              <w:left w:val="nil"/>
              <w:bottom w:val="single" w:sz="4" w:space="0" w:color="000000"/>
              <w:right w:val="nil"/>
            </w:tcBorders>
            <w:shd w:val="clear" w:color="auto" w:fill="auto"/>
            <w:noWrap/>
            <w:vAlign w:val="center"/>
            <w:hideMark/>
          </w:tcPr>
          <w:p w14:paraId="21544464"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21-Feb</w:t>
            </w:r>
          </w:p>
        </w:tc>
        <w:tc>
          <w:tcPr>
            <w:tcW w:w="534" w:type="pct"/>
            <w:tcBorders>
              <w:top w:val="nil"/>
              <w:left w:val="nil"/>
              <w:bottom w:val="single" w:sz="4" w:space="0" w:color="000000"/>
              <w:right w:val="nil"/>
            </w:tcBorders>
            <w:shd w:val="clear" w:color="auto" w:fill="auto"/>
            <w:noWrap/>
            <w:vAlign w:val="center"/>
            <w:hideMark/>
          </w:tcPr>
          <w:p w14:paraId="38D065D4"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21-May</w:t>
            </w:r>
          </w:p>
        </w:tc>
        <w:tc>
          <w:tcPr>
            <w:tcW w:w="534" w:type="pct"/>
            <w:tcBorders>
              <w:top w:val="nil"/>
              <w:left w:val="nil"/>
              <w:bottom w:val="single" w:sz="4" w:space="0" w:color="000000"/>
              <w:right w:val="nil"/>
            </w:tcBorders>
            <w:shd w:val="clear" w:color="auto" w:fill="auto"/>
            <w:noWrap/>
            <w:vAlign w:val="center"/>
            <w:hideMark/>
          </w:tcPr>
          <w:p w14:paraId="2DDF4404"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21-Aug</w:t>
            </w:r>
          </w:p>
        </w:tc>
        <w:tc>
          <w:tcPr>
            <w:tcW w:w="534" w:type="pct"/>
            <w:tcBorders>
              <w:top w:val="nil"/>
              <w:left w:val="nil"/>
              <w:bottom w:val="single" w:sz="4" w:space="0" w:color="000000"/>
              <w:right w:val="nil"/>
            </w:tcBorders>
            <w:shd w:val="clear" w:color="auto" w:fill="auto"/>
            <w:noWrap/>
            <w:vAlign w:val="bottom"/>
            <w:hideMark/>
          </w:tcPr>
          <w:p w14:paraId="69412AA9" w14:textId="77777777" w:rsidR="001770D5" w:rsidRPr="00091680" w:rsidRDefault="001770D5" w:rsidP="009C0435">
            <w:pPr>
              <w:spacing w:after="0" w:line="240" w:lineRule="auto"/>
              <w:jc w:val="right"/>
              <w:rPr>
                <w:rFonts w:ascii="Arial" w:hAnsi="Arial" w:cs="Arial"/>
                <w:sz w:val="16"/>
                <w:szCs w:val="16"/>
              </w:rPr>
            </w:pPr>
            <w:r w:rsidRPr="00091680">
              <w:rPr>
                <w:rFonts w:ascii="Arial" w:hAnsi="Arial" w:cs="Arial"/>
                <w:sz w:val="16"/>
                <w:szCs w:val="16"/>
              </w:rPr>
              <w:t>21-Nov</w:t>
            </w:r>
          </w:p>
        </w:tc>
      </w:tr>
    </w:tbl>
    <w:p w14:paraId="0E461E14" w14:textId="47495892" w:rsidR="003C48F3" w:rsidRPr="00091680" w:rsidRDefault="003C48F3" w:rsidP="003A10A4">
      <w:pPr>
        <w:pStyle w:val="ChartandTableFootnoteAlpha"/>
        <w:numPr>
          <w:ilvl w:val="0"/>
          <w:numId w:val="10"/>
        </w:numPr>
        <w:rPr>
          <w:color w:val="auto"/>
        </w:rPr>
      </w:pPr>
      <w:r w:rsidRPr="00091680">
        <w:rPr>
          <w:color w:val="auto"/>
        </w:rPr>
        <w:t>Where the timing of an interest payment falls on a non</w:t>
      </w:r>
      <w:r w:rsidRPr="00091680">
        <w:rPr>
          <w:color w:val="auto"/>
        </w:rPr>
        <w:noBreakHyphen/>
        <w:t>business day, the payment will occur on the following business day.</w:t>
      </w:r>
    </w:p>
    <w:p w14:paraId="32FC8E8D" w14:textId="733D5ED0" w:rsidR="003C48F3" w:rsidRPr="00091680" w:rsidRDefault="003C48F3" w:rsidP="006971E8">
      <w:pPr>
        <w:pStyle w:val="Source"/>
      </w:pPr>
      <w:r w:rsidRPr="00091680">
        <w:t xml:space="preserve">Source: </w:t>
      </w:r>
      <w:r w:rsidRPr="00091680">
        <w:tab/>
        <w:t>AOFM</w:t>
      </w:r>
      <w:bookmarkStart w:id="31" w:name="_Toc67660285"/>
      <w:r w:rsidRPr="00091680">
        <w:t>.</w:t>
      </w:r>
    </w:p>
    <w:p w14:paraId="71467EEC" w14:textId="04354FD2" w:rsidR="003C48F3" w:rsidRPr="00091680" w:rsidRDefault="003C48F3" w:rsidP="00434085">
      <w:pPr>
        <w:pStyle w:val="Heading3"/>
      </w:pPr>
      <w:bookmarkStart w:id="32" w:name="_Toc98531933"/>
      <w:r w:rsidRPr="00091680">
        <w:t>Treasury Notes</w:t>
      </w:r>
      <w:bookmarkEnd w:id="31"/>
      <w:bookmarkEnd w:id="32"/>
    </w:p>
    <w:p w14:paraId="38800BBC" w14:textId="0A8F7FBC" w:rsidR="003C48F3" w:rsidRPr="00091680" w:rsidRDefault="003C48F3" w:rsidP="003C48F3">
      <w:pPr>
        <w:spacing w:after="220"/>
      </w:pPr>
      <w:r w:rsidRPr="00091680">
        <w:t xml:space="preserve">Table </w:t>
      </w:r>
      <w:r w:rsidR="001E52C1" w:rsidRPr="00091680">
        <w:t>6</w:t>
      </w:r>
      <w:r w:rsidRPr="00091680">
        <w:t xml:space="preserve">.6 lists the Treasury Notes currently on issue. As at </w:t>
      </w:r>
      <w:r w:rsidR="006310E2" w:rsidRPr="00091680">
        <w:t>1</w:t>
      </w:r>
      <w:r w:rsidR="006C4627" w:rsidRPr="00091680">
        <w:t>8</w:t>
      </w:r>
      <w:r w:rsidR="00F9588F" w:rsidRPr="00091680">
        <w:t xml:space="preserve"> </w:t>
      </w:r>
      <w:r w:rsidR="00922721" w:rsidRPr="00091680">
        <w:t>March 2022</w:t>
      </w:r>
      <w:r w:rsidRPr="00091680">
        <w:t xml:space="preserve"> there were </w:t>
      </w:r>
      <w:r w:rsidR="00545BD0" w:rsidRPr="00091680">
        <w:t>8</w:t>
      </w:r>
      <w:r w:rsidRPr="00091680">
        <w:t> Treasury Note lines on issue. Treasury Notes do not pay a coupon.</w:t>
      </w:r>
    </w:p>
    <w:p w14:paraId="123BA8B7" w14:textId="7F0A4015" w:rsidR="005B0252" w:rsidRPr="00091680" w:rsidRDefault="003C48F3" w:rsidP="00DB49F8">
      <w:pPr>
        <w:pStyle w:val="TableHeading"/>
        <w:rPr>
          <w:rFonts w:eastAsiaTheme="minorHAnsi" w:cs="Arial"/>
          <w:sz w:val="22"/>
          <w:szCs w:val="22"/>
          <w:lang w:eastAsia="en-US"/>
        </w:rPr>
      </w:pPr>
      <w:r w:rsidRPr="00091680">
        <w:t xml:space="preserve">Table </w:t>
      </w:r>
      <w:r w:rsidR="001E52C1" w:rsidRPr="00091680">
        <w:rPr>
          <w:rFonts w:cs="Arial"/>
        </w:rPr>
        <w:t>6</w:t>
      </w:r>
      <w:r w:rsidRPr="00091680">
        <w:rPr>
          <w:rFonts w:cs="Arial"/>
        </w:rPr>
        <w:t>.6: Treasury Notes on issue</w:t>
      </w:r>
    </w:p>
    <w:tbl>
      <w:tblPr>
        <w:tblW w:w="5000" w:type="pct"/>
        <w:tblCellMar>
          <w:left w:w="0" w:type="dxa"/>
          <w:right w:w="28" w:type="dxa"/>
        </w:tblCellMar>
        <w:tblLook w:val="04A0" w:firstRow="1" w:lastRow="0" w:firstColumn="1" w:lastColumn="0" w:noHBand="0" w:noVBand="1"/>
      </w:tblPr>
      <w:tblGrid>
        <w:gridCol w:w="1235"/>
        <w:gridCol w:w="2984"/>
        <w:gridCol w:w="2042"/>
        <w:gridCol w:w="1449"/>
      </w:tblGrid>
      <w:tr w:rsidR="00CC4E60" w:rsidRPr="005546AF" w14:paraId="62E038B0" w14:textId="77777777" w:rsidTr="009C0435">
        <w:trPr>
          <w:trHeight w:hRule="exact" w:val="225"/>
        </w:trPr>
        <w:tc>
          <w:tcPr>
            <w:tcW w:w="801" w:type="pct"/>
            <w:tcBorders>
              <w:top w:val="single" w:sz="4" w:space="0" w:color="000000"/>
              <w:left w:val="nil"/>
              <w:bottom w:val="nil"/>
              <w:right w:val="nil"/>
            </w:tcBorders>
            <w:shd w:val="clear" w:color="auto" w:fill="auto"/>
            <w:noWrap/>
            <w:vAlign w:val="center"/>
            <w:hideMark/>
          </w:tcPr>
          <w:p w14:paraId="4BBE85E7" w14:textId="1A002297" w:rsidR="005B0252" w:rsidRPr="00091680" w:rsidRDefault="005B0252" w:rsidP="008C3AED">
            <w:pPr>
              <w:jc w:val="right"/>
              <w:rPr>
                <w:rFonts w:ascii="Arial" w:hAnsi="Arial" w:cs="Arial"/>
                <w:sz w:val="16"/>
                <w:szCs w:val="16"/>
              </w:rPr>
            </w:pPr>
            <w:r w:rsidRPr="00091680">
              <w:rPr>
                <w:rFonts w:ascii="Arial" w:hAnsi="Arial" w:cs="Arial"/>
                <w:sz w:val="16"/>
                <w:szCs w:val="16"/>
              </w:rPr>
              <w:t> </w:t>
            </w:r>
          </w:p>
        </w:tc>
        <w:tc>
          <w:tcPr>
            <w:tcW w:w="1935" w:type="pct"/>
            <w:tcBorders>
              <w:top w:val="single" w:sz="4" w:space="0" w:color="000000"/>
              <w:left w:val="nil"/>
              <w:bottom w:val="nil"/>
              <w:right w:val="nil"/>
            </w:tcBorders>
            <w:shd w:val="clear" w:color="auto" w:fill="auto"/>
            <w:noWrap/>
            <w:vAlign w:val="center"/>
            <w:hideMark/>
          </w:tcPr>
          <w:p w14:paraId="6723BCC4"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On issue as at 18 March 2022</w:t>
            </w:r>
          </w:p>
        </w:tc>
        <w:tc>
          <w:tcPr>
            <w:tcW w:w="2264" w:type="pct"/>
            <w:gridSpan w:val="2"/>
            <w:tcBorders>
              <w:top w:val="single" w:sz="4" w:space="0" w:color="000000"/>
              <w:left w:val="nil"/>
              <w:bottom w:val="nil"/>
              <w:right w:val="nil"/>
            </w:tcBorders>
            <w:shd w:val="clear" w:color="auto" w:fill="auto"/>
            <w:noWrap/>
            <w:vAlign w:val="center"/>
            <w:hideMark/>
          </w:tcPr>
          <w:p w14:paraId="610DA0D7" w14:textId="77777777" w:rsidR="005B0252" w:rsidRPr="00091680" w:rsidRDefault="005B0252" w:rsidP="008C3AED">
            <w:pPr>
              <w:spacing w:after="0" w:line="240" w:lineRule="auto"/>
              <w:jc w:val="center"/>
              <w:rPr>
                <w:rFonts w:ascii="Arial" w:hAnsi="Arial" w:cs="Arial"/>
                <w:sz w:val="16"/>
                <w:szCs w:val="16"/>
              </w:rPr>
            </w:pPr>
            <w:r w:rsidRPr="00091680">
              <w:rPr>
                <w:rFonts w:ascii="Arial" w:hAnsi="Arial" w:cs="Arial"/>
                <w:sz w:val="16"/>
                <w:szCs w:val="16"/>
              </w:rPr>
              <w:t> </w:t>
            </w:r>
          </w:p>
        </w:tc>
      </w:tr>
      <w:tr w:rsidR="00CC4E60" w:rsidRPr="005546AF" w14:paraId="49412A7A" w14:textId="77777777" w:rsidTr="009C0435">
        <w:trPr>
          <w:trHeight w:hRule="exact" w:val="225"/>
        </w:trPr>
        <w:tc>
          <w:tcPr>
            <w:tcW w:w="801" w:type="pct"/>
            <w:tcBorders>
              <w:top w:val="nil"/>
              <w:left w:val="nil"/>
              <w:bottom w:val="single" w:sz="4" w:space="0" w:color="000000"/>
              <w:right w:val="nil"/>
            </w:tcBorders>
            <w:shd w:val="clear" w:color="auto" w:fill="auto"/>
            <w:noWrap/>
            <w:vAlign w:val="center"/>
            <w:hideMark/>
          </w:tcPr>
          <w:p w14:paraId="4EEB96F2"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Maturity</w:t>
            </w:r>
          </w:p>
        </w:tc>
        <w:tc>
          <w:tcPr>
            <w:tcW w:w="1935" w:type="pct"/>
            <w:tcBorders>
              <w:top w:val="nil"/>
              <w:left w:val="nil"/>
              <w:bottom w:val="single" w:sz="4" w:space="0" w:color="000000"/>
              <w:right w:val="nil"/>
            </w:tcBorders>
            <w:shd w:val="clear" w:color="auto" w:fill="auto"/>
            <w:noWrap/>
            <w:vAlign w:val="center"/>
            <w:hideMark/>
          </w:tcPr>
          <w:p w14:paraId="3F0AA80B"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$m</w:t>
            </w:r>
          </w:p>
        </w:tc>
        <w:tc>
          <w:tcPr>
            <w:tcW w:w="2264" w:type="pct"/>
            <w:gridSpan w:val="2"/>
            <w:tcBorders>
              <w:top w:val="nil"/>
              <w:left w:val="nil"/>
              <w:bottom w:val="single" w:sz="4" w:space="0" w:color="000000"/>
              <w:right w:val="nil"/>
            </w:tcBorders>
            <w:shd w:val="clear" w:color="auto" w:fill="auto"/>
            <w:noWrap/>
            <w:vAlign w:val="center"/>
            <w:hideMark/>
          </w:tcPr>
          <w:p w14:paraId="16DD7794" w14:textId="77777777" w:rsidR="005B0252" w:rsidRPr="00091680" w:rsidRDefault="005B0252" w:rsidP="008C3AED">
            <w:pPr>
              <w:spacing w:after="0" w:line="240" w:lineRule="auto"/>
              <w:jc w:val="center"/>
              <w:rPr>
                <w:rFonts w:ascii="Arial" w:hAnsi="Arial" w:cs="Arial"/>
                <w:sz w:val="16"/>
                <w:szCs w:val="16"/>
              </w:rPr>
            </w:pPr>
            <w:r w:rsidRPr="00091680">
              <w:rPr>
                <w:rFonts w:ascii="Arial" w:hAnsi="Arial" w:cs="Arial"/>
                <w:sz w:val="16"/>
                <w:szCs w:val="16"/>
              </w:rPr>
              <w:t>Timing of interest payment</w:t>
            </w:r>
          </w:p>
        </w:tc>
      </w:tr>
      <w:tr w:rsidR="00CC4E60" w:rsidRPr="005546AF" w14:paraId="2B6A4AA1" w14:textId="77777777" w:rsidTr="009C0435">
        <w:trPr>
          <w:trHeight w:hRule="exact" w:val="225"/>
        </w:trPr>
        <w:tc>
          <w:tcPr>
            <w:tcW w:w="801" w:type="pct"/>
            <w:tcBorders>
              <w:top w:val="nil"/>
              <w:left w:val="nil"/>
              <w:bottom w:val="nil"/>
              <w:right w:val="nil"/>
            </w:tcBorders>
            <w:shd w:val="clear" w:color="auto" w:fill="auto"/>
            <w:noWrap/>
            <w:vAlign w:val="center"/>
            <w:hideMark/>
          </w:tcPr>
          <w:p w14:paraId="64076F9F" w14:textId="6AE3BA0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25</w:t>
            </w:r>
            <w:r w:rsidR="00C42B0B" w:rsidRPr="00091680">
              <w:rPr>
                <w:rFonts w:ascii="Arial" w:hAnsi="Arial" w:cs="Arial"/>
                <w:sz w:val="16"/>
                <w:szCs w:val="16"/>
              </w:rPr>
              <w:noBreakHyphen/>
            </w:r>
            <w:r w:rsidRPr="00091680">
              <w:rPr>
                <w:rFonts w:ascii="Arial" w:hAnsi="Arial" w:cs="Arial"/>
                <w:sz w:val="16"/>
                <w:szCs w:val="16"/>
              </w:rPr>
              <w:t>Mar</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nil"/>
              <w:right w:val="nil"/>
            </w:tcBorders>
            <w:shd w:val="clear" w:color="auto" w:fill="auto"/>
            <w:noWrap/>
            <w:vAlign w:val="center"/>
            <w:hideMark/>
          </w:tcPr>
          <w:p w14:paraId="0C5216C8"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7,000</w:t>
            </w:r>
          </w:p>
        </w:tc>
        <w:tc>
          <w:tcPr>
            <w:tcW w:w="1324" w:type="pct"/>
            <w:tcBorders>
              <w:top w:val="nil"/>
              <w:left w:val="nil"/>
              <w:bottom w:val="nil"/>
              <w:right w:val="nil"/>
            </w:tcBorders>
            <w:shd w:val="clear" w:color="auto" w:fill="auto"/>
            <w:noWrap/>
            <w:vAlign w:val="center"/>
            <w:hideMark/>
          </w:tcPr>
          <w:p w14:paraId="4440BF56"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02F9276E" w14:textId="554DD809"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25</w:t>
            </w:r>
            <w:r w:rsidR="00C42B0B" w:rsidRPr="00091680">
              <w:rPr>
                <w:rFonts w:ascii="Arial" w:hAnsi="Arial" w:cs="Arial"/>
                <w:sz w:val="16"/>
                <w:szCs w:val="16"/>
              </w:rPr>
              <w:noBreakHyphen/>
            </w:r>
            <w:r w:rsidRPr="00091680">
              <w:rPr>
                <w:rFonts w:ascii="Arial" w:hAnsi="Arial" w:cs="Arial"/>
                <w:sz w:val="16"/>
                <w:szCs w:val="16"/>
              </w:rPr>
              <w:t>Mar</w:t>
            </w:r>
          </w:p>
        </w:tc>
      </w:tr>
      <w:tr w:rsidR="00CC4E60" w:rsidRPr="005546AF" w14:paraId="5996F7AE" w14:textId="77777777" w:rsidTr="009C0435">
        <w:trPr>
          <w:trHeight w:hRule="exact" w:val="225"/>
        </w:trPr>
        <w:tc>
          <w:tcPr>
            <w:tcW w:w="801" w:type="pct"/>
            <w:tcBorders>
              <w:top w:val="nil"/>
              <w:left w:val="nil"/>
              <w:bottom w:val="nil"/>
              <w:right w:val="nil"/>
            </w:tcBorders>
            <w:shd w:val="clear" w:color="auto" w:fill="auto"/>
            <w:noWrap/>
            <w:vAlign w:val="center"/>
            <w:hideMark/>
          </w:tcPr>
          <w:p w14:paraId="27BDC7A7" w14:textId="5F0C8AAF"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22</w:t>
            </w:r>
            <w:r w:rsidR="00C42B0B" w:rsidRPr="00091680">
              <w:rPr>
                <w:rFonts w:ascii="Arial" w:hAnsi="Arial" w:cs="Arial"/>
                <w:sz w:val="16"/>
                <w:szCs w:val="16"/>
              </w:rPr>
              <w:noBreakHyphen/>
            </w:r>
            <w:r w:rsidRPr="00091680">
              <w:rPr>
                <w:rFonts w:ascii="Arial" w:hAnsi="Arial" w:cs="Arial"/>
                <w:sz w:val="16"/>
                <w:szCs w:val="16"/>
              </w:rPr>
              <w:t>Apr</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nil"/>
              <w:right w:val="nil"/>
            </w:tcBorders>
            <w:shd w:val="clear" w:color="auto" w:fill="auto"/>
            <w:noWrap/>
            <w:vAlign w:val="center"/>
            <w:hideMark/>
          </w:tcPr>
          <w:p w14:paraId="36A10EE3"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7,000</w:t>
            </w:r>
          </w:p>
        </w:tc>
        <w:tc>
          <w:tcPr>
            <w:tcW w:w="1324" w:type="pct"/>
            <w:tcBorders>
              <w:top w:val="nil"/>
              <w:left w:val="nil"/>
              <w:bottom w:val="nil"/>
              <w:right w:val="nil"/>
            </w:tcBorders>
            <w:shd w:val="clear" w:color="auto" w:fill="auto"/>
            <w:noWrap/>
            <w:vAlign w:val="center"/>
            <w:hideMark/>
          </w:tcPr>
          <w:p w14:paraId="5BC4DD4D"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2A6AADB6" w14:textId="2210E4AF"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22</w:t>
            </w:r>
            <w:r w:rsidR="00C42B0B" w:rsidRPr="00091680">
              <w:rPr>
                <w:rFonts w:ascii="Arial" w:hAnsi="Arial" w:cs="Arial"/>
                <w:sz w:val="16"/>
                <w:szCs w:val="16"/>
              </w:rPr>
              <w:noBreakHyphen/>
            </w:r>
            <w:r w:rsidRPr="00091680">
              <w:rPr>
                <w:rFonts w:ascii="Arial" w:hAnsi="Arial" w:cs="Arial"/>
                <w:sz w:val="16"/>
                <w:szCs w:val="16"/>
              </w:rPr>
              <w:t>Apr</w:t>
            </w:r>
          </w:p>
        </w:tc>
      </w:tr>
      <w:tr w:rsidR="00CC4E60" w:rsidRPr="005546AF" w14:paraId="49AFEA90" w14:textId="77777777" w:rsidTr="009C0435">
        <w:trPr>
          <w:trHeight w:hRule="exact" w:val="225"/>
        </w:trPr>
        <w:tc>
          <w:tcPr>
            <w:tcW w:w="801" w:type="pct"/>
            <w:tcBorders>
              <w:top w:val="nil"/>
              <w:left w:val="nil"/>
              <w:bottom w:val="nil"/>
              <w:right w:val="nil"/>
            </w:tcBorders>
            <w:shd w:val="clear" w:color="auto" w:fill="auto"/>
            <w:noWrap/>
            <w:vAlign w:val="center"/>
            <w:hideMark/>
          </w:tcPr>
          <w:p w14:paraId="0FA8C2E1" w14:textId="0A489242"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13</w:t>
            </w:r>
            <w:r w:rsidR="00C42B0B" w:rsidRPr="00091680">
              <w:rPr>
                <w:rFonts w:ascii="Arial" w:hAnsi="Arial" w:cs="Arial"/>
                <w:sz w:val="16"/>
                <w:szCs w:val="16"/>
              </w:rPr>
              <w:noBreakHyphen/>
            </w:r>
            <w:r w:rsidRPr="00091680">
              <w:rPr>
                <w:rFonts w:ascii="Arial" w:hAnsi="Arial" w:cs="Arial"/>
                <w:sz w:val="16"/>
                <w:szCs w:val="16"/>
              </w:rPr>
              <w:t>May</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nil"/>
              <w:right w:val="nil"/>
            </w:tcBorders>
            <w:shd w:val="clear" w:color="auto" w:fill="auto"/>
            <w:noWrap/>
            <w:vAlign w:val="center"/>
            <w:hideMark/>
          </w:tcPr>
          <w:p w14:paraId="5848DE18"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4,000</w:t>
            </w:r>
          </w:p>
        </w:tc>
        <w:tc>
          <w:tcPr>
            <w:tcW w:w="1324" w:type="pct"/>
            <w:tcBorders>
              <w:top w:val="nil"/>
              <w:left w:val="nil"/>
              <w:bottom w:val="nil"/>
              <w:right w:val="nil"/>
            </w:tcBorders>
            <w:shd w:val="clear" w:color="auto" w:fill="auto"/>
            <w:noWrap/>
            <w:vAlign w:val="center"/>
            <w:hideMark/>
          </w:tcPr>
          <w:p w14:paraId="7E7D2CEF"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2331D472" w14:textId="63D1D62B"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13</w:t>
            </w:r>
            <w:r w:rsidR="00C42B0B" w:rsidRPr="00091680">
              <w:rPr>
                <w:rFonts w:ascii="Arial" w:hAnsi="Arial" w:cs="Arial"/>
                <w:sz w:val="16"/>
                <w:szCs w:val="16"/>
              </w:rPr>
              <w:noBreakHyphen/>
            </w:r>
            <w:r w:rsidRPr="00091680">
              <w:rPr>
                <w:rFonts w:ascii="Arial" w:hAnsi="Arial" w:cs="Arial"/>
                <w:sz w:val="16"/>
                <w:szCs w:val="16"/>
              </w:rPr>
              <w:t>May</w:t>
            </w:r>
          </w:p>
        </w:tc>
      </w:tr>
      <w:tr w:rsidR="00CC4E60" w:rsidRPr="005546AF" w14:paraId="4301FCED" w14:textId="77777777" w:rsidTr="009C0435">
        <w:trPr>
          <w:trHeight w:hRule="exact" w:val="225"/>
        </w:trPr>
        <w:tc>
          <w:tcPr>
            <w:tcW w:w="801" w:type="pct"/>
            <w:tcBorders>
              <w:top w:val="nil"/>
              <w:left w:val="nil"/>
              <w:bottom w:val="nil"/>
              <w:right w:val="nil"/>
            </w:tcBorders>
            <w:shd w:val="clear" w:color="auto" w:fill="auto"/>
            <w:noWrap/>
            <w:vAlign w:val="center"/>
            <w:hideMark/>
          </w:tcPr>
          <w:p w14:paraId="7CC66549" w14:textId="01577420"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27</w:t>
            </w:r>
            <w:r w:rsidR="00C42B0B" w:rsidRPr="00091680">
              <w:rPr>
                <w:rFonts w:ascii="Arial" w:hAnsi="Arial" w:cs="Arial"/>
                <w:sz w:val="16"/>
                <w:szCs w:val="16"/>
              </w:rPr>
              <w:noBreakHyphen/>
            </w:r>
            <w:r w:rsidRPr="00091680">
              <w:rPr>
                <w:rFonts w:ascii="Arial" w:hAnsi="Arial" w:cs="Arial"/>
                <w:sz w:val="16"/>
                <w:szCs w:val="16"/>
              </w:rPr>
              <w:t>May</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nil"/>
              <w:right w:val="nil"/>
            </w:tcBorders>
            <w:shd w:val="clear" w:color="auto" w:fill="auto"/>
            <w:noWrap/>
            <w:vAlign w:val="center"/>
            <w:hideMark/>
          </w:tcPr>
          <w:p w14:paraId="62288C97"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3,250</w:t>
            </w:r>
          </w:p>
        </w:tc>
        <w:tc>
          <w:tcPr>
            <w:tcW w:w="1324" w:type="pct"/>
            <w:tcBorders>
              <w:top w:val="nil"/>
              <w:left w:val="nil"/>
              <w:bottom w:val="nil"/>
              <w:right w:val="nil"/>
            </w:tcBorders>
            <w:shd w:val="clear" w:color="auto" w:fill="auto"/>
            <w:noWrap/>
            <w:vAlign w:val="center"/>
            <w:hideMark/>
          </w:tcPr>
          <w:p w14:paraId="48A66C6C"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339A56D5" w14:textId="34F85E15"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27</w:t>
            </w:r>
            <w:r w:rsidR="00C42B0B" w:rsidRPr="00091680">
              <w:rPr>
                <w:rFonts w:ascii="Arial" w:hAnsi="Arial" w:cs="Arial"/>
                <w:sz w:val="16"/>
                <w:szCs w:val="16"/>
              </w:rPr>
              <w:noBreakHyphen/>
            </w:r>
            <w:r w:rsidRPr="00091680">
              <w:rPr>
                <w:rFonts w:ascii="Arial" w:hAnsi="Arial" w:cs="Arial"/>
                <w:sz w:val="16"/>
                <w:szCs w:val="16"/>
              </w:rPr>
              <w:t>May</w:t>
            </w:r>
          </w:p>
        </w:tc>
      </w:tr>
      <w:tr w:rsidR="00CC4E60" w:rsidRPr="005546AF" w14:paraId="07181BB6" w14:textId="77777777" w:rsidTr="009C0435">
        <w:trPr>
          <w:trHeight w:hRule="exact" w:val="225"/>
        </w:trPr>
        <w:tc>
          <w:tcPr>
            <w:tcW w:w="801" w:type="pct"/>
            <w:tcBorders>
              <w:top w:val="nil"/>
              <w:left w:val="nil"/>
              <w:bottom w:val="nil"/>
              <w:right w:val="nil"/>
            </w:tcBorders>
            <w:shd w:val="clear" w:color="auto" w:fill="auto"/>
            <w:noWrap/>
            <w:vAlign w:val="center"/>
            <w:hideMark/>
          </w:tcPr>
          <w:p w14:paraId="3E50D7E1" w14:textId="03251BAB"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10</w:t>
            </w:r>
            <w:r w:rsidR="00C42B0B" w:rsidRPr="00091680">
              <w:rPr>
                <w:rFonts w:ascii="Arial" w:hAnsi="Arial" w:cs="Arial"/>
                <w:sz w:val="16"/>
                <w:szCs w:val="16"/>
              </w:rPr>
              <w:noBreakHyphen/>
            </w:r>
            <w:r w:rsidRPr="00091680">
              <w:rPr>
                <w:rFonts w:ascii="Arial" w:hAnsi="Arial" w:cs="Arial"/>
                <w:sz w:val="16"/>
                <w:szCs w:val="16"/>
              </w:rPr>
              <w:t>Jun</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nil"/>
              <w:right w:val="nil"/>
            </w:tcBorders>
            <w:shd w:val="clear" w:color="auto" w:fill="auto"/>
            <w:noWrap/>
            <w:vAlign w:val="center"/>
            <w:hideMark/>
          </w:tcPr>
          <w:p w14:paraId="3E76AD07"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3,000</w:t>
            </w:r>
          </w:p>
        </w:tc>
        <w:tc>
          <w:tcPr>
            <w:tcW w:w="1324" w:type="pct"/>
            <w:tcBorders>
              <w:top w:val="nil"/>
              <w:left w:val="nil"/>
              <w:bottom w:val="nil"/>
              <w:right w:val="nil"/>
            </w:tcBorders>
            <w:shd w:val="clear" w:color="auto" w:fill="auto"/>
            <w:noWrap/>
            <w:vAlign w:val="center"/>
            <w:hideMark/>
          </w:tcPr>
          <w:p w14:paraId="69D8BAA9"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3A7DCC6C" w14:textId="28BB4D0B"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10</w:t>
            </w:r>
            <w:r w:rsidR="00C42B0B" w:rsidRPr="00091680">
              <w:rPr>
                <w:rFonts w:ascii="Arial" w:hAnsi="Arial" w:cs="Arial"/>
                <w:sz w:val="16"/>
                <w:szCs w:val="16"/>
              </w:rPr>
              <w:noBreakHyphen/>
            </w:r>
            <w:r w:rsidRPr="00091680">
              <w:rPr>
                <w:rFonts w:ascii="Arial" w:hAnsi="Arial" w:cs="Arial"/>
                <w:sz w:val="16"/>
                <w:szCs w:val="16"/>
              </w:rPr>
              <w:t>Jun</w:t>
            </w:r>
          </w:p>
        </w:tc>
      </w:tr>
      <w:tr w:rsidR="00CC4E60" w:rsidRPr="005546AF" w14:paraId="55EE7029" w14:textId="77777777" w:rsidTr="009C0435">
        <w:trPr>
          <w:trHeight w:hRule="exact" w:val="225"/>
        </w:trPr>
        <w:tc>
          <w:tcPr>
            <w:tcW w:w="801" w:type="pct"/>
            <w:tcBorders>
              <w:top w:val="nil"/>
              <w:left w:val="nil"/>
              <w:bottom w:val="nil"/>
              <w:right w:val="nil"/>
            </w:tcBorders>
            <w:shd w:val="clear" w:color="auto" w:fill="auto"/>
            <w:noWrap/>
            <w:vAlign w:val="center"/>
            <w:hideMark/>
          </w:tcPr>
          <w:p w14:paraId="42EBCBBD" w14:textId="7B2F8A36"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24</w:t>
            </w:r>
            <w:r w:rsidR="00C42B0B" w:rsidRPr="00091680">
              <w:rPr>
                <w:rFonts w:ascii="Arial" w:hAnsi="Arial" w:cs="Arial"/>
                <w:sz w:val="16"/>
                <w:szCs w:val="16"/>
              </w:rPr>
              <w:noBreakHyphen/>
            </w:r>
            <w:r w:rsidRPr="00091680">
              <w:rPr>
                <w:rFonts w:ascii="Arial" w:hAnsi="Arial" w:cs="Arial"/>
                <w:sz w:val="16"/>
                <w:szCs w:val="16"/>
              </w:rPr>
              <w:t>Jun</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nil"/>
              <w:right w:val="nil"/>
            </w:tcBorders>
            <w:shd w:val="clear" w:color="auto" w:fill="auto"/>
            <w:noWrap/>
            <w:vAlign w:val="center"/>
            <w:hideMark/>
          </w:tcPr>
          <w:p w14:paraId="6AF3FB75"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3,250</w:t>
            </w:r>
          </w:p>
        </w:tc>
        <w:tc>
          <w:tcPr>
            <w:tcW w:w="1324" w:type="pct"/>
            <w:tcBorders>
              <w:top w:val="nil"/>
              <w:left w:val="nil"/>
              <w:bottom w:val="nil"/>
              <w:right w:val="nil"/>
            </w:tcBorders>
            <w:shd w:val="clear" w:color="auto" w:fill="auto"/>
            <w:noWrap/>
            <w:vAlign w:val="center"/>
            <w:hideMark/>
          </w:tcPr>
          <w:p w14:paraId="2D02A3A0"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594C0F29" w14:textId="57C31E13"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24</w:t>
            </w:r>
            <w:r w:rsidR="00C42B0B" w:rsidRPr="00091680">
              <w:rPr>
                <w:rFonts w:ascii="Arial" w:hAnsi="Arial" w:cs="Arial"/>
                <w:sz w:val="16"/>
                <w:szCs w:val="16"/>
              </w:rPr>
              <w:noBreakHyphen/>
            </w:r>
            <w:r w:rsidRPr="00091680">
              <w:rPr>
                <w:rFonts w:ascii="Arial" w:hAnsi="Arial" w:cs="Arial"/>
                <w:sz w:val="16"/>
                <w:szCs w:val="16"/>
              </w:rPr>
              <w:t>Jun</w:t>
            </w:r>
          </w:p>
        </w:tc>
      </w:tr>
      <w:tr w:rsidR="00CC4E60" w:rsidRPr="005546AF" w14:paraId="2005D305" w14:textId="77777777" w:rsidTr="009C0435">
        <w:trPr>
          <w:trHeight w:hRule="exact" w:val="225"/>
        </w:trPr>
        <w:tc>
          <w:tcPr>
            <w:tcW w:w="801" w:type="pct"/>
            <w:tcBorders>
              <w:top w:val="nil"/>
              <w:left w:val="nil"/>
              <w:bottom w:val="nil"/>
              <w:right w:val="nil"/>
            </w:tcBorders>
            <w:shd w:val="clear" w:color="auto" w:fill="auto"/>
            <w:noWrap/>
            <w:vAlign w:val="center"/>
            <w:hideMark/>
          </w:tcPr>
          <w:p w14:paraId="3751ADAF" w14:textId="70A6B21C"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8</w:t>
            </w:r>
            <w:r w:rsidR="00C42B0B" w:rsidRPr="00091680">
              <w:rPr>
                <w:rFonts w:ascii="Arial" w:hAnsi="Arial" w:cs="Arial"/>
                <w:sz w:val="16"/>
                <w:szCs w:val="16"/>
              </w:rPr>
              <w:noBreakHyphen/>
            </w:r>
            <w:r w:rsidRPr="00091680">
              <w:rPr>
                <w:rFonts w:ascii="Arial" w:hAnsi="Arial" w:cs="Arial"/>
                <w:sz w:val="16"/>
                <w:szCs w:val="16"/>
              </w:rPr>
              <w:t>Jul</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nil"/>
              <w:right w:val="nil"/>
            </w:tcBorders>
            <w:shd w:val="clear" w:color="auto" w:fill="auto"/>
            <w:noWrap/>
            <w:vAlign w:val="center"/>
            <w:hideMark/>
          </w:tcPr>
          <w:p w14:paraId="5380F5C7"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2,000</w:t>
            </w:r>
          </w:p>
        </w:tc>
        <w:tc>
          <w:tcPr>
            <w:tcW w:w="1324" w:type="pct"/>
            <w:tcBorders>
              <w:top w:val="nil"/>
              <w:left w:val="nil"/>
              <w:bottom w:val="nil"/>
              <w:right w:val="nil"/>
            </w:tcBorders>
            <w:shd w:val="clear" w:color="auto" w:fill="auto"/>
            <w:noWrap/>
            <w:vAlign w:val="center"/>
            <w:hideMark/>
          </w:tcPr>
          <w:p w14:paraId="1561C004"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nil"/>
              <w:right w:val="nil"/>
            </w:tcBorders>
            <w:shd w:val="clear" w:color="auto" w:fill="auto"/>
            <w:noWrap/>
            <w:vAlign w:val="center"/>
            <w:hideMark/>
          </w:tcPr>
          <w:p w14:paraId="6210226E" w14:textId="4F09AC85"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8</w:t>
            </w:r>
            <w:r w:rsidR="00C42B0B" w:rsidRPr="00091680">
              <w:rPr>
                <w:rFonts w:ascii="Arial" w:hAnsi="Arial" w:cs="Arial"/>
                <w:sz w:val="16"/>
                <w:szCs w:val="16"/>
              </w:rPr>
              <w:noBreakHyphen/>
            </w:r>
            <w:r w:rsidRPr="00091680">
              <w:rPr>
                <w:rFonts w:ascii="Arial" w:hAnsi="Arial" w:cs="Arial"/>
                <w:sz w:val="16"/>
                <w:szCs w:val="16"/>
              </w:rPr>
              <w:t>Jul</w:t>
            </w:r>
          </w:p>
        </w:tc>
      </w:tr>
      <w:tr w:rsidR="00CC4E60" w:rsidRPr="005546AF" w14:paraId="25CF17E5" w14:textId="77777777" w:rsidTr="009C0435">
        <w:trPr>
          <w:trHeight w:hRule="exact" w:val="225"/>
        </w:trPr>
        <w:tc>
          <w:tcPr>
            <w:tcW w:w="801" w:type="pct"/>
            <w:tcBorders>
              <w:top w:val="nil"/>
              <w:left w:val="nil"/>
              <w:bottom w:val="single" w:sz="4" w:space="0" w:color="000000"/>
              <w:right w:val="nil"/>
            </w:tcBorders>
            <w:shd w:val="clear" w:color="auto" w:fill="auto"/>
            <w:noWrap/>
            <w:vAlign w:val="center"/>
            <w:hideMark/>
          </w:tcPr>
          <w:p w14:paraId="1A7D205D" w14:textId="174E45DC"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22</w:t>
            </w:r>
            <w:r w:rsidR="00C42B0B" w:rsidRPr="00091680">
              <w:rPr>
                <w:rFonts w:ascii="Arial" w:hAnsi="Arial" w:cs="Arial"/>
                <w:sz w:val="16"/>
                <w:szCs w:val="16"/>
              </w:rPr>
              <w:noBreakHyphen/>
            </w:r>
            <w:r w:rsidRPr="00091680">
              <w:rPr>
                <w:rFonts w:ascii="Arial" w:hAnsi="Arial" w:cs="Arial"/>
                <w:sz w:val="16"/>
                <w:szCs w:val="16"/>
              </w:rPr>
              <w:t>Jul</w:t>
            </w:r>
            <w:r w:rsidR="00C42B0B" w:rsidRPr="00091680">
              <w:rPr>
                <w:rFonts w:ascii="Arial" w:hAnsi="Arial" w:cs="Arial"/>
                <w:sz w:val="16"/>
                <w:szCs w:val="16"/>
              </w:rPr>
              <w:noBreakHyphen/>
            </w:r>
            <w:r w:rsidRPr="00091680">
              <w:rPr>
                <w:rFonts w:ascii="Arial" w:hAnsi="Arial" w:cs="Arial"/>
                <w:sz w:val="16"/>
                <w:szCs w:val="16"/>
              </w:rPr>
              <w:t>22</w:t>
            </w:r>
          </w:p>
        </w:tc>
        <w:tc>
          <w:tcPr>
            <w:tcW w:w="1935" w:type="pct"/>
            <w:tcBorders>
              <w:top w:val="nil"/>
              <w:left w:val="nil"/>
              <w:bottom w:val="single" w:sz="4" w:space="0" w:color="000000"/>
              <w:right w:val="nil"/>
            </w:tcBorders>
            <w:shd w:val="clear" w:color="auto" w:fill="auto"/>
            <w:noWrap/>
            <w:vAlign w:val="center"/>
            <w:hideMark/>
          </w:tcPr>
          <w:p w14:paraId="4D4F5671"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2,000</w:t>
            </w:r>
          </w:p>
        </w:tc>
        <w:tc>
          <w:tcPr>
            <w:tcW w:w="1324" w:type="pct"/>
            <w:tcBorders>
              <w:top w:val="nil"/>
              <w:left w:val="nil"/>
              <w:bottom w:val="single" w:sz="4" w:space="0" w:color="000000"/>
              <w:right w:val="nil"/>
            </w:tcBorders>
            <w:shd w:val="clear" w:color="auto" w:fill="auto"/>
            <w:noWrap/>
            <w:vAlign w:val="center"/>
            <w:hideMark/>
          </w:tcPr>
          <w:p w14:paraId="77B411E7" w14:textId="77777777"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At maturity</w:t>
            </w:r>
          </w:p>
        </w:tc>
        <w:tc>
          <w:tcPr>
            <w:tcW w:w="940" w:type="pct"/>
            <w:tcBorders>
              <w:top w:val="nil"/>
              <w:left w:val="nil"/>
              <w:bottom w:val="single" w:sz="4" w:space="0" w:color="000000"/>
              <w:right w:val="nil"/>
            </w:tcBorders>
            <w:shd w:val="clear" w:color="auto" w:fill="auto"/>
            <w:noWrap/>
            <w:vAlign w:val="center"/>
            <w:hideMark/>
          </w:tcPr>
          <w:p w14:paraId="521FB77D" w14:textId="53605C61" w:rsidR="005B0252" w:rsidRPr="00091680" w:rsidRDefault="005B0252" w:rsidP="008C3AED">
            <w:pPr>
              <w:spacing w:after="0" w:line="240" w:lineRule="auto"/>
              <w:jc w:val="right"/>
              <w:rPr>
                <w:rFonts w:ascii="Arial" w:hAnsi="Arial" w:cs="Arial"/>
                <w:sz w:val="16"/>
                <w:szCs w:val="16"/>
              </w:rPr>
            </w:pPr>
            <w:r w:rsidRPr="00091680">
              <w:rPr>
                <w:rFonts w:ascii="Arial" w:hAnsi="Arial" w:cs="Arial"/>
                <w:sz w:val="16"/>
                <w:szCs w:val="16"/>
              </w:rPr>
              <w:t>22</w:t>
            </w:r>
            <w:r w:rsidR="00C42B0B" w:rsidRPr="00091680">
              <w:rPr>
                <w:rFonts w:ascii="Arial" w:hAnsi="Arial" w:cs="Arial"/>
                <w:sz w:val="16"/>
                <w:szCs w:val="16"/>
              </w:rPr>
              <w:noBreakHyphen/>
            </w:r>
            <w:r w:rsidRPr="00091680">
              <w:rPr>
                <w:rFonts w:ascii="Arial" w:hAnsi="Arial" w:cs="Arial"/>
                <w:sz w:val="16"/>
                <w:szCs w:val="16"/>
              </w:rPr>
              <w:t>Jul</w:t>
            </w:r>
          </w:p>
        </w:tc>
      </w:tr>
    </w:tbl>
    <w:p w14:paraId="10CF1789" w14:textId="66023DD0" w:rsidR="003C48F3" w:rsidRPr="00091680" w:rsidRDefault="003C48F3" w:rsidP="00D45569">
      <w:pPr>
        <w:pStyle w:val="Source"/>
      </w:pPr>
      <w:r w:rsidRPr="00091680">
        <w:t>Source</w:t>
      </w:r>
      <w:r w:rsidR="005E25A9" w:rsidRPr="00091680">
        <w:t>:</w:t>
      </w:r>
      <w:r w:rsidRPr="00091680">
        <w:t xml:space="preserve"> </w:t>
      </w:r>
      <w:r w:rsidRPr="00091680">
        <w:tab/>
        <w:t>AOFM.</w:t>
      </w:r>
    </w:p>
    <w:p w14:paraId="7BA0F519" w14:textId="77777777" w:rsidR="00D969EA" w:rsidRDefault="00D969EA">
      <w:pPr>
        <w:spacing w:after="160" w:line="259" w:lineRule="auto"/>
        <w:jc w:val="left"/>
        <w:rPr>
          <w:rFonts w:ascii="Arial Bold" w:hAnsi="Arial Bold"/>
          <w:b/>
          <w:sz w:val="26"/>
        </w:rPr>
      </w:pPr>
      <w:bookmarkStart w:id="33" w:name="_Toc51582828"/>
      <w:bookmarkStart w:id="34" w:name="_Toc98531934"/>
      <w:r>
        <w:br w:type="page"/>
      </w:r>
    </w:p>
    <w:p w14:paraId="73C6A8C0" w14:textId="7AB1373C" w:rsidR="003C48F3" w:rsidRPr="00091680" w:rsidRDefault="003C48F3" w:rsidP="006971E8">
      <w:pPr>
        <w:pStyle w:val="Heading2"/>
      </w:pPr>
      <w:r w:rsidRPr="00091680">
        <w:lastRenderedPageBreak/>
        <w:t>Non</w:t>
      </w:r>
      <w:r w:rsidRPr="00091680">
        <w:noBreakHyphen/>
        <w:t>resident holdings of AGS on issue</w:t>
      </w:r>
      <w:bookmarkEnd w:id="33"/>
      <w:bookmarkEnd w:id="34"/>
    </w:p>
    <w:p w14:paraId="2744C09E" w14:textId="2A7204BD" w:rsidR="003C48F3" w:rsidRPr="00F931AC" w:rsidRDefault="003C48F3" w:rsidP="003C48F3">
      <w:pPr>
        <w:spacing w:after="220"/>
      </w:pPr>
      <w:r w:rsidRPr="00091680">
        <w:t xml:space="preserve">As at the December quarter </w:t>
      </w:r>
      <w:r w:rsidR="004C6411" w:rsidRPr="00091680">
        <w:t>2021</w:t>
      </w:r>
      <w:r w:rsidRPr="00091680">
        <w:t>, the proportion of non</w:t>
      </w:r>
      <w:r w:rsidR="00C42B0B" w:rsidRPr="00091680">
        <w:noBreakHyphen/>
      </w:r>
      <w:r w:rsidRPr="00091680">
        <w:t xml:space="preserve">resident holdings of AGS was around </w:t>
      </w:r>
      <w:r w:rsidR="004C6411" w:rsidRPr="00091680">
        <w:t>44</w:t>
      </w:r>
      <w:r w:rsidRPr="00091680">
        <w:t xml:space="preserve"> per cent (Chart </w:t>
      </w:r>
      <w:r w:rsidR="001E52C1" w:rsidRPr="00091680">
        <w:t>6</w:t>
      </w:r>
      <w:r w:rsidRPr="00091680">
        <w:t>.</w:t>
      </w:r>
      <w:r w:rsidR="00B02F27" w:rsidRPr="00091680">
        <w:t>1</w:t>
      </w:r>
      <w:r w:rsidRPr="00091680">
        <w:t>). This proportion is down from historical highs of around 76 per cent in 2012.</w:t>
      </w:r>
    </w:p>
    <w:p w14:paraId="139E3269" w14:textId="732C94E2" w:rsidR="003C48F3" w:rsidRPr="00091680" w:rsidRDefault="003C48F3" w:rsidP="006971E8">
      <w:pPr>
        <w:pStyle w:val="ChartHeading"/>
      </w:pPr>
      <w:r w:rsidRPr="00091680">
        <w:t xml:space="preserve">Chart </w:t>
      </w:r>
      <w:r w:rsidR="001E52C1" w:rsidRPr="00091680">
        <w:t>6</w:t>
      </w:r>
      <w:r w:rsidRPr="00091680">
        <w:t>.</w:t>
      </w:r>
      <w:r w:rsidR="00963802" w:rsidRPr="00091680">
        <w:t>1</w:t>
      </w:r>
      <w:r w:rsidRPr="00091680">
        <w:t>: Non</w:t>
      </w:r>
      <w:r w:rsidRPr="00091680">
        <w:noBreakHyphen/>
        <w:t>resident holdings of AGS</w:t>
      </w:r>
    </w:p>
    <w:p w14:paraId="3700A4C9" w14:textId="10713118" w:rsidR="003C48F3" w:rsidRPr="00091680" w:rsidRDefault="008370D9" w:rsidP="0009233E">
      <w:pPr>
        <w:pStyle w:val="ChartGraphic"/>
      </w:pPr>
      <w:r>
        <w:rPr>
          <w:noProof/>
        </w:rPr>
        <w:pict w14:anchorId="4A686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proportion of Australian Government Securities held by residents and non-residents. In the December 2021 quarter, this proportion was around 44 per cent. This is down from historical highs of around 76 per cent in 2012.&#10;" style="width:391.95pt;height:222.25pt">
            <v:imagedata r:id="rId18" o:title=""/>
          </v:shape>
        </w:pict>
      </w:r>
    </w:p>
    <w:p w14:paraId="2EBE872A" w14:textId="6FF0703A" w:rsidR="003C48F3" w:rsidRPr="00091680" w:rsidRDefault="003C48F3" w:rsidP="006971E8">
      <w:pPr>
        <w:pStyle w:val="ChartandTableFootnote"/>
        <w:rPr>
          <w:color w:val="auto"/>
        </w:rPr>
      </w:pPr>
      <w:r w:rsidRPr="00091680">
        <w:rPr>
          <w:color w:val="auto"/>
        </w:rPr>
        <w:t xml:space="preserve">Note: </w:t>
      </w:r>
      <w:r w:rsidRPr="00091680">
        <w:rPr>
          <w:color w:val="auto"/>
        </w:rPr>
        <w:tab/>
        <w:t>Data refer to the repo</w:t>
      </w:r>
      <w:r w:rsidRPr="00091680">
        <w:rPr>
          <w:color w:val="auto"/>
        </w:rPr>
        <w:noBreakHyphen/>
        <w:t>adjusted market value of holdings.</w:t>
      </w:r>
    </w:p>
    <w:p w14:paraId="5E542F6C" w14:textId="10589438" w:rsidR="003C48F3" w:rsidRPr="003C48F3" w:rsidRDefault="003C48F3" w:rsidP="006971E8">
      <w:pPr>
        <w:pStyle w:val="Source"/>
      </w:pPr>
      <w:r w:rsidRPr="00091680">
        <w:t>Source:</w:t>
      </w:r>
      <w:r w:rsidRPr="00091680">
        <w:tab/>
        <w:t>ABS Balance of Payments and International Investment Position, Australia December 202</w:t>
      </w:r>
      <w:r w:rsidR="00B04BB9" w:rsidRPr="00091680">
        <w:t>1</w:t>
      </w:r>
      <w:r w:rsidRPr="00091680">
        <w:t>, AOFM, RBA.</w:t>
      </w:r>
    </w:p>
    <w:p w14:paraId="1FC26B82" w14:textId="77777777" w:rsidR="00D969EA" w:rsidRDefault="00D969EA">
      <w:pPr>
        <w:spacing w:after="160" w:line="259" w:lineRule="auto"/>
        <w:jc w:val="left"/>
        <w:rPr>
          <w:rFonts w:ascii="Arial Bold" w:hAnsi="Arial Bold"/>
          <w:b/>
          <w:sz w:val="26"/>
        </w:rPr>
      </w:pPr>
      <w:bookmarkStart w:id="35" w:name="_Toc51582829"/>
      <w:r>
        <w:br w:type="page"/>
      </w:r>
    </w:p>
    <w:p w14:paraId="0C9E0C7D" w14:textId="313AF466" w:rsidR="003C48F3" w:rsidRPr="00091680" w:rsidRDefault="003C48F3" w:rsidP="006971E8">
      <w:pPr>
        <w:pStyle w:val="Heading2"/>
      </w:pPr>
      <w:bookmarkStart w:id="36" w:name="_Toc98531935"/>
      <w:r w:rsidRPr="00091680">
        <w:lastRenderedPageBreak/>
        <w:t>Estimates and projections of net debt</w:t>
      </w:r>
      <w:bookmarkEnd w:id="35"/>
      <w:bookmarkEnd w:id="36"/>
    </w:p>
    <w:p w14:paraId="3E83DA54" w14:textId="1DF92BBC" w:rsidR="009A3268" w:rsidRPr="00091680" w:rsidRDefault="009A3268" w:rsidP="009A3268">
      <w:r w:rsidRPr="00091680">
        <w:rPr>
          <w:b/>
        </w:rPr>
        <w:t>Net debt</w:t>
      </w:r>
      <w:r w:rsidRPr="00091680">
        <w:t xml:space="preserve"> is equal to the sum of interest</w:t>
      </w:r>
      <w:r w:rsidRPr="00091680">
        <w:noBreakHyphen/>
        <w:t>bearing liabilities (which includes AGS on issue measured at market value) less the sum of selected financial assets (cash and deposits, advances paid and investments, loans and placements). As net debt incorporates both selected financial assets and liabilities at their fair value, it provides a broader measure of the financial obligations of the Australian Government than gross debt.</w:t>
      </w:r>
    </w:p>
    <w:p w14:paraId="2F17C8EC" w14:textId="573ADAE5" w:rsidR="009A3268" w:rsidRPr="007A2B65" w:rsidRDefault="009A3268" w:rsidP="009A3268">
      <w:pPr>
        <w:spacing w:after="200"/>
      </w:pPr>
      <w:r w:rsidRPr="00091680">
        <w:t>Not all government assets or liabilities are included in the measurement of net debt. For example, the Government’s unfunded superannuation liability is not accounted for in net debt, nor are holdings of equities, for example those held by the Future Fund or the Government’s equity investment in the NBN.</w:t>
      </w:r>
    </w:p>
    <w:p w14:paraId="1FF72F68" w14:textId="4342B4CF" w:rsidR="00460E6C" w:rsidRPr="00BE6368" w:rsidRDefault="003C48F3" w:rsidP="00460E6C">
      <w:r w:rsidRPr="00091680">
        <w:t xml:space="preserve">Net debt is expected to be </w:t>
      </w:r>
      <w:r w:rsidR="00224401" w:rsidRPr="00091680">
        <w:t>31.1</w:t>
      </w:r>
      <w:r w:rsidRPr="00091680">
        <w:t xml:space="preserve"> per cent of GDP at 30 June </w:t>
      </w:r>
      <w:r w:rsidR="005D2696" w:rsidRPr="00091680">
        <w:t>2023</w:t>
      </w:r>
      <w:r w:rsidR="00606B3F" w:rsidRPr="00091680">
        <w:t xml:space="preserve">, </w:t>
      </w:r>
      <w:r w:rsidR="00BE02F0" w:rsidRPr="00091680">
        <w:t>lower than the estimate of 34.7 per cent of GDP at MYEFO</w:t>
      </w:r>
      <w:r w:rsidR="00542FE9" w:rsidRPr="00091680">
        <w:t>.</w:t>
      </w:r>
      <w:r w:rsidR="00BE02F0" w:rsidRPr="00091680" w:rsidDel="009C60B7">
        <w:t xml:space="preserve"> </w:t>
      </w:r>
      <w:r w:rsidR="00542FE9" w:rsidRPr="00091680">
        <w:t>Net debt is expected to</w:t>
      </w:r>
      <w:r w:rsidR="00BE02F0" w:rsidRPr="00091680" w:rsidDel="009C60B7">
        <w:t xml:space="preserve"> </w:t>
      </w:r>
      <w:r w:rsidR="007808EF" w:rsidRPr="00091680">
        <w:t>stabilis</w:t>
      </w:r>
      <w:r w:rsidR="009C60B7" w:rsidRPr="00091680">
        <w:t>e</w:t>
      </w:r>
      <w:r w:rsidR="007808EF" w:rsidRPr="00091680">
        <w:t xml:space="preserve"> </w:t>
      </w:r>
      <w:r w:rsidR="00AD58D2" w:rsidRPr="00091680">
        <w:t xml:space="preserve">at </w:t>
      </w:r>
      <w:r w:rsidR="00037848" w:rsidRPr="00091680">
        <w:t>33.1</w:t>
      </w:r>
      <w:r w:rsidR="00FE6B55" w:rsidRPr="00091680">
        <w:t> </w:t>
      </w:r>
      <w:r w:rsidRPr="00091680">
        <w:t>per</w:t>
      </w:r>
      <w:r w:rsidR="00AD58D2" w:rsidRPr="00091680">
        <w:t xml:space="preserve"> </w:t>
      </w:r>
      <w:r w:rsidRPr="00091680">
        <w:t>cent of GDP</w:t>
      </w:r>
      <w:r w:rsidR="005D2696" w:rsidRPr="00091680">
        <w:t xml:space="preserve"> </w:t>
      </w:r>
      <w:r w:rsidR="0030168D" w:rsidRPr="00091680">
        <w:t>at</w:t>
      </w:r>
      <w:r w:rsidR="00B16987" w:rsidRPr="00091680">
        <w:t xml:space="preserve"> </w:t>
      </w:r>
      <w:r w:rsidR="0099641D" w:rsidRPr="00091680">
        <w:t>the end of forward es</w:t>
      </w:r>
      <w:r w:rsidR="006C690B" w:rsidRPr="00091680">
        <w:t>timates</w:t>
      </w:r>
      <w:r w:rsidR="00573594" w:rsidRPr="00091680">
        <w:t>,</w:t>
      </w:r>
      <w:r w:rsidR="000C7DAB" w:rsidRPr="00091680">
        <w:t xml:space="preserve"> </w:t>
      </w:r>
      <w:r w:rsidR="00573594" w:rsidRPr="00091680">
        <w:t xml:space="preserve">before </w:t>
      </w:r>
      <w:r w:rsidR="00863632" w:rsidRPr="00091680">
        <w:t xml:space="preserve">improving over the medium term to reach </w:t>
      </w:r>
      <w:r w:rsidR="00ED3CD2" w:rsidRPr="00091680">
        <w:t>2</w:t>
      </w:r>
      <w:r w:rsidR="00A30BEC" w:rsidRPr="00091680">
        <w:t>6</w:t>
      </w:r>
      <w:r w:rsidR="00ED3CD2" w:rsidRPr="00091680">
        <w:t>.</w:t>
      </w:r>
      <w:r w:rsidR="00A30BEC" w:rsidRPr="00091680">
        <w:t>9</w:t>
      </w:r>
      <w:r w:rsidR="00A36198" w:rsidRPr="00091680">
        <w:t> </w:t>
      </w:r>
      <w:r w:rsidR="00E71D0F" w:rsidRPr="00091680">
        <w:t xml:space="preserve">per cent of </w:t>
      </w:r>
      <w:r w:rsidR="00C62866" w:rsidRPr="00091680">
        <w:t>GDP</w:t>
      </w:r>
      <w:r w:rsidR="00E104D8" w:rsidRPr="00091680">
        <w:t xml:space="preserve"> at 30</w:t>
      </w:r>
      <w:r w:rsidR="00084E1B" w:rsidRPr="00091680">
        <w:t> </w:t>
      </w:r>
      <w:r w:rsidR="00E104D8" w:rsidRPr="00091680">
        <w:t>June</w:t>
      </w:r>
      <w:r w:rsidR="00084E1B" w:rsidRPr="00091680">
        <w:t> </w:t>
      </w:r>
      <w:r w:rsidR="00E104D8" w:rsidRPr="00091680">
        <w:t>2033</w:t>
      </w:r>
      <w:r w:rsidR="00AB092E" w:rsidRPr="00091680">
        <w:t>.</w:t>
      </w:r>
      <w:r w:rsidR="000C7DAB" w:rsidRPr="00091680">
        <w:t xml:space="preserve"> </w:t>
      </w:r>
      <w:r w:rsidR="00460E6C" w:rsidRPr="00091680">
        <w:t>Net debt as a share of the economy is expected to be lower across the forward estimates</w:t>
      </w:r>
      <w:r w:rsidR="00460E6C" w:rsidRPr="00A56B05">
        <w:t xml:space="preserve"> </w:t>
      </w:r>
      <w:r w:rsidR="00460E6C" w:rsidRPr="00091680">
        <w:t>and medium term than projected at MYEFO.</w:t>
      </w:r>
      <w:r w:rsidR="00460E6C" w:rsidRPr="00A56B05">
        <w:rPr>
          <w:lang w:eastAsia="en-US"/>
        </w:rPr>
        <w:t xml:space="preserve"> </w:t>
      </w:r>
    </w:p>
    <w:p w14:paraId="3B22D5E2" w14:textId="3DBEAE8B" w:rsidR="002616D7" w:rsidRPr="00091680" w:rsidRDefault="00526B43" w:rsidP="003C48F3">
      <w:pPr>
        <w:spacing w:after="200"/>
      </w:pPr>
      <w:r w:rsidRPr="00091680">
        <w:t>Table 6.7 contains the liabilities and assets included in net debt over the forward estimates.</w:t>
      </w:r>
    </w:p>
    <w:p w14:paraId="77DA0AA8" w14:textId="4DEEE716" w:rsidR="002616D7" w:rsidRPr="00091680" w:rsidRDefault="002616D7">
      <w:pPr>
        <w:spacing w:after="160" w:line="259" w:lineRule="auto"/>
        <w:jc w:val="left"/>
      </w:pPr>
      <w:r w:rsidRPr="00091680">
        <w:br w:type="page"/>
      </w:r>
    </w:p>
    <w:p w14:paraId="4C3ACFD8" w14:textId="1085545D" w:rsidR="00A14AE8" w:rsidRPr="00091680" w:rsidRDefault="003C48F3" w:rsidP="006F5921">
      <w:pPr>
        <w:pStyle w:val="TableHeading"/>
        <w:rPr>
          <w:rFonts w:asciiTheme="minorHAnsi" w:eastAsiaTheme="minorHAnsi" w:hAnsiTheme="minorHAnsi" w:cstheme="minorBidi"/>
          <w:lang w:eastAsia="en-US"/>
        </w:rPr>
      </w:pPr>
      <w:r w:rsidRPr="00091680">
        <w:rPr>
          <w:rFonts w:cs="Arial"/>
        </w:rPr>
        <w:lastRenderedPageBreak/>
        <w:t xml:space="preserve">Table </w:t>
      </w:r>
      <w:r w:rsidR="001E52C1" w:rsidRPr="00091680">
        <w:rPr>
          <w:rFonts w:cs="Arial"/>
        </w:rPr>
        <w:t>6</w:t>
      </w:r>
      <w:r w:rsidRPr="00091680">
        <w:rPr>
          <w:rFonts w:cs="Arial"/>
        </w:rPr>
        <w:t>.7: Liabilities and assets included in net debt</w:t>
      </w:r>
    </w:p>
    <w:tbl>
      <w:tblPr>
        <w:tblW w:w="5000" w:type="pct"/>
        <w:tblCellMar>
          <w:left w:w="0" w:type="dxa"/>
          <w:right w:w="28" w:type="dxa"/>
        </w:tblCellMar>
        <w:tblLook w:val="04A0" w:firstRow="1" w:lastRow="0" w:firstColumn="1" w:lastColumn="0" w:noHBand="0" w:noVBand="1"/>
      </w:tblPr>
      <w:tblGrid>
        <w:gridCol w:w="3442"/>
        <w:gridCol w:w="902"/>
        <w:gridCol w:w="842"/>
        <w:gridCol w:w="842"/>
        <w:gridCol w:w="1682"/>
      </w:tblGrid>
      <w:tr w:rsidR="00A14AE8" w:rsidRPr="005546AF" w14:paraId="1B48E5D5" w14:textId="77777777" w:rsidTr="008D7821">
        <w:trPr>
          <w:divId w:val="630404460"/>
          <w:trHeight w:hRule="exact" w:val="225"/>
        </w:trPr>
        <w:tc>
          <w:tcPr>
            <w:tcW w:w="2232" w:type="pct"/>
            <w:tcBorders>
              <w:top w:val="single" w:sz="4" w:space="0" w:color="000000"/>
              <w:left w:val="nil"/>
              <w:bottom w:val="nil"/>
              <w:right w:val="nil"/>
            </w:tcBorders>
            <w:shd w:val="clear" w:color="auto" w:fill="auto"/>
            <w:noWrap/>
            <w:vAlign w:val="center"/>
            <w:hideMark/>
          </w:tcPr>
          <w:p w14:paraId="647EFBEE" w14:textId="049E6950" w:rsidR="00A14AE8" w:rsidRPr="00091680" w:rsidRDefault="00A14AE8" w:rsidP="008D7821">
            <w:pPr>
              <w:spacing w:after="0" w:line="240" w:lineRule="auto"/>
              <w:rPr>
                <w:rFonts w:ascii="Arial" w:hAnsi="Arial" w:cs="Arial"/>
                <w:sz w:val="16"/>
                <w:szCs w:val="16"/>
              </w:rPr>
            </w:pPr>
            <w:r w:rsidRPr="00091680">
              <w:rPr>
                <w:rFonts w:ascii="Arial" w:hAnsi="Arial" w:cs="Arial"/>
                <w:sz w:val="16"/>
                <w:szCs w:val="16"/>
              </w:rPr>
              <w:t> </w:t>
            </w:r>
          </w:p>
        </w:tc>
        <w:tc>
          <w:tcPr>
            <w:tcW w:w="585" w:type="pct"/>
            <w:tcBorders>
              <w:top w:val="single" w:sz="4" w:space="0" w:color="000000"/>
              <w:left w:val="nil"/>
              <w:bottom w:val="single" w:sz="4" w:space="0" w:color="000000"/>
              <w:right w:val="nil"/>
            </w:tcBorders>
            <w:shd w:val="clear" w:color="auto" w:fill="auto"/>
            <w:noWrap/>
            <w:vAlign w:val="center"/>
            <w:hideMark/>
          </w:tcPr>
          <w:p w14:paraId="7693C91A" w14:textId="77777777" w:rsidR="00A14AE8" w:rsidRPr="00091680" w:rsidRDefault="00A14AE8" w:rsidP="008D7821">
            <w:pPr>
              <w:spacing w:after="0" w:line="240" w:lineRule="auto"/>
              <w:jc w:val="center"/>
              <w:rPr>
                <w:rFonts w:ascii="Arial" w:hAnsi="Arial" w:cs="Arial"/>
                <w:sz w:val="16"/>
                <w:szCs w:val="16"/>
              </w:rPr>
            </w:pPr>
            <w:r w:rsidRPr="00091680">
              <w:rPr>
                <w:rFonts w:ascii="Arial" w:hAnsi="Arial" w:cs="Arial"/>
                <w:sz w:val="16"/>
                <w:szCs w:val="16"/>
              </w:rPr>
              <w:t> </w:t>
            </w:r>
          </w:p>
        </w:tc>
        <w:tc>
          <w:tcPr>
            <w:tcW w:w="546" w:type="pct"/>
            <w:tcBorders>
              <w:top w:val="single" w:sz="4" w:space="0" w:color="000000"/>
              <w:left w:val="nil"/>
              <w:bottom w:val="single" w:sz="4" w:space="0" w:color="000000"/>
              <w:right w:val="nil"/>
            </w:tcBorders>
            <w:shd w:val="clear" w:color="auto" w:fill="auto"/>
            <w:noWrap/>
            <w:vAlign w:val="center"/>
            <w:hideMark/>
          </w:tcPr>
          <w:p w14:paraId="1E96DD03" w14:textId="77777777" w:rsidR="00A14AE8" w:rsidRPr="00091680" w:rsidRDefault="00A14AE8" w:rsidP="008D7821">
            <w:pPr>
              <w:spacing w:after="0" w:line="240" w:lineRule="auto"/>
              <w:jc w:val="center"/>
              <w:rPr>
                <w:rFonts w:ascii="Arial" w:hAnsi="Arial" w:cs="Arial"/>
                <w:sz w:val="16"/>
                <w:szCs w:val="16"/>
              </w:rPr>
            </w:pPr>
            <w:r w:rsidRPr="00091680">
              <w:rPr>
                <w:rFonts w:ascii="Arial" w:hAnsi="Arial" w:cs="Arial"/>
                <w:sz w:val="16"/>
                <w:szCs w:val="16"/>
              </w:rPr>
              <w:t>Estimates</w:t>
            </w:r>
          </w:p>
        </w:tc>
        <w:tc>
          <w:tcPr>
            <w:tcW w:w="546" w:type="pct"/>
            <w:tcBorders>
              <w:top w:val="single" w:sz="4" w:space="0" w:color="000000"/>
              <w:left w:val="nil"/>
              <w:bottom w:val="single" w:sz="4" w:space="0" w:color="000000"/>
              <w:right w:val="nil"/>
            </w:tcBorders>
            <w:shd w:val="clear" w:color="auto" w:fill="auto"/>
            <w:noWrap/>
            <w:vAlign w:val="center"/>
            <w:hideMark/>
          </w:tcPr>
          <w:p w14:paraId="1CA98B97" w14:textId="77777777" w:rsidR="00A14AE8" w:rsidRPr="00091680" w:rsidRDefault="00A14AE8" w:rsidP="008D7821">
            <w:pPr>
              <w:spacing w:after="0" w:line="240" w:lineRule="auto"/>
              <w:jc w:val="center"/>
              <w:rPr>
                <w:rFonts w:ascii="Arial" w:hAnsi="Arial" w:cs="Arial"/>
                <w:sz w:val="16"/>
                <w:szCs w:val="16"/>
              </w:rPr>
            </w:pPr>
            <w:r w:rsidRPr="00091680">
              <w:rPr>
                <w:rFonts w:ascii="Arial" w:hAnsi="Arial" w:cs="Arial"/>
                <w:sz w:val="16"/>
                <w:szCs w:val="16"/>
              </w:rPr>
              <w:t> </w:t>
            </w:r>
          </w:p>
        </w:tc>
        <w:tc>
          <w:tcPr>
            <w:tcW w:w="1091" w:type="pct"/>
            <w:tcBorders>
              <w:top w:val="single" w:sz="4" w:space="0" w:color="auto"/>
              <w:left w:val="nil"/>
              <w:bottom w:val="single" w:sz="4" w:space="0" w:color="000000"/>
              <w:right w:val="nil"/>
            </w:tcBorders>
            <w:shd w:val="clear" w:color="auto" w:fill="auto"/>
            <w:noWrap/>
            <w:vAlign w:val="center"/>
            <w:hideMark/>
          </w:tcPr>
          <w:p w14:paraId="2F5CEEFB" w14:textId="77777777" w:rsidR="00A14AE8" w:rsidRPr="00091680" w:rsidRDefault="00A14AE8" w:rsidP="008D7821">
            <w:pPr>
              <w:spacing w:after="0" w:line="240" w:lineRule="auto"/>
              <w:jc w:val="center"/>
              <w:rPr>
                <w:rFonts w:ascii="Arial" w:hAnsi="Arial" w:cs="Arial"/>
                <w:sz w:val="16"/>
                <w:szCs w:val="16"/>
              </w:rPr>
            </w:pPr>
            <w:r w:rsidRPr="00091680">
              <w:rPr>
                <w:rFonts w:ascii="Arial" w:hAnsi="Arial" w:cs="Arial"/>
                <w:sz w:val="16"/>
                <w:szCs w:val="16"/>
              </w:rPr>
              <w:t> </w:t>
            </w:r>
          </w:p>
        </w:tc>
      </w:tr>
    </w:tbl>
    <w:tbl>
      <w:tblPr>
        <w:tblW w:w="5000" w:type="pct"/>
        <w:tblCellMar>
          <w:left w:w="0" w:type="dxa"/>
          <w:right w:w="28" w:type="dxa"/>
        </w:tblCellMar>
        <w:tblLook w:val="04A0" w:firstRow="1" w:lastRow="0" w:firstColumn="1" w:lastColumn="0" w:noHBand="0" w:noVBand="1"/>
      </w:tblPr>
      <w:tblGrid>
        <w:gridCol w:w="3442"/>
        <w:gridCol w:w="902"/>
        <w:gridCol w:w="842"/>
        <w:gridCol w:w="842"/>
        <w:gridCol w:w="842"/>
        <w:gridCol w:w="840"/>
      </w:tblGrid>
      <w:tr w:rsidR="00A14AE8" w:rsidRPr="005546AF" w14:paraId="6B356005"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56A5DD44" w14:textId="77777777" w:rsidR="00A14AE8" w:rsidRPr="00091680" w:rsidRDefault="00A14AE8" w:rsidP="008D7821">
            <w:pPr>
              <w:spacing w:after="0" w:line="240" w:lineRule="auto"/>
              <w:jc w:val="center"/>
              <w:rPr>
                <w:rFonts w:ascii="Arial" w:hAnsi="Arial" w:cs="Arial"/>
                <w:sz w:val="16"/>
                <w:szCs w:val="16"/>
              </w:rPr>
            </w:pPr>
          </w:p>
        </w:tc>
        <w:tc>
          <w:tcPr>
            <w:tcW w:w="585" w:type="pct"/>
            <w:tcBorders>
              <w:top w:val="nil"/>
              <w:left w:val="nil"/>
              <w:bottom w:val="nil"/>
              <w:right w:val="nil"/>
            </w:tcBorders>
            <w:shd w:val="clear" w:color="auto" w:fill="auto"/>
            <w:noWrap/>
            <w:vAlign w:val="center"/>
            <w:hideMark/>
          </w:tcPr>
          <w:p w14:paraId="34265F15"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2021-22</w:t>
            </w:r>
          </w:p>
        </w:tc>
        <w:tc>
          <w:tcPr>
            <w:tcW w:w="546" w:type="pct"/>
            <w:tcBorders>
              <w:top w:val="nil"/>
              <w:left w:val="nil"/>
              <w:bottom w:val="nil"/>
              <w:right w:val="nil"/>
            </w:tcBorders>
            <w:shd w:val="clear" w:color="000000" w:fill="F2F9FC"/>
            <w:noWrap/>
            <w:vAlign w:val="center"/>
            <w:hideMark/>
          </w:tcPr>
          <w:p w14:paraId="3F1A7941"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2022-23</w:t>
            </w:r>
          </w:p>
        </w:tc>
        <w:tc>
          <w:tcPr>
            <w:tcW w:w="546" w:type="pct"/>
            <w:tcBorders>
              <w:top w:val="nil"/>
              <w:left w:val="nil"/>
              <w:bottom w:val="nil"/>
              <w:right w:val="nil"/>
            </w:tcBorders>
            <w:shd w:val="clear" w:color="auto" w:fill="auto"/>
            <w:noWrap/>
            <w:vAlign w:val="center"/>
            <w:hideMark/>
          </w:tcPr>
          <w:p w14:paraId="75AA772B"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2023-24</w:t>
            </w:r>
          </w:p>
        </w:tc>
        <w:tc>
          <w:tcPr>
            <w:tcW w:w="546" w:type="pct"/>
            <w:tcBorders>
              <w:top w:val="nil"/>
              <w:left w:val="nil"/>
              <w:bottom w:val="nil"/>
              <w:right w:val="nil"/>
            </w:tcBorders>
            <w:shd w:val="clear" w:color="auto" w:fill="auto"/>
            <w:noWrap/>
            <w:vAlign w:val="center"/>
            <w:hideMark/>
          </w:tcPr>
          <w:p w14:paraId="27AAB48B"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2024-25</w:t>
            </w:r>
          </w:p>
        </w:tc>
        <w:tc>
          <w:tcPr>
            <w:tcW w:w="546" w:type="pct"/>
            <w:tcBorders>
              <w:top w:val="nil"/>
              <w:left w:val="nil"/>
              <w:bottom w:val="nil"/>
              <w:right w:val="nil"/>
            </w:tcBorders>
            <w:shd w:val="clear" w:color="auto" w:fill="auto"/>
            <w:noWrap/>
            <w:vAlign w:val="center"/>
            <w:hideMark/>
          </w:tcPr>
          <w:p w14:paraId="5ADCFF27"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2025-26</w:t>
            </w:r>
          </w:p>
        </w:tc>
      </w:tr>
      <w:tr w:rsidR="00A14AE8" w:rsidRPr="005546AF" w14:paraId="56932A8A"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79B18C62" w14:textId="77777777" w:rsidR="00A14AE8" w:rsidRPr="00091680" w:rsidRDefault="00A14AE8" w:rsidP="008D7821">
            <w:pPr>
              <w:spacing w:after="0" w:line="240" w:lineRule="auto"/>
              <w:jc w:val="right"/>
              <w:rPr>
                <w:rFonts w:ascii="Arial" w:hAnsi="Arial" w:cs="Arial"/>
                <w:sz w:val="16"/>
                <w:szCs w:val="16"/>
              </w:rPr>
            </w:pPr>
          </w:p>
        </w:tc>
        <w:tc>
          <w:tcPr>
            <w:tcW w:w="585" w:type="pct"/>
            <w:tcBorders>
              <w:top w:val="nil"/>
              <w:left w:val="nil"/>
              <w:bottom w:val="nil"/>
              <w:right w:val="nil"/>
            </w:tcBorders>
            <w:shd w:val="clear" w:color="auto" w:fill="auto"/>
            <w:noWrap/>
            <w:vAlign w:val="center"/>
            <w:hideMark/>
          </w:tcPr>
          <w:p w14:paraId="2B639373"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$m</w:t>
            </w:r>
          </w:p>
        </w:tc>
        <w:tc>
          <w:tcPr>
            <w:tcW w:w="546" w:type="pct"/>
            <w:tcBorders>
              <w:top w:val="nil"/>
              <w:left w:val="nil"/>
              <w:bottom w:val="nil"/>
              <w:right w:val="nil"/>
            </w:tcBorders>
            <w:shd w:val="clear" w:color="000000" w:fill="F2F9FC"/>
            <w:noWrap/>
            <w:vAlign w:val="center"/>
            <w:hideMark/>
          </w:tcPr>
          <w:p w14:paraId="261C6265"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$m</w:t>
            </w:r>
          </w:p>
        </w:tc>
        <w:tc>
          <w:tcPr>
            <w:tcW w:w="546" w:type="pct"/>
            <w:tcBorders>
              <w:top w:val="nil"/>
              <w:left w:val="nil"/>
              <w:bottom w:val="nil"/>
              <w:right w:val="nil"/>
            </w:tcBorders>
            <w:shd w:val="clear" w:color="auto" w:fill="auto"/>
            <w:noWrap/>
            <w:vAlign w:val="center"/>
            <w:hideMark/>
          </w:tcPr>
          <w:p w14:paraId="29F77856"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$m</w:t>
            </w:r>
          </w:p>
        </w:tc>
        <w:tc>
          <w:tcPr>
            <w:tcW w:w="546" w:type="pct"/>
            <w:tcBorders>
              <w:top w:val="nil"/>
              <w:left w:val="nil"/>
              <w:bottom w:val="nil"/>
              <w:right w:val="nil"/>
            </w:tcBorders>
            <w:shd w:val="clear" w:color="auto" w:fill="auto"/>
            <w:noWrap/>
            <w:vAlign w:val="center"/>
            <w:hideMark/>
          </w:tcPr>
          <w:p w14:paraId="15D04533"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$m</w:t>
            </w:r>
          </w:p>
        </w:tc>
        <w:tc>
          <w:tcPr>
            <w:tcW w:w="546" w:type="pct"/>
            <w:tcBorders>
              <w:top w:val="nil"/>
              <w:left w:val="nil"/>
              <w:bottom w:val="nil"/>
              <w:right w:val="nil"/>
            </w:tcBorders>
            <w:shd w:val="clear" w:color="auto" w:fill="auto"/>
            <w:noWrap/>
            <w:vAlign w:val="center"/>
            <w:hideMark/>
          </w:tcPr>
          <w:p w14:paraId="71FB73B7"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$m</w:t>
            </w:r>
          </w:p>
        </w:tc>
      </w:tr>
      <w:tr w:rsidR="00A14AE8" w:rsidRPr="005546AF" w14:paraId="7512C34B"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66D3E219" w14:textId="77777777" w:rsidR="00A14AE8" w:rsidRPr="00091680" w:rsidRDefault="00A14AE8" w:rsidP="008D7821">
            <w:pPr>
              <w:spacing w:after="0" w:line="240" w:lineRule="auto"/>
              <w:jc w:val="left"/>
              <w:rPr>
                <w:rFonts w:ascii="Arial" w:hAnsi="Arial" w:cs="Arial"/>
                <w:b/>
                <w:sz w:val="16"/>
                <w:szCs w:val="16"/>
              </w:rPr>
            </w:pPr>
            <w:r w:rsidRPr="00091680">
              <w:rPr>
                <w:rFonts w:ascii="Arial" w:hAnsi="Arial" w:cs="Arial"/>
                <w:b/>
                <w:sz w:val="16"/>
                <w:szCs w:val="16"/>
              </w:rPr>
              <w:t>Liabilities included in net debt</w:t>
            </w:r>
          </w:p>
        </w:tc>
        <w:tc>
          <w:tcPr>
            <w:tcW w:w="585" w:type="pct"/>
            <w:tcBorders>
              <w:top w:val="single" w:sz="4" w:space="0" w:color="000000"/>
              <w:left w:val="nil"/>
              <w:bottom w:val="nil"/>
              <w:right w:val="nil"/>
            </w:tcBorders>
            <w:shd w:val="clear" w:color="auto" w:fill="auto"/>
            <w:noWrap/>
            <w:vAlign w:val="center"/>
            <w:hideMark/>
          </w:tcPr>
          <w:p w14:paraId="6995BD7C" w14:textId="77777777" w:rsidR="00A14AE8" w:rsidRPr="00091680" w:rsidRDefault="00A14AE8" w:rsidP="008D7821">
            <w:pPr>
              <w:spacing w:after="0" w:line="240" w:lineRule="auto"/>
              <w:jc w:val="left"/>
              <w:rPr>
                <w:rFonts w:ascii="Arial" w:hAnsi="Arial" w:cs="Arial"/>
                <w:sz w:val="16"/>
                <w:szCs w:val="16"/>
              </w:rPr>
            </w:pPr>
            <w:r w:rsidRPr="00091680">
              <w:rPr>
                <w:rFonts w:ascii="Arial" w:hAnsi="Arial" w:cs="Arial"/>
                <w:sz w:val="16"/>
                <w:szCs w:val="16"/>
              </w:rPr>
              <w:t> </w:t>
            </w:r>
          </w:p>
        </w:tc>
        <w:tc>
          <w:tcPr>
            <w:tcW w:w="546" w:type="pct"/>
            <w:tcBorders>
              <w:top w:val="single" w:sz="4" w:space="0" w:color="000000"/>
              <w:left w:val="nil"/>
              <w:bottom w:val="nil"/>
              <w:right w:val="nil"/>
            </w:tcBorders>
            <w:shd w:val="clear" w:color="000000" w:fill="F2F9FC"/>
            <w:noWrap/>
            <w:vAlign w:val="center"/>
            <w:hideMark/>
          </w:tcPr>
          <w:p w14:paraId="3093272C" w14:textId="77777777" w:rsidR="00A14AE8" w:rsidRPr="00091680" w:rsidRDefault="00A14AE8" w:rsidP="008D7821">
            <w:pPr>
              <w:spacing w:after="0" w:line="240" w:lineRule="auto"/>
              <w:jc w:val="left"/>
              <w:rPr>
                <w:rFonts w:ascii="Arial" w:hAnsi="Arial" w:cs="Arial"/>
                <w:sz w:val="16"/>
                <w:szCs w:val="16"/>
              </w:rPr>
            </w:pPr>
            <w:r w:rsidRPr="00091680">
              <w:rPr>
                <w:rFonts w:ascii="Arial" w:hAnsi="Arial" w:cs="Arial"/>
                <w:sz w:val="16"/>
                <w:szCs w:val="16"/>
              </w:rPr>
              <w:t> </w:t>
            </w:r>
          </w:p>
        </w:tc>
        <w:tc>
          <w:tcPr>
            <w:tcW w:w="546" w:type="pct"/>
            <w:tcBorders>
              <w:top w:val="single" w:sz="4" w:space="0" w:color="000000"/>
              <w:left w:val="nil"/>
              <w:bottom w:val="nil"/>
              <w:right w:val="nil"/>
            </w:tcBorders>
            <w:shd w:val="clear" w:color="auto" w:fill="auto"/>
            <w:noWrap/>
            <w:vAlign w:val="center"/>
            <w:hideMark/>
          </w:tcPr>
          <w:p w14:paraId="185296C2" w14:textId="77777777" w:rsidR="00A14AE8" w:rsidRPr="00091680" w:rsidRDefault="00A14AE8" w:rsidP="008D7821">
            <w:pPr>
              <w:spacing w:after="0" w:line="240" w:lineRule="auto"/>
              <w:jc w:val="left"/>
              <w:rPr>
                <w:rFonts w:ascii="Arial" w:hAnsi="Arial" w:cs="Arial"/>
                <w:sz w:val="16"/>
                <w:szCs w:val="16"/>
              </w:rPr>
            </w:pPr>
            <w:r w:rsidRPr="00091680">
              <w:rPr>
                <w:rFonts w:ascii="Arial" w:hAnsi="Arial" w:cs="Arial"/>
                <w:sz w:val="16"/>
                <w:szCs w:val="16"/>
              </w:rPr>
              <w:t> </w:t>
            </w:r>
          </w:p>
        </w:tc>
        <w:tc>
          <w:tcPr>
            <w:tcW w:w="546" w:type="pct"/>
            <w:tcBorders>
              <w:top w:val="single" w:sz="4" w:space="0" w:color="000000"/>
              <w:left w:val="nil"/>
              <w:bottom w:val="nil"/>
              <w:right w:val="nil"/>
            </w:tcBorders>
            <w:shd w:val="clear" w:color="auto" w:fill="auto"/>
            <w:noWrap/>
            <w:vAlign w:val="center"/>
            <w:hideMark/>
          </w:tcPr>
          <w:p w14:paraId="336E46CD" w14:textId="77777777" w:rsidR="00A14AE8" w:rsidRPr="00091680" w:rsidRDefault="00A14AE8" w:rsidP="008D7821">
            <w:pPr>
              <w:spacing w:after="0" w:line="240" w:lineRule="auto"/>
              <w:jc w:val="left"/>
              <w:rPr>
                <w:rFonts w:ascii="Arial" w:hAnsi="Arial" w:cs="Arial"/>
                <w:sz w:val="16"/>
                <w:szCs w:val="16"/>
              </w:rPr>
            </w:pPr>
            <w:r w:rsidRPr="00091680">
              <w:rPr>
                <w:rFonts w:ascii="Arial" w:hAnsi="Arial" w:cs="Arial"/>
                <w:sz w:val="16"/>
                <w:szCs w:val="16"/>
              </w:rPr>
              <w:t> </w:t>
            </w:r>
          </w:p>
        </w:tc>
        <w:tc>
          <w:tcPr>
            <w:tcW w:w="546" w:type="pct"/>
            <w:tcBorders>
              <w:top w:val="single" w:sz="4" w:space="0" w:color="000000"/>
              <w:left w:val="nil"/>
              <w:bottom w:val="nil"/>
              <w:right w:val="nil"/>
            </w:tcBorders>
            <w:shd w:val="clear" w:color="auto" w:fill="auto"/>
            <w:noWrap/>
            <w:vAlign w:val="center"/>
            <w:hideMark/>
          </w:tcPr>
          <w:p w14:paraId="289EF466" w14:textId="77777777" w:rsidR="00A14AE8" w:rsidRPr="00091680" w:rsidRDefault="00A14AE8" w:rsidP="008D7821">
            <w:pPr>
              <w:spacing w:after="0" w:line="240" w:lineRule="auto"/>
              <w:jc w:val="left"/>
              <w:rPr>
                <w:rFonts w:ascii="Arial" w:hAnsi="Arial" w:cs="Arial"/>
                <w:sz w:val="16"/>
                <w:szCs w:val="16"/>
              </w:rPr>
            </w:pPr>
            <w:r w:rsidRPr="00091680">
              <w:rPr>
                <w:rFonts w:ascii="Arial" w:hAnsi="Arial" w:cs="Arial"/>
                <w:sz w:val="16"/>
                <w:szCs w:val="16"/>
              </w:rPr>
              <w:t> </w:t>
            </w:r>
          </w:p>
        </w:tc>
      </w:tr>
      <w:tr w:rsidR="00A14AE8" w:rsidRPr="005546AF" w14:paraId="63D81A10"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6BDB1712" w14:textId="77777777" w:rsidR="00A14AE8" w:rsidRPr="00091680" w:rsidRDefault="00A14AE8" w:rsidP="008D7821">
            <w:pPr>
              <w:spacing w:after="0" w:line="240" w:lineRule="auto"/>
              <w:ind w:left="170"/>
              <w:jc w:val="left"/>
              <w:rPr>
                <w:rFonts w:ascii="Arial" w:hAnsi="Arial" w:cs="Arial"/>
                <w:sz w:val="16"/>
                <w:szCs w:val="16"/>
              </w:rPr>
            </w:pPr>
            <w:r w:rsidRPr="00091680">
              <w:rPr>
                <w:rFonts w:ascii="Arial" w:hAnsi="Arial" w:cs="Arial"/>
                <w:sz w:val="16"/>
                <w:szCs w:val="16"/>
              </w:rPr>
              <w:t>Deposits held</w:t>
            </w:r>
          </w:p>
        </w:tc>
        <w:tc>
          <w:tcPr>
            <w:tcW w:w="585" w:type="pct"/>
            <w:tcBorders>
              <w:top w:val="nil"/>
              <w:left w:val="nil"/>
              <w:bottom w:val="nil"/>
              <w:right w:val="nil"/>
            </w:tcBorders>
            <w:shd w:val="clear" w:color="auto" w:fill="auto"/>
            <w:noWrap/>
            <w:vAlign w:val="center"/>
            <w:hideMark/>
          </w:tcPr>
          <w:p w14:paraId="4F10ED12"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598</w:t>
            </w:r>
          </w:p>
        </w:tc>
        <w:tc>
          <w:tcPr>
            <w:tcW w:w="546" w:type="pct"/>
            <w:tcBorders>
              <w:top w:val="nil"/>
              <w:left w:val="nil"/>
              <w:bottom w:val="nil"/>
              <w:right w:val="nil"/>
            </w:tcBorders>
            <w:shd w:val="clear" w:color="000000" w:fill="F2F9FC"/>
            <w:noWrap/>
            <w:vAlign w:val="center"/>
            <w:hideMark/>
          </w:tcPr>
          <w:p w14:paraId="5763BC28"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598</w:t>
            </w:r>
          </w:p>
        </w:tc>
        <w:tc>
          <w:tcPr>
            <w:tcW w:w="546" w:type="pct"/>
            <w:tcBorders>
              <w:top w:val="nil"/>
              <w:left w:val="nil"/>
              <w:bottom w:val="nil"/>
              <w:right w:val="nil"/>
            </w:tcBorders>
            <w:shd w:val="clear" w:color="auto" w:fill="auto"/>
            <w:noWrap/>
            <w:vAlign w:val="center"/>
            <w:hideMark/>
          </w:tcPr>
          <w:p w14:paraId="28362499"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598</w:t>
            </w:r>
          </w:p>
        </w:tc>
        <w:tc>
          <w:tcPr>
            <w:tcW w:w="546" w:type="pct"/>
            <w:tcBorders>
              <w:top w:val="nil"/>
              <w:left w:val="nil"/>
              <w:bottom w:val="nil"/>
              <w:right w:val="nil"/>
            </w:tcBorders>
            <w:shd w:val="clear" w:color="auto" w:fill="auto"/>
            <w:noWrap/>
            <w:vAlign w:val="center"/>
            <w:hideMark/>
          </w:tcPr>
          <w:p w14:paraId="4026C1CC"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598</w:t>
            </w:r>
          </w:p>
        </w:tc>
        <w:tc>
          <w:tcPr>
            <w:tcW w:w="546" w:type="pct"/>
            <w:tcBorders>
              <w:top w:val="nil"/>
              <w:left w:val="nil"/>
              <w:bottom w:val="nil"/>
              <w:right w:val="nil"/>
            </w:tcBorders>
            <w:shd w:val="clear" w:color="auto" w:fill="auto"/>
            <w:noWrap/>
            <w:vAlign w:val="center"/>
            <w:hideMark/>
          </w:tcPr>
          <w:p w14:paraId="29E57C23"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598</w:t>
            </w:r>
          </w:p>
        </w:tc>
      </w:tr>
      <w:tr w:rsidR="00A14AE8" w:rsidRPr="005546AF" w14:paraId="3D014530"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746CBF5C" w14:textId="77777777" w:rsidR="00A14AE8" w:rsidRPr="00091680" w:rsidRDefault="00A14AE8" w:rsidP="008D7821">
            <w:pPr>
              <w:spacing w:after="0" w:line="240" w:lineRule="auto"/>
              <w:ind w:left="170"/>
              <w:jc w:val="left"/>
              <w:rPr>
                <w:rFonts w:ascii="Arial" w:hAnsi="Arial" w:cs="Arial"/>
                <w:sz w:val="16"/>
                <w:szCs w:val="16"/>
              </w:rPr>
            </w:pPr>
            <w:r w:rsidRPr="00091680">
              <w:rPr>
                <w:rFonts w:ascii="Arial" w:hAnsi="Arial" w:cs="Arial"/>
                <w:sz w:val="16"/>
                <w:szCs w:val="16"/>
              </w:rPr>
              <w:t>Government securities(a)</w:t>
            </w:r>
          </w:p>
        </w:tc>
        <w:tc>
          <w:tcPr>
            <w:tcW w:w="585" w:type="pct"/>
            <w:tcBorders>
              <w:top w:val="nil"/>
              <w:left w:val="nil"/>
              <w:bottom w:val="nil"/>
              <w:right w:val="nil"/>
            </w:tcBorders>
            <w:shd w:val="clear" w:color="auto" w:fill="auto"/>
            <w:noWrap/>
            <w:vAlign w:val="center"/>
            <w:hideMark/>
          </w:tcPr>
          <w:p w14:paraId="0AF62DAD"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929,091</w:t>
            </w:r>
          </w:p>
        </w:tc>
        <w:tc>
          <w:tcPr>
            <w:tcW w:w="546" w:type="pct"/>
            <w:tcBorders>
              <w:top w:val="nil"/>
              <w:left w:val="nil"/>
              <w:bottom w:val="nil"/>
              <w:right w:val="nil"/>
            </w:tcBorders>
            <w:shd w:val="clear" w:color="000000" w:fill="F2F9FC"/>
            <w:noWrap/>
            <w:vAlign w:val="center"/>
            <w:hideMark/>
          </w:tcPr>
          <w:p w14:paraId="21430610"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1,004,288</w:t>
            </w:r>
          </w:p>
        </w:tc>
        <w:tc>
          <w:tcPr>
            <w:tcW w:w="546" w:type="pct"/>
            <w:tcBorders>
              <w:top w:val="nil"/>
              <w:left w:val="nil"/>
              <w:bottom w:val="nil"/>
              <w:right w:val="nil"/>
            </w:tcBorders>
            <w:shd w:val="clear" w:color="auto" w:fill="auto"/>
            <w:noWrap/>
            <w:vAlign w:val="center"/>
            <w:hideMark/>
          </w:tcPr>
          <w:p w14:paraId="234C60D7"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1,087,754</w:t>
            </w:r>
          </w:p>
        </w:tc>
        <w:tc>
          <w:tcPr>
            <w:tcW w:w="546" w:type="pct"/>
            <w:tcBorders>
              <w:top w:val="nil"/>
              <w:left w:val="nil"/>
              <w:bottom w:val="nil"/>
              <w:right w:val="nil"/>
            </w:tcBorders>
            <w:shd w:val="clear" w:color="auto" w:fill="auto"/>
            <w:noWrap/>
            <w:vAlign w:val="center"/>
            <w:hideMark/>
          </w:tcPr>
          <w:p w14:paraId="442BE774"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1,152,547</w:t>
            </w:r>
          </w:p>
        </w:tc>
        <w:tc>
          <w:tcPr>
            <w:tcW w:w="546" w:type="pct"/>
            <w:tcBorders>
              <w:top w:val="nil"/>
              <w:left w:val="nil"/>
              <w:bottom w:val="nil"/>
              <w:right w:val="nil"/>
            </w:tcBorders>
            <w:shd w:val="clear" w:color="auto" w:fill="auto"/>
            <w:noWrap/>
            <w:vAlign w:val="center"/>
            <w:hideMark/>
          </w:tcPr>
          <w:p w14:paraId="635B34B1"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1,206,526</w:t>
            </w:r>
          </w:p>
        </w:tc>
      </w:tr>
      <w:tr w:rsidR="00A14AE8" w:rsidRPr="005546AF" w14:paraId="368E2CA7"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74C828F0" w14:textId="77777777" w:rsidR="00A14AE8" w:rsidRPr="00091680" w:rsidRDefault="00A14AE8" w:rsidP="008D7821">
            <w:pPr>
              <w:spacing w:after="0" w:line="240" w:lineRule="auto"/>
              <w:ind w:left="170"/>
              <w:jc w:val="left"/>
              <w:rPr>
                <w:rFonts w:ascii="Arial" w:hAnsi="Arial" w:cs="Arial"/>
                <w:sz w:val="16"/>
                <w:szCs w:val="16"/>
              </w:rPr>
            </w:pPr>
            <w:r w:rsidRPr="00091680">
              <w:rPr>
                <w:rFonts w:ascii="Arial" w:hAnsi="Arial" w:cs="Arial"/>
                <w:sz w:val="16"/>
                <w:szCs w:val="16"/>
              </w:rPr>
              <w:t>Loans</w:t>
            </w:r>
          </w:p>
        </w:tc>
        <w:tc>
          <w:tcPr>
            <w:tcW w:w="585" w:type="pct"/>
            <w:tcBorders>
              <w:top w:val="nil"/>
              <w:left w:val="nil"/>
              <w:bottom w:val="nil"/>
              <w:right w:val="nil"/>
            </w:tcBorders>
            <w:shd w:val="clear" w:color="auto" w:fill="auto"/>
            <w:noWrap/>
            <w:vAlign w:val="center"/>
            <w:hideMark/>
          </w:tcPr>
          <w:p w14:paraId="3DD76B9C"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29,640</w:t>
            </w:r>
          </w:p>
        </w:tc>
        <w:tc>
          <w:tcPr>
            <w:tcW w:w="546" w:type="pct"/>
            <w:tcBorders>
              <w:top w:val="nil"/>
              <w:left w:val="nil"/>
              <w:bottom w:val="nil"/>
              <w:right w:val="nil"/>
            </w:tcBorders>
            <w:shd w:val="clear" w:color="000000" w:fill="F2F9FC"/>
            <w:noWrap/>
            <w:vAlign w:val="center"/>
            <w:hideMark/>
          </w:tcPr>
          <w:p w14:paraId="0C481338"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29,583</w:t>
            </w:r>
          </w:p>
        </w:tc>
        <w:tc>
          <w:tcPr>
            <w:tcW w:w="546" w:type="pct"/>
            <w:tcBorders>
              <w:top w:val="nil"/>
              <w:left w:val="nil"/>
              <w:bottom w:val="nil"/>
              <w:right w:val="nil"/>
            </w:tcBorders>
            <w:shd w:val="clear" w:color="auto" w:fill="auto"/>
            <w:noWrap/>
            <w:vAlign w:val="center"/>
            <w:hideMark/>
          </w:tcPr>
          <w:p w14:paraId="44161320"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29,403</w:t>
            </w:r>
          </w:p>
        </w:tc>
        <w:tc>
          <w:tcPr>
            <w:tcW w:w="546" w:type="pct"/>
            <w:tcBorders>
              <w:top w:val="nil"/>
              <w:left w:val="nil"/>
              <w:bottom w:val="nil"/>
              <w:right w:val="nil"/>
            </w:tcBorders>
            <w:shd w:val="clear" w:color="auto" w:fill="auto"/>
            <w:noWrap/>
            <w:vAlign w:val="center"/>
            <w:hideMark/>
          </w:tcPr>
          <w:p w14:paraId="1DE88CEA"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29,151</w:t>
            </w:r>
          </w:p>
        </w:tc>
        <w:tc>
          <w:tcPr>
            <w:tcW w:w="546" w:type="pct"/>
            <w:tcBorders>
              <w:top w:val="nil"/>
              <w:left w:val="nil"/>
              <w:bottom w:val="nil"/>
              <w:right w:val="nil"/>
            </w:tcBorders>
            <w:shd w:val="clear" w:color="auto" w:fill="auto"/>
            <w:noWrap/>
            <w:vAlign w:val="center"/>
            <w:hideMark/>
          </w:tcPr>
          <w:p w14:paraId="7D72C21F"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28,837</w:t>
            </w:r>
          </w:p>
        </w:tc>
      </w:tr>
      <w:tr w:rsidR="00A14AE8" w:rsidRPr="005546AF" w14:paraId="0FAA1DCB"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0753D338" w14:textId="77777777" w:rsidR="00A14AE8" w:rsidRPr="00091680" w:rsidRDefault="00A14AE8" w:rsidP="008D7821">
            <w:pPr>
              <w:spacing w:after="0" w:line="240" w:lineRule="auto"/>
              <w:ind w:left="170"/>
              <w:jc w:val="left"/>
              <w:rPr>
                <w:rFonts w:ascii="Arial" w:hAnsi="Arial" w:cs="Arial"/>
                <w:sz w:val="16"/>
                <w:szCs w:val="16"/>
              </w:rPr>
            </w:pPr>
            <w:r w:rsidRPr="00091680">
              <w:rPr>
                <w:rFonts w:ascii="Arial" w:hAnsi="Arial" w:cs="Arial"/>
                <w:sz w:val="16"/>
                <w:szCs w:val="16"/>
              </w:rPr>
              <w:t>Other borrowing</w:t>
            </w:r>
          </w:p>
        </w:tc>
        <w:tc>
          <w:tcPr>
            <w:tcW w:w="585" w:type="pct"/>
            <w:tcBorders>
              <w:top w:val="nil"/>
              <w:left w:val="nil"/>
              <w:bottom w:val="nil"/>
              <w:right w:val="nil"/>
            </w:tcBorders>
            <w:shd w:val="clear" w:color="auto" w:fill="auto"/>
            <w:noWrap/>
            <w:vAlign w:val="center"/>
            <w:hideMark/>
          </w:tcPr>
          <w:p w14:paraId="35DAC8F0"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19,901</w:t>
            </w:r>
          </w:p>
        </w:tc>
        <w:tc>
          <w:tcPr>
            <w:tcW w:w="546" w:type="pct"/>
            <w:tcBorders>
              <w:top w:val="nil"/>
              <w:left w:val="nil"/>
              <w:bottom w:val="nil"/>
              <w:right w:val="nil"/>
            </w:tcBorders>
            <w:shd w:val="clear" w:color="000000" w:fill="F2F9FC"/>
            <w:noWrap/>
            <w:vAlign w:val="center"/>
            <w:hideMark/>
          </w:tcPr>
          <w:p w14:paraId="255B5E81"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20,068</w:t>
            </w:r>
          </w:p>
        </w:tc>
        <w:tc>
          <w:tcPr>
            <w:tcW w:w="546" w:type="pct"/>
            <w:tcBorders>
              <w:top w:val="nil"/>
              <w:left w:val="nil"/>
              <w:bottom w:val="nil"/>
              <w:right w:val="nil"/>
            </w:tcBorders>
            <w:shd w:val="clear" w:color="auto" w:fill="auto"/>
            <w:noWrap/>
            <w:vAlign w:val="center"/>
            <w:hideMark/>
          </w:tcPr>
          <w:p w14:paraId="3D4540FF"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19,421</w:t>
            </w:r>
          </w:p>
        </w:tc>
        <w:tc>
          <w:tcPr>
            <w:tcW w:w="546" w:type="pct"/>
            <w:tcBorders>
              <w:top w:val="nil"/>
              <w:left w:val="nil"/>
              <w:bottom w:val="nil"/>
              <w:right w:val="nil"/>
            </w:tcBorders>
            <w:shd w:val="clear" w:color="auto" w:fill="auto"/>
            <w:noWrap/>
            <w:vAlign w:val="center"/>
            <w:hideMark/>
          </w:tcPr>
          <w:p w14:paraId="24DB5114"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18,370</w:t>
            </w:r>
          </w:p>
        </w:tc>
        <w:tc>
          <w:tcPr>
            <w:tcW w:w="546" w:type="pct"/>
            <w:tcBorders>
              <w:top w:val="nil"/>
              <w:left w:val="nil"/>
              <w:bottom w:val="nil"/>
              <w:right w:val="nil"/>
            </w:tcBorders>
            <w:shd w:val="clear" w:color="auto" w:fill="auto"/>
            <w:noWrap/>
            <w:vAlign w:val="center"/>
            <w:hideMark/>
          </w:tcPr>
          <w:p w14:paraId="0CC228F6"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16,962</w:t>
            </w:r>
          </w:p>
        </w:tc>
      </w:tr>
      <w:tr w:rsidR="00A14AE8" w:rsidRPr="005546AF" w14:paraId="6CDFDDF0"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0C459F9C" w14:textId="77777777" w:rsidR="00A14AE8" w:rsidRPr="00091680" w:rsidRDefault="00A14AE8" w:rsidP="008D7821">
            <w:pPr>
              <w:spacing w:after="0" w:line="240" w:lineRule="auto"/>
              <w:ind w:left="170"/>
              <w:jc w:val="left"/>
              <w:rPr>
                <w:rFonts w:ascii="Arial" w:hAnsi="Arial" w:cs="Arial"/>
                <w:b/>
                <w:sz w:val="16"/>
                <w:szCs w:val="16"/>
              </w:rPr>
            </w:pPr>
            <w:r w:rsidRPr="00091680">
              <w:rPr>
                <w:rFonts w:ascii="Arial" w:hAnsi="Arial" w:cs="Arial"/>
                <w:b/>
                <w:sz w:val="16"/>
                <w:szCs w:val="16"/>
              </w:rPr>
              <w:t>Total liabilities included in net debt</w:t>
            </w:r>
          </w:p>
        </w:tc>
        <w:tc>
          <w:tcPr>
            <w:tcW w:w="585" w:type="pct"/>
            <w:tcBorders>
              <w:top w:val="nil"/>
              <w:left w:val="nil"/>
              <w:bottom w:val="nil"/>
              <w:right w:val="nil"/>
            </w:tcBorders>
            <w:shd w:val="clear" w:color="auto" w:fill="auto"/>
            <w:noWrap/>
            <w:vAlign w:val="center"/>
            <w:hideMark/>
          </w:tcPr>
          <w:p w14:paraId="6608D340"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979,230</w:t>
            </w:r>
          </w:p>
        </w:tc>
        <w:tc>
          <w:tcPr>
            <w:tcW w:w="546" w:type="pct"/>
            <w:tcBorders>
              <w:top w:val="nil"/>
              <w:left w:val="nil"/>
              <w:bottom w:val="nil"/>
              <w:right w:val="nil"/>
            </w:tcBorders>
            <w:shd w:val="clear" w:color="000000" w:fill="F2F9FC"/>
            <w:noWrap/>
            <w:vAlign w:val="center"/>
            <w:hideMark/>
          </w:tcPr>
          <w:p w14:paraId="7B9D2533"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1,054,537</w:t>
            </w:r>
          </w:p>
        </w:tc>
        <w:tc>
          <w:tcPr>
            <w:tcW w:w="546" w:type="pct"/>
            <w:tcBorders>
              <w:top w:val="nil"/>
              <w:left w:val="nil"/>
              <w:bottom w:val="nil"/>
              <w:right w:val="nil"/>
            </w:tcBorders>
            <w:shd w:val="clear" w:color="auto" w:fill="auto"/>
            <w:noWrap/>
            <w:vAlign w:val="center"/>
            <w:hideMark/>
          </w:tcPr>
          <w:p w14:paraId="56A90565"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1,137,176</w:t>
            </w:r>
          </w:p>
        </w:tc>
        <w:tc>
          <w:tcPr>
            <w:tcW w:w="546" w:type="pct"/>
            <w:tcBorders>
              <w:top w:val="nil"/>
              <w:left w:val="nil"/>
              <w:bottom w:val="nil"/>
              <w:right w:val="nil"/>
            </w:tcBorders>
            <w:shd w:val="clear" w:color="auto" w:fill="auto"/>
            <w:noWrap/>
            <w:vAlign w:val="center"/>
            <w:hideMark/>
          </w:tcPr>
          <w:p w14:paraId="2D40D4E0"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1,200,665</w:t>
            </w:r>
          </w:p>
        </w:tc>
        <w:tc>
          <w:tcPr>
            <w:tcW w:w="546" w:type="pct"/>
            <w:tcBorders>
              <w:top w:val="nil"/>
              <w:left w:val="nil"/>
              <w:bottom w:val="nil"/>
              <w:right w:val="nil"/>
            </w:tcBorders>
            <w:shd w:val="clear" w:color="auto" w:fill="auto"/>
            <w:noWrap/>
            <w:vAlign w:val="center"/>
            <w:hideMark/>
          </w:tcPr>
          <w:p w14:paraId="2B335F68"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1,252,923</w:t>
            </w:r>
          </w:p>
        </w:tc>
      </w:tr>
      <w:tr w:rsidR="00A14AE8" w:rsidRPr="005546AF" w14:paraId="4E943C7C" w14:textId="77777777" w:rsidTr="00F35F66">
        <w:trPr>
          <w:divId w:val="1855420266"/>
          <w:trHeight w:hRule="exact" w:val="60"/>
        </w:trPr>
        <w:tc>
          <w:tcPr>
            <w:tcW w:w="2232" w:type="pct"/>
            <w:tcBorders>
              <w:top w:val="nil"/>
              <w:left w:val="nil"/>
              <w:bottom w:val="nil"/>
              <w:right w:val="nil"/>
            </w:tcBorders>
            <w:shd w:val="clear" w:color="auto" w:fill="auto"/>
            <w:noWrap/>
            <w:vAlign w:val="center"/>
            <w:hideMark/>
          </w:tcPr>
          <w:p w14:paraId="63523320" w14:textId="77777777" w:rsidR="00A14AE8" w:rsidRPr="00091680" w:rsidRDefault="00A14AE8" w:rsidP="008D7821">
            <w:pPr>
              <w:spacing w:after="0" w:line="240" w:lineRule="auto"/>
              <w:jc w:val="right"/>
              <w:rPr>
                <w:rFonts w:ascii="Arial" w:hAnsi="Arial" w:cs="Arial"/>
                <w:sz w:val="16"/>
                <w:szCs w:val="16"/>
              </w:rPr>
            </w:pPr>
          </w:p>
        </w:tc>
        <w:tc>
          <w:tcPr>
            <w:tcW w:w="585" w:type="pct"/>
            <w:tcBorders>
              <w:top w:val="nil"/>
              <w:left w:val="nil"/>
              <w:bottom w:val="nil"/>
              <w:right w:val="nil"/>
            </w:tcBorders>
            <w:shd w:val="clear" w:color="auto" w:fill="auto"/>
            <w:noWrap/>
            <w:vAlign w:val="center"/>
            <w:hideMark/>
          </w:tcPr>
          <w:p w14:paraId="6380450A" w14:textId="77777777" w:rsidR="00A14AE8" w:rsidRPr="00091680" w:rsidRDefault="00A14AE8" w:rsidP="008D7821">
            <w:pPr>
              <w:spacing w:after="0" w:line="240" w:lineRule="auto"/>
              <w:jc w:val="left"/>
              <w:rPr>
                <w:rFonts w:ascii="Times New Roman" w:hAnsi="Times New Roman"/>
              </w:rPr>
            </w:pPr>
          </w:p>
        </w:tc>
        <w:tc>
          <w:tcPr>
            <w:tcW w:w="546" w:type="pct"/>
            <w:tcBorders>
              <w:top w:val="nil"/>
              <w:left w:val="nil"/>
              <w:bottom w:val="nil"/>
              <w:right w:val="nil"/>
            </w:tcBorders>
            <w:shd w:val="clear" w:color="000000" w:fill="F2F9FC"/>
            <w:noWrap/>
            <w:vAlign w:val="center"/>
            <w:hideMark/>
          </w:tcPr>
          <w:p w14:paraId="4AE5787C" w14:textId="77777777" w:rsidR="00A14AE8" w:rsidRPr="00091680" w:rsidRDefault="00A14AE8" w:rsidP="008D7821">
            <w:pPr>
              <w:spacing w:after="0" w:line="240" w:lineRule="auto"/>
              <w:jc w:val="left"/>
              <w:rPr>
                <w:rFonts w:ascii="Arial" w:hAnsi="Arial" w:cs="Arial"/>
                <w:sz w:val="16"/>
                <w:szCs w:val="16"/>
              </w:rPr>
            </w:pPr>
            <w:r w:rsidRPr="00091680">
              <w:rPr>
                <w:rFonts w:ascii="Arial" w:hAnsi="Arial" w:cs="Arial"/>
                <w:sz w:val="16"/>
                <w:szCs w:val="16"/>
              </w:rPr>
              <w:t> </w:t>
            </w:r>
          </w:p>
        </w:tc>
        <w:tc>
          <w:tcPr>
            <w:tcW w:w="546" w:type="pct"/>
            <w:tcBorders>
              <w:top w:val="nil"/>
              <w:left w:val="nil"/>
              <w:bottom w:val="nil"/>
              <w:right w:val="nil"/>
            </w:tcBorders>
            <w:shd w:val="clear" w:color="auto" w:fill="auto"/>
            <w:noWrap/>
            <w:vAlign w:val="center"/>
            <w:hideMark/>
          </w:tcPr>
          <w:p w14:paraId="604BFD71" w14:textId="77777777" w:rsidR="00A14AE8" w:rsidRPr="00091680" w:rsidRDefault="00A14AE8" w:rsidP="008D7821">
            <w:pPr>
              <w:spacing w:after="0" w:line="240" w:lineRule="auto"/>
              <w:jc w:val="left"/>
              <w:rPr>
                <w:rFonts w:ascii="Arial" w:hAnsi="Arial" w:cs="Arial"/>
                <w:sz w:val="16"/>
                <w:szCs w:val="16"/>
              </w:rPr>
            </w:pPr>
          </w:p>
        </w:tc>
        <w:tc>
          <w:tcPr>
            <w:tcW w:w="546" w:type="pct"/>
            <w:tcBorders>
              <w:top w:val="nil"/>
              <w:left w:val="nil"/>
              <w:bottom w:val="nil"/>
              <w:right w:val="nil"/>
            </w:tcBorders>
            <w:shd w:val="clear" w:color="auto" w:fill="auto"/>
            <w:noWrap/>
            <w:vAlign w:val="center"/>
            <w:hideMark/>
          </w:tcPr>
          <w:p w14:paraId="5E46D46E" w14:textId="77777777" w:rsidR="00A14AE8" w:rsidRPr="00091680" w:rsidRDefault="00A14AE8" w:rsidP="008D7821">
            <w:pPr>
              <w:spacing w:after="0" w:line="240" w:lineRule="auto"/>
              <w:jc w:val="left"/>
              <w:rPr>
                <w:rFonts w:ascii="Times New Roman" w:hAnsi="Times New Roman"/>
              </w:rPr>
            </w:pPr>
          </w:p>
        </w:tc>
        <w:tc>
          <w:tcPr>
            <w:tcW w:w="546" w:type="pct"/>
            <w:tcBorders>
              <w:top w:val="nil"/>
              <w:left w:val="nil"/>
              <w:bottom w:val="nil"/>
              <w:right w:val="nil"/>
            </w:tcBorders>
            <w:shd w:val="clear" w:color="auto" w:fill="auto"/>
            <w:noWrap/>
            <w:vAlign w:val="center"/>
            <w:hideMark/>
          </w:tcPr>
          <w:p w14:paraId="5E506DE1" w14:textId="77777777" w:rsidR="00A14AE8" w:rsidRPr="00091680" w:rsidRDefault="00A14AE8" w:rsidP="008D7821">
            <w:pPr>
              <w:spacing w:after="0" w:line="240" w:lineRule="auto"/>
              <w:jc w:val="left"/>
              <w:rPr>
                <w:rFonts w:ascii="Times New Roman" w:hAnsi="Times New Roman"/>
              </w:rPr>
            </w:pPr>
          </w:p>
        </w:tc>
      </w:tr>
      <w:tr w:rsidR="00A14AE8" w:rsidRPr="005546AF" w14:paraId="16DDC82C"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27E14288" w14:textId="77777777" w:rsidR="00A14AE8" w:rsidRPr="00091680" w:rsidRDefault="00A14AE8" w:rsidP="008D7821">
            <w:pPr>
              <w:spacing w:after="0" w:line="240" w:lineRule="auto"/>
              <w:jc w:val="left"/>
              <w:rPr>
                <w:rFonts w:ascii="Arial" w:hAnsi="Arial" w:cs="Arial"/>
                <w:b/>
                <w:sz w:val="16"/>
                <w:szCs w:val="16"/>
              </w:rPr>
            </w:pPr>
            <w:r w:rsidRPr="00091680">
              <w:rPr>
                <w:rFonts w:ascii="Arial" w:hAnsi="Arial" w:cs="Arial"/>
                <w:b/>
                <w:sz w:val="16"/>
                <w:szCs w:val="16"/>
              </w:rPr>
              <w:t>Assets included in net debt</w:t>
            </w:r>
          </w:p>
        </w:tc>
        <w:tc>
          <w:tcPr>
            <w:tcW w:w="585" w:type="pct"/>
            <w:tcBorders>
              <w:top w:val="nil"/>
              <w:left w:val="nil"/>
              <w:bottom w:val="nil"/>
              <w:right w:val="nil"/>
            </w:tcBorders>
            <w:shd w:val="clear" w:color="auto" w:fill="auto"/>
            <w:noWrap/>
            <w:vAlign w:val="center"/>
            <w:hideMark/>
          </w:tcPr>
          <w:p w14:paraId="07C21AF3" w14:textId="77777777" w:rsidR="00A14AE8" w:rsidRPr="00091680" w:rsidRDefault="00A14AE8" w:rsidP="008D7821">
            <w:pPr>
              <w:spacing w:after="0" w:line="240" w:lineRule="auto"/>
              <w:jc w:val="left"/>
              <w:rPr>
                <w:rFonts w:ascii="Arial" w:hAnsi="Arial" w:cs="Arial"/>
                <w:b/>
                <w:sz w:val="16"/>
                <w:szCs w:val="16"/>
              </w:rPr>
            </w:pPr>
          </w:p>
        </w:tc>
        <w:tc>
          <w:tcPr>
            <w:tcW w:w="546" w:type="pct"/>
            <w:tcBorders>
              <w:top w:val="nil"/>
              <w:left w:val="nil"/>
              <w:bottom w:val="nil"/>
              <w:right w:val="nil"/>
            </w:tcBorders>
            <w:shd w:val="clear" w:color="000000" w:fill="F2F9FC"/>
            <w:noWrap/>
            <w:vAlign w:val="center"/>
            <w:hideMark/>
          </w:tcPr>
          <w:p w14:paraId="3C9090F4" w14:textId="77777777" w:rsidR="00A14AE8" w:rsidRPr="00091680" w:rsidRDefault="00A14AE8" w:rsidP="008D7821">
            <w:pPr>
              <w:spacing w:after="0" w:line="240" w:lineRule="auto"/>
              <w:jc w:val="left"/>
              <w:rPr>
                <w:rFonts w:ascii="Arial" w:hAnsi="Arial" w:cs="Arial"/>
                <w:sz w:val="16"/>
                <w:szCs w:val="16"/>
              </w:rPr>
            </w:pPr>
            <w:r w:rsidRPr="00091680">
              <w:rPr>
                <w:rFonts w:ascii="Arial" w:hAnsi="Arial" w:cs="Arial"/>
                <w:sz w:val="16"/>
                <w:szCs w:val="16"/>
              </w:rPr>
              <w:t> </w:t>
            </w:r>
          </w:p>
        </w:tc>
        <w:tc>
          <w:tcPr>
            <w:tcW w:w="546" w:type="pct"/>
            <w:tcBorders>
              <w:top w:val="nil"/>
              <w:left w:val="nil"/>
              <w:bottom w:val="nil"/>
              <w:right w:val="nil"/>
            </w:tcBorders>
            <w:shd w:val="clear" w:color="auto" w:fill="auto"/>
            <w:noWrap/>
            <w:vAlign w:val="center"/>
            <w:hideMark/>
          </w:tcPr>
          <w:p w14:paraId="1115AEB8" w14:textId="77777777" w:rsidR="00A14AE8" w:rsidRPr="00091680" w:rsidRDefault="00A14AE8" w:rsidP="008D7821">
            <w:pPr>
              <w:spacing w:after="0" w:line="240" w:lineRule="auto"/>
              <w:jc w:val="left"/>
              <w:rPr>
                <w:rFonts w:ascii="Arial" w:hAnsi="Arial" w:cs="Arial"/>
                <w:sz w:val="16"/>
                <w:szCs w:val="16"/>
              </w:rPr>
            </w:pPr>
          </w:p>
        </w:tc>
        <w:tc>
          <w:tcPr>
            <w:tcW w:w="546" w:type="pct"/>
            <w:tcBorders>
              <w:top w:val="nil"/>
              <w:left w:val="nil"/>
              <w:bottom w:val="nil"/>
              <w:right w:val="nil"/>
            </w:tcBorders>
            <w:shd w:val="clear" w:color="auto" w:fill="auto"/>
            <w:noWrap/>
            <w:vAlign w:val="center"/>
            <w:hideMark/>
          </w:tcPr>
          <w:p w14:paraId="07DC86AA" w14:textId="77777777" w:rsidR="00A14AE8" w:rsidRPr="00091680" w:rsidRDefault="00A14AE8" w:rsidP="008D7821">
            <w:pPr>
              <w:spacing w:after="0" w:line="240" w:lineRule="auto"/>
              <w:jc w:val="left"/>
              <w:rPr>
                <w:rFonts w:ascii="Times New Roman" w:hAnsi="Times New Roman"/>
              </w:rPr>
            </w:pPr>
          </w:p>
        </w:tc>
        <w:tc>
          <w:tcPr>
            <w:tcW w:w="546" w:type="pct"/>
            <w:tcBorders>
              <w:top w:val="nil"/>
              <w:left w:val="nil"/>
              <w:bottom w:val="nil"/>
              <w:right w:val="nil"/>
            </w:tcBorders>
            <w:shd w:val="clear" w:color="auto" w:fill="auto"/>
            <w:noWrap/>
            <w:vAlign w:val="center"/>
            <w:hideMark/>
          </w:tcPr>
          <w:p w14:paraId="3226D59D" w14:textId="77777777" w:rsidR="00A14AE8" w:rsidRPr="00091680" w:rsidRDefault="00A14AE8" w:rsidP="008D7821">
            <w:pPr>
              <w:spacing w:after="0" w:line="240" w:lineRule="auto"/>
              <w:jc w:val="left"/>
              <w:rPr>
                <w:rFonts w:ascii="Times New Roman" w:hAnsi="Times New Roman"/>
              </w:rPr>
            </w:pPr>
          </w:p>
        </w:tc>
      </w:tr>
      <w:tr w:rsidR="00A14AE8" w:rsidRPr="005546AF" w14:paraId="1A19F253"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5554F52F" w14:textId="77777777" w:rsidR="00A14AE8" w:rsidRPr="00091680" w:rsidRDefault="00A14AE8" w:rsidP="008D7821">
            <w:pPr>
              <w:spacing w:after="0" w:line="240" w:lineRule="auto"/>
              <w:ind w:left="170"/>
              <w:jc w:val="left"/>
              <w:rPr>
                <w:rFonts w:ascii="Arial" w:hAnsi="Arial" w:cs="Arial"/>
                <w:sz w:val="16"/>
                <w:szCs w:val="16"/>
              </w:rPr>
            </w:pPr>
            <w:r w:rsidRPr="00091680">
              <w:rPr>
                <w:rFonts w:ascii="Arial" w:hAnsi="Arial" w:cs="Arial"/>
                <w:sz w:val="16"/>
                <w:szCs w:val="16"/>
              </w:rPr>
              <w:t>Cash and deposits</w:t>
            </w:r>
          </w:p>
        </w:tc>
        <w:tc>
          <w:tcPr>
            <w:tcW w:w="585" w:type="pct"/>
            <w:tcBorders>
              <w:top w:val="nil"/>
              <w:left w:val="nil"/>
              <w:bottom w:val="nil"/>
              <w:right w:val="nil"/>
            </w:tcBorders>
            <w:shd w:val="clear" w:color="auto" w:fill="auto"/>
            <w:noWrap/>
            <w:vAlign w:val="center"/>
            <w:hideMark/>
          </w:tcPr>
          <w:p w14:paraId="374EE491"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62,206</w:t>
            </w:r>
          </w:p>
        </w:tc>
        <w:tc>
          <w:tcPr>
            <w:tcW w:w="546" w:type="pct"/>
            <w:tcBorders>
              <w:top w:val="nil"/>
              <w:left w:val="nil"/>
              <w:bottom w:val="nil"/>
              <w:right w:val="nil"/>
            </w:tcBorders>
            <w:shd w:val="clear" w:color="000000" w:fill="F2F9FC"/>
            <w:noWrap/>
            <w:vAlign w:val="center"/>
            <w:hideMark/>
          </w:tcPr>
          <w:p w14:paraId="68A35601"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36,061</w:t>
            </w:r>
          </w:p>
        </w:tc>
        <w:tc>
          <w:tcPr>
            <w:tcW w:w="546" w:type="pct"/>
            <w:tcBorders>
              <w:top w:val="nil"/>
              <w:left w:val="nil"/>
              <w:bottom w:val="nil"/>
              <w:right w:val="nil"/>
            </w:tcBorders>
            <w:shd w:val="clear" w:color="auto" w:fill="auto"/>
            <w:noWrap/>
            <w:vAlign w:val="center"/>
            <w:hideMark/>
          </w:tcPr>
          <w:p w14:paraId="5D276191"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49,275</w:t>
            </w:r>
          </w:p>
        </w:tc>
        <w:tc>
          <w:tcPr>
            <w:tcW w:w="546" w:type="pct"/>
            <w:tcBorders>
              <w:top w:val="nil"/>
              <w:left w:val="nil"/>
              <w:bottom w:val="nil"/>
              <w:right w:val="nil"/>
            </w:tcBorders>
            <w:shd w:val="clear" w:color="auto" w:fill="auto"/>
            <w:noWrap/>
            <w:vAlign w:val="center"/>
            <w:hideMark/>
          </w:tcPr>
          <w:p w14:paraId="4AD6E585"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50,588</w:t>
            </w:r>
          </w:p>
        </w:tc>
        <w:tc>
          <w:tcPr>
            <w:tcW w:w="546" w:type="pct"/>
            <w:tcBorders>
              <w:top w:val="nil"/>
              <w:left w:val="nil"/>
              <w:bottom w:val="nil"/>
              <w:right w:val="nil"/>
            </w:tcBorders>
            <w:shd w:val="clear" w:color="auto" w:fill="auto"/>
            <w:noWrap/>
            <w:vAlign w:val="center"/>
            <w:hideMark/>
          </w:tcPr>
          <w:p w14:paraId="31300419"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51,253</w:t>
            </w:r>
          </w:p>
        </w:tc>
      </w:tr>
      <w:tr w:rsidR="00A14AE8" w:rsidRPr="005546AF" w14:paraId="4097D3AC"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70721950" w14:textId="77777777" w:rsidR="00A14AE8" w:rsidRPr="00091680" w:rsidRDefault="00A14AE8" w:rsidP="008D7821">
            <w:pPr>
              <w:spacing w:after="0" w:line="240" w:lineRule="auto"/>
              <w:ind w:left="170"/>
              <w:jc w:val="left"/>
              <w:rPr>
                <w:rFonts w:ascii="Arial" w:hAnsi="Arial" w:cs="Arial"/>
                <w:sz w:val="16"/>
                <w:szCs w:val="16"/>
              </w:rPr>
            </w:pPr>
            <w:r w:rsidRPr="00091680">
              <w:rPr>
                <w:rFonts w:ascii="Arial" w:hAnsi="Arial" w:cs="Arial"/>
                <w:sz w:val="16"/>
                <w:szCs w:val="16"/>
              </w:rPr>
              <w:t>Advances paid</w:t>
            </w:r>
          </w:p>
        </w:tc>
        <w:tc>
          <w:tcPr>
            <w:tcW w:w="585" w:type="pct"/>
            <w:tcBorders>
              <w:top w:val="nil"/>
              <w:left w:val="nil"/>
              <w:bottom w:val="nil"/>
              <w:right w:val="nil"/>
            </w:tcBorders>
            <w:shd w:val="clear" w:color="auto" w:fill="auto"/>
            <w:noWrap/>
            <w:vAlign w:val="center"/>
            <w:hideMark/>
          </w:tcPr>
          <w:p w14:paraId="644216FC"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81,915</w:t>
            </w:r>
          </w:p>
        </w:tc>
        <w:tc>
          <w:tcPr>
            <w:tcW w:w="546" w:type="pct"/>
            <w:tcBorders>
              <w:top w:val="nil"/>
              <w:left w:val="nil"/>
              <w:bottom w:val="nil"/>
              <w:right w:val="nil"/>
            </w:tcBorders>
            <w:shd w:val="clear" w:color="000000" w:fill="F2F9FC"/>
            <w:noWrap/>
            <w:vAlign w:val="center"/>
            <w:hideMark/>
          </w:tcPr>
          <w:p w14:paraId="5678A460"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86,550</w:t>
            </w:r>
          </w:p>
        </w:tc>
        <w:tc>
          <w:tcPr>
            <w:tcW w:w="546" w:type="pct"/>
            <w:tcBorders>
              <w:top w:val="nil"/>
              <w:left w:val="nil"/>
              <w:bottom w:val="nil"/>
              <w:right w:val="nil"/>
            </w:tcBorders>
            <w:shd w:val="clear" w:color="auto" w:fill="auto"/>
            <w:noWrap/>
            <w:vAlign w:val="center"/>
            <w:hideMark/>
          </w:tcPr>
          <w:p w14:paraId="6D46E71D"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83,582</w:t>
            </w:r>
          </w:p>
        </w:tc>
        <w:tc>
          <w:tcPr>
            <w:tcW w:w="546" w:type="pct"/>
            <w:tcBorders>
              <w:top w:val="nil"/>
              <w:left w:val="nil"/>
              <w:bottom w:val="nil"/>
              <w:right w:val="nil"/>
            </w:tcBorders>
            <w:shd w:val="clear" w:color="auto" w:fill="auto"/>
            <w:noWrap/>
            <w:vAlign w:val="center"/>
            <w:hideMark/>
          </w:tcPr>
          <w:p w14:paraId="541D477C"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86,997</w:t>
            </w:r>
          </w:p>
        </w:tc>
        <w:tc>
          <w:tcPr>
            <w:tcW w:w="546" w:type="pct"/>
            <w:tcBorders>
              <w:top w:val="nil"/>
              <w:left w:val="nil"/>
              <w:bottom w:val="nil"/>
              <w:right w:val="nil"/>
            </w:tcBorders>
            <w:shd w:val="clear" w:color="auto" w:fill="auto"/>
            <w:noWrap/>
            <w:vAlign w:val="center"/>
            <w:hideMark/>
          </w:tcPr>
          <w:p w14:paraId="024C34F2"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89,438</w:t>
            </w:r>
          </w:p>
        </w:tc>
      </w:tr>
      <w:tr w:rsidR="00A14AE8" w:rsidRPr="005546AF" w14:paraId="46B31BB2"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1BA04A53" w14:textId="77777777" w:rsidR="00A14AE8" w:rsidRPr="00091680" w:rsidRDefault="00A14AE8" w:rsidP="008D7821">
            <w:pPr>
              <w:spacing w:after="0" w:line="240" w:lineRule="auto"/>
              <w:ind w:left="170"/>
              <w:jc w:val="left"/>
              <w:rPr>
                <w:rFonts w:ascii="Arial" w:hAnsi="Arial" w:cs="Arial"/>
                <w:sz w:val="16"/>
                <w:szCs w:val="16"/>
              </w:rPr>
            </w:pPr>
            <w:r w:rsidRPr="00091680">
              <w:rPr>
                <w:rFonts w:ascii="Arial" w:hAnsi="Arial" w:cs="Arial"/>
                <w:sz w:val="16"/>
                <w:szCs w:val="16"/>
              </w:rPr>
              <w:t>Investments, loans and placements</w:t>
            </w:r>
          </w:p>
        </w:tc>
        <w:tc>
          <w:tcPr>
            <w:tcW w:w="585" w:type="pct"/>
            <w:tcBorders>
              <w:top w:val="nil"/>
              <w:left w:val="nil"/>
              <w:bottom w:val="nil"/>
              <w:right w:val="nil"/>
            </w:tcBorders>
            <w:shd w:val="clear" w:color="auto" w:fill="auto"/>
            <w:noWrap/>
            <w:vAlign w:val="center"/>
            <w:hideMark/>
          </w:tcPr>
          <w:p w14:paraId="6F501EA7"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203,633</w:t>
            </w:r>
          </w:p>
        </w:tc>
        <w:tc>
          <w:tcPr>
            <w:tcW w:w="546" w:type="pct"/>
            <w:tcBorders>
              <w:top w:val="nil"/>
              <w:left w:val="nil"/>
              <w:bottom w:val="nil"/>
              <w:right w:val="nil"/>
            </w:tcBorders>
            <w:shd w:val="clear" w:color="000000" w:fill="F2F9FC"/>
            <w:noWrap/>
            <w:vAlign w:val="center"/>
            <w:hideMark/>
          </w:tcPr>
          <w:p w14:paraId="6FB4D7F6"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216,979</w:t>
            </w:r>
          </w:p>
        </w:tc>
        <w:tc>
          <w:tcPr>
            <w:tcW w:w="546" w:type="pct"/>
            <w:tcBorders>
              <w:top w:val="nil"/>
              <w:left w:val="nil"/>
              <w:bottom w:val="nil"/>
              <w:right w:val="nil"/>
            </w:tcBorders>
            <w:shd w:val="clear" w:color="auto" w:fill="auto"/>
            <w:noWrap/>
            <w:vAlign w:val="center"/>
            <w:hideMark/>
          </w:tcPr>
          <w:p w14:paraId="07CDFCC5"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232,197</w:t>
            </w:r>
          </w:p>
        </w:tc>
        <w:tc>
          <w:tcPr>
            <w:tcW w:w="546" w:type="pct"/>
            <w:tcBorders>
              <w:top w:val="nil"/>
              <w:left w:val="nil"/>
              <w:bottom w:val="nil"/>
              <w:right w:val="nil"/>
            </w:tcBorders>
            <w:shd w:val="clear" w:color="auto" w:fill="auto"/>
            <w:noWrap/>
            <w:vAlign w:val="center"/>
            <w:hideMark/>
          </w:tcPr>
          <w:p w14:paraId="0466C38C"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239,804</w:t>
            </w:r>
          </w:p>
        </w:tc>
        <w:tc>
          <w:tcPr>
            <w:tcW w:w="546" w:type="pct"/>
            <w:tcBorders>
              <w:top w:val="nil"/>
              <w:left w:val="nil"/>
              <w:bottom w:val="nil"/>
              <w:right w:val="nil"/>
            </w:tcBorders>
            <w:shd w:val="clear" w:color="auto" w:fill="auto"/>
            <w:noWrap/>
            <w:vAlign w:val="center"/>
            <w:hideMark/>
          </w:tcPr>
          <w:p w14:paraId="75688B40" w14:textId="77777777" w:rsidR="00A14AE8" w:rsidRPr="00091680" w:rsidRDefault="00A14AE8" w:rsidP="008D7821">
            <w:pPr>
              <w:spacing w:after="0" w:line="240" w:lineRule="auto"/>
              <w:jc w:val="right"/>
              <w:rPr>
                <w:rFonts w:ascii="Arial" w:hAnsi="Arial" w:cs="Arial"/>
                <w:sz w:val="16"/>
                <w:szCs w:val="16"/>
              </w:rPr>
            </w:pPr>
            <w:r w:rsidRPr="00091680">
              <w:rPr>
                <w:rFonts w:ascii="Arial" w:hAnsi="Arial" w:cs="Arial"/>
                <w:sz w:val="16"/>
                <w:szCs w:val="16"/>
              </w:rPr>
              <w:t>247,579</w:t>
            </w:r>
          </w:p>
        </w:tc>
      </w:tr>
      <w:tr w:rsidR="00A14AE8" w:rsidRPr="005546AF" w14:paraId="39ECD9B2" w14:textId="77777777" w:rsidTr="00F35F66">
        <w:trPr>
          <w:divId w:val="1855420266"/>
          <w:trHeight w:hRule="exact" w:val="225"/>
        </w:trPr>
        <w:tc>
          <w:tcPr>
            <w:tcW w:w="2232" w:type="pct"/>
            <w:tcBorders>
              <w:top w:val="nil"/>
              <w:left w:val="nil"/>
              <w:bottom w:val="nil"/>
              <w:right w:val="nil"/>
            </w:tcBorders>
            <w:shd w:val="clear" w:color="auto" w:fill="auto"/>
            <w:noWrap/>
            <w:vAlign w:val="center"/>
            <w:hideMark/>
          </w:tcPr>
          <w:p w14:paraId="603A68D5" w14:textId="77777777" w:rsidR="00A14AE8" w:rsidRPr="00091680" w:rsidRDefault="00A14AE8" w:rsidP="008D7821">
            <w:pPr>
              <w:spacing w:after="0" w:line="240" w:lineRule="auto"/>
              <w:ind w:left="170"/>
              <w:jc w:val="left"/>
              <w:rPr>
                <w:rFonts w:ascii="Arial" w:hAnsi="Arial" w:cs="Arial"/>
                <w:b/>
                <w:sz w:val="16"/>
                <w:szCs w:val="16"/>
              </w:rPr>
            </w:pPr>
            <w:r w:rsidRPr="00091680">
              <w:rPr>
                <w:rFonts w:ascii="Arial" w:hAnsi="Arial" w:cs="Arial"/>
                <w:b/>
                <w:sz w:val="16"/>
                <w:szCs w:val="16"/>
              </w:rPr>
              <w:t>Total assets included in net debt</w:t>
            </w:r>
          </w:p>
        </w:tc>
        <w:tc>
          <w:tcPr>
            <w:tcW w:w="585" w:type="pct"/>
            <w:tcBorders>
              <w:top w:val="nil"/>
              <w:left w:val="nil"/>
              <w:bottom w:val="nil"/>
              <w:right w:val="nil"/>
            </w:tcBorders>
            <w:shd w:val="clear" w:color="auto" w:fill="auto"/>
            <w:noWrap/>
            <w:vAlign w:val="center"/>
            <w:hideMark/>
          </w:tcPr>
          <w:p w14:paraId="3BD4A62B"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347,753</w:t>
            </w:r>
          </w:p>
        </w:tc>
        <w:tc>
          <w:tcPr>
            <w:tcW w:w="546" w:type="pct"/>
            <w:tcBorders>
              <w:top w:val="nil"/>
              <w:left w:val="nil"/>
              <w:bottom w:val="nil"/>
              <w:right w:val="nil"/>
            </w:tcBorders>
            <w:shd w:val="clear" w:color="000000" w:fill="F2F9FC"/>
            <w:noWrap/>
            <w:vAlign w:val="center"/>
            <w:hideMark/>
          </w:tcPr>
          <w:p w14:paraId="67F7A3F3"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339,589</w:t>
            </w:r>
          </w:p>
        </w:tc>
        <w:tc>
          <w:tcPr>
            <w:tcW w:w="546" w:type="pct"/>
            <w:tcBorders>
              <w:top w:val="nil"/>
              <w:left w:val="nil"/>
              <w:bottom w:val="nil"/>
              <w:right w:val="nil"/>
            </w:tcBorders>
            <w:shd w:val="clear" w:color="auto" w:fill="auto"/>
            <w:noWrap/>
            <w:vAlign w:val="center"/>
            <w:hideMark/>
          </w:tcPr>
          <w:p w14:paraId="2259836F"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365,053</w:t>
            </w:r>
          </w:p>
        </w:tc>
        <w:tc>
          <w:tcPr>
            <w:tcW w:w="546" w:type="pct"/>
            <w:tcBorders>
              <w:top w:val="nil"/>
              <w:left w:val="nil"/>
              <w:bottom w:val="nil"/>
              <w:right w:val="nil"/>
            </w:tcBorders>
            <w:shd w:val="clear" w:color="auto" w:fill="auto"/>
            <w:noWrap/>
            <w:vAlign w:val="center"/>
            <w:hideMark/>
          </w:tcPr>
          <w:p w14:paraId="5F141137"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377,388</w:t>
            </w:r>
          </w:p>
        </w:tc>
        <w:tc>
          <w:tcPr>
            <w:tcW w:w="546" w:type="pct"/>
            <w:tcBorders>
              <w:top w:val="nil"/>
              <w:left w:val="nil"/>
              <w:bottom w:val="nil"/>
              <w:right w:val="nil"/>
            </w:tcBorders>
            <w:shd w:val="clear" w:color="auto" w:fill="auto"/>
            <w:noWrap/>
            <w:vAlign w:val="center"/>
            <w:hideMark/>
          </w:tcPr>
          <w:p w14:paraId="1FE5474B"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388,271</w:t>
            </w:r>
          </w:p>
        </w:tc>
      </w:tr>
      <w:tr w:rsidR="00A14AE8" w:rsidRPr="005546AF" w14:paraId="5C8E45B6" w14:textId="77777777" w:rsidTr="00F35F66">
        <w:trPr>
          <w:divId w:val="1855420266"/>
          <w:trHeight w:hRule="exact" w:val="60"/>
        </w:trPr>
        <w:tc>
          <w:tcPr>
            <w:tcW w:w="2232" w:type="pct"/>
            <w:tcBorders>
              <w:top w:val="nil"/>
              <w:left w:val="nil"/>
              <w:bottom w:val="nil"/>
              <w:right w:val="nil"/>
            </w:tcBorders>
            <w:shd w:val="clear" w:color="auto" w:fill="auto"/>
            <w:noWrap/>
            <w:vAlign w:val="center"/>
            <w:hideMark/>
          </w:tcPr>
          <w:p w14:paraId="4E684626" w14:textId="77777777" w:rsidR="00A14AE8" w:rsidRPr="00091680" w:rsidRDefault="00A14AE8" w:rsidP="008D7821">
            <w:pPr>
              <w:spacing w:after="0" w:line="240" w:lineRule="auto"/>
              <w:jc w:val="right"/>
              <w:rPr>
                <w:rFonts w:ascii="Arial" w:hAnsi="Arial" w:cs="Arial"/>
                <w:b/>
                <w:sz w:val="16"/>
                <w:szCs w:val="16"/>
              </w:rPr>
            </w:pPr>
          </w:p>
        </w:tc>
        <w:tc>
          <w:tcPr>
            <w:tcW w:w="585" w:type="pct"/>
            <w:tcBorders>
              <w:top w:val="nil"/>
              <w:left w:val="nil"/>
              <w:bottom w:val="nil"/>
              <w:right w:val="nil"/>
            </w:tcBorders>
            <w:shd w:val="clear" w:color="auto" w:fill="auto"/>
            <w:noWrap/>
            <w:vAlign w:val="center"/>
            <w:hideMark/>
          </w:tcPr>
          <w:p w14:paraId="1157FA65" w14:textId="77777777" w:rsidR="00A14AE8" w:rsidRPr="00091680" w:rsidRDefault="00A14AE8" w:rsidP="008D7821">
            <w:pPr>
              <w:spacing w:after="0" w:line="240" w:lineRule="auto"/>
              <w:jc w:val="left"/>
              <w:rPr>
                <w:rFonts w:ascii="Times New Roman" w:hAnsi="Times New Roman"/>
              </w:rPr>
            </w:pPr>
          </w:p>
        </w:tc>
        <w:tc>
          <w:tcPr>
            <w:tcW w:w="546" w:type="pct"/>
            <w:tcBorders>
              <w:top w:val="nil"/>
              <w:left w:val="nil"/>
              <w:bottom w:val="nil"/>
              <w:right w:val="nil"/>
            </w:tcBorders>
            <w:shd w:val="clear" w:color="000000" w:fill="F2F9FC"/>
            <w:noWrap/>
            <w:vAlign w:val="center"/>
            <w:hideMark/>
          </w:tcPr>
          <w:p w14:paraId="772DBF51" w14:textId="77777777" w:rsidR="00A14AE8" w:rsidRPr="00091680" w:rsidRDefault="00A14AE8" w:rsidP="008D7821">
            <w:pPr>
              <w:spacing w:after="0" w:line="240" w:lineRule="auto"/>
              <w:jc w:val="left"/>
              <w:rPr>
                <w:rFonts w:ascii="Arial" w:hAnsi="Arial" w:cs="Arial"/>
                <w:b/>
                <w:sz w:val="16"/>
                <w:szCs w:val="16"/>
              </w:rPr>
            </w:pPr>
            <w:r w:rsidRPr="00091680">
              <w:rPr>
                <w:rFonts w:ascii="Arial" w:hAnsi="Arial" w:cs="Arial"/>
                <w:b/>
                <w:sz w:val="16"/>
                <w:szCs w:val="16"/>
              </w:rPr>
              <w:t> </w:t>
            </w:r>
          </w:p>
        </w:tc>
        <w:tc>
          <w:tcPr>
            <w:tcW w:w="546" w:type="pct"/>
            <w:tcBorders>
              <w:top w:val="nil"/>
              <w:left w:val="nil"/>
              <w:bottom w:val="nil"/>
              <w:right w:val="nil"/>
            </w:tcBorders>
            <w:shd w:val="clear" w:color="auto" w:fill="auto"/>
            <w:noWrap/>
            <w:vAlign w:val="center"/>
            <w:hideMark/>
          </w:tcPr>
          <w:p w14:paraId="31118355" w14:textId="77777777" w:rsidR="00A14AE8" w:rsidRPr="00091680" w:rsidRDefault="00A14AE8" w:rsidP="008D7821">
            <w:pPr>
              <w:spacing w:after="0" w:line="240" w:lineRule="auto"/>
              <w:jc w:val="left"/>
              <w:rPr>
                <w:rFonts w:ascii="Arial" w:hAnsi="Arial" w:cs="Arial"/>
                <w:b/>
                <w:sz w:val="16"/>
                <w:szCs w:val="16"/>
              </w:rPr>
            </w:pPr>
          </w:p>
        </w:tc>
        <w:tc>
          <w:tcPr>
            <w:tcW w:w="546" w:type="pct"/>
            <w:tcBorders>
              <w:top w:val="nil"/>
              <w:left w:val="nil"/>
              <w:bottom w:val="nil"/>
              <w:right w:val="nil"/>
            </w:tcBorders>
            <w:shd w:val="clear" w:color="auto" w:fill="auto"/>
            <w:noWrap/>
            <w:vAlign w:val="center"/>
            <w:hideMark/>
          </w:tcPr>
          <w:p w14:paraId="07E825EE" w14:textId="77777777" w:rsidR="00A14AE8" w:rsidRPr="00091680" w:rsidRDefault="00A14AE8" w:rsidP="008D7821">
            <w:pPr>
              <w:spacing w:after="0" w:line="240" w:lineRule="auto"/>
              <w:jc w:val="left"/>
              <w:rPr>
                <w:rFonts w:ascii="Times New Roman" w:hAnsi="Times New Roman"/>
              </w:rPr>
            </w:pPr>
          </w:p>
        </w:tc>
        <w:tc>
          <w:tcPr>
            <w:tcW w:w="546" w:type="pct"/>
            <w:tcBorders>
              <w:top w:val="nil"/>
              <w:left w:val="nil"/>
              <w:bottom w:val="nil"/>
              <w:right w:val="nil"/>
            </w:tcBorders>
            <w:shd w:val="clear" w:color="auto" w:fill="auto"/>
            <w:noWrap/>
            <w:vAlign w:val="center"/>
            <w:hideMark/>
          </w:tcPr>
          <w:p w14:paraId="7003CAF6" w14:textId="77777777" w:rsidR="00A14AE8" w:rsidRPr="00091680" w:rsidRDefault="00A14AE8" w:rsidP="008D7821">
            <w:pPr>
              <w:spacing w:after="0" w:line="240" w:lineRule="auto"/>
              <w:jc w:val="left"/>
              <w:rPr>
                <w:rFonts w:ascii="Times New Roman" w:hAnsi="Times New Roman"/>
              </w:rPr>
            </w:pPr>
          </w:p>
        </w:tc>
      </w:tr>
      <w:tr w:rsidR="00EE1723" w:rsidRPr="005546AF" w14:paraId="0A112231" w14:textId="77777777" w:rsidTr="00F35F66">
        <w:trPr>
          <w:divId w:val="1855420266"/>
          <w:trHeight w:hRule="exact" w:val="225"/>
        </w:trPr>
        <w:tc>
          <w:tcPr>
            <w:tcW w:w="2232" w:type="pct"/>
            <w:tcBorders>
              <w:top w:val="nil"/>
              <w:left w:val="nil"/>
              <w:bottom w:val="single" w:sz="4" w:space="0" w:color="auto"/>
              <w:right w:val="nil"/>
            </w:tcBorders>
            <w:shd w:val="clear" w:color="auto" w:fill="auto"/>
            <w:noWrap/>
            <w:vAlign w:val="center"/>
            <w:hideMark/>
          </w:tcPr>
          <w:p w14:paraId="59154B2E" w14:textId="77777777" w:rsidR="00A14AE8" w:rsidRPr="00091680" w:rsidRDefault="00A14AE8" w:rsidP="008D7821">
            <w:pPr>
              <w:spacing w:after="0" w:line="240" w:lineRule="auto"/>
              <w:jc w:val="left"/>
              <w:rPr>
                <w:rFonts w:ascii="Arial" w:hAnsi="Arial" w:cs="Arial"/>
                <w:b/>
                <w:sz w:val="16"/>
                <w:szCs w:val="16"/>
              </w:rPr>
            </w:pPr>
            <w:r w:rsidRPr="00091680">
              <w:rPr>
                <w:rFonts w:ascii="Arial" w:hAnsi="Arial" w:cs="Arial"/>
                <w:b/>
                <w:sz w:val="16"/>
                <w:szCs w:val="16"/>
              </w:rPr>
              <w:t>Net debt</w:t>
            </w:r>
          </w:p>
        </w:tc>
        <w:tc>
          <w:tcPr>
            <w:tcW w:w="585" w:type="pct"/>
            <w:tcBorders>
              <w:top w:val="single" w:sz="4" w:space="0" w:color="000000"/>
              <w:left w:val="nil"/>
              <w:bottom w:val="single" w:sz="4" w:space="0" w:color="000000"/>
              <w:right w:val="nil"/>
            </w:tcBorders>
            <w:shd w:val="clear" w:color="auto" w:fill="auto"/>
            <w:noWrap/>
            <w:vAlign w:val="center"/>
            <w:hideMark/>
          </w:tcPr>
          <w:p w14:paraId="20F20B6A"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631,477</w:t>
            </w:r>
          </w:p>
        </w:tc>
        <w:tc>
          <w:tcPr>
            <w:tcW w:w="546" w:type="pct"/>
            <w:tcBorders>
              <w:top w:val="single" w:sz="4" w:space="0" w:color="000000"/>
              <w:left w:val="nil"/>
              <w:bottom w:val="single" w:sz="4" w:space="0" w:color="000000"/>
              <w:right w:val="nil"/>
            </w:tcBorders>
            <w:shd w:val="clear" w:color="000000" w:fill="F2F9FC"/>
            <w:noWrap/>
            <w:vAlign w:val="center"/>
            <w:hideMark/>
          </w:tcPr>
          <w:p w14:paraId="00ACA3F9"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714,947</w:t>
            </w:r>
          </w:p>
        </w:tc>
        <w:tc>
          <w:tcPr>
            <w:tcW w:w="546" w:type="pct"/>
            <w:tcBorders>
              <w:top w:val="single" w:sz="4" w:space="0" w:color="000000"/>
              <w:left w:val="nil"/>
              <w:bottom w:val="single" w:sz="4" w:space="0" w:color="000000"/>
              <w:right w:val="nil"/>
            </w:tcBorders>
            <w:shd w:val="clear" w:color="auto" w:fill="auto"/>
            <w:noWrap/>
            <w:vAlign w:val="center"/>
            <w:hideMark/>
          </w:tcPr>
          <w:p w14:paraId="7A1B3F5A"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772,123</w:t>
            </w:r>
          </w:p>
        </w:tc>
        <w:tc>
          <w:tcPr>
            <w:tcW w:w="546" w:type="pct"/>
            <w:tcBorders>
              <w:top w:val="single" w:sz="4" w:space="0" w:color="000000"/>
              <w:left w:val="nil"/>
              <w:bottom w:val="single" w:sz="4" w:space="0" w:color="000000"/>
              <w:right w:val="nil"/>
            </w:tcBorders>
            <w:shd w:val="clear" w:color="auto" w:fill="auto"/>
            <w:noWrap/>
            <w:vAlign w:val="center"/>
            <w:hideMark/>
          </w:tcPr>
          <w:p w14:paraId="025A4CDF"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823,277</w:t>
            </w:r>
          </w:p>
        </w:tc>
        <w:tc>
          <w:tcPr>
            <w:tcW w:w="546" w:type="pct"/>
            <w:tcBorders>
              <w:top w:val="single" w:sz="4" w:space="0" w:color="000000"/>
              <w:left w:val="nil"/>
              <w:bottom w:val="single" w:sz="4" w:space="0" w:color="000000"/>
              <w:right w:val="nil"/>
            </w:tcBorders>
            <w:shd w:val="clear" w:color="auto" w:fill="auto"/>
            <w:noWrap/>
            <w:vAlign w:val="center"/>
            <w:hideMark/>
          </w:tcPr>
          <w:p w14:paraId="5D43B8B0" w14:textId="77777777" w:rsidR="00A14AE8" w:rsidRPr="00091680" w:rsidRDefault="00A14AE8" w:rsidP="008D7821">
            <w:pPr>
              <w:spacing w:after="0" w:line="240" w:lineRule="auto"/>
              <w:jc w:val="right"/>
              <w:rPr>
                <w:rFonts w:ascii="Arial" w:hAnsi="Arial" w:cs="Arial"/>
                <w:b/>
                <w:sz w:val="16"/>
                <w:szCs w:val="16"/>
              </w:rPr>
            </w:pPr>
            <w:r w:rsidRPr="00091680">
              <w:rPr>
                <w:rFonts w:ascii="Arial" w:hAnsi="Arial" w:cs="Arial"/>
                <w:b/>
                <w:sz w:val="16"/>
                <w:szCs w:val="16"/>
              </w:rPr>
              <w:t>864,653</w:t>
            </w:r>
          </w:p>
        </w:tc>
      </w:tr>
    </w:tbl>
    <w:p w14:paraId="11B9E3E0" w14:textId="0D22F107" w:rsidR="003C48F3" w:rsidRPr="00091680" w:rsidRDefault="003C48F3" w:rsidP="003A10A4">
      <w:pPr>
        <w:pStyle w:val="ChartandTableFootnoteAlpha"/>
        <w:numPr>
          <w:ilvl w:val="0"/>
          <w:numId w:val="7"/>
        </w:numPr>
        <w:rPr>
          <w:color w:val="auto"/>
        </w:rPr>
      </w:pPr>
      <w:r w:rsidRPr="00091680">
        <w:rPr>
          <w:color w:val="auto"/>
        </w:rPr>
        <w:t>Government securities are presented at market value.</w:t>
      </w:r>
    </w:p>
    <w:p w14:paraId="5DE368C3" w14:textId="6368F0B9" w:rsidR="003C48F3" w:rsidRPr="00091680" w:rsidRDefault="003C48F3" w:rsidP="003B4084">
      <w:pPr>
        <w:pStyle w:val="SingleParagraph"/>
      </w:pPr>
    </w:p>
    <w:p w14:paraId="7836EA69" w14:textId="623B531A" w:rsidR="003C48F3" w:rsidRPr="00091680" w:rsidRDefault="003C48F3" w:rsidP="006971E8">
      <w:pPr>
        <w:pStyle w:val="Heading3"/>
      </w:pPr>
      <w:bookmarkStart w:id="37" w:name="_Toc67660288"/>
      <w:bookmarkStart w:id="38" w:name="_Toc98531936"/>
      <w:r w:rsidRPr="00091680">
        <w:t xml:space="preserve">Changes in net debt since the </w:t>
      </w:r>
      <w:r w:rsidR="004F6131" w:rsidRPr="00091680">
        <w:t>2021</w:t>
      </w:r>
      <w:r w:rsidR="00CB5997" w:rsidRPr="00091680">
        <w:noBreakHyphen/>
      </w:r>
      <w:r w:rsidR="004F6131" w:rsidRPr="00091680">
        <w:t>22</w:t>
      </w:r>
      <w:r w:rsidRPr="00091680">
        <w:t xml:space="preserve"> </w:t>
      </w:r>
      <w:bookmarkEnd w:id="37"/>
      <w:r w:rsidR="00271887" w:rsidRPr="00091680">
        <w:t>MYEFO</w:t>
      </w:r>
      <w:bookmarkEnd w:id="38"/>
    </w:p>
    <w:p w14:paraId="241B3BA8" w14:textId="711F3BB1" w:rsidR="003C48F3" w:rsidRPr="003C48F3" w:rsidRDefault="003C48F3" w:rsidP="00395B77">
      <w:pPr>
        <w:spacing w:after="200"/>
        <w:rPr>
          <w:b/>
        </w:rPr>
      </w:pPr>
      <w:r w:rsidRPr="00091680">
        <w:t xml:space="preserve">Table </w:t>
      </w:r>
      <w:r w:rsidR="001E52C1" w:rsidRPr="00091680">
        <w:t>6</w:t>
      </w:r>
      <w:r w:rsidRPr="00091680">
        <w:t xml:space="preserve">.8 shows the drivers of the change in net debt between </w:t>
      </w:r>
      <w:r w:rsidR="005437EA" w:rsidRPr="00091680">
        <w:t>MYEFO</w:t>
      </w:r>
      <w:r w:rsidRPr="00091680">
        <w:t xml:space="preserve"> and the </w:t>
      </w:r>
      <w:r w:rsidR="00B74B8C" w:rsidRPr="00091680">
        <w:t>2022</w:t>
      </w:r>
      <w:r w:rsidR="00CB5997" w:rsidRPr="00091680">
        <w:noBreakHyphen/>
      </w:r>
      <w:r w:rsidR="00B74B8C" w:rsidRPr="00091680">
        <w:t>23</w:t>
      </w:r>
      <w:r w:rsidRPr="00091680">
        <w:t> Budget.</w:t>
      </w:r>
      <w:r w:rsidR="002439FC" w:rsidRPr="00091680">
        <w:t xml:space="preserve"> </w:t>
      </w:r>
      <w:r w:rsidRPr="00091680">
        <w:t xml:space="preserve">Net debt is expected to be lower than estimated at </w:t>
      </w:r>
      <w:r w:rsidR="005337C3" w:rsidRPr="00091680">
        <w:t>MYEFO</w:t>
      </w:r>
      <w:r w:rsidRPr="00091680">
        <w:t xml:space="preserve"> across all years of the forward estimates. </w:t>
      </w:r>
      <w:r w:rsidR="00020DA9" w:rsidRPr="00091680">
        <w:t xml:space="preserve">This </w:t>
      </w:r>
      <w:r w:rsidR="00283F42" w:rsidRPr="00091680">
        <w:t xml:space="preserve">primarily </w:t>
      </w:r>
      <w:r w:rsidR="00020DA9" w:rsidRPr="00091680">
        <w:t>reflects</w:t>
      </w:r>
      <w:r w:rsidRPr="00091680">
        <w:t xml:space="preserve"> the Government’s decreased borrowing requirement resulting from the </w:t>
      </w:r>
      <w:r w:rsidR="00ED09EB" w:rsidRPr="00091680">
        <w:t>expected</w:t>
      </w:r>
      <w:r w:rsidRPr="00091680">
        <w:t xml:space="preserve"> improvement in the underlying cash balance</w:t>
      </w:r>
      <w:r w:rsidR="008A0C7D" w:rsidRPr="00091680">
        <w:t>,</w:t>
      </w:r>
      <w:r w:rsidR="0005558B" w:rsidRPr="00091680">
        <w:t xml:space="preserve"> </w:t>
      </w:r>
      <w:r w:rsidR="001336BE" w:rsidRPr="00091680">
        <w:t>and</w:t>
      </w:r>
      <w:r w:rsidR="0005558B" w:rsidRPr="00091680">
        <w:t xml:space="preserve"> </w:t>
      </w:r>
      <w:r w:rsidRPr="00091680">
        <w:t>a decrease in the market value of AGS due to highe</w:t>
      </w:r>
      <w:r w:rsidR="0005558B" w:rsidRPr="00091680">
        <w:t>r</w:t>
      </w:r>
      <w:r w:rsidRPr="00091680">
        <w:t xml:space="preserve"> yields than were assumed at </w:t>
      </w:r>
      <w:r w:rsidR="006317AD" w:rsidRPr="00091680">
        <w:t>MYEFO</w:t>
      </w:r>
      <w:r w:rsidR="001336BE" w:rsidRPr="00091680">
        <w:t>.</w:t>
      </w:r>
    </w:p>
    <w:p w14:paraId="32FD59E2" w14:textId="4D609437" w:rsidR="00EA5F83" w:rsidRPr="00091680" w:rsidRDefault="003C48F3" w:rsidP="00DB49F8">
      <w:pPr>
        <w:pStyle w:val="TableHeading"/>
        <w:rPr>
          <w:rFonts w:asciiTheme="minorHAnsi" w:eastAsiaTheme="minorHAnsi" w:hAnsiTheme="minorHAnsi" w:cstheme="minorBidi"/>
          <w:sz w:val="22"/>
          <w:szCs w:val="22"/>
          <w:lang w:eastAsia="en-US"/>
        </w:rPr>
      </w:pPr>
      <w:r w:rsidRPr="00091680">
        <w:rPr>
          <w:rFonts w:cs="Arial"/>
        </w:rPr>
        <w:t xml:space="preserve">Table </w:t>
      </w:r>
      <w:r w:rsidR="001E52C1" w:rsidRPr="00091680">
        <w:rPr>
          <w:rFonts w:cs="Arial"/>
        </w:rPr>
        <w:t>6</w:t>
      </w:r>
      <w:r w:rsidRPr="00091680">
        <w:rPr>
          <w:rFonts w:cs="Arial"/>
        </w:rPr>
        <w:t xml:space="preserve">.8: Net debt </w:t>
      </w:r>
      <w:r w:rsidR="00CB5997" w:rsidRPr="00091680">
        <w:rPr>
          <w:rFonts w:cs="Arial"/>
        </w:rPr>
        <w:t>–</w:t>
      </w:r>
      <w:r w:rsidRPr="00091680">
        <w:rPr>
          <w:rFonts w:cs="Arial"/>
        </w:rPr>
        <w:t xml:space="preserve"> reconciliation from the </w:t>
      </w:r>
      <w:r w:rsidR="00D3419E" w:rsidRPr="00091680">
        <w:rPr>
          <w:rFonts w:cs="Arial"/>
        </w:rPr>
        <w:t>2021</w:t>
      </w:r>
      <w:r w:rsidR="00C42B0B" w:rsidRPr="00091680">
        <w:rPr>
          <w:rFonts w:cs="Arial"/>
        </w:rPr>
        <w:noBreakHyphen/>
      </w:r>
      <w:r w:rsidR="00D3419E" w:rsidRPr="00091680">
        <w:rPr>
          <w:rFonts w:cs="Arial"/>
        </w:rPr>
        <w:t>22 MYEFO</w:t>
      </w:r>
      <w:r w:rsidRPr="00091680">
        <w:rPr>
          <w:rFonts w:cs="Arial"/>
        </w:rPr>
        <w:t xml:space="preserve"> to the </w:t>
      </w:r>
      <w:r w:rsidR="00D3419E" w:rsidRPr="00091680">
        <w:rPr>
          <w:rFonts w:cs="Arial"/>
        </w:rPr>
        <w:t>2022</w:t>
      </w:r>
      <w:r w:rsidR="00C42B0B" w:rsidRPr="00091680">
        <w:rPr>
          <w:rFonts w:cs="Arial"/>
        </w:rPr>
        <w:noBreakHyphen/>
      </w:r>
      <w:r w:rsidR="00D3419E" w:rsidRPr="00091680">
        <w:rPr>
          <w:rFonts w:cs="Arial"/>
        </w:rPr>
        <w:t>23</w:t>
      </w:r>
      <w:r w:rsidRPr="00091680">
        <w:rPr>
          <w:rFonts w:cs="Arial"/>
        </w:rPr>
        <w:t> Budget</w:t>
      </w:r>
    </w:p>
    <w:tbl>
      <w:tblPr>
        <w:tblW w:w="5000" w:type="pct"/>
        <w:tblCellMar>
          <w:left w:w="0" w:type="dxa"/>
          <w:right w:w="28" w:type="dxa"/>
        </w:tblCellMar>
        <w:tblLook w:val="04A0" w:firstRow="1" w:lastRow="0" w:firstColumn="1" w:lastColumn="0" w:noHBand="0" w:noVBand="1"/>
      </w:tblPr>
      <w:tblGrid>
        <w:gridCol w:w="4539"/>
        <w:gridCol w:w="735"/>
        <w:gridCol w:w="736"/>
        <w:gridCol w:w="964"/>
        <w:gridCol w:w="736"/>
      </w:tblGrid>
      <w:tr w:rsidR="00446D2A" w:rsidRPr="005546AF" w14:paraId="2E6F5B51" w14:textId="77777777" w:rsidTr="00D87666">
        <w:trPr>
          <w:trHeight w:hRule="exact" w:val="225"/>
        </w:trPr>
        <w:tc>
          <w:tcPr>
            <w:tcW w:w="2944" w:type="pct"/>
            <w:tcBorders>
              <w:top w:val="single" w:sz="4" w:space="0" w:color="000000"/>
              <w:left w:val="nil"/>
              <w:bottom w:val="nil"/>
              <w:right w:val="nil"/>
            </w:tcBorders>
            <w:shd w:val="clear" w:color="auto" w:fill="auto"/>
            <w:noWrap/>
            <w:vAlign w:val="center"/>
            <w:hideMark/>
          </w:tcPr>
          <w:p w14:paraId="596C5F04" w14:textId="0C22ED7C" w:rsidR="00EA5F83" w:rsidRPr="00091680" w:rsidRDefault="00EA5F83" w:rsidP="008C3AED">
            <w:pPr>
              <w:rPr>
                <w:rFonts w:ascii="Arial" w:hAnsi="Arial" w:cs="Arial"/>
                <w:sz w:val="16"/>
                <w:szCs w:val="16"/>
              </w:rPr>
            </w:pPr>
            <w:r w:rsidRPr="00091680">
              <w:rPr>
                <w:rFonts w:ascii="Arial" w:hAnsi="Arial" w:cs="Arial"/>
                <w:sz w:val="16"/>
                <w:szCs w:val="16"/>
              </w:rPr>
              <w:t> </w:t>
            </w:r>
          </w:p>
        </w:tc>
        <w:tc>
          <w:tcPr>
            <w:tcW w:w="477" w:type="pct"/>
            <w:tcBorders>
              <w:top w:val="single" w:sz="4" w:space="0" w:color="000000"/>
              <w:left w:val="nil"/>
              <w:bottom w:val="nil"/>
              <w:right w:val="nil"/>
            </w:tcBorders>
            <w:shd w:val="clear" w:color="auto" w:fill="auto"/>
            <w:vAlign w:val="bottom"/>
            <w:hideMark/>
          </w:tcPr>
          <w:p w14:paraId="2D860D85" w14:textId="7D42BDD8"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2021</w:t>
            </w:r>
            <w:r w:rsidR="00C42B0B" w:rsidRPr="00091680">
              <w:rPr>
                <w:rFonts w:ascii="Arial" w:hAnsi="Arial" w:cs="Arial"/>
                <w:sz w:val="16"/>
                <w:szCs w:val="16"/>
              </w:rPr>
              <w:noBreakHyphen/>
            </w:r>
            <w:r w:rsidRPr="00091680">
              <w:rPr>
                <w:rFonts w:ascii="Arial" w:hAnsi="Arial" w:cs="Arial"/>
                <w:sz w:val="16"/>
                <w:szCs w:val="16"/>
              </w:rPr>
              <w:t>22</w:t>
            </w:r>
          </w:p>
        </w:tc>
        <w:tc>
          <w:tcPr>
            <w:tcW w:w="477" w:type="pct"/>
            <w:tcBorders>
              <w:top w:val="single" w:sz="4" w:space="0" w:color="000000"/>
              <w:left w:val="nil"/>
              <w:bottom w:val="nil"/>
              <w:right w:val="nil"/>
            </w:tcBorders>
            <w:shd w:val="clear" w:color="auto" w:fill="F2F9FC"/>
            <w:vAlign w:val="bottom"/>
            <w:hideMark/>
          </w:tcPr>
          <w:p w14:paraId="0AC184D5" w14:textId="56155F5E"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2022</w:t>
            </w:r>
            <w:r w:rsidR="00C42B0B" w:rsidRPr="00091680">
              <w:rPr>
                <w:rFonts w:ascii="Arial" w:hAnsi="Arial" w:cs="Arial"/>
                <w:sz w:val="16"/>
                <w:szCs w:val="16"/>
              </w:rPr>
              <w:noBreakHyphen/>
            </w:r>
            <w:r w:rsidRPr="00091680">
              <w:rPr>
                <w:rFonts w:ascii="Arial" w:hAnsi="Arial" w:cs="Arial"/>
                <w:sz w:val="16"/>
                <w:szCs w:val="16"/>
              </w:rPr>
              <w:t>23</w:t>
            </w:r>
          </w:p>
        </w:tc>
        <w:tc>
          <w:tcPr>
            <w:tcW w:w="625" w:type="pct"/>
            <w:tcBorders>
              <w:top w:val="single" w:sz="4" w:space="0" w:color="000000"/>
              <w:left w:val="nil"/>
              <w:bottom w:val="nil"/>
              <w:right w:val="nil"/>
            </w:tcBorders>
            <w:shd w:val="clear" w:color="auto" w:fill="auto"/>
            <w:vAlign w:val="bottom"/>
            <w:hideMark/>
          </w:tcPr>
          <w:p w14:paraId="3D1186DE" w14:textId="362E99BE"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2023</w:t>
            </w:r>
            <w:r w:rsidR="00C42B0B" w:rsidRPr="00091680">
              <w:rPr>
                <w:rFonts w:ascii="Arial" w:hAnsi="Arial" w:cs="Arial"/>
                <w:sz w:val="16"/>
                <w:szCs w:val="16"/>
              </w:rPr>
              <w:noBreakHyphen/>
            </w:r>
            <w:r w:rsidRPr="00091680">
              <w:rPr>
                <w:rFonts w:ascii="Arial" w:hAnsi="Arial" w:cs="Arial"/>
                <w:sz w:val="16"/>
                <w:szCs w:val="16"/>
              </w:rPr>
              <w:t>24</w:t>
            </w:r>
          </w:p>
        </w:tc>
        <w:tc>
          <w:tcPr>
            <w:tcW w:w="477" w:type="pct"/>
            <w:tcBorders>
              <w:top w:val="single" w:sz="4" w:space="0" w:color="000000"/>
              <w:left w:val="nil"/>
              <w:bottom w:val="nil"/>
              <w:right w:val="nil"/>
            </w:tcBorders>
            <w:shd w:val="clear" w:color="auto" w:fill="auto"/>
            <w:vAlign w:val="bottom"/>
            <w:hideMark/>
          </w:tcPr>
          <w:p w14:paraId="646FC1EC" w14:textId="31725748"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2024</w:t>
            </w:r>
            <w:r w:rsidR="00C42B0B" w:rsidRPr="00091680">
              <w:rPr>
                <w:rFonts w:ascii="Arial" w:hAnsi="Arial" w:cs="Arial"/>
                <w:sz w:val="16"/>
                <w:szCs w:val="16"/>
              </w:rPr>
              <w:noBreakHyphen/>
            </w:r>
            <w:r w:rsidRPr="00091680">
              <w:rPr>
                <w:rFonts w:ascii="Arial" w:hAnsi="Arial" w:cs="Arial"/>
                <w:sz w:val="16"/>
                <w:szCs w:val="16"/>
              </w:rPr>
              <w:t>25</w:t>
            </w:r>
          </w:p>
        </w:tc>
      </w:tr>
      <w:tr w:rsidR="00D60E3B" w:rsidRPr="005546AF" w14:paraId="6B2F5183" w14:textId="77777777" w:rsidTr="00D87666">
        <w:trPr>
          <w:trHeight w:hRule="exact" w:val="225"/>
        </w:trPr>
        <w:tc>
          <w:tcPr>
            <w:tcW w:w="2944" w:type="pct"/>
            <w:tcBorders>
              <w:top w:val="nil"/>
              <w:left w:val="nil"/>
              <w:bottom w:val="nil"/>
              <w:right w:val="nil"/>
            </w:tcBorders>
            <w:shd w:val="clear" w:color="auto" w:fill="auto"/>
            <w:noWrap/>
            <w:vAlign w:val="center"/>
            <w:hideMark/>
          </w:tcPr>
          <w:p w14:paraId="010F1170" w14:textId="77777777" w:rsidR="00EA5F83" w:rsidRPr="00091680" w:rsidRDefault="00EA5F83" w:rsidP="008C3AED">
            <w:pPr>
              <w:spacing w:after="0" w:line="240" w:lineRule="auto"/>
              <w:jc w:val="right"/>
              <w:rPr>
                <w:rFonts w:ascii="Arial" w:hAnsi="Arial" w:cs="Arial"/>
                <w:sz w:val="16"/>
                <w:szCs w:val="16"/>
              </w:rPr>
            </w:pPr>
          </w:p>
        </w:tc>
        <w:tc>
          <w:tcPr>
            <w:tcW w:w="477" w:type="pct"/>
            <w:tcBorders>
              <w:top w:val="nil"/>
              <w:left w:val="nil"/>
              <w:bottom w:val="single" w:sz="4" w:space="0" w:color="000000"/>
              <w:right w:val="nil"/>
            </w:tcBorders>
            <w:shd w:val="clear" w:color="auto" w:fill="auto"/>
            <w:noWrap/>
            <w:vAlign w:val="bottom"/>
            <w:hideMark/>
          </w:tcPr>
          <w:p w14:paraId="3A1CB574" w14:textId="77777777"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$b</w:t>
            </w:r>
          </w:p>
        </w:tc>
        <w:tc>
          <w:tcPr>
            <w:tcW w:w="477" w:type="pct"/>
            <w:tcBorders>
              <w:top w:val="nil"/>
              <w:left w:val="nil"/>
              <w:bottom w:val="single" w:sz="4" w:space="0" w:color="auto"/>
              <w:right w:val="nil"/>
            </w:tcBorders>
            <w:shd w:val="clear" w:color="auto" w:fill="F2F9FC"/>
            <w:noWrap/>
            <w:vAlign w:val="bottom"/>
            <w:hideMark/>
          </w:tcPr>
          <w:p w14:paraId="7A69ECB8" w14:textId="77777777"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$b</w:t>
            </w:r>
          </w:p>
        </w:tc>
        <w:tc>
          <w:tcPr>
            <w:tcW w:w="625" w:type="pct"/>
            <w:tcBorders>
              <w:top w:val="nil"/>
              <w:left w:val="nil"/>
              <w:bottom w:val="single" w:sz="4" w:space="0" w:color="000000"/>
              <w:right w:val="nil"/>
            </w:tcBorders>
            <w:shd w:val="clear" w:color="auto" w:fill="auto"/>
            <w:noWrap/>
            <w:vAlign w:val="bottom"/>
            <w:hideMark/>
          </w:tcPr>
          <w:p w14:paraId="4CAB4262" w14:textId="77777777"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$b</w:t>
            </w:r>
          </w:p>
        </w:tc>
        <w:tc>
          <w:tcPr>
            <w:tcW w:w="477" w:type="pct"/>
            <w:tcBorders>
              <w:top w:val="nil"/>
              <w:left w:val="nil"/>
              <w:bottom w:val="single" w:sz="4" w:space="0" w:color="000000"/>
              <w:right w:val="nil"/>
            </w:tcBorders>
            <w:shd w:val="clear" w:color="auto" w:fill="auto"/>
            <w:noWrap/>
            <w:vAlign w:val="bottom"/>
            <w:hideMark/>
          </w:tcPr>
          <w:p w14:paraId="611E8709" w14:textId="77777777"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$b</w:t>
            </w:r>
          </w:p>
        </w:tc>
      </w:tr>
      <w:tr w:rsidR="00C31D5F" w:rsidRPr="005546AF" w14:paraId="2712185B" w14:textId="77777777" w:rsidTr="00D87666">
        <w:trPr>
          <w:trHeight w:hRule="exact" w:val="225"/>
        </w:trPr>
        <w:tc>
          <w:tcPr>
            <w:tcW w:w="2944" w:type="pct"/>
            <w:tcBorders>
              <w:top w:val="nil"/>
              <w:left w:val="nil"/>
              <w:bottom w:val="nil"/>
              <w:right w:val="nil"/>
            </w:tcBorders>
            <w:shd w:val="clear" w:color="auto" w:fill="auto"/>
            <w:noWrap/>
            <w:vAlign w:val="center"/>
            <w:hideMark/>
          </w:tcPr>
          <w:p w14:paraId="1157085A" w14:textId="1830CE83" w:rsidR="00EA5F83" w:rsidRPr="00091680" w:rsidRDefault="00EA5F83" w:rsidP="008C3AED">
            <w:pPr>
              <w:spacing w:after="0" w:line="240" w:lineRule="auto"/>
              <w:jc w:val="left"/>
              <w:rPr>
                <w:rFonts w:ascii="Arial" w:hAnsi="Arial" w:cs="Arial"/>
                <w:b/>
                <w:sz w:val="16"/>
                <w:szCs w:val="16"/>
              </w:rPr>
            </w:pPr>
            <w:r w:rsidRPr="00091680">
              <w:rPr>
                <w:rFonts w:ascii="Arial" w:hAnsi="Arial" w:cs="Arial"/>
                <w:b/>
                <w:sz w:val="16"/>
                <w:szCs w:val="16"/>
              </w:rPr>
              <w:t>Net debt as at 2021</w:t>
            </w:r>
            <w:r w:rsidR="00C42B0B" w:rsidRPr="00091680">
              <w:rPr>
                <w:rFonts w:ascii="Arial" w:hAnsi="Arial" w:cs="Arial"/>
                <w:b/>
                <w:sz w:val="16"/>
                <w:szCs w:val="16"/>
              </w:rPr>
              <w:noBreakHyphen/>
            </w:r>
            <w:r w:rsidRPr="00091680">
              <w:rPr>
                <w:rFonts w:ascii="Arial" w:hAnsi="Arial" w:cs="Arial"/>
                <w:b/>
                <w:sz w:val="16"/>
                <w:szCs w:val="16"/>
              </w:rPr>
              <w:t>22 MYEFO</w:t>
            </w:r>
          </w:p>
        </w:tc>
        <w:tc>
          <w:tcPr>
            <w:tcW w:w="477" w:type="pct"/>
            <w:tcBorders>
              <w:top w:val="nil"/>
              <w:left w:val="nil"/>
              <w:bottom w:val="nil"/>
              <w:right w:val="nil"/>
            </w:tcBorders>
            <w:shd w:val="clear" w:color="auto" w:fill="auto"/>
            <w:noWrap/>
            <w:vAlign w:val="bottom"/>
            <w:hideMark/>
          </w:tcPr>
          <w:p w14:paraId="52E81E9D"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673.4</w:t>
            </w:r>
          </w:p>
        </w:tc>
        <w:tc>
          <w:tcPr>
            <w:tcW w:w="477" w:type="pct"/>
            <w:tcBorders>
              <w:top w:val="nil"/>
              <w:left w:val="nil"/>
              <w:bottom w:val="nil"/>
              <w:right w:val="nil"/>
            </w:tcBorders>
            <w:shd w:val="clear" w:color="auto" w:fill="F2F9FC"/>
            <w:noWrap/>
            <w:vAlign w:val="bottom"/>
            <w:hideMark/>
          </w:tcPr>
          <w:p w14:paraId="2DEB5689"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773.1</w:t>
            </w:r>
          </w:p>
        </w:tc>
        <w:tc>
          <w:tcPr>
            <w:tcW w:w="625" w:type="pct"/>
            <w:tcBorders>
              <w:top w:val="nil"/>
              <w:left w:val="nil"/>
              <w:bottom w:val="nil"/>
              <w:right w:val="nil"/>
            </w:tcBorders>
            <w:shd w:val="clear" w:color="auto" w:fill="auto"/>
            <w:noWrap/>
            <w:vAlign w:val="bottom"/>
            <w:hideMark/>
          </w:tcPr>
          <w:p w14:paraId="38639605"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855.9</w:t>
            </w:r>
          </w:p>
        </w:tc>
        <w:tc>
          <w:tcPr>
            <w:tcW w:w="477" w:type="pct"/>
            <w:tcBorders>
              <w:top w:val="nil"/>
              <w:left w:val="nil"/>
              <w:bottom w:val="nil"/>
              <w:right w:val="nil"/>
            </w:tcBorders>
            <w:shd w:val="clear" w:color="auto" w:fill="auto"/>
            <w:noWrap/>
            <w:vAlign w:val="bottom"/>
            <w:hideMark/>
          </w:tcPr>
          <w:p w14:paraId="5F7F05E5"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914.8</w:t>
            </w:r>
          </w:p>
        </w:tc>
      </w:tr>
      <w:tr w:rsidR="00012971" w:rsidRPr="005546AF" w14:paraId="29732F9E" w14:textId="77777777" w:rsidTr="00D87666">
        <w:trPr>
          <w:trHeight w:hRule="exact" w:val="225"/>
        </w:trPr>
        <w:tc>
          <w:tcPr>
            <w:tcW w:w="2944" w:type="pct"/>
            <w:tcBorders>
              <w:top w:val="nil"/>
              <w:left w:val="nil"/>
              <w:bottom w:val="nil"/>
              <w:right w:val="nil"/>
            </w:tcBorders>
            <w:shd w:val="clear" w:color="auto" w:fill="auto"/>
            <w:noWrap/>
            <w:vAlign w:val="center"/>
            <w:hideMark/>
          </w:tcPr>
          <w:p w14:paraId="7C3D1FB1" w14:textId="77777777" w:rsidR="00EA5F83" w:rsidRPr="00091680" w:rsidRDefault="00EA5F83" w:rsidP="008C3AED">
            <w:pPr>
              <w:spacing w:after="0" w:line="240" w:lineRule="auto"/>
              <w:jc w:val="left"/>
              <w:rPr>
                <w:rFonts w:ascii="Arial" w:hAnsi="Arial" w:cs="Arial"/>
                <w:sz w:val="16"/>
                <w:szCs w:val="16"/>
              </w:rPr>
            </w:pPr>
            <w:r w:rsidRPr="00091680">
              <w:rPr>
                <w:rFonts w:ascii="Arial" w:hAnsi="Arial" w:cs="Arial"/>
                <w:sz w:val="16"/>
                <w:szCs w:val="16"/>
              </w:rPr>
              <w:t>Changes in financing requirement</w:t>
            </w:r>
          </w:p>
        </w:tc>
        <w:tc>
          <w:tcPr>
            <w:tcW w:w="477" w:type="pct"/>
            <w:tcBorders>
              <w:top w:val="nil"/>
              <w:left w:val="nil"/>
              <w:bottom w:val="nil"/>
              <w:right w:val="nil"/>
            </w:tcBorders>
            <w:shd w:val="clear" w:color="auto" w:fill="auto"/>
            <w:noWrap/>
            <w:vAlign w:val="bottom"/>
            <w:hideMark/>
          </w:tcPr>
          <w:p w14:paraId="4FF5B1D3" w14:textId="7F0FAC17"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13.1</w:t>
            </w:r>
          </w:p>
        </w:tc>
        <w:tc>
          <w:tcPr>
            <w:tcW w:w="477" w:type="pct"/>
            <w:tcBorders>
              <w:top w:val="nil"/>
              <w:left w:val="nil"/>
              <w:bottom w:val="nil"/>
              <w:right w:val="nil"/>
            </w:tcBorders>
            <w:shd w:val="clear" w:color="auto" w:fill="F2F9FC"/>
            <w:noWrap/>
            <w:vAlign w:val="bottom"/>
            <w:hideMark/>
          </w:tcPr>
          <w:p w14:paraId="1FB3D47B" w14:textId="07637787"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37.4</w:t>
            </w:r>
          </w:p>
        </w:tc>
        <w:tc>
          <w:tcPr>
            <w:tcW w:w="625" w:type="pct"/>
            <w:tcBorders>
              <w:top w:val="nil"/>
              <w:left w:val="nil"/>
              <w:bottom w:val="nil"/>
              <w:right w:val="nil"/>
            </w:tcBorders>
            <w:shd w:val="clear" w:color="auto" w:fill="auto"/>
            <w:noWrap/>
            <w:vAlign w:val="bottom"/>
            <w:hideMark/>
          </w:tcPr>
          <w:p w14:paraId="50EB2A94" w14:textId="609AAB40"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52.1</w:t>
            </w:r>
          </w:p>
        </w:tc>
        <w:tc>
          <w:tcPr>
            <w:tcW w:w="477" w:type="pct"/>
            <w:tcBorders>
              <w:top w:val="nil"/>
              <w:left w:val="nil"/>
              <w:bottom w:val="nil"/>
              <w:right w:val="nil"/>
            </w:tcBorders>
            <w:shd w:val="clear" w:color="auto" w:fill="auto"/>
            <w:noWrap/>
            <w:vAlign w:val="bottom"/>
            <w:hideMark/>
          </w:tcPr>
          <w:p w14:paraId="68CD5CEF" w14:textId="69304B8C"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69.6</w:t>
            </w:r>
          </w:p>
        </w:tc>
      </w:tr>
      <w:tr w:rsidR="00012971" w:rsidRPr="005546AF" w14:paraId="12CA525C" w14:textId="77777777" w:rsidTr="00D87666">
        <w:trPr>
          <w:trHeight w:hRule="exact" w:val="225"/>
        </w:trPr>
        <w:tc>
          <w:tcPr>
            <w:tcW w:w="2944" w:type="pct"/>
            <w:tcBorders>
              <w:top w:val="nil"/>
              <w:left w:val="nil"/>
              <w:bottom w:val="nil"/>
              <w:right w:val="nil"/>
            </w:tcBorders>
            <w:shd w:val="clear" w:color="auto" w:fill="auto"/>
            <w:noWrap/>
            <w:vAlign w:val="center"/>
            <w:hideMark/>
          </w:tcPr>
          <w:p w14:paraId="42F67E5D" w14:textId="77777777" w:rsidR="00EA5F83" w:rsidRPr="00091680" w:rsidRDefault="00EA5F83" w:rsidP="008C3AED">
            <w:pPr>
              <w:spacing w:after="0" w:line="240" w:lineRule="auto"/>
              <w:jc w:val="left"/>
              <w:rPr>
                <w:rFonts w:ascii="Arial" w:hAnsi="Arial" w:cs="Arial"/>
                <w:sz w:val="16"/>
                <w:szCs w:val="16"/>
              </w:rPr>
            </w:pPr>
            <w:r w:rsidRPr="00091680">
              <w:rPr>
                <w:rFonts w:ascii="Arial" w:hAnsi="Arial" w:cs="Arial"/>
                <w:sz w:val="16"/>
                <w:szCs w:val="16"/>
              </w:rPr>
              <w:t>Impact of yields on AGS</w:t>
            </w:r>
          </w:p>
        </w:tc>
        <w:tc>
          <w:tcPr>
            <w:tcW w:w="477" w:type="pct"/>
            <w:tcBorders>
              <w:top w:val="nil"/>
              <w:left w:val="nil"/>
              <w:bottom w:val="nil"/>
              <w:right w:val="nil"/>
            </w:tcBorders>
            <w:shd w:val="clear" w:color="auto" w:fill="auto"/>
            <w:noWrap/>
            <w:vAlign w:val="bottom"/>
            <w:hideMark/>
          </w:tcPr>
          <w:p w14:paraId="055A97F2" w14:textId="314D1384"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27.3</w:t>
            </w:r>
          </w:p>
        </w:tc>
        <w:tc>
          <w:tcPr>
            <w:tcW w:w="477" w:type="pct"/>
            <w:tcBorders>
              <w:top w:val="nil"/>
              <w:left w:val="nil"/>
              <w:bottom w:val="nil"/>
              <w:right w:val="nil"/>
            </w:tcBorders>
            <w:shd w:val="clear" w:color="auto" w:fill="F2F9FC"/>
            <w:noWrap/>
            <w:vAlign w:val="bottom"/>
            <w:hideMark/>
          </w:tcPr>
          <w:p w14:paraId="7F83D070" w14:textId="16E6EBE3"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27.0</w:t>
            </w:r>
          </w:p>
        </w:tc>
        <w:tc>
          <w:tcPr>
            <w:tcW w:w="625" w:type="pct"/>
            <w:tcBorders>
              <w:top w:val="nil"/>
              <w:left w:val="nil"/>
              <w:bottom w:val="nil"/>
              <w:right w:val="nil"/>
            </w:tcBorders>
            <w:shd w:val="clear" w:color="auto" w:fill="auto"/>
            <w:noWrap/>
            <w:vAlign w:val="bottom"/>
            <w:hideMark/>
          </w:tcPr>
          <w:p w14:paraId="7EE05B5C" w14:textId="3831D56D"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25.5</w:t>
            </w:r>
          </w:p>
        </w:tc>
        <w:tc>
          <w:tcPr>
            <w:tcW w:w="477" w:type="pct"/>
            <w:tcBorders>
              <w:top w:val="nil"/>
              <w:left w:val="nil"/>
              <w:bottom w:val="nil"/>
              <w:right w:val="nil"/>
            </w:tcBorders>
            <w:shd w:val="clear" w:color="auto" w:fill="auto"/>
            <w:noWrap/>
            <w:vAlign w:val="bottom"/>
            <w:hideMark/>
          </w:tcPr>
          <w:p w14:paraId="001DD03D" w14:textId="1F5A9B9E"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23.6</w:t>
            </w:r>
          </w:p>
        </w:tc>
      </w:tr>
      <w:tr w:rsidR="00012971" w:rsidRPr="005546AF" w14:paraId="7E41D05A" w14:textId="77777777" w:rsidTr="00D87666">
        <w:trPr>
          <w:trHeight w:hRule="exact" w:val="225"/>
        </w:trPr>
        <w:tc>
          <w:tcPr>
            <w:tcW w:w="2944" w:type="pct"/>
            <w:tcBorders>
              <w:top w:val="nil"/>
              <w:left w:val="nil"/>
              <w:bottom w:val="nil"/>
              <w:right w:val="nil"/>
            </w:tcBorders>
            <w:shd w:val="clear" w:color="auto" w:fill="auto"/>
            <w:noWrap/>
            <w:vAlign w:val="center"/>
            <w:hideMark/>
          </w:tcPr>
          <w:p w14:paraId="76C64E9D" w14:textId="77777777" w:rsidR="00EA5F83" w:rsidRPr="00091680" w:rsidRDefault="00EA5F83" w:rsidP="008C3AED">
            <w:pPr>
              <w:spacing w:after="0" w:line="240" w:lineRule="auto"/>
              <w:jc w:val="left"/>
              <w:rPr>
                <w:rFonts w:ascii="Arial" w:hAnsi="Arial" w:cs="Arial"/>
                <w:sz w:val="16"/>
                <w:szCs w:val="16"/>
              </w:rPr>
            </w:pPr>
            <w:r w:rsidRPr="00091680">
              <w:rPr>
                <w:rFonts w:ascii="Arial" w:hAnsi="Arial" w:cs="Arial"/>
                <w:sz w:val="16"/>
                <w:szCs w:val="16"/>
              </w:rPr>
              <w:t>Asset and other liability movements</w:t>
            </w:r>
          </w:p>
        </w:tc>
        <w:tc>
          <w:tcPr>
            <w:tcW w:w="477" w:type="pct"/>
            <w:tcBorders>
              <w:top w:val="nil"/>
              <w:left w:val="nil"/>
              <w:bottom w:val="nil"/>
              <w:right w:val="nil"/>
            </w:tcBorders>
            <w:shd w:val="clear" w:color="auto" w:fill="auto"/>
            <w:noWrap/>
            <w:vAlign w:val="bottom"/>
            <w:hideMark/>
          </w:tcPr>
          <w:p w14:paraId="30C2D846" w14:textId="097C44E8"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1.6</w:t>
            </w:r>
          </w:p>
        </w:tc>
        <w:tc>
          <w:tcPr>
            <w:tcW w:w="477" w:type="pct"/>
            <w:tcBorders>
              <w:top w:val="nil"/>
              <w:left w:val="nil"/>
              <w:bottom w:val="nil"/>
              <w:right w:val="nil"/>
            </w:tcBorders>
            <w:shd w:val="clear" w:color="auto" w:fill="F2F9FC"/>
            <w:noWrap/>
            <w:vAlign w:val="bottom"/>
            <w:hideMark/>
          </w:tcPr>
          <w:p w14:paraId="3DEFCF6B" w14:textId="77777777"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6.2</w:t>
            </w:r>
          </w:p>
        </w:tc>
        <w:tc>
          <w:tcPr>
            <w:tcW w:w="625" w:type="pct"/>
            <w:tcBorders>
              <w:top w:val="nil"/>
              <w:left w:val="nil"/>
              <w:bottom w:val="nil"/>
              <w:right w:val="nil"/>
            </w:tcBorders>
            <w:shd w:val="clear" w:color="auto" w:fill="auto"/>
            <w:noWrap/>
            <w:vAlign w:val="bottom"/>
            <w:hideMark/>
          </w:tcPr>
          <w:p w14:paraId="33F51B7B" w14:textId="74D477C4" w:rsidR="00EA5F83" w:rsidRPr="00091680" w:rsidRDefault="00C42B0B" w:rsidP="00D87666">
            <w:pPr>
              <w:spacing w:after="0" w:line="240" w:lineRule="auto"/>
              <w:jc w:val="right"/>
              <w:rPr>
                <w:rFonts w:ascii="Arial" w:hAnsi="Arial" w:cs="Arial"/>
                <w:sz w:val="16"/>
                <w:szCs w:val="16"/>
              </w:rPr>
            </w:pPr>
            <w:r w:rsidRPr="00091680">
              <w:rPr>
                <w:rFonts w:ascii="Arial" w:hAnsi="Arial" w:cs="Arial"/>
                <w:sz w:val="16"/>
                <w:szCs w:val="16"/>
              </w:rPr>
              <w:noBreakHyphen/>
            </w:r>
            <w:r w:rsidR="00EA5F83" w:rsidRPr="00091680">
              <w:rPr>
                <w:rFonts w:ascii="Arial" w:hAnsi="Arial" w:cs="Arial"/>
                <w:sz w:val="16"/>
                <w:szCs w:val="16"/>
              </w:rPr>
              <w:t>6.1</w:t>
            </w:r>
          </w:p>
        </w:tc>
        <w:tc>
          <w:tcPr>
            <w:tcW w:w="477" w:type="pct"/>
            <w:tcBorders>
              <w:top w:val="nil"/>
              <w:left w:val="nil"/>
              <w:bottom w:val="nil"/>
              <w:right w:val="nil"/>
            </w:tcBorders>
            <w:shd w:val="clear" w:color="auto" w:fill="auto"/>
            <w:noWrap/>
            <w:vAlign w:val="bottom"/>
            <w:hideMark/>
          </w:tcPr>
          <w:p w14:paraId="5D2C0ED4" w14:textId="77777777"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1.6</w:t>
            </w:r>
          </w:p>
        </w:tc>
      </w:tr>
      <w:tr w:rsidR="00012971" w:rsidRPr="005546AF" w14:paraId="5656F1B0" w14:textId="77777777" w:rsidTr="00D87666">
        <w:trPr>
          <w:trHeight w:hRule="exact" w:val="225"/>
        </w:trPr>
        <w:tc>
          <w:tcPr>
            <w:tcW w:w="2944" w:type="pct"/>
            <w:tcBorders>
              <w:top w:val="nil"/>
              <w:left w:val="nil"/>
              <w:bottom w:val="nil"/>
              <w:right w:val="nil"/>
            </w:tcBorders>
            <w:shd w:val="clear" w:color="auto" w:fill="auto"/>
            <w:noWrap/>
            <w:vAlign w:val="center"/>
            <w:hideMark/>
          </w:tcPr>
          <w:p w14:paraId="3DE2F7C5" w14:textId="77777777" w:rsidR="00EA5F83" w:rsidRPr="00091680" w:rsidRDefault="00EA5F83" w:rsidP="008C3AED">
            <w:pPr>
              <w:spacing w:after="0" w:line="240" w:lineRule="auto"/>
              <w:ind w:left="170"/>
              <w:jc w:val="left"/>
              <w:rPr>
                <w:rFonts w:ascii="Arial" w:hAnsi="Arial" w:cs="Arial"/>
                <w:i/>
                <w:sz w:val="16"/>
                <w:szCs w:val="16"/>
              </w:rPr>
            </w:pPr>
            <w:r w:rsidRPr="00091680">
              <w:rPr>
                <w:rFonts w:ascii="Arial" w:hAnsi="Arial" w:cs="Arial"/>
                <w:i/>
                <w:sz w:val="16"/>
                <w:szCs w:val="16"/>
              </w:rPr>
              <w:t>Cash and deposits</w:t>
            </w:r>
          </w:p>
        </w:tc>
        <w:tc>
          <w:tcPr>
            <w:tcW w:w="477" w:type="pct"/>
            <w:tcBorders>
              <w:top w:val="nil"/>
              <w:left w:val="nil"/>
              <w:bottom w:val="nil"/>
              <w:right w:val="nil"/>
            </w:tcBorders>
            <w:shd w:val="clear" w:color="auto" w:fill="auto"/>
            <w:noWrap/>
            <w:vAlign w:val="bottom"/>
            <w:hideMark/>
          </w:tcPr>
          <w:p w14:paraId="474809C5" w14:textId="20A0F80D" w:rsidR="00EA5F83" w:rsidRPr="00091680" w:rsidRDefault="00C42B0B" w:rsidP="00D87666">
            <w:pPr>
              <w:spacing w:after="0" w:line="240" w:lineRule="auto"/>
              <w:jc w:val="right"/>
              <w:rPr>
                <w:rFonts w:ascii="Arial" w:hAnsi="Arial" w:cs="Arial"/>
                <w:i/>
                <w:sz w:val="16"/>
                <w:szCs w:val="16"/>
              </w:rPr>
            </w:pPr>
            <w:r w:rsidRPr="00091680">
              <w:rPr>
                <w:rFonts w:ascii="Arial" w:hAnsi="Arial" w:cs="Arial"/>
                <w:i/>
                <w:sz w:val="16"/>
                <w:szCs w:val="16"/>
              </w:rPr>
              <w:noBreakHyphen/>
            </w:r>
            <w:r w:rsidR="00EA5F83" w:rsidRPr="00091680">
              <w:rPr>
                <w:rFonts w:ascii="Arial" w:hAnsi="Arial" w:cs="Arial"/>
                <w:i/>
                <w:sz w:val="16"/>
                <w:szCs w:val="16"/>
              </w:rPr>
              <w:t>4.7</w:t>
            </w:r>
          </w:p>
        </w:tc>
        <w:tc>
          <w:tcPr>
            <w:tcW w:w="477" w:type="pct"/>
            <w:tcBorders>
              <w:top w:val="nil"/>
              <w:left w:val="nil"/>
              <w:bottom w:val="nil"/>
              <w:right w:val="nil"/>
            </w:tcBorders>
            <w:shd w:val="clear" w:color="auto" w:fill="F2F9FC"/>
            <w:noWrap/>
            <w:vAlign w:val="bottom"/>
            <w:hideMark/>
          </w:tcPr>
          <w:p w14:paraId="31ABB62A"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2.9</w:t>
            </w:r>
          </w:p>
        </w:tc>
        <w:tc>
          <w:tcPr>
            <w:tcW w:w="625" w:type="pct"/>
            <w:tcBorders>
              <w:top w:val="nil"/>
              <w:left w:val="nil"/>
              <w:bottom w:val="nil"/>
              <w:right w:val="nil"/>
            </w:tcBorders>
            <w:shd w:val="clear" w:color="auto" w:fill="auto"/>
            <w:noWrap/>
            <w:vAlign w:val="bottom"/>
            <w:hideMark/>
          </w:tcPr>
          <w:p w14:paraId="23783CCE" w14:textId="1C84F9AC" w:rsidR="00EA5F83" w:rsidRPr="00091680" w:rsidRDefault="00C42B0B" w:rsidP="00D87666">
            <w:pPr>
              <w:spacing w:after="0" w:line="240" w:lineRule="auto"/>
              <w:jc w:val="right"/>
              <w:rPr>
                <w:rFonts w:ascii="Arial" w:hAnsi="Arial" w:cs="Arial"/>
                <w:i/>
                <w:sz w:val="16"/>
                <w:szCs w:val="16"/>
              </w:rPr>
            </w:pPr>
            <w:r w:rsidRPr="00091680">
              <w:rPr>
                <w:rFonts w:ascii="Arial" w:hAnsi="Arial" w:cs="Arial"/>
                <w:i/>
                <w:sz w:val="16"/>
                <w:szCs w:val="16"/>
              </w:rPr>
              <w:noBreakHyphen/>
            </w:r>
            <w:r w:rsidR="00EA5F83" w:rsidRPr="00091680">
              <w:rPr>
                <w:rFonts w:ascii="Arial" w:hAnsi="Arial" w:cs="Arial"/>
                <w:i/>
                <w:sz w:val="16"/>
                <w:szCs w:val="16"/>
              </w:rPr>
              <w:t>8.3</w:t>
            </w:r>
          </w:p>
        </w:tc>
        <w:tc>
          <w:tcPr>
            <w:tcW w:w="477" w:type="pct"/>
            <w:tcBorders>
              <w:top w:val="nil"/>
              <w:left w:val="nil"/>
              <w:bottom w:val="nil"/>
              <w:right w:val="nil"/>
            </w:tcBorders>
            <w:shd w:val="clear" w:color="auto" w:fill="auto"/>
            <w:noWrap/>
            <w:vAlign w:val="bottom"/>
            <w:hideMark/>
          </w:tcPr>
          <w:p w14:paraId="56C1729E"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1.2</w:t>
            </w:r>
          </w:p>
        </w:tc>
      </w:tr>
      <w:tr w:rsidR="00012971" w:rsidRPr="005546AF" w14:paraId="117FA822" w14:textId="77777777" w:rsidTr="00D87666">
        <w:trPr>
          <w:trHeight w:hRule="exact" w:val="225"/>
        </w:trPr>
        <w:tc>
          <w:tcPr>
            <w:tcW w:w="2944" w:type="pct"/>
            <w:tcBorders>
              <w:top w:val="nil"/>
              <w:left w:val="nil"/>
              <w:bottom w:val="nil"/>
              <w:right w:val="nil"/>
            </w:tcBorders>
            <w:shd w:val="clear" w:color="auto" w:fill="auto"/>
            <w:noWrap/>
            <w:vAlign w:val="center"/>
            <w:hideMark/>
          </w:tcPr>
          <w:p w14:paraId="6082C20E" w14:textId="77777777" w:rsidR="00EA5F83" w:rsidRPr="00091680" w:rsidRDefault="00EA5F83" w:rsidP="008C3AED">
            <w:pPr>
              <w:spacing w:after="0" w:line="240" w:lineRule="auto"/>
              <w:ind w:left="170"/>
              <w:jc w:val="left"/>
              <w:rPr>
                <w:rFonts w:ascii="Arial" w:hAnsi="Arial" w:cs="Arial"/>
                <w:i/>
                <w:sz w:val="16"/>
                <w:szCs w:val="16"/>
              </w:rPr>
            </w:pPr>
            <w:r w:rsidRPr="00091680">
              <w:rPr>
                <w:rFonts w:ascii="Arial" w:hAnsi="Arial" w:cs="Arial"/>
                <w:i/>
                <w:sz w:val="16"/>
                <w:szCs w:val="16"/>
              </w:rPr>
              <w:t>Advances paid</w:t>
            </w:r>
          </w:p>
        </w:tc>
        <w:tc>
          <w:tcPr>
            <w:tcW w:w="477" w:type="pct"/>
            <w:tcBorders>
              <w:top w:val="nil"/>
              <w:left w:val="nil"/>
              <w:bottom w:val="nil"/>
              <w:right w:val="nil"/>
            </w:tcBorders>
            <w:shd w:val="clear" w:color="auto" w:fill="auto"/>
            <w:noWrap/>
            <w:vAlign w:val="bottom"/>
            <w:hideMark/>
          </w:tcPr>
          <w:p w14:paraId="135B7A1E"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1.1</w:t>
            </w:r>
          </w:p>
        </w:tc>
        <w:tc>
          <w:tcPr>
            <w:tcW w:w="477" w:type="pct"/>
            <w:tcBorders>
              <w:top w:val="nil"/>
              <w:left w:val="nil"/>
              <w:bottom w:val="nil"/>
              <w:right w:val="nil"/>
            </w:tcBorders>
            <w:shd w:val="clear" w:color="auto" w:fill="F2F9FC"/>
            <w:noWrap/>
            <w:vAlign w:val="bottom"/>
            <w:hideMark/>
          </w:tcPr>
          <w:p w14:paraId="37687B02"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0.7</w:t>
            </w:r>
          </w:p>
        </w:tc>
        <w:tc>
          <w:tcPr>
            <w:tcW w:w="625" w:type="pct"/>
            <w:tcBorders>
              <w:top w:val="nil"/>
              <w:left w:val="nil"/>
              <w:bottom w:val="nil"/>
              <w:right w:val="nil"/>
            </w:tcBorders>
            <w:shd w:val="clear" w:color="auto" w:fill="auto"/>
            <w:noWrap/>
            <w:vAlign w:val="bottom"/>
            <w:hideMark/>
          </w:tcPr>
          <w:p w14:paraId="3E43D8B7" w14:textId="072170BD" w:rsidR="00EA5F83" w:rsidRPr="00091680" w:rsidRDefault="00C42B0B" w:rsidP="00D87666">
            <w:pPr>
              <w:spacing w:after="0" w:line="240" w:lineRule="auto"/>
              <w:jc w:val="right"/>
              <w:rPr>
                <w:rFonts w:ascii="Arial" w:hAnsi="Arial" w:cs="Arial"/>
                <w:i/>
                <w:sz w:val="16"/>
                <w:szCs w:val="16"/>
              </w:rPr>
            </w:pPr>
            <w:r w:rsidRPr="00091680">
              <w:rPr>
                <w:rFonts w:ascii="Arial" w:hAnsi="Arial" w:cs="Arial"/>
                <w:i/>
                <w:sz w:val="16"/>
                <w:szCs w:val="16"/>
              </w:rPr>
              <w:noBreakHyphen/>
            </w:r>
            <w:r w:rsidR="00EA5F83" w:rsidRPr="00091680">
              <w:rPr>
                <w:rFonts w:ascii="Arial" w:hAnsi="Arial" w:cs="Arial"/>
                <w:i/>
                <w:sz w:val="16"/>
                <w:szCs w:val="16"/>
              </w:rPr>
              <w:t>0.5</w:t>
            </w:r>
          </w:p>
        </w:tc>
        <w:tc>
          <w:tcPr>
            <w:tcW w:w="477" w:type="pct"/>
            <w:tcBorders>
              <w:top w:val="nil"/>
              <w:left w:val="nil"/>
              <w:bottom w:val="nil"/>
              <w:right w:val="nil"/>
            </w:tcBorders>
            <w:shd w:val="clear" w:color="auto" w:fill="auto"/>
            <w:noWrap/>
            <w:vAlign w:val="bottom"/>
            <w:hideMark/>
          </w:tcPr>
          <w:p w14:paraId="4BDDA7EA" w14:textId="6983463D" w:rsidR="00EA5F83" w:rsidRPr="00091680" w:rsidRDefault="00C42B0B" w:rsidP="00D87666">
            <w:pPr>
              <w:spacing w:after="0" w:line="240" w:lineRule="auto"/>
              <w:jc w:val="right"/>
              <w:rPr>
                <w:rFonts w:ascii="Arial" w:hAnsi="Arial" w:cs="Arial"/>
                <w:i/>
                <w:sz w:val="16"/>
                <w:szCs w:val="16"/>
              </w:rPr>
            </w:pPr>
            <w:r w:rsidRPr="00091680">
              <w:rPr>
                <w:rFonts w:ascii="Arial" w:hAnsi="Arial" w:cs="Arial"/>
                <w:i/>
                <w:sz w:val="16"/>
                <w:szCs w:val="16"/>
              </w:rPr>
              <w:noBreakHyphen/>
            </w:r>
            <w:r w:rsidR="00EA5F83" w:rsidRPr="00091680">
              <w:rPr>
                <w:rFonts w:ascii="Arial" w:hAnsi="Arial" w:cs="Arial"/>
                <w:i/>
                <w:sz w:val="16"/>
                <w:szCs w:val="16"/>
              </w:rPr>
              <w:t>1.8</w:t>
            </w:r>
          </w:p>
        </w:tc>
      </w:tr>
      <w:tr w:rsidR="00012971" w:rsidRPr="005546AF" w14:paraId="208D2020" w14:textId="77777777" w:rsidTr="00D87666">
        <w:trPr>
          <w:trHeight w:hRule="exact" w:val="225"/>
        </w:trPr>
        <w:tc>
          <w:tcPr>
            <w:tcW w:w="2944" w:type="pct"/>
            <w:tcBorders>
              <w:top w:val="nil"/>
              <w:left w:val="nil"/>
              <w:bottom w:val="nil"/>
              <w:right w:val="nil"/>
            </w:tcBorders>
            <w:shd w:val="clear" w:color="auto" w:fill="auto"/>
            <w:noWrap/>
            <w:vAlign w:val="center"/>
            <w:hideMark/>
          </w:tcPr>
          <w:p w14:paraId="6961D7F2" w14:textId="77777777" w:rsidR="00EA5F83" w:rsidRPr="00091680" w:rsidRDefault="00EA5F83" w:rsidP="008C3AED">
            <w:pPr>
              <w:spacing w:after="0" w:line="240" w:lineRule="auto"/>
              <w:ind w:left="170"/>
              <w:jc w:val="left"/>
              <w:rPr>
                <w:rFonts w:ascii="Arial" w:hAnsi="Arial" w:cs="Arial"/>
                <w:i/>
                <w:sz w:val="16"/>
                <w:szCs w:val="16"/>
              </w:rPr>
            </w:pPr>
            <w:r w:rsidRPr="00091680">
              <w:rPr>
                <w:rFonts w:ascii="Arial" w:hAnsi="Arial" w:cs="Arial"/>
                <w:i/>
                <w:sz w:val="16"/>
                <w:szCs w:val="16"/>
              </w:rPr>
              <w:t>Investments, loans and placements</w:t>
            </w:r>
          </w:p>
        </w:tc>
        <w:tc>
          <w:tcPr>
            <w:tcW w:w="477" w:type="pct"/>
            <w:tcBorders>
              <w:top w:val="nil"/>
              <w:left w:val="nil"/>
              <w:bottom w:val="nil"/>
              <w:right w:val="nil"/>
            </w:tcBorders>
            <w:shd w:val="clear" w:color="auto" w:fill="auto"/>
            <w:noWrap/>
            <w:vAlign w:val="bottom"/>
            <w:hideMark/>
          </w:tcPr>
          <w:p w14:paraId="69A65693"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1.8</w:t>
            </w:r>
          </w:p>
        </w:tc>
        <w:tc>
          <w:tcPr>
            <w:tcW w:w="477" w:type="pct"/>
            <w:tcBorders>
              <w:top w:val="nil"/>
              <w:left w:val="nil"/>
              <w:bottom w:val="nil"/>
              <w:right w:val="nil"/>
            </w:tcBorders>
            <w:shd w:val="clear" w:color="auto" w:fill="F2F9FC"/>
            <w:noWrap/>
            <w:vAlign w:val="bottom"/>
            <w:hideMark/>
          </w:tcPr>
          <w:p w14:paraId="2D542251"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2.5</w:t>
            </w:r>
          </w:p>
        </w:tc>
        <w:tc>
          <w:tcPr>
            <w:tcW w:w="625" w:type="pct"/>
            <w:tcBorders>
              <w:top w:val="nil"/>
              <w:left w:val="nil"/>
              <w:bottom w:val="nil"/>
              <w:right w:val="nil"/>
            </w:tcBorders>
            <w:shd w:val="clear" w:color="auto" w:fill="auto"/>
            <w:noWrap/>
            <w:vAlign w:val="bottom"/>
            <w:hideMark/>
          </w:tcPr>
          <w:p w14:paraId="0FB539E5"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2.5</w:t>
            </w:r>
          </w:p>
        </w:tc>
        <w:tc>
          <w:tcPr>
            <w:tcW w:w="477" w:type="pct"/>
            <w:tcBorders>
              <w:top w:val="nil"/>
              <w:left w:val="nil"/>
              <w:bottom w:val="nil"/>
              <w:right w:val="nil"/>
            </w:tcBorders>
            <w:shd w:val="clear" w:color="auto" w:fill="auto"/>
            <w:noWrap/>
            <w:vAlign w:val="bottom"/>
            <w:hideMark/>
          </w:tcPr>
          <w:p w14:paraId="367AD012"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2.0</w:t>
            </w:r>
          </w:p>
        </w:tc>
      </w:tr>
      <w:tr w:rsidR="00012971" w:rsidRPr="005546AF" w14:paraId="151C2572" w14:textId="77777777" w:rsidTr="00D87666">
        <w:trPr>
          <w:trHeight w:hRule="exact" w:val="225"/>
        </w:trPr>
        <w:tc>
          <w:tcPr>
            <w:tcW w:w="2944" w:type="pct"/>
            <w:tcBorders>
              <w:top w:val="nil"/>
              <w:left w:val="nil"/>
              <w:bottom w:val="nil"/>
              <w:right w:val="nil"/>
            </w:tcBorders>
            <w:shd w:val="clear" w:color="auto" w:fill="auto"/>
            <w:noWrap/>
            <w:vAlign w:val="center"/>
            <w:hideMark/>
          </w:tcPr>
          <w:p w14:paraId="61164071" w14:textId="77777777" w:rsidR="00EA5F83" w:rsidRPr="00091680" w:rsidRDefault="00EA5F83" w:rsidP="008C3AED">
            <w:pPr>
              <w:spacing w:after="0" w:line="240" w:lineRule="auto"/>
              <w:ind w:left="170"/>
              <w:jc w:val="left"/>
              <w:rPr>
                <w:rFonts w:ascii="Arial" w:hAnsi="Arial" w:cs="Arial"/>
                <w:i/>
                <w:sz w:val="16"/>
                <w:szCs w:val="16"/>
              </w:rPr>
            </w:pPr>
            <w:r w:rsidRPr="00091680">
              <w:rPr>
                <w:rFonts w:ascii="Arial" w:hAnsi="Arial" w:cs="Arial"/>
                <w:i/>
                <w:sz w:val="16"/>
                <w:szCs w:val="16"/>
              </w:rPr>
              <w:t>Other movements</w:t>
            </w:r>
          </w:p>
        </w:tc>
        <w:tc>
          <w:tcPr>
            <w:tcW w:w="477" w:type="pct"/>
            <w:tcBorders>
              <w:top w:val="nil"/>
              <w:left w:val="nil"/>
              <w:bottom w:val="nil"/>
              <w:right w:val="nil"/>
            </w:tcBorders>
            <w:shd w:val="clear" w:color="auto" w:fill="auto"/>
            <w:noWrap/>
            <w:vAlign w:val="bottom"/>
            <w:hideMark/>
          </w:tcPr>
          <w:p w14:paraId="2DB32092"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0.2</w:t>
            </w:r>
          </w:p>
        </w:tc>
        <w:tc>
          <w:tcPr>
            <w:tcW w:w="477" w:type="pct"/>
            <w:tcBorders>
              <w:top w:val="nil"/>
              <w:left w:val="nil"/>
              <w:bottom w:val="nil"/>
              <w:right w:val="nil"/>
            </w:tcBorders>
            <w:shd w:val="clear" w:color="auto" w:fill="F2F9FC"/>
            <w:noWrap/>
            <w:vAlign w:val="bottom"/>
            <w:hideMark/>
          </w:tcPr>
          <w:p w14:paraId="4BF53BA2"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0.1</w:t>
            </w:r>
          </w:p>
        </w:tc>
        <w:tc>
          <w:tcPr>
            <w:tcW w:w="625" w:type="pct"/>
            <w:tcBorders>
              <w:top w:val="nil"/>
              <w:left w:val="nil"/>
              <w:bottom w:val="nil"/>
              <w:right w:val="nil"/>
            </w:tcBorders>
            <w:shd w:val="clear" w:color="auto" w:fill="auto"/>
            <w:noWrap/>
            <w:vAlign w:val="bottom"/>
            <w:hideMark/>
          </w:tcPr>
          <w:p w14:paraId="19FD9157"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0.2</w:t>
            </w:r>
          </w:p>
        </w:tc>
        <w:tc>
          <w:tcPr>
            <w:tcW w:w="477" w:type="pct"/>
            <w:tcBorders>
              <w:top w:val="nil"/>
              <w:left w:val="nil"/>
              <w:bottom w:val="nil"/>
              <w:right w:val="nil"/>
            </w:tcBorders>
            <w:shd w:val="clear" w:color="auto" w:fill="auto"/>
            <w:noWrap/>
            <w:vAlign w:val="bottom"/>
            <w:hideMark/>
          </w:tcPr>
          <w:p w14:paraId="2FBD8821" w14:textId="77777777" w:rsidR="00EA5F83" w:rsidRPr="00091680" w:rsidRDefault="00EA5F83" w:rsidP="00D87666">
            <w:pPr>
              <w:spacing w:after="0" w:line="240" w:lineRule="auto"/>
              <w:jc w:val="right"/>
              <w:rPr>
                <w:rFonts w:ascii="Arial" w:hAnsi="Arial" w:cs="Arial"/>
                <w:i/>
                <w:sz w:val="16"/>
                <w:szCs w:val="16"/>
              </w:rPr>
            </w:pPr>
            <w:r w:rsidRPr="00091680">
              <w:rPr>
                <w:rFonts w:ascii="Arial" w:hAnsi="Arial" w:cs="Arial"/>
                <w:i/>
                <w:sz w:val="16"/>
                <w:szCs w:val="16"/>
              </w:rPr>
              <w:t>0.2</w:t>
            </w:r>
          </w:p>
        </w:tc>
      </w:tr>
      <w:tr w:rsidR="00012971" w:rsidRPr="005546AF" w14:paraId="36908A7F" w14:textId="77777777" w:rsidTr="00D87666">
        <w:trPr>
          <w:trHeight w:hRule="exact" w:val="448"/>
        </w:trPr>
        <w:tc>
          <w:tcPr>
            <w:tcW w:w="2944" w:type="pct"/>
            <w:tcBorders>
              <w:top w:val="nil"/>
              <w:left w:val="nil"/>
              <w:bottom w:val="nil"/>
              <w:right w:val="nil"/>
            </w:tcBorders>
            <w:shd w:val="clear" w:color="auto" w:fill="auto"/>
            <w:vAlign w:val="center"/>
            <w:hideMark/>
          </w:tcPr>
          <w:p w14:paraId="73D53684" w14:textId="10139E63" w:rsidR="00EA5F83" w:rsidRPr="00091680" w:rsidRDefault="00EA5F83" w:rsidP="008C3AED">
            <w:pPr>
              <w:spacing w:after="0" w:line="240" w:lineRule="auto"/>
              <w:jc w:val="left"/>
              <w:rPr>
                <w:rFonts w:ascii="Arial" w:hAnsi="Arial" w:cs="Arial"/>
                <w:b/>
                <w:sz w:val="16"/>
                <w:szCs w:val="16"/>
              </w:rPr>
            </w:pPr>
            <w:r w:rsidRPr="00091680">
              <w:rPr>
                <w:rFonts w:ascii="Arial" w:hAnsi="Arial" w:cs="Arial"/>
                <w:b/>
                <w:sz w:val="16"/>
                <w:szCs w:val="16"/>
              </w:rPr>
              <w:t>Total movements in net debt from</w:t>
            </w:r>
            <w:r w:rsidRPr="00091680">
              <w:rPr>
                <w:rFonts w:ascii="Arial" w:hAnsi="Arial" w:cs="Arial"/>
                <w:b/>
                <w:sz w:val="16"/>
                <w:szCs w:val="16"/>
              </w:rPr>
              <w:br/>
              <w:t xml:space="preserve">   2021</w:t>
            </w:r>
            <w:r w:rsidR="00C42B0B" w:rsidRPr="00091680">
              <w:rPr>
                <w:rFonts w:ascii="Arial" w:hAnsi="Arial" w:cs="Arial"/>
                <w:b/>
                <w:sz w:val="16"/>
                <w:szCs w:val="16"/>
              </w:rPr>
              <w:noBreakHyphen/>
            </w:r>
            <w:r w:rsidRPr="00091680">
              <w:rPr>
                <w:rFonts w:ascii="Arial" w:hAnsi="Arial" w:cs="Arial"/>
                <w:b/>
                <w:sz w:val="16"/>
                <w:szCs w:val="16"/>
              </w:rPr>
              <w:t>22 MYEFO to 2022</w:t>
            </w:r>
            <w:r w:rsidR="00C42B0B" w:rsidRPr="00091680">
              <w:rPr>
                <w:rFonts w:ascii="Arial" w:hAnsi="Arial" w:cs="Arial"/>
                <w:b/>
                <w:sz w:val="16"/>
                <w:szCs w:val="16"/>
              </w:rPr>
              <w:noBreakHyphen/>
            </w:r>
            <w:r w:rsidRPr="00091680">
              <w:rPr>
                <w:rFonts w:ascii="Arial" w:hAnsi="Arial" w:cs="Arial"/>
                <w:b/>
                <w:sz w:val="16"/>
                <w:szCs w:val="16"/>
              </w:rPr>
              <w:t>23 Budget</w:t>
            </w:r>
          </w:p>
        </w:tc>
        <w:tc>
          <w:tcPr>
            <w:tcW w:w="477" w:type="pct"/>
            <w:tcBorders>
              <w:top w:val="nil"/>
              <w:left w:val="nil"/>
              <w:bottom w:val="nil"/>
              <w:right w:val="nil"/>
            </w:tcBorders>
            <w:shd w:val="clear" w:color="auto" w:fill="auto"/>
            <w:noWrap/>
            <w:vAlign w:val="bottom"/>
            <w:hideMark/>
          </w:tcPr>
          <w:p w14:paraId="55995752" w14:textId="0861C9A4" w:rsidR="00EA5F83" w:rsidRPr="00091680" w:rsidRDefault="00C42B0B" w:rsidP="00D87666">
            <w:pPr>
              <w:spacing w:after="0" w:line="240" w:lineRule="auto"/>
              <w:jc w:val="right"/>
              <w:rPr>
                <w:rFonts w:ascii="Arial" w:hAnsi="Arial" w:cs="Arial"/>
                <w:b/>
                <w:sz w:val="16"/>
                <w:szCs w:val="16"/>
              </w:rPr>
            </w:pPr>
            <w:r w:rsidRPr="00091680">
              <w:rPr>
                <w:rFonts w:ascii="Arial" w:hAnsi="Arial" w:cs="Arial"/>
                <w:b/>
                <w:sz w:val="16"/>
                <w:szCs w:val="16"/>
              </w:rPr>
              <w:noBreakHyphen/>
            </w:r>
            <w:r w:rsidR="00EA5F83" w:rsidRPr="00091680">
              <w:rPr>
                <w:rFonts w:ascii="Arial" w:hAnsi="Arial" w:cs="Arial"/>
                <w:b/>
                <w:sz w:val="16"/>
                <w:szCs w:val="16"/>
              </w:rPr>
              <w:t>41.9</w:t>
            </w:r>
          </w:p>
        </w:tc>
        <w:tc>
          <w:tcPr>
            <w:tcW w:w="477" w:type="pct"/>
            <w:tcBorders>
              <w:top w:val="nil"/>
              <w:left w:val="nil"/>
              <w:bottom w:val="nil"/>
              <w:right w:val="nil"/>
            </w:tcBorders>
            <w:shd w:val="clear" w:color="auto" w:fill="F2F9FC"/>
            <w:noWrap/>
            <w:vAlign w:val="bottom"/>
            <w:hideMark/>
          </w:tcPr>
          <w:p w14:paraId="76B7B7E2" w14:textId="3B10A0A0" w:rsidR="00EA5F83" w:rsidRPr="00091680" w:rsidRDefault="00C42B0B" w:rsidP="00D87666">
            <w:pPr>
              <w:spacing w:after="0" w:line="240" w:lineRule="auto"/>
              <w:jc w:val="right"/>
              <w:rPr>
                <w:rFonts w:ascii="Arial" w:hAnsi="Arial" w:cs="Arial"/>
                <w:b/>
                <w:sz w:val="16"/>
                <w:szCs w:val="16"/>
              </w:rPr>
            </w:pPr>
            <w:r w:rsidRPr="00091680">
              <w:rPr>
                <w:rFonts w:ascii="Arial" w:hAnsi="Arial" w:cs="Arial"/>
                <w:b/>
                <w:sz w:val="16"/>
                <w:szCs w:val="16"/>
              </w:rPr>
              <w:noBreakHyphen/>
            </w:r>
            <w:r w:rsidR="00EA5F83" w:rsidRPr="00091680">
              <w:rPr>
                <w:rFonts w:ascii="Arial" w:hAnsi="Arial" w:cs="Arial"/>
                <w:b/>
                <w:sz w:val="16"/>
                <w:szCs w:val="16"/>
              </w:rPr>
              <w:t>58.2</w:t>
            </w:r>
          </w:p>
        </w:tc>
        <w:tc>
          <w:tcPr>
            <w:tcW w:w="625" w:type="pct"/>
            <w:tcBorders>
              <w:top w:val="nil"/>
              <w:left w:val="nil"/>
              <w:bottom w:val="nil"/>
              <w:right w:val="nil"/>
            </w:tcBorders>
            <w:shd w:val="clear" w:color="auto" w:fill="auto"/>
            <w:noWrap/>
            <w:vAlign w:val="bottom"/>
            <w:hideMark/>
          </w:tcPr>
          <w:p w14:paraId="011643CE" w14:textId="7209FF51" w:rsidR="00EA5F83" w:rsidRPr="00091680" w:rsidRDefault="00C42B0B" w:rsidP="00D87666">
            <w:pPr>
              <w:spacing w:after="0" w:line="240" w:lineRule="auto"/>
              <w:jc w:val="right"/>
              <w:rPr>
                <w:rFonts w:ascii="Arial" w:hAnsi="Arial" w:cs="Arial"/>
                <w:b/>
                <w:sz w:val="16"/>
                <w:szCs w:val="16"/>
              </w:rPr>
            </w:pPr>
            <w:r w:rsidRPr="00091680">
              <w:rPr>
                <w:rFonts w:ascii="Arial" w:hAnsi="Arial" w:cs="Arial"/>
                <w:b/>
                <w:sz w:val="16"/>
                <w:szCs w:val="16"/>
              </w:rPr>
              <w:noBreakHyphen/>
            </w:r>
            <w:r w:rsidR="00EA5F83" w:rsidRPr="00091680">
              <w:rPr>
                <w:rFonts w:ascii="Arial" w:hAnsi="Arial" w:cs="Arial"/>
                <w:b/>
                <w:sz w:val="16"/>
                <w:szCs w:val="16"/>
              </w:rPr>
              <w:t>83.7</w:t>
            </w:r>
          </w:p>
        </w:tc>
        <w:tc>
          <w:tcPr>
            <w:tcW w:w="477" w:type="pct"/>
            <w:tcBorders>
              <w:top w:val="nil"/>
              <w:left w:val="nil"/>
              <w:bottom w:val="nil"/>
              <w:right w:val="nil"/>
            </w:tcBorders>
            <w:shd w:val="clear" w:color="auto" w:fill="auto"/>
            <w:noWrap/>
            <w:vAlign w:val="bottom"/>
            <w:hideMark/>
          </w:tcPr>
          <w:p w14:paraId="4E33DC20" w14:textId="5A8960C0" w:rsidR="00EA5F83" w:rsidRPr="00091680" w:rsidRDefault="00C42B0B" w:rsidP="00D87666">
            <w:pPr>
              <w:spacing w:after="0" w:line="240" w:lineRule="auto"/>
              <w:jc w:val="right"/>
              <w:rPr>
                <w:rFonts w:ascii="Arial" w:hAnsi="Arial" w:cs="Arial"/>
                <w:b/>
                <w:sz w:val="16"/>
                <w:szCs w:val="16"/>
              </w:rPr>
            </w:pPr>
            <w:r w:rsidRPr="00091680">
              <w:rPr>
                <w:rFonts w:ascii="Arial" w:hAnsi="Arial" w:cs="Arial"/>
                <w:b/>
                <w:sz w:val="16"/>
                <w:szCs w:val="16"/>
              </w:rPr>
              <w:noBreakHyphen/>
            </w:r>
            <w:r w:rsidR="00EA5F83" w:rsidRPr="00091680">
              <w:rPr>
                <w:rFonts w:ascii="Arial" w:hAnsi="Arial" w:cs="Arial"/>
                <w:b/>
                <w:sz w:val="16"/>
                <w:szCs w:val="16"/>
              </w:rPr>
              <w:t>91.6</w:t>
            </w:r>
          </w:p>
        </w:tc>
      </w:tr>
      <w:tr w:rsidR="00012971" w:rsidRPr="005546AF" w14:paraId="6B891B56" w14:textId="77777777" w:rsidTr="00D87666">
        <w:trPr>
          <w:trHeight w:hRule="exact" w:val="60"/>
        </w:trPr>
        <w:tc>
          <w:tcPr>
            <w:tcW w:w="2944" w:type="pct"/>
            <w:tcBorders>
              <w:top w:val="nil"/>
              <w:left w:val="nil"/>
              <w:bottom w:val="nil"/>
              <w:right w:val="nil"/>
            </w:tcBorders>
            <w:shd w:val="clear" w:color="auto" w:fill="auto"/>
            <w:noWrap/>
            <w:vAlign w:val="center"/>
            <w:hideMark/>
          </w:tcPr>
          <w:p w14:paraId="621E0B64" w14:textId="77777777" w:rsidR="00EA5F83" w:rsidRPr="00091680" w:rsidRDefault="00EA5F83" w:rsidP="008C3AED">
            <w:pPr>
              <w:spacing w:after="0" w:line="240" w:lineRule="auto"/>
              <w:jc w:val="right"/>
              <w:rPr>
                <w:rFonts w:ascii="Arial" w:hAnsi="Arial" w:cs="Arial"/>
                <w:b/>
                <w:sz w:val="16"/>
                <w:szCs w:val="16"/>
              </w:rPr>
            </w:pPr>
          </w:p>
        </w:tc>
        <w:tc>
          <w:tcPr>
            <w:tcW w:w="477" w:type="pct"/>
            <w:tcBorders>
              <w:top w:val="nil"/>
              <w:left w:val="nil"/>
              <w:bottom w:val="nil"/>
              <w:right w:val="nil"/>
            </w:tcBorders>
            <w:shd w:val="clear" w:color="auto" w:fill="auto"/>
            <w:noWrap/>
            <w:vAlign w:val="bottom"/>
            <w:hideMark/>
          </w:tcPr>
          <w:p w14:paraId="35A7F2B1" w14:textId="77777777" w:rsidR="00EA5F83" w:rsidRPr="00091680" w:rsidRDefault="00EA5F83" w:rsidP="00D87666">
            <w:pPr>
              <w:spacing w:after="0" w:line="240" w:lineRule="auto"/>
              <w:jc w:val="right"/>
              <w:rPr>
                <w:rFonts w:ascii="Times New Roman" w:hAnsi="Times New Roman"/>
              </w:rPr>
            </w:pPr>
          </w:p>
        </w:tc>
        <w:tc>
          <w:tcPr>
            <w:tcW w:w="477" w:type="pct"/>
            <w:tcBorders>
              <w:top w:val="nil"/>
              <w:left w:val="nil"/>
              <w:bottom w:val="nil"/>
              <w:right w:val="nil"/>
            </w:tcBorders>
            <w:shd w:val="clear" w:color="auto" w:fill="F2F9FC"/>
            <w:noWrap/>
            <w:vAlign w:val="bottom"/>
            <w:hideMark/>
          </w:tcPr>
          <w:p w14:paraId="07163158" w14:textId="77777777" w:rsidR="00EA5F83" w:rsidRPr="00091680" w:rsidRDefault="00EA5F83" w:rsidP="00D87666">
            <w:pPr>
              <w:spacing w:after="0" w:line="240" w:lineRule="auto"/>
              <w:jc w:val="right"/>
              <w:rPr>
                <w:rFonts w:ascii="Arial" w:hAnsi="Arial" w:cs="Arial"/>
                <w:sz w:val="16"/>
                <w:szCs w:val="16"/>
              </w:rPr>
            </w:pPr>
            <w:r w:rsidRPr="00091680">
              <w:rPr>
                <w:rFonts w:ascii="Arial" w:hAnsi="Arial" w:cs="Arial"/>
                <w:sz w:val="16"/>
                <w:szCs w:val="16"/>
              </w:rPr>
              <w:t> </w:t>
            </w:r>
          </w:p>
        </w:tc>
        <w:tc>
          <w:tcPr>
            <w:tcW w:w="625" w:type="pct"/>
            <w:tcBorders>
              <w:top w:val="nil"/>
              <w:left w:val="nil"/>
              <w:bottom w:val="nil"/>
              <w:right w:val="nil"/>
            </w:tcBorders>
            <w:shd w:val="clear" w:color="auto" w:fill="auto"/>
            <w:noWrap/>
            <w:vAlign w:val="bottom"/>
            <w:hideMark/>
          </w:tcPr>
          <w:p w14:paraId="796FA38E" w14:textId="77777777" w:rsidR="00EA5F83" w:rsidRPr="00091680" w:rsidRDefault="00EA5F83" w:rsidP="00D87666">
            <w:pPr>
              <w:spacing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bottom"/>
            <w:hideMark/>
          </w:tcPr>
          <w:p w14:paraId="4AE26D54" w14:textId="77777777" w:rsidR="00EA5F83" w:rsidRPr="00091680" w:rsidRDefault="00EA5F83" w:rsidP="00D87666">
            <w:pPr>
              <w:spacing w:after="0" w:line="240" w:lineRule="auto"/>
              <w:jc w:val="right"/>
              <w:rPr>
                <w:rFonts w:ascii="Times New Roman" w:hAnsi="Times New Roman"/>
              </w:rPr>
            </w:pPr>
          </w:p>
        </w:tc>
      </w:tr>
      <w:tr w:rsidR="00564F52" w:rsidRPr="005546AF" w14:paraId="54CBB5F1" w14:textId="77777777" w:rsidTr="00D87666">
        <w:trPr>
          <w:trHeight w:hRule="exact" w:val="225"/>
        </w:trPr>
        <w:tc>
          <w:tcPr>
            <w:tcW w:w="2944" w:type="pct"/>
            <w:tcBorders>
              <w:top w:val="nil"/>
              <w:left w:val="nil"/>
              <w:bottom w:val="single" w:sz="4" w:space="0" w:color="000000"/>
              <w:right w:val="nil"/>
            </w:tcBorders>
            <w:shd w:val="clear" w:color="auto" w:fill="auto"/>
            <w:noWrap/>
            <w:vAlign w:val="center"/>
            <w:hideMark/>
          </w:tcPr>
          <w:p w14:paraId="05EA9AB2" w14:textId="4C0B0DD3" w:rsidR="00EA5F83" w:rsidRPr="00091680" w:rsidRDefault="00EA5F83" w:rsidP="008C3AED">
            <w:pPr>
              <w:spacing w:after="0" w:line="240" w:lineRule="auto"/>
              <w:jc w:val="left"/>
              <w:rPr>
                <w:rFonts w:ascii="Arial" w:hAnsi="Arial" w:cs="Arial"/>
                <w:b/>
                <w:sz w:val="16"/>
                <w:szCs w:val="16"/>
              </w:rPr>
            </w:pPr>
            <w:r w:rsidRPr="00091680">
              <w:rPr>
                <w:rFonts w:ascii="Arial" w:hAnsi="Arial" w:cs="Arial"/>
                <w:b/>
                <w:sz w:val="16"/>
                <w:szCs w:val="16"/>
              </w:rPr>
              <w:t>Net debt as at 2022</w:t>
            </w:r>
            <w:r w:rsidR="00C42B0B" w:rsidRPr="00091680">
              <w:rPr>
                <w:rFonts w:ascii="Arial" w:hAnsi="Arial" w:cs="Arial"/>
                <w:b/>
                <w:sz w:val="16"/>
                <w:szCs w:val="16"/>
              </w:rPr>
              <w:noBreakHyphen/>
            </w:r>
            <w:r w:rsidRPr="00091680">
              <w:rPr>
                <w:rFonts w:ascii="Arial" w:hAnsi="Arial" w:cs="Arial"/>
                <w:b/>
                <w:sz w:val="16"/>
                <w:szCs w:val="16"/>
              </w:rPr>
              <w:t>23 Budget</w:t>
            </w:r>
          </w:p>
        </w:tc>
        <w:tc>
          <w:tcPr>
            <w:tcW w:w="477" w:type="pct"/>
            <w:tcBorders>
              <w:top w:val="single" w:sz="4" w:space="0" w:color="000000"/>
              <w:left w:val="nil"/>
              <w:bottom w:val="single" w:sz="4" w:space="0" w:color="000000"/>
              <w:right w:val="nil"/>
            </w:tcBorders>
            <w:shd w:val="clear" w:color="auto" w:fill="auto"/>
            <w:noWrap/>
            <w:vAlign w:val="bottom"/>
            <w:hideMark/>
          </w:tcPr>
          <w:p w14:paraId="143D5A3C"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631.5</w:t>
            </w:r>
          </w:p>
        </w:tc>
        <w:tc>
          <w:tcPr>
            <w:tcW w:w="477" w:type="pct"/>
            <w:tcBorders>
              <w:top w:val="single" w:sz="4" w:space="0" w:color="000000"/>
              <w:left w:val="nil"/>
              <w:bottom w:val="single" w:sz="4" w:space="0" w:color="000000"/>
              <w:right w:val="nil"/>
            </w:tcBorders>
            <w:shd w:val="clear" w:color="auto" w:fill="F2F9FC"/>
            <w:noWrap/>
            <w:vAlign w:val="bottom"/>
            <w:hideMark/>
          </w:tcPr>
          <w:p w14:paraId="10BB72C9"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714.9</w:t>
            </w:r>
          </w:p>
        </w:tc>
        <w:tc>
          <w:tcPr>
            <w:tcW w:w="625" w:type="pct"/>
            <w:tcBorders>
              <w:top w:val="single" w:sz="4" w:space="0" w:color="000000"/>
              <w:left w:val="nil"/>
              <w:bottom w:val="single" w:sz="4" w:space="0" w:color="000000"/>
              <w:right w:val="nil"/>
            </w:tcBorders>
            <w:shd w:val="clear" w:color="auto" w:fill="auto"/>
            <w:noWrap/>
            <w:vAlign w:val="bottom"/>
            <w:hideMark/>
          </w:tcPr>
          <w:p w14:paraId="022F4B56"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772.1</w:t>
            </w:r>
          </w:p>
        </w:tc>
        <w:tc>
          <w:tcPr>
            <w:tcW w:w="477" w:type="pct"/>
            <w:tcBorders>
              <w:top w:val="single" w:sz="4" w:space="0" w:color="000000"/>
              <w:left w:val="nil"/>
              <w:bottom w:val="single" w:sz="4" w:space="0" w:color="000000"/>
              <w:right w:val="nil"/>
            </w:tcBorders>
            <w:shd w:val="clear" w:color="auto" w:fill="auto"/>
            <w:noWrap/>
            <w:vAlign w:val="bottom"/>
            <w:hideMark/>
          </w:tcPr>
          <w:p w14:paraId="6B69CC33" w14:textId="77777777" w:rsidR="00EA5F83" w:rsidRPr="00091680" w:rsidRDefault="00EA5F83" w:rsidP="00D87666">
            <w:pPr>
              <w:spacing w:after="0" w:line="240" w:lineRule="auto"/>
              <w:jc w:val="right"/>
              <w:rPr>
                <w:rFonts w:ascii="Arial" w:hAnsi="Arial" w:cs="Arial"/>
                <w:b/>
                <w:sz w:val="16"/>
                <w:szCs w:val="16"/>
              </w:rPr>
            </w:pPr>
            <w:r w:rsidRPr="00091680">
              <w:rPr>
                <w:rFonts w:ascii="Arial" w:hAnsi="Arial" w:cs="Arial"/>
                <w:b/>
                <w:sz w:val="16"/>
                <w:szCs w:val="16"/>
              </w:rPr>
              <w:t>823.3</w:t>
            </w:r>
          </w:p>
        </w:tc>
      </w:tr>
    </w:tbl>
    <w:p w14:paraId="4223FC1B" w14:textId="389F2BD0" w:rsidR="008544D4" w:rsidRPr="00091680" w:rsidRDefault="008544D4" w:rsidP="00B65C10">
      <w:pPr>
        <w:pStyle w:val="TableGraphic"/>
        <w:rPr>
          <w:rFonts w:eastAsiaTheme="minorHAnsi"/>
        </w:rPr>
      </w:pPr>
    </w:p>
    <w:p w14:paraId="3107A7CA" w14:textId="209AA923" w:rsidR="003C48F3" w:rsidRPr="00091680" w:rsidRDefault="003C48F3" w:rsidP="00A42001">
      <w:pPr>
        <w:pStyle w:val="Heading2"/>
        <w:pageBreakBefore/>
      </w:pPr>
      <w:bookmarkStart w:id="39" w:name="_Toc51582830"/>
      <w:bookmarkStart w:id="40" w:name="_Toc98531937"/>
      <w:r w:rsidRPr="00091680">
        <w:lastRenderedPageBreak/>
        <w:t>Interest on AGS</w:t>
      </w:r>
      <w:bookmarkEnd w:id="39"/>
      <w:bookmarkEnd w:id="40"/>
    </w:p>
    <w:p w14:paraId="0DBCAD9A" w14:textId="598A3C83" w:rsidR="003C48F3" w:rsidRPr="00091680" w:rsidRDefault="003C48F3" w:rsidP="003C48F3">
      <w:pPr>
        <w:spacing w:after="220"/>
      </w:pPr>
      <w:r w:rsidRPr="00091680">
        <w:t>The interest costs related to AGS are presented in these statements in both cash and accrual accounting terms. The difference between the cash interest payments and accrual interest expense generally relates to the timing of when the interest cost is recognised.</w:t>
      </w:r>
    </w:p>
    <w:p w14:paraId="1A5CAFC9" w14:textId="77777777" w:rsidR="003C48F3" w:rsidRPr="00091680" w:rsidRDefault="003C48F3" w:rsidP="001D4522">
      <w:pPr>
        <w:pStyle w:val="Bullet"/>
      </w:pPr>
      <w:r w:rsidRPr="00091680">
        <w:rPr>
          <w:b/>
        </w:rPr>
        <w:t>Interest payments</w:t>
      </w:r>
      <w:r w:rsidRPr="00091680">
        <w:t xml:space="preserve"> are recognised in the period when they are paid during the life of the security.</w:t>
      </w:r>
    </w:p>
    <w:p w14:paraId="70D06664" w14:textId="2DCDFBF0" w:rsidR="003C48F3" w:rsidRPr="00091680" w:rsidRDefault="003C48F3" w:rsidP="001D4522">
      <w:pPr>
        <w:pStyle w:val="Bullet"/>
      </w:pPr>
      <w:r w:rsidRPr="00091680">
        <w:rPr>
          <w:b/>
        </w:rPr>
        <w:t>Interest expense</w:t>
      </w:r>
      <w:r w:rsidRPr="00091680">
        <w:t xml:space="preserve"> is recognised in the period in which an expense is incurred during the life of the security, rather </w:t>
      </w:r>
      <w:r w:rsidR="00C32119" w:rsidRPr="00091680">
        <w:t xml:space="preserve">than </w:t>
      </w:r>
      <w:r w:rsidRPr="00091680">
        <w:t>when it is actually paid.</w:t>
      </w:r>
    </w:p>
    <w:p w14:paraId="05F50943" w14:textId="77777777" w:rsidR="003C48F3" w:rsidRPr="00091680" w:rsidRDefault="003C48F3" w:rsidP="003C48F3">
      <w:r w:rsidRPr="00091680">
        <w:t>Estimates of the interest payments and expense of AGS on issue include the cost of AGS already on issue and future AGS issuance.</w:t>
      </w:r>
    </w:p>
    <w:p w14:paraId="2470F76E" w14:textId="77777777" w:rsidR="003C48F3" w:rsidRPr="00091680" w:rsidRDefault="003C48F3" w:rsidP="001D4522">
      <w:pPr>
        <w:pStyle w:val="Bullet"/>
      </w:pPr>
      <w:r w:rsidRPr="00091680">
        <w:t>The cost of AGS already on issue uses the actual interest rates incurred at the time of issuance.</w:t>
      </w:r>
    </w:p>
    <w:p w14:paraId="1CD0F142" w14:textId="77777777" w:rsidR="003C48F3" w:rsidRPr="00091680" w:rsidRDefault="003C48F3" w:rsidP="001D4522">
      <w:pPr>
        <w:pStyle w:val="Bullet"/>
      </w:pPr>
      <w:r w:rsidRPr="00091680">
        <w:t>The expected future issuance of AGS is based on the prevailing market rates across the yield curve at the time of a budget estimates update.</w:t>
      </w:r>
    </w:p>
    <w:p w14:paraId="16C43098" w14:textId="3B600871" w:rsidR="003C48F3" w:rsidRPr="003C48F3" w:rsidRDefault="003C48F3" w:rsidP="003C48F3">
      <w:bookmarkStart w:id="41" w:name="_Hlk71109297"/>
      <w:r w:rsidRPr="00091680">
        <w:t xml:space="preserve">The </w:t>
      </w:r>
      <w:r w:rsidR="001473D1" w:rsidRPr="00091680">
        <w:t xml:space="preserve">recent </w:t>
      </w:r>
      <w:r w:rsidR="00885C97" w:rsidRPr="00091680">
        <w:t>increase in</w:t>
      </w:r>
      <w:r w:rsidR="001473D1" w:rsidRPr="00091680">
        <w:t xml:space="preserve"> </w:t>
      </w:r>
      <w:r w:rsidRPr="00091680">
        <w:t xml:space="preserve">market yields </w:t>
      </w:r>
      <w:r w:rsidR="00356EE7" w:rsidRPr="00091680">
        <w:t>has</w:t>
      </w:r>
      <w:r w:rsidRPr="00091680">
        <w:t xml:space="preserve"> result</w:t>
      </w:r>
      <w:r w:rsidR="00356EE7" w:rsidRPr="00091680">
        <w:t>ed</w:t>
      </w:r>
      <w:r w:rsidRPr="00091680">
        <w:t xml:space="preserve"> in a</w:t>
      </w:r>
      <w:r w:rsidR="00371AF4" w:rsidRPr="00091680">
        <w:t>n assumed</w:t>
      </w:r>
      <w:r w:rsidRPr="00091680">
        <w:t xml:space="preserve"> weighted average cost of borrowing of around </w:t>
      </w:r>
      <w:r w:rsidR="00762AA7" w:rsidRPr="00091680">
        <w:t>2.2</w:t>
      </w:r>
      <w:r w:rsidRPr="00091680">
        <w:t xml:space="preserve"> per cent for future issuance of Treasury Bonds over the forward estimates, compared with around </w:t>
      </w:r>
      <w:r w:rsidR="00A646BC" w:rsidRPr="00091680">
        <w:t>1.7</w:t>
      </w:r>
      <w:r w:rsidRPr="00091680">
        <w:t xml:space="preserve"> per cent at </w:t>
      </w:r>
      <w:r w:rsidR="00AB21A8" w:rsidRPr="00091680">
        <w:t>MYEFO</w:t>
      </w:r>
      <w:r w:rsidRPr="00091680">
        <w:t xml:space="preserve">. </w:t>
      </w:r>
    </w:p>
    <w:bookmarkEnd w:id="41"/>
    <w:p w14:paraId="7F88F2DC" w14:textId="22B8FBC4" w:rsidR="003C48F3" w:rsidRPr="00091680" w:rsidRDefault="003C48F3" w:rsidP="003C48F3">
      <w:r w:rsidRPr="00091680">
        <w:t xml:space="preserve">Chart </w:t>
      </w:r>
      <w:r w:rsidR="001E52C1" w:rsidRPr="00091680">
        <w:t>6</w:t>
      </w:r>
      <w:r w:rsidRPr="00091680">
        <w:t>.</w:t>
      </w:r>
      <w:r w:rsidR="0053404E" w:rsidRPr="00091680">
        <w:t>2</w:t>
      </w:r>
      <w:r w:rsidRPr="00091680">
        <w:t xml:space="preserve"> shows the yield curve assumptions underpinning </w:t>
      </w:r>
      <w:r w:rsidR="00AB21A8" w:rsidRPr="00091680">
        <w:t>MYEFO</w:t>
      </w:r>
      <w:r w:rsidRPr="00091680">
        <w:t xml:space="preserve"> and the </w:t>
      </w:r>
      <w:r w:rsidR="00ED4C21" w:rsidRPr="00091680">
        <w:t>2022</w:t>
      </w:r>
      <w:r w:rsidR="00CB5997" w:rsidRPr="00091680">
        <w:noBreakHyphen/>
      </w:r>
      <w:r w:rsidR="00ED4C21" w:rsidRPr="00091680">
        <w:t>23</w:t>
      </w:r>
      <w:r w:rsidRPr="00091680">
        <w:t xml:space="preserve"> Budget. For </w:t>
      </w:r>
      <w:r w:rsidR="007072A9" w:rsidRPr="00091680">
        <w:t>Budget updates</w:t>
      </w:r>
      <w:r w:rsidRPr="00091680">
        <w:t xml:space="preserve">, </w:t>
      </w:r>
      <w:r w:rsidR="007072A9" w:rsidRPr="00091680">
        <w:t xml:space="preserve">a recent </w:t>
      </w:r>
      <w:r w:rsidRPr="00091680">
        <w:t xml:space="preserve">average of daily spot rates </w:t>
      </w:r>
      <w:r w:rsidR="00750232" w:rsidRPr="00091680">
        <w:t xml:space="preserve">is </w:t>
      </w:r>
      <w:r w:rsidRPr="00091680">
        <w:t>used to derive a fixed yield for the forward estimates to minimise the likelihood of locking in high or low yields during volatile periods.</w:t>
      </w:r>
    </w:p>
    <w:p w14:paraId="43D9D23D" w14:textId="244B9D30" w:rsidR="003C48F3" w:rsidRPr="00091680" w:rsidRDefault="003C48F3" w:rsidP="001D4522">
      <w:pPr>
        <w:pStyle w:val="ChartHeading"/>
      </w:pPr>
      <w:r w:rsidRPr="00091680">
        <w:lastRenderedPageBreak/>
        <w:t xml:space="preserve">Chart </w:t>
      </w:r>
      <w:r w:rsidR="001E52C1" w:rsidRPr="00091680">
        <w:t>6</w:t>
      </w:r>
      <w:r w:rsidRPr="00091680">
        <w:t>.</w:t>
      </w:r>
      <w:r w:rsidR="00B47D94" w:rsidRPr="00091680">
        <w:t>2</w:t>
      </w:r>
      <w:r w:rsidRPr="00091680">
        <w:t>: Yield curve assumptions from 2021</w:t>
      </w:r>
      <w:r w:rsidRPr="00091680">
        <w:noBreakHyphen/>
        <w:t>22 to 202</w:t>
      </w:r>
      <w:r w:rsidR="007642A1" w:rsidRPr="00091680">
        <w:t>5</w:t>
      </w:r>
      <w:r w:rsidR="00CB5997" w:rsidRPr="00091680">
        <w:noBreakHyphen/>
      </w:r>
      <w:r w:rsidRPr="00091680">
        <w:t>2</w:t>
      </w:r>
      <w:r w:rsidR="007642A1" w:rsidRPr="00091680">
        <w:t>6</w:t>
      </w:r>
    </w:p>
    <w:p w14:paraId="166352CB" w14:textId="5EE4259B" w:rsidR="003C48F3" w:rsidRPr="00091680" w:rsidRDefault="00596A2B" w:rsidP="00B9599F">
      <w:pPr>
        <w:pStyle w:val="ChartGraphic"/>
      </w:pPr>
      <w:r>
        <w:rPr>
          <w:noProof/>
        </w:rPr>
        <w:drawing>
          <wp:inline distT="0" distB="0" distL="0" distR="0" wp14:anchorId="2D9A9E9E" wp14:editId="46C73A21">
            <wp:extent cx="4659630" cy="2465070"/>
            <wp:effectExtent l="0" t="0" r="7620" b="0"/>
            <wp:docPr id="1" name="Picture 1" descr="This chart shows the yield curve assumptions underpinning the 2022-23 Budget and the 2021-22 MYEFO. The 2022-23  Budget yield curve is steeper and has higher yields than the 2021-22 MYEFO assumptions up until the 3 year tenor point. Beyond the 3 year tenor point, yields remain higher than assumed in the 2021-22 MYEFO but the yield curve becomes slightly flat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chart shows the yield curve assumptions underpinning the 2022-23 Budget and the 2021-22 MYEFO. The 2022-23  Budget yield curve is steeper and has higher yields than the 2021-22 MYEFO assumptions up until the 3 year tenor point. Beyond the 3 year tenor point, yields remain higher than assumed in the 2021-22 MYEFO but the yield curve becomes slightly flatter.&#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9630" cy="2465070"/>
                    </a:xfrm>
                    <a:prstGeom prst="rect">
                      <a:avLst/>
                    </a:prstGeom>
                    <a:noFill/>
                    <a:ln>
                      <a:noFill/>
                    </a:ln>
                  </pic:spPr>
                </pic:pic>
              </a:graphicData>
            </a:graphic>
          </wp:inline>
        </w:drawing>
      </w:r>
    </w:p>
    <w:p w14:paraId="7B6BE70C" w14:textId="2D9F517D" w:rsidR="003C48F3" w:rsidRPr="003C48F3" w:rsidRDefault="003C48F3" w:rsidP="001D4522">
      <w:pPr>
        <w:pStyle w:val="Source"/>
      </w:pPr>
      <w:r w:rsidRPr="00091680">
        <w:t xml:space="preserve">Source: </w:t>
      </w:r>
      <w:r w:rsidRPr="00091680">
        <w:tab/>
        <w:t>AOFM.</w:t>
      </w:r>
    </w:p>
    <w:p w14:paraId="758BA520" w14:textId="54060698" w:rsidR="003C48F3" w:rsidRPr="00091680" w:rsidRDefault="003C48F3" w:rsidP="003C48F3">
      <w:r w:rsidRPr="00091680">
        <w:t xml:space="preserve">The Government’s total interest payments in </w:t>
      </w:r>
      <w:r w:rsidR="000A4CA7" w:rsidRPr="00091680">
        <w:t>2022</w:t>
      </w:r>
      <w:r w:rsidR="00CB5997" w:rsidRPr="00091680">
        <w:noBreakHyphen/>
      </w:r>
      <w:r w:rsidR="000A4CA7" w:rsidRPr="00091680">
        <w:t>23</w:t>
      </w:r>
      <w:r w:rsidRPr="00091680">
        <w:t xml:space="preserve"> are estimated to be $</w:t>
      </w:r>
      <w:r w:rsidR="004B5E1E" w:rsidRPr="00091680">
        <w:t>17</w:t>
      </w:r>
      <w:r w:rsidR="006952DB" w:rsidRPr="00091680">
        <w:t>.9</w:t>
      </w:r>
      <w:r w:rsidRPr="00091680">
        <w:t> billion, of which $</w:t>
      </w:r>
      <w:r w:rsidR="00E219A1" w:rsidRPr="00091680">
        <w:t>17.4</w:t>
      </w:r>
      <w:r w:rsidRPr="00091680">
        <w:t xml:space="preserve"> billion relates to AGS on issue (Table </w:t>
      </w:r>
      <w:r w:rsidR="001E52C1" w:rsidRPr="00091680">
        <w:t>6</w:t>
      </w:r>
      <w:r w:rsidRPr="00091680">
        <w:t xml:space="preserve">.9). </w:t>
      </w:r>
    </w:p>
    <w:p w14:paraId="472D8826" w14:textId="50D7E59B" w:rsidR="001C75C7" w:rsidRPr="007B4430" w:rsidRDefault="00AE7794" w:rsidP="001C75C7">
      <w:pPr>
        <w:pStyle w:val="ChartandTableFootnoteAlpha"/>
        <w:numPr>
          <w:ilvl w:val="0"/>
          <w:numId w:val="0"/>
        </w:numPr>
        <w:ind w:left="284" w:hanging="284"/>
        <w:rPr>
          <w:rFonts w:asciiTheme="minorHAnsi" w:eastAsiaTheme="minorHAnsi" w:hAnsiTheme="minorHAnsi" w:cstheme="minorBidi"/>
          <w:b/>
          <w:color w:val="auto"/>
          <w:sz w:val="20"/>
          <w:lang w:eastAsia="en-US"/>
        </w:rPr>
      </w:pPr>
      <w:r w:rsidRPr="00091680">
        <w:rPr>
          <w:b/>
          <w:color w:val="auto"/>
          <w:sz w:val="20"/>
        </w:rPr>
        <w:t>Table 6.9: Interest payments, interest receipts and net interest payments</w:t>
      </w:r>
      <w:r w:rsidR="00323C56" w:rsidRPr="00091680">
        <w:rPr>
          <w:rFonts w:cs="Arial"/>
          <w:b/>
          <w:color w:val="auto"/>
          <w:sz w:val="20"/>
          <w:vertAlign w:val="superscript"/>
        </w:rPr>
        <w:t>(a)</w:t>
      </w:r>
      <w:r w:rsidR="001C75C7">
        <w:rPr>
          <w:b/>
          <w:color w:val="auto"/>
          <w:sz w:val="20"/>
        </w:rPr>
        <w:t xml:space="preserve"> </w:t>
      </w:r>
    </w:p>
    <w:tbl>
      <w:tblPr>
        <w:tblW w:w="5000" w:type="pct"/>
        <w:tblCellMar>
          <w:left w:w="0" w:type="dxa"/>
          <w:right w:w="28" w:type="dxa"/>
        </w:tblCellMar>
        <w:tblLook w:val="04A0" w:firstRow="1" w:lastRow="0" w:firstColumn="1" w:lastColumn="0" w:noHBand="0" w:noVBand="1"/>
      </w:tblPr>
      <w:tblGrid>
        <w:gridCol w:w="3459"/>
        <w:gridCol w:w="850"/>
        <w:gridCol w:w="850"/>
        <w:gridCol w:w="850"/>
        <w:gridCol w:w="850"/>
        <w:gridCol w:w="851"/>
      </w:tblGrid>
      <w:tr w:rsidR="001C75C7" w:rsidRPr="001C75C7" w14:paraId="51FC7238" w14:textId="77777777" w:rsidTr="001C75C7">
        <w:trPr>
          <w:divId w:val="842623488"/>
          <w:trHeight w:hRule="exact" w:val="225"/>
        </w:trPr>
        <w:tc>
          <w:tcPr>
            <w:tcW w:w="2244" w:type="pct"/>
            <w:tcBorders>
              <w:top w:val="single" w:sz="4" w:space="0" w:color="000000"/>
              <w:left w:val="nil"/>
              <w:bottom w:val="nil"/>
              <w:right w:val="nil"/>
            </w:tcBorders>
            <w:shd w:val="clear" w:color="auto" w:fill="auto"/>
            <w:noWrap/>
            <w:vAlign w:val="center"/>
            <w:hideMark/>
          </w:tcPr>
          <w:p w14:paraId="1DC67803" w14:textId="65715096" w:rsidR="001C75C7" w:rsidRPr="001C75C7" w:rsidRDefault="001C75C7" w:rsidP="001C75C7">
            <w:pPr>
              <w:spacing w:after="0" w:line="240" w:lineRule="auto"/>
              <w:rPr>
                <w:rFonts w:ascii="Arial" w:hAnsi="Arial" w:cs="Arial"/>
                <w:b/>
                <w:sz w:val="16"/>
                <w:szCs w:val="16"/>
                <w:highlight w:val="magenta"/>
              </w:rPr>
            </w:pPr>
            <w:r w:rsidRPr="007B4430">
              <w:rPr>
                <w:rFonts w:ascii="Arial" w:hAnsi="Arial" w:cs="Arial"/>
                <w:b/>
                <w:sz w:val="16"/>
                <w:szCs w:val="16"/>
              </w:rPr>
              <w:t> </w:t>
            </w:r>
          </w:p>
        </w:tc>
        <w:tc>
          <w:tcPr>
            <w:tcW w:w="2756" w:type="pct"/>
            <w:gridSpan w:val="5"/>
            <w:tcBorders>
              <w:top w:val="single" w:sz="4" w:space="0" w:color="000000"/>
              <w:left w:val="nil"/>
              <w:bottom w:val="single" w:sz="4" w:space="0" w:color="000000"/>
              <w:right w:val="nil"/>
            </w:tcBorders>
            <w:shd w:val="clear" w:color="auto" w:fill="auto"/>
            <w:noWrap/>
            <w:vAlign w:val="center"/>
            <w:hideMark/>
          </w:tcPr>
          <w:p w14:paraId="61F6BEA4" w14:textId="77777777" w:rsidR="001C75C7" w:rsidRPr="001C75C7" w:rsidRDefault="001C75C7" w:rsidP="001C75C7">
            <w:pPr>
              <w:spacing w:after="0" w:line="240" w:lineRule="auto"/>
              <w:jc w:val="center"/>
              <w:rPr>
                <w:rFonts w:ascii="Arial" w:hAnsi="Arial" w:cs="Arial"/>
                <w:sz w:val="16"/>
                <w:szCs w:val="16"/>
              </w:rPr>
            </w:pPr>
            <w:r w:rsidRPr="001C75C7">
              <w:rPr>
                <w:rFonts w:ascii="Arial" w:hAnsi="Arial" w:cs="Arial"/>
                <w:sz w:val="16"/>
                <w:szCs w:val="16"/>
              </w:rPr>
              <w:t>Estimates</w:t>
            </w:r>
          </w:p>
        </w:tc>
      </w:tr>
      <w:tr w:rsidR="001C75C7" w:rsidRPr="001C75C7" w14:paraId="22C8DB6A" w14:textId="77777777" w:rsidTr="001C75C7">
        <w:trPr>
          <w:divId w:val="842623488"/>
          <w:trHeight w:hRule="exact" w:val="225"/>
        </w:trPr>
        <w:tc>
          <w:tcPr>
            <w:tcW w:w="2244" w:type="pct"/>
            <w:tcBorders>
              <w:top w:val="single" w:sz="4" w:space="0" w:color="000000"/>
              <w:left w:val="nil"/>
              <w:bottom w:val="nil"/>
              <w:right w:val="nil"/>
            </w:tcBorders>
            <w:shd w:val="clear" w:color="auto" w:fill="auto"/>
            <w:noWrap/>
            <w:vAlign w:val="center"/>
            <w:hideMark/>
          </w:tcPr>
          <w:p w14:paraId="5CB6A39C"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 </w:t>
            </w:r>
          </w:p>
        </w:tc>
        <w:tc>
          <w:tcPr>
            <w:tcW w:w="551" w:type="pct"/>
            <w:tcBorders>
              <w:top w:val="nil"/>
              <w:left w:val="nil"/>
              <w:bottom w:val="nil"/>
              <w:right w:val="nil"/>
            </w:tcBorders>
            <w:shd w:val="clear" w:color="auto" w:fill="auto"/>
            <w:noWrap/>
            <w:vAlign w:val="center"/>
            <w:hideMark/>
          </w:tcPr>
          <w:p w14:paraId="65AF8CA2"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2021-22</w:t>
            </w:r>
          </w:p>
        </w:tc>
        <w:tc>
          <w:tcPr>
            <w:tcW w:w="551" w:type="pct"/>
            <w:tcBorders>
              <w:top w:val="nil"/>
              <w:left w:val="nil"/>
              <w:bottom w:val="nil"/>
              <w:right w:val="nil"/>
            </w:tcBorders>
            <w:shd w:val="clear" w:color="000000" w:fill="F2F9FC"/>
            <w:noWrap/>
            <w:vAlign w:val="center"/>
            <w:hideMark/>
          </w:tcPr>
          <w:p w14:paraId="1AB31173"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2022-23</w:t>
            </w:r>
          </w:p>
        </w:tc>
        <w:tc>
          <w:tcPr>
            <w:tcW w:w="551" w:type="pct"/>
            <w:tcBorders>
              <w:top w:val="nil"/>
              <w:left w:val="nil"/>
              <w:bottom w:val="nil"/>
              <w:right w:val="nil"/>
            </w:tcBorders>
            <w:shd w:val="clear" w:color="auto" w:fill="auto"/>
            <w:noWrap/>
            <w:vAlign w:val="center"/>
            <w:hideMark/>
          </w:tcPr>
          <w:p w14:paraId="62B1202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2023-24</w:t>
            </w:r>
          </w:p>
        </w:tc>
        <w:tc>
          <w:tcPr>
            <w:tcW w:w="551" w:type="pct"/>
            <w:tcBorders>
              <w:top w:val="nil"/>
              <w:left w:val="nil"/>
              <w:bottom w:val="nil"/>
              <w:right w:val="nil"/>
            </w:tcBorders>
            <w:shd w:val="clear" w:color="auto" w:fill="auto"/>
            <w:noWrap/>
            <w:vAlign w:val="center"/>
            <w:hideMark/>
          </w:tcPr>
          <w:p w14:paraId="402B348F"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2024-25</w:t>
            </w:r>
          </w:p>
        </w:tc>
        <w:tc>
          <w:tcPr>
            <w:tcW w:w="551" w:type="pct"/>
            <w:tcBorders>
              <w:top w:val="nil"/>
              <w:left w:val="nil"/>
              <w:bottom w:val="nil"/>
              <w:right w:val="nil"/>
            </w:tcBorders>
            <w:shd w:val="clear" w:color="auto" w:fill="auto"/>
            <w:noWrap/>
            <w:vAlign w:val="center"/>
            <w:hideMark/>
          </w:tcPr>
          <w:p w14:paraId="548C3B39"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2025-26</w:t>
            </w:r>
          </w:p>
        </w:tc>
      </w:tr>
      <w:tr w:rsidR="001C75C7" w:rsidRPr="001C75C7" w14:paraId="291FA8D1" w14:textId="77777777" w:rsidTr="001C75C7">
        <w:trPr>
          <w:divId w:val="842623488"/>
          <w:trHeight w:hRule="exact" w:val="225"/>
        </w:trPr>
        <w:tc>
          <w:tcPr>
            <w:tcW w:w="2244" w:type="pct"/>
            <w:tcBorders>
              <w:top w:val="nil"/>
              <w:left w:val="nil"/>
              <w:bottom w:val="single" w:sz="4" w:space="0" w:color="000000"/>
              <w:right w:val="nil"/>
            </w:tcBorders>
            <w:shd w:val="clear" w:color="auto" w:fill="auto"/>
            <w:noWrap/>
            <w:vAlign w:val="center"/>
            <w:hideMark/>
          </w:tcPr>
          <w:p w14:paraId="0E9645F5"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 </w:t>
            </w:r>
          </w:p>
        </w:tc>
        <w:tc>
          <w:tcPr>
            <w:tcW w:w="551" w:type="pct"/>
            <w:tcBorders>
              <w:top w:val="nil"/>
              <w:left w:val="nil"/>
              <w:bottom w:val="single" w:sz="4" w:space="0" w:color="000000"/>
              <w:right w:val="nil"/>
            </w:tcBorders>
            <w:shd w:val="clear" w:color="auto" w:fill="auto"/>
            <w:noWrap/>
            <w:vAlign w:val="center"/>
            <w:hideMark/>
          </w:tcPr>
          <w:p w14:paraId="36067051"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$m</w:t>
            </w:r>
          </w:p>
        </w:tc>
        <w:tc>
          <w:tcPr>
            <w:tcW w:w="551" w:type="pct"/>
            <w:tcBorders>
              <w:top w:val="nil"/>
              <w:left w:val="nil"/>
              <w:bottom w:val="single" w:sz="4" w:space="0" w:color="000000"/>
              <w:right w:val="nil"/>
            </w:tcBorders>
            <w:shd w:val="clear" w:color="000000" w:fill="F2F9FC"/>
            <w:noWrap/>
            <w:vAlign w:val="center"/>
            <w:hideMark/>
          </w:tcPr>
          <w:p w14:paraId="300FA2A0"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$m</w:t>
            </w:r>
          </w:p>
        </w:tc>
        <w:tc>
          <w:tcPr>
            <w:tcW w:w="551" w:type="pct"/>
            <w:tcBorders>
              <w:top w:val="nil"/>
              <w:left w:val="nil"/>
              <w:bottom w:val="single" w:sz="4" w:space="0" w:color="000000"/>
              <w:right w:val="nil"/>
            </w:tcBorders>
            <w:shd w:val="clear" w:color="auto" w:fill="auto"/>
            <w:noWrap/>
            <w:vAlign w:val="center"/>
            <w:hideMark/>
          </w:tcPr>
          <w:p w14:paraId="62DEADBD"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$m</w:t>
            </w:r>
          </w:p>
        </w:tc>
        <w:tc>
          <w:tcPr>
            <w:tcW w:w="551" w:type="pct"/>
            <w:tcBorders>
              <w:top w:val="nil"/>
              <w:left w:val="nil"/>
              <w:bottom w:val="single" w:sz="4" w:space="0" w:color="000000"/>
              <w:right w:val="nil"/>
            </w:tcBorders>
            <w:shd w:val="clear" w:color="auto" w:fill="auto"/>
            <w:noWrap/>
            <w:vAlign w:val="center"/>
            <w:hideMark/>
          </w:tcPr>
          <w:p w14:paraId="13BC0ECB"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$m</w:t>
            </w:r>
          </w:p>
        </w:tc>
        <w:tc>
          <w:tcPr>
            <w:tcW w:w="551" w:type="pct"/>
            <w:tcBorders>
              <w:top w:val="nil"/>
              <w:left w:val="nil"/>
              <w:bottom w:val="single" w:sz="4" w:space="0" w:color="000000"/>
              <w:right w:val="nil"/>
            </w:tcBorders>
            <w:shd w:val="clear" w:color="auto" w:fill="auto"/>
            <w:noWrap/>
            <w:vAlign w:val="center"/>
            <w:hideMark/>
          </w:tcPr>
          <w:p w14:paraId="30904123"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$m</w:t>
            </w:r>
          </w:p>
        </w:tc>
      </w:tr>
      <w:tr w:rsidR="001C75C7" w:rsidRPr="001C75C7" w14:paraId="2F280F21" w14:textId="77777777" w:rsidTr="001C75C7">
        <w:trPr>
          <w:divId w:val="842623488"/>
          <w:trHeight w:hRule="exact" w:val="225"/>
        </w:trPr>
        <w:tc>
          <w:tcPr>
            <w:tcW w:w="2244" w:type="pct"/>
            <w:tcBorders>
              <w:top w:val="nil"/>
              <w:left w:val="nil"/>
              <w:bottom w:val="nil"/>
              <w:right w:val="nil"/>
            </w:tcBorders>
            <w:shd w:val="clear" w:color="auto" w:fill="auto"/>
            <w:noWrap/>
            <w:vAlign w:val="center"/>
            <w:hideMark/>
          </w:tcPr>
          <w:p w14:paraId="3E9C303E" w14:textId="77777777" w:rsidR="001C75C7" w:rsidRPr="001C75C7" w:rsidRDefault="001C75C7" w:rsidP="001C75C7">
            <w:pPr>
              <w:spacing w:after="0" w:line="240" w:lineRule="auto"/>
              <w:jc w:val="left"/>
              <w:rPr>
                <w:rFonts w:ascii="Arial" w:hAnsi="Arial" w:cs="Arial"/>
                <w:sz w:val="16"/>
                <w:szCs w:val="16"/>
              </w:rPr>
            </w:pPr>
            <w:r w:rsidRPr="001C75C7">
              <w:rPr>
                <w:rFonts w:ascii="Arial" w:hAnsi="Arial" w:cs="Arial"/>
                <w:sz w:val="16"/>
                <w:szCs w:val="16"/>
              </w:rPr>
              <w:t>Interest payments on AGS (b)</w:t>
            </w:r>
          </w:p>
        </w:tc>
        <w:tc>
          <w:tcPr>
            <w:tcW w:w="551" w:type="pct"/>
            <w:tcBorders>
              <w:top w:val="nil"/>
              <w:left w:val="nil"/>
              <w:bottom w:val="nil"/>
              <w:right w:val="nil"/>
            </w:tcBorders>
            <w:shd w:val="clear" w:color="auto" w:fill="auto"/>
            <w:noWrap/>
            <w:vAlign w:val="center"/>
            <w:hideMark/>
          </w:tcPr>
          <w:p w14:paraId="08F39DF5"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17,006</w:t>
            </w:r>
          </w:p>
        </w:tc>
        <w:tc>
          <w:tcPr>
            <w:tcW w:w="551" w:type="pct"/>
            <w:tcBorders>
              <w:top w:val="nil"/>
              <w:left w:val="nil"/>
              <w:bottom w:val="nil"/>
              <w:right w:val="nil"/>
            </w:tcBorders>
            <w:shd w:val="clear" w:color="000000" w:fill="F2F9FC"/>
            <w:noWrap/>
            <w:vAlign w:val="center"/>
            <w:hideMark/>
          </w:tcPr>
          <w:p w14:paraId="04FF74E8"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17,379</w:t>
            </w:r>
          </w:p>
        </w:tc>
        <w:tc>
          <w:tcPr>
            <w:tcW w:w="551" w:type="pct"/>
            <w:tcBorders>
              <w:top w:val="nil"/>
              <w:left w:val="nil"/>
              <w:bottom w:val="nil"/>
              <w:right w:val="nil"/>
            </w:tcBorders>
            <w:shd w:val="clear" w:color="auto" w:fill="auto"/>
            <w:noWrap/>
            <w:vAlign w:val="center"/>
            <w:hideMark/>
          </w:tcPr>
          <w:p w14:paraId="5734A4E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19,712</w:t>
            </w:r>
          </w:p>
        </w:tc>
        <w:tc>
          <w:tcPr>
            <w:tcW w:w="551" w:type="pct"/>
            <w:tcBorders>
              <w:top w:val="nil"/>
              <w:left w:val="nil"/>
              <w:bottom w:val="nil"/>
              <w:right w:val="nil"/>
            </w:tcBorders>
            <w:shd w:val="clear" w:color="auto" w:fill="auto"/>
            <w:noWrap/>
            <w:vAlign w:val="center"/>
            <w:hideMark/>
          </w:tcPr>
          <w:p w14:paraId="19A6E360"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21,021</w:t>
            </w:r>
          </w:p>
        </w:tc>
        <w:tc>
          <w:tcPr>
            <w:tcW w:w="551" w:type="pct"/>
            <w:tcBorders>
              <w:top w:val="nil"/>
              <w:left w:val="nil"/>
              <w:bottom w:val="nil"/>
              <w:right w:val="nil"/>
            </w:tcBorders>
            <w:shd w:val="clear" w:color="auto" w:fill="auto"/>
            <w:noWrap/>
            <w:vAlign w:val="center"/>
            <w:hideMark/>
          </w:tcPr>
          <w:p w14:paraId="326D88DB"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25,676</w:t>
            </w:r>
          </w:p>
        </w:tc>
      </w:tr>
      <w:tr w:rsidR="001C75C7" w:rsidRPr="001C75C7" w14:paraId="68BB9E06" w14:textId="77777777" w:rsidTr="001C75C7">
        <w:trPr>
          <w:divId w:val="842623488"/>
          <w:trHeight w:hRule="exact" w:val="225"/>
        </w:trPr>
        <w:tc>
          <w:tcPr>
            <w:tcW w:w="2244" w:type="pct"/>
            <w:tcBorders>
              <w:top w:val="nil"/>
              <w:left w:val="nil"/>
              <w:bottom w:val="nil"/>
              <w:right w:val="nil"/>
            </w:tcBorders>
            <w:shd w:val="clear" w:color="auto" w:fill="auto"/>
            <w:noWrap/>
            <w:vAlign w:val="center"/>
            <w:hideMark/>
          </w:tcPr>
          <w:p w14:paraId="2ED92919" w14:textId="77777777" w:rsidR="001C75C7" w:rsidRPr="001C75C7" w:rsidRDefault="001C75C7" w:rsidP="001C75C7">
            <w:pPr>
              <w:spacing w:after="0" w:line="240" w:lineRule="auto"/>
              <w:ind w:left="170"/>
              <w:jc w:val="left"/>
              <w:rPr>
                <w:rFonts w:ascii="Arial" w:hAnsi="Arial" w:cs="Arial"/>
                <w:sz w:val="16"/>
                <w:szCs w:val="16"/>
                <w:highlight w:val="magenta"/>
              </w:rPr>
            </w:pPr>
            <w:r w:rsidRPr="001C75C7">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5C0A8231"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0.7</w:t>
            </w:r>
          </w:p>
        </w:tc>
        <w:tc>
          <w:tcPr>
            <w:tcW w:w="551" w:type="pct"/>
            <w:tcBorders>
              <w:top w:val="nil"/>
              <w:left w:val="nil"/>
              <w:bottom w:val="nil"/>
              <w:right w:val="nil"/>
            </w:tcBorders>
            <w:shd w:val="clear" w:color="000000" w:fill="F2F9FC"/>
            <w:noWrap/>
            <w:vAlign w:val="center"/>
            <w:hideMark/>
          </w:tcPr>
          <w:p w14:paraId="1A31710A"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0.8</w:t>
            </w:r>
          </w:p>
        </w:tc>
        <w:tc>
          <w:tcPr>
            <w:tcW w:w="551" w:type="pct"/>
            <w:tcBorders>
              <w:top w:val="nil"/>
              <w:left w:val="nil"/>
              <w:bottom w:val="nil"/>
              <w:right w:val="nil"/>
            </w:tcBorders>
            <w:shd w:val="clear" w:color="auto" w:fill="auto"/>
            <w:noWrap/>
            <w:vAlign w:val="center"/>
            <w:hideMark/>
          </w:tcPr>
          <w:p w14:paraId="75CA3AEF"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0.8</w:t>
            </w:r>
          </w:p>
        </w:tc>
        <w:tc>
          <w:tcPr>
            <w:tcW w:w="551" w:type="pct"/>
            <w:tcBorders>
              <w:top w:val="nil"/>
              <w:left w:val="nil"/>
              <w:bottom w:val="nil"/>
              <w:right w:val="nil"/>
            </w:tcBorders>
            <w:shd w:val="clear" w:color="auto" w:fill="auto"/>
            <w:noWrap/>
            <w:vAlign w:val="center"/>
            <w:hideMark/>
          </w:tcPr>
          <w:p w14:paraId="6A43ECC4"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0.8</w:t>
            </w:r>
          </w:p>
        </w:tc>
        <w:tc>
          <w:tcPr>
            <w:tcW w:w="551" w:type="pct"/>
            <w:tcBorders>
              <w:top w:val="nil"/>
              <w:left w:val="nil"/>
              <w:bottom w:val="nil"/>
              <w:right w:val="nil"/>
            </w:tcBorders>
            <w:shd w:val="clear" w:color="auto" w:fill="auto"/>
            <w:noWrap/>
            <w:vAlign w:val="center"/>
            <w:hideMark/>
          </w:tcPr>
          <w:p w14:paraId="4ADF047A"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1.0</w:t>
            </w:r>
          </w:p>
        </w:tc>
      </w:tr>
      <w:tr w:rsidR="001C75C7" w:rsidRPr="001C75C7" w14:paraId="34FD5EC4" w14:textId="77777777" w:rsidTr="001C75C7">
        <w:trPr>
          <w:divId w:val="842623488"/>
          <w:trHeight w:hRule="exact" w:val="225"/>
        </w:trPr>
        <w:tc>
          <w:tcPr>
            <w:tcW w:w="2244" w:type="pct"/>
            <w:tcBorders>
              <w:top w:val="nil"/>
              <w:left w:val="nil"/>
              <w:bottom w:val="nil"/>
              <w:right w:val="nil"/>
            </w:tcBorders>
            <w:shd w:val="clear" w:color="auto" w:fill="auto"/>
            <w:noWrap/>
            <w:vAlign w:val="center"/>
            <w:hideMark/>
          </w:tcPr>
          <w:p w14:paraId="00AA46FE" w14:textId="77777777" w:rsidR="001C75C7" w:rsidRPr="001C75C7" w:rsidRDefault="001C75C7" w:rsidP="001C75C7">
            <w:pPr>
              <w:spacing w:after="0" w:line="240" w:lineRule="auto"/>
              <w:jc w:val="left"/>
              <w:rPr>
                <w:rFonts w:ascii="Arial" w:hAnsi="Arial" w:cs="Arial"/>
                <w:sz w:val="16"/>
                <w:szCs w:val="16"/>
                <w:highlight w:val="magenta"/>
              </w:rPr>
            </w:pPr>
            <w:r w:rsidRPr="001C75C7">
              <w:rPr>
                <w:rFonts w:ascii="Arial" w:hAnsi="Arial" w:cs="Arial"/>
                <w:sz w:val="16"/>
                <w:szCs w:val="16"/>
              </w:rPr>
              <w:t>Interest payments(c)</w:t>
            </w:r>
          </w:p>
        </w:tc>
        <w:tc>
          <w:tcPr>
            <w:tcW w:w="551" w:type="pct"/>
            <w:tcBorders>
              <w:top w:val="nil"/>
              <w:left w:val="nil"/>
              <w:bottom w:val="nil"/>
              <w:right w:val="nil"/>
            </w:tcBorders>
            <w:shd w:val="clear" w:color="auto" w:fill="auto"/>
            <w:noWrap/>
            <w:vAlign w:val="center"/>
            <w:hideMark/>
          </w:tcPr>
          <w:p w14:paraId="1F72269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17,456</w:t>
            </w:r>
          </w:p>
        </w:tc>
        <w:tc>
          <w:tcPr>
            <w:tcW w:w="551" w:type="pct"/>
            <w:tcBorders>
              <w:top w:val="nil"/>
              <w:left w:val="nil"/>
              <w:bottom w:val="nil"/>
              <w:right w:val="nil"/>
            </w:tcBorders>
            <w:shd w:val="clear" w:color="000000" w:fill="F2F9FC"/>
            <w:noWrap/>
            <w:vAlign w:val="center"/>
            <w:hideMark/>
          </w:tcPr>
          <w:p w14:paraId="793F17B0"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17,894</w:t>
            </w:r>
          </w:p>
        </w:tc>
        <w:tc>
          <w:tcPr>
            <w:tcW w:w="551" w:type="pct"/>
            <w:tcBorders>
              <w:top w:val="nil"/>
              <w:left w:val="nil"/>
              <w:bottom w:val="nil"/>
              <w:right w:val="nil"/>
            </w:tcBorders>
            <w:shd w:val="clear" w:color="auto" w:fill="auto"/>
            <w:noWrap/>
            <w:vAlign w:val="center"/>
            <w:hideMark/>
          </w:tcPr>
          <w:p w14:paraId="047CC66C"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20,288</w:t>
            </w:r>
          </w:p>
        </w:tc>
        <w:tc>
          <w:tcPr>
            <w:tcW w:w="551" w:type="pct"/>
            <w:tcBorders>
              <w:top w:val="nil"/>
              <w:left w:val="nil"/>
              <w:bottom w:val="nil"/>
              <w:right w:val="nil"/>
            </w:tcBorders>
            <w:shd w:val="clear" w:color="auto" w:fill="auto"/>
            <w:noWrap/>
            <w:vAlign w:val="center"/>
            <w:hideMark/>
          </w:tcPr>
          <w:p w14:paraId="41D4C253"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21,631</w:t>
            </w:r>
          </w:p>
        </w:tc>
        <w:tc>
          <w:tcPr>
            <w:tcW w:w="551" w:type="pct"/>
            <w:tcBorders>
              <w:top w:val="nil"/>
              <w:left w:val="nil"/>
              <w:bottom w:val="nil"/>
              <w:right w:val="nil"/>
            </w:tcBorders>
            <w:shd w:val="clear" w:color="auto" w:fill="auto"/>
            <w:noWrap/>
            <w:vAlign w:val="center"/>
            <w:hideMark/>
          </w:tcPr>
          <w:p w14:paraId="1A2FC09F"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26,322</w:t>
            </w:r>
          </w:p>
        </w:tc>
      </w:tr>
      <w:tr w:rsidR="001C75C7" w:rsidRPr="001C75C7" w14:paraId="570DC9A2" w14:textId="77777777" w:rsidTr="001C75C7">
        <w:trPr>
          <w:divId w:val="842623488"/>
          <w:trHeight w:hRule="exact" w:val="225"/>
        </w:trPr>
        <w:tc>
          <w:tcPr>
            <w:tcW w:w="2244" w:type="pct"/>
            <w:tcBorders>
              <w:top w:val="nil"/>
              <w:left w:val="nil"/>
              <w:bottom w:val="nil"/>
              <w:right w:val="nil"/>
            </w:tcBorders>
            <w:shd w:val="clear" w:color="auto" w:fill="auto"/>
            <w:noWrap/>
            <w:vAlign w:val="center"/>
            <w:hideMark/>
          </w:tcPr>
          <w:p w14:paraId="77295838" w14:textId="77777777" w:rsidR="001C75C7" w:rsidRPr="001C75C7" w:rsidRDefault="001C75C7" w:rsidP="001C75C7">
            <w:pPr>
              <w:spacing w:after="0" w:line="240" w:lineRule="auto"/>
              <w:ind w:left="170"/>
              <w:jc w:val="left"/>
              <w:rPr>
                <w:rFonts w:ascii="Arial" w:hAnsi="Arial" w:cs="Arial"/>
                <w:sz w:val="16"/>
                <w:szCs w:val="16"/>
                <w:highlight w:val="magenta"/>
              </w:rPr>
            </w:pPr>
            <w:r w:rsidRPr="001C75C7">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082A6671"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0.8</w:t>
            </w:r>
          </w:p>
        </w:tc>
        <w:tc>
          <w:tcPr>
            <w:tcW w:w="551" w:type="pct"/>
            <w:tcBorders>
              <w:top w:val="nil"/>
              <w:left w:val="nil"/>
              <w:bottom w:val="nil"/>
              <w:right w:val="nil"/>
            </w:tcBorders>
            <w:shd w:val="clear" w:color="000000" w:fill="F2F9FC"/>
            <w:noWrap/>
            <w:vAlign w:val="center"/>
            <w:hideMark/>
          </w:tcPr>
          <w:p w14:paraId="5DA8A789"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0.8</w:t>
            </w:r>
          </w:p>
        </w:tc>
        <w:tc>
          <w:tcPr>
            <w:tcW w:w="551" w:type="pct"/>
            <w:tcBorders>
              <w:top w:val="nil"/>
              <w:left w:val="nil"/>
              <w:bottom w:val="nil"/>
              <w:right w:val="nil"/>
            </w:tcBorders>
            <w:shd w:val="clear" w:color="auto" w:fill="auto"/>
            <w:noWrap/>
            <w:vAlign w:val="center"/>
            <w:hideMark/>
          </w:tcPr>
          <w:p w14:paraId="2A300C3C"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10522EFE"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3BE18DE8"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1.0</w:t>
            </w:r>
          </w:p>
        </w:tc>
      </w:tr>
      <w:tr w:rsidR="001C75C7" w:rsidRPr="001C75C7" w14:paraId="02F58D89" w14:textId="77777777" w:rsidTr="001C75C7">
        <w:trPr>
          <w:divId w:val="842623488"/>
          <w:trHeight w:hRule="exact" w:val="225"/>
        </w:trPr>
        <w:tc>
          <w:tcPr>
            <w:tcW w:w="2244" w:type="pct"/>
            <w:tcBorders>
              <w:top w:val="nil"/>
              <w:left w:val="nil"/>
              <w:bottom w:val="nil"/>
              <w:right w:val="nil"/>
            </w:tcBorders>
            <w:shd w:val="clear" w:color="auto" w:fill="auto"/>
            <w:noWrap/>
            <w:vAlign w:val="center"/>
            <w:hideMark/>
          </w:tcPr>
          <w:p w14:paraId="46FD2936" w14:textId="77777777" w:rsidR="001C75C7" w:rsidRPr="001C75C7" w:rsidRDefault="001C75C7" w:rsidP="001C75C7">
            <w:pPr>
              <w:spacing w:after="0" w:line="240" w:lineRule="auto"/>
              <w:jc w:val="left"/>
              <w:rPr>
                <w:rFonts w:ascii="Arial" w:hAnsi="Arial" w:cs="Arial"/>
                <w:sz w:val="16"/>
                <w:szCs w:val="16"/>
                <w:highlight w:val="magenta"/>
              </w:rPr>
            </w:pPr>
            <w:r w:rsidRPr="001C75C7">
              <w:rPr>
                <w:rFonts w:ascii="Arial" w:hAnsi="Arial" w:cs="Arial"/>
                <w:sz w:val="16"/>
                <w:szCs w:val="16"/>
              </w:rPr>
              <w:t>Interest receipts</w:t>
            </w:r>
          </w:p>
        </w:tc>
        <w:tc>
          <w:tcPr>
            <w:tcW w:w="551" w:type="pct"/>
            <w:tcBorders>
              <w:top w:val="nil"/>
              <w:left w:val="nil"/>
              <w:bottom w:val="nil"/>
              <w:right w:val="nil"/>
            </w:tcBorders>
            <w:shd w:val="clear" w:color="auto" w:fill="auto"/>
            <w:noWrap/>
            <w:vAlign w:val="center"/>
            <w:hideMark/>
          </w:tcPr>
          <w:p w14:paraId="7922E2E4"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2,557</w:t>
            </w:r>
          </w:p>
        </w:tc>
        <w:tc>
          <w:tcPr>
            <w:tcW w:w="551" w:type="pct"/>
            <w:tcBorders>
              <w:top w:val="nil"/>
              <w:left w:val="nil"/>
              <w:bottom w:val="nil"/>
              <w:right w:val="nil"/>
            </w:tcBorders>
            <w:shd w:val="clear" w:color="000000" w:fill="F2F9FC"/>
            <w:noWrap/>
            <w:vAlign w:val="center"/>
            <w:hideMark/>
          </w:tcPr>
          <w:p w14:paraId="4A6742B5"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2,820</w:t>
            </w:r>
          </w:p>
        </w:tc>
        <w:tc>
          <w:tcPr>
            <w:tcW w:w="551" w:type="pct"/>
            <w:tcBorders>
              <w:top w:val="nil"/>
              <w:left w:val="nil"/>
              <w:bottom w:val="nil"/>
              <w:right w:val="nil"/>
            </w:tcBorders>
            <w:shd w:val="clear" w:color="auto" w:fill="auto"/>
            <w:noWrap/>
            <w:vAlign w:val="center"/>
            <w:hideMark/>
          </w:tcPr>
          <w:p w14:paraId="7676F99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3,393</w:t>
            </w:r>
          </w:p>
        </w:tc>
        <w:tc>
          <w:tcPr>
            <w:tcW w:w="551" w:type="pct"/>
            <w:tcBorders>
              <w:top w:val="nil"/>
              <w:left w:val="nil"/>
              <w:bottom w:val="nil"/>
              <w:right w:val="nil"/>
            </w:tcBorders>
            <w:shd w:val="clear" w:color="auto" w:fill="auto"/>
            <w:noWrap/>
            <w:vAlign w:val="center"/>
            <w:hideMark/>
          </w:tcPr>
          <w:p w14:paraId="4D51D58B"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3,670</w:t>
            </w:r>
          </w:p>
        </w:tc>
        <w:tc>
          <w:tcPr>
            <w:tcW w:w="551" w:type="pct"/>
            <w:tcBorders>
              <w:top w:val="nil"/>
              <w:left w:val="nil"/>
              <w:bottom w:val="nil"/>
              <w:right w:val="nil"/>
            </w:tcBorders>
            <w:shd w:val="clear" w:color="auto" w:fill="auto"/>
            <w:noWrap/>
            <w:vAlign w:val="center"/>
            <w:hideMark/>
          </w:tcPr>
          <w:p w14:paraId="577A1E9F"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3,932</w:t>
            </w:r>
          </w:p>
        </w:tc>
      </w:tr>
      <w:tr w:rsidR="001C75C7" w:rsidRPr="001C75C7" w14:paraId="0A8E5E8D" w14:textId="77777777" w:rsidTr="001C75C7">
        <w:trPr>
          <w:divId w:val="842623488"/>
          <w:trHeight w:hRule="exact" w:val="225"/>
        </w:trPr>
        <w:tc>
          <w:tcPr>
            <w:tcW w:w="2244" w:type="pct"/>
            <w:tcBorders>
              <w:top w:val="nil"/>
              <w:left w:val="nil"/>
              <w:bottom w:val="nil"/>
              <w:right w:val="nil"/>
            </w:tcBorders>
            <w:shd w:val="clear" w:color="auto" w:fill="auto"/>
            <w:noWrap/>
            <w:vAlign w:val="center"/>
            <w:hideMark/>
          </w:tcPr>
          <w:p w14:paraId="21437718" w14:textId="77777777" w:rsidR="001C75C7" w:rsidRPr="001C75C7" w:rsidRDefault="001C75C7" w:rsidP="001C75C7">
            <w:pPr>
              <w:spacing w:after="0" w:line="240" w:lineRule="auto"/>
              <w:ind w:left="170"/>
              <w:jc w:val="left"/>
              <w:rPr>
                <w:rFonts w:ascii="Arial" w:hAnsi="Arial" w:cs="Arial"/>
                <w:sz w:val="16"/>
                <w:szCs w:val="16"/>
                <w:highlight w:val="magenta"/>
              </w:rPr>
            </w:pPr>
            <w:r w:rsidRPr="001C75C7">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343CA1A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0.1</w:t>
            </w:r>
          </w:p>
        </w:tc>
        <w:tc>
          <w:tcPr>
            <w:tcW w:w="551" w:type="pct"/>
            <w:tcBorders>
              <w:top w:val="nil"/>
              <w:left w:val="nil"/>
              <w:bottom w:val="nil"/>
              <w:right w:val="nil"/>
            </w:tcBorders>
            <w:shd w:val="clear" w:color="000000" w:fill="F2F9FC"/>
            <w:noWrap/>
            <w:vAlign w:val="center"/>
            <w:hideMark/>
          </w:tcPr>
          <w:p w14:paraId="15122431"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0.1</w:t>
            </w:r>
          </w:p>
        </w:tc>
        <w:tc>
          <w:tcPr>
            <w:tcW w:w="551" w:type="pct"/>
            <w:tcBorders>
              <w:top w:val="nil"/>
              <w:left w:val="nil"/>
              <w:bottom w:val="nil"/>
              <w:right w:val="nil"/>
            </w:tcBorders>
            <w:shd w:val="clear" w:color="auto" w:fill="auto"/>
            <w:noWrap/>
            <w:vAlign w:val="center"/>
            <w:hideMark/>
          </w:tcPr>
          <w:p w14:paraId="740318D4"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0.1</w:t>
            </w:r>
          </w:p>
        </w:tc>
        <w:tc>
          <w:tcPr>
            <w:tcW w:w="551" w:type="pct"/>
            <w:tcBorders>
              <w:top w:val="nil"/>
              <w:left w:val="nil"/>
              <w:bottom w:val="nil"/>
              <w:right w:val="nil"/>
            </w:tcBorders>
            <w:shd w:val="clear" w:color="auto" w:fill="auto"/>
            <w:noWrap/>
            <w:vAlign w:val="center"/>
            <w:hideMark/>
          </w:tcPr>
          <w:p w14:paraId="35DC839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0.1</w:t>
            </w:r>
          </w:p>
        </w:tc>
        <w:tc>
          <w:tcPr>
            <w:tcW w:w="551" w:type="pct"/>
            <w:tcBorders>
              <w:top w:val="nil"/>
              <w:left w:val="nil"/>
              <w:bottom w:val="nil"/>
              <w:right w:val="nil"/>
            </w:tcBorders>
            <w:shd w:val="clear" w:color="auto" w:fill="auto"/>
            <w:noWrap/>
            <w:vAlign w:val="center"/>
            <w:hideMark/>
          </w:tcPr>
          <w:p w14:paraId="67B0F405"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0.2</w:t>
            </w:r>
          </w:p>
        </w:tc>
      </w:tr>
      <w:tr w:rsidR="001C75C7" w:rsidRPr="001C75C7" w14:paraId="10839D6F" w14:textId="77777777" w:rsidTr="001C75C7">
        <w:trPr>
          <w:divId w:val="842623488"/>
          <w:trHeight w:hRule="exact" w:val="225"/>
        </w:trPr>
        <w:tc>
          <w:tcPr>
            <w:tcW w:w="2244" w:type="pct"/>
            <w:tcBorders>
              <w:top w:val="nil"/>
              <w:left w:val="nil"/>
              <w:bottom w:val="nil"/>
              <w:right w:val="nil"/>
            </w:tcBorders>
            <w:shd w:val="clear" w:color="auto" w:fill="auto"/>
            <w:noWrap/>
            <w:vAlign w:val="center"/>
            <w:hideMark/>
          </w:tcPr>
          <w:p w14:paraId="12CE0EEF" w14:textId="77777777" w:rsidR="001C75C7" w:rsidRPr="001C75C7" w:rsidRDefault="001C75C7" w:rsidP="001C75C7">
            <w:pPr>
              <w:spacing w:after="0" w:line="240" w:lineRule="auto"/>
              <w:jc w:val="left"/>
              <w:rPr>
                <w:rFonts w:ascii="Arial" w:hAnsi="Arial" w:cs="Arial"/>
                <w:sz w:val="16"/>
                <w:szCs w:val="16"/>
                <w:highlight w:val="magenta"/>
              </w:rPr>
            </w:pPr>
            <w:r w:rsidRPr="001C75C7">
              <w:rPr>
                <w:rFonts w:ascii="Arial" w:hAnsi="Arial" w:cs="Arial"/>
                <w:sz w:val="16"/>
                <w:szCs w:val="16"/>
              </w:rPr>
              <w:t xml:space="preserve">Net interest payments(d) </w:t>
            </w:r>
          </w:p>
        </w:tc>
        <w:tc>
          <w:tcPr>
            <w:tcW w:w="551" w:type="pct"/>
            <w:tcBorders>
              <w:top w:val="nil"/>
              <w:left w:val="nil"/>
              <w:bottom w:val="nil"/>
              <w:right w:val="nil"/>
            </w:tcBorders>
            <w:shd w:val="clear" w:color="auto" w:fill="auto"/>
            <w:noWrap/>
            <w:vAlign w:val="center"/>
            <w:hideMark/>
          </w:tcPr>
          <w:p w14:paraId="061F93C9"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14,899</w:t>
            </w:r>
          </w:p>
        </w:tc>
        <w:tc>
          <w:tcPr>
            <w:tcW w:w="551" w:type="pct"/>
            <w:tcBorders>
              <w:top w:val="nil"/>
              <w:left w:val="nil"/>
              <w:bottom w:val="nil"/>
              <w:right w:val="nil"/>
            </w:tcBorders>
            <w:shd w:val="clear" w:color="000000" w:fill="F2F9FC"/>
            <w:noWrap/>
            <w:vAlign w:val="center"/>
            <w:hideMark/>
          </w:tcPr>
          <w:p w14:paraId="047538E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15,074</w:t>
            </w:r>
          </w:p>
        </w:tc>
        <w:tc>
          <w:tcPr>
            <w:tcW w:w="551" w:type="pct"/>
            <w:tcBorders>
              <w:top w:val="nil"/>
              <w:left w:val="nil"/>
              <w:bottom w:val="nil"/>
              <w:right w:val="nil"/>
            </w:tcBorders>
            <w:shd w:val="clear" w:color="auto" w:fill="auto"/>
            <w:noWrap/>
            <w:vAlign w:val="center"/>
            <w:hideMark/>
          </w:tcPr>
          <w:p w14:paraId="20148FD8"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16,895</w:t>
            </w:r>
          </w:p>
        </w:tc>
        <w:tc>
          <w:tcPr>
            <w:tcW w:w="551" w:type="pct"/>
            <w:tcBorders>
              <w:top w:val="nil"/>
              <w:left w:val="nil"/>
              <w:bottom w:val="nil"/>
              <w:right w:val="nil"/>
            </w:tcBorders>
            <w:shd w:val="clear" w:color="auto" w:fill="auto"/>
            <w:noWrap/>
            <w:vAlign w:val="center"/>
            <w:hideMark/>
          </w:tcPr>
          <w:p w14:paraId="4FDF2576"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17,961</w:t>
            </w:r>
          </w:p>
        </w:tc>
        <w:tc>
          <w:tcPr>
            <w:tcW w:w="551" w:type="pct"/>
            <w:tcBorders>
              <w:top w:val="nil"/>
              <w:left w:val="nil"/>
              <w:bottom w:val="nil"/>
              <w:right w:val="nil"/>
            </w:tcBorders>
            <w:shd w:val="clear" w:color="auto" w:fill="auto"/>
            <w:noWrap/>
            <w:vAlign w:val="center"/>
            <w:hideMark/>
          </w:tcPr>
          <w:p w14:paraId="3EAD1175"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22,390</w:t>
            </w:r>
          </w:p>
        </w:tc>
      </w:tr>
      <w:tr w:rsidR="001C75C7" w:rsidRPr="001C75C7" w14:paraId="317A152B" w14:textId="77777777" w:rsidTr="001C75C7">
        <w:trPr>
          <w:divId w:val="842623488"/>
          <w:trHeight w:hRule="exact" w:val="225"/>
        </w:trPr>
        <w:tc>
          <w:tcPr>
            <w:tcW w:w="2244" w:type="pct"/>
            <w:tcBorders>
              <w:top w:val="nil"/>
              <w:left w:val="nil"/>
              <w:bottom w:val="single" w:sz="4" w:space="0" w:color="000000"/>
              <w:right w:val="nil"/>
            </w:tcBorders>
            <w:shd w:val="clear" w:color="auto" w:fill="auto"/>
            <w:noWrap/>
            <w:vAlign w:val="center"/>
            <w:hideMark/>
          </w:tcPr>
          <w:p w14:paraId="243B5C54" w14:textId="77777777" w:rsidR="001C75C7" w:rsidRPr="001C75C7" w:rsidRDefault="001C75C7" w:rsidP="001C75C7">
            <w:pPr>
              <w:spacing w:after="0" w:line="240" w:lineRule="auto"/>
              <w:ind w:left="170"/>
              <w:jc w:val="left"/>
              <w:rPr>
                <w:rFonts w:ascii="Arial" w:hAnsi="Arial" w:cs="Arial"/>
                <w:sz w:val="16"/>
                <w:szCs w:val="16"/>
                <w:highlight w:val="magenta"/>
              </w:rPr>
            </w:pPr>
            <w:r w:rsidRPr="001C75C7">
              <w:rPr>
                <w:rFonts w:ascii="Arial" w:hAnsi="Arial" w:cs="Arial"/>
                <w:sz w:val="16"/>
                <w:szCs w:val="16"/>
              </w:rPr>
              <w:t>Per cent of GDP</w:t>
            </w:r>
          </w:p>
        </w:tc>
        <w:tc>
          <w:tcPr>
            <w:tcW w:w="551" w:type="pct"/>
            <w:tcBorders>
              <w:top w:val="nil"/>
              <w:left w:val="nil"/>
              <w:bottom w:val="single" w:sz="4" w:space="0" w:color="000000"/>
              <w:right w:val="nil"/>
            </w:tcBorders>
            <w:shd w:val="clear" w:color="auto" w:fill="auto"/>
            <w:noWrap/>
            <w:vAlign w:val="center"/>
            <w:hideMark/>
          </w:tcPr>
          <w:p w14:paraId="1451D46A"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0.7</w:t>
            </w:r>
          </w:p>
        </w:tc>
        <w:tc>
          <w:tcPr>
            <w:tcW w:w="551" w:type="pct"/>
            <w:tcBorders>
              <w:top w:val="nil"/>
              <w:left w:val="nil"/>
              <w:bottom w:val="single" w:sz="4" w:space="0" w:color="000000"/>
              <w:right w:val="nil"/>
            </w:tcBorders>
            <w:shd w:val="clear" w:color="000000" w:fill="F2F9FC"/>
            <w:noWrap/>
            <w:vAlign w:val="center"/>
            <w:hideMark/>
          </w:tcPr>
          <w:p w14:paraId="224EAE71"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0.7</w:t>
            </w:r>
          </w:p>
        </w:tc>
        <w:tc>
          <w:tcPr>
            <w:tcW w:w="551" w:type="pct"/>
            <w:tcBorders>
              <w:top w:val="nil"/>
              <w:left w:val="nil"/>
              <w:bottom w:val="single" w:sz="4" w:space="0" w:color="000000"/>
              <w:right w:val="nil"/>
            </w:tcBorders>
            <w:shd w:val="clear" w:color="auto" w:fill="auto"/>
            <w:noWrap/>
            <w:vAlign w:val="center"/>
            <w:hideMark/>
          </w:tcPr>
          <w:p w14:paraId="3F86E6EA"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0.7</w:t>
            </w:r>
          </w:p>
        </w:tc>
        <w:tc>
          <w:tcPr>
            <w:tcW w:w="551" w:type="pct"/>
            <w:tcBorders>
              <w:top w:val="nil"/>
              <w:left w:val="nil"/>
              <w:bottom w:val="single" w:sz="4" w:space="0" w:color="000000"/>
              <w:right w:val="nil"/>
            </w:tcBorders>
            <w:shd w:val="clear" w:color="auto" w:fill="auto"/>
            <w:noWrap/>
            <w:vAlign w:val="center"/>
            <w:hideMark/>
          </w:tcPr>
          <w:p w14:paraId="35556BE3" w14:textId="77777777" w:rsidR="001C75C7" w:rsidRPr="001C75C7" w:rsidRDefault="001C75C7" w:rsidP="001C75C7">
            <w:pPr>
              <w:spacing w:after="0" w:line="240" w:lineRule="auto"/>
              <w:jc w:val="right"/>
              <w:rPr>
                <w:rFonts w:ascii="Arial" w:hAnsi="Arial" w:cs="Arial"/>
                <w:sz w:val="16"/>
                <w:szCs w:val="16"/>
                <w:highlight w:val="magenta"/>
              </w:rPr>
            </w:pPr>
            <w:r w:rsidRPr="001C75C7">
              <w:rPr>
                <w:rFonts w:ascii="Arial" w:hAnsi="Arial" w:cs="Arial"/>
                <w:sz w:val="16"/>
                <w:szCs w:val="16"/>
              </w:rPr>
              <w:t>0.7</w:t>
            </w:r>
          </w:p>
        </w:tc>
        <w:tc>
          <w:tcPr>
            <w:tcW w:w="551" w:type="pct"/>
            <w:tcBorders>
              <w:top w:val="nil"/>
              <w:left w:val="nil"/>
              <w:bottom w:val="single" w:sz="4" w:space="0" w:color="000000"/>
              <w:right w:val="nil"/>
            </w:tcBorders>
            <w:shd w:val="clear" w:color="auto" w:fill="auto"/>
            <w:noWrap/>
            <w:vAlign w:val="center"/>
            <w:hideMark/>
          </w:tcPr>
          <w:p w14:paraId="2918A4E1" w14:textId="77777777" w:rsidR="001C75C7" w:rsidRPr="001C75C7" w:rsidRDefault="001C75C7" w:rsidP="001C75C7">
            <w:pPr>
              <w:spacing w:after="0" w:line="240" w:lineRule="auto"/>
              <w:jc w:val="right"/>
              <w:rPr>
                <w:rFonts w:ascii="Arial" w:hAnsi="Arial" w:cs="Arial"/>
                <w:sz w:val="16"/>
                <w:szCs w:val="16"/>
              </w:rPr>
            </w:pPr>
            <w:r w:rsidRPr="001C75C7">
              <w:rPr>
                <w:rFonts w:ascii="Arial" w:hAnsi="Arial" w:cs="Arial"/>
                <w:sz w:val="16"/>
                <w:szCs w:val="16"/>
              </w:rPr>
              <w:t>0.9</w:t>
            </w:r>
          </w:p>
        </w:tc>
      </w:tr>
    </w:tbl>
    <w:p w14:paraId="151AF851" w14:textId="7691C24C" w:rsidR="003C48F3" w:rsidRDefault="00B91A00" w:rsidP="001C75C7">
      <w:pPr>
        <w:pStyle w:val="ChartandTableFootnoteAlpha"/>
        <w:numPr>
          <w:ilvl w:val="0"/>
          <w:numId w:val="15"/>
        </w:numPr>
      </w:pPr>
      <w:r w:rsidRPr="00091680">
        <w:t xml:space="preserve">Interest </w:t>
      </w:r>
      <w:r w:rsidR="003C48F3" w:rsidRPr="00091680">
        <w:t>payments and receipts are a cash measure, with the relevant amount recognised in the period in which the interest payment is made or interest is received.</w:t>
      </w:r>
    </w:p>
    <w:p w14:paraId="12730311" w14:textId="54B6800A" w:rsidR="001C75C7" w:rsidRPr="001C75C7" w:rsidRDefault="001C75C7" w:rsidP="001C75C7">
      <w:pPr>
        <w:pStyle w:val="ChartandTableFootnoteAlpha"/>
      </w:pPr>
      <w:r>
        <w:t>The increase in 2025-26 primarily reflects a Treasury Indexed Bond line maturing in that year.</w:t>
      </w:r>
    </w:p>
    <w:p w14:paraId="25BAFFF8" w14:textId="2482E09F" w:rsidR="00E121E1" w:rsidRPr="00091680" w:rsidRDefault="004C40D6" w:rsidP="001C75C7">
      <w:pPr>
        <w:pStyle w:val="ChartandTableFootnoteAlpha"/>
      </w:pPr>
      <w:r w:rsidRPr="00091680">
        <w:t xml:space="preserve">Interest payments include </w:t>
      </w:r>
      <w:r w:rsidR="00124E96" w:rsidRPr="00091680">
        <w:t xml:space="preserve">interest payments on </w:t>
      </w:r>
      <w:r w:rsidR="00DB66FC" w:rsidRPr="00091680">
        <w:t xml:space="preserve">AGS, </w:t>
      </w:r>
      <w:r w:rsidR="00BC4F56" w:rsidRPr="00091680">
        <w:t xml:space="preserve">loans and other </w:t>
      </w:r>
      <w:r w:rsidR="00CC6E75" w:rsidRPr="00091680">
        <w:t>borrowing</w:t>
      </w:r>
      <w:r w:rsidR="001D0532" w:rsidRPr="00091680">
        <w:t xml:space="preserve">, as well as </w:t>
      </w:r>
      <w:r w:rsidR="00807EEF" w:rsidRPr="00091680">
        <w:t>interest payments on lease liabilities</w:t>
      </w:r>
      <w:r w:rsidR="00CC4A58" w:rsidRPr="00091680">
        <w:t xml:space="preserve">. </w:t>
      </w:r>
    </w:p>
    <w:p w14:paraId="46B50262" w14:textId="6C827F21" w:rsidR="003C48F3" w:rsidRPr="003C48F3" w:rsidRDefault="003C48F3" w:rsidP="001C75C7">
      <w:pPr>
        <w:pStyle w:val="ChartandTableFootnoteAlpha"/>
      </w:pPr>
      <w:r w:rsidRPr="00091680">
        <w:t>Net interest payments are equal to the difference between interest payments and interest receipts.</w:t>
      </w:r>
    </w:p>
    <w:p w14:paraId="36FCF047" w14:textId="77777777" w:rsidR="00E10FA5" w:rsidRDefault="00E10FA5" w:rsidP="00344286">
      <w:pPr>
        <w:pStyle w:val="SingleParagraph"/>
      </w:pPr>
    </w:p>
    <w:p w14:paraId="0E2EC24B" w14:textId="66CF8488" w:rsidR="00346766" w:rsidRPr="00F931AC" w:rsidRDefault="001E4F1E" w:rsidP="001E4F1E">
      <w:pPr>
        <w:rPr>
          <w:rFonts w:eastAsiaTheme="minorHAnsi"/>
        </w:rPr>
      </w:pPr>
      <w:r w:rsidRPr="00091680">
        <w:t>Interest payments as a share of GDP are expected to remain broadly consistent with estimates at MYEFO</w:t>
      </w:r>
      <w:r w:rsidR="000A2DA3" w:rsidRPr="00091680">
        <w:t xml:space="preserve"> over the forward estimates</w:t>
      </w:r>
      <w:r w:rsidRPr="00091680">
        <w:t>, with the expected impact of the recent rise in interest rates partially offset by lower issuance of AGS.</w:t>
      </w:r>
      <w:r w:rsidR="003E45FA" w:rsidRPr="00091680">
        <w:t xml:space="preserve"> </w:t>
      </w:r>
      <w:r w:rsidR="007F551C" w:rsidRPr="00091680">
        <w:t>By the end of</w:t>
      </w:r>
      <w:r w:rsidR="003E45FA" w:rsidRPr="00091680">
        <w:t xml:space="preserve"> the medium term, </w:t>
      </w:r>
      <w:r w:rsidR="0023164D" w:rsidRPr="00091680">
        <w:t xml:space="preserve">interest </w:t>
      </w:r>
      <w:r w:rsidR="00CD7E42" w:rsidRPr="00091680">
        <w:t>payments</w:t>
      </w:r>
      <w:r w:rsidR="004A3D69" w:rsidRPr="00091680">
        <w:t xml:space="preserve"> as a share of GDP</w:t>
      </w:r>
      <w:r w:rsidR="00CD7E42" w:rsidRPr="00091680">
        <w:t xml:space="preserve"> </w:t>
      </w:r>
      <w:r w:rsidR="0023164D" w:rsidRPr="00091680">
        <w:t xml:space="preserve">are </w:t>
      </w:r>
      <w:r w:rsidR="009C18EF" w:rsidRPr="00091680">
        <w:t xml:space="preserve">projected to be lower </w:t>
      </w:r>
      <w:r w:rsidR="00664C44" w:rsidRPr="00091680">
        <w:t>than projected at</w:t>
      </w:r>
      <w:r w:rsidR="009C18EF" w:rsidRPr="00091680">
        <w:t xml:space="preserve"> MYEFO, </w:t>
      </w:r>
      <w:r w:rsidR="00A5014D" w:rsidRPr="00091680">
        <w:t xml:space="preserve">as assumed higher interest rates are more than offset by </w:t>
      </w:r>
      <w:r w:rsidR="003E45FA" w:rsidRPr="00091680">
        <w:t xml:space="preserve">the </w:t>
      </w:r>
      <w:r w:rsidR="000352B0" w:rsidRPr="00091680">
        <w:t>expected lower issuance of AGS</w:t>
      </w:r>
      <w:r w:rsidRPr="00091680">
        <w:t xml:space="preserve">. </w:t>
      </w:r>
      <w:r w:rsidR="008276DA" w:rsidRPr="00091680">
        <w:t xml:space="preserve">Interest payments </w:t>
      </w:r>
      <w:r w:rsidR="00DA5A52" w:rsidRPr="00091680">
        <w:t xml:space="preserve">as a share of the economy </w:t>
      </w:r>
      <w:r w:rsidR="008276DA" w:rsidRPr="00091680">
        <w:t xml:space="preserve">are expected to remain </w:t>
      </w:r>
      <w:r w:rsidR="00521935" w:rsidRPr="00091680">
        <w:t>around</w:t>
      </w:r>
      <w:r w:rsidR="008276DA" w:rsidRPr="00091680">
        <w:t xml:space="preserve"> the 30</w:t>
      </w:r>
      <w:r w:rsidR="00C42B0B" w:rsidRPr="00091680">
        <w:noBreakHyphen/>
      </w:r>
      <w:r w:rsidR="00521935" w:rsidRPr="00091680">
        <w:t>year</w:t>
      </w:r>
      <w:r w:rsidR="008276DA" w:rsidRPr="00091680">
        <w:t xml:space="preserve"> </w:t>
      </w:r>
      <w:r w:rsidR="00A2145D" w:rsidRPr="00091680" w:rsidDel="00254C77">
        <w:t xml:space="preserve">average </w:t>
      </w:r>
      <w:r w:rsidR="008D42E1" w:rsidRPr="00091680">
        <w:t xml:space="preserve">of </w:t>
      </w:r>
      <w:r w:rsidR="00862E05" w:rsidRPr="00091680">
        <w:t xml:space="preserve">just under </w:t>
      </w:r>
      <w:r w:rsidR="008D42E1" w:rsidRPr="00091680">
        <w:t>one per cent</w:t>
      </w:r>
      <w:r w:rsidR="00A2145D" w:rsidRPr="00091680" w:rsidDel="00254C77">
        <w:t xml:space="preserve"> </w:t>
      </w:r>
      <w:r w:rsidR="00254C77" w:rsidRPr="00091680">
        <w:t>through</w:t>
      </w:r>
      <w:r w:rsidR="00B8622F" w:rsidRPr="00091680">
        <w:t xml:space="preserve"> the forward estimates</w:t>
      </w:r>
      <w:r w:rsidR="006F663E">
        <w:t>.</w:t>
      </w:r>
    </w:p>
    <w:p w14:paraId="2F2136D2" w14:textId="421C4C3E" w:rsidR="003C48F3" w:rsidRPr="00091680" w:rsidRDefault="003C48F3" w:rsidP="003C48F3">
      <w:pPr>
        <w:rPr>
          <w:rFonts w:ascii="Arial" w:hAnsi="Arial"/>
          <w:b/>
        </w:rPr>
      </w:pPr>
      <w:r w:rsidRPr="00091680">
        <w:lastRenderedPageBreak/>
        <w:t xml:space="preserve">The Government’s interest expense in </w:t>
      </w:r>
      <w:r w:rsidR="0028251D" w:rsidRPr="00091680">
        <w:t>2022</w:t>
      </w:r>
      <w:r w:rsidR="00CB5997" w:rsidRPr="00091680">
        <w:noBreakHyphen/>
      </w:r>
      <w:r w:rsidR="0028251D" w:rsidRPr="00091680">
        <w:t>23</w:t>
      </w:r>
      <w:r w:rsidRPr="00091680">
        <w:t xml:space="preserve"> is estimated to be $</w:t>
      </w:r>
      <w:r w:rsidR="004A64CC" w:rsidRPr="00091680">
        <w:t>21.5</w:t>
      </w:r>
      <w:r w:rsidRPr="00091680">
        <w:t xml:space="preserve"> billion, of which $</w:t>
      </w:r>
      <w:r w:rsidR="007870F5" w:rsidRPr="00091680">
        <w:t>19.8</w:t>
      </w:r>
      <w:r w:rsidRPr="00091680">
        <w:t> billion relates to AGS on issue. Table </w:t>
      </w:r>
      <w:r w:rsidR="001E52C1" w:rsidRPr="00091680">
        <w:t>6</w:t>
      </w:r>
      <w:r w:rsidRPr="00091680">
        <w:t>.10 shows the Government’s estimated interest expense, interest expense on AGS, interest income and net interest expense over the forward estimates.</w:t>
      </w:r>
    </w:p>
    <w:p w14:paraId="307BBC84" w14:textId="12B16B94" w:rsidR="00681C2C" w:rsidRDefault="003C48F3" w:rsidP="00681C2C">
      <w:pPr>
        <w:pStyle w:val="TableHeading"/>
        <w:rPr>
          <w:rFonts w:asciiTheme="minorHAnsi" w:eastAsiaTheme="minorHAnsi" w:hAnsiTheme="minorHAnsi" w:cstheme="minorBidi"/>
          <w:b w:val="0"/>
          <w:sz w:val="22"/>
          <w:szCs w:val="22"/>
          <w:lang w:eastAsia="en-US"/>
        </w:rPr>
      </w:pPr>
      <w:r w:rsidRPr="00091680">
        <w:t xml:space="preserve">Table </w:t>
      </w:r>
      <w:r w:rsidR="001E52C1" w:rsidRPr="00091680">
        <w:rPr>
          <w:rFonts w:cs="Arial"/>
        </w:rPr>
        <w:t>6</w:t>
      </w:r>
      <w:r w:rsidRPr="00091680">
        <w:rPr>
          <w:rFonts w:cs="Arial"/>
        </w:rPr>
        <w:t>.10: Interest expense, interest income and net interest expense</w:t>
      </w:r>
      <w:bookmarkStart w:id="42" w:name="_Hlk99128293"/>
      <w:r w:rsidRPr="00091680">
        <w:rPr>
          <w:rFonts w:cs="Arial"/>
          <w:vertAlign w:val="superscript"/>
        </w:rPr>
        <w:t>(a)</w:t>
      </w:r>
      <w:bookmarkEnd w:id="42"/>
      <w:r w:rsidRPr="00091680">
        <w:rPr>
          <w:rFonts w:cs="Arial"/>
        </w:rPr>
        <w:t xml:space="preserve"> </w:t>
      </w:r>
    </w:p>
    <w:tbl>
      <w:tblPr>
        <w:tblW w:w="5000" w:type="pct"/>
        <w:tblCellMar>
          <w:left w:w="0" w:type="dxa"/>
          <w:right w:w="28" w:type="dxa"/>
        </w:tblCellMar>
        <w:tblLook w:val="04A0" w:firstRow="1" w:lastRow="0" w:firstColumn="1" w:lastColumn="0" w:noHBand="0" w:noVBand="1"/>
      </w:tblPr>
      <w:tblGrid>
        <w:gridCol w:w="3459"/>
        <w:gridCol w:w="850"/>
        <w:gridCol w:w="850"/>
        <w:gridCol w:w="850"/>
        <w:gridCol w:w="850"/>
        <w:gridCol w:w="851"/>
      </w:tblGrid>
      <w:tr w:rsidR="00681C2C" w:rsidRPr="00681C2C" w14:paraId="236C7E52" w14:textId="77777777" w:rsidTr="00681C2C">
        <w:trPr>
          <w:divId w:val="1282300343"/>
          <w:trHeight w:hRule="exact" w:val="225"/>
        </w:trPr>
        <w:tc>
          <w:tcPr>
            <w:tcW w:w="2244" w:type="pct"/>
            <w:tcBorders>
              <w:top w:val="single" w:sz="4" w:space="0" w:color="000000"/>
              <w:left w:val="nil"/>
              <w:bottom w:val="nil"/>
              <w:right w:val="nil"/>
            </w:tcBorders>
            <w:shd w:val="clear" w:color="auto" w:fill="auto"/>
            <w:noWrap/>
            <w:vAlign w:val="bottom"/>
            <w:hideMark/>
          </w:tcPr>
          <w:p w14:paraId="6E6C4577" w14:textId="311C948D" w:rsidR="00681C2C" w:rsidRPr="00681C2C" w:rsidRDefault="00681C2C" w:rsidP="00681C2C">
            <w:pPr>
              <w:spacing w:after="0" w:line="240" w:lineRule="auto"/>
              <w:rPr>
                <w:rFonts w:ascii="Calibri" w:hAnsi="Calibri" w:cs="Calibri"/>
                <w:color w:val="000000"/>
                <w:sz w:val="22"/>
                <w:szCs w:val="22"/>
              </w:rPr>
            </w:pPr>
            <w:r w:rsidRPr="00681C2C">
              <w:rPr>
                <w:rFonts w:ascii="Calibri" w:hAnsi="Calibri" w:cs="Calibri"/>
                <w:color w:val="000000"/>
                <w:sz w:val="22"/>
                <w:szCs w:val="22"/>
              </w:rPr>
              <w:t> </w:t>
            </w:r>
          </w:p>
        </w:tc>
        <w:tc>
          <w:tcPr>
            <w:tcW w:w="2756" w:type="pct"/>
            <w:gridSpan w:val="5"/>
            <w:tcBorders>
              <w:top w:val="single" w:sz="4" w:space="0" w:color="000000"/>
              <w:left w:val="nil"/>
              <w:bottom w:val="single" w:sz="4" w:space="0" w:color="000000"/>
              <w:right w:val="nil"/>
            </w:tcBorders>
            <w:shd w:val="clear" w:color="auto" w:fill="auto"/>
            <w:noWrap/>
            <w:vAlign w:val="center"/>
            <w:hideMark/>
          </w:tcPr>
          <w:p w14:paraId="4AB1D606" w14:textId="77777777" w:rsidR="00681C2C" w:rsidRPr="00681C2C" w:rsidRDefault="00681C2C" w:rsidP="00681C2C">
            <w:pPr>
              <w:spacing w:after="0" w:line="240" w:lineRule="auto"/>
              <w:jc w:val="center"/>
              <w:rPr>
                <w:rFonts w:ascii="Arial" w:hAnsi="Arial" w:cs="Arial"/>
                <w:color w:val="000000"/>
                <w:sz w:val="16"/>
                <w:szCs w:val="16"/>
              </w:rPr>
            </w:pPr>
            <w:r w:rsidRPr="00681C2C">
              <w:rPr>
                <w:rFonts w:ascii="Arial" w:hAnsi="Arial" w:cs="Arial"/>
                <w:color w:val="000000"/>
                <w:sz w:val="16"/>
                <w:szCs w:val="16"/>
              </w:rPr>
              <w:t>Estimates</w:t>
            </w:r>
          </w:p>
        </w:tc>
      </w:tr>
      <w:tr w:rsidR="00681C2C" w:rsidRPr="00681C2C" w14:paraId="26BF2C67"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1436D6F9" w14:textId="77777777" w:rsidR="00681C2C" w:rsidRPr="00681C2C" w:rsidRDefault="00681C2C" w:rsidP="00681C2C">
            <w:pPr>
              <w:spacing w:after="0" w:line="240" w:lineRule="auto"/>
              <w:jc w:val="center"/>
              <w:rPr>
                <w:rFonts w:ascii="Arial" w:hAnsi="Arial" w:cs="Arial"/>
                <w:color w:val="000000"/>
                <w:sz w:val="16"/>
                <w:szCs w:val="16"/>
              </w:rPr>
            </w:pPr>
          </w:p>
        </w:tc>
        <w:tc>
          <w:tcPr>
            <w:tcW w:w="551" w:type="pct"/>
            <w:tcBorders>
              <w:top w:val="nil"/>
              <w:left w:val="nil"/>
              <w:bottom w:val="nil"/>
              <w:right w:val="nil"/>
            </w:tcBorders>
            <w:shd w:val="clear" w:color="auto" w:fill="auto"/>
            <w:noWrap/>
            <w:vAlign w:val="center"/>
            <w:hideMark/>
          </w:tcPr>
          <w:p w14:paraId="16E1D75D"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2021-22</w:t>
            </w:r>
          </w:p>
        </w:tc>
        <w:tc>
          <w:tcPr>
            <w:tcW w:w="551" w:type="pct"/>
            <w:tcBorders>
              <w:top w:val="nil"/>
              <w:left w:val="nil"/>
              <w:bottom w:val="nil"/>
              <w:right w:val="nil"/>
            </w:tcBorders>
            <w:shd w:val="clear" w:color="000000" w:fill="F2F9FC"/>
            <w:noWrap/>
            <w:vAlign w:val="center"/>
            <w:hideMark/>
          </w:tcPr>
          <w:p w14:paraId="710FDA82"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2022-23</w:t>
            </w:r>
          </w:p>
        </w:tc>
        <w:tc>
          <w:tcPr>
            <w:tcW w:w="551" w:type="pct"/>
            <w:tcBorders>
              <w:top w:val="nil"/>
              <w:left w:val="nil"/>
              <w:bottom w:val="nil"/>
              <w:right w:val="nil"/>
            </w:tcBorders>
            <w:shd w:val="clear" w:color="auto" w:fill="auto"/>
            <w:noWrap/>
            <w:vAlign w:val="center"/>
            <w:hideMark/>
          </w:tcPr>
          <w:p w14:paraId="083E9142"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2023-24</w:t>
            </w:r>
          </w:p>
        </w:tc>
        <w:tc>
          <w:tcPr>
            <w:tcW w:w="551" w:type="pct"/>
            <w:tcBorders>
              <w:top w:val="nil"/>
              <w:left w:val="nil"/>
              <w:bottom w:val="nil"/>
              <w:right w:val="nil"/>
            </w:tcBorders>
            <w:shd w:val="clear" w:color="auto" w:fill="auto"/>
            <w:noWrap/>
            <w:vAlign w:val="center"/>
            <w:hideMark/>
          </w:tcPr>
          <w:p w14:paraId="63575755"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2024-25</w:t>
            </w:r>
          </w:p>
        </w:tc>
        <w:tc>
          <w:tcPr>
            <w:tcW w:w="551" w:type="pct"/>
            <w:tcBorders>
              <w:top w:val="nil"/>
              <w:left w:val="nil"/>
              <w:bottom w:val="nil"/>
              <w:right w:val="nil"/>
            </w:tcBorders>
            <w:shd w:val="clear" w:color="auto" w:fill="auto"/>
            <w:noWrap/>
            <w:vAlign w:val="center"/>
            <w:hideMark/>
          </w:tcPr>
          <w:p w14:paraId="28BE4739"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2025-26</w:t>
            </w:r>
          </w:p>
        </w:tc>
      </w:tr>
      <w:tr w:rsidR="00681C2C" w:rsidRPr="00681C2C" w14:paraId="68B8E91E" w14:textId="77777777" w:rsidTr="00681C2C">
        <w:trPr>
          <w:divId w:val="1282300343"/>
          <w:trHeight w:hRule="exact" w:val="225"/>
        </w:trPr>
        <w:tc>
          <w:tcPr>
            <w:tcW w:w="2244" w:type="pct"/>
            <w:tcBorders>
              <w:top w:val="nil"/>
              <w:left w:val="nil"/>
              <w:bottom w:val="single" w:sz="4" w:space="0" w:color="000000"/>
              <w:right w:val="nil"/>
            </w:tcBorders>
            <w:shd w:val="clear" w:color="auto" w:fill="auto"/>
            <w:noWrap/>
            <w:vAlign w:val="center"/>
            <w:hideMark/>
          </w:tcPr>
          <w:p w14:paraId="0F1724F7"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 </w:t>
            </w:r>
          </w:p>
        </w:tc>
        <w:tc>
          <w:tcPr>
            <w:tcW w:w="551" w:type="pct"/>
            <w:tcBorders>
              <w:top w:val="nil"/>
              <w:left w:val="nil"/>
              <w:bottom w:val="single" w:sz="4" w:space="0" w:color="000000"/>
              <w:right w:val="nil"/>
            </w:tcBorders>
            <w:shd w:val="clear" w:color="auto" w:fill="auto"/>
            <w:noWrap/>
            <w:vAlign w:val="center"/>
            <w:hideMark/>
          </w:tcPr>
          <w:p w14:paraId="05F1DE64"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$m</w:t>
            </w:r>
          </w:p>
        </w:tc>
        <w:tc>
          <w:tcPr>
            <w:tcW w:w="551" w:type="pct"/>
            <w:tcBorders>
              <w:top w:val="nil"/>
              <w:left w:val="nil"/>
              <w:bottom w:val="single" w:sz="4" w:space="0" w:color="000000"/>
              <w:right w:val="nil"/>
            </w:tcBorders>
            <w:shd w:val="clear" w:color="000000" w:fill="F2F9FC"/>
            <w:noWrap/>
            <w:vAlign w:val="center"/>
            <w:hideMark/>
          </w:tcPr>
          <w:p w14:paraId="2AED60D2"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$m</w:t>
            </w:r>
          </w:p>
        </w:tc>
        <w:tc>
          <w:tcPr>
            <w:tcW w:w="551" w:type="pct"/>
            <w:tcBorders>
              <w:top w:val="nil"/>
              <w:left w:val="nil"/>
              <w:bottom w:val="single" w:sz="4" w:space="0" w:color="000000"/>
              <w:right w:val="nil"/>
            </w:tcBorders>
            <w:shd w:val="clear" w:color="auto" w:fill="auto"/>
            <w:noWrap/>
            <w:vAlign w:val="center"/>
            <w:hideMark/>
          </w:tcPr>
          <w:p w14:paraId="6FA81E7F"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$m</w:t>
            </w:r>
          </w:p>
        </w:tc>
        <w:tc>
          <w:tcPr>
            <w:tcW w:w="551" w:type="pct"/>
            <w:tcBorders>
              <w:top w:val="nil"/>
              <w:left w:val="nil"/>
              <w:bottom w:val="single" w:sz="4" w:space="0" w:color="000000"/>
              <w:right w:val="nil"/>
            </w:tcBorders>
            <w:shd w:val="clear" w:color="auto" w:fill="auto"/>
            <w:noWrap/>
            <w:vAlign w:val="center"/>
            <w:hideMark/>
          </w:tcPr>
          <w:p w14:paraId="1FA6CF8C"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$m</w:t>
            </w:r>
          </w:p>
        </w:tc>
        <w:tc>
          <w:tcPr>
            <w:tcW w:w="551" w:type="pct"/>
            <w:tcBorders>
              <w:top w:val="nil"/>
              <w:left w:val="nil"/>
              <w:bottom w:val="single" w:sz="4" w:space="0" w:color="000000"/>
              <w:right w:val="nil"/>
            </w:tcBorders>
            <w:shd w:val="clear" w:color="auto" w:fill="auto"/>
            <w:noWrap/>
            <w:vAlign w:val="center"/>
            <w:hideMark/>
          </w:tcPr>
          <w:p w14:paraId="5D74E66E"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$m</w:t>
            </w:r>
          </w:p>
        </w:tc>
      </w:tr>
      <w:tr w:rsidR="00681C2C" w:rsidRPr="00681C2C" w14:paraId="0C42F5A3"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18D417F7" w14:textId="77777777" w:rsidR="00681C2C" w:rsidRPr="00681C2C" w:rsidRDefault="00681C2C" w:rsidP="00681C2C">
            <w:pPr>
              <w:spacing w:after="0" w:line="240" w:lineRule="auto"/>
              <w:jc w:val="left"/>
              <w:rPr>
                <w:rFonts w:ascii="Arial" w:hAnsi="Arial" w:cs="Arial"/>
                <w:sz w:val="16"/>
                <w:szCs w:val="16"/>
              </w:rPr>
            </w:pPr>
            <w:r w:rsidRPr="00681C2C">
              <w:rPr>
                <w:rFonts w:ascii="Arial" w:hAnsi="Arial" w:cs="Arial"/>
                <w:sz w:val="16"/>
                <w:szCs w:val="16"/>
              </w:rPr>
              <w:t>Interest expense on AGS</w:t>
            </w:r>
          </w:p>
        </w:tc>
        <w:tc>
          <w:tcPr>
            <w:tcW w:w="551" w:type="pct"/>
            <w:tcBorders>
              <w:top w:val="nil"/>
              <w:left w:val="nil"/>
              <w:bottom w:val="nil"/>
              <w:right w:val="nil"/>
            </w:tcBorders>
            <w:shd w:val="clear" w:color="auto" w:fill="auto"/>
            <w:noWrap/>
            <w:vAlign w:val="center"/>
            <w:hideMark/>
          </w:tcPr>
          <w:p w14:paraId="1BA82012"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18,443</w:t>
            </w:r>
          </w:p>
        </w:tc>
        <w:tc>
          <w:tcPr>
            <w:tcW w:w="551" w:type="pct"/>
            <w:tcBorders>
              <w:top w:val="nil"/>
              <w:left w:val="nil"/>
              <w:bottom w:val="nil"/>
              <w:right w:val="nil"/>
            </w:tcBorders>
            <w:shd w:val="clear" w:color="000000" w:fill="F2F9FC"/>
            <w:noWrap/>
            <w:vAlign w:val="center"/>
            <w:hideMark/>
          </w:tcPr>
          <w:p w14:paraId="1BE31501"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19,784</w:t>
            </w:r>
          </w:p>
        </w:tc>
        <w:tc>
          <w:tcPr>
            <w:tcW w:w="551" w:type="pct"/>
            <w:tcBorders>
              <w:top w:val="nil"/>
              <w:left w:val="nil"/>
              <w:bottom w:val="nil"/>
              <w:right w:val="nil"/>
            </w:tcBorders>
            <w:shd w:val="clear" w:color="auto" w:fill="auto"/>
            <w:noWrap/>
            <w:vAlign w:val="center"/>
            <w:hideMark/>
          </w:tcPr>
          <w:p w14:paraId="71A97F42"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21,206</w:t>
            </w:r>
          </w:p>
        </w:tc>
        <w:tc>
          <w:tcPr>
            <w:tcW w:w="551" w:type="pct"/>
            <w:tcBorders>
              <w:top w:val="nil"/>
              <w:left w:val="nil"/>
              <w:bottom w:val="nil"/>
              <w:right w:val="nil"/>
            </w:tcBorders>
            <w:shd w:val="clear" w:color="auto" w:fill="auto"/>
            <w:noWrap/>
            <w:vAlign w:val="center"/>
            <w:hideMark/>
          </w:tcPr>
          <w:p w14:paraId="0E83F427"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23,056</w:t>
            </w:r>
          </w:p>
        </w:tc>
        <w:tc>
          <w:tcPr>
            <w:tcW w:w="551" w:type="pct"/>
            <w:tcBorders>
              <w:top w:val="nil"/>
              <w:left w:val="nil"/>
              <w:bottom w:val="nil"/>
              <w:right w:val="nil"/>
            </w:tcBorders>
            <w:shd w:val="clear" w:color="auto" w:fill="auto"/>
            <w:noWrap/>
            <w:vAlign w:val="center"/>
            <w:hideMark/>
          </w:tcPr>
          <w:p w14:paraId="773A224E"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24,614</w:t>
            </w:r>
          </w:p>
        </w:tc>
      </w:tr>
      <w:tr w:rsidR="00681C2C" w:rsidRPr="00681C2C" w14:paraId="2D4F5237"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7FD625E2" w14:textId="77777777" w:rsidR="00681C2C" w:rsidRPr="00681C2C" w:rsidRDefault="00681C2C" w:rsidP="00681C2C">
            <w:pPr>
              <w:spacing w:after="0" w:line="240" w:lineRule="auto"/>
              <w:ind w:left="170"/>
              <w:jc w:val="left"/>
              <w:rPr>
                <w:rFonts w:ascii="Arial" w:hAnsi="Arial" w:cs="Arial"/>
                <w:sz w:val="16"/>
                <w:szCs w:val="16"/>
              </w:rPr>
            </w:pPr>
            <w:r w:rsidRPr="00681C2C">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55784DBB"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0.8</w:t>
            </w:r>
          </w:p>
        </w:tc>
        <w:tc>
          <w:tcPr>
            <w:tcW w:w="551" w:type="pct"/>
            <w:tcBorders>
              <w:top w:val="nil"/>
              <w:left w:val="nil"/>
              <w:bottom w:val="nil"/>
              <w:right w:val="nil"/>
            </w:tcBorders>
            <w:shd w:val="clear" w:color="000000" w:fill="F2F9FC"/>
            <w:noWrap/>
            <w:vAlign w:val="center"/>
            <w:hideMark/>
          </w:tcPr>
          <w:p w14:paraId="034AD7E1"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69487727"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1C0FF7A7"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2B9C7C0A"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0.9</w:t>
            </w:r>
          </w:p>
        </w:tc>
      </w:tr>
      <w:tr w:rsidR="00681C2C" w:rsidRPr="00681C2C" w14:paraId="54873E18"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5711E5DD" w14:textId="77777777" w:rsidR="00681C2C" w:rsidRPr="00681C2C" w:rsidRDefault="00681C2C" w:rsidP="00681C2C">
            <w:pPr>
              <w:spacing w:after="0" w:line="240" w:lineRule="auto"/>
              <w:jc w:val="left"/>
              <w:rPr>
                <w:rFonts w:ascii="Arial" w:hAnsi="Arial" w:cs="Arial"/>
                <w:sz w:val="16"/>
                <w:szCs w:val="16"/>
              </w:rPr>
            </w:pPr>
            <w:r w:rsidRPr="00681C2C">
              <w:rPr>
                <w:rFonts w:ascii="Arial" w:hAnsi="Arial" w:cs="Arial"/>
                <w:sz w:val="16"/>
                <w:szCs w:val="16"/>
              </w:rPr>
              <w:t>Total Interest expense(b)</w:t>
            </w:r>
          </w:p>
        </w:tc>
        <w:tc>
          <w:tcPr>
            <w:tcW w:w="551" w:type="pct"/>
            <w:tcBorders>
              <w:top w:val="nil"/>
              <w:left w:val="nil"/>
              <w:bottom w:val="nil"/>
              <w:right w:val="nil"/>
            </w:tcBorders>
            <w:shd w:val="clear" w:color="auto" w:fill="auto"/>
            <w:noWrap/>
            <w:vAlign w:val="center"/>
            <w:hideMark/>
          </w:tcPr>
          <w:p w14:paraId="64AC3FFA"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20,638</w:t>
            </w:r>
          </w:p>
        </w:tc>
        <w:tc>
          <w:tcPr>
            <w:tcW w:w="551" w:type="pct"/>
            <w:tcBorders>
              <w:top w:val="nil"/>
              <w:left w:val="nil"/>
              <w:bottom w:val="nil"/>
              <w:right w:val="nil"/>
            </w:tcBorders>
            <w:shd w:val="clear" w:color="000000" w:fill="F2F9FC"/>
            <w:noWrap/>
            <w:vAlign w:val="center"/>
            <w:hideMark/>
          </w:tcPr>
          <w:p w14:paraId="3F1F3ADA"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21,481</w:t>
            </w:r>
          </w:p>
        </w:tc>
        <w:tc>
          <w:tcPr>
            <w:tcW w:w="551" w:type="pct"/>
            <w:tcBorders>
              <w:top w:val="nil"/>
              <w:left w:val="nil"/>
              <w:bottom w:val="nil"/>
              <w:right w:val="nil"/>
            </w:tcBorders>
            <w:shd w:val="clear" w:color="auto" w:fill="auto"/>
            <w:noWrap/>
            <w:vAlign w:val="center"/>
            <w:hideMark/>
          </w:tcPr>
          <w:p w14:paraId="2C219FA7"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22,567</w:t>
            </w:r>
          </w:p>
        </w:tc>
        <w:tc>
          <w:tcPr>
            <w:tcW w:w="551" w:type="pct"/>
            <w:tcBorders>
              <w:top w:val="nil"/>
              <w:left w:val="nil"/>
              <w:bottom w:val="nil"/>
              <w:right w:val="nil"/>
            </w:tcBorders>
            <w:shd w:val="clear" w:color="auto" w:fill="auto"/>
            <w:noWrap/>
            <w:vAlign w:val="center"/>
            <w:hideMark/>
          </w:tcPr>
          <w:p w14:paraId="20F69712"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24,666</w:t>
            </w:r>
          </w:p>
        </w:tc>
        <w:tc>
          <w:tcPr>
            <w:tcW w:w="551" w:type="pct"/>
            <w:tcBorders>
              <w:top w:val="nil"/>
              <w:left w:val="nil"/>
              <w:bottom w:val="nil"/>
              <w:right w:val="nil"/>
            </w:tcBorders>
            <w:shd w:val="clear" w:color="auto" w:fill="auto"/>
            <w:noWrap/>
            <w:vAlign w:val="center"/>
            <w:hideMark/>
          </w:tcPr>
          <w:p w14:paraId="2F0E595E"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25,922</w:t>
            </w:r>
          </w:p>
        </w:tc>
      </w:tr>
      <w:tr w:rsidR="00681C2C" w:rsidRPr="00681C2C" w14:paraId="1130C43D"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6365FB7A" w14:textId="77777777" w:rsidR="00681C2C" w:rsidRPr="00681C2C" w:rsidRDefault="00681C2C" w:rsidP="00681C2C">
            <w:pPr>
              <w:spacing w:after="0" w:line="240" w:lineRule="auto"/>
              <w:ind w:left="170"/>
              <w:jc w:val="left"/>
              <w:rPr>
                <w:rFonts w:ascii="Arial" w:hAnsi="Arial" w:cs="Arial"/>
                <w:sz w:val="16"/>
                <w:szCs w:val="16"/>
              </w:rPr>
            </w:pPr>
            <w:r w:rsidRPr="00681C2C">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5A6D7293"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0.9</w:t>
            </w:r>
          </w:p>
        </w:tc>
        <w:tc>
          <w:tcPr>
            <w:tcW w:w="551" w:type="pct"/>
            <w:tcBorders>
              <w:top w:val="nil"/>
              <w:left w:val="nil"/>
              <w:bottom w:val="nil"/>
              <w:right w:val="nil"/>
            </w:tcBorders>
            <w:shd w:val="clear" w:color="000000" w:fill="F2F9FC"/>
            <w:noWrap/>
            <w:vAlign w:val="center"/>
            <w:hideMark/>
          </w:tcPr>
          <w:p w14:paraId="33D169E3"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0.9</w:t>
            </w:r>
          </w:p>
        </w:tc>
        <w:tc>
          <w:tcPr>
            <w:tcW w:w="551" w:type="pct"/>
            <w:tcBorders>
              <w:top w:val="nil"/>
              <w:left w:val="nil"/>
              <w:bottom w:val="nil"/>
              <w:right w:val="nil"/>
            </w:tcBorders>
            <w:shd w:val="clear" w:color="auto" w:fill="auto"/>
            <w:noWrap/>
            <w:vAlign w:val="center"/>
            <w:hideMark/>
          </w:tcPr>
          <w:p w14:paraId="03D8064E"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1.0</w:t>
            </w:r>
          </w:p>
        </w:tc>
        <w:tc>
          <w:tcPr>
            <w:tcW w:w="551" w:type="pct"/>
            <w:tcBorders>
              <w:top w:val="nil"/>
              <w:left w:val="nil"/>
              <w:bottom w:val="nil"/>
              <w:right w:val="nil"/>
            </w:tcBorders>
            <w:shd w:val="clear" w:color="auto" w:fill="auto"/>
            <w:noWrap/>
            <w:vAlign w:val="center"/>
            <w:hideMark/>
          </w:tcPr>
          <w:p w14:paraId="117693D7"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1.0</w:t>
            </w:r>
          </w:p>
        </w:tc>
        <w:tc>
          <w:tcPr>
            <w:tcW w:w="551" w:type="pct"/>
            <w:tcBorders>
              <w:top w:val="nil"/>
              <w:left w:val="nil"/>
              <w:bottom w:val="nil"/>
              <w:right w:val="nil"/>
            </w:tcBorders>
            <w:shd w:val="clear" w:color="auto" w:fill="auto"/>
            <w:noWrap/>
            <w:vAlign w:val="center"/>
            <w:hideMark/>
          </w:tcPr>
          <w:p w14:paraId="0D1246BF"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1.0</w:t>
            </w:r>
          </w:p>
        </w:tc>
      </w:tr>
      <w:tr w:rsidR="00681C2C" w:rsidRPr="00681C2C" w14:paraId="5701E847"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16E50A24" w14:textId="77777777" w:rsidR="00681C2C" w:rsidRPr="00681C2C" w:rsidRDefault="00681C2C" w:rsidP="00681C2C">
            <w:pPr>
              <w:spacing w:after="0" w:line="240" w:lineRule="auto"/>
              <w:jc w:val="left"/>
              <w:rPr>
                <w:rFonts w:ascii="Arial" w:hAnsi="Arial" w:cs="Arial"/>
                <w:sz w:val="16"/>
                <w:szCs w:val="16"/>
              </w:rPr>
            </w:pPr>
            <w:r w:rsidRPr="00681C2C">
              <w:rPr>
                <w:rFonts w:ascii="Arial" w:hAnsi="Arial" w:cs="Arial"/>
                <w:sz w:val="16"/>
                <w:szCs w:val="16"/>
              </w:rPr>
              <w:t>Interest income</w:t>
            </w:r>
          </w:p>
        </w:tc>
        <w:tc>
          <w:tcPr>
            <w:tcW w:w="551" w:type="pct"/>
            <w:tcBorders>
              <w:top w:val="nil"/>
              <w:left w:val="nil"/>
              <w:bottom w:val="nil"/>
              <w:right w:val="nil"/>
            </w:tcBorders>
            <w:shd w:val="clear" w:color="auto" w:fill="auto"/>
            <w:noWrap/>
            <w:vAlign w:val="center"/>
            <w:hideMark/>
          </w:tcPr>
          <w:p w14:paraId="6BC2C079"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3,916</w:t>
            </w:r>
          </w:p>
        </w:tc>
        <w:tc>
          <w:tcPr>
            <w:tcW w:w="551" w:type="pct"/>
            <w:tcBorders>
              <w:top w:val="nil"/>
              <w:left w:val="nil"/>
              <w:bottom w:val="nil"/>
              <w:right w:val="nil"/>
            </w:tcBorders>
            <w:shd w:val="clear" w:color="000000" w:fill="F2F9FC"/>
            <w:noWrap/>
            <w:vAlign w:val="center"/>
            <w:hideMark/>
          </w:tcPr>
          <w:p w14:paraId="295EC10B"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3,751</w:t>
            </w:r>
          </w:p>
        </w:tc>
        <w:tc>
          <w:tcPr>
            <w:tcW w:w="551" w:type="pct"/>
            <w:tcBorders>
              <w:top w:val="nil"/>
              <w:left w:val="nil"/>
              <w:bottom w:val="nil"/>
              <w:right w:val="nil"/>
            </w:tcBorders>
            <w:shd w:val="clear" w:color="auto" w:fill="auto"/>
            <w:noWrap/>
            <w:vAlign w:val="center"/>
            <w:hideMark/>
          </w:tcPr>
          <w:p w14:paraId="332089CE"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4,294</w:t>
            </w:r>
          </w:p>
        </w:tc>
        <w:tc>
          <w:tcPr>
            <w:tcW w:w="551" w:type="pct"/>
            <w:tcBorders>
              <w:top w:val="nil"/>
              <w:left w:val="nil"/>
              <w:bottom w:val="nil"/>
              <w:right w:val="nil"/>
            </w:tcBorders>
            <w:shd w:val="clear" w:color="auto" w:fill="auto"/>
            <w:noWrap/>
            <w:vAlign w:val="center"/>
            <w:hideMark/>
          </w:tcPr>
          <w:p w14:paraId="02537044"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4,576</w:t>
            </w:r>
          </w:p>
        </w:tc>
        <w:tc>
          <w:tcPr>
            <w:tcW w:w="551" w:type="pct"/>
            <w:tcBorders>
              <w:top w:val="nil"/>
              <w:left w:val="nil"/>
              <w:bottom w:val="nil"/>
              <w:right w:val="nil"/>
            </w:tcBorders>
            <w:shd w:val="clear" w:color="auto" w:fill="auto"/>
            <w:noWrap/>
            <w:vAlign w:val="center"/>
            <w:hideMark/>
          </w:tcPr>
          <w:p w14:paraId="56069EAB"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4,649</w:t>
            </w:r>
          </w:p>
        </w:tc>
      </w:tr>
      <w:tr w:rsidR="00681C2C" w:rsidRPr="00681C2C" w14:paraId="1E83B7D7"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7F38DAAF" w14:textId="77777777" w:rsidR="00681C2C" w:rsidRPr="00681C2C" w:rsidRDefault="00681C2C" w:rsidP="00681C2C">
            <w:pPr>
              <w:spacing w:after="0" w:line="240" w:lineRule="auto"/>
              <w:ind w:left="170"/>
              <w:jc w:val="left"/>
              <w:rPr>
                <w:rFonts w:ascii="Arial" w:hAnsi="Arial" w:cs="Arial"/>
                <w:sz w:val="16"/>
                <w:szCs w:val="16"/>
              </w:rPr>
            </w:pPr>
            <w:r w:rsidRPr="00681C2C">
              <w:rPr>
                <w:rFonts w:ascii="Arial" w:hAnsi="Arial" w:cs="Arial"/>
                <w:sz w:val="16"/>
                <w:szCs w:val="16"/>
              </w:rPr>
              <w:t>Per cent of GDP</w:t>
            </w:r>
          </w:p>
        </w:tc>
        <w:tc>
          <w:tcPr>
            <w:tcW w:w="551" w:type="pct"/>
            <w:tcBorders>
              <w:top w:val="nil"/>
              <w:left w:val="nil"/>
              <w:bottom w:val="nil"/>
              <w:right w:val="nil"/>
            </w:tcBorders>
            <w:shd w:val="clear" w:color="auto" w:fill="auto"/>
            <w:noWrap/>
            <w:vAlign w:val="center"/>
            <w:hideMark/>
          </w:tcPr>
          <w:p w14:paraId="432A652F"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0.2</w:t>
            </w:r>
          </w:p>
        </w:tc>
        <w:tc>
          <w:tcPr>
            <w:tcW w:w="551" w:type="pct"/>
            <w:tcBorders>
              <w:top w:val="nil"/>
              <w:left w:val="nil"/>
              <w:bottom w:val="nil"/>
              <w:right w:val="nil"/>
            </w:tcBorders>
            <w:shd w:val="clear" w:color="000000" w:fill="F2F9FC"/>
            <w:noWrap/>
            <w:vAlign w:val="center"/>
            <w:hideMark/>
          </w:tcPr>
          <w:p w14:paraId="4C788E6C"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0.2</w:t>
            </w:r>
          </w:p>
        </w:tc>
        <w:tc>
          <w:tcPr>
            <w:tcW w:w="551" w:type="pct"/>
            <w:tcBorders>
              <w:top w:val="nil"/>
              <w:left w:val="nil"/>
              <w:bottom w:val="nil"/>
              <w:right w:val="nil"/>
            </w:tcBorders>
            <w:shd w:val="clear" w:color="auto" w:fill="auto"/>
            <w:noWrap/>
            <w:vAlign w:val="center"/>
            <w:hideMark/>
          </w:tcPr>
          <w:p w14:paraId="47FC909D"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0.2</w:t>
            </w:r>
          </w:p>
        </w:tc>
        <w:tc>
          <w:tcPr>
            <w:tcW w:w="551" w:type="pct"/>
            <w:tcBorders>
              <w:top w:val="nil"/>
              <w:left w:val="nil"/>
              <w:bottom w:val="nil"/>
              <w:right w:val="nil"/>
            </w:tcBorders>
            <w:shd w:val="clear" w:color="auto" w:fill="auto"/>
            <w:noWrap/>
            <w:vAlign w:val="center"/>
            <w:hideMark/>
          </w:tcPr>
          <w:p w14:paraId="3F44A689"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0.2</w:t>
            </w:r>
          </w:p>
        </w:tc>
        <w:tc>
          <w:tcPr>
            <w:tcW w:w="551" w:type="pct"/>
            <w:tcBorders>
              <w:top w:val="nil"/>
              <w:left w:val="nil"/>
              <w:bottom w:val="nil"/>
              <w:right w:val="nil"/>
            </w:tcBorders>
            <w:shd w:val="clear" w:color="auto" w:fill="auto"/>
            <w:noWrap/>
            <w:vAlign w:val="center"/>
            <w:hideMark/>
          </w:tcPr>
          <w:p w14:paraId="47B5A4E5"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0.2</w:t>
            </w:r>
          </w:p>
        </w:tc>
      </w:tr>
      <w:tr w:rsidR="00681C2C" w:rsidRPr="00681C2C" w14:paraId="1717E256" w14:textId="77777777" w:rsidTr="00681C2C">
        <w:trPr>
          <w:divId w:val="1282300343"/>
          <w:trHeight w:hRule="exact" w:val="225"/>
        </w:trPr>
        <w:tc>
          <w:tcPr>
            <w:tcW w:w="2244" w:type="pct"/>
            <w:tcBorders>
              <w:top w:val="nil"/>
              <w:left w:val="nil"/>
              <w:bottom w:val="nil"/>
              <w:right w:val="nil"/>
            </w:tcBorders>
            <w:shd w:val="clear" w:color="auto" w:fill="auto"/>
            <w:noWrap/>
            <w:vAlign w:val="center"/>
            <w:hideMark/>
          </w:tcPr>
          <w:p w14:paraId="3E3073FE" w14:textId="77777777" w:rsidR="00681C2C" w:rsidRPr="00681C2C" w:rsidRDefault="00681C2C" w:rsidP="00681C2C">
            <w:pPr>
              <w:spacing w:after="0" w:line="240" w:lineRule="auto"/>
              <w:jc w:val="left"/>
              <w:rPr>
                <w:rFonts w:ascii="Arial" w:hAnsi="Arial" w:cs="Arial"/>
                <w:sz w:val="16"/>
                <w:szCs w:val="16"/>
              </w:rPr>
            </w:pPr>
            <w:r w:rsidRPr="00681C2C">
              <w:rPr>
                <w:rFonts w:ascii="Arial" w:hAnsi="Arial" w:cs="Arial"/>
                <w:sz w:val="16"/>
                <w:szCs w:val="16"/>
              </w:rPr>
              <w:t>Net interest expense(c)</w:t>
            </w:r>
          </w:p>
        </w:tc>
        <w:tc>
          <w:tcPr>
            <w:tcW w:w="551" w:type="pct"/>
            <w:tcBorders>
              <w:top w:val="nil"/>
              <w:left w:val="nil"/>
              <w:bottom w:val="nil"/>
              <w:right w:val="nil"/>
            </w:tcBorders>
            <w:shd w:val="clear" w:color="auto" w:fill="auto"/>
            <w:noWrap/>
            <w:vAlign w:val="center"/>
            <w:hideMark/>
          </w:tcPr>
          <w:p w14:paraId="63DEBCA6"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16,722</w:t>
            </w:r>
          </w:p>
        </w:tc>
        <w:tc>
          <w:tcPr>
            <w:tcW w:w="551" w:type="pct"/>
            <w:tcBorders>
              <w:top w:val="nil"/>
              <w:left w:val="nil"/>
              <w:bottom w:val="nil"/>
              <w:right w:val="nil"/>
            </w:tcBorders>
            <w:shd w:val="clear" w:color="000000" w:fill="F2F9FC"/>
            <w:noWrap/>
            <w:vAlign w:val="center"/>
            <w:hideMark/>
          </w:tcPr>
          <w:p w14:paraId="72F8234A"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17,730</w:t>
            </w:r>
          </w:p>
        </w:tc>
        <w:tc>
          <w:tcPr>
            <w:tcW w:w="551" w:type="pct"/>
            <w:tcBorders>
              <w:top w:val="nil"/>
              <w:left w:val="nil"/>
              <w:bottom w:val="nil"/>
              <w:right w:val="nil"/>
            </w:tcBorders>
            <w:shd w:val="clear" w:color="auto" w:fill="auto"/>
            <w:noWrap/>
            <w:vAlign w:val="center"/>
            <w:hideMark/>
          </w:tcPr>
          <w:p w14:paraId="346EB8CE"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18,273</w:t>
            </w:r>
          </w:p>
        </w:tc>
        <w:tc>
          <w:tcPr>
            <w:tcW w:w="551" w:type="pct"/>
            <w:tcBorders>
              <w:top w:val="nil"/>
              <w:left w:val="nil"/>
              <w:bottom w:val="nil"/>
              <w:right w:val="nil"/>
            </w:tcBorders>
            <w:shd w:val="clear" w:color="auto" w:fill="auto"/>
            <w:noWrap/>
            <w:vAlign w:val="center"/>
            <w:hideMark/>
          </w:tcPr>
          <w:p w14:paraId="16B49878"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20,090</w:t>
            </w:r>
          </w:p>
        </w:tc>
        <w:tc>
          <w:tcPr>
            <w:tcW w:w="551" w:type="pct"/>
            <w:tcBorders>
              <w:top w:val="nil"/>
              <w:left w:val="nil"/>
              <w:bottom w:val="nil"/>
              <w:right w:val="nil"/>
            </w:tcBorders>
            <w:shd w:val="clear" w:color="auto" w:fill="auto"/>
            <w:noWrap/>
            <w:vAlign w:val="center"/>
            <w:hideMark/>
          </w:tcPr>
          <w:p w14:paraId="294A0112"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21,274</w:t>
            </w:r>
          </w:p>
        </w:tc>
      </w:tr>
      <w:tr w:rsidR="00681C2C" w:rsidRPr="00681C2C" w14:paraId="49A9C2AA" w14:textId="77777777" w:rsidTr="00681C2C">
        <w:trPr>
          <w:divId w:val="1282300343"/>
          <w:trHeight w:hRule="exact" w:val="225"/>
        </w:trPr>
        <w:tc>
          <w:tcPr>
            <w:tcW w:w="2244" w:type="pct"/>
            <w:tcBorders>
              <w:top w:val="nil"/>
              <w:left w:val="nil"/>
              <w:bottom w:val="single" w:sz="4" w:space="0" w:color="000000"/>
              <w:right w:val="nil"/>
            </w:tcBorders>
            <w:shd w:val="clear" w:color="auto" w:fill="auto"/>
            <w:noWrap/>
            <w:vAlign w:val="center"/>
            <w:hideMark/>
          </w:tcPr>
          <w:p w14:paraId="0A52CC12" w14:textId="77777777" w:rsidR="00681C2C" w:rsidRPr="00681C2C" w:rsidRDefault="00681C2C" w:rsidP="00681C2C">
            <w:pPr>
              <w:spacing w:after="0" w:line="240" w:lineRule="auto"/>
              <w:ind w:left="170"/>
              <w:jc w:val="left"/>
              <w:rPr>
                <w:rFonts w:ascii="Arial" w:hAnsi="Arial" w:cs="Arial"/>
                <w:sz w:val="16"/>
                <w:szCs w:val="16"/>
              </w:rPr>
            </w:pPr>
            <w:r w:rsidRPr="00681C2C">
              <w:rPr>
                <w:rFonts w:ascii="Arial" w:hAnsi="Arial" w:cs="Arial"/>
                <w:sz w:val="16"/>
                <w:szCs w:val="16"/>
              </w:rPr>
              <w:t>Per cent of GDP</w:t>
            </w:r>
          </w:p>
        </w:tc>
        <w:tc>
          <w:tcPr>
            <w:tcW w:w="551" w:type="pct"/>
            <w:tcBorders>
              <w:top w:val="nil"/>
              <w:left w:val="nil"/>
              <w:bottom w:val="single" w:sz="4" w:space="0" w:color="000000"/>
              <w:right w:val="nil"/>
            </w:tcBorders>
            <w:shd w:val="clear" w:color="auto" w:fill="auto"/>
            <w:noWrap/>
            <w:vAlign w:val="center"/>
            <w:hideMark/>
          </w:tcPr>
          <w:p w14:paraId="256B8550"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0.7</w:t>
            </w:r>
          </w:p>
        </w:tc>
        <w:tc>
          <w:tcPr>
            <w:tcW w:w="551" w:type="pct"/>
            <w:tcBorders>
              <w:top w:val="nil"/>
              <w:left w:val="nil"/>
              <w:bottom w:val="single" w:sz="4" w:space="0" w:color="000000"/>
              <w:right w:val="nil"/>
            </w:tcBorders>
            <w:shd w:val="clear" w:color="000000" w:fill="F2F9FC"/>
            <w:noWrap/>
            <w:vAlign w:val="center"/>
            <w:hideMark/>
          </w:tcPr>
          <w:p w14:paraId="28E61F70"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0.8</w:t>
            </w:r>
          </w:p>
        </w:tc>
        <w:tc>
          <w:tcPr>
            <w:tcW w:w="551" w:type="pct"/>
            <w:tcBorders>
              <w:top w:val="nil"/>
              <w:left w:val="nil"/>
              <w:bottom w:val="single" w:sz="4" w:space="0" w:color="000000"/>
              <w:right w:val="nil"/>
            </w:tcBorders>
            <w:shd w:val="clear" w:color="auto" w:fill="auto"/>
            <w:noWrap/>
            <w:vAlign w:val="center"/>
            <w:hideMark/>
          </w:tcPr>
          <w:p w14:paraId="1F50C935"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0.8</w:t>
            </w:r>
          </w:p>
        </w:tc>
        <w:tc>
          <w:tcPr>
            <w:tcW w:w="551" w:type="pct"/>
            <w:tcBorders>
              <w:top w:val="nil"/>
              <w:left w:val="nil"/>
              <w:bottom w:val="single" w:sz="4" w:space="0" w:color="000000"/>
              <w:right w:val="nil"/>
            </w:tcBorders>
            <w:shd w:val="clear" w:color="auto" w:fill="auto"/>
            <w:noWrap/>
            <w:vAlign w:val="center"/>
            <w:hideMark/>
          </w:tcPr>
          <w:p w14:paraId="7943AE99"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0.8</w:t>
            </w:r>
          </w:p>
        </w:tc>
        <w:tc>
          <w:tcPr>
            <w:tcW w:w="551" w:type="pct"/>
            <w:tcBorders>
              <w:top w:val="nil"/>
              <w:left w:val="nil"/>
              <w:bottom w:val="single" w:sz="4" w:space="0" w:color="000000"/>
              <w:right w:val="nil"/>
            </w:tcBorders>
            <w:shd w:val="clear" w:color="auto" w:fill="auto"/>
            <w:noWrap/>
            <w:vAlign w:val="center"/>
            <w:hideMark/>
          </w:tcPr>
          <w:p w14:paraId="348E1433" w14:textId="77777777" w:rsidR="00681C2C" w:rsidRPr="00681C2C" w:rsidRDefault="00681C2C" w:rsidP="00681C2C">
            <w:pPr>
              <w:spacing w:after="0" w:line="240" w:lineRule="auto"/>
              <w:jc w:val="right"/>
              <w:rPr>
                <w:rFonts w:ascii="Arial" w:hAnsi="Arial" w:cs="Arial"/>
                <w:sz w:val="16"/>
                <w:szCs w:val="16"/>
              </w:rPr>
            </w:pPr>
            <w:r w:rsidRPr="00681C2C">
              <w:rPr>
                <w:rFonts w:ascii="Arial" w:hAnsi="Arial" w:cs="Arial"/>
                <w:sz w:val="16"/>
                <w:szCs w:val="16"/>
              </w:rPr>
              <w:t>0.8</w:t>
            </w:r>
          </w:p>
        </w:tc>
      </w:tr>
    </w:tbl>
    <w:p w14:paraId="4B95DF4F" w14:textId="653739CD" w:rsidR="003C48F3" w:rsidRPr="00091680" w:rsidRDefault="003C48F3" w:rsidP="00681C2C">
      <w:pPr>
        <w:pStyle w:val="ChartandTableFootnoteAlpha"/>
        <w:numPr>
          <w:ilvl w:val="0"/>
          <w:numId w:val="16"/>
        </w:numPr>
      </w:pPr>
      <w:r w:rsidRPr="00091680">
        <w:t>Interest expense is an accrual measure, with the relevant amount recognised in the period in which the expense is incurred, but not necessarily paid.</w:t>
      </w:r>
    </w:p>
    <w:p w14:paraId="2E587769" w14:textId="2D3CCDE0" w:rsidR="00060A84" w:rsidRPr="00091680" w:rsidRDefault="00862E05" w:rsidP="001D4522">
      <w:pPr>
        <w:pStyle w:val="ChartandTableFootnoteAlpha"/>
        <w:rPr>
          <w:color w:val="auto"/>
        </w:rPr>
      </w:pPr>
      <w:r w:rsidRPr="00091680">
        <w:rPr>
          <w:color w:val="auto"/>
        </w:rPr>
        <w:t xml:space="preserve">Total </w:t>
      </w:r>
      <w:r w:rsidR="001A7BAC" w:rsidRPr="00091680">
        <w:rPr>
          <w:color w:val="auto"/>
        </w:rPr>
        <w:t>Interest expense</w:t>
      </w:r>
      <w:r w:rsidR="00B4157D" w:rsidRPr="00091680">
        <w:rPr>
          <w:color w:val="auto"/>
        </w:rPr>
        <w:t xml:space="preserve"> includes </w:t>
      </w:r>
      <w:r w:rsidR="001E1720" w:rsidRPr="00091680">
        <w:rPr>
          <w:color w:val="auto"/>
        </w:rPr>
        <w:t xml:space="preserve">interest expense on </w:t>
      </w:r>
      <w:r w:rsidR="000D034F" w:rsidRPr="00091680">
        <w:rPr>
          <w:color w:val="auto"/>
        </w:rPr>
        <w:t>AGS, loans and other borrowing</w:t>
      </w:r>
      <w:r w:rsidR="008860B6" w:rsidRPr="00091680">
        <w:rPr>
          <w:color w:val="auto"/>
        </w:rPr>
        <w:t xml:space="preserve">, as well as </w:t>
      </w:r>
      <w:r w:rsidR="00B807A9" w:rsidRPr="00091680">
        <w:rPr>
          <w:color w:val="auto"/>
        </w:rPr>
        <w:t xml:space="preserve">interest expense </w:t>
      </w:r>
      <w:r w:rsidR="000504F2" w:rsidRPr="00091680">
        <w:rPr>
          <w:color w:val="auto"/>
        </w:rPr>
        <w:t xml:space="preserve">on lease liabilities </w:t>
      </w:r>
      <w:r w:rsidR="00FB41FF" w:rsidRPr="00091680">
        <w:rPr>
          <w:color w:val="auto"/>
        </w:rPr>
        <w:t xml:space="preserve">and </w:t>
      </w:r>
      <w:r w:rsidR="00EC02EE" w:rsidRPr="00091680">
        <w:rPr>
          <w:color w:val="auto"/>
        </w:rPr>
        <w:t xml:space="preserve">other financing </w:t>
      </w:r>
      <w:r w:rsidR="00785FE5" w:rsidRPr="00091680">
        <w:rPr>
          <w:color w:val="auto"/>
        </w:rPr>
        <w:t>costs (</w:t>
      </w:r>
      <w:r w:rsidR="001268BA" w:rsidRPr="00091680">
        <w:rPr>
          <w:color w:val="auto"/>
        </w:rPr>
        <w:t>including d</w:t>
      </w:r>
      <w:r w:rsidR="00EE6669" w:rsidRPr="00091680">
        <w:rPr>
          <w:color w:val="auto"/>
        </w:rPr>
        <w:t xml:space="preserve">ebt </w:t>
      </w:r>
      <w:r w:rsidR="001268BA" w:rsidRPr="00091680">
        <w:rPr>
          <w:color w:val="auto"/>
        </w:rPr>
        <w:t>n</w:t>
      </w:r>
      <w:r w:rsidR="00D24FFF" w:rsidRPr="00091680">
        <w:rPr>
          <w:color w:val="auto"/>
        </w:rPr>
        <w:t xml:space="preserve">ot </w:t>
      </w:r>
      <w:r w:rsidR="001268BA" w:rsidRPr="00091680">
        <w:rPr>
          <w:color w:val="auto"/>
        </w:rPr>
        <w:t>e</w:t>
      </w:r>
      <w:r w:rsidR="00D24FFF" w:rsidRPr="00091680">
        <w:rPr>
          <w:color w:val="auto"/>
        </w:rPr>
        <w:t xml:space="preserve">xpected </w:t>
      </w:r>
      <w:r w:rsidR="007735E5" w:rsidRPr="00091680">
        <w:rPr>
          <w:color w:val="auto"/>
        </w:rPr>
        <w:t xml:space="preserve">to be </w:t>
      </w:r>
      <w:r w:rsidR="00D470E7" w:rsidRPr="00091680">
        <w:rPr>
          <w:color w:val="auto"/>
        </w:rPr>
        <w:t>repaid (DNER)</w:t>
      </w:r>
      <w:r w:rsidR="007735E5" w:rsidRPr="00091680">
        <w:rPr>
          <w:color w:val="auto"/>
        </w:rPr>
        <w:t>)</w:t>
      </w:r>
      <w:r w:rsidR="00CC739E" w:rsidRPr="00091680">
        <w:rPr>
          <w:color w:val="auto"/>
        </w:rPr>
        <w:t>.</w:t>
      </w:r>
    </w:p>
    <w:p w14:paraId="60E5C881" w14:textId="635F018D" w:rsidR="00680768" w:rsidRPr="00091680" w:rsidRDefault="003C48F3" w:rsidP="00374AE1">
      <w:pPr>
        <w:pStyle w:val="ChartandTableFootnoteAlpha"/>
        <w:jc w:val="left"/>
        <w:rPr>
          <w:color w:val="auto"/>
        </w:rPr>
      </w:pPr>
      <w:r w:rsidRPr="00091680">
        <w:rPr>
          <w:color w:val="auto"/>
        </w:rPr>
        <w:t>Net interest expense is equal to the difference between interest expenses and interest income.</w:t>
      </w:r>
    </w:p>
    <w:p w14:paraId="1A4BA894" w14:textId="52A5C382" w:rsidR="00422DD3" w:rsidRPr="008873D3" w:rsidRDefault="00422DD3" w:rsidP="00B93A88">
      <w:pPr>
        <w:pStyle w:val="Heading2"/>
        <w:pageBreakBefore/>
      </w:pPr>
      <w:bookmarkStart w:id="43" w:name="_Toc98531938"/>
      <w:r w:rsidRPr="00091680">
        <w:lastRenderedPageBreak/>
        <w:t>Climate spending</w:t>
      </w:r>
      <w:bookmarkEnd w:id="43"/>
    </w:p>
    <w:p w14:paraId="7FEF4ED1" w14:textId="06ED9E4E" w:rsidR="00C13EDD" w:rsidRPr="00091680" w:rsidRDefault="00C13EDD" w:rsidP="00C13EDD">
      <w:pPr>
        <w:spacing w:after="200"/>
      </w:pPr>
      <w:r w:rsidRPr="00091680">
        <w:t xml:space="preserve">The Government has outlined a practical, responsible way to deliver net zero emissions by 2050 while preserving Australian jobs and generating new opportunities for industries and regional Australia. Consistent with Australia’s Long Term Emissions Reduction Plan, the Government will invest </w:t>
      </w:r>
      <w:r w:rsidR="00A064E5" w:rsidRPr="00091680">
        <w:t xml:space="preserve">more than </w:t>
      </w:r>
      <w:r w:rsidRPr="00091680">
        <w:t>$2</w:t>
      </w:r>
      <w:r w:rsidR="007302C5" w:rsidRPr="00091680">
        <w:t>2</w:t>
      </w:r>
      <w:r w:rsidRPr="00091680">
        <w:t xml:space="preserve"> billion in clean energy technologies, which is expected to unlock more than $8</w:t>
      </w:r>
      <w:r w:rsidR="00E528F2" w:rsidRPr="00091680">
        <w:t>4</w:t>
      </w:r>
      <w:r w:rsidRPr="00091680">
        <w:t xml:space="preserve"> billion of </w:t>
      </w:r>
      <w:r w:rsidR="00FE2335">
        <w:t xml:space="preserve">total </w:t>
      </w:r>
      <w:r w:rsidRPr="00091680">
        <w:t xml:space="preserve">private </w:t>
      </w:r>
      <w:r w:rsidR="000F2CAA" w:rsidRPr="00091680">
        <w:t>and public</w:t>
      </w:r>
      <w:r w:rsidRPr="00091680">
        <w:t xml:space="preserve"> investment to achieve lower emissions, while retaining our energy independence. Key investments include:</w:t>
      </w:r>
    </w:p>
    <w:p w14:paraId="1AAFAE5A" w14:textId="77777777" w:rsidR="00C13EDD" w:rsidRPr="00091680" w:rsidRDefault="00C13EDD" w:rsidP="00C13EDD">
      <w:pPr>
        <w:pStyle w:val="Bullet"/>
      </w:pPr>
      <w:r w:rsidRPr="00091680">
        <w:t>$2.5 billion for projects through the Emissions Reduction Fund - Australia's carbon o</w:t>
      </w:r>
      <w:r w:rsidRPr="00091680">
        <w:rPr>
          <w:rFonts w:cs="Book Antiqua"/>
        </w:rPr>
        <w:t>ff</w:t>
      </w:r>
      <w:r w:rsidRPr="00091680">
        <w:t>set scheme</w:t>
      </w:r>
    </w:p>
    <w:p w14:paraId="60C06113" w14:textId="08D846C7" w:rsidR="00C13EDD" w:rsidRPr="00091680" w:rsidRDefault="00C13EDD" w:rsidP="00C13EDD">
      <w:pPr>
        <w:pStyle w:val="Bullet"/>
      </w:pPr>
      <w:r w:rsidRPr="00091680">
        <w:t>$2 billion for further abatement through the Climate Solutions Fund</w:t>
      </w:r>
    </w:p>
    <w:p w14:paraId="4F590073" w14:textId="59F5A8AF" w:rsidR="00C13EDD" w:rsidRPr="00091680" w:rsidRDefault="007F5CA1" w:rsidP="00C13EDD">
      <w:pPr>
        <w:pStyle w:val="Bullet"/>
      </w:pPr>
      <w:r w:rsidRPr="00091680">
        <w:t>$</w:t>
      </w:r>
      <w:r w:rsidR="005537CA" w:rsidRPr="00091680">
        <w:t>1.5 billion to develop a world-leading Australian clean hydrogen industry</w:t>
      </w:r>
    </w:p>
    <w:p w14:paraId="247320DC" w14:textId="655F453D" w:rsidR="00C13EDD" w:rsidRPr="00091680" w:rsidRDefault="00C13EDD" w:rsidP="00C13EDD">
      <w:pPr>
        <w:pStyle w:val="Bullet"/>
      </w:pPr>
      <w:r w:rsidRPr="00091680">
        <w:t>$1.0 billion in additional funding to protect the health and resilience of the Great Barrier Reef, extending the Federal Government’s investment under the Reef 2050 Plan to more than $3.0 billion</w:t>
      </w:r>
    </w:p>
    <w:p w14:paraId="6FC04CAB" w14:textId="757E65D4" w:rsidR="00C13EDD" w:rsidRPr="00091680" w:rsidRDefault="00C13EDD" w:rsidP="00C13EDD">
      <w:pPr>
        <w:pStyle w:val="Bullet"/>
      </w:pPr>
      <w:r w:rsidRPr="00091680">
        <w:t>investments with Australia international partners, including $565 million for international low emissions technology partnerships</w:t>
      </w:r>
    </w:p>
    <w:p w14:paraId="3F4A3787" w14:textId="77777777" w:rsidR="00C13EDD" w:rsidRPr="00091680" w:rsidRDefault="00C13EDD" w:rsidP="00C13EDD">
      <w:pPr>
        <w:spacing w:after="200"/>
      </w:pPr>
      <w:r w:rsidRPr="00091680">
        <w:t>Table 6.11 aggregates select climate spending, including:</w:t>
      </w:r>
    </w:p>
    <w:p w14:paraId="1D41162E" w14:textId="7B4BF056" w:rsidR="00C13EDD" w:rsidRPr="00091680" w:rsidRDefault="00C13EDD" w:rsidP="00C13EDD">
      <w:pPr>
        <w:pStyle w:val="Bullet"/>
      </w:pPr>
      <w:r w:rsidRPr="00091680">
        <w:t xml:space="preserve">the </w:t>
      </w:r>
      <w:r w:rsidR="00D7202F" w:rsidRPr="00091680">
        <w:t>Clean Energy Finance Corporation (</w:t>
      </w:r>
      <w:r w:rsidRPr="00091680">
        <w:t>CEFC</w:t>
      </w:r>
      <w:r w:rsidR="00D7202F" w:rsidRPr="00091680">
        <w:t>)</w:t>
      </w:r>
      <w:r w:rsidRPr="00091680">
        <w:t>, which invests in renewable energy, energy efficiency and low emissions technologies</w:t>
      </w:r>
    </w:p>
    <w:p w14:paraId="64FC97E8" w14:textId="77777777" w:rsidR="00C13EDD" w:rsidRPr="00091680" w:rsidRDefault="00C13EDD" w:rsidP="00C13EDD">
      <w:pPr>
        <w:pStyle w:val="Bullet"/>
      </w:pPr>
      <w:r w:rsidRPr="00091680">
        <w:t>the Australian Renewable Energy Agency (ARENA), which supports research and development of renewable energy and related technologies</w:t>
      </w:r>
    </w:p>
    <w:p w14:paraId="495C9E22" w14:textId="0D155ED8" w:rsidR="00C13EDD" w:rsidRPr="00091680" w:rsidRDefault="00C13EDD" w:rsidP="00C13EDD">
      <w:pPr>
        <w:pStyle w:val="Bullet"/>
      </w:pPr>
      <w:r w:rsidRPr="00091680">
        <w:t>the Clean Energy Regulator, which administers legislation to reduce carbon emissions and increase the use of clean energy.</w:t>
      </w:r>
    </w:p>
    <w:p w14:paraId="26CABF4A" w14:textId="1CC24E01" w:rsidR="00F84542" w:rsidRPr="00091680" w:rsidRDefault="00422DD3" w:rsidP="008C3AED">
      <w:pPr>
        <w:pStyle w:val="TableHeading"/>
        <w:rPr>
          <w:rFonts w:asciiTheme="minorHAnsi" w:eastAsiaTheme="minorHAnsi" w:hAnsiTheme="minorHAnsi" w:cstheme="minorBidi"/>
          <w:sz w:val="22"/>
          <w:szCs w:val="22"/>
          <w:lang w:eastAsia="en-US"/>
        </w:rPr>
      </w:pPr>
      <w:r w:rsidRPr="00091680">
        <w:t>Table 6.11:</w:t>
      </w:r>
      <w:r w:rsidR="00FD392C" w:rsidRPr="00091680">
        <w:t xml:space="preserve"> Select</w:t>
      </w:r>
      <w:r w:rsidR="00583826" w:rsidRPr="00091680">
        <w:t xml:space="preserve"> c</w:t>
      </w:r>
      <w:r w:rsidRPr="00091680">
        <w:t>limate spending from 2021</w:t>
      </w:r>
      <w:r w:rsidR="00C42B0B" w:rsidRPr="00091680">
        <w:noBreakHyphen/>
      </w:r>
      <w:r w:rsidR="00E67898" w:rsidRPr="00091680">
        <w:t>22</w:t>
      </w:r>
      <w:r w:rsidRPr="00091680">
        <w:t xml:space="preserve"> to 202</w:t>
      </w:r>
      <w:r w:rsidR="000429E1" w:rsidRPr="00091680">
        <w:t>5</w:t>
      </w:r>
      <w:r w:rsidR="00C42B0B" w:rsidRPr="00091680">
        <w:noBreakHyphen/>
      </w:r>
      <w:r w:rsidR="000429E1" w:rsidRPr="00091680">
        <w:t>26</w:t>
      </w:r>
    </w:p>
    <w:tbl>
      <w:tblPr>
        <w:tblW w:w="5000" w:type="pct"/>
        <w:tblCellMar>
          <w:left w:w="0" w:type="dxa"/>
          <w:right w:w="28" w:type="dxa"/>
        </w:tblCellMar>
        <w:tblLook w:val="04A0" w:firstRow="1" w:lastRow="0" w:firstColumn="1" w:lastColumn="0" w:noHBand="0" w:noVBand="1"/>
      </w:tblPr>
      <w:tblGrid>
        <w:gridCol w:w="2904"/>
        <w:gridCol w:w="962"/>
        <w:gridCol w:w="961"/>
        <w:gridCol w:w="961"/>
        <w:gridCol w:w="961"/>
        <w:gridCol w:w="961"/>
      </w:tblGrid>
      <w:tr w:rsidR="00F84542" w:rsidRPr="005546AF" w14:paraId="4BADCF95" w14:textId="77777777" w:rsidTr="00166503">
        <w:trPr>
          <w:trHeight w:val="227"/>
        </w:trPr>
        <w:tc>
          <w:tcPr>
            <w:tcW w:w="3100" w:type="dxa"/>
            <w:tcBorders>
              <w:top w:val="single" w:sz="4" w:space="0" w:color="000000"/>
              <w:left w:val="nil"/>
              <w:bottom w:val="nil"/>
              <w:right w:val="nil"/>
            </w:tcBorders>
            <w:shd w:val="clear" w:color="auto" w:fill="auto"/>
            <w:noWrap/>
            <w:vAlign w:val="center"/>
            <w:hideMark/>
          </w:tcPr>
          <w:p w14:paraId="74D81D59" w14:textId="78D537CE" w:rsidR="00F84542" w:rsidRPr="00091680" w:rsidRDefault="00F84542" w:rsidP="00166503">
            <w:pPr>
              <w:spacing w:after="0"/>
              <w:rPr>
                <w:rFonts w:ascii="Arial" w:hAnsi="Arial" w:cs="Arial"/>
                <w:b/>
                <w:sz w:val="16"/>
                <w:szCs w:val="16"/>
              </w:rPr>
            </w:pPr>
            <w:r w:rsidRPr="00091680">
              <w:rPr>
                <w:rFonts w:ascii="Arial" w:hAnsi="Arial" w:cs="Arial"/>
                <w:b/>
                <w:sz w:val="16"/>
                <w:szCs w:val="16"/>
              </w:rPr>
              <w:t> </w:t>
            </w:r>
          </w:p>
        </w:tc>
        <w:tc>
          <w:tcPr>
            <w:tcW w:w="5100" w:type="dxa"/>
            <w:gridSpan w:val="5"/>
            <w:tcBorders>
              <w:top w:val="single" w:sz="4" w:space="0" w:color="000000"/>
              <w:left w:val="nil"/>
              <w:bottom w:val="nil"/>
              <w:right w:val="nil"/>
            </w:tcBorders>
            <w:shd w:val="clear" w:color="auto" w:fill="auto"/>
            <w:noWrap/>
            <w:vAlign w:val="center"/>
            <w:hideMark/>
          </w:tcPr>
          <w:p w14:paraId="21EAE708" w14:textId="77777777" w:rsidR="00F84542" w:rsidRPr="00091680" w:rsidRDefault="00F84542" w:rsidP="008C3AED">
            <w:pPr>
              <w:spacing w:after="0" w:line="240" w:lineRule="auto"/>
              <w:jc w:val="center"/>
              <w:rPr>
                <w:rFonts w:ascii="Arial" w:hAnsi="Arial" w:cs="Arial"/>
                <w:sz w:val="16"/>
                <w:szCs w:val="16"/>
              </w:rPr>
            </w:pPr>
            <w:r w:rsidRPr="00091680">
              <w:rPr>
                <w:rFonts w:ascii="Arial" w:hAnsi="Arial" w:cs="Arial"/>
                <w:sz w:val="16"/>
                <w:szCs w:val="16"/>
              </w:rPr>
              <w:t>Estimates</w:t>
            </w:r>
          </w:p>
        </w:tc>
      </w:tr>
      <w:tr w:rsidR="00F84542" w:rsidRPr="005546AF" w14:paraId="7A9DCC54" w14:textId="77777777" w:rsidTr="00166503">
        <w:trPr>
          <w:trHeight w:val="227"/>
        </w:trPr>
        <w:tc>
          <w:tcPr>
            <w:tcW w:w="3100" w:type="dxa"/>
            <w:tcBorders>
              <w:top w:val="nil"/>
              <w:left w:val="nil"/>
              <w:bottom w:val="nil"/>
              <w:right w:val="nil"/>
            </w:tcBorders>
            <w:shd w:val="clear" w:color="auto" w:fill="auto"/>
            <w:noWrap/>
            <w:vAlign w:val="center"/>
            <w:hideMark/>
          </w:tcPr>
          <w:p w14:paraId="66017160" w14:textId="77777777" w:rsidR="00F84542" w:rsidRPr="00091680" w:rsidRDefault="00F84542" w:rsidP="008C3AED">
            <w:pPr>
              <w:spacing w:after="0" w:line="240" w:lineRule="auto"/>
              <w:jc w:val="center"/>
              <w:rPr>
                <w:rFonts w:ascii="Arial" w:hAnsi="Arial" w:cs="Arial"/>
                <w:sz w:val="16"/>
                <w:szCs w:val="16"/>
              </w:rPr>
            </w:pPr>
          </w:p>
        </w:tc>
        <w:tc>
          <w:tcPr>
            <w:tcW w:w="1020" w:type="dxa"/>
            <w:tcBorders>
              <w:top w:val="single" w:sz="4" w:space="0" w:color="auto"/>
              <w:left w:val="nil"/>
              <w:bottom w:val="nil"/>
              <w:right w:val="nil"/>
            </w:tcBorders>
            <w:shd w:val="clear" w:color="auto" w:fill="auto"/>
            <w:noWrap/>
            <w:vAlign w:val="center"/>
            <w:hideMark/>
          </w:tcPr>
          <w:p w14:paraId="60675F71" w14:textId="3AC82B61"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2021</w:t>
            </w:r>
            <w:r w:rsidR="00C42B0B" w:rsidRPr="00091680">
              <w:rPr>
                <w:rFonts w:ascii="Arial" w:hAnsi="Arial" w:cs="Arial"/>
                <w:sz w:val="16"/>
                <w:szCs w:val="16"/>
              </w:rPr>
              <w:noBreakHyphen/>
            </w:r>
            <w:r w:rsidRPr="00091680">
              <w:rPr>
                <w:rFonts w:ascii="Arial" w:hAnsi="Arial" w:cs="Arial"/>
                <w:sz w:val="16"/>
                <w:szCs w:val="16"/>
              </w:rPr>
              <w:t>22</w:t>
            </w:r>
          </w:p>
        </w:tc>
        <w:tc>
          <w:tcPr>
            <w:tcW w:w="1020" w:type="dxa"/>
            <w:tcBorders>
              <w:top w:val="single" w:sz="4" w:space="0" w:color="auto"/>
              <w:left w:val="nil"/>
              <w:bottom w:val="nil"/>
              <w:right w:val="nil"/>
            </w:tcBorders>
            <w:shd w:val="clear" w:color="000000" w:fill="F2F9FC"/>
            <w:noWrap/>
            <w:vAlign w:val="center"/>
            <w:hideMark/>
          </w:tcPr>
          <w:p w14:paraId="78C55DA5" w14:textId="06560532"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2022</w:t>
            </w:r>
            <w:r w:rsidR="00C42B0B" w:rsidRPr="00091680">
              <w:rPr>
                <w:rFonts w:ascii="Arial" w:hAnsi="Arial" w:cs="Arial"/>
                <w:sz w:val="16"/>
                <w:szCs w:val="16"/>
              </w:rPr>
              <w:noBreakHyphen/>
            </w:r>
            <w:r w:rsidRPr="00091680">
              <w:rPr>
                <w:rFonts w:ascii="Arial" w:hAnsi="Arial" w:cs="Arial"/>
                <w:sz w:val="16"/>
                <w:szCs w:val="16"/>
              </w:rPr>
              <w:t>23</w:t>
            </w:r>
          </w:p>
        </w:tc>
        <w:tc>
          <w:tcPr>
            <w:tcW w:w="1020" w:type="dxa"/>
            <w:tcBorders>
              <w:top w:val="single" w:sz="4" w:space="0" w:color="auto"/>
              <w:left w:val="nil"/>
              <w:bottom w:val="nil"/>
              <w:right w:val="nil"/>
            </w:tcBorders>
            <w:shd w:val="clear" w:color="auto" w:fill="auto"/>
            <w:noWrap/>
            <w:vAlign w:val="center"/>
            <w:hideMark/>
          </w:tcPr>
          <w:p w14:paraId="46A67CDA" w14:textId="25CE4CD5"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2023</w:t>
            </w:r>
            <w:r w:rsidR="00C42B0B" w:rsidRPr="00091680">
              <w:rPr>
                <w:rFonts w:ascii="Arial" w:hAnsi="Arial" w:cs="Arial"/>
                <w:sz w:val="16"/>
                <w:szCs w:val="16"/>
              </w:rPr>
              <w:noBreakHyphen/>
            </w:r>
            <w:r w:rsidRPr="00091680">
              <w:rPr>
                <w:rFonts w:ascii="Arial" w:hAnsi="Arial" w:cs="Arial"/>
                <w:sz w:val="16"/>
                <w:szCs w:val="16"/>
              </w:rPr>
              <w:t>24</w:t>
            </w:r>
          </w:p>
        </w:tc>
        <w:tc>
          <w:tcPr>
            <w:tcW w:w="1020" w:type="dxa"/>
            <w:tcBorders>
              <w:top w:val="single" w:sz="4" w:space="0" w:color="auto"/>
              <w:left w:val="nil"/>
              <w:bottom w:val="nil"/>
              <w:right w:val="nil"/>
            </w:tcBorders>
            <w:shd w:val="clear" w:color="auto" w:fill="auto"/>
            <w:noWrap/>
            <w:vAlign w:val="center"/>
            <w:hideMark/>
          </w:tcPr>
          <w:p w14:paraId="7C107F0C" w14:textId="4C768383"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2024</w:t>
            </w:r>
            <w:r w:rsidR="00C42B0B" w:rsidRPr="00091680">
              <w:rPr>
                <w:rFonts w:ascii="Arial" w:hAnsi="Arial" w:cs="Arial"/>
                <w:sz w:val="16"/>
                <w:szCs w:val="16"/>
              </w:rPr>
              <w:noBreakHyphen/>
            </w:r>
            <w:r w:rsidRPr="00091680">
              <w:rPr>
                <w:rFonts w:ascii="Arial" w:hAnsi="Arial" w:cs="Arial"/>
                <w:sz w:val="16"/>
                <w:szCs w:val="16"/>
              </w:rPr>
              <w:t>25</w:t>
            </w:r>
          </w:p>
        </w:tc>
        <w:tc>
          <w:tcPr>
            <w:tcW w:w="1020" w:type="dxa"/>
            <w:tcBorders>
              <w:top w:val="single" w:sz="4" w:space="0" w:color="auto"/>
              <w:left w:val="nil"/>
              <w:bottom w:val="nil"/>
              <w:right w:val="nil"/>
            </w:tcBorders>
            <w:shd w:val="clear" w:color="auto" w:fill="auto"/>
            <w:noWrap/>
            <w:vAlign w:val="center"/>
            <w:hideMark/>
          </w:tcPr>
          <w:p w14:paraId="1FE6F6FB" w14:textId="0E824588"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2025</w:t>
            </w:r>
            <w:r w:rsidR="00C42B0B" w:rsidRPr="00091680">
              <w:rPr>
                <w:rFonts w:ascii="Arial" w:hAnsi="Arial" w:cs="Arial"/>
                <w:sz w:val="16"/>
                <w:szCs w:val="16"/>
              </w:rPr>
              <w:noBreakHyphen/>
            </w:r>
            <w:r w:rsidRPr="00091680">
              <w:rPr>
                <w:rFonts w:ascii="Arial" w:hAnsi="Arial" w:cs="Arial"/>
                <w:sz w:val="16"/>
                <w:szCs w:val="16"/>
              </w:rPr>
              <w:t>26</w:t>
            </w:r>
          </w:p>
        </w:tc>
      </w:tr>
      <w:tr w:rsidR="00F84542" w:rsidRPr="005546AF" w14:paraId="2451ABA2" w14:textId="77777777" w:rsidTr="00166503">
        <w:trPr>
          <w:trHeight w:val="227"/>
        </w:trPr>
        <w:tc>
          <w:tcPr>
            <w:tcW w:w="3100" w:type="dxa"/>
            <w:tcBorders>
              <w:top w:val="nil"/>
              <w:left w:val="nil"/>
              <w:bottom w:val="nil"/>
              <w:right w:val="nil"/>
            </w:tcBorders>
            <w:shd w:val="clear" w:color="auto" w:fill="auto"/>
            <w:noWrap/>
            <w:vAlign w:val="center"/>
            <w:hideMark/>
          </w:tcPr>
          <w:p w14:paraId="12B4A7DB" w14:textId="77777777" w:rsidR="00F84542" w:rsidRPr="00091680" w:rsidRDefault="00F84542" w:rsidP="008C3AED">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noWrap/>
            <w:vAlign w:val="center"/>
            <w:hideMark/>
          </w:tcPr>
          <w:p w14:paraId="3798416B"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$b</w:t>
            </w:r>
          </w:p>
        </w:tc>
        <w:tc>
          <w:tcPr>
            <w:tcW w:w="1020" w:type="dxa"/>
            <w:tcBorders>
              <w:top w:val="nil"/>
              <w:left w:val="nil"/>
              <w:bottom w:val="nil"/>
              <w:right w:val="nil"/>
            </w:tcBorders>
            <w:shd w:val="clear" w:color="000000" w:fill="F2F9FC"/>
            <w:noWrap/>
            <w:vAlign w:val="center"/>
            <w:hideMark/>
          </w:tcPr>
          <w:p w14:paraId="67127CF0"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$b</w:t>
            </w:r>
          </w:p>
        </w:tc>
        <w:tc>
          <w:tcPr>
            <w:tcW w:w="1020" w:type="dxa"/>
            <w:tcBorders>
              <w:top w:val="nil"/>
              <w:left w:val="nil"/>
              <w:bottom w:val="nil"/>
              <w:right w:val="nil"/>
            </w:tcBorders>
            <w:shd w:val="clear" w:color="auto" w:fill="auto"/>
            <w:noWrap/>
            <w:vAlign w:val="center"/>
            <w:hideMark/>
          </w:tcPr>
          <w:p w14:paraId="4B4FDF93"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$b</w:t>
            </w:r>
          </w:p>
        </w:tc>
        <w:tc>
          <w:tcPr>
            <w:tcW w:w="1020" w:type="dxa"/>
            <w:tcBorders>
              <w:top w:val="nil"/>
              <w:left w:val="nil"/>
              <w:bottom w:val="nil"/>
              <w:right w:val="nil"/>
            </w:tcBorders>
            <w:shd w:val="clear" w:color="auto" w:fill="auto"/>
            <w:noWrap/>
            <w:vAlign w:val="center"/>
            <w:hideMark/>
          </w:tcPr>
          <w:p w14:paraId="5240E2D1"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$b</w:t>
            </w:r>
          </w:p>
        </w:tc>
        <w:tc>
          <w:tcPr>
            <w:tcW w:w="1020" w:type="dxa"/>
            <w:tcBorders>
              <w:top w:val="nil"/>
              <w:left w:val="nil"/>
              <w:bottom w:val="nil"/>
              <w:right w:val="nil"/>
            </w:tcBorders>
            <w:shd w:val="clear" w:color="auto" w:fill="auto"/>
            <w:noWrap/>
            <w:vAlign w:val="center"/>
            <w:hideMark/>
          </w:tcPr>
          <w:p w14:paraId="1E4A52A8"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$b</w:t>
            </w:r>
          </w:p>
        </w:tc>
      </w:tr>
      <w:tr w:rsidR="005D3BBA" w:rsidRPr="005546AF" w14:paraId="012C69EC" w14:textId="77777777" w:rsidTr="00166503">
        <w:trPr>
          <w:trHeight w:val="227"/>
        </w:trPr>
        <w:tc>
          <w:tcPr>
            <w:tcW w:w="3100" w:type="dxa"/>
            <w:tcBorders>
              <w:top w:val="nil"/>
              <w:left w:val="nil"/>
              <w:bottom w:val="single" w:sz="4" w:space="0" w:color="000000"/>
              <w:right w:val="nil"/>
            </w:tcBorders>
            <w:shd w:val="clear" w:color="auto" w:fill="auto"/>
            <w:noWrap/>
            <w:vAlign w:val="center"/>
            <w:hideMark/>
          </w:tcPr>
          <w:p w14:paraId="6C322CF5" w14:textId="77777777" w:rsidR="00F84542" w:rsidRPr="00091680" w:rsidRDefault="00F84542" w:rsidP="008C3AED">
            <w:pPr>
              <w:spacing w:after="0" w:line="240" w:lineRule="auto"/>
              <w:jc w:val="left"/>
              <w:rPr>
                <w:rFonts w:ascii="Arial" w:hAnsi="Arial" w:cs="Arial"/>
                <w:sz w:val="16"/>
                <w:szCs w:val="16"/>
              </w:rPr>
            </w:pPr>
            <w:r w:rsidRPr="00091680">
              <w:rPr>
                <w:rFonts w:ascii="Arial" w:hAnsi="Arial" w:cs="Arial"/>
                <w:sz w:val="16"/>
                <w:szCs w:val="16"/>
              </w:rPr>
              <w:t>Climate spending(a)(b)</w:t>
            </w:r>
          </w:p>
        </w:tc>
        <w:tc>
          <w:tcPr>
            <w:tcW w:w="1020" w:type="dxa"/>
            <w:tcBorders>
              <w:top w:val="single" w:sz="4" w:space="0" w:color="000000"/>
              <w:left w:val="nil"/>
              <w:bottom w:val="single" w:sz="4" w:space="0" w:color="000000"/>
              <w:right w:val="nil"/>
            </w:tcBorders>
            <w:shd w:val="clear" w:color="auto" w:fill="auto"/>
            <w:noWrap/>
            <w:vAlign w:val="center"/>
            <w:hideMark/>
          </w:tcPr>
          <w:p w14:paraId="5BF39B4D"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2.0</w:t>
            </w:r>
          </w:p>
        </w:tc>
        <w:tc>
          <w:tcPr>
            <w:tcW w:w="1020" w:type="dxa"/>
            <w:tcBorders>
              <w:top w:val="single" w:sz="4" w:space="0" w:color="000000"/>
              <w:left w:val="nil"/>
              <w:bottom w:val="single" w:sz="4" w:space="0" w:color="000000"/>
              <w:right w:val="nil"/>
            </w:tcBorders>
            <w:shd w:val="clear" w:color="000000" w:fill="F2F9FC"/>
            <w:noWrap/>
            <w:vAlign w:val="center"/>
            <w:hideMark/>
          </w:tcPr>
          <w:p w14:paraId="2B99D32F"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2.0</w:t>
            </w:r>
          </w:p>
        </w:tc>
        <w:tc>
          <w:tcPr>
            <w:tcW w:w="1020" w:type="dxa"/>
            <w:tcBorders>
              <w:top w:val="single" w:sz="4" w:space="0" w:color="000000"/>
              <w:left w:val="nil"/>
              <w:bottom w:val="single" w:sz="4" w:space="0" w:color="000000"/>
              <w:right w:val="nil"/>
            </w:tcBorders>
            <w:shd w:val="clear" w:color="000000" w:fill="FFFFFF"/>
            <w:noWrap/>
            <w:vAlign w:val="center"/>
            <w:hideMark/>
          </w:tcPr>
          <w:p w14:paraId="47476F5E"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1.9</w:t>
            </w:r>
          </w:p>
        </w:tc>
        <w:tc>
          <w:tcPr>
            <w:tcW w:w="1020" w:type="dxa"/>
            <w:tcBorders>
              <w:top w:val="single" w:sz="4" w:space="0" w:color="000000"/>
              <w:left w:val="nil"/>
              <w:bottom w:val="single" w:sz="4" w:space="0" w:color="000000"/>
              <w:right w:val="nil"/>
            </w:tcBorders>
            <w:shd w:val="clear" w:color="000000" w:fill="FFFFFF"/>
            <w:noWrap/>
            <w:vAlign w:val="center"/>
            <w:hideMark/>
          </w:tcPr>
          <w:p w14:paraId="1A8832F5"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1.5</w:t>
            </w:r>
          </w:p>
        </w:tc>
        <w:tc>
          <w:tcPr>
            <w:tcW w:w="1020" w:type="dxa"/>
            <w:tcBorders>
              <w:top w:val="single" w:sz="4" w:space="0" w:color="000000"/>
              <w:left w:val="nil"/>
              <w:bottom w:val="single" w:sz="4" w:space="0" w:color="000000"/>
              <w:right w:val="nil"/>
            </w:tcBorders>
            <w:shd w:val="clear" w:color="000000" w:fill="FFFFFF"/>
            <w:noWrap/>
            <w:vAlign w:val="center"/>
            <w:hideMark/>
          </w:tcPr>
          <w:p w14:paraId="76179141" w14:textId="77777777" w:rsidR="00F84542" w:rsidRPr="00091680" w:rsidRDefault="00F84542" w:rsidP="008C3AED">
            <w:pPr>
              <w:spacing w:after="0" w:line="240" w:lineRule="auto"/>
              <w:jc w:val="right"/>
              <w:rPr>
                <w:rFonts w:ascii="Arial" w:hAnsi="Arial" w:cs="Arial"/>
                <w:sz w:val="16"/>
                <w:szCs w:val="16"/>
              </w:rPr>
            </w:pPr>
            <w:r w:rsidRPr="00091680">
              <w:rPr>
                <w:rFonts w:ascii="Arial" w:hAnsi="Arial" w:cs="Arial"/>
                <w:sz w:val="16"/>
                <w:szCs w:val="16"/>
              </w:rPr>
              <w:t>1.3</w:t>
            </w:r>
          </w:p>
        </w:tc>
      </w:tr>
    </w:tbl>
    <w:p w14:paraId="7E2E07EA" w14:textId="689E5225" w:rsidR="003E1128" w:rsidRPr="00091680" w:rsidRDefault="00422DD3" w:rsidP="00631638">
      <w:pPr>
        <w:pStyle w:val="ChartandTableFootnoteAlpha"/>
        <w:numPr>
          <w:ilvl w:val="0"/>
          <w:numId w:val="12"/>
        </w:numPr>
        <w:rPr>
          <w:color w:val="auto"/>
        </w:rPr>
      </w:pPr>
      <w:r w:rsidRPr="00091680">
        <w:rPr>
          <w:color w:val="auto"/>
        </w:rPr>
        <w:t xml:space="preserve">Spending in this table is on a headline cash balance basis </w:t>
      </w:r>
      <w:r w:rsidR="00CB5997" w:rsidRPr="00091680">
        <w:rPr>
          <w:color w:val="auto"/>
        </w:rPr>
        <w:t>–</w:t>
      </w:r>
      <w:r w:rsidRPr="00091680">
        <w:rPr>
          <w:color w:val="auto"/>
        </w:rPr>
        <w:t xml:space="preserve"> that is, payments and net cash flows from investments in financial assets for policy purposes, as well as estimated interest receipts associated with Clean Energy Finance Corporation investments.</w:t>
      </w:r>
    </w:p>
    <w:p w14:paraId="4CF84D50" w14:textId="090E21A9" w:rsidR="00422DD3" w:rsidRPr="00091680" w:rsidRDefault="00422DD3" w:rsidP="003E1128">
      <w:pPr>
        <w:pStyle w:val="ChartandTableFootnoteAlpha"/>
        <w:rPr>
          <w:color w:val="auto"/>
        </w:rPr>
      </w:pPr>
      <w:r w:rsidRPr="00091680">
        <w:rPr>
          <w:color w:val="auto"/>
        </w:rPr>
        <w:t>These figures do not include expected repayments from the Clean Energy Finance Corporation over the forward estimates.</w:t>
      </w:r>
    </w:p>
    <w:p w14:paraId="6CBADC6A" w14:textId="5710512C" w:rsidR="00422DD3" w:rsidRPr="00EF2E87" w:rsidRDefault="00422DD3" w:rsidP="004F45AA">
      <w:pPr>
        <w:pStyle w:val="SingleParagraph"/>
        <w:rPr>
          <w:color w:val="FF0000"/>
        </w:rPr>
      </w:pPr>
    </w:p>
    <w:p w14:paraId="41DB54C5" w14:textId="2806E7D1" w:rsidR="00422DD3" w:rsidRPr="00091680" w:rsidRDefault="00422DD3" w:rsidP="00422DD3">
      <w:pPr>
        <w:pStyle w:val="Heading3"/>
      </w:pPr>
      <w:bookmarkStart w:id="44" w:name="_Toc98531939"/>
      <w:r w:rsidRPr="00091680">
        <w:lastRenderedPageBreak/>
        <w:t>Impact of</w:t>
      </w:r>
      <w:r w:rsidR="00E850B5" w:rsidRPr="00091680">
        <w:t xml:space="preserve"> select</w:t>
      </w:r>
      <w:r w:rsidRPr="00091680">
        <w:t xml:space="preserve"> climate spending on debt</w:t>
      </w:r>
      <w:bookmarkEnd w:id="44"/>
    </w:p>
    <w:p w14:paraId="164FD852" w14:textId="1E772F0A" w:rsidR="00422DD3" w:rsidRDefault="00EA6BFF" w:rsidP="00422DD3">
      <w:r w:rsidRPr="00091680">
        <w:t>S</w:t>
      </w:r>
      <w:r w:rsidR="00422DD3" w:rsidRPr="00091680">
        <w:t>pending is financed through either receipts or debt. This Statement assumes that the proportion of climate spending being financed through new debt (as opposed to receipts) is equivalent to the proportion of total spending financed by debt. This is shown in Table 6.12.</w:t>
      </w:r>
    </w:p>
    <w:p w14:paraId="54B5C657" w14:textId="2AF72E68" w:rsidR="001857D7" w:rsidRPr="00091680" w:rsidRDefault="001857D7" w:rsidP="001857D7">
      <w:pPr>
        <w:pStyle w:val="TableHeading"/>
        <w:rPr>
          <w:rFonts w:asciiTheme="minorHAnsi" w:eastAsiaTheme="minorHAnsi" w:hAnsiTheme="minorHAnsi" w:cstheme="minorBidi"/>
          <w:b w:val="0"/>
          <w:sz w:val="22"/>
          <w:szCs w:val="22"/>
          <w:lang w:eastAsia="en-US"/>
        </w:rPr>
      </w:pPr>
      <w:r w:rsidRPr="00091680">
        <w:t>Table 6.12: Impact on debt – select climate spending as a proportion of total spending</w:t>
      </w:r>
    </w:p>
    <w:tbl>
      <w:tblPr>
        <w:tblW w:w="5000" w:type="pct"/>
        <w:tblCellMar>
          <w:left w:w="0" w:type="dxa"/>
          <w:right w:w="28" w:type="dxa"/>
        </w:tblCellMar>
        <w:tblLook w:val="04A0" w:firstRow="1" w:lastRow="0" w:firstColumn="1" w:lastColumn="0" w:noHBand="0" w:noVBand="1"/>
      </w:tblPr>
      <w:tblGrid>
        <w:gridCol w:w="3403"/>
        <w:gridCol w:w="862"/>
        <w:gridCol w:w="862"/>
        <w:gridCol w:w="862"/>
        <w:gridCol w:w="862"/>
        <w:gridCol w:w="859"/>
      </w:tblGrid>
      <w:tr w:rsidR="001857D7" w:rsidRPr="005546AF" w14:paraId="62B8C54A" w14:textId="77777777" w:rsidTr="00937696">
        <w:trPr>
          <w:trHeight w:hRule="exact" w:val="225"/>
        </w:trPr>
        <w:tc>
          <w:tcPr>
            <w:tcW w:w="2207" w:type="pct"/>
            <w:tcBorders>
              <w:top w:val="single" w:sz="4" w:space="0" w:color="000000"/>
              <w:left w:val="nil"/>
              <w:bottom w:val="nil"/>
              <w:right w:val="nil"/>
            </w:tcBorders>
            <w:shd w:val="clear" w:color="auto" w:fill="auto"/>
            <w:noWrap/>
            <w:vAlign w:val="bottom"/>
            <w:hideMark/>
          </w:tcPr>
          <w:p w14:paraId="5C86D6FD" w14:textId="77777777" w:rsidR="001857D7" w:rsidRPr="00091680" w:rsidRDefault="001857D7" w:rsidP="00937696">
            <w:pPr>
              <w:rPr>
                <w:rFonts w:ascii="Arial" w:hAnsi="Arial" w:cs="Arial"/>
                <w:b/>
                <w:sz w:val="16"/>
                <w:szCs w:val="16"/>
              </w:rPr>
            </w:pPr>
            <w:r w:rsidRPr="00091680">
              <w:rPr>
                <w:rFonts w:ascii="Arial" w:hAnsi="Arial" w:cs="Arial"/>
                <w:b/>
                <w:sz w:val="16"/>
                <w:szCs w:val="16"/>
              </w:rPr>
              <w:t> </w:t>
            </w:r>
          </w:p>
        </w:tc>
        <w:tc>
          <w:tcPr>
            <w:tcW w:w="2793" w:type="pct"/>
            <w:gridSpan w:val="5"/>
            <w:tcBorders>
              <w:top w:val="single" w:sz="4" w:space="0" w:color="000000"/>
              <w:left w:val="nil"/>
              <w:bottom w:val="single" w:sz="4" w:space="0" w:color="000000"/>
              <w:right w:val="nil"/>
            </w:tcBorders>
            <w:shd w:val="clear" w:color="auto" w:fill="auto"/>
            <w:noWrap/>
            <w:vAlign w:val="bottom"/>
            <w:hideMark/>
          </w:tcPr>
          <w:p w14:paraId="3BF28A84" w14:textId="77777777" w:rsidR="001857D7" w:rsidRPr="00091680" w:rsidRDefault="001857D7" w:rsidP="00937696">
            <w:pPr>
              <w:spacing w:after="0" w:line="240" w:lineRule="auto"/>
              <w:jc w:val="center"/>
              <w:rPr>
                <w:rFonts w:ascii="Arial" w:hAnsi="Arial" w:cs="Arial"/>
                <w:sz w:val="16"/>
                <w:szCs w:val="16"/>
              </w:rPr>
            </w:pPr>
            <w:r w:rsidRPr="00091680">
              <w:rPr>
                <w:rFonts w:ascii="Arial" w:hAnsi="Arial" w:cs="Arial"/>
                <w:sz w:val="16"/>
                <w:szCs w:val="16"/>
              </w:rPr>
              <w:t>Estimates</w:t>
            </w:r>
          </w:p>
        </w:tc>
      </w:tr>
      <w:tr w:rsidR="001857D7" w:rsidRPr="005546AF" w14:paraId="3D432443" w14:textId="77777777" w:rsidTr="00937696">
        <w:trPr>
          <w:trHeight w:hRule="exact" w:val="225"/>
        </w:trPr>
        <w:tc>
          <w:tcPr>
            <w:tcW w:w="2207" w:type="pct"/>
            <w:tcBorders>
              <w:top w:val="nil"/>
              <w:left w:val="nil"/>
              <w:bottom w:val="nil"/>
              <w:right w:val="nil"/>
            </w:tcBorders>
            <w:shd w:val="clear" w:color="auto" w:fill="auto"/>
            <w:noWrap/>
            <w:vAlign w:val="bottom"/>
            <w:hideMark/>
          </w:tcPr>
          <w:p w14:paraId="657591D4" w14:textId="77777777" w:rsidR="001857D7" w:rsidRPr="00091680" w:rsidRDefault="001857D7" w:rsidP="00937696">
            <w:pPr>
              <w:spacing w:after="0" w:line="240" w:lineRule="auto"/>
              <w:jc w:val="center"/>
              <w:rPr>
                <w:rFonts w:ascii="Arial" w:hAnsi="Arial" w:cs="Arial"/>
                <w:sz w:val="16"/>
                <w:szCs w:val="16"/>
              </w:rPr>
            </w:pPr>
          </w:p>
        </w:tc>
        <w:tc>
          <w:tcPr>
            <w:tcW w:w="559" w:type="pct"/>
            <w:tcBorders>
              <w:top w:val="nil"/>
              <w:left w:val="nil"/>
              <w:bottom w:val="nil"/>
              <w:right w:val="nil"/>
            </w:tcBorders>
            <w:shd w:val="clear" w:color="auto" w:fill="auto"/>
            <w:noWrap/>
            <w:vAlign w:val="center"/>
            <w:hideMark/>
          </w:tcPr>
          <w:p w14:paraId="6A686C12"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2021</w:t>
            </w:r>
            <w:r w:rsidRPr="00091680">
              <w:rPr>
                <w:rFonts w:ascii="Arial" w:hAnsi="Arial" w:cs="Arial"/>
                <w:sz w:val="16"/>
                <w:szCs w:val="16"/>
              </w:rPr>
              <w:noBreakHyphen/>
              <w:t>22</w:t>
            </w:r>
          </w:p>
        </w:tc>
        <w:tc>
          <w:tcPr>
            <w:tcW w:w="559" w:type="pct"/>
            <w:tcBorders>
              <w:top w:val="nil"/>
              <w:left w:val="nil"/>
              <w:bottom w:val="nil"/>
              <w:right w:val="nil"/>
            </w:tcBorders>
            <w:shd w:val="clear" w:color="000000" w:fill="F2F9FC"/>
            <w:noWrap/>
            <w:vAlign w:val="center"/>
            <w:hideMark/>
          </w:tcPr>
          <w:p w14:paraId="4306EA9F"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2022</w:t>
            </w:r>
            <w:r w:rsidRPr="00091680">
              <w:rPr>
                <w:rFonts w:ascii="Arial" w:hAnsi="Arial" w:cs="Arial"/>
                <w:sz w:val="16"/>
                <w:szCs w:val="16"/>
              </w:rPr>
              <w:noBreakHyphen/>
              <w:t>23</w:t>
            </w:r>
          </w:p>
        </w:tc>
        <w:tc>
          <w:tcPr>
            <w:tcW w:w="559" w:type="pct"/>
            <w:tcBorders>
              <w:top w:val="nil"/>
              <w:left w:val="nil"/>
              <w:bottom w:val="nil"/>
              <w:right w:val="nil"/>
            </w:tcBorders>
            <w:shd w:val="clear" w:color="auto" w:fill="auto"/>
            <w:noWrap/>
            <w:vAlign w:val="center"/>
            <w:hideMark/>
          </w:tcPr>
          <w:p w14:paraId="7B63A7CE"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2023</w:t>
            </w:r>
            <w:r w:rsidRPr="00091680">
              <w:rPr>
                <w:rFonts w:ascii="Arial" w:hAnsi="Arial" w:cs="Arial"/>
                <w:sz w:val="16"/>
                <w:szCs w:val="16"/>
              </w:rPr>
              <w:noBreakHyphen/>
              <w:t>24</w:t>
            </w:r>
          </w:p>
        </w:tc>
        <w:tc>
          <w:tcPr>
            <w:tcW w:w="559" w:type="pct"/>
            <w:tcBorders>
              <w:top w:val="nil"/>
              <w:left w:val="nil"/>
              <w:bottom w:val="nil"/>
              <w:right w:val="nil"/>
            </w:tcBorders>
            <w:shd w:val="clear" w:color="auto" w:fill="auto"/>
            <w:noWrap/>
            <w:vAlign w:val="center"/>
            <w:hideMark/>
          </w:tcPr>
          <w:p w14:paraId="39298611"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2024</w:t>
            </w:r>
            <w:r w:rsidRPr="00091680">
              <w:rPr>
                <w:rFonts w:ascii="Arial" w:hAnsi="Arial" w:cs="Arial"/>
                <w:sz w:val="16"/>
                <w:szCs w:val="16"/>
              </w:rPr>
              <w:noBreakHyphen/>
              <w:t>25</w:t>
            </w:r>
          </w:p>
        </w:tc>
        <w:tc>
          <w:tcPr>
            <w:tcW w:w="559" w:type="pct"/>
            <w:tcBorders>
              <w:top w:val="nil"/>
              <w:left w:val="nil"/>
              <w:bottom w:val="nil"/>
              <w:right w:val="nil"/>
            </w:tcBorders>
            <w:shd w:val="clear" w:color="auto" w:fill="auto"/>
            <w:noWrap/>
            <w:vAlign w:val="center"/>
            <w:hideMark/>
          </w:tcPr>
          <w:p w14:paraId="09091A50"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2025</w:t>
            </w:r>
            <w:r w:rsidRPr="00091680">
              <w:rPr>
                <w:rFonts w:ascii="Arial" w:hAnsi="Arial" w:cs="Arial"/>
                <w:sz w:val="16"/>
                <w:szCs w:val="16"/>
              </w:rPr>
              <w:noBreakHyphen/>
              <w:t>26</w:t>
            </w:r>
          </w:p>
        </w:tc>
      </w:tr>
      <w:tr w:rsidR="001857D7" w:rsidRPr="005546AF" w14:paraId="358321F5" w14:textId="77777777" w:rsidTr="00937696">
        <w:trPr>
          <w:trHeight w:hRule="exact" w:val="225"/>
        </w:trPr>
        <w:tc>
          <w:tcPr>
            <w:tcW w:w="2207" w:type="pct"/>
            <w:tcBorders>
              <w:top w:val="nil"/>
              <w:left w:val="nil"/>
              <w:bottom w:val="single" w:sz="4" w:space="0" w:color="000000"/>
              <w:right w:val="nil"/>
            </w:tcBorders>
            <w:shd w:val="clear" w:color="auto" w:fill="auto"/>
            <w:noWrap/>
            <w:vAlign w:val="bottom"/>
            <w:hideMark/>
          </w:tcPr>
          <w:p w14:paraId="53D2F6D4"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 </w:t>
            </w:r>
          </w:p>
        </w:tc>
        <w:tc>
          <w:tcPr>
            <w:tcW w:w="559" w:type="pct"/>
            <w:tcBorders>
              <w:top w:val="nil"/>
              <w:left w:val="nil"/>
              <w:bottom w:val="single" w:sz="4" w:space="0" w:color="000000"/>
              <w:right w:val="nil"/>
            </w:tcBorders>
            <w:shd w:val="clear" w:color="auto" w:fill="auto"/>
            <w:noWrap/>
            <w:vAlign w:val="center"/>
            <w:hideMark/>
          </w:tcPr>
          <w:p w14:paraId="5F5410B6"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$b</w:t>
            </w:r>
          </w:p>
        </w:tc>
        <w:tc>
          <w:tcPr>
            <w:tcW w:w="559" w:type="pct"/>
            <w:tcBorders>
              <w:top w:val="nil"/>
              <w:left w:val="nil"/>
              <w:bottom w:val="single" w:sz="4" w:space="0" w:color="000000"/>
              <w:right w:val="nil"/>
            </w:tcBorders>
            <w:shd w:val="clear" w:color="000000" w:fill="F2F9FC"/>
            <w:noWrap/>
            <w:vAlign w:val="center"/>
            <w:hideMark/>
          </w:tcPr>
          <w:p w14:paraId="3711ECF6"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$b</w:t>
            </w:r>
          </w:p>
        </w:tc>
        <w:tc>
          <w:tcPr>
            <w:tcW w:w="559" w:type="pct"/>
            <w:tcBorders>
              <w:top w:val="nil"/>
              <w:left w:val="nil"/>
              <w:bottom w:val="single" w:sz="4" w:space="0" w:color="000000"/>
              <w:right w:val="nil"/>
            </w:tcBorders>
            <w:shd w:val="clear" w:color="auto" w:fill="auto"/>
            <w:noWrap/>
            <w:vAlign w:val="center"/>
            <w:hideMark/>
          </w:tcPr>
          <w:p w14:paraId="45BC60D9"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$b</w:t>
            </w:r>
          </w:p>
        </w:tc>
        <w:tc>
          <w:tcPr>
            <w:tcW w:w="559" w:type="pct"/>
            <w:tcBorders>
              <w:top w:val="nil"/>
              <w:left w:val="nil"/>
              <w:bottom w:val="single" w:sz="4" w:space="0" w:color="000000"/>
              <w:right w:val="nil"/>
            </w:tcBorders>
            <w:shd w:val="clear" w:color="auto" w:fill="auto"/>
            <w:noWrap/>
            <w:vAlign w:val="center"/>
            <w:hideMark/>
          </w:tcPr>
          <w:p w14:paraId="66DC499C"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$b</w:t>
            </w:r>
          </w:p>
        </w:tc>
        <w:tc>
          <w:tcPr>
            <w:tcW w:w="559" w:type="pct"/>
            <w:tcBorders>
              <w:top w:val="nil"/>
              <w:left w:val="nil"/>
              <w:bottom w:val="single" w:sz="4" w:space="0" w:color="000000"/>
              <w:right w:val="nil"/>
            </w:tcBorders>
            <w:shd w:val="clear" w:color="auto" w:fill="auto"/>
            <w:noWrap/>
            <w:vAlign w:val="center"/>
            <w:hideMark/>
          </w:tcPr>
          <w:p w14:paraId="2C00CB47"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$b</w:t>
            </w:r>
          </w:p>
        </w:tc>
      </w:tr>
      <w:tr w:rsidR="001857D7" w:rsidRPr="005546AF" w14:paraId="1324BA45" w14:textId="77777777" w:rsidTr="00937696">
        <w:trPr>
          <w:trHeight w:hRule="exact" w:val="225"/>
        </w:trPr>
        <w:tc>
          <w:tcPr>
            <w:tcW w:w="2207" w:type="pct"/>
            <w:tcBorders>
              <w:top w:val="nil"/>
              <w:left w:val="nil"/>
              <w:bottom w:val="nil"/>
              <w:right w:val="nil"/>
            </w:tcBorders>
            <w:shd w:val="clear" w:color="auto" w:fill="auto"/>
            <w:noWrap/>
            <w:vAlign w:val="bottom"/>
            <w:hideMark/>
          </w:tcPr>
          <w:p w14:paraId="02BA9291"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Climate spending(a)</w:t>
            </w:r>
          </w:p>
        </w:tc>
        <w:tc>
          <w:tcPr>
            <w:tcW w:w="559" w:type="pct"/>
            <w:tcBorders>
              <w:top w:val="nil"/>
              <w:left w:val="nil"/>
              <w:bottom w:val="nil"/>
              <w:right w:val="nil"/>
            </w:tcBorders>
            <w:shd w:val="clear" w:color="auto" w:fill="auto"/>
            <w:noWrap/>
            <w:vAlign w:val="center"/>
            <w:hideMark/>
          </w:tcPr>
          <w:p w14:paraId="4A9580FE"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2.0</w:t>
            </w:r>
          </w:p>
        </w:tc>
        <w:tc>
          <w:tcPr>
            <w:tcW w:w="559" w:type="pct"/>
            <w:tcBorders>
              <w:top w:val="nil"/>
              <w:left w:val="nil"/>
              <w:bottom w:val="nil"/>
              <w:right w:val="nil"/>
            </w:tcBorders>
            <w:shd w:val="clear" w:color="000000" w:fill="F2F9FC"/>
            <w:noWrap/>
            <w:vAlign w:val="center"/>
            <w:hideMark/>
          </w:tcPr>
          <w:p w14:paraId="64827294"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2.0</w:t>
            </w:r>
          </w:p>
        </w:tc>
        <w:tc>
          <w:tcPr>
            <w:tcW w:w="559" w:type="pct"/>
            <w:tcBorders>
              <w:top w:val="nil"/>
              <w:left w:val="nil"/>
              <w:bottom w:val="nil"/>
              <w:right w:val="nil"/>
            </w:tcBorders>
            <w:shd w:val="clear" w:color="auto" w:fill="auto"/>
            <w:noWrap/>
            <w:vAlign w:val="center"/>
            <w:hideMark/>
          </w:tcPr>
          <w:p w14:paraId="7B729498"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1.9</w:t>
            </w:r>
          </w:p>
        </w:tc>
        <w:tc>
          <w:tcPr>
            <w:tcW w:w="559" w:type="pct"/>
            <w:tcBorders>
              <w:top w:val="nil"/>
              <w:left w:val="nil"/>
              <w:bottom w:val="nil"/>
              <w:right w:val="nil"/>
            </w:tcBorders>
            <w:shd w:val="clear" w:color="auto" w:fill="auto"/>
            <w:noWrap/>
            <w:vAlign w:val="center"/>
            <w:hideMark/>
          </w:tcPr>
          <w:p w14:paraId="75BB7C95"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1.5</w:t>
            </w:r>
          </w:p>
        </w:tc>
        <w:tc>
          <w:tcPr>
            <w:tcW w:w="559" w:type="pct"/>
            <w:tcBorders>
              <w:top w:val="nil"/>
              <w:left w:val="nil"/>
              <w:bottom w:val="nil"/>
              <w:right w:val="nil"/>
            </w:tcBorders>
            <w:shd w:val="clear" w:color="auto" w:fill="auto"/>
            <w:noWrap/>
            <w:vAlign w:val="center"/>
            <w:hideMark/>
          </w:tcPr>
          <w:p w14:paraId="34A75997"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1.3</w:t>
            </w:r>
          </w:p>
        </w:tc>
      </w:tr>
      <w:tr w:rsidR="001857D7" w:rsidRPr="005546AF" w14:paraId="3C0E2340" w14:textId="77777777" w:rsidTr="00937696">
        <w:trPr>
          <w:trHeight w:hRule="exact" w:val="225"/>
        </w:trPr>
        <w:tc>
          <w:tcPr>
            <w:tcW w:w="2207" w:type="pct"/>
            <w:tcBorders>
              <w:top w:val="nil"/>
              <w:left w:val="nil"/>
              <w:bottom w:val="nil"/>
              <w:right w:val="nil"/>
            </w:tcBorders>
            <w:shd w:val="clear" w:color="auto" w:fill="auto"/>
            <w:noWrap/>
            <w:vAlign w:val="center"/>
            <w:hideMark/>
          </w:tcPr>
          <w:p w14:paraId="030A9654"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Total Spending(b)</w:t>
            </w:r>
          </w:p>
        </w:tc>
        <w:tc>
          <w:tcPr>
            <w:tcW w:w="559" w:type="pct"/>
            <w:tcBorders>
              <w:top w:val="nil"/>
              <w:left w:val="nil"/>
              <w:bottom w:val="nil"/>
              <w:right w:val="nil"/>
            </w:tcBorders>
            <w:shd w:val="clear" w:color="auto" w:fill="auto"/>
            <w:noWrap/>
            <w:vAlign w:val="bottom"/>
            <w:hideMark/>
          </w:tcPr>
          <w:p w14:paraId="4835BCE7"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642</w:t>
            </w:r>
          </w:p>
        </w:tc>
        <w:tc>
          <w:tcPr>
            <w:tcW w:w="559" w:type="pct"/>
            <w:tcBorders>
              <w:top w:val="nil"/>
              <w:left w:val="nil"/>
              <w:bottom w:val="nil"/>
              <w:right w:val="nil"/>
            </w:tcBorders>
            <w:shd w:val="clear" w:color="000000" w:fill="F2F9FC"/>
            <w:noWrap/>
            <w:vAlign w:val="bottom"/>
            <w:hideMark/>
          </w:tcPr>
          <w:p w14:paraId="509CC016"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638</w:t>
            </w:r>
          </w:p>
        </w:tc>
        <w:tc>
          <w:tcPr>
            <w:tcW w:w="559" w:type="pct"/>
            <w:tcBorders>
              <w:top w:val="nil"/>
              <w:left w:val="nil"/>
              <w:bottom w:val="nil"/>
              <w:right w:val="nil"/>
            </w:tcBorders>
            <w:shd w:val="clear" w:color="auto" w:fill="auto"/>
            <w:noWrap/>
            <w:vAlign w:val="bottom"/>
            <w:hideMark/>
          </w:tcPr>
          <w:p w14:paraId="2881F87D"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643</w:t>
            </w:r>
          </w:p>
        </w:tc>
        <w:tc>
          <w:tcPr>
            <w:tcW w:w="559" w:type="pct"/>
            <w:tcBorders>
              <w:top w:val="nil"/>
              <w:left w:val="nil"/>
              <w:bottom w:val="nil"/>
              <w:right w:val="nil"/>
            </w:tcBorders>
            <w:shd w:val="clear" w:color="auto" w:fill="auto"/>
            <w:noWrap/>
            <w:vAlign w:val="bottom"/>
            <w:hideMark/>
          </w:tcPr>
          <w:p w14:paraId="1D26ADDA"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672</w:t>
            </w:r>
          </w:p>
        </w:tc>
        <w:tc>
          <w:tcPr>
            <w:tcW w:w="559" w:type="pct"/>
            <w:tcBorders>
              <w:top w:val="nil"/>
              <w:left w:val="nil"/>
              <w:bottom w:val="nil"/>
              <w:right w:val="nil"/>
            </w:tcBorders>
            <w:shd w:val="clear" w:color="auto" w:fill="auto"/>
            <w:noWrap/>
            <w:vAlign w:val="bottom"/>
            <w:hideMark/>
          </w:tcPr>
          <w:p w14:paraId="6FE840E2"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694</w:t>
            </w:r>
          </w:p>
        </w:tc>
      </w:tr>
      <w:tr w:rsidR="001857D7" w:rsidRPr="005546AF" w14:paraId="0E24CB21" w14:textId="77777777" w:rsidTr="00937696">
        <w:trPr>
          <w:trHeight w:hRule="exact" w:val="225"/>
        </w:trPr>
        <w:tc>
          <w:tcPr>
            <w:tcW w:w="2207" w:type="pct"/>
            <w:tcBorders>
              <w:top w:val="nil"/>
              <w:left w:val="nil"/>
              <w:bottom w:val="nil"/>
              <w:right w:val="nil"/>
            </w:tcBorders>
            <w:shd w:val="clear" w:color="auto" w:fill="auto"/>
            <w:noWrap/>
            <w:vAlign w:val="center"/>
            <w:hideMark/>
          </w:tcPr>
          <w:p w14:paraId="056B1F8D"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Climate spending (per cent of total spending)</w:t>
            </w:r>
          </w:p>
        </w:tc>
        <w:tc>
          <w:tcPr>
            <w:tcW w:w="559" w:type="pct"/>
            <w:tcBorders>
              <w:top w:val="nil"/>
              <w:left w:val="nil"/>
              <w:bottom w:val="nil"/>
              <w:right w:val="nil"/>
            </w:tcBorders>
            <w:shd w:val="clear" w:color="auto" w:fill="auto"/>
            <w:noWrap/>
            <w:vAlign w:val="bottom"/>
            <w:hideMark/>
          </w:tcPr>
          <w:p w14:paraId="79A61AC4"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0.3</w:t>
            </w:r>
          </w:p>
        </w:tc>
        <w:tc>
          <w:tcPr>
            <w:tcW w:w="559" w:type="pct"/>
            <w:tcBorders>
              <w:top w:val="nil"/>
              <w:left w:val="nil"/>
              <w:bottom w:val="nil"/>
              <w:right w:val="nil"/>
            </w:tcBorders>
            <w:shd w:val="clear" w:color="000000" w:fill="F2F9FC"/>
            <w:noWrap/>
            <w:vAlign w:val="bottom"/>
            <w:hideMark/>
          </w:tcPr>
          <w:p w14:paraId="745DDA65"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0.3</w:t>
            </w:r>
          </w:p>
        </w:tc>
        <w:tc>
          <w:tcPr>
            <w:tcW w:w="559" w:type="pct"/>
            <w:tcBorders>
              <w:top w:val="nil"/>
              <w:left w:val="nil"/>
              <w:bottom w:val="nil"/>
              <w:right w:val="nil"/>
            </w:tcBorders>
            <w:shd w:val="clear" w:color="auto" w:fill="auto"/>
            <w:noWrap/>
            <w:vAlign w:val="bottom"/>
            <w:hideMark/>
          </w:tcPr>
          <w:p w14:paraId="4F904502"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0.3</w:t>
            </w:r>
          </w:p>
        </w:tc>
        <w:tc>
          <w:tcPr>
            <w:tcW w:w="559" w:type="pct"/>
            <w:tcBorders>
              <w:top w:val="nil"/>
              <w:left w:val="nil"/>
              <w:bottom w:val="nil"/>
              <w:right w:val="nil"/>
            </w:tcBorders>
            <w:shd w:val="clear" w:color="auto" w:fill="auto"/>
            <w:noWrap/>
            <w:vAlign w:val="bottom"/>
            <w:hideMark/>
          </w:tcPr>
          <w:p w14:paraId="6CB4425A"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0.2</w:t>
            </w:r>
          </w:p>
        </w:tc>
        <w:tc>
          <w:tcPr>
            <w:tcW w:w="559" w:type="pct"/>
            <w:tcBorders>
              <w:top w:val="nil"/>
              <w:left w:val="nil"/>
              <w:bottom w:val="nil"/>
              <w:right w:val="nil"/>
            </w:tcBorders>
            <w:shd w:val="clear" w:color="auto" w:fill="auto"/>
            <w:noWrap/>
            <w:vAlign w:val="bottom"/>
            <w:hideMark/>
          </w:tcPr>
          <w:p w14:paraId="5A6274B9"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0.2</w:t>
            </w:r>
          </w:p>
        </w:tc>
      </w:tr>
      <w:tr w:rsidR="001857D7" w:rsidRPr="005546AF" w14:paraId="5DD8ECC8" w14:textId="77777777" w:rsidTr="00937696">
        <w:trPr>
          <w:trHeight w:hRule="exact" w:val="225"/>
        </w:trPr>
        <w:tc>
          <w:tcPr>
            <w:tcW w:w="2207" w:type="pct"/>
            <w:tcBorders>
              <w:top w:val="nil"/>
              <w:left w:val="nil"/>
              <w:bottom w:val="nil"/>
              <w:right w:val="nil"/>
            </w:tcBorders>
            <w:shd w:val="clear" w:color="auto" w:fill="auto"/>
            <w:noWrap/>
            <w:vAlign w:val="center"/>
            <w:hideMark/>
          </w:tcPr>
          <w:p w14:paraId="3491765F"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 xml:space="preserve">Change in face value of AGS from </w:t>
            </w:r>
          </w:p>
        </w:tc>
        <w:tc>
          <w:tcPr>
            <w:tcW w:w="559" w:type="pct"/>
            <w:tcBorders>
              <w:top w:val="nil"/>
              <w:left w:val="nil"/>
              <w:bottom w:val="nil"/>
              <w:right w:val="nil"/>
            </w:tcBorders>
            <w:shd w:val="clear" w:color="auto" w:fill="auto"/>
            <w:noWrap/>
            <w:vAlign w:val="bottom"/>
            <w:hideMark/>
          </w:tcPr>
          <w:p w14:paraId="4B76FBFE" w14:textId="77777777" w:rsidR="001857D7" w:rsidRPr="00091680" w:rsidRDefault="001857D7" w:rsidP="00937696">
            <w:pPr>
              <w:spacing w:after="0" w:line="240" w:lineRule="auto"/>
              <w:jc w:val="left"/>
              <w:rPr>
                <w:rFonts w:ascii="Arial" w:hAnsi="Arial" w:cs="Arial"/>
                <w:sz w:val="16"/>
                <w:szCs w:val="16"/>
              </w:rPr>
            </w:pPr>
          </w:p>
        </w:tc>
        <w:tc>
          <w:tcPr>
            <w:tcW w:w="559" w:type="pct"/>
            <w:tcBorders>
              <w:top w:val="nil"/>
              <w:left w:val="nil"/>
              <w:bottom w:val="nil"/>
              <w:right w:val="nil"/>
            </w:tcBorders>
            <w:shd w:val="clear" w:color="000000" w:fill="F2F9FC"/>
            <w:noWrap/>
            <w:vAlign w:val="bottom"/>
            <w:hideMark/>
          </w:tcPr>
          <w:p w14:paraId="2EAE252D"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 </w:t>
            </w:r>
          </w:p>
        </w:tc>
        <w:tc>
          <w:tcPr>
            <w:tcW w:w="559" w:type="pct"/>
            <w:tcBorders>
              <w:top w:val="nil"/>
              <w:left w:val="nil"/>
              <w:bottom w:val="nil"/>
              <w:right w:val="nil"/>
            </w:tcBorders>
            <w:shd w:val="clear" w:color="auto" w:fill="auto"/>
            <w:noWrap/>
            <w:vAlign w:val="bottom"/>
            <w:hideMark/>
          </w:tcPr>
          <w:p w14:paraId="69D50A62" w14:textId="77777777" w:rsidR="001857D7" w:rsidRPr="00091680" w:rsidRDefault="001857D7" w:rsidP="00937696">
            <w:pPr>
              <w:spacing w:after="0" w:line="240" w:lineRule="auto"/>
              <w:jc w:val="left"/>
              <w:rPr>
                <w:rFonts w:ascii="Arial" w:hAnsi="Arial" w:cs="Arial"/>
                <w:sz w:val="16"/>
                <w:szCs w:val="16"/>
              </w:rPr>
            </w:pPr>
          </w:p>
        </w:tc>
        <w:tc>
          <w:tcPr>
            <w:tcW w:w="559" w:type="pct"/>
            <w:tcBorders>
              <w:top w:val="nil"/>
              <w:left w:val="nil"/>
              <w:bottom w:val="nil"/>
              <w:right w:val="nil"/>
            </w:tcBorders>
            <w:shd w:val="clear" w:color="auto" w:fill="auto"/>
            <w:noWrap/>
            <w:vAlign w:val="bottom"/>
            <w:hideMark/>
          </w:tcPr>
          <w:p w14:paraId="2CFC460B" w14:textId="77777777" w:rsidR="001857D7" w:rsidRPr="00091680" w:rsidRDefault="001857D7" w:rsidP="00937696">
            <w:pPr>
              <w:spacing w:after="0" w:line="240" w:lineRule="auto"/>
              <w:jc w:val="left"/>
              <w:rPr>
                <w:rFonts w:ascii="Times New Roman" w:hAnsi="Times New Roman"/>
              </w:rPr>
            </w:pPr>
          </w:p>
        </w:tc>
        <w:tc>
          <w:tcPr>
            <w:tcW w:w="559" w:type="pct"/>
            <w:tcBorders>
              <w:top w:val="nil"/>
              <w:left w:val="nil"/>
              <w:bottom w:val="nil"/>
              <w:right w:val="nil"/>
            </w:tcBorders>
            <w:shd w:val="clear" w:color="auto" w:fill="auto"/>
            <w:noWrap/>
            <w:vAlign w:val="bottom"/>
            <w:hideMark/>
          </w:tcPr>
          <w:p w14:paraId="6517D1CF" w14:textId="77777777" w:rsidR="001857D7" w:rsidRPr="00091680" w:rsidRDefault="001857D7" w:rsidP="00937696">
            <w:pPr>
              <w:spacing w:after="0" w:line="240" w:lineRule="auto"/>
              <w:jc w:val="left"/>
              <w:rPr>
                <w:rFonts w:ascii="Times New Roman" w:hAnsi="Times New Roman"/>
              </w:rPr>
            </w:pPr>
          </w:p>
        </w:tc>
      </w:tr>
      <w:tr w:rsidR="001857D7" w:rsidRPr="005546AF" w14:paraId="34722FA0" w14:textId="77777777" w:rsidTr="00937696">
        <w:trPr>
          <w:trHeight w:hRule="exact" w:val="225"/>
        </w:trPr>
        <w:tc>
          <w:tcPr>
            <w:tcW w:w="2207" w:type="pct"/>
            <w:tcBorders>
              <w:top w:val="nil"/>
              <w:left w:val="nil"/>
              <w:bottom w:val="nil"/>
              <w:right w:val="nil"/>
            </w:tcBorders>
            <w:shd w:val="clear" w:color="auto" w:fill="auto"/>
            <w:noWrap/>
            <w:vAlign w:val="center"/>
            <w:hideMark/>
          </w:tcPr>
          <w:p w14:paraId="660094CA"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 xml:space="preserve">     previous year(c)</w:t>
            </w:r>
          </w:p>
        </w:tc>
        <w:tc>
          <w:tcPr>
            <w:tcW w:w="559" w:type="pct"/>
            <w:tcBorders>
              <w:top w:val="nil"/>
              <w:left w:val="nil"/>
              <w:bottom w:val="nil"/>
              <w:right w:val="nil"/>
            </w:tcBorders>
            <w:shd w:val="clear" w:color="auto" w:fill="auto"/>
            <w:noWrap/>
            <w:vAlign w:val="bottom"/>
            <w:hideMark/>
          </w:tcPr>
          <w:p w14:paraId="3F58E4F2"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89</w:t>
            </w:r>
          </w:p>
        </w:tc>
        <w:tc>
          <w:tcPr>
            <w:tcW w:w="559" w:type="pct"/>
            <w:tcBorders>
              <w:top w:val="nil"/>
              <w:left w:val="nil"/>
              <w:bottom w:val="nil"/>
              <w:right w:val="nil"/>
            </w:tcBorders>
            <w:shd w:val="clear" w:color="000000" w:fill="F2F9FC"/>
            <w:noWrap/>
            <w:vAlign w:val="bottom"/>
            <w:hideMark/>
          </w:tcPr>
          <w:p w14:paraId="5053F067"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71</w:t>
            </w:r>
          </w:p>
        </w:tc>
        <w:tc>
          <w:tcPr>
            <w:tcW w:w="559" w:type="pct"/>
            <w:tcBorders>
              <w:top w:val="nil"/>
              <w:left w:val="nil"/>
              <w:bottom w:val="nil"/>
              <w:right w:val="nil"/>
            </w:tcBorders>
            <w:shd w:val="clear" w:color="auto" w:fill="auto"/>
            <w:noWrap/>
            <w:vAlign w:val="bottom"/>
            <w:hideMark/>
          </w:tcPr>
          <w:p w14:paraId="3F3A8D1D"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79</w:t>
            </w:r>
          </w:p>
        </w:tc>
        <w:tc>
          <w:tcPr>
            <w:tcW w:w="559" w:type="pct"/>
            <w:tcBorders>
              <w:top w:val="nil"/>
              <w:left w:val="nil"/>
              <w:bottom w:val="nil"/>
              <w:right w:val="nil"/>
            </w:tcBorders>
            <w:shd w:val="clear" w:color="auto" w:fill="auto"/>
            <w:noWrap/>
            <w:vAlign w:val="bottom"/>
            <w:hideMark/>
          </w:tcPr>
          <w:p w14:paraId="44446861"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61</w:t>
            </w:r>
          </w:p>
        </w:tc>
        <w:tc>
          <w:tcPr>
            <w:tcW w:w="559" w:type="pct"/>
            <w:tcBorders>
              <w:top w:val="nil"/>
              <w:left w:val="nil"/>
              <w:bottom w:val="nil"/>
              <w:right w:val="nil"/>
            </w:tcBorders>
            <w:shd w:val="clear" w:color="auto" w:fill="auto"/>
            <w:noWrap/>
            <w:vAlign w:val="bottom"/>
            <w:hideMark/>
          </w:tcPr>
          <w:p w14:paraId="0F6518B9"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53</w:t>
            </w:r>
          </w:p>
        </w:tc>
      </w:tr>
      <w:tr w:rsidR="001857D7" w:rsidRPr="005546AF" w14:paraId="14AE2FAF" w14:textId="77777777" w:rsidTr="00937696">
        <w:trPr>
          <w:trHeight w:hRule="exact" w:val="225"/>
        </w:trPr>
        <w:tc>
          <w:tcPr>
            <w:tcW w:w="2207" w:type="pct"/>
            <w:tcBorders>
              <w:top w:val="nil"/>
              <w:left w:val="nil"/>
              <w:bottom w:val="nil"/>
              <w:right w:val="nil"/>
            </w:tcBorders>
            <w:shd w:val="clear" w:color="auto" w:fill="auto"/>
            <w:noWrap/>
            <w:vAlign w:val="center"/>
            <w:hideMark/>
          </w:tcPr>
          <w:p w14:paraId="1B99CC5E"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Contribution to change in face value of AGS</w:t>
            </w:r>
          </w:p>
        </w:tc>
        <w:tc>
          <w:tcPr>
            <w:tcW w:w="559" w:type="pct"/>
            <w:tcBorders>
              <w:top w:val="nil"/>
              <w:left w:val="nil"/>
              <w:bottom w:val="nil"/>
              <w:right w:val="nil"/>
            </w:tcBorders>
            <w:shd w:val="clear" w:color="auto" w:fill="auto"/>
            <w:noWrap/>
            <w:vAlign w:val="bottom"/>
            <w:hideMark/>
          </w:tcPr>
          <w:p w14:paraId="7641F14F" w14:textId="77777777" w:rsidR="001857D7" w:rsidRPr="00091680" w:rsidRDefault="001857D7" w:rsidP="00937696">
            <w:pPr>
              <w:spacing w:after="0" w:line="240" w:lineRule="auto"/>
              <w:jc w:val="left"/>
              <w:rPr>
                <w:rFonts w:ascii="Arial" w:hAnsi="Arial" w:cs="Arial"/>
                <w:sz w:val="16"/>
                <w:szCs w:val="16"/>
              </w:rPr>
            </w:pPr>
          </w:p>
        </w:tc>
        <w:tc>
          <w:tcPr>
            <w:tcW w:w="559" w:type="pct"/>
            <w:tcBorders>
              <w:top w:val="nil"/>
              <w:left w:val="nil"/>
              <w:bottom w:val="nil"/>
              <w:right w:val="nil"/>
            </w:tcBorders>
            <w:shd w:val="clear" w:color="000000" w:fill="F2F9FC"/>
            <w:noWrap/>
            <w:vAlign w:val="bottom"/>
            <w:hideMark/>
          </w:tcPr>
          <w:p w14:paraId="5AD3689F"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 </w:t>
            </w:r>
          </w:p>
        </w:tc>
        <w:tc>
          <w:tcPr>
            <w:tcW w:w="559" w:type="pct"/>
            <w:tcBorders>
              <w:top w:val="nil"/>
              <w:left w:val="nil"/>
              <w:bottom w:val="nil"/>
              <w:right w:val="nil"/>
            </w:tcBorders>
            <w:shd w:val="clear" w:color="auto" w:fill="auto"/>
            <w:noWrap/>
            <w:vAlign w:val="bottom"/>
            <w:hideMark/>
          </w:tcPr>
          <w:p w14:paraId="7B617E97" w14:textId="77777777" w:rsidR="001857D7" w:rsidRPr="00091680" w:rsidRDefault="001857D7" w:rsidP="00937696">
            <w:pPr>
              <w:spacing w:after="0" w:line="240" w:lineRule="auto"/>
              <w:jc w:val="left"/>
              <w:rPr>
                <w:rFonts w:ascii="Arial" w:hAnsi="Arial" w:cs="Arial"/>
                <w:sz w:val="16"/>
                <w:szCs w:val="16"/>
              </w:rPr>
            </w:pPr>
          </w:p>
        </w:tc>
        <w:tc>
          <w:tcPr>
            <w:tcW w:w="559" w:type="pct"/>
            <w:tcBorders>
              <w:top w:val="nil"/>
              <w:left w:val="nil"/>
              <w:bottom w:val="nil"/>
              <w:right w:val="nil"/>
            </w:tcBorders>
            <w:shd w:val="clear" w:color="auto" w:fill="auto"/>
            <w:noWrap/>
            <w:vAlign w:val="bottom"/>
            <w:hideMark/>
          </w:tcPr>
          <w:p w14:paraId="66425719" w14:textId="77777777" w:rsidR="001857D7" w:rsidRPr="00091680" w:rsidRDefault="001857D7" w:rsidP="00937696">
            <w:pPr>
              <w:spacing w:after="0" w:line="240" w:lineRule="auto"/>
              <w:jc w:val="left"/>
              <w:rPr>
                <w:rFonts w:ascii="Times New Roman" w:hAnsi="Times New Roman"/>
              </w:rPr>
            </w:pPr>
          </w:p>
        </w:tc>
        <w:tc>
          <w:tcPr>
            <w:tcW w:w="559" w:type="pct"/>
            <w:tcBorders>
              <w:top w:val="nil"/>
              <w:left w:val="nil"/>
              <w:bottom w:val="nil"/>
              <w:right w:val="nil"/>
            </w:tcBorders>
            <w:shd w:val="clear" w:color="auto" w:fill="auto"/>
            <w:noWrap/>
            <w:vAlign w:val="bottom"/>
            <w:hideMark/>
          </w:tcPr>
          <w:p w14:paraId="1A1437D2" w14:textId="77777777" w:rsidR="001857D7" w:rsidRPr="00091680" w:rsidRDefault="001857D7" w:rsidP="00937696">
            <w:pPr>
              <w:spacing w:after="0" w:line="240" w:lineRule="auto"/>
              <w:jc w:val="left"/>
              <w:rPr>
                <w:rFonts w:ascii="Times New Roman" w:hAnsi="Times New Roman"/>
              </w:rPr>
            </w:pPr>
          </w:p>
        </w:tc>
      </w:tr>
      <w:tr w:rsidR="001857D7" w:rsidRPr="005546AF" w14:paraId="51060D1D" w14:textId="77777777" w:rsidTr="00937696">
        <w:trPr>
          <w:trHeight w:hRule="exact" w:val="225"/>
        </w:trPr>
        <w:tc>
          <w:tcPr>
            <w:tcW w:w="2207" w:type="pct"/>
            <w:tcBorders>
              <w:top w:val="nil"/>
              <w:left w:val="nil"/>
              <w:bottom w:val="single" w:sz="4" w:space="0" w:color="000000"/>
              <w:right w:val="nil"/>
            </w:tcBorders>
            <w:shd w:val="clear" w:color="auto" w:fill="auto"/>
            <w:noWrap/>
            <w:vAlign w:val="center"/>
            <w:hideMark/>
          </w:tcPr>
          <w:p w14:paraId="79680F7B" w14:textId="77777777" w:rsidR="001857D7" w:rsidRPr="00091680" w:rsidRDefault="001857D7" w:rsidP="00937696">
            <w:pPr>
              <w:spacing w:after="0" w:line="240" w:lineRule="auto"/>
              <w:jc w:val="left"/>
              <w:rPr>
                <w:rFonts w:ascii="Arial" w:hAnsi="Arial" w:cs="Arial"/>
                <w:sz w:val="16"/>
                <w:szCs w:val="16"/>
              </w:rPr>
            </w:pPr>
            <w:r w:rsidRPr="00091680">
              <w:rPr>
                <w:rFonts w:ascii="Arial" w:hAnsi="Arial" w:cs="Arial"/>
                <w:sz w:val="16"/>
                <w:szCs w:val="16"/>
              </w:rPr>
              <w:t xml:space="preserve">     from climate spending</w:t>
            </w:r>
          </w:p>
        </w:tc>
        <w:tc>
          <w:tcPr>
            <w:tcW w:w="559" w:type="pct"/>
            <w:tcBorders>
              <w:top w:val="nil"/>
              <w:left w:val="nil"/>
              <w:bottom w:val="single" w:sz="4" w:space="0" w:color="000000"/>
              <w:right w:val="nil"/>
            </w:tcBorders>
            <w:shd w:val="clear" w:color="auto" w:fill="auto"/>
            <w:noWrap/>
            <w:vAlign w:val="bottom"/>
            <w:hideMark/>
          </w:tcPr>
          <w:p w14:paraId="2826E9C1"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0.3</w:t>
            </w:r>
          </w:p>
        </w:tc>
        <w:tc>
          <w:tcPr>
            <w:tcW w:w="559" w:type="pct"/>
            <w:tcBorders>
              <w:top w:val="nil"/>
              <w:left w:val="nil"/>
              <w:bottom w:val="single" w:sz="4" w:space="0" w:color="000000"/>
              <w:right w:val="nil"/>
            </w:tcBorders>
            <w:shd w:val="clear" w:color="000000" w:fill="F2F9FC"/>
            <w:noWrap/>
            <w:vAlign w:val="bottom"/>
            <w:hideMark/>
          </w:tcPr>
          <w:p w14:paraId="77E2658E"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0.2</w:t>
            </w:r>
          </w:p>
        </w:tc>
        <w:tc>
          <w:tcPr>
            <w:tcW w:w="559" w:type="pct"/>
            <w:tcBorders>
              <w:top w:val="nil"/>
              <w:left w:val="nil"/>
              <w:bottom w:val="single" w:sz="4" w:space="0" w:color="000000"/>
              <w:right w:val="nil"/>
            </w:tcBorders>
            <w:shd w:val="clear" w:color="auto" w:fill="auto"/>
            <w:noWrap/>
            <w:vAlign w:val="bottom"/>
            <w:hideMark/>
          </w:tcPr>
          <w:p w14:paraId="435EEDA0"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0.2</w:t>
            </w:r>
          </w:p>
        </w:tc>
        <w:tc>
          <w:tcPr>
            <w:tcW w:w="559" w:type="pct"/>
            <w:tcBorders>
              <w:top w:val="nil"/>
              <w:left w:val="nil"/>
              <w:bottom w:val="single" w:sz="4" w:space="0" w:color="000000"/>
              <w:right w:val="nil"/>
            </w:tcBorders>
            <w:shd w:val="clear" w:color="auto" w:fill="auto"/>
            <w:noWrap/>
            <w:vAlign w:val="bottom"/>
            <w:hideMark/>
          </w:tcPr>
          <w:p w14:paraId="2BCEE27A"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0.1</w:t>
            </w:r>
          </w:p>
        </w:tc>
        <w:tc>
          <w:tcPr>
            <w:tcW w:w="559" w:type="pct"/>
            <w:tcBorders>
              <w:top w:val="nil"/>
              <w:left w:val="nil"/>
              <w:bottom w:val="single" w:sz="4" w:space="0" w:color="000000"/>
              <w:right w:val="nil"/>
            </w:tcBorders>
            <w:shd w:val="clear" w:color="auto" w:fill="auto"/>
            <w:noWrap/>
            <w:vAlign w:val="bottom"/>
            <w:hideMark/>
          </w:tcPr>
          <w:p w14:paraId="3AD32382" w14:textId="77777777" w:rsidR="001857D7" w:rsidRPr="00091680" w:rsidRDefault="001857D7" w:rsidP="00937696">
            <w:pPr>
              <w:spacing w:after="0" w:line="240" w:lineRule="auto"/>
              <w:jc w:val="right"/>
              <w:rPr>
                <w:rFonts w:ascii="Arial" w:hAnsi="Arial" w:cs="Arial"/>
                <w:sz w:val="16"/>
                <w:szCs w:val="16"/>
              </w:rPr>
            </w:pPr>
            <w:r w:rsidRPr="00091680">
              <w:rPr>
                <w:rFonts w:ascii="Arial" w:hAnsi="Arial" w:cs="Arial"/>
                <w:sz w:val="16"/>
                <w:szCs w:val="16"/>
              </w:rPr>
              <w:t>0.1</w:t>
            </w:r>
          </w:p>
        </w:tc>
      </w:tr>
    </w:tbl>
    <w:p w14:paraId="44CA37EB" w14:textId="392132AD" w:rsidR="0031117E" w:rsidRPr="00091680" w:rsidRDefault="0031117E" w:rsidP="001857D7">
      <w:pPr>
        <w:pStyle w:val="ChartandTableFootnoteAlpha"/>
        <w:numPr>
          <w:ilvl w:val="0"/>
          <w:numId w:val="17"/>
        </w:numPr>
      </w:pPr>
      <w:r w:rsidRPr="00091680">
        <w:t>The calculation of climate spending in this table is on a headline cash balance basis – that is, payments and net cash flows from investments in financial assets for policy purposes, as well as estimated interest receipts associated with the Clean Energy Finance Corporation investments.</w:t>
      </w:r>
    </w:p>
    <w:p w14:paraId="1CD003AC" w14:textId="77777777" w:rsidR="0031117E" w:rsidRPr="00091680" w:rsidRDefault="0031117E" w:rsidP="0031117E">
      <w:pPr>
        <w:pStyle w:val="ChartandTableFootnoteAlpha"/>
        <w:rPr>
          <w:color w:val="auto"/>
        </w:rPr>
      </w:pPr>
      <w:r w:rsidRPr="00091680">
        <w:rPr>
          <w:color w:val="auto"/>
        </w:rPr>
        <w:t>The calculation of total spending in this table is on a headline cash balance basis – that is, total payments and net cash flows from investments in financial assets for policy purposes.</w:t>
      </w:r>
    </w:p>
    <w:p w14:paraId="73299408" w14:textId="488A6175" w:rsidR="0031117E" w:rsidRPr="007A2B65" w:rsidRDefault="0031117E" w:rsidP="0031117E">
      <w:pPr>
        <w:pStyle w:val="ChartandTableFootnoteAlpha"/>
        <w:rPr>
          <w:color w:val="auto"/>
        </w:rPr>
      </w:pPr>
      <w:r w:rsidRPr="00091680">
        <w:rPr>
          <w:color w:val="auto"/>
        </w:rPr>
        <w:t>Calculations of the change in the face value of AGS are calculated using total AGS on issue.</w:t>
      </w:r>
    </w:p>
    <w:p w14:paraId="02F614A3" w14:textId="1D20D9BD" w:rsidR="00422DD3" w:rsidRPr="00422DD3" w:rsidRDefault="00422DD3" w:rsidP="00D8461F"/>
    <w:sectPr w:rsidR="00422DD3" w:rsidRPr="00422DD3" w:rsidSect="00936FB6">
      <w:headerReference w:type="even" r:id="rId20"/>
      <w:headerReference w:type="default" r:id="rId21"/>
      <w:footerReference w:type="even" r:id="rId22"/>
      <w:footerReference w:type="default" r:id="rId23"/>
      <w:headerReference w:type="first" r:id="rId24"/>
      <w:footerReference w:type="first" r:id="rId25"/>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73B5E" w14:textId="77777777" w:rsidR="00A23F6C" w:rsidRDefault="00A23F6C" w:rsidP="00E40261">
      <w:pPr>
        <w:spacing w:after="0" w:line="240" w:lineRule="auto"/>
      </w:pPr>
      <w:r>
        <w:separator/>
      </w:r>
    </w:p>
  </w:endnote>
  <w:endnote w:type="continuationSeparator" w:id="0">
    <w:p w14:paraId="3150F77B" w14:textId="77777777" w:rsidR="00A23F6C" w:rsidRDefault="00A23F6C" w:rsidP="00E40261">
      <w:pPr>
        <w:spacing w:after="0" w:line="240" w:lineRule="auto"/>
      </w:pPr>
      <w:r>
        <w:continuationSeparator/>
      </w:r>
    </w:p>
  </w:endnote>
  <w:endnote w:type="continuationNotice" w:id="1">
    <w:p w14:paraId="5EDC42BA" w14:textId="77777777" w:rsidR="00A23F6C" w:rsidRDefault="00A23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D3B6" w14:textId="66A9438C" w:rsidR="003C48F3" w:rsidRPr="00407854" w:rsidRDefault="003C48F3" w:rsidP="00237D11">
    <w:pPr>
      <w:pStyle w:val="Footer"/>
    </w:pPr>
    <w:r>
      <w:fldChar w:fldCharType="begin"/>
    </w:r>
    <w:r>
      <w:instrText xml:space="preserve"> KEYWORDS  \* MERGEFORMAT </w:instrText>
    </w:r>
    <w:r>
      <w:fldChar w:fldCharType="end"/>
    </w:r>
    <w:r>
      <w:fldChar w:fldCharType="begin"/>
    </w:r>
    <w:r>
      <w:instrText xml:space="preserve"> PAGE  \* MERGEFORMAT </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45F0" w14:textId="0B93B4B3" w:rsidR="003C48F3" w:rsidRPr="00407854" w:rsidRDefault="003C48F3" w:rsidP="00237D11">
    <w:pPr>
      <w:pStyle w:val="Footer"/>
    </w:pPr>
    <w:r>
      <w:fldChar w:fldCharType="begin"/>
    </w:r>
    <w:r>
      <w:instrText xml:space="preserve"> KEYWORDS  \* MERGEFORMAT </w:instrText>
    </w:r>
    <w:r>
      <w:fldChar w:fldCharType="end"/>
    </w:r>
    <w:r>
      <w:fldChar w:fldCharType="begin"/>
    </w:r>
    <w:r>
      <w:instrText xml:space="preserve"> PAGE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48E76" w14:textId="4844459E" w:rsidR="003C48F3" w:rsidRDefault="00766426" w:rsidP="00237D11">
    <w:pPr>
      <w:pStyle w:val="FooterOdd"/>
    </w:pPr>
    <w:fldSimple w:instr="SUBJECT   \* MERGEFORMAT">
      <w:r w:rsidR="008370D9">
        <w:t>Statement 6: Debt Statement</w:t>
      </w:r>
    </w:fldSimple>
    <w:r w:rsidR="003C48F3" w:rsidRPr="00B3705D">
      <w:t xml:space="preserve">  |  </w:t>
    </w:r>
    <w:r w:rsidR="003C48F3" w:rsidRPr="00B3705D">
      <w:rPr>
        <w:b/>
        <w:bCs/>
      </w:rPr>
      <w:t xml:space="preserve">Page </w:t>
    </w:r>
    <w:r w:rsidR="003C48F3" w:rsidRPr="00B3705D">
      <w:rPr>
        <w:b/>
        <w:bCs/>
      </w:rPr>
      <w:fldChar w:fldCharType="begin"/>
    </w:r>
    <w:r w:rsidR="003C48F3" w:rsidRPr="00B3705D">
      <w:rPr>
        <w:b/>
        <w:bCs/>
      </w:rPr>
      <w:instrText xml:space="preserve"> PAGE  \* Arabic  \* MERGEFORMAT </w:instrText>
    </w:r>
    <w:r w:rsidR="003C48F3" w:rsidRPr="00B3705D">
      <w:rPr>
        <w:b/>
        <w:bCs/>
      </w:rPr>
      <w:fldChar w:fldCharType="separate"/>
    </w:r>
    <w:r w:rsidR="003C48F3">
      <w:rPr>
        <w:b/>
        <w:bCs/>
        <w:noProof/>
      </w:rPr>
      <w:t>1</w:t>
    </w:r>
    <w:r w:rsidR="003C48F3"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098F" w14:textId="6087B2ED" w:rsidR="00614554" w:rsidRDefault="00614554"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8370D9">
        <w:t>Statement 6: Debt Statement</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2D0D" w14:textId="7425CA16" w:rsidR="00614554" w:rsidRDefault="00766426" w:rsidP="002A6A16">
    <w:pPr>
      <w:pStyle w:val="FooterOdd"/>
    </w:pPr>
    <w:fldSimple w:instr="SUBJECT   \* MERGEFORMAT">
      <w:r w:rsidR="008370D9">
        <w:t>Statement 6: Debt Statement</w:t>
      </w:r>
    </w:fldSimple>
    <w:r w:rsidR="00614554" w:rsidRPr="00B3705D">
      <w:t xml:space="preserve">  |  </w:t>
    </w:r>
    <w:r w:rsidR="00614554" w:rsidRPr="00B3705D">
      <w:rPr>
        <w:b/>
        <w:bCs/>
      </w:rPr>
      <w:t xml:space="preserve">Page </w:t>
    </w:r>
    <w:r w:rsidR="00614554" w:rsidRPr="00B3705D">
      <w:rPr>
        <w:b/>
        <w:bCs/>
      </w:rPr>
      <w:fldChar w:fldCharType="begin"/>
    </w:r>
    <w:r w:rsidR="00614554" w:rsidRPr="00B3705D">
      <w:rPr>
        <w:b/>
        <w:bCs/>
      </w:rPr>
      <w:instrText xml:space="preserve"> PAGE  \* Arabic  \* MERGEFORMAT </w:instrText>
    </w:r>
    <w:r w:rsidR="00614554" w:rsidRPr="00B3705D">
      <w:rPr>
        <w:b/>
        <w:bCs/>
      </w:rPr>
      <w:fldChar w:fldCharType="separate"/>
    </w:r>
    <w:r w:rsidR="00614554">
      <w:rPr>
        <w:b/>
        <w:bCs/>
      </w:rPr>
      <w:t>1</w:t>
    </w:r>
    <w:r w:rsidR="00614554"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2748" w14:textId="250214C8" w:rsidR="00614554" w:rsidRDefault="00766426" w:rsidP="00360947">
    <w:pPr>
      <w:pStyle w:val="FooterOdd"/>
    </w:pPr>
    <w:fldSimple w:instr="SUBJECT   \* MERGEFORMAT">
      <w:r w:rsidR="008370D9">
        <w:t>Statement 6: Debt Statement</w:t>
      </w:r>
    </w:fldSimple>
    <w:r w:rsidR="00614554" w:rsidRPr="00B3705D">
      <w:t xml:space="preserve">  |  </w:t>
    </w:r>
    <w:r w:rsidR="00614554" w:rsidRPr="00B3705D">
      <w:rPr>
        <w:b/>
        <w:bCs/>
      </w:rPr>
      <w:t xml:space="preserve">Page </w:t>
    </w:r>
    <w:r w:rsidR="00614554" w:rsidRPr="00B3705D">
      <w:rPr>
        <w:b/>
        <w:bCs/>
      </w:rPr>
      <w:fldChar w:fldCharType="begin"/>
    </w:r>
    <w:r w:rsidR="00614554" w:rsidRPr="00B3705D">
      <w:rPr>
        <w:b/>
        <w:bCs/>
      </w:rPr>
      <w:instrText xml:space="preserve"> PAGE  \* Arabic  \* MERGEFORMAT </w:instrText>
    </w:r>
    <w:r w:rsidR="00614554" w:rsidRPr="00B3705D">
      <w:rPr>
        <w:b/>
        <w:bCs/>
      </w:rPr>
      <w:fldChar w:fldCharType="separate"/>
    </w:r>
    <w:r w:rsidR="00614554">
      <w:rPr>
        <w:b/>
        <w:bCs/>
      </w:rPr>
      <w:t>1</w:t>
    </w:r>
    <w:r w:rsidR="00614554"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5A7D" w14:textId="77777777" w:rsidR="00A23F6C" w:rsidRDefault="00A23F6C" w:rsidP="00E40261">
      <w:pPr>
        <w:spacing w:after="0" w:line="240" w:lineRule="auto"/>
      </w:pPr>
      <w:r>
        <w:separator/>
      </w:r>
    </w:p>
  </w:footnote>
  <w:footnote w:type="continuationSeparator" w:id="0">
    <w:p w14:paraId="6AFE6F10" w14:textId="77777777" w:rsidR="00A23F6C" w:rsidRDefault="00A23F6C" w:rsidP="00E40261">
      <w:pPr>
        <w:spacing w:after="0" w:line="240" w:lineRule="auto"/>
      </w:pPr>
      <w:r>
        <w:continuationSeparator/>
      </w:r>
    </w:p>
  </w:footnote>
  <w:footnote w:type="continuationNotice" w:id="1">
    <w:p w14:paraId="5FE6E9C9" w14:textId="77777777" w:rsidR="00A23F6C" w:rsidRDefault="00A23F6C">
      <w:pPr>
        <w:spacing w:after="0" w:line="240" w:lineRule="auto"/>
      </w:pPr>
    </w:p>
  </w:footnote>
  <w:footnote w:id="2">
    <w:p w14:paraId="7B5DB3E8" w14:textId="2D79EE1F" w:rsidR="00DD02E8" w:rsidRPr="000033D0" w:rsidRDefault="00DD02E8" w:rsidP="00DD02E8">
      <w:pPr>
        <w:pStyle w:val="FootnoteText"/>
      </w:pPr>
      <w:r w:rsidRPr="00652D6F">
        <w:rPr>
          <w:rStyle w:val="FootnoteReference"/>
          <w:vertAlign w:val="baseline"/>
        </w:rPr>
        <w:footnoteRef/>
      </w:r>
      <w:r w:rsidRPr="00652D6F">
        <w:rPr>
          <w:rStyle w:val="FootnoteReference"/>
        </w:rPr>
        <w:t xml:space="preserve"> </w:t>
      </w:r>
      <w:r w:rsidRPr="00091680">
        <w:rPr>
          <w:rStyle w:val="FootnoteReference"/>
        </w:rPr>
        <w:tab/>
      </w:r>
      <w:r w:rsidRPr="00091680">
        <w:t xml:space="preserve">For TIBs, the final repayment amount paid to investors includes an additional amount to </w:t>
      </w:r>
      <w:r w:rsidR="008B4233" w:rsidRPr="00091680">
        <w:t>reflect</w:t>
      </w:r>
      <w:r w:rsidR="005F214D" w:rsidRPr="00091680">
        <w:t xml:space="preserve"> the impact of</w:t>
      </w:r>
      <w:r w:rsidRPr="00091680">
        <w:t xml:space="preserve"> inflation over the life of the security. This </w:t>
      </w:r>
      <w:r w:rsidR="009C781E" w:rsidRPr="00091680">
        <w:t>additional</w:t>
      </w:r>
      <w:r w:rsidRPr="00091680">
        <w:t xml:space="preserve"> amount is not included in the calculation of face value.</w:t>
      </w:r>
    </w:p>
  </w:footnote>
  <w:footnote w:id="3">
    <w:p w14:paraId="7E054B85" w14:textId="79502E2C" w:rsidR="003C48F3" w:rsidRDefault="003C48F3" w:rsidP="003C48F3">
      <w:pPr>
        <w:pStyle w:val="FootnoteText"/>
      </w:pPr>
      <w:r w:rsidRPr="00035799">
        <w:rPr>
          <w:rStyle w:val="FootnoteReference"/>
          <w:vertAlign w:val="baseline"/>
        </w:rPr>
        <w:footnoteRef/>
      </w:r>
      <w:r w:rsidRPr="00035799">
        <w:t xml:space="preserve"> </w:t>
      </w:r>
      <w:r w:rsidRPr="00091680">
        <w:tab/>
        <w:t>End</w:t>
      </w:r>
      <w:r w:rsidRPr="00091680">
        <w:noBreakHyphen/>
        <w:t>of</w:t>
      </w:r>
      <w:r w:rsidRPr="00091680">
        <w:noBreakHyphen/>
        <w:t>year values are estimates of AGS on issue at 30 June for the particular year. The precise timing and level of within</w:t>
      </w:r>
      <w:r w:rsidRPr="00091680">
        <w:noBreakHyphen/>
        <w:t>year peaks of AGS on issue cannot be determined with accuracy. The timing of the within</w:t>
      </w:r>
      <w:r w:rsidRPr="00091680">
        <w:noBreakHyphen/>
        <w:t>year peak is therefore reported to the given month in the particular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A57B3" w14:textId="2823AE48" w:rsidR="003C48F3" w:rsidRDefault="00766426" w:rsidP="00D82B0F">
    <w:pPr>
      <w:pStyle w:val="HeaderEven"/>
    </w:pPr>
    <w:fldSimple w:instr="TITLE  \* MERGEFORMAT">
      <w:r w:rsidR="008370D9">
        <w:t>Budget Paper No. 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353D" w14:textId="1FCBA776" w:rsidR="003C48F3" w:rsidRPr="00E40261" w:rsidRDefault="00766426" w:rsidP="00FC7371">
    <w:pPr>
      <w:pStyle w:val="HeaderOdd"/>
    </w:pPr>
    <w:fldSimple w:instr="SUBJECT \* MERGEFORMAT">
      <w:r w:rsidR="008370D9">
        <w:t>Statement 6: Debt Statement</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136E" w14:textId="77777777" w:rsidR="008370D9" w:rsidRDefault="008370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D55E" w14:textId="09A870BF" w:rsidR="00614554" w:rsidRPr="00AA5439" w:rsidRDefault="00614554"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14554" w14:paraId="26EEC340" w14:textId="77777777" w:rsidTr="002A6A16">
      <w:trPr>
        <w:trHeight w:hRule="exact" w:val="340"/>
      </w:trPr>
      <w:tc>
        <w:tcPr>
          <w:tcW w:w="7797" w:type="dxa"/>
        </w:tcPr>
        <w:p w14:paraId="32314347" w14:textId="02D92EDF" w:rsidR="00614554" w:rsidRDefault="00614554" w:rsidP="008F55F8">
          <w:pPr>
            <w:pStyle w:val="HeaderEven"/>
            <w:ind w:left="-113"/>
          </w:pPr>
          <w:r w:rsidRPr="000635BE">
            <w:rPr>
              <w:rFonts w:ascii="Arial Bold" w:hAnsi="Arial Bold"/>
              <w:b/>
              <w:bCs/>
              <w:noProof/>
              <w:position w:val="-10"/>
            </w:rPr>
            <w:drawing>
              <wp:inline distT="0" distB="0" distL="0" distR="0" wp14:anchorId="43623258" wp14:editId="67277C9A">
                <wp:extent cx="989308" cy="225993"/>
                <wp:effectExtent l="0" t="0" r="1905" b="317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8370D9">
              <w:t>Budget Paper No. 1</w:t>
            </w:r>
          </w:fldSimple>
        </w:p>
      </w:tc>
    </w:tr>
  </w:tbl>
  <w:p w14:paraId="30C53A87" w14:textId="77777777" w:rsidR="00614554" w:rsidRPr="00AA5439" w:rsidRDefault="00614554" w:rsidP="00AA5439">
    <w:pPr>
      <w:pStyle w:val="HeaderEven"/>
      <w:rPr>
        <w:sz w:val="2"/>
        <w:szCs w:val="4"/>
      </w:rPr>
    </w:pPr>
  </w:p>
  <w:p w14:paraId="19632370" w14:textId="77777777" w:rsidR="00614554" w:rsidRPr="007703C7" w:rsidRDefault="00614554"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9E75A" w14:textId="10282E62" w:rsidR="00614554" w:rsidRPr="000635BE" w:rsidRDefault="00614554"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14554" w14:paraId="0B45483C" w14:textId="77777777" w:rsidTr="002A6A16">
      <w:trPr>
        <w:trHeight w:hRule="exact" w:val="340"/>
      </w:trPr>
      <w:tc>
        <w:tcPr>
          <w:tcW w:w="7797" w:type="dxa"/>
        </w:tcPr>
        <w:p w14:paraId="580D24B0" w14:textId="37F51AEA" w:rsidR="00614554" w:rsidRDefault="00766426" w:rsidP="000635BE">
          <w:pPr>
            <w:pStyle w:val="HeaderOdd"/>
          </w:pPr>
          <w:fldSimple w:instr="TITLE   \* MERGEFORMAT">
            <w:r w:rsidR="008370D9">
              <w:t>Budget Paper No. 1</w:t>
            </w:r>
          </w:fldSimple>
          <w:r w:rsidR="00614554">
            <w:t xml:space="preserve">  |  </w:t>
          </w:r>
          <w:r w:rsidR="00614554" w:rsidRPr="000635BE">
            <w:rPr>
              <w:rFonts w:ascii="Arial Bold" w:hAnsi="Arial Bold"/>
              <w:b/>
              <w:bCs/>
              <w:noProof/>
              <w:position w:val="-10"/>
            </w:rPr>
            <w:drawing>
              <wp:inline distT="0" distB="0" distL="0" distR="0" wp14:anchorId="0520038D" wp14:editId="70E3FEA7">
                <wp:extent cx="989308" cy="225993"/>
                <wp:effectExtent l="0" t="0" r="1905" b="317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BF0E688" w14:textId="77777777" w:rsidR="00614554" w:rsidRPr="00AA5439" w:rsidRDefault="00614554"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8D2CA" w14:textId="73AF66E3" w:rsidR="00614554" w:rsidRDefault="006145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4C9526B9"/>
    <w:multiLevelType w:val="multilevel"/>
    <w:tmpl w:val="DE12F0C8"/>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0"/>
  </w:num>
  <w:num w:numId="4">
    <w:abstractNumId w:val="2"/>
  </w:num>
  <w:num w:numId="5">
    <w:abstractNumId w:val="4"/>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ocumentProtection w:edit="comments" w:enforcement="0"/>
  <w:defaultTabStop w:val="720"/>
  <w:evenAndOddHeaders/>
  <w:characterSpacingControl w:val="doNotCompress"/>
  <w:hdrShapeDefaults>
    <o:shapedefaults v:ext="edit" spidmax="10241"/>
  </w:hdrShapeDefaults>
  <w:footnotePr>
    <w:numStart w:val="19"/>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C48F3"/>
    <w:rsid w:val="00000477"/>
    <w:rsid w:val="0000102F"/>
    <w:rsid w:val="00001889"/>
    <w:rsid w:val="00001CC6"/>
    <w:rsid w:val="00001E4D"/>
    <w:rsid w:val="0000213A"/>
    <w:rsid w:val="00002BE7"/>
    <w:rsid w:val="00002FBE"/>
    <w:rsid w:val="000031A9"/>
    <w:rsid w:val="000040B8"/>
    <w:rsid w:val="00004933"/>
    <w:rsid w:val="00005252"/>
    <w:rsid w:val="00005A98"/>
    <w:rsid w:val="00005B80"/>
    <w:rsid w:val="00005D62"/>
    <w:rsid w:val="00006621"/>
    <w:rsid w:val="00006639"/>
    <w:rsid w:val="00006BFE"/>
    <w:rsid w:val="000071A3"/>
    <w:rsid w:val="00011DBB"/>
    <w:rsid w:val="00012971"/>
    <w:rsid w:val="00013EA8"/>
    <w:rsid w:val="000148D0"/>
    <w:rsid w:val="00014BFD"/>
    <w:rsid w:val="00015175"/>
    <w:rsid w:val="00016C63"/>
    <w:rsid w:val="000178BC"/>
    <w:rsid w:val="00020785"/>
    <w:rsid w:val="00020DA9"/>
    <w:rsid w:val="000211E6"/>
    <w:rsid w:val="00021286"/>
    <w:rsid w:val="000220E1"/>
    <w:rsid w:val="000226FA"/>
    <w:rsid w:val="00023E39"/>
    <w:rsid w:val="000240B7"/>
    <w:rsid w:val="00024B66"/>
    <w:rsid w:val="00025387"/>
    <w:rsid w:val="000259FF"/>
    <w:rsid w:val="00026C8C"/>
    <w:rsid w:val="000276E3"/>
    <w:rsid w:val="0003075F"/>
    <w:rsid w:val="00030891"/>
    <w:rsid w:val="0003145B"/>
    <w:rsid w:val="00031775"/>
    <w:rsid w:val="00031857"/>
    <w:rsid w:val="000319DE"/>
    <w:rsid w:val="00031AC0"/>
    <w:rsid w:val="00031C8E"/>
    <w:rsid w:val="00032A07"/>
    <w:rsid w:val="00033EAA"/>
    <w:rsid w:val="00034E27"/>
    <w:rsid w:val="000352B0"/>
    <w:rsid w:val="00035447"/>
    <w:rsid w:val="00035A8B"/>
    <w:rsid w:val="00035D8D"/>
    <w:rsid w:val="00036277"/>
    <w:rsid w:val="0003670A"/>
    <w:rsid w:val="00036C09"/>
    <w:rsid w:val="00037848"/>
    <w:rsid w:val="0003794A"/>
    <w:rsid w:val="00037FBA"/>
    <w:rsid w:val="00041CB4"/>
    <w:rsid w:val="00041E37"/>
    <w:rsid w:val="000425F5"/>
    <w:rsid w:val="000429E1"/>
    <w:rsid w:val="00042A43"/>
    <w:rsid w:val="0004382D"/>
    <w:rsid w:val="00044470"/>
    <w:rsid w:val="000444E0"/>
    <w:rsid w:val="00045CD1"/>
    <w:rsid w:val="000464B4"/>
    <w:rsid w:val="000466B6"/>
    <w:rsid w:val="000468AD"/>
    <w:rsid w:val="000469AB"/>
    <w:rsid w:val="00050055"/>
    <w:rsid w:val="000504F2"/>
    <w:rsid w:val="000507FA"/>
    <w:rsid w:val="000509F0"/>
    <w:rsid w:val="00051B86"/>
    <w:rsid w:val="00051BD2"/>
    <w:rsid w:val="00052931"/>
    <w:rsid w:val="00052AC9"/>
    <w:rsid w:val="00052C46"/>
    <w:rsid w:val="00052F72"/>
    <w:rsid w:val="00052FBC"/>
    <w:rsid w:val="000535AD"/>
    <w:rsid w:val="00054471"/>
    <w:rsid w:val="00054EE0"/>
    <w:rsid w:val="000553CB"/>
    <w:rsid w:val="0005558B"/>
    <w:rsid w:val="00055E06"/>
    <w:rsid w:val="000562B3"/>
    <w:rsid w:val="0005679C"/>
    <w:rsid w:val="00056C50"/>
    <w:rsid w:val="00056F66"/>
    <w:rsid w:val="000579A1"/>
    <w:rsid w:val="00057EC5"/>
    <w:rsid w:val="0006025A"/>
    <w:rsid w:val="00060A84"/>
    <w:rsid w:val="0006126B"/>
    <w:rsid w:val="000622DA"/>
    <w:rsid w:val="0006349E"/>
    <w:rsid w:val="000635BE"/>
    <w:rsid w:val="00063FFC"/>
    <w:rsid w:val="000642F7"/>
    <w:rsid w:val="00064422"/>
    <w:rsid w:val="00064BC5"/>
    <w:rsid w:val="00064FCC"/>
    <w:rsid w:val="00065B08"/>
    <w:rsid w:val="0006616A"/>
    <w:rsid w:val="00066375"/>
    <w:rsid w:val="000668DC"/>
    <w:rsid w:val="00066C74"/>
    <w:rsid w:val="000671DD"/>
    <w:rsid w:val="0007033C"/>
    <w:rsid w:val="000708DC"/>
    <w:rsid w:val="00070918"/>
    <w:rsid w:val="0007189C"/>
    <w:rsid w:val="00071944"/>
    <w:rsid w:val="00071AE6"/>
    <w:rsid w:val="00071E06"/>
    <w:rsid w:val="000723F0"/>
    <w:rsid w:val="000732A0"/>
    <w:rsid w:val="00074520"/>
    <w:rsid w:val="0007488F"/>
    <w:rsid w:val="00074AAD"/>
    <w:rsid w:val="00075951"/>
    <w:rsid w:val="00075AED"/>
    <w:rsid w:val="00075BBD"/>
    <w:rsid w:val="00075F6F"/>
    <w:rsid w:val="00076020"/>
    <w:rsid w:val="000760BF"/>
    <w:rsid w:val="00076D37"/>
    <w:rsid w:val="00077433"/>
    <w:rsid w:val="00077529"/>
    <w:rsid w:val="00077631"/>
    <w:rsid w:val="000779AF"/>
    <w:rsid w:val="00077AB0"/>
    <w:rsid w:val="00080DCC"/>
    <w:rsid w:val="00081C06"/>
    <w:rsid w:val="0008289B"/>
    <w:rsid w:val="000833C2"/>
    <w:rsid w:val="000839A9"/>
    <w:rsid w:val="00083FDC"/>
    <w:rsid w:val="0008423B"/>
    <w:rsid w:val="0008470D"/>
    <w:rsid w:val="00084E1B"/>
    <w:rsid w:val="000854A4"/>
    <w:rsid w:val="00085797"/>
    <w:rsid w:val="00085E17"/>
    <w:rsid w:val="00085F6E"/>
    <w:rsid w:val="000869F7"/>
    <w:rsid w:val="00086AC1"/>
    <w:rsid w:val="00086B11"/>
    <w:rsid w:val="00087291"/>
    <w:rsid w:val="000873F8"/>
    <w:rsid w:val="0008750D"/>
    <w:rsid w:val="000877EF"/>
    <w:rsid w:val="00090497"/>
    <w:rsid w:val="00090A5D"/>
    <w:rsid w:val="00090C00"/>
    <w:rsid w:val="00090F3D"/>
    <w:rsid w:val="0009124D"/>
    <w:rsid w:val="00091680"/>
    <w:rsid w:val="00091A7B"/>
    <w:rsid w:val="00091C10"/>
    <w:rsid w:val="00091D54"/>
    <w:rsid w:val="00091F45"/>
    <w:rsid w:val="0009233E"/>
    <w:rsid w:val="0009287B"/>
    <w:rsid w:val="00092BB4"/>
    <w:rsid w:val="000949A5"/>
    <w:rsid w:val="00094DBF"/>
    <w:rsid w:val="000953DE"/>
    <w:rsid w:val="000958B4"/>
    <w:rsid w:val="00097A33"/>
    <w:rsid w:val="00097BDA"/>
    <w:rsid w:val="000A0F19"/>
    <w:rsid w:val="000A1798"/>
    <w:rsid w:val="000A1BE6"/>
    <w:rsid w:val="000A20A2"/>
    <w:rsid w:val="000A2731"/>
    <w:rsid w:val="000A2956"/>
    <w:rsid w:val="000A29D6"/>
    <w:rsid w:val="000A2CE7"/>
    <w:rsid w:val="000A2DA3"/>
    <w:rsid w:val="000A38E5"/>
    <w:rsid w:val="000A4087"/>
    <w:rsid w:val="000A4CA7"/>
    <w:rsid w:val="000A4CF8"/>
    <w:rsid w:val="000A5341"/>
    <w:rsid w:val="000A5E32"/>
    <w:rsid w:val="000A6045"/>
    <w:rsid w:val="000A634C"/>
    <w:rsid w:val="000A66FA"/>
    <w:rsid w:val="000A6B4A"/>
    <w:rsid w:val="000A7022"/>
    <w:rsid w:val="000A781B"/>
    <w:rsid w:val="000A7AC0"/>
    <w:rsid w:val="000B0239"/>
    <w:rsid w:val="000B0A9D"/>
    <w:rsid w:val="000B1918"/>
    <w:rsid w:val="000B1998"/>
    <w:rsid w:val="000B1A1A"/>
    <w:rsid w:val="000B1D5B"/>
    <w:rsid w:val="000B1DAC"/>
    <w:rsid w:val="000B2DFC"/>
    <w:rsid w:val="000B33D3"/>
    <w:rsid w:val="000B345C"/>
    <w:rsid w:val="000B371B"/>
    <w:rsid w:val="000B3888"/>
    <w:rsid w:val="000B4320"/>
    <w:rsid w:val="000B444C"/>
    <w:rsid w:val="000B4DEF"/>
    <w:rsid w:val="000B503D"/>
    <w:rsid w:val="000B52FB"/>
    <w:rsid w:val="000B585D"/>
    <w:rsid w:val="000B5C7B"/>
    <w:rsid w:val="000B6087"/>
    <w:rsid w:val="000B765D"/>
    <w:rsid w:val="000B797D"/>
    <w:rsid w:val="000C020D"/>
    <w:rsid w:val="000C0BED"/>
    <w:rsid w:val="000C1776"/>
    <w:rsid w:val="000C261B"/>
    <w:rsid w:val="000C2E2F"/>
    <w:rsid w:val="000C3315"/>
    <w:rsid w:val="000C381F"/>
    <w:rsid w:val="000C4BE4"/>
    <w:rsid w:val="000C4FCC"/>
    <w:rsid w:val="000C53E4"/>
    <w:rsid w:val="000C5A46"/>
    <w:rsid w:val="000C5ACE"/>
    <w:rsid w:val="000C5C81"/>
    <w:rsid w:val="000C5D63"/>
    <w:rsid w:val="000C5E9D"/>
    <w:rsid w:val="000C6567"/>
    <w:rsid w:val="000C675F"/>
    <w:rsid w:val="000C7077"/>
    <w:rsid w:val="000C7C87"/>
    <w:rsid w:val="000C7DAB"/>
    <w:rsid w:val="000D00B4"/>
    <w:rsid w:val="000D034F"/>
    <w:rsid w:val="000D05B2"/>
    <w:rsid w:val="000D0835"/>
    <w:rsid w:val="000D1188"/>
    <w:rsid w:val="000D11E4"/>
    <w:rsid w:val="000D1413"/>
    <w:rsid w:val="000D2D14"/>
    <w:rsid w:val="000D37A2"/>
    <w:rsid w:val="000D3B6F"/>
    <w:rsid w:val="000D4B8C"/>
    <w:rsid w:val="000D4C02"/>
    <w:rsid w:val="000D58ED"/>
    <w:rsid w:val="000D5B35"/>
    <w:rsid w:val="000D6B60"/>
    <w:rsid w:val="000D74B6"/>
    <w:rsid w:val="000E00B2"/>
    <w:rsid w:val="000E0B40"/>
    <w:rsid w:val="000E105B"/>
    <w:rsid w:val="000E12DC"/>
    <w:rsid w:val="000E149B"/>
    <w:rsid w:val="000E155F"/>
    <w:rsid w:val="000E1803"/>
    <w:rsid w:val="000E19D3"/>
    <w:rsid w:val="000E28EA"/>
    <w:rsid w:val="000E329F"/>
    <w:rsid w:val="000E3313"/>
    <w:rsid w:val="000E3AF3"/>
    <w:rsid w:val="000E43C4"/>
    <w:rsid w:val="000E4660"/>
    <w:rsid w:val="000E513A"/>
    <w:rsid w:val="000E51AC"/>
    <w:rsid w:val="000E5393"/>
    <w:rsid w:val="000E58DA"/>
    <w:rsid w:val="000E5E4B"/>
    <w:rsid w:val="000E6336"/>
    <w:rsid w:val="000E7617"/>
    <w:rsid w:val="000E7676"/>
    <w:rsid w:val="000E7919"/>
    <w:rsid w:val="000E7EA7"/>
    <w:rsid w:val="000F03E2"/>
    <w:rsid w:val="000F0880"/>
    <w:rsid w:val="000F0D34"/>
    <w:rsid w:val="000F0E47"/>
    <w:rsid w:val="000F1D23"/>
    <w:rsid w:val="000F26CF"/>
    <w:rsid w:val="000F2CAA"/>
    <w:rsid w:val="000F2EC2"/>
    <w:rsid w:val="000F325C"/>
    <w:rsid w:val="000F340B"/>
    <w:rsid w:val="000F3449"/>
    <w:rsid w:val="000F397D"/>
    <w:rsid w:val="000F4584"/>
    <w:rsid w:val="000F4733"/>
    <w:rsid w:val="000F4899"/>
    <w:rsid w:val="000F48EF"/>
    <w:rsid w:val="000F4DEB"/>
    <w:rsid w:val="000F5586"/>
    <w:rsid w:val="000F5774"/>
    <w:rsid w:val="000F754E"/>
    <w:rsid w:val="000F7D37"/>
    <w:rsid w:val="000F7E4F"/>
    <w:rsid w:val="000F7FD0"/>
    <w:rsid w:val="001000FE"/>
    <w:rsid w:val="0010086B"/>
    <w:rsid w:val="001012C5"/>
    <w:rsid w:val="001012DC"/>
    <w:rsid w:val="00101901"/>
    <w:rsid w:val="0010197E"/>
    <w:rsid w:val="001019C3"/>
    <w:rsid w:val="00101E55"/>
    <w:rsid w:val="00102666"/>
    <w:rsid w:val="00102C42"/>
    <w:rsid w:val="001033AC"/>
    <w:rsid w:val="00103526"/>
    <w:rsid w:val="00103C82"/>
    <w:rsid w:val="00103F65"/>
    <w:rsid w:val="00105190"/>
    <w:rsid w:val="0010543A"/>
    <w:rsid w:val="00105A7D"/>
    <w:rsid w:val="00105AB2"/>
    <w:rsid w:val="00105F61"/>
    <w:rsid w:val="00106484"/>
    <w:rsid w:val="0010648E"/>
    <w:rsid w:val="001073AB"/>
    <w:rsid w:val="001078EA"/>
    <w:rsid w:val="00110637"/>
    <w:rsid w:val="0011175D"/>
    <w:rsid w:val="0011192F"/>
    <w:rsid w:val="00111955"/>
    <w:rsid w:val="00111B9A"/>
    <w:rsid w:val="001125B9"/>
    <w:rsid w:val="00112A63"/>
    <w:rsid w:val="00113095"/>
    <w:rsid w:val="001132F0"/>
    <w:rsid w:val="00113CAB"/>
    <w:rsid w:val="00113DE4"/>
    <w:rsid w:val="001140E2"/>
    <w:rsid w:val="001178A0"/>
    <w:rsid w:val="00117CE8"/>
    <w:rsid w:val="001205E4"/>
    <w:rsid w:val="00121101"/>
    <w:rsid w:val="001212A6"/>
    <w:rsid w:val="00122692"/>
    <w:rsid w:val="00123A59"/>
    <w:rsid w:val="001240E3"/>
    <w:rsid w:val="001245BF"/>
    <w:rsid w:val="00124E17"/>
    <w:rsid w:val="00124E96"/>
    <w:rsid w:val="00124ED0"/>
    <w:rsid w:val="001251F9"/>
    <w:rsid w:val="00126452"/>
    <w:rsid w:val="0012669D"/>
    <w:rsid w:val="001268BA"/>
    <w:rsid w:val="00126A5A"/>
    <w:rsid w:val="00126E15"/>
    <w:rsid w:val="00126F32"/>
    <w:rsid w:val="001271DF"/>
    <w:rsid w:val="00127D90"/>
    <w:rsid w:val="0013078A"/>
    <w:rsid w:val="0013145D"/>
    <w:rsid w:val="00131797"/>
    <w:rsid w:val="00131822"/>
    <w:rsid w:val="00131B05"/>
    <w:rsid w:val="001322BD"/>
    <w:rsid w:val="001327C7"/>
    <w:rsid w:val="0013352C"/>
    <w:rsid w:val="001336BE"/>
    <w:rsid w:val="001338BF"/>
    <w:rsid w:val="001339E9"/>
    <w:rsid w:val="00133AE1"/>
    <w:rsid w:val="00133C8E"/>
    <w:rsid w:val="00133E62"/>
    <w:rsid w:val="001340E1"/>
    <w:rsid w:val="00134371"/>
    <w:rsid w:val="001346EC"/>
    <w:rsid w:val="00135183"/>
    <w:rsid w:val="001352CD"/>
    <w:rsid w:val="00135677"/>
    <w:rsid w:val="00136450"/>
    <w:rsid w:val="0013649A"/>
    <w:rsid w:val="00136B57"/>
    <w:rsid w:val="00137B89"/>
    <w:rsid w:val="00137D63"/>
    <w:rsid w:val="00140E51"/>
    <w:rsid w:val="00141459"/>
    <w:rsid w:val="001419EF"/>
    <w:rsid w:val="00141C3D"/>
    <w:rsid w:val="00141C44"/>
    <w:rsid w:val="001422AE"/>
    <w:rsid w:val="001423AD"/>
    <w:rsid w:val="0014270C"/>
    <w:rsid w:val="00143684"/>
    <w:rsid w:val="00143A5E"/>
    <w:rsid w:val="001440F4"/>
    <w:rsid w:val="001446A3"/>
    <w:rsid w:val="001447DD"/>
    <w:rsid w:val="00144FCE"/>
    <w:rsid w:val="0014555B"/>
    <w:rsid w:val="001463AD"/>
    <w:rsid w:val="001468DB"/>
    <w:rsid w:val="00146DA4"/>
    <w:rsid w:val="001473D1"/>
    <w:rsid w:val="00147411"/>
    <w:rsid w:val="00147B1C"/>
    <w:rsid w:val="001500BF"/>
    <w:rsid w:val="00150466"/>
    <w:rsid w:val="00150A22"/>
    <w:rsid w:val="001536C6"/>
    <w:rsid w:val="00153710"/>
    <w:rsid w:val="001537F4"/>
    <w:rsid w:val="00153FD5"/>
    <w:rsid w:val="0015493E"/>
    <w:rsid w:val="00154B54"/>
    <w:rsid w:val="00154C88"/>
    <w:rsid w:val="00155268"/>
    <w:rsid w:val="00155457"/>
    <w:rsid w:val="00155B98"/>
    <w:rsid w:val="00156C8C"/>
    <w:rsid w:val="00157B58"/>
    <w:rsid w:val="00157DCF"/>
    <w:rsid w:val="001621B7"/>
    <w:rsid w:val="001623C3"/>
    <w:rsid w:val="00163B1A"/>
    <w:rsid w:val="00164DF5"/>
    <w:rsid w:val="00166503"/>
    <w:rsid w:val="00166965"/>
    <w:rsid w:val="00166967"/>
    <w:rsid w:val="00167282"/>
    <w:rsid w:val="001674D9"/>
    <w:rsid w:val="001713E9"/>
    <w:rsid w:val="00171E21"/>
    <w:rsid w:val="00172525"/>
    <w:rsid w:val="0017295D"/>
    <w:rsid w:val="00172C73"/>
    <w:rsid w:val="00172CFE"/>
    <w:rsid w:val="001732A0"/>
    <w:rsid w:val="00174FEC"/>
    <w:rsid w:val="0017607C"/>
    <w:rsid w:val="001766E0"/>
    <w:rsid w:val="00176A0E"/>
    <w:rsid w:val="001770D5"/>
    <w:rsid w:val="001771C3"/>
    <w:rsid w:val="001779BC"/>
    <w:rsid w:val="00177C2F"/>
    <w:rsid w:val="001801C3"/>
    <w:rsid w:val="00180926"/>
    <w:rsid w:val="00180DDF"/>
    <w:rsid w:val="00180E64"/>
    <w:rsid w:val="00181AE4"/>
    <w:rsid w:val="00181B5E"/>
    <w:rsid w:val="00182034"/>
    <w:rsid w:val="0018207F"/>
    <w:rsid w:val="00182192"/>
    <w:rsid w:val="00182879"/>
    <w:rsid w:val="001834C5"/>
    <w:rsid w:val="00183632"/>
    <w:rsid w:val="00183C05"/>
    <w:rsid w:val="00184AE3"/>
    <w:rsid w:val="00184B1D"/>
    <w:rsid w:val="00185540"/>
    <w:rsid w:val="001857A5"/>
    <w:rsid w:val="001857D7"/>
    <w:rsid w:val="00185AF1"/>
    <w:rsid w:val="00185BB9"/>
    <w:rsid w:val="00186A6D"/>
    <w:rsid w:val="00187013"/>
    <w:rsid w:val="001871FD"/>
    <w:rsid w:val="00190700"/>
    <w:rsid w:val="00190FDA"/>
    <w:rsid w:val="0019115B"/>
    <w:rsid w:val="0019133B"/>
    <w:rsid w:val="001916A1"/>
    <w:rsid w:val="00191D4C"/>
    <w:rsid w:val="001923FD"/>
    <w:rsid w:val="00192BC8"/>
    <w:rsid w:val="00193E93"/>
    <w:rsid w:val="0019442D"/>
    <w:rsid w:val="00194935"/>
    <w:rsid w:val="001949EF"/>
    <w:rsid w:val="00194D7B"/>
    <w:rsid w:val="00195616"/>
    <w:rsid w:val="00196807"/>
    <w:rsid w:val="001970E6"/>
    <w:rsid w:val="001976C0"/>
    <w:rsid w:val="00197A29"/>
    <w:rsid w:val="001A01E6"/>
    <w:rsid w:val="001A03AB"/>
    <w:rsid w:val="001A06B6"/>
    <w:rsid w:val="001A0A2E"/>
    <w:rsid w:val="001A0B84"/>
    <w:rsid w:val="001A15EA"/>
    <w:rsid w:val="001A178D"/>
    <w:rsid w:val="001A1A96"/>
    <w:rsid w:val="001A2005"/>
    <w:rsid w:val="001A220F"/>
    <w:rsid w:val="001A2504"/>
    <w:rsid w:val="001A281B"/>
    <w:rsid w:val="001A2FD5"/>
    <w:rsid w:val="001A332D"/>
    <w:rsid w:val="001A3A4F"/>
    <w:rsid w:val="001A43DC"/>
    <w:rsid w:val="001A44FB"/>
    <w:rsid w:val="001A4587"/>
    <w:rsid w:val="001A4A3D"/>
    <w:rsid w:val="001A53F4"/>
    <w:rsid w:val="001A59AC"/>
    <w:rsid w:val="001A67DD"/>
    <w:rsid w:val="001A680D"/>
    <w:rsid w:val="001A7339"/>
    <w:rsid w:val="001A74AD"/>
    <w:rsid w:val="001A7ABD"/>
    <w:rsid w:val="001A7BAC"/>
    <w:rsid w:val="001B08CE"/>
    <w:rsid w:val="001B0C63"/>
    <w:rsid w:val="001B1AE0"/>
    <w:rsid w:val="001B1C5E"/>
    <w:rsid w:val="001B1D36"/>
    <w:rsid w:val="001B22E0"/>
    <w:rsid w:val="001B27EB"/>
    <w:rsid w:val="001B32DD"/>
    <w:rsid w:val="001B461F"/>
    <w:rsid w:val="001B4928"/>
    <w:rsid w:val="001B55E3"/>
    <w:rsid w:val="001B6503"/>
    <w:rsid w:val="001B67BF"/>
    <w:rsid w:val="001B6AAD"/>
    <w:rsid w:val="001B6EE4"/>
    <w:rsid w:val="001B7367"/>
    <w:rsid w:val="001B7EAF"/>
    <w:rsid w:val="001B7FCA"/>
    <w:rsid w:val="001C0E02"/>
    <w:rsid w:val="001C1896"/>
    <w:rsid w:val="001C1A48"/>
    <w:rsid w:val="001C1D1D"/>
    <w:rsid w:val="001C2170"/>
    <w:rsid w:val="001C2783"/>
    <w:rsid w:val="001C29BA"/>
    <w:rsid w:val="001C2BC3"/>
    <w:rsid w:val="001C333D"/>
    <w:rsid w:val="001C382B"/>
    <w:rsid w:val="001C4429"/>
    <w:rsid w:val="001C4CE8"/>
    <w:rsid w:val="001C5361"/>
    <w:rsid w:val="001C5A8C"/>
    <w:rsid w:val="001C5E3E"/>
    <w:rsid w:val="001C6321"/>
    <w:rsid w:val="001C6327"/>
    <w:rsid w:val="001C69D6"/>
    <w:rsid w:val="001C7237"/>
    <w:rsid w:val="001C74B6"/>
    <w:rsid w:val="001C7577"/>
    <w:rsid w:val="001C75C7"/>
    <w:rsid w:val="001C7A00"/>
    <w:rsid w:val="001D039F"/>
    <w:rsid w:val="001D0532"/>
    <w:rsid w:val="001D11F7"/>
    <w:rsid w:val="001D268B"/>
    <w:rsid w:val="001D2A89"/>
    <w:rsid w:val="001D2EF1"/>
    <w:rsid w:val="001D2F51"/>
    <w:rsid w:val="001D33D6"/>
    <w:rsid w:val="001D4281"/>
    <w:rsid w:val="001D4522"/>
    <w:rsid w:val="001D4B00"/>
    <w:rsid w:val="001D4E62"/>
    <w:rsid w:val="001D4F3B"/>
    <w:rsid w:val="001D5862"/>
    <w:rsid w:val="001D5F3B"/>
    <w:rsid w:val="001D727C"/>
    <w:rsid w:val="001D7AB8"/>
    <w:rsid w:val="001E001B"/>
    <w:rsid w:val="001E0277"/>
    <w:rsid w:val="001E0A14"/>
    <w:rsid w:val="001E0B23"/>
    <w:rsid w:val="001E0DE1"/>
    <w:rsid w:val="001E134D"/>
    <w:rsid w:val="001E150D"/>
    <w:rsid w:val="001E1720"/>
    <w:rsid w:val="001E35C1"/>
    <w:rsid w:val="001E4670"/>
    <w:rsid w:val="001E4AD1"/>
    <w:rsid w:val="001E4CCC"/>
    <w:rsid w:val="001E4F1E"/>
    <w:rsid w:val="001E52C1"/>
    <w:rsid w:val="001E5573"/>
    <w:rsid w:val="001E557F"/>
    <w:rsid w:val="001E5B01"/>
    <w:rsid w:val="001E5C56"/>
    <w:rsid w:val="001E6774"/>
    <w:rsid w:val="001E6C47"/>
    <w:rsid w:val="001E774B"/>
    <w:rsid w:val="001E7952"/>
    <w:rsid w:val="001E7FA3"/>
    <w:rsid w:val="001F0724"/>
    <w:rsid w:val="001F0817"/>
    <w:rsid w:val="001F08E1"/>
    <w:rsid w:val="001F09E0"/>
    <w:rsid w:val="001F09F3"/>
    <w:rsid w:val="001F13BF"/>
    <w:rsid w:val="001F2140"/>
    <w:rsid w:val="001F2628"/>
    <w:rsid w:val="001F2BF8"/>
    <w:rsid w:val="001F2FB2"/>
    <w:rsid w:val="001F345D"/>
    <w:rsid w:val="001F3A0C"/>
    <w:rsid w:val="001F3E78"/>
    <w:rsid w:val="001F4190"/>
    <w:rsid w:val="001F477C"/>
    <w:rsid w:val="001F47EA"/>
    <w:rsid w:val="001F4839"/>
    <w:rsid w:val="001F50F9"/>
    <w:rsid w:val="001F5EF5"/>
    <w:rsid w:val="001F6222"/>
    <w:rsid w:val="001F69AB"/>
    <w:rsid w:val="001F759B"/>
    <w:rsid w:val="001F7A69"/>
    <w:rsid w:val="001F7BBC"/>
    <w:rsid w:val="00200310"/>
    <w:rsid w:val="00200339"/>
    <w:rsid w:val="00200A9C"/>
    <w:rsid w:val="00200F91"/>
    <w:rsid w:val="00201387"/>
    <w:rsid w:val="002018AE"/>
    <w:rsid w:val="002024D3"/>
    <w:rsid w:val="00202A40"/>
    <w:rsid w:val="00202C3E"/>
    <w:rsid w:val="0020324C"/>
    <w:rsid w:val="00203334"/>
    <w:rsid w:val="00204D00"/>
    <w:rsid w:val="0020577B"/>
    <w:rsid w:val="0020656F"/>
    <w:rsid w:val="00206AD4"/>
    <w:rsid w:val="00207651"/>
    <w:rsid w:val="002078D8"/>
    <w:rsid w:val="00210C49"/>
    <w:rsid w:val="00210D3A"/>
    <w:rsid w:val="00210FFE"/>
    <w:rsid w:val="00211044"/>
    <w:rsid w:val="00211270"/>
    <w:rsid w:val="0021149F"/>
    <w:rsid w:val="00211B20"/>
    <w:rsid w:val="002124F1"/>
    <w:rsid w:val="00212796"/>
    <w:rsid w:val="00212AAB"/>
    <w:rsid w:val="00212F62"/>
    <w:rsid w:val="00212FC2"/>
    <w:rsid w:val="002130EC"/>
    <w:rsid w:val="002134EF"/>
    <w:rsid w:val="00215280"/>
    <w:rsid w:val="002152AE"/>
    <w:rsid w:val="002153BD"/>
    <w:rsid w:val="00216B0A"/>
    <w:rsid w:val="00216C71"/>
    <w:rsid w:val="00217876"/>
    <w:rsid w:val="00217C4F"/>
    <w:rsid w:val="00220642"/>
    <w:rsid w:val="00220B7D"/>
    <w:rsid w:val="00220F9B"/>
    <w:rsid w:val="002217F4"/>
    <w:rsid w:val="00222142"/>
    <w:rsid w:val="0022346F"/>
    <w:rsid w:val="002237D5"/>
    <w:rsid w:val="00223EEF"/>
    <w:rsid w:val="00224376"/>
    <w:rsid w:val="00224401"/>
    <w:rsid w:val="00225180"/>
    <w:rsid w:val="00225719"/>
    <w:rsid w:val="00225CD1"/>
    <w:rsid w:val="00226592"/>
    <w:rsid w:val="00226842"/>
    <w:rsid w:val="00227F4B"/>
    <w:rsid w:val="002304E7"/>
    <w:rsid w:val="002306F4"/>
    <w:rsid w:val="00230F7D"/>
    <w:rsid w:val="0023164D"/>
    <w:rsid w:val="0023176A"/>
    <w:rsid w:val="00231E3C"/>
    <w:rsid w:val="0023272E"/>
    <w:rsid w:val="0023341C"/>
    <w:rsid w:val="0023394F"/>
    <w:rsid w:val="002339B4"/>
    <w:rsid w:val="002340B1"/>
    <w:rsid w:val="0023422A"/>
    <w:rsid w:val="00235E15"/>
    <w:rsid w:val="0023606A"/>
    <w:rsid w:val="00237D11"/>
    <w:rsid w:val="00237F04"/>
    <w:rsid w:val="00237F58"/>
    <w:rsid w:val="00240724"/>
    <w:rsid w:val="0024183A"/>
    <w:rsid w:val="00241E11"/>
    <w:rsid w:val="00241E5B"/>
    <w:rsid w:val="002422AA"/>
    <w:rsid w:val="002429FA"/>
    <w:rsid w:val="00242F5F"/>
    <w:rsid w:val="002436B4"/>
    <w:rsid w:val="00243715"/>
    <w:rsid w:val="0024374E"/>
    <w:rsid w:val="002439FC"/>
    <w:rsid w:val="00243AEA"/>
    <w:rsid w:val="00243B1C"/>
    <w:rsid w:val="00243EF7"/>
    <w:rsid w:val="002443D1"/>
    <w:rsid w:val="002447D9"/>
    <w:rsid w:val="00244DC2"/>
    <w:rsid w:val="00244F42"/>
    <w:rsid w:val="002455A4"/>
    <w:rsid w:val="00245769"/>
    <w:rsid w:val="002458AD"/>
    <w:rsid w:val="0024640E"/>
    <w:rsid w:val="00246E19"/>
    <w:rsid w:val="00246E5A"/>
    <w:rsid w:val="0024716E"/>
    <w:rsid w:val="00247699"/>
    <w:rsid w:val="0024785D"/>
    <w:rsid w:val="00247D97"/>
    <w:rsid w:val="0025065F"/>
    <w:rsid w:val="00251548"/>
    <w:rsid w:val="0025258C"/>
    <w:rsid w:val="002534A3"/>
    <w:rsid w:val="00254C77"/>
    <w:rsid w:val="0025609B"/>
    <w:rsid w:val="00256CB6"/>
    <w:rsid w:val="002570A2"/>
    <w:rsid w:val="0025730B"/>
    <w:rsid w:val="00260597"/>
    <w:rsid w:val="0026080C"/>
    <w:rsid w:val="00260952"/>
    <w:rsid w:val="00260FA1"/>
    <w:rsid w:val="002616D7"/>
    <w:rsid w:val="00261BE4"/>
    <w:rsid w:val="00262D07"/>
    <w:rsid w:val="00263EFF"/>
    <w:rsid w:val="002644F5"/>
    <w:rsid w:val="00264C2A"/>
    <w:rsid w:val="0026591B"/>
    <w:rsid w:val="002666D1"/>
    <w:rsid w:val="002668F4"/>
    <w:rsid w:val="00266A28"/>
    <w:rsid w:val="00267200"/>
    <w:rsid w:val="00267397"/>
    <w:rsid w:val="00267A3F"/>
    <w:rsid w:val="00267AE3"/>
    <w:rsid w:val="00267BD7"/>
    <w:rsid w:val="00267C80"/>
    <w:rsid w:val="00267CFB"/>
    <w:rsid w:val="00270696"/>
    <w:rsid w:val="002712D0"/>
    <w:rsid w:val="00271887"/>
    <w:rsid w:val="00271B60"/>
    <w:rsid w:val="0027232D"/>
    <w:rsid w:val="0027280C"/>
    <w:rsid w:val="00272828"/>
    <w:rsid w:val="00272ADA"/>
    <w:rsid w:val="00272D15"/>
    <w:rsid w:val="00273402"/>
    <w:rsid w:val="00273F3E"/>
    <w:rsid w:val="00274333"/>
    <w:rsid w:val="00275CDB"/>
    <w:rsid w:val="00275D2A"/>
    <w:rsid w:val="002764EA"/>
    <w:rsid w:val="00276A91"/>
    <w:rsid w:val="00277895"/>
    <w:rsid w:val="002804FD"/>
    <w:rsid w:val="00280677"/>
    <w:rsid w:val="002807FB"/>
    <w:rsid w:val="00280B79"/>
    <w:rsid w:val="00281716"/>
    <w:rsid w:val="00281CC0"/>
    <w:rsid w:val="0028251D"/>
    <w:rsid w:val="002832A6"/>
    <w:rsid w:val="00283F42"/>
    <w:rsid w:val="00284084"/>
    <w:rsid w:val="002848B4"/>
    <w:rsid w:val="0028588C"/>
    <w:rsid w:val="00286A73"/>
    <w:rsid w:val="00286B5F"/>
    <w:rsid w:val="00287063"/>
    <w:rsid w:val="00287130"/>
    <w:rsid w:val="00287629"/>
    <w:rsid w:val="0028762D"/>
    <w:rsid w:val="00287751"/>
    <w:rsid w:val="00287AC8"/>
    <w:rsid w:val="00290197"/>
    <w:rsid w:val="00290A81"/>
    <w:rsid w:val="0029108C"/>
    <w:rsid w:val="00291479"/>
    <w:rsid w:val="0029184E"/>
    <w:rsid w:val="002918C5"/>
    <w:rsid w:val="00291B68"/>
    <w:rsid w:val="00291BE5"/>
    <w:rsid w:val="00291F89"/>
    <w:rsid w:val="0029204C"/>
    <w:rsid w:val="002926A0"/>
    <w:rsid w:val="002926E7"/>
    <w:rsid w:val="0029395F"/>
    <w:rsid w:val="00294207"/>
    <w:rsid w:val="002944E0"/>
    <w:rsid w:val="00295514"/>
    <w:rsid w:val="002955F0"/>
    <w:rsid w:val="00295858"/>
    <w:rsid w:val="002959D7"/>
    <w:rsid w:val="00296125"/>
    <w:rsid w:val="00296468"/>
    <w:rsid w:val="00296AD5"/>
    <w:rsid w:val="00297CB8"/>
    <w:rsid w:val="00297CEF"/>
    <w:rsid w:val="00297E2F"/>
    <w:rsid w:val="00297E49"/>
    <w:rsid w:val="002A059A"/>
    <w:rsid w:val="002A0B16"/>
    <w:rsid w:val="002A14AD"/>
    <w:rsid w:val="002A164C"/>
    <w:rsid w:val="002A2166"/>
    <w:rsid w:val="002A2238"/>
    <w:rsid w:val="002A22BB"/>
    <w:rsid w:val="002A2EAC"/>
    <w:rsid w:val="002A2F13"/>
    <w:rsid w:val="002A355A"/>
    <w:rsid w:val="002A45BF"/>
    <w:rsid w:val="002A4B8B"/>
    <w:rsid w:val="002A4C89"/>
    <w:rsid w:val="002A548C"/>
    <w:rsid w:val="002A5CB0"/>
    <w:rsid w:val="002A6553"/>
    <w:rsid w:val="002A6A16"/>
    <w:rsid w:val="002A7D5A"/>
    <w:rsid w:val="002B034E"/>
    <w:rsid w:val="002B05A1"/>
    <w:rsid w:val="002B0F83"/>
    <w:rsid w:val="002B1BFF"/>
    <w:rsid w:val="002B2439"/>
    <w:rsid w:val="002B25A8"/>
    <w:rsid w:val="002B2EEB"/>
    <w:rsid w:val="002B3358"/>
    <w:rsid w:val="002B3417"/>
    <w:rsid w:val="002B4574"/>
    <w:rsid w:val="002B5DAA"/>
    <w:rsid w:val="002B5F4A"/>
    <w:rsid w:val="002B5F6B"/>
    <w:rsid w:val="002B6017"/>
    <w:rsid w:val="002B6106"/>
    <w:rsid w:val="002B6A58"/>
    <w:rsid w:val="002B70E7"/>
    <w:rsid w:val="002B7490"/>
    <w:rsid w:val="002B7FED"/>
    <w:rsid w:val="002C0205"/>
    <w:rsid w:val="002C0313"/>
    <w:rsid w:val="002C0770"/>
    <w:rsid w:val="002C0A5A"/>
    <w:rsid w:val="002C0A9A"/>
    <w:rsid w:val="002C16AD"/>
    <w:rsid w:val="002C28BC"/>
    <w:rsid w:val="002C2946"/>
    <w:rsid w:val="002C325B"/>
    <w:rsid w:val="002C35D1"/>
    <w:rsid w:val="002C3839"/>
    <w:rsid w:val="002C3DA4"/>
    <w:rsid w:val="002C3DEB"/>
    <w:rsid w:val="002C4C37"/>
    <w:rsid w:val="002C4F38"/>
    <w:rsid w:val="002C539C"/>
    <w:rsid w:val="002C5731"/>
    <w:rsid w:val="002C59BA"/>
    <w:rsid w:val="002C5F99"/>
    <w:rsid w:val="002C5FCB"/>
    <w:rsid w:val="002C6FBC"/>
    <w:rsid w:val="002D0214"/>
    <w:rsid w:val="002D02CC"/>
    <w:rsid w:val="002D0816"/>
    <w:rsid w:val="002D0DD0"/>
    <w:rsid w:val="002D143A"/>
    <w:rsid w:val="002D1661"/>
    <w:rsid w:val="002D1A69"/>
    <w:rsid w:val="002D1CA4"/>
    <w:rsid w:val="002D304A"/>
    <w:rsid w:val="002D3185"/>
    <w:rsid w:val="002D3477"/>
    <w:rsid w:val="002D353B"/>
    <w:rsid w:val="002D37FB"/>
    <w:rsid w:val="002D38F8"/>
    <w:rsid w:val="002D4B76"/>
    <w:rsid w:val="002D52A9"/>
    <w:rsid w:val="002D5E38"/>
    <w:rsid w:val="002D5F5D"/>
    <w:rsid w:val="002D6485"/>
    <w:rsid w:val="002D7743"/>
    <w:rsid w:val="002D7FD2"/>
    <w:rsid w:val="002E0B20"/>
    <w:rsid w:val="002E0D4D"/>
    <w:rsid w:val="002E0DC7"/>
    <w:rsid w:val="002E19A1"/>
    <w:rsid w:val="002E1E3A"/>
    <w:rsid w:val="002E379C"/>
    <w:rsid w:val="002E4BB0"/>
    <w:rsid w:val="002E4E18"/>
    <w:rsid w:val="002E4E95"/>
    <w:rsid w:val="002E55EB"/>
    <w:rsid w:val="002E55FA"/>
    <w:rsid w:val="002E638A"/>
    <w:rsid w:val="002E6839"/>
    <w:rsid w:val="002E7196"/>
    <w:rsid w:val="002E7425"/>
    <w:rsid w:val="002E7B71"/>
    <w:rsid w:val="002E7E3F"/>
    <w:rsid w:val="002F03BB"/>
    <w:rsid w:val="002F0447"/>
    <w:rsid w:val="002F0851"/>
    <w:rsid w:val="002F098B"/>
    <w:rsid w:val="002F10F5"/>
    <w:rsid w:val="002F175F"/>
    <w:rsid w:val="002F23D0"/>
    <w:rsid w:val="002F29AE"/>
    <w:rsid w:val="002F327B"/>
    <w:rsid w:val="002F3518"/>
    <w:rsid w:val="002F38EA"/>
    <w:rsid w:val="002F442F"/>
    <w:rsid w:val="002F4A30"/>
    <w:rsid w:val="002F6EF5"/>
    <w:rsid w:val="003008A8"/>
    <w:rsid w:val="00300A36"/>
    <w:rsid w:val="00300F48"/>
    <w:rsid w:val="003014C6"/>
    <w:rsid w:val="0030168D"/>
    <w:rsid w:val="0030173F"/>
    <w:rsid w:val="00301C8F"/>
    <w:rsid w:val="00302083"/>
    <w:rsid w:val="00303840"/>
    <w:rsid w:val="0030533C"/>
    <w:rsid w:val="003059A3"/>
    <w:rsid w:val="00306140"/>
    <w:rsid w:val="00306BC3"/>
    <w:rsid w:val="0030704D"/>
    <w:rsid w:val="003074E4"/>
    <w:rsid w:val="00307B9F"/>
    <w:rsid w:val="00310C5F"/>
    <w:rsid w:val="00310F8B"/>
    <w:rsid w:val="0031117E"/>
    <w:rsid w:val="00311782"/>
    <w:rsid w:val="00311ADC"/>
    <w:rsid w:val="003120C2"/>
    <w:rsid w:val="00312353"/>
    <w:rsid w:val="003126CD"/>
    <w:rsid w:val="00312CC9"/>
    <w:rsid w:val="00313A54"/>
    <w:rsid w:val="00313DBF"/>
    <w:rsid w:val="00313FDB"/>
    <w:rsid w:val="00314112"/>
    <w:rsid w:val="00314233"/>
    <w:rsid w:val="00315EDF"/>
    <w:rsid w:val="003164DE"/>
    <w:rsid w:val="00316DAD"/>
    <w:rsid w:val="003203FF"/>
    <w:rsid w:val="00320B1A"/>
    <w:rsid w:val="00320D3C"/>
    <w:rsid w:val="00321585"/>
    <w:rsid w:val="003218BF"/>
    <w:rsid w:val="00322ADD"/>
    <w:rsid w:val="00323C56"/>
    <w:rsid w:val="00323EA3"/>
    <w:rsid w:val="00324426"/>
    <w:rsid w:val="003244BD"/>
    <w:rsid w:val="003245F2"/>
    <w:rsid w:val="003247C6"/>
    <w:rsid w:val="00324A23"/>
    <w:rsid w:val="00324B2D"/>
    <w:rsid w:val="00325CF5"/>
    <w:rsid w:val="0032608C"/>
    <w:rsid w:val="00326525"/>
    <w:rsid w:val="00326B0F"/>
    <w:rsid w:val="00327353"/>
    <w:rsid w:val="00327749"/>
    <w:rsid w:val="003277CA"/>
    <w:rsid w:val="003279FB"/>
    <w:rsid w:val="003303B0"/>
    <w:rsid w:val="00330558"/>
    <w:rsid w:val="00330606"/>
    <w:rsid w:val="00330BA4"/>
    <w:rsid w:val="00330E5E"/>
    <w:rsid w:val="00331545"/>
    <w:rsid w:val="00332055"/>
    <w:rsid w:val="0033230F"/>
    <w:rsid w:val="00332CA9"/>
    <w:rsid w:val="00333762"/>
    <w:rsid w:val="00333AAE"/>
    <w:rsid w:val="00333CCD"/>
    <w:rsid w:val="00333E26"/>
    <w:rsid w:val="0033412B"/>
    <w:rsid w:val="00334CF3"/>
    <w:rsid w:val="003353F9"/>
    <w:rsid w:val="0033585F"/>
    <w:rsid w:val="00335A40"/>
    <w:rsid w:val="0033624A"/>
    <w:rsid w:val="003366B5"/>
    <w:rsid w:val="00336CDC"/>
    <w:rsid w:val="00336D02"/>
    <w:rsid w:val="003377E2"/>
    <w:rsid w:val="00337A4F"/>
    <w:rsid w:val="003407D3"/>
    <w:rsid w:val="00340B99"/>
    <w:rsid w:val="00341405"/>
    <w:rsid w:val="00341B4B"/>
    <w:rsid w:val="00341DF0"/>
    <w:rsid w:val="003421CD"/>
    <w:rsid w:val="00342BCC"/>
    <w:rsid w:val="00342EB2"/>
    <w:rsid w:val="00343479"/>
    <w:rsid w:val="00343984"/>
    <w:rsid w:val="003441CB"/>
    <w:rsid w:val="00344286"/>
    <w:rsid w:val="003451F5"/>
    <w:rsid w:val="003456AD"/>
    <w:rsid w:val="00345C7D"/>
    <w:rsid w:val="00345E71"/>
    <w:rsid w:val="00346766"/>
    <w:rsid w:val="00347257"/>
    <w:rsid w:val="00347485"/>
    <w:rsid w:val="003478ED"/>
    <w:rsid w:val="00347DF6"/>
    <w:rsid w:val="003506C0"/>
    <w:rsid w:val="00350801"/>
    <w:rsid w:val="00350FC0"/>
    <w:rsid w:val="003519F8"/>
    <w:rsid w:val="00351AD4"/>
    <w:rsid w:val="0035260E"/>
    <w:rsid w:val="00352DAE"/>
    <w:rsid w:val="003538A1"/>
    <w:rsid w:val="00354028"/>
    <w:rsid w:val="00354646"/>
    <w:rsid w:val="003552F2"/>
    <w:rsid w:val="0035580C"/>
    <w:rsid w:val="00355EF3"/>
    <w:rsid w:val="00356439"/>
    <w:rsid w:val="00356618"/>
    <w:rsid w:val="00356BFB"/>
    <w:rsid w:val="00356EE7"/>
    <w:rsid w:val="003570DE"/>
    <w:rsid w:val="0035783D"/>
    <w:rsid w:val="00357BB3"/>
    <w:rsid w:val="00357E35"/>
    <w:rsid w:val="003603BF"/>
    <w:rsid w:val="00360947"/>
    <w:rsid w:val="00361414"/>
    <w:rsid w:val="00361B34"/>
    <w:rsid w:val="00361E5D"/>
    <w:rsid w:val="00361F88"/>
    <w:rsid w:val="003623E7"/>
    <w:rsid w:val="00362415"/>
    <w:rsid w:val="0036338F"/>
    <w:rsid w:val="00363A2E"/>
    <w:rsid w:val="00363ED8"/>
    <w:rsid w:val="0036436D"/>
    <w:rsid w:val="003643BF"/>
    <w:rsid w:val="00364422"/>
    <w:rsid w:val="003647BA"/>
    <w:rsid w:val="00364D16"/>
    <w:rsid w:val="00364DCC"/>
    <w:rsid w:val="00365190"/>
    <w:rsid w:val="003653D8"/>
    <w:rsid w:val="00365789"/>
    <w:rsid w:val="00365BF6"/>
    <w:rsid w:val="00366D59"/>
    <w:rsid w:val="0036785F"/>
    <w:rsid w:val="00367A37"/>
    <w:rsid w:val="00367C56"/>
    <w:rsid w:val="0037011A"/>
    <w:rsid w:val="00370388"/>
    <w:rsid w:val="003705EB"/>
    <w:rsid w:val="0037066F"/>
    <w:rsid w:val="003706DF"/>
    <w:rsid w:val="00371AF4"/>
    <w:rsid w:val="003720BE"/>
    <w:rsid w:val="0037216A"/>
    <w:rsid w:val="00373104"/>
    <w:rsid w:val="00373201"/>
    <w:rsid w:val="0037330A"/>
    <w:rsid w:val="003738CD"/>
    <w:rsid w:val="00373F44"/>
    <w:rsid w:val="00373F7E"/>
    <w:rsid w:val="00374647"/>
    <w:rsid w:val="00374AE1"/>
    <w:rsid w:val="00374BA4"/>
    <w:rsid w:val="00374D54"/>
    <w:rsid w:val="00374F2A"/>
    <w:rsid w:val="00375025"/>
    <w:rsid w:val="00375183"/>
    <w:rsid w:val="003752B6"/>
    <w:rsid w:val="00375311"/>
    <w:rsid w:val="00375441"/>
    <w:rsid w:val="003757D6"/>
    <w:rsid w:val="00376CE9"/>
    <w:rsid w:val="0037722E"/>
    <w:rsid w:val="00380B5C"/>
    <w:rsid w:val="00380B9C"/>
    <w:rsid w:val="003812E2"/>
    <w:rsid w:val="0038133C"/>
    <w:rsid w:val="003814D5"/>
    <w:rsid w:val="003815B4"/>
    <w:rsid w:val="003818C6"/>
    <w:rsid w:val="00381A5E"/>
    <w:rsid w:val="00381D29"/>
    <w:rsid w:val="00381FB0"/>
    <w:rsid w:val="0038231D"/>
    <w:rsid w:val="00382E3D"/>
    <w:rsid w:val="003831BE"/>
    <w:rsid w:val="00383C85"/>
    <w:rsid w:val="0038487E"/>
    <w:rsid w:val="00385562"/>
    <w:rsid w:val="003861CE"/>
    <w:rsid w:val="0038630F"/>
    <w:rsid w:val="00386A5E"/>
    <w:rsid w:val="00386C93"/>
    <w:rsid w:val="00387D38"/>
    <w:rsid w:val="00387DBD"/>
    <w:rsid w:val="00390967"/>
    <w:rsid w:val="00390B6B"/>
    <w:rsid w:val="003912DF"/>
    <w:rsid w:val="00392E9C"/>
    <w:rsid w:val="00393001"/>
    <w:rsid w:val="003933BD"/>
    <w:rsid w:val="0039372B"/>
    <w:rsid w:val="00393900"/>
    <w:rsid w:val="00393F8B"/>
    <w:rsid w:val="00394062"/>
    <w:rsid w:val="00394945"/>
    <w:rsid w:val="00395B77"/>
    <w:rsid w:val="00395DAA"/>
    <w:rsid w:val="00395F2D"/>
    <w:rsid w:val="003A10A4"/>
    <w:rsid w:val="003A13F1"/>
    <w:rsid w:val="003A3037"/>
    <w:rsid w:val="003A3510"/>
    <w:rsid w:val="003A36E5"/>
    <w:rsid w:val="003A3785"/>
    <w:rsid w:val="003A3AC2"/>
    <w:rsid w:val="003A3C8F"/>
    <w:rsid w:val="003A3D92"/>
    <w:rsid w:val="003A3DBA"/>
    <w:rsid w:val="003A4889"/>
    <w:rsid w:val="003A48D2"/>
    <w:rsid w:val="003A575B"/>
    <w:rsid w:val="003A6F51"/>
    <w:rsid w:val="003A7C9A"/>
    <w:rsid w:val="003B0296"/>
    <w:rsid w:val="003B0511"/>
    <w:rsid w:val="003B170A"/>
    <w:rsid w:val="003B1AB3"/>
    <w:rsid w:val="003B1D23"/>
    <w:rsid w:val="003B2567"/>
    <w:rsid w:val="003B2615"/>
    <w:rsid w:val="003B33C3"/>
    <w:rsid w:val="003B370C"/>
    <w:rsid w:val="003B4084"/>
    <w:rsid w:val="003B40A1"/>
    <w:rsid w:val="003B4A18"/>
    <w:rsid w:val="003B4F5D"/>
    <w:rsid w:val="003B5FFF"/>
    <w:rsid w:val="003B70E8"/>
    <w:rsid w:val="003B7C22"/>
    <w:rsid w:val="003B7F43"/>
    <w:rsid w:val="003C0191"/>
    <w:rsid w:val="003C0BA0"/>
    <w:rsid w:val="003C0DE4"/>
    <w:rsid w:val="003C0EF4"/>
    <w:rsid w:val="003C1118"/>
    <w:rsid w:val="003C1727"/>
    <w:rsid w:val="003C1A0C"/>
    <w:rsid w:val="003C2582"/>
    <w:rsid w:val="003C27C2"/>
    <w:rsid w:val="003C2979"/>
    <w:rsid w:val="003C3846"/>
    <w:rsid w:val="003C3C7A"/>
    <w:rsid w:val="003C48F3"/>
    <w:rsid w:val="003C49BE"/>
    <w:rsid w:val="003C6282"/>
    <w:rsid w:val="003C66BD"/>
    <w:rsid w:val="003C6BF6"/>
    <w:rsid w:val="003C6D26"/>
    <w:rsid w:val="003C7E8C"/>
    <w:rsid w:val="003C7F71"/>
    <w:rsid w:val="003D0128"/>
    <w:rsid w:val="003D0311"/>
    <w:rsid w:val="003D0725"/>
    <w:rsid w:val="003D0FBD"/>
    <w:rsid w:val="003D11F4"/>
    <w:rsid w:val="003D1650"/>
    <w:rsid w:val="003D1B9E"/>
    <w:rsid w:val="003D267C"/>
    <w:rsid w:val="003D26EF"/>
    <w:rsid w:val="003D27A4"/>
    <w:rsid w:val="003D2AC8"/>
    <w:rsid w:val="003D2E5E"/>
    <w:rsid w:val="003D354D"/>
    <w:rsid w:val="003D38D9"/>
    <w:rsid w:val="003D45F9"/>
    <w:rsid w:val="003D4887"/>
    <w:rsid w:val="003D4964"/>
    <w:rsid w:val="003D4B7E"/>
    <w:rsid w:val="003D4E74"/>
    <w:rsid w:val="003D6147"/>
    <w:rsid w:val="003D651B"/>
    <w:rsid w:val="003D66D4"/>
    <w:rsid w:val="003D69E2"/>
    <w:rsid w:val="003D7BE8"/>
    <w:rsid w:val="003E06C8"/>
    <w:rsid w:val="003E090C"/>
    <w:rsid w:val="003E0D3E"/>
    <w:rsid w:val="003E0D71"/>
    <w:rsid w:val="003E1128"/>
    <w:rsid w:val="003E139C"/>
    <w:rsid w:val="003E181F"/>
    <w:rsid w:val="003E222B"/>
    <w:rsid w:val="003E23D6"/>
    <w:rsid w:val="003E2B2B"/>
    <w:rsid w:val="003E2C7E"/>
    <w:rsid w:val="003E39E2"/>
    <w:rsid w:val="003E45A0"/>
    <w:rsid w:val="003E45FA"/>
    <w:rsid w:val="003E49BD"/>
    <w:rsid w:val="003E4D9F"/>
    <w:rsid w:val="003E597C"/>
    <w:rsid w:val="003E6CBF"/>
    <w:rsid w:val="003E6E04"/>
    <w:rsid w:val="003E7028"/>
    <w:rsid w:val="003E78B8"/>
    <w:rsid w:val="003E78DE"/>
    <w:rsid w:val="003E79B7"/>
    <w:rsid w:val="003E7D9A"/>
    <w:rsid w:val="003F174A"/>
    <w:rsid w:val="003F2B88"/>
    <w:rsid w:val="003F3168"/>
    <w:rsid w:val="003F34FF"/>
    <w:rsid w:val="003F356B"/>
    <w:rsid w:val="003F3611"/>
    <w:rsid w:val="003F3621"/>
    <w:rsid w:val="003F38F2"/>
    <w:rsid w:val="003F4527"/>
    <w:rsid w:val="003F4653"/>
    <w:rsid w:val="003F5110"/>
    <w:rsid w:val="003F51AE"/>
    <w:rsid w:val="003F5476"/>
    <w:rsid w:val="003F5B26"/>
    <w:rsid w:val="003F5DD8"/>
    <w:rsid w:val="003F6EA0"/>
    <w:rsid w:val="003F7FE1"/>
    <w:rsid w:val="00400B17"/>
    <w:rsid w:val="00400F0E"/>
    <w:rsid w:val="004015E7"/>
    <w:rsid w:val="0040187B"/>
    <w:rsid w:val="004018A5"/>
    <w:rsid w:val="00402221"/>
    <w:rsid w:val="004022B3"/>
    <w:rsid w:val="00402F74"/>
    <w:rsid w:val="004036AD"/>
    <w:rsid w:val="004056FA"/>
    <w:rsid w:val="00405737"/>
    <w:rsid w:val="00406FE9"/>
    <w:rsid w:val="0040791D"/>
    <w:rsid w:val="004079C6"/>
    <w:rsid w:val="004101D6"/>
    <w:rsid w:val="00410415"/>
    <w:rsid w:val="00411359"/>
    <w:rsid w:val="00411515"/>
    <w:rsid w:val="0041236F"/>
    <w:rsid w:val="00412EEC"/>
    <w:rsid w:val="00413352"/>
    <w:rsid w:val="004133D2"/>
    <w:rsid w:val="00413A18"/>
    <w:rsid w:val="00413CA3"/>
    <w:rsid w:val="00414773"/>
    <w:rsid w:val="004147BD"/>
    <w:rsid w:val="004148BF"/>
    <w:rsid w:val="00414C57"/>
    <w:rsid w:val="00414D61"/>
    <w:rsid w:val="004152DF"/>
    <w:rsid w:val="0041549A"/>
    <w:rsid w:val="004165E8"/>
    <w:rsid w:val="0041664F"/>
    <w:rsid w:val="00416E75"/>
    <w:rsid w:val="00417391"/>
    <w:rsid w:val="004200EF"/>
    <w:rsid w:val="00420F0C"/>
    <w:rsid w:val="00420FFA"/>
    <w:rsid w:val="004217F7"/>
    <w:rsid w:val="0042194F"/>
    <w:rsid w:val="00421A9D"/>
    <w:rsid w:val="004224CE"/>
    <w:rsid w:val="0042251D"/>
    <w:rsid w:val="00422DD3"/>
    <w:rsid w:val="004230DF"/>
    <w:rsid w:val="004233DE"/>
    <w:rsid w:val="0042361B"/>
    <w:rsid w:val="00423675"/>
    <w:rsid w:val="00423A86"/>
    <w:rsid w:val="00424348"/>
    <w:rsid w:val="004245BA"/>
    <w:rsid w:val="00424B53"/>
    <w:rsid w:val="0042589F"/>
    <w:rsid w:val="0042598D"/>
    <w:rsid w:val="00425D00"/>
    <w:rsid w:val="0042647D"/>
    <w:rsid w:val="00426EFF"/>
    <w:rsid w:val="00427C4E"/>
    <w:rsid w:val="00427EC2"/>
    <w:rsid w:val="0043026D"/>
    <w:rsid w:val="00430F57"/>
    <w:rsid w:val="004321C7"/>
    <w:rsid w:val="004322CF"/>
    <w:rsid w:val="00432870"/>
    <w:rsid w:val="00432972"/>
    <w:rsid w:val="00433286"/>
    <w:rsid w:val="00433747"/>
    <w:rsid w:val="00433CCA"/>
    <w:rsid w:val="00433E63"/>
    <w:rsid w:val="00433F0C"/>
    <w:rsid w:val="00434085"/>
    <w:rsid w:val="004349D6"/>
    <w:rsid w:val="00434CDE"/>
    <w:rsid w:val="004358F5"/>
    <w:rsid w:val="00435B89"/>
    <w:rsid w:val="00435C42"/>
    <w:rsid w:val="00435CCD"/>
    <w:rsid w:val="004379BC"/>
    <w:rsid w:val="00440388"/>
    <w:rsid w:val="0044166E"/>
    <w:rsid w:val="004418DD"/>
    <w:rsid w:val="00442094"/>
    <w:rsid w:val="004428C4"/>
    <w:rsid w:val="004438D9"/>
    <w:rsid w:val="0044411C"/>
    <w:rsid w:val="004462C6"/>
    <w:rsid w:val="004463B1"/>
    <w:rsid w:val="00446B46"/>
    <w:rsid w:val="00446D2A"/>
    <w:rsid w:val="00446FBE"/>
    <w:rsid w:val="0044720E"/>
    <w:rsid w:val="00447365"/>
    <w:rsid w:val="004477F5"/>
    <w:rsid w:val="00447E2C"/>
    <w:rsid w:val="0045069D"/>
    <w:rsid w:val="0045092C"/>
    <w:rsid w:val="004509F5"/>
    <w:rsid w:val="00451963"/>
    <w:rsid w:val="00451C7B"/>
    <w:rsid w:val="00452053"/>
    <w:rsid w:val="00453013"/>
    <w:rsid w:val="00453EE4"/>
    <w:rsid w:val="00453FC7"/>
    <w:rsid w:val="00455456"/>
    <w:rsid w:val="00455846"/>
    <w:rsid w:val="004559B3"/>
    <w:rsid w:val="00456859"/>
    <w:rsid w:val="00457524"/>
    <w:rsid w:val="00460DA9"/>
    <w:rsid w:val="00460E6C"/>
    <w:rsid w:val="0046122D"/>
    <w:rsid w:val="00461A60"/>
    <w:rsid w:val="00462006"/>
    <w:rsid w:val="00462325"/>
    <w:rsid w:val="004627F3"/>
    <w:rsid w:val="004638D8"/>
    <w:rsid w:val="00464A0A"/>
    <w:rsid w:val="0046578D"/>
    <w:rsid w:val="00465D3F"/>
    <w:rsid w:val="0046647F"/>
    <w:rsid w:val="00466A8F"/>
    <w:rsid w:val="00466F3F"/>
    <w:rsid w:val="0046704E"/>
    <w:rsid w:val="00467D45"/>
    <w:rsid w:val="00467D4C"/>
    <w:rsid w:val="00470349"/>
    <w:rsid w:val="00471923"/>
    <w:rsid w:val="00471ADE"/>
    <w:rsid w:val="00471EA8"/>
    <w:rsid w:val="0047232B"/>
    <w:rsid w:val="00472967"/>
    <w:rsid w:val="00472B17"/>
    <w:rsid w:val="00472C4F"/>
    <w:rsid w:val="00473603"/>
    <w:rsid w:val="00473C87"/>
    <w:rsid w:val="00473E59"/>
    <w:rsid w:val="00474C5B"/>
    <w:rsid w:val="00475070"/>
    <w:rsid w:val="004752C8"/>
    <w:rsid w:val="00476344"/>
    <w:rsid w:val="004764AB"/>
    <w:rsid w:val="00480A0C"/>
    <w:rsid w:val="00482EA8"/>
    <w:rsid w:val="004836CD"/>
    <w:rsid w:val="00483D08"/>
    <w:rsid w:val="004847FE"/>
    <w:rsid w:val="004848C6"/>
    <w:rsid w:val="004854F8"/>
    <w:rsid w:val="0048563A"/>
    <w:rsid w:val="00485980"/>
    <w:rsid w:val="004866AD"/>
    <w:rsid w:val="00486B4D"/>
    <w:rsid w:val="00486F0E"/>
    <w:rsid w:val="00487495"/>
    <w:rsid w:val="00487BD8"/>
    <w:rsid w:val="00487DBF"/>
    <w:rsid w:val="004918AC"/>
    <w:rsid w:val="004921B4"/>
    <w:rsid w:val="00492B48"/>
    <w:rsid w:val="00493C8A"/>
    <w:rsid w:val="00493D7F"/>
    <w:rsid w:val="00493E2F"/>
    <w:rsid w:val="004945E3"/>
    <w:rsid w:val="004948EF"/>
    <w:rsid w:val="0049495B"/>
    <w:rsid w:val="00495465"/>
    <w:rsid w:val="00496222"/>
    <w:rsid w:val="00497720"/>
    <w:rsid w:val="00497AB3"/>
    <w:rsid w:val="004A0A0C"/>
    <w:rsid w:val="004A0BB2"/>
    <w:rsid w:val="004A0D81"/>
    <w:rsid w:val="004A163B"/>
    <w:rsid w:val="004A2F35"/>
    <w:rsid w:val="004A2F44"/>
    <w:rsid w:val="004A3D69"/>
    <w:rsid w:val="004A3E89"/>
    <w:rsid w:val="004A437B"/>
    <w:rsid w:val="004A4F4D"/>
    <w:rsid w:val="004A507A"/>
    <w:rsid w:val="004A5F08"/>
    <w:rsid w:val="004A64CC"/>
    <w:rsid w:val="004A6A87"/>
    <w:rsid w:val="004A6F94"/>
    <w:rsid w:val="004A7324"/>
    <w:rsid w:val="004A797A"/>
    <w:rsid w:val="004B21F6"/>
    <w:rsid w:val="004B33B8"/>
    <w:rsid w:val="004B35A7"/>
    <w:rsid w:val="004B36F0"/>
    <w:rsid w:val="004B468A"/>
    <w:rsid w:val="004B4C71"/>
    <w:rsid w:val="004B4D38"/>
    <w:rsid w:val="004B4F7B"/>
    <w:rsid w:val="004B52E3"/>
    <w:rsid w:val="004B5993"/>
    <w:rsid w:val="004B5E1E"/>
    <w:rsid w:val="004B6DDB"/>
    <w:rsid w:val="004B6E46"/>
    <w:rsid w:val="004C0008"/>
    <w:rsid w:val="004C1BE7"/>
    <w:rsid w:val="004C1D4D"/>
    <w:rsid w:val="004C2208"/>
    <w:rsid w:val="004C2329"/>
    <w:rsid w:val="004C2DD5"/>
    <w:rsid w:val="004C3CB5"/>
    <w:rsid w:val="004C40D6"/>
    <w:rsid w:val="004C4294"/>
    <w:rsid w:val="004C4C25"/>
    <w:rsid w:val="004C50E4"/>
    <w:rsid w:val="004C5AD7"/>
    <w:rsid w:val="004C6411"/>
    <w:rsid w:val="004C7547"/>
    <w:rsid w:val="004C7620"/>
    <w:rsid w:val="004C78CC"/>
    <w:rsid w:val="004C7CF0"/>
    <w:rsid w:val="004C7D4F"/>
    <w:rsid w:val="004C7DDE"/>
    <w:rsid w:val="004C7EBC"/>
    <w:rsid w:val="004D052E"/>
    <w:rsid w:val="004D0BAB"/>
    <w:rsid w:val="004D1F14"/>
    <w:rsid w:val="004D297A"/>
    <w:rsid w:val="004D2DB5"/>
    <w:rsid w:val="004D314B"/>
    <w:rsid w:val="004D5313"/>
    <w:rsid w:val="004D540E"/>
    <w:rsid w:val="004D5E86"/>
    <w:rsid w:val="004D5FA5"/>
    <w:rsid w:val="004D615D"/>
    <w:rsid w:val="004D6D88"/>
    <w:rsid w:val="004D72EB"/>
    <w:rsid w:val="004D7A64"/>
    <w:rsid w:val="004E1058"/>
    <w:rsid w:val="004E18F3"/>
    <w:rsid w:val="004E1CD8"/>
    <w:rsid w:val="004E1EEF"/>
    <w:rsid w:val="004E2D2C"/>
    <w:rsid w:val="004E2F4F"/>
    <w:rsid w:val="004E4085"/>
    <w:rsid w:val="004E43A1"/>
    <w:rsid w:val="004E444B"/>
    <w:rsid w:val="004E4903"/>
    <w:rsid w:val="004E57D9"/>
    <w:rsid w:val="004E606F"/>
    <w:rsid w:val="004E689F"/>
    <w:rsid w:val="004E696B"/>
    <w:rsid w:val="004E764E"/>
    <w:rsid w:val="004E7AE6"/>
    <w:rsid w:val="004E7D30"/>
    <w:rsid w:val="004E7E22"/>
    <w:rsid w:val="004F041F"/>
    <w:rsid w:val="004F1039"/>
    <w:rsid w:val="004F15FB"/>
    <w:rsid w:val="004F1C90"/>
    <w:rsid w:val="004F23B9"/>
    <w:rsid w:val="004F3010"/>
    <w:rsid w:val="004F3761"/>
    <w:rsid w:val="004F3A87"/>
    <w:rsid w:val="004F3DC6"/>
    <w:rsid w:val="004F3FD9"/>
    <w:rsid w:val="004F45AA"/>
    <w:rsid w:val="004F463E"/>
    <w:rsid w:val="004F517F"/>
    <w:rsid w:val="004F5DCD"/>
    <w:rsid w:val="004F60DD"/>
    <w:rsid w:val="004F6131"/>
    <w:rsid w:val="004F651A"/>
    <w:rsid w:val="005004D1"/>
    <w:rsid w:val="005017F6"/>
    <w:rsid w:val="00501E27"/>
    <w:rsid w:val="00501F23"/>
    <w:rsid w:val="005031E3"/>
    <w:rsid w:val="005034B6"/>
    <w:rsid w:val="005038F0"/>
    <w:rsid w:val="00503B02"/>
    <w:rsid w:val="005049EB"/>
    <w:rsid w:val="00506688"/>
    <w:rsid w:val="00506A02"/>
    <w:rsid w:val="00506AE7"/>
    <w:rsid w:val="00506C68"/>
    <w:rsid w:val="00506F28"/>
    <w:rsid w:val="00510DE6"/>
    <w:rsid w:val="005119D6"/>
    <w:rsid w:val="00511A10"/>
    <w:rsid w:val="00511F22"/>
    <w:rsid w:val="005127BD"/>
    <w:rsid w:val="00512D6C"/>
    <w:rsid w:val="00512F2E"/>
    <w:rsid w:val="00513D12"/>
    <w:rsid w:val="00513D30"/>
    <w:rsid w:val="00514496"/>
    <w:rsid w:val="00514B2D"/>
    <w:rsid w:val="005151D9"/>
    <w:rsid w:val="00515801"/>
    <w:rsid w:val="00516391"/>
    <w:rsid w:val="005164F3"/>
    <w:rsid w:val="005165C2"/>
    <w:rsid w:val="00516FF5"/>
    <w:rsid w:val="005172CA"/>
    <w:rsid w:val="00517B1D"/>
    <w:rsid w:val="00517D20"/>
    <w:rsid w:val="005205E6"/>
    <w:rsid w:val="00520821"/>
    <w:rsid w:val="00520B95"/>
    <w:rsid w:val="00521184"/>
    <w:rsid w:val="0052144D"/>
    <w:rsid w:val="005215B8"/>
    <w:rsid w:val="0052177B"/>
    <w:rsid w:val="00521790"/>
    <w:rsid w:val="00521935"/>
    <w:rsid w:val="00521C61"/>
    <w:rsid w:val="0052265F"/>
    <w:rsid w:val="0052281A"/>
    <w:rsid w:val="00522A98"/>
    <w:rsid w:val="00523104"/>
    <w:rsid w:val="0052381D"/>
    <w:rsid w:val="0052387F"/>
    <w:rsid w:val="00524498"/>
    <w:rsid w:val="005248C0"/>
    <w:rsid w:val="00524AF6"/>
    <w:rsid w:val="0052526C"/>
    <w:rsid w:val="005252FA"/>
    <w:rsid w:val="005267E7"/>
    <w:rsid w:val="0052689C"/>
    <w:rsid w:val="00526B43"/>
    <w:rsid w:val="00527342"/>
    <w:rsid w:val="0052760A"/>
    <w:rsid w:val="00527D2D"/>
    <w:rsid w:val="00530CC2"/>
    <w:rsid w:val="00531B78"/>
    <w:rsid w:val="00531BB2"/>
    <w:rsid w:val="00532050"/>
    <w:rsid w:val="005337C3"/>
    <w:rsid w:val="00533FC2"/>
    <w:rsid w:val="0053404E"/>
    <w:rsid w:val="00534C01"/>
    <w:rsid w:val="00534E3C"/>
    <w:rsid w:val="00535299"/>
    <w:rsid w:val="0053581B"/>
    <w:rsid w:val="00535A6E"/>
    <w:rsid w:val="005365F5"/>
    <w:rsid w:val="00536C8C"/>
    <w:rsid w:val="00537929"/>
    <w:rsid w:val="00537B9E"/>
    <w:rsid w:val="00537FB7"/>
    <w:rsid w:val="00540682"/>
    <w:rsid w:val="00540805"/>
    <w:rsid w:val="00540FC8"/>
    <w:rsid w:val="005415C0"/>
    <w:rsid w:val="005417C4"/>
    <w:rsid w:val="00542725"/>
    <w:rsid w:val="00542C46"/>
    <w:rsid w:val="00542FE9"/>
    <w:rsid w:val="00543267"/>
    <w:rsid w:val="00543669"/>
    <w:rsid w:val="00543713"/>
    <w:rsid w:val="005437EA"/>
    <w:rsid w:val="005437F8"/>
    <w:rsid w:val="005442B5"/>
    <w:rsid w:val="005448FF"/>
    <w:rsid w:val="00545385"/>
    <w:rsid w:val="0054565F"/>
    <w:rsid w:val="00545B3F"/>
    <w:rsid w:val="00545BD0"/>
    <w:rsid w:val="0054642C"/>
    <w:rsid w:val="005465CB"/>
    <w:rsid w:val="005467AA"/>
    <w:rsid w:val="00547373"/>
    <w:rsid w:val="00547742"/>
    <w:rsid w:val="00550AA5"/>
    <w:rsid w:val="005522CF"/>
    <w:rsid w:val="00552950"/>
    <w:rsid w:val="00552C1B"/>
    <w:rsid w:val="00552EC7"/>
    <w:rsid w:val="005532DC"/>
    <w:rsid w:val="005537CA"/>
    <w:rsid w:val="0055385D"/>
    <w:rsid w:val="005541A4"/>
    <w:rsid w:val="00554227"/>
    <w:rsid w:val="005546AF"/>
    <w:rsid w:val="00554C66"/>
    <w:rsid w:val="00555208"/>
    <w:rsid w:val="0055572A"/>
    <w:rsid w:val="0055588A"/>
    <w:rsid w:val="00555B71"/>
    <w:rsid w:val="0055645D"/>
    <w:rsid w:val="00556A1F"/>
    <w:rsid w:val="00557068"/>
    <w:rsid w:val="0055743B"/>
    <w:rsid w:val="00557FDF"/>
    <w:rsid w:val="00560118"/>
    <w:rsid w:val="00560367"/>
    <w:rsid w:val="00560488"/>
    <w:rsid w:val="005606FA"/>
    <w:rsid w:val="005609F1"/>
    <w:rsid w:val="00560B0A"/>
    <w:rsid w:val="00560E42"/>
    <w:rsid w:val="00560F52"/>
    <w:rsid w:val="005619BB"/>
    <w:rsid w:val="00561CBB"/>
    <w:rsid w:val="005628CB"/>
    <w:rsid w:val="00562C02"/>
    <w:rsid w:val="00562D47"/>
    <w:rsid w:val="00562F9C"/>
    <w:rsid w:val="00564F52"/>
    <w:rsid w:val="005650F3"/>
    <w:rsid w:val="005651E7"/>
    <w:rsid w:val="005660F8"/>
    <w:rsid w:val="00566A28"/>
    <w:rsid w:val="00566E4F"/>
    <w:rsid w:val="0056743E"/>
    <w:rsid w:val="00570430"/>
    <w:rsid w:val="00570494"/>
    <w:rsid w:val="005704F9"/>
    <w:rsid w:val="00570532"/>
    <w:rsid w:val="00570BB4"/>
    <w:rsid w:val="00570DF2"/>
    <w:rsid w:val="00571D5B"/>
    <w:rsid w:val="00572187"/>
    <w:rsid w:val="005723AE"/>
    <w:rsid w:val="00572D92"/>
    <w:rsid w:val="00573320"/>
    <w:rsid w:val="00573594"/>
    <w:rsid w:val="00574FF6"/>
    <w:rsid w:val="00575444"/>
    <w:rsid w:val="0057579F"/>
    <w:rsid w:val="00575A4A"/>
    <w:rsid w:val="00576063"/>
    <w:rsid w:val="00581A0C"/>
    <w:rsid w:val="00581AD7"/>
    <w:rsid w:val="005826D9"/>
    <w:rsid w:val="00582E7A"/>
    <w:rsid w:val="0058342A"/>
    <w:rsid w:val="00583470"/>
    <w:rsid w:val="00583826"/>
    <w:rsid w:val="00584790"/>
    <w:rsid w:val="005849A5"/>
    <w:rsid w:val="00585616"/>
    <w:rsid w:val="00585C86"/>
    <w:rsid w:val="00585D55"/>
    <w:rsid w:val="0058619D"/>
    <w:rsid w:val="005864B1"/>
    <w:rsid w:val="005865A0"/>
    <w:rsid w:val="0058697D"/>
    <w:rsid w:val="00587F6D"/>
    <w:rsid w:val="00590096"/>
    <w:rsid w:val="00591231"/>
    <w:rsid w:val="005920B3"/>
    <w:rsid w:val="00592591"/>
    <w:rsid w:val="00592A75"/>
    <w:rsid w:val="00592F1A"/>
    <w:rsid w:val="00593D4F"/>
    <w:rsid w:val="005942DB"/>
    <w:rsid w:val="00594D40"/>
    <w:rsid w:val="00594E29"/>
    <w:rsid w:val="00595DE8"/>
    <w:rsid w:val="005969D4"/>
    <w:rsid w:val="00596A2B"/>
    <w:rsid w:val="00596D18"/>
    <w:rsid w:val="005974FF"/>
    <w:rsid w:val="00597B0E"/>
    <w:rsid w:val="005A014A"/>
    <w:rsid w:val="005A0371"/>
    <w:rsid w:val="005A0403"/>
    <w:rsid w:val="005A0F95"/>
    <w:rsid w:val="005A1803"/>
    <w:rsid w:val="005A20D1"/>
    <w:rsid w:val="005A291F"/>
    <w:rsid w:val="005A2A19"/>
    <w:rsid w:val="005A2A6F"/>
    <w:rsid w:val="005A2AA5"/>
    <w:rsid w:val="005A3A6D"/>
    <w:rsid w:val="005A426A"/>
    <w:rsid w:val="005A43A4"/>
    <w:rsid w:val="005A44F1"/>
    <w:rsid w:val="005A4511"/>
    <w:rsid w:val="005A4531"/>
    <w:rsid w:val="005A53AE"/>
    <w:rsid w:val="005A56CF"/>
    <w:rsid w:val="005A589F"/>
    <w:rsid w:val="005A5ECA"/>
    <w:rsid w:val="005A72D8"/>
    <w:rsid w:val="005A7CB5"/>
    <w:rsid w:val="005B0252"/>
    <w:rsid w:val="005B1255"/>
    <w:rsid w:val="005B181A"/>
    <w:rsid w:val="005B206A"/>
    <w:rsid w:val="005B20BF"/>
    <w:rsid w:val="005B22B0"/>
    <w:rsid w:val="005B281E"/>
    <w:rsid w:val="005B2AF1"/>
    <w:rsid w:val="005B2B8D"/>
    <w:rsid w:val="005B2CAF"/>
    <w:rsid w:val="005B3010"/>
    <w:rsid w:val="005B387A"/>
    <w:rsid w:val="005B39A5"/>
    <w:rsid w:val="005B43D4"/>
    <w:rsid w:val="005B4966"/>
    <w:rsid w:val="005B53CB"/>
    <w:rsid w:val="005B5711"/>
    <w:rsid w:val="005B5D55"/>
    <w:rsid w:val="005B64EE"/>
    <w:rsid w:val="005B79EB"/>
    <w:rsid w:val="005C1502"/>
    <w:rsid w:val="005C1FA4"/>
    <w:rsid w:val="005C2C96"/>
    <w:rsid w:val="005C2E41"/>
    <w:rsid w:val="005C3A0B"/>
    <w:rsid w:val="005C5A5C"/>
    <w:rsid w:val="005C5C5A"/>
    <w:rsid w:val="005C5D74"/>
    <w:rsid w:val="005C5E6C"/>
    <w:rsid w:val="005C5F71"/>
    <w:rsid w:val="005C6041"/>
    <w:rsid w:val="005C6049"/>
    <w:rsid w:val="005C6A6B"/>
    <w:rsid w:val="005C6E3D"/>
    <w:rsid w:val="005C788B"/>
    <w:rsid w:val="005D07AE"/>
    <w:rsid w:val="005D07D6"/>
    <w:rsid w:val="005D0CAC"/>
    <w:rsid w:val="005D1016"/>
    <w:rsid w:val="005D10BF"/>
    <w:rsid w:val="005D1817"/>
    <w:rsid w:val="005D23CB"/>
    <w:rsid w:val="005D2558"/>
    <w:rsid w:val="005D25AE"/>
    <w:rsid w:val="005D2696"/>
    <w:rsid w:val="005D394E"/>
    <w:rsid w:val="005D3BBA"/>
    <w:rsid w:val="005D438E"/>
    <w:rsid w:val="005D4C72"/>
    <w:rsid w:val="005D5509"/>
    <w:rsid w:val="005D5591"/>
    <w:rsid w:val="005D66DD"/>
    <w:rsid w:val="005D7353"/>
    <w:rsid w:val="005D746D"/>
    <w:rsid w:val="005D7575"/>
    <w:rsid w:val="005D7AE1"/>
    <w:rsid w:val="005E0838"/>
    <w:rsid w:val="005E0F9F"/>
    <w:rsid w:val="005E18C4"/>
    <w:rsid w:val="005E1D36"/>
    <w:rsid w:val="005E25A9"/>
    <w:rsid w:val="005E2672"/>
    <w:rsid w:val="005E2A5D"/>
    <w:rsid w:val="005E2A6F"/>
    <w:rsid w:val="005E36F7"/>
    <w:rsid w:val="005E404E"/>
    <w:rsid w:val="005E4D9F"/>
    <w:rsid w:val="005E4E0B"/>
    <w:rsid w:val="005E5EC6"/>
    <w:rsid w:val="005E6840"/>
    <w:rsid w:val="005E6985"/>
    <w:rsid w:val="005E792C"/>
    <w:rsid w:val="005F00A0"/>
    <w:rsid w:val="005F0669"/>
    <w:rsid w:val="005F07C1"/>
    <w:rsid w:val="005F13AA"/>
    <w:rsid w:val="005F2092"/>
    <w:rsid w:val="005F214D"/>
    <w:rsid w:val="005F2DFE"/>
    <w:rsid w:val="005F314F"/>
    <w:rsid w:val="005F3574"/>
    <w:rsid w:val="005F3EDD"/>
    <w:rsid w:val="005F5506"/>
    <w:rsid w:val="005F5B15"/>
    <w:rsid w:val="005F5D8A"/>
    <w:rsid w:val="005F60FF"/>
    <w:rsid w:val="005F658B"/>
    <w:rsid w:val="005F6773"/>
    <w:rsid w:val="005F6931"/>
    <w:rsid w:val="005F7042"/>
    <w:rsid w:val="005F7A5B"/>
    <w:rsid w:val="005F7C5F"/>
    <w:rsid w:val="00600D88"/>
    <w:rsid w:val="006010D8"/>
    <w:rsid w:val="00601C89"/>
    <w:rsid w:val="00601D73"/>
    <w:rsid w:val="00602189"/>
    <w:rsid w:val="0060232E"/>
    <w:rsid w:val="0060294A"/>
    <w:rsid w:val="0060305C"/>
    <w:rsid w:val="00603072"/>
    <w:rsid w:val="006030CB"/>
    <w:rsid w:val="00603566"/>
    <w:rsid w:val="00603664"/>
    <w:rsid w:val="00604E99"/>
    <w:rsid w:val="00605C2F"/>
    <w:rsid w:val="00605E86"/>
    <w:rsid w:val="00605E9F"/>
    <w:rsid w:val="00606B3F"/>
    <w:rsid w:val="00606D59"/>
    <w:rsid w:val="00606EFD"/>
    <w:rsid w:val="00606FC8"/>
    <w:rsid w:val="006075DB"/>
    <w:rsid w:val="00610378"/>
    <w:rsid w:val="00610395"/>
    <w:rsid w:val="00610F72"/>
    <w:rsid w:val="00611643"/>
    <w:rsid w:val="0061244C"/>
    <w:rsid w:val="00612B66"/>
    <w:rsid w:val="00613704"/>
    <w:rsid w:val="0061421C"/>
    <w:rsid w:val="006142B4"/>
    <w:rsid w:val="0061438C"/>
    <w:rsid w:val="00614554"/>
    <w:rsid w:val="00614B08"/>
    <w:rsid w:val="00614CB5"/>
    <w:rsid w:val="00615437"/>
    <w:rsid w:val="00615DD7"/>
    <w:rsid w:val="006167B6"/>
    <w:rsid w:val="00616BEA"/>
    <w:rsid w:val="00616C24"/>
    <w:rsid w:val="0061740A"/>
    <w:rsid w:val="0061775B"/>
    <w:rsid w:val="00617B23"/>
    <w:rsid w:val="00617E39"/>
    <w:rsid w:val="00617ECF"/>
    <w:rsid w:val="00620192"/>
    <w:rsid w:val="00620358"/>
    <w:rsid w:val="006211AF"/>
    <w:rsid w:val="0062231F"/>
    <w:rsid w:val="00622CDB"/>
    <w:rsid w:val="00623211"/>
    <w:rsid w:val="00623259"/>
    <w:rsid w:val="00625171"/>
    <w:rsid w:val="0062548A"/>
    <w:rsid w:val="0062569F"/>
    <w:rsid w:val="006260EF"/>
    <w:rsid w:val="00627942"/>
    <w:rsid w:val="00627A62"/>
    <w:rsid w:val="00627B1D"/>
    <w:rsid w:val="0063010B"/>
    <w:rsid w:val="00630AFE"/>
    <w:rsid w:val="006310E2"/>
    <w:rsid w:val="00631331"/>
    <w:rsid w:val="00631638"/>
    <w:rsid w:val="006317AD"/>
    <w:rsid w:val="00632A66"/>
    <w:rsid w:val="00633458"/>
    <w:rsid w:val="006335A3"/>
    <w:rsid w:val="00633FEF"/>
    <w:rsid w:val="0063408F"/>
    <w:rsid w:val="00634437"/>
    <w:rsid w:val="00634D47"/>
    <w:rsid w:val="00635615"/>
    <w:rsid w:val="00635AAF"/>
    <w:rsid w:val="00635BD9"/>
    <w:rsid w:val="0063624A"/>
    <w:rsid w:val="0063681B"/>
    <w:rsid w:val="00636F52"/>
    <w:rsid w:val="0063743F"/>
    <w:rsid w:val="0063745C"/>
    <w:rsid w:val="00637C2D"/>
    <w:rsid w:val="00637F86"/>
    <w:rsid w:val="006412A6"/>
    <w:rsid w:val="006415F2"/>
    <w:rsid w:val="00641684"/>
    <w:rsid w:val="0064171B"/>
    <w:rsid w:val="00641AA2"/>
    <w:rsid w:val="00641EF8"/>
    <w:rsid w:val="00642128"/>
    <w:rsid w:val="00642B61"/>
    <w:rsid w:val="00643173"/>
    <w:rsid w:val="00643197"/>
    <w:rsid w:val="006434AD"/>
    <w:rsid w:val="006435B1"/>
    <w:rsid w:val="00644266"/>
    <w:rsid w:val="006444DA"/>
    <w:rsid w:val="00644BD1"/>
    <w:rsid w:val="00644DC7"/>
    <w:rsid w:val="00645174"/>
    <w:rsid w:val="00645E72"/>
    <w:rsid w:val="00645F23"/>
    <w:rsid w:val="00646833"/>
    <w:rsid w:val="00646BD6"/>
    <w:rsid w:val="00647D67"/>
    <w:rsid w:val="00650A04"/>
    <w:rsid w:val="00650FDD"/>
    <w:rsid w:val="006520B7"/>
    <w:rsid w:val="00652D6F"/>
    <w:rsid w:val="00653300"/>
    <w:rsid w:val="00653A45"/>
    <w:rsid w:val="00654575"/>
    <w:rsid w:val="00654F4A"/>
    <w:rsid w:val="00655188"/>
    <w:rsid w:val="00655767"/>
    <w:rsid w:val="00655C6D"/>
    <w:rsid w:val="00655E07"/>
    <w:rsid w:val="00655FFD"/>
    <w:rsid w:val="0065672D"/>
    <w:rsid w:val="00656928"/>
    <w:rsid w:val="00657842"/>
    <w:rsid w:val="00657A7A"/>
    <w:rsid w:val="00660832"/>
    <w:rsid w:val="00661F8A"/>
    <w:rsid w:val="00662313"/>
    <w:rsid w:val="00662B0D"/>
    <w:rsid w:val="006637F0"/>
    <w:rsid w:val="00663829"/>
    <w:rsid w:val="00663A3E"/>
    <w:rsid w:val="00664C44"/>
    <w:rsid w:val="00664E8E"/>
    <w:rsid w:val="00664F1B"/>
    <w:rsid w:val="00665BEC"/>
    <w:rsid w:val="00665F22"/>
    <w:rsid w:val="00666123"/>
    <w:rsid w:val="006661AE"/>
    <w:rsid w:val="006666ED"/>
    <w:rsid w:val="00666D10"/>
    <w:rsid w:val="00666D2F"/>
    <w:rsid w:val="0067022D"/>
    <w:rsid w:val="0067051B"/>
    <w:rsid w:val="006705CF"/>
    <w:rsid w:val="00670AD9"/>
    <w:rsid w:val="00670BF7"/>
    <w:rsid w:val="00670DAD"/>
    <w:rsid w:val="0067178B"/>
    <w:rsid w:val="00672A61"/>
    <w:rsid w:val="006737E8"/>
    <w:rsid w:val="00673D14"/>
    <w:rsid w:val="00673DAB"/>
    <w:rsid w:val="00674387"/>
    <w:rsid w:val="006746F4"/>
    <w:rsid w:val="00674985"/>
    <w:rsid w:val="00674B8F"/>
    <w:rsid w:val="00674F57"/>
    <w:rsid w:val="00676A47"/>
    <w:rsid w:val="00676D33"/>
    <w:rsid w:val="0067782D"/>
    <w:rsid w:val="00677CE5"/>
    <w:rsid w:val="00677D74"/>
    <w:rsid w:val="00677EBB"/>
    <w:rsid w:val="00680166"/>
    <w:rsid w:val="00680379"/>
    <w:rsid w:val="00680768"/>
    <w:rsid w:val="0068077B"/>
    <w:rsid w:val="00681C2C"/>
    <w:rsid w:val="00682D05"/>
    <w:rsid w:val="006835E8"/>
    <w:rsid w:val="0068404F"/>
    <w:rsid w:val="006844CC"/>
    <w:rsid w:val="00684D80"/>
    <w:rsid w:val="00684DCF"/>
    <w:rsid w:val="00685F47"/>
    <w:rsid w:val="00686A3A"/>
    <w:rsid w:val="00686AB8"/>
    <w:rsid w:val="00686AE3"/>
    <w:rsid w:val="00686FB2"/>
    <w:rsid w:val="0068708A"/>
    <w:rsid w:val="006874CC"/>
    <w:rsid w:val="00690F23"/>
    <w:rsid w:val="0069270B"/>
    <w:rsid w:val="0069318D"/>
    <w:rsid w:val="00693545"/>
    <w:rsid w:val="0069396A"/>
    <w:rsid w:val="006952DB"/>
    <w:rsid w:val="00695951"/>
    <w:rsid w:val="00695DC3"/>
    <w:rsid w:val="00696F79"/>
    <w:rsid w:val="006970C4"/>
    <w:rsid w:val="006971E8"/>
    <w:rsid w:val="0069776B"/>
    <w:rsid w:val="00697BEE"/>
    <w:rsid w:val="006A00E6"/>
    <w:rsid w:val="006A04C4"/>
    <w:rsid w:val="006A10C8"/>
    <w:rsid w:val="006A1486"/>
    <w:rsid w:val="006A18B4"/>
    <w:rsid w:val="006A1EE2"/>
    <w:rsid w:val="006A2819"/>
    <w:rsid w:val="006A2847"/>
    <w:rsid w:val="006A2CA9"/>
    <w:rsid w:val="006A33AE"/>
    <w:rsid w:val="006A35CD"/>
    <w:rsid w:val="006A3935"/>
    <w:rsid w:val="006A3CA3"/>
    <w:rsid w:val="006A4AA4"/>
    <w:rsid w:val="006A557E"/>
    <w:rsid w:val="006A55C5"/>
    <w:rsid w:val="006A5BF1"/>
    <w:rsid w:val="006A7EE3"/>
    <w:rsid w:val="006B08BE"/>
    <w:rsid w:val="006B0F41"/>
    <w:rsid w:val="006B20AB"/>
    <w:rsid w:val="006B2224"/>
    <w:rsid w:val="006B298B"/>
    <w:rsid w:val="006B2E7D"/>
    <w:rsid w:val="006B2FC4"/>
    <w:rsid w:val="006B3604"/>
    <w:rsid w:val="006B37D9"/>
    <w:rsid w:val="006B3C98"/>
    <w:rsid w:val="006B4276"/>
    <w:rsid w:val="006B47F9"/>
    <w:rsid w:val="006B58B6"/>
    <w:rsid w:val="006B5B9C"/>
    <w:rsid w:val="006B5BFC"/>
    <w:rsid w:val="006B62DD"/>
    <w:rsid w:val="006B669A"/>
    <w:rsid w:val="006B6C74"/>
    <w:rsid w:val="006B7DD4"/>
    <w:rsid w:val="006C0406"/>
    <w:rsid w:val="006C04CE"/>
    <w:rsid w:val="006C09C8"/>
    <w:rsid w:val="006C0CA0"/>
    <w:rsid w:val="006C164A"/>
    <w:rsid w:val="006C1759"/>
    <w:rsid w:val="006C24BB"/>
    <w:rsid w:val="006C2AA0"/>
    <w:rsid w:val="006C2F0D"/>
    <w:rsid w:val="006C3C72"/>
    <w:rsid w:val="006C3D79"/>
    <w:rsid w:val="006C3E1F"/>
    <w:rsid w:val="006C4627"/>
    <w:rsid w:val="006C4A90"/>
    <w:rsid w:val="006C4F3E"/>
    <w:rsid w:val="006C4FAB"/>
    <w:rsid w:val="006C51AB"/>
    <w:rsid w:val="006C5533"/>
    <w:rsid w:val="006C5B3F"/>
    <w:rsid w:val="006C5B84"/>
    <w:rsid w:val="006C5F09"/>
    <w:rsid w:val="006C5F6C"/>
    <w:rsid w:val="006C690B"/>
    <w:rsid w:val="006C6F07"/>
    <w:rsid w:val="006C71FE"/>
    <w:rsid w:val="006C73DB"/>
    <w:rsid w:val="006C75E0"/>
    <w:rsid w:val="006C77C9"/>
    <w:rsid w:val="006C7A85"/>
    <w:rsid w:val="006D0545"/>
    <w:rsid w:val="006D0691"/>
    <w:rsid w:val="006D0F24"/>
    <w:rsid w:val="006D18A0"/>
    <w:rsid w:val="006D18FC"/>
    <w:rsid w:val="006D1B72"/>
    <w:rsid w:val="006D1CA6"/>
    <w:rsid w:val="006D1F99"/>
    <w:rsid w:val="006D35AC"/>
    <w:rsid w:val="006D3B16"/>
    <w:rsid w:val="006D4367"/>
    <w:rsid w:val="006D4B44"/>
    <w:rsid w:val="006D4BA0"/>
    <w:rsid w:val="006D635C"/>
    <w:rsid w:val="006D6439"/>
    <w:rsid w:val="006D6B50"/>
    <w:rsid w:val="006D6EE9"/>
    <w:rsid w:val="006E02EB"/>
    <w:rsid w:val="006E034C"/>
    <w:rsid w:val="006E0AE3"/>
    <w:rsid w:val="006E15E5"/>
    <w:rsid w:val="006E1E4F"/>
    <w:rsid w:val="006E26AD"/>
    <w:rsid w:val="006E3123"/>
    <w:rsid w:val="006E3952"/>
    <w:rsid w:val="006E3967"/>
    <w:rsid w:val="006E41B3"/>
    <w:rsid w:val="006E45E1"/>
    <w:rsid w:val="006E4866"/>
    <w:rsid w:val="006E4B45"/>
    <w:rsid w:val="006E4E6B"/>
    <w:rsid w:val="006E5B76"/>
    <w:rsid w:val="006E5C7C"/>
    <w:rsid w:val="006E6056"/>
    <w:rsid w:val="006E612D"/>
    <w:rsid w:val="006E62E4"/>
    <w:rsid w:val="006E6743"/>
    <w:rsid w:val="006E70FA"/>
    <w:rsid w:val="006E733D"/>
    <w:rsid w:val="006E7EE8"/>
    <w:rsid w:val="006E7F46"/>
    <w:rsid w:val="006F0B67"/>
    <w:rsid w:val="006F0F4A"/>
    <w:rsid w:val="006F1317"/>
    <w:rsid w:val="006F13A3"/>
    <w:rsid w:val="006F14EB"/>
    <w:rsid w:val="006F2B4D"/>
    <w:rsid w:val="006F3944"/>
    <w:rsid w:val="006F3E09"/>
    <w:rsid w:val="006F448F"/>
    <w:rsid w:val="006F48F6"/>
    <w:rsid w:val="006F4AA3"/>
    <w:rsid w:val="006F4FFE"/>
    <w:rsid w:val="006F50EA"/>
    <w:rsid w:val="006F5921"/>
    <w:rsid w:val="006F663E"/>
    <w:rsid w:val="006F6AC3"/>
    <w:rsid w:val="006F6B66"/>
    <w:rsid w:val="007004F8"/>
    <w:rsid w:val="00700ABF"/>
    <w:rsid w:val="00700B88"/>
    <w:rsid w:val="00700CC8"/>
    <w:rsid w:val="0070136B"/>
    <w:rsid w:val="00701C7E"/>
    <w:rsid w:val="00701FB1"/>
    <w:rsid w:val="00702133"/>
    <w:rsid w:val="00702304"/>
    <w:rsid w:val="00702C56"/>
    <w:rsid w:val="00702CDE"/>
    <w:rsid w:val="00702F58"/>
    <w:rsid w:val="007049BE"/>
    <w:rsid w:val="00704C77"/>
    <w:rsid w:val="0070583D"/>
    <w:rsid w:val="00706726"/>
    <w:rsid w:val="00706BD7"/>
    <w:rsid w:val="00706FE7"/>
    <w:rsid w:val="007072A9"/>
    <w:rsid w:val="007103C4"/>
    <w:rsid w:val="007108D9"/>
    <w:rsid w:val="00710AAA"/>
    <w:rsid w:val="00710CC4"/>
    <w:rsid w:val="00711F91"/>
    <w:rsid w:val="007124DE"/>
    <w:rsid w:val="007126EA"/>
    <w:rsid w:val="00713647"/>
    <w:rsid w:val="007136A5"/>
    <w:rsid w:val="00713AEE"/>
    <w:rsid w:val="00713E08"/>
    <w:rsid w:val="007140CB"/>
    <w:rsid w:val="007144A1"/>
    <w:rsid w:val="0071452D"/>
    <w:rsid w:val="00714A72"/>
    <w:rsid w:val="00714AB3"/>
    <w:rsid w:val="007150AD"/>
    <w:rsid w:val="0071601D"/>
    <w:rsid w:val="007165E1"/>
    <w:rsid w:val="0071678C"/>
    <w:rsid w:val="007167E4"/>
    <w:rsid w:val="00717D0B"/>
    <w:rsid w:val="0072061C"/>
    <w:rsid w:val="007214D8"/>
    <w:rsid w:val="007216CF"/>
    <w:rsid w:val="007217B4"/>
    <w:rsid w:val="00721F03"/>
    <w:rsid w:val="0072234E"/>
    <w:rsid w:val="007227A2"/>
    <w:rsid w:val="007227D9"/>
    <w:rsid w:val="007234F6"/>
    <w:rsid w:val="00723586"/>
    <w:rsid w:val="007238B7"/>
    <w:rsid w:val="00723A5F"/>
    <w:rsid w:val="0072449F"/>
    <w:rsid w:val="007261D3"/>
    <w:rsid w:val="007278EC"/>
    <w:rsid w:val="00727A63"/>
    <w:rsid w:val="00727E0E"/>
    <w:rsid w:val="00730163"/>
    <w:rsid w:val="007302C5"/>
    <w:rsid w:val="007307DF"/>
    <w:rsid w:val="00730840"/>
    <w:rsid w:val="00730BF5"/>
    <w:rsid w:val="00731208"/>
    <w:rsid w:val="0073245D"/>
    <w:rsid w:val="00732E66"/>
    <w:rsid w:val="00734CC3"/>
    <w:rsid w:val="00735140"/>
    <w:rsid w:val="00735533"/>
    <w:rsid w:val="007360DE"/>
    <w:rsid w:val="00736430"/>
    <w:rsid w:val="00736588"/>
    <w:rsid w:val="00736A39"/>
    <w:rsid w:val="00736AF5"/>
    <w:rsid w:val="00736D71"/>
    <w:rsid w:val="0074076E"/>
    <w:rsid w:val="00740827"/>
    <w:rsid w:val="00740B79"/>
    <w:rsid w:val="00742E77"/>
    <w:rsid w:val="00743A2B"/>
    <w:rsid w:val="00744197"/>
    <w:rsid w:val="0074570A"/>
    <w:rsid w:val="007457CE"/>
    <w:rsid w:val="00746392"/>
    <w:rsid w:val="00746625"/>
    <w:rsid w:val="007472DB"/>
    <w:rsid w:val="00747B39"/>
    <w:rsid w:val="007501D9"/>
    <w:rsid w:val="00750232"/>
    <w:rsid w:val="00750550"/>
    <w:rsid w:val="00750B82"/>
    <w:rsid w:val="00751880"/>
    <w:rsid w:val="007521AD"/>
    <w:rsid w:val="00752597"/>
    <w:rsid w:val="007528A2"/>
    <w:rsid w:val="007530BE"/>
    <w:rsid w:val="0075370C"/>
    <w:rsid w:val="00754147"/>
    <w:rsid w:val="0075414E"/>
    <w:rsid w:val="00754CF2"/>
    <w:rsid w:val="0075573E"/>
    <w:rsid w:val="0075581C"/>
    <w:rsid w:val="00755F34"/>
    <w:rsid w:val="00760062"/>
    <w:rsid w:val="007604E1"/>
    <w:rsid w:val="00760B31"/>
    <w:rsid w:val="00760B78"/>
    <w:rsid w:val="007618E7"/>
    <w:rsid w:val="00761B4B"/>
    <w:rsid w:val="007624CE"/>
    <w:rsid w:val="00762AA7"/>
    <w:rsid w:val="00762C34"/>
    <w:rsid w:val="00762FD2"/>
    <w:rsid w:val="00763F6F"/>
    <w:rsid w:val="00763FB6"/>
    <w:rsid w:val="007641BD"/>
    <w:rsid w:val="007642A1"/>
    <w:rsid w:val="00764D20"/>
    <w:rsid w:val="00765600"/>
    <w:rsid w:val="00765F95"/>
    <w:rsid w:val="00766426"/>
    <w:rsid w:val="007664A5"/>
    <w:rsid w:val="00766A50"/>
    <w:rsid w:val="00766D62"/>
    <w:rsid w:val="00767196"/>
    <w:rsid w:val="0076754D"/>
    <w:rsid w:val="00767B1A"/>
    <w:rsid w:val="00767E93"/>
    <w:rsid w:val="007703C7"/>
    <w:rsid w:val="007704D3"/>
    <w:rsid w:val="00770C0D"/>
    <w:rsid w:val="00771181"/>
    <w:rsid w:val="00771564"/>
    <w:rsid w:val="00771746"/>
    <w:rsid w:val="00771BCD"/>
    <w:rsid w:val="0077287C"/>
    <w:rsid w:val="007735E5"/>
    <w:rsid w:val="00773674"/>
    <w:rsid w:val="00773C47"/>
    <w:rsid w:val="00773E1A"/>
    <w:rsid w:val="00774667"/>
    <w:rsid w:val="00774880"/>
    <w:rsid w:val="00774DC1"/>
    <w:rsid w:val="0077535A"/>
    <w:rsid w:val="00775B2C"/>
    <w:rsid w:val="00776644"/>
    <w:rsid w:val="0077669C"/>
    <w:rsid w:val="00777850"/>
    <w:rsid w:val="0077792D"/>
    <w:rsid w:val="00777A28"/>
    <w:rsid w:val="00780204"/>
    <w:rsid w:val="007804CD"/>
    <w:rsid w:val="0078050B"/>
    <w:rsid w:val="007808EF"/>
    <w:rsid w:val="00780F1F"/>
    <w:rsid w:val="0078121C"/>
    <w:rsid w:val="00781694"/>
    <w:rsid w:val="007819B1"/>
    <w:rsid w:val="007821D8"/>
    <w:rsid w:val="00783375"/>
    <w:rsid w:val="0078339C"/>
    <w:rsid w:val="00783600"/>
    <w:rsid w:val="0078399C"/>
    <w:rsid w:val="00783D53"/>
    <w:rsid w:val="00783F21"/>
    <w:rsid w:val="00784BD8"/>
    <w:rsid w:val="00784C6F"/>
    <w:rsid w:val="00785FE5"/>
    <w:rsid w:val="00786A4A"/>
    <w:rsid w:val="007870F5"/>
    <w:rsid w:val="00787803"/>
    <w:rsid w:val="007910D3"/>
    <w:rsid w:val="00791275"/>
    <w:rsid w:val="00791528"/>
    <w:rsid w:val="0079165F"/>
    <w:rsid w:val="00791919"/>
    <w:rsid w:val="00792852"/>
    <w:rsid w:val="00792F0C"/>
    <w:rsid w:val="0079318A"/>
    <w:rsid w:val="00793B47"/>
    <w:rsid w:val="007944A3"/>
    <w:rsid w:val="007945A3"/>
    <w:rsid w:val="00794CA9"/>
    <w:rsid w:val="007955D3"/>
    <w:rsid w:val="00795C3B"/>
    <w:rsid w:val="00796341"/>
    <w:rsid w:val="007964A3"/>
    <w:rsid w:val="007966E3"/>
    <w:rsid w:val="00797002"/>
    <w:rsid w:val="007978B2"/>
    <w:rsid w:val="00797E6B"/>
    <w:rsid w:val="00797E92"/>
    <w:rsid w:val="007A0CCF"/>
    <w:rsid w:val="007A11FA"/>
    <w:rsid w:val="007A1E2D"/>
    <w:rsid w:val="007A2238"/>
    <w:rsid w:val="007A2395"/>
    <w:rsid w:val="007A25EE"/>
    <w:rsid w:val="007A2B65"/>
    <w:rsid w:val="007A33E8"/>
    <w:rsid w:val="007A34A0"/>
    <w:rsid w:val="007A3B39"/>
    <w:rsid w:val="007A434D"/>
    <w:rsid w:val="007A435D"/>
    <w:rsid w:val="007A4BD2"/>
    <w:rsid w:val="007A516A"/>
    <w:rsid w:val="007A5A9B"/>
    <w:rsid w:val="007A61C4"/>
    <w:rsid w:val="007A7EFD"/>
    <w:rsid w:val="007B06A4"/>
    <w:rsid w:val="007B1179"/>
    <w:rsid w:val="007B1548"/>
    <w:rsid w:val="007B161E"/>
    <w:rsid w:val="007B2A30"/>
    <w:rsid w:val="007B2A5F"/>
    <w:rsid w:val="007B35FC"/>
    <w:rsid w:val="007B39E9"/>
    <w:rsid w:val="007B4430"/>
    <w:rsid w:val="007B4B22"/>
    <w:rsid w:val="007B5103"/>
    <w:rsid w:val="007B56DD"/>
    <w:rsid w:val="007B624E"/>
    <w:rsid w:val="007B6F56"/>
    <w:rsid w:val="007B7383"/>
    <w:rsid w:val="007C01FB"/>
    <w:rsid w:val="007C01FC"/>
    <w:rsid w:val="007C03ED"/>
    <w:rsid w:val="007C099D"/>
    <w:rsid w:val="007C23D5"/>
    <w:rsid w:val="007C441C"/>
    <w:rsid w:val="007C4C44"/>
    <w:rsid w:val="007C4CD7"/>
    <w:rsid w:val="007C56D6"/>
    <w:rsid w:val="007C6BC2"/>
    <w:rsid w:val="007C6C3A"/>
    <w:rsid w:val="007C6C46"/>
    <w:rsid w:val="007C77A5"/>
    <w:rsid w:val="007D007E"/>
    <w:rsid w:val="007D127F"/>
    <w:rsid w:val="007D1316"/>
    <w:rsid w:val="007D34F5"/>
    <w:rsid w:val="007D3957"/>
    <w:rsid w:val="007D4272"/>
    <w:rsid w:val="007D48DF"/>
    <w:rsid w:val="007D4AD5"/>
    <w:rsid w:val="007D540D"/>
    <w:rsid w:val="007D5496"/>
    <w:rsid w:val="007D5665"/>
    <w:rsid w:val="007D5A9E"/>
    <w:rsid w:val="007D5DC2"/>
    <w:rsid w:val="007D5DCE"/>
    <w:rsid w:val="007D6B69"/>
    <w:rsid w:val="007D6D36"/>
    <w:rsid w:val="007D733A"/>
    <w:rsid w:val="007E0F8B"/>
    <w:rsid w:val="007E191E"/>
    <w:rsid w:val="007E297A"/>
    <w:rsid w:val="007E2CAE"/>
    <w:rsid w:val="007E2D15"/>
    <w:rsid w:val="007E3218"/>
    <w:rsid w:val="007E3DCB"/>
    <w:rsid w:val="007E46CE"/>
    <w:rsid w:val="007E4E92"/>
    <w:rsid w:val="007E51C0"/>
    <w:rsid w:val="007E58DE"/>
    <w:rsid w:val="007E5E6D"/>
    <w:rsid w:val="007E64ED"/>
    <w:rsid w:val="007E6703"/>
    <w:rsid w:val="007E7BC5"/>
    <w:rsid w:val="007F0784"/>
    <w:rsid w:val="007F0CFE"/>
    <w:rsid w:val="007F1173"/>
    <w:rsid w:val="007F11B7"/>
    <w:rsid w:val="007F1561"/>
    <w:rsid w:val="007F1914"/>
    <w:rsid w:val="007F1A71"/>
    <w:rsid w:val="007F208B"/>
    <w:rsid w:val="007F2660"/>
    <w:rsid w:val="007F373C"/>
    <w:rsid w:val="007F3742"/>
    <w:rsid w:val="007F3BE2"/>
    <w:rsid w:val="007F4389"/>
    <w:rsid w:val="007F4B62"/>
    <w:rsid w:val="007F5294"/>
    <w:rsid w:val="007F52B9"/>
    <w:rsid w:val="007F551C"/>
    <w:rsid w:val="007F5C20"/>
    <w:rsid w:val="007F5CA1"/>
    <w:rsid w:val="007F5DB5"/>
    <w:rsid w:val="007F6C74"/>
    <w:rsid w:val="007F6DE4"/>
    <w:rsid w:val="007F72EB"/>
    <w:rsid w:val="007F74F5"/>
    <w:rsid w:val="007F7A3F"/>
    <w:rsid w:val="0080122F"/>
    <w:rsid w:val="00801A7B"/>
    <w:rsid w:val="0080281E"/>
    <w:rsid w:val="00803872"/>
    <w:rsid w:val="008041C7"/>
    <w:rsid w:val="00804895"/>
    <w:rsid w:val="008054E5"/>
    <w:rsid w:val="0080698E"/>
    <w:rsid w:val="00806A3A"/>
    <w:rsid w:val="00807041"/>
    <w:rsid w:val="00807351"/>
    <w:rsid w:val="00807ECF"/>
    <w:rsid w:val="00807EEF"/>
    <w:rsid w:val="00810B28"/>
    <w:rsid w:val="00810DE1"/>
    <w:rsid w:val="0081141B"/>
    <w:rsid w:val="008117CE"/>
    <w:rsid w:val="00812DAF"/>
    <w:rsid w:val="00814155"/>
    <w:rsid w:val="00814BFD"/>
    <w:rsid w:val="00815592"/>
    <w:rsid w:val="00815EF9"/>
    <w:rsid w:val="008162D9"/>
    <w:rsid w:val="008168C3"/>
    <w:rsid w:val="00817F3D"/>
    <w:rsid w:val="008200C6"/>
    <w:rsid w:val="00820388"/>
    <w:rsid w:val="008204EA"/>
    <w:rsid w:val="00821360"/>
    <w:rsid w:val="00821667"/>
    <w:rsid w:val="0082193B"/>
    <w:rsid w:val="00821F28"/>
    <w:rsid w:val="0082260F"/>
    <w:rsid w:val="00822C36"/>
    <w:rsid w:val="00822FD3"/>
    <w:rsid w:val="0082372A"/>
    <w:rsid w:val="0082398A"/>
    <w:rsid w:val="00823C34"/>
    <w:rsid w:val="00824163"/>
    <w:rsid w:val="00824615"/>
    <w:rsid w:val="00824E07"/>
    <w:rsid w:val="008253FB"/>
    <w:rsid w:val="00825943"/>
    <w:rsid w:val="008276DA"/>
    <w:rsid w:val="00827735"/>
    <w:rsid w:val="00827BF2"/>
    <w:rsid w:val="00827DA2"/>
    <w:rsid w:val="008303B5"/>
    <w:rsid w:val="00830CA9"/>
    <w:rsid w:val="00831080"/>
    <w:rsid w:val="00831613"/>
    <w:rsid w:val="008317EB"/>
    <w:rsid w:val="00831E5B"/>
    <w:rsid w:val="00831F1B"/>
    <w:rsid w:val="008324B9"/>
    <w:rsid w:val="00832BAB"/>
    <w:rsid w:val="00833CB7"/>
    <w:rsid w:val="00833DB0"/>
    <w:rsid w:val="008353B2"/>
    <w:rsid w:val="00835B1B"/>
    <w:rsid w:val="0083640C"/>
    <w:rsid w:val="008370D9"/>
    <w:rsid w:val="0083723C"/>
    <w:rsid w:val="0084006E"/>
    <w:rsid w:val="008402D5"/>
    <w:rsid w:val="0084138E"/>
    <w:rsid w:val="0084248E"/>
    <w:rsid w:val="00842517"/>
    <w:rsid w:val="0084268C"/>
    <w:rsid w:val="00842831"/>
    <w:rsid w:val="00842B20"/>
    <w:rsid w:val="0084363E"/>
    <w:rsid w:val="008436AB"/>
    <w:rsid w:val="00845597"/>
    <w:rsid w:val="008455EE"/>
    <w:rsid w:val="00845E44"/>
    <w:rsid w:val="0084630B"/>
    <w:rsid w:val="00846569"/>
    <w:rsid w:val="008465CD"/>
    <w:rsid w:val="00846BA5"/>
    <w:rsid w:val="00847133"/>
    <w:rsid w:val="00847AE9"/>
    <w:rsid w:val="00847E0D"/>
    <w:rsid w:val="008500ED"/>
    <w:rsid w:val="008514A9"/>
    <w:rsid w:val="00851659"/>
    <w:rsid w:val="00851A74"/>
    <w:rsid w:val="0085250A"/>
    <w:rsid w:val="00852565"/>
    <w:rsid w:val="00852A6A"/>
    <w:rsid w:val="00852BF8"/>
    <w:rsid w:val="008531EE"/>
    <w:rsid w:val="00853CFE"/>
    <w:rsid w:val="00853D98"/>
    <w:rsid w:val="008540B8"/>
    <w:rsid w:val="008543FF"/>
    <w:rsid w:val="0085442B"/>
    <w:rsid w:val="008544D4"/>
    <w:rsid w:val="00854ABC"/>
    <w:rsid w:val="00854F57"/>
    <w:rsid w:val="00854FF1"/>
    <w:rsid w:val="0085501D"/>
    <w:rsid w:val="00855C3F"/>
    <w:rsid w:val="00855EC1"/>
    <w:rsid w:val="00855F3A"/>
    <w:rsid w:val="00856D0C"/>
    <w:rsid w:val="00856E94"/>
    <w:rsid w:val="0085722E"/>
    <w:rsid w:val="00857992"/>
    <w:rsid w:val="00857A3D"/>
    <w:rsid w:val="00857B56"/>
    <w:rsid w:val="00857E02"/>
    <w:rsid w:val="008606D2"/>
    <w:rsid w:val="008610FE"/>
    <w:rsid w:val="008611AE"/>
    <w:rsid w:val="0086258C"/>
    <w:rsid w:val="008625A8"/>
    <w:rsid w:val="00862E05"/>
    <w:rsid w:val="00863632"/>
    <w:rsid w:val="00863CF4"/>
    <w:rsid w:val="0086597E"/>
    <w:rsid w:val="00865E53"/>
    <w:rsid w:val="00866282"/>
    <w:rsid w:val="008672E7"/>
    <w:rsid w:val="00867F8D"/>
    <w:rsid w:val="008708DB"/>
    <w:rsid w:val="008712C4"/>
    <w:rsid w:val="008715BD"/>
    <w:rsid w:val="00871D73"/>
    <w:rsid w:val="0087273F"/>
    <w:rsid w:val="008728F3"/>
    <w:rsid w:val="00874288"/>
    <w:rsid w:val="008742D8"/>
    <w:rsid w:val="0087431F"/>
    <w:rsid w:val="00874C4D"/>
    <w:rsid w:val="00875362"/>
    <w:rsid w:val="00875579"/>
    <w:rsid w:val="0087579B"/>
    <w:rsid w:val="00875A67"/>
    <w:rsid w:val="0087634B"/>
    <w:rsid w:val="0087693C"/>
    <w:rsid w:val="008769B2"/>
    <w:rsid w:val="00876FF6"/>
    <w:rsid w:val="0087725A"/>
    <w:rsid w:val="00877EB5"/>
    <w:rsid w:val="008807C6"/>
    <w:rsid w:val="0088118B"/>
    <w:rsid w:val="0088159A"/>
    <w:rsid w:val="00881774"/>
    <w:rsid w:val="008818D0"/>
    <w:rsid w:val="008818E4"/>
    <w:rsid w:val="00881D59"/>
    <w:rsid w:val="0088229E"/>
    <w:rsid w:val="00882B08"/>
    <w:rsid w:val="00882DC2"/>
    <w:rsid w:val="00883658"/>
    <w:rsid w:val="00883A5E"/>
    <w:rsid w:val="008851CD"/>
    <w:rsid w:val="00885620"/>
    <w:rsid w:val="00885C97"/>
    <w:rsid w:val="00885CEB"/>
    <w:rsid w:val="008860B6"/>
    <w:rsid w:val="008862F6"/>
    <w:rsid w:val="0088708B"/>
    <w:rsid w:val="008873D3"/>
    <w:rsid w:val="008876CC"/>
    <w:rsid w:val="008878B5"/>
    <w:rsid w:val="00887ABC"/>
    <w:rsid w:val="00887BDD"/>
    <w:rsid w:val="00887D58"/>
    <w:rsid w:val="00887E41"/>
    <w:rsid w:val="00891019"/>
    <w:rsid w:val="0089153C"/>
    <w:rsid w:val="0089209C"/>
    <w:rsid w:val="008924AA"/>
    <w:rsid w:val="00892D1B"/>
    <w:rsid w:val="00893130"/>
    <w:rsid w:val="0089385E"/>
    <w:rsid w:val="00894FE8"/>
    <w:rsid w:val="00895272"/>
    <w:rsid w:val="0089640A"/>
    <w:rsid w:val="00896AEE"/>
    <w:rsid w:val="00897215"/>
    <w:rsid w:val="008974CA"/>
    <w:rsid w:val="00897870"/>
    <w:rsid w:val="008A0307"/>
    <w:rsid w:val="008A0C7D"/>
    <w:rsid w:val="008A0F7E"/>
    <w:rsid w:val="008A150D"/>
    <w:rsid w:val="008A2DB6"/>
    <w:rsid w:val="008A3171"/>
    <w:rsid w:val="008A3626"/>
    <w:rsid w:val="008A423C"/>
    <w:rsid w:val="008A43D8"/>
    <w:rsid w:val="008A4E10"/>
    <w:rsid w:val="008A60DC"/>
    <w:rsid w:val="008A651C"/>
    <w:rsid w:val="008A6710"/>
    <w:rsid w:val="008A7A16"/>
    <w:rsid w:val="008A7A7C"/>
    <w:rsid w:val="008B0186"/>
    <w:rsid w:val="008B0E53"/>
    <w:rsid w:val="008B0F67"/>
    <w:rsid w:val="008B215A"/>
    <w:rsid w:val="008B291C"/>
    <w:rsid w:val="008B3459"/>
    <w:rsid w:val="008B37C4"/>
    <w:rsid w:val="008B3805"/>
    <w:rsid w:val="008B39E7"/>
    <w:rsid w:val="008B4233"/>
    <w:rsid w:val="008B471A"/>
    <w:rsid w:val="008B4EDC"/>
    <w:rsid w:val="008B531A"/>
    <w:rsid w:val="008B58C1"/>
    <w:rsid w:val="008B5DC2"/>
    <w:rsid w:val="008B608A"/>
    <w:rsid w:val="008B613A"/>
    <w:rsid w:val="008B661F"/>
    <w:rsid w:val="008B6DC1"/>
    <w:rsid w:val="008B7459"/>
    <w:rsid w:val="008B7AC9"/>
    <w:rsid w:val="008C0913"/>
    <w:rsid w:val="008C1334"/>
    <w:rsid w:val="008C2E3C"/>
    <w:rsid w:val="008C3518"/>
    <w:rsid w:val="008C37D7"/>
    <w:rsid w:val="008C3AED"/>
    <w:rsid w:val="008C4297"/>
    <w:rsid w:val="008C433F"/>
    <w:rsid w:val="008C4424"/>
    <w:rsid w:val="008C4703"/>
    <w:rsid w:val="008C51A7"/>
    <w:rsid w:val="008C534C"/>
    <w:rsid w:val="008C5CB0"/>
    <w:rsid w:val="008C657F"/>
    <w:rsid w:val="008C695C"/>
    <w:rsid w:val="008C6B24"/>
    <w:rsid w:val="008C736B"/>
    <w:rsid w:val="008C7A72"/>
    <w:rsid w:val="008C7B9D"/>
    <w:rsid w:val="008D1515"/>
    <w:rsid w:val="008D1DDC"/>
    <w:rsid w:val="008D20E9"/>
    <w:rsid w:val="008D2F40"/>
    <w:rsid w:val="008D3920"/>
    <w:rsid w:val="008D3ED2"/>
    <w:rsid w:val="008D42E1"/>
    <w:rsid w:val="008D4354"/>
    <w:rsid w:val="008D45DE"/>
    <w:rsid w:val="008D46CE"/>
    <w:rsid w:val="008D46F8"/>
    <w:rsid w:val="008D4BC2"/>
    <w:rsid w:val="008D4C5C"/>
    <w:rsid w:val="008D5CC1"/>
    <w:rsid w:val="008D71E5"/>
    <w:rsid w:val="008D7821"/>
    <w:rsid w:val="008D7890"/>
    <w:rsid w:val="008D7CD6"/>
    <w:rsid w:val="008E0735"/>
    <w:rsid w:val="008E0CE1"/>
    <w:rsid w:val="008E0FC7"/>
    <w:rsid w:val="008E12A0"/>
    <w:rsid w:val="008E15E3"/>
    <w:rsid w:val="008E332D"/>
    <w:rsid w:val="008E3353"/>
    <w:rsid w:val="008E41E6"/>
    <w:rsid w:val="008E45EC"/>
    <w:rsid w:val="008E45EF"/>
    <w:rsid w:val="008E4909"/>
    <w:rsid w:val="008E4A43"/>
    <w:rsid w:val="008E4E90"/>
    <w:rsid w:val="008E5311"/>
    <w:rsid w:val="008E53F3"/>
    <w:rsid w:val="008E54DB"/>
    <w:rsid w:val="008E54E4"/>
    <w:rsid w:val="008E56EC"/>
    <w:rsid w:val="008E6963"/>
    <w:rsid w:val="008E6A7A"/>
    <w:rsid w:val="008E6E99"/>
    <w:rsid w:val="008E6F0F"/>
    <w:rsid w:val="008E7225"/>
    <w:rsid w:val="008E7A55"/>
    <w:rsid w:val="008E7DD6"/>
    <w:rsid w:val="008F107F"/>
    <w:rsid w:val="008F13A7"/>
    <w:rsid w:val="008F1667"/>
    <w:rsid w:val="008F194A"/>
    <w:rsid w:val="008F3764"/>
    <w:rsid w:val="008F3A29"/>
    <w:rsid w:val="008F3F4E"/>
    <w:rsid w:val="008F43CC"/>
    <w:rsid w:val="008F4E90"/>
    <w:rsid w:val="008F55F8"/>
    <w:rsid w:val="008F6616"/>
    <w:rsid w:val="008F7570"/>
    <w:rsid w:val="008F7F7B"/>
    <w:rsid w:val="00900B9F"/>
    <w:rsid w:val="0090118F"/>
    <w:rsid w:val="009018ED"/>
    <w:rsid w:val="00901E42"/>
    <w:rsid w:val="00902395"/>
    <w:rsid w:val="009029CE"/>
    <w:rsid w:val="00903013"/>
    <w:rsid w:val="00903531"/>
    <w:rsid w:val="009037F2"/>
    <w:rsid w:val="00905151"/>
    <w:rsid w:val="009054CC"/>
    <w:rsid w:val="00905B1C"/>
    <w:rsid w:val="00905BE9"/>
    <w:rsid w:val="00906ABC"/>
    <w:rsid w:val="009071E7"/>
    <w:rsid w:val="00907975"/>
    <w:rsid w:val="00907F5F"/>
    <w:rsid w:val="009104DB"/>
    <w:rsid w:val="00910D81"/>
    <w:rsid w:val="00911689"/>
    <w:rsid w:val="0091221B"/>
    <w:rsid w:val="00912367"/>
    <w:rsid w:val="009123B0"/>
    <w:rsid w:val="00912554"/>
    <w:rsid w:val="00913420"/>
    <w:rsid w:val="00913B4A"/>
    <w:rsid w:val="00913D9F"/>
    <w:rsid w:val="00914380"/>
    <w:rsid w:val="00914800"/>
    <w:rsid w:val="00914956"/>
    <w:rsid w:val="00914C2C"/>
    <w:rsid w:val="009152C4"/>
    <w:rsid w:val="009152D2"/>
    <w:rsid w:val="0091533B"/>
    <w:rsid w:val="00916471"/>
    <w:rsid w:val="0091680A"/>
    <w:rsid w:val="0091699D"/>
    <w:rsid w:val="00917209"/>
    <w:rsid w:val="00917E22"/>
    <w:rsid w:val="009208D0"/>
    <w:rsid w:val="009214E3"/>
    <w:rsid w:val="00922721"/>
    <w:rsid w:val="00922FC7"/>
    <w:rsid w:val="00923027"/>
    <w:rsid w:val="00923232"/>
    <w:rsid w:val="009234EB"/>
    <w:rsid w:val="00923C67"/>
    <w:rsid w:val="00923C92"/>
    <w:rsid w:val="0092455D"/>
    <w:rsid w:val="00924929"/>
    <w:rsid w:val="009251BB"/>
    <w:rsid w:val="009251F0"/>
    <w:rsid w:val="00926049"/>
    <w:rsid w:val="00926315"/>
    <w:rsid w:val="009268D8"/>
    <w:rsid w:val="00926DDB"/>
    <w:rsid w:val="0092717F"/>
    <w:rsid w:val="00927A91"/>
    <w:rsid w:val="00930A4C"/>
    <w:rsid w:val="00930FB9"/>
    <w:rsid w:val="00931300"/>
    <w:rsid w:val="0093174A"/>
    <w:rsid w:val="00931782"/>
    <w:rsid w:val="00932387"/>
    <w:rsid w:val="009326C6"/>
    <w:rsid w:val="00932728"/>
    <w:rsid w:val="00932AE4"/>
    <w:rsid w:val="00932C0F"/>
    <w:rsid w:val="009332DD"/>
    <w:rsid w:val="00933317"/>
    <w:rsid w:val="0093363A"/>
    <w:rsid w:val="0093387A"/>
    <w:rsid w:val="00934D1A"/>
    <w:rsid w:val="00935046"/>
    <w:rsid w:val="009358B9"/>
    <w:rsid w:val="00935B5F"/>
    <w:rsid w:val="009363DE"/>
    <w:rsid w:val="00936BDA"/>
    <w:rsid w:val="00936FB6"/>
    <w:rsid w:val="00941238"/>
    <w:rsid w:val="009419A2"/>
    <w:rsid w:val="0094207A"/>
    <w:rsid w:val="00943BF0"/>
    <w:rsid w:val="00943C8B"/>
    <w:rsid w:val="0094413B"/>
    <w:rsid w:val="009441B2"/>
    <w:rsid w:val="0094464E"/>
    <w:rsid w:val="00944842"/>
    <w:rsid w:val="00945015"/>
    <w:rsid w:val="009458F5"/>
    <w:rsid w:val="00945917"/>
    <w:rsid w:val="00946308"/>
    <w:rsid w:val="00946F0F"/>
    <w:rsid w:val="0095017C"/>
    <w:rsid w:val="0095088F"/>
    <w:rsid w:val="0095101A"/>
    <w:rsid w:val="00951252"/>
    <w:rsid w:val="009512BD"/>
    <w:rsid w:val="0095176D"/>
    <w:rsid w:val="009522B7"/>
    <w:rsid w:val="00952DC4"/>
    <w:rsid w:val="00952F69"/>
    <w:rsid w:val="009531FA"/>
    <w:rsid w:val="00954DE3"/>
    <w:rsid w:val="009557D4"/>
    <w:rsid w:val="00955834"/>
    <w:rsid w:val="00956CCE"/>
    <w:rsid w:val="00957408"/>
    <w:rsid w:val="00957B85"/>
    <w:rsid w:val="00960493"/>
    <w:rsid w:val="00960683"/>
    <w:rsid w:val="0096071B"/>
    <w:rsid w:val="00960984"/>
    <w:rsid w:val="00961063"/>
    <w:rsid w:val="00961CCF"/>
    <w:rsid w:val="00961F22"/>
    <w:rsid w:val="00962AC1"/>
    <w:rsid w:val="00963802"/>
    <w:rsid w:val="00963C75"/>
    <w:rsid w:val="00964DE3"/>
    <w:rsid w:val="00964E80"/>
    <w:rsid w:val="00965398"/>
    <w:rsid w:val="00965770"/>
    <w:rsid w:val="00965890"/>
    <w:rsid w:val="00967029"/>
    <w:rsid w:val="009674E9"/>
    <w:rsid w:val="00967FF2"/>
    <w:rsid w:val="009701D0"/>
    <w:rsid w:val="00970380"/>
    <w:rsid w:val="00970668"/>
    <w:rsid w:val="00971163"/>
    <w:rsid w:val="009711E3"/>
    <w:rsid w:val="0097146A"/>
    <w:rsid w:val="00971E8C"/>
    <w:rsid w:val="0097258E"/>
    <w:rsid w:val="00972FF3"/>
    <w:rsid w:val="00974069"/>
    <w:rsid w:val="0097442D"/>
    <w:rsid w:val="00974988"/>
    <w:rsid w:val="00974C90"/>
    <w:rsid w:val="00975580"/>
    <w:rsid w:val="00975919"/>
    <w:rsid w:val="00976331"/>
    <w:rsid w:val="00976482"/>
    <w:rsid w:val="009764E5"/>
    <w:rsid w:val="00976EDF"/>
    <w:rsid w:val="0097743E"/>
    <w:rsid w:val="0097764C"/>
    <w:rsid w:val="00977A6A"/>
    <w:rsid w:val="009801EF"/>
    <w:rsid w:val="0098026B"/>
    <w:rsid w:val="009804F5"/>
    <w:rsid w:val="0098061B"/>
    <w:rsid w:val="00982C25"/>
    <w:rsid w:val="00982E03"/>
    <w:rsid w:val="009834E9"/>
    <w:rsid w:val="00983753"/>
    <w:rsid w:val="00984355"/>
    <w:rsid w:val="00984920"/>
    <w:rsid w:val="0098503E"/>
    <w:rsid w:val="00985A82"/>
    <w:rsid w:val="00986062"/>
    <w:rsid w:val="00986380"/>
    <w:rsid w:val="009865C5"/>
    <w:rsid w:val="009867B7"/>
    <w:rsid w:val="00986EB9"/>
    <w:rsid w:val="00990FFC"/>
    <w:rsid w:val="0099133F"/>
    <w:rsid w:val="009916E3"/>
    <w:rsid w:val="00992A9B"/>
    <w:rsid w:val="00992F96"/>
    <w:rsid w:val="00993A17"/>
    <w:rsid w:val="00993F67"/>
    <w:rsid w:val="00994578"/>
    <w:rsid w:val="009951DA"/>
    <w:rsid w:val="009953DD"/>
    <w:rsid w:val="009959B5"/>
    <w:rsid w:val="009962CC"/>
    <w:rsid w:val="0099641D"/>
    <w:rsid w:val="00996F0E"/>
    <w:rsid w:val="009974D6"/>
    <w:rsid w:val="009A09AC"/>
    <w:rsid w:val="009A112C"/>
    <w:rsid w:val="009A113F"/>
    <w:rsid w:val="009A1D99"/>
    <w:rsid w:val="009A2456"/>
    <w:rsid w:val="009A3216"/>
    <w:rsid w:val="009A3268"/>
    <w:rsid w:val="009A3692"/>
    <w:rsid w:val="009A3A64"/>
    <w:rsid w:val="009A4582"/>
    <w:rsid w:val="009A4930"/>
    <w:rsid w:val="009A5191"/>
    <w:rsid w:val="009A553C"/>
    <w:rsid w:val="009A5727"/>
    <w:rsid w:val="009A586B"/>
    <w:rsid w:val="009A5981"/>
    <w:rsid w:val="009A6582"/>
    <w:rsid w:val="009A662B"/>
    <w:rsid w:val="009A72E6"/>
    <w:rsid w:val="009A7A5B"/>
    <w:rsid w:val="009B08BF"/>
    <w:rsid w:val="009B1414"/>
    <w:rsid w:val="009B19C5"/>
    <w:rsid w:val="009B2418"/>
    <w:rsid w:val="009B3EB2"/>
    <w:rsid w:val="009B479C"/>
    <w:rsid w:val="009B5358"/>
    <w:rsid w:val="009B57DA"/>
    <w:rsid w:val="009B5AF8"/>
    <w:rsid w:val="009B5C25"/>
    <w:rsid w:val="009B5CAB"/>
    <w:rsid w:val="009B61DA"/>
    <w:rsid w:val="009B6B8E"/>
    <w:rsid w:val="009B6DDD"/>
    <w:rsid w:val="009B6F1A"/>
    <w:rsid w:val="009B77F1"/>
    <w:rsid w:val="009B7A2D"/>
    <w:rsid w:val="009C03D9"/>
    <w:rsid w:val="009C0435"/>
    <w:rsid w:val="009C0A48"/>
    <w:rsid w:val="009C0E59"/>
    <w:rsid w:val="009C0FB9"/>
    <w:rsid w:val="009C18EF"/>
    <w:rsid w:val="009C1929"/>
    <w:rsid w:val="009C1C2F"/>
    <w:rsid w:val="009C2464"/>
    <w:rsid w:val="009C2AFB"/>
    <w:rsid w:val="009C2C27"/>
    <w:rsid w:val="009C37E9"/>
    <w:rsid w:val="009C3A99"/>
    <w:rsid w:val="009C3C3A"/>
    <w:rsid w:val="009C433D"/>
    <w:rsid w:val="009C4905"/>
    <w:rsid w:val="009C5301"/>
    <w:rsid w:val="009C577E"/>
    <w:rsid w:val="009C597F"/>
    <w:rsid w:val="009C60B7"/>
    <w:rsid w:val="009C6327"/>
    <w:rsid w:val="009C6D69"/>
    <w:rsid w:val="009C7040"/>
    <w:rsid w:val="009C738E"/>
    <w:rsid w:val="009C75C4"/>
    <w:rsid w:val="009C781E"/>
    <w:rsid w:val="009C7CE8"/>
    <w:rsid w:val="009D0A4E"/>
    <w:rsid w:val="009D13A1"/>
    <w:rsid w:val="009D1744"/>
    <w:rsid w:val="009D25DD"/>
    <w:rsid w:val="009D3186"/>
    <w:rsid w:val="009D3337"/>
    <w:rsid w:val="009D3E56"/>
    <w:rsid w:val="009D546C"/>
    <w:rsid w:val="009D6C7E"/>
    <w:rsid w:val="009D6E9D"/>
    <w:rsid w:val="009D739D"/>
    <w:rsid w:val="009D7662"/>
    <w:rsid w:val="009E0E18"/>
    <w:rsid w:val="009E11C9"/>
    <w:rsid w:val="009E1ADB"/>
    <w:rsid w:val="009E2995"/>
    <w:rsid w:val="009E3355"/>
    <w:rsid w:val="009E3AE1"/>
    <w:rsid w:val="009E3C84"/>
    <w:rsid w:val="009E3FAA"/>
    <w:rsid w:val="009E47F6"/>
    <w:rsid w:val="009E5DC4"/>
    <w:rsid w:val="009E6080"/>
    <w:rsid w:val="009E706A"/>
    <w:rsid w:val="009E766A"/>
    <w:rsid w:val="009E78AC"/>
    <w:rsid w:val="009F05E7"/>
    <w:rsid w:val="009F0DB8"/>
    <w:rsid w:val="009F0E20"/>
    <w:rsid w:val="009F1DE9"/>
    <w:rsid w:val="009F2213"/>
    <w:rsid w:val="009F2552"/>
    <w:rsid w:val="009F41A4"/>
    <w:rsid w:val="009F422E"/>
    <w:rsid w:val="009F47B9"/>
    <w:rsid w:val="009F483C"/>
    <w:rsid w:val="009F4F4F"/>
    <w:rsid w:val="009F5060"/>
    <w:rsid w:val="009F536B"/>
    <w:rsid w:val="009F618E"/>
    <w:rsid w:val="009F78DD"/>
    <w:rsid w:val="009F7A91"/>
    <w:rsid w:val="009F7BA9"/>
    <w:rsid w:val="00A01765"/>
    <w:rsid w:val="00A031CD"/>
    <w:rsid w:val="00A03A74"/>
    <w:rsid w:val="00A04396"/>
    <w:rsid w:val="00A0586F"/>
    <w:rsid w:val="00A06398"/>
    <w:rsid w:val="00A064E5"/>
    <w:rsid w:val="00A06DDA"/>
    <w:rsid w:val="00A07025"/>
    <w:rsid w:val="00A073AC"/>
    <w:rsid w:val="00A101A6"/>
    <w:rsid w:val="00A107EF"/>
    <w:rsid w:val="00A10B25"/>
    <w:rsid w:val="00A10E22"/>
    <w:rsid w:val="00A11CB6"/>
    <w:rsid w:val="00A11F65"/>
    <w:rsid w:val="00A1245E"/>
    <w:rsid w:val="00A126F0"/>
    <w:rsid w:val="00A12CFD"/>
    <w:rsid w:val="00A12D16"/>
    <w:rsid w:val="00A12DA2"/>
    <w:rsid w:val="00A12FC3"/>
    <w:rsid w:val="00A13B3E"/>
    <w:rsid w:val="00A13CE1"/>
    <w:rsid w:val="00A13D1A"/>
    <w:rsid w:val="00A13F02"/>
    <w:rsid w:val="00A14646"/>
    <w:rsid w:val="00A14AE8"/>
    <w:rsid w:val="00A14C77"/>
    <w:rsid w:val="00A15A8E"/>
    <w:rsid w:val="00A16016"/>
    <w:rsid w:val="00A170D7"/>
    <w:rsid w:val="00A17B55"/>
    <w:rsid w:val="00A20D01"/>
    <w:rsid w:val="00A2145D"/>
    <w:rsid w:val="00A21FEF"/>
    <w:rsid w:val="00A22656"/>
    <w:rsid w:val="00A22C20"/>
    <w:rsid w:val="00A22C37"/>
    <w:rsid w:val="00A2322A"/>
    <w:rsid w:val="00A2368E"/>
    <w:rsid w:val="00A23EA6"/>
    <w:rsid w:val="00A23EC6"/>
    <w:rsid w:val="00A23F6C"/>
    <w:rsid w:val="00A24B64"/>
    <w:rsid w:val="00A250AE"/>
    <w:rsid w:val="00A25246"/>
    <w:rsid w:val="00A266B3"/>
    <w:rsid w:val="00A268AC"/>
    <w:rsid w:val="00A27088"/>
    <w:rsid w:val="00A270B3"/>
    <w:rsid w:val="00A2718E"/>
    <w:rsid w:val="00A271DF"/>
    <w:rsid w:val="00A27400"/>
    <w:rsid w:val="00A275E3"/>
    <w:rsid w:val="00A278A7"/>
    <w:rsid w:val="00A30811"/>
    <w:rsid w:val="00A30BEC"/>
    <w:rsid w:val="00A3172F"/>
    <w:rsid w:val="00A3266B"/>
    <w:rsid w:val="00A32D67"/>
    <w:rsid w:val="00A33235"/>
    <w:rsid w:val="00A3559C"/>
    <w:rsid w:val="00A3578F"/>
    <w:rsid w:val="00A357BC"/>
    <w:rsid w:val="00A3598E"/>
    <w:rsid w:val="00A3613B"/>
    <w:rsid w:val="00A36198"/>
    <w:rsid w:val="00A363BD"/>
    <w:rsid w:val="00A3657A"/>
    <w:rsid w:val="00A36880"/>
    <w:rsid w:val="00A37721"/>
    <w:rsid w:val="00A400E4"/>
    <w:rsid w:val="00A40427"/>
    <w:rsid w:val="00A40C97"/>
    <w:rsid w:val="00A41D15"/>
    <w:rsid w:val="00A41E8B"/>
    <w:rsid w:val="00A42001"/>
    <w:rsid w:val="00A42069"/>
    <w:rsid w:val="00A421DC"/>
    <w:rsid w:val="00A4254C"/>
    <w:rsid w:val="00A42F17"/>
    <w:rsid w:val="00A4363D"/>
    <w:rsid w:val="00A43929"/>
    <w:rsid w:val="00A44118"/>
    <w:rsid w:val="00A443B3"/>
    <w:rsid w:val="00A44832"/>
    <w:rsid w:val="00A44B04"/>
    <w:rsid w:val="00A44BC9"/>
    <w:rsid w:val="00A45233"/>
    <w:rsid w:val="00A452B9"/>
    <w:rsid w:val="00A454D8"/>
    <w:rsid w:val="00A45899"/>
    <w:rsid w:val="00A45DD7"/>
    <w:rsid w:val="00A46E28"/>
    <w:rsid w:val="00A476C5"/>
    <w:rsid w:val="00A47DA3"/>
    <w:rsid w:val="00A5014D"/>
    <w:rsid w:val="00A502AE"/>
    <w:rsid w:val="00A5157C"/>
    <w:rsid w:val="00A518FD"/>
    <w:rsid w:val="00A52908"/>
    <w:rsid w:val="00A52928"/>
    <w:rsid w:val="00A53067"/>
    <w:rsid w:val="00A53DDB"/>
    <w:rsid w:val="00A542B3"/>
    <w:rsid w:val="00A54E6F"/>
    <w:rsid w:val="00A552DB"/>
    <w:rsid w:val="00A55666"/>
    <w:rsid w:val="00A556FC"/>
    <w:rsid w:val="00A57953"/>
    <w:rsid w:val="00A57EDC"/>
    <w:rsid w:val="00A57EF3"/>
    <w:rsid w:val="00A60208"/>
    <w:rsid w:val="00A6042B"/>
    <w:rsid w:val="00A606AB"/>
    <w:rsid w:val="00A60711"/>
    <w:rsid w:val="00A61061"/>
    <w:rsid w:val="00A612E6"/>
    <w:rsid w:val="00A613E1"/>
    <w:rsid w:val="00A613FE"/>
    <w:rsid w:val="00A6169F"/>
    <w:rsid w:val="00A61C33"/>
    <w:rsid w:val="00A61E12"/>
    <w:rsid w:val="00A623B5"/>
    <w:rsid w:val="00A62C7C"/>
    <w:rsid w:val="00A62D88"/>
    <w:rsid w:val="00A62EBD"/>
    <w:rsid w:val="00A63166"/>
    <w:rsid w:val="00A631A5"/>
    <w:rsid w:val="00A63C00"/>
    <w:rsid w:val="00A64046"/>
    <w:rsid w:val="00A64609"/>
    <w:rsid w:val="00A646BC"/>
    <w:rsid w:val="00A64A80"/>
    <w:rsid w:val="00A65FA1"/>
    <w:rsid w:val="00A6630E"/>
    <w:rsid w:val="00A67020"/>
    <w:rsid w:val="00A707C7"/>
    <w:rsid w:val="00A70CBA"/>
    <w:rsid w:val="00A718D0"/>
    <w:rsid w:val="00A71ACE"/>
    <w:rsid w:val="00A71BA3"/>
    <w:rsid w:val="00A722D7"/>
    <w:rsid w:val="00A7237C"/>
    <w:rsid w:val="00A72C52"/>
    <w:rsid w:val="00A72E72"/>
    <w:rsid w:val="00A72EDF"/>
    <w:rsid w:val="00A74347"/>
    <w:rsid w:val="00A74535"/>
    <w:rsid w:val="00A7493B"/>
    <w:rsid w:val="00A74E9A"/>
    <w:rsid w:val="00A74FC3"/>
    <w:rsid w:val="00A7553F"/>
    <w:rsid w:val="00A75E89"/>
    <w:rsid w:val="00A7630F"/>
    <w:rsid w:val="00A768E6"/>
    <w:rsid w:val="00A7705C"/>
    <w:rsid w:val="00A772ED"/>
    <w:rsid w:val="00A7799E"/>
    <w:rsid w:val="00A8001F"/>
    <w:rsid w:val="00A8011B"/>
    <w:rsid w:val="00A8049D"/>
    <w:rsid w:val="00A80557"/>
    <w:rsid w:val="00A80974"/>
    <w:rsid w:val="00A80DB0"/>
    <w:rsid w:val="00A81E2F"/>
    <w:rsid w:val="00A8286C"/>
    <w:rsid w:val="00A829CE"/>
    <w:rsid w:val="00A83EEC"/>
    <w:rsid w:val="00A84265"/>
    <w:rsid w:val="00A8554B"/>
    <w:rsid w:val="00A85ACB"/>
    <w:rsid w:val="00A860D5"/>
    <w:rsid w:val="00A8654C"/>
    <w:rsid w:val="00A866C6"/>
    <w:rsid w:val="00A86717"/>
    <w:rsid w:val="00A86B59"/>
    <w:rsid w:val="00A87534"/>
    <w:rsid w:val="00A8763A"/>
    <w:rsid w:val="00A8786D"/>
    <w:rsid w:val="00A87DF1"/>
    <w:rsid w:val="00A87E7F"/>
    <w:rsid w:val="00A87F2C"/>
    <w:rsid w:val="00A9040B"/>
    <w:rsid w:val="00A9084A"/>
    <w:rsid w:val="00A90DAD"/>
    <w:rsid w:val="00A912AA"/>
    <w:rsid w:val="00A91ADD"/>
    <w:rsid w:val="00A925CC"/>
    <w:rsid w:val="00A92899"/>
    <w:rsid w:val="00A92971"/>
    <w:rsid w:val="00A92C85"/>
    <w:rsid w:val="00A933E7"/>
    <w:rsid w:val="00A93791"/>
    <w:rsid w:val="00A945D4"/>
    <w:rsid w:val="00A947D1"/>
    <w:rsid w:val="00A94880"/>
    <w:rsid w:val="00A96BAB"/>
    <w:rsid w:val="00A96BEE"/>
    <w:rsid w:val="00A97482"/>
    <w:rsid w:val="00AA0264"/>
    <w:rsid w:val="00AA04B5"/>
    <w:rsid w:val="00AA0671"/>
    <w:rsid w:val="00AA0719"/>
    <w:rsid w:val="00AA1EF3"/>
    <w:rsid w:val="00AA29AF"/>
    <w:rsid w:val="00AA2DAC"/>
    <w:rsid w:val="00AA3CA7"/>
    <w:rsid w:val="00AA5439"/>
    <w:rsid w:val="00AA5AF6"/>
    <w:rsid w:val="00AA5B34"/>
    <w:rsid w:val="00AA5BAB"/>
    <w:rsid w:val="00AA6C19"/>
    <w:rsid w:val="00AA6D36"/>
    <w:rsid w:val="00AA6D78"/>
    <w:rsid w:val="00AB0181"/>
    <w:rsid w:val="00AB0478"/>
    <w:rsid w:val="00AB0610"/>
    <w:rsid w:val="00AB092E"/>
    <w:rsid w:val="00AB1452"/>
    <w:rsid w:val="00AB147D"/>
    <w:rsid w:val="00AB1A8F"/>
    <w:rsid w:val="00AB1B90"/>
    <w:rsid w:val="00AB21A8"/>
    <w:rsid w:val="00AB2513"/>
    <w:rsid w:val="00AB2F1A"/>
    <w:rsid w:val="00AB2FD9"/>
    <w:rsid w:val="00AB4B9E"/>
    <w:rsid w:val="00AB4C34"/>
    <w:rsid w:val="00AB5B65"/>
    <w:rsid w:val="00AB6313"/>
    <w:rsid w:val="00AB63E5"/>
    <w:rsid w:val="00AB6FDB"/>
    <w:rsid w:val="00AB7CB4"/>
    <w:rsid w:val="00AB7FCC"/>
    <w:rsid w:val="00AC1174"/>
    <w:rsid w:val="00AC1191"/>
    <w:rsid w:val="00AC1691"/>
    <w:rsid w:val="00AC19AA"/>
    <w:rsid w:val="00AC4119"/>
    <w:rsid w:val="00AC4CD6"/>
    <w:rsid w:val="00AC6724"/>
    <w:rsid w:val="00AC7229"/>
    <w:rsid w:val="00AD043A"/>
    <w:rsid w:val="00AD04D1"/>
    <w:rsid w:val="00AD0E61"/>
    <w:rsid w:val="00AD10BD"/>
    <w:rsid w:val="00AD15CB"/>
    <w:rsid w:val="00AD2312"/>
    <w:rsid w:val="00AD342C"/>
    <w:rsid w:val="00AD4D46"/>
    <w:rsid w:val="00AD4F36"/>
    <w:rsid w:val="00AD5813"/>
    <w:rsid w:val="00AD58D2"/>
    <w:rsid w:val="00AD5B6D"/>
    <w:rsid w:val="00AD68DA"/>
    <w:rsid w:val="00AD73B8"/>
    <w:rsid w:val="00AD7920"/>
    <w:rsid w:val="00AD79B0"/>
    <w:rsid w:val="00AD7BAE"/>
    <w:rsid w:val="00AE02C8"/>
    <w:rsid w:val="00AE0575"/>
    <w:rsid w:val="00AE09BC"/>
    <w:rsid w:val="00AE1172"/>
    <w:rsid w:val="00AE1310"/>
    <w:rsid w:val="00AE1AB5"/>
    <w:rsid w:val="00AE1C3F"/>
    <w:rsid w:val="00AE1DBC"/>
    <w:rsid w:val="00AE2869"/>
    <w:rsid w:val="00AE2BEA"/>
    <w:rsid w:val="00AE2E46"/>
    <w:rsid w:val="00AE3417"/>
    <w:rsid w:val="00AE4967"/>
    <w:rsid w:val="00AE5086"/>
    <w:rsid w:val="00AE5452"/>
    <w:rsid w:val="00AE6D38"/>
    <w:rsid w:val="00AE710B"/>
    <w:rsid w:val="00AE768C"/>
    <w:rsid w:val="00AE7776"/>
    <w:rsid w:val="00AE7794"/>
    <w:rsid w:val="00AE77F5"/>
    <w:rsid w:val="00AF0558"/>
    <w:rsid w:val="00AF0D10"/>
    <w:rsid w:val="00AF183F"/>
    <w:rsid w:val="00AF2241"/>
    <w:rsid w:val="00AF224D"/>
    <w:rsid w:val="00AF3300"/>
    <w:rsid w:val="00AF40F5"/>
    <w:rsid w:val="00AF5C4A"/>
    <w:rsid w:val="00AF5ED0"/>
    <w:rsid w:val="00AF60FB"/>
    <w:rsid w:val="00AF6128"/>
    <w:rsid w:val="00AF614C"/>
    <w:rsid w:val="00AF75D5"/>
    <w:rsid w:val="00AF779C"/>
    <w:rsid w:val="00B00975"/>
    <w:rsid w:val="00B00AC2"/>
    <w:rsid w:val="00B02907"/>
    <w:rsid w:val="00B029A0"/>
    <w:rsid w:val="00B02F27"/>
    <w:rsid w:val="00B03546"/>
    <w:rsid w:val="00B03F72"/>
    <w:rsid w:val="00B0412B"/>
    <w:rsid w:val="00B044AE"/>
    <w:rsid w:val="00B0463B"/>
    <w:rsid w:val="00B0473D"/>
    <w:rsid w:val="00B04BB9"/>
    <w:rsid w:val="00B051F5"/>
    <w:rsid w:val="00B054D0"/>
    <w:rsid w:val="00B0591B"/>
    <w:rsid w:val="00B060BD"/>
    <w:rsid w:val="00B062F7"/>
    <w:rsid w:val="00B065BE"/>
    <w:rsid w:val="00B068E6"/>
    <w:rsid w:val="00B069A5"/>
    <w:rsid w:val="00B0705A"/>
    <w:rsid w:val="00B10617"/>
    <w:rsid w:val="00B11221"/>
    <w:rsid w:val="00B11583"/>
    <w:rsid w:val="00B11E84"/>
    <w:rsid w:val="00B1272C"/>
    <w:rsid w:val="00B13428"/>
    <w:rsid w:val="00B13B8E"/>
    <w:rsid w:val="00B146D9"/>
    <w:rsid w:val="00B14755"/>
    <w:rsid w:val="00B14CBA"/>
    <w:rsid w:val="00B14F99"/>
    <w:rsid w:val="00B167D7"/>
    <w:rsid w:val="00B16987"/>
    <w:rsid w:val="00B1733C"/>
    <w:rsid w:val="00B2007C"/>
    <w:rsid w:val="00B20EA0"/>
    <w:rsid w:val="00B214AA"/>
    <w:rsid w:val="00B22E7A"/>
    <w:rsid w:val="00B23397"/>
    <w:rsid w:val="00B2396D"/>
    <w:rsid w:val="00B23C68"/>
    <w:rsid w:val="00B23E09"/>
    <w:rsid w:val="00B247C6"/>
    <w:rsid w:val="00B25048"/>
    <w:rsid w:val="00B2563D"/>
    <w:rsid w:val="00B258E7"/>
    <w:rsid w:val="00B259EC"/>
    <w:rsid w:val="00B25B43"/>
    <w:rsid w:val="00B25E64"/>
    <w:rsid w:val="00B26111"/>
    <w:rsid w:val="00B3005D"/>
    <w:rsid w:val="00B30FBE"/>
    <w:rsid w:val="00B3126D"/>
    <w:rsid w:val="00B31A89"/>
    <w:rsid w:val="00B31B50"/>
    <w:rsid w:val="00B3211A"/>
    <w:rsid w:val="00B33E2B"/>
    <w:rsid w:val="00B341CA"/>
    <w:rsid w:val="00B34215"/>
    <w:rsid w:val="00B34BDA"/>
    <w:rsid w:val="00B360F2"/>
    <w:rsid w:val="00B36B9B"/>
    <w:rsid w:val="00B36E0F"/>
    <w:rsid w:val="00B36F93"/>
    <w:rsid w:val="00B375CF"/>
    <w:rsid w:val="00B3790D"/>
    <w:rsid w:val="00B37D85"/>
    <w:rsid w:val="00B4157D"/>
    <w:rsid w:val="00B41E39"/>
    <w:rsid w:val="00B43933"/>
    <w:rsid w:val="00B43A2D"/>
    <w:rsid w:val="00B43C3D"/>
    <w:rsid w:val="00B44430"/>
    <w:rsid w:val="00B44D29"/>
    <w:rsid w:val="00B45B38"/>
    <w:rsid w:val="00B4601E"/>
    <w:rsid w:val="00B46029"/>
    <w:rsid w:val="00B4610F"/>
    <w:rsid w:val="00B46270"/>
    <w:rsid w:val="00B46A3C"/>
    <w:rsid w:val="00B47D94"/>
    <w:rsid w:val="00B506A9"/>
    <w:rsid w:val="00B51616"/>
    <w:rsid w:val="00B5173D"/>
    <w:rsid w:val="00B520FB"/>
    <w:rsid w:val="00B53305"/>
    <w:rsid w:val="00B53869"/>
    <w:rsid w:val="00B54787"/>
    <w:rsid w:val="00B5478A"/>
    <w:rsid w:val="00B55C96"/>
    <w:rsid w:val="00B57914"/>
    <w:rsid w:val="00B57F5F"/>
    <w:rsid w:val="00B60188"/>
    <w:rsid w:val="00B60A63"/>
    <w:rsid w:val="00B61E16"/>
    <w:rsid w:val="00B620E4"/>
    <w:rsid w:val="00B63227"/>
    <w:rsid w:val="00B6357D"/>
    <w:rsid w:val="00B6396E"/>
    <w:rsid w:val="00B63AD9"/>
    <w:rsid w:val="00B63C05"/>
    <w:rsid w:val="00B64681"/>
    <w:rsid w:val="00B64B83"/>
    <w:rsid w:val="00B64D0F"/>
    <w:rsid w:val="00B6559D"/>
    <w:rsid w:val="00B65C10"/>
    <w:rsid w:val="00B6642F"/>
    <w:rsid w:val="00B67208"/>
    <w:rsid w:val="00B6762E"/>
    <w:rsid w:val="00B701DF"/>
    <w:rsid w:val="00B70673"/>
    <w:rsid w:val="00B71034"/>
    <w:rsid w:val="00B711A7"/>
    <w:rsid w:val="00B71445"/>
    <w:rsid w:val="00B7151D"/>
    <w:rsid w:val="00B71E50"/>
    <w:rsid w:val="00B72BEA"/>
    <w:rsid w:val="00B7376D"/>
    <w:rsid w:val="00B737DB"/>
    <w:rsid w:val="00B742E3"/>
    <w:rsid w:val="00B74B8C"/>
    <w:rsid w:val="00B75F1E"/>
    <w:rsid w:val="00B763F2"/>
    <w:rsid w:val="00B76C44"/>
    <w:rsid w:val="00B77951"/>
    <w:rsid w:val="00B807A9"/>
    <w:rsid w:val="00B80CB4"/>
    <w:rsid w:val="00B80DEA"/>
    <w:rsid w:val="00B81098"/>
    <w:rsid w:val="00B82E53"/>
    <w:rsid w:val="00B83140"/>
    <w:rsid w:val="00B850AD"/>
    <w:rsid w:val="00B85140"/>
    <w:rsid w:val="00B85333"/>
    <w:rsid w:val="00B8609D"/>
    <w:rsid w:val="00B8615B"/>
    <w:rsid w:val="00B861DD"/>
    <w:rsid w:val="00B8622F"/>
    <w:rsid w:val="00B86B93"/>
    <w:rsid w:val="00B86BBC"/>
    <w:rsid w:val="00B8702E"/>
    <w:rsid w:val="00B9039F"/>
    <w:rsid w:val="00B906B8"/>
    <w:rsid w:val="00B913BC"/>
    <w:rsid w:val="00B9172B"/>
    <w:rsid w:val="00B91A00"/>
    <w:rsid w:val="00B91AED"/>
    <w:rsid w:val="00B91EC8"/>
    <w:rsid w:val="00B9225D"/>
    <w:rsid w:val="00B930D7"/>
    <w:rsid w:val="00B93A88"/>
    <w:rsid w:val="00B946E6"/>
    <w:rsid w:val="00B94D24"/>
    <w:rsid w:val="00B951F6"/>
    <w:rsid w:val="00B9599F"/>
    <w:rsid w:val="00B95C92"/>
    <w:rsid w:val="00B96E4B"/>
    <w:rsid w:val="00B971FD"/>
    <w:rsid w:val="00B97A03"/>
    <w:rsid w:val="00BA0401"/>
    <w:rsid w:val="00BA05C7"/>
    <w:rsid w:val="00BA0B43"/>
    <w:rsid w:val="00BA20DF"/>
    <w:rsid w:val="00BA25B2"/>
    <w:rsid w:val="00BA31B7"/>
    <w:rsid w:val="00BA3770"/>
    <w:rsid w:val="00BA39B6"/>
    <w:rsid w:val="00BA3CDC"/>
    <w:rsid w:val="00BA3EBD"/>
    <w:rsid w:val="00BA4082"/>
    <w:rsid w:val="00BA469B"/>
    <w:rsid w:val="00BA4DF1"/>
    <w:rsid w:val="00BA5AD9"/>
    <w:rsid w:val="00BA61D6"/>
    <w:rsid w:val="00BA6B0A"/>
    <w:rsid w:val="00BA7429"/>
    <w:rsid w:val="00BA7B52"/>
    <w:rsid w:val="00BB103F"/>
    <w:rsid w:val="00BB16D2"/>
    <w:rsid w:val="00BB207D"/>
    <w:rsid w:val="00BB25FA"/>
    <w:rsid w:val="00BB2799"/>
    <w:rsid w:val="00BB30C3"/>
    <w:rsid w:val="00BB34A8"/>
    <w:rsid w:val="00BB3964"/>
    <w:rsid w:val="00BB3DEA"/>
    <w:rsid w:val="00BB415D"/>
    <w:rsid w:val="00BB453C"/>
    <w:rsid w:val="00BB635D"/>
    <w:rsid w:val="00BB79F7"/>
    <w:rsid w:val="00BB7A23"/>
    <w:rsid w:val="00BB7A40"/>
    <w:rsid w:val="00BC06E6"/>
    <w:rsid w:val="00BC10A7"/>
    <w:rsid w:val="00BC11FB"/>
    <w:rsid w:val="00BC12D8"/>
    <w:rsid w:val="00BC20A9"/>
    <w:rsid w:val="00BC387F"/>
    <w:rsid w:val="00BC3CA2"/>
    <w:rsid w:val="00BC3D9E"/>
    <w:rsid w:val="00BC3E26"/>
    <w:rsid w:val="00BC4041"/>
    <w:rsid w:val="00BC4891"/>
    <w:rsid w:val="00BC4F56"/>
    <w:rsid w:val="00BC59C7"/>
    <w:rsid w:val="00BC5D90"/>
    <w:rsid w:val="00BC6E23"/>
    <w:rsid w:val="00BC76BA"/>
    <w:rsid w:val="00BC770B"/>
    <w:rsid w:val="00BD01AA"/>
    <w:rsid w:val="00BD0961"/>
    <w:rsid w:val="00BD0C3A"/>
    <w:rsid w:val="00BD139F"/>
    <w:rsid w:val="00BD2F09"/>
    <w:rsid w:val="00BD3041"/>
    <w:rsid w:val="00BD37A7"/>
    <w:rsid w:val="00BD38C5"/>
    <w:rsid w:val="00BD39C6"/>
    <w:rsid w:val="00BD3AB8"/>
    <w:rsid w:val="00BD4626"/>
    <w:rsid w:val="00BD4C6F"/>
    <w:rsid w:val="00BD4E23"/>
    <w:rsid w:val="00BD4F28"/>
    <w:rsid w:val="00BD4F9E"/>
    <w:rsid w:val="00BD501A"/>
    <w:rsid w:val="00BD51A8"/>
    <w:rsid w:val="00BD566F"/>
    <w:rsid w:val="00BD6330"/>
    <w:rsid w:val="00BD6802"/>
    <w:rsid w:val="00BD6AB3"/>
    <w:rsid w:val="00BD726C"/>
    <w:rsid w:val="00BD7401"/>
    <w:rsid w:val="00BD783B"/>
    <w:rsid w:val="00BD7D7A"/>
    <w:rsid w:val="00BE02F0"/>
    <w:rsid w:val="00BE0414"/>
    <w:rsid w:val="00BE0E45"/>
    <w:rsid w:val="00BE0F63"/>
    <w:rsid w:val="00BE1583"/>
    <w:rsid w:val="00BE296C"/>
    <w:rsid w:val="00BE2FE2"/>
    <w:rsid w:val="00BE370D"/>
    <w:rsid w:val="00BE56BE"/>
    <w:rsid w:val="00BE57F3"/>
    <w:rsid w:val="00BE62E4"/>
    <w:rsid w:val="00BE73EC"/>
    <w:rsid w:val="00BF0077"/>
    <w:rsid w:val="00BF0433"/>
    <w:rsid w:val="00BF09CF"/>
    <w:rsid w:val="00BF1076"/>
    <w:rsid w:val="00BF162C"/>
    <w:rsid w:val="00BF1C8E"/>
    <w:rsid w:val="00BF1DF4"/>
    <w:rsid w:val="00BF1F9E"/>
    <w:rsid w:val="00BF1FA2"/>
    <w:rsid w:val="00BF223E"/>
    <w:rsid w:val="00BF276E"/>
    <w:rsid w:val="00BF2ECE"/>
    <w:rsid w:val="00BF3855"/>
    <w:rsid w:val="00BF3D37"/>
    <w:rsid w:val="00BF42EE"/>
    <w:rsid w:val="00BF45F8"/>
    <w:rsid w:val="00BF4B53"/>
    <w:rsid w:val="00BF60D0"/>
    <w:rsid w:val="00BF68D1"/>
    <w:rsid w:val="00BF6906"/>
    <w:rsid w:val="00BF6DD7"/>
    <w:rsid w:val="00BF74D4"/>
    <w:rsid w:val="00BF7B93"/>
    <w:rsid w:val="00BF7F37"/>
    <w:rsid w:val="00C00F2B"/>
    <w:rsid w:val="00C01896"/>
    <w:rsid w:val="00C01955"/>
    <w:rsid w:val="00C02160"/>
    <w:rsid w:val="00C0333D"/>
    <w:rsid w:val="00C037DD"/>
    <w:rsid w:val="00C04D3C"/>
    <w:rsid w:val="00C058A6"/>
    <w:rsid w:val="00C05A5E"/>
    <w:rsid w:val="00C05A9F"/>
    <w:rsid w:val="00C06031"/>
    <w:rsid w:val="00C060D7"/>
    <w:rsid w:val="00C0615E"/>
    <w:rsid w:val="00C076B9"/>
    <w:rsid w:val="00C10E70"/>
    <w:rsid w:val="00C115D9"/>
    <w:rsid w:val="00C1160F"/>
    <w:rsid w:val="00C11F54"/>
    <w:rsid w:val="00C12D59"/>
    <w:rsid w:val="00C1332A"/>
    <w:rsid w:val="00C1334A"/>
    <w:rsid w:val="00C137D7"/>
    <w:rsid w:val="00C13EDD"/>
    <w:rsid w:val="00C14357"/>
    <w:rsid w:val="00C15516"/>
    <w:rsid w:val="00C15A54"/>
    <w:rsid w:val="00C15DB2"/>
    <w:rsid w:val="00C170AC"/>
    <w:rsid w:val="00C17BEE"/>
    <w:rsid w:val="00C17C96"/>
    <w:rsid w:val="00C17D6A"/>
    <w:rsid w:val="00C210E1"/>
    <w:rsid w:val="00C21259"/>
    <w:rsid w:val="00C217E8"/>
    <w:rsid w:val="00C21819"/>
    <w:rsid w:val="00C2214D"/>
    <w:rsid w:val="00C229DD"/>
    <w:rsid w:val="00C22AC9"/>
    <w:rsid w:val="00C22B5E"/>
    <w:rsid w:val="00C23C58"/>
    <w:rsid w:val="00C23D5E"/>
    <w:rsid w:val="00C24BB5"/>
    <w:rsid w:val="00C25540"/>
    <w:rsid w:val="00C26393"/>
    <w:rsid w:val="00C26425"/>
    <w:rsid w:val="00C264A7"/>
    <w:rsid w:val="00C265C7"/>
    <w:rsid w:val="00C30363"/>
    <w:rsid w:val="00C31D54"/>
    <w:rsid w:val="00C31D5F"/>
    <w:rsid w:val="00C32119"/>
    <w:rsid w:val="00C32D92"/>
    <w:rsid w:val="00C33129"/>
    <w:rsid w:val="00C339FE"/>
    <w:rsid w:val="00C33D12"/>
    <w:rsid w:val="00C33DFD"/>
    <w:rsid w:val="00C34BA9"/>
    <w:rsid w:val="00C34D0B"/>
    <w:rsid w:val="00C34E2E"/>
    <w:rsid w:val="00C353BC"/>
    <w:rsid w:val="00C375D7"/>
    <w:rsid w:val="00C40B70"/>
    <w:rsid w:val="00C40FB9"/>
    <w:rsid w:val="00C41C09"/>
    <w:rsid w:val="00C42020"/>
    <w:rsid w:val="00C4293F"/>
    <w:rsid w:val="00C42A14"/>
    <w:rsid w:val="00C42B0B"/>
    <w:rsid w:val="00C42E04"/>
    <w:rsid w:val="00C435B2"/>
    <w:rsid w:val="00C44195"/>
    <w:rsid w:val="00C44D49"/>
    <w:rsid w:val="00C461BE"/>
    <w:rsid w:val="00C46201"/>
    <w:rsid w:val="00C46B1C"/>
    <w:rsid w:val="00C4711F"/>
    <w:rsid w:val="00C47BDA"/>
    <w:rsid w:val="00C5029F"/>
    <w:rsid w:val="00C503BD"/>
    <w:rsid w:val="00C50448"/>
    <w:rsid w:val="00C50708"/>
    <w:rsid w:val="00C508BB"/>
    <w:rsid w:val="00C50B08"/>
    <w:rsid w:val="00C50BD8"/>
    <w:rsid w:val="00C51D3A"/>
    <w:rsid w:val="00C51EB1"/>
    <w:rsid w:val="00C52E12"/>
    <w:rsid w:val="00C53325"/>
    <w:rsid w:val="00C5362A"/>
    <w:rsid w:val="00C559E5"/>
    <w:rsid w:val="00C562EC"/>
    <w:rsid w:val="00C56D08"/>
    <w:rsid w:val="00C56D2E"/>
    <w:rsid w:val="00C601D0"/>
    <w:rsid w:val="00C612FD"/>
    <w:rsid w:val="00C61461"/>
    <w:rsid w:val="00C6173C"/>
    <w:rsid w:val="00C61AB1"/>
    <w:rsid w:val="00C6219B"/>
    <w:rsid w:val="00C627CD"/>
    <w:rsid w:val="00C62866"/>
    <w:rsid w:val="00C62C2C"/>
    <w:rsid w:val="00C62FC1"/>
    <w:rsid w:val="00C64697"/>
    <w:rsid w:val="00C64CC1"/>
    <w:rsid w:val="00C665B2"/>
    <w:rsid w:val="00C66AD3"/>
    <w:rsid w:val="00C66B69"/>
    <w:rsid w:val="00C66D23"/>
    <w:rsid w:val="00C67BDF"/>
    <w:rsid w:val="00C67EAB"/>
    <w:rsid w:val="00C70BF5"/>
    <w:rsid w:val="00C727AC"/>
    <w:rsid w:val="00C727FC"/>
    <w:rsid w:val="00C73B02"/>
    <w:rsid w:val="00C7402A"/>
    <w:rsid w:val="00C746E6"/>
    <w:rsid w:val="00C74A36"/>
    <w:rsid w:val="00C74FBF"/>
    <w:rsid w:val="00C750AA"/>
    <w:rsid w:val="00C75226"/>
    <w:rsid w:val="00C75584"/>
    <w:rsid w:val="00C75654"/>
    <w:rsid w:val="00C75814"/>
    <w:rsid w:val="00C767D9"/>
    <w:rsid w:val="00C76D49"/>
    <w:rsid w:val="00C771E3"/>
    <w:rsid w:val="00C77D66"/>
    <w:rsid w:val="00C802B6"/>
    <w:rsid w:val="00C81485"/>
    <w:rsid w:val="00C814A4"/>
    <w:rsid w:val="00C81611"/>
    <w:rsid w:val="00C8202A"/>
    <w:rsid w:val="00C8269F"/>
    <w:rsid w:val="00C828CA"/>
    <w:rsid w:val="00C837C1"/>
    <w:rsid w:val="00C84760"/>
    <w:rsid w:val="00C84924"/>
    <w:rsid w:val="00C84B75"/>
    <w:rsid w:val="00C84CFD"/>
    <w:rsid w:val="00C84E15"/>
    <w:rsid w:val="00C85853"/>
    <w:rsid w:val="00C866C1"/>
    <w:rsid w:val="00C87DED"/>
    <w:rsid w:val="00C90519"/>
    <w:rsid w:val="00C91198"/>
    <w:rsid w:val="00C91FA0"/>
    <w:rsid w:val="00C92691"/>
    <w:rsid w:val="00C9286B"/>
    <w:rsid w:val="00C92FFA"/>
    <w:rsid w:val="00C93398"/>
    <w:rsid w:val="00C93684"/>
    <w:rsid w:val="00C94921"/>
    <w:rsid w:val="00C94B48"/>
    <w:rsid w:val="00C96984"/>
    <w:rsid w:val="00C96A16"/>
    <w:rsid w:val="00C96C51"/>
    <w:rsid w:val="00C972F9"/>
    <w:rsid w:val="00C973E3"/>
    <w:rsid w:val="00C97C0B"/>
    <w:rsid w:val="00CA00B2"/>
    <w:rsid w:val="00CA0CB4"/>
    <w:rsid w:val="00CA0EC8"/>
    <w:rsid w:val="00CA0F8B"/>
    <w:rsid w:val="00CA1F5E"/>
    <w:rsid w:val="00CA26FB"/>
    <w:rsid w:val="00CA35D2"/>
    <w:rsid w:val="00CA3649"/>
    <w:rsid w:val="00CA3BB3"/>
    <w:rsid w:val="00CA3C32"/>
    <w:rsid w:val="00CA3E9B"/>
    <w:rsid w:val="00CA40FB"/>
    <w:rsid w:val="00CA4383"/>
    <w:rsid w:val="00CA45AC"/>
    <w:rsid w:val="00CA4EFE"/>
    <w:rsid w:val="00CA5399"/>
    <w:rsid w:val="00CA685A"/>
    <w:rsid w:val="00CA747D"/>
    <w:rsid w:val="00CA788A"/>
    <w:rsid w:val="00CB0123"/>
    <w:rsid w:val="00CB11C2"/>
    <w:rsid w:val="00CB13C2"/>
    <w:rsid w:val="00CB1BAC"/>
    <w:rsid w:val="00CB1EB8"/>
    <w:rsid w:val="00CB2402"/>
    <w:rsid w:val="00CB2FF6"/>
    <w:rsid w:val="00CB316D"/>
    <w:rsid w:val="00CB3348"/>
    <w:rsid w:val="00CB363A"/>
    <w:rsid w:val="00CB37C0"/>
    <w:rsid w:val="00CB3A23"/>
    <w:rsid w:val="00CB3E23"/>
    <w:rsid w:val="00CB479A"/>
    <w:rsid w:val="00CB507F"/>
    <w:rsid w:val="00CB5222"/>
    <w:rsid w:val="00CB52C2"/>
    <w:rsid w:val="00CB5997"/>
    <w:rsid w:val="00CB5D8A"/>
    <w:rsid w:val="00CB6367"/>
    <w:rsid w:val="00CB6931"/>
    <w:rsid w:val="00CB7CC1"/>
    <w:rsid w:val="00CB7DF5"/>
    <w:rsid w:val="00CC0992"/>
    <w:rsid w:val="00CC1789"/>
    <w:rsid w:val="00CC1A10"/>
    <w:rsid w:val="00CC1F3F"/>
    <w:rsid w:val="00CC2146"/>
    <w:rsid w:val="00CC27F0"/>
    <w:rsid w:val="00CC31D5"/>
    <w:rsid w:val="00CC37B2"/>
    <w:rsid w:val="00CC3BB5"/>
    <w:rsid w:val="00CC4239"/>
    <w:rsid w:val="00CC42EC"/>
    <w:rsid w:val="00CC4A58"/>
    <w:rsid w:val="00CC4E60"/>
    <w:rsid w:val="00CC506F"/>
    <w:rsid w:val="00CC5320"/>
    <w:rsid w:val="00CC6004"/>
    <w:rsid w:val="00CC61CF"/>
    <w:rsid w:val="00CC6E75"/>
    <w:rsid w:val="00CC739E"/>
    <w:rsid w:val="00CC7CFB"/>
    <w:rsid w:val="00CD03C5"/>
    <w:rsid w:val="00CD1620"/>
    <w:rsid w:val="00CD1E94"/>
    <w:rsid w:val="00CD2488"/>
    <w:rsid w:val="00CD2713"/>
    <w:rsid w:val="00CD2DE7"/>
    <w:rsid w:val="00CD35FC"/>
    <w:rsid w:val="00CD3895"/>
    <w:rsid w:val="00CD3DC3"/>
    <w:rsid w:val="00CD4974"/>
    <w:rsid w:val="00CD5421"/>
    <w:rsid w:val="00CD5B80"/>
    <w:rsid w:val="00CD5D72"/>
    <w:rsid w:val="00CD5DFE"/>
    <w:rsid w:val="00CD630F"/>
    <w:rsid w:val="00CD63B4"/>
    <w:rsid w:val="00CD64C5"/>
    <w:rsid w:val="00CD6D46"/>
    <w:rsid w:val="00CD7468"/>
    <w:rsid w:val="00CD7E42"/>
    <w:rsid w:val="00CE029D"/>
    <w:rsid w:val="00CE0389"/>
    <w:rsid w:val="00CE07C7"/>
    <w:rsid w:val="00CE0A1F"/>
    <w:rsid w:val="00CE0AD1"/>
    <w:rsid w:val="00CE25B7"/>
    <w:rsid w:val="00CE3138"/>
    <w:rsid w:val="00CE39EC"/>
    <w:rsid w:val="00CE4550"/>
    <w:rsid w:val="00CE4A17"/>
    <w:rsid w:val="00CE5CB5"/>
    <w:rsid w:val="00CE5DFE"/>
    <w:rsid w:val="00CE688E"/>
    <w:rsid w:val="00CE68E4"/>
    <w:rsid w:val="00CE69A8"/>
    <w:rsid w:val="00CE6B3B"/>
    <w:rsid w:val="00CE6E79"/>
    <w:rsid w:val="00CF03E9"/>
    <w:rsid w:val="00CF042F"/>
    <w:rsid w:val="00CF076E"/>
    <w:rsid w:val="00CF0FE8"/>
    <w:rsid w:val="00CF1537"/>
    <w:rsid w:val="00CF16E8"/>
    <w:rsid w:val="00CF232D"/>
    <w:rsid w:val="00CF2828"/>
    <w:rsid w:val="00CF3032"/>
    <w:rsid w:val="00CF3BC2"/>
    <w:rsid w:val="00CF46EF"/>
    <w:rsid w:val="00CF50BC"/>
    <w:rsid w:val="00CF6AA8"/>
    <w:rsid w:val="00CF7265"/>
    <w:rsid w:val="00CF738B"/>
    <w:rsid w:val="00CF787C"/>
    <w:rsid w:val="00D001E8"/>
    <w:rsid w:val="00D003B6"/>
    <w:rsid w:val="00D00AE7"/>
    <w:rsid w:val="00D00AF2"/>
    <w:rsid w:val="00D00C34"/>
    <w:rsid w:val="00D00EFA"/>
    <w:rsid w:val="00D01955"/>
    <w:rsid w:val="00D01962"/>
    <w:rsid w:val="00D01B2B"/>
    <w:rsid w:val="00D0221A"/>
    <w:rsid w:val="00D027BC"/>
    <w:rsid w:val="00D05059"/>
    <w:rsid w:val="00D054F5"/>
    <w:rsid w:val="00D06268"/>
    <w:rsid w:val="00D11D01"/>
    <w:rsid w:val="00D11F71"/>
    <w:rsid w:val="00D141A8"/>
    <w:rsid w:val="00D147E7"/>
    <w:rsid w:val="00D14959"/>
    <w:rsid w:val="00D14D17"/>
    <w:rsid w:val="00D14D48"/>
    <w:rsid w:val="00D151EA"/>
    <w:rsid w:val="00D159C2"/>
    <w:rsid w:val="00D1685E"/>
    <w:rsid w:val="00D16F63"/>
    <w:rsid w:val="00D1786E"/>
    <w:rsid w:val="00D2026D"/>
    <w:rsid w:val="00D208C9"/>
    <w:rsid w:val="00D20D66"/>
    <w:rsid w:val="00D2187E"/>
    <w:rsid w:val="00D23147"/>
    <w:rsid w:val="00D232D1"/>
    <w:rsid w:val="00D24696"/>
    <w:rsid w:val="00D24BD8"/>
    <w:rsid w:val="00D24C72"/>
    <w:rsid w:val="00D24FFF"/>
    <w:rsid w:val="00D250CD"/>
    <w:rsid w:val="00D25790"/>
    <w:rsid w:val="00D25B72"/>
    <w:rsid w:val="00D25BA3"/>
    <w:rsid w:val="00D25C85"/>
    <w:rsid w:val="00D267A6"/>
    <w:rsid w:val="00D27078"/>
    <w:rsid w:val="00D27B3F"/>
    <w:rsid w:val="00D31476"/>
    <w:rsid w:val="00D314D2"/>
    <w:rsid w:val="00D31A6A"/>
    <w:rsid w:val="00D322A7"/>
    <w:rsid w:val="00D33431"/>
    <w:rsid w:val="00D3364C"/>
    <w:rsid w:val="00D33BEC"/>
    <w:rsid w:val="00D33D48"/>
    <w:rsid w:val="00D3419E"/>
    <w:rsid w:val="00D3510E"/>
    <w:rsid w:val="00D3603A"/>
    <w:rsid w:val="00D405B7"/>
    <w:rsid w:val="00D40E5D"/>
    <w:rsid w:val="00D412A6"/>
    <w:rsid w:val="00D416BB"/>
    <w:rsid w:val="00D41A4E"/>
    <w:rsid w:val="00D41BBE"/>
    <w:rsid w:val="00D41E9F"/>
    <w:rsid w:val="00D4282B"/>
    <w:rsid w:val="00D42A6B"/>
    <w:rsid w:val="00D43D13"/>
    <w:rsid w:val="00D440DF"/>
    <w:rsid w:val="00D44463"/>
    <w:rsid w:val="00D447AF"/>
    <w:rsid w:val="00D45117"/>
    <w:rsid w:val="00D45569"/>
    <w:rsid w:val="00D45BD5"/>
    <w:rsid w:val="00D46C7A"/>
    <w:rsid w:val="00D470E7"/>
    <w:rsid w:val="00D47232"/>
    <w:rsid w:val="00D473A0"/>
    <w:rsid w:val="00D47797"/>
    <w:rsid w:val="00D47D11"/>
    <w:rsid w:val="00D502E6"/>
    <w:rsid w:val="00D50783"/>
    <w:rsid w:val="00D50ADB"/>
    <w:rsid w:val="00D516C5"/>
    <w:rsid w:val="00D52788"/>
    <w:rsid w:val="00D527C8"/>
    <w:rsid w:val="00D54173"/>
    <w:rsid w:val="00D543A0"/>
    <w:rsid w:val="00D54CC1"/>
    <w:rsid w:val="00D557AB"/>
    <w:rsid w:val="00D5581F"/>
    <w:rsid w:val="00D55A09"/>
    <w:rsid w:val="00D55B69"/>
    <w:rsid w:val="00D561BA"/>
    <w:rsid w:val="00D57DFB"/>
    <w:rsid w:val="00D60224"/>
    <w:rsid w:val="00D604D3"/>
    <w:rsid w:val="00D60E3B"/>
    <w:rsid w:val="00D60EB9"/>
    <w:rsid w:val="00D61CD2"/>
    <w:rsid w:val="00D61F5F"/>
    <w:rsid w:val="00D62151"/>
    <w:rsid w:val="00D62EFF"/>
    <w:rsid w:val="00D63616"/>
    <w:rsid w:val="00D63A96"/>
    <w:rsid w:val="00D64051"/>
    <w:rsid w:val="00D647B6"/>
    <w:rsid w:val="00D647F3"/>
    <w:rsid w:val="00D64994"/>
    <w:rsid w:val="00D649C3"/>
    <w:rsid w:val="00D64B7E"/>
    <w:rsid w:val="00D64E40"/>
    <w:rsid w:val="00D65824"/>
    <w:rsid w:val="00D670D9"/>
    <w:rsid w:val="00D67203"/>
    <w:rsid w:val="00D67FBA"/>
    <w:rsid w:val="00D70317"/>
    <w:rsid w:val="00D70A23"/>
    <w:rsid w:val="00D71509"/>
    <w:rsid w:val="00D7202F"/>
    <w:rsid w:val="00D722FA"/>
    <w:rsid w:val="00D725AA"/>
    <w:rsid w:val="00D72FCF"/>
    <w:rsid w:val="00D73B07"/>
    <w:rsid w:val="00D74123"/>
    <w:rsid w:val="00D7557B"/>
    <w:rsid w:val="00D7559E"/>
    <w:rsid w:val="00D7611A"/>
    <w:rsid w:val="00D7693E"/>
    <w:rsid w:val="00D770EC"/>
    <w:rsid w:val="00D77605"/>
    <w:rsid w:val="00D77FDD"/>
    <w:rsid w:val="00D80309"/>
    <w:rsid w:val="00D806B2"/>
    <w:rsid w:val="00D812E1"/>
    <w:rsid w:val="00D812EC"/>
    <w:rsid w:val="00D82324"/>
    <w:rsid w:val="00D82694"/>
    <w:rsid w:val="00D82B0F"/>
    <w:rsid w:val="00D83218"/>
    <w:rsid w:val="00D83CF7"/>
    <w:rsid w:val="00D843D6"/>
    <w:rsid w:val="00D8461F"/>
    <w:rsid w:val="00D84721"/>
    <w:rsid w:val="00D848F1"/>
    <w:rsid w:val="00D84FD4"/>
    <w:rsid w:val="00D8520A"/>
    <w:rsid w:val="00D856B2"/>
    <w:rsid w:val="00D85875"/>
    <w:rsid w:val="00D85F5D"/>
    <w:rsid w:val="00D8630A"/>
    <w:rsid w:val="00D863DB"/>
    <w:rsid w:val="00D86E7A"/>
    <w:rsid w:val="00D87666"/>
    <w:rsid w:val="00D87A0C"/>
    <w:rsid w:val="00D87E04"/>
    <w:rsid w:val="00D87EA6"/>
    <w:rsid w:val="00D90ABC"/>
    <w:rsid w:val="00D91B6F"/>
    <w:rsid w:val="00D9266F"/>
    <w:rsid w:val="00D92CA7"/>
    <w:rsid w:val="00D92E1C"/>
    <w:rsid w:val="00D93405"/>
    <w:rsid w:val="00D935EE"/>
    <w:rsid w:val="00D93734"/>
    <w:rsid w:val="00D94830"/>
    <w:rsid w:val="00D94E4D"/>
    <w:rsid w:val="00D96415"/>
    <w:rsid w:val="00D969EA"/>
    <w:rsid w:val="00D96A26"/>
    <w:rsid w:val="00D96D51"/>
    <w:rsid w:val="00D96E82"/>
    <w:rsid w:val="00D972B8"/>
    <w:rsid w:val="00DA1BB3"/>
    <w:rsid w:val="00DA2240"/>
    <w:rsid w:val="00DA247F"/>
    <w:rsid w:val="00DA3097"/>
    <w:rsid w:val="00DA3DE7"/>
    <w:rsid w:val="00DA3DF3"/>
    <w:rsid w:val="00DA40C5"/>
    <w:rsid w:val="00DA42A3"/>
    <w:rsid w:val="00DA50CA"/>
    <w:rsid w:val="00DA58C6"/>
    <w:rsid w:val="00DA5A52"/>
    <w:rsid w:val="00DA7C96"/>
    <w:rsid w:val="00DB0195"/>
    <w:rsid w:val="00DB0D22"/>
    <w:rsid w:val="00DB1565"/>
    <w:rsid w:val="00DB16CF"/>
    <w:rsid w:val="00DB18FA"/>
    <w:rsid w:val="00DB1989"/>
    <w:rsid w:val="00DB2D9A"/>
    <w:rsid w:val="00DB354A"/>
    <w:rsid w:val="00DB3E96"/>
    <w:rsid w:val="00DB49F8"/>
    <w:rsid w:val="00DB4CF2"/>
    <w:rsid w:val="00DB4D43"/>
    <w:rsid w:val="00DB6001"/>
    <w:rsid w:val="00DB6323"/>
    <w:rsid w:val="00DB6459"/>
    <w:rsid w:val="00DB64D6"/>
    <w:rsid w:val="00DB66FC"/>
    <w:rsid w:val="00DC03AB"/>
    <w:rsid w:val="00DC0430"/>
    <w:rsid w:val="00DC22AE"/>
    <w:rsid w:val="00DC2A1E"/>
    <w:rsid w:val="00DC2A51"/>
    <w:rsid w:val="00DC3643"/>
    <w:rsid w:val="00DC3CD7"/>
    <w:rsid w:val="00DC3D55"/>
    <w:rsid w:val="00DC508C"/>
    <w:rsid w:val="00DC5321"/>
    <w:rsid w:val="00DC5369"/>
    <w:rsid w:val="00DC572B"/>
    <w:rsid w:val="00DC629F"/>
    <w:rsid w:val="00DC651D"/>
    <w:rsid w:val="00DC68CD"/>
    <w:rsid w:val="00DC72AF"/>
    <w:rsid w:val="00DC75EA"/>
    <w:rsid w:val="00DD02E8"/>
    <w:rsid w:val="00DD0FFE"/>
    <w:rsid w:val="00DD108C"/>
    <w:rsid w:val="00DD1117"/>
    <w:rsid w:val="00DD119B"/>
    <w:rsid w:val="00DD1A38"/>
    <w:rsid w:val="00DD1B39"/>
    <w:rsid w:val="00DD2106"/>
    <w:rsid w:val="00DD21CB"/>
    <w:rsid w:val="00DD256C"/>
    <w:rsid w:val="00DD2AC1"/>
    <w:rsid w:val="00DD3746"/>
    <w:rsid w:val="00DD3790"/>
    <w:rsid w:val="00DD381F"/>
    <w:rsid w:val="00DD48D4"/>
    <w:rsid w:val="00DD4B69"/>
    <w:rsid w:val="00DD4F79"/>
    <w:rsid w:val="00DD5326"/>
    <w:rsid w:val="00DD64EE"/>
    <w:rsid w:val="00DD6B03"/>
    <w:rsid w:val="00DD6B26"/>
    <w:rsid w:val="00DD6EEA"/>
    <w:rsid w:val="00DD70F8"/>
    <w:rsid w:val="00DD710E"/>
    <w:rsid w:val="00DD7CE5"/>
    <w:rsid w:val="00DD7D7A"/>
    <w:rsid w:val="00DE0312"/>
    <w:rsid w:val="00DE0B2E"/>
    <w:rsid w:val="00DE119E"/>
    <w:rsid w:val="00DE1259"/>
    <w:rsid w:val="00DE2A30"/>
    <w:rsid w:val="00DE2EC5"/>
    <w:rsid w:val="00DE3591"/>
    <w:rsid w:val="00DE35DB"/>
    <w:rsid w:val="00DE3848"/>
    <w:rsid w:val="00DE3A46"/>
    <w:rsid w:val="00DE47E6"/>
    <w:rsid w:val="00DE4BD5"/>
    <w:rsid w:val="00DE4E6C"/>
    <w:rsid w:val="00DE4E85"/>
    <w:rsid w:val="00DE5285"/>
    <w:rsid w:val="00DE52EB"/>
    <w:rsid w:val="00DE579B"/>
    <w:rsid w:val="00DE6276"/>
    <w:rsid w:val="00DE6A02"/>
    <w:rsid w:val="00DE6C7C"/>
    <w:rsid w:val="00DE71D2"/>
    <w:rsid w:val="00DE735A"/>
    <w:rsid w:val="00DE7DB0"/>
    <w:rsid w:val="00DE7F25"/>
    <w:rsid w:val="00DF000C"/>
    <w:rsid w:val="00DF0283"/>
    <w:rsid w:val="00DF0944"/>
    <w:rsid w:val="00DF1A46"/>
    <w:rsid w:val="00DF1BD6"/>
    <w:rsid w:val="00DF1D19"/>
    <w:rsid w:val="00DF1D4F"/>
    <w:rsid w:val="00DF3328"/>
    <w:rsid w:val="00DF3380"/>
    <w:rsid w:val="00DF37E0"/>
    <w:rsid w:val="00DF3E36"/>
    <w:rsid w:val="00DF4378"/>
    <w:rsid w:val="00DF4EF5"/>
    <w:rsid w:val="00DF4F8C"/>
    <w:rsid w:val="00DF6114"/>
    <w:rsid w:val="00DF6776"/>
    <w:rsid w:val="00DF6D22"/>
    <w:rsid w:val="00DF75C7"/>
    <w:rsid w:val="00DF7746"/>
    <w:rsid w:val="00E00D7D"/>
    <w:rsid w:val="00E01572"/>
    <w:rsid w:val="00E01855"/>
    <w:rsid w:val="00E01A73"/>
    <w:rsid w:val="00E02B8D"/>
    <w:rsid w:val="00E02F8F"/>
    <w:rsid w:val="00E04A8D"/>
    <w:rsid w:val="00E05C5C"/>
    <w:rsid w:val="00E05CDF"/>
    <w:rsid w:val="00E05D75"/>
    <w:rsid w:val="00E06F92"/>
    <w:rsid w:val="00E07245"/>
    <w:rsid w:val="00E07D34"/>
    <w:rsid w:val="00E10389"/>
    <w:rsid w:val="00E104D8"/>
    <w:rsid w:val="00E106BC"/>
    <w:rsid w:val="00E10FA5"/>
    <w:rsid w:val="00E119C0"/>
    <w:rsid w:val="00E11FAE"/>
    <w:rsid w:val="00E121E1"/>
    <w:rsid w:val="00E122B6"/>
    <w:rsid w:val="00E12AB4"/>
    <w:rsid w:val="00E134E6"/>
    <w:rsid w:val="00E13668"/>
    <w:rsid w:val="00E14237"/>
    <w:rsid w:val="00E145A6"/>
    <w:rsid w:val="00E14837"/>
    <w:rsid w:val="00E15032"/>
    <w:rsid w:val="00E164D7"/>
    <w:rsid w:val="00E16AEE"/>
    <w:rsid w:val="00E173D5"/>
    <w:rsid w:val="00E1771B"/>
    <w:rsid w:val="00E178D3"/>
    <w:rsid w:val="00E17AF2"/>
    <w:rsid w:val="00E20287"/>
    <w:rsid w:val="00E207B1"/>
    <w:rsid w:val="00E20F6A"/>
    <w:rsid w:val="00E2146B"/>
    <w:rsid w:val="00E219A1"/>
    <w:rsid w:val="00E21FBA"/>
    <w:rsid w:val="00E222B2"/>
    <w:rsid w:val="00E225CB"/>
    <w:rsid w:val="00E22CA4"/>
    <w:rsid w:val="00E237FB"/>
    <w:rsid w:val="00E246B5"/>
    <w:rsid w:val="00E24972"/>
    <w:rsid w:val="00E24D71"/>
    <w:rsid w:val="00E257C3"/>
    <w:rsid w:val="00E25AE7"/>
    <w:rsid w:val="00E25D09"/>
    <w:rsid w:val="00E274A8"/>
    <w:rsid w:val="00E27A8D"/>
    <w:rsid w:val="00E30EEF"/>
    <w:rsid w:val="00E3121B"/>
    <w:rsid w:val="00E317AC"/>
    <w:rsid w:val="00E320AB"/>
    <w:rsid w:val="00E32B00"/>
    <w:rsid w:val="00E32C92"/>
    <w:rsid w:val="00E32C9C"/>
    <w:rsid w:val="00E33C99"/>
    <w:rsid w:val="00E33E25"/>
    <w:rsid w:val="00E34FA3"/>
    <w:rsid w:val="00E3609C"/>
    <w:rsid w:val="00E36410"/>
    <w:rsid w:val="00E36AB4"/>
    <w:rsid w:val="00E36D10"/>
    <w:rsid w:val="00E372CB"/>
    <w:rsid w:val="00E376C7"/>
    <w:rsid w:val="00E4010A"/>
    <w:rsid w:val="00E4013C"/>
    <w:rsid w:val="00E40261"/>
    <w:rsid w:val="00E408FF"/>
    <w:rsid w:val="00E40DA7"/>
    <w:rsid w:val="00E427EC"/>
    <w:rsid w:val="00E4306C"/>
    <w:rsid w:val="00E438DB"/>
    <w:rsid w:val="00E448B7"/>
    <w:rsid w:val="00E44B64"/>
    <w:rsid w:val="00E45156"/>
    <w:rsid w:val="00E452AC"/>
    <w:rsid w:val="00E457A7"/>
    <w:rsid w:val="00E457D1"/>
    <w:rsid w:val="00E45870"/>
    <w:rsid w:val="00E45A54"/>
    <w:rsid w:val="00E45B69"/>
    <w:rsid w:val="00E4663F"/>
    <w:rsid w:val="00E4682E"/>
    <w:rsid w:val="00E4685E"/>
    <w:rsid w:val="00E470E5"/>
    <w:rsid w:val="00E4714E"/>
    <w:rsid w:val="00E47512"/>
    <w:rsid w:val="00E475F6"/>
    <w:rsid w:val="00E47DF6"/>
    <w:rsid w:val="00E50447"/>
    <w:rsid w:val="00E508C3"/>
    <w:rsid w:val="00E51846"/>
    <w:rsid w:val="00E523CA"/>
    <w:rsid w:val="00E528F2"/>
    <w:rsid w:val="00E52C95"/>
    <w:rsid w:val="00E52F09"/>
    <w:rsid w:val="00E5353D"/>
    <w:rsid w:val="00E5377E"/>
    <w:rsid w:val="00E53FC4"/>
    <w:rsid w:val="00E543A5"/>
    <w:rsid w:val="00E549C8"/>
    <w:rsid w:val="00E54AC0"/>
    <w:rsid w:val="00E54DCB"/>
    <w:rsid w:val="00E5502F"/>
    <w:rsid w:val="00E55BBA"/>
    <w:rsid w:val="00E5664A"/>
    <w:rsid w:val="00E56943"/>
    <w:rsid w:val="00E56D59"/>
    <w:rsid w:val="00E57D07"/>
    <w:rsid w:val="00E57F8F"/>
    <w:rsid w:val="00E6013F"/>
    <w:rsid w:val="00E60F89"/>
    <w:rsid w:val="00E610A7"/>
    <w:rsid w:val="00E6196A"/>
    <w:rsid w:val="00E61A67"/>
    <w:rsid w:val="00E61BBA"/>
    <w:rsid w:val="00E62320"/>
    <w:rsid w:val="00E62B4F"/>
    <w:rsid w:val="00E631A0"/>
    <w:rsid w:val="00E6320F"/>
    <w:rsid w:val="00E6339A"/>
    <w:rsid w:val="00E65BBE"/>
    <w:rsid w:val="00E65DE6"/>
    <w:rsid w:val="00E66450"/>
    <w:rsid w:val="00E66821"/>
    <w:rsid w:val="00E66E0D"/>
    <w:rsid w:val="00E672B6"/>
    <w:rsid w:val="00E67898"/>
    <w:rsid w:val="00E7091A"/>
    <w:rsid w:val="00E70B29"/>
    <w:rsid w:val="00E70CA3"/>
    <w:rsid w:val="00E713C0"/>
    <w:rsid w:val="00E716A5"/>
    <w:rsid w:val="00E71D0F"/>
    <w:rsid w:val="00E71F5B"/>
    <w:rsid w:val="00E7253F"/>
    <w:rsid w:val="00E7261F"/>
    <w:rsid w:val="00E72F12"/>
    <w:rsid w:val="00E7305D"/>
    <w:rsid w:val="00E73A4A"/>
    <w:rsid w:val="00E74CE4"/>
    <w:rsid w:val="00E75524"/>
    <w:rsid w:val="00E7661E"/>
    <w:rsid w:val="00E76865"/>
    <w:rsid w:val="00E768E8"/>
    <w:rsid w:val="00E772A7"/>
    <w:rsid w:val="00E77418"/>
    <w:rsid w:val="00E80210"/>
    <w:rsid w:val="00E80394"/>
    <w:rsid w:val="00E81E9A"/>
    <w:rsid w:val="00E82A6E"/>
    <w:rsid w:val="00E837E5"/>
    <w:rsid w:val="00E83B4C"/>
    <w:rsid w:val="00E83D81"/>
    <w:rsid w:val="00E83D89"/>
    <w:rsid w:val="00E83E4A"/>
    <w:rsid w:val="00E850B5"/>
    <w:rsid w:val="00E85A94"/>
    <w:rsid w:val="00E85AA5"/>
    <w:rsid w:val="00E85DBD"/>
    <w:rsid w:val="00E85E3A"/>
    <w:rsid w:val="00E85F51"/>
    <w:rsid w:val="00E87393"/>
    <w:rsid w:val="00E87899"/>
    <w:rsid w:val="00E87AF7"/>
    <w:rsid w:val="00E9035E"/>
    <w:rsid w:val="00E9060C"/>
    <w:rsid w:val="00E9109A"/>
    <w:rsid w:val="00E91B64"/>
    <w:rsid w:val="00E925AC"/>
    <w:rsid w:val="00E92A75"/>
    <w:rsid w:val="00E92B20"/>
    <w:rsid w:val="00E930EB"/>
    <w:rsid w:val="00E943C6"/>
    <w:rsid w:val="00E94AE0"/>
    <w:rsid w:val="00E954CF"/>
    <w:rsid w:val="00E955F4"/>
    <w:rsid w:val="00E959B3"/>
    <w:rsid w:val="00E95E95"/>
    <w:rsid w:val="00E96064"/>
    <w:rsid w:val="00E960EA"/>
    <w:rsid w:val="00E972EF"/>
    <w:rsid w:val="00E97CC4"/>
    <w:rsid w:val="00EA0055"/>
    <w:rsid w:val="00EA00AE"/>
    <w:rsid w:val="00EA02A8"/>
    <w:rsid w:val="00EA02BF"/>
    <w:rsid w:val="00EA057E"/>
    <w:rsid w:val="00EA09AE"/>
    <w:rsid w:val="00EA197E"/>
    <w:rsid w:val="00EA3F84"/>
    <w:rsid w:val="00EA49E5"/>
    <w:rsid w:val="00EA52E4"/>
    <w:rsid w:val="00EA54E3"/>
    <w:rsid w:val="00EA55FC"/>
    <w:rsid w:val="00EA5F83"/>
    <w:rsid w:val="00EA6B66"/>
    <w:rsid w:val="00EA6BFF"/>
    <w:rsid w:val="00EA6E1B"/>
    <w:rsid w:val="00EB02BC"/>
    <w:rsid w:val="00EB068A"/>
    <w:rsid w:val="00EB0C84"/>
    <w:rsid w:val="00EB33C2"/>
    <w:rsid w:val="00EB3496"/>
    <w:rsid w:val="00EB3F02"/>
    <w:rsid w:val="00EB411A"/>
    <w:rsid w:val="00EB4586"/>
    <w:rsid w:val="00EB525D"/>
    <w:rsid w:val="00EB53D4"/>
    <w:rsid w:val="00EB6E2C"/>
    <w:rsid w:val="00EC02AC"/>
    <w:rsid w:val="00EC02EE"/>
    <w:rsid w:val="00EC05B6"/>
    <w:rsid w:val="00EC10F2"/>
    <w:rsid w:val="00EC1303"/>
    <w:rsid w:val="00EC151D"/>
    <w:rsid w:val="00EC1533"/>
    <w:rsid w:val="00EC1A70"/>
    <w:rsid w:val="00EC2C60"/>
    <w:rsid w:val="00EC356E"/>
    <w:rsid w:val="00EC373B"/>
    <w:rsid w:val="00EC3B0D"/>
    <w:rsid w:val="00EC3D8F"/>
    <w:rsid w:val="00EC3DFB"/>
    <w:rsid w:val="00EC40B8"/>
    <w:rsid w:val="00EC70FC"/>
    <w:rsid w:val="00EC74E9"/>
    <w:rsid w:val="00ED0822"/>
    <w:rsid w:val="00ED09EB"/>
    <w:rsid w:val="00ED0DBC"/>
    <w:rsid w:val="00ED1156"/>
    <w:rsid w:val="00ED1C66"/>
    <w:rsid w:val="00ED21FD"/>
    <w:rsid w:val="00ED3CD2"/>
    <w:rsid w:val="00ED3FEC"/>
    <w:rsid w:val="00ED408D"/>
    <w:rsid w:val="00ED4C21"/>
    <w:rsid w:val="00ED4DCB"/>
    <w:rsid w:val="00ED5236"/>
    <w:rsid w:val="00ED65C9"/>
    <w:rsid w:val="00ED66DD"/>
    <w:rsid w:val="00ED68CB"/>
    <w:rsid w:val="00ED706F"/>
    <w:rsid w:val="00ED777B"/>
    <w:rsid w:val="00ED7A52"/>
    <w:rsid w:val="00ED7A8F"/>
    <w:rsid w:val="00EE078B"/>
    <w:rsid w:val="00EE0D13"/>
    <w:rsid w:val="00EE0E9F"/>
    <w:rsid w:val="00EE118F"/>
    <w:rsid w:val="00EE1723"/>
    <w:rsid w:val="00EE2526"/>
    <w:rsid w:val="00EE3F0F"/>
    <w:rsid w:val="00EE43E2"/>
    <w:rsid w:val="00EE46D4"/>
    <w:rsid w:val="00EE484A"/>
    <w:rsid w:val="00EE52DB"/>
    <w:rsid w:val="00EE5FC5"/>
    <w:rsid w:val="00EE62B6"/>
    <w:rsid w:val="00EE62E4"/>
    <w:rsid w:val="00EE6669"/>
    <w:rsid w:val="00EE69B8"/>
    <w:rsid w:val="00EE69D4"/>
    <w:rsid w:val="00EE723C"/>
    <w:rsid w:val="00EE7551"/>
    <w:rsid w:val="00EF03EB"/>
    <w:rsid w:val="00EF0A3C"/>
    <w:rsid w:val="00EF0B1F"/>
    <w:rsid w:val="00EF0B40"/>
    <w:rsid w:val="00EF0DC8"/>
    <w:rsid w:val="00EF1196"/>
    <w:rsid w:val="00EF2113"/>
    <w:rsid w:val="00EF2357"/>
    <w:rsid w:val="00EF2E87"/>
    <w:rsid w:val="00EF302A"/>
    <w:rsid w:val="00EF3A37"/>
    <w:rsid w:val="00EF3B77"/>
    <w:rsid w:val="00EF4C8A"/>
    <w:rsid w:val="00EF6C74"/>
    <w:rsid w:val="00EF71C4"/>
    <w:rsid w:val="00EF74AE"/>
    <w:rsid w:val="00F00160"/>
    <w:rsid w:val="00F0032B"/>
    <w:rsid w:val="00F0188A"/>
    <w:rsid w:val="00F01C98"/>
    <w:rsid w:val="00F01F77"/>
    <w:rsid w:val="00F02F9F"/>
    <w:rsid w:val="00F02FC0"/>
    <w:rsid w:val="00F03E5A"/>
    <w:rsid w:val="00F041DC"/>
    <w:rsid w:val="00F0490C"/>
    <w:rsid w:val="00F0646A"/>
    <w:rsid w:val="00F06BF2"/>
    <w:rsid w:val="00F06C0D"/>
    <w:rsid w:val="00F07C94"/>
    <w:rsid w:val="00F07FEC"/>
    <w:rsid w:val="00F108E7"/>
    <w:rsid w:val="00F10F12"/>
    <w:rsid w:val="00F11556"/>
    <w:rsid w:val="00F12E14"/>
    <w:rsid w:val="00F13361"/>
    <w:rsid w:val="00F13378"/>
    <w:rsid w:val="00F136D3"/>
    <w:rsid w:val="00F13EA7"/>
    <w:rsid w:val="00F14182"/>
    <w:rsid w:val="00F1449B"/>
    <w:rsid w:val="00F1523F"/>
    <w:rsid w:val="00F162F6"/>
    <w:rsid w:val="00F16313"/>
    <w:rsid w:val="00F16956"/>
    <w:rsid w:val="00F173B0"/>
    <w:rsid w:val="00F17507"/>
    <w:rsid w:val="00F17CD0"/>
    <w:rsid w:val="00F17CEE"/>
    <w:rsid w:val="00F200E7"/>
    <w:rsid w:val="00F20C73"/>
    <w:rsid w:val="00F21124"/>
    <w:rsid w:val="00F212FB"/>
    <w:rsid w:val="00F2177E"/>
    <w:rsid w:val="00F22176"/>
    <w:rsid w:val="00F225F5"/>
    <w:rsid w:val="00F22718"/>
    <w:rsid w:val="00F22B67"/>
    <w:rsid w:val="00F22FB0"/>
    <w:rsid w:val="00F24B8D"/>
    <w:rsid w:val="00F24E6A"/>
    <w:rsid w:val="00F251F1"/>
    <w:rsid w:val="00F2609F"/>
    <w:rsid w:val="00F26D82"/>
    <w:rsid w:val="00F27985"/>
    <w:rsid w:val="00F30095"/>
    <w:rsid w:val="00F3020B"/>
    <w:rsid w:val="00F304AE"/>
    <w:rsid w:val="00F30611"/>
    <w:rsid w:val="00F30B59"/>
    <w:rsid w:val="00F31535"/>
    <w:rsid w:val="00F31FFE"/>
    <w:rsid w:val="00F325F5"/>
    <w:rsid w:val="00F33398"/>
    <w:rsid w:val="00F34BB9"/>
    <w:rsid w:val="00F3533E"/>
    <w:rsid w:val="00F35F66"/>
    <w:rsid w:val="00F362DE"/>
    <w:rsid w:val="00F368A1"/>
    <w:rsid w:val="00F369E4"/>
    <w:rsid w:val="00F37066"/>
    <w:rsid w:val="00F37221"/>
    <w:rsid w:val="00F375B7"/>
    <w:rsid w:val="00F376C7"/>
    <w:rsid w:val="00F377B0"/>
    <w:rsid w:val="00F37A52"/>
    <w:rsid w:val="00F4050A"/>
    <w:rsid w:val="00F40683"/>
    <w:rsid w:val="00F40921"/>
    <w:rsid w:val="00F40C03"/>
    <w:rsid w:val="00F4170C"/>
    <w:rsid w:val="00F4195D"/>
    <w:rsid w:val="00F4213B"/>
    <w:rsid w:val="00F424E2"/>
    <w:rsid w:val="00F4307D"/>
    <w:rsid w:val="00F4317C"/>
    <w:rsid w:val="00F43451"/>
    <w:rsid w:val="00F43842"/>
    <w:rsid w:val="00F43EC4"/>
    <w:rsid w:val="00F43F1A"/>
    <w:rsid w:val="00F43F5B"/>
    <w:rsid w:val="00F44C4D"/>
    <w:rsid w:val="00F4554F"/>
    <w:rsid w:val="00F45860"/>
    <w:rsid w:val="00F45BE4"/>
    <w:rsid w:val="00F45F17"/>
    <w:rsid w:val="00F475BD"/>
    <w:rsid w:val="00F47EB6"/>
    <w:rsid w:val="00F5013B"/>
    <w:rsid w:val="00F50979"/>
    <w:rsid w:val="00F50B29"/>
    <w:rsid w:val="00F510A5"/>
    <w:rsid w:val="00F51943"/>
    <w:rsid w:val="00F51F37"/>
    <w:rsid w:val="00F5242F"/>
    <w:rsid w:val="00F5357F"/>
    <w:rsid w:val="00F53CD9"/>
    <w:rsid w:val="00F53F64"/>
    <w:rsid w:val="00F54FBF"/>
    <w:rsid w:val="00F55B91"/>
    <w:rsid w:val="00F568F4"/>
    <w:rsid w:val="00F6053E"/>
    <w:rsid w:val="00F60755"/>
    <w:rsid w:val="00F60B4E"/>
    <w:rsid w:val="00F60C29"/>
    <w:rsid w:val="00F60F1B"/>
    <w:rsid w:val="00F613E0"/>
    <w:rsid w:val="00F61AF3"/>
    <w:rsid w:val="00F61E80"/>
    <w:rsid w:val="00F627A5"/>
    <w:rsid w:val="00F64604"/>
    <w:rsid w:val="00F65425"/>
    <w:rsid w:val="00F65515"/>
    <w:rsid w:val="00F65998"/>
    <w:rsid w:val="00F65F8B"/>
    <w:rsid w:val="00F6644A"/>
    <w:rsid w:val="00F67692"/>
    <w:rsid w:val="00F67803"/>
    <w:rsid w:val="00F67DEB"/>
    <w:rsid w:val="00F70111"/>
    <w:rsid w:val="00F71296"/>
    <w:rsid w:val="00F71C2F"/>
    <w:rsid w:val="00F71FD5"/>
    <w:rsid w:val="00F72ABC"/>
    <w:rsid w:val="00F73F51"/>
    <w:rsid w:val="00F755EC"/>
    <w:rsid w:val="00F7566A"/>
    <w:rsid w:val="00F757CA"/>
    <w:rsid w:val="00F75A01"/>
    <w:rsid w:val="00F75C62"/>
    <w:rsid w:val="00F75E2C"/>
    <w:rsid w:val="00F76A74"/>
    <w:rsid w:val="00F76A83"/>
    <w:rsid w:val="00F77776"/>
    <w:rsid w:val="00F80490"/>
    <w:rsid w:val="00F80501"/>
    <w:rsid w:val="00F80C3F"/>
    <w:rsid w:val="00F81101"/>
    <w:rsid w:val="00F8139A"/>
    <w:rsid w:val="00F81A79"/>
    <w:rsid w:val="00F82CFC"/>
    <w:rsid w:val="00F82EBB"/>
    <w:rsid w:val="00F82EC8"/>
    <w:rsid w:val="00F839B0"/>
    <w:rsid w:val="00F83D5E"/>
    <w:rsid w:val="00F84542"/>
    <w:rsid w:val="00F8460C"/>
    <w:rsid w:val="00F84962"/>
    <w:rsid w:val="00F84F40"/>
    <w:rsid w:val="00F856B3"/>
    <w:rsid w:val="00F86632"/>
    <w:rsid w:val="00F86840"/>
    <w:rsid w:val="00F8704E"/>
    <w:rsid w:val="00F87756"/>
    <w:rsid w:val="00F877DB"/>
    <w:rsid w:val="00F87A57"/>
    <w:rsid w:val="00F87F4C"/>
    <w:rsid w:val="00F87F85"/>
    <w:rsid w:val="00F9090E"/>
    <w:rsid w:val="00F91474"/>
    <w:rsid w:val="00F91F30"/>
    <w:rsid w:val="00F928A7"/>
    <w:rsid w:val="00F931AC"/>
    <w:rsid w:val="00F93664"/>
    <w:rsid w:val="00F9397F"/>
    <w:rsid w:val="00F93B4F"/>
    <w:rsid w:val="00F93E03"/>
    <w:rsid w:val="00F94CC7"/>
    <w:rsid w:val="00F9542E"/>
    <w:rsid w:val="00F9588F"/>
    <w:rsid w:val="00F96195"/>
    <w:rsid w:val="00F967B8"/>
    <w:rsid w:val="00F96D0F"/>
    <w:rsid w:val="00F9728C"/>
    <w:rsid w:val="00F978B8"/>
    <w:rsid w:val="00F97E98"/>
    <w:rsid w:val="00F97F5F"/>
    <w:rsid w:val="00FA022C"/>
    <w:rsid w:val="00FA045C"/>
    <w:rsid w:val="00FA0F5E"/>
    <w:rsid w:val="00FA189A"/>
    <w:rsid w:val="00FA19EA"/>
    <w:rsid w:val="00FA22B0"/>
    <w:rsid w:val="00FA2680"/>
    <w:rsid w:val="00FA2C5F"/>
    <w:rsid w:val="00FA2F84"/>
    <w:rsid w:val="00FA33EE"/>
    <w:rsid w:val="00FA5D25"/>
    <w:rsid w:val="00FA5F93"/>
    <w:rsid w:val="00FA6017"/>
    <w:rsid w:val="00FA6C10"/>
    <w:rsid w:val="00FA73C0"/>
    <w:rsid w:val="00FA76E5"/>
    <w:rsid w:val="00FA79E5"/>
    <w:rsid w:val="00FA7C07"/>
    <w:rsid w:val="00FB0056"/>
    <w:rsid w:val="00FB05FD"/>
    <w:rsid w:val="00FB099E"/>
    <w:rsid w:val="00FB0A77"/>
    <w:rsid w:val="00FB1AAD"/>
    <w:rsid w:val="00FB1D2F"/>
    <w:rsid w:val="00FB20B9"/>
    <w:rsid w:val="00FB3204"/>
    <w:rsid w:val="00FB3353"/>
    <w:rsid w:val="00FB3921"/>
    <w:rsid w:val="00FB3A58"/>
    <w:rsid w:val="00FB3CD1"/>
    <w:rsid w:val="00FB3E2C"/>
    <w:rsid w:val="00FB41FF"/>
    <w:rsid w:val="00FB4906"/>
    <w:rsid w:val="00FB49D6"/>
    <w:rsid w:val="00FB4D75"/>
    <w:rsid w:val="00FB4D86"/>
    <w:rsid w:val="00FB550D"/>
    <w:rsid w:val="00FB5763"/>
    <w:rsid w:val="00FB5A0D"/>
    <w:rsid w:val="00FB5E5F"/>
    <w:rsid w:val="00FB65B8"/>
    <w:rsid w:val="00FC0333"/>
    <w:rsid w:val="00FC0D5A"/>
    <w:rsid w:val="00FC0FB6"/>
    <w:rsid w:val="00FC1494"/>
    <w:rsid w:val="00FC2336"/>
    <w:rsid w:val="00FC2740"/>
    <w:rsid w:val="00FC2A3E"/>
    <w:rsid w:val="00FC30C7"/>
    <w:rsid w:val="00FC3471"/>
    <w:rsid w:val="00FC37D5"/>
    <w:rsid w:val="00FC49CF"/>
    <w:rsid w:val="00FC52E9"/>
    <w:rsid w:val="00FC59CD"/>
    <w:rsid w:val="00FC59F3"/>
    <w:rsid w:val="00FC7065"/>
    <w:rsid w:val="00FC7371"/>
    <w:rsid w:val="00FC7603"/>
    <w:rsid w:val="00FC78E4"/>
    <w:rsid w:val="00FC7D60"/>
    <w:rsid w:val="00FD121F"/>
    <w:rsid w:val="00FD255C"/>
    <w:rsid w:val="00FD2F0D"/>
    <w:rsid w:val="00FD32AA"/>
    <w:rsid w:val="00FD35CE"/>
    <w:rsid w:val="00FD392C"/>
    <w:rsid w:val="00FD3963"/>
    <w:rsid w:val="00FD3EC3"/>
    <w:rsid w:val="00FD53CE"/>
    <w:rsid w:val="00FD5CED"/>
    <w:rsid w:val="00FD659B"/>
    <w:rsid w:val="00FD784C"/>
    <w:rsid w:val="00FD7BDE"/>
    <w:rsid w:val="00FD7D3A"/>
    <w:rsid w:val="00FD7D82"/>
    <w:rsid w:val="00FE0180"/>
    <w:rsid w:val="00FE0384"/>
    <w:rsid w:val="00FE1BCE"/>
    <w:rsid w:val="00FE1F39"/>
    <w:rsid w:val="00FE2335"/>
    <w:rsid w:val="00FE29C3"/>
    <w:rsid w:val="00FE3869"/>
    <w:rsid w:val="00FE38AC"/>
    <w:rsid w:val="00FE48A3"/>
    <w:rsid w:val="00FE4D42"/>
    <w:rsid w:val="00FE4F22"/>
    <w:rsid w:val="00FE66CC"/>
    <w:rsid w:val="00FE67AE"/>
    <w:rsid w:val="00FE6B55"/>
    <w:rsid w:val="00FE6CD0"/>
    <w:rsid w:val="00FE73E6"/>
    <w:rsid w:val="00FE7B73"/>
    <w:rsid w:val="00FF0078"/>
    <w:rsid w:val="00FF0667"/>
    <w:rsid w:val="00FF1052"/>
    <w:rsid w:val="00FF1143"/>
    <w:rsid w:val="00FF12E5"/>
    <w:rsid w:val="00FF1832"/>
    <w:rsid w:val="00FF1BB9"/>
    <w:rsid w:val="00FF22A2"/>
    <w:rsid w:val="00FF2558"/>
    <w:rsid w:val="00FF329C"/>
    <w:rsid w:val="00FF58A0"/>
    <w:rsid w:val="00FF59E7"/>
    <w:rsid w:val="00FF6343"/>
    <w:rsid w:val="00FF6D43"/>
    <w:rsid w:val="00FF7B7E"/>
    <w:rsid w:val="016B1F3C"/>
    <w:rsid w:val="053B2727"/>
    <w:rsid w:val="087A7296"/>
    <w:rsid w:val="0977874F"/>
    <w:rsid w:val="097BE5DB"/>
    <w:rsid w:val="0B7435BA"/>
    <w:rsid w:val="0B91404E"/>
    <w:rsid w:val="0BC164FE"/>
    <w:rsid w:val="0C401099"/>
    <w:rsid w:val="0CB5D4E3"/>
    <w:rsid w:val="0DAE3DC2"/>
    <w:rsid w:val="0EECFFB7"/>
    <w:rsid w:val="10D4478E"/>
    <w:rsid w:val="12AC1C10"/>
    <w:rsid w:val="139BBABB"/>
    <w:rsid w:val="15BA888E"/>
    <w:rsid w:val="164BFE50"/>
    <w:rsid w:val="170A7194"/>
    <w:rsid w:val="1789E236"/>
    <w:rsid w:val="189040C6"/>
    <w:rsid w:val="1CFE4C16"/>
    <w:rsid w:val="1F662B80"/>
    <w:rsid w:val="1FCF0BEC"/>
    <w:rsid w:val="21CBBEC1"/>
    <w:rsid w:val="24430BEA"/>
    <w:rsid w:val="24854692"/>
    <w:rsid w:val="25D5A486"/>
    <w:rsid w:val="26A8E90E"/>
    <w:rsid w:val="29998517"/>
    <w:rsid w:val="29B74000"/>
    <w:rsid w:val="2B600109"/>
    <w:rsid w:val="2C55BC3A"/>
    <w:rsid w:val="2D0E9445"/>
    <w:rsid w:val="2DA0F64C"/>
    <w:rsid w:val="2E5507C1"/>
    <w:rsid w:val="2EE6B3CE"/>
    <w:rsid w:val="31C6F39B"/>
    <w:rsid w:val="3298F0C8"/>
    <w:rsid w:val="33CA602F"/>
    <w:rsid w:val="35FDE8D5"/>
    <w:rsid w:val="367CB8BD"/>
    <w:rsid w:val="36A8D9D3"/>
    <w:rsid w:val="3726E350"/>
    <w:rsid w:val="3935306D"/>
    <w:rsid w:val="39C0949D"/>
    <w:rsid w:val="3A300752"/>
    <w:rsid w:val="3ADBF83D"/>
    <w:rsid w:val="3B4684D2"/>
    <w:rsid w:val="3BF21D3D"/>
    <w:rsid w:val="3C9F5BD9"/>
    <w:rsid w:val="3D342D79"/>
    <w:rsid w:val="421A8335"/>
    <w:rsid w:val="4518E56B"/>
    <w:rsid w:val="45CB08D4"/>
    <w:rsid w:val="464A7976"/>
    <w:rsid w:val="47177C5E"/>
    <w:rsid w:val="47269E78"/>
    <w:rsid w:val="47CA5556"/>
    <w:rsid w:val="4927BA8D"/>
    <w:rsid w:val="4AE515F4"/>
    <w:rsid w:val="4B0485CE"/>
    <w:rsid w:val="4DF3A3CC"/>
    <w:rsid w:val="4F724056"/>
    <w:rsid w:val="5018FDA2"/>
    <w:rsid w:val="505B9578"/>
    <w:rsid w:val="5299E49C"/>
    <w:rsid w:val="52F8F474"/>
    <w:rsid w:val="5344ED3E"/>
    <w:rsid w:val="53B95A1A"/>
    <w:rsid w:val="58DD192A"/>
    <w:rsid w:val="5D1824BE"/>
    <w:rsid w:val="5E0865D5"/>
    <w:rsid w:val="5E190934"/>
    <w:rsid w:val="5F89DB28"/>
    <w:rsid w:val="6162D856"/>
    <w:rsid w:val="637855DB"/>
    <w:rsid w:val="6503C046"/>
    <w:rsid w:val="66399764"/>
    <w:rsid w:val="674347F7"/>
    <w:rsid w:val="6875B7DD"/>
    <w:rsid w:val="6A2EB609"/>
    <w:rsid w:val="6CEEAE6E"/>
    <w:rsid w:val="6F26EC00"/>
    <w:rsid w:val="6F5A0608"/>
    <w:rsid w:val="70DB1A75"/>
    <w:rsid w:val="71DE84A8"/>
    <w:rsid w:val="72633D2D"/>
    <w:rsid w:val="72876D21"/>
    <w:rsid w:val="72DA66F7"/>
    <w:rsid w:val="731C688E"/>
    <w:rsid w:val="73BC5264"/>
    <w:rsid w:val="73DA09A4"/>
    <w:rsid w:val="75BCB7B0"/>
    <w:rsid w:val="7651FB86"/>
    <w:rsid w:val="7A956D39"/>
    <w:rsid w:val="7AA76322"/>
    <w:rsid w:val="7C79C159"/>
    <w:rsid w:val="7CB43B0C"/>
    <w:rsid w:val="7D8C61F3"/>
    <w:rsid w:val="7FCFDB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7038A3"/>
  <w15:chartTrackingRefBased/>
  <w15:docId w15:val="{E378C335-EB00-4EE7-BE0A-75CA701A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7D"/>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link w:val="HeadingBaseChar"/>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3"/>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3"/>
      </w:numPr>
      <w:tabs>
        <w:tab w:val="num" w:pos="284"/>
        <w:tab w:val="left" w:pos="567"/>
      </w:tabs>
      <w:ind w:left="284"/>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3"/>
      </w:numPr>
      <w:tabs>
        <w:tab w:val="clear" w:pos="850"/>
        <w:tab w:val="num" w:pos="284"/>
        <w:tab w:val="num" w:pos="360"/>
        <w:tab w:val="left" w:pos="851"/>
      </w:tabs>
      <w:ind w:left="284" w:hanging="284"/>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customStyle="1" w:styleId="Default">
    <w:name w:val="Default"/>
    <w:rsid w:val="003C48F3"/>
    <w:pPr>
      <w:autoSpaceDE w:val="0"/>
      <w:autoSpaceDN w:val="0"/>
      <w:adjustRightInd w:val="0"/>
      <w:spacing w:after="0" w:line="240" w:lineRule="auto"/>
    </w:pPr>
    <w:rPr>
      <w:rFonts w:ascii="Book Antiqua" w:eastAsia="Calibri" w:hAnsi="Book Antiqua" w:cs="Book Antiqua"/>
      <w:color w:val="000000"/>
      <w:sz w:val="24"/>
      <w:szCs w:val="24"/>
      <w:lang w:eastAsia="en-AU"/>
    </w:rPr>
  </w:style>
  <w:style w:type="paragraph" w:styleId="Revision">
    <w:name w:val="Revision"/>
    <w:hidden/>
    <w:uiPriority w:val="99"/>
    <w:semiHidden/>
    <w:rsid w:val="003C48F3"/>
    <w:pPr>
      <w:spacing w:after="0" w:line="240" w:lineRule="auto"/>
    </w:pPr>
    <w:rPr>
      <w:rFonts w:ascii="Book Antiqua" w:eastAsia="Times New Roman" w:hAnsi="Book Antiqua" w:cs="Times New Roman"/>
      <w:sz w:val="20"/>
      <w:szCs w:val="20"/>
      <w:lang w:eastAsia="en-AU"/>
    </w:rPr>
  </w:style>
  <w:style w:type="paragraph" w:customStyle="1" w:styleId="chatandtablefootnotealphasmall">
    <w:name w:val="chat and table footnote alpha small"/>
    <w:basedOn w:val="ChartandTableFootnoteAlpha"/>
    <w:qFormat/>
    <w:rsid w:val="003C48F3"/>
    <w:pPr>
      <w:numPr>
        <w:numId w:val="0"/>
      </w:numPr>
      <w:tabs>
        <w:tab w:val="num" w:pos="472"/>
      </w:tabs>
      <w:ind w:left="472" w:hanging="472"/>
    </w:pPr>
    <w:rPr>
      <w:sz w:val="15"/>
    </w:rPr>
  </w:style>
  <w:style w:type="paragraph" w:styleId="NormalWeb">
    <w:name w:val="Normal (Web)"/>
    <w:basedOn w:val="Normal"/>
    <w:uiPriority w:val="99"/>
    <w:semiHidden/>
    <w:unhideWhenUsed/>
    <w:rsid w:val="003C48F3"/>
    <w:rPr>
      <w:rFonts w:ascii="Times New Roman" w:hAnsi="Times New Roman"/>
      <w:sz w:val="24"/>
      <w:szCs w:val="24"/>
    </w:rPr>
  </w:style>
  <w:style w:type="paragraph" w:customStyle="1" w:styleId="ListParagraph1">
    <w:name w:val="List Paragraph1"/>
    <w:basedOn w:val="Normal"/>
    <w:next w:val="ListParagraph"/>
    <w:uiPriority w:val="34"/>
    <w:qFormat/>
    <w:rsid w:val="003C48F3"/>
    <w:pPr>
      <w:spacing w:after="0" w:line="240" w:lineRule="auto"/>
      <w:ind w:left="720"/>
      <w:jc w:val="left"/>
    </w:pPr>
    <w:rPr>
      <w:rFonts w:ascii="Calibri" w:eastAsia="Calibri" w:hAnsi="Calibri" w:cs="Calibri"/>
      <w:sz w:val="22"/>
      <w:szCs w:val="22"/>
      <w:lang w:eastAsia="en-US"/>
    </w:rPr>
  </w:style>
  <w:style w:type="character" w:customStyle="1" w:styleId="UnresolvedMention1">
    <w:name w:val="Unresolved Mention1"/>
    <w:basedOn w:val="DefaultParagraphFont"/>
    <w:uiPriority w:val="99"/>
    <w:semiHidden/>
    <w:unhideWhenUsed/>
    <w:rsid w:val="003C48F3"/>
    <w:rPr>
      <w:color w:val="605E5C"/>
      <w:shd w:val="clear" w:color="auto" w:fill="E1DFDD"/>
    </w:rPr>
  </w:style>
  <w:style w:type="paragraph" w:customStyle="1" w:styleId="OutlineNumbered1">
    <w:name w:val="Outline Numbered 1"/>
    <w:basedOn w:val="Normal"/>
    <w:link w:val="OutlineNumbered1Char"/>
    <w:rsid w:val="003C48F3"/>
    <w:pPr>
      <w:numPr>
        <w:numId w:val="5"/>
      </w:numPr>
    </w:pPr>
    <w:rPr>
      <w:color w:val="000000"/>
    </w:rPr>
  </w:style>
  <w:style w:type="character" w:customStyle="1" w:styleId="HeadingBaseChar">
    <w:name w:val="Heading Base Char"/>
    <w:basedOn w:val="DefaultParagraphFont"/>
    <w:link w:val="HeadingBase"/>
    <w:rsid w:val="003C48F3"/>
    <w:rPr>
      <w:rFonts w:ascii="Arial" w:eastAsia="Times New Roman" w:hAnsi="Arial" w:cs="Times New Roman"/>
      <w:sz w:val="24"/>
      <w:szCs w:val="20"/>
      <w:lang w:eastAsia="en-AU"/>
    </w:rPr>
  </w:style>
  <w:style w:type="character" w:customStyle="1" w:styleId="ChartandTableFootnoteAlphaChar">
    <w:name w:val="Chart and Table Footnote Alpha Char"/>
    <w:basedOn w:val="HeadingBaseChar"/>
    <w:link w:val="ChartandTableFootnoteAlpha"/>
    <w:rsid w:val="003C48F3"/>
    <w:rPr>
      <w:rFonts w:ascii="Arial" w:eastAsia="Times New Roman" w:hAnsi="Arial" w:cs="Times New Roman"/>
      <w:color w:val="000000"/>
      <w:sz w:val="16"/>
      <w:szCs w:val="20"/>
      <w:lang w:eastAsia="en-AU"/>
    </w:rPr>
  </w:style>
  <w:style w:type="character" w:customStyle="1" w:styleId="OutlineNumbered1Char">
    <w:name w:val="Outline Numbered 1 Char"/>
    <w:basedOn w:val="ChartandTableFootnoteAlphaChar"/>
    <w:link w:val="OutlineNumbered1"/>
    <w:rsid w:val="003C48F3"/>
    <w:rPr>
      <w:rFonts w:ascii="Book Antiqua" w:eastAsia="Times New Roman" w:hAnsi="Book Antiqua" w:cs="Times New Roman"/>
      <w:color w:val="000000"/>
      <w:sz w:val="20"/>
      <w:szCs w:val="20"/>
      <w:lang w:eastAsia="en-AU"/>
    </w:rPr>
  </w:style>
  <w:style w:type="paragraph" w:customStyle="1" w:styleId="OutlineNumbered2">
    <w:name w:val="Outline Numbered 2"/>
    <w:basedOn w:val="Normal"/>
    <w:link w:val="OutlineNumbered2Char"/>
    <w:rsid w:val="003C48F3"/>
    <w:pPr>
      <w:numPr>
        <w:ilvl w:val="1"/>
        <w:numId w:val="5"/>
      </w:numPr>
    </w:pPr>
    <w:rPr>
      <w:color w:val="000000"/>
    </w:rPr>
  </w:style>
  <w:style w:type="character" w:customStyle="1" w:styleId="OutlineNumbered2Char">
    <w:name w:val="Outline Numbered 2 Char"/>
    <w:basedOn w:val="ChartandTableFootnoteAlphaChar"/>
    <w:link w:val="OutlineNumbered2"/>
    <w:rsid w:val="003C48F3"/>
    <w:rPr>
      <w:rFonts w:ascii="Book Antiqua" w:eastAsia="Times New Roman" w:hAnsi="Book Antiqua" w:cs="Times New Roman"/>
      <w:color w:val="000000"/>
      <w:sz w:val="20"/>
      <w:szCs w:val="20"/>
      <w:lang w:eastAsia="en-AU"/>
    </w:rPr>
  </w:style>
  <w:style w:type="paragraph" w:customStyle="1" w:styleId="OutlineNumbered3">
    <w:name w:val="Outline Numbered 3"/>
    <w:basedOn w:val="Normal"/>
    <w:link w:val="OutlineNumbered3Char"/>
    <w:rsid w:val="003C48F3"/>
    <w:pPr>
      <w:numPr>
        <w:ilvl w:val="2"/>
        <w:numId w:val="5"/>
      </w:numPr>
    </w:pPr>
    <w:rPr>
      <w:color w:val="000000"/>
    </w:rPr>
  </w:style>
  <w:style w:type="character" w:customStyle="1" w:styleId="OutlineNumbered3Char">
    <w:name w:val="Outline Numbered 3 Char"/>
    <w:basedOn w:val="ChartandTableFootnoteAlphaChar"/>
    <w:link w:val="OutlineNumbered3"/>
    <w:rsid w:val="003C48F3"/>
    <w:rPr>
      <w:rFonts w:ascii="Book Antiqua" w:eastAsia="Times New Roman" w:hAnsi="Book Antiqua" w:cs="Times New Roman"/>
      <w:color w:val="000000"/>
      <w:sz w:val="20"/>
      <w:szCs w:val="20"/>
      <w:lang w:eastAsia="en-AU"/>
    </w:rPr>
  </w:style>
  <w:style w:type="paragraph" w:styleId="ListParagraph">
    <w:name w:val="List Paragraph"/>
    <w:basedOn w:val="Normal"/>
    <w:uiPriority w:val="34"/>
    <w:qFormat/>
    <w:rsid w:val="003C48F3"/>
    <w:pPr>
      <w:ind w:left="720"/>
      <w:contextualSpacing/>
    </w:pPr>
  </w:style>
  <w:style w:type="character" w:styleId="UnresolvedMention">
    <w:name w:val="Unresolved Mention"/>
    <w:basedOn w:val="DefaultParagraphFont"/>
    <w:uiPriority w:val="99"/>
    <w:unhideWhenUsed/>
    <w:rsid w:val="00DF3328"/>
    <w:rPr>
      <w:color w:val="605E5C"/>
      <w:shd w:val="clear" w:color="auto" w:fill="E1DFDD"/>
    </w:rPr>
  </w:style>
  <w:style w:type="character" w:styleId="Mention">
    <w:name w:val="Mention"/>
    <w:basedOn w:val="DefaultParagraphFont"/>
    <w:uiPriority w:val="99"/>
    <w:unhideWhenUsed/>
    <w:rsid w:val="00DF3328"/>
    <w:rPr>
      <w:color w:val="2B579A"/>
      <w:shd w:val="clear" w:color="auto" w:fill="E1DFDD"/>
    </w:rPr>
  </w:style>
  <w:style w:type="character" w:styleId="FollowedHyperlink">
    <w:name w:val="FollowedHyperlink"/>
    <w:basedOn w:val="DefaultParagraphFont"/>
    <w:uiPriority w:val="99"/>
    <w:semiHidden/>
    <w:unhideWhenUsed/>
    <w:rsid w:val="00821F28"/>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045">
      <w:bodyDiv w:val="1"/>
      <w:marLeft w:val="0"/>
      <w:marRight w:val="0"/>
      <w:marTop w:val="0"/>
      <w:marBottom w:val="0"/>
      <w:divBdr>
        <w:top w:val="none" w:sz="0" w:space="0" w:color="auto"/>
        <w:left w:val="none" w:sz="0" w:space="0" w:color="auto"/>
        <w:bottom w:val="none" w:sz="0" w:space="0" w:color="auto"/>
        <w:right w:val="none" w:sz="0" w:space="0" w:color="auto"/>
      </w:divBdr>
    </w:div>
    <w:div w:id="55326278">
      <w:bodyDiv w:val="1"/>
      <w:marLeft w:val="0"/>
      <w:marRight w:val="0"/>
      <w:marTop w:val="0"/>
      <w:marBottom w:val="0"/>
      <w:divBdr>
        <w:top w:val="none" w:sz="0" w:space="0" w:color="auto"/>
        <w:left w:val="none" w:sz="0" w:space="0" w:color="auto"/>
        <w:bottom w:val="none" w:sz="0" w:space="0" w:color="auto"/>
        <w:right w:val="none" w:sz="0" w:space="0" w:color="auto"/>
      </w:divBdr>
    </w:div>
    <w:div w:id="107890433">
      <w:bodyDiv w:val="1"/>
      <w:marLeft w:val="0"/>
      <w:marRight w:val="0"/>
      <w:marTop w:val="0"/>
      <w:marBottom w:val="0"/>
      <w:divBdr>
        <w:top w:val="none" w:sz="0" w:space="0" w:color="auto"/>
        <w:left w:val="none" w:sz="0" w:space="0" w:color="auto"/>
        <w:bottom w:val="none" w:sz="0" w:space="0" w:color="auto"/>
        <w:right w:val="none" w:sz="0" w:space="0" w:color="auto"/>
      </w:divBdr>
    </w:div>
    <w:div w:id="108135613">
      <w:bodyDiv w:val="1"/>
      <w:marLeft w:val="0"/>
      <w:marRight w:val="0"/>
      <w:marTop w:val="0"/>
      <w:marBottom w:val="0"/>
      <w:divBdr>
        <w:top w:val="none" w:sz="0" w:space="0" w:color="auto"/>
        <w:left w:val="none" w:sz="0" w:space="0" w:color="auto"/>
        <w:bottom w:val="none" w:sz="0" w:space="0" w:color="auto"/>
        <w:right w:val="none" w:sz="0" w:space="0" w:color="auto"/>
      </w:divBdr>
    </w:div>
    <w:div w:id="144129989">
      <w:bodyDiv w:val="1"/>
      <w:marLeft w:val="0"/>
      <w:marRight w:val="0"/>
      <w:marTop w:val="0"/>
      <w:marBottom w:val="0"/>
      <w:divBdr>
        <w:top w:val="none" w:sz="0" w:space="0" w:color="auto"/>
        <w:left w:val="none" w:sz="0" w:space="0" w:color="auto"/>
        <w:bottom w:val="none" w:sz="0" w:space="0" w:color="auto"/>
        <w:right w:val="none" w:sz="0" w:space="0" w:color="auto"/>
      </w:divBdr>
    </w:div>
    <w:div w:id="158814324">
      <w:bodyDiv w:val="1"/>
      <w:marLeft w:val="0"/>
      <w:marRight w:val="0"/>
      <w:marTop w:val="0"/>
      <w:marBottom w:val="0"/>
      <w:divBdr>
        <w:top w:val="none" w:sz="0" w:space="0" w:color="auto"/>
        <w:left w:val="none" w:sz="0" w:space="0" w:color="auto"/>
        <w:bottom w:val="none" w:sz="0" w:space="0" w:color="auto"/>
        <w:right w:val="none" w:sz="0" w:space="0" w:color="auto"/>
      </w:divBdr>
    </w:div>
    <w:div w:id="160850758">
      <w:bodyDiv w:val="1"/>
      <w:marLeft w:val="0"/>
      <w:marRight w:val="0"/>
      <w:marTop w:val="0"/>
      <w:marBottom w:val="0"/>
      <w:divBdr>
        <w:top w:val="none" w:sz="0" w:space="0" w:color="auto"/>
        <w:left w:val="none" w:sz="0" w:space="0" w:color="auto"/>
        <w:bottom w:val="none" w:sz="0" w:space="0" w:color="auto"/>
        <w:right w:val="none" w:sz="0" w:space="0" w:color="auto"/>
      </w:divBdr>
    </w:div>
    <w:div w:id="163252906">
      <w:bodyDiv w:val="1"/>
      <w:marLeft w:val="0"/>
      <w:marRight w:val="0"/>
      <w:marTop w:val="0"/>
      <w:marBottom w:val="0"/>
      <w:divBdr>
        <w:top w:val="none" w:sz="0" w:space="0" w:color="auto"/>
        <w:left w:val="none" w:sz="0" w:space="0" w:color="auto"/>
        <w:bottom w:val="none" w:sz="0" w:space="0" w:color="auto"/>
        <w:right w:val="none" w:sz="0" w:space="0" w:color="auto"/>
      </w:divBdr>
    </w:div>
    <w:div w:id="169758886">
      <w:bodyDiv w:val="1"/>
      <w:marLeft w:val="0"/>
      <w:marRight w:val="0"/>
      <w:marTop w:val="0"/>
      <w:marBottom w:val="0"/>
      <w:divBdr>
        <w:top w:val="none" w:sz="0" w:space="0" w:color="auto"/>
        <w:left w:val="none" w:sz="0" w:space="0" w:color="auto"/>
        <w:bottom w:val="none" w:sz="0" w:space="0" w:color="auto"/>
        <w:right w:val="none" w:sz="0" w:space="0" w:color="auto"/>
      </w:divBdr>
    </w:div>
    <w:div w:id="174001011">
      <w:bodyDiv w:val="1"/>
      <w:marLeft w:val="0"/>
      <w:marRight w:val="0"/>
      <w:marTop w:val="0"/>
      <w:marBottom w:val="0"/>
      <w:divBdr>
        <w:top w:val="none" w:sz="0" w:space="0" w:color="auto"/>
        <w:left w:val="none" w:sz="0" w:space="0" w:color="auto"/>
        <w:bottom w:val="none" w:sz="0" w:space="0" w:color="auto"/>
        <w:right w:val="none" w:sz="0" w:space="0" w:color="auto"/>
      </w:divBdr>
    </w:div>
    <w:div w:id="189686592">
      <w:bodyDiv w:val="1"/>
      <w:marLeft w:val="0"/>
      <w:marRight w:val="0"/>
      <w:marTop w:val="0"/>
      <w:marBottom w:val="0"/>
      <w:divBdr>
        <w:top w:val="none" w:sz="0" w:space="0" w:color="auto"/>
        <w:left w:val="none" w:sz="0" w:space="0" w:color="auto"/>
        <w:bottom w:val="none" w:sz="0" w:space="0" w:color="auto"/>
        <w:right w:val="none" w:sz="0" w:space="0" w:color="auto"/>
      </w:divBdr>
    </w:div>
    <w:div w:id="202063040">
      <w:bodyDiv w:val="1"/>
      <w:marLeft w:val="0"/>
      <w:marRight w:val="0"/>
      <w:marTop w:val="0"/>
      <w:marBottom w:val="0"/>
      <w:divBdr>
        <w:top w:val="none" w:sz="0" w:space="0" w:color="auto"/>
        <w:left w:val="none" w:sz="0" w:space="0" w:color="auto"/>
        <w:bottom w:val="none" w:sz="0" w:space="0" w:color="auto"/>
        <w:right w:val="none" w:sz="0" w:space="0" w:color="auto"/>
      </w:divBdr>
    </w:div>
    <w:div w:id="202795381">
      <w:bodyDiv w:val="1"/>
      <w:marLeft w:val="0"/>
      <w:marRight w:val="0"/>
      <w:marTop w:val="0"/>
      <w:marBottom w:val="0"/>
      <w:divBdr>
        <w:top w:val="none" w:sz="0" w:space="0" w:color="auto"/>
        <w:left w:val="none" w:sz="0" w:space="0" w:color="auto"/>
        <w:bottom w:val="none" w:sz="0" w:space="0" w:color="auto"/>
        <w:right w:val="none" w:sz="0" w:space="0" w:color="auto"/>
      </w:divBdr>
    </w:div>
    <w:div w:id="226917542">
      <w:bodyDiv w:val="1"/>
      <w:marLeft w:val="0"/>
      <w:marRight w:val="0"/>
      <w:marTop w:val="0"/>
      <w:marBottom w:val="0"/>
      <w:divBdr>
        <w:top w:val="none" w:sz="0" w:space="0" w:color="auto"/>
        <w:left w:val="none" w:sz="0" w:space="0" w:color="auto"/>
        <w:bottom w:val="none" w:sz="0" w:space="0" w:color="auto"/>
        <w:right w:val="none" w:sz="0" w:space="0" w:color="auto"/>
      </w:divBdr>
    </w:div>
    <w:div w:id="235942954">
      <w:bodyDiv w:val="1"/>
      <w:marLeft w:val="0"/>
      <w:marRight w:val="0"/>
      <w:marTop w:val="0"/>
      <w:marBottom w:val="0"/>
      <w:divBdr>
        <w:top w:val="none" w:sz="0" w:space="0" w:color="auto"/>
        <w:left w:val="none" w:sz="0" w:space="0" w:color="auto"/>
        <w:bottom w:val="none" w:sz="0" w:space="0" w:color="auto"/>
        <w:right w:val="none" w:sz="0" w:space="0" w:color="auto"/>
      </w:divBdr>
    </w:div>
    <w:div w:id="260646996">
      <w:bodyDiv w:val="1"/>
      <w:marLeft w:val="0"/>
      <w:marRight w:val="0"/>
      <w:marTop w:val="0"/>
      <w:marBottom w:val="0"/>
      <w:divBdr>
        <w:top w:val="none" w:sz="0" w:space="0" w:color="auto"/>
        <w:left w:val="none" w:sz="0" w:space="0" w:color="auto"/>
        <w:bottom w:val="none" w:sz="0" w:space="0" w:color="auto"/>
        <w:right w:val="none" w:sz="0" w:space="0" w:color="auto"/>
      </w:divBdr>
    </w:div>
    <w:div w:id="262156051">
      <w:bodyDiv w:val="1"/>
      <w:marLeft w:val="0"/>
      <w:marRight w:val="0"/>
      <w:marTop w:val="0"/>
      <w:marBottom w:val="0"/>
      <w:divBdr>
        <w:top w:val="none" w:sz="0" w:space="0" w:color="auto"/>
        <w:left w:val="none" w:sz="0" w:space="0" w:color="auto"/>
        <w:bottom w:val="none" w:sz="0" w:space="0" w:color="auto"/>
        <w:right w:val="none" w:sz="0" w:space="0" w:color="auto"/>
      </w:divBdr>
    </w:div>
    <w:div w:id="267548679">
      <w:bodyDiv w:val="1"/>
      <w:marLeft w:val="0"/>
      <w:marRight w:val="0"/>
      <w:marTop w:val="0"/>
      <w:marBottom w:val="0"/>
      <w:divBdr>
        <w:top w:val="none" w:sz="0" w:space="0" w:color="auto"/>
        <w:left w:val="none" w:sz="0" w:space="0" w:color="auto"/>
        <w:bottom w:val="none" w:sz="0" w:space="0" w:color="auto"/>
        <w:right w:val="none" w:sz="0" w:space="0" w:color="auto"/>
      </w:divBdr>
    </w:div>
    <w:div w:id="340545566">
      <w:bodyDiv w:val="1"/>
      <w:marLeft w:val="0"/>
      <w:marRight w:val="0"/>
      <w:marTop w:val="0"/>
      <w:marBottom w:val="0"/>
      <w:divBdr>
        <w:top w:val="none" w:sz="0" w:space="0" w:color="auto"/>
        <w:left w:val="none" w:sz="0" w:space="0" w:color="auto"/>
        <w:bottom w:val="none" w:sz="0" w:space="0" w:color="auto"/>
        <w:right w:val="none" w:sz="0" w:space="0" w:color="auto"/>
      </w:divBdr>
    </w:div>
    <w:div w:id="362563080">
      <w:bodyDiv w:val="1"/>
      <w:marLeft w:val="0"/>
      <w:marRight w:val="0"/>
      <w:marTop w:val="0"/>
      <w:marBottom w:val="0"/>
      <w:divBdr>
        <w:top w:val="none" w:sz="0" w:space="0" w:color="auto"/>
        <w:left w:val="none" w:sz="0" w:space="0" w:color="auto"/>
        <w:bottom w:val="none" w:sz="0" w:space="0" w:color="auto"/>
        <w:right w:val="none" w:sz="0" w:space="0" w:color="auto"/>
      </w:divBdr>
    </w:div>
    <w:div w:id="366688131">
      <w:bodyDiv w:val="1"/>
      <w:marLeft w:val="0"/>
      <w:marRight w:val="0"/>
      <w:marTop w:val="0"/>
      <w:marBottom w:val="0"/>
      <w:divBdr>
        <w:top w:val="none" w:sz="0" w:space="0" w:color="auto"/>
        <w:left w:val="none" w:sz="0" w:space="0" w:color="auto"/>
        <w:bottom w:val="none" w:sz="0" w:space="0" w:color="auto"/>
        <w:right w:val="none" w:sz="0" w:space="0" w:color="auto"/>
      </w:divBdr>
    </w:div>
    <w:div w:id="401292888">
      <w:bodyDiv w:val="1"/>
      <w:marLeft w:val="0"/>
      <w:marRight w:val="0"/>
      <w:marTop w:val="0"/>
      <w:marBottom w:val="0"/>
      <w:divBdr>
        <w:top w:val="none" w:sz="0" w:space="0" w:color="auto"/>
        <w:left w:val="none" w:sz="0" w:space="0" w:color="auto"/>
        <w:bottom w:val="none" w:sz="0" w:space="0" w:color="auto"/>
        <w:right w:val="none" w:sz="0" w:space="0" w:color="auto"/>
      </w:divBdr>
    </w:div>
    <w:div w:id="403841023">
      <w:bodyDiv w:val="1"/>
      <w:marLeft w:val="0"/>
      <w:marRight w:val="0"/>
      <w:marTop w:val="0"/>
      <w:marBottom w:val="0"/>
      <w:divBdr>
        <w:top w:val="none" w:sz="0" w:space="0" w:color="auto"/>
        <w:left w:val="none" w:sz="0" w:space="0" w:color="auto"/>
        <w:bottom w:val="none" w:sz="0" w:space="0" w:color="auto"/>
        <w:right w:val="none" w:sz="0" w:space="0" w:color="auto"/>
      </w:divBdr>
    </w:div>
    <w:div w:id="405687194">
      <w:bodyDiv w:val="1"/>
      <w:marLeft w:val="0"/>
      <w:marRight w:val="0"/>
      <w:marTop w:val="0"/>
      <w:marBottom w:val="0"/>
      <w:divBdr>
        <w:top w:val="none" w:sz="0" w:space="0" w:color="auto"/>
        <w:left w:val="none" w:sz="0" w:space="0" w:color="auto"/>
        <w:bottom w:val="none" w:sz="0" w:space="0" w:color="auto"/>
        <w:right w:val="none" w:sz="0" w:space="0" w:color="auto"/>
      </w:divBdr>
    </w:div>
    <w:div w:id="424033885">
      <w:bodyDiv w:val="1"/>
      <w:marLeft w:val="0"/>
      <w:marRight w:val="0"/>
      <w:marTop w:val="0"/>
      <w:marBottom w:val="0"/>
      <w:divBdr>
        <w:top w:val="none" w:sz="0" w:space="0" w:color="auto"/>
        <w:left w:val="none" w:sz="0" w:space="0" w:color="auto"/>
        <w:bottom w:val="none" w:sz="0" w:space="0" w:color="auto"/>
        <w:right w:val="none" w:sz="0" w:space="0" w:color="auto"/>
      </w:divBdr>
    </w:div>
    <w:div w:id="431239898">
      <w:bodyDiv w:val="1"/>
      <w:marLeft w:val="0"/>
      <w:marRight w:val="0"/>
      <w:marTop w:val="0"/>
      <w:marBottom w:val="0"/>
      <w:divBdr>
        <w:top w:val="none" w:sz="0" w:space="0" w:color="auto"/>
        <w:left w:val="none" w:sz="0" w:space="0" w:color="auto"/>
        <w:bottom w:val="none" w:sz="0" w:space="0" w:color="auto"/>
        <w:right w:val="none" w:sz="0" w:space="0" w:color="auto"/>
      </w:divBdr>
    </w:div>
    <w:div w:id="445542973">
      <w:bodyDiv w:val="1"/>
      <w:marLeft w:val="0"/>
      <w:marRight w:val="0"/>
      <w:marTop w:val="0"/>
      <w:marBottom w:val="0"/>
      <w:divBdr>
        <w:top w:val="none" w:sz="0" w:space="0" w:color="auto"/>
        <w:left w:val="none" w:sz="0" w:space="0" w:color="auto"/>
        <w:bottom w:val="none" w:sz="0" w:space="0" w:color="auto"/>
        <w:right w:val="none" w:sz="0" w:space="0" w:color="auto"/>
      </w:divBdr>
    </w:div>
    <w:div w:id="461533173">
      <w:bodyDiv w:val="1"/>
      <w:marLeft w:val="0"/>
      <w:marRight w:val="0"/>
      <w:marTop w:val="0"/>
      <w:marBottom w:val="0"/>
      <w:divBdr>
        <w:top w:val="none" w:sz="0" w:space="0" w:color="auto"/>
        <w:left w:val="none" w:sz="0" w:space="0" w:color="auto"/>
        <w:bottom w:val="none" w:sz="0" w:space="0" w:color="auto"/>
        <w:right w:val="none" w:sz="0" w:space="0" w:color="auto"/>
      </w:divBdr>
    </w:div>
    <w:div w:id="467433949">
      <w:bodyDiv w:val="1"/>
      <w:marLeft w:val="0"/>
      <w:marRight w:val="0"/>
      <w:marTop w:val="0"/>
      <w:marBottom w:val="0"/>
      <w:divBdr>
        <w:top w:val="none" w:sz="0" w:space="0" w:color="auto"/>
        <w:left w:val="none" w:sz="0" w:space="0" w:color="auto"/>
        <w:bottom w:val="none" w:sz="0" w:space="0" w:color="auto"/>
        <w:right w:val="none" w:sz="0" w:space="0" w:color="auto"/>
      </w:divBdr>
    </w:div>
    <w:div w:id="481895483">
      <w:bodyDiv w:val="1"/>
      <w:marLeft w:val="0"/>
      <w:marRight w:val="0"/>
      <w:marTop w:val="0"/>
      <w:marBottom w:val="0"/>
      <w:divBdr>
        <w:top w:val="none" w:sz="0" w:space="0" w:color="auto"/>
        <w:left w:val="none" w:sz="0" w:space="0" w:color="auto"/>
        <w:bottom w:val="none" w:sz="0" w:space="0" w:color="auto"/>
        <w:right w:val="none" w:sz="0" w:space="0" w:color="auto"/>
      </w:divBdr>
    </w:div>
    <w:div w:id="518549769">
      <w:bodyDiv w:val="1"/>
      <w:marLeft w:val="0"/>
      <w:marRight w:val="0"/>
      <w:marTop w:val="0"/>
      <w:marBottom w:val="0"/>
      <w:divBdr>
        <w:top w:val="none" w:sz="0" w:space="0" w:color="auto"/>
        <w:left w:val="none" w:sz="0" w:space="0" w:color="auto"/>
        <w:bottom w:val="none" w:sz="0" w:space="0" w:color="auto"/>
        <w:right w:val="none" w:sz="0" w:space="0" w:color="auto"/>
      </w:divBdr>
    </w:div>
    <w:div w:id="526329883">
      <w:bodyDiv w:val="1"/>
      <w:marLeft w:val="0"/>
      <w:marRight w:val="0"/>
      <w:marTop w:val="0"/>
      <w:marBottom w:val="0"/>
      <w:divBdr>
        <w:top w:val="none" w:sz="0" w:space="0" w:color="auto"/>
        <w:left w:val="none" w:sz="0" w:space="0" w:color="auto"/>
        <w:bottom w:val="none" w:sz="0" w:space="0" w:color="auto"/>
        <w:right w:val="none" w:sz="0" w:space="0" w:color="auto"/>
      </w:divBdr>
    </w:div>
    <w:div w:id="538590409">
      <w:bodyDiv w:val="1"/>
      <w:marLeft w:val="0"/>
      <w:marRight w:val="0"/>
      <w:marTop w:val="0"/>
      <w:marBottom w:val="0"/>
      <w:divBdr>
        <w:top w:val="none" w:sz="0" w:space="0" w:color="auto"/>
        <w:left w:val="none" w:sz="0" w:space="0" w:color="auto"/>
        <w:bottom w:val="none" w:sz="0" w:space="0" w:color="auto"/>
        <w:right w:val="none" w:sz="0" w:space="0" w:color="auto"/>
      </w:divBdr>
    </w:div>
    <w:div w:id="559636378">
      <w:bodyDiv w:val="1"/>
      <w:marLeft w:val="0"/>
      <w:marRight w:val="0"/>
      <w:marTop w:val="0"/>
      <w:marBottom w:val="0"/>
      <w:divBdr>
        <w:top w:val="none" w:sz="0" w:space="0" w:color="auto"/>
        <w:left w:val="none" w:sz="0" w:space="0" w:color="auto"/>
        <w:bottom w:val="none" w:sz="0" w:space="0" w:color="auto"/>
        <w:right w:val="none" w:sz="0" w:space="0" w:color="auto"/>
      </w:divBdr>
    </w:div>
    <w:div w:id="630404460">
      <w:bodyDiv w:val="1"/>
      <w:marLeft w:val="0"/>
      <w:marRight w:val="0"/>
      <w:marTop w:val="0"/>
      <w:marBottom w:val="0"/>
      <w:divBdr>
        <w:top w:val="none" w:sz="0" w:space="0" w:color="auto"/>
        <w:left w:val="none" w:sz="0" w:space="0" w:color="auto"/>
        <w:bottom w:val="none" w:sz="0" w:space="0" w:color="auto"/>
        <w:right w:val="none" w:sz="0" w:space="0" w:color="auto"/>
      </w:divBdr>
    </w:div>
    <w:div w:id="685709909">
      <w:bodyDiv w:val="1"/>
      <w:marLeft w:val="0"/>
      <w:marRight w:val="0"/>
      <w:marTop w:val="0"/>
      <w:marBottom w:val="0"/>
      <w:divBdr>
        <w:top w:val="none" w:sz="0" w:space="0" w:color="auto"/>
        <w:left w:val="none" w:sz="0" w:space="0" w:color="auto"/>
        <w:bottom w:val="none" w:sz="0" w:space="0" w:color="auto"/>
        <w:right w:val="none" w:sz="0" w:space="0" w:color="auto"/>
      </w:divBdr>
    </w:div>
    <w:div w:id="707070510">
      <w:bodyDiv w:val="1"/>
      <w:marLeft w:val="0"/>
      <w:marRight w:val="0"/>
      <w:marTop w:val="0"/>
      <w:marBottom w:val="0"/>
      <w:divBdr>
        <w:top w:val="none" w:sz="0" w:space="0" w:color="auto"/>
        <w:left w:val="none" w:sz="0" w:space="0" w:color="auto"/>
        <w:bottom w:val="none" w:sz="0" w:space="0" w:color="auto"/>
        <w:right w:val="none" w:sz="0" w:space="0" w:color="auto"/>
      </w:divBdr>
    </w:div>
    <w:div w:id="711883676">
      <w:bodyDiv w:val="1"/>
      <w:marLeft w:val="0"/>
      <w:marRight w:val="0"/>
      <w:marTop w:val="0"/>
      <w:marBottom w:val="0"/>
      <w:divBdr>
        <w:top w:val="none" w:sz="0" w:space="0" w:color="auto"/>
        <w:left w:val="none" w:sz="0" w:space="0" w:color="auto"/>
        <w:bottom w:val="none" w:sz="0" w:space="0" w:color="auto"/>
        <w:right w:val="none" w:sz="0" w:space="0" w:color="auto"/>
      </w:divBdr>
    </w:div>
    <w:div w:id="717240512">
      <w:bodyDiv w:val="1"/>
      <w:marLeft w:val="0"/>
      <w:marRight w:val="0"/>
      <w:marTop w:val="0"/>
      <w:marBottom w:val="0"/>
      <w:divBdr>
        <w:top w:val="none" w:sz="0" w:space="0" w:color="auto"/>
        <w:left w:val="none" w:sz="0" w:space="0" w:color="auto"/>
        <w:bottom w:val="none" w:sz="0" w:space="0" w:color="auto"/>
        <w:right w:val="none" w:sz="0" w:space="0" w:color="auto"/>
      </w:divBdr>
    </w:div>
    <w:div w:id="736635952">
      <w:bodyDiv w:val="1"/>
      <w:marLeft w:val="0"/>
      <w:marRight w:val="0"/>
      <w:marTop w:val="0"/>
      <w:marBottom w:val="0"/>
      <w:divBdr>
        <w:top w:val="none" w:sz="0" w:space="0" w:color="auto"/>
        <w:left w:val="none" w:sz="0" w:space="0" w:color="auto"/>
        <w:bottom w:val="none" w:sz="0" w:space="0" w:color="auto"/>
        <w:right w:val="none" w:sz="0" w:space="0" w:color="auto"/>
      </w:divBdr>
    </w:div>
    <w:div w:id="750352294">
      <w:bodyDiv w:val="1"/>
      <w:marLeft w:val="0"/>
      <w:marRight w:val="0"/>
      <w:marTop w:val="0"/>
      <w:marBottom w:val="0"/>
      <w:divBdr>
        <w:top w:val="none" w:sz="0" w:space="0" w:color="auto"/>
        <w:left w:val="none" w:sz="0" w:space="0" w:color="auto"/>
        <w:bottom w:val="none" w:sz="0" w:space="0" w:color="auto"/>
        <w:right w:val="none" w:sz="0" w:space="0" w:color="auto"/>
      </w:divBdr>
    </w:div>
    <w:div w:id="753938478">
      <w:bodyDiv w:val="1"/>
      <w:marLeft w:val="0"/>
      <w:marRight w:val="0"/>
      <w:marTop w:val="0"/>
      <w:marBottom w:val="0"/>
      <w:divBdr>
        <w:top w:val="none" w:sz="0" w:space="0" w:color="auto"/>
        <w:left w:val="none" w:sz="0" w:space="0" w:color="auto"/>
        <w:bottom w:val="none" w:sz="0" w:space="0" w:color="auto"/>
        <w:right w:val="none" w:sz="0" w:space="0" w:color="auto"/>
      </w:divBdr>
    </w:div>
    <w:div w:id="782193059">
      <w:bodyDiv w:val="1"/>
      <w:marLeft w:val="0"/>
      <w:marRight w:val="0"/>
      <w:marTop w:val="0"/>
      <w:marBottom w:val="0"/>
      <w:divBdr>
        <w:top w:val="none" w:sz="0" w:space="0" w:color="auto"/>
        <w:left w:val="none" w:sz="0" w:space="0" w:color="auto"/>
        <w:bottom w:val="none" w:sz="0" w:space="0" w:color="auto"/>
        <w:right w:val="none" w:sz="0" w:space="0" w:color="auto"/>
      </w:divBdr>
    </w:div>
    <w:div w:id="783578448">
      <w:bodyDiv w:val="1"/>
      <w:marLeft w:val="0"/>
      <w:marRight w:val="0"/>
      <w:marTop w:val="0"/>
      <w:marBottom w:val="0"/>
      <w:divBdr>
        <w:top w:val="none" w:sz="0" w:space="0" w:color="auto"/>
        <w:left w:val="none" w:sz="0" w:space="0" w:color="auto"/>
        <w:bottom w:val="none" w:sz="0" w:space="0" w:color="auto"/>
        <w:right w:val="none" w:sz="0" w:space="0" w:color="auto"/>
      </w:divBdr>
    </w:div>
    <w:div w:id="787309640">
      <w:bodyDiv w:val="1"/>
      <w:marLeft w:val="0"/>
      <w:marRight w:val="0"/>
      <w:marTop w:val="0"/>
      <w:marBottom w:val="0"/>
      <w:divBdr>
        <w:top w:val="none" w:sz="0" w:space="0" w:color="auto"/>
        <w:left w:val="none" w:sz="0" w:space="0" w:color="auto"/>
        <w:bottom w:val="none" w:sz="0" w:space="0" w:color="auto"/>
        <w:right w:val="none" w:sz="0" w:space="0" w:color="auto"/>
      </w:divBdr>
    </w:div>
    <w:div w:id="813644857">
      <w:bodyDiv w:val="1"/>
      <w:marLeft w:val="0"/>
      <w:marRight w:val="0"/>
      <w:marTop w:val="0"/>
      <w:marBottom w:val="0"/>
      <w:divBdr>
        <w:top w:val="none" w:sz="0" w:space="0" w:color="auto"/>
        <w:left w:val="none" w:sz="0" w:space="0" w:color="auto"/>
        <w:bottom w:val="none" w:sz="0" w:space="0" w:color="auto"/>
        <w:right w:val="none" w:sz="0" w:space="0" w:color="auto"/>
      </w:divBdr>
    </w:div>
    <w:div w:id="835608988">
      <w:bodyDiv w:val="1"/>
      <w:marLeft w:val="0"/>
      <w:marRight w:val="0"/>
      <w:marTop w:val="0"/>
      <w:marBottom w:val="0"/>
      <w:divBdr>
        <w:top w:val="none" w:sz="0" w:space="0" w:color="auto"/>
        <w:left w:val="none" w:sz="0" w:space="0" w:color="auto"/>
        <w:bottom w:val="none" w:sz="0" w:space="0" w:color="auto"/>
        <w:right w:val="none" w:sz="0" w:space="0" w:color="auto"/>
      </w:divBdr>
    </w:div>
    <w:div w:id="842623488">
      <w:bodyDiv w:val="1"/>
      <w:marLeft w:val="0"/>
      <w:marRight w:val="0"/>
      <w:marTop w:val="0"/>
      <w:marBottom w:val="0"/>
      <w:divBdr>
        <w:top w:val="none" w:sz="0" w:space="0" w:color="auto"/>
        <w:left w:val="none" w:sz="0" w:space="0" w:color="auto"/>
        <w:bottom w:val="none" w:sz="0" w:space="0" w:color="auto"/>
        <w:right w:val="none" w:sz="0" w:space="0" w:color="auto"/>
      </w:divBdr>
    </w:div>
    <w:div w:id="850951788">
      <w:bodyDiv w:val="1"/>
      <w:marLeft w:val="0"/>
      <w:marRight w:val="0"/>
      <w:marTop w:val="0"/>
      <w:marBottom w:val="0"/>
      <w:divBdr>
        <w:top w:val="none" w:sz="0" w:space="0" w:color="auto"/>
        <w:left w:val="none" w:sz="0" w:space="0" w:color="auto"/>
        <w:bottom w:val="none" w:sz="0" w:space="0" w:color="auto"/>
        <w:right w:val="none" w:sz="0" w:space="0" w:color="auto"/>
      </w:divBdr>
    </w:div>
    <w:div w:id="872113058">
      <w:bodyDiv w:val="1"/>
      <w:marLeft w:val="0"/>
      <w:marRight w:val="0"/>
      <w:marTop w:val="0"/>
      <w:marBottom w:val="0"/>
      <w:divBdr>
        <w:top w:val="none" w:sz="0" w:space="0" w:color="auto"/>
        <w:left w:val="none" w:sz="0" w:space="0" w:color="auto"/>
        <w:bottom w:val="none" w:sz="0" w:space="0" w:color="auto"/>
        <w:right w:val="none" w:sz="0" w:space="0" w:color="auto"/>
      </w:divBdr>
    </w:div>
    <w:div w:id="900481637">
      <w:bodyDiv w:val="1"/>
      <w:marLeft w:val="0"/>
      <w:marRight w:val="0"/>
      <w:marTop w:val="0"/>
      <w:marBottom w:val="0"/>
      <w:divBdr>
        <w:top w:val="none" w:sz="0" w:space="0" w:color="auto"/>
        <w:left w:val="none" w:sz="0" w:space="0" w:color="auto"/>
        <w:bottom w:val="none" w:sz="0" w:space="0" w:color="auto"/>
        <w:right w:val="none" w:sz="0" w:space="0" w:color="auto"/>
      </w:divBdr>
    </w:div>
    <w:div w:id="969750619">
      <w:bodyDiv w:val="1"/>
      <w:marLeft w:val="0"/>
      <w:marRight w:val="0"/>
      <w:marTop w:val="0"/>
      <w:marBottom w:val="0"/>
      <w:divBdr>
        <w:top w:val="none" w:sz="0" w:space="0" w:color="auto"/>
        <w:left w:val="none" w:sz="0" w:space="0" w:color="auto"/>
        <w:bottom w:val="none" w:sz="0" w:space="0" w:color="auto"/>
        <w:right w:val="none" w:sz="0" w:space="0" w:color="auto"/>
      </w:divBdr>
    </w:div>
    <w:div w:id="976299736">
      <w:bodyDiv w:val="1"/>
      <w:marLeft w:val="0"/>
      <w:marRight w:val="0"/>
      <w:marTop w:val="0"/>
      <w:marBottom w:val="0"/>
      <w:divBdr>
        <w:top w:val="none" w:sz="0" w:space="0" w:color="auto"/>
        <w:left w:val="none" w:sz="0" w:space="0" w:color="auto"/>
        <w:bottom w:val="none" w:sz="0" w:space="0" w:color="auto"/>
        <w:right w:val="none" w:sz="0" w:space="0" w:color="auto"/>
      </w:divBdr>
    </w:div>
    <w:div w:id="1003781488">
      <w:bodyDiv w:val="1"/>
      <w:marLeft w:val="0"/>
      <w:marRight w:val="0"/>
      <w:marTop w:val="0"/>
      <w:marBottom w:val="0"/>
      <w:divBdr>
        <w:top w:val="none" w:sz="0" w:space="0" w:color="auto"/>
        <w:left w:val="none" w:sz="0" w:space="0" w:color="auto"/>
        <w:bottom w:val="none" w:sz="0" w:space="0" w:color="auto"/>
        <w:right w:val="none" w:sz="0" w:space="0" w:color="auto"/>
      </w:divBdr>
    </w:div>
    <w:div w:id="1045133825">
      <w:bodyDiv w:val="1"/>
      <w:marLeft w:val="0"/>
      <w:marRight w:val="0"/>
      <w:marTop w:val="0"/>
      <w:marBottom w:val="0"/>
      <w:divBdr>
        <w:top w:val="none" w:sz="0" w:space="0" w:color="auto"/>
        <w:left w:val="none" w:sz="0" w:space="0" w:color="auto"/>
        <w:bottom w:val="none" w:sz="0" w:space="0" w:color="auto"/>
        <w:right w:val="none" w:sz="0" w:space="0" w:color="auto"/>
      </w:divBdr>
    </w:div>
    <w:div w:id="1056975329">
      <w:bodyDiv w:val="1"/>
      <w:marLeft w:val="0"/>
      <w:marRight w:val="0"/>
      <w:marTop w:val="0"/>
      <w:marBottom w:val="0"/>
      <w:divBdr>
        <w:top w:val="none" w:sz="0" w:space="0" w:color="auto"/>
        <w:left w:val="none" w:sz="0" w:space="0" w:color="auto"/>
        <w:bottom w:val="none" w:sz="0" w:space="0" w:color="auto"/>
        <w:right w:val="none" w:sz="0" w:space="0" w:color="auto"/>
      </w:divBdr>
    </w:div>
    <w:div w:id="1064135984">
      <w:bodyDiv w:val="1"/>
      <w:marLeft w:val="0"/>
      <w:marRight w:val="0"/>
      <w:marTop w:val="0"/>
      <w:marBottom w:val="0"/>
      <w:divBdr>
        <w:top w:val="none" w:sz="0" w:space="0" w:color="auto"/>
        <w:left w:val="none" w:sz="0" w:space="0" w:color="auto"/>
        <w:bottom w:val="none" w:sz="0" w:space="0" w:color="auto"/>
        <w:right w:val="none" w:sz="0" w:space="0" w:color="auto"/>
      </w:divBdr>
    </w:div>
    <w:div w:id="1115950489">
      <w:bodyDiv w:val="1"/>
      <w:marLeft w:val="0"/>
      <w:marRight w:val="0"/>
      <w:marTop w:val="0"/>
      <w:marBottom w:val="0"/>
      <w:divBdr>
        <w:top w:val="none" w:sz="0" w:space="0" w:color="auto"/>
        <w:left w:val="none" w:sz="0" w:space="0" w:color="auto"/>
        <w:bottom w:val="none" w:sz="0" w:space="0" w:color="auto"/>
        <w:right w:val="none" w:sz="0" w:space="0" w:color="auto"/>
      </w:divBdr>
    </w:div>
    <w:div w:id="1124497220">
      <w:bodyDiv w:val="1"/>
      <w:marLeft w:val="0"/>
      <w:marRight w:val="0"/>
      <w:marTop w:val="0"/>
      <w:marBottom w:val="0"/>
      <w:divBdr>
        <w:top w:val="none" w:sz="0" w:space="0" w:color="auto"/>
        <w:left w:val="none" w:sz="0" w:space="0" w:color="auto"/>
        <w:bottom w:val="none" w:sz="0" w:space="0" w:color="auto"/>
        <w:right w:val="none" w:sz="0" w:space="0" w:color="auto"/>
      </w:divBdr>
    </w:div>
    <w:div w:id="1130854766">
      <w:bodyDiv w:val="1"/>
      <w:marLeft w:val="0"/>
      <w:marRight w:val="0"/>
      <w:marTop w:val="0"/>
      <w:marBottom w:val="0"/>
      <w:divBdr>
        <w:top w:val="none" w:sz="0" w:space="0" w:color="auto"/>
        <w:left w:val="none" w:sz="0" w:space="0" w:color="auto"/>
        <w:bottom w:val="none" w:sz="0" w:space="0" w:color="auto"/>
        <w:right w:val="none" w:sz="0" w:space="0" w:color="auto"/>
      </w:divBdr>
    </w:div>
    <w:div w:id="1146315802">
      <w:bodyDiv w:val="1"/>
      <w:marLeft w:val="0"/>
      <w:marRight w:val="0"/>
      <w:marTop w:val="0"/>
      <w:marBottom w:val="0"/>
      <w:divBdr>
        <w:top w:val="none" w:sz="0" w:space="0" w:color="auto"/>
        <w:left w:val="none" w:sz="0" w:space="0" w:color="auto"/>
        <w:bottom w:val="none" w:sz="0" w:space="0" w:color="auto"/>
        <w:right w:val="none" w:sz="0" w:space="0" w:color="auto"/>
      </w:divBdr>
    </w:div>
    <w:div w:id="1164588291">
      <w:bodyDiv w:val="1"/>
      <w:marLeft w:val="0"/>
      <w:marRight w:val="0"/>
      <w:marTop w:val="0"/>
      <w:marBottom w:val="0"/>
      <w:divBdr>
        <w:top w:val="none" w:sz="0" w:space="0" w:color="auto"/>
        <w:left w:val="none" w:sz="0" w:space="0" w:color="auto"/>
        <w:bottom w:val="none" w:sz="0" w:space="0" w:color="auto"/>
        <w:right w:val="none" w:sz="0" w:space="0" w:color="auto"/>
      </w:divBdr>
    </w:div>
    <w:div w:id="1190677729">
      <w:bodyDiv w:val="1"/>
      <w:marLeft w:val="0"/>
      <w:marRight w:val="0"/>
      <w:marTop w:val="0"/>
      <w:marBottom w:val="0"/>
      <w:divBdr>
        <w:top w:val="none" w:sz="0" w:space="0" w:color="auto"/>
        <w:left w:val="none" w:sz="0" w:space="0" w:color="auto"/>
        <w:bottom w:val="none" w:sz="0" w:space="0" w:color="auto"/>
        <w:right w:val="none" w:sz="0" w:space="0" w:color="auto"/>
      </w:divBdr>
    </w:div>
    <w:div w:id="1206678896">
      <w:bodyDiv w:val="1"/>
      <w:marLeft w:val="0"/>
      <w:marRight w:val="0"/>
      <w:marTop w:val="0"/>
      <w:marBottom w:val="0"/>
      <w:divBdr>
        <w:top w:val="none" w:sz="0" w:space="0" w:color="auto"/>
        <w:left w:val="none" w:sz="0" w:space="0" w:color="auto"/>
        <w:bottom w:val="none" w:sz="0" w:space="0" w:color="auto"/>
        <w:right w:val="none" w:sz="0" w:space="0" w:color="auto"/>
      </w:divBdr>
    </w:div>
    <w:div w:id="1212615026">
      <w:bodyDiv w:val="1"/>
      <w:marLeft w:val="0"/>
      <w:marRight w:val="0"/>
      <w:marTop w:val="0"/>
      <w:marBottom w:val="0"/>
      <w:divBdr>
        <w:top w:val="none" w:sz="0" w:space="0" w:color="auto"/>
        <w:left w:val="none" w:sz="0" w:space="0" w:color="auto"/>
        <w:bottom w:val="none" w:sz="0" w:space="0" w:color="auto"/>
        <w:right w:val="none" w:sz="0" w:space="0" w:color="auto"/>
      </w:divBdr>
    </w:div>
    <w:div w:id="1224104084">
      <w:bodyDiv w:val="1"/>
      <w:marLeft w:val="0"/>
      <w:marRight w:val="0"/>
      <w:marTop w:val="0"/>
      <w:marBottom w:val="0"/>
      <w:divBdr>
        <w:top w:val="none" w:sz="0" w:space="0" w:color="auto"/>
        <w:left w:val="none" w:sz="0" w:space="0" w:color="auto"/>
        <w:bottom w:val="none" w:sz="0" w:space="0" w:color="auto"/>
        <w:right w:val="none" w:sz="0" w:space="0" w:color="auto"/>
      </w:divBdr>
    </w:div>
    <w:div w:id="1244879298">
      <w:bodyDiv w:val="1"/>
      <w:marLeft w:val="0"/>
      <w:marRight w:val="0"/>
      <w:marTop w:val="0"/>
      <w:marBottom w:val="0"/>
      <w:divBdr>
        <w:top w:val="none" w:sz="0" w:space="0" w:color="auto"/>
        <w:left w:val="none" w:sz="0" w:space="0" w:color="auto"/>
        <w:bottom w:val="none" w:sz="0" w:space="0" w:color="auto"/>
        <w:right w:val="none" w:sz="0" w:space="0" w:color="auto"/>
      </w:divBdr>
    </w:div>
    <w:div w:id="1250194359">
      <w:bodyDiv w:val="1"/>
      <w:marLeft w:val="0"/>
      <w:marRight w:val="0"/>
      <w:marTop w:val="0"/>
      <w:marBottom w:val="0"/>
      <w:divBdr>
        <w:top w:val="none" w:sz="0" w:space="0" w:color="auto"/>
        <w:left w:val="none" w:sz="0" w:space="0" w:color="auto"/>
        <w:bottom w:val="none" w:sz="0" w:space="0" w:color="auto"/>
        <w:right w:val="none" w:sz="0" w:space="0" w:color="auto"/>
      </w:divBdr>
    </w:div>
    <w:div w:id="1262491357">
      <w:bodyDiv w:val="1"/>
      <w:marLeft w:val="0"/>
      <w:marRight w:val="0"/>
      <w:marTop w:val="0"/>
      <w:marBottom w:val="0"/>
      <w:divBdr>
        <w:top w:val="none" w:sz="0" w:space="0" w:color="auto"/>
        <w:left w:val="none" w:sz="0" w:space="0" w:color="auto"/>
        <w:bottom w:val="none" w:sz="0" w:space="0" w:color="auto"/>
        <w:right w:val="none" w:sz="0" w:space="0" w:color="auto"/>
      </w:divBdr>
    </w:div>
    <w:div w:id="1262568347">
      <w:bodyDiv w:val="1"/>
      <w:marLeft w:val="0"/>
      <w:marRight w:val="0"/>
      <w:marTop w:val="0"/>
      <w:marBottom w:val="0"/>
      <w:divBdr>
        <w:top w:val="none" w:sz="0" w:space="0" w:color="auto"/>
        <w:left w:val="none" w:sz="0" w:space="0" w:color="auto"/>
        <w:bottom w:val="none" w:sz="0" w:space="0" w:color="auto"/>
        <w:right w:val="none" w:sz="0" w:space="0" w:color="auto"/>
      </w:divBdr>
    </w:div>
    <w:div w:id="1282300343">
      <w:bodyDiv w:val="1"/>
      <w:marLeft w:val="0"/>
      <w:marRight w:val="0"/>
      <w:marTop w:val="0"/>
      <w:marBottom w:val="0"/>
      <w:divBdr>
        <w:top w:val="none" w:sz="0" w:space="0" w:color="auto"/>
        <w:left w:val="none" w:sz="0" w:space="0" w:color="auto"/>
        <w:bottom w:val="none" w:sz="0" w:space="0" w:color="auto"/>
        <w:right w:val="none" w:sz="0" w:space="0" w:color="auto"/>
      </w:divBdr>
    </w:div>
    <w:div w:id="1288318096">
      <w:bodyDiv w:val="1"/>
      <w:marLeft w:val="0"/>
      <w:marRight w:val="0"/>
      <w:marTop w:val="0"/>
      <w:marBottom w:val="0"/>
      <w:divBdr>
        <w:top w:val="none" w:sz="0" w:space="0" w:color="auto"/>
        <w:left w:val="none" w:sz="0" w:space="0" w:color="auto"/>
        <w:bottom w:val="none" w:sz="0" w:space="0" w:color="auto"/>
        <w:right w:val="none" w:sz="0" w:space="0" w:color="auto"/>
      </w:divBdr>
    </w:div>
    <w:div w:id="1299191125">
      <w:bodyDiv w:val="1"/>
      <w:marLeft w:val="0"/>
      <w:marRight w:val="0"/>
      <w:marTop w:val="0"/>
      <w:marBottom w:val="0"/>
      <w:divBdr>
        <w:top w:val="none" w:sz="0" w:space="0" w:color="auto"/>
        <w:left w:val="none" w:sz="0" w:space="0" w:color="auto"/>
        <w:bottom w:val="none" w:sz="0" w:space="0" w:color="auto"/>
        <w:right w:val="none" w:sz="0" w:space="0" w:color="auto"/>
      </w:divBdr>
    </w:div>
    <w:div w:id="1308507843">
      <w:bodyDiv w:val="1"/>
      <w:marLeft w:val="0"/>
      <w:marRight w:val="0"/>
      <w:marTop w:val="0"/>
      <w:marBottom w:val="0"/>
      <w:divBdr>
        <w:top w:val="none" w:sz="0" w:space="0" w:color="auto"/>
        <w:left w:val="none" w:sz="0" w:space="0" w:color="auto"/>
        <w:bottom w:val="none" w:sz="0" w:space="0" w:color="auto"/>
        <w:right w:val="none" w:sz="0" w:space="0" w:color="auto"/>
      </w:divBdr>
    </w:div>
    <w:div w:id="1314484653">
      <w:bodyDiv w:val="1"/>
      <w:marLeft w:val="0"/>
      <w:marRight w:val="0"/>
      <w:marTop w:val="0"/>
      <w:marBottom w:val="0"/>
      <w:divBdr>
        <w:top w:val="none" w:sz="0" w:space="0" w:color="auto"/>
        <w:left w:val="none" w:sz="0" w:space="0" w:color="auto"/>
        <w:bottom w:val="none" w:sz="0" w:space="0" w:color="auto"/>
        <w:right w:val="none" w:sz="0" w:space="0" w:color="auto"/>
      </w:divBdr>
    </w:div>
    <w:div w:id="1331981124">
      <w:bodyDiv w:val="1"/>
      <w:marLeft w:val="0"/>
      <w:marRight w:val="0"/>
      <w:marTop w:val="0"/>
      <w:marBottom w:val="0"/>
      <w:divBdr>
        <w:top w:val="none" w:sz="0" w:space="0" w:color="auto"/>
        <w:left w:val="none" w:sz="0" w:space="0" w:color="auto"/>
        <w:bottom w:val="none" w:sz="0" w:space="0" w:color="auto"/>
        <w:right w:val="none" w:sz="0" w:space="0" w:color="auto"/>
      </w:divBdr>
    </w:div>
    <w:div w:id="1339888069">
      <w:bodyDiv w:val="1"/>
      <w:marLeft w:val="0"/>
      <w:marRight w:val="0"/>
      <w:marTop w:val="0"/>
      <w:marBottom w:val="0"/>
      <w:divBdr>
        <w:top w:val="none" w:sz="0" w:space="0" w:color="auto"/>
        <w:left w:val="none" w:sz="0" w:space="0" w:color="auto"/>
        <w:bottom w:val="none" w:sz="0" w:space="0" w:color="auto"/>
        <w:right w:val="none" w:sz="0" w:space="0" w:color="auto"/>
      </w:divBdr>
    </w:div>
    <w:div w:id="1354113837">
      <w:bodyDiv w:val="1"/>
      <w:marLeft w:val="0"/>
      <w:marRight w:val="0"/>
      <w:marTop w:val="0"/>
      <w:marBottom w:val="0"/>
      <w:divBdr>
        <w:top w:val="none" w:sz="0" w:space="0" w:color="auto"/>
        <w:left w:val="none" w:sz="0" w:space="0" w:color="auto"/>
        <w:bottom w:val="none" w:sz="0" w:space="0" w:color="auto"/>
        <w:right w:val="none" w:sz="0" w:space="0" w:color="auto"/>
      </w:divBdr>
    </w:div>
    <w:div w:id="1360277369">
      <w:bodyDiv w:val="1"/>
      <w:marLeft w:val="0"/>
      <w:marRight w:val="0"/>
      <w:marTop w:val="0"/>
      <w:marBottom w:val="0"/>
      <w:divBdr>
        <w:top w:val="none" w:sz="0" w:space="0" w:color="auto"/>
        <w:left w:val="none" w:sz="0" w:space="0" w:color="auto"/>
        <w:bottom w:val="none" w:sz="0" w:space="0" w:color="auto"/>
        <w:right w:val="none" w:sz="0" w:space="0" w:color="auto"/>
      </w:divBdr>
    </w:div>
    <w:div w:id="1371490622">
      <w:bodyDiv w:val="1"/>
      <w:marLeft w:val="0"/>
      <w:marRight w:val="0"/>
      <w:marTop w:val="0"/>
      <w:marBottom w:val="0"/>
      <w:divBdr>
        <w:top w:val="none" w:sz="0" w:space="0" w:color="auto"/>
        <w:left w:val="none" w:sz="0" w:space="0" w:color="auto"/>
        <w:bottom w:val="none" w:sz="0" w:space="0" w:color="auto"/>
        <w:right w:val="none" w:sz="0" w:space="0" w:color="auto"/>
      </w:divBdr>
    </w:div>
    <w:div w:id="1387990306">
      <w:bodyDiv w:val="1"/>
      <w:marLeft w:val="0"/>
      <w:marRight w:val="0"/>
      <w:marTop w:val="0"/>
      <w:marBottom w:val="0"/>
      <w:divBdr>
        <w:top w:val="none" w:sz="0" w:space="0" w:color="auto"/>
        <w:left w:val="none" w:sz="0" w:space="0" w:color="auto"/>
        <w:bottom w:val="none" w:sz="0" w:space="0" w:color="auto"/>
        <w:right w:val="none" w:sz="0" w:space="0" w:color="auto"/>
      </w:divBdr>
    </w:div>
    <w:div w:id="1389257520">
      <w:bodyDiv w:val="1"/>
      <w:marLeft w:val="0"/>
      <w:marRight w:val="0"/>
      <w:marTop w:val="0"/>
      <w:marBottom w:val="0"/>
      <w:divBdr>
        <w:top w:val="none" w:sz="0" w:space="0" w:color="auto"/>
        <w:left w:val="none" w:sz="0" w:space="0" w:color="auto"/>
        <w:bottom w:val="none" w:sz="0" w:space="0" w:color="auto"/>
        <w:right w:val="none" w:sz="0" w:space="0" w:color="auto"/>
      </w:divBdr>
    </w:div>
    <w:div w:id="1410662989">
      <w:bodyDiv w:val="1"/>
      <w:marLeft w:val="0"/>
      <w:marRight w:val="0"/>
      <w:marTop w:val="0"/>
      <w:marBottom w:val="0"/>
      <w:divBdr>
        <w:top w:val="none" w:sz="0" w:space="0" w:color="auto"/>
        <w:left w:val="none" w:sz="0" w:space="0" w:color="auto"/>
        <w:bottom w:val="none" w:sz="0" w:space="0" w:color="auto"/>
        <w:right w:val="none" w:sz="0" w:space="0" w:color="auto"/>
      </w:divBdr>
    </w:div>
    <w:div w:id="1410930877">
      <w:bodyDiv w:val="1"/>
      <w:marLeft w:val="0"/>
      <w:marRight w:val="0"/>
      <w:marTop w:val="0"/>
      <w:marBottom w:val="0"/>
      <w:divBdr>
        <w:top w:val="none" w:sz="0" w:space="0" w:color="auto"/>
        <w:left w:val="none" w:sz="0" w:space="0" w:color="auto"/>
        <w:bottom w:val="none" w:sz="0" w:space="0" w:color="auto"/>
        <w:right w:val="none" w:sz="0" w:space="0" w:color="auto"/>
      </w:divBdr>
    </w:div>
    <w:div w:id="1461337030">
      <w:bodyDiv w:val="1"/>
      <w:marLeft w:val="0"/>
      <w:marRight w:val="0"/>
      <w:marTop w:val="0"/>
      <w:marBottom w:val="0"/>
      <w:divBdr>
        <w:top w:val="none" w:sz="0" w:space="0" w:color="auto"/>
        <w:left w:val="none" w:sz="0" w:space="0" w:color="auto"/>
        <w:bottom w:val="none" w:sz="0" w:space="0" w:color="auto"/>
        <w:right w:val="none" w:sz="0" w:space="0" w:color="auto"/>
      </w:divBdr>
    </w:div>
    <w:div w:id="1468471621">
      <w:bodyDiv w:val="1"/>
      <w:marLeft w:val="0"/>
      <w:marRight w:val="0"/>
      <w:marTop w:val="0"/>
      <w:marBottom w:val="0"/>
      <w:divBdr>
        <w:top w:val="none" w:sz="0" w:space="0" w:color="auto"/>
        <w:left w:val="none" w:sz="0" w:space="0" w:color="auto"/>
        <w:bottom w:val="none" w:sz="0" w:space="0" w:color="auto"/>
        <w:right w:val="none" w:sz="0" w:space="0" w:color="auto"/>
      </w:divBdr>
    </w:div>
    <w:div w:id="1478573173">
      <w:bodyDiv w:val="1"/>
      <w:marLeft w:val="0"/>
      <w:marRight w:val="0"/>
      <w:marTop w:val="0"/>
      <w:marBottom w:val="0"/>
      <w:divBdr>
        <w:top w:val="none" w:sz="0" w:space="0" w:color="auto"/>
        <w:left w:val="none" w:sz="0" w:space="0" w:color="auto"/>
        <w:bottom w:val="none" w:sz="0" w:space="0" w:color="auto"/>
        <w:right w:val="none" w:sz="0" w:space="0" w:color="auto"/>
      </w:divBdr>
    </w:div>
    <w:div w:id="1495611109">
      <w:bodyDiv w:val="1"/>
      <w:marLeft w:val="0"/>
      <w:marRight w:val="0"/>
      <w:marTop w:val="0"/>
      <w:marBottom w:val="0"/>
      <w:divBdr>
        <w:top w:val="none" w:sz="0" w:space="0" w:color="auto"/>
        <w:left w:val="none" w:sz="0" w:space="0" w:color="auto"/>
        <w:bottom w:val="none" w:sz="0" w:space="0" w:color="auto"/>
        <w:right w:val="none" w:sz="0" w:space="0" w:color="auto"/>
      </w:divBdr>
    </w:div>
    <w:div w:id="1517964097">
      <w:bodyDiv w:val="1"/>
      <w:marLeft w:val="0"/>
      <w:marRight w:val="0"/>
      <w:marTop w:val="0"/>
      <w:marBottom w:val="0"/>
      <w:divBdr>
        <w:top w:val="none" w:sz="0" w:space="0" w:color="auto"/>
        <w:left w:val="none" w:sz="0" w:space="0" w:color="auto"/>
        <w:bottom w:val="none" w:sz="0" w:space="0" w:color="auto"/>
        <w:right w:val="none" w:sz="0" w:space="0" w:color="auto"/>
      </w:divBdr>
    </w:div>
    <w:div w:id="1525054370">
      <w:bodyDiv w:val="1"/>
      <w:marLeft w:val="0"/>
      <w:marRight w:val="0"/>
      <w:marTop w:val="0"/>
      <w:marBottom w:val="0"/>
      <w:divBdr>
        <w:top w:val="none" w:sz="0" w:space="0" w:color="auto"/>
        <w:left w:val="none" w:sz="0" w:space="0" w:color="auto"/>
        <w:bottom w:val="none" w:sz="0" w:space="0" w:color="auto"/>
        <w:right w:val="none" w:sz="0" w:space="0" w:color="auto"/>
      </w:divBdr>
    </w:div>
    <w:div w:id="1526409652">
      <w:bodyDiv w:val="1"/>
      <w:marLeft w:val="0"/>
      <w:marRight w:val="0"/>
      <w:marTop w:val="0"/>
      <w:marBottom w:val="0"/>
      <w:divBdr>
        <w:top w:val="none" w:sz="0" w:space="0" w:color="auto"/>
        <w:left w:val="none" w:sz="0" w:space="0" w:color="auto"/>
        <w:bottom w:val="none" w:sz="0" w:space="0" w:color="auto"/>
        <w:right w:val="none" w:sz="0" w:space="0" w:color="auto"/>
      </w:divBdr>
    </w:div>
    <w:div w:id="1557858740">
      <w:bodyDiv w:val="1"/>
      <w:marLeft w:val="0"/>
      <w:marRight w:val="0"/>
      <w:marTop w:val="0"/>
      <w:marBottom w:val="0"/>
      <w:divBdr>
        <w:top w:val="none" w:sz="0" w:space="0" w:color="auto"/>
        <w:left w:val="none" w:sz="0" w:space="0" w:color="auto"/>
        <w:bottom w:val="none" w:sz="0" w:space="0" w:color="auto"/>
        <w:right w:val="none" w:sz="0" w:space="0" w:color="auto"/>
      </w:divBdr>
    </w:div>
    <w:div w:id="1571384669">
      <w:bodyDiv w:val="1"/>
      <w:marLeft w:val="0"/>
      <w:marRight w:val="0"/>
      <w:marTop w:val="0"/>
      <w:marBottom w:val="0"/>
      <w:divBdr>
        <w:top w:val="none" w:sz="0" w:space="0" w:color="auto"/>
        <w:left w:val="none" w:sz="0" w:space="0" w:color="auto"/>
        <w:bottom w:val="none" w:sz="0" w:space="0" w:color="auto"/>
        <w:right w:val="none" w:sz="0" w:space="0" w:color="auto"/>
      </w:divBdr>
    </w:div>
    <w:div w:id="1578711089">
      <w:bodyDiv w:val="1"/>
      <w:marLeft w:val="0"/>
      <w:marRight w:val="0"/>
      <w:marTop w:val="0"/>
      <w:marBottom w:val="0"/>
      <w:divBdr>
        <w:top w:val="none" w:sz="0" w:space="0" w:color="auto"/>
        <w:left w:val="none" w:sz="0" w:space="0" w:color="auto"/>
        <w:bottom w:val="none" w:sz="0" w:space="0" w:color="auto"/>
        <w:right w:val="none" w:sz="0" w:space="0" w:color="auto"/>
      </w:divBdr>
    </w:div>
    <w:div w:id="1588807747">
      <w:bodyDiv w:val="1"/>
      <w:marLeft w:val="0"/>
      <w:marRight w:val="0"/>
      <w:marTop w:val="0"/>
      <w:marBottom w:val="0"/>
      <w:divBdr>
        <w:top w:val="none" w:sz="0" w:space="0" w:color="auto"/>
        <w:left w:val="none" w:sz="0" w:space="0" w:color="auto"/>
        <w:bottom w:val="none" w:sz="0" w:space="0" w:color="auto"/>
        <w:right w:val="none" w:sz="0" w:space="0" w:color="auto"/>
      </w:divBdr>
    </w:div>
    <w:div w:id="1670794050">
      <w:bodyDiv w:val="1"/>
      <w:marLeft w:val="0"/>
      <w:marRight w:val="0"/>
      <w:marTop w:val="0"/>
      <w:marBottom w:val="0"/>
      <w:divBdr>
        <w:top w:val="none" w:sz="0" w:space="0" w:color="auto"/>
        <w:left w:val="none" w:sz="0" w:space="0" w:color="auto"/>
        <w:bottom w:val="none" w:sz="0" w:space="0" w:color="auto"/>
        <w:right w:val="none" w:sz="0" w:space="0" w:color="auto"/>
      </w:divBdr>
    </w:div>
    <w:div w:id="1675255045">
      <w:bodyDiv w:val="1"/>
      <w:marLeft w:val="0"/>
      <w:marRight w:val="0"/>
      <w:marTop w:val="0"/>
      <w:marBottom w:val="0"/>
      <w:divBdr>
        <w:top w:val="none" w:sz="0" w:space="0" w:color="auto"/>
        <w:left w:val="none" w:sz="0" w:space="0" w:color="auto"/>
        <w:bottom w:val="none" w:sz="0" w:space="0" w:color="auto"/>
        <w:right w:val="none" w:sz="0" w:space="0" w:color="auto"/>
      </w:divBdr>
    </w:div>
    <w:div w:id="1692488386">
      <w:bodyDiv w:val="1"/>
      <w:marLeft w:val="0"/>
      <w:marRight w:val="0"/>
      <w:marTop w:val="0"/>
      <w:marBottom w:val="0"/>
      <w:divBdr>
        <w:top w:val="none" w:sz="0" w:space="0" w:color="auto"/>
        <w:left w:val="none" w:sz="0" w:space="0" w:color="auto"/>
        <w:bottom w:val="none" w:sz="0" w:space="0" w:color="auto"/>
        <w:right w:val="none" w:sz="0" w:space="0" w:color="auto"/>
      </w:divBdr>
    </w:div>
    <w:div w:id="1698655995">
      <w:bodyDiv w:val="1"/>
      <w:marLeft w:val="0"/>
      <w:marRight w:val="0"/>
      <w:marTop w:val="0"/>
      <w:marBottom w:val="0"/>
      <w:divBdr>
        <w:top w:val="none" w:sz="0" w:space="0" w:color="auto"/>
        <w:left w:val="none" w:sz="0" w:space="0" w:color="auto"/>
        <w:bottom w:val="none" w:sz="0" w:space="0" w:color="auto"/>
        <w:right w:val="none" w:sz="0" w:space="0" w:color="auto"/>
      </w:divBdr>
    </w:div>
    <w:div w:id="1723291497">
      <w:bodyDiv w:val="1"/>
      <w:marLeft w:val="0"/>
      <w:marRight w:val="0"/>
      <w:marTop w:val="0"/>
      <w:marBottom w:val="0"/>
      <w:divBdr>
        <w:top w:val="none" w:sz="0" w:space="0" w:color="auto"/>
        <w:left w:val="none" w:sz="0" w:space="0" w:color="auto"/>
        <w:bottom w:val="none" w:sz="0" w:space="0" w:color="auto"/>
        <w:right w:val="none" w:sz="0" w:space="0" w:color="auto"/>
      </w:divBdr>
    </w:div>
    <w:div w:id="1726684015">
      <w:bodyDiv w:val="1"/>
      <w:marLeft w:val="0"/>
      <w:marRight w:val="0"/>
      <w:marTop w:val="0"/>
      <w:marBottom w:val="0"/>
      <w:divBdr>
        <w:top w:val="none" w:sz="0" w:space="0" w:color="auto"/>
        <w:left w:val="none" w:sz="0" w:space="0" w:color="auto"/>
        <w:bottom w:val="none" w:sz="0" w:space="0" w:color="auto"/>
        <w:right w:val="none" w:sz="0" w:space="0" w:color="auto"/>
      </w:divBdr>
    </w:div>
    <w:div w:id="1727334828">
      <w:bodyDiv w:val="1"/>
      <w:marLeft w:val="0"/>
      <w:marRight w:val="0"/>
      <w:marTop w:val="0"/>
      <w:marBottom w:val="0"/>
      <w:divBdr>
        <w:top w:val="none" w:sz="0" w:space="0" w:color="auto"/>
        <w:left w:val="none" w:sz="0" w:space="0" w:color="auto"/>
        <w:bottom w:val="none" w:sz="0" w:space="0" w:color="auto"/>
        <w:right w:val="none" w:sz="0" w:space="0" w:color="auto"/>
      </w:divBdr>
    </w:div>
    <w:div w:id="1738284880">
      <w:bodyDiv w:val="1"/>
      <w:marLeft w:val="0"/>
      <w:marRight w:val="0"/>
      <w:marTop w:val="0"/>
      <w:marBottom w:val="0"/>
      <w:divBdr>
        <w:top w:val="none" w:sz="0" w:space="0" w:color="auto"/>
        <w:left w:val="none" w:sz="0" w:space="0" w:color="auto"/>
        <w:bottom w:val="none" w:sz="0" w:space="0" w:color="auto"/>
        <w:right w:val="none" w:sz="0" w:space="0" w:color="auto"/>
      </w:divBdr>
    </w:div>
    <w:div w:id="1740059958">
      <w:bodyDiv w:val="1"/>
      <w:marLeft w:val="0"/>
      <w:marRight w:val="0"/>
      <w:marTop w:val="0"/>
      <w:marBottom w:val="0"/>
      <w:divBdr>
        <w:top w:val="none" w:sz="0" w:space="0" w:color="auto"/>
        <w:left w:val="none" w:sz="0" w:space="0" w:color="auto"/>
        <w:bottom w:val="none" w:sz="0" w:space="0" w:color="auto"/>
        <w:right w:val="none" w:sz="0" w:space="0" w:color="auto"/>
      </w:divBdr>
    </w:div>
    <w:div w:id="1756704100">
      <w:bodyDiv w:val="1"/>
      <w:marLeft w:val="0"/>
      <w:marRight w:val="0"/>
      <w:marTop w:val="0"/>
      <w:marBottom w:val="0"/>
      <w:divBdr>
        <w:top w:val="none" w:sz="0" w:space="0" w:color="auto"/>
        <w:left w:val="none" w:sz="0" w:space="0" w:color="auto"/>
        <w:bottom w:val="none" w:sz="0" w:space="0" w:color="auto"/>
        <w:right w:val="none" w:sz="0" w:space="0" w:color="auto"/>
      </w:divBdr>
    </w:div>
    <w:div w:id="1766803594">
      <w:bodyDiv w:val="1"/>
      <w:marLeft w:val="0"/>
      <w:marRight w:val="0"/>
      <w:marTop w:val="0"/>
      <w:marBottom w:val="0"/>
      <w:divBdr>
        <w:top w:val="none" w:sz="0" w:space="0" w:color="auto"/>
        <w:left w:val="none" w:sz="0" w:space="0" w:color="auto"/>
        <w:bottom w:val="none" w:sz="0" w:space="0" w:color="auto"/>
        <w:right w:val="none" w:sz="0" w:space="0" w:color="auto"/>
      </w:divBdr>
    </w:div>
    <w:div w:id="1773821036">
      <w:bodyDiv w:val="1"/>
      <w:marLeft w:val="0"/>
      <w:marRight w:val="0"/>
      <w:marTop w:val="0"/>
      <w:marBottom w:val="0"/>
      <w:divBdr>
        <w:top w:val="none" w:sz="0" w:space="0" w:color="auto"/>
        <w:left w:val="none" w:sz="0" w:space="0" w:color="auto"/>
        <w:bottom w:val="none" w:sz="0" w:space="0" w:color="auto"/>
        <w:right w:val="none" w:sz="0" w:space="0" w:color="auto"/>
      </w:divBdr>
    </w:div>
    <w:div w:id="1836527208">
      <w:bodyDiv w:val="1"/>
      <w:marLeft w:val="0"/>
      <w:marRight w:val="0"/>
      <w:marTop w:val="0"/>
      <w:marBottom w:val="0"/>
      <w:divBdr>
        <w:top w:val="none" w:sz="0" w:space="0" w:color="auto"/>
        <w:left w:val="none" w:sz="0" w:space="0" w:color="auto"/>
        <w:bottom w:val="none" w:sz="0" w:space="0" w:color="auto"/>
        <w:right w:val="none" w:sz="0" w:space="0" w:color="auto"/>
      </w:divBdr>
    </w:div>
    <w:div w:id="1855420266">
      <w:bodyDiv w:val="1"/>
      <w:marLeft w:val="0"/>
      <w:marRight w:val="0"/>
      <w:marTop w:val="0"/>
      <w:marBottom w:val="0"/>
      <w:divBdr>
        <w:top w:val="none" w:sz="0" w:space="0" w:color="auto"/>
        <w:left w:val="none" w:sz="0" w:space="0" w:color="auto"/>
        <w:bottom w:val="none" w:sz="0" w:space="0" w:color="auto"/>
        <w:right w:val="none" w:sz="0" w:space="0" w:color="auto"/>
      </w:divBdr>
    </w:div>
    <w:div w:id="1863474980">
      <w:bodyDiv w:val="1"/>
      <w:marLeft w:val="0"/>
      <w:marRight w:val="0"/>
      <w:marTop w:val="0"/>
      <w:marBottom w:val="0"/>
      <w:divBdr>
        <w:top w:val="none" w:sz="0" w:space="0" w:color="auto"/>
        <w:left w:val="none" w:sz="0" w:space="0" w:color="auto"/>
        <w:bottom w:val="none" w:sz="0" w:space="0" w:color="auto"/>
        <w:right w:val="none" w:sz="0" w:space="0" w:color="auto"/>
      </w:divBdr>
    </w:div>
    <w:div w:id="1886334703">
      <w:bodyDiv w:val="1"/>
      <w:marLeft w:val="0"/>
      <w:marRight w:val="0"/>
      <w:marTop w:val="0"/>
      <w:marBottom w:val="0"/>
      <w:divBdr>
        <w:top w:val="none" w:sz="0" w:space="0" w:color="auto"/>
        <w:left w:val="none" w:sz="0" w:space="0" w:color="auto"/>
        <w:bottom w:val="none" w:sz="0" w:space="0" w:color="auto"/>
        <w:right w:val="none" w:sz="0" w:space="0" w:color="auto"/>
      </w:divBdr>
    </w:div>
    <w:div w:id="1887989111">
      <w:bodyDiv w:val="1"/>
      <w:marLeft w:val="0"/>
      <w:marRight w:val="0"/>
      <w:marTop w:val="0"/>
      <w:marBottom w:val="0"/>
      <w:divBdr>
        <w:top w:val="none" w:sz="0" w:space="0" w:color="auto"/>
        <w:left w:val="none" w:sz="0" w:space="0" w:color="auto"/>
        <w:bottom w:val="none" w:sz="0" w:space="0" w:color="auto"/>
        <w:right w:val="none" w:sz="0" w:space="0" w:color="auto"/>
      </w:divBdr>
    </w:div>
    <w:div w:id="1900240996">
      <w:bodyDiv w:val="1"/>
      <w:marLeft w:val="0"/>
      <w:marRight w:val="0"/>
      <w:marTop w:val="0"/>
      <w:marBottom w:val="0"/>
      <w:divBdr>
        <w:top w:val="none" w:sz="0" w:space="0" w:color="auto"/>
        <w:left w:val="none" w:sz="0" w:space="0" w:color="auto"/>
        <w:bottom w:val="none" w:sz="0" w:space="0" w:color="auto"/>
        <w:right w:val="none" w:sz="0" w:space="0" w:color="auto"/>
      </w:divBdr>
    </w:div>
    <w:div w:id="1907374551">
      <w:bodyDiv w:val="1"/>
      <w:marLeft w:val="0"/>
      <w:marRight w:val="0"/>
      <w:marTop w:val="0"/>
      <w:marBottom w:val="0"/>
      <w:divBdr>
        <w:top w:val="none" w:sz="0" w:space="0" w:color="auto"/>
        <w:left w:val="none" w:sz="0" w:space="0" w:color="auto"/>
        <w:bottom w:val="none" w:sz="0" w:space="0" w:color="auto"/>
        <w:right w:val="none" w:sz="0" w:space="0" w:color="auto"/>
      </w:divBdr>
    </w:div>
    <w:div w:id="1916863460">
      <w:bodyDiv w:val="1"/>
      <w:marLeft w:val="0"/>
      <w:marRight w:val="0"/>
      <w:marTop w:val="0"/>
      <w:marBottom w:val="0"/>
      <w:divBdr>
        <w:top w:val="none" w:sz="0" w:space="0" w:color="auto"/>
        <w:left w:val="none" w:sz="0" w:space="0" w:color="auto"/>
        <w:bottom w:val="none" w:sz="0" w:space="0" w:color="auto"/>
        <w:right w:val="none" w:sz="0" w:space="0" w:color="auto"/>
      </w:divBdr>
    </w:div>
    <w:div w:id="1926574438">
      <w:bodyDiv w:val="1"/>
      <w:marLeft w:val="0"/>
      <w:marRight w:val="0"/>
      <w:marTop w:val="0"/>
      <w:marBottom w:val="0"/>
      <w:divBdr>
        <w:top w:val="none" w:sz="0" w:space="0" w:color="auto"/>
        <w:left w:val="none" w:sz="0" w:space="0" w:color="auto"/>
        <w:bottom w:val="none" w:sz="0" w:space="0" w:color="auto"/>
        <w:right w:val="none" w:sz="0" w:space="0" w:color="auto"/>
      </w:divBdr>
    </w:div>
    <w:div w:id="1931694576">
      <w:bodyDiv w:val="1"/>
      <w:marLeft w:val="0"/>
      <w:marRight w:val="0"/>
      <w:marTop w:val="0"/>
      <w:marBottom w:val="0"/>
      <w:divBdr>
        <w:top w:val="none" w:sz="0" w:space="0" w:color="auto"/>
        <w:left w:val="none" w:sz="0" w:space="0" w:color="auto"/>
        <w:bottom w:val="none" w:sz="0" w:space="0" w:color="auto"/>
        <w:right w:val="none" w:sz="0" w:space="0" w:color="auto"/>
      </w:divBdr>
    </w:div>
    <w:div w:id="2002929112">
      <w:bodyDiv w:val="1"/>
      <w:marLeft w:val="0"/>
      <w:marRight w:val="0"/>
      <w:marTop w:val="0"/>
      <w:marBottom w:val="0"/>
      <w:divBdr>
        <w:top w:val="none" w:sz="0" w:space="0" w:color="auto"/>
        <w:left w:val="none" w:sz="0" w:space="0" w:color="auto"/>
        <w:bottom w:val="none" w:sz="0" w:space="0" w:color="auto"/>
        <w:right w:val="none" w:sz="0" w:space="0" w:color="auto"/>
      </w:divBdr>
    </w:div>
    <w:div w:id="2003848588">
      <w:bodyDiv w:val="1"/>
      <w:marLeft w:val="0"/>
      <w:marRight w:val="0"/>
      <w:marTop w:val="0"/>
      <w:marBottom w:val="0"/>
      <w:divBdr>
        <w:top w:val="none" w:sz="0" w:space="0" w:color="auto"/>
        <w:left w:val="none" w:sz="0" w:space="0" w:color="auto"/>
        <w:bottom w:val="none" w:sz="0" w:space="0" w:color="auto"/>
        <w:right w:val="none" w:sz="0" w:space="0" w:color="auto"/>
      </w:divBdr>
    </w:div>
    <w:div w:id="2024211349">
      <w:bodyDiv w:val="1"/>
      <w:marLeft w:val="0"/>
      <w:marRight w:val="0"/>
      <w:marTop w:val="0"/>
      <w:marBottom w:val="0"/>
      <w:divBdr>
        <w:top w:val="none" w:sz="0" w:space="0" w:color="auto"/>
        <w:left w:val="none" w:sz="0" w:space="0" w:color="auto"/>
        <w:bottom w:val="none" w:sz="0" w:space="0" w:color="auto"/>
        <w:right w:val="none" w:sz="0" w:space="0" w:color="auto"/>
      </w:divBdr>
    </w:div>
    <w:div w:id="2036074658">
      <w:bodyDiv w:val="1"/>
      <w:marLeft w:val="0"/>
      <w:marRight w:val="0"/>
      <w:marTop w:val="0"/>
      <w:marBottom w:val="0"/>
      <w:divBdr>
        <w:top w:val="none" w:sz="0" w:space="0" w:color="auto"/>
        <w:left w:val="none" w:sz="0" w:space="0" w:color="auto"/>
        <w:bottom w:val="none" w:sz="0" w:space="0" w:color="auto"/>
        <w:right w:val="none" w:sz="0" w:space="0" w:color="auto"/>
      </w:divBdr>
    </w:div>
    <w:div w:id="2039155737">
      <w:bodyDiv w:val="1"/>
      <w:marLeft w:val="0"/>
      <w:marRight w:val="0"/>
      <w:marTop w:val="0"/>
      <w:marBottom w:val="0"/>
      <w:divBdr>
        <w:top w:val="none" w:sz="0" w:space="0" w:color="auto"/>
        <w:left w:val="none" w:sz="0" w:space="0" w:color="auto"/>
        <w:bottom w:val="none" w:sz="0" w:space="0" w:color="auto"/>
        <w:right w:val="none" w:sz="0" w:space="0" w:color="auto"/>
      </w:divBdr>
    </w:div>
    <w:div w:id="2043164244">
      <w:bodyDiv w:val="1"/>
      <w:marLeft w:val="0"/>
      <w:marRight w:val="0"/>
      <w:marTop w:val="0"/>
      <w:marBottom w:val="0"/>
      <w:divBdr>
        <w:top w:val="none" w:sz="0" w:space="0" w:color="auto"/>
        <w:left w:val="none" w:sz="0" w:space="0" w:color="auto"/>
        <w:bottom w:val="none" w:sz="0" w:space="0" w:color="auto"/>
        <w:right w:val="none" w:sz="0" w:space="0" w:color="auto"/>
      </w:divBdr>
    </w:div>
    <w:div w:id="2045132375">
      <w:bodyDiv w:val="1"/>
      <w:marLeft w:val="0"/>
      <w:marRight w:val="0"/>
      <w:marTop w:val="0"/>
      <w:marBottom w:val="0"/>
      <w:divBdr>
        <w:top w:val="none" w:sz="0" w:space="0" w:color="auto"/>
        <w:left w:val="none" w:sz="0" w:space="0" w:color="auto"/>
        <w:bottom w:val="none" w:sz="0" w:space="0" w:color="auto"/>
        <w:right w:val="none" w:sz="0" w:space="0" w:color="auto"/>
      </w:divBdr>
    </w:div>
    <w:div w:id="2057578390">
      <w:bodyDiv w:val="1"/>
      <w:marLeft w:val="0"/>
      <w:marRight w:val="0"/>
      <w:marTop w:val="0"/>
      <w:marBottom w:val="0"/>
      <w:divBdr>
        <w:top w:val="none" w:sz="0" w:space="0" w:color="auto"/>
        <w:left w:val="none" w:sz="0" w:space="0" w:color="auto"/>
        <w:bottom w:val="none" w:sz="0" w:space="0" w:color="auto"/>
        <w:right w:val="none" w:sz="0" w:space="0" w:color="auto"/>
      </w:divBdr>
    </w:div>
    <w:div w:id="2062243160">
      <w:bodyDiv w:val="1"/>
      <w:marLeft w:val="0"/>
      <w:marRight w:val="0"/>
      <w:marTop w:val="0"/>
      <w:marBottom w:val="0"/>
      <w:divBdr>
        <w:top w:val="none" w:sz="0" w:space="0" w:color="auto"/>
        <w:left w:val="none" w:sz="0" w:space="0" w:color="auto"/>
        <w:bottom w:val="none" w:sz="0" w:space="0" w:color="auto"/>
        <w:right w:val="none" w:sz="0" w:space="0" w:color="auto"/>
      </w:divBdr>
    </w:div>
    <w:div w:id="2063164122">
      <w:bodyDiv w:val="1"/>
      <w:marLeft w:val="0"/>
      <w:marRight w:val="0"/>
      <w:marTop w:val="0"/>
      <w:marBottom w:val="0"/>
      <w:divBdr>
        <w:top w:val="none" w:sz="0" w:space="0" w:color="auto"/>
        <w:left w:val="none" w:sz="0" w:space="0" w:color="auto"/>
        <w:bottom w:val="none" w:sz="0" w:space="0" w:color="auto"/>
        <w:right w:val="none" w:sz="0" w:space="0" w:color="auto"/>
      </w:divBdr>
    </w:div>
    <w:div w:id="2076509412">
      <w:bodyDiv w:val="1"/>
      <w:marLeft w:val="0"/>
      <w:marRight w:val="0"/>
      <w:marTop w:val="0"/>
      <w:marBottom w:val="0"/>
      <w:divBdr>
        <w:top w:val="none" w:sz="0" w:space="0" w:color="auto"/>
        <w:left w:val="none" w:sz="0" w:space="0" w:color="auto"/>
        <w:bottom w:val="none" w:sz="0" w:space="0" w:color="auto"/>
        <w:right w:val="none" w:sz="0" w:space="0" w:color="auto"/>
      </w:divBdr>
    </w:div>
    <w:div w:id="2095854577">
      <w:bodyDiv w:val="1"/>
      <w:marLeft w:val="0"/>
      <w:marRight w:val="0"/>
      <w:marTop w:val="0"/>
      <w:marBottom w:val="0"/>
      <w:divBdr>
        <w:top w:val="none" w:sz="0" w:space="0" w:color="auto"/>
        <w:left w:val="none" w:sz="0" w:space="0" w:color="auto"/>
        <w:bottom w:val="none" w:sz="0" w:space="0" w:color="auto"/>
        <w:right w:val="none" w:sz="0" w:space="0" w:color="auto"/>
      </w:divBdr>
    </w:div>
    <w:div w:id="2103261185">
      <w:bodyDiv w:val="1"/>
      <w:marLeft w:val="0"/>
      <w:marRight w:val="0"/>
      <w:marTop w:val="0"/>
      <w:marBottom w:val="0"/>
      <w:divBdr>
        <w:top w:val="none" w:sz="0" w:space="0" w:color="auto"/>
        <w:left w:val="none" w:sz="0" w:space="0" w:color="auto"/>
        <w:bottom w:val="none" w:sz="0" w:space="0" w:color="auto"/>
        <w:right w:val="none" w:sz="0" w:space="0" w:color="auto"/>
      </w:divBdr>
    </w:div>
    <w:div w:id="2104254215">
      <w:bodyDiv w:val="1"/>
      <w:marLeft w:val="0"/>
      <w:marRight w:val="0"/>
      <w:marTop w:val="0"/>
      <w:marBottom w:val="0"/>
      <w:divBdr>
        <w:top w:val="none" w:sz="0" w:space="0" w:color="auto"/>
        <w:left w:val="none" w:sz="0" w:space="0" w:color="auto"/>
        <w:bottom w:val="none" w:sz="0" w:space="0" w:color="auto"/>
        <w:right w:val="none" w:sz="0" w:space="0" w:color="auto"/>
      </w:divBdr>
    </w:div>
    <w:div w:id="2111048352">
      <w:bodyDiv w:val="1"/>
      <w:marLeft w:val="0"/>
      <w:marRight w:val="0"/>
      <w:marTop w:val="0"/>
      <w:marBottom w:val="0"/>
      <w:divBdr>
        <w:top w:val="none" w:sz="0" w:space="0" w:color="auto"/>
        <w:left w:val="none" w:sz="0" w:space="0" w:color="auto"/>
        <w:bottom w:val="none" w:sz="0" w:space="0" w:color="auto"/>
        <w:right w:val="none" w:sz="0" w:space="0" w:color="auto"/>
      </w:divBdr>
    </w:div>
    <w:div w:id="2113236432">
      <w:bodyDiv w:val="1"/>
      <w:marLeft w:val="0"/>
      <w:marRight w:val="0"/>
      <w:marTop w:val="0"/>
      <w:marBottom w:val="0"/>
      <w:divBdr>
        <w:top w:val="none" w:sz="0" w:space="0" w:color="auto"/>
        <w:left w:val="none" w:sz="0" w:space="0" w:color="auto"/>
        <w:bottom w:val="none" w:sz="0" w:space="0" w:color="auto"/>
        <w:right w:val="none" w:sz="0" w:space="0" w:color="auto"/>
      </w:divBdr>
    </w:div>
    <w:div w:id="2120055131">
      <w:bodyDiv w:val="1"/>
      <w:marLeft w:val="0"/>
      <w:marRight w:val="0"/>
      <w:marTop w:val="0"/>
      <w:marBottom w:val="0"/>
      <w:divBdr>
        <w:top w:val="none" w:sz="0" w:space="0" w:color="auto"/>
        <w:left w:val="none" w:sz="0" w:space="0" w:color="auto"/>
        <w:bottom w:val="none" w:sz="0" w:space="0" w:color="auto"/>
        <w:right w:val="none" w:sz="0" w:space="0" w:color="auto"/>
      </w:divBdr>
    </w:div>
    <w:div w:id="2134977794">
      <w:bodyDiv w:val="1"/>
      <w:marLeft w:val="0"/>
      <w:marRight w:val="0"/>
      <w:marTop w:val="0"/>
      <w:marBottom w:val="0"/>
      <w:divBdr>
        <w:top w:val="none" w:sz="0" w:space="0" w:color="auto"/>
        <w:left w:val="none" w:sz="0" w:space="0" w:color="auto"/>
        <w:bottom w:val="none" w:sz="0" w:space="0" w:color="auto"/>
        <w:right w:val="none" w:sz="0" w:space="0" w:color="auto"/>
      </w:divBdr>
    </w:div>
    <w:div w:id="214141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aofm.gov.au/"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documenttasks/documenttasks1.xml><?xml version="1.0" encoding="utf-8"?>
<t:Tasks xmlns:t="http://schemas.microsoft.com/office/tasks/2019/documenttasks" xmlns:oel="http://schemas.microsoft.com/office/2019/extlst">
  <t:Task id="{A09C7DA9-1890-447B-9EF4-22E17369BA58}">
    <t:Anchor>
      <t:Comment id="1265293242"/>
    </t:Anchor>
    <t:History>
      <t:Event id="{E961A5DE-AAD2-40F7-A1F7-A71F0E589C24}" time="2022-03-21T00:04:17.694Z">
        <t:Attribution userId="S::luke.beveridge@aofm.gov.au::17260bcb-ccdd-4780-ad27-7b11879e0472" userProvider="AD" userName="Beveridge, Luke"/>
        <t:Anchor>
          <t:Comment id="1265293242"/>
        </t:Anchor>
        <t:Create/>
      </t:Event>
      <t:Event id="{707E0D3F-9C85-40F0-9A13-87535D1C8C75}" time="2022-03-21T00:04:17.694Z">
        <t:Attribution userId="S::luke.beveridge@aofm.gov.au::17260bcb-ccdd-4780-ad27-7b11879e0472" userProvider="AD" userName="Beveridge, Luke"/>
        <t:Anchor>
          <t:Comment id="1265293242"/>
        </t:Anchor>
        <t:Assign userId="S::Leigh.Cunnington@TREASURY.GOV.AU::0ce07ca7-d217-4da3-8e25-d0e7a91dda57" userProvider="AD" userName="Cunnington, Leigh"/>
      </t:Event>
      <t:Event id="{C84E691C-1A1C-494E-989F-BF79B1FB844D}" time="2022-03-21T00:04:17.694Z">
        <t:Attribution userId="S::luke.beveridge@aofm.gov.au::17260bcb-ccdd-4780-ad27-7b11879e0472" userProvider="AD" userName="Beveridge, Luke"/>
        <t:Anchor>
          <t:Comment id="1265293242"/>
        </t:Anchor>
        <t:SetTitle title="@Cunnington, Leigh this impact should have flushed out by now and the note will not be relevant."/>
      </t:Event>
      <t:Event id="{B197D6F9-BD52-4CB4-BC03-7C1F7AAB5C4C}" time="2022-03-21T00:28:22.51Z">
        <t:Attribution userId="S::luke.beveridge@aofm.gov.au::17260bcb-ccdd-4780-ad27-7b11879e0472" userProvider="AD" userName="Beveridge, Luke"/>
        <t:Progress percentComplete="100"/>
      </t:Event>
    </t:History>
  </t:Task>
</t:Task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FD196-2C61-4602-9365-B4965CA4FC5A}">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B070701-89F9-4AB4-B0D4-88437F410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BBD7B396-6A7A-4BCE-A4C8-432C27150F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348</TotalTime>
  <Pages>17</Pages>
  <Words>4024</Words>
  <Characters>22940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 - The Treasury</Company>
  <LinksUpToDate>false</LinksUpToDate>
  <CharactersWithSpaces>26911</CharactersWithSpaces>
  <SharedDoc>false</SharedDoc>
  <HLinks>
    <vt:vector size="6" baseType="variant">
      <vt:variant>
        <vt:i4>1376349</vt:i4>
      </vt:variant>
      <vt:variant>
        <vt:i4>89</vt:i4>
      </vt:variant>
      <vt:variant>
        <vt:i4>0</vt:i4>
      </vt:variant>
      <vt:variant>
        <vt:i4>5</vt:i4>
      </vt:variant>
      <vt:variant>
        <vt:lpwstr>https://www.aofm.gov.au/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6: Debt Statement</dc:subject>
  <dc:creator>Australian Government</dc:creator>
  <cp:keywords/>
  <dc:description/>
  <cp:lastModifiedBy>Palmer, Selene</cp:lastModifiedBy>
  <cp:revision>138</cp:revision>
  <cp:lastPrinted>2022-03-29T23:58:00Z</cp:lastPrinted>
  <dcterms:created xsi:type="dcterms:W3CDTF">2022-03-26T23:52:00Z</dcterms:created>
  <dcterms:modified xsi:type="dcterms:W3CDTF">2022-03-29T23:58:00Z</dcterms:modified>
</cp:coreProperties>
</file>