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1E7A" w14:textId="28C7E4CB" w:rsidR="00C12E01" w:rsidRPr="00FA7FA8" w:rsidRDefault="003C05EA" w:rsidP="00C12E01">
      <w:pPr>
        <w:pStyle w:val="Heading1"/>
      </w:pPr>
      <w:r w:rsidRPr="00FA7FA8">
        <w:t xml:space="preserve">Statement </w:t>
      </w:r>
      <w:r w:rsidR="00BD4534" w:rsidRPr="00FA7FA8">
        <w:t>7</w:t>
      </w:r>
      <w:r w:rsidRPr="00FA7FA8">
        <w:t>: Forecasting Performance and Sensitivity Analysis</w:t>
      </w:r>
    </w:p>
    <w:tbl>
      <w:tblPr>
        <w:tblW w:w="5000" w:type="pct"/>
        <w:shd w:val="clear" w:color="auto" w:fill="F2F9FC"/>
        <w:tblCellMar>
          <w:top w:w="284" w:type="dxa"/>
          <w:left w:w="284" w:type="dxa"/>
          <w:bottom w:w="284" w:type="dxa"/>
          <w:right w:w="284" w:type="dxa"/>
        </w:tblCellMar>
        <w:tblLook w:val="0000" w:firstRow="0" w:lastRow="0" w:firstColumn="0" w:lastColumn="0" w:noHBand="0" w:noVBand="0"/>
      </w:tblPr>
      <w:tblGrid>
        <w:gridCol w:w="7710"/>
      </w:tblGrid>
      <w:tr w:rsidR="003C05EA" w:rsidRPr="002A31D3" w14:paraId="700FF824" w14:textId="77777777" w:rsidTr="005C2055">
        <w:trPr>
          <w:cantSplit/>
        </w:trPr>
        <w:tc>
          <w:tcPr>
            <w:tcW w:w="5000" w:type="pct"/>
            <w:shd w:val="clear" w:color="auto" w:fill="F2F9FC"/>
            <w:tcMar>
              <w:top w:w="284" w:type="dxa"/>
              <w:left w:w="284" w:type="dxa"/>
              <w:bottom w:w="284" w:type="dxa"/>
              <w:right w:w="284" w:type="dxa"/>
            </w:tcMar>
          </w:tcPr>
          <w:p w14:paraId="0E21AC5D" w14:textId="242E57BE" w:rsidR="003C05EA" w:rsidRPr="00FA7FA8" w:rsidRDefault="003C05EA" w:rsidP="00A93C63">
            <w:pPr>
              <w:pStyle w:val="OverviewParagraph"/>
            </w:pPr>
            <w:r w:rsidRPr="00FA7FA8">
              <w:t xml:space="preserve">The economic and fiscal forecasts and projections presented in the </w:t>
            </w:r>
            <w:r w:rsidR="00E341B8" w:rsidRPr="00FA7FA8">
              <w:t>2022</w:t>
            </w:r>
            <w:r w:rsidR="00C702F0" w:rsidRPr="00FA7FA8">
              <w:noBreakHyphen/>
            </w:r>
            <w:r w:rsidR="00E341B8" w:rsidRPr="00FA7FA8">
              <w:t>23</w:t>
            </w:r>
            <w:r w:rsidRPr="00FA7FA8">
              <w:t xml:space="preserve"> Budget incorporate a range of assumptions taken, and judgments made, at the time of preparation. While these figures reflect the best available information at the time, the economic and fiscal circumstances that eventuate may be different from those forecast. </w:t>
            </w:r>
            <w:bookmarkStart w:id="0" w:name="_Hlk69751394"/>
          </w:p>
          <w:p w14:paraId="3CDE31FE" w14:textId="017B428D" w:rsidR="003C05EA" w:rsidRPr="00FA7FA8" w:rsidRDefault="007D27FA" w:rsidP="00A93C63">
            <w:pPr>
              <w:pStyle w:val="OverviewParagraph"/>
            </w:pPr>
            <w:r w:rsidRPr="00FA7FA8">
              <w:t>T</w:t>
            </w:r>
            <w:r w:rsidR="00403857" w:rsidRPr="00FA7FA8">
              <w:t xml:space="preserve">he </w:t>
            </w:r>
            <w:r w:rsidR="00AD2138" w:rsidRPr="00FA7FA8">
              <w:t>large forecast errors in 2019</w:t>
            </w:r>
            <w:r w:rsidR="00C702F0" w:rsidRPr="00FA7FA8">
              <w:noBreakHyphen/>
            </w:r>
            <w:r w:rsidR="00AD2138" w:rsidRPr="00FA7FA8">
              <w:t>20 and 2020</w:t>
            </w:r>
            <w:r w:rsidR="00C702F0" w:rsidRPr="00FA7FA8">
              <w:noBreakHyphen/>
            </w:r>
            <w:r w:rsidR="00AD2138" w:rsidRPr="00FA7FA8">
              <w:t>21 due to the</w:t>
            </w:r>
            <w:r w:rsidR="00672B33" w:rsidRPr="00FA7FA8">
              <w:t xml:space="preserve"> COVID</w:t>
            </w:r>
            <w:r w:rsidR="00C702F0" w:rsidRPr="00FA7FA8">
              <w:noBreakHyphen/>
            </w:r>
            <w:r w:rsidR="00672B33" w:rsidRPr="00FA7FA8">
              <w:t xml:space="preserve">19 pandemic </w:t>
            </w:r>
            <w:r w:rsidR="00AD2138" w:rsidRPr="00FA7FA8">
              <w:t xml:space="preserve">show that </w:t>
            </w:r>
            <w:r w:rsidR="002F25D1" w:rsidRPr="00FA7FA8">
              <w:t xml:space="preserve">there is heightened uncertainty in </w:t>
            </w:r>
            <w:r w:rsidR="00134E1A" w:rsidRPr="00FA7FA8">
              <w:t>the</w:t>
            </w:r>
            <w:r w:rsidR="002F25D1" w:rsidRPr="00FA7FA8">
              <w:t xml:space="preserve"> forecasts</w:t>
            </w:r>
            <w:r w:rsidR="00912818" w:rsidRPr="00FA7FA8">
              <w:t xml:space="preserve">. </w:t>
            </w:r>
            <w:r w:rsidR="00005152" w:rsidRPr="00FA7FA8">
              <w:t xml:space="preserve">In addition to </w:t>
            </w:r>
            <w:r w:rsidR="009A2FAC" w:rsidRPr="00FA7FA8">
              <w:t>the</w:t>
            </w:r>
            <w:r w:rsidR="005968CB" w:rsidRPr="00FA7FA8">
              <w:t xml:space="preserve"> uncertainties</w:t>
            </w:r>
            <w:bookmarkEnd w:id="0"/>
            <w:r w:rsidR="00A87AB8" w:rsidRPr="00FA7FA8">
              <w:t xml:space="preserve"> of</w:t>
            </w:r>
            <w:r w:rsidR="00C4440B" w:rsidRPr="00FA7FA8">
              <w:t xml:space="preserve"> </w:t>
            </w:r>
            <w:r w:rsidR="0087463A" w:rsidRPr="00FA7FA8">
              <w:t>living with COVID</w:t>
            </w:r>
            <w:r w:rsidR="00C702F0" w:rsidRPr="00FA7FA8">
              <w:noBreakHyphen/>
            </w:r>
            <w:r w:rsidR="0087463A" w:rsidRPr="00FA7FA8">
              <w:t>19</w:t>
            </w:r>
            <w:r w:rsidR="009A2FAC" w:rsidRPr="00FA7FA8">
              <w:t>,</w:t>
            </w:r>
            <w:r w:rsidR="000F7AD6" w:rsidRPr="00FA7FA8">
              <w:t xml:space="preserve"> </w:t>
            </w:r>
            <w:r w:rsidR="00250021" w:rsidRPr="00FA7FA8">
              <w:t>Russia</w:t>
            </w:r>
            <w:r w:rsidR="00C702F0" w:rsidRPr="00FA7FA8">
              <w:t>’</w:t>
            </w:r>
            <w:r w:rsidR="00250021" w:rsidRPr="00FA7FA8">
              <w:t>s invasion of</w:t>
            </w:r>
            <w:r w:rsidR="001947E7" w:rsidRPr="00FA7FA8">
              <w:t xml:space="preserve"> </w:t>
            </w:r>
            <w:r w:rsidR="009B0E66" w:rsidRPr="00FA7FA8">
              <w:t>Ukraine</w:t>
            </w:r>
            <w:r w:rsidR="00E97112" w:rsidRPr="00FA7FA8">
              <w:t xml:space="preserve"> </w:t>
            </w:r>
            <w:r w:rsidR="003C05EA" w:rsidRPr="00FA7FA8">
              <w:t>could increase the extent to which ultimate outcomes</w:t>
            </w:r>
            <w:r w:rsidR="00442BA4" w:rsidRPr="00FA7FA8">
              <w:t xml:space="preserve"> vary </w:t>
            </w:r>
            <w:r w:rsidR="003C05EA" w:rsidRPr="00FA7FA8">
              <w:t xml:space="preserve">from the </w:t>
            </w:r>
            <w:r w:rsidR="00442BA4" w:rsidRPr="00FA7FA8">
              <w:t>current forecasts</w:t>
            </w:r>
            <w:r w:rsidR="003C05EA" w:rsidRPr="00FA7FA8">
              <w:t>.</w:t>
            </w:r>
            <w:r w:rsidR="00F43F90" w:rsidRPr="00FA7FA8">
              <w:t xml:space="preserve"> </w:t>
            </w:r>
          </w:p>
          <w:p w14:paraId="3330BEAE" w14:textId="2A7F5196" w:rsidR="003C05EA" w:rsidRPr="00FA7FA8" w:rsidRDefault="003C05EA" w:rsidP="00A93C63">
            <w:pPr>
              <w:pStyle w:val="OverviewParagraph"/>
            </w:pPr>
            <w:r w:rsidRPr="00FA7FA8">
              <w:t>This Statement assesses the performance of previous forecasts as well as the inherent risk around the current forecasts using confidence interval analysis. The Statement also presents sensitivity analyses that illustrate the impacts of alternative underlying assumptions</w:t>
            </w:r>
            <w:r w:rsidR="00A754FC" w:rsidRPr="00FA7FA8">
              <w:t xml:space="preserve"> on economic and fiscal forecasts</w:t>
            </w:r>
            <w:r w:rsidRPr="00FA7FA8">
              <w:t xml:space="preserve">. </w:t>
            </w:r>
          </w:p>
        </w:tc>
      </w:tr>
    </w:tbl>
    <w:p w14:paraId="2FAF829A" w14:textId="69F673A3" w:rsidR="003C05EA" w:rsidRPr="00FA7FA8" w:rsidRDefault="003C05EA" w:rsidP="003C05EA">
      <w:pPr>
        <w:pStyle w:val="SingleParagraph"/>
      </w:pPr>
    </w:p>
    <w:p w14:paraId="7B321BCB" w14:textId="77777777" w:rsidR="003C05EA" w:rsidRPr="00FA7FA8" w:rsidRDefault="003C05EA" w:rsidP="003C05EA">
      <w:pPr>
        <w:pStyle w:val="ContentsHeading"/>
      </w:pPr>
      <w:r w:rsidRPr="00FA7FA8">
        <w:t>Contents</w:t>
      </w:r>
    </w:p>
    <w:p w14:paraId="2F34089C" w14:textId="6E6FCED1" w:rsidR="002D5823" w:rsidRPr="00FA7FA8" w:rsidRDefault="002D5823" w:rsidP="002D5823">
      <w:pPr>
        <w:pStyle w:val="TOC1"/>
        <w:rPr>
          <w:rFonts w:asciiTheme="minorHAnsi" w:eastAsiaTheme="minorEastAsia" w:hAnsiTheme="minorHAnsi" w:cstheme="minorBidi"/>
          <w:b w:val="0"/>
          <w:noProof/>
          <w:szCs w:val="22"/>
        </w:rPr>
      </w:pPr>
      <w:r w:rsidRPr="00FA7FA8">
        <w:fldChar w:fldCharType="begin"/>
      </w:r>
      <w:r w:rsidRPr="00FA7FA8">
        <w:instrText xml:space="preserve"> TOC \t "Heading 2,1,Heading 3,2,Appendix Heading,1" </w:instrText>
      </w:r>
      <w:r w:rsidRPr="00FA7FA8">
        <w:fldChar w:fldCharType="separate"/>
      </w:r>
      <w:r w:rsidRPr="00FA7FA8">
        <w:rPr>
          <w:noProof/>
        </w:rPr>
        <w:t>Overview</w:t>
      </w:r>
      <w:r w:rsidRPr="00FA7FA8">
        <w:rPr>
          <w:noProof/>
        </w:rPr>
        <w:tab/>
      </w:r>
      <w:r w:rsidRPr="00FA7FA8">
        <w:rPr>
          <w:noProof/>
        </w:rPr>
        <w:fldChar w:fldCharType="begin"/>
      </w:r>
      <w:r w:rsidRPr="00FA7FA8">
        <w:rPr>
          <w:noProof/>
        </w:rPr>
        <w:instrText xml:space="preserve"> PAGEREF _Toc99026269 \h </w:instrText>
      </w:r>
      <w:r w:rsidRPr="00FA7FA8">
        <w:rPr>
          <w:noProof/>
        </w:rPr>
      </w:r>
      <w:r w:rsidRPr="00FA7FA8">
        <w:rPr>
          <w:noProof/>
        </w:rPr>
        <w:fldChar w:fldCharType="separate"/>
      </w:r>
      <w:r w:rsidR="00310471">
        <w:rPr>
          <w:noProof/>
        </w:rPr>
        <w:t>203</w:t>
      </w:r>
      <w:r w:rsidRPr="00FA7FA8">
        <w:rPr>
          <w:noProof/>
        </w:rPr>
        <w:fldChar w:fldCharType="end"/>
      </w:r>
    </w:p>
    <w:p w14:paraId="7A3B0C2E" w14:textId="7DF4B13C" w:rsidR="002D5823" w:rsidRPr="00FA7FA8" w:rsidRDefault="002D5823" w:rsidP="002D5823">
      <w:pPr>
        <w:pStyle w:val="TOC1"/>
        <w:rPr>
          <w:rFonts w:asciiTheme="minorHAnsi" w:eastAsiaTheme="minorEastAsia" w:hAnsiTheme="minorHAnsi" w:cstheme="minorBidi"/>
          <w:b w:val="0"/>
          <w:noProof/>
          <w:szCs w:val="22"/>
        </w:rPr>
      </w:pPr>
      <w:r w:rsidRPr="00FA7FA8">
        <w:rPr>
          <w:noProof/>
        </w:rPr>
        <w:t>Assessing historical forecasting performance</w:t>
      </w:r>
      <w:r w:rsidRPr="00FA7FA8">
        <w:rPr>
          <w:noProof/>
        </w:rPr>
        <w:tab/>
      </w:r>
      <w:r w:rsidRPr="00FA7FA8">
        <w:rPr>
          <w:noProof/>
        </w:rPr>
        <w:fldChar w:fldCharType="begin"/>
      </w:r>
      <w:r w:rsidRPr="00FA7FA8">
        <w:rPr>
          <w:noProof/>
        </w:rPr>
        <w:instrText xml:space="preserve"> PAGEREF _Toc99026270 \h </w:instrText>
      </w:r>
      <w:r w:rsidRPr="00FA7FA8">
        <w:rPr>
          <w:noProof/>
        </w:rPr>
      </w:r>
      <w:r w:rsidRPr="00FA7FA8">
        <w:rPr>
          <w:noProof/>
        </w:rPr>
        <w:fldChar w:fldCharType="separate"/>
      </w:r>
      <w:r w:rsidR="00310471">
        <w:rPr>
          <w:noProof/>
        </w:rPr>
        <w:t>204</w:t>
      </w:r>
      <w:r w:rsidRPr="00FA7FA8">
        <w:rPr>
          <w:noProof/>
        </w:rPr>
        <w:fldChar w:fldCharType="end"/>
      </w:r>
    </w:p>
    <w:p w14:paraId="464F33CD" w14:textId="52645B55" w:rsidR="002D5823" w:rsidRPr="00FA7FA8" w:rsidRDefault="002D5823" w:rsidP="002D5823">
      <w:pPr>
        <w:pStyle w:val="TOC2"/>
        <w:rPr>
          <w:rFonts w:asciiTheme="minorHAnsi" w:eastAsiaTheme="minorEastAsia" w:hAnsiTheme="minorHAnsi" w:cstheme="minorBidi"/>
          <w:noProof/>
          <w:sz w:val="22"/>
          <w:szCs w:val="22"/>
        </w:rPr>
      </w:pPr>
      <w:r w:rsidRPr="00FA7FA8">
        <w:rPr>
          <w:noProof/>
        </w:rPr>
        <w:t>Economic forecasting performance</w:t>
      </w:r>
      <w:r w:rsidRPr="00FA7FA8">
        <w:rPr>
          <w:noProof/>
        </w:rPr>
        <w:tab/>
      </w:r>
      <w:r w:rsidRPr="00FA7FA8">
        <w:rPr>
          <w:noProof/>
        </w:rPr>
        <w:fldChar w:fldCharType="begin"/>
      </w:r>
      <w:r w:rsidRPr="00FA7FA8">
        <w:rPr>
          <w:noProof/>
        </w:rPr>
        <w:instrText xml:space="preserve"> PAGEREF _Toc99026271 \h </w:instrText>
      </w:r>
      <w:r w:rsidRPr="00FA7FA8">
        <w:rPr>
          <w:noProof/>
        </w:rPr>
      </w:r>
      <w:r w:rsidRPr="00FA7FA8">
        <w:rPr>
          <w:noProof/>
        </w:rPr>
        <w:fldChar w:fldCharType="separate"/>
      </w:r>
      <w:r w:rsidR="00310471">
        <w:rPr>
          <w:noProof/>
        </w:rPr>
        <w:t>204</w:t>
      </w:r>
      <w:r w:rsidRPr="00FA7FA8">
        <w:rPr>
          <w:noProof/>
        </w:rPr>
        <w:fldChar w:fldCharType="end"/>
      </w:r>
    </w:p>
    <w:p w14:paraId="6783194F" w14:textId="6E36640E" w:rsidR="002D5823" w:rsidRPr="00FA7FA8" w:rsidRDefault="002D5823" w:rsidP="002D5823">
      <w:pPr>
        <w:pStyle w:val="TOC2"/>
        <w:rPr>
          <w:rFonts w:asciiTheme="minorHAnsi" w:eastAsiaTheme="minorEastAsia" w:hAnsiTheme="minorHAnsi" w:cstheme="minorBidi"/>
          <w:noProof/>
          <w:sz w:val="22"/>
          <w:szCs w:val="22"/>
        </w:rPr>
      </w:pPr>
      <w:r w:rsidRPr="00FA7FA8">
        <w:rPr>
          <w:noProof/>
        </w:rPr>
        <w:t>Tax receipts forecasting performance</w:t>
      </w:r>
      <w:r w:rsidRPr="00FA7FA8">
        <w:rPr>
          <w:noProof/>
        </w:rPr>
        <w:tab/>
      </w:r>
      <w:r w:rsidRPr="00FA7FA8">
        <w:rPr>
          <w:noProof/>
        </w:rPr>
        <w:fldChar w:fldCharType="begin"/>
      </w:r>
      <w:r w:rsidRPr="00FA7FA8">
        <w:rPr>
          <w:noProof/>
        </w:rPr>
        <w:instrText xml:space="preserve"> PAGEREF _Toc99026272 \h </w:instrText>
      </w:r>
      <w:r w:rsidRPr="00FA7FA8">
        <w:rPr>
          <w:noProof/>
        </w:rPr>
      </w:r>
      <w:r w:rsidRPr="00FA7FA8">
        <w:rPr>
          <w:noProof/>
        </w:rPr>
        <w:fldChar w:fldCharType="separate"/>
      </w:r>
      <w:r w:rsidR="00310471">
        <w:rPr>
          <w:noProof/>
        </w:rPr>
        <w:t>206</w:t>
      </w:r>
      <w:r w:rsidRPr="00FA7FA8">
        <w:rPr>
          <w:noProof/>
        </w:rPr>
        <w:fldChar w:fldCharType="end"/>
      </w:r>
    </w:p>
    <w:p w14:paraId="2B6EE3BC" w14:textId="76E16383" w:rsidR="002D5823" w:rsidRPr="00FA7FA8" w:rsidRDefault="002D5823" w:rsidP="002D5823">
      <w:pPr>
        <w:pStyle w:val="TOC1"/>
        <w:rPr>
          <w:rFonts w:asciiTheme="minorHAnsi" w:eastAsiaTheme="minorEastAsia" w:hAnsiTheme="minorHAnsi" w:cstheme="minorBidi"/>
          <w:b w:val="0"/>
          <w:noProof/>
          <w:szCs w:val="22"/>
        </w:rPr>
      </w:pPr>
      <w:r w:rsidRPr="00FA7FA8">
        <w:rPr>
          <w:noProof/>
        </w:rPr>
        <w:t>Assessing current forecasts through confidence interval analysis</w:t>
      </w:r>
      <w:r w:rsidRPr="00FA7FA8">
        <w:rPr>
          <w:noProof/>
        </w:rPr>
        <w:tab/>
      </w:r>
      <w:r w:rsidRPr="00FA7FA8">
        <w:rPr>
          <w:noProof/>
        </w:rPr>
        <w:fldChar w:fldCharType="begin"/>
      </w:r>
      <w:r w:rsidRPr="00FA7FA8">
        <w:rPr>
          <w:noProof/>
        </w:rPr>
        <w:instrText xml:space="preserve"> PAGEREF _Toc99026273 \h </w:instrText>
      </w:r>
      <w:r w:rsidRPr="00FA7FA8">
        <w:rPr>
          <w:noProof/>
        </w:rPr>
      </w:r>
      <w:r w:rsidRPr="00FA7FA8">
        <w:rPr>
          <w:noProof/>
        </w:rPr>
        <w:fldChar w:fldCharType="separate"/>
      </w:r>
      <w:r w:rsidR="00310471">
        <w:rPr>
          <w:noProof/>
        </w:rPr>
        <w:t>208</w:t>
      </w:r>
      <w:r w:rsidRPr="00FA7FA8">
        <w:rPr>
          <w:noProof/>
        </w:rPr>
        <w:fldChar w:fldCharType="end"/>
      </w:r>
    </w:p>
    <w:p w14:paraId="58237CAF" w14:textId="640882CF" w:rsidR="002D5823" w:rsidRPr="00FA7FA8" w:rsidRDefault="002D5823" w:rsidP="002D5823">
      <w:pPr>
        <w:pStyle w:val="TOC2"/>
        <w:rPr>
          <w:rFonts w:asciiTheme="minorHAnsi" w:eastAsiaTheme="minorEastAsia" w:hAnsiTheme="minorHAnsi" w:cstheme="minorBidi"/>
          <w:noProof/>
          <w:sz w:val="22"/>
          <w:szCs w:val="22"/>
        </w:rPr>
      </w:pPr>
      <w:r w:rsidRPr="00FA7FA8">
        <w:rPr>
          <w:noProof/>
        </w:rPr>
        <w:t>Economic uncertainty based on historical forecast errors</w:t>
      </w:r>
      <w:r w:rsidRPr="00FA7FA8">
        <w:rPr>
          <w:noProof/>
        </w:rPr>
        <w:tab/>
      </w:r>
      <w:r w:rsidRPr="00FA7FA8">
        <w:rPr>
          <w:noProof/>
        </w:rPr>
        <w:fldChar w:fldCharType="begin"/>
      </w:r>
      <w:r w:rsidRPr="00FA7FA8">
        <w:rPr>
          <w:noProof/>
        </w:rPr>
        <w:instrText xml:space="preserve"> PAGEREF _Toc99026274 \h </w:instrText>
      </w:r>
      <w:r w:rsidRPr="00FA7FA8">
        <w:rPr>
          <w:noProof/>
        </w:rPr>
      </w:r>
      <w:r w:rsidRPr="00FA7FA8">
        <w:rPr>
          <w:noProof/>
        </w:rPr>
        <w:fldChar w:fldCharType="separate"/>
      </w:r>
      <w:r w:rsidR="00310471">
        <w:rPr>
          <w:noProof/>
        </w:rPr>
        <w:t>208</w:t>
      </w:r>
      <w:r w:rsidRPr="00FA7FA8">
        <w:rPr>
          <w:noProof/>
        </w:rPr>
        <w:fldChar w:fldCharType="end"/>
      </w:r>
    </w:p>
    <w:p w14:paraId="64733A29" w14:textId="51BCD865" w:rsidR="002D5823" w:rsidRPr="00FA7FA8" w:rsidRDefault="002D5823" w:rsidP="002D5823">
      <w:pPr>
        <w:pStyle w:val="TOC2"/>
        <w:rPr>
          <w:rFonts w:asciiTheme="minorHAnsi" w:eastAsiaTheme="minorEastAsia" w:hAnsiTheme="minorHAnsi" w:cstheme="minorBidi"/>
          <w:noProof/>
          <w:sz w:val="22"/>
          <w:szCs w:val="22"/>
        </w:rPr>
      </w:pPr>
      <w:r w:rsidRPr="00FA7FA8">
        <w:rPr>
          <w:noProof/>
        </w:rPr>
        <w:t>Fiscal uncertainty based on historical forecast errors</w:t>
      </w:r>
      <w:r w:rsidRPr="00FA7FA8">
        <w:rPr>
          <w:noProof/>
        </w:rPr>
        <w:tab/>
      </w:r>
      <w:r w:rsidRPr="00FA7FA8">
        <w:rPr>
          <w:noProof/>
        </w:rPr>
        <w:fldChar w:fldCharType="begin"/>
      </w:r>
      <w:r w:rsidRPr="00FA7FA8">
        <w:rPr>
          <w:noProof/>
        </w:rPr>
        <w:instrText xml:space="preserve"> PAGEREF _Toc99026275 \h </w:instrText>
      </w:r>
      <w:r w:rsidRPr="00FA7FA8">
        <w:rPr>
          <w:noProof/>
        </w:rPr>
      </w:r>
      <w:r w:rsidRPr="00FA7FA8">
        <w:rPr>
          <w:noProof/>
        </w:rPr>
        <w:fldChar w:fldCharType="separate"/>
      </w:r>
      <w:r w:rsidR="00310471">
        <w:rPr>
          <w:noProof/>
        </w:rPr>
        <w:t>210</w:t>
      </w:r>
      <w:r w:rsidRPr="00FA7FA8">
        <w:rPr>
          <w:noProof/>
        </w:rPr>
        <w:fldChar w:fldCharType="end"/>
      </w:r>
    </w:p>
    <w:p w14:paraId="338B2903" w14:textId="5B99C0C7" w:rsidR="002D5823" w:rsidRPr="00FA7FA8" w:rsidRDefault="002D5823" w:rsidP="002D5823">
      <w:pPr>
        <w:pStyle w:val="TOC1"/>
        <w:rPr>
          <w:rFonts w:asciiTheme="minorHAnsi" w:eastAsiaTheme="minorEastAsia" w:hAnsiTheme="minorHAnsi" w:cstheme="minorBidi"/>
          <w:b w:val="0"/>
          <w:noProof/>
          <w:szCs w:val="22"/>
        </w:rPr>
      </w:pPr>
      <w:r w:rsidRPr="00FA7FA8">
        <w:rPr>
          <w:noProof/>
        </w:rPr>
        <w:t>Assessing current forecasts through sensitivity analysis</w:t>
      </w:r>
      <w:r w:rsidRPr="00FA7FA8">
        <w:rPr>
          <w:noProof/>
        </w:rPr>
        <w:tab/>
      </w:r>
      <w:r w:rsidRPr="00FA7FA8">
        <w:rPr>
          <w:noProof/>
        </w:rPr>
        <w:fldChar w:fldCharType="begin"/>
      </w:r>
      <w:r w:rsidRPr="00FA7FA8">
        <w:rPr>
          <w:noProof/>
        </w:rPr>
        <w:instrText xml:space="preserve"> PAGEREF _Toc99026276 \h </w:instrText>
      </w:r>
      <w:r w:rsidRPr="00FA7FA8">
        <w:rPr>
          <w:noProof/>
        </w:rPr>
      </w:r>
      <w:r w:rsidRPr="00FA7FA8">
        <w:rPr>
          <w:noProof/>
        </w:rPr>
        <w:fldChar w:fldCharType="separate"/>
      </w:r>
      <w:r w:rsidR="00310471">
        <w:rPr>
          <w:noProof/>
        </w:rPr>
        <w:t>213</w:t>
      </w:r>
      <w:r w:rsidRPr="00FA7FA8">
        <w:rPr>
          <w:noProof/>
        </w:rPr>
        <w:fldChar w:fldCharType="end"/>
      </w:r>
    </w:p>
    <w:p w14:paraId="7CB12410" w14:textId="7DD4430C" w:rsidR="002D5823" w:rsidRPr="00FA7FA8" w:rsidRDefault="002D5823" w:rsidP="002D5823">
      <w:pPr>
        <w:pStyle w:val="TOC2"/>
        <w:rPr>
          <w:rFonts w:asciiTheme="minorHAnsi" w:eastAsiaTheme="minorEastAsia" w:hAnsiTheme="minorHAnsi" w:cstheme="minorBidi"/>
          <w:noProof/>
          <w:sz w:val="22"/>
          <w:szCs w:val="22"/>
        </w:rPr>
      </w:pPr>
      <w:r w:rsidRPr="00FA7FA8">
        <w:rPr>
          <w:noProof/>
        </w:rPr>
        <w:t>Movements in the iron ore price</w:t>
      </w:r>
      <w:r w:rsidRPr="00FA7FA8">
        <w:rPr>
          <w:noProof/>
        </w:rPr>
        <w:tab/>
      </w:r>
      <w:r w:rsidRPr="00FA7FA8">
        <w:rPr>
          <w:noProof/>
        </w:rPr>
        <w:fldChar w:fldCharType="begin"/>
      </w:r>
      <w:r w:rsidRPr="00FA7FA8">
        <w:rPr>
          <w:noProof/>
        </w:rPr>
        <w:instrText xml:space="preserve"> PAGEREF _Toc99026277 \h </w:instrText>
      </w:r>
      <w:r w:rsidRPr="00FA7FA8">
        <w:rPr>
          <w:noProof/>
        </w:rPr>
      </w:r>
      <w:r w:rsidRPr="00FA7FA8">
        <w:rPr>
          <w:noProof/>
        </w:rPr>
        <w:fldChar w:fldCharType="separate"/>
      </w:r>
      <w:r w:rsidR="00310471">
        <w:rPr>
          <w:noProof/>
        </w:rPr>
        <w:t>214</w:t>
      </w:r>
      <w:r w:rsidRPr="00FA7FA8">
        <w:rPr>
          <w:noProof/>
        </w:rPr>
        <w:fldChar w:fldCharType="end"/>
      </w:r>
    </w:p>
    <w:p w14:paraId="32C1810F" w14:textId="1D241CEE" w:rsidR="002D5823" w:rsidRPr="00FA7FA8" w:rsidRDefault="002D5823" w:rsidP="002D5823">
      <w:pPr>
        <w:pStyle w:val="TOC2"/>
        <w:rPr>
          <w:rFonts w:asciiTheme="minorHAnsi" w:eastAsiaTheme="minorEastAsia" w:hAnsiTheme="minorHAnsi" w:cstheme="minorBidi"/>
          <w:noProof/>
          <w:sz w:val="22"/>
          <w:szCs w:val="22"/>
        </w:rPr>
      </w:pPr>
      <w:r w:rsidRPr="00FA7FA8">
        <w:rPr>
          <w:noProof/>
        </w:rPr>
        <w:t>Alternative pathways for yields</w:t>
      </w:r>
      <w:r w:rsidRPr="00FA7FA8">
        <w:rPr>
          <w:noProof/>
        </w:rPr>
        <w:tab/>
      </w:r>
      <w:r w:rsidRPr="00FA7FA8">
        <w:rPr>
          <w:noProof/>
        </w:rPr>
        <w:fldChar w:fldCharType="begin"/>
      </w:r>
      <w:r w:rsidRPr="00FA7FA8">
        <w:rPr>
          <w:noProof/>
        </w:rPr>
        <w:instrText xml:space="preserve"> PAGEREF _Toc99026278 \h </w:instrText>
      </w:r>
      <w:r w:rsidRPr="00FA7FA8">
        <w:rPr>
          <w:noProof/>
        </w:rPr>
      </w:r>
      <w:r w:rsidRPr="00FA7FA8">
        <w:rPr>
          <w:noProof/>
        </w:rPr>
        <w:fldChar w:fldCharType="separate"/>
      </w:r>
      <w:r w:rsidR="00310471">
        <w:rPr>
          <w:noProof/>
        </w:rPr>
        <w:t>215</w:t>
      </w:r>
      <w:r w:rsidRPr="00FA7FA8">
        <w:rPr>
          <w:noProof/>
        </w:rPr>
        <w:fldChar w:fldCharType="end"/>
      </w:r>
    </w:p>
    <w:p w14:paraId="4480F10B" w14:textId="77777777" w:rsidR="002D5823" w:rsidRPr="00FA7FA8" w:rsidRDefault="002D5823" w:rsidP="002D5823">
      <w:r w:rsidRPr="00FA7FA8">
        <w:fldChar w:fldCharType="end"/>
      </w:r>
    </w:p>
    <w:p w14:paraId="5B56F2AF" w14:textId="08D0EBD1" w:rsidR="003C05EA" w:rsidRPr="00FA7FA8" w:rsidRDefault="003C05EA" w:rsidP="003C05EA"/>
    <w:p w14:paraId="31A90428" w14:textId="77777777" w:rsidR="003C05EA" w:rsidRPr="00FA7FA8" w:rsidRDefault="003C05EA" w:rsidP="003C05EA"/>
    <w:p w14:paraId="3C11518A" w14:textId="77777777" w:rsidR="003C05EA" w:rsidRPr="00FA7FA8" w:rsidRDefault="003C05EA" w:rsidP="003C05EA">
      <w:pPr>
        <w:sectPr w:rsidR="003C05EA" w:rsidRPr="00FA7FA8" w:rsidSect="00B07231">
          <w:headerReference w:type="even" r:id="rId11"/>
          <w:headerReference w:type="default" r:id="rId12"/>
          <w:footerReference w:type="even" r:id="rId13"/>
          <w:footerReference w:type="default" r:id="rId14"/>
          <w:headerReference w:type="first" r:id="rId15"/>
          <w:footerReference w:type="first" r:id="rId16"/>
          <w:footnotePr>
            <w:numStart w:val="21"/>
          </w:footnotePr>
          <w:pgSz w:w="11906" w:h="16838" w:code="9"/>
          <w:pgMar w:top="2835" w:right="2098" w:bottom="2466" w:left="2098" w:header="1814" w:footer="1814" w:gutter="0"/>
          <w:pgNumType w:start="201"/>
          <w:cols w:space="708"/>
          <w:titlePg/>
          <w:docGrid w:linePitch="360"/>
        </w:sectPr>
      </w:pPr>
    </w:p>
    <w:p w14:paraId="7F720142" w14:textId="782E9B8A" w:rsidR="003C05EA" w:rsidRPr="00FA7FA8" w:rsidRDefault="003C05EA" w:rsidP="003C05EA">
      <w:pPr>
        <w:pStyle w:val="Heading1"/>
      </w:pPr>
      <w:r w:rsidRPr="00FA7FA8">
        <w:lastRenderedPageBreak/>
        <w:t xml:space="preserve">Statement </w:t>
      </w:r>
      <w:r w:rsidR="00BD4534" w:rsidRPr="00FA7FA8">
        <w:t>7</w:t>
      </w:r>
      <w:r w:rsidRPr="00FA7FA8">
        <w:t>: Forecasting Performance and Sensitivity Analysis</w:t>
      </w:r>
    </w:p>
    <w:p w14:paraId="53A730EB" w14:textId="77777777" w:rsidR="003C05EA" w:rsidRPr="00FA7FA8" w:rsidRDefault="003C05EA" w:rsidP="003C05EA">
      <w:pPr>
        <w:pStyle w:val="Heading2"/>
      </w:pPr>
      <w:bookmarkStart w:id="1" w:name="_Toc3880935"/>
      <w:bookmarkStart w:id="2" w:name="_Toc3881101"/>
      <w:bookmarkStart w:id="3" w:name="_Toc3881278"/>
      <w:bookmarkStart w:id="4" w:name="_Toc52642834"/>
      <w:bookmarkStart w:id="5" w:name="_Toc99026269"/>
      <w:r w:rsidRPr="00FA7FA8">
        <w:t>Overview</w:t>
      </w:r>
      <w:bookmarkEnd w:id="1"/>
      <w:bookmarkEnd w:id="2"/>
      <w:bookmarkEnd w:id="3"/>
      <w:bookmarkEnd w:id="4"/>
      <w:bookmarkEnd w:id="5"/>
    </w:p>
    <w:p w14:paraId="500C8F98" w14:textId="3670AAF6" w:rsidR="003C05EA" w:rsidRPr="00FA7FA8" w:rsidRDefault="003C05EA" w:rsidP="003C05EA">
      <w:r w:rsidRPr="00FA7FA8">
        <w:t>Economic and fiscal forecasts and projections are important for government decision making. Understanding how economic and fiscal outcomes might vary from these forecasts contributes to better decision making and better government policy.</w:t>
      </w:r>
    </w:p>
    <w:p w14:paraId="0CEDAD76" w14:textId="197F4199" w:rsidR="003C05EA" w:rsidRPr="00FA7FA8" w:rsidRDefault="003C05EA" w:rsidP="003C05EA">
      <w:pPr>
        <w:spacing w:after="220"/>
      </w:pPr>
      <w:r w:rsidRPr="00FA7FA8">
        <w:t xml:space="preserve">This Statement assesses the performance of previous budget forecasts by looking at the forecast errors over the past </w:t>
      </w:r>
      <w:r w:rsidR="00904EEF" w:rsidRPr="00FA7FA8">
        <w:t xml:space="preserve">2 </w:t>
      </w:r>
      <w:r w:rsidRPr="00FA7FA8">
        <w:t>decades. This is achieved by analysing the variance between historical forecasts and outcomes in each year.</w:t>
      </w:r>
    </w:p>
    <w:p w14:paraId="15244948" w14:textId="134E9311" w:rsidR="003C05EA" w:rsidRPr="00FA7FA8" w:rsidRDefault="003C05EA" w:rsidP="003C05EA">
      <w:pPr>
        <w:spacing w:after="220"/>
      </w:pPr>
      <w:r w:rsidRPr="00FA7FA8">
        <w:t xml:space="preserve">Forecast errors are also used to assess the likely degree of uncertainty around the current forecasts. This analysis, referred to as confidence interval analysis, assesses the degree of uncertainty surrounding current forecasts. There are a number of ways to measure uncertainty. Confidence intervals in this Statement are based on historical forecast errors. However, the continuing uncertainty surrounding the </w:t>
      </w:r>
      <w:r w:rsidR="007F0FBB" w:rsidRPr="00FA7FA8">
        <w:t>pandemic</w:t>
      </w:r>
      <w:r w:rsidR="0062697A" w:rsidRPr="00FA7FA8">
        <w:t xml:space="preserve"> </w:t>
      </w:r>
      <w:r w:rsidR="00D643C9" w:rsidRPr="00FA7FA8">
        <w:t xml:space="preserve">and </w:t>
      </w:r>
      <w:r w:rsidR="008006F5" w:rsidRPr="00FA7FA8">
        <w:t>Russia’s invasion of Ukraine</w:t>
      </w:r>
      <w:r w:rsidR="00D30056" w:rsidRPr="00FA7FA8">
        <w:t xml:space="preserve"> </w:t>
      </w:r>
      <w:r w:rsidRPr="00FA7FA8">
        <w:t xml:space="preserve">means that forecast errors could potentially be larger than </w:t>
      </w:r>
      <w:r w:rsidR="008E18FE" w:rsidRPr="00FA7FA8">
        <w:t>previously</w:t>
      </w:r>
      <w:r w:rsidRPr="00FA7FA8">
        <w:t>.</w:t>
      </w:r>
    </w:p>
    <w:p w14:paraId="2C1C1896" w14:textId="17A111DF" w:rsidR="003C05EA" w:rsidRPr="00FA7FA8" w:rsidRDefault="003C05EA" w:rsidP="003C05EA">
      <w:pPr>
        <w:spacing w:after="220"/>
      </w:pPr>
      <w:r w:rsidRPr="00FA7FA8">
        <w:t xml:space="preserve">Finally, this Statement assesses the sensitivity of the </w:t>
      </w:r>
      <w:r w:rsidR="00E341B8" w:rsidRPr="00FA7FA8">
        <w:t>2022</w:t>
      </w:r>
      <w:r w:rsidR="00C702F0" w:rsidRPr="00FA7FA8">
        <w:noBreakHyphen/>
      </w:r>
      <w:r w:rsidR="00E341B8" w:rsidRPr="00FA7FA8">
        <w:t>23</w:t>
      </w:r>
      <w:r w:rsidRPr="00FA7FA8">
        <w:t xml:space="preserve"> Budget forecasts to </w:t>
      </w:r>
      <w:r w:rsidR="00BF0BC2" w:rsidRPr="00FA7FA8">
        <w:t xml:space="preserve">movements in </w:t>
      </w:r>
      <w:r w:rsidR="00CD2BCB" w:rsidRPr="00FA7FA8">
        <w:t xml:space="preserve">2 </w:t>
      </w:r>
      <w:r w:rsidR="008443D8" w:rsidRPr="00FA7FA8">
        <w:t>underlying assumptions</w:t>
      </w:r>
      <w:r w:rsidR="00022D9C" w:rsidRPr="00FA7FA8">
        <w:t xml:space="preserve"> that are </w:t>
      </w:r>
      <w:r w:rsidR="00CA3800" w:rsidRPr="00FA7FA8">
        <w:t>consistently</w:t>
      </w:r>
      <w:r w:rsidR="00022D9C" w:rsidRPr="00FA7FA8">
        <w:t xml:space="preserve"> </w:t>
      </w:r>
      <w:r w:rsidR="003C61F0" w:rsidRPr="00FA7FA8">
        <w:t>pertinent</w:t>
      </w:r>
      <w:r w:rsidR="003C1B5F" w:rsidRPr="00FA7FA8">
        <w:t xml:space="preserve"> </w:t>
      </w:r>
      <w:r w:rsidR="00652B82" w:rsidRPr="00FA7FA8">
        <w:t xml:space="preserve">to the </w:t>
      </w:r>
      <w:r w:rsidR="009005BD" w:rsidRPr="00FA7FA8">
        <w:t xml:space="preserve">economic and </w:t>
      </w:r>
      <w:r w:rsidR="00652B82" w:rsidRPr="00FA7FA8">
        <w:t xml:space="preserve">fiscal </w:t>
      </w:r>
      <w:r w:rsidR="00A8445D" w:rsidRPr="00FA7FA8">
        <w:t>forecasts</w:t>
      </w:r>
      <w:r w:rsidR="008443D8" w:rsidRPr="00FA7FA8">
        <w:t xml:space="preserve">: </w:t>
      </w:r>
      <w:r w:rsidR="00BF0BC2" w:rsidRPr="00FA7FA8">
        <w:t xml:space="preserve">the iron ore price and yields. </w:t>
      </w:r>
      <w:r w:rsidR="00CD0FFB" w:rsidRPr="00FA7FA8">
        <w:t>The sensitivit</w:t>
      </w:r>
      <w:r w:rsidR="00623848" w:rsidRPr="00FA7FA8">
        <w:t>y of economic forecasts</w:t>
      </w:r>
      <w:r w:rsidR="00CD0FFB" w:rsidRPr="00FA7FA8">
        <w:t xml:space="preserve"> </w:t>
      </w:r>
      <w:r w:rsidR="00974E4D" w:rsidRPr="00FA7FA8">
        <w:t>to</w:t>
      </w:r>
      <w:r w:rsidR="00CD0FFB" w:rsidRPr="00FA7FA8">
        <w:t xml:space="preserve"> other key </w:t>
      </w:r>
      <w:r w:rsidR="004D03A0" w:rsidRPr="00FA7FA8">
        <w:t>assumptions</w:t>
      </w:r>
      <w:r w:rsidR="0094312D" w:rsidRPr="00FA7FA8">
        <w:t xml:space="preserve">, including those </w:t>
      </w:r>
      <w:r w:rsidR="00623848" w:rsidRPr="00FA7FA8">
        <w:t xml:space="preserve">particularly relevant to the impact of the </w:t>
      </w:r>
      <w:r w:rsidR="00C00578" w:rsidRPr="00FA7FA8">
        <w:t>Russian invasion of Ukraine</w:t>
      </w:r>
      <w:r w:rsidR="00623848" w:rsidRPr="00FA7FA8">
        <w:t>,</w:t>
      </w:r>
      <w:r w:rsidR="00CD0FFB" w:rsidRPr="00FA7FA8">
        <w:t xml:space="preserve"> </w:t>
      </w:r>
      <w:r w:rsidR="00486FFC" w:rsidRPr="00FA7FA8">
        <w:t xml:space="preserve">is considered in </w:t>
      </w:r>
      <w:r w:rsidR="00486FFC" w:rsidRPr="00FA7FA8">
        <w:rPr>
          <w:i/>
        </w:rPr>
        <w:t>Budget Statement 2: Economic Outlook</w:t>
      </w:r>
      <w:r w:rsidR="00486FFC" w:rsidRPr="00FA7FA8">
        <w:t>.</w:t>
      </w:r>
      <w:r w:rsidR="00C640DB" w:rsidRPr="00FA7FA8">
        <w:t xml:space="preserve"> </w:t>
      </w:r>
    </w:p>
    <w:p w14:paraId="7D396A08" w14:textId="375E0886" w:rsidR="003C05EA" w:rsidRPr="002D3B12" w:rsidRDefault="00C41D98" w:rsidP="00867D36">
      <w:r w:rsidRPr="002D3B12">
        <w:fldChar w:fldCharType="begin"/>
      </w:r>
      <w:r w:rsidRPr="002D3B12">
        <w:instrText xml:space="preserve"> :End:</w:instrText>
      </w:r>
      <w:r w:rsidR="00F761E2">
        <w:instrText>MECD_DM1</w:instrText>
      </w:r>
      <w:r w:rsidRPr="002D3B12">
        <w:instrText xml:space="preserve"> </w:instrText>
      </w:r>
      <w:r w:rsidRPr="002D3B12">
        <w:fldChar w:fldCharType="end"/>
      </w:r>
      <w:r w:rsidR="003C05EA" w:rsidRPr="002D3B12">
        <w:br w:type="page"/>
      </w:r>
    </w:p>
    <w:p w14:paraId="1EA5A42D" w14:textId="19374E7D" w:rsidR="003C05EA" w:rsidRPr="00FA7FA8" w:rsidRDefault="003C05EA" w:rsidP="003C05EA">
      <w:pPr>
        <w:pStyle w:val="Heading2"/>
      </w:pPr>
      <w:bookmarkStart w:id="6" w:name="_Toc99026270"/>
      <w:r w:rsidRPr="00FA7FA8">
        <w:lastRenderedPageBreak/>
        <w:t>Assessing historical forecasting performance</w:t>
      </w:r>
      <w:bookmarkEnd w:id="6"/>
    </w:p>
    <w:p w14:paraId="53982225" w14:textId="03A51E29" w:rsidR="003C05EA" w:rsidRPr="002D3B12" w:rsidRDefault="003C05EA" w:rsidP="003C05EA">
      <w:r w:rsidRPr="00FA7FA8">
        <w:t>This section assesses the variance between historical forecasts and outcomes in each year for real and nominal GDP growth as well as for tax receipts.</w:t>
      </w:r>
      <w:r w:rsidR="002D5823" w:rsidRPr="00FA7FA8">
        <w:t xml:space="preserve"> </w:t>
      </w:r>
      <w:r w:rsidRPr="00FA7FA8">
        <w:t>Economic forecasts are prepared using a range of modelling techniques, including macroeconomic models, spreadsheet analysis and accounting frameworks.</w:t>
      </w:r>
      <w:r w:rsidR="002D5823" w:rsidRPr="00FA7FA8">
        <w:t xml:space="preserve"> </w:t>
      </w:r>
      <w:r w:rsidRPr="00FA7FA8">
        <w:t xml:space="preserve">Tax receipts forecasts are generally prepared using a </w:t>
      </w:r>
      <w:r w:rsidR="00C702F0" w:rsidRPr="00FA7FA8">
        <w:t>‘</w:t>
      </w:r>
      <w:r w:rsidRPr="00FA7FA8">
        <w:t>base plus growth</w:t>
      </w:r>
      <w:r w:rsidR="00C702F0" w:rsidRPr="00FA7FA8">
        <w:t>’</w:t>
      </w:r>
      <w:r w:rsidRPr="00FA7FA8">
        <w:t xml:space="preserve"> methodology. The last outcome for each head of revenue is the base to which growth rates are applied, using appropriate economic parameters. </w:t>
      </w:r>
    </w:p>
    <w:p w14:paraId="0E62D071" w14:textId="5984F6FF" w:rsidR="003C05EA" w:rsidRPr="002D3B12" w:rsidRDefault="003C05EA" w:rsidP="003C05EA">
      <w:r w:rsidRPr="00FA7FA8">
        <w:t>Forecasts incorporate a number of assumptions and judgments. The accuracy of the forecasts is influenced by the extent to which the assumptions and judgments underpinning them prove to be correct, and the reliability of the economic and fiscal relationships embodied in the models used to produce them. For example, tax receipts forecasts for a number of income taxes involves assessing whether this tax will be paid in the year the income is earned, such as for pay</w:t>
      </w:r>
      <w:r w:rsidR="00C702F0" w:rsidRPr="00FA7FA8">
        <w:noBreakHyphen/>
      </w:r>
      <w:r w:rsidRPr="00FA7FA8">
        <w:t>as</w:t>
      </w:r>
      <w:r w:rsidR="00C702F0" w:rsidRPr="00FA7FA8">
        <w:noBreakHyphen/>
      </w:r>
      <w:r w:rsidRPr="00FA7FA8">
        <w:t>you</w:t>
      </w:r>
      <w:r w:rsidR="00C702F0" w:rsidRPr="00FA7FA8">
        <w:noBreakHyphen/>
      </w:r>
      <w:r w:rsidRPr="00FA7FA8">
        <w:t xml:space="preserve">go withholding tax, or in future years, such as tax on capital gains for companies and individuals. </w:t>
      </w:r>
    </w:p>
    <w:p w14:paraId="7FE34135" w14:textId="5D0488B3" w:rsidR="003C05EA" w:rsidRPr="00FA7FA8" w:rsidRDefault="003C05EA" w:rsidP="003C05EA">
      <w:pPr>
        <w:pStyle w:val="Heading3"/>
      </w:pPr>
      <w:bookmarkStart w:id="7" w:name="_Toc99026271"/>
      <w:r w:rsidRPr="00FA7FA8">
        <w:t>Economic forecasting performance</w:t>
      </w:r>
      <w:bookmarkEnd w:id="7"/>
    </w:p>
    <w:p w14:paraId="4C499D5E" w14:textId="4D4A163E" w:rsidR="003C05EA" w:rsidRPr="00FA7FA8" w:rsidRDefault="003C05EA" w:rsidP="003C05EA">
      <w:r w:rsidRPr="00FA7FA8">
        <w:t xml:space="preserve">Real GDP forecasts incorporate a number of assumptions, including those regarding exchange rates, interest rates, commodity prices and population growth. The forecasts also incorporate judgments about how developments in one part of the economy affect other parts and how the domestic economy is affected by events in the international economy. </w:t>
      </w:r>
    </w:p>
    <w:p w14:paraId="3F26F697" w14:textId="1073B831" w:rsidR="003C05EA" w:rsidRPr="00FA7FA8" w:rsidRDefault="006412DE" w:rsidP="003C05EA">
      <w:r w:rsidRPr="00FA7FA8">
        <w:t>The large forecast error in 2019</w:t>
      </w:r>
      <w:r w:rsidR="00C702F0" w:rsidRPr="00FA7FA8">
        <w:noBreakHyphen/>
      </w:r>
      <w:r w:rsidRPr="00FA7FA8">
        <w:t>20 was due to the onset of the COVID</w:t>
      </w:r>
      <w:r w:rsidR="00C702F0" w:rsidRPr="00FA7FA8">
        <w:noBreakHyphen/>
      </w:r>
      <w:r w:rsidRPr="00FA7FA8">
        <w:t>19 pandemic</w:t>
      </w:r>
      <w:r w:rsidR="00E77EA2" w:rsidRPr="00FA7FA8">
        <w:t>.</w:t>
      </w:r>
      <w:r w:rsidRPr="00FA7FA8">
        <w:t xml:space="preserve"> The 2020</w:t>
      </w:r>
      <w:r w:rsidR="00C702F0" w:rsidRPr="00FA7FA8">
        <w:noBreakHyphen/>
      </w:r>
      <w:r w:rsidRPr="00FA7FA8">
        <w:t>21 forecasting error illustrates how the economic recovery was significantly stronger than anticipated. This economic recovery was underpinned by Australia</w:t>
      </w:r>
      <w:r w:rsidR="00C702F0" w:rsidRPr="00FA7FA8">
        <w:t>’</w:t>
      </w:r>
      <w:r w:rsidRPr="00FA7FA8">
        <w:t>s success in containing the health crisis. In addition, the broad</w:t>
      </w:r>
      <w:r w:rsidR="00C702F0" w:rsidRPr="00FA7FA8">
        <w:noBreakHyphen/>
      </w:r>
      <w:r w:rsidRPr="00FA7FA8">
        <w:t>based economic support measures introduced by the Government were critical during the emergency phase of the COVID</w:t>
      </w:r>
      <w:r w:rsidR="00C702F0" w:rsidRPr="00FA7FA8">
        <w:noBreakHyphen/>
      </w:r>
      <w:r w:rsidRPr="00FA7FA8">
        <w:t>19 pandemic to limit the economic cost and longer</w:t>
      </w:r>
      <w:r w:rsidR="00C702F0" w:rsidRPr="00FA7FA8">
        <w:noBreakHyphen/>
      </w:r>
      <w:r w:rsidRPr="00FA7FA8">
        <w:t xml:space="preserve">term labour </w:t>
      </w:r>
      <w:r w:rsidR="00C00578" w:rsidRPr="00FA7FA8">
        <w:t>market</w:t>
      </w:r>
      <w:r w:rsidRPr="00FA7FA8">
        <w:t xml:space="preserve"> scarring from the crisis </w:t>
      </w:r>
      <w:r w:rsidR="003C05EA" w:rsidRPr="00FA7FA8">
        <w:t>(Chart </w:t>
      </w:r>
      <w:r w:rsidR="005B56C2" w:rsidRPr="00FA7FA8">
        <w:t>7</w:t>
      </w:r>
      <w:r w:rsidR="003C05EA" w:rsidRPr="00FA7FA8">
        <w:t>.1).</w:t>
      </w:r>
      <w:r w:rsidR="00CF0AE5" w:rsidRPr="00FA7FA8">
        <w:t xml:space="preserve"> </w:t>
      </w:r>
    </w:p>
    <w:p w14:paraId="3FFE6904" w14:textId="77777777" w:rsidR="002E41A4" w:rsidRPr="00FA7FA8" w:rsidRDefault="003C05EA" w:rsidP="002E41A4">
      <w:pPr>
        <w:pStyle w:val="ChartHeading"/>
      </w:pPr>
      <w:r w:rsidRPr="00FA7FA8">
        <w:lastRenderedPageBreak/>
        <w:t>Chart </w:t>
      </w:r>
      <w:r w:rsidR="001D2A6D" w:rsidRPr="00FA7FA8">
        <w:t>7</w:t>
      </w:r>
      <w:r w:rsidRPr="00FA7FA8">
        <w:t>.1: Comparison of forecasts and outcomes for real GDP growth</w:t>
      </w:r>
      <w:r w:rsidR="003D1401" w:rsidRPr="00FA7FA8">
        <w:t xml:space="preserve"> </w:t>
      </w:r>
    </w:p>
    <w:p w14:paraId="1E369805" w14:textId="7BF28E25" w:rsidR="003C05EA" w:rsidRPr="00FA7FA8" w:rsidRDefault="002A5B86" w:rsidP="005E3BF6">
      <w:pPr>
        <w:pStyle w:val="ChartGraphic"/>
      </w:pPr>
      <w:r>
        <w:rPr>
          <w:noProof/>
        </w:rPr>
        <w:drawing>
          <wp:inline distT="0" distB="0" distL="0" distR="0" wp14:anchorId="7193B5AD" wp14:editId="00F4A33D">
            <wp:extent cx="4648200" cy="2657475"/>
            <wp:effectExtent l="0" t="0" r="0" b="0"/>
            <wp:docPr id="91" name="Picture 91" descr="This chart shows the Budget year forecasts for real GDP growth and the latest published outcome from 2000-01 to 2020-21. The chart shows that the Budget forecast real GDP to be stronger than the outcome in 2019-20. It also shows that the 2020-21 outcome was significantly stronger than the Budget fore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This chart shows the Budget year forecasts for real GDP growth and the latest published outcome from 2000-01 to 2020-21. The chart shows that the Budget forecast real GDP to be stronger than the outcome in 2019-20. It also shows that the 2020-21 outcome was significantly stronger than the Budget foreca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8200" cy="2657475"/>
                    </a:xfrm>
                    <a:prstGeom prst="rect">
                      <a:avLst/>
                    </a:prstGeom>
                    <a:noFill/>
                    <a:ln>
                      <a:noFill/>
                    </a:ln>
                  </pic:spPr>
                </pic:pic>
              </a:graphicData>
            </a:graphic>
          </wp:inline>
        </w:drawing>
      </w:r>
    </w:p>
    <w:p w14:paraId="2F72BA0E" w14:textId="60EBDCE7" w:rsidR="003C05EA" w:rsidRPr="00FA7FA8" w:rsidRDefault="003C05EA" w:rsidP="003C05EA">
      <w:pPr>
        <w:pStyle w:val="ChartandTableFootnote"/>
        <w:rPr>
          <w:color w:val="auto"/>
        </w:rPr>
      </w:pPr>
      <w:r w:rsidRPr="00FA7FA8">
        <w:rPr>
          <w:color w:val="auto"/>
        </w:rPr>
        <w:t xml:space="preserve">Note: </w:t>
      </w:r>
      <w:r w:rsidRPr="00FA7FA8">
        <w:rPr>
          <w:color w:val="auto"/>
        </w:rPr>
        <w:tab/>
        <w:t xml:space="preserve">Outcome is as published in the December quarter </w:t>
      </w:r>
      <w:r w:rsidR="0043514B" w:rsidRPr="00FA7FA8">
        <w:rPr>
          <w:color w:val="auto"/>
        </w:rPr>
        <w:t xml:space="preserve">2021 </w:t>
      </w:r>
      <w:r w:rsidRPr="00FA7FA8">
        <w:rPr>
          <w:color w:val="auto"/>
        </w:rPr>
        <w:t>National Accounts. Forecast is that published in the Budget for that year.</w:t>
      </w:r>
    </w:p>
    <w:p w14:paraId="5F587470" w14:textId="2E4422C7" w:rsidR="003C05EA" w:rsidRPr="00FA7FA8" w:rsidRDefault="003C05EA" w:rsidP="003C05EA">
      <w:pPr>
        <w:pStyle w:val="Source"/>
      </w:pPr>
      <w:r w:rsidRPr="00FA7FA8">
        <w:t xml:space="preserve">Source: </w:t>
      </w:r>
      <w:r w:rsidRPr="00FA7FA8">
        <w:tab/>
        <w:t xml:space="preserve">ABS Australian National Accounts: National Income, Expenditure and Product and Budget papers. </w:t>
      </w:r>
    </w:p>
    <w:p w14:paraId="5F77E638" w14:textId="4161385B" w:rsidR="003C05EA" w:rsidRPr="00FA7FA8" w:rsidRDefault="003C05EA" w:rsidP="003C05EA">
      <w:r w:rsidRPr="00FA7FA8">
        <w:t>Compared with real GDP forecasts, nominal GDP forecasts include a prices component which is an additional source of uncertainty. This uncertainty stems from the evolution of domestic prices and wages, prices of imported goods and world prices for Australia</w:t>
      </w:r>
      <w:r w:rsidR="00C702F0" w:rsidRPr="00FA7FA8">
        <w:t>’</w:t>
      </w:r>
      <w:r w:rsidRPr="00FA7FA8">
        <w:t>s exports, including commodities.</w:t>
      </w:r>
    </w:p>
    <w:p w14:paraId="15C7E403" w14:textId="63A08EB0" w:rsidR="003C05EA" w:rsidRPr="00FA7FA8" w:rsidRDefault="003C05EA" w:rsidP="003C05EA">
      <w:r w:rsidRPr="00FA7FA8">
        <w:t xml:space="preserve">Since the early 2000s, nominal GDP forecast errors have </w:t>
      </w:r>
      <w:r w:rsidR="00C00578" w:rsidRPr="00FA7FA8">
        <w:t xml:space="preserve">largely </w:t>
      </w:r>
      <w:r w:rsidRPr="00FA7FA8">
        <w:t>reflected the difficulties in predicting movements in global commodity prices (Chart</w:t>
      </w:r>
      <w:r w:rsidR="1F85F3A4" w:rsidRPr="00FA7FA8">
        <w:t xml:space="preserve"> </w:t>
      </w:r>
      <w:r w:rsidR="005B56C2" w:rsidRPr="00FA7FA8">
        <w:t>7</w:t>
      </w:r>
      <w:r w:rsidRPr="00FA7FA8">
        <w:t>.2). From 2011</w:t>
      </w:r>
      <w:r w:rsidR="00C702F0" w:rsidRPr="00FA7FA8">
        <w:noBreakHyphen/>
      </w:r>
      <w:r w:rsidRPr="00FA7FA8">
        <w:t>12 to 2015</w:t>
      </w:r>
      <w:r w:rsidR="00C702F0" w:rsidRPr="00FA7FA8">
        <w:noBreakHyphen/>
      </w:r>
      <w:r w:rsidRPr="00FA7FA8">
        <w:t>16, as key commodity prices were falling from their record highs, larger</w:t>
      </w:r>
      <w:r w:rsidR="1F85F3A4" w:rsidRPr="00FA7FA8">
        <w:t xml:space="preserve"> </w:t>
      </w:r>
      <w:r w:rsidRPr="00FA7FA8">
        <w:t>than</w:t>
      </w:r>
      <w:r w:rsidR="1F85F3A4" w:rsidRPr="00FA7FA8">
        <w:t xml:space="preserve"> </w:t>
      </w:r>
      <w:r w:rsidRPr="00FA7FA8">
        <w:t>expected falls in the terms of trade meant that nominal GDP growth was overestimated. The outcomes for nominal GDP growth from 2016</w:t>
      </w:r>
      <w:r w:rsidR="00C702F0" w:rsidRPr="00FA7FA8">
        <w:noBreakHyphen/>
      </w:r>
      <w:r w:rsidRPr="00FA7FA8">
        <w:t>17 to 2018</w:t>
      </w:r>
      <w:r w:rsidR="00C702F0" w:rsidRPr="00FA7FA8">
        <w:noBreakHyphen/>
      </w:r>
      <w:r w:rsidRPr="00FA7FA8">
        <w:t>19 were higher than forecast in the Budgets for those years, primarily reflecting stronger</w:t>
      </w:r>
      <w:r w:rsidR="1F85F3A4" w:rsidRPr="00FA7FA8">
        <w:t xml:space="preserve"> </w:t>
      </w:r>
      <w:r w:rsidRPr="00FA7FA8">
        <w:t>than</w:t>
      </w:r>
      <w:r w:rsidR="1F85F3A4" w:rsidRPr="00FA7FA8">
        <w:t xml:space="preserve"> </w:t>
      </w:r>
      <w:r w:rsidRPr="00FA7FA8">
        <w:t xml:space="preserve">expected commodity prices. </w:t>
      </w:r>
      <w:r w:rsidR="006412DE" w:rsidRPr="00FA7FA8">
        <w:t xml:space="preserve">Forecast errors </w:t>
      </w:r>
      <w:r w:rsidR="0046275A" w:rsidRPr="00FA7FA8">
        <w:t xml:space="preserve">have been smaller in recent years with the notable exception of </w:t>
      </w:r>
      <w:r w:rsidR="006412DE" w:rsidRPr="00FA7FA8">
        <w:t>2020</w:t>
      </w:r>
      <w:r w:rsidR="00C702F0" w:rsidRPr="00FA7FA8">
        <w:noBreakHyphen/>
      </w:r>
      <w:r w:rsidR="006412DE" w:rsidRPr="00FA7FA8">
        <w:t>21</w:t>
      </w:r>
      <w:r w:rsidR="00553780" w:rsidRPr="00FA7FA8">
        <w:t>,</w:t>
      </w:r>
      <w:r w:rsidR="006412DE" w:rsidRPr="00FA7FA8">
        <w:t xml:space="preserve"> reflect</w:t>
      </w:r>
      <w:r w:rsidR="00F55F0D" w:rsidRPr="00FA7FA8">
        <w:t xml:space="preserve">ing </w:t>
      </w:r>
      <w:r w:rsidR="005243DD" w:rsidRPr="00FA7FA8">
        <w:t xml:space="preserve">the </w:t>
      </w:r>
      <w:r w:rsidR="00C54B5F" w:rsidRPr="00FA7FA8">
        <w:t>stronger than expected recovery from</w:t>
      </w:r>
      <w:r w:rsidR="006412DE" w:rsidRPr="00FA7FA8">
        <w:t xml:space="preserve"> the COVID</w:t>
      </w:r>
      <w:r w:rsidR="00C702F0" w:rsidRPr="00FA7FA8">
        <w:noBreakHyphen/>
      </w:r>
      <w:r w:rsidR="006412DE" w:rsidRPr="00FA7FA8">
        <w:t>19 pandemic</w:t>
      </w:r>
      <w:r w:rsidR="00C54B5F" w:rsidRPr="00FA7FA8">
        <w:t>,</w:t>
      </w:r>
      <w:r w:rsidR="006412DE" w:rsidRPr="00FA7FA8">
        <w:t xml:space="preserve"> </w:t>
      </w:r>
      <w:r w:rsidR="00DE0AAD" w:rsidRPr="00FA7FA8">
        <w:t>and</w:t>
      </w:r>
      <w:r w:rsidR="007943E1" w:rsidRPr="00FA7FA8">
        <w:t xml:space="preserve"> </w:t>
      </w:r>
      <w:r w:rsidR="003874A1" w:rsidRPr="00FA7FA8">
        <w:t>stronger than expected commodity prices.</w:t>
      </w:r>
      <w:r w:rsidR="00EE2CB6" w:rsidRPr="00FA7FA8">
        <w:t xml:space="preserve"> </w:t>
      </w:r>
    </w:p>
    <w:p w14:paraId="30830F9F" w14:textId="2E3B1DA8" w:rsidR="003C05EA" w:rsidRPr="00FA7FA8" w:rsidRDefault="003C05EA" w:rsidP="003C05EA">
      <w:pPr>
        <w:pStyle w:val="ChartHeading"/>
      </w:pPr>
      <w:r w:rsidRPr="00FA7FA8">
        <w:lastRenderedPageBreak/>
        <w:t>Chart </w:t>
      </w:r>
      <w:r w:rsidR="001D2A6D" w:rsidRPr="00FA7FA8">
        <w:t>7</w:t>
      </w:r>
      <w:r w:rsidRPr="00FA7FA8">
        <w:t xml:space="preserve">.2: Comparison of forecasts and outcomes for nominal GDP growth </w:t>
      </w:r>
    </w:p>
    <w:p w14:paraId="2D0E060B" w14:textId="6EC908DF" w:rsidR="003C05EA" w:rsidRPr="00FA7FA8" w:rsidRDefault="00293681" w:rsidP="00C73A9D">
      <w:pPr>
        <w:pStyle w:val="ChartGraphic"/>
      </w:pPr>
      <w:bookmarkStart w:id="8" w:name="_1709800536"/>
      <w:bookmarkEnd w:id="8"/>
      <w:r>
        <w:rPr>
          <w:noProof/>
        </w:rPr>
        <w:drawing>
          <wp:inline distT="0" distB="0" distL="0" distR="0" wp14:anchorId="151DEB78" wp14:editId="0B7568D9">
            <wp:extent cx="4600575" cy="2657475"/>
            <wp:effectExtent l="0" t="0" r="9525" b="0"/>
            <wp:docPr id="92" name="Picture 92" descr="This chart shows the Budget year forecasts for nominal GDP growth and the latest published outcome from 2000-01 to 2020-21. It shows from 2011-12 to 2015-16 that the Budget forecasts were higher than the outcome. From 2016-17 to 2018-19 the outcomes were higher than the Budget forecasts. In 2020-21 the outcome was significant stronger than the Budget foreca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his chart shows the Budget year forecasts for nominal GDP growth and the latest published outcome from 2000-01 to 2020-21. It shows from 2011-12 to 2015-16 that the Budget forecasts were higher than the outcome. From 2016-17 to 2018-19 the outcomes were higher than the Budget forecasts. In 2020-21 the outcome was significant stronger than the Budget forecast.&#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0575" cy="2657475"/>
                    </a:xfrm>
                    <a:prstGeom prst="rect">
                      <a:avLst/>
                    </a:prstGeom>
                    <a:noFill/>
                    <a:ln>
                      <a:noFill/>
                    </a:ln>
                  </pic:spPr>
                </pic:pic>
              </a:graphicData>
            </a:graphic>
          </wp:inline>
        </w:drawing>
      </w:r>
    </w:p>
    <w:p w14:paraId="722190FF" w14:textId="6CFE9E5E" w:rsidR="003C05EA" w:rsidRPr="00FA7FA8" w:rsidRDefault="003C05EA" w:rsidP="003C05EA">
      <w:pPr>
        <w:pStyle w:val="ChartandTableFootnote"/>
        <w:rPr>
          <w:color w:val="auto"/>
        </w:rPr>
      </w:pPr>
      <w:r w:rsidRPr="00FA7FA8">
        <w:rPr>
          <w:color w:val="auto"/>
        </w:rPr>
        <w:t xml:space="preserve">Note: </w:t>
      </w:r>
      <w:r w:rsidRPr="00FA7FA8">
        <w:rPr>
          <w:color w:val="auto"/>
        </w:rPr>
        <w:tab/>
        <w:t xml:space="preserve">Outcome is as published in the December quarter </w:t>
      </w:r>
      <w:r w:rsidR="005E3676" w:rsidRPr="00FA7FA8">
        <w:rPr>
          <w:color w:val="auto"/>
        </w:rPr>
        <w:t xml:space="preserve">2021 </w:t>
      </w:r>
      <w:r w:rsidRPr="00FA7FA8">
        <w:rPr>
          <w:color w:val="auto"/>
        </w:rPr>
        <w:t>National Accounts. Forecast is that published in the Budget for that year.</w:t>
      </w:r>
    </w:p>
    <w:p w14:paraId="0CC4716A" w14:textId="06F6EAC9" w:rsidR="003C05EA" w:rsidRPr="00FA7FA8" w:rsidRDefault="003C05EA" w:rsidP="003C05EA">
      <w:pPr>
        <w:pStyle w:val="Source"/>
      </w:pPr>
      <w:r w:rsidRPr="00FA7FA8">
        <w:t xml:space="preserve">Source: </w:t>
      </w:r>
      <w:r w:rsidRPr="00FA7FA8">
        <w:tab/>
        <w:t>ABS Australian National Accounts: National Income, Expenditure and Product and Budget papers.</w:t>
      </w:r>
    </w:p>
    <w:p w14:paraId="673F9CD6" w14:textId="372A2265" w:rsidR="003C05EA" w:rsidRPr="00FA7FA8" w:rsidRDefault="003C05EA" w:rsidP="003C05EA">
      <w:pPr>
        <w:pStyle w:val="Heading3"/>
      </w:pPr>
      <w:bookmarkStart w:id="9" w:name="_Toc99026272"/>
      <w:r w:rsidRPr="00FA7FA8">
        <w:t>Tax receipts forecasting performance</w:t>
      </w:r>
      <w:bookmarkEnd w:id="9"/>
    </w:p>
    <w:p w14:paraId="6CF9C8FD" w14:textId="0E9ABD0B" w:rsidR="00F25129" w:rsidRPr="00FA7FA8" w:rsidRDefault="00F25129" w:rsidP="00F25129">
      <w:r w:rsidRPr="00FA7FA8">
        <w:t xml:space="preserve">Over the past </w:t>
      </w:r>
      <w:r w:rsidR="002A0D8D" w:rsidRPr="00FA7FA8">
        <w:t xml:space="preserve">2 </w:t>
      </w:r>
      <w:r w:rsidRPr="00FA7FA8">
        <w:t>decades, tax receipts forecasts have both under</w:t>
      </w:r>
      <w:r w:rsidR="00C702F0" w:rsidRPr="00FA7FA8">
        <w:noBreakHyphen/>
      </w:r>
      <w:r w:rsidRPr="00FA7FA8">
        <w:t>predicted and over</w:t>
      </w:r>
      <w:r w:rsidR="00C702F0" w:rsidRPr="00FA7FA8">
        <w:noBreakHyphen/>
      </w:r>
      <w:r w:rsidRPr="00FA7FA8">
        <w:t>predicted outcomes (see Chart 7.</w:t>
      </w:r>
      <w:r w:rsidR="00892771" w:rsidRPr="00FA7FA8">
        <w:t>3</w:t>
      </w:r>
      <w:r w:rsidRPr="00FA7FA8">
        <w:t xml:space="preserve">). </w:t>
      </w:r>
    </w:p>
    <w:p w14:paraId="45A0903D" w14:textId="10FD03A4" w:rsidR="00F25129" w:rsidRPr="00FA7FA8" w:rsidRDefault="00F25129" w:rsidP="00F25129">
      <w:pPr>
        <w:pStyle w:val="ChartHeading"/>
      </w:pPr>
      <w:r w:rsidRPr="00FA7FA8">
        <w:t>Chart 7.</w:t>
      </w:r>
      <w:r w:rsidR="00892771" w:rsidRPr="00FA7FA8">
        <w:t>3</w:t>
      </w:r>
      <w:r w:rsidRPr="00FA7FA8">
        <w:t>: Comparison of forecasts and outcomes for tax receipts growth</w:t>
      </w:r>
    </w:p>
    <w:p w14:paraId="3BCA5797" w14:textId="6F5F892E" w:rsidR="00F25129" w:rsidRPr="00FA7FA8" w:rsidRDefault="004377A3" w:rsidP="0047335B">
      <w:pPr>
        <w:pStyle w:val="ChartGraphic"/>
      </w:pPr>
      <w:bookmarkStart w:id="10" w:name="_1709800579"/>
      <w:bookmarkEnd w:id="10"/>
      <w:r>
        <w:rPr>
          <w:noProof/>
        </w:rPr>
        <w:drawing>
          <wp:inline distT="0" distB="0" distL="0" distR="0" wp14:anchorId="6B08688F" wp14:editId="2ECB3B38">
            <wp:extent cx="4648200" cy="2809875"/>
            <wp:effectExtent l="0" t="0" r="0" b="9525"/>
            <wp:docPr id="93" name="Picture 93" descr="This chart shows the Budget year forecasts for tax receipts growth and the published outcome (FBO) from 2000-01 to 2020-21. Throughout this period forecasts have both under and overestimated actual growth in tax receipts. For 2020-21, the 2020-21 Budget forecast for tax receipts was for tax receipts to decline by 1.7 per cent. From the 2020-21 FBO, tax receipts grew by 9.7 per cent in 2020-21. The difference between these two figures represent the forecast error for 20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This chart shows the Budget year forecasts for tax receipts growth and the published outcome (FBO) from 2000-01 to 2020-21. Throughout this period forecasts have both under and overestimated actual growth in tax receipts. For 2020-21, the 2020-21 Budget forecast for tax receipts was for tax receipts to decline by 1.7 per cent. From the 2020-21 FBO, tax receipts grew by 9.7 per cent in 2020-21. The difference between these two figures represent the forecast error for 2020-21.&#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48200" cy="2809875"/>
                    </a:xfrm>
                    <a:prstGeom prst="rect">
                      <a:avLst/>
                    </a:prstGeom>
                    <a:noFill/>
                    <a:ln>
                      <a:noFill/>
                    </a:ln>
                  </pic:spPr>
                </pic:pic>
              </a:graphicData>
            </a:graphic>
          </wp:inline>
        </w:drawing>
      </w:r>
    </w:p>
    <w:p w14:paraId="5C8F171E" w14:textId="4F02486A" w:rsidR="00F25129" w:rsidRPr="00FA7FA8" w:rsidRDefault="00F25129" w:rsidP="00F25129">
      <w:pPr>
        <w:pStyle w:val="Source"/>
      </w:pPr>
      <w:r w:rsidRPr="00FA7FA8">
        <w:t xml:space="preserve">Source: </w:t>
      </w:r>
      <w:r w:rsidRPr="00FA7FA8">
        <w:tab/>
        <w:t xml:space="preserve">Budget papers and Treasury. </w:t>
      </w:r>
    </w:p>
    <w:p w14:paraId="7876BCE0" w14:textId="38A30426" w:rsidR="00F25129" w:rsidRPr="00FA7FA8" w:rsidRDefault="00F25129" w:rsidP="00F25129">
      <w:r w:rsidRPr="00FA7FA8" w:rsidDel="00B30353">
        <w:lastRenderedPageBreak/>
        <w:t>T</w:t>
      </w:r>
      <w:r w:rsidRPr="00FA7FA8">
        <w:t>otal tax receipts were $49.2 billion higher in 2020</w:t>
      </w:r>
      <w:r w:rsidR="00C702F0" w:rsidRPr="00FA7FA8">
        <w:noBreakHyphen/>
      </w:r>
      <w:r w:rsidRPr="00FA7FA8">
        <w:t>21 than the estimate at the 2020</w:t>
      </w:r>
      <w:r w:rsidR="00C702F0" w:rsidRPr="00FA7FA8">
        <w:noBreakHyphen/>
      </w:r>
      <w:r w:rsidRPr="00FA7FA8">
        <w:t>21</w:t>
      </w:r>
      <w:r w:rsidR="00124F89" w:rsidRPr="00FA7FA8">
        <w:t> </w:t>
      </w:r>
      <w:r w:rsidRPr="00FA7FA8">
        <w:t>Budget. This outcome reflects the strength in tax collections across almost all revenue heads, driven by stronger</w:t>
      </w:r>
      <w:r w:rsidR="00C702F0" w:rsidRPr="00FA7FA8">
        <w:noBreakHyphen/>
      </w:r>
      <w:r w:rsidRPr="00FA7FA8">
        <w:t>than</w:t>
      </w:r>
      <w:r w:rsidR="00C702F0" w:rsidRPr="00FA7FA8">
        <w:noBreakHyphen/>
      </w:r>
      <w:r w:rsidRPr="00FA7FA8">
        <w:t>expected economic outcomes and higher</w:t>
      </w:r>
      <w:r w:rsidR="00C702F0" w:rsidRPr="00FA7FA8">
        <w:noBreakHyphen/>
      </w:r>
      <w:r w:rsidRPr="00FA7FA8">
        <w:t>than</w:t>
      </w:r>
      <w:r w:rsidR="00C702F0" w:rsidRPr="00FA7FA8">
        <w:noBreakHyphen/>
      </w:r>
      <w:r w:rsidRPr="00FA7FA8">
        <w:t xml:space="preserve">expected commodity prices. Further information on this variation can be found in the </w:t>
      </w:r>
      <w:r w:rsidRPr="00FA7FA8">
        <w:rPr>
          <w:i/>
        </w:rPr>
        <w:t>2020</w:t>
      </w:r>
      <w:r w:rsidR="00C702F0" w:rsidRPr="00FA7FA8">
        <w:rPr>
          <w:i/>
        </w:rPr>
        <w:noBreakHyphen/>
      </w:r>
      <w:r w:rsidRPr="00FA7FA8">
        <w:rPr>
          <w:i/>
        </w:rPr>
        <w:t>21</w:t>
      </w:r>
      <w:r w:rsidRPr="00FA7FA8">
        <w:t xml:space="preserve"> </w:t>
      </w:r>
      <w:r w:rsidRPr="00FA7FA8">
        <w:rPr>
          <w:i/>
        </w:rPr>
        <w:t>Final Budget Outcome.</w:t>
      </w:r>
      <w:r w:rsidRPr="00FA7FA8">
        <w:t xml:space="preserve"> </w:t>
      </w:r>
    </w:p>
    <w:p w14:paraId="0E70B9D4" w14:textId="37047A53" w:rsidR="003C05EA" w:rsidRPr="00FA7FA8" w:rsidRDefault="003C05EA" w:rsidP="003C05EA">
      <w:r w:rsidRPr="00FA7FA8">
        <w:t>Generally, there is a strong correlation between the accuracy of the forecasts of nominal GDP and its components and the forecasts for tax receipts. On average, economic forecast errors will be magnified in receipts forecast errors, owing to the progressive nature of the personal income tax system. Chart </w:t>
      </w:r>
      <w:r w:rsidR="005B56C2" w:rsidRPr="00FA7FA8">
        <w:t>7</w:t>
      </w:r>
      <w:r w:rsidRPr="00FA7FA8">
        <w:t>.</w:t>
      </w:r>
      <w:r w:rsidR="00892771" w:rsidRPr="00FA7FA8">
        <w:t>4</w:t>
      </w:r>
      <w:r w:rsidRPr="00FA7FA8">
        <w:t xml:space="preserve"> plots the forecast errors for nominal non</w:t>
      </w:r>
      <w:r w:rsidR="00C702F0" w:rsidRPr="00FA7FA8">
        <w:noBreakHyphen/>
      </w:r>
      <w:r w:rsidRPr="00FA7FA8">
        <w:t>farm GDP growth against the errors for tax receipts growth excluding capital gains tax (CGT). It shows that where there has been an underestimate of nominal non</w:t>
      </w:r>
      <w:r w:rsidR="00C702F0" w:rsidRPr="00FA7FA8">
        <w:noBreakHyphen/>
      </w:r>
      <w:r w:rsidRPr="00FA7FA8">
        <w:t>farm GDP growth, tax receipts tend to be underestimated and vice versa.</w:t>
      </w:r>
    </w:p>
    <w:p w14:paraId="1595A5B4" w14:textId="377E3719" w:rsidR="003C05EA" w:rsidRPr="00FA7FA8" w:rsidRDefault="003C05EA" w:rsidP="003C05EA">
      <w:pPr>
        <w:pStyle w:val="ChartHeading"/>
      </w:pPr>
      <w:r w:rsidRPr="00FA7FA8">
        <w:t>Chart </w:t>
      </w:r>
      <w:r w:rsidR="001D2A6D" w:rsidRPr="00FA7FA8">
        <w:t>7</w:t>
      </w:r>
      <w:r w:rsidRPr="00FA7FA8">
        <w:t>.</w:t>
      </w:r>
      <w:r w:rsidR="00892771" w:rsidRPr="00FA7FA8">
        <w:t>4</w:t>
      </w:r>
      <w:r w:rsidRPr="00FA7FA8">
        <w:t>: Forecast errors for nominal non</w:t>
      </w:r>
      <w:r w:rsidR="00C702F0" w:rsidRPr="00FA7FA8">
        <w:noBreakHyphen/>
      </w:r>
      <w:r w:rsidRPr="00FA7FA8">
        <w:t>farm GDP growth and taxation receipts growth</w:t>
      </w:r>
      <w:r w:rsidRPr="00FA7FA8">
        <w:rPr>
          <w:vertAlign w:val="superscript"/>
        </w:rPr>
        <w:t>(a)</w:t>
      </w:r>
    </w:p>
    <w:p w14:paraId="290299E6" w14:textId="789D9BB1" w:rsidR="003C05EA" w:rsidRPr="00FA7FA8" w:rsidRDefault="00317177" w:rsidP="00014FA9">
      <w:pPr>
        <w:pStyle w:val="ChartGraphic"/>
      </w:pPr>
      <w:bookmarkStart w:id="11" w:name="_1709800642"/>
      <w:bookmarkEnd w:id="11"/>
      <w:r>
        <w:rPr>
          <w:noProof/>
        </w:rPr>
        <w:drawing>
          <wp:inline distT="0" distB="0" distL="0" distR="0" wp14:anchorId="52B3BC3B" wp14:editId="0C0056DB">
            <wp:extent cx="4686300" cy="2886075"/>
            <wp:effectExtent l="0" t="0" r="0" b="9525"/>
            <wp:docPr id="94" name="Picture 94" descr="This chart plots the Budget forecast errors on nominal non-farm GDP growth and on tax receipts growth (excluding capital gains tax) from 2002-03 to 2020-21. There is a strong positive correlation between the two errors, indicating tax receipts forecasts and heavily dependent on economic forecasts. In 2020-21, the forecast error on tax receipts growth was around 10.2 percentage points, while the forecast error on nominal non-farm GDP growth was around 5.9 percentage points. This is the largest underestimate of both GDP growth and tax receipts growth during the period.&#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Picture 94" descr="This chart plots the Budget forecast errors on nominal non-farm GDP growth and on tax receipts growth (excluding capital gains tax) from 2002-03 to 2020-21. There is a strong positive correlation between the two errors, indicating tax receipts forecasts and heavily dependent on economic forecasts. In 2020-21, the forecast error on tax receipts growth was around 10.2 percentage points, while the forecast error on nominal non-farm GDP growth was around 5.9 percentage points. This is the largest underestimate of both GDP growth and tax receipts growth during the period.&#10;"/>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6300" cy="2886075"/>
                    </a:xfrm>
                    <a:prstGeom prst="rect">
                      <a:avLst/>
                    </a:prstGeom>
                    <a:noFill/>
                    <a:ln>
                      <a:noFill/>
                    </a:ln>
                  </pic:spPr>
                </pic:pic>
              </a:graphicData>
            </a:graphic>
          </wp:inline>
        </w:drawing>
      </w:r>
    </w:p>
    <w:p w14:paraId="63D6C62C" w14:textId="77777777" w:rsidR="003C05EA" w:rsidRPr="00FA7FA8" w:rsidRDefault="003C05EA" w:rsidP="003C05EA">
      <w:pPr>
        <w:pStyle w:val="ChartandTableFootnoteAlpha"/>
        <w:rPr>
          <w:color w:val="auto"/>
        </w:rPr>
      </w:pPr>
      <w:r w:rsidRPr="00FA7FA8">
        <w:rPr>
          <w:color w:val="auto"/>
        </w:rPr>
        <w:t xml:space="preserve">Excludes CGT. </w:t>
      </w:r>
    </w:p>
    <w:p w14:paraId="05BD2631" w14:textId="25A0EE9D" w:rsidR="003C05EA" w:rsidRPr="00FA7FA8" w:rsidRDefault="003C05EA" w:rsidP="003C05EA">
      <w:pPr>
        <w:pStyle w:val="Source"/>
      </w:pPr>
      <w:r w:rsidRPr="00FA7FA8">
        <w:t xml:space="preserve">Source: </w:t>
      </w:r>
      <w:r w:rsidRPr="00FA7FA8">
        <w:tab/>
        <w:t xml:space="preserve">ABS Australian National Accounts: National Income, Expenditure and Product, Budget papers and Treasury. </w:t>
      </w:r>
    </w:p>
    <w:p w14:paraId="1FEA98CB" w14:textId="66765AF3" w:rsidR="003C05EA" w:rsidRPr="002D3B12" w:rsidRDefault="003C05EA" w:rsidP="00124F89">
      <w:pPr>
        <w:pStyle w:val="SingleParagraph"/>
      </w:pPr>
    </w:p>
    <w:p w14:paraId="05F46FE1" w14:textId="658C0972" w:rsidR="003C05EA" w:rsidRPr="00FA7FA8" w:rsidRDefault="003C05EA" w:rsidP="003E0C01">
      <w:pPr>
        <w:pStyle w:val="Heading2"/>
        <w:keepLines/>
      </w:pPr>
      <w:bookmarkStart w:id="12" w:name="_Toc99026273"/>
      <w:r w:rsidRPr="00FA7FA8">
        <w:lastRenderedPageBreak/>
        <w:t>Assessing current forecasts through confidence interval analysis</w:t>
      </w:r>
      <w:bookmarkEnd w:id="12"/>
    </w:p>
    <w:p w14:paraId="501733A8" w14:textId="2EA14BBF" w:rsidR="003C05EA" w:rsidRPr="00FA7FA8" w:rsidRDefault="003C05EA" w:rsidP="003E0C01">
      <w:pPr>
        <w:keepNext/>
        <w:keepLines/>
      </w:pPr>
      <w:r w:rsidRPr="00FA7FA8">
        <w:t xml:space="preserve">This </w:t>
      </w:r>
      <w:r w:rsidR="003B625C" w:rsidRPr="00FA7FA8">
        <w:t xml:space="preserve">section </w:t>
      </w:r>
      <w:r w:rsidRPr="00FA7FA8">
        <w:t xml:space="preserve">presents confidence intervals consistent with practice in previous budget updates. The confidence intervals provide a guide to the degree of uncertainty around current forecasts if it is assumed that forecast errors are consistent with </w:t>
      </w:r>
      <w:r w:rsidR="00A63BF6" w:rsidRPr="00FA7FA8">
        <w:t>the distribution of</w:t>
      </w:r>
      <w:r w:rsidRPr="00FA7FA8">
        <w:t xml:space="preserve"> forecast errors since 199</w:t>
      </w:r>
      <w:r w:rsidR="00942F9C" w:rsidRPr="00FA7FA8">
        <w:t>8</w:t>
      </w:r>
      <w:r w:rsidR="00C702F0" w:rsidRPr="00FA7FA8">
        <w:noBreakHyphen/>
      </w:r>
      <w:r w:rsidR="006E570A" w:rsidRPr="00FA7FA8">
        <w:t>9</w:t>
      </w:r>
      <w:r w:rsidR="00942F9C" w:rsidRPr="00FA7FA8">
        <w:t>9</w:t>
      </w:r>
      <w:r w:rsidRPr="00FA7FA8">
        <w:t>.</w:t>
      </w:r>
      <w:r w:rsidRPr="00FA7FA8">
        <w:rPr>
          <w:rStyle w:val="FootnoteReference"/>
        </w:rPr>
        <w:footnoteReference w:id="2"/>
      </w:r>
      <w:r w:rsidRPr="00FA7FA8">
        <w:t xml:space="preserve"> </w:t>
      </w:r>
    </w:p>
    <w:p w14:paraId="25258A6D" w14:textId="169F6276" w:rsidR="003C05EA" w:rsidRPr="00FA7FA8" w:rsidRDefault="00537FC7" w:rsidP="003C05EA">
      <w:r w:rsidRPr="00FA7FA8">
        <w:t>F</w:t>
      </w:r>
      <w:r w:rsidR="003C05EA" w:rsidRPr="00FA7FA8">
        <w:t xml:space="preserve">orecast errors in the future will not necessarily be consistent with </w:t>
      </w:r>
      <w:r w:rsidR="00A63BF6" w:rsidRPr="00FA7FA8">
        <w:t xml:space="preserve">the distribution of </w:t>
      </w:r>
      <w:r w:rsidR="003C05EA" w:rsidRPr="00FA7FA8">
        <w:t>historical forecast errors. F</w:t>
      </w:r>
      <w:r w:rsidR="003C05EA" w:rsidRPr="00FA7FA8" w:rsidDel="00E62CDC">
        <w:t xml:space="preserve">orecast errors </w:t>
      </w:r>
      <w:r w:rsidR="00ED0D93" w:rsidRPr="00FA7FA8">
        <w:t xml:space="preserve">driven by unusual developments </w:t>
      </w:r>
      <w:r w:rsidR="003C05EA" w:rsidRPr="00FA7FA8" w:rsidDel="00E62CDC">
        <w:t xml:space="preserve">can be larger than </w:t>
      </w:r>
      <w:r w:rsidR="00ED0D93" w:rsidRPr="00FA7FA8">
        <w:t>experienced</w:t>
      </w:r>
      <w:r w:rsidR="00ED0D93" w:rsidRPr="00FA7FA8" w:rsidDel="00E62CDC">
        <w:t xml:space="preserve"> </w:t>
      </w:r>
      <w:r w:rsidR="003C05EA" w:rsidRPr="00FA7FA8" w:rsidDel="00E62CDC">
        <w:t xml:space="preserve">during </w:t>
      </w:r>
      <w:r w:rsidR="00B85409" w:rsidRPr="00FA7FA8">
        <w:t>the historical sample</w:t>
      </w:r>
      <w:r w:rsidR="003C05EA" w:rsidRPr="00FA7FA8" w:rsidDel="00E62CDC">
        <w:t xml:space="preserve"> period. During such periods, the range of outcomes for economic and fiscal estimates can be considerably wider than normal.</w:t>
      </w:r>
      <w:r w:rsidR="003C05EA" w:rsidRPr="00FA7FA8">
        <w:t xml:space="preserve"> </w:t>
      </w:r>
      <w:r w:rsidR="003C05EA" w:rsidRPr="00FA7FA8" w:rsidDel="00F644F5">
        <w:t>The large forecast errors in 2019</w:t>
      </w:r>
      <w:r w:rsidR="00C702F0" w:rsidRPr="00FA7FA8">
        <w:noBreakHyphen/>
      </w:r>
      <w:r w:rsidR="003C05EA" w:rsidRPr="00FA7FA8" w:rsidDel="00F644F5">
        <w:t>20</w:t>
      </w:r>
      <w:r w:rsidR="00113C6E" w:rsidRPr="00FA7FA8">
        <w:t xml:space="preserve"> and </w:t>
      </w:r>
      <w:r w:rsidR="00AD095F" w:rsidRPr="00FA7FA8">
        <w:t>2020</w:t>
      </w:r>
      <w:r w:rsidR="00C702F0" w:rsidRPr="00FA7FA8">
        <w:noBreakHyphen/>
      </w:r>
      <w:r w:rsidR="00AD095F" w:rsidRPr="00FA7FA8">
        <w:t>21</w:t>
      </w:r>
      <w:r w:rsidR="003C05EA" w:rsidRPr="00FA7FA8" w:rsidDel="00F644F5">
        <w:t xml:space="preserve">, due to the unforeseen nature of the </w:t>
      </w:r>
      <w:r w:rsidR="003C05EA" w:rsidRPr="00FA7FA8">
        <w:t>COVID</w:t>
      </w:r>
      <w:r w:rsidR="00C702F0" w:rsidRPr="00FA7FA8">
        <w:noBreakHyphen/>
      </w:r>
      <w:r w:rsidR="003C05EA" w:rsidRPr="00FA7FA8">
        <w:t xml:space="preserve">19 </w:t>
      </w:r>
      <w:r w:rsidR="003C05EA" w:rsidRPr="00FA7FA8" w:rsidDel="00F644F5">
        <w:t xml:space="preserve">pandemic, are </w:t>
      </w:r>
      <w:r w:rsidR="008873EA" w:rsidRPr="00FA7FA8">
        <w:t>an example of the type of event not previously captured in the historical sample.</w:t>
      </w:r>
      <w:r w:rsidR="00D62B37" w:rsidRPr="00FA7FA8">
        <w:t xml:space="preserve"> </w:t>
      </w:r>
      <w:r w:rsidR="00BB49C0" w:rsidRPr="00FA7FA8">
        <w:t xml:space="preserve">While the estimated </w:t>
      </w:r>
      <w:r w:rsidR="00BC3905" w:rsidRPr="00FA7FA8">
        <w:t>confidence intervals</w:t>
      </w:r>
      <w:r w:rsidR="00BB49C0" w:rsidRPr="00FA7FA8">
        <w:t xml:space="preserve"> now include the large errors in these years, they are still based predominantly on more normal periods of time and are therefore likely to understate the true uncertainty during the pandemic</w:t>
      </w:r>
      <w:r w:rsidR="00B14288" w:rsidRPr="00FA7FA8">
        <w:t>.</w:t>
      </w:r>
    </w:p>
    <w:p w14:paraId="1DC88CFF" w14:textId="3EC5A838" w:rsidR="003C05EA" w:rsidRPr="00FA7FA8" w:rsidRDefault="003C05EA" w:rsidP="003C05EA">
      <w:pPr>
        <w:pStyle w:val="Heading3"/>
      </w:pPr>
      <w:bookmarkStart w:id="13" w:name="_Toc99026274"/>
      <w:r w:rsidRPr="00FA7FA8">
        <w:t>Economic uncertainty based on historical forecast errors</w:t>
      </w:r>
      <w:bookmarkEnd w:id="13"/>
    </w:p>
    <w:p w14:paraId="31D5CFA1" w14:textId="103061EA" w:rsidR="003C05EA" w:rsidRPr="00FA7FA8" w:rsidRDefault="003C05EA" w:rsidP="003C05EA">
      <w:r w:rsidRPr="00FA7FA8">
        <w:t>Based on forecast errors for real GDP in the past, Chart </w:t>
      </w:r>
      <w:r w:rsidR="007166DA" w:rsidRPr="00FA7FA8">
        <w:t>7</w:t>
      </w:r>
      <w:r w:rsidRPr="00FA7FA8">
        <w:t>.</w:t>
      </w:r>
      <w:r w:rsidR="00C919CB" w:rsidRPr="00FA7FA8">
        <w:t>5</w:t>
      </w:r>
      <w:r w:rsidRPr="00FA7FA8">
        <w:t xml:space="preserve"> shows the degree of variance around the current forecasts if similar magnitude errors were made again. The chart suggests that the average annualised growth rate of real GDP in the </w:t>
      </w:r>
      <w:r w:rsidR="00CD0D94" w:rsidRPr="00FA7FA8">
        <w:t xml:space="preserve">3 </w:t>
      </w:r>
      <w:r w:rsidRPr="00FA7FA8">
        <w:t>years to 2023</w:t>
      </w:r>
      <w:r w:rsidR="00C702F0" w:rsidRPr="00FA7FA8">
        <w:noBreakHyphen/>
      </w:r>
      <w:r w:rsidRPr="00FA7FA8">
        <w:t>24 is expected to be around 3</w:t>
      </w:r>
      <w:r w:rsidR="00C875DD" w:rsidRPr="00FA7FA8">
        <w:t xml:space="preserve">½ </w:t>
      </w:r>
      <w:r w:rsidRPr="00FA7FA8">
        <w:t>per cent, with the 70 per cent confidence interval ranging from 2</w:t>
      </w:r>
      <w:r w:rsidR="00D30C50" w:rsidRPr="00FA7FA8">
        <w:t>¾</w:t>
      </w:r>
      <w:r w:rsidR="00100802" w:rsidRPr="00FA7FA8">
        <w:t xml:space="preserve"> </w:t>
      </w:r>
      <w:r w:rsidRPr="00FA7FA8">
        <w:t xml:space="preserve">per cent to </w:t>
      </w:r>
      <w:r w:rsidR="00D30C50" w:rsidRPr="00FA7FA8">
        <w:t>4</w:t>
      </w:r>
      <w:r w:rsidR="00100802" w:rsidRPr="00FA7FA8">
        <w:t xml:space="preserve"> </w:t>
      </w:r>
      <w:r w:rsidRPr="00FA7FA8">
        <w:t xml:space="preserve">per cent. </w:t>
      </w:r>
      <w:bookmarkStart w:id="14" w:name="_Hlk71047596"/>
      <w:r w:rsidRPr="00FA7FA8">
        <w:t xml:space="preserve">The 90 per cent confidence interval ranges from </w:t>
      </w:r>
      <w:r w:rsidR="5764F71F" w:rsidRPr="00FA7FA8">
        <w:t>2</w:t>
      </w:r>
      <w:r w:rsidR="00D30C50" w:rsidRPr="00FA7FA8">
        <w:t>½</w:t>
      </w:r>
      <w:r w:rsidR="00B520BF" w:rsidRPr="00FA7FA8">
        <w:t> </w:t>
      </w:r>
      <w:r w:rsidRPr="00FA7FA8">
        <w:t xml:space="preserve">per cent to </w:t>
      </w:r>
      <w:r w:rsidR="5764F71F" w:rsidRPr="00FA7FA8">
        <w:t>4</w:t>
      </w:r>
      <w:r w:rsidR="00D30C50" w:rsidRPr="00FA7FA8">
        <w:t xml:space="preserve">¼ </w:t>
      </w:r>
      <w:r w:rsidRPr="00FA7FA8">
        <w:t xml:space="preserve">per cent. In other words, if forecast errors are similar to those made over recent years, there is a 90 per cent probability that the average annualised growth rate of the economy over the </w:t>
      </w:r>
      <w:r w:rsidR="00036DDE" w:rsidRPr="00FA7FA8">
        <w:t xml:space="preserve">3 </w:t>
      </w:r>
      <w:r w:rsidRPr="00FA7FA8">
        <w:t xml:space="preserve">years to </w:t>
      </w:r>
      <w:r w:rsidR="00036DDE" w:rsidRPr="00FA7FA8">
        <w:t>2023-24</w:t>
      </w:r>
      <w:r w:rsidRPr="00FA7FA8">
        <w:t xml:space="preserve"> will lie in this range.</w:t>
      </w:r>
      <w:bookmarkEnd w:id="14"/>
    </w:p>
    <w:p w14:paraId="5F820AC2" w14:textId="246AA3E6" w:rsidR="003C05EA" w:rsidRPr="00FA7FA8" w:rsidRDefault="003C05EA" w:rsidP="00017DA5">
      <w:pPr>
        <w:pStyle w:val="ChartHeading"/>
      </w:pPr>
      <w:r w:rsidRPr="00FA7FA8">
        <w:lastRenderedPageBreak/>
        <w:t>Chart </w:t>
      </w:r>
      <w:r w:rsidR="00B31146" w:rsidRPr="00FA7FA8">
        <w:t>7</w:t>
      </w:r>
      <w:r w:rsidRPr="00FA7FA8">
        <w:t>.</w:t>
      </w:r>
      <w:r w:rsidR="000A77BC" w:rsidRPr="00FA7FA8">
        <w:t>5</w:t>
      </w:r>
      <w:r w:rsidRPr="00FA7FA8">
        <w:t>: Confidence intervals around real GDP growth rate forecasts</w:t>
      </w:r>
    </w:p>
    <w:p w14:paraId="3AABE0AE" w14:textId="1F50F880" w:rsidR="00F87389" w:rsidRPr="00FA7FA8" w:rsidRDefault="00707745" w:rsidP="00B84191">
      <w:pPr>
        <w:pStyle w:val="ChartGraphic"/>
      </w:pPr>
      <w:bookmarkStart w:id="15" w:name="_1709800969"/>
      <w:bookmarkEnd w:id="15"/>
      <w:r>
        <w:rPr>
          <w:noProof/>
        </w:rPr>
        <w:drawing>
          <wp:inline distT="0" distB="0" distL="0" distR="0" wp14:anchorId="48FB9EEA" wp14:editId="1B61093F">
            <wp:extent cx="4600575" cy="2495550"/>
            <wp:effectExtent l="0" t="0" r="9525" b="0"/>
            <wp:docPr id="150" name="Picture 150" descr="&quot;This chart shows confidence intervals around the Budget forecast for average annualised real GDP growth.&#10;&#10;The Budget forecast for average annualised real GDP growth in the three years to 2023-24 is expected to be around 3 1/2 per cent, with the 70 per cent confidence interval ranging from 2 3/4 to 4 per cent, and the 90 per cent confidence interval ranging from 2 1/2 to 4 1/4 per cent.&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quot;This chart shows confidence intervals around the Budget forecast for average annualised real GDP growth.&#10;&#10;The Budget forecast for average annualised real GDP growth in the three years to 2023-24 is expected to be around 3 1/2 per cent, with the 70 per cent confidence interval ranging from 2 3/4 to 4 per cent, and the 90 per cent confidence interval ranging from 2 1/2 to 4 1/4 per cent.&quot;&#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00575" cy="2495550"/>
                    </a:xfrm>
                    <a:prstGeom prst="rect">
                      <a:avLst/>
                    </a:prstGeom>
                    <a:noFill/>
                    <a:ln>
                      <a:noFill/>
                    </a:ln>
                  </pic:spPr>
                </pic:pic>
              </a:graphicData>
            </a:graphic>
          </wp:inline>
        </w:drawing>
      </w:r>
    </w:p>
    <w:p w14:paraId="1AE38BEC" w14:textId="559FE949" w:rsidR="003C05EA" w:rsidRPr="00FA7FA8" w:rsidRDefault="003C05EA" w:rsidP="003C05EA">
      <w:pPr>
        <w:pStyle w:val="ChartandTableFootnote"/>
        <w:tabs>
          <w:tab w:val="clear" w:pos="709"/>
          <w:tab w:val="left" w:pos="624"/>
        </w:tabs>
        <w:ind w:left="624" w:hanging="624"/>
        <w:rPr>
          <w:color w:val="auto"/>
        </w:rPr>
      </w:pPr>
      <w:r w:rsidRPr="00FA7FA8">
        <w:rPr>
          <w:color w:val="auto"/>
        </w:rPr>
        <w:t xml:space="preserve">Note: </w:t>
      </w:r>
      <w:r w:rsidRPr="00FA7FA8">
        <w:rPr>
          <w:color w:val="auto"/>
        </w:rPr>
        <w:tab/>
        <w:t xml:space="preserve">The central line shows the outcomes and the </w:t>
      </w:r>
      <w:r w:rsidR="00593836" w:rsidRPr="00FA7FA8">
        <w:rPr>
          <w:color w:val="auto"/>
        </w:rPr>
        <w:t>2022</w:t>
      </w:r>
      <w:r w:rsidR="00C702F0" w:rsidRPr="00FA7FA8">
        <w:rPr>
          <w:color w:val="auto"/>
        </w:rPr>
        <w:noBreakHyphen/>
      </w:r>
      <w:r w:rsidR="00593836" w:rsidRPr="00FA7FA8">
        <w:rPr>
          <w:color w:val="auto"/>
        </w:rPr>
        <w:t>23</w:t>
      </w:r>
      <w:r w:rsidRPr="00FA7FA8">
        <w:rPr>
          <w:color w:val="auto"/>
        </w:rPr>
        <w:t xml:space="preserve"> Budget forecasts. Annual growth rates are reported for the outcomes. Average annualised growth rates from </w:t>
      </w:r>
      <w:r w:rsidR="00593836" w:rsidRPr="00FA7FA8">
        <w:rPr>
          <w:color w:val="auto"/>
        </w:rPr>
        <w:t>2020</w:t>
      </w:r>
      <w:r w:rsidR="00C702F0" w:rsidRPr="00FA7FA8">
        <w:rPr>
          <w:color w:val="auto"/>
        </w:rPr>
        <w:noBreakHyphen/>
      </w:r>
      <w:r w:rsidR="00593836" w:rsidRPr="00FA7FA8">
        <w:rPr>
          <w:color w:val="auto"/>
        </w:rPr>
        <w:t>21</w:t>
      </w:r>
      <w:r w:rsidRPr="00FA7FA8">
        <w:rPr>
          <w:color w:val="auto"/>
        </w:rPr>
        <w:t xml:space="preserve"> are reported for </w:t>
      </w:r>
      <w:r w:rsidR="00593836" w:rsidRPr="00FA7FA8">
        <w:rPr>
          <w:color w:val="auto"/>
        </w:rPr>
        <w:t>2021</w:t>
      </w:r>
      <w:r w:rsidR="00C702F0" w:rsidRPr="00FA7FA8">
        <w:rPr>
          <w:color w:val="auto"/>
        </w:rPr>
        <w:noBreakHyphen/>
      </w:r>
      <w:r w:rsidR="00593836" w:rsidRPr="00FA7FA8">
        <w:rPr>
          <w:color w:val="auto"/>
        </w:rPr>
        <w:t>22</w:t>
      </w:r>
      <w:r w:rsidRPr="00FA7FA8">
        <w:rPr>
          <w:color w:val="auto"/>
        </w:rPr>
        <w:t xml:space="preserve"> onwards. Confidence intervals are based on the root mean squared errors (RMSEs) of Budget forecasts from </w:t>
      </w:r>
      <w:r w:rsidR="00593836" w:rsidRPr="00FA7FA8">
        <w:rPr>
          <w:color w:val="auto"/>
        </w:rPr>
        <w:t>1998</w:t>
      </w:r>
      <w:r w:rsidR="00C702F0" w:rsidRPr="00FA7FA8">
        <w:rPr>
          <w:color w:val="auto"/>
        </w:rPr>
        <w:noBreakHyphen/>
      </w:r>
      <w:r w:rsidR="00593836" w:rsidRPr="00FA7FA8">
        <w:rPr>
          <w:color w:val="auto"/>
        </w:rPr>
        <w:t>99</w:t>
      </w:r>
      <w:r w:rsidRPr="00FA7FA8">
        <w:rPr>
          <w:color w:val="auto"/>
        </w:rPr>
        <w:t xml:space="preserve"> onwards. (f) are forecasts.</w:t>
      </w:r>
    </w:p>
    <w:p w14:paraId="267B8F3D" w14:textId="589ECAF0" w:rsidR="003C05EA" w:rsidRPr="00FA7FA8" w:rsidRDefault="003C05EA" w:rsidP="003C05EA">
      <w:pPr>
        <w:pStyle w:val="Source"/>
        <w:tabs>
          <w:tab w:val="clear" w:pos="709"/>
          <w:tab w:val="left" w:pos="567"/>
          <w:tab w:val="left" w:pos="624"/>
        </w:tabs>
        <w:ind w:left="624" w:hanging="624"/>
      </w:pPr>
      <w:r w:rsidRPr="00FA7FA8">
        <w:t>Source:</w:t>
      </w:r>
      <w:r w:rsidRPr="00FA7FA8">
        <w:tab/>
      </w:r>
      <w:r w:rsidR="004F3473" w:rsidRPr="00FA7FA8">
        <w:tab/>
      </w:r>
      <w:r w:rsidRPr="00FA7FA8">
        <w:t>December quarter 202</w:t>
      </w:r>
      <w:r w:rsidR="004C6F43" w:rsidRPr="00FA7FA8">
        <w:t>1</w:t>
      </w:r>
      <w:r w:rsidRPr="00FA7FA8">
        <w:t xml:space="preserve"> ABS Australian National Accounts: National Income, Expenditure and Product, Budget papers and Treasury.</w:t>
      </w:r>
    </w:p>
    <w:p w14:paraId="6D32DAF8" w14:textId="15F40435" w:rsidR="003C05EA" w:rsidRPr="00FA7FA8" w:rsidRDefault="003C05EA" w:rsidP="003C05EA">
      <w:r w:rsidRPr="00FA7FA8">
        <w:t xml:space="preserve">The confidence intervals around the nominal GDP forecasts are wider than those around the real GDP forecasts, reflecting the uncertainty around domestic prices and commodity prices. Average annualised growth in nominal GDP in the </w:t>
      </w:r>
      <w:r w:rsidR="00CD0D94" w:rsidRPr="00FA7FA8">
        <w:t xml:space="preserve">3 </w:t>
      </w:r>
      <w:r w:rsidRPr="00FA7FA8">
        <w:t>years to </w:t>
      </w:r>
      <w:r w:rsidR="00B31505" w:rsidRPr="00FA7FA8">
        <w:t>2023</w:t>
      </w:r>
      <w:r w:rsidR="00C702F0" w:rsidRPr="00FA7FA8">
        <w:noBreakHyphen/>
      </w:r>
      <w:r w:rsidR="00B31505" w:rsidRPr="00FA7FA8">
        <w:t xml:space="preserve">24 </w:t>
      </w:r>
      <w:r w:rsidRPr="00FA7FA8">
        <w:t xml:space="preserve">is expected to be around </w:t>
      </w:r>
      <w:r w:rsidR="0063217D" w:rsidRPr="00FA7FA8">
        <w:t>4</w:t>
      </w:r>
      <w:r w:rsidR="00E66B38" w:rsidRPr="00FA7FA8">
        <w:t>½</w:t>
      </w:r>
      <w:r w:rsidRPr="00FA7FA8">
        <w:t xml:space="preserve"> per cent, with the 70 per cent confidence interval ranging from </w:t>
      </w:r>
      <w:r w:rsidR="0063217D" w:rsidRPr="00FA7FA8">
        <w:t>3</w:t>
      </w:r>
      <w:r w:rsidRPr="00FA7FA8">
        <w:t xml:space="preserve"> per cent to </w:t>
      </w:r>
      <w:r w:rsidR="0063217D" w:rsidRPr="00FA7FA8">
        <w:t>6</w:t>
      </w:r>
      <w:r w:rsidR="0082234D" w:rsidRPr="00FA7FA8">
        <w:t xml:space="preserve">¼ </w:t>
      </w:r>
      <w:r w:rsidRPr="00FA7FA8">
        <w:t>per cent. The 90 per cent confidence interval ranges from </w:t>
      </w:r>
      <w:r w:rsidR="004076C7" w:rsidRPr="00FA7FA8">
        <w:t>2</w:t>
      </w:r>
      <w:r w:rsidR="00952D12" w:rsidRPr="00FA7FA8">
        <w:t>¼ </w:t>
      </w:r>
      <w:r w:rsidRPr="00FA7FA8">
        <w:t xml:space="preserve">per cent to </w:t>
      </w:r>
      <w:r w:rsidR="004076C7" w:rsidRPr="00FA7FA8">
        <w:t>7</w:t>
      </w:r>
      <w:r w:rsidR="004A18FC" w:rsidRPr="00FA7FA8">
        <w:t xml:space="preserve"> </w:t>
      </w:r>
      <w:r w:rsidRPr="00FA7FA8">
        <w:t>per cent (Chart</w:t>
      </w:r>
      <w:r w:rsidR="7AFC9A68" w:rsidRPr="00FA7FA8">
        <w:t xml:space="preserve"> </w:t>
      </w:r>
      <w:r w:rsidR="007166DA" w:rsidRPr="00FA7FA8">
        <w:t>7</w:t>
      </w:r>
      <w:r w:rsidRPr="00FA7FA8">
        <w:t>.</w:t>
      </w:r>
      <w:r w:rsidR="00125F77" w:rsidRPr="00FA7FA8">
        <w:t>6</w:t>
      </w:r>
      <w:r w:rsidRPr="00FA7FA8">
        <w:t xml:space="preserve">). </w:t>
      </w:r>
    </w:p>
    <w:p w14:paraId="530744B1" w14:textId="16C89460" w:rsidR="003C05EA" w:rsidRPr="00FA7FA8" w:rsidRDefault="003C05EA" w:rsidP="003C05EA">
      <w:pPr>
        <w:pStyle w:val="ChartHeading"/>
      </w:pPr>
      <w:r w:rsidRPr="00FA7FA8">
        <w:lastRenderedPageBreak/>
        <w:t>Chart </w:t>
      </w:r>
      <w:r w:rsidR="00B31146" w:rsidRPr="00FA7FA8">
        <w:t>7</w:t>
      </w:r>
      <w:r w:rsidRPr="00FA7FA8">
        <w:t>.</w:t>
      </w:r>
      <w:r w:rsidR="000A77BC" w:rsidRPr="00FA7FA8">
        <w:t>6</w:t>
      </w:r>
      <w:r w:rsidRPr="00FA7FA8">
        <w:t xml:space="preserve">: Confidence intervals around nominal GDP growth rate forecasts </w:t>
      </w:r>
    </w:p>
    <w:p w14:paraId="58E32A05" w14:textId="32B9FEFC" w:rsidR="003C05EA" w:rsidRPr="00FA7FA8" w:rsidRDefault="00707745" w:rsidP="00B6191C">
      <w:pPr>
        <w:pStyle w:val="ChartGraphic"/>
      </w:pPr>
      <w:bookmarkStart w:id="16" w:name="_1709800919"/>
      <w:bookmarkEnd w:id="16"/>
      <w:r>
        <w:rPr>
          <w:noProof/>
        </w:rPr>
        <w:drawing>
          <wp:inline distT="0" distB="0" distL="0" distR="0" wp14:anchorId="1C58FAA9" wp14:editId="3B5FC925">
            <wp:extent cx="4600575" cy="2838450"/>
            <wp:effectExtent l="0" t="0" r="9525" b="0"/>
            <wp:docPr id="151" name="Picture 151" descr="This chart shows the confidence intervals around the Budget forecast for average annualised nominal GDP growth. The Budget forecast for average annualised nominal GDP growth in the three years to 2023-24 is expected to be around 4 1/2 per cent, with the 70 per cent confidence interval ranging from 3 per cent  to 6 1/4  per cent, and the 90 per cent confidence interval ranging from 2 1/4 per cent to 7 per cent.&#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Picture 151" descr="This chart shows the confidence intervals around the Budget forecast for average annualised nominal GDP growth. The Budget forecast for average annualised nominal GDP growth in the three years to 2023-24 is expected to be around 4 1/2 per cent, with the 70 per cent confidence interval ranging from 3 per cent  to 6 1/4  per cent, and the 90 per cent confidence interval ranging from 2 1/4 per cent to 7 per cent.&#10;"/>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00575" cy="2838450"/>
                    </a:xfrm>
                    <a:prstGeom prst="rect">
                      <a:avLst/>
                    </a:prstGeom>
                    <a:noFill/>
                    <a:ln>
                      <a:noFill/>
                    </a:ln>
                  </pic:spPr>
                </pic:pic>
              </a:graphicData>
            </a:graphic>
          </wp:inline>
        </w:drawing>
      </w:r>
    </w:p>
    <w:p w14:paraId="1DCFD4FD" w14:textId="61F8F83F" w:rsidR="003C05EA" w:rsidRPr="00FA7FA8" w:rsidRDefault="003C05EA" w:rsidP="003C05EA">
      <w:pPr>
        <w:pStyle w:val="ChartandTableFootnote"/>
        <w:rPr>
          <w:color w:val="auto"/>
        </w:rPr>
      </w:pPr>
      <w:r w:rsidRPr="00FA7FA8">
        <w:rPr>
          <w:color w:val="auto"/>
        </w:rPr>
        <w:t xml:space="preserve">Note: </w:t>
      </w:r>
      <w:r w:rsidRPr="00FA7FA8">
        <w:rPr>
          <w:color w:val="auto"/>
        </w:rPr>
        <w:tab/>
        <w:t>See note to Chart </w:t>
      </w:r>
      <w:r w:rsidR="00B31146" w:rsidRPr="00FA7FA8">
        <w:rPr>
          <w:color w:val="auto"/>
        </w:rPr>
        <w:t>7</w:t>
      </w:r>
      <w:r w:rsidRPr="00FA7FA8">
        <w:rPr>
          <w:color w:val="auto"/>
        </w:rPr>
        <w:t>.</w:t>
      </w:r>
      <w:r w:rsidR="00125F77" w:rsidRPr="00FA7FA8">
        <w:rPr>
          <w:color w:val="auto"/>
        </w:rPr>
        <w:t>5</w:t>
      </w:r>
      <w:r w:rsidRPr="00FA7FA8">
        <w:rPr>
          <w:color w:val="auto"/>
        </w:rPr>
        <w:t>.</w:t>
      </w:r>
    </w:p>
    <w:p w14:paraId="492AB936" w14:textId="37492048" w:rsidR="003C05EA" w:rsidRPr="00FA7FA8" w:rsidRDefault="003C05EA" w:rsidP="003C05EA">
      <w:pPr>
        <w:pStyle w:val="Source"/>
      </w:pPr>
      <w:r w:rsidRPr="00FA7FA8">
        <w:t xml:space="preserve">Source: </w:t>
      </w:r>
      <w:r w:rsidRPr="00FA7FA8">
        <w:tab/>
        <w:t>December quarter 202</w:t>
      </w:r>
      <w:r w:rsidR="004C6F43" w:rsidRPr="00FA7FA8">
        <w:t>1</w:t>
      </w:r>
      <w:r w:rsidRPr="00FA7FA8">
        <w:t xml:space="preserve"> ABS Australian National Accounts: National Income, Expenditure and Product, Budget papers and Treasury.</w:t>
      </w:r>
    </w:p>
    <w:p w14:paraId="07103B84" w14:textId="28775C65" w:rsidR="003C05EA" w:rsidRPr="00FA7FA8" w:rsidRDefault="003C05EA" w:rsidP="003C05EA">
      <w:pPr>
        <w:pStyle w:val="Heading3"/>
      </w:pPr>
      <w:bookmarkStart w:id="17" w:name="_Toc449783849"/>
      <w:bookmarkStart w:id="18" w:name="_Toc3880938"/>
      <w:bookmarkStart w:id="19" w:name="_Toc3881104"/>
      <w:bookmarkStart w:id="20" w:name="_Toc3881281"/>
      <w:bookmarkStart w:id="21" w:name="_Toc52642838"/>
      <w:bookmarkStart w:id="22" w:name="_Toc99026275"/>
      <w:r w:rsidRPr="00FA7FA8">
        <w:t xml:space="preserve">Fiscal </w:t>
      </w:r>
      <w:bookmarkEnd w:id="17"/>
      <w:bookmarkEnd w:id="18"/>
      <w:bookmarkEnd w:id="19"/>
      <w:bookmarkEnd w:id="20"/>
      <w:bookmarkEnd w:id="21"/>
      <w:r w:rsidRPr="00FA7FA8">
        <w:t>uncertainty based on historical forecast errors</w:t>
      </w:r>
      <w:bookmarkEnd w:id="22"/>
    </w:p>
    <w:p w14:paraId="14C7E3D7" w14:textId="77777777" w:rsidR="003C05EA" w:rsidRPr="00FA7FA8" w:rsidRDefault="003C05EA" w:rsidP="003C05EA">
      <w:r w:rsidRPr="00FA7FA8">
        <w:t xml:space="preserve">The fiscal estimates contained in the Budget are based on, and are highly sensitive to, economic and demographic forecasts as well as estimates of the impact of spending and revenue measures. Changes to any of these factors will affect forecasts for receipts and payments. As such, this will have a direct impact on the profile of the underlying cash balance. </w:t>
      </w:r>
    </w:p>
    <w:p w14:paraId="537C5B03" w14:textId="5380B8BF" w:rsidR="003C05EA" w:rsidRPr="00FA7FA8" w:rsidRDefault="003C05EA" w:rsidP="003C05EA">
      <w:r w:rsidRPr="00FA7FA8">
        <w:t>Historical variations caused by subsequent policy decisions are excluded as these do not relate to the forecasting errors presented in this section. However, payments estimates include the public debt interest impact of policy decisions and a provision for contingencies.</w:t>
      </w:r>
      <w:r w:rsidRPr="00FA7FA8">
        <w:rPr>
          <w:rStyle w:val="FootnoteReference"/>
        </w:rPr>
        <w:footnoteReference w:id="3"/>
      </w:r>
    </w:p>
    <w:p w14:paraId="64BC6CDC" w14:textId="77777777" w:rsidR="003C05EA" w:rsidRPr="00FA7FA8" w:rsidRDefault="003C05EA" w:rsidP="003C05EA">
      <w:r w:rsidRPr="00FA7FA8">
        <w:br w:type="page"/>
      </w:r>
    </w:p>
    <w:p w14:paraId="2BA92DE8" w14:textId="036338B7" w:rsidR="003C05EA" w:rsidRPr="00FA7FA8" w:rsidRDefault="003C05EA" w:rsidP="009A0AED">
      <w:pPr>
        <w:pStyle w:val="Heading4"/>
        <w:keepNext w:val="0"/>
      </w:pPr>
      <w:r w:rsidRPr="00FA7FA8">
        <w:lastRenderedPageBreak/>
        <w:t>Total receipts</w:t>
      </w:r>
    </w:p>
    <w:p w14:paraId="1452EC09" w14:textId="55611AFC" w:rsidR="003C05EA" w:rsidRPr="00FA7FA8" w:rsidRDefault="003C05EA" w:rsidP="00407646">
      <w:r w:rsidRPr="00FA7FA8">
        <w:t>Chart </w:t>
      </w:r>
      <w:r w:rsidR="007166DA" w:rsidRPr="00FA7FA8">
        <w:t>7</w:t>
      </w:r>
      <w:r w:rsidRPr="00FA7FA8">
        <w:t>.</w:t>
      </w:r>
      <w:r w:rsidR="00EE662A" w:rsidRPr="00FA7FA8">
        <w:t xml:space="preserve">7 </w:t>
      </w:r>
      <w:r w:rsidRPr="00FA7FA8">
        <w:t>shows confidence intervals around the forecasts for total receipts (excluding GST</w:t>
      </w:r>
      <w:r w:rsidRPr="00FA7FA8">
        <w:rPr>
          <w:rStyle w:val="FootnoteReference"/>
        </w:rPr>
        <w:footnoteReference w:id="4"/>
      </w:r>
      <w:r w:rsidRPr="00FA7FA8">
        <w:t xml:space="preserve">). The chart shows that there is considerable uncertainty around receipts forecasts and that this uncertainty is likely to increase as the forecast horizon lengthens. </w:t>
      </w:r>
    </w:p>
    <w:p w14:paraId="4C35C513" w14:textId="5C76CE68" w:rsidR="003C05EA" w:rsidRPr="00FA7FA8" w:rsidRDefault="003C05EA" w:rsidP="00407646">
      <w:r w:rsidRPr="00FA7FA8">
        <w:t xml:space="preserve">Total receipts (excluding GST) are expected to be around </w:t>
      </w:r>
      <w:r w:rsidR="00092C54" w:rsidRPr="00FA7FA8">
        <w:t>20.4</w:t>
      </w:r>
      <w:r w:rsidRPr="00FA7FA8">
        <w:t xml:space="preserve"> per cent of GDP in </w:t>
      </w:r>
      <w:r w:rsidR="00383CFE" w:rsidRPr="00FA7FA8">
        <w:t>2022</w:t>
      </w:r>
      <w:r w:rsidR="00C702F0" w:rsidRPr="00FA7FA8">
        <w:noBreakHyphen/>
      </w:r>
      <w:r w:rsidR="00383CFE" w:rsidRPr="00FA7FA8">
        <w:t>23</w:t>
      </w:r>
      <w:r w:rsidRPr="00FA7FA8">
        <w:t xml:space="preserve">, with the 70 per cent confidence interval ranging from </w:t>
      </w:r>
      <w:r w:rsidR="00092C54" w:rsidRPr="00FA7FA8">
        <w:t>19.3</w:t>
      </w:r>
      <w:r w:rsidRPr="00FA7FA8">
        <w:t xml:space="preserve"> per cent to </w:t>
      </w:r>
      <w:r w:rsidR="00092C54" w:rsidRPr="00FA7FA8">
        <w:t>21.4</w:t>
      </w:r>
      <w:r w:rsidRPr="00FA7FA8">
        <w:t xml:space="preserve"> per cent of GDP. The 90 per cent confidence interval ranges from </w:t>
      </w:r>
      <w:r w:rsidR="00092C54" w:rsidRPr="00FA7FA8">
        <w:t>18.7</w:t>
      </w:r>
      <w:r w:rsidRPr="00FA7FA8">
        <w:t xml:space="preserve"> per cent to </w:t>
      </w:r>
      <w:r w:rsidR="00092C54" w:rsidRPr="00FA7FA8">
        <w:t>22.0</w:t>
      </w:r>
      <w:r w:rsidRPr="00FA7FA8">
        <w:t> per cent (Chart </w:t>
      </w:r>
      <w:r w:rsidR="007166DA" w:rsidRPr="00FA7FA8">
        <w:t>7</w:t>
      </w:r>
      <w:r w:rsidRPr="00FA7FA8">
        <w:t>.</w:t>
      </w:r>
      <w:r w:rsidR="00EE662A" w:rsidRPr="00FA7FA8">
        <w:t>7</w:t>
      </w:r>
      <w:r w:rsidRPr="00FA7FA8">
        <w:t xml:space="preserve">). </w:t>
      </w:r>
    </w:p>
    <w:p w14:paraId="45D63F65" w14:textId="54E86411" w:rsidR="003C05EA" w:rsidRPr="00FA7FA8" w:rsidRDefault="003C05EA" w:rsidP="003C05EA">
      <w:pPr>
        <w:pStyle w:val="ChartHeading"/>
        <w:rPr>
          <w:vertAlign w:val="superscript"/>
        </w:rPr>
      </w:pPr>
      <w:r w:rsidRPr="00FA7FA8">
        <w:t>Chart </w:t>
      </w:r>
      <w:r w:rsidR="00B31146" w:rsidRPr="00FA7FA8">
        <w:t>7</w:t>
      </w:r>
      <w:r w:rsidRPr="00FA7FA8">
        <w:t>.</w:t>
      </w:r>
      <w:r w:rsidR="000A77BC" w:rsidRPr="00FA7FA8">
        <w:t>7</w:t>
      </w:r>
      <w:r w:rsidRPr="00FA7FA8">
        <w:t>: Confidence intervals around total receipts forecasts</w:t>
      </w:r>
      <w:r w:rsidRPr="00FA7FA8">
        <w:rPr>
          <w:vertAlign w:val="superscript"/>
        </w:rPr>
        <w:t>(a)</w:t>
      </w:r>
    </w:p>
    <w:p w14:paraId="6C0B82E7" w14:textId="278BDCEF" w:rsidR="00495A93" w:rsidRPr="00FA7FA8" w:rsidRDefault="00B377DE" w:rsidP="008C7FAC">
      <w:pPr>
        <w:pStyle w:val="ChartGraphic"/>
      </w:pPr>
      <w:bookmarkStart w:id="23" w:name="_1709801136"/>
      <w:bookmarkEnd w:id="23"/>
      <w:r>
        <w:rPr>
          <w:noProof/>
        </w:rPr>
        <w:drawing>
          <wp:inline distT="0" distB="0" distL="0" distR="0" wp14:anchorId="2B8B3681" wp14:editId="3B36EB70">
            <wp:extent cx="4629150" cy="2905125"/>
            <wp:effectExtent l="0" t="0" r="0" b="9525"/>
            <wp:docPr id="152" name="Picture 152" descr="This chart shows confidence intervals around the 2022-23 Budget forecast for receipts (excluding GST) as a percentage of GDP. Total receipts (excluding GST) are expected to be around 20.4 per cent of GDP in 2022 23, with the 70 per cent confidence interval ranging from 19.3 per cent to 21.4 per cent of GDP. The 90 per cent confidence interval ranges from 18.7 per cent to 22.0 per cen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Picture 152" descr="This chart shows confidence intervals around the 2022-23 Budget forecast for receipts (excluding GST) as a percentage of GDP. Total receipts (excluding GST) are expected to be around 20.4 per cent of GDP in 2022 23, with the 70 per cent confidence interval ranging from 19.3 per cent to 21.4 per cent of GDP. The 90 per cent confidence interval ranges from 18.7 per cent to 22.0 per cent &#10;"/>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9150" cy="2905125"/>
                    </a:xfrm>
                    <a:prstGeom prst="rect">
                      <a:avLst/>
                    </a:prstGeom>
                    <a:noFill/>
                    <a:ln>
                      <a:noFill/>
                    </a:ln>
                  </pic:spPr>
                </pic:pic>
              </a:graphicData>
            </a:graphic>
          </wp:inline>
        </w:drawing>
      </w:r>
    </w:p>
    <w:p w14:paraId="1FE10566" w14:textId="77777777" w:rsidR="003C05EA" w:rsidRPr="00FA7FA8" w:rsidRDefault="003C05EA" w:rsidP="003C05EA">
      <w:pPr>
        <w:pStyle w:val="ChartandTableFootnoteAlpha"/>
        <w:numPr>
          <w:ilvl w:val="0"/>
          <w:numId w:val="24"/>
        </w:numPr>
        <w:rPr>
          <w:color w:val="auto"/>
        </w:rPr>
      </w:pPr>
      <w:r w:rsidRPr="00FA7FA8">
        <w:rPr>
          <w:color w:val="auto"/>
        </w:rPr>
        <w:t>Excludes GST and includes Future Fund earnings.</w:t>
      </w:r>
    </w:p>
    <w:p w14:paraId="1698D28E" w14:textId="2D3F5154" w:rsidR="003C05EA" w:rsidRPr="00FA7FA8" w:rsidRDefault="003C05EA" w:rsidP="003C05EA">
      <w:pPr>
        <w:pStyle w:val="ChartandTableFootnote"/>
        <w:rPr>
          <w:color w:val="auto"/>
        </w:rPr>
      </w:pPr>
      <w:r w:rsidRPr="00FA7FA8">
        <w:rPr>
          <w:color w:val="auto"/>
        </w:rPr>
        <w:t xml:space="preserve">Note: </w:t>
      </w:r>
      <w:r w:rsidRPr="00FA7FA8">
        <w:rPr>
          <w:color w:val="auto"/>
        </w:rPr>
        <w:tab/>
        <w:t xml:space="preserve">The central line shows the outcomes and the </w:t>
      </w:r>
      <w:r w:rsidR="002177A9" w:rsidRPr="00FA7FA8">
        <w:rPr>
          <w:color w:val="auto"/>
        </w:rPr>
        <w:t>2022</w:t>
      </w:r>
      <w:r w:rsidR="00C702F0" w:rsidRPr="00FA7FA8">
        <w:rPr>
          <w:color w:val="auto"/>
        </w:rPr>
        <w:noBreakHyphen/>
      </w:r>
      <w:r w:rsidR="002177A9" w:rsidRPr="00FA7FA8">
        <w:rPr>
          <w:color w:val="auto"/>
        </w:rPr>
        <w:t>23</w:t>
      </w:r>
      <w:r w:rsidRPr="00FA7FA8">
        <w:rPr>
          <w:color w:val="auto"/>
        </w:rPr>
        <w:t xml:space="preserve"> Budget forecasts. Confidence intervals use RMSEs for Budget forecasts from the 199</w:t>
      </w:r>
      <w:r w:rsidR="000A48FE" w:rsidRPr="00FA7FA8">
        <w:rPr>
          <w:color w:val="auto"/>
        </w:rPr>
        <w:t>8</w:t>
      </w:r>
      <w:r w:rsidR="00C702F0" w:rsidRPr="00FA7FA8">
        <w:rPr>
          <w:color w:val="auto"/>
        </w:rPr>
        <w:noBreakHyphen/>
      </w:r>
      <w:r w:rsidRPr="00FA7FA8">
        <w:rPr>
          <w:color w:val="auto"/>
        </w:rPr>
        <w:t>9</w:t>
      </w:r>
      <w:r w:rsidR="000A48FE" w:rsidRPr="00FA7FA8">
        <w:rPr>
          <w:color w:val="auto"/>
        </w:rPr>
        <w:t>9</w:t>
      </w:r>
      <w:r w:rsidRPr="00FA7FA8">
        <w:rPr>
          <w:color w:val="auto"/>
        </w:rPr>
        <w:t xml:space="preserve"> Budget onwards. (f) are forecasts.</w:t>
      </w:r>
    </w:p>
    <w:p w14:paraId="7FD24369" w14:textId="77777777" w:rsidR="003C05EA" w:rsidRPr="00FA7FA8" w:rsidRDefault="003C05EA" w:rsidP="003C05EA">
      <w:pPr>
        <w:pStyle w:val="Source"/>
      </w:pPr>
      <w:r w:rsidRPr="00FA7FA8">
        <w:t xml:space="preserve">Source: </w:t>
      </w:r>
      <w:r w:rsidRPr="00FA7FA8">
        <w:tab/>
        <w:t xml:space="preserve">Budget papers and Treasury. </w:t>
      </w:r>
    </w:p>
    <w:p w14:paraId="40710B54" w14:textId="77777777" w:rsidR="003C05EA" w:rsidRPr="00FA7FA8" w:rsidRDefault="003C05EA" w:rsidP="003C05EA">
      <w:pPr>
        <w:pStyle w:val="Heading4"/>
      </w:pPr>
      <w:bookmarkStart w:id="24" w:name="_Toc448910754"/>
      <w:bookmarkStart w:id="25" w:name="_Toc52369754"/>
      <w:r w:rsidRPr="00FA7FA8">
        <w:t>Payments</w:t>
      </w:r>
      <w:bookmarkEnd w:id="24"/>
      <w:bookmarkEnd w:id="25"/>
    </w:p>
    <w:p w14:paraId="7EDE3073" w14:textId="501A7374" w:rsidR="003C05EA" w:rsidRPr="00FA7FA8" w:rsidRDefault="003C05EA" w:rsidP="00CF271E">
      <w:r w:rsidRPr="00FA7FA8">
        <w:t>Chart </w:t>
      </w:r>
      <w:r w:rsidR="007166DA" w:rsidRPr="00FA7FA8">
        <w:t>7</w:t>
      </w:r>
      <w:r w:rsidRPr="00FA7FA8">
        <w:t>.</w:t>
      </w:r>
      <w:r w:rsidR="00EE662A" w:rsidRPr="00FA7FA8">
        <w:t xml:space="preserve">8 </w:t>
      </w:r>
      <w:r w:rsidRPr="00FA7FA8">
        <w:t xml:space="preserve">shows confidence intervals around payments forecasts (excluding GST). Payments (excluding GST) are expected to be around </w:t>
      </w:r>
      <w:r w:rsidR="00A47E4D" w:rsidRPr="00FA7FA8">
        <w:t>23.7</w:t>
      </w:r>
      <w:r w:rsidRPr="00FA7FA8">
        <w:t xml:space="preserve"> per cent of GDP in </w:t>
      </w:r>
      <w:r w:rsidR="00383CFE" w:rsidRPr="00FA7FA8">
        <w:t>2022</w:t>
      </w:r>
      <w:r w:rsidR="00C702F0" w:rsidRPr="00FA7FA8">
        <w:noBreakHyphen/>
      </w:r>
      <w:r w:rsidR="00383CFE" w:rsidRPr="00FA7FA8">
        <w:t>23</w:t>
      </w:r>
      <w:r w:rsidRPr="00FA7FA8">
        <w:t xml:space="preserve">, with the 70 per cent confidence interval ranging from </w:t>
      </w:r>
      <w:r w:rsidR="006B17BD" w:rsidRPr="00FA7FA8">
        <w:t>23.3</w:t>
      </w:r>
      <w:r w:rsidRPr="00FA7FA8">
        <w:t xml:space="preserve"> per cent to </w:t>
      </w:r>
      <w:r w:rsidR="006B17BD" w:rsidRPr="00FA7FA8">
        <w:t>24.2</w:t>
      </w:r>
      <w:r w:rsidRPr="00FA7FA8">
        <w:t xml:space="preserve"> per cent of GDP. The 90 per cent confidence interval ranges from </w:t>
      </w:r>
      <w:r w:rsidR="006B17BD" w:rsidRPr="00FA7FA8">
        <w:t>23.1</w:t>
      </w:r>
      <w:r w:rsidRPr="00FA7FA8">
        <w:t xml:space="preserve"> per cent to </w:t>
      </w:r>
      <w:r w:rsidR="006B17BD" w:rsidRPr="00FA7FA8">
        <w:t xml:space="preserve">24.4 </w:t>
      </w:r>
      <w:r w:rsidRPr="00FA7FA8">
        <w:t>per cent (Chart </w:t>
      </w:r>
      <w:r w:rsidR="007166DA" w:rsidRPr="00FA7FA8">
        <w:t>7</w:t>
      </w:r>
      <w:r w:rsidRPr="00FA7FA8">
        <w:t>.</w:t>
      </w:r>
      <w:r w:rsidR="00EE662A" w:rsidRPr="00FA7FA8">
        <w:t>8</w:t>
      </w:r>
      <w:r w:rsidRPr="00FA7FA8">
        <w:t xml:space="preserve">). </w:t>
      </w:r>
      <w:r w:rsidRPr="00FA7FA8">
        <w:br w:type="page"/>
      </w:r>
    </w:p>
    <w:p w14:paraId="2CF59EA5" w14:textId="7B421BA6" w:rsidR="003C05EA" w:rsidRPr="00FA7FA8" w:rsidRDefault="003C05EA" w:rsidP="003C05EA">
      <w:r w:rsidRPr="00FA7FA8">
        <w:lastRenderedPageBreak/>
        <w:t>Automatic stabilisers have operated to provide support during the pandemic. Demand</w:t>
      </w:r>
      <w:r w:rsidR="00C702F0" w:rsidRPr="00FA7FA8">
        <w:noBreakHyphen/>
      </w:r>
      <w:r w:rsidRPr="00FA7FA8">
        <w:t>driven programs, such as payments to individuals for social welfare, form the bulk of government expenditure. Forecasts of payments associated with a number of these government programs depend on forecasts of economic conditions.</w:t>
      </w:r>
    </w:p>
    <w:p w14:paraId="65D3E4F3" w14:textId="33FF96BD" w:rsidR="003C05EA" w:rsidRPr="00FA7FA8" w:rsidRDefault="003C05EA" w:rsidP="003C05EA">
      <w:pPr>
        <w:pStyle w:val="ChartHeading"/>
        <w:rPr>
          <w:vertAlign w:val="superscript"/>
        </w:rPr>
      </w:pPr>
      <w:r w:rsidRPr="00FA7FA8">
        <w:t>Chart </w:t>
      </w:r>
      <w:r w:rsidR="00B31146" w:rsidRPr="00FA7FA8">
        <w:t>7</w:t>
      </w:r>
      <w:r w:rsidRPr="00FA7FA8">
        <w:t>.</w:t>
      </w:r>
      <w:r w:rsidR="000A77BC" w:rsidRPr="00FA7FA8">
        <w:t>8</w:t>
      </w:r>
      <w:r w:rsidRPr="00FA7FA8">
        <w:t>: Confidence intervals around payments forecasts</w:t>
      </w:r>
      <w:r w:rsidRPr="00FA7FA8">
        <w:rPr>
          <w:vertAlign w:val="superscript"/>
        </w:rPr>
        <w:t>(a)</w:t>
      </w:r>
    </w:p>
    <w:p w14:paraId="0D032349" w14:textId="55411964" w:rsidR="003C05EA" w:rsidRPr="00FA7FA8" w:rsidRDefault="00F23677" w:rsidP="003A4D74">
      <w:pPr>
        <w:pStyle w:val="ChartGraphic"/>
      </w:pPr>
      <w:r>
        <w:rPr>
          <w:noProof/>
        </w:rPr>
        <w:drawing>
          <wp:inline distT="0" distB="0" distL="0" distR="0" wp14:anchorId="325BA3B7" wp14:editId="7146BF80">
            <wp:extent cx="4600575" cy="2867025"/>
            <wp:effectExtent l="0" t="0" r="9525" b="9525"/>
            <wp:docPr id="153" name="Picture 153" descr="This chart shows confidence intervals around the 2022-23 Budget forecast for payments (excluding GST) as a percentage of GDP. Payments (excluding GST) are expected to be around 23.7 per cent of GDP in 2022 23, with the 70 per cent confidence interval ranging from 23.3 per cent to 24.2 per cent of GDP. The 90 per cent confidence interval ranges from 23.1 per cent to 24.4 per c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This chart shows confidence intervals around the 2022-23 Budget forecast for payments (excluding GST) as a percentage of GDP. Payments (excluding GST) are expected to be around 23.7 per cent of GDP in 2022 23, with the 70 per cent confidence interval ranging from 23.3 per cent to 24.2 per cent of GDP. The 90 per cent confidence interval ranges from 23.1 per cent to 24.4 per cent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00575" cy="2867025"/>
                    </a:xfrm>
                    <a:prstGeom prst="rect">
                      <a:avLst/>
                    </a:prstGeom>
                    <a:noFill/>
                    <a:ln>
                      <a:noFill/>
                    </a:ln>
                  </pic:spPr>
                </pic:pic>
              </a:graphicData>
            </a:graphic>
          </wp:inline>
        </w:drawing>
      </w:r>
    </w:p>
    <w:p w14:paraId="4C6D554D" w14:textId="7D4F938C" w:rsidR="003C05EA" w:rsidRPr="00FA7FA8" w:rsidRDefault="003C05EA" w:rsidP="003C05EA">
      <w:pPr>
        <w:pStyle w:val="ChartandTableFootnoteAlpha"/>
        <w:numPr>
          <w:ilvl w:val="0"/>
          <w:numId w:val="22"/>
        </w:numPr>
        <w:rPr>
          <w:color w:val="auto"/>
        </w:rPr>
      </w:pPr>
      <w:r w:rsidRPr="00FA7FA8">
        <w:rPr>
          <w:color w:val="auto"/>
        </w:rPr>
        <w:t>Excludes GST payments.</w:t>
      </w:r>
    </w:p>
    <w:p w14:paraId="196E4424" w14:textId="69AB3385" w:rsidR="003C05EA" w:rsidRPr="00FA7FA8" w:rsidRDefault="003C05EA" w:rsidP="003C05EA">
      <w:pPr>
        <w:pStyle w:val="ChartandTableFootnote"/>
        <w:rPr>
          <w:color w:val="auto"/>
        </w:rPr>
      </w:pPr>
      <w:r w:rsidRPr="00FA7FA8">
        <w:rPr>
          <w:color w:val="auto"/>
        </w:rPr>
        <w:t xml:space="preserve">Note: </w:t>
      </w:r>
      <w:r w:rsidRPr="00FA7FA8">
        <w:rPr>
          <w:color w:val="auto"/>
        </w:rPr>
        <w:tab/>
        <w:t>See note to Chart </w:t>
      </w:r>
      <w:r w:rsidR="007166DA" w:rsidRPr="00FA7FA8">
        <w:rPr>
          <w:color w:val="auto"/>
        </w:rPr>
        <w:t>7</w:t>
      </w:r>
      <w:r w:rsidRPr="00FA7FA8">
        <w:rPr>
          <w:color w:val="auto"/>
        </w:rPr>
        <w:t>.</w:t>
      </w:r>
      <w:r w:rsidR="000A77BC" w:rsidRPr="00FA7FA8">
        <w:rPr>
          <w:color w:val="auto"/>
        </w:rPr>
        <w:t>7</w:t>
      </w:r>
      <w:r w:rsidRPr="00FA7FA8">
        <w:rPr>
          <w:color w:val="auto"/>
        </w:rPr>
        <w:t>.</w:t>
      </w:r>
    </w:p>
    <w:p w14:paraId="3638D266" w14:textId="77777777" w:rsidR="003C05EA" w:rsidRPr="00FA7FA8" w:rsidRDefault="003C05EA" w:rsidP="003C05EA">
      <w:pPr>
        <w:pStyle w:val="Source"/>
      </w:pPr>
      <w:r w:rsidRPr="00FA7FA8">
        <w:t xml:space="preserve">Source: </w:t>
      </w:r>
      <w:r w:rsidRPr="00FA7FA8">
        <w:tab/>
        <w:t xml:space="preserve">Budget papers and Treasury. </w:t>
      </w:r>
    </w:p>
    <w:p w14:paraId="3CEC6B2C" w14:textId="77777777" w:rsidR="003C05EA" w:rsidRPr="00FA7FA8" w:rsidRDefault="003C05EA" w:rsidP="003C05EA">
      <w:pPr>
        <w:pStyle w:val="Heading4"/>
      </w:pPr>
      <w:bookmarkStart w:id="26" w:name="_Toc52369755"/>
      <w:r w:rsidRPr="00FA7FA8">
        <w:t>Underlying cash balance</w:t>
      </w:r>
      <w:bookmarkEnd w:id="26"/>
    </w:p>
    <w:p w14:paraId="54D841D6" w14:textId="4D5E2990" w:rsidR="003C05EA" w:rsidRPr="00FA7FA8" w:rsidRDefault="003C05EA" w:rsidP="003C05EA">
      <w:r w:rsidRPr="00FA7FA8">
        <w:t>The underlying cash balance estimates are sensitive to the same forecast errors that affect estimates of receipts and payments. Chart </w:t>
      </w:r>
      <w:r w:rsidR="007166DA" w:rsidRPr="00FA7FA8">
        <w:t>7</w:t>
      </w:r>
      <w:r w:rsidRPr="00FA7FA8">
        <w:t>.</w:t>
      </w:r>
      <w:r w:rsidR="009B275E" w:rsidRPr="00FA7FA8">
        <w:t xml:space="preserve">9 </w:t>
      </w:r>
      <w:r w:rsidRPr="00FA7FA8">
        <w:t xml:space="preserve">shows that there is considerable uncertainty around underlying cash balance forecasts and that this uncertainty is likely to increase as the forecast horizon lengthens. The underlying cash deficit in </w:t>
      </w:r>
      <w:r w:rsidR="00383CFE" w:rsidRPr="00FA7FA8">
        <w:t>2022</w:t>
      </w:r>
      <w:r w:rsidR="00C702F0" w:rsidRPr="00FA7FA8">
        <w:noBreakHyphen/>
      </w:r>
      <w:r w:rsidR="00383CFE" w:rsidRPr="00FA7FA8">
        <w:t xml:space="preserve">23 </w:t>
      </w:r>
      <w:r w:rsidRPr="00FA7FA8">
        <w:t xml:space="preserve">is expected to be </w:t>
      </w:r>
      <w:r w:rsidR="00A3652F" w:rsidRPr="00FA7FA8">
        <w:t>3.4</w:t>
      </w:r>
      <w:r w:rsidRPr="00FA7FA8">
        <w:t xml:space="preserve"> per cent of GDP, with the 70 per cent confidence interval ranging from a deficit of </w:t>
      </w:r>
      <w:r w:rsidR="006E5A97" w:rsidRPr="00FA7FA8">
        <w:t>4.8</w:t>
      </w:r>
      <w:r w:rsidRPr="00FA7FA8">
        <w:t xml:space="preserve"> per cent to </w:t>
      </w:r>
      <w:r w:rsidR="006E5A97" w:rsidRPr="00FA7FA8">
        <w:t>2.0</w:t>
      </w:r>
      <w:r w:rsidRPr="00FA7FA8">
        <w:t xml:space="preserve"> per cent of GDP. The 90 per cent confidence interval ranges from a deficit of </w:t>
      </w:r>
      <w:r w:rsidR="006E5A97" w:rsidRPr="00FA7FA8">
        <w:t>5.6</w:t>
      </w:r>
      <w:r w:rsidRPr="00FA7FA8">
        <w:t xml:space="preserve"> per cent to </w:t>
      </w:r>
      <w:r w:rsidR="006E5A97" w:rsidRPr="00FA7FA8">
        <w:t xml:space="preserve">1.1 </w:t>
      </w:r>
      <w:r w:rsidRPr="00FA7FA8">
        <w:t>per cent (Chart </w:t>
      </w:r>
      <w:r w:rsidR="007166DA" w:rsidRPr="00FA7FA8">
        <w:t>7</w:t>
      </w:r>
      <w:r w:rsidRPr="00FA7FA8">
        <w:t>.</w:t>
      </w:r>
      <w:r w:rsidR="00182221" w:rsidRPr="00FA7FA8">
        <w:t>9</w:t>
      </w:r>
      <w:r w:rsidRPr="00FA7FA8">
        <w:t>).</w:t>
      </w:r>
    </w:p>
    <w:p w14:paraId="07629A31" w14:textId="491FC8E9" w:rsidR="003C05EA" w:rsidRPr="00FA7FA8" w:rsidRDefault="003C05EA" w:rsidP="003C05EA">
      <w:pPr>
        <w:pStyle w:val="ChartMainHeading"/>
      </w:pPr>
      <w:r w:rsidRPr="00FA7FA8">
        <w:lastRenderedPageBreak/>
        <w:t>Chart </w:t>
      </w:r>
      <w:r w:rsidR="00B31146" w:rsidRPr="00FA7FA8">
        <w:t>7</w:t>
      </w:r>
      <w:r w:rsidRPr="00FA7FA8">
        <w:t>.</w:t>
      </w:r>
      <w:r w:rsidR="000A77BC" w:rsidRPr="00FA7FA8">
        <w:t>9</w:t>
      </w:r>
      <w:r w:rsidRPr="00FA7FA8">
        <w:t>: Confidence intervals around the underlying cash balance forecasts</w:t>
      </w:r>
    </w:p>
    <w:p w14:paraId="58A973AA" w14:textId="4089CDE3" w:rsidR="00D214CA" w:rsidRPr="00FA7FA8" w:rsidRDefault="002D6896" w:rsidP="00B8338C">
      <w:pPr>
        <w:pStyle w:val="ChartGraphic"/>
      </w:pPr>
      <w:r>
        <w:rPr>
          <w:noProof/>
        </w:rPr>
        <w:drawing>
          <wp:inline distT="0" distB="0" distL="0" distR="0" wp14:anchorId="4360D1B7" wp14:editId="110D5940">
            <wp:extent cx="4572000" cy="2886075"/>
            <wp:effectExtent l="0" t="0" r="0" b="9525"/>
            <wp:docPr id="154" name="Picture 154" descr="This chart shows confidence intervals around the 2022-23 Budget forecast for the underlying cash balance as a percentage of GDP. The underlying cash deficit in 2022-23 is expected to be 3.4 per cent of GDP, with the 70 per cent confidence interval ranging from a deficit of 4.8 per cent to 2.0 per cent of GDP. The 90 per cent confidence interval ranges from a deficit of 5.6 per cent to 1.1 per ce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This chart shows confidence intervals around the 2022-23 Budget forecast for the underlying cash balance as a percentage of GDP. The underlying cash deficit in 2022-23 is expected to be 3.4 per cent of GDP, with the 70 per cent confidence interval ranging from a deficit of 4.8 per cent to 2.0 per cent of GDP. The 90 per cent confidence interval ranges from a deficit of 5.6 per cent to 1.1 per cent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2886075"/>
                    </a:xfrm>
                    <a:prstGeom prst="rect">
                      <a:avLst/>
                    </a:prstGeom>
                    <a:noFill/>
                    <a:ln>
                      <a:noFill/>
                    </a:ln>
                  </pic:spPr>
                </pic:pic>
              </a:graphicData>
            </a:graphic>
          </wp:inline>
        </w:drawing>
      </w:r>
    </w:p>
    <w:p w14:paraId="6BD5FF2A" w14:textId="50AA923A" w:rsidR="003C05EA" w:rsidRPr="00FA7FA8" w:rsidRDefault="003C05EA" w:rsidP="003C05EA">
      <w:pPr>
        <w:pStyle w:val="ChartandTableFootnote"/>
        <w:rPr>
          <w:color w:val="auto"/>
        </w:rPr>
      </w:pPr>
      <w:r w:rsidRPr="00FA7FA8">
        <w:rPr>
          <w:color w:val="auto"/>
        </w:rPr>
        <w:t xml:space="preserve">Note: </w:t>
      </w:r>
      <w:r w:rsidRPr="00FA7FA8">
        <w:rPr>
          <w:color w:val="auto"/>
        </w:rPr>
        <w:tab/>
        <w:t>See note to Chart </w:t>
      </w:r>
      <w:r w:rsidR="00B31146" w:rsidRPr="00FA7FA8">
        <w:rPr>
          <w:color w:val="auto"/>
        </w:rPr>
        <w:t>7</w:t>
      </w:r>
      <w:r w:rsidRPr="00FA7FA8">
        <w:rPr>
          <w:color w:val="auto"/>
        </w:rPr>
        <w:t>.</w:t>
      </w:r>
      <w:r w:rsidR="000A77BC" w:rsidRPr="00FA7FA8">
        <w:rPr>
          <w:color w:val="auto"/>
        </w:rPr>
        <w:t>7</w:t>
      </w:r>
      <w:r w:rsidRPr="00FA7FA8">
        <w:rPr>
          <w:color w:val="auto"/>
        </w:rPr>
        <w:t>.</w:t>
      </w:r>
    </w:p>
    <w:p w14:paraId="0BAAEE2A" w14:textId="6DA848EB" w:rsidR="003C05EA" w:rsidRPr="00FA7FA8" w:rsidRDefault="003C05EA" w:rsidP="003C05EA">
      <w:pPr>
        <w:pStyle w:val="Source"/>
      </w:pPr>
      <w:r w:rsidRPr="00FA7FA8">
        <w:t xml:space="preserve">Source: </w:t>
      </w:r>
      <w:r w:rsidRPr="00FA7FA8">
        <w:tab/>
        <w:t>Budget papers and Treasury.</w:t>
      </w:r>
    </w:p>
    <w:bookmarkStart w:id="27" w:name="_Toc449783850"/>
    <w:bookmarkStart w:id="28" w:name="_Toc3880939"/>
    <w:bookmarkStart w:id="29" w:name="_Toc3881105"/>
    <w:bookmarkStart w:id="30" w:name="_Toc3881282"/>
    <w:bookmarkStart w:id="31" w:name="_Toc52642839"/>
    <w:p w14:paraId="377F7722" w14:textId="4C03EE37" w:rsidR="003C05EA" w:rsidRPr="00FA7FA8" w:rsidRDefault="00435DFA" w:rsidP="003C05EA">
      <w:pPr>
        <w:pStyle w:val="Heading2"/>
      </w:pPr>
      <w:r w:rsidRPr="00FA7FA8">
        <w:fldChar w:fldCharType="begin"/>
      </w:r>
      <w:r w:rsidRPr="00FA7FA8">
        <w:instrText xml:space="preserve"> :End:BPD_BG2 </w:instrText>
      </w:r>
      <w:r w:rsidRPr="00FA7FA8">
        <w:fldChar w:fldCharType="end"/>
      </w:r>
      <w:r w:rsidRPr="00FA7FA8">
        <w:fldChar w:fldCharType="begin"/>
      </w:r>
      <w:r w:rsidRPr="00FA7FA8">
        <w:instrText xml:space="preserve"> :Start:BPD_BG1 </w:instrText>
      </w:r>
      <w:r w:rsidRPr="00FA7FA8">
        <w:fldChar w:fldCharType="end"/>
      </w:r>
      <w:bookmarkStart w:id="32" w:name="_Toc99026276"/>
      <w:r w:rsidR="003C05EA" w:rsidRPr="00FA7FA8">
        <w:t>Assessing current forecasts through sensitivity analysis</w:t>
      </w:r>
      <w:bookmarkEnd w:id="27"/>
      <w:bookmarkEnd w:id="28"/>
      <w:bookmarkEnd w:id="29"/>
      <w:bookmarkEnd w:id="30"/>
      <w:bookmarkEnd w:id="31"/>
      <w:bookmarkEnd w:id="32"/>
    </w:p>
    <w:p w14:paraId="300A1DD5" w14:textId="30487D7A" w:rsidR="003C05EA" w:rsidRPr="00FA7FA8" w:rsidRDefault="003C05EA" w:rsidP="003C05EA">
      <w:r w:rsidRPr="00FA7FA8">
        <w:t xml:space="preserve">Sensitivity analysis provides an alternative way to examine the uncertainty surrounding current forecasts. Sensitivity analysis assesses the degree of uncertainty by considering alternative assumptions for key variables. In doing so, sensitivity analysis can illustrate the impact of small changes in assumptions on economic and fiscal aggregates. </w:t>
      </w:r>
    </w:p>
    <w:p w14:paraId="33B517A3" w14:textId="58E563FB" w:rsidR="00BA4869" w:rsidRPr="002D3B12" w:rsidRDefault="003C05EA">
      <w:r w:rsidRPr="00FA7FA8">
        <w:t xml:space="preserve">There are a range of variables that could have different outcomes from those assumed in the forecasting process. </w:t>
      </w:r>
      <w:r w:rsidR="00D533ED" w:rsidRPr="00FA7FA8">
        <w:t>T</w:t>
      </w:r>
      <w:r w:rsidR="00DF30A5" w:rsidRPr="00FA7FA8">
        <w:t xml:space="preserve">he </w:t>
      </w:r>
      <w:r w:rsidR="00C6481F" w:rsidRPr="00FA7FA8">
        <w:t>iron ore</w:t>
      </w:r>
      <w:r w:rsidR="00DF30A5" w:rsidRPr="00FA7FA8">
        <w:t xml:space="preserve"> price</w:t>
      </w:r>
      <w:r w:rsidRPr="00FA7FA8">
        <w:t xml:space="preserve"> and yields have been chosen for the following sensitivity analysis as they are fundamental to Australia</w:t>
      </w:r>
      <w:r w:rsidR="00C702F0" w:rsidRPr="00FA7FA8">
        <w:t>’</w:t>
      </w:r>
      <w:r w:rsidRPr="00FA7FA8">
        <w:t>s economic and fiscal outcomes and have varied considerably over time.</w:t>
      </w:r>
      <w:r w:rsidR="002D5823" w:rsidRPr="00FA7FA8">
        <w:t xml:space="preserve"> </w:t>
      </w:r>
      <w:r w:rsidR="00D91D5F" w:rsidRPr="00FA7FA8">
        <w:t xml:space="preserve">The </w:t>
      </w:r>
      <w:r w:rsidR="00D622E2" w:rsidRPr="00FA7FA8">
        <w:t xml:space="preserve">economic </w:t>
      </w:r>
      <w:r w:rsidR="00D91D5F" w:rsidRPr="00FA7FA8">
        <w:t xml:space="preserve">impact of other </w:t>
      </w:r>
      <w:r w:rsidR="00090350" w:rsidRPr="00FA7FA8">
        <w:t xml:space="preserve">key </w:t>
      </w:r>
      <w:r w:rsidR="00D91D5F" w:rsidRPr="00FA7FA8">
        <w:t>variables</w:t>
      </w:r>
      <w:r w:rsidR="001529DF" w:rsidRPr="00FA7FA8">
        <w:t>,</w:t>
      </w:r>
      <w:r w:rsidR="00D91D5F" w:rsidRPr="00FA7FA8">
        <w:t xml:space="preserve"> </w:t>
      </w:r>
      <w:r w:rsidR="00CA7D24" w:rsidRPr="00FA7FA8">
        <w:t>including the recent significant increase in oil prices due to Russia</w:t>
      </w:r>
      <w:r w:rsidR="00C702F0" w:rsidRPr="00FA7FA8">
        <w:t>’</w:t>
      </w:r>
      <w:r w:rsidR="00CA7D24" w:rsidRPr="00FA7FA8">
        <w:t>s invasion of Ukraine</w:t>
      </w:r>
      <w:r w:rsidR="001529DF" w:rsidRPr="00FA7FA8">
        <w:t>,</w:t>
      </w:r>
      <w:r w:rsidR="00F57B1D" w:rsidRPr="00FA7FA8">
        <w:t xml:space="preserve"> </w:t>
      </w:r>
      <w:r w:rsidR="008F36EB" w:rsidRPr="00FA7FA8">
        <w:t>is</w:t>
      </w:r>
      <w:r w:rsidR="00D91D5F" w:rsidRPr="00FA7FA8">
        <w:t xml:space="preserve"> considered in </w:t>
      </w:r>
      <w:r w:rsidR="00D91D5F" w:rsidRPr="00FA7FA8">
        <w:rPr>
          <w:i/>
        </w:rPr>
        <w:t>Budget Statement 2: Economic Outlook</w:t>
      </w:r>
      <w:r w:rsidR="00D91D5F" w:rsidRPr="00FA7FA8">
        <w:t>.</w:t>
      </w:r>
    </w:p>
    <w:p w14:paraId="22A83DAA" w14:textId="73396AB9" w:rsidR="00106FEC" w:rsidRPr="00FA7FA8" w:rsidRDefault="00106FEC" w:rsidP="00046F3F">
      <w:pPr>
        <w:pStyle w:val="Heading3"/>
        <w:keepLines/>
      </w:pPr>
      <w:bookmarkStart w:id="33" w:name="_Toc99026277"/>
      <w:r w:rsidRPr="00FA7FA8">
        <w:lastRenderedPageBreak/>
        <w:t>Movements in the iron ore price</w:t>
      </w:r>
      <w:bookmarkEnd w:id="33"/>
    </w:p>
    <w:p w14:paraId="2B525B08" w14:textId="6C277BD5" w:rsidR="00106FEC" w:rsidRPr="00FA7FA8" w:rsidRDefault="00106FEC" w:rsidP="00046F3F">
      <w:pPr>
        <w:keepNext/>
        <w:keepLines/>
      </w:pPr>
      <w:r w:rsidRPr="00FA7FA8">
        <w:t>The forecasts for nominal GDP and tax receipts are sensitive to assumptions about commodity prices, particularly iron ore which represent</w:t>
      </w:r>
      <w:r w:rsidR="00717F22" w:rsidRPr="00FA7FA8">
        <w:t>ed</w:t>
      </w:r>
      <w:r w:rsidRPr="00FA7FA8">
        <w:t xml:space="preserve"> around a third of the value of goods and services</w:t>
      </w:r>
      <w:r w:rsidRPr="00FA7FA8" w:rsidDel="00F53F7C">
        <w:t xml:space="preserve"> </w:t>
      </w:r>
      <w:r w:rsidRPr="00FA7FA8">
        <w:t>exports</w:t>
      </w:r>
      <w:r w:rsidR="00717F22" w:rsidRPr="00FA7FA8">
        <w:t xml:space="preserve"> in 2020</w:t>
      </w:r>
      <w:r w:rsidR="00C702F0" w:rsidRPr="00FA7FA8">
        <w:noBreakHyphen/>
      </w:r>
      <w:r w:rsidR="00717F22" w:rsidRPr="00FA7FA8">
        <w:t>21</w:t>
      </w:r>
      <w:r w:rsidRPr="00FA7FA8">
        <w:t xml:space="preserve">. Iron ore prices </w:t>
      </w:r>
      <w:r w:rsidR="009177EB" w:rsidRPr="00FA7FA8">
        <w:t>are affected by many factors, are volatile and are uncertain</w:t>
      </w:r>
      <w:r w:rsidRPr="00FA7FA8">
        <w:t xml:space="preserve">. Refer to </w:t>
      </w:r>
      <w:r w:rsidR="00BF6599" w:rsidRPr="00FA7FA8">
        <w:rPr>
          <w:i/>
        </w:rPr>
        <w:t xml:space="preserve">Budget </w:t>
      </w:r>
      <w:r w:rsidR="009177EB" w:rsidRPr="00FA7FA8">
        <w:rPr>
          <w:i/>
        </w:rPr>
        <w:t>Statement</w:t>
      </w:r>
      <w:r w:rsidRPr="00FA7FA8">
        <w:rPr>
          <w:i/>
        </w:rPr>
        <w:t xml:space="preserve"> 2:</w:t>
      </w:r>
      <w:r w:rsidRPr="00FA7FA8">
        <w:t xml:space="preserve"> </w:t>
      </w:r>
      <w:r w:rsidRPr="00FA7FA8">
        <w:rPr>
          <w:i/>
        </w:rPr>
        <w:t>Economic Outlook</w:t>
      </w:r>
      <w:r w:rsidRPr="00FA7FA8">
        <w:t xml:space="preserve"> for more information on recent developments in commodity prices. The results of both an increase and a decrease in the iron ore price are presented in Table </w:t>
      </w:r>
      <w:r w:rsidR="00765CAF" w:rsidRPr="00FA7FA8">
        <w:t>7</w:t>
      </w:r>
      <w:r w:rsidRPr="00FA7FA8">
        <w:t>.1 below.</w:t>
      </w:r>
    </w:p>
    <w:p w14:paraId="117B1C33" w14:textId="7614B220" w:rsidR="00106FEC" w:rsidRPr="00FA7FA8" w:rsidRDefault="00106FEC" w:rsidP="00106FEC">
      <w:r w:rsidRPr="00FA7FA8">
        <w:t xml:space="preserve">This analysis considers the impact that a permanent US$10 per tonne increase in the iron ore price has on nominal GDP and tax receipts relative to baseline levels in the </w:t>
      </w:r>
      <w:r w:rsidR="00E341B8" w:rsidRPr="00FA7FA8">
        <w:t>2022</w:t>
      </w:r>
      <w:r w:rsidR="00C702F0" w:rsidRPr="00FA7FA8">
        <w:noBreakHyphen/>
      </w:r>
      <w:r w:rsidR="00E341B8" w:rsidRPr="00FA7FA8">
        <w:t>23</w:t>
      </w:r>
      <w:r w:rsidRPr="00FA7FA8">
        <w:t> </w:t>
      </w:r>
      <w:r w:rsidR="00E341B8" w:rsidRPr="00FA7FA8">
        <w:t>Budget</w:t>
      </w:r>
      <w:r w:rsidRPr="00FA7FA8">
        <w:t xml:space="preserve"> forecasts. The effects of a US$10 per tonne decrease in the iron ore price are broadly symmetrical with the effects of a US$10 per tonne increase. </w:t>
      </w:r>
    </w:p>
    <w:p w14:paraId="3AF57F49" w14:textId="115C3C00" w:rsidR="00106FEC" w:rsidRPr="00FA7FA8" w:rsidRDefault="00106FEC" w:rsidP="00106FEC">
      <w:pPr>
        <w:rPr>
          <w:rFonts w:eastAsiaTheme="minorHAnsi"/>
        </w:rPr>
      </w:pPr>
      <w:r w:rsidRPr="00FA7FA8">
        <w:t>The US$10 per tonne increase in the assumed price for iron ore exports is expected to result in an increase in nominal GDP of around $</w:t>
      </w:r>
      <w:r w:rsidR="00E979C7" w:rsidRPr="00FA7FA8">
        <w:t>4.4</w:t>
      </w:r>
      <w:r w:rsidRPr="00FA7FA8">
        <w:t xml:space="preserve"> billion in </w:t>
      </w:r>
      <w:r w:rsidR="00356E55" w:rsidRPr="00FA7FA8">
        <w:t>2022</w:t>
      </w:r>
      <w:r w:rsidR="00C702F0" w:rsidRPr="00FA7FA8">
        <w:noBreakHyphen/>
      </w:r>
      <w:r w:rsidRPr="00FA7FA8">
        <w:t>2</w:t>
      </w:r>
      <w:r w:rsidR="00356E55" w:rsidRPr="00FA7FA8">
        <w:t>3</w:t>
      </w:r>
      <w:r w:rsidRPr="00FA7FA8">
        <w:t xml:space="preserve"> and around $</w:t>
      </w:r>
      <w:r w:rsidR="00E979C7" w:rsidRPr="00FA7FA8">
        <w:t>2.3</w:t>
      </w:r>
      <w:r w:rsidRPr="00FA7FA8">
        <w:t> billion in 202</w:t>
      </w:r>
      <w:r w:rsidR="00356E55" w:rsidRPr="00FA7FA8">
        <w:t>3</w:t>
      </w:r>
      <w:r w:rsidR="00C702F0" w:rsidRPr="00FA7FA8">
        <w:noBreakHyphen/>
      </w:r>
      <w:r w:rsidRPr="00FA7FA8">
        <w:t>2</w:t>
      </w:r>
      <w:r w:rsidR="00356E55" w:rsidRPr="00FA7FA8">
        <w:t>4</w:t>
      </w:r>
      <w:r w:rsidRPr="00FA7FA8">
        <w:t>. The economic response to a permanent change in the price of iron ore is derived from a generic terms of trade shock in Treasury</w:t>
      </w:r>
      <w:r w:rsidR="00C702F0" w:rsidRPr="00FA7FA8">
        <w:t>’</w:t>
      </w:r>
      <w:r w:rsidRPr="00FA7FA8">
        <w:t>s Macroeconometric Model of Australia (EMMA). The model incorporates forward</w:t>
      </w:r>
      <w:r w:rsidR="00C702F0" w:rsidRPr="00FA7FA8">
        <w:noBreakHyphen/>
      </w:r>
      <w:r w:rsidRPr="00FA7FA8">
        <w:t xml:space="preserve">looking financial markets, which are able to anticipate the permanent increase in commodity prices. </w:t>
      </w:r>
    </w:p>
    <w:p w14:paraId="7720D42E" w14:textId="405E7D66" w:rsidR="00106FEC" w:rsidRPr="00FA7FA8" w:rsidRDefault="00106FEC" w:rsidP="00106FEC">
      <w:r w:rsidRPr="00FA7FA8">
        <w:t>Under this analysis, an increase in iron ore export prices leads directly to higher export prices and a higher terms of trade. However, this is moderated somewhat by an appreciation in the exchange rate, which partially offsets the increase in export prices</w:t>
      </w:r>
      <w:r w:rsidR="00EC5519" w:rsidRPr="00FA7FA8">
        <w:t xml:space="preserve">. The appreciation also </w:t>
      </w:r>
      <w:r w:rsidR="000461A9" w:rsidRPr="00FA7FA8">
        <w:t xml:space="preserve">reduces import prices </w:t>
      </w:r>
      <w:r w:rsidR="00F36C81" w:rsidRPr="00FA7FA8">
        <w:t>across all industries</w:t>
      </w:r>
      <w:r w:rsidR="000461A9" w:rsidRPr="00FA7FA8">
        <w:t xml:space="preserve"> which flows through to lower consumer price inflation</w:t>
      </w:r>
      <w:r w:rsidR="00E47F56" w:rsidRPr="00FA7FA8">
        <w:t xml:space="preserve">. </w:t>
      </w:r>
      <w:r w:rsidR="000461A9" w:rsidRPr="00FA7FA8">
        <w:t>Output,</w:t>
      </w:r>
      <w:r w:rsidR="000461A9" w:rsidRPr="00FA7FA8" w:rsidDel="005B39C4">
        <w:t xml:space="preserve"> investment and export volumes</w:t>
      </w:r>
      <w:r w:rsidR="000461A9" w:rsidRPr="00FA7FA8">
        <w:t xml:space="preserve"> in the mining sector</w:t>
      </w:r>
      <w:r w:rsidR="000461A9" w:rsidRPr="00FA7FA8" w:rsidDel="005B39C4">
        <w:t xml:space="preserve"> increase in response to higher </w:t>
      </w:r>
      <w:r w:rsidR="004015B2" w:rsidRPr="00FA7FA8">
        <w:t>iron ore</w:t>
      </w:r>
      <w:r w:rsidR="000461A9" w:rsidRPr="00FA7FA8" w:rsidDel="005B39C4">
        <w:t xml:space="preserve"> prices</w:t>
      </w:r>
      <w:r w:rsidR="000461A9" w:rsidRPr="00FA7FA8">
        <w:t xml:space="preserve">, although this is limited over the short term due to adjustment costs in increasing </w:t>
      </w:r>
      <w:r w:rsidR="00BE7911" w:rsidRPr="00FA7FA8">
        <w:t xml:space="preserve">the </w:t>
      </w:r>
      <w:r w:rsidR="000461A9" w:rsidRPr="00FA7FA8">
        <w:t>capital stock</w:t>
      </w:r>
      <w:r w:rsidR="000461A9" w:rsidRPr="00FA7FA8" w:rsidDel="005B39C4">
        <w:t>.</w:t>
      </w:r>
    </w:p>
    <w:p w14:paraId="5836876B" w14:textId="74862A8B" w:rsidR="00BA7C16" w:rsidRPr="00FA7FA8" w:rsidRDefault="00106FEC" w:rsidP="00BA7C16">
      <w:r w:rsidRPr="00FA7FA8">
        <w:t>A US$10 per tonne increase in the assumed price for iron ore exports is expected to result in an increase in tax receipts of around $</w:t>
      </w:r>
      <w:r w:rsidR="00B17336" w:rsidRPr="00FA7FA8">
        <w:t>0.2</w:t>
      </w:r>
      <w:r w:rsidRPr="00FA7FA8">
        <w:t xml:space="preserve"> billion in 202</w:t>
      </w:r>
      <w:r w:rsidR="00A23739" w:rsidRPr="00FA7FA8">
        <w:t>2</w:t>
      </w:r>
      <w:r w:rsidR="00C702F0" w:rsidRPr="00FA7FA8">
        <w:noBreakHyphen/>
      </w:r>
      <w:r w:rsidRPr="00FA7FA8">
        <w:t>2</w:t>
      </w:r>
      <w:r w:rsidR="3840902F" w:rsidRPr="00FA7FA8">
        <w:t>3</w:t>
      </w:r>
      <w:r w:rsidRPr="00FA7FA8">
        <w:t xml:space="preserve"> and $</w:t>
      </w:r>
      <w:r w:rsidR="00B17336" w:rsidRPr="00FA7FA8">
        <w:t>0.6</w:t>
      </w:r>
      <w:r w:rsidRPr="00FA7FA8">
        <w:t xml:space="preserve"> billion in 202</w:t>
      </w:r>
      <w:r w:rsidR="00A23739" w:rsidRPr="00FA7FA8">
        <w:t>3</w:t>
      </w:r>
      <w:r w:rsidR="00C702F0" w:rsidRPr="00FA7FA8">
        <w:noBreakHyphen/>
      </w:r>
      <w:r w:rsidRPr="00FA7FA8">
        <w:t>2</w:t>
      </w:r>
      <w:r w:rsidR="3840902F" w:rsidRPr="00FA7FA8">
        <w:t>4</w:t>
      </w:r>
      <w:r w:rsidRPr="00FA7FA8">
        <w:t xml:space="preserve">. An increase in iron ore export prices increases mining company profits and, as a result, </w:t>
      </w:r>
      <w:r w:rsidR="005874CE" w:rsidRPr="00FA7FA8">
        <w:t>increase</w:t>
      </w:r>
      <w:r w:rsidR="0069544A" w:rsidRPr="00FA7FA8">
        <w:t xml:space="preserve">s </w:t>
      </w:r>
      <w:r w:rsidRPr="00FA7FA8">
        <w:t xml:space="preserve">company tax receipts. </w:t>
      </w:r>
      <w:r w:rsidR="004D6DF1" w:rsidRPr="00FA7FA8">
        <w:t xml:space="preserve">Lower domestic prices result in lower </w:t>
      </w:r>
      <w:r w:rsidR="002B4028" w:rsidRPr="00FA7FA8">
        <w:t>individuals and other withholding tax</w:t>
      </w:r>
      <w:r w:rsidR="008F63C1" w:rsidRPr="00FA7FA8">
        <w:t>es</w:t>
      </w:r>
      <w:r w:rsidR="004D6DF1" w:rsidRPr="00FA7FA8">
        <w:t xml:space="preserve"> and indirect tax receipts, partially offsetting the </w:t>
      </w:r>
      <w:r w:rsidR="0539C83D" w:rsidRPr="00FA7FA8">
        <w:t xml:space="preserve">increase in </w:t>
      </w:r>
      <w:r w:rsidR="004D6DF1" w:rsidRPr="00FA7FA8">
        <w:t>company tax.</w:t>
      </w:r>
      <w:r w:rsidRPr="00FA7FA8">
        <w:t xml:space="preserve"> The impact on tax receipts is larger in 202</w:t>
      </w:r>
      <w:r w:rsidR="006E0CA5" w:rsidRPr="00FA7FA8">
        <w:t>3</w:t>
      </w:r>
      <w:r w:rsidR="00C702F0" w:rsidRPr="00FA7FA8">
        <w:noBreakHyphen/>
      </w:r>
      <w:r w:rsidRPr="00FA7FA8">
        <w:t>2</w:t>
      </w:r>
      <w:r w:rsidR="7B751DBB" w:rsidRPr="00FA7FA8">
        <w:t>4</w:t>
      </w:r>
      <w:r w:rsidRPr="00FA7FA8">
        <w:t>, largely owing to lags in tax collections.</w:t>
      </w:r>
    </w:p>
    <w:p w14:paraId="1B08FAE3" w14:textId="33A202AB" w:rsidR="00BA7C16" w:rsidRPr="002D3B12" w:rsidRDefault="00BA7C16" w:rsidP="00D25C3B">
      <w:pPr>
        <w:pStyle w:val="TableHeading"/>
      </w:pPr>
      <w:r w:rsidRPr="00FA7FA8">
        <w:t>Table 7.1: Sensitivity analysis of a US$10 per tonne movement in iron ore prices</w:t>
      </w:r>
      <w:bookmarkStart w:id="34" w:name="_1709814519"/>
      <w:bookmarkStart w:id="35" w:name="_1709804757"/>
      <w:bookmarkStart w:id="36" w:name="_1709801471"/>
      <w:bookmarkStart w:id="37" w:name="_1709666008"/>
      <w:bookmarkStart w:id="38" w:name="_1709632764"/>
      <w:bookmarkStart w:id="39" w:name="_1709643684"/>
      <w:bookmarkStart w:id="40" w:name="_1709658908"/>
      <w:bookmarkStart w:id="41" w:name="_1709709217"/>
      <w:bookmarkStart w:id="42" w:name="_1709719366"/>
      <w:bookmarkStart w:id="43" w:name="_1709723487"/>
      <w:bookmarkStart w:id="44" w:name="_1709720257"/>
      <w:bookmarkStart w:id="45" w:name="_1709718978"/>
      <w:bookmarkStart w:id="46" w:name="_1709800858"/>
      <w:bookmarkStart w:id="47" w:name="_1709785642"/>
      <w:bookmarkEnd w:id="34"/>
      <w:bookmarkEnd w:id="35"/>
      <w:bookmarkEnd w:id="36"/>
      <w:bookmarkEnd w:id="37"/>
      <w:bookmarkEnd w:id="38"/>
      <w:bookmarkEnd w:id="39"/>
      <w:bookmarkEnd w:id="40"/>
      <w:bookmarkEnd w:id="41"/>
      <w:bookmarkEnd w:id="42"/>
      <w:bookmarkEnd w:id="43"/>
      <w:bookmarkEnd w:id="44"/>
      <w:bookmarkEnd w:id="45"/>
      <w:bookmarkEnd w:id="46"/>
      <w:bookmarkEnd w:id="47"/>
    </w:p>
    <w:tbl>
      <w:tblPr>
        <w:tblW w:w="5000" w:type="pct"/>
        <w:tblCellMar>
          <w:left w:w="0" w:type="dxa"/>
          <w:right w:w="28" w:type="dxa"/>
        </w:tblCellMar>
        <w:tblLook w:val="04A0" w:firstRow="1" w:lastRow="0" w:firstColumn="1" w:lastColumn="0" w:noHBand="0" w:noVBand="1"/>
      </w:tblPr>
      <w:tblGrid>
        <w:gridCol w:w="2822"/>
        <w:gridCol w:w="1192"/>
        <w:gridCol w:w="1192"/>
        <w:gridCol w:w="120"/>
        <w:gridCol w:w="1192"/>
        <w:gridCol w:w="1192"/>
      </w:tblGrid>
      <w:tr w:rsidR="00BA7C16" w:rsidRPr="002D3B12" w14:paraId="67625630" w14:textId="77777777" w:rsidTr="00BA7C16">
        <w:trPr>
          <w:divId w:val="375012181"/>
          <w:trHeight w:hRule="exact" w:val="260"/>
        </w:trPr>
        <w:tc>
          <w:tcPr>
            <w:tcW w:w="1830" w:type="pct"/>
            <w:tcBorders>
              <w:top w:val="single" w:sz="4" w:space="0" w:color="000000"/>
              <w:left w:val="nil"/>
              <w:bottom w:val="nil"/>
              <w:right w:val="nil"/>
            </w:tcBorders>
            <w:shd w:val="clear" w:color="auto" w:fill="auto"/>
            <w:noWrap/>
            <w:vAlign w:val="bottom"/>
            <w:hideMark/>
          </w:tcPr>
          <w:p w14:paraId="4758B136" w14:textId="45E91CF7" w:rsidR="00BA7C16" w:rsidRPr="002D3B12" w:rsidRDefault="00BA7C16" w:rsidP="00BA7C16">
            <w:pPr>
              <w:spacing w:after="0" w:line="240" w:lineRule="auto"/>
              <w:rPr>
                <w:rFonts w:ascii="Arial" w:hAnsi="Arial" w:cs="Arial"/>
                <w:color w:val="000000"/>
                <w:sz w:val="16"/>
                <w:szCs w:val="16"/>
              </w:rPr>
            </w:pPr>
            <w:r w:rsidRPr="002D3B12">
              <w:rPr>
                <w:rFonts w:ascii="Arial" w:hAnsi="Arial" w:cs="Arial"/>
                <w:color w:val="000000"/>
                <w:sz w:val="16"/>
                <w:szCs w:val="16"/>
              </w:rPr>
              <w:t> </w:t>
            </w:r>
          </w:p>
        </w:tc>
        <w:tc>
          <w:tcPr>
            <w:tcW w:w="1546" w:type="pct"/>
            <w:gridSpan w:val="2"/>
            <w:tcBorders>
              <w:top w:val="single" w:sz="4" w:space="0" w:color="000000"/>
              <w:left w:val="nil"/>
              <w:bottom w:val="single" w:sz="4" w:space="0" w:color="000000"/>
              <w:right w:val="nil"/>
            </w:tcBorders>
            <w:shd w:val="clear" w:color="auto" w:fill="auto"/>
            <w:vAlign w:val="bottom"/>
            <w:hideMark/>
          </w:tcPr>
          <w:p w14:paraId="30933671" w14:textId="77777777" w:rsidR="00BA7C16" w:rsidRPr="002D3B12" w:rsidRDefault="00BA7C16" w:rsidP="00BA7C16">
            <w:pPr>
              <w:spacing w:after="0" w:line="240" w:lineRule="auto"/>
              <w:jc w:val="center"/>
              <w:rPr>
                <w:rFonts w:ascii="Arial" w:hAnsi="Arial" w:cs="Arial"/>
                <w:color w:val="000000"/>
                <w:sz w:val="16"/>
                <w:szCs w:val="16"/>
              </w:rPr>
            </w:pPr>
            <w:r w:rsidRPr="002D3B12">
              <w:rPr>
                <w:rFonts w:ascii="Arial" w:hAnsi="Arial" w:cs="Arial"/>
                <w:color w:val="000000"/>
                <w:sz w:val="16"/>
                <w:szCs w:val="16"/>
              </w:rPr>
              <w:t>US$10/tonne FOB</w:t>
            </w:r>
            <w:r w:rsidRPr="002D3B12">
              <w:rPr>
                <w:rFonts w:ascii="Arial" w:hAnsi="Arial" w:cs="Arial"/>
                <w:color w:val="000000"/>
                <w:sz w:val="16"/>
                <w:szCs w:val="16"/>
                <w:vertAlign w:val="superscript"/>
              </w:rPr>
              <w:t>(a)</w:t>
            </w:r>
            <w:r w:rsidRPr="002D3B12">
              <w:rPr>
                <w:rFonts w:ascii="Arial" w:hAnsi="Arial" w:cs="Arial"/>
                <w:color w:val="000000"/>
                <w:sz w:val="16"/>
                <w:szCs w:val="16"/>
              </w:rPr>
              <w:t xml:space="preserve"> fall</w:t>
            </w:r>
          </w:p>
        </w:tc>
        <w:tc>
          <w:tcPr>
            <w:tcW w:w="78" w:type="pct"/>
            <w:tcBorders>
              <w:top w:val="single" w:sz="4" w:space="0" w:color="000000"/>
              <w:left w:val="nil"/>
              <w:bottom w:val="nil"/>
              <w:right w:val="nil"/>
            </w:tcBorders>
            <w:shd w:val="clear" w:color="auto" w:fill="auto"/>
            <w:noWrap/>
            <w:vAlign w:val="bottom"/>
            <w:hideMark/>
          </w:tcPr>
          <w:p w14:paraId="1A9C4E04" w14:textId="77777777" w:rsidR="00BA7C16" w:rsidRPr="002D3B12" w:rsidRDefault="00BA7C16" w:rsidP="00BA7C16">
            <w:pPr>
              <w:spacing w:after="0" w:line="240" w:lineRule="auto"/>
              <w:jc w:val="left"/>
              <w:rPr>
                <w:rFonts w:ascii="Arial" w:hAnsi="Arial" w:cs="Arial"/>
                <w:color w:val="000000"/>
                <w:sz w:val="16"/>
                <w:szCs w:val="16"/>
              </w:rPr>
            </w:pPr>
            <w:r w:rsidRPr="002D3B12">
              <w:rPr>
                <w:rFonts w:ascii="Arial" w:hAnsi="Arial" w:cs="Arial"/>
                <w:color w:val="000000"/>
                <w:sz w:val="16"/>
                <w:szCs w:val="16"/>
              </w:rPr>
              <w:t> </w:t>
            </w:r>
          </w:p>
        </w:tc>
        <w:tc>
          <w:tcPr>
            <w:tcW w:w="1546" w:type="pct"/>
            <w:gridSpan w:val="2"/>
            <w:tcBorders>
              <w:top w:val="single" w:sz="4" w:space="0" w:color="000000"/>
              <w:left w:val="nil"/>
              <w:bottom w:val="single" w:sz="4" w:space="0" w:color="auto"/>
              <w:right w:val="nil"/>
            </w:tcBorders>
            <w:shd w:val="clear" w:color="auto" w:fill="auto"/>
            <w:vAlign w:val="bottom"/>
            <w:hideMark/>
          </w:tcPr>
          <w:p w14:paraId="7969B56F" w14:textId="77777777" w:rsidR="00BA7C16" w:rsidRPr="002D3B12" w:rsidRDefault="00BA7C16" w:rsidP="00BA7C16">
            <w:pPr>
              <w:spacing w:after="0" w:line="240" w:lineRule="auto"/>
              <w:jc w:val="center"/>
              <w:rPr>
                <w:rFonts w:ascii="Arial" w:hAnsi="Arial" w:cs="Arial"/>
                <w:color w:val="000000"/>
                <w:sz w:val="16"/>
                <w:szCs w:val="16"/>
              </w:rPr>
            </w:pPr>
            <w:r w:rsidRPr="002D3B12">
              <w:rPr>
                <w:rFonts w:ascii="Arial" w:hAnsi="Arial" w:cs="Arial"/>
                <w:color w:val="000000"/>
                <w:sz w:val="16"/>
                <w:szCs w:val="16"/>
              </w:rPr>
              <w:t>US$10/tonne FOB increase</w:t>
            </w:r>
          </w:p>
        </w:tc>
      </w:tr>
      <w:tr w:rsidR="00BA7C16" w:rsidRPr="002D3B12" w14:paraId="5E678452" w14:textId="77777777" w:rsidTr="00BA7C16">
        <w:trPr>
          <w:divId w:val="375012181"/>
          <w:trHeight w:hRule="exact" w:val="225"/>
        </w:trPr>
        <w:tc>
          <w:tcPr>
            <w:tcW w:w="1830" w:type="pct"/>
            <w:tcBorders>
              <w:top w:val="nil"/>
              <w:left w:val="nil"/>
              <w:bottom w:val="nil"/>
              <w:right w:val="nil"/>
            </w:tcBorders>
            <w:shd w:val="clear" w:color="auto" w:fill="auto"/>
            <w:noWrap/>
            <w:vAlign w:val="bottom"/>
            <w:hideMark/>
          </w:tcPr>
          <w:p w14:paraId="42915ACF" w14:textId="77777777" w:rsidR="00BA7C16" w:rsidRPr="002D3B12" w:rsidRDefault="00BA7C16" w:rsidP="00BA7C16">
            <w:pPr>
              <w:spacing w:after="0" w:line="240" w:lineRule="auto"/>
              <w:jc w:val="center"/>
              <w:rPr>
                <w:rFonts w:ascii="Arial" w:hAnsi="Arial" w:cs="Arial"/>
                <w:color w:val="000000"/>
                <w:sz w:val="16"/>
                <w:szCs w:val="16"/>
              </w:rPr>
            </w:pPr>
          </w:p>
        </w:tc>
        <w:tc>
          <w:tcPr>
            <w:tcW w:w="773" w:type="pct"/>
            <w:tcBorders>
              <w:top w:val="nil"/>
              <w:left w:val="nil"/>
              <w:bottom w:val="single" w:sz="4" w:space="0" w:color="auto"/>
              <w:right w:val="nil"/>
            </w:tcBorders>
            <w:shd w:val="clear" w:color="auto" w:fill="auto"/>
            <w:noWrap/>
            <w:vAlign w:val="bottom"/>
            <w:hideMark/>
          </w:tcPr>
          <w:p w14:paraId="5D559C33" w14:textId="29B91D18" w:rsidR="00BA7C16" w:rsidRPr="002D3B12" w:rsidRDefault="00BA7C16" w:rsidP="00BA7C16">
            <w:pPr>
              <w:spacing w:after="0" w:line="240" w:lineRule="auto"/>
              <w:jc w:val="right"/>
              <w:rPr>
                <w:rFonts w:ascii="Arial" w:hAnsi="Arial" w:cs="Arial"/>
                <w:color w:val="000000"/>
                <w:sz w:val="16"/>
                <w:szCs w:val="16"/>
              </w:rPr>
            </w:pPr>
            <w:r w:rsidRPr="002D3B12">
              <w:rPr>
                <w:rFonts w:ascii="Arial" w:hAnsi="Arial" w:cs="Arial"/>
                <w:color w:val="000000"/>
                <w:sz w:val="16"/>
                <w:szCs w:val="16"/>
              </w:rPr>
              <w:t>2022</w:t>
            </w:r>
            <w:r w:rsidR="00C702F0">
              <w:rPr>
                <w:rFonts w:ascii="Arial" w:hAnsi="Arial" w:cs="Arial"/>
                <w:color w:val="000000"/>
                <w:sz w:val="16"/>
                <w:szCs w:val="16"/>
              </w:rPr>
              <w:noBreakHyphen/>
            </w:r>
            <w:r w:rsidRPr="002D3B12">
              <w:rPr>
                <w:rFonts w:ascii="Arial" w:hAnsi="Arial" w:cs="Arial"/>
                <w:color w:val="000000"/>
                <w:sz w:val="16"/>
                <w:szCs w:val="16"/>
              </w:rPr>
              <w:t>23</w:t>
            </w:r>
          </w:p>
        </w:tc>
        <w:tc>
          <w:tcPr>
            <w:tcW w:w="773" w:type="pct"/>
            <w:tcBorders>
              <w:top w:val="nil"/>
              <w:left w:val="nil"/>
              <w:bottom w:val="single" w:sz="4" w:space="0" w:color="auto"/>
              <w:right w:val="nil"/>
            </w:tcBorders>
            <w:shd w:val="clear" w:color="auto" w:fill="auto"/>
            <w:noWrap/>
            <w:vAlign w:val="bottom"/>
            <w:hideMark/>
          </w:tcPr>
          <w:p w14:paraId="38564B09" w14:textId="6FD139BE" w:rsidR="00BA7C16" w:rsidRPr="002D3B12" w:rsidRDefault="00BA7C16" w:rsidP="00BA7C16">
            <w:pPr>
              <w:spacing w:after="0" w:line="240" w:lineRule="auto"/>
              <w:jc w:val="right"/>
              <w:rPr>
                <w:rFonts w:ascii="Arial" w:hAnsi="Arial" w:cs="Arial"/>
                <w:color w:val="000000"/>
                <w:sz w:val="16"/>
                <w:szCs w:val="16"/>
              </w:rPr>
            </w:pPr>
            <w:r w:rsidRPr="002D3B12">
              <w:rPr>
                <w:rFonts w:ascii="Arial" w:hAnsi="Arial" w:cs="Arial"/>
                <w:color w:val="000000"/>
                <w:sz w:val="16"/>
                <w:szCs w:val="16"/>
              </w:rPr>
              <w:t>2023</w:t>
            </w:r>
            <w:r w:rsidR="00C702F0">
              <w:rPr>
                <w:rFonts w:ascii="Arial" w:hAnsi="Arial" w:cs="Arial"/>
                <w:color w:val="000000"/>
                <w:sz w:val="16"/>
                <w:szCs w:val="16"/>
              </w:rPr>
              <w:noBreakHyphen/>
            </w:r>
            <w:r w:rsidRPr="002D3B12">
              <w:rPr>
                <w:rFonts w:ascii="Arial" w:hAnsi="Arial" w:cs="Arial"/>
                <w:color w:val="000000"/>
                <w:sz w:val="16"/>
                <w:szCs w:val="16"/>
              </w:rPr>
              <w:t>24</w:t>
            </w:r>
          </w:p>
        </w:tc>
        <w:tc>
          <w:tcPr>
            <w:tcW w:w="78" w:type="pct"/>
            <w:tcBorders>
              <w:top w:val="nil"/>
              <w:left w:val="nil"/>
              <w:bottom w:val="nil"/>
              <w:right w:val="nil"/>
            </w:tcBorders>
            <w:shd w:val="clear" w:color="auto" w:fill="auto"/>
            <w:noWrap/>
            <w:vAlign w:val="bottom"/>
            <w:hideMark/>
          </w:tcPr>
          <w:p w14:paraId="6189716F" w14:textId="77777777" w:rsidR="00BA7C16" w:rsidRPr="002D3B12" w:rsidRDefault="00BA7C16" w:rsidP="00BA7C16">
            <w:pPr>
              <w:spacing w:after="0" w:line="240" w:lineRule="auto"/>
              <w:jc w:val="right"/>
              <w:rPr>
                <w:rFonts w:ascii="Arial" w:hAnsi="Arial" w:cs="Arial"/>
                <w:color w:val="000000"/>
                <w:sz w:val="16"/>
                <w:szCs w:val="16"/>
              </w:rPr>
            </w:pPr>
          </w:p>
        </w:tc>
        <w:tc>
          <w:tcPr>
            <w:tcW w:w="773" w:type="pct"/>
            <w:tcBorders>
              <w:top w:val="nil"/>
              <w:left w:val="nil"/>
              <w:bottom w:val="single" w:sz="4" w:space="0" w:color="auto"/>
              <w:right w:val="nil"/>
            </w:tcBorders>
            <w:shd w:val="clear" w:color="auto" w:fill="auto"/>
            <w:noWrap/>
            <w:vAlign w:val="bottom"/>
            <w:hideMark/>
          </w:tcPr>
          <w:p w14:paraId="70D18F01" w14:textId="6604EC07" w:rsidR="00BA7C16" w:rsidRPr="002D3B12" w:rsidRDefault="00BA7C16" w:rsidP="00BA7C16">
            <w:pPr>
              <w:spacing w:after="0" w:line="240" w:lineRule="auto"/>
              <w:jc w:val="right"/>
              <w:rPr>
                <w:rFonts w:ascii="Arial" w:hAnsi="Arial" w:cs="Arial"/>
                <w:color w:val="000000"/>
                <w:sz w:val="16"/>
                <w:szCs w:val="16"/>
              </w:rPr>
            </w:pPr>
            <w:r w:rsidRPr="002D3B12">
              <w:rPr>
                <w:rFonts w:ascii="Arial" w:hAnsi="Arial" w:cs="Arial"/>
                <w:color w:val="000000"/>
                <w:sz w:val="16"/>
                <w:szCs w:val="16"/>
              </w:rPr>
              <w:t>2022</w:t>
            </w:r>
            <w:r w:rsidR="00C702F0">
              <w:rPr>
                <w:rFonts w:ascii="Arial" w:hAnsi="Arial" w:cs="Arial"/>
                <w:color w:val="000000"/>
                <w:sz w:val="16"/>
                <w:szCs w:val="16"/>
              </w:rPr>
              <w:noBreakHyphen/>
            </w:r>
            <w:r w:rsidRPr="002D3B12">
              <w:rPr>
                <w:rFonts w:ascii="Arial" w:hAnsi="Arial" w:cs="Arial"/>
                <w:color w:val="000000"/>
                <w:sz w:val="16"/>
                <w:szCs w:val="16"/>
              </w:rPr>
              <w:t>23</w:t>
            </w:r>
          </w:p>
        </w:tc>
        <w:tc>
          <w:tcPr>
            <w:tcW w:w="773" w:type="pct"/>
            <w:tcBorders>
              <w:top w:val="nil"/>
              <w:left w:val="nil"/>
              <w:bottom w:val="single" w:sz="4" w:space="0" w:color="auto"/>
              <w:right w:val="nil"/>
            </w:tcBorders>
            <w:shd w:val="clear" w:color="auto" w:fill="auto"/>
            <w:noWrap/>
            <w:vAlign w:val="bottom"/>
            <w:hideMark/>
          </w:tcPr>
          <w:p w14:paraId="326817D8" w14:textId="5378CC54" w:rsidR="00BA7C16" w:rsidRPr="002D3B12" w:rsidRDefault="00BA7C16" w:rsidP="00BA7C16">
            <w:pPr>
              <w:spacing w:after="0" w:line="240" w:lineRule="auto"/>
              <w:jc w:val="right"/>
              <w:rPr>
                <w:rFonts w:ascii="Arial" w:hAnsi="Arial" w:cs="Arial"/>
                <w:color w:val="000000"/>
                <w:sz w:val="16"/>
                <w:szCs w:val="16"/>
              </w:rPr>
            </w:pPr>
            <w:r w:rsidRPr="002D3B12">
              <w:rPr>
                <w:rFonts w:ascii="Arial" w:hAnsi="Arial" w:cs="Arial"/>
                <w:color w:val="000000"/>
                <w:sz w:val="16"/>
                <w:szCs w:val="16"/>
              </w:rPr>
              <w:t>2023</w:t>
            </w:r>
            <w:r w:rsidR="00C702F0">
              <w:rPr>
                <w:rFonts w:ascii="Arial" w:hAnsi="Arial" w:cs="Arial"/>
                <w:color w:val="000000"/>
                <w:sz w:val="16"/>
                <w:szCs w:val="16"/>
              </w:rPr>
              <w:noBreakHyphen/>
            </w:r>
            <w:r w:rsidRPr="002D3B12">
              <w:rPr>
                <w:rFonts w:ascii="Arial" w:hAnsi="Arial" w:cs="Arial"/>
                <w:color w:val="000000"/>
                <w:sz w:val="16"/>
                <w:szCs w:val="16"/>
              </w:rPr>
              <w:t>24</w:t>
            </w:r>
          </w:p>
        </w:tc>
      </w:tr>
      <w:tr w:rsidR="00BA7C16" w:rsidRPr="002D3B12" w14:paraId="39258B57" w14:textId="77777777" w:rsidTr="00BA7C16">
        <w:trPr>
          <w:divId w:val="375012181"/>
          <w:trHeight w:hRule="exact" w:val="225"/>
        </w:trPr>
        <w:tc>
          <w:tcPr>
            <w:tcW w:w="1830" w:type="pct"/>
            <w:tcBorders>
              <w:top w:val="nil"/>
              <w:left w:val="nil"/>
              <w:bottom w:val="nil"/>
              <w:right w:val="nil"/>
            </w:tcBorders>
            <w:shd w:val="clear" w:color="auto" w:fill="auto"/>
            <w:noWrap/>
            <w:vAlign w:val="bottom"/>
            <w:hideMark/>
          </w:tcPr>
          <w:p w14:paraId="444C293C" w14:textId="77777777" w:rsidR="00BA7C16" w:rsidRPr="002D3B12" w:rsidRDefault="00BA7C16" w:rsidP="00BA7C16">
            <w:pPr>
              <w:spacing w:after="0" w:line="240" w:lineRule="auto"/>
              <w:jc w:val="left"/>
              <w:rPr>
                <w:rFonts w:ascii="Arial" w:hAnsi="Arial" w:cs="Arial"/>
                <w:color w:val="000000"/>
                <w:sz w:val="16"/>
                <w:szCs w:val="16"/>
              </w:rPr>
            </w:pPr>
            <w:r w:rsidRPr="002D3B12">
              <w:rPr>
                <w:rFonts w:ascii="Arial" w:hAnsi="Arial" w:cs="Arial"/>
                <w:color w:val="000000"/>
                <w:sz w:val="16"/>
                <w:szCs w:val="16"/>
              </w:rPr>
              <w:t>Nominal GDP ($billion)</w:t>
            </w:r>
          </w:p>
        </w:tc>
        <w:tc>
          <w:tcPr>
            <w:tcW w:w="773" w:type="pct"/>
            <w:tcBorders>
              <w:top w:val="nil"/>
              <w:left w:val="nil"/>
              <w:bottom w:val="nil"/>
              <w:right w:val="nil"/>
            </w:tcBorders>
            <w:shd w:val="clear" w:color="auto" w:fill="auto"/>
            <w:noWrap/>
            <w:vAlign w:val="bottom"/>
            <w:hideMark/>
          </w:tcPr>
          <w:p w14:paraId="38D6CEC5" w14:textId="2663B11F" w:rsidR="00BA7C16" w:rsidRPr="002D3B12" w:rsidRDefault="00C702F0" w:rsidP="00BA7C1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A7C16" w:rsidRPr="002D3B12">
              <w:rPr>
                <w:rFonts w:ascii="Arial" w:hAnsi="Arial" w:cs="Arial"/>
                <w:color w:val="000000"/>
                <w:sz w:val="16"/>
                <w:szCs w:val="16"/>
              </w:rPr>
              <w:t>4.4</w:t>
            </w:r>
          </w:p>
        </w:tc>
        <w:tc>
          <w:tcPr>
            <w:tcW w:w="773" w:type="pct"/>
            <w:tcBorders>
              <w:top w:val="nil"/>
              <w:left w:val="nil"/>
              <w:bottom w:val="nil"/>
              <w:right w:val="nil"/>
            </w:tcBorders>
            <w:shd w:val="clear" w:color="auto" w:fill="auto"/>
            <w:noWrap/>
            <w:vAlign w:val="bottom"/>
            <w:hideMark/>
          </w:tcPr>
          <w:p w14:paraId="23C72B98" w14:textId="524220C5" w:rsidR="00BA7C16" w:rsidRPr="002D3B12" w:rsidRDefault="00C702F0" w:rsidP="00BA7C1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A7C16" w:rsidRPr="002D3B12">
              <w:rPr>
                <w:rFonts w:ascii="Arial" w:hAnsi="Arial" w:cs="Arial"/>
                <w:color w:val="000000"/>
                <w:sz w:val="16"/>
                <w:szCs w:val="16"/>
              </w:rPr>
              <w:t>2.3</w:t>
            </w:r>
          </w:p>
        </w:tc>
        <w:tc>
          <w:tcPr>
            <w:tcW w:w="78" w:type="pct"/>
            <w:tcBorders>
              <w:top w:val="nil"/>
              <w:left w:val="nil"/>
              <w:bottom w:val="nil"/>
              <w:right w:val="nil"/>
            </w:tcBorders>
            <w:shd w:val="clear" w:color="auto" w:fill="auto"/>
            <w:noWrap/>
            <w:vAlign w:val="bottom"/>
            <w:hideMark/>
          </w:tcPr>
          <w:p w14:paraId="2AE01965" w14:textId="77777777" w:rsidR="00BA7C16" w:rsidRPr="002D3B12" w:rsidRDefault="00BA7C16" w:rsidP="00BA7C16">
            <w:pPr>
              <w:spacing w:after="0" w:line="240" w:lineRule="auto"/>
              <w:jc w:val="right"/>
              <w:rPr>
                <w:rFonts w:ascii="Arial" w:hAnsi="Arial" w:cs="Arial"/>
                <w:color w:val="000000"/>
                <w:sz w:val="16"/>
                <w:szCs w:val="16"/>
              </w:rPr>
            </w:pPr>
          </w:p>
        </w:tc>
        <w:tc>
          <w:tcPr>
            <w:tcW w:w="773" w:type="pct"/>
            <w:tcBorders>
              <w:top w:val="nil"/>
              <w:left w:val="nil"/>
              <w:bottom w:val="nil"/>
              <w:right w:val="nil"/>
            </w:tcBorders>
            <w:shd w:val="clear" w:color="auto" w:fill="auto"/>
            <w:noWrap/>
            <w:vAlign w:val="bottom"/>
            <w:hideMark/>
          </w:tcPr>
          <w:p w14:paraId="723B13DA" w14:textId="77777777" w:rsidR="00BA7C16" w:rsidRPr="002D3B12" w:rsidRDefault="00BA7C16" w:rsidP="00BA7C16">
            <w:pPr>
              <w:spacing w:after="0" w:line="240" w:lineRule="auto"/>
              <w:jc w:val="right"/>
              <w:rPr>
                <w:rFonts w:ascii="Arial" w:hAnsi="Arial" w:cs="Arial"/>
                <w:color w:val="000000"/>
                <w:sz w:val="16"/>
                <w:szCs w:val="16"/>
              </w:rPr>
            </w:pPr>
            <w:r w:rsidRPr="002D3B12">
              <w:rPr>
                <w:rFonts w:ascii="Arial" w:hAnsi="Arial" w:cs="Arial"/>
                <w:color w:val="000000"/>
                <w:sz w:val="16"/>
                <w:szCs w:val="16"/>
              </w:rPr>
              <w:t>4.4</w:t>
            </w:r>
          </w:p>
        </w:tc>
        <w:tc>
          <w:tcPr>
            <w:tcW w:w="773" w:type="pct"/>
            <w:tcBorders>
              <w:top w:val="nil"/>
              <w:left w:val="nil"/>
              <w:bottom w:val="nil"/>
              <w:right w:val="nil"/>
            </w:tcBorders>
            <w:shd w:val="clear" w:color="auto" w:fill="auto"/>
            <w:noWrap/>
            <w:vAlign w:val="bottom"/>
            <w:hideMark/>
          </w:tcPr>
          <w:p w14:paraId="5F757C11" w14:textId="77777777" w:rsidR="00BA7C16" w:rsidRPr="002D3B12" w:rsidRDefault="00BA7C16" w:rsidP="00BA7C16">
            <w:pPr>
              <w:spacing w:after="0" w:line="240" w:lineRule="auto"/>
              <w:jc w:val="right"/>
              <w:rPr>
                <w:rFonts w:ascii="Arial" w:hAnsi="Arial" w:cs="Arial"/>
                <w:color w:val="000000"/>
                <w:sz w:val="16"/>
                <w:szCs w:val="16"/>
              </w:rPr>
            </w:pPr>
            <w:r w:rsidRPr="002D3B12">
              <w:rPr>
                <w:rFonts w:ascii="Arial" w:hAnsi="Arial" w:cs="Arial"/>
                <w:color w:val="000000"/>
                <w:sz w:val="16"/>
                <w:szCs w:val="16"/>
              </w:rPr>
              <w:t>2.3</w:t>
            </w:r>
          </w:p>
        </w:tc>
      </w:tr>
      <w:tr w:rsidR="00BA7C16" w:rsidRPr="002D3B12" w14:paraId="5F84EB1C" w14:textId="77777777" w:rsidTr="00BA7C16">
        <w:trPr>
          <w:divId w:val="375012181"/>
          <w:trHeight w:hRule="exact" w:val="225"/>
        </w:trPr>
        <w:tc>
          <w:tcPr>
            <w:tcW w:w="1830" w:type="pct"/>
            <w:tcBorders>
              <w:top w:val="nil"/>
              <w:left w:val="nil"/>
              <w:bottom w:val="single" w:sz="4" w:space="0" w:color="000000"/>
              <w:right w:val="nil"/>
            </w:tcBorders>
            <w:shd w:val="clear" w:color="auto" w:fill="auto"/>
            <w:noWrap/>
            <w:vAlign w:val="bottom"/>
            <w:hideMark/>
          </w:tcPr>
          <w:p w14:paraId="705F6969" w14:textId="77777777" w:rsidR="00BA7C16" w:rsidRPr="002D3B12" w:rsidRDefault="00BA7C16" w:rsidP="00BA7C16">
            <w:pPr>
              <w:spacing w:after="0" w:line="240" w:lineRule="auto"/>
              <w:jc w:val="left"/>
              <w:rPr>
                <w:rFonts w:ascii="Arial" w:hAnsi="Arial" w:cs="Arial"/>
                <w:color w:val="000000"/>
                <w:sz w:val="16"/>
                <w:szCs w:val="16"/>
              </w:rPr>
            </w:pPr>
            <w:r w:rsidRPr="002D3B12">
              <w:rPr>
                <w:rFonts w:ascii="Arial" w:hAnsi="Arial" w:cs="Arial"/>
                <w:color w:val="000000"/>
                <w:sz w:val="16"/>
                <w:szCs w:val="16"/>
              </w:rPr>
              <w:t>Tax receipts ($billion)</w:t>
            </w:r>
          </w:p>
        </w:tc>
        <w:tc>
          <w:tcPr>
            <w:tcW w:w="773" w:type="pct"/>
            <w:tcBorders>
              <w:top w:val="nil"/>
              <w:left w:val="nil"/>
              <w:bottom w:val="single" w:sz="4" w:space="0" w:color="000000"/>
              <w:right w:val="nil"/>
            </w:tcBorders>
            <w:shd w:val="clear" w:color="auto" w:fill="auto"/>
            <w:noWrap/>
            <w:vAlign w:val="bottom"/>
            <w:hideMark/>
          </w:tcPr>
          <w:p w14:paraId="175BD510" w14:textId="0A9EF089" w:rsidR="00BA7C16" w:rsidRPr="002D3B12" w:rsidRDefault="00C702F0" w:rsidP="00BA7C1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A7C16" w:rsidRPr="002D3B12">
              <w:rPr>
                <w:rFonts w:ascii="Arial" w:hAnsi="Arial" w:cs="Arial"/>
                <w:color w:val="000000"/>
                <w:sz w:val="16"/>
                <w:szCs w:val="16"/>
              </w:rPr>
              <w:t>0.2</w:t>
            </w:r>
          </w:p>
        </w:tc>
        <w:tc>
          <w:tcPr>
            <w:tcW w:w="773" w:type="pct"/>
            <w:tcBorders>
              <w:top w:val="nil"/>
              <w:left w:val="nil"/>
              <w:bottom w:val="single" w:sz="4" w:space="0" w:color="000000"/>
              <w:right w:val="nil"/>
            </w:tcBorders>
            <w:shd w:val="clear" w:color="auto" w:fill="auto"/>
            <w:noWrap/>
            <w:vAlign w:val="bottom"/>
            <w:hideMark/>
          </w:tcPr>
          <w:p w14:paraId="39097A4A" w14:textId="231BBF1A" w:rsidR="00BA7C16" w:rsidRPr="002D3B12" w:rsidRDefault="00C702F0" w:rsidP="00BA7C1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A7C16" w:rsidRPr="002D3B12">
              <w:rPr>
                <w:rFonts w:ascii="Arial" w:hAnsi="Arial" w:cs="Arial"/>
                <w:color w:val="000000"/>
                <w:sz w:val="16"/>
                <w:szCs w:val="16"/>
              </w:rPr>
              <w:t>0.6</w:t>
            </w:r>
          </w:p>
        </w:tc>
        <w:tc>
          <w:tcPr>
            <w:tcW w:w="78" w:type="pct"/>
            <w:tcBorders>
              <w:top w:val="nil"/>
              <w:left w:val="nil"/>
              <w:bottom w:val="single" w:sz="4" w:space="0" w:color="000000"/>
              <w:right w:val="nil"/>
            </w:tcBorders>
            <w:shd w:val="clear" w:color="auto" w:fill="auto"/>
            <w:noWrap/>
            <w:vAlign w:val="bottom"/>
            <w:hideMark/>
          </w:tcPr>
          <w:p w14:paraId="3BA53A8E" w14:textId="77777777" w:rsidR="00BA7C16" w:rsidRPr="002D3B12" w:rsidRDefault="00BA7C16" w:rsidP="00BA7C16">
            <w:pPr>
              <w:spacing w:after="0" w:line="240" w:lineRule="auto"/>
              <w:jc w:val="left"/>
              <w:rPr>
                <w:rFonts w:ascii="Arial" w:hAnsi="Arial" w:cs="Arial"/>
                <w:color w:val="000000"/>
                <w:sz w:val="16"/>
                <w:szCs w:val="16"/>
              </w:rPr>
            </w:pPr>
            <w:r w:rsidRPr="002D3B12">
              <w:rPr>
                <w:rFonts w:ascii="Arial" w:hAnsi="Arial" w:cs="Arial"/>
                <w:color w:val="000000"/>
                <w:sz w:val="16"/>
                <w:szCs w:val="16"/>
              </w:rPr>
              <w:t> </w:t>
            </w:r>
          </w:p>
        </w:tc>
        <w:tc>
          <w:tcPr>
            <w:tcW w:w="773" w:type="pct"/>
            <w:tcBorders>
              <w:top w:val="nil"/>
              <w:left w:val="nil"/>
              <w:bottom w:val="single" w:sz="4" w:space="0" w:color="000000"/>
              <w:right w:val="nil"/>
            </w:tcBorders>
            <w:shd w:val="clear" w:color="auto" w:fill="auto"/>
            <w:noWrap/>
            <w:vAlign w:val="bottom"/>
            <w:hideMark/>
          </w:tcPr>
          <w:p w14:paraId="4CC432FA" w14:textId="77777777" w:rsidR="00BA7C16" w:rsidRPr="002D3B12" w:rsidRDefault="00BA7C16" w:rsidP="00BA7C16">
            <w:pPr>
              <w:spacing w:after="0" w:line="240" w:lineRule="auto"/>
              <w:jc w:val="right"/>
              <w:rPr>
                <w:rFonts w:ascii="Arial" w:hAnsi="Arial" w:cs="Arial"/>
                <w:color w:val="000000"/>
                <w:sz w:val="16"/>
                <w:szCs w:val="16"/>
              </w:rPr>
            </w:pPr>
            <w:r w:rsidRPr="002D3B12">
              <w:rPr>
                <w:rFonts w:ascii="Arial" w:hAnsi="Arial" w:cs="Arial"/>
                <w:color w:val="000000"/>
                <w:sz w:val="16"/>
                <w:szCs w:val="16"/>
              </w:rPr>
              <w:t>0.2</w:t>
            </w:r>
          </w:p>
        </w:tc>
        <w:tc>
          <w:tcPr>
            <w:tcW w:w="773" w:type="pct"/>
            <w:tcBorders>
              <w:top w:val="nil"/>
              <w:left w:val="nil"/>
              <w:bottom w:val="single" w:sz="4" w:space="0" w:color="000000"/>
              <w:right w:val="nil"/>
            </w:tcBorders>
            <w:shd w:val="clear" w:color="auto" w:fill="auto"/>
            <w:noWrap/>
            <w:vAlign w:val="bottom"/>
            <w:hideMark/>
          </w:tcPr>
          <w:p w14:paraId="1DE46F0C" w14:textId="77777777" w:rsidR="00BA7C16" w:rsidRPr="002D3B12" w:rsidRDefault="00BA7C16" w:rsidP="00BA7C16">
            <w:pPr>
              <w:spacing w:after="0" w:line="240" w:lineRule="auto"/>
              <w:jc w:val="right"/>
              <w:rPr>
                <w:rFonts w:ascii="Arial" w:hAnsi="Arial" w:cs="Arial"/>
                <w:color w:val="000000"/>
                <w:sz w:val="16"/>
                <w:szCs w:val="16"/>
              </w:rPr>
            </w:pPr>
            <w:r w:rsidRPr="002D3B12">
              <w:rPr>
                <w:rFonts w:ascii="Arial" w:hAnsi="Arial" w:cs="Arial"/>
                <w:color w:val="000000"/>
                <w:sz w:val="16"/>
                <w:szCs w:val="16"/>
              </w:rPr>
              <w:t>0.6</w:t>
            </w:r>
          </w:p>
        </w:tc>
      </w:tr>
    </w:tbl>
    <w:p w14:paraId="2C85D5B4" w14:textId="694D21AD" w:rsidR="005D33D9" w:rsidRPr="00FA7FA8" w:rsidRDefault="00625417" w:rsidP="00D25C3B">
      <w:pPr>
        <w:pStyle w:val="ChartandTableFootnoteAlpha"/>
        <w:numPr>
          <w:ilvl w:val="0"/>
          <w:numId w:val="29"/>
        </w:numPr>
        <w:rPr>
          <w:color w:val="auto"/>
        </w:rPr>
      </w:pPr>
      <w:r w:rsidRPr="00FA7FA8">
        <w:rPr>
          <w:color w:val="auto"/>
        </w:rPr>
        <w:t>P</w:t>
      </w:r>
      <w:r w:rsidR="002D1DCD" w:rsidRPr="00FA7FA8">
        <w:rPr>
          <w:color w:val="auto"/>
        </w:rPr>
        <w:t>rices are presented in free</w:t>
      </w:r>
      <w:r w:rsidR="00C702F0" w:rsidRPr="00FA7FA8">
        <w:rPr>
          <w:color w:val="auto"/>
        </w:rPr>
        <w:noBreakHyphen/>
      </w:r>
      <w:r w:rsidR="002D1DCD" w:rsidRPr="00FA7FA8">
        <w:rPr>
          <w:color w:val="auto"/>
        </w:rPr>
        <w:t>on</w:t>
      </w:r>
      <w:r w:rsidR="00C702F0" w:rsidRPr="00FA7FA8">
        <w:rPr>
          <w:color w:val="auto"/>
        </w:rPr>
        <w:noBreakHyphen/>
      </w:r>
      <w:r w:rsidR="002D1DCD" w:rsidRPr="00FA7FA8">
        <w:rPr>
          <w:color w:val="auto"/>
        </w:rPr>
        <w:t xml:space="preserve">board (FOB) terms which exclude the cost of freight. </w:t>
      </w:r>
    </w:p>
    <w:p w14:paraId="52E4688E" w14:textId="63AA6F6B" w:rsidR="004406E6" w:rsidRPr="002A31D3" w:rsidRDefault="002D1DCD" w:rsidP="00D25C3B">
      <w:pPr>
        <w:pStyle w:val="Source"/>
        <w:rPr>
          <w:highlight w:val="cyan"/>
        </w:rPr>
      </w:pPr>
      <w:r w:rsidRPr="00FA7FA8">
        <w:rPr>
          <w:rFonts w:cs="Arial"/>
          <w:szCs w:val="16"/>
        </w:rPr>
        <w:t xml:space="preserve">Source: </w:t>
      </w:r>
      <w:r w:rsidR="00D25C3B" w:rsidRPr="00FA7FA8">
        <w:rPr>
          <w:rFonts w:cs="Arial"/>
          <w:szCs w:val="16"/>
        </w:rPr>
        <w:tab/>
      </w:r>
      <w:r w:rsidRPr="00FA7FA8">
        <w:rPr>
          <w:rFonts w:cs="Arial"/>
          <w:szCs w:val="16"/>
        </w:rPr>
        <w:t>Treasury.</w:t>
      </w:r>
      <w:r w:rsidR="00345FBA" w:rsidRPr="00FA7FA8">
        <w:rPr>
          <w:rFonts w:ascii="Book Antiqua" w:hAnsi="Book Antiqua"/>
          <w:sz w:val="20"/>
        </w:rPr>
        <w:t xml:space="preserve"> </w:t>
      </w:r>
    </w:p>
    <w:p w14:paraId="146727C4" w14:textId="0A16EEC6" w:rsidR="00764350" w:rsidRPr="00FA7FA8" w:rsidRDefault="00764350" w:rsidP="00546702">
      <w:pPr>
        <w:pStyle w:val="Heading3"/>
        <w:keepLines/>
      </w:pPr>
      <w:bookmarkStart w:id="48" w:name="_Toc99026278"/>
      <w:r w:rsidRPr="00FA7FA8">
        <w:lastRenderedPageBreak/>
        <w:t>Alternative pathways for yields</w:t>
      </w:r>
      <w:bookmarkEnd w:id="48"/>
    </w:p>
    <w:p w14:paraId="546D4013" w14:textId="29ACDC14" w:rsidR="00764350" w:rsidRPr="00FA7FA8" w:rsidRDefault="00764350" w:rsidP="00546702">
      <w:pPr>
        <w:keepNext/>
        <w:keepLines/>
      </w:pPr>
      <w:r w:rsidRPr="00FA7FA8">
        <w:t xml:space="preserve">Yields on Australian Government bonds reflect the cost of government borrowing. </w:t>
      </w:r>
      <w:r w:rsidR="006F2B66" w:rsidRPr="00FA7FA8">
        <w:t xml:space="preserve">Despite </w:t>
      </w:r>
      <w:r w:rsidR="00E4268C" w:rsidRPr="00FA7FA8">
        <w:t xml:space="preserve">the </w:t>
      </w:r>
      <w:r w:rsidR="006F2B66" w:rsidRPr="00FA7FA8">
        <w:t xml:space="preserve">recent increase, </w:t>
      </w:r>
      <w:r w:rsidRPr="00FA7FA8">
        <w:t xml:space="preserve">Australia continues to experience low yields on government debt. The following analysis illustrates sensitivity of the underlying cash balance and gross debt over the next 10 years </w:t>
      </w:r>
      <w:r w:rsidR="001F6545" w:rsidRPr="00FA7FA8">
        <w:t xml:space="preserve">using </w:t>
      </w:r>
      <w:r w:rsidRPr="00FA7FA8">
        <w:t xml:space="preserve">different assumptions surrounding yields. </w:t>
      </w:r>
    </w:p>
    <w:p w14:paraId="7E4009BE" w14:textId="324EB50D" w:rsidR="00764350" w:rsidRPr="00FA7FA8" w:rsidRDefault="00764350" w:rsidP="00764350">
      <w:r w:rsidRPr="00FA7FA8">
        <w:t xml:space="preserve">This analysis illustrates the impact of changes in the yield assumption in isolation. Other economic projections, including nominal GDP, are the same as those used in the baseline projections. While it is likely that yields would not move in isolation, isolating the yield effect </w:t>
      </w:r>
      <w:r w:rsidR="00FB6E51" w:rsidRPr="00FA7FA8">
        <w:t xml:space="preserve">shows </w:t>
      </w:r>
      <w:r w:rsidRPr="00FA7FA8">
        <w:t xml:space="preserve">how changes in yields </w:t>
      </w:r>
      <w:r w:rsidR="00BF7657" w:rsidRPr="00FA7FA8">
        <w:t>may impact fiscal aggregates</w:t>
      </w:r>
      <w:r w:rsidR="006D4530" w:rsidRPr="00FA7FA8">
        <w:t>,</w:t>
      </w:r>
      <w:r w:rsidRPr="00FA7FA8">
        <w:t xml:space="preserve"> above and beyond other changes. From a fiscal sustainability perspective, it is the difference between nominal yields and nominal economic growth that matters. If higher yields are accompanied by an economy growing at a faster rate than the rate on government borrowing, this may be sufficient to improve debt as a share of the economy over time, all else being equal. </w:t>
      </w:r>
    </w:p>
    <w:p w14:paraId="79C2ACFD" w14:textId="6969266E" w:rsidR="00764350" w:rsidRPr="00FA7FA8" w:rsidRDefault="00764350" w:rsidP="00764350">
      <w:r w:rsidRPr="00FA7FA8">
        <w:t xml:space="preserve">There are a multitude of factors, often impacting in opposite directions, that could affect current and future yields. Given this uncertainty, a technical assumption for baseline yields is employed. Nominal yields are assumed to remain fixed over the budget year and the following </w:t>
      </w:r>
      <w:r w:rsidR="00C752F7" w:rsidRPr="00FA7FA8">
        <w:t xml:space="preserve">3 </w:t>
      </w:r>
      <w:r w:rsidRPr="00FA7FA8">
        <w:t xml:space="preserve">years at the levels observed immediately prior to the </w:t>
      </w:r>
      <w:r w:rsidR="00347634" w:rsidRPr="00FA7FA8">
        <w:t xml:space="preserve">Budget </w:t>
      </w:r>
      <w:r w:rsidRPr="00FA7FA8">
        <w:t>update. The 10</w:t>
      </w:r>
      <w:r w:rsidR="00C702F0" w:rsidRPr="00FA7FA8">
        <w:noBreakHyphen/>
      </w:r>
      <w:r w:rsidRPr="00FA7FA8">
        <w:t>year bond yield then converges to a long</w:t>
      </w:r>
      <w:r w:rsidR="00C702F0" w:rsidRPr="00FA7FA8">
        <w:noBreakHyphen/>
      </w:r>
      <w:r w:rsidRPr="00FA7FA8">
        <w:t>run yield of around 5 per cent, consistent with long</w:t>
      </w:r>
      <w:r w:rsidR="00C702F0" w:rsidRPr="00FA7FA8">
        <w:noBreakHyphen/>
      </w:r>
      <w:r w:rsidRPr="00FA7FA8">
        <w:t xml:space="preserve">run nominal GDP growth. The timeframe for this transition is 15 years (Chart 7.10). This section examines the consequences of different yield assumptions. </w:t>
      </w:r>
    </w:p>
    <w:p w14:paraId="3C736690" w14:textId="19A929EE" w:rsidR="00764350" w:rsidRPr="00FA7FA8" w:rsidRDefault="00764350" w:rsidP="00764350">
      <w:r w:rsidRPr="00FA7FA8">
        <w:t>The lower yield assumption has the 10</w:t>
      </w:r>
      <w:r w:rsidR="00C702F0" w:rsidRPr="00FA7FA8">
        <w:noBreakHyphen/>
      </w:r>
      <w:r w:rsidRPr="00FA7FA8">
        <w:t xml:space="preserve">year bond yield remaining at current levels over the next </w:t>
      </w:r>
      <w:r w:rsidR="00AE05EA" w:rsidRPr="00FA7FA8">
        <w:t xml:space="preserve">10 </w:t>
      </w:r>
      <w:r w:rsidRPr="00FA7FA8">
        <w:t xml:space="preserve">years rather than beginning to rise after </w:t>
      </w:r>
      <w:r w:rsidR="00AE05EA" w:rsidRPr="00FA7FA8">
        <w:t xml:space="preserve">4 </w:t>
      </w:r>
      <w:r w:rsidRPr="00FA7FA8">
        <w:t xml:space="preserve">years, as is assumed in the baseline assumption. </w:t>
      </w:r>
      <w:r w:rsidR="00066662" w:rsidRPr="00FA7FA8">
        <w:t>Notwithstanding</w:t>
      </w:r>
      <w:r w:rsidR="00C176A8" w:rsidRPr="00FA7FA8">
        <w:t xml:space="preserve"> the recent increase</w:t>
      </w:r>
      <w:r w:rsidR="0074381D" w:rsidRPr="00FA7FA8">
        <w:t xml:space="preserve"> </w:t>
      </w:r>
      <w:r w:rsidR="007E7320" w:rsidRPr="00FA7FA8">
        <w:t>in yields</w:t>
      </w:r>
      <w:r w:rsidR="00FF354E" w:rsidRPr="00FA7FA8">
        <w:t>, a</w:t>
      </w:r>
      <w:r w:rsidRPr="00FA7FA8">
        <w:t xml:space="preserve"> lower yield assumption is supported by the observation that yields on Australian Government debt have generally been trending downwards for several decades. The higher yield assumption has yields converging immediately from current levels over </w:t>
      </w:r>
      <w:r w:rsidR="00CD0D94" w:rsidRPr="00FA7FA8">
        <w:t xml:space="preserve">5 </w:t>
      </w:r>
      <w:r w:rsidRPr="00FA7FA8">
        <w:t>years to the long</w:t>
      </w:r>
      <w:r w:rsidR="00C702F0" w:rsidRPr="00FA7FA8">
        <w:noBreakHyphen/>
      </w:r>
      <w:r w:rsidRPr="00FA7FA8">
        <w:t xml:space="preserve">run yield of around </w:t>
      </w:r>
      <w:r w:rsidR="00497539" w:rsidRPr="00FA7FA8">
        <w:t>5</w:t>
      </w:r>
      <w:r w:rsidR="0059265E" w:rsidRPr="00FA7FA8">
        <w:t> </w:t>
      </w:r>
      <w:r w:rsidRPr="00FA7FA8">
        <w:t>per cent. While the medium and long</w:t>
      </w:r>
      <w:r w:rsidR="00C702F0" w:rsidRPr="00FA7FA8">
        <w:noBreakHyphen/>
      </w:r>
      <w:r w:rsidRPr="00FA7FA8">
        <w:t>term effects on yields of the pandemic are unclear,</w:t>
      </w:r>
      <w:r w:rsidR="00341D16" w:rsidRPr="00FA7FA8">
        <w:t xml:space="preserve"> </w:t>
      </w:r>
      <w:r w:rsidR="00C041F0" w:rsidRPr="00FA7FA8">
        <w:t xml:space="preserve">a further increase in </w:t>
      </w:r>
      <w:r w:rsidRPr="00FA7FA8">
        <w:t>inflation expectations, among other factors, could drive yields to increase</w:t>
      </w:r>
      <w:r w:rsidR="00E50414" w:rsidRPr="00FA7FA8">
        <w:t xml:space="preserve"> more quickly than assumed under the baseline</w:t>
      </w:r>
      <w:r w:rsidR="007909A4" w:rsidRPr="00FA7FA8">
        <w:t xml:space="preserve"> assumption</w:t>
      </w:r>
      <w:r w:rsidRPr="00FA7FA8">
        <w:t xml:space="preserve">. </w:t>
      </w:r>
    </w:p>
    <w:p w14:paraId="551F7DDB" w14:textId="4A619A74" w:rsidR="00764350" w:rsidRPr="00FA7FA8" w:rsidRDefault="00764350" w:rsidP="00336346">
      <w:pPr>
        <w:pStyle w:val="ChartMainHeading"/>
      </w:pPr>
      <w:r w:rsidRPr="00FA7FA8">
        <w:lastRenderedPageBreak/>
        <w:t>Chart 7.10: Baseline and alternative pathways for the 10</w:t>
      </w:r>
      <w:r w:rsidR="00C702F0" w:rsidRPr="00FA7FA8">
        <w:noBreakHyphen/>
      </w:r>
      <w:r w:rsidRPr="00FA7FA8">
        <w:t xml:space="preserve">year bond yield </w:t>
      </w:r>
      <w:bookmarkStart w:id="49" w:name="_1700568839"/>
      <w:bookmarkStart w:id="50" w:name="_1700573370"/>
      <w:bookmarkStart w:id="51" w:name="_1700647015"/>
      <w:bookmarkStart w:id="52" w:name="_1700646965"/>
      <w:bookmarkStart w:id="53" w:name="_1707640144"/>
      <w:bookmarkStart w:id="54" w:name="_1707746801"/>
      <w:bookmarkStart w:id="55" w:name="_1707825457"/>
      <w:bookmarkEnd w:id="49"/>
      <w:bookmarkEnd w:id="50"/>
      <w:bookmarkEnd w:id="51"/>
      <w:bookmarkEnd w:id="52"/>
      <w:bookmarkEnd w:id="53"/>
      <w:bookmarkEnd w:id="54"/>
      <w:bookmarkEnd w:id="55"/>
    </w:p>
    <w:p w14:paraId="68568D34" w14:textId="0AE68B3F" w:rsidR="00591954" w:rsidRPr="00FA7FA8" w:rsidRDefault="005E22EA" w:rsidP="00336346">
      <w:pPr>
        <w:pStyle w:val="ChartGraphic"/>
      </w:pPr>
      <w:bookmarkStart w:id="56" w:name="_1709480198"/>
      <w:bookmarkEnd w:id="56"/>
      <w:r>
        <w:rPr>
          <w:noProof/>
        </w:rPr>
        <w:drawing>
          <wp:inline distT="0" distB="0" distL="0" distR="0" wp14:anchorId="1E7A27AD" wp14:editId="336240FE">
            <wp:extent cx="4724400" cy="2505075"/>
            <wp:effectExtent l="0" t="0" r="0" b="9525"/>
            <wp:docPr id="155" name="Picture 155" descr="This chart compares alternative transition paths of the 10-year bond yield. Under the baseline yield assumption, the 10-year bond yield transitions linearly after 2025-26 to the long-run yield assumption of around 5 per cent. In the lower yield analysis, the 10-year bond yield is held at current rates over the medium term. In the higher yield analysis, the 10-year bond yield converges immediately from current levels to the long-run yield assumption over five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This chart compares alternative transition paths of the 10-year bond yield. Under the baseline yield assumption, the 10-year bond yield transitions linearly after 2025-26 to the long-run yield assumption of around 5 per cent. In the lower yield analysis, the 10-year bond yield is held at current rates over the medium term. In the higher yield analysis, the 10-year bond yield converges immediately from current levels to the long-run yield assumption over five years.&#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4400" cy="2505075"/>
                    </a:xfrm>
                    <a:prstGeom prst="rect">
                      <a:avLst/>
                    </a:prstGeom>
                    <a:noFill/>
                    <a:ln>
                      <a:noFill/>
                    </a:ln>
                  </pic:spPr>
                </pic:pic>
              </a:graphicData>
            </a:graphic>
          </wp:inline>
        </w:drawing>
      </w:r>
    </w:p>
    <w:p w14:paraId="342C2D46" w14:textId="0DFAE0FD" w:rsidR="00764350" w:rsidRPr="00FA7FA8" w:rsidRDefault="00764350" w:rsidP="00764350">
      <w:pPr>
        <w:pStyle w:val="Source"/>
      </w:pPr>
      <w:r w:rsidRPr="00FA7FA8">
        <w:t xml:space="preserve">Source: </w:t>
      </w:r>
      <w:r w:rsidR="00445C5B" w:rsidRPr="00FA7FA8">
        <w:tab/>
      </w:r>
      <w:r w:rsidRPr="00FA7FA8">
        <w:t>Treasury.</w:t>
      </w:r>
    </w:p>
    <w:p w14:paraId="1DD1B3CB" w14:textId="77777777" w:rsidR="00764350" w:rsidRPr="00FA7FA8" w:rsidRDefault="00764350" w:rsidP="00764350">
      <w:r w:rsidRPr="00FA7FA8">
        <w:t>Yields affect both government receipts and payments. Yields affect the amount of public debt interest that the Government has to pay on its borrowings, but also have an impact on the receipts that the Government earns on its investments.</w:t>
      </w:r>
    </w:p>
    <w:p w14:paraId="10EB32AA" w14:textId="74C78CDB" w:rsidR="00764350" w:rsidRPr="00FA7FA8" w:rsidRDefault="00764350" w:rsidP="00764350">
      <w:r w:rsidRPr="00FA7FA8">
        <w:t xml:space="preserve">Compared with the baseline </w:t>
      </w:r>
      <w:r w:rsidR="00047CE9" w:rsidRPr="00FA7FA8">
        <w:t xml:space="preserve">Budget </w:t>
      </w:r>
      <w:r w:rsidRPr="00FA7FA8">
        <w:t>projections, the lower yield assumption results in a slight improvement to the underlying cash balance over the medium term. Cumulative improvements to the underlying cash balance are projected to reduce gross debt by </w:t>
      </w:r>
      <w:r w:rsidR="0004463A" w:rsidRPr="00FA7FA8">
        <w:t>1.</w:t>
      </w:r>
      <w:r w:rsidR="008142AE" w:rsidRPr="00FA7FA8">
        <w:t>3</w:t>
      </w:r>
      <w:r w:rsidR="006311D3" w:rsidRPr="00FA7FA8">
        <w:t> </w:t>
      </w:r>
      <w:r w:rsidRPr="00FA7FA8">
        <w:t>percentage points of GDP at 30 June 203</w:t>
      </w:r>
      <w:r w:rsidR="005F2F1A" w:rsidRPr="00FA7FA8">
        <w:t>3</w:t>
      </w:r>
      <w:r w:rsidRPr="00FA7FA8">
        <w:t xml:space="preserve"> (Chart </w:t>
      </w:r>
      <w:r w:rsidR="00E54C8C" w:rsidRPr="00FA7FA8">
        <w:t>7.11</w:t>
      </w:r>
      <w:r w:rsidRPr="00FA7FA8">
        <w:t>).</w:t>
      </w:r>
    </w:p>
    <w:p w14:paraId="2A0354EA" w14:textId="4D4C6778" w:rsidR="00764350" w:rsidRPr="00FA7FA8" w:rsidRDefault="00764350" w:rsidP="00764350">
      <w:pPr>
        <w:keepLines/>
      </w:pPr>
      <w:r w:rsidRPr="00FA7FA8">
        <w:t xml:space="preserve">Conversely, the higher yield assumption results in a deterioration in the underlying cash balance of around </w:t>
      </w:r>
      <w:r w:rsidR="004461C2" w:rsidRPr="00FA7FA8">
        <w:t>0.6</w:t>
      </w:r>
      <w:r w:rsidR="007E269F" w:rsidRPr="00FA7FA8">
        <w:t> </w:t>
      </w:r>
      <w:r w:rsidRPr="00FA7FA8">
        <w:t xml:space="preserve">percentage points of GDP by </w:t>
      </w:r>
      <w:r w:rsidR="0078761C" w:rsidRPr="00FA7FA8">
        <w:t>2032</w:t>
      </w:r>
      <w:r w:rsidR="00C702F0" w:rsidRPr="00FA7FA8">
        <w:noBreakHyphen/>
      </w:r>
      <w:r w:rsidR="0078761C" w:rsidRPr="00FA7FA8">
        <w:t>33</w:t>
      </w:r>
      <w:r w:rsidRPr="00FA7FA8">
        <w:t xml:space="preserve">. This has flow on effects for debt with gross debt projected to be </w:t>
      </w:r>
      <w:r w:rsidR="00E323B4" w:rsidRPr="00FA7FA8">
        <w:t>5.</w:t>
      </w:r>
      <w:r w:rsidR="00B20851" w:rsidRPr="00FA7FA8">
        <w:t>2</w:t>
      </w:r>
      <w:r w:rsidR="00005FDE" w:rsidRPr="00FA7FA8">
        <w:t> </w:t>
      </w:r>
      <w:r w:rsidRPr="00FA7FA8">
        <w:t xml:space="preserve">percentage points of GDP higher compared to the </w:t>
      </w:r>
      <w:r w:rsidR="00047CE9" w:rsidRPr="00FA7FA8">
        <w:t xml:space="preserve">Budget </w:t>
      </w:r>
      <w:r w:rsidRPr="00FA7FA8">
        <w:t>baseline at 30 June </w:t>
      </w:r>
      <w:r w:rsidR="003653D9" w:rsidRPr="00FA7FA8">
        <w:t>2033</w:t>
      </w:r>
      <w:r w:rsidRPr="00FA7FA8">
        <w:t xml:space="preserve">. </w:t>
      </w:r>
    </w:p>
    <w:p w14:paraId="5CDD4E7A" w14:textId="33A56198" w:rsidR="00764350" w:rsidRPr="002D3B12" w:rsidRDefault="00764350" w:rsidP="00764350">
      <w:pPr>
        <w:keepLines/>
      </w:pPr>
      <w:r w:rsidRPr="00FA7FA8">
        <w:t xml:space="preserve">Even under the higher yield assumption, gross debt as a share of GDP </w:t>
      </w:r>
      <w:r w:rsidR="00960A9E" w:rsidRPr="00FA7FA8">
        <w:t xml:space="preserve">declines </w:t>
      </w:r>
      <w:r w:rsidRPr="00FA7FA8">
        <w:t>towards the end of the medium term</w:t>
      </w:r>
      <w:r w:rsidR="00D825BA" w:rsidRPr="00FA7FA8">
        <w:t xml:space="preserve"> and </w:t>
      </w:r>
      <w:r w:rsidR="009F6D9D" w:rsidRPr="00FA7FA8">
        <w:t>remains</w:t>
      </w:r>
      <w:r w:rsidR="00D825BA" w:rsidRPr="00FA7FA8">
        <w:t xml:space="preserve"> lower than </w:t>
      </w:r>
      <w:r w:rsidR="00337BEC" w:rsidRPr="00FA7FA8">
        <w:t xml:space="preserve">the baseline projections </w:t>
      </w:r>
      <w:r w:rsidR="005D3285" w:rsidRPr="00FA7FA8">
        <w:t>in the</w:t>
      </w:r>
      <w:r w:rsidR="00337BEC" w:rsidRPr="00FA7FA8">
        <w:t xml:space="preserve"> 2021</w:t>
      </w:r>
      <w:r w:rsidR="00C702F0" w:rsidRPr="00FA7FA8">
        <w:noBreakHyphen/>
      </w:r>
      <w:r w:rsidR="00337BEC" w:rsidRPr="00FA7FA8">
        <w:t>22</w:t>
      </w:r>
      <w:r w:rsidR="005D3285" w:rsidRPr="00FA7FA8">
        <w:t> </w:t>
      </w:r>
      <w:r w:rsidR="00337BEC" w:rsidRPr="00FA7FA8">
        <w:t>MYEFO</w:t>
      </w:r>
      <w:r w:rsidRPr="00FA7FA8">
        <w:t xml:space="preserve"> (Chart 7.11).</w:t>
      </w:r>
      <w:r w:rsidR="009607C3" w:rsidRPr="00FA7FA8">
        <w:t xml:space="preserve"> </w:t>
      </w:r>
      <w:r w:rsidR="00F968A4" w:rsidRPr="00FA7FA8">
        <w:t>Projected Commonwealth gross debt as a share of GDP under the higher yield assumption is almost a third of the average general government gross debt as a share of GDP in G7 economies today.</w:t>
      </w:r>
    </w:p>
    <w:p w14:paraId="149B197D" w14:textId="74C48947" w:rsidR="00764350" w:rsidRPr="00FA7FA8" w:rsidRDefault="00764350" w:rsidP="000F5888">
      <w:pPr>
        <w:pStyle w:val="ChartHeading"/>
        <w:rPr>
          <w:rFonts w:asciiTheme="minorHAnsi" w:eastAsiaTheme="minorHAnsi" w:hAnsiTheme="minorHAnsi" w:cstheme="minorBidi"/>
          <w:sz w:val="22"/>
          <w:szCs w:val="22"/>
          <w:lang w:eastAsia="en-US"/>
        </w:rPr>
      </w:pPr>
      <w:r w:rsidRPr="00FA7FA8">
        <w:lastRenderedPageBreak/>
        <w:t>Chart 7.11: Gross debt, impact of alternative yield assumptions</w:t>
      </w:r>
      <w:bookmarkStart w:id="57" w:name="_1700568840"/>
      <w:bookmarkStart w:id="58" w:name="_1700573371"/>
      <w:bookmarkStart w:id="59" w:name="_1700647016"/>
      <w:bookmarkStart w:id="60" w:name="_1700646967"/>
      <w:bookmarkStart w:id="61" w:name="_1707640147"/>
      <w:bookmarkStart w:id="62" w:name="_1707746803"/>
      <w:bookmarkStart w:id="63" w:name="_1707825459"/>
      <w:bookmarkEnd w:id="57"/>
      <w:bookmarkEnd w:id="58"/>
      <w:bookmarkEnd w:id="59"/>
      <w:bookmarkEnd w:id="60"/>
      <w:bookmarkEnd w:id="61"/>
      <w:bookmarkEnd w:id="62"/>
      <w:bookmarkEnd w:id="63"/>
    </w:p>
    <w:p w14:paraId="2767DD48" w14:textId="777B6576" w:rsidR="008C14D1" w:rsidRPr="00FA7FA8" w:rsidRDefault="005E22EA" w:rsidP="0046663E">
      <w:pPr>
        <w:pStyle w:val="ChartGraphic"/>
      </w:pPr>
      <w:r>
        <w:rPr>
          <w:noProof/>
        </w:rPr>
        <w:drawing>
          <wp:inline distT="0" distB="0" distL="0" distR="0" wp14:anchorId="75DC3E46" wp14:editId="6F0F8C9C">
            <wp:extent cx="4686300" cy="2371725"/>
            <wp:effectExtent l="0" t="0" r="0" b="9525"/>
            <wp:docPr id="156" name="Picture 156" descr="This chart shows the impact of higher and lower yield assumptions on gross debt projections. The lower yield assumption results in gross debt projections being 1.3 percentage points of GDP lower compared to the baseline at 30 June 2033. The higher yield assumption results in gross debt projections being 5.2 percentage points of GDP higher compared to the baseline at 30 June 20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This chart shows the impact of higher and lower yield assumptions on gross debt projections. The lower yield assumption results in gross debt projections being 1.3 percentage points of GDP lower compared to the baseline at 30 June 2033. The higher yield assumption results in gross debt projections being 5.2 percentage points of GDP higher compared to the baseline at 30 June 2033.&#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6300" cy="2371725"/>
                    </a:xfrm>
                    <a:prstGeom prst="rect">
                      <a:avLst/>
                    </a:prstGeom>
                    <a:noFill/>
                    <a:ln>
                      <a:noFill/>
                    </a:ln>
                  </pic:spPr>
                </pic:pic>
              </a:graphicData>
            </a:graphic>
          </wp:inline>
        </w:drawing>
      </w:r>
    </w:p>
    <w:p w14:paraId="4B547B6B" w14:textId="7F8036D5" w:rsidR="003C05EA" w:rsidRDefault="00764350" w:rsidP="00764350">
      <w:pPr>
        <w:pStyle w:val="Source"/>
      </w:pPr>
      <w:r w:rsidRPr="00FA7FA8">
        <w:t xml:space="preserve">Source: </w:t>
      </w:r>
      <w:r w:rsidR="00445C5B" w:rsidRPr="00FA7FA8">
        <w:tab/>
      </w:r>
      <w:r w:rsidRPr="00FA7FA8">
        <w:t xml:space="preserve">Australian Office of Financial Management and Treasury. </w:t>
      </w:r>
    </w:p>
    <w:sectPr w:rsidR="003C05EA" w:rsidSect="00C702F0">
      <w:headerReference w:type="even" r:id="rId28"/>
      <w:headerReference w:type="default" r:id="rId29"/>
      <w:footerReference w:type="even" r:id="rId30"/>
      <w:footerReference w:type="default" r:id="rId31"/>
      <w:headerReference w:type="first" r:id="rId32"/>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AC1A5" w14:textId="77777777" w:rsidR="000A73B7" w:rsidRDefault="000A73B7" w:rsidP="00E40261">
      <w:pPr>
        <w:spacing w:after="0" w:line="240" w:lineRule="auto"/>
      </w:pPr>
      <w:r>
        <w:separator/>
      </w:r>
    </w:p>
  </w:endnote>
  <w:endnote w:type="continuationSeparator" w:id="0">
    <w:p w14:paraId="57C2D431" w14:textId="77777777" w:rsidR="000A73B7" w:rsidRDefault="000A73B7" w:rsidP="00E40261">
      <w:pPr>
        <w:spacing w:after="0" w:line="240" w:lineRule="auto"/>
      </w:pPr>
      <w:r>
        <w:continuationSeparator/>
      </w:r>
    </w:p>
  </w:endnote>
  <w:endnote w:type="continuationNotice" w:id="1">
    <w:p w14:paraId="5DF546F4" w14:textId="77777777" w:rsidR="000A73B7" w:rsidRDefault="000A73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20CD" w14:textId="5E428A18" w:rsidR="003C05EA" w:rsidRDefault="003C05EA"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fldChar w:fldCharType="begin"/>
    </w:r>
    <w:r w:rsidRPr="00D96B69">
      <w:instrText xml:space="preserve"> SUBJECT   \* MERGEFORMAT </w:instrText>
    </w:r>
    <w:r>
      <w:fldChar w:fldCharType="separate"/>
    </w:r>
    <w:r w:rsidR="00310471">
      <w:t>Statement 7: Forecasting Performance and Sensitivity Analysis</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5D17" w14:textId="7A27D81C" w:rsidR="004C6D0E" w:rsidRDefault="00951BB4" w:rsidP="00360947">
    <w:pPr>
      <w:pStyle w:val="FooterOdd"/>
    </w:pPr>
    <w:fldSimple w:instr="SUBJECT   \* MERGEFORMAT">
      <w:r w:rsidR="00310471">
        <w:t>Statement 7: Forecasting Performance and Sensitivity Analysis</w:t>
      </w:r>
    </w:fldSimple>
    <w:r w:rsidR="004C6D0E" w:rsidRPr="00B3705D">
      <w:t xml:space="preserve">  |  </w:t>
    </w:r>
    <w:r w:rsidR="004C6D0E" w:rsidRPr="00B3705D">
      <w:rPr>
        <w:b/>
        <w:bCs/>
      </w:rPr>
      <w:t xml:space="preserve">Page </w:t>
    </w:r>
    <w:r w:rsidR="004C6D0E" w:rsidRPr="00B3705D">
      <w:rPr>
        <w:b/>
        <w:bCs/>
      </w:rPr>
      <w:fldChar w:fldCharType="begin"/>
    </w:r>
    <w:r w:rsidR="004C6D0E" w:rsidRPr="00B3705D">
      <w:rPr>
        <w:b/>
        <w:bCs/>
      </w:rPr>
      <w:instrText xml:space="preserve"> PAGE  \* Arabic  \* MERGEFORMAT </w:instrText>
    </w:r>
    <w:r w:rsidR="004C6D0E" w:rsidRPr="00B3705D">
      <w:rPr>
        <w:b/>
        <w:bCs/>
      </w:rPr>
      <w:fldChar w:fldCharType="separate"/>
    </w:r>
    <w:r w:rsidR="004C6D0E">
      <w:rPr>
        <w:b/>
        <w:bCs/>
      </w:rPr>
      <w:t>1</w:t>
    </w:r>
    <w:r w:rsidR="004C6D0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0854" w14:textId="763CBC96" w:rsidR="003C05EA" w:rsidRDefault="003C05EA" w:rsidP="00360947">
    <w:pPr>
      <w:pStyle w:val="FooterOdd"/>
    </w:pPr>
    <w:r>
      <w:fldChar w:fldCharType="begin"/>
    </w:r>
    <w:r w:rsidRPr="00D96B69">
      <w:instrText xml:space="preserve"> SUBJECT   \* MERGEFORMAT </w:instrText>
    </w:r>
    <w:r>
      <w:fldChar w:fldCharType="separate"/>
    </w:r>
    <w:r w:rsidR="00310471">
      <w:t>Statement 7: Forecasting Performance and Sensitivity Analysis</w:t>
    </w:r>
    <w:r>
      <w:fldChar w:fldCharType="end"/>
    </w:r>
    <w:r>
      <w:t xml:space="preserve">  </w:t>
    </w:r>
    <w:r w:rsidRPr="00B3705D">
      <w:t xml:space="preserve">|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1</w:t>
    </w:r>
    <w:r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9BB1" w14:textId="14AE0BDD"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310471">
        <w:t>Statement 7: Forecasting Performance and Sensitivity Analysis</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8D85" w14:textId="3641AA08" w:rsidR="00692105" w:rsidRDefault="00951BB4" w:rsidP="002A6A16">
    <w:pPr>
      <w:pStyle w:val="FooterOdd"/>
    </w:pPr>
    <w:fldSimple w:instr="SUBJECT   \* MERGEFORMAT">
      <w:r w:rsidR="00310471">
        <w:t>Statement 7: Forecasting Performance and Sensitivity Analysis</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8891A" w14:textId="77777777" w:rsidR="000A73B7" w:rsidRDefault="000A73B7" w:rsidP="00E40261">
      <w:pPr>
        <w:spacing w:after="0" w:line="240" w:lineRule="auto"/>
      </w:pPr>
      <w:r>
        <w:separator/>
      </w:r>
    </w:p>
  </w:footnote>
  <w:footnote w:type="continuationSeparator" w:id="0">
    <w:p w14:paraId="1388F972" w14:textId="77777777" w:rsidR="000A73B7" w:rsidRDefault="000A73B7" w:rsidP="00E40261">
      <w:pPr>
        <w:spacing w:after="0" w:line="240" w:lineRule="auto"/>
      </w:pPr>
      <w:r>
        <w:continuationSeparator/>
      </w:r>
    </w:p>
  </w:footnote>
  <w:footnote w:type="continuationNotice" w:id="1">
    <w:p w14:paraId="1D36AF55" w14:textId="77777777" w:rsidR="000A73B7" w:rsidRDefault="000A73B7">
      <w:pPr>
        <w:spacing w:after="0" w:line="240" w:lineRule="auto"/>
      </w:pPr>
    </w:p>
  </w:footnote>
  <w:footnote w:id="2">
    <w:p w14:paraId="05E1C4C2" w14:textId="77777777" w:rsidR="003C05EA" w:rsidRDefault="003C05EA" w:rsidP="003C05EA">
      <w:pPr>
        <w:pStyle w:val="FootnoteText"/>
      </w:pPr>
      <w:r w:rsidRPr="00153BF1">
        <w:rPr>
          <w:rStyle w:val="FootnoteReference"/>
          <w:vertAlign w:val="baseline"/>
        </w:rPr>
        <w:footnoteRef/>
      </w:r>
      <w:r w:rsidRPr="00153BF1">
        <w:t xml:space="preserve"> </w:t>
      </w:r>
      <w:r w:rsidRPr="00FA7FA8">
        <w:tab/>
        <w:t xml:space="preserve">The assumptions behind the confidence intervals presented are based on the methodology presented in the Treasury Working Paper </w:t>
      </w:r>
      <w:r w:rsidRPr="00FA7FA8">
        <w:rPr>
          <w:i/>
        </w:rPr>
        <w:t>Estimates of Uncertainty around Budget Forecasts</w:t>
      </w:r>
      <w:r w:rsidRPr="00FA7FA8">
        <w:t>.</w:t>
      </w:r>
      <w:r w:rsidRPr="00FA7FA8">
        <w:rPr>
          <w:i/>
        </w:rPr>
        <w:t xml:space="preserve"> </w:t>
      </w:r>
      <w:r w:rsidRPr="00FA7FA8">
        <w:t xml:space="preserve">As in the paper, it is assumed that forecast errors are normally distributed with zero mean and the past errors are representative of the future errors. </w:t>
      </w:r>
    </w:p>
  </w:footnote>
  <w:footnote w:id="3">
    <w:p w14:paraId="4145EB68" w14:textId="77777777" w:rsidR="003C05EA" w:rsidRPr="00CE5FDB" w:rsidRDefault="003C05EA" w:rsidP="003C05EA">
      <w:pPr>
        <w:pStyle w:val="FootnoteText"/>
      </w:pPr>
      <w:r w:rsidRPr="00153BF1">
        <w:rPr>
          <w:rStyle w:val="FootnoteReference"/>
          <w:vertAlign w:val="baseline"/>
        </w:rPr>
        <w:footnoteRef/>
      </w:r>
      <w:r w:rsidRPr="00153BF1">
        <w:t xml:space="preserve"> </w:t>
      </w:r>
      <w:r w:rsidRPr="00FA7FA8">
        <w:tab/>
        <w:t>The impacts of past policy decisions on historical public debt interest through time cannot be readily identified or estimated. For this reason, no adjustment has been made to exclude these impacts from the confidence interval analysis.</w:t>
      </w:r>
    </w:p>
  </w:footnote>
  <w:footnote w:id="4">
    <w:p w14:paraId="3264D46B" w14:textId="17DAA33F" w:rsidR="003C05EA" w:rsidRPr="00CE5FDB" w:rsidRDefault="003C05EA" w:rsidP="003C05EA">
      <w:pPr>
        <w:pStyle w:val="FootnoteText"/>
      </w:pPr>
      <w:r w:rsidRPr="00153BF1">
        <w:rPr>
          <w:rStyle w:val="FootnoteReference"/>
          <w:vertAlign w:val="baseline"/>
        </w:rPr>
        <w:footnoteRef/>
      </w:r>
      <w:r w:rsidRPr="00153BF1">
        <w:t xml:space="preserve"> </w:t>
      </w:r>
      <w:r w:rsidRPr="00FA7FA8">
        <w:tab/>
        <w:t>GST was not reported as a Commonwealth tax in budget documents prior to the 2008</w:t>
      </w:r>
      <w:r w:rsidR="00C702F0" w:rsidRPr="00FA7FA8">
        <w:noBreakHyphen/>
      </w:r>
      <w:r w:rsidRPr="00FA7FA8">
        <w:t xml:space="preserve">09 Budget. As a result, GST data have been removed from historical receipts and payments data to abstract from any error associated with this change in accounting treatment.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814AA9" w14:paraId="48BEBE30" w14:textId="77777777" w:rsidTr="002A6A16">
      <w:trPr>
        <w:trHeight w:hRule="exact" w:val="340"/>
      </w:trPr>
      <w:tc>
        <w:tcPr>
          <w:tcW w:w="7797" w:type="dxa"/>
        </w:tcPr>
        <w:p w14:paraId="01EBA8FE" w14:textId="741E19C7" w:rsidR="00814AA9" w:rsidRDefault="00814AA9" w:rsidP="008F55F8">
          <w:pPr>
            <w:pStyle w:val="HeaderEven"/>
            <w:ind w:left="-113"/>
          </w:pPr>
          <w:r w:rsidRPr="000635BE">
            <w:rPr>
              <w:rFonts w:ascii="Arial Bold" w:hAnsi="Arial Bold"/>
              <w:b/>
              <w:bCs/>
              <w:noProof/>
              <w:position w:val="-10"/>
            </w:rPr>
            <w:drawing>
              <wp:inline distT="0" distB="0" distL="0" distR="0" wp14:anchorId="1C867F6B" wp14:editId="5F5DBA68">
                <wp:extent cx="989308" cy="225993"/>
                <wp:effectExtent l="0" t="0" r="1905"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310471">
              <w:t>Budget Paper No. 1</w:t>
            </w:r>
          </w:fldSimple>
        </w:p>
      </w:tc>
    </w:tr>
  </w:tbl>
  <w:p w14:paraId="58930DD5" w14:textId="77777777" w:rsidR="00814AA9" w:rsidRPr="00AA5439" w:rsidRDefault="00814AA9" w:rsidP="00AA5439">
    <w:pPr>
      <w:pStyle w:val="HeaderEven"/>
      <w:rPr>
        <w:sz w:val="2"/>
        <w:szCs w:val="4"/>
      </w:rPr>
    </w:pPr>
  </w:p>
  <w:p w14:paraId="2DB7AD78" w14:textId="77777777" w:rsidR="003C05EA" w:rsidRPr="00814AA9" w:rsidRDefault="003C05EA" w:rsidP="00814A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9437" w14:textId="29C502F8" w:rsidR="003C05EA" w:rsidRPr="000635BE" w:rsidRDefault="003C05EA" w:rsidP="00A93C63">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C05EA" w14:paraId="68087B9E" w14:textId="77777777" w:rsidTr="00A93C63">
      <w:trPr>
        <w:trHeight w:hRule="exact" w:val="340"/>
      </w:trPr>
      <w:tc>
        <w:tcPr>
          <w:tcW w:w="7797" w:type="dxa"/>
        </w:tcPr>
        <w:p w14:paraId="4071C7BD" w14:textId="5FFF2429" w:rsidR="003C05EA" w:rsidRDefault="00951BB4" w:rsidP="00A93C63">
          <w:pPr>
            <w:pStyle w:val="HeaderOdd"/>
          </w:pPr>
          <w:fldSimple w:instr="TITLE   \* MERGEFORMAT">
            <w:r w:rsidR="00310471">
              <w:t>Budget Paper No. 1</w:t>
            </w:r>
          </w:fldSimple>
          <w:r w:rsidR="003C05EA">
            <w:t xml:space="preserve">  |  </w:t>
          </w:r>
          <w:r w:rsidR="003C05EA" w:rsidRPr="000635BE">
            <w:rPr>
              <w:rFonts w:ascii="Arial Bold" w:hAnsi="Arial Bold"/>
              <w:b/>
              <w:bCs/>
              <w:noProof/>
              <w:position w:val="-10"/>
            </w:rPr>
            <w:drawing>
              <wp:inline distT="0" distB="0" distL="0" distR="0" wp14:anchorId="2CC350CC" wp14:editId="3093670C">
                <wp:extent cx="1000760" cy="229870"/>
                <wp:effectExtent l="0" t="0" r="889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760" cy="229870"/>
                        </a:xfrm>
                        <a:prstGeom prst="rect">
                          <a:avLst/>
                        </a:prstGeom>
                        <a:noFill/>
                      </pic:spPr>
                    </pic:pic>
                  </a:graphicData>
                </a:graphic>
              </wp:inline>
            </w:drawing>
          </w:r>
        </w:p>
      </w:tc>
    </w:tr>
  </w:tbl>
  <w:p w14:paraId="287B5410" w14:textId="77777777" w:rsidR="003C05EA" w:rsidRPr="00AA5439" w:rsidRDefault="003C05EA" w:rsidP="00A93C63">
    <w:pPr>
      <w:pStyle w:val="Header"/>
      <w:rPr>
        <w:sz w:val="2"/>
        <w:szCs w:val="2"/>
      </w:rPr>
    </w:pPr>
  </w:p>
  <w:p w14:paraId="1E54A05D" w14:textId="77777777" w:rsidR="003C05EA" w:rsidRPr="00E40261" w:rsidRDefault="003C05EA" w:rsidP="00FC7371">
    <w:pPr>
      <w:pStyle w:val="HeaderOdd"/>
    </w:pPr>
    <w:r w:rsidRPr="00E4026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4ACE" w14:textId="3EAF55A6" w:rsidR="003C05EA" w:rsidRPr="000635BE" w:rsidRDefault="003C05EA" w:rsidP="00A93C63">
    <w:pPr>
      <w:pStyle w:val="HeaderOdd"/>
      <w:rPr>
        <w:sz w:val="2"/>
        <w:szCs w:val="4"/>
      </w:rPr>
    </w:pPr>
  </w:p>
  <w:p w14:paraId="77ED9C52" w14:textId="77777777" w:rsidR="003C05EA" w:rsidRPr="00AA5439" w:rsidRDefault="003C05EA" w:rsidP="00A93C63">
    <w:pPr>
      <w:pStyle w:val="Header"/>
      <w:rPr>
        <w:sz w:val="2"/>
        <w:szCs w:val="2"/>
      </w:rPr>
    </w:pPr>
  </w:p>
  <w:p w14:paraId="7192EDAC" w14:textId="77777777" w:rsidR="003C05EA" w:rsidRPr="00AA5439" w:rsidRDefault="003C05EA" w:rsidP="00A93C63">
    <w:pPr>
      <w:pStyle w:val="HeaderEven"/>
      <w:rPr>
        <w:sz w:val="2"/>
        <w:szCs w:val="2"/>
      </w:rPr>
    </w:pPr>
  </w:p>
  <w:p w14:paraId="2CB4D14D" w14:textId="77777777" w:rsidR="003C05EA" w:rsidRPr="00AA5439" w:rsidRDefault="003C05EA" w:rsidP="00A93C63">
    <w:pPr>
      <w:pStyle w:val="HeaderEven"/>
      <w:rPr>
        <w:sz w:val="2"/>
        <w:szCs w:val="4"/>
      </w:rPr>
    </w:pPr>
  </w:p>
  <w:p w14:paraId="2FCE4D84" w14:textId="77777777" w:rsidR="003C05EA" w:rsidRDefault="003C05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E4690" w14:textId="72541B36"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3F3FAEC9" w14:textId="77777777" w:rsidTr="002A6A16">
      <w:trPr>
        <w:trHeight w:hRule="exact" w:val="340"/>
      </w:trPr>
      <w:tc>
        <w:tcPr>
          <w:tcW w:w="7797" w:type="dxa"/>
        </w:tcPr>
        <w:p w14:paraId="4005F2C8" w14:textId="2AA297FF" w:rsidR="00692105" w:rsidRDefault="00692105" w:rsidP="008F55F8">
          <w:pPr>
            <w:pStyle w:val="HeaderEven"/>
            <w:ind w:left="-113"/>
          </w:pPr>
          <w:r w:rsidRPr="000635BE">
            <w:rPr>
              <w:rFonts w:ascii="Arial Bold" w:hAnsi="Arial Bold"/>
              <w:b/>
              <w:bCs/>
              <w:noProof/>
              <w:position w:val="-10"/>
            </w:rPr>
            <w:drawing>
              <wp:inline distT="0" distB="0" distL="0" distR="0" wp14:anchorId="7B68E8FA" wp14:editId="08188AD9">
                <wp:extent cx="989308" cy="225993"/>
                <wp:effectExtent l="0" t="0" r="1905" b="3175"/>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TITLE   \* MERGEFORMAT">
            <w:r w:rsidR="00310471">
              <w:t>Budget Paper No. 1</w:t>
            </w:r>
          </w:fldSimple>
        </w:p>
      </w:tc>
    </w:tr>
  </w:tbl>
  <w:p w14:paraId="09211D7B" w14:textId="77777777" w:rsidR="00692105" w:rsidRPr="00AA5439" w:rsidRDefault="00692105" w:rsidP="00AA5439">
    <w:pPr>
      <w:pStyle w:val="HeaderEven"/>
      <w:rPr>
        <w:sz w:val="2"/>
        <w:szCs w:val="4"/>
      </w:rPr>
    </w:pPr>
  </w:p>
  <w:p w14:paraId="56749D99" w14:textId="77777777" w:rsidR="00692105" w:rsidRPr="007703C7" w:rsidRDefault="00692105"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56DA" w14:textId="27124D45"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48594462" w14:textId="77777777" w:rsidTr="002A6A16">
      <w:trPr>
        <w:trHeight w:hRule="exact" w:val="340"/>
      </w:trPr>
      <w:tc>
        <w:tcPr>
          <w:tcW w:w="7797" w:type="dxa"/>
        </w:tcPr>
        <w:p w14:paraId="5602E6B3" w14:textId="3CAE1ED0" w:rsidR="00692105" w:rsidRDefault="00951BB4" w:rsidP="000635BE">
          <w:pPr>
            <w:pStyle w:val="HeaderOdd"/>
          </w:pPr>
          <w:fldSimple w:instr="TITLE   \* MERGEFORMAT">
            <w:r w:rsidR="00310471">
              <w:t>Budget Paper No. 1</w:t>
            </w:r>
          </w:fldSimple>
          <w:r w:rsidR="00692105">
            <w:t xml:space="preserve">  |  </w:t>
          </w:r>
          <w:r w:rsidR="00692105" w:rsidRPr="000635BE">
            <w:rPr>
              <w:rFonts w:ascii="Arial Bold" w:hAnsi="Arial Bold"/>
              <w:b/>
              <w:bCs/>
              <w:noProof/>
              <w:position w:val="-10"/>
            </w:rPr>
            <w:drawing>
              <wp:inline distT="0" distB="0" distL="0" distR="0" wp14:anchorId="7DC1E9C6" wp14:editId="69E61950">
                <wp:extent cx="989308" cy="225993"/>
                <wp:effectExtent l="0" t="0" r="1905" b="3175"/>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23A137E6" w14:textId="77777777" w:rsidR="00692105" w:rsidRPr="00AA5439" w:rsidRDefault="00692105"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5CCC" w14:textId="1C4EC9D3" w:rsidR="00692105" w:rsidRDefault="0069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DC27F3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C38045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8D44B3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E72860"/>
    <w:multiLevelType w:val="hybridMultilevel"/>
    <w:tmpl w:val="EA4ACE4A"/>
    <w:lvl w:ilvl="0" w:tplc="8C3EB80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5"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6" w15:restartNumberingAfterBreak="0">
    <w:nsid w:val="1C092AB3"/>
    <w:multiLevelType w:val="hybridMultilevel"/>
    <w:tmpl w:val="8B26D812"/>
    <w:lvl w:ilvl="0" w:tplc="57689C80">
      <w:numFmt w:val="bullet"/>
      <w:lvlText w:val="-"/>
      <w:lvlJc w:val="left"/>
      <w:pPr>
        <w:ind w:left="720" w:hanging="360"/>
      </w:pPr>
      <w:rPr>
        <w:rFonts w:ascii="Book Antiqua" w:eastAsia="Times New Roman" w:hAnsi="Book Antiqua" w:cs="Times New Roman"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6D7D55"/>
    <w:multiLevelType w:val="hybridMultilevel"/>
    <w:tmpl w:val="FD9608E2"/>
    <w:lvl w:ilvl="0" w:tplc="A800A434">
      <w:start w:val="1"/>
      <w:numFmt w:val="lowerLetter"/>
      <w:lvlText w:val="(%1)"/>
      <w:lvlJc w:val="left"/>
      <w:pPr>
        <w:ind w:left="360" w:hanging="360"/>
      </w:pPr>
      <w:rPr>
        <w:rFonts w:ascii="Arial" w:hAnsi="Arial" w:cs="Arial" w:hint="default"/>
        <w:b w:val="0"/>
        <w:i w:val="0"/>
        <w:color w:val="000000"/>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9"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0"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9"/>
  </w:num>
  <w:num w:numId="2">
    <w:abstractNumId w:val="5"/>
  </w:num>
  <w:num w:numId="3">
    <w:abstractNumId w:val="4"/>
  </w:num>
  <w:num w:numId="4">
    <w:abstractNumId w:val="8"/>
  </w:num>
  <w:num w:numId="5">
    <w:abstractNumId w:val="10"/>
  </w:num>
  <w:num w:numId="6">
    <w:abstractNumId w:val="4"/>
  </w:num>
  <w:num w:numId="7">
    <w:abstractNumId w:val="4"/>
  </w:num>
  <w:num w:numId="8">
    <w:abstractNumId w:val="8"/>
    <w:lvlOverride w:ilvl="0">
      <w:startOverride w:val="1"/>
    </w:lvlOverride>
  </w:num>
  <w:num w:numId="9">
    <w:abstractNumId w:val="2"/>
  </w:num>
  <w:num w:numId="10">
    <w:abstractNumId w:val="1"/>
  </w:num>
  <w:num w:numId="11">
    <w:abstractNumId w:val="0"/>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3"/>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7"/>
  </w:num>
  <w:num w:numId="26">
    <w:abstractNumId w:val="8"/>
    <w:lvlOverride w:ilvl="0">
      <w:startOverride w:val="1"/>
    </w:lvlOverride>
  </w:num>
  <w:num w:numId="27">
    <w:abstractNumId w:val="6"/>
  </w:num>
  <w:num w:numId="28">
    <w:abstractNumId w:val="8"/>
    <w:lvlOverride w:ilvl="0">
      <w:startOverride w:val="1"/>
    </w:lvlOverride>
  </w:num>
  <w:num w:numId="2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ocumentProtection w:edit="comments" w:enforcement="0"/>
  <w:defaultTabStop w:val="720"/>
  <w:evenAndOddHeaders/>
  <w:characterSpacingControl w:val="doNotCompress"/>
  <w:hdrShapeDefaults>
    <o:shapedefaults v:ext="edit" spidmax="10241"/>
  </w:hdrShapeDefaults>
  <w:footnotePr>
    <w:numStart w:val="21"/>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C05EA"/>
    <w:rsid w:val="00000168"/>
    <w:rsid w:val="00000845"/>
    <w:rsid w:val="00001C3F"/>
    <w:rsid w:val="00001C9C"/>
    <w:rsid w:val="000044FD"/>
    <w:rsid w:val="0000462B"/>
    <w:rsid w:val="0000466C"/>
    <w:rsid w:val="00004699"/>
    <w:rsid w:val="00005152"/>
    <w:rsid w:val="00005FDE"/>
    <w:rsid w:val="00006082"/>
    <w:rsid w:val="00006B8F"/>
    <w:rsid w:val="00006F14"/>
    <w:rsid w:val="0000773F"/>
    <w:rsid w:val="000078B7"/>
    <w:rsid w:val="00010C18"/>
    <w:rsid w:val="00011164"/>
    <w:rsid w:val="00011DBB"/>
    <w:rsid w:val="00012B8E"/>
    <w:rsid w:val="0001364D"/>
    <w:rsid w:val="00013EA8"/>
    <w:rsid w:val="000141F0"/>
    <w:rsid w:val="00014A72"/>
    <w:rsid w:val="00014B41"/>
    <w:rsid w:val="00014F41"/>
    <w:rsid w:val="00014FA9"/>
    <w:rsid w:val="000155C0"/>
    <w:rsid w:val="000160C3"/>
    <w:rsid w:val="00016B83"/>
    <w:rsid w:val="00016D61"/>
    <w:rsid w:val="00017412"/>
    <w:rsid w:val="00017DA5"/>
    <w:rsid w:val="00021A75"/>
    <w:rsid w:val="00022CAD"/>
    <w:rsid w:val="00022D9C"/>
    <w:rsid w:val="00023601"/>
    <w:rsid w:val="00023D49"/>
    <w:rsid w:val="0002445A"/>
    <w:rsid w:val="000252B5"/>
    <w:rsid w:val="000253E0"/>
    <w:rsid w:val="00025943"/>
    <w:rsid w:val="000277CF"/>
    <w:rsid w:val="000277F6"/>
    <w:rsid w:val="00027AF4"/>
    <w:rsid w:val="0003001B"/>
    <w:rsid w:val="000308BC"/>
    <w:rsid w:val="00031AD5"/>
    <w:rsid w:val="00031C6D"/>
    <w:rsid w:val="00031C7B"/>
    <w:rsid w:val="00032A1C"/>
    <w:rsid w:val="00032C6B"/>
    <w:rsid w:val="000330AE"/>
    <w:rsid w:val="00033CB8"/>
    <w:rsid w:val="00034258"/>
    <w:rsid w:val="00034697"/>
    <w:rsid w:val="0003512A"/>
    <w:rsid w:val="000353DF"/>
    <w:rsid w:val="000354F8"/>
    <w:rsid w:val="00035D8D"/>
    <w:rsid w:val="000363E4"/>
    <w:rsid w:val="000368BE"/>
    <w:rsid w:val="00036DDE"/>
    <w:rsid w:val="00037846"/>
    <w:rsid w:val="00037AAE"/>
    <w:rsid w:val="000402F6"/>
    <w:rsid w:val="00040492"/>
    <w:rsid w:val="00041098"/>
    <w:rsid w:val="00042B6D"/>
    <w:rsid w:val="00042F0B"/>
    <w:rsid w:val="000438F1"/>
    <w:rsid w:val="00043AD3"/>
    <w:rsid w:val="0004463A"/>
    <w:rsid w:val="00045B80"/>
    <w:rsid w:val="000461A9"/>
    <w:rsid w:val="000468D4"/>
    <w:rsid w:val="00046F3F"/>
    <w:rsid w:val="00047CE9"/>
    <w:rsid w:val="00050142"/>
    <w:rsid w:val="00052DAC"/>
    <w:rsid w:val="000538BB"/>
    <w:rsid w:val="00053C07"/>
    <w:rsid w:val="00053DB0"/>
    <w:rsid w:val="00053DE3"/>
    <w:rsid w:val="00053FC6"/>
    <w:rsid w:val="000544F9"/>
    <w:rsid w:val="00054A49"/>
    <w:rsid w:val="0005543B"/>
    <w:rsid w:val="00055EC5"/>
    <w:rsid w:val="0005634A"/>
    <w:rsid w:val="00056589"/>
    <w:rsid w:val="00056BF6"/>
    <w:rsid w:val="000574D5"/>
    <w:rsid w:val="000578D2"/>
    <w:rsid w:val="00057E1A"/>
    <w:rsid w:val="000605C5"/>
    <w:rsid w:val="0006091B"/>
    <w:rsid w:val="00060BF8"/>
    <w:rsid w:val="000622B7"/>
    <w:rsid w:val="000622DA"/>
    <w:rsid w:val="000624C1"/>
    <w:rsid w:val="000629E2"/>
    <w:rsid w:val="000631F1"/>
    <w:rsid w:val="000635BE"/>
    <w:rsid w:val="0006408F"/>
    <w:rsid w:val="00065E20"/>
    <w:rsid w:val="000664C8"/>
    <w:rsid w:val="00066662"/>
    <w:rsid w:val="0006767C"/>
    <w:rsid w:val="00067903"/>
    <w:rsid w:val="00070775"/>
    <w:rsid w:val="00070FB8"/>
    <w:rsid w:val="00071FE3"/>
    <w:rsid w:val="000726BE"/>
    <w:rsid w:val="00072BBC"/>
    <w:rsid w:val="00073C1B"/>
    <w:rsid w:val="000744A8"/>
    <w:rsid w:val="000748CE"/>
    <w:rsid w:val="00075693"/>
    <w:rsid w:val="00075B6A"/>
    <w:rsid w:val="00077213"/>
    <w:rsid w:val="000774FC"/>
    <w:rsid w:val="00077A90"/>
    <w:rsid w:val="00080182"/>
    <w:rsid w:val="00081DC4"/>
    <w:rsid w:val="0008234F"/>
    <w:rsid w:val="00082DFA"/>
    <w:rsid w:val="00084A09"/>
    <w:rsid w:val="00084B8C"/>
    <w:rsid w:val="00085F8D"/>
    <w:rsid w:val="00086AD7"/>
    <w:rsid w:val="00090350"/>
    <w:rsid w:val="00092342"/>
    <w:rsid w:val="00092C54"/>
    <w:rsid w:val="00093EC1"/>
    <w:rsid w:val="000940B7"/>
    <w:rsid w:val="000948C0"/>
    <w:rsid w:val="0009562A"/>
    <w:rsid w:val="00095ABC"/>
    <w:rsid w:val="0009604D"/>
    <w:rsid w:val="00096106"/>
    <w:rsid w:val="00096685"/>
    <w:rsid w:val="00096DBE"/>
    <w:rsid w:val="00097180"/>
    <w:rsid w:val="00097452"/>
    <w:rsid w:val="00097B4E"/>
    <w:rsid w:val="000A0A40"/>
    <w:rsid w:val="000A166A"/>
    <w:rsid w:val="000A2CC5"/>
    <w:rsid w:val="000A2F63"/>
    <w:rsid w:val="000A4030"/>
    <w:rsid w:val="000A48FE"/>
    <w:rsid w:val="000A5694"/>
    <w:rsid w:val="000A6154"/>
    <w:rsid w:val="000A6CC9"/>
    <w:rsid w:val="000A6ECF"/>
    <w:rsid w:val="000A73B7"/>
    <w:rsid w:val="000A7499"/>
    <w:rsid w:val="000A77BC"/>
    <w:rsid w:val="000A79D0"/>
    <w:rsid w:val="000B04CE"/>
    <w:rsid w:val="000B1293"/>
    <w:rsid w:val="000B14F1"/>
    <w:rsid w:val="000B1B11"/>
    <w:rsid w:val="000B20E3"/>
    <w:rsid w:val="000B3A76"/>
    <w:rsid w:val="000B4BB7"/>
    <w:rsid w:val="000B4DE3"/>
    <w:rsid w:val="000B4E32"/>
    <w:rsid w:val="000B5CEF"/>
    <w:rsid w:val="000B60E1"/>
    <w:rsid w:val="000B615B"/>
    <w:rsid w:val="000B63EC"/>
    <w:rsid w:val="000B6AB7"/>
    <w:rsid w:val="000B6F28"/>
    <w:rsid w:val="000B741C"/>
    <w:rsid w:val="000B7CB2"/>
    <w:rsid w:val="000C00DB"/>
    <w:rsid w:val="000C0358"/>
    <w:rsid w:val="000C0359"/>
    <w:rsid w:val="000C0462"/>
    <w:rsid w:val="000C05AF"/>
    <w:rsid w:val="000C4189"/>
    <w:rsid w:val="000C464C"/>
    <w:rsid w:val="000C515E"/>
    <w:rsid w:val="000C5884"/>
    <w:rsid w:val="000C5ECB"/>
    <w:rsid w:val="000C714E"/>
    <w:rsid w:val="000C7210"/>
    <w:rsid w:val="000D0C94"/>
    <w:rsid w:val="000D0F4B"/>
    <w:rsid w:val="000D1342"/>
    <w:rsid w:val="000D1F65"/>
    <w:rsid w:val="000D2086"/>
    <w:rsid w:val="000D2481"/>
    <w:rsid w:val="000D2D06"/>
    <w:rsid w:val="000D344F"/>
    <w:rsid w:val="000D3ADC"/>
    <w:rsid w:val="000D4FDB"/>
    <w:rsid w:val="000D5BB9"/>
    <w:rsid w:val="000D701B"/>
    <w:rsid w:val="000E040C"/>
    <w:rsid w:val="000E100E"/>
    <w:rsid w:val="000E105B"/>
    <w:rsid w:val="000E13A2"/>
    <w:rsid w:val="000E144E"/>
    <w:rsid w:val="000E149B"/>
    <w:rsid w:val="000E19D5"/>
    <w:rsid w:val="000E2B8F"/>
    <w:rsid w:val="000E3763"/>
    <w:rsid w:val="000E4874"/>
    <w:rsid w:val="000E4CD6"/>
    <w:rsid w:val="000E4DC8"/>
    <w:rsid w:val="000E5AEA"/>
    <w:rsid w:val="000E5B1E"/>
    <w:rsid w:val="000E77C8"/>
    <w:rsid w:val="000F0638"/>
    <w:rsid w:val="000F2912"/>
    <w:rsid w:val="000F2D3F"/>
    <w:rsid w:val="000F39A1"/>
    <w:rsid w:val="000F4114"/>
    <w:rsid w:val="000F50C4"/>
    <w:rsid w:val="000F5381"/>
    <w:rsid w:val="000F564A"/>
    <w:rsid w:val="000F575C"/>
    <w:rsid w:val="000F5888"/>
    <w:rsid w:val="000F6874"/>
    <w:rsid w:val="000F6AB2"/>
    <w:rsid w:val="000F6F95"/>
    <w:rsid w:val="000F6FA2"/>
    <w:rsid w:val="000F718A"/>
    <w:rsid w:val="000F7AD6"/>
    <w:rsid w:val="000F7C19"/>
    <w:rsid w:val="000F7C78"/>
    <w:rsid w:val="00100677"/>
    <w:rsid w:val="00100802"/>
    <w:rsid w:val="00100F4A"/>
    <w:rsid w:val="00102115"/>
    <w:rsid w:val="001021B4"/>
    <w:rsid w:val="00102B9C"/>
    <w:rsid w:val="0010331B"/>
    <w:rsid w:val="00103F65"/>
    <w:rsid w:val="00104A65"/>
    <w:rsid w:val="00104D20"/>
    <w:rsid w:val="0010519E"/>
    <w:rsid w:val="00105838"/>
    <w:rsid w:val="00106349"/>
    <w:rsid w:val="0010635B"/>
    <w:rsid w:val="00106C5D"/>
    <w:rsid w:val="00106FEC"/>
    <w:rsid w:val="0010707D"/>
    <w:rsid w:val="00110F00"/>
    <w:rsid w:val="0011175D"/>
    <w:rsid w:val="00112112"/>
    <w:rsid w:val="00112753"/>
    <w:rsid w:val="00112945"/>
    <w:rsid w:val="0011332D"/>
    <w:rsid w:val="00113C6E"/>
    <w:rsid w:val="00114C1E"/>
    <w:rsid w:val="001171C7"/>
    <w:rsid w:val="0012032E"/>
    <w:rsid w:val="00120EA9"/>
    <w:rsid w:val="00120F8B"/>
    <w:rsid w:val="0012213D"/>
    <w:rsid w:val="00123109"/>
    <w:rsid w:val="00123698"/>
    <w:rsid w:val="00123857"/>
    <w:rsid w:val="00123B0B"/>
    <w:rsid w:val="00123C43"/>
    <w:rsid w:val="00123E33"/>
    <w:rsid w:val="00124129"/>
    <w:rsid w:val="00124648"/>
    <w:rsid w:val="001247B1"/>
    <w:rsid w:val="001249CF"/>
    <w:rsid w:val="00124F89"/>
    <w:rsid w:val="00125B38"/>
    <w:rsid w:val="00125B99"/>
    <w:rsid w:val="00125D44"/>
    <w:rsid w:val="00125F77"/>
    <w:rsid w:val="001264C2"/>
    <w:rsid w:val="00127DE2"/>
    <w:rsid w:val="0013007C"/>
    <w:rsid w:val="00130EFE"/>
    <w:rsid w:val="00130F93"/>
    <w:rsid w:val="00131446"/>
    <w:rsid w:val="00131473"/>
    <w:rsid w:val="0013155E"/>
    <w:rsid w:val="001316B7"/>
    <w:rsid w:val="00132159"/>
    <w:rsid w:val="00132978"/>
    <w:rsid w:val="00134E1A"/>
    <w:rsid w:val="001358D9"/>
    <w:rsid w:val="00135C1F"/>
    <w:rsid w:val="00136F3C"/>
    <w:rsid w:val="00137E35"/>
    <w:rsid w:val="001403B1"/>
    <w:rsid w:val="001407C9"/>
    <w:rsid w:val="001413B6"/>
    <w:rsid w:val="00142B65"/>
    <w:rsid w:val="00145AF0"/>
    <w:rsid w:val="00145CAE"/>
    <w:rsid w:val="00145FCD"/>
    <w:rsid w:val="00146452"/>
    <w:rsid w:val="00147A99"/>
    <w:rsid w:val="0015121E"/>
    <w:rsid w:val="00151DA3"/>
    <w:rsid w:val="00152738"/>
    <w:rsid w:val="00152939"/>
    <w:rsid w:val="001529DF"/>
    <w:rsid w:val="00152B16"/>
    <w:rsid w:val="00153C78"/>
    <w:rsid w:val="001541C5"/>
    <w:rsid w:val="00155717"/>
    <w:rsid w:val="00155ACE"/>
    <w:rsid w:val="00155BB7"/>
    <w:rsid w:val="00160522"/>
    <w:rsid w:val="0016058A"/>
    <w:rsid w:val="0016069D"/>
    <w:rsid w:val="00162399"/>
    <w:rsid w:val="001624AA"/>
    <w:rsid w:val="001637CF"/>
    <w:rsid w:val="00165B5C"/>
    <w:rsid w:val="00167099"/>
    <w:rsid w:val="001672DA"/>
    <w:rsid w:val="0017098D"/>
    <w:rsid w:val="00170C76"/>
    <w:rsid w:val="00171419"/>
    <w:rsid w:val="001722C9"/>
    <w:rsid w:val="0017244C"/>
    <w:rsid w:val="00172CFE"/>
    <w:rsid w:val="00172EB3"/>
    <w:rsid w:val="001737BF"/>
    <w:rsid w:val="00173A8B"/>
    <w:rsid w:val="00173B59"/>
    <w:rsid w:val="00173D13"/>
    <w:rsid w:val="00174055"/>
    <w:rsid w:val="001742FF"/>
    <w:rsid w:val="00174353"/>
    <w:rsid w:val="0017530B"/>
    <w:rsid w:val="0017534F"/>
    <w:rsid w:val="00175CED"/>
    <w:rsid w:val="0017756E"/>
    <w:rsid w:val="0017793A"/>
    <w:rsid w:val="00180354"/>
    <w:rsid w:val="00180FA6"/>
    <w:rsid w:val="0018176D"/>
    <w:rsid w:val="00182221"/>
    <w:rsid w:val="00182604"/>
    <w:rsid w:val="00183469"/>
    <w:rsid w:val="00183FD2"/>
    <w:rsid w:val="00184C48"/>
    <w:rsid w:val="00185F0F"/>
    <w:rsid w:val="0018671F"/>
    <w:rsid w:val="001875EF"/>
    <w:rsid w:val="00190052"/>
    <w:rsid w:val="001907A2"/>
    <w:rsid w:val="00191038"/>
    <w:rsid w:val="0019115B"/>
    <w:rsid w:val="0019318A"/>
    <w:rsid w:val="001947E7"/>
    <w:rsid w:val="00195E77"/>
    <w:rsid w:val="00195F83"/>
    <w:rsid w:val="001970E6"/>
    <w:rsid w:val="00197892"/>
    <w:rsid w:val="001A01A8"/>
    <w:rsid w:val="001A0FB4"/>
    <w:rsid w:val="001A13A6"/>
    <w:rsid w:val="001A19EC"/>
    <w:rsid w:val="001A205E"/>
    <w:rsid w:val="001A2594"/>
    <w:rsid w:val="001A2DB0"/>
    <w:rsid w:val="001A2EFF"/>
    <w:rsid w:val="001A3737"/>
    <w:rsid w:val="001A3A9C"/>
    <w:rsid w:val="001A3E9B"/>
    <w:rsid w:val="001A47F9"/>
    <w:rsid w:val="001A553D"/>
    <w:rsid w:val="001A5614"/>
    <w:rsid w:val="001A5649"/>
    <w:rsid w:val="001A5DE0"/>
    <w:rsid w:val="001A7911"/>
    <w:rsid w:val="001B0DDF"/>
    <w:rsid w:val="001B122C"/>
    <w:rsid w:val="001B1BA9"/>
    <w:rsid w:val="001B1C13"/>
    <w:rsid w:val="001B2BBB"/>
    <w:rsid w:val="001B2F76"/>
    <w:rsid w:val="001B3168"/>
    <w:rsid w:val="001B4ACE"/>
    <w:rsid w:val="001B7852"/>
    <w:rsid w:val="001B7AF4"/>
    <w:rsid w:val="001C1110"/>
    <w:rsid w:val="001C117D"/>
    <w:rsid w:val="001C1515"/>
    <w:rsid w:val="001C1D70"/>
    <w:rsid w:val="001C29BA"/>
    <w:rsid w:val="001C2A9B"/>
    <w:rsid w:val="001C2D19"/>
    <w:rsid w:val="001C360C"/>
    <w:rsid w:val="001C4112"/>
    <w:rsid w:val="001C4AF5"/>
    <w:rsid w:val="001C563F"/>
    <w:rsid w:val="001C68AF"/>
    <w:rsid w:val="001C6E02"/>
    <w:rsid w:val="001C7450"/>
    <w:rsid w:val="001D0917"/>
    <w:rsid w:val="001D0C80"/>
    <w:rsid w:val="001D0D6E"/>
    <w:rsid w:val="001D21DA"/>
    <w:rsid w:val="001D24D6"/>
    <w:rsid w:val="001D2763"/>
    <w:rsid w:val="001D2803"/>
    <w:rsid w:val="001D2A6D"/>
    <w:rsid w:val="001D2A72"/>
    <w:rsid w:val="001D2BE5"/>
    <w:rsid w:val="001D33D6"/>
    <w:rsid w:val="001D3A4F"/>
    <w:rsid w:val="001D4127"/>
    <w:rsid w:val="001D4E44"/>
    <w:rsid w:val="001D50BE"/>
    <w:rsid w:val="001D6300"/>
    <w:rsid w:val="001D70F9"/>
    <w:rsid w:val="001D73D6"/>
    <w:rsid w:val="001D7C9A"/>
    <w:rsid w:val="001E00CD"/>
    <w:rsid w:val="001E0F5B"/>
    <w:rsid w:val="001E1CA9"/>
    <w:rsid w:val="001E1E2C"/>
    <w:rsid w:val="001E2783"/>
    <w:rsid w:val="001E32DA"/>
    <w:rsid w:val="001E3889"/>
    <w:rsid w:val="001E3D24"/>
    <w:rsid w:val="001E4375"/>
    <w:rsid w:val="001E4884"/>
    <w:rsid w:val="001E71BF"/>
    <w:rsid w:val="001F07FD"/>
    <w:rsid w:val="001F08E1"/>
    <w:rsid w:val="001F0A12"/>
    <w:rsid w:val="001F0D32"/>
    <w:rsid w:val="001F0FC4"/>
    <w:rsid w:val="001F2CDE"/>
    <w:rsid w:val="001F31AC"/>
    <w:rsid w:val="001F35B8"/>
    <w:rsid w:val="001F40E1"/>
    <w:rsid w:val="001F540E"/>
    <w:rsid w:val="001F6545"/>
    <w:rsid w:val="0020019D"/>
    <w:rsid w:val="00200382"/>
    <w:rsid w:val="0020094A"/>
    <w:rsid w:val="00200B5E"/>
    <w:rsid w:val="00200C22"/>
    <w:rsid w:val="00200FB0"/>
    <w:rsid w:val="0020155C"/>
    <w:rsid w:val="002025FC"/>
    <w:rsid w:val="00203893"/>
    <w:rsid w:val="00203AC8"/>
    <w:rsid w:val="002051B1"/>
    <w:rsid w:val="002052F9"/>
    <w:rsid w:val="002057E2"/>
    <w:rsid w:val="00205B5E"/>
    <w:rsid w:val="002063ED"/>
    <w:rsid w:val="0020702C"/>
    <w:rsid w:val="00207673"/>
    <w:rsid w:val="00207BE1"/>
    <w:rsid w:val="00207FD4"/>
    <w:rsid w:val="00210AF7"/>
    <w:rsid w:val="00212FD2"/>
    <w:rsid w:val="00213957"/>
    <w:rsid w:val="0021458C"/>
    <w:rsid w:val="00215013"/>
    <w:rsid w:val="00215B6E"/>
    <w:rsid w:val="00216B9F"/>
    <w:rsid w:val="002177A9"/>
    <w:rsid w:val="00217AE3"/>
    <w:rsid w:val="00220C04"/>
    <w:rsid w:val="00223C45"/>
    <w:rsid w:val="002245D4"/>
    <w:rsid w:val="00225AC2"/>
    <w:rsid w:val="002265B4"/>
    <w:rsid w:val="00226DE3"/>
    <w:rsid w:val="00227253"/>
    <w:rsid w:val="002304CA"/>
    <w:rsid w:val="00230809"/>
    <w:rsid w:val="00230853"/>
    <w:rsid w:val="0023257B"/>
    <w:rsid w:val="0023299B"/>
    <w:rsid w:val="00232B72"/>
    <w:rsid w:val="0023397B"/>
    <w:rsid w:val="00233AD6"/>
    <w:rsid w:val="00233E56"/>
    <w:rsid w:val="00234AA7"/>
    <w:rsid w:val="0023574E"/>
    <w:rsid w:val="002358CC"/>
    <w:rsid w:val="002365EC"/>
    <w:rsid w:val="00236B30"/>
    <w:rsid w:val="00236E91"/>
    <w:rsid w:val="00236EF1"/>
    <w:rsid w:val="00237D09"/>
    <w:rsid w:val="00237F04"/>
    <w:rsid w:val="00240271"/>
    <w:rsid w:val="002405BC"/>
    <w:rsid w:val="00240C06"/>
    <w:rsid w:val="00241274"/>
    <w:rsid w:val="00242420"/>
    <w:rsid w:val="00242730"/>
    <w:rsid w:val="00242926"/>
    <w:rsid w:val="00242D71"/>
    <w:rsid w:val="00243154"/>
    <w:rsid w:val="002436F0"/>
    <w:rsid w:val="00244533"/>
    <w:rsid w:val="0024468A"/>
    <w:rsid w:val="002456E7"/>
    <w:rsid w:val="00245B3C"/>
    <w:rsid w:val="002462A1"/>
    <w:rsid w:val="00246688"/>
    <w:rsid w:val="0024673A"/>
    <w:rsid w:val="00246B6D"/>
    <w:rsid w:val="00250021"/>
    <w:rsid w:val="0025047A"/>
    <w:rsid w:val="00250BAE"/>
    <w:rsid w:val="0025169D"/>
    <w:rsid w:val="00252C90"/>
    <w:rsid w:val="002530AF"/>
    <w:rsid w:val="00253236"/>
    <w:rsid w:val="00254D96"/>
    <w:rsid w:val="00255718"/>
    <w:rsid w:val="00255E64"/>
    <w:rsid w:val="002568D9"/>
    <w:rsid w:val="002569B5"/>
    <w:rsid w:val="00256C03"/>
    <w:rsid w:val="002576F4"/>
    <w:rsid w:val="00257841"/>
    <w:rsid w:val="00257A55"/>
    <w:rsid w:val="00257AD2"/>
    <w:rsid w:val="00257F7B"/>
    <w:rsid w:val="00260A0D"/>
    <w:rsid w:val="00261470"/>
    <w:rsid w:val="0026179A"/>
    <w:rsid w:val="00261A7E"/>
    <w:rsid w:val="00261D0E"/>
    <w:rsid w:val="0026240A"/>
    <w:rsid w:val="002625D4"/>
    <w:rsid w:val="00262682"/>
    <w:rsid w:val="00262EA2"/>
    <w:rsid w:val="002646B8"/>
    <w:rsid w:val="00264EFA"/>
    <w:rsid w:val="002655D0"/>
    <w:rsid w:val="002658A0"/>
    <w:rsid w:val="0026652E"/>
    <w:rsid w:val="00267200"/>
    <w:rsid w:val="00267552"/>
    <w:rsid w:val="00267589"/>
    <w:rsid w:val="00270270"/>
    <w:rsid w:val="00270543"/>
    <w:rsid w:val="00272EE9"/>
    <w:rsid w:val="00274181"/>
    <w:rsid w:val="002753FC"/>
    <w:rsid w:val="002759FC"/>
    <w:rsid w:val="00275B24"/>
    <w:rsid w:val="00276456"/>
    <w:rsid w:val="002765DE"/>
    <w:rsid w:val="00277318"/>
    <w:rsid w:val="0027763E"/>
    <w:rsid w:val="002778C3"/>
    <w:rsid w:val="00277A81"/>
    <w:rsid w:val="00277E89"/>
    <w:rsid w:val="002804C2"/>
    <w:rsid w:val="00281716"/>
    <w:rsid w:val="002820EB"/>
    <w:rsid w:val="00282207"/>
    <w:rsid w:val="002827B8"/>
    <w:rsid w:val="00282A2C"/>
    <w:rsid w:val="00282E00"/>
    <w:rsid w:val="00283FAA"/>
    <w:rsid w:val="00284E03"/>
    <w:rsid w:val="00284FD6"/>
    <w:rsid w:val="0028604F"/>
    <w:rsid w:val="00286C5D"/>
    <w:rsid w:val="00290077"/>
    <w:rsid w:val="002901F7"/>
    <w:rsid w:val="0029062E"/>
    <w:rsid w:val="00290BCC"/>
    <w:rsid w:val="002912BB"/>
    <w:rsid w:val="002916B0"/>
    <w:rsid w:val="0029183C"/>
    <w:rsid w:val="00291935"/>
    <w:rsid w:val="00291ABB"/>
    <w:rsid w:val="0029211F"/>
    <w:rsid w:val="0029306F"/>
    <w:rsid w:val="00293681"/>
    <w:rsid w:val="00293A4E"/>
    <w:rsid w:val="00293A8A"/>
    <w:rsid w:val="00294491"/>
    <w:rsid w:val="002945FE"/>
    <w:rsid w:val="0029482B"/>
    <w:rsid w:val="00294B53"/>
    <w:rsid w:val="00294D27"/>
    <w:rsid w:val="002952A4"/>
    <w:rsid w:val="0029705F"/>
    <w:rsid w:val="00297999"/>
    <w:rsid w:val="002979A1"/>
    <w:rsid w:val="00297DDA"/>
    <w:rsid w:val="002A040D"/>
    <w:rsid w:val="002A06F3"/>
    <w:rsid w:val="002A078C"/>
    <w:rsid w:val="002A0A7E"/>
    <w:rsid w:val="002A0D8D"/>
    <w:rsid w:val="002A0E8C"/>
    <w:rsid w:val="002A17B8"/>
    <w:rsid w:val="002A2549"/>
    <w:rsid w:val="002A2CDA"/>
    <w:rsid w:val="002A31D3"/>
    <w:rsid w:val="002A3756"/>
    <w:rsid w:val="002A39A3"/>
    <w:rsid w:val="002A567A"/>
    <w:rsid w:val="002A5B86"/>
    <w:rsid w:val="002A6954"/>
    <w:rsid w:val="002A6A16"/>
    <w:rsid w:val="002A6FF5"/>
    <w:rsid w:val="002A7402"/>
    <w:rsid w:val="002B0469"/>
    <w:rsid w:val="002B06C0"/>
    <w:rsid w:val="002B0DFE"/>
    <w:rsid w:val="002B0F9A"/>
    <w:rsid w:val="002B130C"/>
    <w:rsid w:val="002B13AB"/>
    <w:rsid w:val="002B1C16"/>
    <w:rsid w:val="002B1D0D"/>
    <w:rsid w:val="002B2BA6"/>
    <w:rsid w:val="002B2D52"/>
    <w:rsid w:val="002B3211"/>
    <w:rsid w:val="002B3D76"/>
    <w:rsid w:val="002B3FC2"/>
    <w:rsid w:val="002B4028"/>
    <w:rsid w:val="002B4A61"/>
    <w:rsid w:val="002B6106"/>
    <w:rsid w:val="002B669D"/>
    <w:rsid w:val="002B6F3B"/>
    <w:rsid w:val="002B75C0"/>
    <w:rsid w:val="002C035B"/>
    <w:rsid w:val="002C16FA"/>
    <w:rsid w:val="002C2B14"/>
    <w:rsid w:val="002C2C52"/>
    <w:rsid w:val="002C2D29"/>
    <w:rsid w:val="002C30B2"/>
    <w:rsid w:val="002C34C1"/>
    <w:rsid w:val="002C3DEB"/>
    <w:rsid w:val="002C3E00"/>
    <w:rsid w:val="002C3E6E"/>
    <w:rsid w:val="002C41CA"/>
    <w:rsid w:val="002C48CA"/>
    <w:rsid w:val="002C4902"/>
    <w:rsid w:val="002C59EE"/>
    <w:rsid w:val="002C5A06"/>
    <w:rsid w:val="002C5E33"/>
    <w:rsid w:val="002C61DB"/>
    <w:rsid w:val="002C655D"/>
    <w:rsid w:val="002C68BD"/>
    <w:rsid w:val="002C691C"/>
    <w:rsid w:val="002C6D2C"/>
    <w:rsid w:val="002C6F46"/>
    <w:rsid w:val="002C7983"/>
    <w:rsid w:val="002D00AD"/>
    <w:rsid w:val="002D1061"/>
    <w:rsid w:val="002D1DCD"/>
    <w:rsid w:val="002D225F"/>
    <w:rsid w:val="002D2A52"/>
    <w:rsid w:val="002D2E53"/>
    <w:rsid w:val="002D301A"/>
    <w:rsid w:val="002D3616"/>
    <w:rsid w:val="002D3B12"/>
    <w:rsid w:val="002D41C5"/>
    <w:rsid w:val="002D456A"/>
    <w:rsid w:val="002D48F9"/>
    <w:rsid w:val="002D4ED8"/>
    <w:rsid w:val="002D5823"/>
    <w:rsid w:val="002D6896"/>
    <w:rsid w:val="002E0C7F"/>
    <w:rsid w:val="002E0CB6"/>
    <w:rsid w:val="002E15F8"/>
    <w:rsid w:val="002E1D86"/>
    <w:rsid w:val="002E2863"/>
    <w:rsid w:val="002E2D24"/>
    <w:rsid w:val="002E41A4"/>
    <w:rsid w:val="002E52A2"/>
    <w:rsid w:val="002E5DDB"/>
    <w:rsid w:val="002E638A"/>
    <w:rsid w:val="002E7020"/>
    <w:rsid w:val="002E7561"/>
    <w:rsid w:val="002E7B71"/>
    <w:rsid w:val="002F0641"/>
    <w:rsid w:val="002F09D2"/>
    <w:rsid w:val="002F0DD0"/>
    <w:rsid w:val="002F0E90"/>
    <w:rsid w:val="002F10C8"/>
    <w:rsid w:val="002F1C19"/>
    <w:rsid w:val="002F25D1"/>
    <w:rsid w:val="002F3B01"/>
    <w:rsid w:val="002F437C"/>
    <w:rsid w:val="002F4A81"/>
    <w:rsid w:val="002F4C33"/>
    <w:rsid w:val="002F516A"/>
    <w:rsid w:val="002F6DBE"/>
    <w:rsid w:val="002F7359"/>
    <w:rsid w:val="003007D1"/>
    <w:rsid w:val="003011D4"/>
    <w:rsid w:val="003024D8"/>
    <w:rsid w:val="00302639"/>
    <w:rsid w:val="00302C8F"/>
    <w:rsid w:val="0030347B"/>
    <w:rsid w:val="0030403A"/>
    <w:rsid w:val="003045CD"/>
    <w:rsid w:val="00305379"/>
    <w:rsid w:val="003055FD"/>
    <w:rsid w:val="00305B9D"/>
    <w:rsid w:val="00305C9D"/>
    <w:rsid w:val="00305E4D"/>
    <w:rsid w:val="003063B3"/>
    <w:rsid w:val="00306B24"/>
    <w:rsid w:val="003071DE"/>
    <w:rsid w:val="003075A9"/>
    <w:rsid w:val="003076C7"/>
    <w:rsid w:val="0030771B"/>
    <w:rsid w:val="00310471"/>
    <w:rsid w:val="003104A3"/>
    <w:rsid w:val="00310E81"/>
    <w:rsid w:val="003118C7"/>
    <w:rsid w:val="003128DC"/>
    <w:rsid w:val="00313164"/>
    <w:rsid w:val="0031403F"/>
    <w:rsid w:val="00314683"/>
    <w:rsid w:val="00315A3C"/>
    <w:rsid w:val="00315BDD"/>
    <w:rsid w:val="00315F22"/>
    <w:rsid w:val="00315FF7"/>
    <w:rsid w:val="0031644D"/>
    <w:rsid w:val="003165DD"/>
    <w:rsid w:val="0031667F"/>
    <w:rsid w:val="00316A27"/>
    <w:rsid w:val="003170F0"/>
    <w:rsid w:val="00317177"/>
    <w:rsid w:val="00317B9B"/>
    <w:rsid w:val="003205E7"/>
    <w:rsid w:val="003206B9"/>
    <w:rsid w:val="00320B7B"/>
    <w:rsid w:val="0032129C"/>
    <w:rsid w:val="00321511"/>
    <w:rsid w:val="00321C26"/>
    <w:rsid w:val="00323330"/>
    <w:rsid w:val="0032405C"/>
    <w:rsid w:val="003250C9"/>
    <w:rsid w:val="003253B2"/>
    <w:rsid w:val="00325CD1"/>
    <w:rsid w:val="00327833"/>
    <w:rsid w:val="003279CB"/>
    <w:rsid w:val="00330333"/>
    <w:rsid w:val="003303B0"/>
    <w:rsid w:val="00330F2D"/>
    <w:rsid w:val="003319AE"/>
    <w:rsid w:val="00331D0F"/>
    <w:rsid w:val="00331E74"/>
    <w:rsid w:val="00331FA2"/>
    <w:rsid w:val="0033206F"/>
    <w:rsid w:val="003322F3"/>
    <w:rsid w:val="0033262E"/>
    <w:rsid w:val="00334CCA"/>
    <w:rsid w:val="00334F82"/>
    <w:rsid w:val="00334F88"/>
    <w:rsid w:val="00336346"/>
    <w:rsid w:val="00337BEC"/>
    <w:rsid w:val="00337D83"/>
    <w:rsid w:val="00341429"/>
    <w:rsid w:val="00341688"/>
    <w:rsid w:val="00341D16"/>
    <w:rsid w:val="003421CD"/>
    <w:rsid w:val="0034251F"/>
    <w:rsid w:val="003437E1"/>
    <w:rsid w:val="00344F86"/>
    <w:rsid w:val="0034508B"/>
    <w:rsid w:val="003451F5"/>
    <w:rsid w:val="0034536E"/>
    <w:rsid w:val="003454DD"/>
    <w:rsid w:val="00345F22"/>
    <w:rsid w:val="00345FBA"/>
    <w:rsid w:val="00346222"/>
    <w:rsid w:val="00346707"/>
    <w:rsid w:val="00346CDC"/>
    <w:rsid w:val="003471FF"/>
    <w:rsid w:val="003475B8"/>
    <w:rsid w:val="00347634"/>
    <w:rsid w:val="003478ED"/>
    <w:rsid w:val="003506C0"/>
    <w:rsid w:val="00351503"/>
    <w:rsid w:val="00351FA5"/>
    <w:rsid w:val="00352ACA"/>
    <w:rsid w:val="00353333"/>
    <w:rsid w:val="00353FC1"/>
    <w:rsid w:val="00355257"/>
    <w:rsid w:val="0035596F"/>
    <w:rsid w:val="00356209"/>
    <w:rsid w:val="00356E55"/>
    <w:rsid w:val="00360799"/>
    <w:rsid w:val="003607FA"/>
    <w:rsid w:val="00360947"/>
    <w:rsid w:val="00361024"/>
    <w:rsid w:val="003622CD"/>
    <w:rsid w:val="003628B4"/>
    <w:rsid w:val="00363154"/>
    <w:rsid w:val="0036319A"/>
    <w:rsid w:val="00363366"/>
    <w:rsid w:val="003649A0"/>
    <w:rsid w:val="00365005"/>
    <w:rsid w:val="003653D9"/>
    <w:rsid w:val="00366654"/>
    <w:rsid w:val="00366ACB"/>
    <w:rsid w:val="00366AE5"/>
    <w:rsid w:val="00367453"/>
    <w:rsid w:val="003677DA"/>
    <w:rsid w:val="00367899"/>
    <w:rsid w:val="00370D07"/>
    <w:rsid w:val="003715B0"/>
    <w:rsid w:val="00371A1E"/>
    <w:rsid w:val="00371F48"/>
    <w:rsid w:val="00372306"/>
    <w:rsid w:val="0037243B"/>
    <w:rsid w:val="0037272E"/>
    <w:rsid w:val="00373783"/>
    <w:rsid w:val="00373F72"/>
    <w:rsid w:val="0037412E"/>
    <w:rsid w:val="00374540"/>
    <w:rsid w:val="0037479F"/>
    <w:rsid w:val="00374A6C"/>
    <w:rsid w:val="003752A2"/>
    <w:rsid w:val="0037534B"/>
    <w:rsid w:val="003756BF"/>
    <w:rsid w:val="00376E51"/>
    <w:rsid w:val="00377124"/>
    <w:rsid w:val="00377820"/>
    <w:rsid w:val="00380019"/>
    <w:rsid w:val="003801E3"/>
    <w:rsid w:val="00381221"/>
    <w:rsid w:val="00381D29"/>
    <w:rsid w:val="003820B5"/>
    <w:rsid w:val="003828FF"/>
    <w:rsid w:val="00382E3D"/>
    <w:rsid w:val="0038347E"/>
    <w:rsid w:val="003835C6"/>
    <w:rsid w:val="00383CFE"/>
    <w:rsid w:val="00384AFD"/>
    <w:rsid w:val="0038665C"/>
    <w:rsid w:val="00386E45"/>
    <w:rsid w:val="003874A1"/>
    <w:rsid w:val="003902A6"/>
    <w:rsid w:val="00390821"/>
    <w:rsid w:val="00390D33"/>
    <w:rsid w:val="00391681"/>
    <w:rsid w:val="00391CE5"/>
    <w:rsid w:val="00393D80"/>
    <w:rsid w:val="00394334"/>
    <w:rsid w:val="00394648"/>
    <w:rsid w:val="003965FB"/>
    <w:rsid w:val="00397177"/>
    <w:rsid w:val="00397290"/>
    <w:rsid w:val="003972F0"/>
    <w:rsid w:val="00397463"/>
    <w:rsid w:val="00397AE7"/>
    <w:rsid w:val="003A0D8E"/>
    <w:rsid w:val="003A0F1B"/>
    <w:rsid w:val="003A0F94"/>
    <w:rsid w:val="003A17CB"/>
    <w:rsid w:val="003A1D9C"/>
    <w:rsid w:val="003A1E4E"/>
    <w:rsid w:val="003A3AC2"/>
    <w:rsid w:val="003A4143"/>
    <w:rsid w:val="003A469F"/>
    <w:rsid w:val="003A4884"/>
    <w:rsid w:val="003A4A79"/>
    <w:rsid w:val="003A4B46"/>
    <w:rsid w:val="003A4D74"/>
    <w:rsid w:val="003A6105"/>
    <w:rsid w:val="003A6163"/>
    <w:rsid w:val="003A656F"/>
    <w:rsid w:val="003A6C06"/>
    <w:rsid w:val="003A6E28"/>
    <w:rsid w:val="003A74E9"/>
    <w:rsid w:val="003A776F"/>
    <w:rsid w:val="003A7D10"/>
    <w:rsid w:val="003A7EF4"/>
    <w:rsid w:val="003B00B3"/>
    <w:rsid w:val="003B0625"/>
    <w:rsid w:val="003B12ED"/>
    <w:rsid w:val="003B3670"/>
    <w:rsid w:val="003B4592"/>
    <w:rsid w:val="003B5308"/>
    <w:rsid w:val="003B605E"/>
    <w:rsid w:val="003B625C"/>
    <w:rsid w:val="003B69D5"/>
    <w:rsid w:val="003B71FC"/>
    <w:rsid w:val="003B75C4"/>
    <w:rsid w:val="003B7AB1"/>
    <w:rsid w:val="003B7B0E"/>
    <w:rsid w:val="003C0110"/>
    <w:rsid w:val="003C05EA"/>
    <w:rsid w:val="003C05F4"/>
    <w:rsid w:val="003C0A21"/>
    <w:rsid w:val="003C1393"/>
    <w:rsid w:val="003C1B5F"/>
    <w:rsid w:val="003C256B"/>
    <w:rsid w:val="003C2805"/>
    <w:rsid w:val="003C36F6"/>
    <w:rsid w:val="003C3885"/>
    <w:rsid w:val="003C5354"/>
    <w:rsid w:val="003C61F0"/>
    <w:rsid w:val="003C701E"/>
    <w:rsid w:val="003C737E"/>
    <w:rsid w:val="003D03E6"/>
    <w:rsid w:val="003D0766"/>
    <w:rsid w:val="003D1401"/>
    <w:rsid w:val="003D21D6"/>
    <w:rsid w:val="003D23B9"/>
    <w:rsid w:val="003D358E"/>
    <w:rsid w:val="003D52B7"/>
    <w:rsid w:val="003D60BB"/>
    <w:rsid w:val="003D67BF"/>
    <w:rsid w:val="003D778B"/>
    <w:rsid w:val="003D78A8"/>
    <w:rsid w:val="003D7975"/>
    <w:rsid w:val="003D79A5"/>
    <w:rsid w:val="003DE32B"/>
    <w:rsid w:val="003E027E"/>
    <w:rsid w:val="003E0C01"/>
    <w:rsid w:val="003E148D"/>
    <w:rsid w:val="003E2704"/>
    <w:rsid w:val="003E32D9"/>
    <w:rsid w:val="003E34F1"/>
    <w:rsid w:val="003E3849"/>
    <w:rsid w:val="003E3B1D"/>
    <w:rsid w:val="003E54E9"/>
    <w:rsid w:val="003E55E6"/>
    <w:rsid w:val="003E6486"/>
    <w:rsid w:val="003E7AC4"/>
    <w:rsid w:val="003F18C9"/>
    <w:rsid w:val="003F191B"/>
    <w:rsid w:val="003F25FC"/>
    <w:rsid w:val="003F29A3"/>
    <w:rsid w:val="003F3302"/>
    <w:rsid w:val="003F511B"/>
    <w:rsid w:val="003F6004"/>
    <w:rsid w:val="003F6ADD"/>
    <w:rsid w:val="003F735F"/>
    <w:rsid w:val="003F7644"/>
    <w:rsid w:val="003F7971"/>
    <w:rsid w:val="003F7DBB"/>
    <w:rsid w:val="003F7E9F"/>
    <w:rsid w:val="00400411"/>
    <w:rsid w:val="00400611"/>
    <w:rsid w:val="004015B2"/>
    <w:rsid w:val="004028CB"/>
    <w:rsid w:val="00402B9B"/>
    <w:rsid w:val="00402FB6"/>
    <w:rsid w:val="004032AD"/>
    <w:rsid w:val="00403549"/>
    <w:rsid w:val="00403857"/>
    <w:rsid w:val="00404C20"/>
    <w:rsid w:val="00404DE2"/>
    <w:rsid w:val="00404F33"/>
    <w:rsid w:val="0040678A"/>
    <w:rsid w:val="004067BD"/>
    <w:rsid w:val="00407646"/>
    <w:rsid w:val="004076C7"/>
    <w:rsid w:val="00407CA5"/>
    <w:rsid w:val="0041018E"/>
    <w:rsid w:val="004101AB"/>
    <w:rsid w:val="004124D8"/>
    <w:rsid w:val="00413412"/>
    <w:rsid w:val="004137B1"/>
    <w:rsid w:val="004139E3"/>
    <w:rsid w:val="004142E7"/>
    <w:rsid w:val="00414439"/>
    <w:rsid w:val="00414662"/>
    <w:rsid w:val="0041477F"/>
    <w:rsid w:val="00414798"/>
    <w:rsid w:val="00414D61"/>
    <w:rsid w:val="0041555E"/>
    <w:rsid w:val="00415974"/>
    <w:rsid w:val="00416C4A"/>
    <w:rsid w:val="00416EA6"/>
    <w:rsid w:val="00416EC3"/>
    <w:rsid w:val="00417FFD"/>
    <w:rsid w:val="00420ED9"/>
    <w:rsid w:val="00421200"/>
    <w:rsid w:val="004233DE"/>
    <w:rsid w:val="00423895"/>
    <w:rsid w:val="004238D4"/>
    <w:rsid w:val="00424C78"/>
    <w:rsid w:val="00425D51"/>
    <w:rsid w:val="004263F9"/>
    <w:rsid w:val="00426C80"/>
    <w:rsid w:val="00426E1E"/>
    <w:rsid w:val="00426E83"/>
    <w:rsid w:val="00427AA7"/>
    <w:rsid w:val="00427C5C"/>
    <w:rsid w:val="00430580"/>
    <w:rsid w:val="00430AD4"/>
    <w:rsid w:val="00430EAB"/>
    <w:rsid w:val="0043161A"/>
    <w:rsid w:val="00431730"/>
    <w:rsid w:val="00431804"/>
    <w:rsid w:val="00431BA2"/>
    <w:rsid w:val="0043259F"/>
    <w:rsid w:val="0043514B"/>
    <w:rsid w:val="00435223"/>
    <w:rsid w:val="00435418"/>
    <w:rsid w:val="00435DFA"/>
    <w:rsid w:val="004362D7"/>
    <w:rsid w:val="00436335"/>
    <w:rsid w:val="00436EF1"/>
    <w:rsid w:val="00437555"/>
    <w:rsid w:val="004375A4"/>
    <w:rsid w:val="004377A3"/>
    <w:rsid w:val="004406E6"/>
    <w:rsid w:val="00440F35"/>
    <w:rsid w:val="00440FC2"/>
    <w:rsid w:val="00442902"/>
    <w:rsid w:val="00442BA4"/>
    <w:rsid w:val="00442C34"/>
    <w:rsid w:val="0044375E"/>
    <w:rsid w:val="00443790"/>
    <w:rsid w:val="00443D22"/>
    <w:rsid w:val="004450AD"/>
    <w:rsid w:val="00445300"/>
    <w:rsid w:val="00445759"/>
    <w:rsid w:val="00445C5B"/>
    <w:rsid w:val="00445E6D"/>
    <w:rsid w:val="004461C2"/>
    <w:rsid w:val="0044655B"/>
    <w:rsid w:val="00446761"/>
    <w:rsid w:val="00447436"/>
    <w:rsid w:val="00447997"/>
    <w:rsid w:val="00447E2C"/>
    <w:rsid w:val="00450A1D"/>
    <w:rsid w:val="00452B7A"/>
    <w:rsid w:val="00453C44"/>
    <w:rsid w:val="00453D79"/>
    <w:rsid w:val="00454DBF"/>
    <w:rsid w:val="00455453"/>
    <w:rsid w:val="00455F44"/>
    <w:rsid w:val="00456AED"/>
    <w:rsid w:val="00456BB2"/>
    <w:rsid w:val="00456F88"/>
    <w:rsid w:val="004572CF"/>
    <w:rsid w:val="00457813"/>
    <w:rsid w:val="00457AFB"/>
    <w:rsid w:val="00460903"/>
    <w:rsid w:val="00461828"/>
    <w:rsid w:val="00461BBF"/>
    <w:rsid w:val="0046267B"/>
    <w:rsid w:val="0046275A"/>
    <w:rsid w:val="00462A8C"/>
    <w:rsid w:val="00462E96"/>
    <w:rsid w:val="00463B12"/>
    <w:rsid w:val="00463FF3"/>
    <w:rsid w:val="0046452C"/>
    <w:rsid w:val="00464C79"/>
    <w:rsid w:val="004657A2"/>
    <w:rsid w:val="004657BA"/>
    <w:rsid w:val="0046663E"/>
    <w:rsid w:val="00466665"/>
    <w:rsid w:val="0046710E"/>
    <w:rsid w:val="00467460"/>
    <w:rsid w:val="00467875"/>
    <w:rsid w:val="00470303"/>
    <w:rsid w:val="004711D9"/>
    <w:rsid w:val="00471248"/>
    <w:rsid w:val="00471D9D"/>
    <w:rsid w:val="004725FB"/>
    <w:rsid w:val="0047335B"/>
    <w:rsid w:val="00474253"/>
    <w:rsid w:val="0047426E"/>
    <w:rsid w:val="00474352"/>
    <w:rsid w:val="00475690"/>
    <w:rsid w:val="00476982"/>
    <w:rsid w:val="00476C88"/>
    <w:rsid w:val="0047740F"/>
    <w:rsid w:val="00477DD7"/>
    <w:rsid w:val="00477FB0"/>
    <w:rsid w:val="0048078E"/>
    <w:rsid w:val="0048231B"/>
    <w:rsid w:val="0048302F"/>
    <w:rsid w:val="004834AD"/>
    <w:rsid w:val="00484B5A"/>
    <w:rsid w:val="00485075"/>
    <w:rsid w:val="0048563A"/>
    <w:rsid w:val="00485ADF"/>
    <w:rsid w:val="00485B77"/>
    <w:rsid w:val="00485CA3"/>
    <w:rsid w:val="00486FFC"/>
    <w:rsid w:val="00487951"/>
    <w:rsid w:val="00491359"/>
    <w:rsid w:val="00491738"/>
    <w:rsid w:val="004958E8"/>
    <w:rsid w:val="00495A93"/>
    <w:rsid w:val="004961B8"/>
    <w:rsid w:val="0049677E"/>
    <w:rsid w:val="0049748D"/>
    <w:rsid w:val="00497539"/>
    <w:rsid w:val="004A14AF"/>
    <w:rsid w:val="004A1754"/>
    <w:rsid w:val="004A18FC"/>
    <w:rsid w:val="004A1AA1"/>
    <w:rsid w:val="004A1B64"/>
    <w:rsid w:val="004A1F43"/>
    <w:rsid w:val="004A2431"/>
    <w:rsid w:val="004A29CC"/>
    <w:rsid w:val="004A3218"/>
    <w:rsid w:val="004A362E"/>
    <w:rsid w:val="004A3991"/>
    <w:rsid w:val="004A3BA5"/>
    <w:rsid w:val="004A418E"/>
    <w:rsid w:val="004A458D"/>
    <w:rsid w:val="004A48E7"/>
    <w:rsid w:val="004A62DF"/>
    <w:rsid w:val="004A644C"/>
    <w:rsid w:val="004A67A4"/>
    <w:rsid w:val="004A68B2"/>
    <w:rsid w:val="004B0699"/>
    <w:rsid w:val="004B24B0"/>
    <w:rsid w:val="004B2BDB"/>
    <w:rsid w:val="004B3081"/>
    <w:rsid w:val="004B38E1"/>
    <w:rsid w:val="004B3F55"/>
    <w:rsid w:val="004B4AE9"/>
    <w:rsid w:val="004B5A4C"/>
    <w:rsid w:val="004B6FFD"/>
    <w:rsid w:val="004B7178"/>
    <w:rsid w:val="004C0854"/>
    <w:rsid w:val="004C0F5A"/>
    <w:rsid w:val="004C11B2"/>
    <w:rsid w:val="004C1E57"/>
    <w:rsid w:val="004C2027"/>
    <w:rsid w:val="004C211C"/>
    <w:rsid w:val="004C2D7E"/>
    <w:rsid w:val="004C4077"/>
    <w:rsid w:val="004C43DE"/>
    <w:rsid w:val="004C47C6"/>
    <w:rsid w:val="004C47F8"/>
    <w:rsid w:val="004C6605"/>
    <w:rsid w:val="004C6C3C"/>
    <w:rsid w:val="004C6D0E"/>
    <w:rsid w:val="004C6F43"/>
    <w:rsid w:val="004C76A7"/>
    <w:rsid w:val="004D00F4"/>
    <w:rsid w:val="004D03A0"/>
    <w:rsid w:val="004D042D"/>
    <w:rsid w:val="004D0C5D"/>
    <w:rsid w:val="004D202A"/>
    <w:rsid w:val="004D2417"/>
    <w:rsid w:val="004D26A6"/>
    <w:rsid w:val="004D3F47"/>
    <w:rsid w:val="004D43A7"/>
    <w:rsid w:val="004D43C7"/>
    <w:rsid w:val="004D44D2"/>
    <w:rsid w:val="004D48FB"/>
    <w:rsid w:val="004D616C"/>
    <w:rsid w:val="004D66B1"/>
    <w:rsid w:val="004D6DF1"/>
    <w:rsid w:val="004D72E0"/>
    <w:rsid w:val="004E0B37"/>
    <w:rsid w:val="004E1176"/>
    <w:rsid w:val="004E163A"/>
    <w:rsid w:val="004E1ECF"/>
    <w:rsid w:val="004E263D"/>
    <w:rsid w:val="004E2EEE"/>
    <w:rsid w:val="004E340D"/>
    <w:rsid w:val="004E4336"/>
    <w:rsid w:val="004E4462"/>
    <w:rsid w:val="004E49FC"/>
    <w:rsid w:val="004E4A95"/>
    <w:rsid w:val="004E533C"/>
    <w:rsid w:val="004E5790"/>
    <w:rsid w:val="004E7AC5"/>
    <w:rsid w:val="004F09A8"/>
    <w:rsid w:val="004F146D"/>
    <w:rsid w:val="004F1A48"/>
    <w:rsid w:val="004F1DE8"/>
    <w:rsid w:val="004F232E"/>
    <w:rsid w:val="004F326C"/>
    <w:rsid w:val="004F33A2"/>
    <w:rsid w:val="004F3473"/>
    <w:rsid w:val="004F36EF"/>
    <w:rsid w:val="004F3FD9"/>
    <w:rsid w:val="004F4447"/>
    <w:rsid w:val="004F53BB"/>
    <w:rsid w:val="004F563D"/>
    <w:rsid w:val="004F5C88"/>
    <w:rsid w:val="004F60DD"/>
    <w:rsid w:val="00500122"/>
    <w:rsid w:val="00500230"/>
    <w:rsid w:val="00501A17"/>
    <w:rsid w:val="0050209C"/>
    <w:rsid w:val="005024ED"/>
    <w:rsid w:val="005036A7"/>
    <w:rsid w:val="00504298"/>
    <w:rsid w:val="00504BFE"/>
    <w:rsid w:val="00504F1B"/>
    <w:rsid w:val="00505685"/>
    <w:rsid w:val="00505D81"/>
    <w:rsid w:val="0050634E"/>
    <w:rsid w:val="005064AE"/>
    <w:rsid w:val="0050692B"/>
    <w:rsid w:val="00507F22"/>
    <w:rsid w:val="0051017B"/>
    <w:rsid w:val="00512883"/>
    <w:rsid w:val="00512A39"/>
    <w:rsid w:val="00514865"/>
    <w:rsid w:val="005151D9"/>
    <w:rsid w:val="0051525B"/>
    <w:rsid w:val="0051530A"/>
    <w:rsid w:val="005157F0"/>
    <w:rsid w:val="00517A8F"/>
    <w:rsid w:val="00517B22"/>
    <w:rsid w:val="0052364A"/>
    <w:rsid w:val="00523DB8"/>
    <w:rsid w:val="005242D2"/>
    <w:rsid w:val="005243DD"/>
    <w:rsid w:val="005249CF"/>
    <w:rsid w:val="0052526F"/>
    <w:rsid w:val="00525394"/>
    <w:rsid w:val="005257F4"/>
    <w:rsid w:val="0052589D"/>
    <w:rsid w:val="00525B38"/>
    <w:rsid w:val="0052630E"/>
    <w:rsid w:val="00526404"/>
    <w:rsid w:val="0052779A"/>
    <w:rsid w:val="0053013E"/>
    <w:rsid w:val="00530D75"/>
    <w:rsid w:val="00531264"/>
    <w:rsid w:val="00532405"/>
    <w:rsid w:val="005332B3"/>
    <w:rsid w:val="0053335F"/>
    <w:rsid w:val="00533374"/>
    <w:rsid w:val="0053349C"/>
    <w:rsid w:val="005334F3"/>
    <w:rsid w:val="0053414C"/>
    <w:rsid w:val="00535680"/>
    <w:rsid w:val="0053576F"/>
    <w:rsid w:val="0053650D"/>
    <w:rsid w:val="005367F5"/>
    <w:rsid w:val="00536DD8"/>
    <w:rsid w:val="005374DD"/>
    <w:rsid w:val="00537FC7"/>
    <w:rsid w:val="005400D7"/>
    <w:rsid w:val="00541841"/>
    <w:rsid w:val="00542BF7"/>
    <w:rsid w:val="00542DFE"/>
    <w:rsid w:val="00546702"/>
    <w:rsid w:val="00546EED"/>
    <w:rsid w:val="0054719F"/>
    <w:rsid w:val="0054752D"/>
    <w:rsid w:val="00547EC1"/>
    <w:rsid w:val="00547FAF"/>
    <w:rsid w:val="00547FE7"/>
    <w:rsid w:val="0055047D"/>
    <w:rsid w:val="00550A29"/>
    <w:rsid w:val="005515D5"/>
    <w:rsid w:val="0055224C"/>
    <w:rsid w:val="00552681"/>
    <w:rsid w:val="0055326A"/>
    <w:rsid w:val="00553569"/>
    <w:rsid w:val="00553780"/>
    <w:rsid w:val="00553A49"/>
    <w:rsid w:val="00553C60"/>
    <w:rsid w:val="00553F05"/>
    <w:rsid w:val="005540CA"/>
    <w:rsid w:val="005542F8"/>
    <w:rsid w:val="00554D60"/>
    <w:rsid w:val="00554DDC"/>
    <w:rsid w:val="00555155"/>
    <w:rsid w:val="005553DA"/>
    <w:rsid w:val="005555BD"/>
    <w:rsid w:val="00555F0E"/>
    <w:rsid w:val="00556301"/>
    <w:rsid w:val="00557AB0"/>
    <w:rsid w:val="00560347"/>
    <w:rsid w:val="00560EFB"/>
    <w:rsid w:val="00561F63"/>
    <w:rsid w:val="00561FE2"/>
    <w:rsid w:val="00563774"/>
    <w:rsid w:val="00564126"/>
    <w:rsid w:val="005649D3"/>
    <w:rsid w:val="005654ED"/>
    <w:rsid w:val="00566827"/>
    <w:rsid w:val="0056791C"/>
    <w:rsid w:val="0057033C"/>
    <w:rsid w:val="00570564"/>
    <w:rsid w:val="0057097F"/>
    <w:rsid w:val="00570C05"/>
    <w:rsid w:val="00570CDA"/>
    <w:rsid w:val="0057165A"/>
    <w:rsid w:val="005734F1"/>
    <w:rsid w:val="00573745"/>
    <w:rsid w:val="00573E69"/>
    <w:rsid w:val="00573E8F"/>
    <w:rsid w:val="00574378"/>
    <w:rsid w:val="00577396"/>
    <w:rsid w:val="005776A2"/>
    <w:rsid w:val="00577E10"/>
    <w:rsid w:val="005803F0"/>
    <w:rsid w:val="005804E6"/>
    <w:rsid w:val="00582487"/>
    <w:rsid w:val="0058410C"/>
    <w:rsid w:val="00584E8F"/>
    <w:rsid w:val="005850CA"/>
    <w:rsid w:val="00585A8F"/>
    <w:rsid w:val="00585FF5"/>
    <w:rsid w:val="00586E40"/>
    <w:rsid w:val="005874CE"/>
    <w:rsid w:val="00587867"/>
    <w:rsid w:val="0059023E"/>
    <w:rsid w:val="00590A87"/>
    <w:rsid w:val="00590D56"/>
    <w:rsid w:val="00591954"/>
    <w:rsid w:val="0059265E"/>
    <w:rsid w:val="00592670"/>
    <w:rsid w:val="0059270B"/>
    <w:rsid w:val="0059331E"/>
    <w:rsid w:val="00593836"/>
    <w:rsid w:val="00594534"/>
    <w:rsid w:val="005954EF"/>
    <w:rsid w:val="00595B74"/>
    <w:rsid w:val="00596287"/>
    <w:rsid w:val="005968CB"/>
    <w:rsid w:val="0059709E"/>
    <w:rsid w:val="00597240"/>
    <w:rsid w:val="005974CF"/>
    <w:rsid w:val="00597AEE"/>
    <w:rsid w:val="005A0228"/>
    <w:rsid w:val="005A02E7"/>
    <w:rsid w:val="005A033F"/>
    <w:rsid w:val="005A2622"/>
    <w:rsid w:val="005A32A1"/>
    <w:rsid w:val="005A4344"/>
    <w:rsid w:val="005A43A4"/>
    <w:rsid w:val="005A4891"/>
    <w:rsid w:val="005A5058"/>
    <w:rsid w:val="005A74D9"/>
    <w:rsid w:val="005B0190"/>
    <w:rsid w:val="005B0201"/>
    <w:rsid w:val="005B08E7"/>
    <w:rsid w:val="005B19F1"/>
    <w:rsid w:val="005B1A00"/>
    <w:rsid w:val="005B1EE1"/>
    <w:rsid w:val="005B1EE3"/>
    <w:rsid w:val="005B27A9"/>
    <w:rsid w:val="005B27D3"/>
    <w:rsid w:val="005B27D9"/>
    <w:rsid w:val="005B3010"/>
    <w:rsid w:val="005B3D82"/>
    <w:rsid w:val="005B423B"/>
    <w:rsid w:val="005B4A01"/>
    <w:rsid w:val="005B4F1D"/>
    <w:rsid w:val="005B56C2"/>
    <w:rsid w:val="005B75CE"/>
    <w:rsid w:val="005C1B5B"/>
    <w:rsid w:val="005C2055"/>
    <w:rsid w:val="005C2456"/>
    <w:rsid w:val="005C2B54"/>
    <w:rsid w:val="005C431E"/>
    <w:rsid w:val="005C5061"/>
    <w:rsid w:val="005C52BA"/>
    <w:rsid w:val="005C5A2A"/>
    <w:rsid w:val="005C62F8"/>
    <w:rsid w:val="005C6852"/>
    <w:rsid w:val="005C77F3"/>
    <w:rsid w:val="005C7D49"/>
    <w:rsid w:val="005D0E22"/>
    <w:rsid w:val="005D15D1"/>
    <w:rsid w:val="005D15EC"/>
    <w:rsid w:val="005D1FA5"/>
    <w:rsid w:val="005D23CB"/>
    <w:rsid w:val="005D3285"/>
    <w:rsid w:val="005D32A7"/>
    <w:rsid w:val="005D33D9"/>
    <w:rsid w:val="005D3D69"/>
    <w:rsid w:val="005D4222"/>
    <w:rsid w:val="005D5605"/>
    <w:rsid w:val="005D578E"/>
    <w:rsid w:val="005D6F65"/>
    <w:rsid w:val="005D7015"/>
    <w:rsid w:val="005D795A"/>
    <w:rsid w:val="005D7D6F"/>
    <w:rsid w:val="005E0F70"/>
    <w:rsid w:val="005E1019"/>
    <w:rsid w:val="005E2235"/>
    <w:rsid w:val="005E22EA"/>
    <w:rsid w:val="005E3395"/>
    <w:rsid w:val="005E3676"/>
    <w:rsid w:val="005E3BF6"/>
    <w:rsid w:val="005E410C"/>
    <w:rsid w:val="005E4640"/>
    <w:rsid w:val="005E4974"/>
    <w:rsid w:val="005E519D"/>
    <w:rsid w:val="005E651D"/>
    <w:rsid w:val="005E683B"/>
    <w:rsid w:val="005E6CE0"/>
    <w:rsid w:val="005E792C"/>
    <w:rsid w:val="005F0AC6"/>
    <w:rsid w:val="005F0FAA"/>
    <w:rsid w:val="005F11EA"/>
    <w:rsid w:val="005F187F"/>
    <w:rsid w:val="005F19F1"/>
    <w:rsid w:val="005F1EED"/>
    <w:rsid w:val="005F25DA"/>
    <w:rsid w:val="005F2D5D"/>
    <w:rsid w:val="005F2F1A"/>
    <w:rsid w:val="005F363E"/>
    <w:rsid w:val="005F3948"/>
    <w:rsid w:val="005F3CF4"/>
    <w:rsid w:val="005F3D69"/>
    <w:rsid w:val="005F4500"/>
    <w:rsid w:val="005F4659"/>
    <w:rsid w:val="005F5675"/>
    <w:rsid w:val="005F5805"/>
    <w:rsid w:val="006001F8"/>
    <w:rsid w:val="00600C5E"/>
    <w:rsid w:val="00601900"/>
    <w:rsid w:val="00601D91"/>
    <w:rsid w:val="00602067"/>
    <w:rsid w:val="0060305C"/>
    <w:rsid w:val="00603272"/>
    <w:rsid w:val="00603D23"/>
    <w:rsid w:val="00604366"/>
    <w:rsid w:val="0060445A"/>
    <w:rsid w:val="006044C4"/>
    <w:rsid w:val="0060457E"/>
    <w:rsid w:val="00605054"/>
    <w:rsid w:val="00605460"/>
    <w:rsid w:val="00605803"/>
    <w:rsid w:val="00605B5D"/>
    <w:rsid w:val="006064DC"/>
    <w:rsid w:val="00606B23"/>
    <w:rsid w:val="00607B03"/>
    <w:rsid w:val="00607C74"/>
    <w:rsid w:val="00607E36"/>
    <w:rsid w:val="00610E28"/>
    <w:rsid w:val="006116D7"/>
    <w:rsid w:val="00611AF5"/>
    <w:rsid w:val="006128B1"/>
    <w:rsid w:val="00612DFC"/>
    <w:rsid w:val="00614554"/>
    <w:rsid w:val="00614CBD"/>
    <w:rsid w:val="006151F4"/>
    <w:rsid w:val="006152C2"/>
    <w:rsid w:val="006158E2"/>
    <w:rsid w:val="00615C4D"/>
    <w:rsid w:val="00615FB0"/>
    <w:rsid w:val="00616595"/>
    <w:rsid w:val="00616790"/>
    <w:rsid w:val="00616A6D"/>
    <w:rsid w:val="00616BC2"/>
    <w:rsid w:val="00616DF9"/>
    <w:rsid w:val="00617A0E"/>
    <w:rsid w:val="00620701"/>
    <w:rsid w:val="006215B0"/>
    <w:rsid w:val="00622CDB"/>
    <w:rsid w:val="0062358A"/>
    <w:rsid w:val="00623848"/>
    <w:rsid w:val="0062418A"/>
    <w:rsid w:val="006249AE"/>
    <w:rsid w:val="00625417"/>
    <w:rsid w:val="00625746"/>
    <w:rsid w:val="0062697A"/>
    <w:rsid w:val="00627695"/>
    <w:rsid w:val="0063000B"/>
    <w:rsid w:val="0063044E"/>
    <w:rsid w:val="006309DE"/>
    <w:rsid w:val="006311D3"/>
    <w:rsid w:val="00631480"/>
    <w:rsid w:val="0063217D"/>
    <w:rsid w:val="006322E6"/>
    <w:rsid w:val="006325F1"/>
    <w:rsid w:val="00632F29"/>
    <w:rsid w:val="00633611"/>
    <w:rsid w:val="00633681"/>
    <w:rsid w:val="00635AEB"/>
    <w:rsid w:val="00637061"/>
    <w:rsid w:val="006374B0"/>
    <w:rsid w:val="006400C1"/>
    <w:rsid w:val="006406D2"/>
    <w:rsid w:val="00640D58"/>
    <w:rsid w:val="006412DE"/>
    <w:rsid w:val="00642F67"/>
    <w:rsid w:val="006436CA"/>
    <w:rsid w:val="00643A3C"/>
    <w:rsid w:val="006448F2"/>
    <w:rsid w:val="006455C9"/>
    <w:rsid w:val="0064589F"/>
    <w:rsid w:val="00646042"/>
    <w:rsid w:val="00646EBE"/>
    <w:rsid w:val="00647BD5"/>
    <w:rsid w:val="00647D6E"/>
    <w:rsid w:val="00650A13"/>
    <w:rsid w:val="00651FAA"/>
    <w:rsid w:val="00652B82"/>
    <w:rsid w:val="006542FD"/>
    <w:rsid w:val="00654667"/>
    <w:rsid w:val="00654DA5"/>
    <w:rsid w:val="00654F59"/>
    <w:rsid w:val="00654FCD"/>
    <w:rsid w:val="00655027"/>
    <w:rsid w:val="0065519F"/>
    <w:rsid w:val="00655C10"/>
    <w:rsid w:val="00655E35"/>
    <w:rsid w:val="006568AA"/>
    <w:rsid w:val="00656929"/>
    <w:rsid w:val="00657BF8"/>
    <w:rsid w:val="00660549"/>
    <w:rsid w:val="00661198"/>
    <w:rsid w:val="006625B7"/>
    <w:rsid w:val="00662F12"/>
    <w:rsid w:val="0066367E"/>
    <w:rsid w:val="00664890"/>
    <w:rsid w:val="00664E62"/>
    <w:rsid w:val="00664F1B"/>
    <w:rsid w:val="00666510"/>
    <w:rsid w:val="00666813"/>
    <w:rsid w:val="006670C2"/>
    <w:rsid w:val="0066743C"/>
    <w:rsid w:val="0066770D"/>
    <w:rsid w:val="00671289"/>
    <w:rsid w:val="00671967"/>
    <w:rsid w:val="00672B33"/>
    <w:rsid w:val="00673696"/>
    <w:rsid w:val="00674BA1"/>
    <w:rsid w:val="0067581B"/>
    <w:rsid w:val="00677166"/>
    <w:rsid w:val="00677EBB"/>
    <w:rsid w:val="00680768"/>
    <w:rsid w:val="00681136"/>
    <w:rsid w:val="0068163A"/>
    <w:rsid w:val="00682047"/>
    <w:rsid w:val="00682993"/>
    <w:rsid w:val="00682BD9"/>
    <w:rsid w:val="00682D05"/>
    <w:rsid w:val="00682E7A"/>
    <w:rsid w:val="0068388A"/>
    <w:rsid w:val="00683D6F"/>
    <w:rsid w:val="006841C6"/>
    <w:rsid w:val="00685377"/>
    <w:rsid w:val="0068613E"/>
    <w:rsid w:val="006861CE"/>
    <w:rsid w:val="00686DF3"/>
    <w:rsid w:val="006879E5"/>
    <w:rsid w:val="00687C9C"/>
    <w:rsid w:val="00690F92"/>
    <w:rsid w:val="006910FE"/>
    <w:rsid w:val="00692105"/>
    <w:rsid w:val="006938B9"/>
    <w:rsid w:val="00694562"/>
    <w:rsid w:val="0069544A"/>
    <w:rsid w:val="006954ED"/>
    <w:rsid w:val="00696A56"/>
    <w:rsid w:val="00696CAE"/>
    <w:rsid w:val="00696F25"/>
    <w:rsid w:val="006A0810"/>
    <w:rsid w:val="006A0CE0"/>
    <w:rsid w:val="006A0F7D"/>
    <w:rsid w:val="006A1106"/>
    <w:rsid w:val="006A1252"/>
    <w:rsid w:val="006A175E"/>
    <w:rsid w:val="006A1901"/>
    <w:rsid w:val="006A19AF"/>
    <w:rsid w:val="006A1D5D"/>
    <w:rsid w:val="006A216C"/>
    <w:rsid w:val="006A3507"/>
    <w:rsid w:val="006A3993"/>
    <w:rsid w:val="006A3999"/>
    <w:rsid w:val="006A3AD4"/>
    <w:rsid w:val="006A4157"/>
    <w:rsid w:val="006A44C1"/>
    <w:rsid w:val="006A5177"/>
    <w:rsid w:val="006A561B"/>
    <w:rsid w:val="006B05D0"/>
    <w:rsid w:val="006B072C"/>
    <w:rsid w:val="006B07CA"/>
    <w:rsid w:val="006B17BD"/>
    <w:rsid w:val="006B1BB8"/>
    <w:rsid w:val="006B291F"/>
    <w:rsid w:val="006B2B59"/>
    <w:rsid w:val="006B2C6F"/>
    <w:rsid w:val="006B3BB2"/>
    <w:rsid w:val="006B4069"/>
    <w:rsid w:val="006B4A04"/>
    <w:rsid w:val="006B76D8"/>
    <w:rsid w:val="006C020C"/>
    <w:rsid w:val="006C0253"/>
    <w:rsid w:val="006C0329"/>
    <w:rsid w:val="006C0688"/>
    <w:rsid w:val="006C1AB6"/>
    <w:rsid w:val="006C2603"/>
    <w:rsid w:val="006C2997"/>
    <w:rsid w:val="006C3CBC"/>
    <w:rsid w:val="006C3E1F"/>
    <w:rsid w:val="006C4A90"/>
    <w:rsid w:val="006C4B67"/>
    <w:rsid w:val="006C5140"/>
    <w:rsid w:val="006C556B"/>
    <w:rsid w:val="006C64F1"/>
    <w:rsid w:val="006C6C46"/>
    <w:rsid w:val="006C6E6A"/>
    <w:rsid w:val="006D01FB"/>
    <w:rsid w:val="006D1040"/>
    <w:rsid w:val="006D12A6"/>
    <w:rsid w:val="006D136D"/>
    <w:rsid w:val="006D16BC"/>
    <w:rsid w:val="006D39B3"/>
    <w:rsid w:val="006D4356"/>
    <w:rsid w:val="006D4530"/>
    <w:rsid w:val="006D4990"/>
    <w:rsid w:val="006D55E6"/>
    <w:rsid w:val="006D664F"/>
    <w:rsid w:val="006D7B83"/>
    <w:rsid w:val="006D7C13"/>
    <w:rsid w:val="006E0BC4"/>
    <w:rsid w:val="006E0CA5"/>
    <w:rsid w:val="006E15E3"/>
    <w:rsid w:val="006E2504"/>
    <w:rsid w:val="006E5311"/>
    <w:rsid w:val="006E570A"/>
    <w:rsid w:val="006E5A97"/>
    <w:rsid w:val="006E5D9D"/>
    <w:rsid w:val="006E7555"/>
    <w:rsid w:val="006E7B2A"/>
    <w:rsid w:val="006E7EC3"/>
    <w:rsid w:val="006E7F46"/>
    <w:rsid w:val="006F06B3"/>
    <w:rsid w:val="006F09FF"/>
    <w:rsid w:val="006F0A8D"/>
    <w:rsid w:val="006F10AE"/>
    <w:rsid w:val="006F1EF0"/>
    <w:rsid w:val="006F28D8"/>
    <w:rsid w:val="006F2B66"/>
    <w:rsid w:val="006F2D32"/>
    <w:rsid w:val="006F310B"/>
    <w:rsid w:val="006F321F"/>
    <w:rsid w:val="006F3BBA"/>
    <w:rsid w:val="006F3E1E"/>
    <w:rsid w:val="006F4081"/>
    <w:rsid w:val="006F5EE2"/>
    <w:rsid w:val="006F65E7"/>
    <w:rsid w:val="006F6A46"/>
    <w:rsid w:val="006F6F93"/>
    <w:rsid w:val="006F733E"/>
    <w:rsid w:val="006F7405"/>
    <w:rsid w:val="0070007A"/>
    <w:rsid w:val="0070030A"/>
    <w:rsid w:val="007014B9"/>
    <w:rsid w:val="0070216E"/>
    <w:rsid w:val="00702304"/>
    <w:rsid w:val="00703A14"/>
    <w:rsid w:val="00703BE8"/>
    <w:rsid w:val="007043AF"/>
    <w:rsid w:val="00705C0C"/>
    <w:rsid w:val="00706178"/>
    <w:rsid w:val="00706522"/>
    <w:rsid w:val="00707745"/>
    <w:rsid w:val="007101E5"/>
    <w:rsid w:val="0071114D"/>
    <w:rsid w:val="007111C9"/>
    <w:rsid w:val="007115B7"/>
    <w:rsid w:val="00712414"/>
    <w:rsid w:val="007129D8"/>
    <w:rsid w:val="00713469"/>
    <w:rsid w:val="00714AE5"/>
    <w:rsid w:val="00714B8C"/>
    <w:rsid w:val="007161E0"/>
    <w:rsid w:val="0071654D"/>
    <w:rsid w:val="007166DA"/>
    <w:rsid w:val="0071689D"/>
    <w:rsid w:val="00716E10"/>
    <w:rsid w:val="00717CF3"/>
    <w:rsid w:val="00717CFA"/>
    <w:rsid w:val="00717F22"/>
    <w:rsid w:val="0072022A"/>
    <w:rsid w:val="00720DA7"/>
    <w:rsid w:val="007220FF"/>
    <w:rsid w:val="00723465"/>
    <w:rsid w:val="00723824"/>
    <w:rsid w:val="007238DA"/>
    <w:rsid w:val="0072449F"/>
    <w:rsid w:val="00724A8D"/>
    <w:rsid w:val="007258B5"/>
    <w:rsid w:val="0072639C"/>
    <w:rsid w:val="00727A34"/>
    <w:rsid w:val="00727F6B"/>
    <w:rsid w:val="007300F5"/>
    <w:rsid w:val="00730B0A"/>
    <w:rsid w:val="00730BC1"/>
    <w:rsid w:val="00730F8E"/>
    <w:rsid w:val="007312D8"/>
    <w:rsid w:val="007320E8"/>
    <w:rsid w:val="00732A51"/>
    <w:rsid w:val="00732C8A"/>
    <w:rsid w:val="00733C32"/>
    <w:rsid w:val="00734B50"/>
    <w:rsid w:val="00735B03"/>
    <w:rsid w:val="00735E21"/>
    <w:rsid w:val="00736FEB"/>
    <w:rsid w:val="0073759A"/>
    <w:rsid w:val="0073775F"/>
    <w:rsid w:val="007378C8"/>
    <w:rsid w:val="00740C3A"/>
    <w:rsid w:val="00740C6F"/>
    <w:rsid w:val="007411D2"/>
    <w:rsid w:val="0074122B"/>
    <w:rsid w:val="00741654"/>
    <w:rsid w:val="007419D7"/>
    <w:rsid w:val="0074381D"/>
    <w:rsid w:val="0074459B"/>
    <w:rsid w:val="00744840"/>
    <w:rsid w:val="00746155"/>
    <w:rsid w:val="00746E18"/>
    <w:rsid w:val="007470FA"/>
    <w:rsid w:val="007477E3"/>
    <w:rsid w:val="00747AF5"/>
    <w:rsid w:val="00747DEE"/>
    <w:rsid w:val="00747DF8"/>
    <w:rsid w:val="0075016C"/>
    <w:rsid w:val="007506C5"/>
    <w:rsid w:val="007507F5"/>
    <w:rsid w:val="00750939"/>
    <w:rsid w:val="00751822"/>
    <w:rsid w:val="007520FC"/>
    <w:rsid w:val="007536B3"/>
    <w:rsid w:val="007538CF"/>
    <w:rsid w:val="00754CBC"/>
    <w:rsid w:val="00754CC5"/>
    <w:rsid w:val="00754CF2"/>
    <w:rsid w:val="00754F0B"/>
    <w:rsid w:val="007552D7"/>
    <w:rsid w:val="00755F34"/>
    <w:rsid w:val="007566DA"/>
    <w:rsid w:val="00760037"/>
    <w:rsid w:val="00760DD1"/>
    <w:rsid w:val="00761611"/>
    <w:rsid w:val="00761EA1"/>
    <w:rsid w:val="007621B1"/>
    <w:rsid w:val="00762B0E"/>
    <w:rsid w:val="00763E8B"/>
    <w:rsid w:val="00764350"/>
    <w:rsid w:val="0076523A"/>
    <w:rsid w:val="00765A23"/>
    <w:rsid w:val="00765CAF"/>
    <w:rsid w:val="00765E9D"/>
    <w:rsid w:val="007666F1"/>
    <w:rsid w:val="007702D8"/>
    <w:rsid w:val="007703C7"/>
    <w:rsid w:val="00770EA2"/>
    <w:rsid w:val="00770EED"/>
    <w:rsid w:val="007711E0"/>
    <w:rsid w:val="007716C6"/>
    <w:rsid w:val="00772856"/>
    <w:rsid w:val="00772C11"/>
    <w:rsid w:val="00772EBC"/>
    <w:rsid w:val="007731A2"/>
    <w:rsid w:val="007732DB"/>
    <w:rsid w:val="00773C05"/>
    <w:rsid w:val="00773EEE"/>
    <w:rsid w:val="00774209"/>
    <w:rsid w:val="00774595"/>
    <w:rsid w:val="00774683"/>
    <w:rsid w:val="0077554C"/>
    <w:rsid w:val="007758D0"/>
    <w:rsid w:val="00775A39"/>
    <w:rsid w:val="007768E1"/>
    <w:rsid w:val="00776AF2"/>
    <w:rsid w:val="007770A3"/>
    <w:rsid w:val="00777123"/>
    <w:rsid w:val="00777B0B"/>
    <w:rsid w:val="00780211"/>
    <w:rsid w:val="00780B62"/>
    <w:rsid w:val="00780D5A"/>
    <w:rsid w:val="007826A4"/>
    <w:rsid w:val="007828A5"/>
    <w:rsid w:val="00783A6C"/>
    <w:rsid w:val="00783C9F"/>
    <w:rsid w:val="00785B8A"/>
    <w:rsid w:val="00786A3D"/>
    <w:rsid w:val="00786E69"/>
    <w:rsid w:val="00787262"/>
    <w:rsid w:val="0078761C"/>
    <w:rsid w:val="007909A4"/>
    <w:rsid w:val="00791275"/>
    <w:rsid w:val="00791F13"/>
    <w:rsid w:val="00791FCC"/>
    <w:rsid w:val="0079297A"/>
    <w:rsid w:val="00792F0C"/>
    <w:rsid w:val="0079311B"/>
    <w:rsid w:val="00793470"/>
    <w:rsid w:val="00793E9F"/>
    <w:rsid w:val="00794066"/>
    <w:rsid w:val="007943E1"/>
    <w:rsid w:val="00794DEA"/>
    <w:rsid w:val="0079718C"/>
    <w:rsid w:val="0079724D"/>
    <w:rsid w:val="007974D9"/>
    <w:rsid w:val="007A0E49"/>
    <w:rsid w:val="007A12F1"/>
    <w:rsid w:val="007A4B82"/>
    <w:rsid w:val="007A4F6E"/>
    <w:rsid w:val="007B1C7F"/>
    <w:rsid w:val="007B20AD"/>
    <w:rsid w:val="007B2209"/>
    <w:rsid w:val="007B2C6B"/>
    <w:rsid w:val="007B2E44"/>
    <w:rsid w:val="007B33D7"/>
    <w:rsid w:val="007B43D2"/>
    <w:rsid w:val="007B567B"/>
    <w:rsid w:val="007B5E25"/>
    <w:rsid w:val="007B617D"/>
    <w:rsid w:val="007C0518"/>
    <w:rsid w:val="007C1658"/>
    <w:rsid w:val="007C2016"/>
    <w:rsid w:val="007C2F53"/>
    <w:rsid w:val="007C33CA"/>
    <w:rsid w:val="007C39A2"/>
    <w:rsid w:val="007C4148"/>
    <w:rsid w:val="007C4692"/>
    <w:rsid w:val="007C532B"/>
    <w:rsid w:val="007C533B"/>
    <w:rsid w:val="007C6A68"/>
    <w:rsid w:val="007C6E7D"/>
    <w:rsid w:val="007C71E9"/>
    <w:rsid w:val="007C7520"/>
    <w:rsid w:val="007D1C85"/>
    <w:rsid w:val="007D27FA"/>
    <w:rsid w:val="007D399A"/>
    <w:rsid w:val="007D3A1A"/>
    <w:rsid w:val="007D64A8"/>
    <w:rsid w:val="007D73CA"/>
    <w:rsid w:val="007E02D1"/>
    <w:rsid w:val="007E19E4"/>
    <w:rsid w:val="007E24E2"/>
    <w:rsid w:val="007E269F"/>
    <w:rsid w:val="007E2815"/>
    <w:rsid w:val="007E293B"/>
    <w:rsid w:val="007E2EE7"/>
    <w:rsid w:val="007E2FA0"/>
    <w:rsid w:val="007E36E5"/>
    <w:rsid w:val="007E3D57"/>
    <w:rsid w:val="007E4E8A"/>
    <w:rsid w:val="007E5CE6"/>
    <w:rsid w:val="007E6BC2"/>
    <w:rsid w:val="007E6BE9"/>
    <w:rsid w:val="007E7320"/>
    <w:rsid w:val="007E743D"/>
    <w:rsid w:val="007E7C2C"/>
    <w:rsid w:val="007F056E"/>
    <w:rsid w:val="007F0FBB"/>
    <w:rsid w:val="007F1573"/>
    <w:rsid w:val="007F15D5"/>
    <w:rsid w:val="007F1BF9"/>
    <w:rsid w:val="007F1DAE"/>
    <w:rsid w:val="007F4849"/>
    <w:rsid w:val="007F5793"/>
    <w:rsid w:val="007F5CB5"/>
    <w:rsid w:val="007F5D2A"/>
    <w:rsid w:val="007F631C"/>
    <w:rsid w:val="007F652E"/>
    <w:rsid w:val="007F6B86"/>
    <w:rsid w:val="007F7182"/>
    <w:rsid w:val="007F7C18"/>
    <w:rsid w:val="007F7D42"/>
    <w:rsid w:val="007F7F5F"/>
    <w:rsid w:val="008006F5"/>
    <w:rsid w:val="00800CC2"/>
    <w:rsid w:val="00800D7D"/>
    <w:rsid w:val="00802489"/>
    <w:rsid w:val="0080278E"/>
    <w:rsid w:val="008032C7"/>
    <w:rsid w:val="00804CBF"/>
    <w:rsid w:val="00804F2D"/>
    <w:rsid w:val="00806132"/>
    <w:rsid w:val="0080687A"/>
    <w:rsid w:val="00806D51"/>
    <w:rsid w:val="00806D68"/>
    <w:rsid w:val="0080730A"/>
    <w:rsid w:val="00807D93"/>
    <w:rsid w:val="00810965"/>
    <w:rsid w:val="00810B58"/>
    <w:rsid w:val="00810C8F"/>
    <w:rsid w:val="00811829"/>
    <w:rsid w:val="00811D84"/>
    <w:rsid w:val="0081247E"/>
    <w:rsid w:val="00813AA1"/>
    <w:rsid w:val="008142AE"/>
    <w:rsid w:val="0081450C"/>
    <w:rsid w:val="008149D2"/>
    <w:rsid w:val="00814AA9"/>
    <w:rsid w:val="00814B49"/>
    <w:rsid w:val="008163CD"/>
    <w:rsid w:val="00816407"/>
    <w:rsid w:val="00817172"/>
    <w:rsid w:val="0081763B"/>
    <w:rsid w:val="0081773B"/>
    <w:rsid w:val="008200A8"/>
    <w:rsid w:val="00821061"/>
    <w:rsid w:val="00822257"/>
    <w:rsid w:val="0082234D"/>
    <w:rsid w:val="0082296A"/>
    <w:rsid w:val="00823440"/>
    <w:rsid w:val="00823EB4"/>
    <w:rsid w:val="00824976"/>
    <w:rsid w:val="00824C41"/>
    <w:rsid w:val="00824E07"/>
    <w:rsid w:val="00824E43"/>
    <w:rsid w:val="00825036"/>
    <w:rsid w:val="008251B6"/>
    <w:rsid w:val="008253FB"/>
    <w:rsid w:val="008256F2"/>
    <w:rsid w:val="00825957"/>
    <w:rsid w:val="008261D9"/>
    <w:rsid w:val="00826868"/>
    <w:rsid w:val="00826C13"/>
    <w:rsid w:val="0082719A"/>
    <w:rsid w:val="0082775C"/>
    <w:rsid w:val="008300C6"/>
    <w:rsid w:val="008304B6"/>
    <w:rsid w:val="00830B13"/>
    <w:rsid w:val="00831D0A"/>
    <w:rsid w:val="00831F90"/>
    <w:rsid w:val="00832F95"/>
    <w:rsid w:val="00833244"/>
    <w:rsid w:val="00833AC0"/>
    <w:rsid w:val="00833E15"/>
    <w:rsid w:val="00834EA8"/>
    <w:rsid w:val="0083552F"/>
    <w:rsid w:val="008360FE"/>
    <w:rsid w:val="00836B60"/>
    <w:rsid w:val="008377F2"/>
    <w:rsid w:val="00841765"/>
    <w:rsid w:val="008418F2"/>
    <w:rsid w:val="00842817"/>
    <w:rsid w:val="00843A34"/>
    <w:rsid w:val="008443D8"/>
    <w:rsid w:val="00844D19"/>
    <w:rsid w:val="00845BDD"/>
    <w:rsid w:val="00845D67"/>
    <w:rsid w:val="00845DE8"/>
    <w:rsid w:val="00845E60"/>
    <w:rsid w:val="0084683D"/>
    <w:rsid w:val="00846F6E"/>
    <w:rsid w:val="008508AA"/>
    <w:rsid w:val="00851BF9"/>
    <w:rsid w:val="00852F04"/>
    <w:rsid w:val="00852F85"/>
    <w:rsid w:val="008533A5"/>
    <w:rsid w:val="008535BC"/>
    <w:rsid w:val="00853A7E"/>
    <w:rsid w:val="00853F89"/>
    <w:rsid w:val="00854113"/>
    <w:rsid w:val="0085501C"/>
    <w:rsid w:val="00855375"/>
    <w:rsid w:val="008558BD"/>
    <w:rsid w:val="00856D81"/>
    <w:rsid w:val="00857148"/>
    <w:rsid w:val="00857721"/>
    <w:rsid w:val="008606C2"/>
    <w:rsid w:val="00860E6E"/>
    <w:rsid w:val="008610DC"/>
    <w:rsid w:val="00861553"/>
    <w:rsid w:val="00861A60"/>
    <w:rsid w:val="00861A74"/>
    <w:rsid w:val="00861C5B"/>
    <w:rsid w:val="0086288C"/>
    <w:rsid w:val="00862E0C"/>
    <w:rsid w:val="00862F58"/>
    <w:rsid w:val="00863779"/>
    <w:rsid w:val="00863A3A"/>
    <w:rsid w:val="008640D0"/>
    <w:rsid w:val="008641F8"/>
    <w:rsid w:val="0086477B"/>
    <w:rsid w:val="00864E82"/>
    <w:rsid w:val="00864EB2"/>
    <w:rsid w:val="00867B72"/>
    <w:rsid w:val="00867D36"/>
    <w:rsid w:val="00867EF7"/>
    <w:rsid w:val="008700C6"/>
    <w:rsid w:val="0087058D"/>
    <w:rsid w:val="00871373"/>
    <w:rsid w:val="00871BF4"/>
    <w:rsid w:val="00871CF4"/>
    <w:rsid w:val="0087218E"/>
    <w:rsid w:val="00872417"/>
    <w:rsid w:val="0087245C"/>
    <w:rsid w:val="00873808"/>
    <w:rsid w:val="0087463A"/>
    <w:rsid w:val="00874B90"/>
    <w:rsid w:val="00874F6C"/>
    <w:rsid w:val="008756BE"/>
    <w:rsid w:val="008768BF"/>
    <w:rsid w:val="00876967"/>
    <w:rsid w:val="00876C1C"/>
    <w:rsid w:val="00876E28"/>
    <w:rsid w:val="00876E4F"/>
    <w:rsid w:val="00876E86"/>
    <w:rsid w:val="00880099"/>
    <w:rsid w:val="00880FD4"/>
    <w:rsid w:val="00881881"/>
    <w:rsid w:val="00881D59"/>
    <w:rsid w:val="00882379"/>
    <w:rsid w:val="008835BF"/>
    <w:rsid w:val="00884280"/>
    <w:rsid w:val="00884A2B"/>
    <w:rsid w:val="00885214"/>
    <w:rsid w:val="00885620"/>
    <w:rsid w:val="0088590A"/>
    <w:rsid w:val="00886E5D"/>
    <w:rsid w:val="008873EA"/>
    <w:rsid w:val="00887598"/>
    <w:rsid w:val="0088780E"/>
    <w:rsid w:val="00887F43"/>
    <w:rsid w:val="00890BA6"/>
    <w:rsid w:val="00891ECA"/>
    <w:rsid w:val="008925A5"/>
    <w:rsid w:val="0089260F"/>
    <w:rsid w:val="00892771"/>
    <w:rsid w:val="00892F6B"/>
    <w:rsid w:val="00895679"/>
    <w:rsid w:val="00895D68"/>
    <w:rsid w:val="00895DCE"/>
    <w:rsid w:val="00896855"/>
    <w:rsid w:val="008968D1"/>
    <w:rsid w:val="008972CB"/>
    <w:rsid w:val="00897647"/>
    <w:rsid w:val="00897FA9"/>
    <w:rsid w:val="008A0025"/>
    <w:rsid w:val="008A0205"/>
    <w:rsid w:val="008A064A"/>
    <w:rsid w:val="008A0B13"/>
    <w:rsid w:val="008A0EC5"/>
    <w:rsid w:val="008A10E9"/>
    <w:rsid w:val="008A1CDE"/>
    <w:rsid w:val="008A24B1"/>
    <w:rsid w:val="008A25E8"/>
    <w:rsid w:val="008A2E69"/>
    <w:rsid w:val="008A3116"/>
    <w:rsid w:val="008A328A"/>
    <w:rsid w:val="008A32F3"/>
    <w:rsid w:val="008A350F"/>
    <w:rsid w:val="008A45D1"/>
    <w:rsid w:val="008A479C"/>
    <w:rsid w:val="008A48A7"/>
    <w:rsid w:val="008A4FA5"/>
    <w:rsid w:val="008A558B"/>
    <w:rsid w:val="008A56AD"/>
    <w:rsid w:val="008A57FF"/>
    <w:rsid w:val="008A62C6"/>
    <w:rsid w:val="008A64AF"/>
    <w:rsid w:val="008A66BA"/>
    <w:rsid w:val="008A673A"/>
    <w:rsid w:val="008A6E54"/>
    <w:rsid w:val="008A7445"/>
    <w:rsid w:val="008A7738"/>
    <w:rsid w:val="008B162E"/>
    <w:rsid w:val="008B32EB"/>
    <w:rsid w:val="008B391D"/>
    <w:rsid w:val="008B5035"/>
    <w:rsid w:val="008B5719"/>
    <w:rsid w:val="008B6375"/>
    <w:rsid w:val="008B66BA"/>
    <w:rsid w:val="008B6F4F"/>
    <w:rsid w:val="008C0B4D"/>
    <w:rsid w:val="008C14D1"/>
    <w:rsid w:val="008C188E"/>
    <w:rsid w:val="008C1A97"/>
    <w:rsid w:val="008C2010"/>
    <w:rsid w:val="008C40BB"/>
    <w:rsid w:val="008C5F0E"/>
    <w:rsid w:val="008C6246"/>
    <w:rsid w:val="008C652F"/>
    <w:rsid w:val="008C7E86"/>
    <w:rsid w:val="008C7FAC"/>
    <w:rsid w:val="008D1340"/>
    <w:rsid w:val="008D1B9A"/>
    <w:rsid w:val="008D1BF0"/>
    <w:rsid w:val="008D45DE"/>
    <w:rsid w:val="008D4F14"/>
    <w:rsid w:val="008D62C3"/>
    <w:rsid w:val="008D71E5"/>
    <w:rsid w:val="008D77CF"/>
    <w:rsid w:val="008D7FC5"/>
    <w:rsid w:val="008E0ADD"/>
    <w:rsid w:val="008E0EC8"/>
    <w:rsid w:val="008E11B4"/>
    <w:rsid w:val="008E12CE"/>
    <w:rsid w:val="008E18FE"/>
    <w:rsid w:val="008E3704"/>
    <w:rsid w:val="008E388D"/>
    <w:rsid w:val="008E400B"/>
    <w:rsid w:val="008E4172"/>
    <w:rsid w:val="008E467C"/>
    <w:rsid w:val="008E4E54"/>
    <w:rsid w:val="008E5693"/>
    <w:rsid w:val="008E6CC2"/>
    <w:rsid w:val="008E7225"/>
    <w:rsid w:val="008E7472"/>
    <w:rsid w:val="008F0165"/>
    <w:rsid w:val="008F0841"/>
    <w:rsid w:val="008F099B"/>
    <w:rsid w:val="008F101E"/>
    <w:rsid w:val="008F1A4E"/>
    <w:rsid w:val="008F1C6F"/>
    <w:rsid w:val="008F22CD"/>
    <w:rsid w:val="008F3619"/>
    <w:rsid w:val="008F36EB"/>
    <w:rsid w:val="008F3967"/>
    <w:rsid w:val="008F3B35"/>
    <w:rsid w:val="008F436C"/>
    <w:rsid w:val="008F4B2E"/>
    <w:rsid w:val="008F55F8"/>
    <w:rsid w:val="008F63C1"/>
    <w:rsid w:val="008F7A9B"/>
    <w:rsid w:val="008F7B8C"/>
    <w:rsid w:val="0090032C"/>
    <w:rsid w:val="009005BD"/>
    <w:rsid w:val="00900658"/>
    <w:rsid w:val="009010D5"/>
    <w:rsid w:val="00902056"/>
    <w:rsid w:val="0090265C"/>
    <w:rsid w:val="009028D8"/>
    <w:rsid w:val="009029D4"/>
    <w:rsid w:val="00903D8F"/>
    <w:rsid w:val="00903FC8"/>
    <w:rsid w:val="00904EEF"/>
    <w:rsid w:val="009053C8"/>
    <w:rsid w:val="00906BA6"/>
    <w:rsid w:val="00907EAE"/>
    <w:rsid w:val="00910002"/>
    <w:rsid w:val="0091039E"/>
    <w:rsid w:val="00911235"/>
    <w:rsid w:val="00911FE8"/>
    <w:rsid w:val="00912818"/>
    <w:rsid w:val="00912948"/>
    <w:rsid w:val="0091308F"/>
    <w:rsid w:val="00913E9C"/>
    <w:rsid w:val="00914344"/>
    <w:rsid w:val="00914E6F"/>
    <w:rsid w:val="0091517C"/>
    <w:rsid w:val="009164F2"/>
    <w:rsid w:val="009169B0"/>
    <w:rsid w:val="009176CC"/>
    <w:rsid w:val="009177EB"/>
    <w:rsid w:val="009210F2"/>
    <w:rsid w:val="00921833"/>
    <w:rsid w:val="0092468E"/>
    <w:rsid w:val="00924A8F"/>
    <w:rsid w:val="00924E4B"/>
    <w:rsid w:val="00924E6A"/>
    <w:rsid w:val="00925A53"/>
    <w:rsid w:val="00925DD2"/>
    <w:rsid w:val="0092683E"/>
    <w:rsid w:val="009303D7"/>
    <w:rsid w:val="00930722"/>
    <w:rsid w:val="00930DC4"/>
    <w:rsid w:val="00931CA2"/>
    <w:rsid w:val="00932013"/>
    <w:rsid w:val="00932D82"/>
    <w:rsid w:val="0093363A"/>
    <w:rsid w:val="00933713"/>
    <w:rsid w:val="00933B56"/>
    <w:rsid w:val="009345C5"/>
    <w:rsid w:val="00934724"/>
    <w:rsid w:val="009347FF"/>
    <w:rsid w:val="00934A82"/>
    <w:rsid w:val="00935307"/>
    <w:rsid w:val="009354C5"/>
    <w:rsid w:val="009354C6"/>
    <w:rsid w:val="00935E38"/>
    <w:rsid w:val="00935E69"/>
    <w:rsid w:val="0093693D"/>
    <w:rsid w:val="00936B0C"/>
    <w:rsid w:val="009404F2"/>
    <w:rsid w:val="00940BC6"/>
    <w:rsid w:val="00940ED6"/>
    <w:rsid w:val="009410CF"/>
    <w:rsid w:val="009410DA"/>
    <w:rsid w:val="0094154F"/>
    <w:rsid w:val="009416FB"/>
    <w:rsid w:val="009422E1"/>
    <w:rsid w:val="00942454"/>
    <w:rsid w:val="00942923"/>
    <w:rsid w:val="00942F9C"/>
    <w:rsid w:val="0094312D"/>
    <w:rsid w:val="0094337C"/>
    <w:rsid w:val="00943C8B"/>
    <w:rsid w:val="0094456D"/>
    <w:rsid w:val="00944AF8"/>
    <w:rsid w:val="00945BDB"/>
    <w:rsid w:val="00945F74"/>
    <w:rsid w:val="00946276"/>
    <w:rsid w:val="009469FD"/>
    <w:rsid w:val="00946D14"/>
    <w:rsid w:val="009473C4"/>
    <w:rsid w:val="00947ED7"/>
    <w:rsid w:val="009505DC"/>
    <w:rsid w:val="00951655"/>
    <w:rsid w:val="0095173A"/>
    <w:rsid w:val="00951BB4"/>
    <w:rsid w:val="009520C8"/>
    <w:rsid w:val="00952436"/>
    <w:rsid w:val="009527EC"/>
    <w:rsid w:val="00952D12"/>
    <w:rsid w:val="009530E6"/>
    <w:rsid w:val="00953250"/>
    <w:rsid w:val="00954615"/>
    <w:rsid w:val="00955D18"/>
    <w:rsid w:val="00955D7A"/>
    <w:rsid w:val="0095672A"/>
    <w:rsid w:val="00956743"/>
    <w:rsid w:val="009569D6"/>
    <w:rsid w:val="0095789F"/>
    <w:rsid w:val="009607C3"/>
    <w:rsid w:val="00960A9E"/>
    <w:rsid w:val="00961784"/>
    <w:rsid w:val="00963345"/>
    <w:rsid w:val="00965DB0"/>
    <w:rsid w:val="009660F6"/>
    <w:rsid w:val="009671A9"/>
    <w:rsid w:val="0097060B"/>
    <w:rsid w:val="009709A8"/>
    <w:rsid w:val="00970E61"/>
    <w:rsid w:val="0097182B"/>
    <w:rsid w:val="009721A2"/>
    <w:rsid w:val="00972839"/>
    <w:rsid w:val="00973259"/>
    <w:rsid w:val="00973AAF"/>
    <w:rsid w:val="00973EA3"/>
    <w:rsid w:val="00974E4D"/>
    <w:rsid w:val="0097647D"/>
    <w:rsid w:val="0097657C"/>
    <w:rsid w:val="009767AB"/>
    <w:rsid w:val="009768E7"/>
    <w:rsid w:val="00976BC2"/>
    <w:rsid w:val="00976BFB"/>
    <w:rsid w:val="0097773B"/>
    <w:rsid w:val="009802BA"/>
    <w:rsid w:val="009804F5"/>
    <w:rsid w:val="0098135B"/>
    <w:rsid w:val="00981461"/>
    <w:rsid w:val="00981482"/>
    <w:rsid w:val="00981C5F"/>
    <w:rsid w:val="00981CB6"/>
    <w:rsid w:val="00981EBC"/>
    <w:rsid w:val="0098259C"/>
    <w:rsid w:val="00982A18"/>
    <w:rsid w:val="00983458"/>
    <w:rsid w:val="0098375E"/>
    <w:rsid w:val="00983D35"/>
    <w:rsid w:val="0098415C"/>
    <w:rsid w:val="00984E40"/>
    <w:rsid w:val="0098543D"/>
    <w:rsid w:val="009854A8"/>
    <w:rsid w:val="00986249"/>
    <w:rsid w:val="0098671F"/>
    <w:rsid w:val="00986A83"/>
    <w:rsid w:val="00990F17"/>
    <w:rsid w:val="00990F2F"/>
    <w:rsid w:val="00991130"/>
    <w:rsid w:val="00991CFD"/>
    <w:rsid w:val="00992794"/>
    <w:rsid w:val="0099288D"/>
    <w:rsid w:val="009934D1"/>
    <w:rsid w:val="00993C5C"/>
    <w:rsid w:val="0099445B"/>
    <w:rsid w:val="009967C6"/>
    <w:rsid w:val="00996ACD"/>
    <w:rsid w:val="00996DA4"/>
    <w:rsid w:val="009A0AED"/>
    <w:rsid w:val="009A1041"/>
    <w:rsid w:val="009A111F"/>
    <w:rsid w:val="009A1227"/>
    <w:rsid w:val="009A2885"/>
    <w:rsid w:val="009A2FAC"/>
    <w:rsid w:val="009A3062"/>
    <w:rsid w:val="009A3486"/>
    <w:rsid w:val="009A3A64"/>
    <w:rsid w:val="009A3FAE"/>
    <w:rsid w:val="009A40CE"/>
    <w:rsid w:val="009A471C"/>
    <w:rsid w:val="009A53D0"/>
    <w:rsid w:val="009A5487"/>
    <w:rsid w:val="009A553C"/>
    <w:rsid w:val="009A5887"/>
    <w:rsid w:val="009A5F56"/>
    <w:rsid w:val="009A640A"/>
    <w:rsid w:val="009A6DBA"/>
    <w:rsid w:val="009A73A6"/>
    <w:rsid w:val="009B0827"/>
    <w:rsid w:val="009B0E66"/>
    <w:rsid w:val="009B1291"/>
    <w:rsid w:val="009B1295"/>
    <w:rsid w:val="009B1C7C"/>
    <w:rsid w:val="009B1D68"/>
    <w:rsid w:val="009B238C"/>
    <w:rsid w:val="009B275E"/>
    <w:rsid w:val="009B343F"/>
    <w:rsid w:val="009B3469"/>
    <w:rsid w:val="009B34A9"/>
    <w:rsid w:val="009B3559"/>
    <w:rsid w:val="009B6144"/>
    <w:rsid w:val="009B66FA"/>
    <w:rsid w:val="009B6E2D"/>
    <w:rsid w:val="009B753B"/>
    <w:rsid w:val="009C064B"/>
    <w:rsid w:val="009C0BE2"/>
    <w:rsid w:val="009C0D4E"/>
    <w:rsid w:val="009C160D"/>
    <w:rsid w:val="009C2A0D"/>
    <w:rsid w:val="009C2F9A"/>
    <w:rsid w:val="009C3372"/>
    <w:rsid w:val="009C37E9"/>
    <w:rsid w:val="009C4905"/>
    <w:rsid w:val="009C51C0"/>
    <w:rsid w:val="009C54E0"/>
    <w:rsid w:val="009C5A0C"/>
    <w:rsid w:val="009C5D08"/>
    <w:rsid w:val="009C5D8E"/>
    <w:rsid w:val="009C6E01"/>
    <w:rsid w:val="009C75F3"/>
    <w:rsid w:val="009C7C67"/>
    <w:rsid w:val="009C7CDD"/>
    <w:rsid w:val="009D1147"/>
    <w:rsid w:val="009D137A"/>
    <w:rsid w:val="009D1692"/>
    <w:rsid w:val="009D1703"/>
    <w:rsid w:val="009D1EEB"/>
    <w:rsid w:val="009D25B5"/>
    <w:rsid w:val="009D2BC4"/>
    <w:rsid w:val="009D49CC"/>
    <w:rsid w:val="009D4D0E"/>
    <w:rsid w:val="009D4DE6"/>
    <w:rsid w:val="009D51A7"/>
    <w:rsid w:val="009D5B68"/>
    <w:rsid w:val="009D5B6E"/>
    <w:rsid w:val="009D6CCC"/>
    <w:rsid w:val="009D7662"/>
    <w:rsid w:val="009D770C"/>
    <w:rsid w:val="009E0B60"/>
    <w:rsid w:val="009E1DAB"/>
    <w:rsid w:val="009E1EF5"/>
    <w:rsid w:val="009E30BA"/>
    <w:rsid w:val="009E38D0"/>
    <w:rsid w:val="009E3D67"/>
    <w:rsid w:val="009E5275"/>
    <w:rsid w:val="009E5595"/>
    <w:rsid w:val="009E6B2E"/>
    <w:rsid w:val="009E7101"/>
    <w:rsid w:val="009E7301"/>
    <w:rsid w:val="009E766A"/>
    <w:rsid w:val="009E7998"/>
    <w:rsid w:val="009F036F"/>
    <w:rsid w:val="009F044A"/>
    <w:rsid w:val="009F0C32"/>
    <w:rsid w:val="009F0E5F"/>
    <w:rsid w:val="009F260C"/>
    <w:rsid w:val="009F2BA2"/>
    <w:rsid w:val="009F308B"/>
    <w:rsid w:val="009F347A"/>
    <w:rsid w:val="009F355B"/>
    <w:rsid w:val="009F3C3F"/>
    <w:rsid w:val="009F489D"/>
    <w:rsid w:val="009F4DDC"/>
    <w:rsid w:val="009F4F90"/>
    <w:rsid w:val="009F5B86"/>
    <w:rsid w:val="009F65F6"/>
    <w:rsid w:val="009F6647"/>
    <w:rsid w:val="009F6D9D"/>
    <w:rsid w:val="009F739C"/>
    <w:rsid w:val="009F7F23"/>
    <w:rsid w:val="00A008CA"/>
    <w:rsid w:val="00A01867"/>
    <w:rsid w:val="00A020E7"/>
    <w:rsid w:val="00A02B2F"/>
    <w:rsid w:val="00A02C1C"/>
    <w:rsid w:val="00A02F5F"/>
    <w:rsid w:val="00A03034"/>
    <w:rsid w:val="00A03370"/>
    <w:rsid w:val="00A03A6C"/>
    <w:rsid w:val="00A0422C"/>
    <w:rsid w:val="00A0449E"/>
    <w:rsid w:val="00A054F7"/>
    <w:rsid w:val="00A0733A"/>
    <w:rsid w:val="00A10048"/>
    <w:rsid w:val="00A108B0"/>
    <w:rsid w:val="00A11122"/>
    <w:rsid w:val="00A128DB"/>
    <w:rsid w:val="00A12F17"/>
    <w:rsid w:val="00A13B0C"/>
    <w:rsid w:val="00A14361"/>
    <w:rsid w:val="00A14C99"/>
    <w:rsid w:val="00A16996"/>
    <w:rsid w:val="00A17BC1"/>
    <w:rsid w:val="00A2227C"/>
    <w:rsid w:val="00A23739"/>
    <w:rsid w:val="00A24265"/>
    <w:rsid w:val="00A248D0"/>
    <w:rsid w:val="00A24B31"/>
    <w:rsid w:val="00A255CA"/>
    <w:rsid w:val="00A257BB"/>
    <w:rsid w:val="00A25D66"/>
    <w:rsid w:val="00A2620C"/>
    <w:rsid w:val="00A268AC"/>
    <w:rsid w:val="00A26904"/>
    <w:rsid w:val="00A26EE7"/>
    <w:rsid w:val="00A2718B"/>
    <w:rsid w:val="00A30A10"/>
    <w:rsid w:val="00A30C5E"/>
    <w:rsid w:val="00A316BB"/>
    <w:rsid w:val="00A31F20"/>
    <w:rsid w:val="00A32147"/>
    <w:rsid w:val="00A32E1A"/>
    <w:rsid w:val="00A3327A"/>
    <w:rsid w:val="00A337B9"/>
    <w:rsid w:val="00A33D92"/>
    <w:rsid w:val="00A34293"/>
    <w:rsid w:val="00A34828"/>
    <w:rsid w:val="00A3503D"/>
    <w:rsid w:val="00A35139"/>
    <w:rsid w:val="00A35CC6"/>
    <w:rsid w:val="00A35E2D"/>
    <w:rsid w:val="00A3642F"/>
    <w:rsid w:val="00A3652F"/>
    <w:rsid w:val="00A36755"/>
    <w:rsid w:val="00A36880"/>
    <w:rsid w:val="00A37749"/>
    <w:rsid w:val="00A42145"/>
    <w:rsid w:val="00A43B82"/>
    <w:rsid w:val="00A43BB5"/>
    <w:rsid w:val="00A43F2B"/>
    <w:rsid w:val="00A4547A"/>
    <w:rsid w:val="00A4568A"/>
    <w:rsid w:val="00A46746"/>
    <w:rsid w:val="00A473A1"/>
    <w:rsid w:val="00A47E4D"/>
    <w:rsid w:val="00A5123E"/>
    <w:rsid w:val="00A519D7"/>
    <w:rsid w:val="00A530ED"/>
    <w:rsid w:val="00A534C3"/>
    <w:rsid w:val="00A54D3D"/>
    <w:rsid w:val="00A55BB6"/>
    <w:rsid w:val="00A56B4A"/>
    <w:rsid w:val="00A576D1"/>
    <w:rsid w:val="00A576FD"/>
    <w:rsid w:val="00A57857"/>
    <w:rsid w:val="00A579E9"/>
    <w:rsid w:val="00A57C01"/>
    <w:rsid w:val="00A57FF6"/>
    <w:rsid w:val="00A6018B"/>
    <w:rsid w:val="00A610F4"/>
    <w:rsid w:val="00A61372"/>
    <w:rsid w:val="00A6194F"/>
    <w:rsid w:val="00A626B1"/>
    <w:rsid w:val="00A62854"/>
    <w:rsid w:val="00A62CF5"/>
    <w:rsid w:val="00A62F69"/>
    <w:rsid w:val="00A6307D"/>
    <w:rsid w:val="00A63441"/>
    <w:rsid w:val="00A63637"/>
    <w:rsid w:val="00A638E5"/>
    <w:rsid w:val="00A63BF6"/>
    <w:rsid w:val="00A6406C"/>
    <w:rsid w:val="00A653AB"/>
    <w:rsid w:val="00A65FEF"/>
    <w:rsid w:val="00A66030"/>
    <w:rsid w:val="00A660C8"/>
    <w:rsid w:val="00A664E8"/>
    <w:rsid w:val="00A71969"/>
    <w:rsid w:val="00A73EEB"/>
    <w:rsid w:val="00A741D4"/>
    <w:rsid w:val="00A7456B"/>
    <w:rsid w:val="00A754FC"/>
    <w:rsid w:val="00A75876"/>
    <w:rsid w:val="00A7599F"/>
    <w:rsid w:val="00A75ECC"/>
    <w:rsid w:val="00A76281"/>
    <w:rsid w:val="00A80387"/>
    <w:rsid w:val="00A80836"/>
    <w:rsid w:val="00A81533"/>
    <w:rsid w:val="00A8180B"/>
    <w:rsid w:val="00A81924"/>
    <w:rsid w:val="00A81B4F"/>
    <w:rsid w:val="00A821A9"/>
    <w:rsid w:val="00A82578"/>
    <w:rsid w:val="00A82870"/>
    <w:rsid w:val="00A82EF6"/>
    <w:rsid w:val="00A830BF"/>
    <w:rsid w:val="00A8318F"/>
    <w:rsid w:val="00A83EE9"/>
    <w:rsid w:val="00A8445D"/>
    <w:rsid w:val="00A85158"/>
    <w:rsid w:val="00A8562C"/>
    <w:rsid w:val="00A85D02"/>
    <w:rsid w:val="00A86C8C"/>
    <w:rsid w:val="00A86DD9"/>
    <w:rsid w:val="00A86E57"/>
    <w:rsid w:val="00A879A8"/>
    <w:rsid w:val="00A87AB8"/>
    <w:rsid w:val="00A87E05"/>
    <w:rsid w:val="00A90098"/>
    <w:rsid w:val="00A90363"/>
    <w:rsid w:val="00A92BD2"/>
    <w:rsid w:val="00A92D1E"/>
    <w:rsid w:val="00A93989"/>
    <w:rsid w:val="00A93A05"/>
    <w:rsid w:val="00A93B5E"/>
    <w:rsid w:val="00A93C63"/>
    <w:rsid w:val="00A94B4B"/>
    <w:rsid w:val="00A94E98"/>
    <w:rsid w:val="00A9528F"/>
    <w:rsid w:val="00A95AFB"/>
    <w:rsid w:val="00A9655F"/>
    <w:rsid w:val="00A978A9"/>
    <w:rsid w:val="00A97C30"/>
    <w:rsid w:val="00AA2633"/>
    <w:rsid w:val="00AA30BA"/>
    <w:rsid w:val="00AA330A"/>
    <w:rsid w:val="00AA4373"/>
    <w:rsid w:val="00AA46B4"/>
    <w:rsid w:val="00AA4CB3"/>
    <w:rsid w:val="00AA5439"/>
    <w:rsid w:val="00AA628A"/>
    <w:rsid w:val="00AA65AE"/>
    <w:rsid w:val="00AA7DD6"/>
    <w:rsid w:val="00AB01E4"/>
    <w:rsid w:val="00AB0C21"/>
    <w:rsid w:val="00AB1425"/>
    <w:rsid w:val="00AB21AD"/>
    <w:rsid w:val="00AB2598"/>
    <w:rsid w:val="00AB259E"/>
    <w:rsid w:val="00AB2D09"/>
    <w:rsid w:val="00AB34B0"/>
    <w:rsid w:val="00AB3C35"/>
    <w:rsid w:val="00AB471B"/>
    <w:rsid w:val="00AB4BE5"/>
    <w:rsid w:val="00AB4D58"/>
    <w:rsid w:val="00AB539B"/>
    <w:rsid w:val="00AB6259"/>
    <w:rsid w:val="00AB633F"/>
    <w:rsid w:val="00AB63E5"/>
    <w:rsid w:val="00AB6437"/>
    <w:rsid w:val="00AB7008"/>
    <w:rsid w:val="00AB7F31"/>
    <w:rsid w:val="00AC0036"/>
    <w:rsid w:val="00AC01D7"/>
    <w:rsid w:val="00AC0216"/>
    <w:rsid w:val="00AC0F6B"/>
    <w:rsid w:val="00AC2F3D"/>
    <w:rsid w:val="00AC330C"/>
    <w:rsid w:val="00AC34A1"/>
    <w:rsid w:val="00AC3E5D"/>
    <w:rsid w:val="00AC4FE7"/>
    <w:rsid w:val="00AC5305"/>
    <w:rsid w:val="00AC5A14"/>
    <w:rsid w:val="00AC7917"/>
    <w:rsid w:val="00AC7CEA"/>
    <w:rsid w:val="00AD095F"/>
    <w:rsid w:val="00AD0BCE"/>
    <w:rsid w:val="00AD0F5D"/>
    <w:rsid w:val="00AD0F89"/>
    <w:rsid w:val="00AD160A"/>
    <w:rsid w:val="00AD2138"/>
    <w:rsid w:val="00AD30CC"/>
    <w:rsid w:val="00AD31E4"/>
    <w:rsid w:val="00AD3283"/>
    <w:rsid w:val="00AD5626"/>
    <w:rsid w:val="00AD5DF3"/>
    <w:rsid w:val="00AD68DA"/>
    <w:rsid w:val="00AD7FF3"/>
    <w:rsid w:val="00AE05EA"/>
    <w:rsid w:val="00AE0B2A"/>
    <w:rsid w:val="00AE0B4C"/>
    <w:rsid w:val="00AE144F"/>
    <w:rsid w:val="00AE2DD3"/>
    <w:rsid w:val="00AE4640"/>
    <w:rsid w:val="00AE4ACB"/>
    <w:rsid w:val="00AE4DD9"/>
    <w:rsid w:val="00AE5350"/>
    <w:rsid w:val="00AE5A5A"/>
    <w:rsid w:val="00AE6114"/>
    <w:rsid w:val="00AE61BA"/>
    <w:rsid w:val="00AE65DB"/>
    <w:rsid w:val="00AE6DB7"/>
    <w:rsid w:val="00AE71F1"/>
    <w:rsid w:val="00AE75BA"/>
    <w:rsid w:val="00AE76F2"/>
    <w:rsid w:val="00AE7DBB"/>
    <w:rsid w:val="00AF0127"/>
    <w:rsid w:val="00AF04A5"/>
    <w:rsid w:val="00AF0AC9"/>
    <w:rsid w:val="00AF243C"/>
    <w:rsid w:val="00AF30FE"/>
    <w:rsid w:val="00AF34B5"/>
    <w:rsid w:val="00AF372B"/>
    <w:rsid w:val="00AF607B"/>
    <w:rsid w:val="00AF65DA"/>
    <w:rsid w:val="00AF6659"/>
    <w:rsid w:val="00AF6C3E"/>
    <w:rsid w:val="00AF70A5"/>
    <w:rsid w:val="00AF729C"/>
    <w:rsid w:val="00AF74F7"/>
    <w:rsid w:val="00AF78A6"/>
    <w:rsid w:val="00B00345"/>
    <w:rsid w:val="00B003FC"/>
    <w:rsid w:val="00B00F1D"/>
    <w:rsid w:val="00B0136F"/>
    <w:rsid w:val="00B01D0C"/>
    <w:rsid w:val="00B02088"/>
    <w:rsid w:val="00B0574A"/>
    <w:rsid w:val="00B07231"/>
    <w:rsid w:val="00B10A81"/>
    <w:rsid w:val="00B11D8A"/>
    <w:rsid w:val="00B122A4"/>
    <w:rsid w:val="00B12830"/>
    <w:rsid w:val="00B12EDE"/>
    <w:rsid w:val="00B141E1"/>
    <w:rsid w:val="00B14288"/>
    <w:rsid w:val="00B14626"/>
    <w:rsid w:val="00B147CA"/>
    <w:rsid w:val="00B14DA5"/>
    <w:rsid w:val="00B16246"/>
    <w:rsid w:val="00B16AB5"/>
    <w:rsid w:val="00B16FF1"/>
    <w:rsid w:val="00B1722B"/>
    <w:rsid w:val="00B17336"/>
    <w:rsid w:val="00B1748D"/>
    <w:rsid w:val="00B1783F"/>
    <w:rsid w:val="00B17E4C"/>
    <w:rsid w:val="00B203B9"/>
    <w:rsid w:val="00B20815"/>
    <w:rsid w:val="00B20851"/>
    <w:rsid w:val="00B2089B"/>
    <w:rsid w:val="00B20FB4"/>
    <w:rsid w:val="00B211F5"/>
    <w:rsid w:val="00B22460"/>
    <w:rsid w:val="00B22DE6"/>
    <w:rsid w:val="00B23249"/>
    <w:rsid w:val="00B23852"/>
    <w:rsid w:val="00B238AF"/>
    <w:rsid w:val="00B23BC7"/>
    <w:rsid w:val="00B2440B"/>
    <w:rsid w:val="00B245E6"/>
    <w:rsid w:val="00B24D98"/>
    <w:rsid w:val="00B24F6C"/>
    <w:rsid w:val="00B25446"/>
    <w:rsid w:val="00B2563F"/>
    <w:rsid w:val="00B25F2D"/>
    <w:rsid w:val="00B27CE5"/>
    <w:rsid w:val="00B30353"/>
    <w:rsid w:val="00B31146"/>
    <w:rsid w:val="00B31505"/>
    <w:rsid w:val="00B31A24"/>
    <w:rsid w:val="00B31C57"/>
    <w:rsid w:val="00B32F9D"/>
    <w:rsid w:val="00B3306A"/>
    <w:rsid w:val="00B34CB9"/>
    <w:rsid w:val="00B357DB"/>
    <w:rsid w:val="00B36A33"/>
    <w:rsid w:val="00B36A3F"/>
    <w:rsid w:val="00B377DE"/>
    <w:rsid w:val="00B40A67"/>
    <w:rsid w:val="00B40EEE"/>
    <w:rsid w:val="00B41E55"/>
    <w:rsid w:val="00B429E8"/>
    <w:rsid w:val="00B433CD"/>
    <w:rsid w:val="00B436D2"/>
    <w:rsid w:val="00B438EB"/>
    <w:rsid w:val="00B4390C"/>
    <w:rsid w:val="00B43B10"/>
    <w:rsid w:val="00B43B27"/>
    <w:rsid w:val="00B43E0E"/>
    <w:rsid w:val="00B43EF0"/>
    <w:rsid w:val="00B44AC0"/>
    <w:rsid w:val="00B45600"/>
    <w:rsid w:val="00B45714"/>
    <w:rsid w:val="00B45AED"/>
    <w:rsid w:val="00B46668"/>
    <w:rsid w:val="00B500F2"/>
    <w:rsid w:val="00B50D1F"/>
    <w:rsid w:val="00B50E60"/>
    <w:rsid w:val="00B511FD"/>
    <w:rsid w:val="00B51F9F"/>
    <w:rsid w:val="00B51FB4"/>
    <w:rsid w:val="00B520BF"/>
    <w:rsid w:val="00B52D17"/>
    <w:rsid w:val="00B53555"/>
    <w:rsid w:val="00B541B2"/>
    <w:rsid w:val="00B5465A"/>
    <w:rsid w:val="00B55082"/>
    <w:rsid w:val="00B56437"/>
    <w:rsid w:val="00B56BA9"/>
    <w:rsid w:val="00B56C13"/>
    <w:rsid w:val="00B572EA"/>
    <w:rsid w:val="00B57FDC"/>
    <w:rsid w:val="00B6165D"/>
    <w:rsid w:val="00B6191C"/>
    <w:rsid w:val="00B62295"/>
    <w:rsid w:val="00B622E7"/>
    <w:rsid w:val="00B62A01"/>
    <w:rsid w:val="00B62C66"/>
    <w:rsid w:val="00B63FDC"/>
    <w:rsid w:val="00B64529"/>
    <w:rsid w:val="00B66B6D"/>
    <w:rsid w:val="00B670A1"/>
    <w:rsid w:val="00B67FD6"/>
    <w:rsid w:val="00B702B4"/>
    <w:rsid w:val="00B70753"/>
    <w:rsid w:val="00B71F50"/>
    <w:rsid w:val="00B71FE0"/>
    <w:rsid w:val="00B720D4"/>
    <w:rsid w:val="00B72222"/>
    <w:rsid w:val="00B7254A"/>
    <w:rsid w:val="00B725BC"/>
    <w:rsid w:val="00B72AED"/>
    <w:rsid w:val="00B735AE"/>
    <w:rsid w:val="00B73E64"/>
    <w:rsid w:val="00B742E3"/>
    <w:rsid w:val="00B75E3B"/>
    <w:rsid w:val="00B760E7"/>
    <w:rsid w:val="00B771F5"/>
    <w:rsid w:val="00B80713"/>
    <w:rsid w:val="00B8094F"/>
    <w:rsid w:val="00B80D88"/>
    <w:rsid w:val="00B82269"/>
    <w:rsid w:val="00B825E5"/>
    <w:rsid w:val="00B827D0"/>
    <w:rsid w:val="00B8286F"/>
    <w:rsid w:val="00B83298"/>
    <w:rsid w:val="00B8338C"/>
    <w:rsid w:val="00B83FF4"/>
    <w:rsid w:val="00B84191"/>
    <w:rsid w:val="00B84692"/>
    <w:rsid w:val="00B853AF"/>
    <w:rsid w:val="00B85409"/>
    <w:rsid w:val="00B8734A"/>
    <w:rsid w:val="00B87B65"/>
    <w:rsid w:val="00B90524"/>
    <w:rsid w:val="00B905C7"/>
    <w:rsid w:val="00B90BB4"/>
    <w:rsid w:val="00B91448"/>
    <w:rsid w:val="00B9196B"/>
    <w:rsid w:val="00B91AED"/>
    <w:rsid w:val="00B91B01"/>
    <w:rsid w:val="00B92112"/>
    <w:rsid w:val="00B92D3A"/>
    <w:rsid w:val="00B93A1C"/>
    <w:rsid w:val="00B94126"/>
    <w:rsid w:val="00B9699B"/>
    <w:rsid w:val="00B96A23"/>
    <w:rsid w:val="00B97038"/>
    <w:rsid w:val="00B974DC"/>
    <w:rsid w:val="00B97EDA"/>
    <w:rsid w:val="00B97F67"/>
    <w:rsid w:val="00BA0229"/>
    <w:rsid w:val="00BA05FA"/>
    <w:rsid w:val="00BA149D"/>
    <w:rsid w:val="00BA1905"/>
    <w:rsid w:val="00BA1997"/>
    <w:rsid w:val="00BA223A"/>
    <w:rsid w:val="00BA2B4B"/>
    <w:rsid w:val="00BA34D1"/>
    <w:rsid w:val="00BA3503"/>
    <w:rsid w:val="00BA3A8F"/>
    <w:rsid w:val="00BA3A95"/>
    <w:rsid w:val="00BA3EA0"/>
    <w:rsid w:val="00BA4869"/>
    <w:rsid w:val="00BA4DB5"/>
    <w:rsid w:val="00BA50F6"/>
    <w:rsid w:val="00BA5392"/>
    <w:rsid w:val="00BA60EF"/>
    <w:rsid w:val="00BA62F8"/>
    <w:rsid w:val="00BA68AE"/>
    <w:rsid w:val="00BA6DFA"/>
    <w:rsid w:val="00BA7472"/>
    <w:rsid w:val="00BA7B3D"/>
    <w:rsid w:val="00BA7C16"/>
    <w:rsid w:val="00BA7EBF"/>
    <w:rsid w:val="00BB0340"/>
    <w:rsid w:val="00BB104D"/>
    <w:rsid w:val="00BB1057"/>
    <w:rsid w:val="00BB207D"/>
    <w:rsid w:val="00BB2346"/>
    <w:rsid w:val="00BB2479"/>
    <w:rsid w:val="00BB49C0"/>
    <w:rsid w:val="00BB5A49"/>
    <w:rsid w:val="00BB62DD"/>
    <w:rsid w:val="00BB6609"/>
    <w:rsid w:val="00BB6C4C"/>
    <w:rsid w:val="00BB7280"/>
    <w:rsid w:val="00BB7516"/>
    <w:rsid w:val="00BB75A4"/>
    <w:rsid w:val="00BB782F"/>
    <w:rsid w:val="00BC0020"/>
    <w:rsid w:val="00BC159F"/>
    <w:rsid w:val="00BC345B"/>
    <w:rsid w:val="00BC3905"/>
    <w:rsid w:val="00BC39F9"/>
    <w:rsid w:val="00BC3BAE"/>
    <w:rsid w:val="00BC4503"/>
    <w:rsid w:val="00BC45DF"/>
    <w:rsid w:val="00BC4789"/>
    <w:rsid w:val="00BC4AB9"/>
    <w:rsid w:val="00BC53F7"/>
    <w:rsid w:val="00BC5AF3"/>
    <w:rsid w:val="00BC5B92"/>
    <w:rsid w:val="00BC610C"/>
    <w:rsid w:val="00BC6741"/>
    <w:rsid w:val="00BC7A9B"/>
    <w:rsid w:val="00BD1F01"/>
    <w:rsid w:val="00BD2311"/>
    <w:rsid w:val="00BD2719"/>
    <w:rsid w:val="00BD31BE"/>
    <w:rsid w:val="00BD3B8B"/>
    <w:rsid w:val="00BD42B6"/>
    <w:rsid w:val="00BD438E"/>
    <w:rsid w:val="00BD4534"/>
    <w:rsid w:val="00BD45A7"/>
    <w:rsid w:val="00BD70DE"/>
    <w:rsid w:val="00BD775D"/>
    <w:rsid w:val="00BD778D"/>
    <w:rsid w:val="00BD7997"/>
    <w:rsid w:val="00BD7E60"/>
    <w:rsid w:val="00BE0BBD"/>
    <w:rsid w:val="00BE2DF0"/>
    <w:rsid w:val="00BE3AC7"/>
    <w:rsid w:val="00BE3FF0"/>
    <w:rsid w:val="00BE4657"/>
    <w:rsid w:val="00BE6180"/>
    <w:rsid w:val="00BE667C"/>
    <w:rsid w:val="00BE760D"/>
    <w:rsid w:val="00BE767A"/>
    <w:rsid w:val="00BE7911"/>
    <w:rsid w:val="00BE7E1F"/>
    <w:rsid w:val="00BF05A2"/>
    <w:rsid w:val="00BF0BC2"/>
    <w:rsid w:val="00BF12A0"/>
    <w:rsid w:val="00BF13B3"/>
    <w:rsid w:val="00BF295D"/>
    <w:rsid w:val="00BF429C"/>
    <w:rsid w:val="00BF488E"/>
    <w:rsid w:val="00BF48AF"/>
    <w:rsid w:val="00BF6599"/>
    <w:rsid w:val="00BF6612"/>
    <w:rsid w:val="00BF6A6A"/>
    <w:rsid w:val="00BF6E46"/>
    <w:rsid w:val="00BF72C3"/>
    <w:rsid w:val="00BF7657"/>
    <w:rsid w:val="00C00091"/>
    <w:rsid w:val="00C00391"/>
    <w:rsid w:val="00C003A4"/>
    <w:rsid w:val="00C00578"/>
    <w:rsid w:val="00C007C7"/>
    <w:rsid w:val="00C00B9B"/>
    <w:rsid w:val="00C01A44"/>
    <w:rsid w:val="00C02A5A"/>
    <w:rsid w:val="00C02E2A"/>
    <w:rsid w:val="00C0326C"/>
    <w:rsid w:val="00C03522"/>
    <w:rsid w:val="00C03F4C"/>
    <w:rsid w:val="00C041F0"/>
    <w:rsid w:val="00C04732"/>
    <w:rsid w:val="00C04799"/>
    <w:rsid w:val="00C04ABB"/>
    <w:rsid w:val="00C05049"/>
    <w:rsid w:val="00C060D7"/>
    <w:rsid w:val="00C063DE"/>
    <w:rsid w:val="00C0689C"/>
    <w:rsid w:val="00C06F7D"/>
    <w:rsid w:val="00C07410"/>
    <w:rsid w:val="00C07BA8"/>
    <w:rsid w:val="00C07EAE"/>
    <w:rsid w:val="00C10155"/>
    <w:rsid w:val="00C11275"/>
    <w:rsid w:val="00C11B92"/>
    <w:rsid w:val="00C11D83"/>
    <w:rsid w:val="00C12298"/>
    <w:rsid w:val="00C12B88"/>
    <w:rsid w:val="00C12E01"/>
    <w:rsid w:val="00C12FFD"/>
    <w:rsid w:val="00C13A9F"/>
    <w:rsid w:val="00C150E1"/>
    <w:rsid w:val="00C153E0"/>
    <w:rsid w:val="00C16A14"/>
    <w:rsid w:val="00C16C5F"/>
    <w:rsid w:val="00C176A8"/>
    <w:rsid w:val="00C202E9"/>
    <w:rsid w:val="00C213AD"/>
    <w:rsid w:val="00C21DDC"/>
    <w:rsid w:val="00C2252F"/>
    <w:rsid w:val="00C2319B"/>
    <w:rsid w:val="00C237E2"/>
    <w:rsid w:val="00C24202"/>
    <w:rsid w:val="00C27135"/>
    <w:rsid w:val="00C31730"/>
    <w:rsid w:val="00C31886"/>
    <w:rsid w:val="00C33129"/>
    <w:rsid w:val="00C343B8"/>
    <w:rsid w:val="00C34B69"/>
    <w:rsid w:val="00C34CEB"/>
    <w:rsid w:val="00C3572E"/>
    <w:rsid w:val="00C35BDC"/>
    <w:rsid w:val="00C35CE1"/>
    <w:rsid w:val="00C35DE5"/>
    <w:rsid w:val="00C36707"/>
    <w:rsid w:val="00C37870"/>
    <w:rsid w:val="00C37D29"/>
    <w:rsid w:val="00C406CB"/>
    <w:rsid w:val="00C40A31"/>
    <w:rsid w:val="00C4121C"/>
    <w:rsid w:val="00C4134E"/>
    <w:rsid w:val="00C41B50"/>
    <w:rsid w:val="00C41D98"/>
    <w:rsid w:val="00C4293F"/>
    <w:rsid w:val="00C42D87"/>
    <w:rsid w:val="00C42FA5"/>
    <w:rsid w:val="00C431E4"/>
    <w:rsid w:val="00C4331F"/>
    <w:rsid w:val="00C4378A"/>
    <w:rsid w:val="00C44195"/>
    <w:rsid w:val="00C443FF"/>
    <w:rsid w:val="00C4440B"/>
    <w:rsid w:val="00C44BB4"/>
    <w:rsid w:val="00C452CB"/>
    <w:rsid w:val="00C45DA1"/>
    <w:rsid w:val="00C45FD2"/>
    <w:rsid w:val="00C461BE"/>
    <w:rsid w:val="00C46850"/>
    <w:rsid w:val="00C47625"/>
    <w:rsid w:val="00C4774F"/>
    <w:rsid w:val="00C47841"/>
    <w:rsid w:val="00C47A81"/>
    <w:rsid w:val="00C47D02"/>
    <w:rsid w:val="00C47F05"/>
    <w:rsid w:val="00C50ACF"/>
    <w:rsid w:val="00C52581"/>
    <w:rsid w:val="00C530EF"/>
    <w:rsid w:val="00C5498D"/>
    <w:rsid w:val="00C549DE"/>
    <w:rsid w:val="00C54B5F"/>
    <w:rsid w:val="00C56633"/>
    <w:rsid w:val="00C56906"/>
    <w:rsid w:val="00C601D0"/>
    <w:rsid w:val="00C6245C"/>
    <w:rsid w:val="00C627E9"/>
    <w:rsid w:val="00C631DE"/>
    <w:rsid w:val="00C640DB"/>
    <w:rsid w:val="00C6481F"/>
    <w:rsid w:val="00C64A21"/>
    <w:rsid w:val="00C64CC1"/>
    <w:rsid w:val="00C66344"/>
    <w:rsid w:val="00C664A7"/>
    <w:rsid w:val="00C672AE"/>
    <w:rsid w:val="00C674C0"/>
    <w:rsid w:val="00C67A20"/>
    <w:rsid w:val="00C67D29"/>
    <w:rsid w:val="00C67DDD"/>
    <w:rsid w:val="00C702F0"/>
    <w:rsid w:val="00C70E6D"/>
    <w:rsid w:val="00C70E86"/>
    <w:rsid w:val="00C71950"/>
    <w:rsid w:val="00C71AD1"/>
    <w:rsid w:val="00C72FBF"/>
    <w:rsid w:val="00C7315C"/>
    <w:rsid w:val="00C73A9D"/>
    <w:rsid w:val="00C7442F"/>
    <w:rsid w:val="00C749FE"/>
    <w:rsid w:val="00C74D99"/>
    <w:rsid w:val="00C752F7"/>
    <w:rsid w:val="00C75ABC"/>
    <w:rsid w:val="00C7662C"/>
    <w:rsid w:val="00C76B83"/>
    <w:rsid w:val="00C76C57"/>
    <w:rsid w:val="00C80403"/>
    <w:rsid w:val="00C8109F"/>
    <w:rsid w:val="00C81284"/>
    <w:rsid w:val="00C817F8"/>
    <w:rsid w:val="00C822F6"/>
    <w:rsid w:val="00C846F8"/>
    <w:rsid w:val="00C8522A"/>
    <w:rsid w:val="00C875DD"/>
    <w:rsid w:val="00C87FD7"/>
    <w:rsid w:val="00C9029C"/>
    <w:rsid w:val="00C90931"/>
    <w:rsid w:val="00C91579"/>
    <w:rsid w:val="00C919CB"/>
    <w:rsid w:val="00C92531"/>
    <w:rsid w:val="00C93083"/>
    <w:rsid w:val="00C931BB"/>
    <w:rsid w:val="00C93398"/>
    <w:rsid w:val="00C9365D"/>
    <w:rsid w:val="00C93D51"/>
    <w:rsid w:val="00C947CF"/>
    <w:rsid w:val="00C951FA"/>
    <w:rsid w:val="00C95505"/>
    <w:rsid w:val="00C95A69"/>
    <w:rsid w:val="00C95FC9"/>
    <w:rsid w:val="00C96207"/>
    <w:rsid w:val="00C96CB5"/>
    <w:rsid w:val="00CA0E25"/>
    <w:rsid w:val="00CA0E5B"/>
    <w:rsid w:val="00CA1379"/>
    <w:rsid w:val="00CA14C6"/>
    <w:rsid w:val="00CA24D0"/>
    <w:rsid w:val="00CA2786"/>
    <w:rsid w:val="00CA2798"/>
    <w:rsid w:val="00CA332E"/>
    <w:rsid w:val="00CA3800"/>
    <w:rsid w:val="00CA434F"/>
    <w:rsid w:val="00CA4825"/>
    <w:rsid w:val="00CA495D"/>
    <w:rsid w:val="00CA4DFF"/>
    <w:rsid w:val="00CA4EFA"/>
    <w:rsid w:val="00CA5B48"/>
    <w:rsid w:val="00CA7D24"/>
    <w:rsid w:val="00CB06A9"/>
    <w:rsid w:val="00CB08E3"/>
    <w:rsid w:val="00CB0D3C"/>
    <w:rsid w:val="00CB3CDE"/>
    <w:rsid w:val="00CB4484"/>
    <w:rsid w:val="00CB5BA4"/>
    <w:rsid w:val="00CB6412"/>
    <w:rsid w:val="00CB686E"/>
    <w:rsid w:val="00CB68DA"/>
    <w:rsid w:val="00CB6A0B"/>
    <w:rsid w:val="00CB6F43"/>
    <w:rsid w:val="00CBEE1E"/>
    <w:rsid w:val="00CC013B"/>
    <w:rsid w:val="00CC0A74"/>
    <w:rsid w:val="00CC0B81"/>
    <w:rsid w:val="00CC1C45"/>
    <w:rsid w:val="00CC1F0C"/>
    <w:rsid w:val="00CC22BC"/>
    <w:rsid w:val="00CC27A3"/>
    <w:rsid w:val="00CC3245"/>
    <w:rsid w:val="00CC326B"/>
    <w:rsid w:val="00CC3C04"/>
    <w:rsid w:val="00CC4760"/>
    <w:rsid w:val="00CC4768"/>
    <w:rsid w:val="00CC4E2A"/>
    <w:rsid w:val="00CC56DA"/>
    <w:rsid w:val="00CC6004"/>
    <w:rsid w:val="00CC66A5"/>
    <w:rsid w:val="00CD0D94"/>
    <w:rsid w:val="00CD0DAA"/>
    <w:rsid w:val="00CD0FFB"/>
    <w:rsid w:val="00CD1946"/>
    <w:rsid w:val="00CD2226"/>
    <w:rsid w:val="00CD2777"/>
    <w:rsid w:val="00CD2BCB"/>
    <w:rsid w:val="00CD3089"/>
    <w:rsid w:val="00CD49A3"/>
    <w:rsid w:val="00CD4F1D"/>
    <w:rsid w:val="00CD5932"/>
    <w:rsid w:val="00CD62FA"/>
    <w:rsid w:val="00CD6365"/>
    <w:rsid w:val="00CD63FE"/>
    <w:rsid w:val="00CD64B7"/>
    <w:rsid w:val="00CD68D7"/>
    <w:rsid w:val="00CD794C"/>
    <w:rsid w:val="00CD7B51"/>
    <w:rsid w:val="00CD7DE3"/>
    <w:rsid w:val="00CE00B5"/>
    <w:rsid w:val="00CE06B4"/>
    <w:rsid w:val="00CE0CA6"/>
    <w:rsid w:val="00CE1B96"/>
    <w:rsid w:val="00CE326C"/>
    <w:rsid w:val="00CE3779"/>
    <w:rsid w:val="00CE3D55"/>
    <w:rsid w:val="00CE460E"/>
    <w:rsid w:val="00CE4F7F"/>
    <w:rsid w:val="00CE50B0"/>
    <w:rsid w:val="00CE589A"/>
    <w:rsid w:val="00CE62B1"/>
    <w:rsid w:val="00CE63E6"/>
    <w:rsid w:val="00CE6DA2"/>
    <w:rsid w:val="00CE7726"/>
    <w:rsid w:val="00CE77DA"/>
    <w:rsid w:val="00CF0188"/>
    <w:rsid w:val="00CF0489"/>
    <w:rsid w:val="00CF0AE5"/>
    <w:rsid w:val="00CF1E2A"/>
    <w:rsid w:val="00CF2155"/>
    <w:rsid w:val="00CF271E"/>
    <w:rsid w:val="00CF2A74"/>
    <w:rsid w:val="00CF2BED"/>
    <w:rsid w:val="00CF3EC9"/>
    <w:rsid w:val="00CF46EC"/>
    <w:rsid w:val="00CF4780"/>
    <w:rsid w:val="00CF4AF9"/>
    <w:rsid w:val="00CF55B6"/>
    <w:rsid w:val="00CF5C82"/>
    <w:rsid w:val="00CF64A9"/>
    <w:rsid w:val="00CF6EBE"/>
    <w:rsid w:val="00CF6F1F"/>
    <w:rsid w:val="00CF731C"/>
    <w:rsid w:val="00CF796C"/>
    <w:rsid w:val="00D008B0"/>
    <w:rsid w:val="00D00A7D"/>
    <w:rsid w:val="00D021AB"/>
    <w:rsid w:val="00D02C9B"/>
    <w:rsid w:val="00D02CFF"/>
    <w:rsid w:val="00D049B1"/>
    <w:rsid w:val="00D04F51"/>
    <w:rsid w:val="00D051AC"/>
    <w:rsid w:val="00D06EBE"/>
    <w:rsid w:val="00D07252"/>
    <w:rsid w:val="00D07355"/>
    <w:rsid w:val="00D074DE"/>
    <w:rsid w:val="00D11387"/>
    <w:rsid w:val="00D11E9B"/>
    <w:rsid w:val="00D12C81"/>
    <w:rsid w:val="00D12EE6"/>
    <w:rsid w:val="00D143B0"/>
    <w:rsid w:val="00D14B03"/>
    <w:rsid w:val="00D151C2"/>
    <w:rsid w:val="00D15B24"/>
    <w:rsid w:val="00D1651E"/>
    <w:rsid w:val="00D1685E"/>
    <w:rsid w:val="00D16FC4"/>
    <w:rsid w:val="00D17C2A"/>
    <w:rsid w:val="00D201A0"/>
    <w:rsid w:val="00D205A4"/>
    <w:rsid w:val="00D2091C"/>
    <w:rsid w:val="00D20E92"/>
    <w:rsid w:val="00D21449"/>
    <w:rsid w:val="00D214CA"/>
    <w:rsid w:val="00D22A55"/>
    <w:rsid w:val="00D22B83"/>
    <w:rsid w:val="00D22BAA"/>
    <w:rsid w:val="00D243B8"/>
    <w:rsid w:val="00D2494A"/>
    <w:rsid w:val="00D24DEF"/>
    <w:rsid w:val="00D25C3B"/>
    <w:rsid w:val="00D2623D"/>
    <w:rsid w:val="00D2628E"/>
    <w:rsid w:val="00D262A7"/>
    <w:rsid w:val="00D26B99"/>
    <w:rsid w:val="00D27078"/>
    <w:rsid w:val="00D30056"/>
    <w:rsid w:val="00D30C50"/>
    <w:rsid w:val="00D31165"/>
    <w:rsid w:val="00D3335A"/>
    <w:rsid w:val="00D3366B"/>
    <w:rsid w:val="00D33DB1"/>
    <w:rsid w:val="00D340BA"/>
    <w:rsid w:val="00D34838"/>
    <w:rsid w:val="00D348E5"/>
    <w:rsid w:val="00D35BA1"/>
    <w:rsid w:val="00D35F18"/>
    <w:rsid w:val="00D3632B"/>
    <w:rsid w:val="00D37AE0"/>
    <w:rsid w:val="00D40F59"/>
    <w:rsid w:val="00D41440"/>
    <w:rsid w:val="00D415BD"/>
    <w:rsid w:val="00D41D1A"/>
    <w:rsid w:val="00D420A3"/>
    <w:rsid w:val="00D433C3"/>
    <w:rsid w:val="00D4463E"/>
    <w:rsid w:val="00D45263"/>
    <w:rsid w:val="00D454B8"/>
    <w:rsid w:val="00D45725"/>
    <w:rsid w:val="00D4595A"/>
    <w:rsid w:val="00D46B41"/>
    <w:rsid w:val="00D479E2"/>
    <w:rsid w:val="00D47A4A"/>
    <w:rsid w:val="00D5034D"/>
    <w:rsid w:val="00D5071D"/>
    <w:rsid w:val="00D5077B"/>
    <w:rsid w:val="00D51032"/>
    <w:rsid w:val="00D5150A"/>
    <w:rsid w:val="00D515F6"/>
    <w:rsid w:val="00D52B60"/>
    <w:rsid w:val="00D533ED"/>
    <w:rsid w:val="00D53869"/>
    <w:rsid w:val="00D542F2"/>
    <w:rsid w:val="00D57C11"/>
    <w:rsid w:val="00D622E2"/>
    <w:rsid w:val="00D62506"/>
    <w:rsid w:val="00D62B37"/>
    <w:rsid w:val="00D62EE5"/>
    <w:rsid w:val="00D637F5"/>
    <w:rsid w:val="00D638B0"/>
    <w:rsid w:val="00D63D52"/>
    <w:rsid w:val="00D6417B"/>
    <w:rsid w:val="00D6423C"/>
    <w:rsid w:val="00D643C9"/>
    <w:rsid w:val="00D66249"/>
    <w:rsid w:val="00D67AC4"/>
    <w:rsid w:val="00D67B96"/>
    <w:rsid w:val="00D70447"/>
    <w:rsid w:val="00D71DDE"/>
    <w:rsid w:val="00D72338"/>
    <w:rsid w:val="00D72D09"/>
    <w:rsid w:val="00D72FA5"/>
    <w:rsid w:val="00D739D2"/>
    <w:rsid w:val="00D76CEF"/>
    <w:rsid w:val="00D772E3"/>
    <w:rsid w:val="00D77451"/>
    <w:rsid w:val="00D81E81"/>
    <w:rsid w:val="00D823AA"/>
    <w:rsid w:val="00D825BA"/>
    <w:rsid w:val="00D82622"/>
    <w:rsid w:val="00D82B0F"/>
    <w:rsid w:val="00D82C51"/>
    <w:rsid w:val="00D82EE9"/>
    <w:rsid w:val="00D830F7"/>
    <w:rsid w:val="00D83554"/>
    <w:rsid w:val="00D839D1"/>
    <w:rsid w:val="00D83E2B"/>
    <w:rsid w:val="00D84D7E"/>
    <w:rsid w:val="00D84ED5"/>
    <w:rsid w:val="00D85605"/>
    <w:rsid w:val="00D86390"/>
    <w:rsid w:val="00D86A86"/>
    <w:rsid w:val="00D86F46"/>
    <w:rsid w:val="00D879B5"/>
    <w:rsid w:val="00D87C34"/>
    <w:rsid w:val="00D903E8"/>
    <w:rsid w:val="00D90B34"/>
    <w:rsid w:val="00D91D5F"/>
    <w:rsid w:val="00D92AB4"/>
    <w:rsid w:val="00D93450"/>
    <w:rsid w:val="00D941C6"/>
    <w:rsid w:val="00D950D3"/>
    <w:rsid w:val="00D96938"/>
    <w:rsid w:val="00D974FE"/>
    <w:rsid w:val="00DA1490"/>
    <w:rsid w:val="00DA1DF0"/>
    <w:rsid w:val="00DA34E8"/>
    <w:rsid w:val="00DA375E"/>
    <w:rsid w:val="00DA3AB2"/>
    <w:rsid w:val="00DA42A3"/>
    <w:rsid w:val="00DA4B58"/>
    <w:rsid w:val="00DA57AF"/>
    <w:rsid w:val="00DA58C6"/>
    <w:rsid w:val="00DB0174"/>
    <w:rsid w:val="00DB0E45"/>
    <w:rsid w:val="00DB0F33"/>
    <w:rsid w:val="00DB3313"/>
    <w:rsid w:val="00DB34CA"/>
    <w:rsid w:val="00DB3536"/>
    <w:rsid w:val="00DB40BC"/>
    <w:rsid w:val="00DB5A04"/>
    <w:rsid w:val="00DC0977"/>
    <w:rsid w:val="00DC0998"/>
    <w:rsid w:val="00DC1F49"/>
    <w:rsid w:val="00DC2DF0"/>
    <w:rsid w:val="00DC2F65"/>
    <w:rsid w:val="00DC33A7"/>
    <w:rsid w:val="00DC3732"/>
    <w:rsid w:val="00DC3DEC"/>
    <w:rsid w:val="00DC4C56"/>
    <w:rsid w:val="00DC5185"/>
    <w:rsid w:val="00DC52E6"/>
    <w:rsid w:val="00DC572C"/>
    <w:rsid w:val="00DC5BD8"/>
    <w:rsid w:val="00DC61A5"/>
    <w:rsid w:val="00DC66E3"/>
    <w:rsid w:val="00DC6B7B"/>
    <w:rsid w:val="00DC6CA0"/>
    <w:rsid w:val="00DD07B3"/>
    <w:rsid w:val="00DD08A9"/>
    <w:rsid w:val="00DD0CD5"/>
    <w:rsid w:val="00DD12D3"/>
    <w:rsid w:val="00DD1B71"/>
    <w:rsid w:val="00DD221C"/>
    <w:rsid w:val="00DD2D00"/>
    <w:rsid w:val="00DD2D85"/>
    <w:rsid w:val="00DD2F33"/>
    <w:rsid w:val="00DD3441"/>
    <w:rsid w:val="00DD3937"/>
    <w:rsid w:val="00DD401F"/>
    <w:rsid w:val="00DD418D"/>
    <w:rsid w:val="00DD523B"/>
    <w:rsid w:val="00DE0AAD"/>
    <w:rsid w:val="00DE2724"/>
    <w:rsid w:val="00DE286F"/>
    <w:rsid w:val="00DE2955"/>
    <w:rsid w:val="00DE29C3"/>
    <w:rsid w:val="00DE2E27"/>
    <w:rsid w:val="00DE2EAB"/>
    <w:rsid w:val="00DE3E44"/>
    <w:rsid w:val="00DE487F"/>
    <w:rsid w:val="00DE5809"/>
    <w:rsid w:val="00DE6D02"/>
    <w:rsid w:val="00DE71D2"/>
    <w:rsid w:val="00DE7388"/>
    <w:rsid w:val="00DE7ACF"/>
    <w:rsid w:val="00DE7FCC"/>
    <w:rsid w:val="00DF0264"/>
    <w:rsid w:val="00DF0BC8"/>
    <w:rsid w:val="00DF0C7E"/>
    <w:rsid w:val="00DF134C"/>
    <w:rsid w:val="00DF14D0"/>
    <w:rsid w:val="00DF1565"/>
    <w:rsid w:val="00DF15C8"/>
    <w:rsid w:val="00DF189C"/>
    <w:rsid w:val="00DF18C7"/>
    <w:rsid w:val="00DF1930"/>
    <w:rsid w:val="00DF2471"/>
    <w:rsid w:val="00DF2C62"/>
    <w:rsid w:val="00DF30A5"/>
    <w:rsid w:val="00DF564C"/>
    <w:rsid w:val="00DF5E0D"/>
    <w:rsid w:val="00DF6933"/>
    <w:rsid w:val="00DF711F"/>
    <w:rsid w:val="00DF7347"/>
    <w:rsid w:val="00E0250C"/>
    <w:rsid w:val="00E02F15"/>
    <w:rsid w:val="00E0330C"/>
    <w:rsid w:val="00E03464"/>
    <w:rsid w:val="00E03BDC"/>
    <w:rsid w:val="00E040B3"/>
    <w:rsid w:val="00E041AD"/>
    <w:rsid w:val="00E04EC0"/>
    <w:rsid w:val="00E050CD"/>
    <w:rsid w:val="00E063CE"/>
    <w:rsid w:val="00E068A7"/>
    <w:rsid w:val="00E07A03"/>
    <w:rsid w:val="00E07FCF"/>
    <w:rsid w:val="00E10069"/>
    <w:rsid w:val="00E1010B"/>
    <w:rsid w:val="00E10BC8"/>
    <w:rsid w:val="00E11A9B"/>
    <w:rsid w:val="00E11FAE"/>
    <w:rsid w:val="00E1303D"/>
    <w:rsid w:val="00E13674"/>
    <w:rsid w:val="00E14915"/>
    <w:rsid w:val="00E14F10"/>
    <w:rsid w:val="00E1547C"/>
    <w:rsid w:val="00E15C87"/>
    <w:rsid w:val="00E16353"/>
    <w:rsid w:val="00E16A87"/>
    <w:rsid w:val="00E16D48"/>
    <w:rsid w:val="00E16D8D"/>
    <w:rsid w:val="00E17CA4"/>
    <w:rsid w:val="00E17CB5"/>
    <w:rsid w:val="00E20193"/>
    <w:rsid w:val="00E2115F"/>
    <w:rsid w:val="00E21458"/>
    <w:rsid w:val="00E22B85"/>
    <w:rsid w:val="00E22F97"/>
    <w:rsid w:val="00E231F9"/>
    <w:rsid w:val="00E2365D"/>
    <w:rsid w:val="00E240C3"/>
    <w:rsid w:val="00E24302"/>
    <w:rsid w:val="00E2517C"/>
    <w:rsid w:val="00E255B0"/>
    <w:rsid w:val="00E26A43"/>
    <w:rsid w:val="00E272A4"/>
    <w:rsid w:val="00E27341"/>
    <w:rsid w:val="00E27466"/>
    <w:rsid w:val="00E30C4D"/>
    <w:rsid w:val="00E31407"/>
    <w:rsid w:val="00E3152D"/>
    <w:rsid w:val="00E318FD"/>
    <w:rsid w:val="00E31CD8"/>
    <w:rsid w:val="00E323B4"/>
    <w:rsid w:val="00E3286E"/>
    <w:rsid w:val="00E32AA3"/>
    <w:rsid w:val="00E32DF6"/>
    <w:rsid w:val="00E3342F"/>
    <w:rsid w:val="00E340AB"/>
    <w:rsid w:val="00E341B8"/>
    <w:rsid w:val="00E34BD8"/>
    <w:rsid w:val="00E34D79"/>
    <w:rsid w:val="00E34E00"/>
    <w:rsid w:val="00E34FCD"/>
    <w:rsid w:val="00E35359"/>
    <w:rsid w:val="00E35432"/>
    <w:rsid w:val="00E36134"/>
    <w:rsid w:val="00E3619B"/>
    <w:rsid w:val="00E3759D"/>
    <w:rsid w:val="00E378EB"/>
    <w:rsid w:val="00E40261"/>
    <w:rsid w:val="00E405C1"/>
    <w:rsid w:val="00E40A21"/>
    <w:rsid w:val="00E40AA1"/>
    <w:rsid w:val="00E4209F"/>
    <w:rsid w:val="00E4268C"/>
    <w:rsid w:val="00E42751"/>
    <w:rsid w:val="00E42944"/>
    <w:rsid w:val="00E42DDD"/>
    <w:rsid w:val="00E42E21"/>
    <w:rsid w:val="00E43D9A"/>
    <w:rsid w:val="00E444B3"/>
    <w:rsid w:val="00E4488D"/>
    <w:rsid w:val="00E44AAF"/>
    <w:rsid w:val="00E455F0"/>
    <w:rsid w:val="00E4685E"/>
    <w:rsid w:val="00E4784C"/>
    <w:rsid w:val="00E47F56"/>
    <w:rsid w:val="00E50414"/>
    <w:rsid w:val="00E51794"/>
    <w:rsid w:val="00E52879"/>
    <w:rsid w:val="00E53A68"/>
    <w:rsid w:val="00E53C52"/>
    <w:rsid w:val="00E54195"/>
    <w:rsid w:val="00E54C8C"/>
    <w:rsid w:val="00E54E0F"/>
    <w:rsid w:val="00E563B7"/>
    <w:rsid w:val="00E56C07"/>
    <w:rsid w:val="00E57057"/>
    <w:rsid w:val="00E57DCE"/>
    <w:rsid w:val="00E617CB"/>
    <w:rsid w:val="00E62419"/>
    <w:rsid w:val="00E62E43"/>
    <w:rsid w:val="00E639AF"/>
    <w:rsid w:val="00E64256"/>
    <w:rsid w:val="00E64A96"/>
    <w:rsid w:val="00E64C93"/>
    <w:rsid w:val="00E64D48"/>
    <w:rsid w:val="00E65766"/>
    <w:rsid w:val="00E66821"/>
    <w:rsid w:val="00E66B38"/>
    <w:rsid w:val="00E66FA8"/>
    <w:rsid w:val="00E67241"/>
    <w:rsid w:val="00E67E3C"/>
    <w:rsid w:val="00E70210"/>
    <w:rsid w:val="00E71576"/>
    <w:rsid w:val="00E71856"/>
    <w:rsid w:val="00E73525"/>
    <w:rsid w:val="00E73E8D"/>
    <w:rsid w:val="00E74830"/>
    <w:rsid w:val="00E74D9D"/>
    <w:rsid w:val="00E74DD5"/>
    <w:rsid w:val="00E75C5A"/>
    <w:rsid w:val="00E762D6"/>
    <w:rsid w:val="00E763C1"/>
    <w:rsid w:val="00E76524"/>
    <w:rsid w:val="00E766F7"/>
    <w:rsid w:val="00E773B3"/>
    <w:rsid w:val="00E7762D"/>
    <w:rsid w:val="00E779D7"/>
    <w:rsid w:val="00E77EA2"/>
    <w:rsid w:val="00E80210"/>
    <w:rsid w:val="00E80550"/>
    <w:rsid w:val="00E82D84"/>
    <w:rsid w:val="00E840F4"/>
    <w:rsid w:val="00E84434"/>
    <w:rsid w:val="00E84500"/>
    <w:rsid w:val="00E858CB"/>
    <w:rsid w:val="00E85A04"/>
    <w:rsid w:val="00E86F54"/>
    <w:rsid w:val="00E8743C"/>
    <w:rsid w:val="00E909FC"/>
    <w:rsid w:val="00E910FA"/>
    <w:rsid w:val="00E915BC"/>
    <w:rsid w:val="00E9209A"/>
    <w:rsid w:val="00E9262F"/>
    <w:rsid w:val="00E9267A"/>
    <w:rsid w:val="00E932A2"/>
    <w:rsid w:val="00E9470F"/>
    <w:rsid w:val="00E94821"/>
    <w:rsid w:val="00E95054"/>
    <w:rsid w:val="00E954FE"/>
    <w:rsid w:val="00E9563D"/>
    <w:rsid w:val="00E95C21"/>
    <w:rsid w:val="00E9680C"/>
    <w:rsid w:val="00E97112"/>
    <w:rsid w:val="00E97176"/>
    <w:rsid w:val="00E973C1"/>
    <w:rsid w:val="00E979C7"/>
    <w:rsid w:val="00E97EC7"/>
    <w:rsid w:val="00E97FDC"/>
    <w:rsid w:val="00EA0563"/>
    <w:rsid w:val="00EA0914"/>
    <w:rsid w:val="00EA197A"/>
    <w:rsid w:val="00EA2C1B"/>
    <w:rsid w:val="00EA3F03"/>
    <w:rsid w:val="00EA52E4"/>
    <w:rsid w:val="00EA54B4"/>
    <w:rsid w:val="00EA5BE1"/>
    <w:rsid w:val="00EA6681"/>
    <w:rsid w:val="00EA742C"/>
    <w:rsid w:val="00EA7452"/>
    <w:rsid w:val="00EA75AC"/>
    <w:rsid w:val="00EB0802"/>
    <w:rsid w:val="00EB0BA3"/>
    <w:rsid w:val="00EB2063"/>
    <w:rsid w:val="00EB2FA6"/>
    <w:rsid w:val="00EB34C0"/>
    <w:rsid w:val="00EB41FA"/>
    <w:rsid w:val="00EB5711"/>
    <w:rsid w:val="00EB59AE"/>
    <w:rsid w:val="00EB5AE8"/>
    <w:rsid w:val="00EB5B37"/>
    <w:rsid w:val="00EB6599"/>
    <w:rsid w:val="00EB6D1D"/>
    <w:rsid w:val="00EB74A2"/>
    <w:rsid w:val="00EB7B02"/>
    <w:rsid w:val="00EB7DA2"/>
    <w:rsid w:val="00EC06E6"/>
    <w:rsid w:val="00EC1596"/>
    <w:rsid w:val="00EC16C8"/>
    <w:rsid w:val="00EC184C"/>
    <w:rsid w:val="00EC18D3"/>
    <w:rsid w:val="00EC2390"/>
    <w:rsid w:val="00EC2AFC"/>
    <w:rsid w:val="00EC31DB"/>
    <w:rsid w:val="00EC35F7"/>
    <w:rsid w:val="00EC36B2"/>
    <w:rsid w:val="00EC4562"/>
    <w:rsid w:val="00EC47E4"/>
    <w:rsid w:val="00EC4AC1"/>
    <w:rsid w:val="00EC4BE5"/>
    <w:rsid w:val="00EC5519"/>
    <w:rsid w:val="00EC5619"/>
    <w:rsid w:val="00EC57C6"/>
    <w:rsid w:val="00EC5E58"/>
    <w:rsid w:val="00EC6C2C"/>
    <w:rsid w:val="00EC6D6F"/>
    <w:rsid w:val="00EC7109"/>
    <w:rsid w:val="00ED018C"/>
    <w:rsid w:val="00ED0A46"/>
    <w:rsid w:val="00ED0D93"/>
    <w:rsid w:val="00ED0FE6"/>
    <w:rsid w:val="00ED1094"/>
    <w:rsid w:val="00ED1CB8"/>
    <w:rsid w:val="00ED3502"/>
    <w:rsid w:val="00ED3F7A"/>
    <w:rsid w:val="00ED47CF"/>
    <w:rsid w:val="00ED5295"/>
    <w:rsid w:val="00ED5591"/>
    <w:rsid w:val="00ED6054"/>
    <w:rsid w:val="00ED7F8D"/>
    <w:rsid w:val="00EE0AD5"/>
    <w:rsid w:val="00EE1562"/>
    <w:rsid w:val="00EE2584"/>
    <w:rsid w:val="00EE2C17"/>
    <w:rsid w:val="00EE2CB6"/>
    <w:rsid w:val="00EE2E28"/>
    <w:rsid w:val="00EE3ADE"/>
    <w:rsid w:val="00EE4EAE"/>
    <w:rsid w:val="00EE662A"/>
    <w:rsid w:val="00EE6C77"/>
    <w:rsid w:val="00EE7367"/>
    <w:rsid w:val="00EE77C7"/>
    <w:rsid w:val="00EE7AEF"/>
    <w:rsid w:val="00EF0386"/>
    <w:rsid w:val="00EF06CE"/>
    <w:rsid w:val="00EF15B3"/>
    <w:rsid w:val="00EF1749"/>
    <w:rsid w:val="00EF216A"/>
    <w:rsid w:val="00EF285A"/>
    <w:rsid w:val="00EF2CB1"/>
    <w:rsid w:val="00EF3692"/>
    <w:rsid w:val="00EF395D"/>
    <w:rsid w:val="00EF4C8A"/>
    <w:rsid w:val="00EF4FAA"/>
    <w:rsid w:val="00EF5BC5"/>
    <w:rsid w:val="00EF66F0"/>
    <w:rsid w:val="00EF6772"/>
    <w:rsid w:val="00EF6BBC"/>
    <w:rsid w:val="00EF73A3"/>
    <w:rsid w:val="00EF7759"/>
    <w:rsid w:val="00EF785F"/>
    <w:rsid w:val="00EF7DF9"/>
    <w:rsid w:val="00F0056D"/>
    <w:rsid w:val="00F01007"/>
    <w:rsid w:val="00F01B49"/>
    <w:rsid w:val="00F04249"/>
    <w:rsid w:val="00F04654"/>
    <w:rsid w:val="00F05015"/>
    <w:rsid w:val="00F0579E"/>
    <w:rsid w:val="00F05849"/>
    <w:rsid w:val="00F05CC7"/>
    <w:rsid w:val="00F06210"/>
    <w:rsid w:val="00F0648E"/>
    <w:rsid w:val="00F076C6"/>
    <w:rsid w:val="00F076CE"/>
    <w:rsid w:val="00F10C2B"/>
    <w:rsid w:val="00F10E71"/>
    <w:rsid w:val="00F114A3"/>
    <w:rsid w:val="00F11970"/>
    <w:rsid w:val="00F12D62"/>
    <w:rsid w:val="00F13765"/>
    <w:rsid w:val="00F14442"/>
    <w:rsid w:val="00F14FB5"/>
    <w:rsid w:val="00F1511A"/>
    <w:rsid w:val="00F15D30"/>
    <w:rsid w:val="00F16138"/>
    <w:rsid w:val="00F16450"/>
    <w:rsid w:val="00F164F5"/>
    <w:rsid w:val="00F1698F"/>
    <w:rsid w:val="00F169B1"/>
    <w:rsid w:val="00F17982"/>
    <w:rsid w:val="00F17EAA"/>
    <w:rsid w:val="00F2014C"/>
    <w:rsid w:val="00F2210D"/>
    <w:rsid w:val="00F2249C"/>
    <w:rsid w:val="00F22C00"/>
    <w:rsid w:val="00F22C76"/>
    <w:rsid w:val="00F23677"/>
    <w:rsid w:val="00F2384A"/>
    <w:rsid w:val="00F23C3D"/>
    <w:rsid w:val="00F24116"/>
    <w:rsid w:val="00F24E52"/>
    <w:rsid w:val="00F24EC2"/>
    <w:rsid w:val="00F25129"/>
    <w:rsid w:val="00F25222"/>
    <w:rsid w:val="00F2541F"/>
    <w:rsid w:val="00F26B14"/>
    <w:rsid w:val="00F26D2B"/>
    <w:rsid w:val="00F270E9"/>
    <w:rsid w:val="00F279DC"/>
    <w:rsid w:val="00F27A7C"/>
    <w:rsid w:val="00F315B1"/>
    <w:rsid w:val="00F31E90"/>
    <w:rsid w:val="00F32075"/>
    <w:rsid w:val="00F32654"/>
    <w:rsid w:val="00F32C61"/>
    <w:rsid w:val="00F35000"/>
    <w:rsid w:val="00F351D2"/>
    <w:rsid w:val="00F352A5"/>
    <w:rsid w:val="00F35955"/>
    <w:rsid w:val="00F362DE"/>
    <w:rsid w:val="00F362E3"/>
    <w:rsid w:val="00F36A6D"/>
    <w:rsid w:val="00F36C81"/>
    <w:rsid w:val="00F36F9E"/>
    <w:rsid w:val="00F405EB"/>
    <w:rsid w:val="00F414D0"/>
    <w:rsid w:val="00F43740"/>
    <w:rsid w:val="00F43F90"/>
    <w:rsid w:val="00F4400D"/>
    <w:rsid w:val="00F4488E"/>
    <w:rsid w:val="00F4540E"/>
    <w:rsid w:val="00F46111"/>
    <w:rsid w:val="00F46131"/>
    <w:rsid w:val="00F4675C"/>
    <w:rsid w:val="00F46E0D"/>
    <w:rsid w:val="00F502D3"/>
    <w:rsid w:val="00F50D50"/>
    <w:rsid w:val="00F50DF8"/>
    <w:rsid w:val="00F5186F"/>
    <w:rsid w:val="00F51DA2"/>
    <w:rsid w:val="00F51E8E"/>
    <w:rsid w:val="00F5224D"/>
    <w:rsid w:val="00F53CE2"/>
    <w:rsid w:val="00F540D3"/>
    <w:rsid w:val="00F541B4"/>
    <w:rsid w:val="00F544A9"/>
    <w:rsid w:val="00F544F9"/>
    <w:rsid w:val="00F549B4"/>
    <w:rsid w:val="00F55CE3"/>
    <w:rsid w:val="00F55F0D"/>
    <w:rsid w:val="00F569C4"/>
    <w:rsid w:val="00F574C3"/>
    <w:rsid w:val="00F576CD"/>
    <w:rsid w:val="00F57B1D"/>
    <w:rsid w:val="00F57E2F"/>
    <w:rsid w:val="00F61E89"/>
    <w:rsid w:val="00F61FA1"/>
    <w:rsid w:val="00F61FBF"/>
    <w:rsid w:val="00F6203F"/>
    <w:rsid w:val="00F6228E"/>
    <w:rsid w:val="00F62435"/>
    <w:rsid w:val="00F63FAA"/>
    <w:rsid w:val="00F642F3"/>
    <w:rsid w:val="00F65092"/>
    <w:rsid w:val="00F66A2C"/>
    <w:rsid w:val="00F66A52"/>
    <w:rsid w:val="00F66BCD"/>
    <w:rsid w:val="00F7019B"/>
    <w:rsid w:val="00F70BC2"/>
    <w:rsid w:val="00F711F5"/>
    <w:rsid w:val="00F715CF"/>
    <w:rsid w:val="00F72195"/>
    <w:rsid w:val="00F7414E"/>
    <w:rsid w:val="00F743F1"/>
    <w:rsid w:val="00F74811"/>
    <w:rsid w:val="00F7488F"/>
    <w:rsid w:val="00F7566B"/>
    <w:rsid w:val="00F75762"/>
    <w:rsid w:val="00F75C8F"/>
    <w:rsid w:val="00F75CD5"/>
    <w:rsid w:val="00F760C3"/>
    <w:rsid w:val="00F761E2"/>
    <w:rsid w:val="00F77105"/>
    <w:rsid w:val="00F778DD"/>
    <w:rsid w:val="00F77D35"/>
    <w:rsid w:val="00F80094"/>
    <w:rsid w:val="00F817C4"/>
    <w:rsid w:val="00F81D8C"/>
    <w:rsid w:val="00F81ECC"/>
    <w:rsid w:val="00F82252"/>
    <w:rsid w:val="00F822BE"/>
    <w:rsid w:val="00F828E0"/>
    <w:rsid w:val="00F82991"/>
    <w:rsid w:val="00F82A48"/>
    <w:rsid w:val="00F82FFC"/>
    <w:rsid w:val="00F835BA"/>
    <w:rsid w:val="00F8409D"/>
    <w:rsid w:val="00F84AB8"/>
    <w:rsid w:val="00F84F40"/>
    <w:rsid w:val="00F85BBF"/>
    <w:rsid w:val="00F86109"/>
    <w:rsid w:val="00F87389"/>
    <w:rsid w:val="00F87965"/>
    <w:rsid w:val="00F908F3"/>
    <w:rsid w:val="00F91289"/>
    <w:rsid w:val="00F927A6"/>
    <w:rsid w:val="00F92CF3"/>
    <w:rsid w:val="00F9345B"/>
    <w:rsid w:val="00F93556"/>
    <w:rsid w:val="00F935B4"/>
    <w:rsid w:val="00F93AC6"/>
    <w:rsid w:val="00F94130"/>
    <w:rsid w:val="00F9467B"/>
    <w:rsid w:val="00F94CE8"/>
    <w:rsid w:val="00F94D37"/>
    <w:rsid w:val="00F968A4"/>
    <w:rsid w:val="00F96D9E"/>
    <w:rsid w:val="00F97376"/>
    <w:rsid w:val="00FA0D71"/>
    <w:rsid w:val="00FA23E1"/>
    <w:rsid w:val="00FA3AE4"/>
    <w:rsid w:val="00FA3E3C"/>
    <w:rsid w:val="00FA3E5A"/>
    <w:rsid w:val="00FA4D4A"/>
    <w:rsid w:val="00FA540E"/>
    <w:rsid w:val="00FA5EF2"/>
    <w:rsid w:val="00FA63D5"/>
    <w:rsid w:val="00FA6678"/>
    <w:rsid w:val="00FA7020"/>
    <w:rsid w:val="00FA7FA8"/>
    <w:rsid w:val="00FB07E5"/>
    <w:rsid w:val="00FB14AA"/>
    <w:rsid w:val="00FB1EF5"/>
    <w:rsid w:val="00FB266D"/>
    <w:rsid w:val="00FB333A"/>
    <w:rsid w:val="00FB33FF"/>
    <w:rsid w:val="00FB365F"/>
    <w:rsid w:val="00FB388E"/>
    <w:rsid w:val="00FB3A5F"/>
    <w:rsid w:val="00FB43D8"/>
    <w:rsid w:val="00FB4A89"/>
    <w:rsid w:val="00FB4ACE"/>
    <w:rsid w:val="00FB5862"/>
    <w:rsid w:val="00FB5BCB"/>
    <w:rsid w:val="00FB5E0A"/>
    <w:rsid w:val="00FB643B"/>
    <w:rsid w:val="00FB6E51"/>
    <w:rsid w:val="00FB745A"/>
    <w:rsid w:val="00FC0DD5"/>
    <w:rsid w:val="00FC0DF4"/>
    <w:rsid w:val="00FC1072"/>
    <w:rsid w:val="00FC22AD"/>
    <w:rsid w:val="00FC4391"/>
    <w:rsid w:val="00FC469B"/>
    <w:rsid w:val="00FC5223"/>
    <w:rsid w:val="00FC691F"/>
    <w:rsid w:val="00FC7371"/>
    <w:rsid w:val="00FC75F2"/>
    <w:rsid w:val="00FC77F5"/>
    <w:rsid w:val="00FC79D2"/>
    <w:rsid w:val="00FD0550"/>
    <w:rsid w:val="00FD0A2D"/>
    <w:rsid w:val="00FD12A7"/>
    <w:rsid w:val="00FD2299"/>
    <w:rsid w:val="00FD2CF2"/>
    <w:rsid w:val="00FD3382"/>
    <w:rsid w:val="00FD38C1"/>
    <w:rsid w:val="00FD422A"/>
    <w:rsid w:val="00FD5CC6"/>
    <w:rsid w:val="00FD6533"/>
    <w:rsid w:val="00FD6B6B"/>
    <w:rsid w:val="00FD70FA"/>
    <w:rsid w:val="00FE065B"/>
    <w:rsid w:val="00FE0A82"/>
    <w:rsid w:val="00FE0FC9"/>
    <w:rsid w:val="00FE207C"/>
    <w:rsid w:val="00FE35EA"/>
    <w:rsid w:val="00FE3E28"/>
    <w:rsid w:val="00FE3FD6"/>
    <w:rsid w:val="00FE473C"/>
    <w:rsid w:val="00FE48A3"/>
    <w:rsid w:val="00FE4D99"/>
    <w:rsid w:val="00FE6B41"/>
    <w:rsid w:val="00FE6FFC"/>
    <w:rsid w:val="00FE7F10"/>
    <w:rsid w:val="00FF0221"/>
    <w:rsid w:val="00FF1021"/>
    <w:rsid w:val="00FF1576"/>
    <w:rsid w:val="00FF1BC3"/>
    <w:rsid w:val="00FF1DFB"/>
    <w:rsid w:val="00FF301F"/>
    <w:rsid w:val="00FF354E"/>
    <w:rsid w:val="00FF38D0"/>
    <w:rsid w:val="00FF3D16"/>
    <w:rsid w:val="00FF488F"/>
    <w:rsid w:val="00FF5078"/>
    <w:rsid w:val="00FF5FC8"/>
    <w:rsid w:val="0174F768"/>
    <w:rsid w:val="01FC22BF"/>
    <w:rsid w:val="027508C1"/>
    <w:rsid w:val="04909859"/>
    <w:rsid w:val="04F5436A"/>
    <w:rsid w:val="0539C83D"/>
    <w:rsid w:val="08B976AD"/>
    <w:rsid w:val="0B4C0A1B"/>
    <w:rsid w:val="0DCA56DB"/>
    <w:rsid w:val="0DEA0AFD"/>
    <w:rsid w:val="0DF525F8"/>
    <w:rsid w:val="0EB33910"/>
    <w:rsid w:val="0F246989"/>
    <w:rsid w:val="0F4593D8"/>
    <w:rsid w:val="10969FED"/>
    <w:rsid w:val="110E2BBB"/>
    <w:rsid w:val="13D1DC83"/>
    <w:rsid w:val="148A1466"/>
    <w:rsid w:val="14BA065E"/>
    <w:rsid w:val="177EB552"/>
    <w:rsid w:val="17C11DB0"/>
    <w:rsid w:val="1816539E"/>
    <w:rsid w:val="18DF0FE1"/>
    <w:rsid w:val="1C452CAE"/>
    <w:rsid w:val="1D7B6C2B"/>
    <w:rsid w:val="1E8554CA"/>
    <w:rsid w:val="1F599ACC"/>
    <w:rsid w:val="1F81A7DB"/>
    <w:rsid w:val="1F85F3A4"/>
    <w:rsid w:val="2058148C"/>
    <w:rsid w:val="212BF1CA"/>
    <w:rsid w:val="219ABEF4"/>
    <w:rsid w:val="2219F203"/>
    <w:rsid w:val="2276E25F"/>
    <w:rsid w:val="24F09C05"/>
    <w:rsid w:val="27849A64"/>
    <w:rsid w:val="29197A59"/>
    <w:rsid w:val="29A3D604"/>
    <w:rsid w:val="2A1CE48C"/>
    <w:rsid w:val="2B255FA0"/>
    <w:rsid w:val="2C226B13"/>
    <w:rsid w:val="2C7AF294"/>
    <w:rsid w:val="2E5D7F6A"/>
    <w:rsid w:val="2F8BD8B6"/>
    <w:rsid w:val="2FBF3A7C"/>
    <w:rsid w:val="3083F2A7"/>
    <w:rsid w:val="317A96F0"/>
    <w:rsid w:val="3195E937"/>
    <w:rsid w:val="341377AE"/>
    <w:rsid w:val="342151C2"/>
    <w:rsid w:val="342E335F"/>
    <w:rsid w:val="352B067D"/>
    <w:rsid w:val="353C5861"/>
    <w:rsid w:val="361723CA"/>
    <w:rsid w:val="36996C21"/>
    <w:rsid w:val="3840902F"/>
    <w:rsid w:val="3BD0DCB2"/>
    <w:rsid w:val="3CD430D3"/>
    <w:rsid w:val="3D73D050"/>
    <w:rsid w:val="3EFD6F11"/>
    <w:rsid w:val="41F469AC"/>
    <w:rsid w:val="4294B0A5"/>
    <w:rsid w:val="42D3BDE2"/>
    <w:rsid w:val="4331D1DE"/>
    <w:rsid w:val="437A0708"/>
    <w:rsid w:val="45509FB1"/>
    <w:rsid w:val="45BBB9C8"/>
    <w:rsid w:val="49BE74F4"/>
    <w:rsid w:val="4B61B516"/>
    <w:rsid w:val="4D62D4D3"/>
    <w:rsid w:val="4DA1DDAF"/>
    <w:rsid w:val="4DAE3AC8"/>
    <w:rsid w:val="4EFE23CE"/>
    <w:rsid w:val="4F1EC09C"/>
    <w:rsid w:val="4FCD089B"/>
    <w:rsid w:val="4FEBDC62"/>
    <w:rsid w:val="50F282B0"/>
    <w:rsid w:val="5161E890"/>
    <w:rsid w:val="537BB3F6"/>
    <w:rsid w:val="53B47180"/>
    <w:rsid w:val="54A6BCA0"/>
    <w:rsid w:val="566535A3"/>
    <w:rsid w:val="56E0D10E"/>
    <w:rsid w:val="5764F71F"/>
    <w:rsid w:val="588BA3E3"/>
    <w:rsid w:val="58C21373"/>
    <w:rsid w:val="59F8DF6C"/>
    <w:rsid w:val="5CA5FAD8"/>
    <w:rsid w:val="5E22E160"/>
    <w:rsid w:val="5E7FD1BC"/>
    <w:rsid w:val="5FACCA85"/>
    <w:rsid w:val="615D12D3"/>
    <w:rsid w:val="635C7068"/>
    <w:rsid w:val="64ADE5D2"/>
    <w:rsid w:val="65467FB3"/>
    <w:rsid w:val="6708649E"/>
    <w:rsid w:val="6829E60B"/>
    <w:rsid w:val="68E8594F"/>
    <w:rsid w:val="691B0E6D"/>
    <w:rsid w:val="6D108AFB"/>
    <w:rsid w:val="6EA9D7A5"/>
    <w:rsid w:val="71AF6704"/>
    <w:rsid w:val="722111B6"/>
    <w:rsid w:val="74375A19"/>
    <w:rsid w:val="762BB8FB"/>
    <w:rsid w:val="76FB3DAE"/>
    <w:rsid w:val="7913B6B2"/>
    <w:rsid w:val="7922171F"/>
    <w:rsid w:val="7AFC9A68"/>
    <w:rsid w:val="7B751DBB"/>
    <w:rsid w:val="7D94E4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4C7757"/>
  <w15:chartTrackingRefBased/>
  <w15:docId w15:val="{EE636E0C-B297-4464-92AE-AC45A08EE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5EA"/>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qFormat/>
    <w:rsid w:val="003C05E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Heading9Char">
    <w:name w:val="Heading 9 Char"/>
    <w:basedOn w:val="DefaultParagraphFont"/>
    <w:link w:val="Heading9"/>
    <w:uiPriority w:val="9"/>
    <w:rsid w:val="003C05EA"/>
    <w:rPr>
      <w:rFonts w:asciiTheme="majorHAnsi" w:eastAsiaTheme="majorEastAsia" w:hAnsiTheme="majorHAnsi" w:cstheme="majorBidi"/>
      <w:i/>
      <w:iCs/>
      <w:color w:val="272727" w:themeColor="text1" w:themeTint="D8"/>
      <w:sz w:val="21"/>
      <w:szCs w:val="21"/>
      <w:lang w:eastAsia="en-AU"/>
    </w:rPr>
  </w:style>
  <w:style w:type="paragraph" w:customStyle="1" w:styleId="ChartandTableFootnoteAlphaSmall">
    <w:name w:val="Chart and Table Footnote Alpha Small"/>
    <w:basedOn w:val="HeadingBase"/>
    <w:next w:val="Normal"/>
    <w:rsid w:val="003C05EA"/>
    <w:pPr>
      <w:keepNext w:val="0"/>
      <w:tabs>
        <w:tab w:val="num" w:pos="284"/>
      </w:tabs>
      <w:ind w:left="284" w:hanging="284"/>
      <w:jc w:val="both"/>
    </w:pPr>
    <w:rPr>
      <w:rFonts w:cs="Arial"/>
      <w:color w:val="000000"/>
      <w:sz w:val="15"/>
      <w:szCs w:val="15"/>
    </w:rPr>
  </w:style>
  <w:style w:type="paragraph" w:styleId="NormalWeb">
    <w:name w:val="Normal (Web)"/>
    <w:basedOn w:val="Normal"/>
    <w:uiPriority w:val="99"/>
    <w:semiHidden/>
    <w:unhideWhenUsed/>
    <w:rsid w:val="003C05EA"/>
    <w:rPr>
      <w:rFonts w:ascii="Times New Roman" w:hAnsi="Times New Roman"/>
      <w:sz w:val="24"/>
      <w:szCs w:val="24"/>
    </w:rPr>
  </w:style>
  <w:style w:type="paragraph" w:styleId="Revision">
    <w:name w:val="Revision"/>
    <w:hidden/>
    <w:uiPriority w:val="99"/>
    <w:semiHidden/>
    <w:rsid w:val="003C05EA"/>
    <w:pPr>
      <w:spacing w:after="0" w:line="240" w:lineRule="auto"/>
    </w:pPr>
    <w:rPr>
      <w:rFonts w:ascii="Book Antiqua" w:eastAsia="Times New Roman" w:hAnsi="Book Antiqua" w:cs="Times New Roman"/>
      <w:sz w:val="20"/>
      <w:szCs w:val="20"/>
      <w:lang w:eastAsia="en-AU"/>
    </w:rPr>
  </w:style>
  <w:style w:type="character" w:styleId="UnresolvedMention">
    <w:name w:val="Unresolved Mention"/>
    <w:basedOn w:val="DefaultParagraphFont"/>
    <w:uiPriority w:val="99"/>
    <w:unhideWhenUsed/>
    <w:rsid w:val="006C5140"/>
    <w:rPr>
      <w:color w:val="605E5C"/>
      <w:shd w:val="clear" w:color="auto" w:fill="E1DFDD"/>
    </w:rPr>
  </w:style>
  <w:style w:type="character" w:styleId="Mention">
    <w:name w:val="Mention"/>
    <w:basedOn w:val="DefaultParagraphFont"/>
    <w:uiPriority w:val="99"/>
    <w:unhideWhenUsed/>
    <w:rsid w:val="006C51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75571">
      <w:bodyDiv w:val="1"/>
      <w:marLeft w:val="0"/>
      <w:marRight w:val="0"/>
      <w:marTop w:val="0"/>
      <w:marBottom w:val="0"/>
      <w:divBdr>
        <w:top w:val="none" w:sz="0" w:space="0" w:color="auto"/>
        <w:left w:val="none" w:sz="0" w:space="0" w:color="auto"/>
        <w:bottom w:val="none" w:sz="0" w:space="0" w:color="auto"/>
        <w:right w:val="none" w:sz="0" w:space="0" w:color="auto"/>
      </w:divBdr>
    </w:div>
    <w:div w:id="323052799">
      <w:bodyDiv w:val="1"/>
      <w:marLeft w:val="0"/>
      <w:marRight w:val="0"/>
      <w:marTop w:val="0"/>
      <w:marBottom w:val="0"/>
      <w:divBdr>
        <w:top w:val="none" w:sz="0" w:space="0" w:color="auto"/>
        <w:left w:val="none" w:sz="0" w:space="0" w:color="auto"/>
        <w:bottom w:val="none" w:sz="0" w:space="0" w:color="auto"/>
        <w:right w:val="none" w:sz="0" w:space="0" w:color="auto"/>
      </w:divBdr>
    </w:div>
    <w:div w:id="375012181">
      <w:bodyDiv w:val="1"/>
      <w:marLeft w:val="0"/>
      <w:marRight w:val="0"/>
      <w:marTop w:val="0"/>
      <w:marBottom w:val="0"/>
      <w:divBdr>
        <w:top w:val="none" w:sz="0" w:space="0" w:color="auto"/>
        <w:left w:val="none" w:sz="0" w:space="0" w:color="auto"/>
        <w:bottom w:val="none" w:sz="0" w:space="0" w:color="auto"/>
        <w:right w:val="none" w:sz="0" w:space="0" w:color="auto"/>
      </w:divBdr>
    </w:div>
    <w:div w:id="497311837">
      <w:bodyDiv w:val="1"/>
      <w:marLeft w:val="0"/>
      <w:marRight w:val="0"/>
      <w:marTop w:val="0"/>
      <w:marBottom w:val="0"/>
      <w:divBdr>
        <w:top w:val="none" w:sz="0" w:space="0" w:color="auto"/>
        <w:left w:val="none" w:sz="0" w:space="0" w:color="auto"/>
        <w:bottom w:val="none" w:sz="0" w:space="0" w:color="auto"/>
        <w:right w:val="none" w:sz="0" w:space="0" w:color="auto"/>
      </w:divBdr>
    </w:div>
    <w:div w:id="763452978">
      <w:bodyDiv w:val="1"/>
      <w:marLeft w:val="0"/>
      <w:marRight w:val="0"/>
      <w:marTop w:val="0"/>
      <w:marBottom w:val="0"/>
      <w:divBdr>
        <w:top w:val="none" w:sz="0" w:space="0" w:color="auto"/>
        <w:left w:val="none" w:sz="0" w:space="0" w:color="auto"/>
        <w:bottom w:val="none" w:sz="0" w:space="0" w:color="auto"/>
        <w:right w:val="none" w:sz="0" w:space="0" w:color="auto"/>
      </w:divBdr>
    </w:div>
    <w:div w:id="808665977">
      <w:bodyDiv w:val="1"/>
      <w:marLeft w:val="0"/>
      <w:marRight w:val="0"/>
      <w:marTop w:val="0"/>
      <w:marBottom w:val="0"/>
      <w:divBdr>
        <w:top w:val="none" w:sz="0" w:space="0" w:color="auto"/>
        <w:left w:val="none" w:sz="0" w:space="0" w:color="auto"/>
        <w:bottom w:val="none" w:sz="0" w:space="0" w:color="auto"/>
        <w:right w:val="none" w:sz="0" w:space="0" w:color="auto"/>
      </w:divBdr>
    </w:div>
    <w:div w:id="989673431">
      <w:bodyDiv w:val="1"/>
      <w:marLeft w:val="0"/>
      <w:marRight w:val="0"/>
      <w:marTop w:val="0"/>
      <w:marBottom w:val="0"/>
      <w:divBdr>
        <w:top w:val="none" w:sz="0" w:space="0" w:color="auto"/>
        <w:left w:val="none" w:sz="0" w:space="0" w:color="auto"/>
        <w:bottom w:val="none" w:sz="0" w:space="0" w:color="auto"/>
        <w:right w:val="none" w:sz="0" w:space="0" w:color="auto"/>
      </w:divBdr>
    </w:div>
    <w:div w:id="1358699063">
      <w:bodyDiv w:val="1"/>
      <w:marLeft w:val="0"/>
      <w:marRight w:val="0"/>
      <w:marTop w:val="0"/>
      <w:marBottom w:val="0"/>
      <w:divBdr>
        <w:top w:val="none" w:sz="0" w:space="0" w:color="auto"/>
        <w:left w:val="none" w:sz="0" w:space="0" w:color="auto"/>
        <w:bottom w:val="none" w:sz="0" w:space="0" w:color="auto"/>
        <w:right w:val="none" w:sz="0" w:space="0" w:color="auto"/>
      </w:divBdr>
    </w:div>
    <w:div w:id="2009820891">
      <w:bodyDiv w:val="1"/>
      <w:marLeft w:val="0"/>
      <w:marRight w:val="0"/>
      <w:marTop w:val="0"/>
      <w:marBottom w:val="0"/>
      <w:divBdr>
        <w:top w:val="none" w:sz="0" w:space="0" w:color="auto"/>
        <w:left w:val="none" w:sz="0" w:space="0" w:color="auto"/>
        <w:bottom w:val="none" w:sz="0" w:space="0" w:color="auto"/>
        <w:right w:val="none" w:sz="0" w:space="0" w:color="auto"/>
      </w:divBdr>
    </w:div>
    <w:div w:id="2056272078">
      <w:bodyDiv w:val="1"/>
      <w:marLeft w:val="0"/>
      <w:marRight w:val="0"/>
      <w:marTop w:val="0"/>
      <w:marBottom w:val="0"/>
      <w:divBdr>
        <w:top w:val="none" w:sz="0" w:space="0" w:color="auto"/>
        <w:left w:val="none" w:sz="0" w:space="0" w:color="auto"/>
        <w:bottom w:val="none" w:sz="0" w:space="0" w:color="auto"/>
        <w:right w:val="none" w:sz="0" w:space="0" w:color="auto"/>
      </w:divBdr>
    </w:div>
    <w:div w:id="2116557189">
      <w:bodyDiv w:val="1"/>
      <w:marLeft w:val="0"/>
      <w:marRight w:val="0"/>
      <w:marTop w:val="0"/>
      <w:marBottom w:val="0"/>
      <w:divBdr>
        <w:top w:val="none" w:sz="0" w:space="0" w:color="auto"/>
        <w:left w:val="none" w:sz="0" w:space="0" w:color="auto"/>
        <w:bottom w:val="none" w:sz="0" w:space="0" w:color="auto"/>
        <w:right w:val="none" w:sz="0" w:space="0" w:color="auto"/>
      </w:divBdr>
    </w:div>
    <w:div w:id="213486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emf"/><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emf"/><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Props1.xml><?xml version="1.0" encoding="utf-8"?>
<ds:datastoreItem xmlns:ds="http://schemas.openxmlformats.org/officeDocument/2006/customXml" ds:itemID="{1B00F210-375F-413D-BC7A-4C852081CAE2}">
  <ds:schemaRefs>
    <ds:schemaRef ds:uri="http://schemas.microsoft.com/sharepoint/v3/contenttype/forms"/>
  </ds:schemaRefs>
</ds:datastoreItem>
</file>

<file path=customXml/itemProps2.xml><?xml version="1.0" encoding="utf-8"?>
<ds:datastoreItem xmlns:ds="http://schemas.openxmlformats.org/officeDocument/2006/customXml" ds:itemID="{0888E02E-ABDA-4091-8453-42D10B68A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69A32E-237F-4592-8C73-9841CDCC8CA7}">
  <ds:schemaRefs>
    <ds:schemaRef ds:uri="http://schemas.openxmlformats.org/officeDocument/2006/bibliography"/>
  </ds:schemaRefs>
</ds:datastoreItem>
</file>

<file path=customXml/itemProps4.xml><?xml version="1.0" encoding="utf-8"?>
<ds:datastoreItem xmlns:ds="http://schemas.openxmlformats.org/officeDocument/2006/customXml" ds:itemID="{B1ECA6DC-DA8A-4AFE-8D48-291AB250052D}">
  <ds:schemaRefs>
    <ds:schemaRef ds:uri="http://purl.org/dc/elements/1.1/"/>
    <ds:schemaRef ds:uri="http://schemas.microsoft.com/office/2006/metadata/properties"/>
    <ds:schemaRef ds:uri="http://schemas.microsoft.com/sharepoint/v3"/>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115</TotalTime>
  <Pages>17</Pages>
  <Words>3359</Words>
  <Characters>19150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 - The Treasury</Company>
  <LinksUpToDate>false</LinksUpToDate>
  <CharactersWithSpaces>22465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7: Forecasting Performance and Sensitivity Analysis</dc:subject>
  <dc:creator>Australian Government</dc:creator>
  <cp:keywords/>
  <dc:description/>
  <cp:lastModifiedBy>Palmer, Selene</cp:lastModifiedBy>
  <cp:revision>47</cp:revision>
  <cp:lastPrinted>2022-03-29T23:57:00Z</cp:lastPrinted>
  <dcterms:created xsi:type="dcterms:W3CDTF">2022-03-28T07:38:00Z</dcterms:created>
  <dcterms:modified xsi:type="dcterms:W3CDTF">2022-03-29T23:57:00Z</dcterms:modified>
</cp:coreProperties>
</file>