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917E27" w14:textId="3DD84A5F" w:rsidR="002745C0" w:rsidRPr="00C82BFC" w:rsidRDefault="002745C0" w:rsidP="005E62E4">
      <w:pPr>
        <w:pStyle w:val="Heading1"/>
      </w:pPr>
      <w:bookmarkStart w:id="0" w:name="_GoBack"/>
      <w:r w:rsidRPr="00C82BFC">
        <w:t>Appendix B: Assets and Liabilities</w:t>
      </w:r>
    </w:p>
    <w:p w14:paraId="72388874" w14:textId="7FAF8385" w:rsidR="002745C0" w:rsidRPr="00C82BFC" w:rsidRDefault="002745C0" w:rsidP="002745C0">
      <w:pPr>
        <w:pStyle w:val="Heading2"/>
      </w:pPr>
      <w:bookmarkStart w:id="1" w:name="_Toc4789264"/>
      <w:bookmarkEnd w:id="0"/>
      <w:r w:rsidRPr="00C82BFC">
        <w:t>The Australian Government</w:t>
      </w:r>
      <w:r w:rsidR="00FB77EC">
        <w:t>’</w:t>
      </w:r>
      <w:r w:rsidRPr="00C82BFC">
        <w:t>s major assets and liabilities</w:t>
      </w:r>
      <w:bookmarkEnd w:id="1"/>
    </w:p>
    <w:p w14:paraId="7DD7CACA" w14:textId="77777777" w:rsidR="002745C0" w:rsidRPr="00C82BFC" w:rsidRDefault="002745C0" w:rsidP="002745C0">
      <w:pPr>
        <w:pStyle w:val="Heading3"/>
      </w:pPr>
      <w:bookmarkStart w:id="2" w:name="_Toc4789265"/>
      <w:r w:rsidRPr="00C82BFC">
        <w:t>Assets</w:t>
      </w:r>
      <w:bookmarkEnd w:id="2"/>
    </w:p>
    <w:p w14:paraId="5A8BA2F0" w14:textId="74CDE2D1" w:rsidR="002745C0" w:rsidRPr="00C82BFC" w:rsidRDefault="002745C0" w:rsidP="002745C0">
      <w:r w:rsidRPr="00C82BFC">
        <w:t>The Government</w:t>
      </w:r>
      <w:r w:rsidR="00FB77EC">
        <w:t>’</w:t>
      </w:r>
      <w:r w:rsidRPr="00C82BFC">
        <w:t>s total assets are estimated to be $</w:t>
      </w:r>
      <w:r w:rsidR="0042193E">
        <w:t>7</w:t>
      </w:r>
      <w:r w:rsidR="00E8236A">
        <w:t>57.6</w:t>
      </w:r>
      <w:r w:rsidR="0042193E">
        <w:tab/>
      </w:r>
      <w:r w:rsidRPr="00C82BFC">
        <w:t xml:space="preserve">billion in </w:t>
      </w:r>
      <w:r w:rsidR="00B60679">
        <w:t>2021</w:t>
      </w:r>
      <w:r w:rsidR="00FB77EC">
        <w:noBreakHyphen/>
      </w:r>
      <w:r w:rsidR="00B60679">
        <w:t>22</w:t>
      </w:r>
      <w:r w:rsidRPr="00C82BFC">
        <w:t>, increasing to $</w:t>
      </w:r>
      <w:r w:rsidR="00E8236A">
        <w:t>887.1</w:t>
      </w:r>
      <w:r w:rsidRPr="00C82BFC">
        <w:t xml:space="preserve"> billion by the end of the forward estimates.</w:t>
      </w:r>
    </w:p>
    <w:p w14:paraId="39F6BF42" w14:textId="5E5CE7D3" w:rsidR="002745C0" w:rsidRPr="00C82BFC" w:rsidRDefault="002745C0" w:rsidP="002745C0">
      <w:r w:rsidRPr="00C82BFC">
        <w:t>The Government</w:t>
      </w:r>
      <w:r w:rsidR="00FB77EC">
        <w:t>’</w:t>
      </w:r>
      <w:r w:rsidRPr="00C82BFC">
        <w:t>s financial assets</w:t>
      </w:r>
      <w:r w:rsidRPr="00C82BFC">
        <w:rPr>
          <w:rStyle w:val="FootnoteReference"/>
        </w:rPr>
        <w:footnoteReference w:id="2"/>
      </w:r>
      <w:r w:rsidRPr="00C82BFC">
        <w:t xml:space="preserve"> are estimated to be $</w:t>
      </w:r>
      <w:r w:rsidR="00E8236A">
        <w:t>566.0</w:t>
      </w:r>
      <w:r w:rsidRPr="00C82BFC">
        <w:t xml:space="preserve"> billion in </w:t>
      </w:r>
      <w:r w:rsidR="00B60679">
        <w:t>2021</w:t>
      </w:r>
      <w:r w:rsidR="00FB77EC">
        <w:noBreakHyphen/>
      </w:r>
      <w:r w:rsidR="00B60679">
        <w:t>22</w:t>
      </w:r>
      <w:r w:rsidRPr="00C82BFC">
        <w:t>, increasing to $</w:t>
      </w:r>
      <w:r w:rsidR="00E8236A">
        <w:t>659.6</w:t>
      </w:r>
      <w:r w:rsidRPr="00C82BFC">
        <w:t xml:space="preserve"> billion by the end of the forward estimates.</w:t>
      </w:r>
    </w:p>
    <w:p w14:paraId="72DDA17B" w14:textId="1D486B48" w:rsidR="002745C0" w:rsidRPr="00C82BFC" w:rsidRDefault="002745C0" w:rsidP="002745C0">
      <w:r w:rsidRPr="00C82BFC">
        <w:t>The Government</w:t>
      </w:r>
      <w:r w:rsidR="00FB77EC">
        <w:t>’</w:t>
      </w:r>
      <w:r w:rsidRPr="00C82BFC">
        <w:t>s non</w:t>
      </w:r>
      <w:r w:rsidR="00FB77EC">
        <w:noBreakHyphen/>
      </w:r>
      <w:r w:rsidRPr="00C82BFC">
        <w:t>financial assets are estimated to be $</w:t>
      </w:r>
      <w:r w:rsidR="0042193E">
        <w:t>191.</w:t>
      </w:r>
      <w:r w:rsidR="00E8236A">
        <w:t>6</w:t>
      </w:r>
      <w:r w:rsidRPr="00C82BFC">
        <w:t xml:space="preserve"> billion in </w:t>
      </w:r>
      <w:r w:rsidR="00B60679">
        <w:t>2021</w:t>
      </w:r>
      <w:r w:rsidR="00FB77EC">
        <w:noBreakHyphen/>
      </w:r>
      <w:r w:rsidR="00B60679">
        <w:t>22</w:t>
      </w:r>
      <w:r w:rsidRPr="00C82BFC">
        <w:t>, increasing to $</w:t>
      </w:r>
      <w:r w:rsidR="00E8236A">
        <w:t>227.5</w:t>
      </w:r>
      <w:r w:rsidRPr="00C82BFC">
        <w:t xml:space="preserve"> billion by the end of the forward estimates.</w:t>
      </w:r>
    </w:p>
    <w:p w14:paraId="3B88E60B" w14:textId="77777777" w:rsidR="002745C0" w:rsidRPr="00C82BFC" w:rsidRDefault="002745C0" w:rsidP="002745C0">
      <w:pPr>
        <w:pStyle w:val="Heading4"/>
      </w:pPr>
      <w:r w:rsidRPr="00C82BFC">
        <w:t>Future Fund</w:t>
      </w:r>
    </w:p>
    <w:p w14:paraId="0DEE0DB0" w14:textId="39A91DEE" w:rsidR="002745C0" w:rsidRPr="00C82BFC" w:rsidRDefault="002745C0" w:rsidP="002745C0">
      <w:r w:rsidRPr="00C82BFC">
        <w:t>The Future Fund was established in 2006 to accumulate financial assets and invest them on behalf of the Australian Government to address the Government</w:t>
      </w:r>
      <w:r w:rsidR="00FB77EC">
        <w:t>’</w:t>
      </w:r>
      <w:r w:rsidRPr="00C82BFC">
        <w:t>s unfunded superannuation liability.</w:t>
      </w:r>
    </w:p>
    <w:p w14:paraId="008FDCAD" w14:textId="77777777" w:rsidR="002745C0" w:rsidRPr="00C82BFC" w:rsidRDefault="002745C0" w:rsidP="002745C0">
      <w:r w:rsidRPr="00C82BFC">
        <w:t xml:space="preserve">The Investment Mandate for the Future Fund sets a benchmark rate of return of at least CPI plus 4.0 to 5.0 per cent per annum over the long term. The Investment Mandate gives guidance to the Future Fund Board of Guardians (the </w:t>
      </w:r>
      <w:r w:rsidR="00F56646">
        <w:t xml:space="preserve">Future Fund </w:t>
      </w:r>
      <w:r w:rsidRPr="00C82BFC">
        <w:t>Board) in relation to its investment strategy. The Board is independently responsible for the investment decisions of the Future Fund. The Investment Mandate also requires the Board to take an acceptable, but not excessive, level of risk for the Future Fund, measured in terms such as the probability of losses in a particular year.</w:t>
      </w:r>
    </w:p>
    <w:p w14:paraId="2A11941E" w14:textId="368F387E" w:rsidR="00F048BD" w:rsidRPr="00C82BFC" w:rsidRDefault="00F048BD" w:rsidP="00F048BD">
      <w:r w:rsidRPr="00C82BFC">
        <w:t xml:space="preserve">Between establishment and 31 </w:t>
      </w:r>
      <w:r>
        <w:t>December</w:t>
      </w:r>
      <w:r w:rsidRPr="00C82BFC">
        <w:t xml:space="preserve"> 2021, the average return has been </w:t>
      </w:r>
      <w:r>
        <w:t>8.3</w:t>
      </w:r>
      <w:r w:rsidRPr="00C82BFC">
        <w:t xml:space="preserve"> per cent per annum against </w:t>
      </w:r>
      <w:r w:rsidR="00034C28">
        <w:t>the benchmark return</w:t>
      </w:r>
      <w:r w:rsidRPr="00C82BFC">
        <w:t xml:space="preserve"> of 6.6 per cent. For the 12</w:t>
      </w:r>
      <w:r w:rsidR="0043168A">
        <w:t> </w:t>
      </w:r>
      <w:r w:rsidRPr="00C82BFC">
        <w:t xml:space="preserve">month period ending 31 </w:t>
      </w:r>
      <w:r>
        <w:t>December</w:t>
      </w:r>
      <w:r w:rsidRPr="00C82BFC">
        <w:t xml:space="preserve"> 2021, the Future Fund</w:t>
      </w:r>
      <w:r w:rsidR="00FB77EC">
        <w:t>’</w:t>
      </w:r>
      <w:r w:rsidRPr="00C82BFC">
        <w:t xml:space="preserve">s return was </w:t>
      </w:r>
      <w:r>
        <w:t>19.1</w:t>
      </w:r>
      <w:r w:rsidRPr="00C82BFC">
        <w:t> per cent. The Future Fund was valued at $</w:t>
      </w:r>
      <w:r>
        <w:t>203.6</w:t>
      </w:r>
      <w:r w:rsidRPr="00C82BFC">
        <w:t xml:space="preserve"> billion </w:t>
      </w:r>
      <w:r>
        <w:t xml:space="preserve">as </w:t>
      </w:r>
      <w:r w:rsidRPr="00C82BFC">
        <w:t>at 31 </w:t>
      </w:r>
      <w:r>
        <w:t>December</w:t>
      </w:r>
      <w:r w:rsidRPr="00C82BFC">
        <w:t> 2021.</w:t>
      </w:r>
    </w:p>
    <w:p w14:paraId="4348A292" w14:textId="77777777" w:rsidR="002745C0" w:rsidRPr="00C82BFC" w:rsidRDefault="00F048BD" w:rsidP="002745C0">
      <w:r w:rsidRPr="00C82BFC">
        <w:t xml:space="preserve">The Board continues to maintain clear objectives and manage the portfolio in line with its mandate and strategy. Table </w:t>
      </w:r>
      <w:r>
        <w:t>9</w:t>
      </w:r>
      <w:r w:rsidRPr="00C82BFC">
        <w:t>B.1 shows changes in the asset allocation of the Future Fund since 30 June 202</w:t>
      </w:r>
      <w:r>
        <w:t>1</w:t>
      </w:r>
      <w:r w:rsidRPr="00C82BFC">
        <w:t>.</w:t>
      </w:r>
      <w:r w:rsidR="002745C0" w:rsidRPr="00C82BFC">
        <w:br w:type="page"/>
      </w:r>
    </w:p>
    <w:p w14:paraId="54918FEF" w14:textId="77777777" w:rsidR="002745C0" w:rsidRDefault="002745C0" w:rsidP="002745C0">
      <w:pPr>
        <w:pStyle w:val="TableHeading"/>
      </w:pPr>
      <w:r w:rsidRPr="00C82BFC">
        <w:lastRenderedPageBreak/>
        <w:t xml:space="preserve">Table </w:t>
      </w:r>
      <w:r w:rsidR="00513D9A">
        <w:t>9</w:t>
      </w:r>
      <w:r w:rsidRPr="00C82BFC">
        <w:t xml:space="preserve">B.1: Asset allocation of the Future Fund </w:t>
      </w:r>
      <w:bookmarkStart w:id="3" w:name="OLE_LINK1"/>
    </w:p>
    <w:tbl>
      <w:tblPr>
        <w:tblW w:w="5000" w:type="pct"/>
        <w:tblCellMar>
          <w:left w:w="0" w:type="dxa"/>
          <w:right w:w="28" w:type="dxa"/>
        </w:tblCellMar>
        <w:tblLook w:val="04A0" w:firstRow="1" w:lastRow="0" w:firstColumn="1" w:lastColumn="0" w:noHBand="0" w:noVBand="1"/>
      </w:tblPr>
      <w:tblGrid>
        <w:gridCol w:w="2289"/>
        <w:gridCol w:w="1389"/>
        <w:gridCol w:w="1345"/>
        <w:gridCol w:w="1345"/>
        <w:gridCol w:w="1342"/>
      </w:tblGrid>
      <w:tr w:rsidR="00F048BD" w:rsidRPr="00C82BFC" w14:paraId="5CE9154E" w14:textId="77777777" w:rsidTr="002901E4">
        <w:trPr>
          <w:trHeight w:hRule="exact" w:val="225"/>
        </w:trPr>
        <w:tc>
          <w:tcPr>
            <w:tcW w:w="1484" w:type="pct"/>
            <w:tcBorders>
              <w:top w:val="single" w:sz="4" w:space="0" w:color="auto"/>
              <w:left w:val="nil"/>
              <w:bottom w:val="nil"/>
              <w:right w:val="nil"/>
            </w:tcBorders>
            <w:shd w:val="clear" w:color="auto" w:fill="auto"/>
            <w:noWrap/>
            <w:vAlign w:val="center"/>
            <w:hideMark/>
          </w:tcPr>
          <w:p w14:paraId="6F4B95F1" w14:textId="77777777" w:rsidR="00F048BD" w:rsidRPr="00C82BFC" w:rsidRDefault="00F048BD" w:rsidP="00A77478">
            <w:pPr>
              <w:spacing w:after="0" w:line="240" w:lineRule="auto"/>
              <w:rPr>
                <w:rFonts w:ascii="Arial" w:hAnsi="Arial" w:cs="Arial"/>
                <w:color w:val="000000"/>
                <w:sz w:val="16"/>
                <w:szCs w:val="16"/>
              </w:rPr>
            </w:pPr>
            <w:r w:rsidRPr="00C82BFC">
              <w:rPr>
                <w:rFonts w:ascii="Arial" w:hAnsi="Arial" w:cs="Arial"/>
                <w:color w:val="000000"/>
                <w:sz w:val="16"/>
                <w:szCs w:val="16"/>
              </w:rPr>
              <w:t> </w:t>
            </w:r>
          </w:p>
        </w:tc>
        <w:tc>
          <w:tcPr>
            <w:tcW w:w="901" w:type="pct"/>
            <w:tcBorders>
              <w:top w:val="single" w:sz="4" w:space="0" w:color="auto"/>
              <w:left w:val="nil"/>
              <w:bottom w:val="nil"/>
              <w:right w:val="nil"/>
            </w:tcBorders>
            <w:shd w:val="clear" w:color="auto" w:fill="auto"/>
            <w:noWrap/>
            <w:vAlign w:val="center"/>
            <w:hideMark/>
          </w:tcPr>
          <w:p w14:paraId="41C441C0"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3</w:t>
            </w:r>
            <w:r>
              <w:rPr>
                <w:rFonts w:ascii="Arial" w:hAnsi="Arial" w:cs="Arial"/>
                <w:color w:val="000000"/>
                <w:sz w:val="16"/>
                <w:szCs w:val="16"/>
              </w:rPr>
              <w:t>1</w:t>
            </w:r>
            <w:r w:rsidRPr="00C82BFC">
              <w:rPr>
                <w:rFonts w:ascii="Arial" w:hAnsi="Arial" w:cs="Arial"/>
                <w:color w:val="000000"/>
                <w:sz w:val="16"/>
                <w:szCs w:val="16"/>
              </w:rPr>
              <w:t xml:space="preserve"> </w:t>
            </w:r>
            <w:r>
              <w:rPr>
                <w:rFonts w:ascii="Arial" w:hAnsi="Arial" w:cs="Arial"/>
                <w:color w:val="000000"/>
                <w:sz w:val="16"/>
                <w:szCs w:val="16"/>
              </w:rPr>
              <w:t>December</w:t>
            </w:r>
            <w:r w:rsidRPr="00C82BFC">
              <w:rPr>
                <w:rFonts w:ascii="Arial" w:hAnsi="Arial" w:cs="Arial"/>
                <w:color w:val="000000"/>
                <w:sz w:val="16"/>
                <w:szCs w:val="16"/>
              </w:rPr>
              <w:t xml:space="preserve"> 202</w:t>
            </w:r>
            <w:r>
              <w:rPr>
                <w:rFonts w:ascii="Arial" w:hAnsi="Arial" w:cs="Arial"/>
                <w:color w:val="000000"/>
                <w:sz w:val="16"/>
                <w:szCs w:val="16"/>
              </w:rPr>
              <w:t>1</w:t>
            </w:r>
          </w:p>
        </w:tc>
        <w:tc>
          <w:tcPr>
            <w:tcW w:w="872" w:type="pct"/>
            <w:tcBorders>
              <w:top w:val="single" w:sz="4" w:space="0" w:color="auto"/>
              <w:left w:val="nil"/>
              <w:bottom w:val="nil"/>
              <w:right w:val="nil"/>
            </w:tcBorders>
            <w:shd w:val="clear" w:color="auto" w:fill="auto"/>
            <w:noWrap/>
            <w:vAlign w:val="center"/>
            <w:hideMark/>
          </w:tcPr>
          <w:p w14:paraId="211B3EB0" w14:textId="77777777" w:rsidR="00F048BD"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3</w:t>
            </w:r>
            <w:r>
              <w:rPr>
                <w:rFonts w:ascii="Arial" w:hAnsi="Arial" w:cs="Arial"/>
                <w:color w:val="000000"/>
                <w:sz w:val="16"/>
                <w:szCs w:val="16"/>
              </w:rPr>
              <w:t>1</w:t>
            </w:r>
            <w:r w:rsidRPr="00C82BFC">
              <w:rPr>
                <w:rFonts w:ascii="Arial" w:hAnsi="Arial" w:cs="Arial"/>
                <w:color w:val="000000"/>
                <w:sz w:val="16"/>
                <w:szCs w:val="16"/>
              </w:rPr>
              <w:t xml:space="preserve"> </w:t>
            </w:r>
            <w:r>
              <w:rPr>
                <w:rFonts w:ascii="Arial" w:hAnsi="Arial" w:cs="Arial"/>
                <w:color w:val="000000"/>
                <w:sz w:val="16"/>
                <w:szCs w:val="16"/>
              </w:rPr>
              <w:t>December</w:t>
            </w:r>
          </w:p>
          <w:p w14:paraId="2D40BAE8"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 xml:space="preserve"> 2020</w:t>
            </w:r>
          </w:p>
        </w:tc>
        <w:tc>
          <w:tcPr>
            <w:tcW w:w="872" w:type="pct"/>
            <w:tcBorders>
              <w:top w:val="single" w:sz="4" w:space="0" w:color="auto"/>
              <w:left w:val="nil"/>
              <w:bottom w:val="nil"/>
              <w:right w:val="nil"/>
            </w:tcBorders>
            <w:shd w:val="clear" w:color="auto" w:fill="auto"/>
            <w:noWrap/>
            <w:vAlign w:val="center"/>
            <w:hideMark/>
          </w:tcPr>
          <w:p w14:paraId="274F2F5F"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3</w:t>
            </w:r>
            <w:r>
              <w:rPr>
                <w:rFonts w:ascii="Arial" w:hAnsi="Arial" w:cs="Arial"/>
                <w:color w:val="000000"/>
                <w:sz w:val="16"/>
                <w:szCs w:val="16"/>
              </w:rPr>
              <w:t>0</w:t>
            </w:r>
            <w:r w:rsidRPr="00C82BFC">
              <w:rPr>
                <w:rFonts w:ascii="Arial" w:hAnsi="Arial" w:cs="Arial"/>
                <w:color w:val="000000"/>
                <w:sz w:val="16"/>
                <w:szCs w:val="16"/>
              </w:rPr>
              <w:t xml:space="preserve"> </w:t>
            </w:r>
            <w:r>
              <w:rPr>
                <w:rFonts w:ascii="Arial" w:hAnsi="Arial" w:cs="Arial"/>
                <w:color w:val="000000"/>
                <w:sz w:val="16"/>
                <w:szCs w:val="16"/>
              </w:rPr>
              <w:t>June</w:t>
            </w:r>
            <w:r w:rsidRPr="00C82BFC">
              <w:rPr>
                <w:rFonts w:ascii="Arial" w:hAnsi="Arial" w:cs="Arial"/>
                <w:color w:val="000000"/>
                <w:sz w:val="16"/>
                <w:szCs w:val="16"/>
              </w:rPr>
              <w:t xml:space="preserve"> 2021</w:t>
            </w:r>
          </w:p>
        </w:tc>
        <w:tc>
          <w:tcPr>
            <w:tcW w:w="870" w:type="pct"/>
            <w:tcBorders>
              <w:top w:val="single" w:sz="4" w:space="0" w:color="auto"/>
              <w:left w:val="nil"/>
              <w:bottom w:val="nil"/>
              <w:right w:val="nil"/>
            </w:tcBorders>
            <w:shd w:val="clear" w:color="auto" w:fill="auto"/>
            <w:noWrap/>
            <w:vAlign w:val="center"/>
            <w:hideMark/>
          </w:tcPr>
          <w:p w14:paraId="23D9283B"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3</w:t>
            </w:r>
            <w:r>
              <w:rPr>
                <w:rFonts w:ascii="Arial" w:hAnsi="Arial" w:cs="Arial"/>
                <w:color w:val="000000"/>
                <w:sz w:val="16"/>
                <w:szCs w:val="16"/>
              </w:rPr>
              <w:t>0</w:t>
            </w:r>
            <w:r w:rsidRPr="00C82BFC">
              <w:rPr>
                <w:rFonts w:ascii="Arial" w:hAnsi="Arial" w:cs="Arial"/>
                <w:color w:val="000000"/>
                <w:sz w:val="16"/>
                <w:szCs w:val="16"/>
              </w:rPr>
              <w:t xml:space="preserve"> </w:t>
            </w:r>
            <w:r>
              <w:rPr>
                <w:rFonts w:ascii="Arial" w:hAnsi="Arial" w:cs="Arial"/>
                <w:color w:val="000000"/>
                <w:sz w:val="16"/>
                <w:szCs w:val="16"/>
              </w:rPr>
              <w:t>June</w:t>
            </w:r>
            <w:r w:rsidRPr="00C82BFC">
              <w:rPr>
                <w:rFonts w:ascii="Arial" w:hAnsi="Arial" w:cs="Arial"/>
                <w:color w:val="000000"/>
                <w:sz w:val="16"/>
                <w:szCs w:val="16"/>
              </w:rPr>
              <w:t xml:space="preserve"> 2021</w:t>
            </w:r>
          </w:p>
        </w:tc>
      </w:tr>
      <w:tr w:rsidR="00F048BD" w:rsidRPr="00C82BFC" w14:paraId="02E48626" w14:textId="77777777" w:rsidTr="002901E4">
        <w:trPr>
          <w:trHeight w:hRule="exact" w:val="225"/>
        </w:trPr>
        <w:tc>
          <w:tcPr>
            <w:tcW w:w="1484" w:type="pct"/>
            <w:tcBorders>
              <w:top w:val="nil"/>
              <w:left w:val="nil"/>
              <w:bottom w:val="single" w:sz="4" w:space="0" w:color="auto"/>
              <w:right w:val="nil"/>
            </w:tcBorders>
            <w:shd w:val="clear" w:color="auto" w:fill="auto"/>
            <w:noWrap/>
            <w:vAlign w:val="center"/>
            <w:hideMark/>
          </w:tcPr>
          <w:p w14:paraId="74E3422D"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Asset class</w:t>
            </w:r>
          </w:p>
        </w:tc>
        <w:tc>
          <w:tcPr>
            <w:tcW w:w="901" w:type="pct"/>
            <w:tcBorders>
              <w:top w:val="nil"/>
              <w:left w:val="nil"/>
              <w:bottom w:val="single" w:sz="4" w:space="0" w:color="auto"/>
              <w:right w:val="nil"/>
            </w:tcBorders>
            <w:shd w:val="clear" w:color="auto" w:fill="auto"/>
            <w:noWrap/>
            <w:vAlign w:val="center"/>
            <w:hideMark/>
          </w:tcPr>
          <w:p w14:paraId="4D6EA751"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$m</w:t>
            </w:r>
          </w:p>
        </w:tc>
        <w:tc>
          <w:tcPr>
            <w:tcW w:w="872" w:type="pct"/>
            <w:tcBorders>
              <w:top w:val="nil"/>
              <w:left w:val="nil"/>
              <w:bottom w:val="single" w:sz="4" w:space="0" w:color="auto"/>
              <w:right w:val="nil"/>
            </w:tcBorders>
            <w:shd w:val="clear" w:color="auto" w:fill="auto"/>
            <w:noWrap/>
            <w:vAlign w:val="center"/>
            <w:hideMark/>
          </w:tcPr>
          <w:p w14:paraId="2915A8B7"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 of Fund</w:t>
            </w:r>
          </w:p>
        </w:tc>
        <w:tc>
          <w:tcPr>
            <w:tcW w:w="872" w:type="pct"/>
            <w:tcBorders>
              <w:top w:val="nil"/>
              <w:left w:val="nil"/>
              <w:bottom w:val="single" w:sz="4" w:space="0" w:color="auto"/>
              <w:right w:val="nil"/>
            </w:tcBorders>
            <w:shd w:val="clear" w:color="auto" w:fill="auto"/>
            <w:noWrap/>
            <w:vAlign w:val="center"/>
            <w:hideMark/>
          </w:tcPr>
          <w:p w14:paraId="3EF64999"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$m</w:t>
            </w:r>
          </w:p>
        </w:tc>
        <w:tc>
          <w:tcPr>
            <w:tcW w:w="870" w:type="pct"/>
            <w:tcBorders>
              <w:top w:val="nil"/>
              <w:left w:val="nil"/>
              <w:bottom w:val="single" w:sz="4" w:space="0" w:color="auto"/>
              <w:right w:val="nil"/>
            </w:tcBorders>
            <w:shd w:val="clear" w:color="auto" w:fill="auto"/>
            <w:noWrap/>
            <w:vAlign w:val="center"/>
            <w:hideMark/>
          </w:tcPr>
          <w:p w14:paraId="0972599D"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 of Fund</w:t>
            </w:r>
          </w:p>
        </w:tc>
      </w:tr>
      <w:tr w:rsidR="00F048BD" w:rsidRPr="00C82BFC" w14:paraId="7730D6FA" w14:textId="77777777" w:rsidTr="002901E4">
        <w:trPr>
          <w:trHeight w:hRule="exact" w:val="225"/>
        </w:trPr>
        <w:tc>
          <w:tcPr>
            <w:tcW w:w="1484" w:type="pct"/>
            <w:tcBorders>
              <w:top w:val="nil"/>
              <w:left w:val="nil"/>
              <w:bottom w:val="nil"/>
              <w:right w:val="nil"/>
            </w:tcBorders>
            <w:shd w:val="clear" w:color="auto" w:fill="auto"/>
            <w:noWrap/>
            <w:vAlign w:val="center"/>
            <w:hideMark/>
          </w:tcPr>
          <w:p w14:paraId="13FB166E"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Australian equities</w:t>
            </w:r>
          </w:p>
        </w:tc>
        <w:tc>
          <w:tcPr>
            <w:tcW w:w="901" w:type="pct"/>
            <w:tcBorders>
              <w:top w:val="nil"/>
              <w:left w:val="nil"/>
              <w:bottom w:val="nil"/>
              <w:right w:val="nil"/>
            </w:tcBorders>
            <w:shd w:val="clear" w:color="auto" w:fill="auto"/>
            <w:noWrap/>
            <w:vAlign w:val="center"/>
            <w:hideMark/>
          </w:tcPr>
          <w:p w14:paraId="22983D67"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15,449</w:t>
            </w:r>
          </w:p>
        </w:tc>
        <w:tc>
          <w:tcPr>
            <w:tcW w:w="872" w:type="pct"/>
            <w:tcBorders>
              <w:top w:val="nil"/>
              <w:left w:val="nil"/>
              <w:bottom w:val="nil"/>
              <w:right w:val="nil"/>
            </w:tcBorders>
            <w:shd w:val="clear" w:color="auto" w:fill="auto"/>
            <w:noWrap/>
            <w:vAlign w:val="center"/>
            <w:hideMark/>
          </w:tcPr>
          <w:p w14:paraId="45784ED1"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7.6</w:t>
            </w:r>
          </w:p>
        </w:tc>
        <w:tc>
          <w:tcPr>
            <w:tcW w:w="872" w:type="pct"/>
            <w:tcBorders>
              <w:top w:val="nil"/>
              <w:left w:val="nil"/>
              <w:bottom w:val="nil"/>
              <w:right w:val="nil"/>
            </w:tcBorders>
            <w:shd w:val="clear" w:color="auto" w:fill="auto"/>
            <w:noWrap/>
            <w:vAlign w:val="center"/>
            <w:hideMark/>
          </w:tcPr>
          <w:p w14:paraId="33747CD2"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16,805</w:t>
            </w:r>
          </w:p>
        </w:tc>
        <w:tc>
          <w:tcPr>
            <w:tcW w:w="870" w:type="pct"/>
            <w:tcBorders>
              <w:top w:val="nil"/>
              <w:left w:val="nil"/>
              <w:bottom w:val="nil"/>
              <w:right w:val="nil"/>
            </w:tcBorders>
            <w:shd w:val="clear" w:color="auto" w:fill="auto"/>
            <w:noWrap/>
            <w:vAlign w:val="center"/>
            <w:hideMark/>
          </w:tcPr>
          <w:p w14:paraId="16E5566A"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8.5</w:t>
            </w:r>
          </w:p>
        </w:tc>
      </w:tr>
      <w:tr w:rsidR="00F048BD" w:rsidRPr="00C82BFC" w14:paraId="364030C6" w14:textId="77777777" w:rsidTr="002901E4">
        <w:trPr>
          <w:trHeight w:hRule="exact" w:val="225"/>
        </w:trPr>
        <w:tc>
          <w:tcPr>
            <w:tcW w:w="1484" w:type="pct"/>
            <w:tcBorders>
              <w:top w:val="nil"/>
              <w:left w:val="nil"/>
              <w:bottom w:val="nil"/>
              <w:right w:val="nil"/>
            </w:tcBorders>
            <w:shd w:val="clear" w:color="auto" w:fill="auto"/>
            <w:noWrap/>
            <w:vAlign w:val="center"/>
            <w:hideMark/>
          </w:tcPr>
          <w:p w14:paraId="27B4370C"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Global equities</w:t>
            </w:r>
          </w:p>
        </w:tc>
        <w:tc>
          <w:tcPr>
            <w:tcW w:w="901" w:type="pct"/>
            <w:tcBorders>
              <w:top w:val="nil"/>
              <w:left w:val="nil"/>
              <w:bottom w:val="nil"/>
              <w:right w:val="nil"/>
            </w:tcBorders>
            <w:shd w:val="clear" w:color="auto" w:fill="auto"/>
            <w:noWrap/>
            <w:vAlign w:val="center"/>
            <w:hideMark/>
          </w:tcPr>
          <w:p w14:paraId="47B09582" w14:textId="77777777" w:rsidR="00F048BD" w:rsidRPr="00C82BFC" w:rsidRDefault="00F048BD" w:rsidP="00A77478">
            <w:pPr>
              <w:spacing w:after="0" w:line="240" w:lineRule="auto"/>
              <w:jc w:val="left"/>
              <w:rPr>
                <w:rFonts w:ascii="Arial" w:hAnsi="Arial" w:cs="Arial"/>
                <w:color w:val="000000"/>
                <w:sz w:val="16"/>
                <w:szCs w:val="16"/>
              </w:rPr>
            </w:pPr>
          </w:p>
        </w:tc>
        <w:tc>
          <w:tcPr>
            <w:tcW w:w="872" w:type="pct"/>
            <w:tcBorders>
              <w:top w:val="nil"/>
              <w:left w:val="nil"/>
              <w:bottom w:val="nil"/>
              <w:right w:val="nil"/>
            </w:tcBorders>
            <w:shd w:val="clear" w:color="auto" w:fill="auto"/>
            <w:noWrap/>
            <w:vAlign w:val="center"/>
            <w:hideMark/>
          </w:tcPr>
          <w:p w14:paraId="5C64875F" w14:textId="77777777" w:rsidR="00F048BD" w:rsidRPr="00C82BFC" w:rsidRDefault="00F048BD" w:rsidP="00A77478">
            <w:pPr>
              <w:spacing w:after="0" w:line="240" w:lineRule="auto"/>
              <w:jc w:val="center"/>
              <w:rPr>
                <w:rFonts w:ascii="Times New Roman" w:hAnsi="Times New Roman"/>
              </w:rPr>
            </w:pPr>
          </w:p>
        </w:tc>
        <w:tc>
          <w:tcPr>
            <w:tcW w:w="872" w:type="pct"/>
            <w:tcBorders>
              <w:top w:val="nil"/>
              <w:left w:val="nil"/>
              <w:bottom w:val="nil"/>
              <w:right w:val="nil"/>
            </w:tcBorders>
            <w:shd w:val="clear" w:color="auto" w:fill="auto"/>
            <w:noWrap/>
            <w:vAlign w:val="center"/>
            <w:hideMark/>
          </w:tcPr>
          <w:p w14:paraId="17AA3DFA" w14:textId="77777777" w:rsidR="00F048BD" w:rsidRPr="00C82BFC" w:rsidRDefault="00F048BD" w:rsidP="00A77478">
            <w:pPr>
              <w:spacing w:after="0" w:line="240" w:lineRule="auto"/>
              <w:jc w:val="center"/>
              <w:rPr>
                <w:rFonts w:ascii="Times New Roman" w:hAnsi="Times New Roman"/>
              </w:rPr>
            </w:pPr>
          </w:p>
        </w:tc>
        <w:tc>
          <w:tcPr>
            <w:tcW w:w="870" w:type="pct"/>
            <w:tcBorders>
              <w:top w:val="nil"/>
              <w:left w:val="nil"/>
              <w:bottom w:val="nil"/>
              <w:right w:val="nil"/>
            </w:tcBorders>
            <w:shd w:val="clear" w:color="auto" w:fill="auto"/>
            <w:noWrap/>
            <w:vAlign w:val="center"/>
            <w:hideMark/>
          </w:tcPr>
          <w:p w14:paraId="791859F6" w14:textId="77777777" w:rsidR="00F048BD" w:rsidRPr="00C82BFC" w:rsidRDefault="00F048BD" w:rsidP="00A77478">
            <w:pPr>
              <w:spacing w:after="0" w:line="240" w:lineRule="auto"/>
              <w:jc w:val="left"/>
              <w:rPr>
                <w:rFonts w:ascii="Times New Roman" w:hAnsi="Times New Roman"/>
              </w:rPr>
            </w:pPr>
          </w:p>
        </w:tc>
      </w:tr>
      <w:tr w:rsidR="00F048BD" w:rsidRPr="00C82BFC" w14:paraId="7D7CD7C6" w14:textId="77777777" w:rsidTr="002901E4">
        <w:trPr>
          <w:trHeight w:hRule="exact" w:val="225"/>
        </w:trPr>
        <w:tc>
          <w:tcPr>
            <w:tcW w:w="1484" w:type="pct"/>
            <w:tcBorders>
              <w:top w:val="nil"/>
              <w:left w:val="nil"/>
              <w:bottom w:val="nil"/>
              <w:right w:val="nil"/>
            </w:tcBorders>
            <w:shd w:val="clear" w:color="auto" w:fill="auto"/>
            <w:noWrap/>
            <w:vAlign w:val="center"/>
            <w:hideMark/>
          </w:tcPr>
          <w:p w14:paraId="579BDFE3" w14:textId="77777777" w:rsidR="00F048BD" w:rsidRPr="00C82BFC" w:rsidRDefault="00F048BD" w:rsidP="00A77478">
            <w:pPr>
              <w:spacing w:after="0" w:line="240" w:lineRule="auto"/>
              <w:ind w:left="170"/>
              <w:jc w:val="left"/>
              <w:rPr>
                <w:rFonts w:ascii="Arial" w:hAnsi="Arial" w:cs="Arial"/>
                <w:i/>
                <w:iCs/>
                <w:color w:val="000000"/>
                <w:sz w:val="16"/>
                <w:szCs w:val="16"/>
              </w:rPr>
            </w:pPr>
            <w:r w:rsidRPr="00C82BFC">
              <w:rPr>
                <w:rFonts w:ascii="Arial" w:hAnsi="Arial" w:cs="Arial"/>
                <w:i/>
                <w:iCs/>
                <w:color w:val="000000"/>
                <w:sz w:val="16"/>
                <w:szCs w:val="16"/>
              </w:rPr>
              <w:t>Developed markets</w:t>
            </w:r>
          </w:p>
        </w:tc>
        <w:tc>
          <w:tcPr>
            <w:tcW w:w="901" w:type="pct"/>
            <w:tcBorders>
              <w:top w:val="nil"/>
              <w:left w:val="nil"/>
              <w:bottom w:val="nil"/>
              <w:right w:val="nil"/>
            </w:tcBorders>
            <w:shd w:val="clear" w:color="auto" w:fill="auto"/>
            <w:noWrap/>
            <w:vAlign w:val="center"/>
            <w:hideMark/>
          </w:tcPr>
          <w:p w14:paraId="11E8FE01"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31,871</w:t>
            </w:r>
          </w:p>
        </w:tc>
        <w:tc>
          <w:tcPr>
            <w:tcW w:w="872" w:type="pct"/>
            <w:tcBorders>
              <w:top w:val="nil"/>
              <w:left w:val="nil"/>
              <w:bottom w:val="nil"/>
              <w:right w:val="nil"/>
            </w:tcBorders>
            <w:shd w:val="clear" w:color="auto" w:fill="auto"/>
            <w:noWrap/>
            <w:vAlign w:val="center"/>
            <w:hideMark/>
          </w:tcPr>
          <w:p w14:paraId="32652D7A"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15.7</w:t>
            </w:r>
          </w:p>
        </w:tc>
        <w:tc>
          <w:tcPr>
            <w:tcW w:w="872" w:type="pct"/>
            <w:tcBorders>
              <w:top w:val="nil"/>
              <w:left w:val="nil"/>
              <w:bottom w:val="nil"/>
              <w:right w:val="nil"/>
            </w:tcBorders>
            <w:shd w:val="clear" w:color="auto" w:fill="auto"/>
            <w:noWrap/>
            <w:vAlign w:val="center"/>
            <w:hideMark/>
          </w:tcPr>
          <w:p w14:paraId="6E8E753D"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35,806</w:t>
            </w:r>
          </w:p>
        </w:tc>
        <w:tc>
          <w:tcPr>
            <w:tcW w:w="870" w:type="pct"/>
            <w:tcBorders>
              <w:top w:val="nil"/>
              <w:left w:val="nil"/>
              <w:bottom w:val="nil"/>
              <w:right w:val="nil"/>
            </w:tcBorders>
            <w:shd w:val="clear" w:color="auto" w:fill="auto"/>
            <w:noWrap/>
            <w:vAlign w:val="center"/>
            <w:hideMark/>
          </w:tcPr>
          <w:p w14:paraId="6A348FC8"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18.2</w:t>
            </w:r>
          </w:p>
        </w:tc>
      </w:tr>
      <w:tr w:rsidR="00F048BD" w:rsidRPr="00C82BFC" w14:paraId="797D5612" w14:textId="77777777" w:rsidTr="002901E4">
        <w:trPr>
          <w:trHeight w:hRule="exact" w:val="225"/>
        </w:trPr>
        <w:tc>
          <w:tcPr>
            <w:tcW w:w="1484" w:type="pct"/>
            <w:tcBorders>
              <w:top w:val="nil"/>
              <w:left w:val="nil"/>
              <w:bottom w:val="nil"/>
              <w:right w:val="nil"/>
            </w:tcBorders>
            <w:shd w:val="clear" w:color="auto" w:fill="auto"/>
            <w:noWrap/>
            <w:vAlign w:val="center"/>
            <w:hideMark/>
          </w:tcPr>
          <w:p w14:paraId="396ECB41" w14:textId="77777777" w:rsidR="00F048BD" w:rsidRPr="00C82BFC" w:rsidRDefault="00F048BD" w:rsidP="00A77478">
            <w:pPr>
              <w:spacing w:after="0" w:line="240" w:lineRule="auto"/>
              <w:ind w:left="170"/>
              <w:jc w:val="left"/>
              <w:rPr>
                <w:rFonts w:ascii="Arial" w:hAnsi="Arial" w:cs="Arial"/>
                <w:i/>
                <w:iCs/>
                <w:color w:val="000000"/>
                <w:sz w:val="16"/>
                <w:szCs w:val="16"/>
              </w:rPr>
            </w:pPr>
            <w:r w:rsidRPr="00C82BFC">
              <w:rPr>
                <w:rFonts w:ascii="Arial" w:hAnsi="Arial" w:cs="Arial"/>
                <w:i/>
                <w:iCs/>
                <w:color w:val="000000"/>
                <w:sz w:val="16"/>
                <w:szCs w:val="16"/>
              </w:rPr>
              <w:t>Emerging markets</w:t>
            </w:r>
          </w:p>
        </w:tc>
        <w:tc>
          <w:tcPr>
            <w:tcW w:w="901" w:type="pct"/>
            <w:tcBorders>
              <w:top w:val="nil"/>
              <w:left w:val="nil"/>
              <w:bottom w:val="nil"/>
              <w:right w:val="nil"/>
            </w:tcBorders>
            <w:shd w:val="clear" w:color="auto" w:fill="auto"/>
            <w:noWrap/>
            <w:vAlign w:val="center"/>
            <w:hideMark/>
          </w:tcPr>
          <w:p w14:paraId="6A784E0F"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15,656</w:t>
            </w:r>
          </w:p>
        </w:tc>
        <w:tc>
          <w:tcPr>
            <w:tcW w:w="872" w:type="pct"/>
            <w:tcBorders>
              <w:top w:val="nil"/>
              <w:left w:val="nil"/>
              <w:bottom w:val="nil"/>
              <w:right w:val="nil"/>
            </w:tcBorders>
            <w:shd w:val="clear" w:color="auto" w:fill="auto"/>
            <w:noWrap/>
            <w:vAlign w:val="center"/>
            <w:hideMark/>
          </w:tcPr>
          <w:p w14:paraId="2457804D"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7.7</w:t>
            </w:r>
          </w:p>
        </w:tc>
        <w:tc>
          <w:tcPr>
            <w:tcW w:w="872" w:type="pct"/>
            <w:tcBorders>
              <w:top w:val="nil"/>
              <w:left w:val="nil"/>
              <w:bottom w:val="nil"/>
              <w:right w:val="nil"/>
            </w:tcBorders>
            <w:shd w:val="clear" w:color="auto" w:fill="auto"/>
            <w:noWrap/>
            <w:vAlign w:val="center"/>
            <w:hideMark/>
          </w:tcPr>
          <w:p w14:paraId="4BE1BE33"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18,002</w:t>
            </w:r>
          </w:p>
        </w:tc>
        <w:tc>
          <w:tcPr>
            <w:tcW w:w="870" w:type="pct"/>
            <w:tcBorders>
              <w:top w:val="nil"/>
              <w:left w:val="nil"/>
              <w:bottom w:val="nil"/>
              <w:right w:val="nil"/>
            </w:tcBorders>
            <w:shd w:val="clear" w:color="auto" w:fill="auto"/>
            <w:noWrap/>
            <w:vAlign w:val="center"/>
            <w:hideMark/>
          </w:tcPr>
          <w:p w14:paraId="2E4A7528" w14:textId="77777777" w:rsidR="00F048BD" w:rsidRPr="00C82BFC" w:rsidRDefault="00F048BD" w:rsidP="00A77478">
            <w:pPr>
              <w:spacing w:after="0" w:line="240" w:lineRule="auto"/>
              <w:jc w:val="center"/>
              <w:rPr>
                <w:rFonts w:ascii="Arial" w:hAnsi="Arial" w:cs="Arial"/>
                <w:i/>
                <w:iCs/>
                <w:color w:val="000000"/>
                <w:sz w:val="16"/>
                <w:szCs w:val="16"/>
              </w:rPr>
            </w:pPr>
            <w:r>
              <w:rPr>
                <w:rFonts w:ascii="Arial" w:hAnsi="Arial" w:cs="Arial"/>
                <w:i/>
                <w:iCs/>
                <w:color w:val="000000"/>
                <w:sz w:val="16"/>
                <w:szCs w:val="16"/>
              </w:rPr>
              <w:t>9.1</w:t>
            </w:r>
          </w:p>
        </w:tc>
      </w:tr>
      <w:tr w:rsidR="00F048BD" w:rsidRPr="00C82BFC" w14:paraId="69B99A76" w14:textId="77777777" w:rsidTr="002901E4">
        <w:trPr>
          <w:trHeight w:hRule="exact" w:val="225"/>
        </w:trPr>
        <w:tc>
          <w:tcPr>
            <w:tcW w:w="1484" w:type="pct"/>
            <w:tcBorders>
              <w:top w:val="nil"/>
              <w:left w:val="nil"/>
              <w:bottom w:val="nil"/>
              <w:right w:val="nil"/>
            </w:tcBorders>
            <w:shd w:val="clear" w:color="auto" w:fill="auto"/>
            <w:noWrap/>
            <w:vAlign w:val="center"/>
            <w:hideMark/>
          </w:tcPr>
          <w:p w14:paraId="585BE8DF"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Private equity</w:t>
            </w:r>
          </w:p>
        </w:tc>
        <w:tc>
          <w:tcPr>
            <w:tcW w:w="901" w:type="pct"/>
            <w:tcBorders>
              <w:top w:val="nil"/>
              <w:left w:val="nil"/>
              <w:bottom w:val="nil"/>
              <w:right w:val="nil"/>
            </w:tcBorders>
            <w:shd w:val="clear" w:color="auto" w:fill="auto"/>
            <w:noWrap/>
            <w:vAlign w:val="center"/>
            <w:hideMark/>
          </w:tcPr>
          <w:p w14:paraId="5901A86C"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34,255</w:t>
            </w:r>
          </w:p>
        </w:tc>
        <w:tc>
          <w:tcPr>
            <w:tcW w:w="872" w:type="pct"/>
            <w:tcBorders>
              <w:top w:val="nil"/>
              <w:left w:val="nil"/>
              <w:bottom w:val="nil"/>
              <w:right w:val="nil"/>
            </w:tcBorders>
            <w:shd w:val="clear" w:color="auto" w:fill="auto"/>
            <w:noWrap/>
            <w:vAlign w:val="center"/>
            <w:hideMark/>
          </w:tcPr>
          <w:p w14:paraId="2FA72947"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16.8</w:t>
            </w:r>
          </w:p>
        </w:tc>
        <w:tc>
          <w:tcPr>
            <w:tcW w:w="872" w:type="pct"/>
            <w:tcBorders>
              <w:top w:val="nil"/>
              <w:left w:val="nil"/>
              <w:bottom w:val="nil"/>
              <w:right w:val="nil"/>
            </w:tcBorders>
            <w:shd w:val="clear" w:color="auto" w:fill="auto"/>
            <w:noWrap/>
            <w:vAlign w:val="center"/>
            <w:hideMark/>
          </w:tcPr>
          <w:p w14:paraId="3AE74DCD"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34,485</w:t>
            </w:r>
          </w:p>
        </w:tc>
        <w:tc>
          <w:tcPr>
            <w:tcW w:w="870" w:type="pct"/>
            <w:tcBorders>
              <w:top w:val="nil"/>
              <w:left w:val="nil"/>
              <w:bottom w:val="nil"/>
              <w:right w:val="nil"/>
            </w:tcBorders>
            <w:shd w:val="clear" w:color="auto" w:fill="auto"/>
            <w:noWrap/>
            <w:vAlign w:val="center"/>
            <w:hideMark/>
          </w:tcPr>
          <w:p w14:paraId="56A0967A"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17.5</w:t>
            </w:r>
          </w:p>
        </w:tc>
      </w:tr>
      <w:tr w:rsidR="00F048BD" w:rsidRPr="00C82BFC" w14:paraId="2838F083" w14:textId="77777777" w:rsidTr="002901E4">
        <w:trPr>
          <w:trHeight w:hRule="exact" w:val="225"/>
        </w:trPr>
        <w:tc>
          <w:tcPr>
            <w:tcW w:w="1484" w:type="pct"/>
            <w:tcBorders>
              <w:top w:val="nil"/>
              <w:left w:val="nil"/>
              <w:bottom w:val="nil"/>
              <w:right w:val="nil"/>
            </w:tcBorders>
            <w:shd w:val="clear" w:color="auto" w:fill="auto"/>
            <w:noWrap/>
            <w:vAlign w:val="center"/>
            <w:hideMark/>
          </w:tcPr>
          <w:p w14:paraId="1067A066"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Property</w:t>
            </w:r>
          </w:p>
        </w:tc>
        <w:tc>
          <w:tcPr>
            <w:tcW w:w="901" w:type="pct"/>
            <w:tcBorders>
              <w:top w:val="nil"/>
              <w:left w:val="nil"/>
              <w:bottom w:val="nil"/>
              <w:right w:val="nil"/>
            </w:tcBorders>
            <w:shd w:val="clear" w:color="auto" w:fill="auto"/>
            <w:noWrap/>
            <w:vAlign w:val="center"/>
            <w:hideMark/>
          </w:tcPr>
          <w:p w14:paraId="7281225F"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13,149</w:t>
            </w:r>
          </w:p>
        </w:tc>
        <w:tc>
          <w:tcPr>
            <w:tcW w:w="872" w:type="pct"/>
            <w:tcBorders>
              <w:top w:val="nil"/>
              <w:left w:val="nil"/>
              <w:bottom w:val="nil"/>
              <w:right w:val="nil"/>
            </w:tcBorders>
            <w:shd w:val="clear" w:color="auto" w:fill="auto"/>
            <w:noWrap/>
            <w:vAlign w:val="center"/>
            <w:hideMark/>
          </w:tcPr>
          <w:p w14:paraId="5F1094FD"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6.5</w:t>
            </w:r>
          </w:p>
        </w:tc>
        <w:tc>
          <w:tcPr>
            <w:tcW w:w="872" w:type="pct"/>
            <w:tcBorders>
              <w:top w:val="nil"/>
              <w:left w:val="nil"/>
              <w:bottom w:val="nil"/>
              <w:right w:val="nil"/>
            </w:tcBorders>
            <w:shd w:val="clear" w:color="auto" w:fill="auto"/>
            <w:noWrap/>
            <w:vAlign w:val="center"/>
            <w:hideMark/>
          </w:tcPr>
          <w:p w14:paraId="1A309F21"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11,707</w:t>
            </w:r>
          </w:p>
        </w:tc>
        <w:tc>
          <w:tcPr>
            <w:tcW w:w="870" w:type="pct"/>
            <w:tcBorders>
              <w:top w:val="nil"/>
              <w:left w:val="nil"/>
              <w:bottom w:val="nil"/>
              <w:right w:val="nil"/>
            </w:tcBorders>
            <w:shd w:val="clear" w:color="auto" w:fill="auto"/>
            <w:noWrap/>
            <w:vAlign w:val="center"/>
            <w:hideMark/>
          </w:tcPr>
          <w:p w14:paraId="56557A12"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5.9</w:t>
            </w:r>
          </w:p>
        </w:tc>
      </w:tr>
      <w:tr w:rsidR="00F048BD" w:rsidRPr="00C82BFC" w14:paraId="589F1461" w14:textId="77777777" w:rsidTr="002901E4">
        <w:trPr>
          <w:trHeight w:hRule="exact" w:val="500"/>
        </w:trPr>
        <w:tc>
          <w:tcPr>
            <w:tcW w:w="1484" w:type="pct"/>
            <w:tcBorders>
              <w:top w:val="nil"/>
              <w:left w:val="nil"/>
              <w:bottom w:val="nil"/>
              <w:right w:val="nil"/>
            </w:tcBorders>
            <w:shd w:val="clear" w:color="auto" w:fill="auto"/>
            <w:noWrap/>
            <w:vAlign w:val="center"/>
            <w:hideMark/>
          </w:tcPr>
          <w:p w14:paraId="2B6FA19D"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 xml:space="preserve">Infrastructure </w:t>
            </w:r>
            <w:r>
              <w:rPr>
                <w:rFonts w:ascii="Arial" w:hAnsi="Arial" w:cs="Arial"/>
                <w:color w:val="000000"/>
                <w:sz w:val="16"/>
                <w:szCs w:val="16"/>
              </w:rPr>
              <w:t>&amp; T</w:t>
            </w:r>
            <w:r w:rsidRPr="00C82BFC">
              <w:rPr>
                <w:rFonts w:ascii="Arial" w:hAnsi="Arial" w:cs="Arial"/>
                <w:color w:val="000000"/>
                <w:sz w:val="16"/>
                <w:szCs w:val="16"/>
              </w:rPr>
              <w:t>imberland</w:t>
            </w:r>
          </w:p>
        </w:tc>
        <w:tc>
          <w:tcPr>
            <w:tcW w:w="901" w:type="pct"/>
            <w:tcBorders>
              <w:top w:val="nil"/>
              <w:left w:val="nil"/>
              <w:bottom w:val="nil"/>
              <w:right w:val="nil"/>
            </w:tcBorders>
            <w:shd w:val="clear" w:color="auto" w:fill="auto"/>
            <w:noWrap/>
            <w:vAlign w:val="center"/>
            <w:hideMark/>
          </w:tcPr>
          <w:p w14:paraId="7497DD92"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16,309</w:t>
            </w:r>
          </w:p>
        </w:tc>
        <w:tc>
          <w:tcPr>
            <w:tcW w:w="872" w:type="pct"/>
            <w:tcBorders>
              <w:top w:val="nil"/>
              <w:left w:val="nil"/>
              <w:bottom w:val="nil"/>
              <w:right w:val="nil"/>
            </w:tcBorders>
            <w:shd w:val="clear" w:color="auto" w:fill="auto"/>
            <w:noWrap/>
            <w:vAlign w:val="center"/>
            <w:hideMark/>
          </w:tcPr>
          <w:p w14:paraId="011C2C91"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8.0</w:t>
            </w:r>
          </w:p>
        </w:tc>
        <w:tc>
          <w:tcPr>
            <w:tcW w:w="872" w:type="pct"/>
            <w:tcBorders>
              <w:top w:val="nil"/>
              <w:left w:val="nil"/>
              <w:bottom w:val="nil"/>
              <w:right w:val="nil"/>
            </w:tcBorders>
            <w:shd w:val="clear" w:color="auto" w:fill="auto"/>
            <w:noWrap/>
            <w:vAlign w:val="center"/>
            <w:hideMark/>
          </w:tcPr>
          <w:p w14:paraId="30E67A56"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14,548</w:t>
            </w:r>
          </w:p>
        </w:tc>
        <w:tc>
          <w:tcPr>
            <w:tcW w:w="870" w:type="pct"/>
            <w:tcBorders>
              <w:top w:val="nil"/>
              <w:left w:val="nil"/>
              <w:bottom w:val="nil"/>
              <w:right w:val="nil"/>
            </w:tcBorders>
            <w:shd w:val="clear" w:color="auto" w:fill="auto"/>
            <w:noWrap/>
            <w:vAlign w:val="center"/>
            <w:hideMark/>
          </w:tcPr>
          <w:p w14:paraId="14F00FE9"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7.4</w:t>
            </w:r>
          </w:p>
        </w:tc>
      </w:tr>
      <w:tr w:rsidR="00F048BD" w:rsidRPr="00C82BFC" w14:paraId="7F5C8958" w14:textId="77777777" w:rsidTr="002901E4">
        <w:trPr>
          <w:trHeight w:hRule="exact" w:val="225"/>
        </w:trPr>
        <w:tc>
          <w:tcPr>
            <w:tcW w:w="1484" w:type="pct"/>
            <w:tcBorders>
              <w:top w:val="nil"/>
              <w:left w:val="nil"/>
              <w:bottom w:val="nil"/>
              <w:right w:val="nil"/>
            </w:tcBorders>
            <w:shd w:val="clear" w:color="auto" w:fill="auto"/>
            <w:noWrap/>
            <w:vAlign w:val="center"/>
            <w:hideMark/>
          </w:tcPr>
          <w:p w14:paraId="69DDAE4E"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Debt securities</w:t>
            </w:r>
          </w:p>
        </w:tc>
        <w:tc>
          <w:tcPr>
            <w:tcW w:w="901" w:type="pct"/>
            <w:tcBorders>
              <w:top w:val="nil"/>
              <w:left w:val="nil"/>
              <w:bottom w:val="nil"/>
              <w:right w:val="nil"/>
            </w:tcBorders>
            <w:shd w:val="clear" w:color="auto" w:fill="auto"/>
            <w:noWrap/>
            <w:vAlign w:val="center"/>
            <w:hideMark/>
          </w:tcPr>
          <w:p w14:paraId="7874DF6B"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14,250</w:t>
            </w:r>
          </w:p>
        </w:tc>
        <w:tc>
          <w:tcPr>
            <w:tcW w:w="872" w:type="pct"/>
            <w:tcBorders>
              <w:top w:val="nil"/>
              <w:left w:val="nil"/>
              <w:bottom w:val="nil"/>
              <w:right w:val="nil"/>
            </w:tcBorders>
            <w:shd w:val="clear" w:color="auto" w:fill="auto"/>
            <w:noWrap/>
            <w:vAlign w:val="center"/>
            <w:hideMark/>
          </w:tcPr>
          <w:p w14:paraId="36ABFA17"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7.0</w:t>
            </w:r>
          </w:p>
        </w:tc>
        <w:tc>
          <w:tcPr>
            <w:tcW w:w="872" w:type="pct"/>
            <w:tcBorders>
              <w:top w:val="nil"/>
              <w:left w:val="nil"/>
              <w:bottom w:val="nil"/>
              <w:right w:val="nil"/>
            </w:tcBorders>
            <w:shd w:val="clear" w:color="auto" w:fill="auto"/>
            <w:noWrap/>
            <w:vAlign w:val="center"/>
            <w:hideMark/>
          </w:tcPr>
          <w:p w14:paraId="7EA625AF"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12,982</w:t>
            </w:r>
          </w:p>
        </w:tc>
        <w:tc>
          <w:tcPr>
            <w:tcW w:w="870" w:type="pct"/>
            <w:tcBorders>
              <w:top w:val="nil"/>
              <w:left w:val="nil"/>
              <w:bottom w:val="nil"/>
              <w:right w:val="nil"/>
            </w:tcBorders>
            <w:shd w:val="clear" w:color="auto" w:fill="auto"/>
            <w:noWrap/>
            <w:vAlign w:val="center"/>
            <w:hideMark/>
          </w:tcPr>
          <w:p w14:paraId="4700A8E7"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6.6</w:t>
            </w:r>
          </w:p>
        </w:tc>
      </w:tr>
      <w:tr w:rsidR="00F048BD" w:rsidRPr="00C82BFC" w14:paraId="5314E4B3" w14:textId="77777777" w:rsidTr="002901E4">
        <w:trPr>
          <w:trHeight w:hRule="exact" w:val="225"/>
        </w:trPr>
        <w:tc>
          <w:tcPr>
            <w:tcW w:w="1484" w:type="pct"/>
            <w:tcBorders>
              <w:top w:val="nil"/>
              <w:left w:val="nil"/>
              <w:bottom w:val="nil"/>
              <w:right w:val="nil"/>
            </w:tcBorders>
            <w:shd w:val="clear" w:color="auto" w:fill="auto"/>
            <w:noWrap/>
            <w:vAlign w:val="center"/>
            <w:hideMark/>
          </w:tcPr>
          <w:p w14:paraId="1C0DF699"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Alternative assets</w:t>
            </w:r>
          </w:p>
        </w:tc>
        <w:tc>
          <w:tcPr>
            <w:tcW w:w="901" w:type="pct"/>
            <w:tcBorders>
              <w:top w:val="nil"/>
              <w:left w:val="nil"/>
              <w:bottom w:val="nil"/>
              <w:right w:val="nil"/>
            </w:tcBorders>
            <w:shd w:val="clear" w:color="auto" w:fill="auto"/>
            <w:noWrap/>
            <w:vAlign w:val="center"/>
            <w:hideMark/>
          </w:tcPr>
          <w:p w14:paraId="5EBA0859"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28,405</w:t>
            </w:r>
          </w:p>
        </w:tc>
        <w:tc>
          <w:tcPr>
            <w:tcW w:w="872" w:type="pct"/>
            <w:tcBorders>
              <w:top w:val="nil"/>
              <w:left w:val="nil"/>
              <w:bottom w:val="nil"/>
              <w:right w:val="nil"/>
            </w:tcBorders>
            <w:shd w:val="clear" w:color="auto" w:fill="auto"/>
            <w:noWrap/>
            <w:vAlign w:val="center"/>
            <w:hideMark/>
          </w:tcPr>
          <w:p w14:paraId="21DF2416"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14.0</w:t>
            </w:r>
          </w:p>
        </w:tc>
        <w:tc>
          <w:tcPr>
            <w:tcW w:w="872" w:type="pct"/>
            <w:tcBorders>
              <w:top w:val="nil"/>
              <w:left w:val="nil"/>
              <w:bottom w:val="nil"/>
              <w:right w:val="nil"/>
            </w:tcBorders>
            <w:shd w:val="clear" w:color="auto" w:fill="auto"/>
            <w:noWrap/>
            <w:vAlign w:val="center"/>
            <w:hideMark/>
          </w:tcPr>
          <w:p w14:paraId="08782D19"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26,547</w:t>
            </w:r>
          </w:p>
        </w:tc>
        <w:tc>
          <w:tcPr>
            <w:tcW w:w="870" w:type="pct"/>
            <w:tcBorders>
              <w:top w:val="nil"/>
              <w:left w:val="nil"/>
              <w:bottom w:val="nil"/>
              <w:right w:val="nil"/>
            </w:tcBorders>
            <w:shd w:val="clear" w:color="auto" w:fill="auto"/>
            <w:noWrap/>
            <w:vAlign w:val="center"/>
            <w:hideMark/>
          </w:tcPr>
          <w:p w14:paraId="0566C80A"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13.5</w:t>
            </w:r>
          </w:p>
        </w:tc>
      </w:tr>
      <w:tr w:rsidR="00F048BD" w:rsidRPr="00C82BFC" w14:paraId="6ACF41C0" w14:textId="77777777" w:rsidTr="002901E4">
        <w:trPr>
          <w:trHeight w:hRule="exact" w:val="225"/>
        </w:trPr>
        <w:tc>
          <w:tcPr>
            <w:tcW w:w="1484" w:type="pct"/>
            <w:tcBorders>
              <w:top w:val="nil"/>
              <w:left w:val="nil"/>
              <w:bottom w:val="nil"/>
              <w:right w:val="nil"/>
            </w:tcBorders>
            <w:shd w:val="clear" w:color="auto" w:fill="auto"/>
            <w:noWrap/>
            <w:vAlign w:val="center"/>
            <w:hideMark/>
          </w:tcPr>
          <w:p w14:paraId="6396824A"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 xml:space="preserve">Cash </w:t>
            </w:r>
          </w:p>
        </w:tc>
        <w:tc>
          <w:tcPr>
            <w:tcW w:w="901" w:type="pct"/>
            <w:tcBorders>
              <w:top w:val="nil"/>
              <w:left w:val="nil"/>
              <w:bottom w:val="nil"/>
              <w:right w:val="nil"/>
            </w:tcBorders>
            <w:shd w:val="clear" w:color="auto" w:fill="auto"/>
            <w:noWrap/>
            <w:vAlign w:val="center"/>
            <w:hideMark/>
          </w:tcPr>
          <w:p w14:paraId="201133DE"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34,239</w:t>
            </w:r>
          </w:p>
        </w:tc>
        <w:tc>
          <w:tcPr>
            <w:tcW w:w="872" w:type="pct"/>
            <w:tcBorders>
              <w:top w:val="nil"/>
              <w:left w:val="nil"/>
              <w:bottom w:val="nil"/>
              <w:right w:val="nil"/>
            </w:tcBorders>
            <w:shd w:val="clear" w:color="auto" w:fill="auto"/>
            <w:noWrap/>
            <w:vAlign w:val="center"/>
            <w:hideMark/>
          </w:tcPr>
          <w:p w14:paraId="4EFF7D1A"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16.8</w:t>
            </w:r>
          </w:p>
        </w:tc>
        <w:tc>
          <w:tcPr>
            <w:tcW w:w="872" w:type="pct"/>
            <w:tcBorders>
              <w:top w:val="nil"/>
              <w:left w:val="nil"/>
              <w:bottom w:val="nil"/>
              <w:right w:val="nil"/>
            </w:tcBorders>
            <w:shd w:val="clear" w:color="auto" w:fill="auto"/>
            <w:noWrap/>
            <w:vAlign w:val="center"/>
            <w:hideMark/>
          </w:tcPr>
          <w:p w14:paraId="3A6F23CA"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25,942</w:t>
            </w:r>
          </w:p>
        </w:tc>
        <w:tc>
          <w:tcPr>
            <w:tcW w:w="870" w:type="pct"/>
            <w:tcBorders>
              <w:top w:val="nil"/>
              <w:left w:val="nil"/>
              <w:bottom w:val="nil"/>
              <w:right w:val="nil"/>
            </w:tcBorders>
            <w:shd w:val="clear" w:color="auto" w:fill="auto"/>
            <w:noWrap/>
            <w:vAlign w:val="center"/>
            <w:hideMark/>
          </w:tcPr>
          <w:p w14:paraId="54BCD1F3"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13.2</w:t>
            </w:r>
          </w:p>
        </w:tc>
      </w:tr>
      <w:tr w:rsidR="00F048BD" w:rsidRPr="00C82BFC" w14:paraId="1A8BD678" w14:textId="77777777" w:rsidTr="002901E4">
        <w:trPr>
          <w:trHeight w:hRule="exact" w:val="225"/>
        </w:trPr>
        <w:tc>
          <w:tcPr>
            <w:tcW w:w="1484" w:type="pct"/>
            <w:tcBorders>
              <w:top w:val="single" w:sz="4" w:space="0" w:color="auto"/>
              <w:left w:val="nil"/>
              <w:bottom w:val="single" w:sz="4" w:space="0" w:color="auto"/>
              <w:right w:val="nil"/>
            </w:tcBorders>
            <w:shd w:val="clear" w:color="auto" w:fill="auto"/>
            <w:noWrap/>
            <w:vAlign w:val="center"/>
            <w:hideMark/>
          </w:tcPr>
          <w:p w14:paraId="2C1A40DD" w14:textId="77777777" w:rsidR="00F048BD" w:rsidRPr="00C82BFC" w:rsidRDefault="00F048BD" w:rsidP="00A77478">
            <w:pPr>
              <w:spacing w:after="0" w:line="240" w:lineRule="auto"/>
              <w:jc w:val="left"/>
              <w:rPr>
                <w:rFonts w:ascii="Arial" w:hAnsi="Arial" w:cs="Arial"/>
                <w:color w:val="000000"/>
                <w:sz w:val="16"/>
                <w:szCs w:val="16"/>
              </w:rPr>
            </w:pPr>
            <w:r w:rsidRPr="00C82BFC">
              <w:rPr>
                <w:rFonts w:ascii="Arial" w:hAnsi="Arial" w:cs="Arial"/>
                <w:color w:val="000000"/>
                <w:sz w:val="16"/>
                <w:szCs w:val="16"/>
              </w:rPr>
              <w:t>Total Future Fund assets</w:t>
            </w:r>
          </w:p>
        </w:tc>
        <w:tc>
          <w:tcPr>
            <w:tcW w:w="901" w:type="pct"/>
            <w:tcBorders>
              <w:top w:val="single" w:sz="4" w:space="0" w:color="auto"/>
              <w:left w:val="nil"/>
              <w:bottom w:val="single" w:sz="4" w:space="0" w:color="auto"/>
              <w:right w:val="nil"/>
            </w:tcBorders>
            <w:shd w:val="clear" w:color="auto" w:fill="auto"/>
            <w:noWrap/>
            <w:vAlign w:val="center"/>
            <w:hideMark/>
          </w:tcPr>
          <w:p w14:paraId="06371729"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203,583</w:t>
            </w:r>
          </w:p>
        </w:tc>
        <w:tc>
          <w:tcPr>
            <w:tcW w:w="872" w:type="pct"/>
            <w:tcBorders>
              <w:top w:val="single" w:sz="4" w:space="0" w:color="auto"/>
              <w:left w:val="nil"/>
              <w:bottom w:val="single" w:sz="4" w:space="0" w:color="auto"/>
              <w:right w:val="nil"/>
            </w:tcBorders>
            <w:shd w:val="clear" w:color="auto" w:fill="auto"/>
            <w:noWrap/>
            <w:vAlign w:val="center"/>
            <w:hideMark/>
          </w:tcPr>
          <w:p w14:paraId="0A802E34"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100.0</w:t>
            </w:r>
          </w:p>
        </w:tc>
        <w:tc>
          <w:tcPr>
            <w:tcW w:w="872" w:type="pct"/>
            <w:tcBorders>
              <w:top w:val="single" w:sz="4" w:space="0" w:color="auto"/>
              <w:left w:val="nil"/>
              <w:bottom w:val="single" w:sz="4" w:space="0" w:color="auto"/>
              <w:right w:val="nil"/>
            </w:tcBorders>
            <w:shd w:val="clear" w:color="auto" w:fill="auto"/>
            <w:noWrap/>
            <w:vAlign w:val="center"/>
            <w:hideMark/>
          </w:tcPr>
          <w:p w14:paraId="72793E1B" w14:textId="77777777" w:rsidR="00F048BD" w:rsidRPr="00C82BFC" w:rsidRDefault="00F048BD" w:rsidP="00A77478">
            <w:pPr>
              <w:spacing w:after="0" w:line="240" w:lineRule="auto"/>
              <w:jc w:val="center"/>
              <w:rPr>
                <w:rFonts w:ascii="Arial" w:hAnsi="Arial" w:cs="Arial"/>
                <w:color w:val="000000"/>
                <w:sz w:val="16"/>
                <w:szCs w:val="16"/>
              </w:rPr>
            </w:pPr>
            <w:r>
              <w:rPr>
                <w:rFonts w:ascii="Arial" w:hAnsi="Arial" w:cs="Arial"/>
                <w:color w:val="000000"/>
                <w:sz w:val="16"/>
                <w:szCs w:val="16"/>
              </w:rPr>
              <w:t>196,825</w:t>
            </w:r>
          </w:p>
        </w:tc>
        <w:tc>
          <w:tcPr>
            <w:tcW w:w="870" w:type="pct"/>
            <w:tcBorders>
              <w:top w:val="single" w:sz="4" w:space="0" w:color="auto"/>
              <w:left w:val="nil"/>
              <w:bottom w:val="single" w:sz="4" w:space="0" w:color="auto"/>
              <w:right w:val="nil"/>
            </w:tcBorders>
            <w:shd w:val="clear" w:color="auto" w:fill="auto"/>
            <w:noWrap/>
            <w:vAlign w:val="center"/>
            <w:hideMark/>
          </w:tcPr>
          <w:p w14:paraId="30507B02" w14:textId="77777777" w:rsidR="00F048BD" w:rsidRPr="00C82BFC" w:rsidRDefault="00F048BD" w:rsidP="00A77478">
            <w:pPr>
              <w:spacing w:after="0" w:line="240" w:lineRule="auto"/>
              <w:jc w:val="center"/>
              <w:rPr>
                <w:rFonts w:ascii="Arial" w:hAnsi="Arial" w:cs="Arial"/>
                <w:color w:val="000000"/>
                <w:sz w:val="16"/>
                <w:szCs w:val="16"/>
              </w:rPr>
            </w:pPr>
            <w:r w:rsidRPr="00C82BFC">
              <w:rPr>
                <w:rFonts w:ascii="Arial" w:hAnsi="Arial" w:cs="Arial"/>
                <w:color w:val="000000"/>
                <w:sz w:val="16"/>
                <w:szCs w:val="16"/>
              </w:rPr>
              <w:t>100.0</w:t>
            </w:r>
          </w:p>
        </w:tc>
      </w:tr>
    </w:tbl>
    <w:p w14:paraId="01AF6BCD" w14:textId="77777777" w:rsidR="002745C0" w:rsidRPr="00C82BFC" w:rsidRDefault="002745C0" w:rsidP="002745C0">
      <w:pPr>
        <w:pStyle w:val="ChartandTableFootnote"/>
        <w:tabs>
          <w:tab w:val="clear" w:pos="709"/>
          <w:tab w:val="left" w:pos="567"/>
        </w:tabs>
        <w:spacing w:after="120"/>
        <w:ind w:left="567" w:hanging="567"/>
      </w:pPr>
      <w:r w:rsidRPr="00C82BFC">
        <w:t xml:space="preserve">Note: </w:t>
      </w:r>
      <w:r w:rsidRPr="00C82BFC">
        <w:tab/>
        <w:t>Figures may not sum due to rounding.</w:t>
      </w:r>
      <w:bookmarkEnd w:id="3"/>
    </w:p>
    <w:p w14:paraId="41C73F69" w14:textId="77777777" w:rsidR="002745C0" w:rsidRPr="00C82BFC" w:rsidRDefault="002745C0" w:rsidP="002745C0">
      <w:pPr>
        <w:pStyle w:val="SingleParagraph"/>
      </w:pPr>
    </w:p>
    <w:p w14:paraId="13D871DF" w14:textId="77777777" w:rsidR="002745C0" w:rsidRPr="00C82BFC" w:rsidRDefault="002745C0" w:rsidP="002745C0">
      <w:pPr>
        <w:pStyle w:val="Heading4"/>
      </w:pPr>
      <w:r w:rsidRPr="00C82BFC">
        <w:t>Medical Research Future Fund</w:t>
      </w:r>
    </w:p>
    <w:p w14:paraId="71953081" w14:textId="77777777" w:rsidR="002745C0" w:rsidRPr="00C82BFC" w:rsidRDefault="002745C0" w:rsidP="002745C0">
      <w:r w:rsidRPr="00C82BFC">
        <w:t>The Medical Research Future Fund (MRFF) was established on 26 August 2015 to provide additional funding for medical research and medical innovation.</w:t>
      </w:r>
    </w:p>
    <w:p w14:paraId="0372C36C" w14:textId="6B0646CD" w:rsidR="002745C0" w:rsidRPr="00C82BFC" w:rsidRDefault="002745C0" w:rsidP="002745C0">
      <w:r w:rsidRPr="00C82BFC">
        <w:t xml:space="preserve">Since inception, the Government has </w:t>
      </w:r>
      <w:r w:rsidRPr="00C80118">
        <w:t>contributed $20</w:t>
      </w:r>
      <w:r w:rsidR="00E14DB8" w:rsidRPr="00C80118">
        <w:t>.0</w:t>
      </w:r>
      <w:r w:rsidRPr="00C80118">
        <w:t xml:space="preserve"> billion to the MRFF fulfilling the commitment in the 2014</w:t>
      </w:r>
      <w:r w:rsidR="00FB77EC" w:rsidRPr="00C80118">
        <w:noBreakHyphen/>
      </w:r>
      <w:r w:rsidRPr="00C80118">
        <w:t>15 Budget to grow the MRFF to $20</w:t>
      </w:r>
      <w:r w:rsidR="00E14DB8" w:rsidRPr="00C80118">
        <w:t>.0</w:t>
      </w:r>
      <w:r w:rsidRPr="00C80118">
        <w:t xml:space="preserve"> billion through annual credits. There are no further credits scheduled for the MRFF.</w:t>
      </w:r>
    </w:p>
    <w:p w14:paraId="64BFB1C4" w14:textId="7228537C" w:rsidR="002745C0" w:rsidRPr="00C82BFC" w:rsidRDefault="002745C0" w:rsidP="002745C0">
      <w:r w:rsidRPr="00C82BFC">
        <w:t xml:space="preserve">The </w:t>
      </w:r>
      <w:r w:rsidR="004E68A6">
        <w:t xml:space="preserve">investments of the </w:t>
      </w:r>
      <w:r w:rsidRPr="00C82BFC">
        <w:t xml:space="preserve">MRFF </w:t>
      </w:r>
      <w:r w:rsidR="004E68A6">
        <w:t>are</w:t>
      </w:r>
      <w:r w:rsidRPr="00C82BFC">
        <w:t xml:space="preserve"> managed by the </w:t>
      </w:r>
      <w:r w:rsidR="00F56646">
        <w:t xml:space="preserve">Future Fund </w:t>
      </w:r>
      <w:r w:rsidRPr="00C82BFC">
        <w:t>Board. The Treasurer and Minister for Finance have set an Investment Mandate for the MRFF, which provides broad direction to the Board in relation to its investment strategy. The MRFF Investment Mandate sets a benchmark return of the Reserve Bank of Australia</w:t>
      </w:r>
      <w:r w:rsidR="00FB77EC">
        <w:t>’</w:t>
      </w:r>
      <w:r w:rsidRPr="00C82BFC">
        <w:t>s Cash Rate target plus 1.5 to 2.0 per cent per annum, net of costs, over a rolling 10</w:t>
      </w:r>
      <w:r w:rsidR="00FB77EC">
        <w:noBreakHyphen/>
      </w:r>
      <w:r w:rsidRPr="00C82BFC">
        <w:t>year term.</w:t>
      </w:r>
    </w:p>
    <w:p w14:paraId="29139A80" w14:textId="0740B3D0" w:rsidR="00F048BD" w:rsidRPr="00C82BFC" w:rsidRDefault="00F048BD" w:rsidP="00F048BD">
      <w:r w:rsidRPr="00C82BFC">
        <w:t xml:space="preserve">Since inception to 31 </w:t>
      </w:r>
      <w:r>
        <w:t>December</w:t>
      </w:r>
      <w:r w:rsidRPr="00C82BFC">
        <w:t xml:space="preserve"> 2021, MRFF investments have returned </w:t>
      </w:r>
      <w:r>
        <w:t>4.7</w:t>
      </w:r>
      <w:r w:rsidRPr="00C82BFC">
        <w:t xml:space="preserve"> per cent per annum against a </w:t>
      </w:r>
      <w:r w:rsidR="00034C28">
        <w:t>benchmark</w:t>
      </w:r>
      <w:r w:rsidRPr="00C82BFC">
        <w:t xml:space="preserve"> return of </w:t>
      </w:r>
      <w:r>
        <w:t>2.5</w:t>
      </w:r>
      <w:r w:rsidRPr="00C82BFC">
        <w:t> per cent per annum. The</w:t>
      </w:r>
      <w:r w:rsidR="0043168A">
        <w:t> </w:t>
      </w:r>
      <w:r w:rsidRPr="00C82BFC">
        <w:t>MRFF was valued at $</w:t>
      </w:r>
      <w:r>
        <w:t>22.3</w:t>
      </w:r>
      <w:r w:rsidRPr="00C82BFC">
        <w:t> billion</w:t>
      </w:r>
      <w:r>
        <w:t xml:space="preserve"> as</w:t>
      </w:r>
      <w:r w:rsidRPr="00C82BFC">
        <w:t xml:space="preserve"> at 31 </w:t>
      </w:r>
      <w:r>
        <w:t>December</w:t>
      </w:r>
      <w:r w:rsidRPr="00C82BFC">
        <w:t xml:space="preserve"> 2021.</w:t>
      </w:r>
    </w:p>
    <w:p w14:paraId="701AE25C" w14:textId="77777777" w:rsidR="002745C0" w:rsidRPr="00C82BFC" w:rsidRDefault="002745C0" w:rsidP="002745C0">
      <w:pPr>
        <w:pStyle w:val="Heading4"/>
      </w:pPr>
      <w:r w:rsidRPr="00C82BFC">
        <w:t>DisabilityCare Australia Fund</w:t>
      </w:r>
    </w:p>
    <w:p w14:paraId="526AD6A9" w14:textId="77777777" w:rsidR="002745C0" w:rsidRPr="00C82BFC" w:rsidRDefault="002745C0" w:rsidP="002745C0">
      <w:r w:rsidRPr="00C82BFC">
        <w:t>The DisabilityCare Australia Fund (DCAF) was established on 1 July 2014 to assist the Commonwealth and the State and Territory governments with spending directly related to the National Disability Insurance Scheme (NDIS).</w:t>
      </w:r>
    </w:p>
    <w:p w14:paraId="67B9F951" w14:textId="77777777" w:rsidR="00F048BD" w:rsidRPr="00C82BFC" w:rsidRDefault="00F048BD" w:rsidP="00F048BD">
      <w:r w:rsidRPr="00C82BFC">
        <w:t>The DCAF is funded by revenue raised from the 0.5 per cent increase in the Medicare levy to 2</w:t>
      </w:r>
      <w:r w:rsidR="0093199E">
        <w:t>.0</w:t>
      </w:r>
      <w:r w:rsidRPr="00C82BFC">
        <w:t xml:space="preserve"> per cent. As at 31 </w:t>
      </w:r>
      <w:r>
        <w:t>December</w:t>
      </w:r>
      <w:r w:rsidRPr="00C82BFC">
        <w:t xml:space="preserve"> 2021, the DCAF had received credits totalling $</w:t>
      </w:r>
      <w:r>
        <w:t>27.8</w:t>
      </w:r>
      <w:r w:rsidRPr="00C82BFC">
        <w:t> billion. Since inception</w:t>
      </w:r>
      <w:r>
        <w:t xml:space="preserve"> to 31 December 2021</w:t>
      </w:r>
      <w:r w:rsidRPr="00C82BFC">
        <w:t>, $</w:t>
      </w:r>
      <w:r>
        <w:t>14.1</w:t>
      </w:r>
      <w:r w:rsidRPr="00C82BFC">
        <w:t xml:space="preserve"> billion has been paid from the DCAF. </w:t>
      </w:r>
    </w:p>
    <w:p w14:paraId="649E9627" w14:textId="64E1580C" w:rsidR="002745C0" w:rsidRPr="00C82BFC" w:rsidRDefault="002745C0" w:rsidP="002745C0">
      <w:pPr>
        <w:spacing w:after="190"/>
      </w:pPr>
      <w:r w:rsidRPr="00C82BFC">
        <w:lastRenderedPageBreak/>
        <w:t>The investments of the DCAF are managed by the </w:t>
      </w:r>
      <w:r w:rsidR="00F56646">
        <w:t xml:space="preserve">Future Fund </w:t>
      </w:r>
      <w:r w:rsidRPr="00C82BFC">
        <w:t>Board. The Treasurer and Minister for Finance have set an Investment Mandate for the DCAF, which provides guidance to the Board in relation to its investment strategy for the DCAF. The DCAF Investment Mandate sets a benchmark return on the DCAF of the Australian three</w:t>
      </w:r>
      <w:r w:rsidR="00FB77EC">
        <w:noBreakHyphen/>
      </w:r>
      <w:r w:rsidRPr="00C82BFC">
        <w:t>month bank bill swap rate plus 0.3 per cent per annum calculated on a rolling 12</w:t>
      </w:r>
      <w:r w:rsidR="00FB77EC">
        <w:noBreakHyphen/>
      </w:r>
      <w:r w:rsidRPr="00C82BFC">
        <w:t>month basis (net of fees). In achieving its objectives, the Board must invest in such a way as to minimise the probability of capital losses over a 12</w:t>
      </w:r>
      <w:r w:rsidR="00FB77EC">
        <w:noBreakHyphen/>
      </w:r>
      <w:r w:rsidRPr="00C82BFC">
        <w:t>month horizon.</w:t>
      </w:r>
    </w:p>
    <w:p w14:paraId="32F34E6E" w14:textId="7841E4B8" w:rsidR="00F048BD" w:rsidRPr="00C82BFC" w:rsidRDefault="00F048BD" w:rsidP="00F048BD">
      <w:r w:rsidRPr="00C82BFC">
        <w:t>For the 12</w:t>
      </w:r>
      <w:r w:rsidR="00FB77EC">
        <w:noBreakHyphen/>
      </w:r>
      <w:r w:rsidRPr="00C82BFC">
        <w:t xml:space="preserve">month period ending 31 </w:t>
      </w:r>
      <w:r>
        <w:t>December</w:t>
      </w:r>
      <w:r w:rsidRPr="00C82BFC">
        <w:t xml:space="preserve"> 2021, the DCAF</w:t>
      </w:r>
      <w:r w:rsidR="00FB77EC">
        <w:t>’</w:t>
      </w:r>
      <w:r w:rsidRPr="00C82BFC">
        <w:t xml:space="preserve">s return was </w:t>
      </w:r>
      <w:r>
        <w:t>0.1</w:t>
      </w:r>
      <w:r w:rsidRPr="00C82BFC">
        <w:t> per cent against the benchmark</w:t>
      </w:r>
      <w:r>
        <w:t xml:space="preserve"> </w:t>
      </w:r>
      <w:r w:rsidR="00034C28">
        <w:t xml:space="preserve">return </w:t>
      </w:r>
      <w:r w:rsidRPr="00C82BFC">
        <w:t xml:space="preserve">of </w:t>
      </w:r>
      <w:r>
        <w:t>0.3</w:t>
      </w:r>
      <w:r w:rsidRPr="00C82BFC">
        <w:t xml:space="preserve"> per cent. The DCAF was valued at $</w:t>
      </w:r>
      <w:r>
        <w:t>14.9</w:t>
      </w:r>
      <w:r w:rsidRPr="00C82BFC">
        <w:t xml:space="preserve"> billion </w:t>
      </w:r>
      <w:r>
        <w:t xml:space="preserve">as </w:t>
      </w:r>
      <w:r w:rsidRPr="00C82BFC">
        <w:t>at 31 </w:t>
      </w:r>
      <w:r>
        <w:t>December</w:t>
      </w:r>
      <w:r w:rsidRPr="00C82BFC">
        <w:t> 2021.</w:t>
      </w:r>
    </w:p>
    <w:p w14:paraId="3B1499E5" w14:textId="77777777" w:rsidR="002745C0" w:rsidRPr="00C82BFC" w:rsidRDefault="002745C0" w:rsidP="002745C0">
      <w:pPr>
        <w:pStyle w:val="Heading4"/>
      </w:pPr>
      <w:r w:rsidRPr="00C82BFC">
        <w:t>Aboriginal and Torres Strait Islander Land and Sea Future Fund</w:t>
      </w:r>
    </w:p>
    <w:p w14:paraId="2060A80E" w14:textId="77777777" w:rsidR="002745C0" w:rsidRPr="00C82BFC" w:rsidRDefault="002745C0" w:rsidP="002745C0">
      <w:r w:rsidRPr="00C82BFC">
        <w:t>The Government established the Aboriginal and Torres Strait Islander Land and Sea Future Fund (ATSILSFF) on 1 February 2019 to support payments to the Indigenous Land and Sea Corporation (ILSC).</w:t>
      </w:r>
    </w:p>
    <w:p w14:paraId="371BEDF7" w14:textId="69B23A42" w:rsidR="002745C0" w:rsidRPr="00C82BFC" w:rsidRDefault="002745C0" w:rsidP="002745C0">
      <w:r w:rsidRPr="00C80118">
        <w:t>The ATSILSFF was seeded with the capital of the former Aboriginal and Torres Strait Islander Land Account (Land Account)</w:t>
      </w:r>
      <w:r w:rsidR="00FB77EC" w:rsidRPr="00C80118">
        <w:t xml:space="preserve"> – </w:t>
      </w:r>
      <w:r w:rsidRPr="00C80118">
        <w:t>approximately $2</w:t>
      </w:r>
      <w:r w:rsidR="00AE78AC" w:rsidRPr="00C80118">
        <w:t>.0</w:t>
      </w:r>
      <w:r w:rsidR="0043168A" w:rsidRPr="00C80118">
        <w:t> </w:t>
      </w:r>
      <w:r w:rsidRPr="00C80118">
        <w:t>billion. The Land Account was abolished on the establishment of the ATSILSFF.</w:t>
      </w:r>
    </w:p>
    <w:p w14:paraId="4584DE25" w14:textId="6C9D9D78" w:rsidR="002745C0" w:rsidRPr="00C82BFC" w:rsidRDefault="002745C0" w:rsidP="002745C0">
      <w:r w:rsidRPr="00C82BFC">
        <w:t xml:space="preserve">The investments of the ATSILSFF are managed by the </w:t>
      </w:r>
      <w:r w:rsidR="00F56646">
        <w:t>Future Fund</w:t>
      </w:r>
      <w:r w:rsidRPr="00C82BFC">
        <w:t xml:space="preserve"> Board. The Treasurer and Minister for Finance have set an Investment Mandate for the ATSILSFF, which provides broad direction to the Board in relation to its investment strategy. The</w:t>
      </w:r>
      <w:r w:rsidR="0043168A">
        <w:t> </w:t>
      </w:r>
      <w:r w:rsidRPr="00C82BFC">
        <w:t>ATSILSFF Investment Mandate sets a long</w:t>
      </w:r>
      <w:r w:rsidR="00FB77EC">
        <w:noBreakHyphen/>
      </w:r>
      <w:r w:rsidRPr="00C82BFC">
        <w:t>term benchmark return of CPI plus 2.0</w:t>
      </w:r>
      <w:r w:rsidR="0043168A">
        <w:t> </w:t>
      </w:r>
      <w:r w:rsidRPr="00C82BFC">
        <w:t>to 3.0 per cent per annum, net of costs.</w:t>
      </w:r>
    </w:p>
    <w:p w14:paraId="154AFAE0" w14:textId="00C67810" w:rsidR="00F048BD" w:rsidRPr="00C82BFC" w:rsidRDefault="00F048BD" w:rsidP="00F048BD">
      <w:pPr>
        <w:rPr>
          <w:sz w:val="22"/>
          <w:szCs w:val="22"/>
        </w:rPr>
      </w:pPr>
      <w:r w:rsidRPr="00C82BFC">
        <w:t>For the 12</w:t>
      </w:r>
      <w:r w:rsidR="00FB77EC">
        <w:noBreakHyphen/>
      </w:r>
      <w:r w:rsidRPr="00C82BFC">
        <w:t xml:space="preserve">month period ending 31 </w:t>
      </w:r>
      <w:r>
        <w:t>December</w:t>
      </w:r>
      <w:r w:rsidRPr="00C82BFC">
        <w:t xml:space="preserve"> 2021, the ATSILSFF has returned </w:t>
      </w:r>
      <w:r>
        <w:t>10.7</w:t>
      </w:r>
      <w:r w:rsidR="0043168A">
        <w:t> </w:t>
      </w:r>
      <w:r w:rsidRPr="00C82BFC">
        <w:t>per</w:t>
      </w:r>
      <w:r w:rsidR="0043168A">
        <w:t> </w:t>
      </w:r>
      <w:r w:rsidRPr="00C82BFC">
        <w:t xml:space="preserve">cent against a benchmark </w:t>
      </w:r>
      <w:r w:rsidR="00034C28">
        <w:t xml:space="preserve">return </w:t>
      </w:r>
      <w:r w:rsidRPr="00C82BFC">
        <w:t xml:space="preserve">of </w:t>
      </w:r>
      <w:r>
        <w:t>5.5</w:t>
      </w:r>
      <w:r w:rsidRPr="00C82BFC">
        <w:t xml:space="preserve"> per cent.</w:t>
      </w:r>
      <w:r w:rsidRPr="00C82BFC">
        <w:rPr>
          <w:sz w:val="22"/>
          <w:szCs w:val="22"/>
        </w:rPr>
        <w:t xml:space="preserve"> </w:t>
      </w:r>
      <w:r w:rsidRPr="00C82BFC">
        <w:t>The ATSILSFF was valued at $</w:t>
      </w:r>
      <w:r>
        <w:t>2.2</w:t>
      </w:r>
      <w:r w:rsidR="0043168A">
        <w:t> </w:t>
      </w:r>
      <w:r w:rsidRPr="00C82BFC">
        <w:t xml:space="preserve">billion </w:t>
      </w:r>
      <w:r>
        <w:t xml:space="preserve">as </w:t>
      </w:r>
      <w:r w:rsidRPr="00C82BFC">
        <w:t>at 31 </w:t>
      </w:r>
      <w:r>
        <w:t>December</w:t>
      </w:r>
      <w:r w:rsidRPr="00C82BFC">
        <w:t> 2021.</w:t>
      </w:r>
      <w:r w:rsidRPr="00C82BFC">
        <w:rPr>
          <w:sz w:val="22"/>
          <w:szCs w:val="22"/>
        </w:rPr>
        <w:t xml:space="preserve"> </w:t>
      </w:r>
    </w:p>
    <w:p w14:paraId="78871726" w14:textId="77777777" w:rsidR="002745C0" w:rsidRPr="00C82BFC" w:rsidRDefault="002745C0" w:rsidP="002745C0">
      <w:pPr>
        <w:pStyle w:val="Heading4"/>
        <w:rPr>
          <w:sz w:val="22"/>
          <w:szCs w:val="22"/>
        </w:rPr>
      </w:pPr>
      <w:r w:rsidRPr="00C82BFC">
        <w:t>Future Drought Fund</w:t>
      </w:r>
    </w:p>
    <w:p w14:paraId="718FFA59" w14:textId="77777777" w:rsidR="002745C0" w:rsidRPr="00C82BFC" w:rsidRDefault="002745C0" w:rsidP="002745C0">
      <w:r w:rsidRPr="00C82BFC">
        <w:t>The Government established the Future Drought Fund (FDF) on 1 September 2019 to fund initiatives that enhance future drought resilience, preparedness and response across Australia.</w:t>
      </w:r>
    </w:p>
    <w:p w14:paraId="3B8417C0" w14:textId="5D5F5D9D" w:rsidR="002745C0" w:rsidRPr="00C82BFC" w:rsidRDefault="002745C0" w:rsidP="002745C0">
      <w:r w:rsidRPr="00C82BFC">
        <w:t xml:space="preserve">The FDF was seeded with the </w:t>
      </w:r>
      <w:r w:rsidRPr="00C80118">
        <w:t>uncommitted balance of the Building Australia Fund (BAF)</w:t>
      </w:r>
      <w:r w:rsidR="00FB77EC" w:rsidRPr="00C80118">
        <w:t xml:space="preserve"> – </w:t>
      </w:r>
      <w:r w:rsidRPr="00C80118">
        <w:t>approximately $4</w:t>
      </w:r>
      <w:r w:rsidR="0093199E" w:rsidRPr="00C80118">
        <w:t>.0</w:t>
      </w:r>
      <w:r w:rsidRPr="00C80118">
        <w:t xml:space="preserve"> billion. The BAF was abolished on the establishment of the FDF. The Fund provides disbursements of $100</w:t>
      </w:r>
      <w:r w:rsidR="00E70B74" w:rsidRPr="00C80118">
        <w:t>.0</w:t>
      </w:r>
      <w:r w:rsidRPr="00C80118">
        <w:t xml:space="preserve"> million per annum, with the first disbursement made in July 2020.</w:t>
      </w:r>
    </w:p>
    <w:p w14:paraId="558FFE7C" w14:textId="1C1006F9" w:rsidR="002745C0" w:rsidRPr="00C82BFC" w:rsidRDefault="002745C0" w:rsidP="002745C0">
      <w:r w:rsidRPr="00C82BFC">
        <w:t xml:space="preserve">The investments of the FDF are managed by the </w:t>
      </w:r>
      <w:r w:rsidR="00F56646">
        <w:t xml:space="preserve">Future Fund </w:t>
      </w:r>
      <w:r w:rsidRPr="00C82BFC">
        <w:t xml:space="preserve">Board. The Treasurer and Minister for Finance have set an Investment Mandate for the FDF, which provides broad direction to the Board in relation to its investment strategy. The FDF Investment </w:t>
      </w:r>
      <w:r w:rsidRPr="00C82BFC">
        <w:lastRenderedPageBreak/>
        <w:t>Mandate sets a long</w:t>
      </w:r>
      <w:r w:rsidR="00FB77EC">
        <w:noBreakHyphen/>
      </w:r>
      <w:r w:rsidRPr="00C82BFC">
        <w:t>term benchmark return of CPI plus 2.0 to 3.0 per cent per annum, net of costs.</w:t>
      </w:r>
    </w:p>
    <w:p w14:paraId="1022BDCE" w14:textId="3FB3B0CA" w:rsidR="00F048BD" w:rsidRPr="00C82BFC" w:rsidRDefault="00F048BD" w:rsidP="00F048BD">
      <w:r w:rsidRPr="00C82BFC">
        <w:t>For the 12</w:t>
      </w:r>
      <w:r w:rsidR="00FB77EC">
        <w:noBreakHyphen/>
      </w:r>
      <w:r w:rsidRPr="00C82BFC">
        <w:t xml:space="preserve">month period ending 31 </w:t>
      </w:r>
      <w:r>
        <w:t>December</w:t>
      </w:r>
      <w:r w:rsidRPr="00C82BFC">
        <w:t xml:space="preserve"> 2021, the FDF has returned </w:t>
      </w:r>
      <w:r>
        <w:t>10.8</w:t>
      </w:r>
      <w:r w:rsidRPr="00C82BFC">
        <w:t xml:space="preserve"> per cent against the benchmark </w:t>
      </w:r>
      <w:r w:rsidR="00034C28">
        <w:t xml:space="preserve">return </w:t>
      </w:r>
      <w:r w:rsidRPr="00C82BFC">
        <w:t xml:space="preserve">of </w:t>
      </w:r>
      <w:r>
        <w:t>5.5</w:t>
      </w:r>
      <w:r w:rsidRPr="00C82BFC">
        <w:t xml:space="preserve"> per cent.</w:t>
      </w:r>
      <w:r w:rsidRPr="00C82BFC">
        <w:rPr>
          <w:sz w:val="22"/>
          <w:szCs w:val="22"/>
        </w:rPr>
        <w:t xml:space="preserve"> </w:t>
      </w:r>
      <w:r w:rsidRPr="00C82BFC">
        <w:t>The FDF was valued at $</w:t>
      </w:r>
      <w:r>
        <w:t>4.7</w:t>
      </w:r>
      <w:r w:rsidRPr="00C82BFC">
        <w:t xml:space="preserve"> billion </w:t>
      </w:r>
      <w:r>
        <w:t xml:space="preserve">as </w:t>
      </w:r>
      <w:r w:rsidRPr="00C82BFC">
        <w:t>at 31 </w:t>
      </w:r>
      <w:r>
        <w:t>December</w:t>
      </w:r>
      <w:r w:rsidRPr="00C82BFC">
        <w:t xml:space="preserve"> 2021. </w:t>
      </w:r>
    </w:p>
    <w:p w14:paraId="07BE642B" w14:textId="77777777" w:rsidR="002745C0" w:rsidRPr="00C82BFC" w:rsidRDefault="002745C0" w:rsidP="002745C0">
      <w:pPr>
        <w:pStyle w:val="Heading4"/>
      </w:pPr>
      <w:r w:rsidRPr="00C82BFC">
        <w:t>Emergency Response Fund</w:t>
      </w:r>
    </w:p>
    <w:p w14:paraId="2E156DEF" w14:textId="58535863" w:rsidR="002745C0" w:rsidRPr="00C82BFC" w:rsidRDefault="002745C0" w:rsidP="002745C0">
      <w:r w:rsidRPr="00C82BFC">
        <w:t>The Government established the Emergency Response Fund (ERF) on 12 December</w:t>
      </w:r>
      <w:r w:rsidR="00FA0CCA">
        <w:t> </w:t>
      </w:r>
      <w:r w:rsidRPr="00C82BFC">
        <w:t>2019 to fund initiatives which enhance future national disaster response and recovery efforts across Australia.</w:t>
      </w:r>
    </w:p>
    <w:p w14:paraId="07273907" w14:textId="65DBAB93" w:rsidR="002745C0" w:rsidRPr="00C80118" w:rsidRDefault="002745C0" w:rsidP="002745C0">
      <w:r w:rsidRPr="00C82BFC">
        <w:t xml:space="preserve">The ERF was seeded with the uncommitted balance of the Education Investment Fund (EIF) </w:t>
      </w:r>
      <w:r w:rsidRPr="00C82BFC">
        <w:sym w:font="Symbol" w:char="F0BE"/>
      </w:r>
      <w:r w:rsidRPr="00C82BFC">
        <w:t xml:space="preserve"> </w:t>
      </w:r>
      <w:r w:rsidRPr="00C80118">
        <w:t>approximately $4</w:t>
      </w:r>
      <w:r w:rsidR="0093199E" w:rsidRPr="00C80118">
        <w:t>.0</w:t>
      </w:r>
      <w:r w:rsidRPr="00C80118">
        <w:t xml:space="preserve"> billion. The EIF was abolished on establishment of the ERF. Disbursements from the ERF are limited to $200</w:t>
      </w:r>
      <w:r w:rsidR="00B67470" w:rsidRPr="00C80118">
        <w:t>.0</w:t>
      </w:r>
      <w:r w:rsidRPr="00C80118">
        <w:t xml:space="preserve"> million in each year that the Government decides to access the fund. This is comprised of up to $150</w:t>
      </w:r>
      <w:r w:rsidR="00B67470" w:rsidRPr="00C80118">
        <w:t>.0</w:t>
      </w:r>
      <w:r w:rsidRPr="00C80118">
        <w:t> million for emergency response and recovery after a significant or catastrophic natural disaster, and up to $50</w:t>
      </w:r>
      <w:r w:rsidR="00B67470" w:rsidRPr="00C80118">
        <w:t>.0</w:t>
      </w:r>
      <w:r w:rsidRPr="00C80118">
        <w:t> million to build resilience to prepare for or reduce the risk of future natural disasters.</w:t>
      </w:r>
    </w:p>
    <w:p w14:paraId="06C374CC" w14:textId="5DBACB3D" w:rsidR="002745C0" w:rsidRPr="00C82BFC" w:rsidRDefault="002745C0" w:rsidP="002745C0">
      <w:r w:rsidRPr="00C80118">
        <w:t>The investments of the ERF are</w:t>
      </w:r>
      <w:r w:rsidRPr="00C82BFC">
        <w:t xml:space="preserve"> managed by the </w:t>
      </w:r>
      <w:r w:rsidR="00F56646">
        <w:t xml:space="preserve">Future Fund </w:t>
      </w:r>
      <w:r w:rsidRPr="00C82BFC">
        <w:t>Board. The Treasurer and Minister for Finance have set an Investment Mandate for the ERF, which provides broad direction to the Board in relation to its investment strategy. The ERF Investment Mandate sets a long</w:t>
      </w:r>
      <w:r w:rsidR="00FB77EC">
        <w:noBreakHyphen/>
      </w:r>
      <w:r w:rsidRPr="00C82BFC">
        <w:t>term benchmark return of CPI plus 2.0 to 3.0 per cent per annum, net of costs.</w:t>
      </w:r>
    </w:p>
    <w:p w14:paraId="136472E1" w14:textId="2D76D5F2" w:rsidR="00F048BD" w:rsidRPr="00C82BFC" w:rsidRDefault="00F048BD" w:rsidP="00F048BD">
      <w:r w:rsidRPr="00C82BFC">
        <w:t>For the 12</w:t>
      </w:r>
      <w:r w:rsidR="00FB77EC">
        <w:noBreakHyphen/>
      </w:r>
      <w:r w:rsidRPr="00C82BFC">
        <w:t xml:space="preserve">month period ending 31 </w:t>
      </w:r>
      <w:r>
        <w:t>December</w:t>
      </w:r>
      <w:r w:rsidRPr="00C82BFC">
        <w:t xml:space="preserve"> 2021, the ERF has returned </w:t>
      </w:r>
      <w:r>
        <w:t>10.8 </w:t>
      </w:r>
      <w:r w:rsidRPr="00C82BFC">
        <w:t xml:space="preserve">per cent against the benchmark </w:t>
      </w:r>
      <w:r w:rsidR="00034C28">
        <w:t xml:space="preserve">return </w:t>
      </w:r>
      <w:r w:rsidRPr="00C82BFC">
        <w:t xml:space="preserve">of </w:t>
      </w:r>
      <w:r>
        <w:t>5.5</w:t>
      </w:r>
      <w:r w:rsidRPr="00C82BFC">
        <w:t xml:space="preserve"> per cent.</w:t>
      </w:r>
      <w:r w:rsidRPr="00C82BFC">
        <w:rPr>
          <w:sz w:val="22"/>
          <w:szCs w:val="22"/>
        </w:rPr>
        <w:t xml:space="preserve"> </w:t>
      </w:r>
      <w:r w:rsidRPr="00C82BFC">
        <w:t>The ERF was valued at $</w:t>
      </w:r>
      <w:r>
        <w:t>4.8 </w:t>
      </w:r>
      <w:r w:rsidRPr="00C82BFC">
        <w:t xml:space="preserve">billion </w:t>
      </w:r>
      <w:r>
        <w:t xml:space="preserve">as </w:t>
      </w:r>
      <w:r w:rsidRPr="00C82BFC">
        <w:t>at 31 </w:t>
      </w:r>
      <w:r>
        <w:t>December</w:t>
      </w:r>
      <w:r w:rsidRPr="00C82BFC">
        <w:t> 2021.</w:t>
      </w:r>
    </w:p>
    <w:p w14:paraId="50A47C17" w14:textId="77777777" w:rsidR="00E20726" w:rsidRPr="00C82BFC" w:rsidRDefault="00E20726" w:rsidP="00E20726">
      <w:pPr>
        <w:pStyle w:val="Heading4"/>
      </w:pPr>
      <w:r w:rsidRPr="00C82BFC">
        <w:t>National Broadband Network</w:t>
      </w:r>
    </w:p>
    <w:p w14:paraId="513954AC" w14:textId="27F0D440" w:rsidR="002745C0" w:rsidRPr="00C82BFC" w:rsidRDefault="002745C0" w:rsidP="002745C0">
      <w:r w:rsidRPr="00C82BFC">
        <w:t>NBN Co Limited</w:t>
      </w:r>
      <w:r w:rsidR="00FB77EC">
        <w:t>’</w:t>
      </w:r>
      <w:r w:rsidRPr="00C82BFC">
        <w:t xml:space="preserve">s (NBN Co) key objective is to ensure that all Australians have access to fast and reliable broadband, at affordable prices, and at least cost to taxpayers. </w:t>
      </w:r>
    </w:p>
    <w:p w14:paraId="1F722DEB" w14:textId="1BE0E630" w:rsidR="002745C0" w:rsidRPr="00C82BFC" w:rsidRDefault="002745C0" w:rsidP="002745C0">
      <w:r w:rsidRPr="00C82BFC">
        <w:t>The Government has provided $29.5 billion in equity to NBN Co, with the final contributions made in 2017</w:t>
      </w:r>
      <w:r w:rsidR="00FB77EC">
        <w:noBreakHyphen/>
      </w:r>
      <w:r w:rsidRPr="00C82BFC">
        <w:t>18.</w:t>
      </w:r>
    </w:p>
    <w:p w14:paraId="7A584544" w14:textId="6325EDC1" w:rsidR="002745C0" w:rsidRPr="00C82BFC" w:rsidRDefault="002745C0" w:rsidP="002745C0">
      <w:r w:rsidRPr="00C82BFC">
        <w:t>The Government also provided a loan of $19.5 billion to NBN Co on commercial terms, which was fully drawn down in July 2020. In the 2020</w:t>
      </w:r>
      <w:r w:rsidR="00FB77EC">
        <w:noBreakHyphen/>
      </w:r>
      <w:r w:rsidRPr="00C82BFC">
        <w:t xml:space="preserve">21 MYEFO the Government amended the loan agreement and allowed NBN Co to access private debt markets to finance the repayments. </w:t>
      </w:r>
      <w:r w:rsidR="00E20726" w:rsidRPr="00C82BFC">
        <w:t xml:space="preserve">NBN Co has </w:t>
      </w:r>
      <w:r w:rsidR="00E20726">
        <w:t>repaid</w:t>
      </w:r>
      <w:r w:rsidR="00E20726" w:rsidRPr="00C82BFC">
        <w:t xml:space="preserve"> </w:t>
      </w:r>
      <w:r w:rsidR="00E20726">
        <w:t>$12.1</w:t>
      </w:r>
      <w:r w:rsidR="00E20726" w:rsidRPr="00C82BFC">
        <w:t xml:space="preserve"> billion </w:t>
      </w:r>
      <w:r w:rsidR="00F56646">
        <w:t xml:space="preserve">of the loan </w:t>
      </w:r>
      <w:r w:rsidR="00F110BE">
        <w:t>as at 28</w:t>
      </w:r>
      <w:r w:rsidR="00FA0CCA">
        <w:t> </w:t>
      </w:r>
      <w:r w:rsidR="00F110BE">
        <w:t>February</w:t>
      </w:r>
      <w:r w:rsidR="00FA0CCA">
        <w:t> </w:t>
      </w:r>
      <w:r w:rsidR="00F110BE">
        <w:t>2022.</w:t>
      </w:r>
    </w:p>
    <w:p w14:paraId="27664B0C" w14:textId="77777777" w:rsidR="002745C0" w:rsidRPr="00C82BFC" w:rsidRDefault="002745C0" w:rsidP="002745C0">
      <w:pPr>
        <w:pStyle w:val="Heading4"/>
      </w:pPr>
      <w:r w:rsidRPr="00C82BFC">
        <w:lastRenderedPageBreak/>
        <w:t>Clean Energy Finance Corporation</w:t>
      </w:r>
    </w:p>
    <w:p w14:paraId="1A59E341" w14:textId="77777777" w:rsidR="002745C0" w:rsidRPr="00C82BFC" w:rsidRDefault="002745C0" w:rsidP="002745C0">
      <w:r w:rsidRPr="00C82BFC">
        <w:t xml:space="preserve">The Clean Energy Finance Corporation (CEFC) was established as a Commonwealth Authority in August 2012 through the </w:t>
      </w:r>
      <w:r w:rsidRPr="00C82BFC">
        <w:rPr>
          <w:i/>
        </w:rPr>
        <w:t>Clean Energy Finance Corporation Act 2012</w:t>
      </w:r>
      <w:r w:rsidRPr="00C82BFC">
        <w:t xml:space="preserve"> (CEFC Act).</w:t>
      </w:r>
    </w:p>
    <w:p w14:paraId="056FEA91" w14:textId="2E803CED" w:rsidR="002745C0" w:rsidRPr="00C80118" w:rsidRDefault="002745C0" w:rsidP="002745C0">
      <w:r w:rsidRPr="00C80118">
        <w:t>Under the CEFC Act, the CEFC has been provided $10</w:t>
      </w:r>
      <w:r w:rsidR="00B717D4" w:rsidRPr="00C80118">
        <w:t>.0</w:t>
      </w:r>
      <w:r w:rsidRPr="00C80118">
        <w:t xml:space="preserve"> billion to invest in renewable energy, low emissions technology and energy efficiency projects. The CEFC will also administer the $1</w:t>
      </w:r>
      <w:r w:rsidR="00B717D4" w:rsidRPr="00C80118">
        <w:t>.0</w:t>
      </w:r>
      <w:r w:rsidRPr="00C80118">
        <w:t xml:space="preserve"> billion Grid Reliability Fund</w:t>
      </w:r>
      <w:r w:rsidR="00F56646" w:rsidRPr="00C80118">
        <w:t>,</w:t>
      </w:r>
      <w:r w:rsidRPr="00C80118">
        <w:t xml:space="preserve"> when established, to support investment in new energy generation, storage and transmission infrastructure. </w:t>
      </w:r>
    </w:p>
    <w:p w14:paraId="318667C3" w14:textId="4881422C" w:rsidR="0066458A" w:rsidRDefault="0066458A" w:rsidP="0066458A">
      <w:r w:rsidRPr="00C80118">
        <w:t>The Government has also provided $500</w:t>
      </w:r>
      <w:r w:rsidR="00A77478" w:rsidRPr="00C80118">
        <w:t>.0</w:t>
      </w:r>
      <w:r w:rsidRPr="00C80118">
        <w:t xml:space="preserve"> million to the CEFC</w:t>
      </w:r>
      <w:r w:rsidR="00F56646" w:rsidRPr="00C80118">
        <w:t>,</w:t>
      </w:r>
      <w:r w:rsidRPr="00C80118">
        <w:t xml:space="preserve"> to combine with $500</w:t>
      </w:r>
      <w:r w:rsidR="00A77478" w:rsidRPr="00C80118">
        <w:t>.0</w:t>
      </w:r>
      <w:r w:rsidRPr="00C80118">
        <w:t> million from the private sector</w:t>
      </w:r>
      <w:r w:rsidR="00F56646" w:rsidRPr="00C80118">
        <w:t>,</w:t>
      </w:r>
      <w:r w:rsidRPr="00C80118">
        <w:t xml:space="preserve"> to establish a $</w:t>
      </w:r>
      <w:r w:rsidRPr="00115023">
        <w:t>1</w:t>
      </w:r>
      <w:r w:rsidR="0093199E">
        <w:t>.0</w:t>
      </w:r>
      <w:r w:rsidRPr="00115023">
        <w:t xml:space="preserve"> billion </w:t>
      </w:r>
      <w:r>
        <w:t>Low Emissions Technology Commercialisation Fund.</w:t>
      </w:r>
    </w:p>
    <w:p w14:paraId="0C476854" w14:textId="168D1F19" w:rsidR="0066458A" w:rsidRDefault="0066458A" w:rsidP="0066458A">
      <w:r w:rsidRPr="00C82BFC">
        <w:t>The CEFC continues to invest funds and manage its investments. Investment decisions are made by an independent board consistent with the CEFC Act and the CEFC</w:t>
      </w:r>
      <w:r w:rsidR="00FB77EC">
        <w:t>’</w:t>
      </w:r>
      <w:r w:rsidRPr="00C82BFC">
        <w:t>s investment mandate.</w:t>
      </w:r>
    </w:p>
    <w:p w14:paraId="2A7A12BE" w14:textId="77777777" w:rsidR="002745C0" w:rsidRPr="00C82BFC" w:rsidRDefault="002745C0" w:rsidP="002745C0">
      <w:pPr>
        <w:pStyle w:val="Heading3"/>
      </w:pPr>
      <w:bookmarkStart w:id="4" w:name="_Toc4789266"/>
      <w:bookmarkStart w:id="5" w:name="_Toc481600495"/>
      <w:bookmarkStart w:id="6" w:name="_Toc512589171"/>
      <w:bookmarkStart w:id="7" w:name="_Toc512589866"/>
      <w:bookmarkStart w:id="8" w:name="_Toc512590015"/>
      <w:bookmarkStart w:id="9" w:name="_Toc4852001"/>
      <w:r w:rsidRPr="00C82BFC">
        <w:t>Liabilities</w:t>
      </w:r>
      <w:bookmarkEnd w:id="4"/>
    </w:p>
    <w:p w14:paraId="282DCDA7" w14:textId="67FCD201" w:rsidR="002745C0" w:rsidRPr="00C82BFC" w:rsidRDefault="002745C0" w:rsidP="002745C0">
      <w:r w:rsidRPr="00C82BFC">
        <w:t>The Government</w:t>
      </w:r>
      <w:r w:rsidR="00FB77EC">
        <w:t>’</w:t>
      </w:r>
      <w:r w:rsidRPr="00C82BFC">
        <w:t>s total liabilities are estimated to be $1.</w:t>
      </w:r>
      <w:r w:rsidR="0042193E">
        <w:t>4</w:t>
      </w:r>
      <w:r w:rsidR="0042193E" w:rsidRPr="00C82BFC">
        <w:t xml:space="preserve"> </w:t>
      </w:r>
      <w:r w:rsidRPr="00C82BFC">
        <w:t xml:space="preserve">trillion in </w:t>
      </w:r>
      <w:r w:rsidR="00B60679">
        <w:t>2021</w:t>
      </w:r>
      <w:r w:rsidR="00FB77EC">
        <w:noBreakHyphen/>
      </w:r>
      <w:r w:rsidR="00B60679">
        <w:t>22</w:t>
      </w:r>
      <w:r w:rsidRPr="00C82BFC">
        <w:t>, increasing to $1.7 trillion by the end of the forward estimates.</w:t>
      </w:r>
    </w:p>
    <w:p w14:paraId="00375637" w14:textId="5C3AE64E" w:rsidR="002745C0" w:rsidRPr="00C82BFC" w:rsidRDefault="002745C0" w:rsidP="002745C0">
      <w:r w:rsidRPr="00C82BFC">
        <w:t>The Government</w:t>
      </w:r>
      <w:r w:rsidR="00FB77EC">
        <w:t>’</w:t>
      </w:r>
      <w:r w:rsidRPr="00C82BFC">
        <w:t>s major liabilities are Australian Government Securities on issue (see </w:t>
      </w:r>
      <w:r w:rsidRPr="00C82BFC">
        <w:rPr>
          <w:i/>
        </w:rPr>
        <w:t>Statement 7: Debt Statement</w:t>
      </w:r>
      <w:r w:rsidRPr="00C82BFC">
        <w:t xml:space="preserve"> for further information) and public sector employee superannuation liabilities.</w:t>
      </w:r>
    </w:p>
    <w:p w14:paraId="65F32796" w14:textId="77777777" w:rsidR="002745C0" w:rsidRPr="00C82BFC" w:rsidRDefault="002745C0" w:rsidP="002745C0">
      <w:pPr>
        <w:pStyle w:val="Heading4"/>
      </w:pPr>
      <w:r w:rsidRPr="00C82BFC">
        <w:t>Public sector employee superannuation liabilities</w:t>
      </w:r>
    </w:p>
    <w:p w14:paraId="3C429AC2" w14:textId="5D2A50F6" w:rsidR="00F048BD" w:rsidRPr="00C82BFC" w:rsidRDefault="00F048BD" w:rsidP="00F048BD">
      <w:r w:rsidRPr="00C82BFC">
        <w:t>Public sector employee superannuation entitlements relating to past and present civilian employees and military personnel are a financial liability on the Government</w:t>
      </w:r>
      <w:r w:rsidR="00FB77EC">
        <w:t>’</w:t>
      </w:r>
      <w:r w:rsidRPr="00C82BFC">
        <w:t>s balance sheet. By the end of the forward estimates period, the Government</w:t>
      </w:r>
      <w:r w:rsidR="00FB77EC">
        <w:t>’</w:t>
      </w:r>
      <w:r w:rsidRPr="00C82BFC">
        <w:t xml:space="preserve">s superannuation liabilities are projected to </w:t>
      </w:r>
      <w:r w:rsidRPr="00E905D2">
        <w:t>be $284.2</w:t>
      </w:r>
      <w:r w:rsidRPr="00C82BFC">
        <w:t xml:space="preserve"> billion and </w:t>
      </w:r>
      <w:r w:rsidRPr="002E711E">
        <w:t>approximately $</w:t>
      </w:r>
      <w:r w:rsidRPr="00197DC2">
        <w:t>432.6</w:t>
      </w:r>
      <w:r w:rsidR="00FA0CCA">
        <w:t> </w:t>
      </w:r>
      <w:r w:rsidRPr="002E711E">
        <w:t>billion</w:t>
      </w:r>
      <w:r w:rsidRPr="00C82BFC">
        <w:t xml:space="preserve"> at 30 June 2050. </w:t>
      </w:r>
    </w:p>
    <w:p w14:paraId="6237D09A" w14:textId="5DFD11B1" w:rsidR="002745C0" w:rsidRPr="00C82BFC" w:rsidRDefault="002745C0" w:rsidP="002745C0">
      <w:r w:rsidRPr="00C82BFC">
        <w:t>These liabilities represent the present value of future unfunded superannuation benefits and are based on an actuarially determined discount rate</w:t>
      </w:r>
      <w:r>
        <w:t xml:space="preserve">. </w:t>
      </w:r>
      <w:r w:rsidRPr="00C82BFC">
        <w:t>The long</w:t>
      </w:r>
      <w:r w:rsidR="00FB77EC">
        <w:noBreakHyphen/>
      </w:r>
      <w:r w:rsidRPr="00C82BFC">
        <w:t>term nature of the unfunded superannuation liabilities requires the use of a discount rate that best matches the duration of the liabilities. The use of a long</w:t>
      </w:r>
      <w:r w:rsidR="00FB77EC">
        <w:noBreakHyphen/>
      </w:r>
      <w:r w:rsidRPr="00C82BFC">
        <w:t>term discount rate for budget purposes avoids the volatility that would occur by using current market yields on Government bonds, which continually change. The value recorded on the balance sheet is highly sensitive to the discount rate used.</w:t>
      </w:r>
    </w:p>
    <w:p w14:paraId="124A92C4" w14:textId="77777777" w:rsidR="00F048BD" w:rsidRPr="00C82BFC" w:rsidRDefault="00F048BD" w:rsidP="00F048BD">
      <w:r w:rsidRPr="00C82BFC">
        <w:lastRenderedPageBreak/>
        <w:t>In preparing the latest Long Term Cost Reports for the civilian and military schemes</w:t>
      </w:r>
      <w:r w:rsidRPr="00C82BFC">
        <w:rPr>
          <w:strike/>
        </w:rPr>
        <w:t>,</w:t>
      </w:r>
      <w:r w:rsidRPr="00C82BFC">
        <w:t xml:space="preserve"> the scheme actuaries have determined that a discount rate </w:t>
      </w:r>
      <w:r w:rsidRPr="00E905D2">
        <w:t>of 5.0 per cent should</w:t>
      </w:r>
      <w:r w:rsidRPr="00C82BFC">
        <w:t xml:space="preserve"> be applied.</w:t>
      </w:r>
    </w:p>
    <w:p w14:paraId="51ED357B" w14:textId="47E42539" w:rsidR="002745C0" w:rsidRPr="00C82BFC" w:rsidRDefault="002745C0" w:rsidP="002745C0">
      <w:r w:rsidRPr="00C82BFC">
        <w:t>The Australian Government has never fully funded its superannuation liabilities in relation to defined benefit schemes. However, the Future Fund was established in 2006 to help finance the Government</w:t>
      </w:r>
      <w:r w:rsidR="00FB77EC">
        <w:t>’</w:t>
      </w:r>
      <w:r w:rsidRPr="00C82BFC">
        <w:t>s unfunded superannuation liabilities.</w:t>
      </w:r>
    </w:p>
    <w:p w14:paraId="14298614" w14:textId="77777777" w:rsidR="002745C0" w:rsidRPr="00C82BFC" w:rsidRDefault="002745C0" w:rsidP="002745C0">
      <w:r w:rsidRPr="00C82BFC">
        <w:t>For civilian employees, the major defined benefit schemes are the Commonwealth Superannuation Scheme and the Public Sector Superannuation Scheme. These schemes were closed to new members in 1990 and 2005 respectively. The Public Sector Superannuation accumulation plan was introduced on 1 July 2005 and provides fully funded accumulation benefits for new civilian employees from that date.</w:t>
      </w:r>
    </w:p>
    <w:p w14:paraId="1809714E" w14:textId="77777777" w:rsidR="002745C0" w:rsidRPr="00C82BFC" w:rsidRDefault="002745C0" w:rsidP="002745C0">
      <w:r w:rsidRPr="00C82BFC">
        <w:t>For military personnel, the defined benefit schemes are the Defence Force Retirement and Death Benefits Scheme, the Defence Forces Retirement Benefits Scheme and the Military Superannuation and Benefits Scheme (MSBS). Following the closure of the MSBS on 30 June 2016, all defined benefit military schemes are now closed to new members. A new military superannuation accumulation scheme, ADF Super, commenced on 1 July 2016. ADF Super is accompanied by a statutory death and disability arrangement ADF cover.</w:t>
      </w:r>
    </w:p>
    <w:p w14:paraId="3D4C6E1D" w14:textId="1956E2DF" w:rsidR="002745C0" w:rsidRPr="00C82BFC" w:rsidRDefault="002745C0" w:rsidP="002745C0">
      <w:r w:rsidRPr="00C82BFC">
        <w:t>While there have not been any new members to the public service and military defined benefit schemes since closure in 2005 and 2016 respectively, the value of the Government</w:t>
      </w:r>
      <w:r w:rsidR="00FB77EC">
        <w:t>’</w:t>
      </w:r>
      <w:r w:rsidRPr="00C82BFC">
        <w:t>s unfunded superannuation liabilities (valued using the long</w:t>
      </w:r>
      <w:r w:rsidR="00FB77EC">
        <w:noBreakHyphen/>
      </w:r>
      <w:r w:rsidRPr="00C82BFC">
        <w:t xml:space="preserve">term discount rate) is projected to continue growing (in nominal terms) into the immediate future </w:t>
      </w:r>
      <w:r w:rsidRPr="00C82BFC">
        <w:sym w:font="Symbol" w:char="F0BE"/>
      </w:r>
      <w:r w:rsidRPr="00C82BFC">
        <w:t xml:space="preserve"> although it is projected to decrease as a proportion of GDP. The increase in the liabilities partly results from the time value of money which recognises future benefits being closer to maturity each year. It also results from the accruing entitlements to current members of the civilian and military defined benefit schemes, and members covered by the statutory death and disability arrangement ADF cover.</w:t>
      </w:r>
    </w:p>
    <w:p w14:paraId="0081CF3B" w14:textId="66008130" w:rsidR="009345C5" w:rsidRPr="006568AA" w:rsidRDefault="002745C0" w:rsidP="006568AA">
      <w:r w:rsidRPr="00C82BFC">
        <w:t>As the superannuation liabilities are included in the Government</w:t>
      </w:r>
      <w:r w:rsidR="00FB77EC">
        <w:t>’</w:t>
      </w:r>
      <w:r w:rsidRPr="00C82BFC">
        <w:t>s net worth and net financial worth aggregates, revaluations of the liabilities have an impact on these aggregates.</w:t>
      </w:r>
      <w:bookmarkEnd w:id="5"/>
      <w:bookmarkEnd w:id="6"/>
      <w:bookmarkEnd w:id="7"/>
      <w:bookmarkEnd w:id="8"/>
      <w:bookmarkEnd w:id="9"/>
    </w:p>
    <w:sectPr w:rsidR="009345C5" w:rsidRPr="006568AA" w:rsidSect="00285A0D">
      <w:headerReference w:type="even" r:id="rId11"/>
      <w:headerReference w:type="default" r:id="rId12"/>
      <w:footerReference w:type="even" r:id="rId13"/>
      <w:footerReference w:type="default" r:id="rId14"/>
      <w:footerReference w:type="first" r:id="rId15"/>
      <w:pgSz w:w="11906" w:h="16838" w:code="9"/>
      <w:pgMar w:top="2835" w:right="2098" w:bottom="2466" w:left="2098" w:header="1814" w:footer="1814" w:gutter="0"/>
      <w:pgNumType w:start="3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DDDF0" w14:textId="77777777" w:rsidR="00342FE2" w:rsidRDefault="00342FE2" w:rsidP="00E40261">
      <w:pPr>
        <w:spacing w:after="0" w:line="240" w:lineRule="auto"/>
      </w:pPr>
      <w:r>
        <w:separator/>
      </w:r>
    </w:p>
  </w:endnote>
  <w:endnote w:type="continuationSeparator" w:id="0">
    <w:p w14:paraId="20CA0084" w14:textId="77777777" w:rsidR="00342FE2" w:rsidRDefault="00342FE2" w:rsidP="00E40261">
      <w:pPr>
        <w:spacing w:after="0" w:line="240" w:lineRule="auto"/>
      </w:pPr>
      <w:r>
        <w:continuationSeparator/>
      </w:r>
    </w:p>
  </w:endnote>
  <w:endnote w:type="continuationNotice" w:id="1">
    <w:p w14:paraId="2924D85E" w14:textId="77777777" w:rsidR="00342FE2" w:rsidRDefault="00342F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1C46" w14:textId="37D878E5" w:rsidR="00692105" w:rsidRDefault="002745C0"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sidR="002E64F5" w:rsidRPr="002E64F5">
      <w:rPr>
        <w:b/>
        <w:bCs/>
        <w:noProof/>
      </w:rPr>
      <w:t>6</w:t>
    </w:r>
    <w:r w:rsidRPr="00B3705D">
      <w:rPr>
        <w:b/>
        <w:bCs/>
      </w:rPr>
      <w:fldChar w:fldCharType="end"/>
    </w:r>
    <w:r w:rsidRPr="00B3705D">
      <w:t xml:space="preserve">  |  </w:t>
    </w:r>
    <w:r w:rsidR="00D04FD1">
      <w:fldChar w:fldCharType="begin"/>
    </w:r>
    <w:r w:rsidR="00D04FD1">
      <w:instrText xml:space="preserve"> SUBJECT   \* MERGEFORMAT </w:instrText>
    </w:r>
    <w:r w:rsidR="00D04FD1">
      <w:fldChar w:fldCharType="separate"/>
    </w:r>
    <w:r w:rsidR="00BB3257">
      <w:t>Statement 9: Australian Government Budget Financial Statements</w:t>
    </w:r>
    <w:r w:rsidR="00D04FD1">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E628E" w14:textId="2A9A18AE" w:rsidR="00692105" w:rsidRDefault="00D04FD1" w:rsidP="005E62E4">
    <w:pPr>
      <w:pStyle w:val="FooterOdd"/>
    </w:pPr>
    <w:r>
      <w:fldChar w:fldCharType="begin"/>
    </w:r>
    <w:r>
      <w:instrText xml:space="preserve"> SUBJECT   \* MERGEFORMAT </w:instrText>
    </w:r>
    <w:r>
      <w:fldChar w:fldCharType="separate"/>
    </w:r>
    <w:r w:rsidR="00BB3257">
      <w:t>Statement 9: Australian Government Budget Financial Statements</w:t>
    </w:r>
    <w:r>
      <w:fldChar w:fldCharType="end"/>
    </w:r>
    <w:r w:rsidR="002745C0" w:rsidRPr="00B3705D">
      <w:t xml:space="preserve">  |  </w:t>
    </w:r>
    <w:r w:rsidR="002745C0" w:rsidRPr="00B3705D">
      <w:rPr>
        <w:b/>
        <w:bCs/>
      </w:rPr>
      <w:t xml:space="preserve">Page </w:t>
    </w:r>
    <w:r w:rsidR="002745C0" w:rsidRPr="00B3705D">
      <w:rPr>
        <w:b/>
        <w:bCs/>
      </w:rPr>
      <w:fldChar w:fldCharType="begin"/>
    </w:r>
    <w:r w:rsidR="002745C0" w:rsidRPr="00B3705D">
      <w:rPr>
        <w:b/>
        <w:bCs/>
      </w:rPr>
      <w:instrText xml:space="preserve"> PAGE  \* Arabic  \* MERGEFORMAT </w:instrText>
    </w:r>
    <w:r w:rsidR="002745C0" w:rsidRPr="00B3705D">
      <w:rPr>
        <w:b/>
        <w:bCs/>
      </w:rPr>
      <w:fldChar w:fldCharType="separate"/>
    </w:r>
    <w:r w:rsidR="002E64F5">
      <w:rPr>
        <w:b/>
        <w:bCs/>
        <w:noProof/>
      </w:rPr>
      <w:t>5</w:t>
    </w:r>
    <w:r w:rsidR="002745C0"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ACAD0" w14:textId="593ECD22" w:rsidR="00692105" w:rsidRDefault="00D04FD1" w:rsidP="005E62E4">
    <w:pPr>
      <w:pStyle w:val="FooterOdd"/>
    </w:pPr>
    <w:r>
      <w:fldChar w:fldCharType="begin"/>
    </w:r>
    <w:r>
      <w:instrText xml:space="preserve"> SUBJECT   \* MERGEFORMAT </w:instrText>
    </w:r>
    <w:r>
      <w:fldChar w:fldCharType="separate"/>
    </w:r>
    <w:r w:rsidR="00BB3257">
      <w:t>Statement 9: Australian Government Budget Financial Statements</w:t>
    </w:r>
    <w:r>
      <w:fldChar w:fldCharType="end"/>
    </w:r>
    <w:r w:rsidR="00C56C79">
      <w:t xml:space="preserve">  </w:t>
    </w:r>
    <w:r w:rsidR="002745C0" w:rsidRPr="00B3705D">
      <w:t xml:space="preserve">|  </w:t>
    </w:r>
    <w:r w:rsidR="002745C0" w:rsidRPr="00B3705D">
      <w:rPr>
        <w:b/>
        <w:bCs/>
      </w:rPr>
      <w:t xml:space="preserve">Page </w:t>
    </w:r>
    <w:r w:rsidR="002745C0" w:rsidRPr="00B3705D">
      <w:rPr>
        <w:b/>
        <w:bCs/>
      </w:rPr>
      <w:fldChar w:fldCharType="begin"/>
    </w:r>
    <w:r w:rsidR="002745C0" w:rsidRPr="00B3705D">
      <w:rPr>
        <w:b/>
        <w:bCs/>
      </w:rPr>
      <w:instrText xml:space="preserve"> PAGE  \* Arabic  \* MERGEFORMAT </w:instrText>
    </w:r>
    <w:r w:rsidR="002745C0" w:rsidRPr="00B3705D">
      <w:rPr>
        <w:b/>
        <w:bCs/>
      </w:rPr>
      <w:fldChar w:fldCharType="separate"/>
    </w:r>
    <w:r w:rsidR="002E64F5">
      <w:rPr>
        <w:b/>
        <w:bCs/>
        <w:noProof/>
      </w:rPr>
      <w:t>1</w:t>
    </w:r>
    <w:r w:rsidR="002745C0"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67824" w14:textId="77777777" w:rsidR="00342FE2" w:rsidRDefault="00342FE2" w:rsidP="00E40261">
      <w:pPr>
        <w:spacing w:after="0" w:line="240" w:lineRule="auto"/>
      </w:pPr>
      <w:r>
        <w:separator/>
      </w:r>
    </w:p>
  </w:footnote>
  <w:footnote w:type="continuationSeparator" w:id="0">
    <w:p w14:paraId="7FE4D154" w14:textId="77777777" w:rsidR="00342FE2" w:rsidRDefault="00342FE2" w:rsidP="00E40261">
      <w:pPr>
        <w:spacing w:after="0" w:line="240" w:lineRule="auto"/>
      </w:pPr>
      <w:r>
        <w:continuationSeparator/>
      </w:r>
    </w:p>
  </w:footnote>
  <w:footnote w:type="continuationNotice" w:id="1">
    <w:p w14:paraId="0856940A" w14:textId="77777777" w:rsidR="00342FE2" w:rsidRDefault="00342FE2">
      <w:pPr>
        <w:spacing w:after="0" w:line="240" w:lineRule="auto"/>
      </w:pPr>
    </w:p>
  </w:footnote>
  <w:footnote w:id="2">
    <w:p w14:paraId="536F31D0" w14:textId="77777777" w:rsidR="002745C0" w:rsidRDefault="002745C0" w:rsidP="002745C0">
      <w:pPr>
        <w:pStyle w:val="FootnoteText"/>
        <w:tabs>
          <w:tab w:val="clear" w:pos="284"/>
          <w:tab w:val="left" w:pos="0"/>
        </w:tabs>
      </w:pPr>
      <w:r w:rsidRPr="001A4505">
        <w:rPr>
          <w:rStyle w:val="FootnoteReference"/>
          <w:vertAlign w:val="baseline"/>
        </w:rPr>
        <w:footnoteRef/>
      </w:r>
      <w:r>
        <w:t xml:space="preserve"> </w:t>
      </w:r>
      <w:r>
        <w:tab/>
      </w:r>
      <w:r w:rsidRPr="00933A98">
        <w:t xml:space="preserve">Financial assets include loans. Information on Government loans, including the </w:t>
      </w:r>
      <w:r w:rsidRPr="00933A98">
        <w:rPr>
          <w:i/>
        </w:rPr>
        <w:t>Higher Education Loan Program</w:t>
      </w:r>
      <w:r w:rsidRPr="00933A98">
        <w:t xml:space="preserve">, can be found in </w:t>
      </w:r>
      <w:r>
        <w:rPr>
          <w:i/>
        </w:rPr>
        <w:t>Statement 9</w:t>
      </w:r>
      <w:r w:rsidRPr="00933A98">
        <w:rPr>
          <w:i/>
        </w:rPr>
        <w:t>: Statement of Risks</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0700" w14:textId="7C09DDE0" w:rsidR="00692105" w:rsidRPr="00AA5439" w:rsidRDefault="00692105"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51D8FCDD" w14:textId="77777777" w:rsidTr="002A6A16">
      <w:trPr>
        <w:trHeight w:hRule="exact" w:val="340"/>
      </w:trPr>
      <w:tc>
        <w:tcPr>
          <w:tcW w:w="7797" w:type="dxa"/>
        </w:tcPr>
        <w:p w14:paraId="3A1EFCE7" w14:textId="6AFDB24A" w:rsidR="00692105" w:rsidRDefault="00692105" w:rsidP="008F55F8">
          <w:pPr>
            <w:pStyle w:val="HeaderEven"/>
            <w:ind w:left="-113"/>
          </w:pPr>
          <w:r w:rsidRPr="000635BE">
            <w:rPr>
              <w:rFonts w:ascii="Arial Bold" w:hAnsi="Arial Bold"/>
              <w:b/>
              <w:bCs/>
              <w:noProof/>
              <w:position w:val="-10"/>
            </w:rPr>
            <w:drawing>
              <wp:inline distT="0" distB="0" distL="0" distR="0" wp14:anchorId="6830EB2E" wp14:editId="37BB3334">
                <wp:extent cx="989308" cy="225993"/>
                <wp:effectExtent l="0" t="0" r="190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r>
            <w:t xml:space="preserve">  |  </w:t>
          </w:r>
          <w:r w:rsidR="00D04FD1">
            <w:fldChar w:fldCharType="begin"/>
          </w:r>
          <w:r w:rsidR="00D04FD1">
            <w:instrText xml:space="preserve"> TITLE   \* MERGEFORMAT </w:instrText>
          </w:r>
          <w:r w:rsidR="00D04FD1">
            <w:fldChar w:fldCharType="separate"/>
          </w:r>
          <w:r w:rsidR="00BB3257">
            <w:t>Budget Paper No. 1</w:t>
          </w:r>
          <w:r w:rsidR="00D04FD1">
            <w:fldChar w:fldCharType="end"/>
          </w:r>
        </w:p>
      </w:tc>
    </w:tr>
  </w:tbl>
  <w:p w14:paraId="0C69870D" w14:textId="77777777" w:rsidR="00692105" w:rsidRPr="00AA5439" w:rsidRDefault="00692105" w:rsidP="00AA5439">
    <w:pPr>
      <w:pStyle w:val="HeaderEven"/>
      <w:rPr>
        <w:sz w:val="2"/>
        <w:szCs w:val="4"/>
      </w:rPr>
    </w:pPr>
  </w:p>
  <w:p w14:paraId="476EAC41" w14:textId="77777777" w:rsidR="00692105" w:rsidRPr="007703C7" w:rsidRDefault="00692105"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60821" w14:textId="38EF6734" w:rsidR="00692105" w:rsidRPr="000635BE" w:rsidRDefault="00692105"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692105" w14:paraId="4FC9B608" w14:textId="77777777" w:rsidTr="002A6A16">
      <w:trPr>
        <w:trHeight w:hRule="exact" w:val="340"/>
      </w:trPr>
      <w:tc>
        <w:tcPr>
          <w:tcW w:w="7797" w:type="dxa"/>
        </w:tcPr>
        <w:p w14:paraId="110D8C3D" w14:textId="21B87C09" w:rsidR="00692105" w:rsidRDefault="00D04FD1" w:rsidP="000635BE">
          <w:pPr>
            <w:pStyle w:val="HeaderOdd"/>
          </w:pPr>
          <w:r>
            <w:fldChar w:fldCharType="begin"/>
          </w:r>
          <w:r>
            <w:instrText xml:space="preserve"> TITLE   \* MERGEFORMAT </w:instrText>
          </w:r>
          <w:r>
            <w:fldChar w:fldCharType="separate"/>
          </w:r>
          <w:r w:rsidR="00BB3257">
            <w:t>Budget Paper No. 1</w:t>
          </w:r>
          <w:r>
            <w:fldChar w:fldCharType="end"/>
          </w:r>
          <w:r w:rsidR="001D7391">
            <w:t xml:space="preserve">  </w:t>
          </w:r>
          <w:r w:rsidR="00692105">
            <w:t xml:space="preserve">|  </w:t>
          </w:r>
          <w:r w:rsidR="00692105" w:rsidRPr="000635BE">
            <w:rPr>
              <w:rFonts w:ascii="Arial Bold" w:hAnsi="Arial Bold"/>
              <w:b/>
              <w:bCs/>
              <w:noProof/>
              <w:position w:val="-10"/>
            </w:rPr>
            <w:drawing>
              <wp:inline distT="0" distB="0" distL="0" distR="0" wp14:anchorId="4C4881F4" wp14:editId="14AE4B74">
                <wp:extent cx="989308" cy="225993"/>
                <wp:effectExtent l="0" t="0" r="190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89308" cy="225993"/>
                        </a:xfrm>
                        <a:prstGeom prst="rect">
                          <a:avLst/>
                        </a:prstGeom>
                        <a:noFill/>
                      </pic:spPr>
                    </pic:pic>
                  </a:graphicData>
                </a:graphic>
              </wp:inline>
            </w:drawing>
          </w:r>
        </w:p>
      </w:tc>
    </w:tr>
  </w:tbl>
  <w:p w14:paraId="085941C1" w14:textId="77777777" w:rsidR="00692105" w:rsidRPr="00AA5439" w:rsidRDefault="00692105"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3"/>
  </w:num>
  <w:num w:numId="2">
    <w:abstractNumId w:val="1"/>
  </w:num>
  <w:num w:numId="3">
    <w:abstractNumId w:val="0"/>
  </w:num>
  <w:num w:numId="4">
    <w:abstractNumId w:val="2"/>
  </w:num>
  <w:num w:numId="5">
    <w:abstractNumId w:val="4"/>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ttachedTemplate r:id="rId1"/>
  <w:defaultTabStop w:val="720"/>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ecurityClassificationInHeader" w:val="False"/>
  </w:docVars>
  <w:rsids>
    <w:rsidRoot w:val="002745C0"/>
    <w:rsid w:val="00011DBB"/>
    <w:rsid w:val="00013EA8"/>
    <w:rsid w:val="00023521"/>
    <w:rsid w:val="00034C28"/>
    <w:rsid w:val="00035D8D"/>
    <w:rsid w:val="000622DA"/>
    <w:rsid w:val="000635BE"/>
    <w:rsid w:val="000E105B"/>
    <w:rsid w:val="000E149B"/>
    <w:rsid w:val="00103F65"/>
    <w:rsid w:val="0011175D"/>
    <w:rsid w:val="00136544"/>
    <w:rsid w:val="00145022"/>
    <w:rsid w:val="00172CFE"/>
    <w:rsid w:val="0019115B"/>
    <w:rsid w:val="00196860"/>
    <w:rsid w:val="001970E6"/>
    <w:rsid w:val="001B4CE1"/>
    <w:rsid w:val="001C29BA"/>
    <w:rsid w:val="001D33D6"/>
    <w:rsid w:val="001D7391"/>
    <w:rsid w:val="001F08E1"/>
    <w:rsid w:val="00207942"/>
    <w:rsid w:val="00237F04"/>
    <w:rsid w:val="00267200"/>
    <w:rsid w:val="002745C0"/>
    <w:rsid w:val="00281716"/>
    <w:rsid w:val="00283BCA"/>
    <w:rsid w:val="00285A0D"/>
    <w:rsid w:val="002901E4"/>
    <w:rsid w:val="002A508C"/>
    <w:rsid w:val="002A661D"/>
    <w:rsid w:val="002A6A16"/>
    <w:rsid w:val="002A7E41"/>
    <w:rsid w:val="002B6106"/>
    <w:rsid w:val="002C3DEB"/>
    <w:rsid w:val="002E638A"/>
    <w:rsid w:val="002E64F5"/>
    <w:rsid w:val="002E7B71"/>
    <w:rsid w:val="002F55C5"/>
    <w:rsid w:val="00310CF7"/>
    <w:rsid w:val="003303B0"/>
    <w:rsid w:val="003421CD"/>
    <w:rsid w:val="00342FE2"/>
    <w:rsid w:val="003451F5"/>
    <w:rsid w:val="003478ED"/>
    <w:rsid w:val="003506C0"/>
    <w:rsid w:val="00360947"/>
    <w:rsid w:val="00381D29"/>
    <w:rsid w:val="00382E3D"/>
    <w:rsid w:val="003A3AC2"/>
    <w:rsid w:val="003A5029"/>
    <w:rsid w:val="003B3670"/>
    <w:rsid w:val="003D3FC4"/>
    <w:rsid w:val="00414D61"/>
    <w:rsid w:val="0042193E"/>
    <w:rsid w:val="004233DE"/>
    <w:rsid w:val="0043168A"/>
    <w:rsid w:val="00447E2C"/>
    <w:rsid w:val="00464EEB"/>
    <w:rsid w:val="00485296"/>
    <w:rsid w:val="0048563A"/>
    <w:rsid w:val="004A177A"/>
    <w:rsid w:val="004E68A6"/>
    <w:rsid w:val="004F3FD9"/>
    <w:rsid w:val="004F60DD"/>
    <w:rsid w:val="0051076D"/>
    <w:rsid w:val="00512DF1"/>
    <w:rsid w:val="00513D9A"/>
    <w:rsid w:val="005151D9"/>
    <w:rsid w:val="00566563"/>
    <w:rsid w:val="00570D32"/>
    <w:rsid w:val="0059422E"/>
    <w:rsid w:val="005A43A4"/>
    <w:rsid w:val="005B3010"/>
    <w:rsid w:val="005D23CB"/>
    <w:rsid w:val="005E62E4"/>
    <w:rsid w:val="005E792C"/>
    <w:rsid w:val="0060305C"/>
    <w:rsid w:val="00614554"/>
    <w:rsid w:val="00622CDB"/>
    <w:rsid w:val="006568AA"/>
    <w:rsid w:val="0066458A"/>
    <w:rsid w:val="00664F1B"/>
    <w:rsid w:val="00667FAA"/>
    <w:rsid w:val="00677EBB"/>
    <w:rsid w:val="00680768"/>
    <w:rsid w:val="00682D05"/>
    <w:rsid w:val="00685D1D"/>
    <w:rsid w:val="00692105"/>
    <w:rsid w:val="006B2657"/>
    <w:rsid w:val="006C3E1F"/>
    <w:rsid w:val="006C4A90"/>
    <w:rsid w:val="006E7F46"/>
    <w:rsid w:val="00702304"/>
    <w:rsid w:val="0072449F"/>
    <w:rsid w:val="00754CF2"/>
    <w:rsid w:val="00755F34"/>
    <w:rsid w:val="00767F88"/>
    <w:rsid w:val="007703C7"/>
    <w:rsid w:val="00791275"/>
    <w:rsid w:val="00792F0C"/>
    <w:rsid w:val="00824E07"/>
    <w:rsid w:val="00825069"/>
    <w:rsid w:val="008253FB"/>
    <w:rsid w:val="008416E3"/>
    <w:rsid w:val="00881D59"/>
    <w:rsid w:val="00885620"/>
    <w:rsid w:val="008D45DE"/>
    <w:rsid w:val="008D71E5"/>
    <w:rsid w:val="008E7225"/>
    <w:rsid w:val="008F55F8"/>
    <w:rsid w:val="009220F0"/>
    <w:rsid w:val="0093199E"/>
    <w:rsid w:val="0093363A"/>
    <w:rsid w:val="009345C5"/>
    <w:rsid w:val="00943C8B"/>
    <w:rsid w:val="00946CF4"/>
    <w:rsid w:val="009804F5"/>
    <w:rsid w:val="009954B0"/>
    <w:rsid w:val="009A553C"/>
    <w:rsid w:val="009C37E9"/>
    <w:rsid w:val="009C4905"/>
    <w:rsid w:val="009C542B"/>
    <w:rsid w:val="009D7662"/>
    <w:rsid w:val="009E766A"/>
    <w:rsid w:val="00A03312"/>
    <w:rsid w:val="00A268AC"/>
    <w:rsid w:val="00A36880"/>
    <w:rsid w:val="00A469A4"/>
    <w:rsid w:val="00A727B4"/>
    <w:rsid w:val="00A77478"/>
    <w:rsid w:val="00AA5439"/>
    <w:rsid w:val="00AB63E5"/>
    <w:rsid w:val="00AD68DA"/>
    <w:rsid w:val="00AE78AC"/>
    <w:rsid w:val="00B32362"/>
    <w:rsid w:val="00B35CB2"/>
    <w:rsid w:val="00B44281"/>
    <w:rsid w:val="00B56D97"/>
    <w:rsid w:val="00B60679"/>
    <w:rsid w:val="00B67470"/>
    <w:rsid w:val="00B708DB"/>
    <w:rsid w:val="00B717D4"/>
    <w:rsid w:val="00B742E3"/>
    <w:rsid w:val="00B91AED"/>
    <w:rsid w:val="00B93A14"/>
    <w:rsid w:val="00B96A23"/>
    <w:rsid w:val="00BB1DF1"/>
    <w:rsid w:val="00BB207D"/>
    <w:rsid w:val="00BB3257"/>
    <w:rsid w:val="00BB4367"/>
    <w:rsid w:val="00BC3856"/>
    <w:rsid w:val="00BF6B89"/>
    <w:rsid w:val="00BF7AC2"/>
    <w:rsid w:val="00C060D7"/>
    <w:rsid w:val="00C33129"/>
    <w:rsid w:val="00C4293F"/>
    <w:rsid w:val="00C44195"/>
    <w:rsid w:val="00C461BE"/>
    <w:rsid w:val="00C56C79"/>
    <w:rsid w:val="00C601D0"/>
    <w:rsid w:val="00C6234D"/>
    <w:rsid w:val="00C64CC1"/>
    <w:rsid w:val="00C75ABC"/>
    <w:rsid w:val="00C80118"/>
    <w:rsid w:val="00C93398"/>
    <w:rsid w:val="00CA64A9"/>
    <w:rsid w:val="00CC6004"/>
    <w:rsid w:val="00CD4BBE"/>
    <w:rsid w:val="00D027B3"/>
    <w:rsid w:val="00D04FD1"/>
    <w:rsid w:val="00D1685E"/>
    <w:rsid w:val="00D27078"/>
    <w:rsid w:val="00D82B0F"/>
    <w:rsid w:val="00DA42A3"/>
    <w:rsid w:val="00DA58C6"/>
    <w:rsid w:val="00DB4D5D"/>
    <w:rsid w:val="00DB67A6"/>
    <w:rsid w:val="00DE4D07"/>
    <w:rsid w:val="00DE71D2"/>
    <w:rsid w:val="00E04997"/>
    <w:rsid w:val="00E11FAE"/>
    <w:rsid w:val="00E14DB8"/>
    <w:rsid w:val="00E20726"/>
    <w:rsid w:val="00E40261"/>
    <w:rsid w:val="00E4685E"/>
    <w:rsid w:val="00E66821"/>
    <w:rsid w:val="00E70B74"/>
    <w:rsid w:val="00E80210"/>
    <w:rsid w:val="00E8236A"/>
    <w:rsid w:val="00E905D2"/>
    <w:rsid w:val="00EA52E4"/>
    <w:rsid w:val="00EF4C8A"/>
    <w:rsid w:val="00F048BD"/>
    <w:rsid w:val="00F110BE"/>
    <w:rsid w:val="00F2041E"/>
    <w:rsid w:val="00F362DE"/>
    <w:rsid w:val="00F51DA2"/>
    <w:rsid w:val="00F56646"/>
    <w:rsid w:val="00F623DF"/>
    <w:rsid w:val="00F77EEC"/>
    <w:rsid w:val="00F8475B"/>
    <w:rsid w:val="00F84F40"/>
    <w:rsid w:val="00F9206B"/>
    <w:rsid w:val="00F95E55"/>
    <w:rsid w:val="00FA0CCA"/>
    <w:rsid w:val="00FB77EC"/>
    <w:rsid w:val="00FC7371"/>
    <w:rsid w:val="00FE3F81"/>
    <w:rsid w:val="00FE48A3"/>
    <w:rsid w:val="00FE63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D7C308"/>
  <w15:chartTrackingRefBased/>
  <w15:docId w15:val="{DB5753B5-2BB1-4113-9AAC-5B48DD3E1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C0"/>
    <w:pPr>
      <w:spacing w:after="240" w:line="260" w:lineRule="exact"/>
      <w:jc w:val="both"/>
    </w:pPr>
    <w:rPr>
      <w:rFonts w:ascii="Book Antiqua" w:eastAsia="Times New Roman" w:hAnsi="Book Antiqua" w:cs="Times New Roman"/>
      <w:sz w:val="20"/>
      <w:szCs w:val="20"/>
      <w:lang w:eastAsia="en-AU"/>
    </w:rPr>
  </w:style>
  <w:style w:type="paragraph" w:styleId="Heading1">
    <w:name w:val="heading 1"/>
    <w:basedOn w:val="HeadingBase"/>
    <w:next w:val="Normal"/>
    <w:link w:val="Heading1Char"/>
    <w:qFormat/>
    <w:rsid w:val="00791275"/>
    <w:pPr>
      <w:spacing w:after="240"/>
      <w:jc w:val="center"/>
      <w:outlineLvl w:val="0"/>
    </w:pPr>
    <w:rPr>
      <w:rFonts w:ascii="Arial Bold" w:hAnsi="Arial Bold"/>
      <w:b/>
      <w:kern w:val="34"/>
      <w:sz w:val="36"/>
    </w:rPr>
  </w:style>
  <w:style w:type="paragraph" w:styleId="Heading2">
    <w:name w:val="heading 2"/>
    <w:basedOn w:val="HeadingBase"/>
    <w:next w:val="Normal"/>
    <w:link w:val="Heading2Char"/>
    <w:qFormat/>
    <w:rsid w:val="00791275"/>
    <w:pPr>
      <w:spacing w:before="240" w:after="240"/>
      <w:outlineLvl w:val="1"/>
    </w:pPr>
    <w:rPr>
      <w:rFonts w:ascii="Arial Bold" w:hAnsi="Arial Bold"/>
      <w:b/>
      <w:sz w:val="26"/>
    </w:rPr>
  </w:style>
  <w:style w:type="paragraph" w:styleId="Heading3">
    <w:name w:val="heading 3"/>
    <w:basedOn w:val="HeadingBase"/>
    <w:next w:val="Normal"/>
    <w:link w:val="Heading3Char"/>
    <w:qFormat/>
    <w:rsid w:val="00BB207D"/>
    <w:pPr>
      <w:spacing w:before="120" w:after="120"/>
      <w:outlineLvl w:val="2"/>
    </w:pPr>
    <w:rPr>
      <w:rFonts w:ascii="Arial Bold" w:hAnsi="Arial Bold"/>
      <w:b/>
      <w:sz w:val="22"/>
    </w:rPr>
  </w:style>
  <w:style w:type="paragraph" w:styleId="Heading4">
    <w:name w:val="heading 4"/>
    <w:basedOn w:val="HeadingBase"/>
    <w:next w:val="Normal"/>
    <w:link w:val="Heading4Char"/>
    <w:qFormat/>
    <w:rsid w:val="00BB207D"/>
    <w:pPr>
      <w:spacing w:after="120"/>
      <w:outlineLvl w:val="3"/>
    </w:pPr>
    <w:rPr>
      <w:rFonts w:ascii="Arial Bold" w:hAnsi="Arial Bold"/>
      <w:b/>
      <w:sz w:val="20"/>
    </w:rPr>
  </w:style>
  <w:style w:type="paragraph" w:styleId="Heading5">
    <w:name w:val="heading 5"/>
    <w:basedOn w:val="HeadingBase"/>
    <w:next w:val="Normal"/>
    <w:link w:val="Heading5Char"/>
    <w:qFormat/>
    <w:rsid w:val="001D33D6"/>
    <w:pPr>
      <w:spacing w:after="120"/>
      <w:outlineLvl w:val="4"/>
    </w:pPr>
    <w:rPr>
      <w:bCs/>
      <w:i/>
      <w:iCs/>
      <w:sz w:val="20"/>
      <w:szCs w:val="26"/>
    </w:rPr>
  </w:style>
  <w:style w:type="paragraph" w:styleId="Heading6">
    <w:name w:val="heading 6"/>
    <w:basedOn w:val="HeadingBase"/>
    <w:next w:val="Normal"/>
    <w:link w:val="Heading6Char"/>
    <w:rsid w:val="00BB207D"/>
    <w:pPr>
      <w:spacing w:after="120"/>
      <w:outlineLvl w:val="5"/>
    </w:pPr>
    <w:rPr>
      <w:bCs/>
      <w:sz w:val="20"/>
      <w:szCs w:val="22"/>
    </w:rPr>
  </w:style>
  <w:style w:type="paragraph" w:styleId="Heading7">
    <w:name w:val="heading 7"/>
    <w:basedOn w:val="HeadingBase"/>
    <w:next w:val="Normal"/>
    <w:link w:val="Heading7Char"/>
    <w:rsid w:val="00BB207D"/>
    <w:pPr>
      <w:spacing w:before="120"/>
      <w:outlineLvl w:val="6"/>
    </w:pPr>
    <w:rPr>
      <w:sz w:val="20"/>
      <w:szCs w:val="24"/>
    </w:rPr>
  </w:style>
  <w:style w:type="paragraph" w:styleId="Heading8">
    <w:name w:val="heading 8"/>
    <w:basedOn w:val="HeadingBase"/>
    <w:next w:val="Normal"/>
    <w:link w:val="Heading8Char"/>
    <w:rsid w:val="00BB207D"/>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11175D"/>
    <w:pPr>
      <w:jc w:val="center"/>
    </w:pPr>
    <w:rPr>
      <w:rFonts w:ascii="Arial Bold" w:hAnsi="Arial Bold"/>
      <w:b/>
      <w:caps/>
      <w:sz w:val="22"/>
    </w:rPr>
  </w:style>
  <w:style w:type="paragraph" w:customStyle="1" w:styleId="FileProperties">
    <w:name w:val="File Properties"/>
    <w:basedOn w:val="Normal"/>
    <w:rsid w:val="00BB207D"/>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BB207D"/>
    <w:pPr>
      <w:keepNext/>
      <w:spacing w:after="0" w:line="240" w:lineRule="auto"/>
    </w:pPr>
    <w:rPr>
      <w:rFonts w:ascii="Arial" w:eastAsia="Times New Roman" w:hAnsi="Arial" w:cs="Times New Roman"/>
      <w:sz w:val="24"/>
      <w:szCs w:val="20"/>
      <w:lang w:eastAsia="en-AU"/>
    </w:rPr>
  </w:style>
  <w:style w:type="paragraph" w:customStyle="1" w:styleId="AppendixHeading">
    <w:name w:val="Appendix Heading"/>
    <w:basedOn w:val="HeadingBase"/>
    <w:rsid w:val="00BB207D"/>
    <w:pPr>
      <w:spacing w:after="240"/>
      <w:jc w:val="center"/>
      <w:outlineLvl w:val="3"/>
    </w:pPr>
    <w:rPr>
      <w:b/>
      <w:smallCaps/>
      <w:sz w:val="30"/>
    </w:rPr>
  </w:style>
  <w:style w:type="paragraph" w:styleId="BalloonText">
    <w:name w:val="Balloon Text"/>
    <w:basedOn w:val="Normal"/>
    <w:link w:val="BalloonTextChar"/>
    <w:rsid w:val="00BB207D"/>
    <w:rPr>
      <w:rFonts w:ascii="Tahoma" w:hAnsi="Tahoma" w:cs="Tahoma"/>
      <w:sz w:val="16"/>
      <w:szCs w:val="16"/>
    </w:rPr>
  </w:style>
  <w:style w:type="character" w:customStyle="1" w:styleId="BalloonTextChar">
    <w:name w:val="Balloon Text Char"/>
    <w:basedOn w:val="DefaultParagraphFont"/>
    <w:link w:val="BalloonText"/>
    <w:rsid w:val="00BB207D"/>
    <w:rPr>
      <w:rFonts w:ascii="Tahoma" w:eastAsia="Times New Roman" w:hAnsi="Tahoma" w:cs="Tahoma"/>
      <w:sz w:val="16"/>
      <w:szCs w:val="16"/>
      <w:lang w:eastAsia="en-AU"/>
    </w:rPr>
  </w:style>
  <w:style w:type="paragraph" w:customStyle="1" w:styleId="BlockedQuotation">
    <w:name w:val="Blocked Quotation"/>
    <w:basedOn w:val="Normal"/>
    <w:rsid w:val="00BB207D"/>
    <w:pPr>
      <w:ind w:left="567"/>
    </w:p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BB207D"/>
    <w:pPr>
      <w:spacing w:before="120" w:after="120"/>
    </w:pPr>
    <w:rPr>
      <w:b/>
      <w:sz w:val="20"/>
    </w:rPr>
  </w:style>
  <w:style w:type="character" w:customStyle="1" w:styleId="Heading6Char">
    <w:name w:val="Heading 6 Char"/>
    <w:basedOn w:val="DefaultParagraphFont"/>
    <w:link w:val="Heading6"/>
    <w:rsid w:val="00BB207D"/>
    <w:rPr>
      <w:rFonts w:ascii="Arial" w:eastAsia="Times New Roman" w:hAnsi="Arial" w:cs="Times New Roman"/>
      <w:bCs/>
      <w:sz w:val="20"/>
      <w:lang w:eastAsia="en-AU"/>
    </w:rPr>
  </w:style>
  <w:style w:type="paragraph" w:customStyle="1" w:styleId="BoxSubHeading">
    <w:name w:val="Box Sub Heading"/>
    <w:basedOn w:val="Heading6"/>
    <w:rsid w:val="00BB207D"/>
    <w:pPr>
      <w:spacing w:before="120" w:after="40"/>
    </w:pPr>
  </w:style>
  <w:style w:type="paragraph" w:customStyle="1" w:styleId="Bullet">
    <w:name w:val="Bullet"/>
    <w:basedOn w:val="Normal"/>
    <w:qFormat/>
    <w:rsid w:val="00BB207D"/>
    <w:pPr>
      <w:numPr>
        <w:numId w:val="7"/>
      </w:numPr>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0E149B"/>
    <w:pPr>
      <w:keepNext w:val="0"/>
      <w:tabs>
        <w:tab w:val="left" w:pos="709"/>
      </w:tabs>
      <w:ind w:left="709" w:hanging="709"/>
      <w:jc w:val="both"/>
    </w:pPr>
    <w:rPr>
      <w:color w:val="000000"/>
      <w:sz w:val="16"/>
    </w:rPr>
  </w:style>
  <w:style w:type="paragraph" w:customStyle="1" w:styleId="ChartandTableFootnoteAlpha">
    <w:name w:val="Chart and Table Footnote Alpha"/>
    <w:basedOn w:val="HeadingBase"/>
    <w:next w:val="Normal"/>
    <w:rsid w:val="00BB207D"/>
    <w:pPr>
      <w:keepNext w:val="0"/>
      <w:numPr>
        <w:numId w:val="4"/>
      </w:numPr>
      <w:jc w:val="both"/>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BB207D"/>
    <w:pPr>
      <w:jc w:val="center"/>
    </w:pPr>
    <w:rPr>
      <w:sz w:val="20"/>
    </w:rPr>
  </w:style>
  <w:style w:type="paragraph" w:customStyle="1" w:styleId="ChartHeading">
    <w:name w:val="Chart Heading"/>
    <w:basedOn w:val="HeadingBase"/>
    <w:next w:val="ChartGraphic"/>
    <w:qFormat/>
    <w:rsid w:val="00BB207D"/>
    <w:pPr>
      <w:spacing w:before="120" w:after="20"/>
      <w:jc w:val="center"/>
    </w:pPr>
    <w:rPr>
      <w:b/>
      <w:sz w:val="20"/>
    </w:rPr>
  </w:style>
  <w:style w:type="paragraph" w:customStyle="1" w:styleId="ChartMainHeading">
    <w:name w:val="Chart Main Heading"/>
    <w:basedOn w:val="Normal"/>
    <w:next w:val="ChartGraphic"/>
    <w:rsid w:val="00BB207D"/>
    <w:pPr>
      <w:keepNext/>
      <w:spacing w:before="120" w:after="20" w:line="240" w:lineRule="auto"/>
      <w:jc w:val="center"/>
    </w:pPr>
    <w:rPr>
      <w:rFonts w:ascii="Arial Bold" w:hAnsi="Arial Bold"/>
      <w:b/>
    </w:rPr>
  </w:style>
  <w:style w:type="paragraph" w:customStyle="1" w:styleId="ChartSecondHeading">
    <w:name w:val="Chart Second Heading"/>
    <w:basedOn w:val="HeadingBase"/>
    <w:next w:val="ChartGraphic"/>
    <w:rsid w:val="00BB207D"/>
    <w:pPr>
      <w:spacing w:before="60"/>
      <w:jc w:val="center"/>
    </w:pPr>
    <w:rPr>
      <w:sz w:val="20"/>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Base"/>
    <w:next w:val="Normal"/>
    <w:rsid w:val="008253FB"/>
    <w:pPr>
      <w:spacing w:after="720"/>
      <w:jc w:val="center"/>
    </w:pPr>
    <w:rPr>
      <w:rFonts w:ascii="Arial Bold" w:hAnsi="Arial Bold"/>
      <w:b/>
      <w:sz w:val="36"/>
    </w:rPr>
  </w:style>
  <w:style w:type="paragraph" w:customStyle="1" w:styleId="ContentsnoToC">
    <w:name w:val="Contents no ToC"/>
    <w:basedOn w:val="ContentsHeading"/>
    <w:rsid w:val="00BB207D"/>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character" w:styleId="EndnoteReference">
    <w:name w:val="endnote reference"/>
    <w:basedOn w:val="DefaultParagraphFont"/>
    <w:unhideWhenUsed/>
    <w:rsid w:val="00BB207D"/>
    <w:rPr>
      <w:vertAlign w:val="superscript"/>
    </w:rPr>
  </w:style>
  <w:style w:type="paragraph" w:styleId="EndnoteText">
    <w:name w:val="endnote text"/>
    <w:basedOn w:val="Normal"/>
    <w:link w:val="EndnoteTextChar"/>
    <w:unhideWhenUsed/>
    <w:rsid w:val="00BB207D"/>
  </w:style>
  <w:style w:type="character" w:customStyle="1" w:styleId="EndnoteTextChar">
    <w:name w:val="Endnote Text Char"/>
    <w:basedOn w:val="DefaultParagraphFont"/>
    <w:link w:val="EndnoteText"/>
    <w:rsid w:val="00BB207D"/>
    <w:rPr>
      <w:rFonts w:ascii="Book Antiqua" w:eastAsia="Times New Roman" w:hAnsi="Book Antiqua" w:cs="Times New Roman"/>
      <w:sz w:val="20"/>
      <w:szCs w:val="20"/>
      <w:lang w:eastAsia="en-AU"/>
    </w:r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BB207D"/>
    <w:pPr>
      <w:spacing w:after="0" w:line="240" w:lineRule="auto"/>
      <w:jc w:val="center"/>
    </w:pPr>
    <w:rPr>
      <w:rFonts w:ascii="Arial" w:eastAsia="Times New Roman" w:hAnsi="Arial" w:cs="Times New Roman"/>
      <w:sz w:val="20"/>
      <w:szCs w:val="20"/>
      <w:lang w:eastAsia="en-AU"/>
    </w:rPr>
  </w:style>
  <w:style w:type="paragraph" w:customStyle="1" w:styleId="FooterEven">
    <w:name w:val="Footer Even"/>
    <w:basedOn w:val="Footer"/>
    <w:rsid w:val="0011175D"/>
    <w:pPr>
      <w:pBdr>
        <w:top w:val="single" w:sz="4" w:space="10" w:color="0364C3" w:themeColor="accent1"/>
      </w:pBdr>
      <w:jc w:val="left"/>
    </w:pPr>
    <w:rPr>
      <w:sz w:val="18"/>
    </w:rPr>
  </w:style>
  <w:style w:type="paragraph" w:customStyle="1" w:styleId="FooterOdd">
    <w:name w:val="Footer Odd"/>
    <w:basedOn w:val="Footer"/>
    <w:rsid w:val="0011175D"/>
    <w:pPr>
      <w:pBdr>
        <w:top w:val="single" w:sz="4" w:space="10" w:color="0364C3" w:themeColor="accent1"/>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1D33D6"/>
    <w:pPr>
      <w:tabs>
        <w:tab w:val="left" w:pos="284"/>
      </w:tabs>
      <w:spacing w:after="120" w:line="240" w:lineRule="auto"/>
      <w:ind w:left="284" w:hanging="284"/>
      <w:contextualSpacing/>
    </w:pPr>
    <w:rPr>
      <w:sz w:val="18"/>
    </w:rPr>
  </w:style>
  <w:style w:type="character" w:customStyle="1" w:styleId="FootnoteTextChar">
    <w:name w:val="Footnote Text Char"/>
    <w:basedOn w:val="DefaultParagraphFont"/>
    <w:link w:val="FootnoteText"/>
    <w:rsid w:val="001D33D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11175D"/>
    <w:pPr>
      <w:spacing w:after="0" w:line="240" w:lineRule="auto"/>
    </w:pPr>
    <w:rPr>
      <w:rFonts w:ascii="Arial" w:eastAsia="Times New Roman" w:hAnsi="Arial" w:cs="Times New Roman"/>
      <w:sz w:val="18"/>
      <w:szCs w:val="20"/>
      <w:lang w:eastAsia="en-AU"/>
    </w:rPr>
  </w:style>
  <w:style w:type="paragraph" w:customStyle="1" w:styleId="HeaderEven">
    <w:name w:val="Header Even"/>
    <w:basedOn w:val="HeaderBase"/>
    <w:rsid w:val="00BB207D"/>
  </w:style>
  <w:style w:type="paragraph" w:customStyle="1" w:styleId="HeaderOdd">
    <w:name w:val="Header Odd"/>
    <w:basedOn w:val="HeaderBase"/>
    <w:rsid w:val="00BB207D"/>
    <w:pPr>
      <w:jc w:val="right"/>
    </w:pPr>
  </w:style>
  <w:style w:type="character" w:customStyle="1" w:styleId="Heading1Char">
    <w:name w:val="Heading 1 Char"/>
    <w:basedOn w:val="DefaultParagraphFont"/>
    <w:link w:val="Heading1"/>
    <w:rsid w:val="00791275"/>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791275"/>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BB207D"/>
    <w:rPr>
      <w:rFonts w:ascii="Arial Bold" w:eastAsia="Times New Roman" w:hAnsi="Arial Bold" w:cs="Times New Roman"/>
      <w:b/>
      <w:szCs w:val="20"/>
      <w:lang w:eastAsia="en-AU"/>
    </w:rPr>
  </w:style>
  <w:style w:type="paragraph" w:customStyle="1" w:styleId="Heading3noTOC">
    <w:name w:val="Heading 3 no TOC"/>
    <w:basedOn w:val="Heading3"/>
    <w:rsid w:val="00BB207D"/>
    <w:pPr>
      <w:outlineLvl w:val="9"/>
    </w:pPr>
  </w:style>
  <w:style w:type="character" w:customStyle="1" w:styleId="Heading4Char">
    <w:name w:val="Heading 4 Char"/>
    <w:basedOn w:val="DefaultParagraphFont"/>
    <w:link w:val="Heading4"/>
    <w:rsid w:val="00BB207D"/>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1D33D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BB207D"/>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BB207D"/>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BB207D"/>
    <w:rPr>
      <w:color w:val="0000FF"/>
      <w:u w:val="single"/>
    </w:rPr>
  </w:style>
  <w:style w:type="paragraph" w:styleId="Index1">
    <w:name w:val="index 1"/>
    <w:basedOn w:val="Normal"/>
    <w:next w:val="Normal"/>
    <w:rsid w:val="00BB207D"/>
    <w:pPr>
      <w:ind w:left="200" w:hanging="200"/>
    </w:pPr>
  </w:style>
  <w:style w:type="paragraph" w:styleId="Index2">
    <w:name w:val="index 2"/>
    <w:basedOn w:val="Normal"/>
    <w:next w:val="Normal"/>
    <w:rsid w:val="00BB207D"/>
    <w:pPr>
      <w:ind w:left="400" w:hanging="200"/>
    </w:pPr>
  </w:style>
  <w:style w:type="paragraph" w:styleId="Index3">
    <w:name w:val="index 3"/>
    <w:basedOn w:val="Normal"/>
    <w:next w:val="Normal"/>
    <w:rsid w:val="00BB207D"/>
    <w:pPr>
      <w:ind w:left="600" w:hanging="200"/>
    </w:p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IndexHeading">
    <w:name w:val="index heading"/>
    <w:basedOn w:val="Normal"/>
    <w:next w:val="Index1"/>
    <w:rsid w:val="00BB207D"/>
    <w:rPr>
      <w:rFonts w:ascii="Arial Bold" w:hAnsi="Arial Bold" w:cs="Arial"/>
      <w:b/>
      <w:bCs/>
      <w:color w:val="002B54"/>
    </w:r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BB207D"/>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BB207D"/>
    <w:pPr>
      <w:spacing w:after="0"/>
    </w:pPr>
  </w:style>
  <w:style w:type="paragraph" w:customStyle="1" w:styleId="Source">
    <w:name w:val="Source"/>
    <w:basedOn w:val="Normal"/>
    <w:rsid w:val="000E149B"/>
    <w:pPr>
      <w:tabs>
        <w:tab w:val="left" w:pos="709"/>
      </w:tabs>
      <w:spacing w:line="240" w:lineRule="auto"/>
      <w:ind w:left="709" w:hanging="709"/>
    </w:pPr>
    <w:rPr>
      <w:rFonts w:ascii="Arial" w:hAnsi="Arial"/>
      <w:sz w:val="16"/>
    </w:rPr>
  </w:style>
  <w:style w:type="paragraph" w:customStyle="1" w:styleId="SourceBox">
    <w:name w:val="Source Box"/>
    <w:basedOn w:val="Source"/>
    <w:rsid w:val="00BB207D"/>
    <w:pPr>
      <w:spacing w:after="120"/>
    </w:pPr>
  </w:style>
  <w:style w:type="paragraph" w:customStyle="1" w:styleId="TableColumnHeadingBase">
    <w:name w:val="Table Column Heading Base"/>
    <w:basedOn w:val="Normal"/>
    <w:rsid w:val="00BB207D"/>
    <w:pPr>
      <w:spacing w:before="40" w:after="40" w:line="240" w:lineRule="auto"/>
      <w:jc w:val="left"/>
    </w:pPr>
    <w:rPr>
      <w:rFonts w:ascii="Arial Bold" w:hAnsi="Arial Bold"/>
      <w:b/>
      <w:sz w:val="16"/>
    </w:rPr>
  </w:style>
  <w:style w:type="paragraph" w:customStyle="1" w:styleId="TableColumnHeadingCentred">
    <w:name w:val="Table Column Heading Centred"/>
    <w:basedOn w:val="TableColumnHeadingBase"/>
    <w:next w:val="Normal"/>
    <w:rsid w:val="00BB207D"/>
    <w:pPr>
      <w:jc w:val="center"/>
    </w:pPr>
  </w:style>
  <w:style w:type="paragraph" w:customStyle="1" w:styleId="TableColumnHeadingLeft">
    <w:name w:val="Table Column Heading Left"/>
    <w:basedOn w:val="TableColumnHeadingBase"/>
    <w:next w:val="Normal"/>
    <w:rsid w:val="00BB207D"/>
  </w:style>
  <w:style w:type="paragraph" w:customStyle="1" w:styleId="TableColumnHeadingRight">
    <w:name w:val="Table Column Heading Right"/>
    <w:basedOn w:val="TableColumnHeadingBase"/>
    <w:next w:val="Normal"/>
    <w:rsid w:val="00BB207D"/>
    <w:pPr>
      <w:jc w:val="right"/>
    </w:pPr>
  </w:style>
  <w:style w:type="paragraph" w:customStyle="1" w:styleId="TableColumnHeadingS118pt">
    <w:name w:val="Table Column Heading S11 8 pt"/>
    <w:basedOn w:val="TableColumnHeadingBase"/>
    <w:rsid w:val="00BB207D"/>
    <w:pPr>
      <w:spacing w:after="0"/>
    </w:pPr>
    <w:rPr>
      <w:rFonts w:ascii="Arial" w:hAnsi="Arial"/>
    </w:rPr>
  </w:style>
  <w:style w:type="paragraph" w:customStyle="1" w:styleId="TableColumnHeadingS119pt">
    <w:name w:val="Table Column Heading S11 9 pt"/>
    <w:basedOn w:val="TableColumnHeadingBase"/>
    <w:rsid w:val="00BB207D"/>
    <w:pPr>
      <w:spacing w:before="60" w:after="60"/>
    </w:pPr>
    <w:rPr>
      <w:rFonts w:ascii="Arial" w:hAnsi="Arial"/>
      <w:sz w:val="18"/>
    </w:r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BB207D"/>
    <w:pPr>
      <w:spacing w:after="240" w:line="260" w:lineRule="exact"/>
      <w:jc w:val="both"/>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link w:val="TableHeadingChar"/>
    <w:qFormat/>
    <w:rsid w:val="00BB207D"/>
    <w:pPr>
      <w:spacing w:before="120" w:after="20"/>
    </w:pPr>
    <w:rPr>
      <w:b/>
      <w:sz w:val="20"/>
    </w:rPr>
  </w:style>
  <w:style w:type="paragraph" w:customStyle="1" w:styleId="TableHeadingcontinued">
    <w:name w:val="Table Heading continued"/>
    <w:basedOn w:val="HeadingBase"/>
    <w:next w:val="TableGraphic"/>
    <w:rsid w:val="00BB207D"/>
    <w:pPr>
      <w:spacing w:before="120" w:after="20"/>
    </w:pPr>
    <w:rPr>
      <w:rFonts w:ascii="Arial Bold" w:hAnsi="Arial Bold"/>
      <w:b/>
      <w:sz w:val="20"/>
    </w:rPr>
  </w:style>
  <w:style w:type="paragraph" w:styleId="TableofAuthorities">
    <w:name w:val="table of authorities"/>
    <w:basedOn w:val="Normal"/>
    <w:next w:val="Normal"/>
    <w:rsid w:val="00BB207D"/>
    <w:pPr>
      <w:ind w:left="200" w:hanging="200"/>
    </w:p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jc w:val="left"/>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6C3E1F"/>
    <w:pPr>
      <w:tabs>
        <w:tab w:val="right" w:leader="dot" w:pos="7700"/>
      </w:tabs>
      <w:spacing w:before="240"/>
      <w:ind w:right="851"/>
    </w:pPr>
    <w:rPr>
      <w:rFonts w:ascii="Arial Bold" w:hAnsi="Arial Bold"/>
      <w:b/>
      <w:sz w:val="22"/>
    </w:rPr>
  </w:style>
  <w:style w:type="paragraph" w:styleId="TOC2">
    <w:name w:val="toc 2"/>
    <w:basedOn w:val="HeadingBase"/>
    <w:next w:val="Normal"/>
    <w:uiPriority w:val="2"/>
    <w:rsid w:val="00BB207D"/>
    <w:pPr>
      <w:tabs>
        <w:tab w:val="left" w:pos="992"/>
        <w:tab w:val="right" w:leader="dot" w:pos="7700"/>
      </w:tabs>
      <w:spacing w:before="40"/>
      <w:ind w:left="851" w:right="851" w:hanging="851"/>
    </w:pPr>
    <w:rPr>
      <w:sz w:val="20"/>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BB207D"/>
    <w:pPr>
      <w:spacing w:before="60" w:after="60"/>
      <w:ind w:left="1134"/>
    </w:pPr>
    <w:rPr>
      <w:rFonts w:ascii="Arial Bold" w:hAnsi="Arial Bold"/>
      <w:b/>
      <w:caps/>
      <w:spacing w:val="-10"/>
      <w:sz w:val="28"/>
    </w:rPr>
  </w:style>
  <w:style w:type="paragraph" w:customStyle="1" w:styleId="TPHeading2">
    <w:name w:val="TP Heading 2"/>
    <w:basedOn w:val="HeadingBase"/>
    <w:semiHidden/>
    <w:rsid w:val="00BB207D"/>
    <w:pPr>
      <w:ind w:left="1134"/>
    </w:pPr>
    <w:rPr>
      <w:caps/>
      <w:spacing w:val="-10"/>
      <w:sz w:val="28"/>
    </w:rPr>
  </w:style>
  <w:style w:type="paragraph" w:customStyle="1" w:styleId="TPHeading3">
    <w:name w:val="TP Heading 3"/>
    <w:basedOn w:val="HeadingBase"/>
    <w:semiHidden/>
    <w:rsid w:val="00BB207D"/>
    <w:pPr>
      <w:ind w:left="1134"/>
    </w:pPr>
    <w:rPr>
      <w:caps/>
      <w:spacing w:val="-10"/>
    </w:rPr>
  </w:style>
  <w:style w:type="paragraph" w:customStyle="1" w:styleId="TPHeading3bold">
    <w:name w:val="TP Heading 3 bold"/>
    <w:basedOn w:val="TPHeading3"/>
    <w:semiHidden/>
    <w:rsid w:val="00BB207D"/>
    <w:rPr>
      <w:rFonts w:cs="Arial"/>
      <w:b/>
      <w:sz w:val="22"/>
      <w:szCs w:val="22"/>
    </w:rPr>
  </w:style>
  <w:style w:type="paragraph" w:customStyle="1" w:styleId="TPHEADING3boldspace">
    <w:name w:val="TP HEADING 3 bold space"/>
    <w:basedOn w:val="TPHeading3bold"/>
    <w:semiHidden/>
    <w:rsid w:val="00BB207D"/>
    <w:pPr>
      <w:spacing w:after="120"/>
    </w:pPr>
  </w:style>
  <w:style w:type="paragraph" w:customStyle="1" w:styleId="TPHEADING3space">
    <w:name w:val="TP HEADING 3 space"/>
    <w:basedOn w:val="TPHeading3"/>
    <w:semiHidden/>
    <w:rsid w:val="00BB207D"/>
    <w:pPr>
      <w:spacing w:before="120" w:after="120"/>
    </w:pPr>
    <w:rPr>
      <w:rFonts w:cs="Arial"/>
      <w:sz w:val="22"/>
      <w:szCs w:val="22"/>
    </w:rPr>
  </w:style>
  <w:style w:type="paragraph" w:customStyle="1" w:styleId="TPHeading4">
    <w:name w:val="TP Heading 4"/>
    <w:basedOn w:val="TPHeading3"/>
    <w:semiHidden/>
    <w:rsid w:val="00BB207D"/>
    <w:rPr>
      <w:sz w:val="20"/>
    </w:rPr>
  </w:style>
  <w:style w:type="paragraph" w:customStyle="1" w:styleId="TPHEADING4space">
    <w:name w:val="TP HEADING 4 space"/>
    <w:basedOn w:val="TPHEADING3space"/>
    <w:semiHidden/>
    <w:rsid w:val="00BB207D"/>
  </w:style>
  <w:style w:type="paragraph" w:customStyle="1" w:styleId="Boxcontinuedover">
    <w:name w:val="Box continued over"/>
    <w:basedOn w:val="BoxText"/>
    <w:qFormat/>
    <w:rsid w:val="0011175D"/>
    <w:pPr>
      <w:spacing w:before="240" w:after="0"/>
      <w:jc w:val="right"/>
    </w:pPr>
    <w:rPr>
      <w:rFonts w:ascii="Arial" w:hAnsi="Arial"/>
      <w:b/>
      <w:bCs/>
      <w:sz w:val="18"/>
      <w:szCs w:val="16"/>
    </w:rPr>
  </w:style>
  <w:style w:type="character" w:customStyle="1" w:styleId="TableHeadingChar">
    <w:name w:val="Table Heading Char"/>
    <w:link w:val="TableHeading"/>
    <w:rsid w:val="002745C0"/>
    <w:rPr>
      <w:rFonts w:ascii="Arial" w:eastAsia="Times New Roman" w:hAnsi="Arial" w:cs="Times New Roman"/>
      <w:b/>
      <w:sz w:val="20"/>
      <w:szCs w:val="20"/>
      <w:lang w:eastAsia="en-AU"/>
    </w:rPr>
  </w:style>
  <w:style w:type="paragraph" w:styleId="NormalWeb">
    <w:name w:val="Normal (Web)"/>
    <w:basedOn w:val="Normal"/>
    <w:uiPriority w:val="99"/>
    <w:semiHidden/>
    <w:unhideWhenUsed/>
    <w:rsid w:val="00FB77E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Publications\Budget%20Template.dotm" TargetMode="External"/></Relationships>
</file>

<file path=word/theme/theme1.xml><?xml version="1.0" encoding="utf-8"?>
<a:theme xmlns:a="http://schemas.openxmlformats.org/drawingml/2006/main" name="Office Theme">
  <a:themeElements>
    <a:clrScheme name="Budget_UPDATE">
      <a:dk1>
        <a:sysClr val="windowText" lastClr="000000"/>
      </a:dk1>
      <a:lt1>
        <a:sysClr val="window" lastClr="FFFFFF"/>
      </a:lt1>
      <a:dk2>
        <a:srgbClr val="00487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Notes xmlns="9115ddca-c623-419f-a3c0-6a1c58c4da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18" ma:contentTypeDescription="Create a new document." ma:contentTypeScope="" ma:versionID="0bcec5cdd4fc2bcd38b1ebddd58f9446">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27686311e875074a3b9aff581e27b08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atus" ma:index="12" nillable="true" ma:displayName="Status" ma:format="Dropdown" ma:internalName="Status">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internalName="Notes">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D5F5B-F1A0-4A1A-950D-71CA80542FB4}">
  <ds:schemaRefs>
    <ds:schemaRef ds:uri="http://schemas.microsoft.com/office/infopath/2007/PartnerControls"/>
    <ds:schemaRef ds:uri="9115ddca-c623-419f-a3c0-6a1c58c4dac8"/>
    <ds:schemaRef ds:uri="http://purl.org/dc/elements/1.1/"/>
    <ds:schemaRef ds:uri="http://schemas.microsoft.com/office/2006/metadata/properties"/>
    <ds:schemaRef ds:uri="http://schemas.microsoft.com/sharepoint/v3"/>
    <ds:schemaRef ds:uri="http://purl.org/dc/terms/"/>
    <ds:schemaRef ds:uri="244fe85f-b655-4145-9b20-543b75dc1c24"/>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DC0F19C-A786-4311-A9CC-D8F525E92C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762E92-758E-459F-B0C7-8840A3EC0B4C}">
  <ds:schemaRefs>
    <ds:schemaRef ds:uri="http://schemas.microsoft.com/sharepoint/v3/contenttype/forms"/>
  </ds:schemaRefs>
</ds:datastoreItem>
</file>

<file path=customXml/itemProps4.xml><?xml version="1.0" encoding="utf-8"?>
<ds:datastoreItem xmlns:ds="http://schemas.openxmlformats.org/officeDocument/2006/customXml" ds:itemID="{D38C6724-551F-4E1F-BFA1-70C7A4087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32</TotalTime>
  <Pages>6</Pages>
  <Words>2102</Words>
  <Characters>11077</Characters>
  <Application>Microsoft Office Word</Application>
  <DocSecurity>0</DocSecurity>
  <Lines>251</Lines>
  <Paragraphs>120</Paragraphs>
  <ScaleCrop>false</ScaleCrop>
  <HeadingPairs>
    <vt:vector size="2" baseType="variant">
      <vt:variant>
        <vt:lpstr>Title</vt:lpstr>
      </vt:variant>
      <vt:variant>
        <vt:i4>1</vt:i4>
      </vt:variant>
    </vt:vector>
  </HeadingPairs>
  <TitlesOfParts>
    <vt:vector size="1" baseType="lpstr">
      <vt:lpstr>Budget Paper No. 1</vt:lpstr>
    </vt:vector>
  </TitlesOfParts>
  <Company>Australian Government - The Treasury</Company>
  <LinksUpToDate>false</LinksUpToDate>
  <CharactersWithSpaces>13072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1</dc:title>
  <dc:subject>Statement 9: Australian Government Budget Financial Statements</dc:subject>
  <dc:creator>Australian Government</dc:creator>
  <cp:keywords/>
  <dc:description/>
  <cp:lastModifiedBy>Christine</cp:lastModifiedBy>
  <cp:revision>31</cp:revision>
  <cp:lastPrinted>2022-03-28T02:24:00Z</cp:lastPrinted>
  <dcterms:created xsi:type="dcterms:W3CDTF">2022-03-24T23:51:00Z</dcterms:created>
  <dcterms:modified xsi:type="dcterms:W3CDTF">2022-03-28T09:35:00Z</dcterms:modified>
</cp:coreProperties>
</file>