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47FCA" w14:textId="5DFC94C3" w:rsidR="00EA0B30" w:rsidRDefault="00EA0B30" w:rsidP="00EA0B30">
      <w:pPr>
        <w:pStyle w:val="ChartGraphic"/>
      </w:pPr>
      <w:r>
        <w:rPr>
          <w:noProof/>
        </w:rPr>
        <w:drawing>
          <wp:inline distT="0" distB="0" distL="0" distR="0" wp14:anchorId="03689E1E" wp14:editId="3917CFD5">
            <wp:extent cx="1977640" cy="212942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77640" cy="2129422"/>
                    </a:xfrm>
                    <a:prstGeom prst="rect">
                      <a:avLst/>
                    </a:prstGeom>
                    <a:noFill/>
                    <a:ln>
                      <a:noFill/>
                    </a:ln>
                  </pic:spPr>
                </pic:pic>
              </a:graphicData>
            </a:graphic>
          </wp:inline>
        </w:drawing>
      </w:r>
    </w:p>
    <w:p w14:paraId="7CE73901" w14:textId="77777777" w:rsidR="00EA0B30" w:rsidRPr="00D04FB1" w:rsidRDefault="00EA0B30" w:rsidP="00EA0B30">
      <w:pPr>
        <w:spacing w:after="960"/>
      </w:pPr>
    </w:p>
    <w:p w14:paraId="4D82C649" w14:textId="77777777" w:rsidR="00EA0B30" w:rsidRPr="00866238" w:rsidRDefault="00EA0B30" w:rsidP="00EA0B30">
      <w:pPr>
        <w:keepNext/>
        <w:spacing w:after="0" w:line="240" w:lineRule="auto"/>
        <w:jc w:val="center"/>
        <w:rPr>
          <w:rFonts w:ascii="Work Sans Light" w:hAnsi="Work Sans Light"/>
          <w:spacing w:val="-10"/>
          <w:sz w:val="36"/>
          <w:szCs w:val="36"/>
        </w:rPr>
      </w:pPr>
      <w:r w:rsidRPr="00866238">
        <w:rPr>
          <w:rFonts w:ascii="Work Sans Light" w:hAnsi="Work Sans Light"/>
          <w:spacing w:val="-10"/>
          <w:sz w:val="36"/>
          <w:szCs w:val="36"/>
        </w:rPr>
        <w:t>Budget Strategy and Outlook</w:t>
      </w:r>
    </w:p>
    <w:p w14:paraId="2CFDC027" w14:textId="77777777" w:rsidR="00EA0B30" w:rsidRPr="00866238" w:rsidRDefault="00EA0B30" w:rsidP="00EA0B30">
      <w:pPr>
        <w:keepNext/>
        <w:spacing w:after="0" w:line="240" w:lineRule="auto"/>
        <w:jc w:val="center"/>
        <w:rPr>
          <w:rFonts w:ascii="Work Sans" w:hAnsi="Work Sans"/>
          <w:spacing w:val="-10"/>
          <w:sz w:val="36"/>
          <w:szCs w:val="36"/>
        </w:rPr>
      </w:pPr>
      <w:r w:rsidRPr="00866238">
        <w:rPr>
          <w:rFonts w:ascii="Work Sans" w:hAnsi="Work Sans"/>
          <w:spacing w:val="-10"/>
          <w:sz w:val="36"/>
          <w:szCs w:val="36"/>
        </w:rPr>
        <w:t>Budget Paper No. 1</w:t>
      </w:r>
    </w:p>
    <w:p w14:paraId="1DC165A5" w14:textId="1BE933D0" w:rsidR="00EA0B30" w:rsidRPr="00866238" w:rsidRDefault="00EA0B30" w:rsidP="00EA0B30">
      <w:pPr>
        <w:keepNext/>
        <w:spacing w:after="0" w:line="240" w:lineRule="auto"/>
        <w:jc w:val="center"/>
        <w:rPr>
          <w:rFonts w:ascii="Work Sans Light" w:hAnsi="Work Sans Light"/>
          <w:spacing w:val="-10"/>
          <w:sz w:val="36"/>
          <w:szCs w:val="36"/>
        </w:rPr>
      </w:pPr>
      <w:r w:rsidRPr="00866238">
        <w:rPr>
          <w:rFonts w:ascii="Work Sans Light" w:hAnsi="Work Sans Light"/>
          <w:spacing w:val="-10"/>
          <w:sz w:val="36"/>
          <w:szCs w:val="36"/>
        </w:rPr>
        <w:t>202</w:t>
      </w:r>
      <w:r>
        <w:rPr>
          <w:rFonts w:ascii="Work Sans Light" w:hAnsi="Work Sans Light"/>
          <w:spacing w:val="-10"/>
          <w:sz w:val="36"/>
          <w:szCs w:val="36"/>
        </w:rPr>
        <w:t>2</w:t>
      </w:r>
      <w:r w:rsidRPr="00866238">
        <w:rPr>
          <w:rFonts w:ascii="Work Sans Light" w:hAnsi="Work Sans Light"/>
          <w:spacing w:val="-10"/>
          <w:sz w:val="36"/>
          <w:szCs w:val="36"/>
        </w:rPr>
        <w:t>–2</w:t>
      </w:r>
      <w:r>
        <w:rPr>
          <w:rFonts w:ascii="Work Sans Light" w:hAnsi="Work Sans Light"/>
          <w:spacing w:val="-10"/>
          <w:sz w:val="36"/>
          <w:szCs w:val="36"/>
        </w:rPr>
        <w:t>3</w:t>
      </w:r>
    </w:p>
    <w:p w14:paraId="1F653DBD" w14:textId="77777777" w:rsidR="00EA0B30" w:rsidRPr="00D07B54" w:rsidRDefault="00EA0B30" w:rsidP="00EA0B30">
      <w:pPr>
        <w:spacing w:before="1320" w:after="120"/>
      </w:pPr>
    </w:p>
    <w:p w14:paraId="09FE4A7D" w14:textId="77777777" w:rsidR="00EA0B30" w:rsidRPr="00866238" w:rsidRDefault="00EA0B30" w:rsidP="00EA0B30">
      <w:pPr>
        <w:keepNext/>
        <w:spacing w:before="120" w:after="12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Circulated by</w:t>
      </w:r>
    </w:p>
    <w:p w14:paraId="7B7C542E" w14:textId="77777777" w:rsidR="00EA0B30" w:rsidRPr="00866238" w:rsidRDefault="00EA0B30" w:rsidP="00EA0B30">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The Honourable Josh Frydenberg MP</w:t>
      </w:r>
    </w:p>
    <w:p w14:paraId="6BB66072" w14:textId="77777777" w:rsidR="00EA0B30" w:rsidRPr="00866238" w:rsidRDefault="00EA0B30" w:rsidP="00EA0B30">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Treasurer of the Commonwealth of Australia</w:t>
      </w:r>
    </w:p>
    <w:p w14:paraId="4E9ED971" w14:textId="77777777" w:rsidR="00EA0B30" w:rsidRPr="00866238" w:rsidRDefault="00EA0B30" w:rsidP="00EA0B30">
      <w:pPr>
        <w:keepNext/>
        <w:spacing w:before="120" w:after="12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and</w:t>
      </w:r>
    </w:p>
    <w:p w14:paraId="3F08B0C6" w14:textId="77777777" w:rsidR="00EA0B30" w:rsidRPr="00866238" w:rsidRDefault="00EA0B30" w:rsidP="00EA0B30">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Senator the Hon Simon Birmingham</w:t>
      </w:r>
    </w:p>
    <w:p w14:paraId="4B7264E9" w14:textId="77777777" w:rsidR="00EA0B30" w:rsidRPr="00866238" w:rsidRDefault="00EA0B30" w:rsidP="00EA0B30">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Minister for Finance of the Commonwealth of Australia</w:t>
      </w:r>
    </w:p>
    <w:p w14:paraId="7E961555" w14:textId="77777777" w:rsidR="00EA0B30" w:rsidRPr="00866238" w:rsidRDefault="00EA0B30" w:rsidP="00EA0B30">
      <w:pPr>
        <w:keepNext/>
        <w:spacing w:before="120" w:after="120" w:line="240" w:lineRule="auto"/>
        <w:jc w:val="center"/>
        <w:rPr>
          <w:rFonts w:ascii="Work Sans Light" w:hAnsi="Work Sans Light" w:cs="Arial"/>
          <w:spacing w:val="-10"/>
          <w:sz w:val="22"/>
          <w:szCs w:val="22"/>
        </w:rPr>
      </w:pPr>
    </w:p>
    <w:p w14:paraId="5EBD6426" w14:textId="77777777" w:rsidR="00EA0B30" w:rsidRPr="00866238" w:rsidRDefault="00EA0B30" w:rsidP="00EA0B30">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For the information of honourable members</w:t>
      </w:r>
    </w:p>
    <w:p w14:paraId="22B7F2D4" w14:textId="2B0C1D43" w:rsidR="00EA0B30" w:rsidRPr="00866238" w:rsidRDefault="00EA0B30" w:rsidP="00EA0B30">
      <w:pPr>
        <w:keepNext/>
        <w:spacing w:after="0" w:line="240" w:lineRule="auto"/>
        <w:jc w:val="center"/>
        <w:rPr>
          <w:rFonts w:ascii="Work Sans Light" w:hAnsi="Work Sans Light" w:cs="Arial"/>
          <w:spacing w:val="-10"/>
          <w:sz w:val="22"/>
          <w:szCs w:val="22"/>
        </w:rPr>
      </w:pPr>
      <w:r w:rsidRPr="00866238">
        <w:rPr>
          <w:rFonts w:ascii="Work Sans Light" w:hAnsi="Work Sans Light" w:cs="Arial"/>
          <w:spacing w:val="-10"/>
          <w:sz w:val="22"/>
          <w:szCs w:val="22"/>
        </w:rPr>
        <w:t>on the occasion of the Budget 202</w:t>
      </w:r>
      <w:r>
        <w:rPr>
          <w:rFonts w:ascii="Work Sans Light" w:hAnsi="Work Sans Light" w:cs="Arial"/>
          <w:spacing w:val="-10"/>
          <w:sz w:val="22"/>
          <w:szCs w:val="22"/>
        </w:rPr>
        <w:t>2</w:t>
      </w:r>
      <w:r w:rsidRPr="00866238">
        <w:rPr>
          <w:rFonts w:ascii="Work Sans Light" w:hAnsi="Work Sans Light" w:cs="Arial"/>
          <w:spacing w:val="-10"/>
          <w:sz w:val="22"/>
          <w:szCs w:val="22"/>
        </w:rPr>
        <w:noBreakHyphen/>
        <w:t>2</w:t>
      </w:r>
      <w:r>
        <w:rPr>
          <w:rFonts w:ascii="Work Sans Light" w:hAnsi="Work Sans Light" w:cs="Arial"/>
          <w:spacing w:val="-10"/>
          <w:sz w:val="22"/>
          <w:szCs w:val="22"/>
        </w:rPr>
        <w:t>3</w:t>
      </w:r>
    </w:p>
    <w:p w14:paraId="05EB6D82" w14:textId="4FB3225B" w:rsidR="00EA0B30" w:rsidRPr="00866238" w:rsidRDefault="00EA0B30" w:rsidP="00EA0B30">
      <w:pPr>
        <w:spacing w:before="360" w:after="960"/>
        <w:jc w:val="center"/>
        <w:rPr>
          <w:rFonts w:ascii="Work Sans Light" w:hAnsi="Work Sans Light"/>
        </w:rPr>
      </w:pPr>
      <w:r>
        <w:rPr>
          <w:rFonts w:ascii="Work Sans Light" w:hAnsi="Work Sans Light" w:cs="Arial"/>
          <w:spacing w:val="-10"/>
          <w:sz w:val="22"/>
          <w:szCs w:val="22"/>
        </w:rPr>
        <w:t>29 March 2022</w:t>
      </w:r>
    </w:p>
    <w:p w14:paraId="33D4DA6F" w14:textId="77777777" w:rsidR="00EA0B30" w:rsidRPr="00866238" w:rsidRDefault="00EA0B30" w:rsidP="00EA0B30">
      <w:pPr>
        <w:spacing w:after="0" w:line="240" w:lineRule="auto"/>
        <w:rPr>
          <w:rFonts w:ascii="Work Sans Light" w:hAnsi="Work Sans Light"/>
          <w:sz w:val="22"/>
          <w:szCs w:val="22"/>
        </w:rPr>
        <w:sectPr w:rsidR="00EA0B30" w:rsidRPr="00866238" w:rsidSect="00D02815">
          <w:headerReference w:type="even" r:id="rId12"/>
          <w:headerReference w:type="default" r:id="rId13"/>
          <w:footerReference w:type="even" r:id="rId14"/>
          <w:footerReference w:type="default" r:id="rId15"/>
          <w:headerReference w:type="first" r:id="rId16"/>
          <w:footerReference w:type="first" r:id="rId17"/>
          <w:pgSz w:w="11906" w:h="16838" w:code="9"/>
          <w:pgMar w:top="2835" w:right="2098" w:bottom="2466" w:left="2098" w:header="1814" w:footer="1814" w:gutter="0"/>
          <w:cols w:space="720"/>
          <w:vAlign w:val="center"/>
        </w:sectPr>
      </w:pPr>
    </w:p>
    <w:p w14:paraId="07CCB5BC" w14:textId="0F148D56" w:rsidR="00EA0B30" w:rsidRPr="009632A8" w:rsidRDefault="00EA0B30" w:rsidP="00EA0B30">
      <w:pPr>
        <w:spacing w:after="120" w:line="240" w:lineRule="exact"/>
        <w:rPr>
          <w:spacing w:val="-2"/>
        </w:rPr>
      </w:pPr>
      <w:r w:rsidRPr="009632A8">
        <w:rPr>
          <w:spacing w:val="-2"/>
        </w:rPr>
        <w:lastRenderedPageBreak/>
        <w:t xml:space="preserve">© Commonwealth of Australia </w:t>
      </w:r>
      <w:r>
        <w:rPr>
          <w:spacing w:val="-2"/>
        </w:rPr>
        <w:t>202</w:t>
      </w:r>
      <w:r w:rsidR="00D65C61">
        <w:rPr>
          <w:spacing w:val="-2"/>
        </w:rPr>
        <w:t>2</w:t>
      </w:r>
    </w:p>
    <w:p w14:paraId="5364A5DE" w14:textId="77777777" w:rsidR="00EA0B30" w:rsidRPr="009632A8" w:rsidRDefault="00EA0B30" w:rsidP="00EA0B30">
      <w:pPr>
        <w:spacing w:after="140" w:line="240" w:lineRule="exact"/>
        <w:rPr>
          <w:spacing w:val="-2"/>
        </w:rPr>
      </w:pPr>
      <w:r w:rsidRPr="009632A8">
        <w:rPr>
          <w:spacing w:val="-2"/>
        </w:rPr>
        <w:t>ISSN 0728 7194 (print); 1326 4133 (online)</w:t>
      </w:r>
    </w:p>
    <w:p w14:paraId="573C14CE" w14:textId="77777777" w:rsidR="00EA0B30" w:rsidRPr="009632A8" w:rsidRDefault="00EA0B30" w:rsidP="00EA0B30">
      <w:pPr>
        <w:spacing w:after="140" w:line="240" w:lineRule="exact"/>
        <w:rPr>
          <w:rStyle w:val="A5"/>
          <w:spacing w:val="-2"/>
        </w:rPr>
      </w:pPr>
      <w:r w:rsidRPr="009632A8">
        <w:rPr>
          <w:rStyle w:val="A5"/>
          <w:rFonts w:cs="Calibri"/>
          <w:spacing w:val="-2"/>
        </w:rPr>
        <w:t xml:space="preserve">This publication is available for your use under </w:t>
      </w:r>
      <w:r w:rsidRPr="009632A8">
        <w:rPr>
          <w:spacing w:val="-2"/>
        </w:rPr>
        <w:t xml:space="preserve">a </w:t>
      </w:r>
      <w:hyperlink r:id="rId18" w:history="1">
        <w:r w:rsidRPr="009632A8">
          <w:rPr>
            <w:spacing w:val="-2"/>
          </w:rPr>
          <w:t>Creative Commons BY Attribution 3.0 Australia</w:t>
        </w:r>
      </w:hyperlink>
      <w:r w:rsidRPr="009632A8">
        <w:rPr>
          <w:spacing w:val="-2"/>
        </w:rPr>
        <w:t xml:space="preserve"> licence, </w:t>
      </w:r>
      <w:r w:rsidRPr="009632A8">
        <w:rPr>
          <w:rStyle w:val="A5"/>
          <w:rFonts w:cs="Calibri"/>
          <w:spacing w:val="-2"/>
        </w:rPr>
        <w:t>with the exception of the Commonwealth Coat of Arms, third</w:t>
      </w:r>
      <w:r>
        <w:rPr>
          <w:rStyle w:val="A5"/>
          <w:rFonts w:cs="Calibri"/>
          <w:spacing w:val="-2"/>
        </w:rPr>
        <w:noBreakHyphen/>
      </w:r>
      <w:r w:rsidRPr="009632A8">
        <w:rPr>
          <w:rStyle w:val="A5"/>
          <w:rFonts w:cs="Calibri"/>
          <w:spacing w:val="-2"/>
        </w:rPr>
        <w:t xml:space="preserve">party content and where otherwise stated. The full </w:t>
      </w:r>
      <w:r w:rsidRPr="009632A8">
        <w:rPr>
          <w:spacing w:val="-2"/>
        </w:rPr>
        <w:t xml:space="preserve">licence terms are available from </w:t>
      </w:r>
      <w:hyperlink r:id="rId19" w:history="1">
        <w:r w:rsidRPr="009632A8">
          <w:rPr>
            <w:spacing w:val="-2"/>
          </w:rPr>
          <w:t>http://creativecommons.org/licenses/by/3.0/au/legalcode</w:t>
        </w:r>
      </w:hyperlink>
      <w:r w:rsidRPr="009632A8">
        <w:rPr>
          <w:rStyle w:val="A5"/>
          <w:rFonts w:cs="Calibri"/>
          <w:spacing w:val="-2"/>
        </w:rPr>
        <w:t>.</w:t>
      </w:r>
    </w:p>
    <w:p w14:paraId="36F716E7" w14:textId="77777777" w:rsidR="00EA0B30" w:rsidRPr="00F05918" w:rsidRDefault="00EA0B30" w:rsidP="00EA0B30">
      <w:pPr>
        <w:pStyle w:val="TableGraphic"/>
        <w:spacing w:after="120"/>
      </w:pPr>
      <w:r w:rsidRPr="00F05918">
        <w:rPr>
          <w:noProof/>
        </w:rPr>
        <w:drawing>
          <wp:inline distT="0" distB="0" distL="0" distR="0" wp14:anchorId="46BEED02" wp14:editId="25973DB2">
            <wp:extent cx="887095" cy="307340"/>
            <wp:effectExtent l="0" t="0" r="8255" b="0"/>
            <wp:docPr id="4" name="Picture 4" descr="H:\MCD\Publishing\Graphic Design Services Team\Digital_Assets\Logos\Creative Commons\CC by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CD\Publishing\Graphic Design Services Team\Digital_Assets\Logos\Creative Commons\CC by_grey.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40365D41" w14:textId="77777777" w:rsidR="00EA0B30" w:rsidRPr="009632A8" w:rsidRDefault="00EA0B30" w:rsidP="00EA0B30">
      <w:pPr>
        <w:tabs>
          <w:tab w:val="left" w:pos="1650"/>
        </w:tabs>
        <w:spacing w:after="120" w:line="240" w:lineRule="exact"/>
        <w:rPr>
          <w:rFonts w:cs="Calibri"/>
          <w:color w:val="000000"/>
          <w:spacing w:val="-2"/>
        </w:rPr>
      </w:pPr>
      <w:r w:rsidRPr="009632A8">
        <w:rPr>
          <w:rFonts w:cs="Calibri"/>
          <w:color w:val="000000"/>
          <w:spacing w:val="-2"/>
        </w:rPr>
        <w:t xml:space="preserve">Use of Commonwealth of Australia material under a </w:t>
      </w:r>
      <w:hyperlink r:id="rId21" w:history="1">
        <w:r w:rsidRPr="009632A8">
          <w:rPr>
            <w:spacing w:val="-2"/>
          </w:rPr>
          <w:t>Creative Commons BY Attribution 3.0 Australia</w:t>
        </w:r>
      </w:hyperlink>
      <w:r w:rsidRPr="009632A8">
        <w:rPr>
          <w:spacing w:val="-2"/>
        </w:rPr>
        <w:t xml:space="preserve"> licence requires you to attribute the work </w:t>
      </w:r>
      <w:r w:rsidRPr="009632A8">
        <w:rPr>
          <w:rFonts w:cs="Calibri"/>
          <w:color w:val="000000"/>
          <w:spacing w:val="-2"/>
        </w:rPr>
        <w:t>(but not in any way that suggests that the Commonwealth of Australia endorses you or your use of the work).</w:t>
      </w:r>
    </w:p>
    <w:p w14:paraId="00A46F71" w14:textId="77777777" w:rsidR="00EA0B30" w:rsidRPr="00EA0B30" w:rsidRDefault="00EA0B30" w:rsidP="00EA0B30">
      <w:pPr>
        <w:spacing w:before="240" w:after="0" w:line="240" w:lineRule="exact"/>
        <w:rPr>
          <w:rFonts w:cs="Calibri"/>
          <w:b/>
          <w:iCs/>
          <w:color w:val="000000"/>
          <w:spacing w:val="-2"/>
        </w:rPr>
      </w:pPr>
      <w:r w:rsidRPr="00EA0B30">
        <w:rPr>
          <w:rFonts w:cs="Calibri"/>
          <w:b/>
          <w:iCs/>
          <w:color w:val="000000"/>
          <w:spacing w:val="-2"/>
        </w:rPr>
        <w:t>Commonwealth of Australia material used ‘as supplied’.</w:t>
      </w:r>
    </w:p>
    <w:p w14:paraId="3F53F9F3" w14:textId="77777777" w:rsidR="00EA0B30" w:rsidRPr="009632A8" w:rsidRDefault="00EA0B30" w:rsidP="00EA0B30">
      <w:pPr>
        <w:spacing w:after="120"/>
        <w:rPr>
          <w:spacing w:val="-2"/>
        </w:rPr>
      </w:pPr>
      <w:r w:rsidRPr="009632A8">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13A8A617" w14:textId="77777777" w:rsidR="00EA0B30" w:rsidRPr="009632A8" w:rsidRDefault="00EA0B30" w:rsidP="00EA0B30">
      <w:pPr>
        <w:spacing w:after="140" w:line="240" w:lineRule="exact"/>
        <w:ind w:left="567"/>
        <w:rPr>
          <w:rFonts w:cs="Calibri"/>
          <w:color w:val="000000"/>
          <w:spacing w:val="-2"/>
        </w:rPr>
      </w:pPr>
      <w:r w:rsidRPr="009632A8">
        <w:rPr>
          <w:rFonts w:cs="Calibri"/>
          <w:color w:val="000000"/>
          <w:spacing w:val="-2"/>
        </w:rPr>
        <w:t xml:space="preserve">Source: </w:t>
      </w:r>
      <w:r w:rsidRPr="009632A8">
        <w:rPr>
          <w:rFonts w:cs="Calibri"/>
          <w:i/>
          <w:iCs/>
          <w:spacing w:val="-2"/>
        </w:rPr>
        <w:t xml:space="preserve">The </w:t>
      </w:r>
      <w:r w:rsidRPr="009632A8">
        <w:rPr>
          <w:rFonts w:cs="Calibri"/>
          <w:i/>
          <w:color w:val="000000"/>
          <w:spacing w:val="-2"/>
        </w:rPr>
        <w:t>Commonwealth of Australia</w:t>
      </w:r>
      <w:r w:rsidRPr="009632A8">
        <w:rPr>
          <w:rFonts w:cs="Calibri"/>
          <w:i/>
          <w:iCs/>
          <w:spacing w:val="-2"/>
        </w:rPr>
        <w:t>.</w:t>
      </w:r>
    </w:p>
    <w:p w14:paraId="47F871E2" w14:textId="77777777" w:rsidR="00EA0B30" w:rsidRPr="009632A8" w:rsidRDefault="00EA0B30" w:rsidP="00EA0B30">
      <w:pPr>
        <w:spacing w:after="0" w:line="240" w:lineRule="exact"/>
        <w:rPr>
          <w:rFonts w:cs="Calibri"/>
          <w:b/>
          <w:iCs/>
          <w:color w:val="000000"/>
          <w:spacing w:val="-2"/>
        </w:rPr>
      </w:pPr>
      <w:r w:rsidRPr="009632A8">
        <w:rPr>
          <w:rFonts w:cs="Calibri"/>
          <w:b/>
          <w:iCs/>
          <w:color w:val="000000"/>
          <w:spacing w:val="-2"/>
        </w:rPr>
        <w:t>Derivative material</w:t>
      </w:r>
    </w:p>
    <w:p w14:paraId="2135C76A" w14:textId="77777777" w:rsidR="00EA0B30" w:rsidRPr="009632A8" w:rsidRDefault="00EA0B30" w:rsidP="00EA0B30">
      <w:pPr>
        <w:spacing w:after="120" w:line="240" w:lineRule="exact"/>
        <w:rPr>
          <w:rFonts w:cs="Calibri"/>
          <w:color w:val="000000"/>
          <w:spacing w:val="-2"/>
        </w:rPr>
      </w:pPr>
      <w:r w:rsidRPr="009632A8">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272FFEF5" w14:textId="77777777" w:rsidR="00EA0B30" w:rsidRPr="009632A8" w:rsidRDefault="00EA0B30" w:rsidP="00EA0B30">
      <w:pPr>
        <w:spacing w:after="140" w:line="240" w:lineRule="exact"/>
        <w:ind w:left="567"/>
        <w:rPr>
          <w:rFonts w:cs="Calibri"/>
          <w:i/>
          <w:color w:val="000000"/>
          <w:spacing w:val="-2"/>
        </w:rPr>
      </w:pPr>
      <w:r w:rsidRPr="009632A8">
        <w:rPr>
          <w:rFonts w:cs="Calibri"/>
          <w:i/>
          <w:color w:val="000000"/>
          <w:spacing w:val="-2"/>
        </w:rPr>
        <w:t>Based on Commonwealth of Australia data.</w:t>
      </w:r>
    </w:p>
    <w:p w14:paraId="7754C17C" w14:textId="77777777" w:rsidR="00EA0B30" w:rsidRPr="009632A8" w:rsidRDefault="00EA0B30" w:rsidP="00EA0B30">
      <w:pPr>
        <w:spacing w:after="0" w:line="240" w:lineRule="exact"/>
        <w:rPr>
          <w:spacing w:val="-2"/>
        </w:rPr>
      </w:pPr>
      <w:r w:rsidRPr="009632A8">
        <w:rPr>
          <w:rStyle w:val="A5"/>
          <w:rFonts w:cs="Calibri"/>
          <w:b/>
          <w:spacing w:val="-2"/>
        </w:rPr>
        <w:t>Use of the Coat of Arms</w:t>
      </w:r>
    </w:p>
    <w:p w14:paraId="098FB301" w14:textId="77777777" w:rsidR="00EA0B30" w:rsidRPr="009632A8" w:rsidRDefault="00EA0B30" w:rsidP="00EA0B30">
      <w:pPr>
        <w:spacing w:after="120"/>
        <w:rPr>
          <w:spacing w:val="-2"/>
        </w:rPr>
      </w:pPr>
      <w:r w:rsidRPr="009632A8">
        <w:rPr>
          <w:spacing w:val="-2"/>
        </w:rPr>
        <w:t xml:space="preserve">The terms under which the Coat of Arms can be used are set out on </w:t>
      </w:r>
      <w:r w:rsidRPr="009632A8">
        <w:rPr>
          <w:spacing w:val="-2"/>
        </w:rPr>
        <w:br/>
        <w:t xml:space="preserve">the Department of the Prime Minister and Cabinet website (see </w:t>
      </w:r>
      <w:hyperlink r:id="rId22" w:history="1">
        <w:r w:rsidRPr="005268BA">
          <w:rPr>
            <w:rStyle w:val="Hyperlink"/>
            <w:color w:val="000000" w:themeColor="text1"/>
            <w:spacing w:val="-2"/>
            <w:u w:val="none"/>
          </w:rPr>
          <w:t>www.pmc.gov.au/</w:t>
        </w:r>
        <w:r w:rsidRPr="005268BA">
          <w:rPr>
            <w:rStyle w:val="Hyperlink"/>
            <w:color w:val="000000" w:themeColor="text1"/>
            <w:spacing w:val="-2"/>
            <w:u w:val="none"/>
          </w:rPr>
          <w:br/>
          <w:t>government/commonwealth</w:t>
        </w:r>
        <w:r w:rsidRPr="005268BA">
          <w:rPr>
            <w:rStyle w:val="Hyperlink"/>
            <w:color w:val="000000" w:themeColor="text1"/>
            <w:spacing w:val="-2"/>
            <w:u w:val="none"/>
          </w:rPr>
          <w:noBreakHyphen/>
          <w:t>coat</w:t>
        </w:r>
        <w:r w:rsidRPr="005268BA">
          <w:rPr>
            <w:rStyle w:val="Hyperlink"/>
            <w:color w:val="000000" w:themeColor="text1"/>
            <w:spacing w:val="-2"/>
            <w:u w:val="none"/>
          </w:rPr>
          <w:noBreakHyphen/>
          <w:t>arms</w:t>
        </w:r>
      </w:hyperlink>
      <w:r w:rsidRPr="005268BA">
        <w:rPr>
          <w:color w:val="000000" w:themeColor="text1"/>
          <w:spacing w:val="-2"/>
        </w:rPr>
        <w:t>).</w:t>
      </w:r>
    </w:p>
    <w:p w14:paraId="68D2D1B4" w14:textId="77777777" w:rsidR="00EA0B30" w:rsidRPr="009632A8" w:rsidRDefault="00EA0B30" w:rsidP="00EA0B30">
      <w:pPr>
        <w:spacing w:after="0" w:line="240" w:lineRule="exact"/>
        <w:rPr>
          <w:rStyle w:val="A5"/>
          <w:rFonts w:cs="Calibri"/>
          <w:b/>
          <w:spacing w:val="-2"/>
        </w:rPr>
      </w:pPr>
      <w:r w:rsidRPr="009632A8">
        <w:rPr>
          <w:rStyle w:val="A5"/>
          <w:rFonts w:cs="Calibri"/>
          <w:b/>
          <w:spacing w:val="-2"/>
        </w:rPr>
        <w:t>Other uses</w:t>
      </w:r>
    </w:p>
    <w:p w14:paraId="7AC3C3E6" w14:textId="77777777" w:rsidR="00EA0B30" w:rsidRPr="009632A8" w:rsidRDefault="00EA0B30" w:rsidP="00EA0B30">
      <w:pPr>
        <w:spacing w:after="0" w:line="240" w:lineRule="exact"/>
        <w:rPr>
          <w:rFonts w:cs="Calibri"/>
          <w:i/>
          <w:spacing w:val="-2"/>
        </w:rPr>
      </w:pPr>
      <w:r w:rsidRPr="009632A8">
        <w:rPr>
          <w:rFonts w:cs="Calibri"/>
          <w:spacing w:val="-2"/>
        </w:rPr>
        <w:t>Enquiries regarding this licence and any other use of this document are welcome at:</w:t>
      </w:r>
    </w:p>
    <w:p w14:paraId="433F42C5" w14:textId="77777777" w:rsidR="00EA0B30" w:rsidRPr="009632A8" w:rsidRDefault="00EA0B30" w:rsidP="00EA0B30">
      <w:pPr>
        <w:spacing w:after="140" w:line="240" w:lineRule="exact"/>
        <w:ind w:left="567"/>
        <w:jc w:val="left"/>
        <w:rPr>
          <w:rFonts w:cs="Calibri"/>
          <w:spacing w:val="-2"/>
        </w:rPr>
      </w:pPr>
      <w:r w:rsidRPr="009632A8">
        <w:rPr>
          <w:rFonts w:cs="Calibri"/>
          <w:spacing w:val="-2"/>
        </w:rPr>
        <w:t>Manager</w:t>
      </w:r>
      <w:r w:rsidRPr="009632A8">
        <w:rPr>
          <w:rFonts w:cs="Calibri"/>
          <w:spacing w:val="-2"/>
        </w:rPr>
        <w:br/>
        <w:t>Media Unit</w:t>
      </w:r>
      <w:r w:rsidRPr="009632A8">
        <w:rPr>
          <w:rFonts w:cs="Calibri"/>
          <w:spacing w:val="-2"/>
        </w:rPr>
        <w:br/>
        <w:t>The Treasury</w:t>
      </w:r>
      <w:r w:rsidRPr="009632A8">
        <w:rPr>
          <w:rFonts w:cs="Calibri"/>
          <w:spacing w:val="-2"/>
        </w:rPr>
        <w:br/>
        <w:t xml:space="preserve">Langton Crescent </w:t>
      </w:r>
      <w:r w:rsidRPr="009632A8">
        <w:rPr>
          <w:rFonts w:cs="Calibri"/>
          <w:spacing w:val="-2"/>
        </w:rPr>
        <w:br/>
        <w:t>Parkes  ACT  2600</w:t>
      </w:r>
      <w:r>
        <w:rPr>
          <w:rFonts w:cs="Calibri"/>
          <w:spacing w:val="-2"/>
        </w:rPr>
        <w:br/>
      </w:r>
      <w:r w:rsidRPr="009632A8">
        <w:rPr>
          <w:rFonts w:cs="Calibri"/>
          <w:spacing w:val="-2"/>
        </w:rPr>
        <w:t>Email:</w:t>
      </w:r>
      <w:r w:rsidRPr="005268BA">
        <w:rPr>
          <w:rFonts w:cs="Calibri"/>
          <w:color w:val="000000" w:themeColor="text1"/>
          <w:spacing w:val="-2"/>
        </w:rPr>
        <w:t xml:space="preserve"> </w:t>
      </w:r>
      <w:hyperlink r:id="rId23" w:history="1">
        <w:r w:rsidRPr="005268BA">
          <w:rPr>
            <w:rStyle w:val="Hyperlink"/>
            <w:rFonts w:cs="Calibri"/>
            <w:color w:val="000000" w:themeColor="text1"/>
            <w:spacing w:val="-2"/>
            <w:u w:val="none"/>
          </w:rPr>
          <w:t>media@treasury.gov.au</w:t>
        </w:r>
      </w:hyperlink>
    </w:p>
    <w:p w14:paraId="6CF14EEA" w14:textId="77777777" w:rsidR="00EA0B30" w:rsidRPr="009632A8" w:rsidRDefault="00EA0B30" w:rsidP="00EA0B30">
      <w:pPr>
        <w:spacing w:after="0" w:line="240" w:lineRule="exact"/>
        <w:rPr>
          <w:rStyle w:val="A5"/>
          <w:rFonts w:cs="Calibri"/>
          <w:b/>
          <w:spacing w:val="-2"/>
        </w:rPr>
      </w:pPr>
      <w:r w:rsidRPr="009632A8">
        <w:rPr>
          <w:rStyle w:val="A5"/>
          <w:rFonts w:cs="Calibri"/>
          <w:b/>
          <w:spacing w:val="-2"/>
        </w:rPr>
        <w:t>Internet</w:t>
      </w:r>
    </w:p>
    <w:p w14:paraId="006D4E90" w14:textId="77777777" w:rsidR="00EA0B30" w:rsidRPr="009632A8" w:rsidRDefault="00EA0B30" w:rsidP="00EA0B30">
      <w:pPr>
        <w:spacing w:after="100" w:afterAutospacing="1" w:line="240" w:lineRule="exact"/>
        <w:jc w:val="left"/>
        <w:rPr>
          <w:spacing w:val="-2"/>
        </w:rPr>
      </w:pPr>
      <w:r w:rsidRPr="009632A8">
        <w:rPr>
          <w:spacing w:val="-2"/>
        </w:rPr>
        <w:t xml:space="preserve">A copy of this document is available on the central Budget website at: </w:t>
      </w:r>
      <w:hyperlink r:id="rId24" w:history="1">
        <w:r w:rsidRPr="009632A8">
          <w:rPr>
            <w:spacing w:val="-2"/>
          </w:rPr>
          <w:t>www.budget.gov.au</w:t>
        </w:r>
      </w:hyperlink>
      <w:r w:rsidRPr="009632A8">
        <w:rPr>
          <w:spacing w:val="-2"/>
        </w:rPr>
        <w:t>.</w:t>
      </w:r>
    </w:p>
    <w:p w14:paraId="7C6B9EFC" w14:textId="77777777" w:rsidR="00EA0B30" w:rsidRPr="009632A8" w:rsidRDefault="00EA0B30" w:rsidP="00EA0B30">
      <w:pPr>
        <w:pStyle w:val="Halftitle"/>
        <w:spacing w:after="0" w:line="240" w:lineRule="exact"/>
        <w:rPr>
          <w:spacing w:val="-2"/>
          <w:sz w:val="20"/>
        </w:rPr>
      </w:pPr>
      <w:r w:rsidRPr="009632A8">
        <w:rPr>
          <w:spacing w:val="-2"/>
          <w:sz w:val="20"/>
        </w:rPr>
        <w:t>Printed by CanPrint Communications Pty Ltd.</w:t>
      </w:r>
    </w:p>
    <w:p w14:paraId="47BF1DFD" w14:textId="77777777" w:rsidR="00EA0B30" w:rsidRPr="009632A8" w:rsidRDefault="00EA0B30" w:rsidP="00EA0B30">
      <w:pPr>
        <w:spacing w:after="0" w:line="240" w:lineRule="exact"/>
        <w:jc w:val="left"/>
        <w:rPr>
          <w:spacing w:val="-2"/>
        </w:rPr>
        <w:sectPr w:rsidR="00EA0B30" w:rsidRPr="009632A8" w:rsidSect="00D02815">
          <w:footerReference w:type="even" r:id="rId25"/>
          <w:pgSz w:w="11906" w:h="16838" w:code="9"/>
          <w:pgMar w:top="2835" w:right="2098" w:bottom="2466" w:left="2098" w:header="1814" w:footer="1814" w:gutter="0"/>
          <w:pgNumType w:fmt="lowerRoman"/>
          <w:cols w:space="720"/>
        </w:sectPr>
      </w:pPr>
    </w:p>
    <w:p w14:paraId="09EE3C45" w14:textId="77777777" w:rsidR="00EA0B30" w:rsidRPr="00F05918" w:rsidRDefault="00EA0B30" w:rsidP="00EA0B30">
      <w:pPr>
        <w:rPr>
          <w:b/>
        </w:rPr>
      </w:pPr>
      <w:r w:rsidRPr="00F05918">
        <w:rPr>
          <w:b/>
        </w:rPr>
        <w:lastRenderedPageBreak/>
        <w:t>Notes</w:t>
      </w:r>
    </w:p>
    <w:p w14:paraId="138ACFE0" w14:textId="77777777" w:rsidR="00EA0B30" w:rsidRPr="00F05918" w:rsidRDefault="00EA0B30" w:rsidP="00EA0B30">
      <w:pPr>
        <w:pStyle w:val="AlphaParagraph"/>
        <w:tabs>
          <w:tab w:val="clear" w:pos="360"/>
          <w:tab w:val="num" w:pos="567"/>
        </w:tabs>
        <w:ind w:left="567" w:hanging="567"/>
      </w:pPr>
      <w:r w:rsidRPr="00F05918">
        <w:t>The following definitions are used in this Budget Paper:</w:t>
      </w:r>
    </w:p>
    <w:p w14:paraId="4F558FAD" w14:textId="77777777" w:rsidR="00EA0B30" w:rsidRPr="00D66F55" w:rsidRDefault="00EA0B30" w:rsidP="00EA0B30">
      <w:pPr>
        <w:pStyle w:val="Dash"/>
        <w:numPr>
          <w:ilvl w:val="1"/>
          <w:numId w:val="3"/>
        </w:numPr>
        <w:tabs>
          <w:tab w:val="clear" w:pos="567"/>
          <w:tab w:val="num" w:pos="1134"/>
        </w:tabs>
        <w:ind w:left="1134" w:hanging="426"/>
      </w:pPr>
      <w:r>
        <w:t>‘</w:t>
      </w:r>
      <w:r w:rsidRPr="00D66F55">
        <w:t>real</w:t>
      </w:r>
      <w:r>
        <w:t>’</w:t>
      </w:r>
      <w:r w:rsidRPr="00D66F55">
        <w:t xml:space="preserve"> means adjusted for the effect of inflation;</w:t>
      </w:r>
    </w:p>
    <w:p w14:paraId="2075CEBE" w14:textId="77777777" w:rsidR="00EA0B30" w:rsidRPr="00D63B4B" w:rsidRDefault="00EA0B30" w:rsidP="00EA0B30">
      <w:pPr>
        <w:pStyle w:val="Dash"/>
        <w:numPr>
          <w:ilvl w:val="1"/>
          <w:numId w:val="3"/>
        </w:numPr>
        <w:tabs>
          <w:tab w:val="clear" w:pos="567"/>
          <w:tab w:val="num" w:pos="1134"/>
        </w:tabs>
        <w:ind w:left="1134" w:hanging="426"/>
      </w:pPr>
      <w:r w:rsidRPr="00D63B4B">
        <w:t>real growth in expenses and payments is calculated using the Consumer</w:t>
      </w:r>
      <w:r>
        <w:t> </w:t>
      </w:r>
      <w:r w:rsidRPr="00D63B4B">
        <w:t>Price Index (CPI) as the deflator;</w:t>
      </w:r>
    </w:p>
    <w:p w14:paraId="62892244" w14:textId="66FD0D61" w:rsidR="00EA0B30" w:rsidRPr="00AD18BD" w:rsidRDefault="00EA0B30" w:rsidP="00EA0B30">
      <w:pPr>
        <w:pStyle w:val="Dash"/>
        <w:numPr>
          <w:ilvl w:val="1"/>
          <w:numId w:val="3"/>
        </w:numPr>
        <w:tabs>
          <w:tab w:val="clear" w:pos="567"/>
          <w:tab w:val="num" w:pos="1134"/>
        </w:tabs>
        <w:ind w:left="1134" w:hanging="426"/>
      </w:pPr>
      <w:r w:rsidRPr="00AD18BD">
        <w:t>the Budget year refers to 202</w:t>
      </w:r>
      <w:r w:rsidR="00DE799B">
        <w:t>2</w:t>
      </w:r>
      <w:r w:rsidRPr="00AD18BD">
        <w:t>-2</w:t>
      </w:r>
      <w:r w:rsidR="00DE799B">
        <w:t>3</w:t>
      </w:r>
      <w:r w:rsidRPr="00AD18BD">
        <w:t>, while the forward years refer to 202</w:t>
      </w:r>
      <w:r w:rsidR="00AB4C2D">
        <w:t>3</w:t>
      </w:r>
      <w:r w:rsidRPr="00AD18BD">
        <w:noBreakHyphen/>
        <w:t>2</w:t>
      </w:r>
      <w:r w:rsidR="00AB4C2D">
        <w:t>4</w:t>
      </w:r>
      <w:r w:rsidRPr="00AD18BD">
        <w:t>, 202</w:t>
      </w:r>
      <w:r w:rsidR="00AB4C2D">
        <w:t>4</w:t>
      </w:r>
      <w:r w:rsidRPr="00AD18BD">
        <w:t>-2</w:t>
      </w:r>
      <w:r w:rsidR="00AB4C2D">
        <w:t>5</w:t>
      </w:r>
      <w:r w:rsidRPr="00AD18BD">
        <w:t xml:space="preserve"> and 202</w:t>
      </w:r>
      <w:r w:rsidR="00AB4C2D">
        <w:t>5</w:t>
      </w:r>
      <w:r w:rsidRPr="00AD18BD">
        <w:t>-2</w:t>
      </w:r>
      <w:r w:rsidR="00AB4C2D">
        <w:t>6</w:t>
      </w:r>
      <w:r w:rsidRPr="00AD18BD">
        <w:t>; and</w:t>
      </w:r>
    </w:p>
    <w:p w14:paraId="41F48356" w14:textId="77777777" w:rsidR="00EA0B30" w:rsidRPr="00D63B4B" w:rsidRDefault="00EA0B30" w:rsidP="00EA0B30">
      <w:pPr>
        <w:pStyle w:val="Dash"/>
        <w:numPr>
          <w:ilvl w:val="1"/>
          <w:numId w:val="3"/>
        </w:numPr>
        <w:tabs>
          <w:tab w:val="clear" w:pos="567"/>
          <w:tab w:val="num" w:pos="1134"/>
        </w:tabs>
        <w:ind w:left="1134" w:hanging="426"/>
      </w:pPr>
      <w:r w:rsidRPr="00D63B4B">
        <w:t>one billion is equal to one thousand million.</w:t>
      </w:r>
    </w:p>
    <w:p w14:paraId="5C5F6503" w14:textId="14F72BD1" w:rsidR="00EA0B30" w:rsidRPr="00F05918" w:rsidRDefault="00EA0B30" w:rsidP="00EA0B30">
      <w:pPr>
        <w:pStyle w:val="AlphaParagraph"/>
        <w:tabs>
          <w:tab w:val="clear" w:pos="360"/>
          <w:tab w:val="num" w:pos="567"/>
        </w:tabs>
        <w:ind w:left="567" w:hanging="567"/>
      </w:pPr>
      <w:r w:rsidRPr="00F05918">
        <w:t>Figures in tables and generally in the text have been rounded. Discrepancies in tables between totals and sums of components are due to rounding</w:t>
      </w:r>
      <w:r w:rsidR="00B20790">
        <w:t>.</w:t>
      </w:r>
    </w:p>
    <w:p w14:paraId="52B31E13" w14:textId="0843399F" w:rsidR="00EA0B30" w:rsidRPr="00F05918" w:rsidRDefault="00B20790" w:rsidP="00EA0B30">
      <w:pPr>
        <w:pStyle w:val="Dash"/>
        <w:numPr>
          <w:ilvl w:val="1"/>
          <w:numId w:val="3"/>
        </w:numPr>
        <w:tabs>
          <w:tab w:val="clear" w:pos="567"/>
          <w:tab w:val="num" w:pos="1134"/>
        </w:tabs>
        <w:ind w:left="1134" w:hanging="426"/>
      </w:pPr>
      <w:r>
        <w:t>E</w:t>
      </w:r>
      <w:r w:rsidR="00EA0B30" w:rsidRPr="00F05918">
        <w:t>stimates under $100,000 are rounded to the nearest thousand</w:t>
      </w:r>
      <w:r>
        <w:t>.</w:t>
      </w:r>
    </w:p>
    <w:p w14:paraId="3C958DA7" w14:textId="06CEF285" w:rsidR="00EA0B30" w:rsidRPr="00F05918" w:rsidRDefault="00B20790" w:rsidP="00EA0B30">
      <w:pPr>
        <w:pStyle w:val="Dash"/>
        <w:numPr>
          <w:ilvl w:val="1"/>
          <w:numId w:val="3"/>
        </w:numPr>
        <w:tabs>
          <w:tab w:val="clear" w:pos="567"/>
          <w:tab w:val="num" w:pos="1134"/>
        </w:tabs>
        <w:ind w:left="1134" w:hanging="426"/>
      </w:pPr>
      <w:r>
        <w:t>E</w:t>
      </w:r>
      <w:r w:rsidR="00EA0B30" w:rsidRPr="00F05918">
        <w:t>stimates $100,000 and over are generally rounded to the nearest tenth of a million</w:t>
      </w:r>
      <w:r>
        <w:t>.</w:t>
      </w:r>
    </w:p>
    <w:p w14:paraId="506815D6" w14:textId="7C2EA6A2" w:rsidR="00EA0B30" w:rsidRPr="00F05918" w:rsidRDefault="00B20790" w:rsidP="00EA0B30">
      <w:pPr>
        <w:pStyle w:val="Dash"/>
        <w:numPr>
          <w:ilvl w:val="1"/>
          <w:numId w:val="3"/>
        </w:numPr>
        <w:tabs>
          <w:tab w:val="clear" w:pos="567"/>
          <w:tab w:val="num" w:pos="1134"/>
        </w:tabs>
        <w:ind w:left="1134" w:hanging="426"/>
      </w:pPr>
      <w:r>
        <w:t>E</w:t>
      </w:r>
      <w:r w:rsidR="00EA0B30" w:rsidRPr="00F05918">
        <w:t>stimates midway between rounding points are rounded up</w:t>
      </w:r>
      <w:r>
        <w:t>.</w:t>
      </w:r>
    </w:p>
    <w:p w14:paraId="441A883C" w14:textId="24BB80E6" w:rsidR="00EA0B30" w:rsidRPr="00F05918" w:rsidRDefault="00911E4F" w:rsidP="00EA0B30">
      <w:pPr>
        <w:pStyle w:val="Dash"/>
        <w:numPr>
          <w:ilvl w:val="1"/>
          <w:numId w:val="3"/>
        </w:numPr>
        <w:tabs>
          <w:tab w:val="clear" w:pos="567"/>
          <w:tab w:val="num" w:pos="1134"/>
        </w:tabs>
        <w:ind w:left="1134" w:hanging="426"/>
      </w:pPr>
      <w:r>
        <w:t>T</w:t>
      </w:r>
      <w:r w:rsidR="00EA0B30" w:rsidRPr="00F05918">
        <w:t>he percentage changes in statistical tables are calculated using unrounded data.</w:t>
      </w:r>
    </w:p>
    <w:p w14:paraId="48E9494D" w14:textId="77777777" w:rsidR="00EA0B30" w:rsidRPr="00F05918" w:rsidRDefault="00EA0B30" w:rsidP="00EA0B30">
      <w:pPr>
        <w:pStyle w:val="AlphaParagraph"/>
        <w:tabs>
          <w:tab w:val="clear" w:pos="360"/>
          <w:tab w:val="num" w:pos="567"/>
        </w:tabs>
        <w:ind w:left="567" w:hanging="567"/>
      </w:pPr>
      <w:r w:rsidRPr="00F05918">
        <w:t>For the budget balance, a negative sign indicates a deficit while no sign indicates a surplus.</w:t>
      </w:r>
    </w:p>
    <w:p w14:paraId="38ADF134" w14:textId="77777777" w:rsidR="00EA0B30" w:rsidRPr="00F05918" w:rsidRDefault="00EA0B30" w:rsidP="00EA0B30">
      <w:pPr>
        <w:pStyle w:val="AlphaParagraph"/>
        <w:tabs>
          <w:tab w:val="clear" w:pos="360"/>
          <w:tab w:val="num" w:pos="567"/>
        </w:tabs>
        <w:ind w:left="567" w:hanging="567"/>
      </w:pPr>
      <w:r w:rsidRPr="00F05918">
        <w:t>The following notations are used:</w:t>
      </w:r>
    </w:p>
    <w:tbl>
      <w:tblPr>
        <w:tblW w:w="0" w:type="auto"/>
        <w:tblInd w:w="709" w:type="dxa"/>
        <w:tblLayout w:type="fixed"/>
        <w:tblCellMar>
          <w:left w:w="0" w:type="dxa"/>
        </w:tblCellMar>
        <w:tblLook w:val="04A0" w:firstRow="1" w:lastRow="0" w:firstColumn="1" w:lastColumn="0" w:noHBand="0" w:noVBand="1"/>
      </w:tblPr>
      <w:tblGrid>
        <w:gridCol w:w="1417"/>
        <w:gridCol w:w="5102"/>
      </w:tblGrid>
      <w:tr w:rsidR="00EA0B30" w:rsidRPr="00F05918" w14:paraId="64485E5F" w14:textId="77777777" w:rsidTr="00D02815">
        <w:trPr>
          <w:trHeight w:val="340"/>
        </w:trPr>
        <w:tc>
          <w:tcPr>
            <w:tcW w:w="1417" w:type="dxa"/>
            <w:hideMark/>
          </w:tcPr>
          <w:p w14:paraId="040B36C1" w14:textId="77777777" w:rsidR="00EA0B30" w:rsidRPr="00F05918" w:rsidRDefault="00EA0B30" w:rsidP="00D02815">
            <w:pPr>
              <w:pStyle w:val="SingleParagraph"/>
              <w:spacing w:after="120"/>
            </w:pPr>
            <w:r>
              <w:noBreakHyphen/>
            </w:r>
          </w:p>
        </w:tc>
        <w:tc>
          <w:tcPr>
            <w:tcW w:w="5102" w:type="dxa"/>
            <w:hideMark/>
          </w:tcPr>
          <w:p w14:paraId="3D403BF1" w14:textId="77777777" w:rsidR="00EA0B30" w:rsidRPr="00F05918" w:rsidRDefault="00EA0B30" w:rsidP="00D02815">
            <w:pPr>
              <w:pStyle w:val="SingleParagraph"/>
              <w:spacing w:after="120"/>
            </w:pPr>
            <w:r w:rsidRPr="00F05918">
              <w:t>nil</w:t>
            </w:r>
          </w:p>
        </w:tc>
      </w:tr>
      <w:tr w:rsidR="00EA0B30" w:rsidRPr="00F05918" w14:paraId="0F1BD5DC" w14:textId="77777777" w:rsidTr="00D02815">
        <w:trPr>
          <w:trHeight w:val="340"/>
        </w:trPr>
        <w:tc>
          <w:tcPr>
            <w:tcW w:w="1417" w:type="dxa"/>
            <w:hideMark/>
          </w:tcPr>
          <w:p w14:paraId="475949D6" w14:textId="77777777" w:rsidR="00EA0B30" w:rsidRPr="00F05918" w:rsidRDefault="00EA0B30" w:rsidP="00D02815">
            <w:pPr>
              <w:pStyle w:val="SingleParagraph"/>
              <w:spacing w:after="120"/>
            </w:pPr>
            <w:r w:rsidRPr="00F05918">
              <w:t>na</w:t>
            </w:r>
          </w:p>
        </w:tc>
        <w:tc>
          <w:tcPr>
            <w:tcW w:w="5102" w:type="dxa"/>
            <w:hideMark/>
          </w:tcPr>
          <w:p w14:paraId="47728317" w14:textId="77777777" w:rsidR="00EA0B30" w:rsidRPr="00F05918" w:rsidRDefault="00EA0B30" w:rsidP="00D02815">
            <w:pPr>
              <w:pStyle w:val="SingleParagraph"/>
              <w:spacing w:after="120"/>
            </w:pPr>
            <w:r w:rsidRPr="00F05918">
              <w:t>not applicable (unless otherwise specified)</w:t>
            </w:r>
          </w:p>
        </w:tc>
      </w:tr>
      <w:tr w:rsidR="00EA0B30" w:rsidRPr="00F05918" w14:paraId="3A5DF77C" w14:textId="77777777" w:rsidTr="00D02815">
        <w:trPr>
          <w:trHeight w:val="340"/>
        </w:trPr>
        <w:tc>
          <w:tcPr>
            <w:tcW w:w="1417" w:type="dxa"/>
          </w:tcPr>
          <w:p w14:paraId="39E81DDB" w14:textId="77777777" w:rsidR="00EA0B30" w:rsidRPr="00F05918" w:rsidRDefault="00EA0B30" w:rsidP="00D02815">
            <w:pPr>
              <w:pStyle w:val="SingleParagraph"/>
              <w:spacing w:after="120"/>
            </w:pPr>
            <w:r w:rsidRPr="00F05918">
              <w:t>$m</w:t>
            </w:r>
          </w:p>
        </w:tc>
        <w:tc>
          <w:tcPr>
            <w:tcW w:w="5102" w:type="dxa"/>
          </w:tcPr>
          <w:p w14:paraId="18CE3899" w14:textId="77777777" w:rsidR="00EA0B30" w:rsidRPr="00F05918" w:rsidRDefault="00EA0B30" w:rsidP="00D02815">
            <w:pPr>
              <w:pStyle w:val="SingleParagraph"/>
              <w:spacing w:after="120"/>
            </w:pPr>
            <w:r w:rsidRPr="00F05918">
              <w:t>millions of dollars</w:t>
            </w:r>
          </w:p>
        </w:tc>
      </w:tr>
      <w:tr w:rsidR="00EA0B30" w:rsidRPr="00F05918" w14:paraId="1AB13CA3" w14:textId="77777777" w:rsidTr="00D02815">
        <w:trPr>
          <w:trHeight w:val="340"/>
        </w:trPr>
        <w:tc>
          <w:tcPr>
            <w:tcW w:w="1417" w:type="dxa"/>
          </w:tcPr>
          <w:p w14:paraId="41EC28D6" w14:textId="77777777" w:rsidR="00EA0B30" w:rsidRPr="00F05918" w:rsidRDefault="00EA0B30" w:rsidP="00D02815">
            <w:pPr>
              <w:pStyle w:val="SingleParagraph"/>
              <w:spacing w:after="120"/>
            </w:pPr>
            <w:r w:rsidRPr="00F05918">
              <w:t>$b</w:t>
            </w:r>
          </w:p>
        </w:tc>
        <w:tc>
          <w:tcPr>
            <w:tcW w:w="5102" w:type="dxa"/>
          </w:tcPr>
          <w:p w14:paraId="1BE77CF3" w14:textId="77777777" w:rsidR="00EA0B30" w:rsidRPr="00F05918" w:rsidRDefault="00EA0B30" w:rsidP="00D02815">
            <w:pPr>
              <w:pStyle w:val="SingleParagraph"/>
              <w:spacing w:after="120"/>
            </w:pPr>
            <w:r w:rsidRPr="00F05918">
              <w:t>billions of dollars</w:t>
            </w:r>
          </w:p>
        </w:tc>
      </w:tr>
      <w:tr w:rsidR="00EA0B30" w:rsidRPr="00F05918" w14:paraId="7973C777" w14:textId="77777777" w:rsidTr="00D02815">
        <w:trPr>
          <w:trHeight w:val="340"/>
        </w:trPr>
        <w:tc>
          <w:tcPr>
            <w:tcW w:w="1417" w:type="dxa"/>
          </w:tcPr>
          <w:p w14:paraId="1C700233" w14:textId="77777777" w:rsidR="00EA0B30" w:rsidRPr="00F05918" w:rsidRDefault="00EA0B30" w:rsidP="00D02815">
            <w:pPr>
              <w:pStyle w:val="SingleParagraph"/>
              <w:spacing w:after="120"/>
            </w:pPr>
            <w:r w:rsidRPr="00F05918">
              <w:t>nfp</w:t>
            </w:r>
          </w:p>
        </w:tc>
        <w:tc>
          <w:tcPr>
            <w:tcW w:w="5102" w:type="dxa"/>
          </w:tcPr>
          <w:p w14:paraId="10110EDC" w14:textId="77777777" w:rsidR="00EA0B30" w:rsidRPr="00F05918" w:rsidRDefault="00EA0B30" w:rsidP="00D02815">
            <w:pPr>
              <w:pStyle w:val="SingleParagraph"/>
              <w:spacing w:after="120"/>
            </w:pPr>
            <w:r w:rsidRPr="00F05918">
              <w:t>not for publication</w:t>
            </w:r>
          </w:p>
        </w:tc>
      </w:tr>
      <w:tr w:rsidR="00EA0B30" w:rsidRPr="00F05918" w14:paraId="5EC1F2E3" w14:textId="77777777" w:rsidTr="00D02815">
        <w:trPr>
          <w:trHeight w:val="340"/>
        </w:trPr>
        <w:tc>
          <w:tcPr>
            <w:tcW w:w="1417" w:type="dxa"/>
            <w:hideMark/>
          </w:tcPr>
          <w:p w14:paraId="69B80D40" w14:textId="77777777" w:rsidR="00EA0B30" w:rsidRPr="00F05918" w:rsidRDefault="00EA0B30" w:rsidP="00D02815">
            <w:pPr>
              <w:pStyle w:val="SingleParagraph"/>
              <w:spacing w:after="120"/>
            </w:pPr>
            <w:r w:rsidRPr="00F05918">
              <w:t>(e)</w:t>
            </w:r>
          </w:p>
        </w:tc>
        <w:tc>
          <w:tcPr>
            <w:tcW w:w="5102" w:type="dxa"/>
            <w:hideMark/>
          </w:tcPr>
          <w:p w14:paraId="54E1352D" w14:textId="77777777" w:rsidR="00EA0B30" w:rsidRPr="00F05918" w:rsidRDefault="00EA0B30" w:rsidP="00D02815">
            <w:pPr>
              <w:pStyle w:val="SingleParagraph"/>
              <w:spacing w:after="120"/>
            </w:pPr>
            <w:r w:rsidRPr="00F05918">
              <w:t>estimates (unless otherwise specified)</w:t>
            </w:r>
          </w:p>
        </w:tc>
      </w:tr>
      <w:tr w:rsidR="00EA0B30" w:rsidRPr="00F05918" w14:paraId="4F736F16" w14:textId="77777777" w:rsidTr="00D02815">
        <w:trPr>
          <w:trHeight w:val="340"/>
        </w:trPr>
        <w:tc>
          <w:tcPr>
            <w:tcW w:w="1417" w:type="dxa"/>
            <w:hideMark/>
          </w:tcPr>
          <w:p w14:paraId="518FCBC0" w14:textId="77777777" w:rsidR="00EA0B30" w:rsidRPr="00F05918" w:rsidRDefault="00EA0B30" w:rsidP="00D02815">
            <w:pPr>
              <w:pStyle w:val="SingleParagraph"/>
              <w:spacing w:after="120"/>
            </w:pPr>
            <w:r w:rsidRPr="00F05918">
              <w:t>(p)</w:t>
            </w:r>
          </w:p>
        </w:tc>
        <w:tc>
          <w:tcPr>
            <w:tcW w:w="5102" w:type="dxa"/>
            <w:hideMark/>
          </w:tcPr>
          <w:p w14:paraId="14886410" w14:textId="77777777" w:rsidR="00EA0B30" w:rsidRPr="00F05918" w:rsidRDefault="00EA0B30" w:rsidP="00D02815">
            <w:pPr>
              <w:pStyle w:val="SingleParagraph"/>
              <w:spacing w:after="120"/>
            </w:pPr>
            <w:r w:rsidRPr="00F05918">
              <w:t>projections (unless otherwise specified)</w:t>
            </w:r>
          </w:p>
        </w:tc>
      </w:tr>
      <w:tr w:rsidR="00EA0B30" w:rsidRPr="00F05918" w14:paraId="6BF5B2E9" w14:textId="77777777" w:rsidTr="00D02815">
        <w:trPr>
          <w:trHeight w:val="340"/>
        </w:trPr>
        <w:tc>
          <w:tcPr>
            <w:tcW w:w="1417" w:type="dxa"/>
          </w:tcPr>
          <w:p w14:paraId="1A797E74" w14:textId="77777777" w:rsidR="00EA0B30" w:rsidRPr="00F05918" w:rsidRDefault="00EA0B30" w:rsidP="00D02815">
            <w:pPr>
              <w:pStyle w:val="SingleParagraph"/>
              <w:spacing w:after="120"/>
            </w:pPr>
            <w:r w:rsidRPr="00F05918">
              <w:t>NEC/nec</w:t>
            </w:r>
          </w:p>
        </w:tc>
        <w:tc>
          <w:tcPr>
            <w:tcW w:w="5102" w:type="dxa"/>
          </w:tcPr>
          <w:p w14:paraId="41F4EB5A" w14:textId="77777777" w:rsidR="00EA0B30" w:rsidRPr="00F05918" w:rsidDel="007F1468" w:rsidRDefault="00EA0B30" w:rsidP="00D02815">
            <w:pPr>
              <w:pStyle w:val="SingleParagraph"/>
              <w:spacing w:after="120"/>
            </w:pPr>
            <w:r w:rsidRPr="00F05918">
              <w:t>not elsewhere classified</w:t>
            </w:r>
          </w:p>
        </w:tc>
      </w:tr>
    </w:tbl>
    <w:p w14:paraId="4BDD7EF8" w14:textId="77777777" w:rsidR="00EA0B30" w:rsidRPr="00F05918" w:rsidRDefault="00EA0B30" w:rsidP="00EA0B30">
      <w:pPr>
        <w:pStyle w:val="AlphaParagraph"/>
        <w:tabs>
          <w:tab w:val="clear" w:pos="360"/>
          <w:tab w:val="num" w:pos="567"/>
        </w:tabs>
        <w:ind w:left="567" w:hanging="567"/>
      </w:pPr>
      <w:r w:rsidRPr="00F05918">
        <w:br w:type="page"/>
      </w:r>
      <w:r w:rsidRPr="00F05918">
        <w:lastRenderedPageBreak/>
        <w:t xml:space="preserve">The Australian Capital Territory and the Northern Territory are referred to as </w:t>
      </w:r>
      <w:r>
        <w:t>‘</w:t>
      </w:r>
      <w:r w:rsidRPr="00F05918">
        <w:t>the</w:t>
      </w:r>
      <w:r>
        <w:t> t</w:t>
      </w:r>
      <w:r w:rsidRPr="00F05918">
        <w:t>erritories</w:t>
      </w:r>
      <w:r>
        <w:t>’</w:t>
      </w:r>
      <w:r w:rsidRPr="00F05918">
        <w:t xml:space="preserve">. References to the </w:t>
      </w:r>
      <w:r>
        <w:t>‘s</w:t>
      </w:r>
      <w:r w:rsidRPr="00F05918">
        <w:t>tates</w:t>
      </w:r>
      <w:r>
        <w:t>’</w:t>
      </w:r>
      <w:r w:rsidRPr="00F05918">
        <w:t xml:space="preserve"> or </w:t>
      </w:r>
      <w:r>
        <w:t>‘</w:t>
      </w:r>
      <w:r w:rsidRPr="00F05918">
        <w:t xml:space="preserve">each </w:t>
      </w:r>
      <w:r>
        <w:t>s</w:t>
      </w:r>
      <w:r w:rsidRPr="00F05918">
        <w:t>tate</w:t>
      </w:r>
      <w:r>
        <w:t>’</w:t>
      </w:r>
      <w:r w:rsidRPr="00F05918">
        <w:t xml:space="preserve"> include the </w:t>
      </w:r>
      <w:r>
        <w:t>t</w:t>
      </w:r>
      <w:r w:rsidRPr="00F05918">
        <w:t>erritories.</w:t>
      </w:r>
      <w:r>
        <w:br/>
      </w:r>
      <w:r w:rsidRPr="00F05918">
        <w:t xml:space="preserve">The following abbreviations are used for the names of the </w:t>
      </w:r>
      <w:r>
        <w:t>s</w:t>
      </w:r>
      <w:r w:rsidRPr="00F05918">
        <w:t>tates, where appropriate:</w:t>
      </w:r>
    </w:p>
    <w:tbl>
      <w:tblPr>
        <w:tblW w:w="0" w:type="auto"/>
        <w:tblInd w:w="709" w:type="dxa"/>
        <w:tblLayout w:type="fixed"/>
        <w:tblCellMar>
          <w:left w:w="0" w:type="dxa"/>
        </w:tblCellMar>
        <w:tblLook w:val="04A0" w:firstRow="1" w:lastRow="0" w:firstColumn="1" w:lastColumn="0" w:noHBand="0" w:noVBand="1"/>
      </w:tblPr>
      <w:tblGrid>
        <w:gridCol w:w="1417"/>
        <w:gridCol w:w="5102"/>
      </w:tblGrid>
      <w:tr w:rsidR="00EA0B30" w:rsidRPr="00F05918" w14:paraId="73E09A85" w14:textId="77777777" w:rsidTr="00D02815">
        <w:tc>
          <w:tcPr>
            <w:tcW w:w="1417" w:type="dxa"/>
            <w:hideMark/>
          </w:tcPr>
          <w:p w14:paraId="0B5CC058" w14:textId="77777777" w:rsidR="00EA0B30" w:rsidRPr="00F05918" w:rsidRDefault="00EA0B30" w:rsidP="00D02815">
            <w:pPr>
              <w:spacing w:after="120"/>
            </w:pPr>
            <w:r w:rsidRPr="00F05918">
              <w:t>NSW</w:t>
            </w:r>
          </w:p>
        </w:tc>
        <w:tc>
          <w:tcPr>
            <w:tcW w:w="5102" w:type="dxa"/>
            <w:hideMark/>
          </w:tcPr>
          <w:p w14:paraId="004BB80E" w14:textId="77777777" w:rsidR="00EA0B30" w:rsidRPr="00F05918" w:rsidRDefault="00EA0B30" w:rsidP="00D02815">
            <w:pPr>
              <w:spacing w:after="120"/>
            </w:pPr>
            <w:r w:rsidRPr="00F05918">
              <w:t>New South Wales</w:t>
            </w:r>
          </w:p>
        </w:tc>
      </w:tr>
      <w:tr w:rsidR="00EA0B30" w:rsidRPr="00F05918" w14:paraId="4506DE69" w14:textId="77777777" w:rsidTr="00D02815">
        <w:tc>
          <w:tcPr>
            <w:tcW w:w="1417" w:type="dxa"/>
            <w:hideMark/>
          </w:tcPr>
          <w:p w14:paraId="0A94CB52" w14:textId="77777777" w:rsidR="00EA0B30" w:rsidRPr="00F05918" w:rsidRDefault="00EA0B30" w:rsidP="00D02815">
            <w:pPr>
              <w:spacing w:after="120"/>
            </w:pPr>
            <w:r w:rsidRPr="00F05918">
              <w:t>VIC</w:t>
            </w:r>
          </w:p>
        </w:tc>
        <w:tc>
          <w:tcPr>
            <w:tcW w:w="5102" w:type="dxa"/>
            <w:hideMark/>
          </w:tcPr>
          <w:p w14:paraId="0948B2FA" w14:textId="77777777" w:rsidR="00EA0B30" w:rsidRPr="00F05918" w:rsidRDefault="00EA0B30" w:rsidP="00D02815">
            <w:pPr>
              <w:spacing w:after="120"/>
            </w:pPr>
            <w:r w:rsidRPr="00F05918">
              <w:t>Victoria</w:t>
            </w:r>
          </w:p>
        </w:tc>
      </w:tr>
      <w:tr w:rsidR="00EA0B30" w:rsidRPr="00F05918" w14:paraId="4D0D0C75" w14:textId="77777777" w:rsidTr="00D02815">
        <w:tc>
          <w:tcPr>
            <w:tcW w:w="1417" w:type="dxa"/>
            <w:hideMark/>
          </w:tcPr>
          <w:p w14:paraId="338F47D3" w14:textId="77777777" w:rsidR="00EA0B30" w:rsidRPr="00F05918" w:rsidRDefault="00EA0B30" w:rsidP="00D02815">
            <w:pPr>
              <w:spacing w:after="120"/>
            </w:pPr>
            <w:r w:rsidRPr="00F05918">
              <w:t>QLD</w:t>
            </w:r>
          </w:p>
        </w:tc>
        <w:tc>
          <w:tcPr>
            <w:tcW w:w="5102" w:type="dxa"/>
            <w:hideMark/>
          </w:tcPr>
          <w:p w14:paraId="1AC32FCA" w14:textId="77777777" w:rsidR="00EA0B30" w:rsidRPr="00F05918" w:rsidRDefault="00EA0B30" w:rsidP="00D02815">
            <w:pPr>
              <w:spacing w:after="120"/>
            </w:pPr>
            <w:r w:rsidRPr="00F05918">
              <w:t>Queensland</w:t>
            </w:r>
          </w:p>
        </w:tc>
      </w:tr>
      <w:tr w:rsidR="00EA0B30" w:rsidRPr="00F05918" w14:paraId="3968D885" w14:textId="77777777" w:rsidTr="00D02815">
        <w:tc>
          <w:tcPr>
            <w:tcW w:w="1417" w:type="dxa"/>
            <w:hideMark/>
          </w:tcPr>
          <w:p w14:paraId="08A3C790" w14:textId="77777777" w:rsidR="00EA0B30" w:rsidRPr="00F05918" w:rsidRDefault="00EA0B30" w:rsidP="00D02815">
            <w:pPr>
              <w:spacing w:after="120"/>
            </w:pPr>
            <w:r w:rsidRPr="00F05918">
              <w:t>WA</w:t>
            </w:r>
          </w:p>
        </w:tc>
        <w:tc>
          <w:tcPr>
            <w:tcW w:w="5102" w:type="dxa"/>
            <w:hideMark/>
          </w:tcPr>
          <w:p w14:paraId="0E2B97BD" w14:textId="77777777" w:rsidR="00EA0B30" w:rsidRPr="00F05918" w:rsidRDefault="00EA0B30" w:rsidP="00D02815">
            <w:pPr>
              <w:spacing w:after="120"/>
            </w:pPr>
            <w:r w:rsidRPr="00F05918">
              <w:t>Western Australia</w:t>
            </w:r>
          </w:p>
        </w:tc>
      </w:tr>
      <w:tr w:rsidR="00EA0B30" w:rsidRPr="00F05918" w14:paraId="1DADF1F8" w14:textId="77777777" w:rsidTr="00D02815">
        <w:tc>
          <w:tcPr>
            <w:tcW w:w="1417" w:type="dxa"/>
            <w:hideMark/>
          </w:tcPr>
          <w:p w14:paraId="06473C43" w14:textId="77777777" w:rsidR="00EA0B30" w:rsidRPr="00F05918" w:rsidRDefault="00EA0B30" w:rsidP="00D02815">
            <w:pPr>
              <w:spacing w:after="120"/>
            </w:pPr>
            <w:r w:rsidRPr="00F05918">
              <w:t>SA</w:t>
            </w:r>
          </w:p>
        </w:tc>
        <w:tc>
          <w:tcPr>
            <w:tcW w:w="5102" w:type="dxa"/>
            <w:hideMark/>
          </w:tcPr>
          <w:p w14:paraId="75DF96ED" w14:textId="77777777" w:rsidR="00EA0B30" w:rsidRPr="00F05918" w:rsidRDefault="00EA0B30" w:rsidP="00D02815">
            <w:pPr>
              <w:spacing w:after="120"/>
            </w:pPr>
            <w:r w:rsidRPr="00F05918">
              <w:t>South Australia</w:t>
            </w:r>
          </w:p>
        </w:tc>
      </w:tr>
      <w:tr w:rsidR="00EA0B30" w:rsidRPr="00F05918" w14:paraId="7D208CCA" w14:textId="77777777" w:rsidTr="00D02815">
        <w:tc>
          <w:tcPr>
            <w:tcW w:w="1417" w:type="dxa"/>
            <w:hideMark/>
          </w:tcPr>
          <w:p w14:paraId="352871EA" w14:textId="77777777" w:rsidR="00EA0B30" w:rsidRPr="00F05918" w:rsidRDefault="00EA0B30" w:rsidP="00D02815">
            <w:pPr>
              <w:spacing w:after="120"/>
            </w:pPr>
            <w:r w:rsidRPr="00F05918">
              <w:t>TAS</w:t>
            </w:r>
          </w:p>
        </w:tc>
        <w:tc>
          <w:tcPr>
            <w:tcW w:w="5102" w:type="dxa"/>
            <w:hideMark/>
          </w:tcPr>
          <w:p w14:paraId="6BA6E809" w14:textId="77777777" w:rsidR="00EA0B30" w:rsidRPr="00F05918" w:rsidRDefault="00EA0B30" w:rsidP="00D02815">
            <w:pPr>
              <w:spacing w:after="120"/>
            </w:pPr>
            <w:r w:rsidRPr="00F05918">
              <w:t>Tasmania</w:t>
            </w:r>
          </w:p>
        </w:tc>
      </w:tr>
      <w:tr w:rsidR="00EA0B30" w:rsidRPr="00F05918" w14:paraId="68B4BCC2" w14:textId="77777777" w:rsidTr="00D02815">
        <w:tc>
          <w:tcPr>
            <w:tcW w:w="1417" w:type="dxa"/>
            <w:hideMark/>
          </w:tcPr>
          <w:p w14:paraId="64C61465" w14:textId="77777777" w:rsidR="00EA0B30" w:rsidRPr="00F05918" w:rsidRDefault="00EA0B30" w:rsidP="00D02815">
            <w:pPr>
              <w:spacing w:after="120"/>
            </w:pPr>
            <w:r w:rsidRPr="00F05918">
              <w:t>ACT</w:t>
            </w:r>
          </w:p>
        </w:tc>
        <w:tc>
          <w:tcPr>
            <w:tcW w:w="5102" w:type="dxa"/>
            <w:hideMark/>
          </w:tcPr>
          <w:p w14:paraId="1E096001" w14:textId="77777777" w:rsidR="00EA0B30" w:rsidRPr="00F05918" w:rsidRDefault="00EA0B30" w:rsidP="00D02815">
            <w:pPr>
              <w:spacing w:after="120"/>
            </w:pPr>
            <w:r w:rsidRPr="00F05918">
              <w:t>Australian Capital Territory</w:t>
            </w:r>
          </w:p>
        </w:tc>
      </w:tr>
      <w:tr w:rsidR="00EA0B30" w:rsidRPr="00F05918" w14:paraId="53BA0CB5" w14:textId="77777777" w:rsidTr="00D02815">
        <w:tc>
          <w:tcPr>
            <w:tcW w:w="1417" w:type="dxa"/>
            <w:hideMark/>
          </w:tcPr>
          <w:p w14:paraId="78BA59BB" w14:textId="77777777" w:rsidR="00EA0B30" w:rsidRPr="00F05918" w:rsidRDefault="00EA0B30" w:rsidP="00D02815">
            <w:pPr>
              <w:spacing w:after="120"/>
            </w:pPr>
            <w:r w:rsidRPr="00F05918">
              <w:t>NT</w:t>
            </w:r>
          </w:p>
        </w:tc>
        <w:tc>
          <w:tcPr>
            <w:tcW w:w="5102" w:type="dxa"/>
            <w:hideMark/>
          </w:tcPr>
          <w:p w14:paraId="2011536C" w14:textId="77777777" w:rsidR="00EA0B30" w:rsidRPr="00F05918" w:rsidRDefault="00EA0B30" w:rsidP="00D02815">
            <w:pPr>
              <w:spacing w:after="120"/>
            </w:pPr>
            <w:r w:rsidRPr="00F05918">
              <w:t>Northern Territory</w:t>
            </w:r>
          </w:p>
        </w:tc>
      </w:tr>
    </w:tbl>
    <w:p w14:paraId="2386579E" w14:textId="77777777" w:rsidR="00EA0B30" w:rsidRPr="00F05918" w:rsidRDefault="00EA0B30" w:rsidP="00EA0B30">
      <w:pPr>
        <w:pStyle w:val="AlphaParagraph"/>
        <w:tabs>
          <w:tab w:val="clear" w:pos="360"/>
          <w:tab w:val="num" w:pos="567"/>
        </w:tabs>
        <w:ind w:left="567" w:hanging="567"/>
      </w:pPr>
      <w:r w:rsidRPr="00F05918">
        <w:t xml:space="preserve">In this paper the term </w:t>
      </w:r>
      <w:r>
        <w:t>‘</w:t>
      </w:r>
      <w:r w:rsidRPr="00F05918">
        <w:t>Commonwealth</w:t>
      </w:r>
      <w:r>
        <w:t>’</w:t>
      </w:r>
      <w:r w:rsidRPr="00F05918">
        <w:t xml:space="preserve"> refers to the Commonwealth of Australia. The term is used when referring to the legal entity of the Commonwealth of Australia.</w:t>
      </w:r>
    </w:p>
    <w:p w14:paraId="73DC1665" w14:textId="77777777" w:rsidR="00EA0B30" w:rsidRPr="00F05918" w:rsidRDefault="00EA0B30" w:rsidP="00EA0B30">
      <w:pPr>
        <w:pStyle w:val="AlphaParagraph"/>
        <w:numPr>
          <w:ilvl w:val="0"/>
          <w:numId w:val="0"/>
        </w:numPr>
        <w:ind w:left="567"/>
      </w:pPr>
      <w:r w:rsidRPr="00F05918">
        <w:t xml:space="preserve">The term </w:t>
      </w:r>
      <w:r>
        <w:t>‘</w:t>
      </w:r>
      <w:r w:rsidRPr="00F05918">
        <w:t>Australian Government</w:t>
      </w:r>
      <w:r>
        <w:t>’</w:t>
      </w:r>
      <w:r w:rsidRPr="00F05918">
        <w:t xml:space="preserve"> is used when referring to the Government and the decisions and activities made by the Government on behalf of the Commonwealth of Australia.</w:t>
      </w:r>
    </w:p>
    <w:p w14:paraId="5D542444" w14:textId="45A26605" w:rsidR="00EA0B30" w:rsidRDefault="00EA0B30" w:rsidP="00EA0B30">
      <w:r w:rsidRPr="00F05918">
        <w:t>Budget Paper No. 1</w:t>
      </w:r>
      <w:r>
        <w:t>,</w:t>
      </w:r>
      <w:r w:rsidRPr="00F05918">
        <w:rPr>
          <w:i/>
        </w:rPr>
        <w:t xml:space="preserve"> Budget Strategy and Outlook 20</w:t>
      </w:r>
      <w:r>
        <w:rPr>
          <w:i/>
        </w:rPr>
        <w:t>2</w:t>
      </w:r>
      <w:r w:rsidR="00E66155">
        <w:rPr>
          <w:i/>
        </w:rPr>
        <w:t>2</w:t>
      </w:r>
      <w:r>
        <w:rPr>
          <w:i/>
        </w:rPr>
        <w:noBreakHyphen/>
        <w:t>2</w:t>
      </w:r>
      <w:r w:rsidR="00E66155">
        <w:rPr>
          <w:i/>
        </w:rPr>
        <w:t>3</w:t>
      </w:r>
      <w:r>
        <w:t>,</w:t>
      </w:r>
      <w:r w:rsidRPr="00F05918">
        <w:t xml:space="preserve"> is one of a series of Budget</w:t>
      </w:r>
      <w:r>
        <w:t> </w:t>
      </w:r>
      <w:r w:rsidRPr="00F05918">
        <w:t>Papers that provides information to supplement the Budget Speech. A full list of the series is printed on the inside cover of this paper.</w:t>
      </w:r>
    </w:p>
    <w:p w14:paraId="00001D0C" w14:textId="77777777" w:rsidR="00EA0B30" w:rsidRDefault="00EA0B30" w:rsidP="00EA0B30">
      <w:pPr>
        <w:sectPr w:rsidR="00EA0B30" w:rsidSect="00D02815">
          <w:headerReference w:type="even" r:id="rId26"/>
          <w:headerReference w:type="default" r:id="rId27"/>
          <w:footerReference w:type="even" r:id="rId28"/>
          <w:footerReference w:type="default" r:id="rId29"/>
          <w:headerReference w:type="first" r:id="rId30"/>
          <w:footerReference w:type="first" r:id="rId31"/>
          <w:pgSz w:w="11906" w:h="16838" w:code="9"/>
          <w:pgMar w:top="2835" w:right="2098" w:bottom="2466" w:left="2098" w:header="1814" w:footer="1814" w:gutter="0"/>
          <w:cols w:space="708"/>
          <w:titlePg/>
          <w:docGrid w:linePitch="360"/>
        </w:sectPr>
      </w:pPr>
    </w:p>
    <w:p w14:paraId="4CDEBB02" w14:textId="01BD19DC" w:rsidR="005E23C5" w:rsidRDefault="00EA0B30" w:rsidP="0001532B">
      <w:pPr>
        <w:pStyle w:val="ContentsHeading"/>
        <w:rPr>
          <w:rFonts w:asciiTheme="minorHAnsi" w:eastAsiaTheme="minorEastAsia" w:hAnsiTheme="minorHAnsi" w:cstheme="minorBidi"/>
          <w:b w:val="0"/>
          <w:noProof/>
          <w:szCs w:val="22"/>
        </w:rPr>
      </w:pPr>
      <w:r>
        <w:rPr>
          <w:noProof/>
        </w:rPr>
        <w:lastRenderedPageBreak/>
        <w:t>Contents</w:t>
      </w:r>
      <w:r>
        <w:rPr>
          <w:rFonts w:ascii="Arial" w:hAnsi="Arial"/>
          <w:color w:val="000000"/>
          <w:sz w:val="34"/>
        </w:rPr>
        <w:fldChar w:fldCharType="begin"/>
      </w:r>
      <w:r>
        <w:rPr>
          <w:rFonts w:ascii="Arial" w:hAnsi="Arial"/>
          <w:color w:val="000000"/>
          <w:sz w:val="34"/>
        </w:rPr>
        <w:instrText xml:space="preserve"> TOC \o "1-2" \t "Appendix Heading,2"\u \s Statement </w:instrText>
      </w:r>
      <w:r>
        <w:rPr>
          <w:rFonts w:ascii="Arial" w:hAnsi="Arial"/>
          <w:color w:val="000000"/>
          <w:sz w:val="34"/>
        </w:rPr>
        <w:fldChar w:fldCharType="separate"/>
      </w:r>
    </w:p>
    <w:p w14:paraId="17B90708" w14:textId="39A1D5B0" w:rsidR="005E23C5" w:rsidRDefault="005E23C5">
      <w:pPr>
        <w:pStyle w:val="TOC1"/>
        <w:rPr>
          <w:rFonts w:asciiTheme="minorHAnsi" w:eastAsiaTheme="minorEastAsia" w:hAnsiTheme="minorHAnsi" w:cstheme="minorBidi"/>
          <w:b w:val="0"/>
          <w:noProof/>
          <w:szCs w:val="22"/>
        </w:rPr>
      </w:pPr>
      <w:r>
        <w:rPr>
          <w:noProof/>
        </w:rPr>
        <w:t>Statement 1: Budget Overview</w:t>
      </w:r>
      <w:r>
        <w:rPr>
          <w:noProof/>
        </w:rPr>
        <w:tab/>
        <w:t>5</w:t>
      </w:r>
    </w:p>
    <w:p w14:paraId="304F8670" w14:textId="2DFC60E4" w:rsidR="005E23C5" w:rsidRDefault="005E23C5">
      <w:pPr>
        <w:pStyle w:val="TOC2"/>
        <w:rPr>
          <w:rFonts w:asciiTheme="minorHAnsi" w:eastAsiaTheme="minorEastAsia" w:hAnsiTheme="minorHAnsi" w:cstheme="minorBidi"/>
          <w:noProof/>
          <w:sz w:val="22"/>
          <w:szCs w:val="22"/>
        </w:rPr>
      </w:pPr>
      <w:r>
        <w:rPr>
          <w:noProof/>
        </w:rPr>
        <w:t>Economic and Fiscal Outlook</w:t>
      </w:r>
      <w:r>
        <w:rPr>
          <w:noProof/>
        </w:rPr>
        <w:tab/>
        <w:t>5</w:t>
      </w:r>
    </w:p>
    <w:p w14:paraId="75E549EE" w14:textId="7787D6BE" w:rsidR="005E23C5" w:rsidRDefault="005E23C5">
      <w:pPr>
        <w:pStyle w:val="TOC2"/>
        <w:rPr>
          <w:rFonts w:asciiTheme="minorHAnsi" w:eastAsiaTheme="minorEastAsia" w:hAnsiTheme="minorHAnsi" w:cstheme="minorBidi"/>
          <w:noProof/>
          <w:sz w:val="22"/>
          <w:szCs w:val="22"/>
        </w:rPr>
      </w:pPr>
      <w:r>
        <w:rPr>
          <w:noProof/>
        </w:rPr>
        <w:t>Budget priorities</w:t>
      </w:r>
      <w:r>
        <w:rPr>
          <w:noProof/>
        </w:rPr>
        <w:tab/>
      </w:r>
      <w:r w:rsidR="00423B4F">
        <w:rPr>
          <w:noProof/>
        </w:rPr>
        <w:t>9</w:t>
      </w:r>
    </w:p>
    <w:p w14:paraId="78522818" w14:textId="3BF15643" w:rsidR="005E23C5" w:rsidRDefault="005E23C5">
      <w:pPr>
        <w:pStyle w:val="TOC1"/>
        <w:rPr>
          <w:rFonts w:asciiTheme="minorHAnsi" w:eastAsiaTheme="minorEastAsia" w:hAnsiTheme="minorHAnsi" w:cstheme="minorBidi"/>
          <w:b w:val="0"/>
          <w:noProof/>
          <w:szCs w:val="22"/>
        </w:rPr>
      </w:pPr>
      <w:r>
        <w:rPr>
          <w:noProof/>
        </w:rPr>
        <w:t>Statement 2: Economic Outlook</w:t>
      </w:r>
      <w:r>
        <w:rPr>
          <w:noProof/>
        </w:rPr>
        <w:tab/>
        <w:t>31</w:t>
      </w:r>
    </w:p>
    <w:p w14:paraId="02D90BA5" w14:textId="3CE6EB06" w:rsidR="005E23C5" w:rsidRDefault="005E23C5">
      <w:pPr>
        <w:pStyle w:val="TOC2"/>
        <w:rPr>
          <w:rFonts w:asciiTheme="minorHAnsi" w:eastAsiaTheme="minorEastAsia" w:hAnsiTheme="minorHAnsi" w:cstheme="minorBidi"/>
          <w:noProof/>
          <w:sz w:val="22"/>
          <w:szCs w:val="22"/>
        </w:rPr>
      </w:pPr>
      <w:r>
        <w:rPr>
          <w:noProof/>
        </w:rPr>
        <w:t>Overview</w:t>
      </w:r>
      <w:r>
        <w:rPr>
          <w:noProof/>
        </w:rPr>
        <w:tab/>
        <w:t>31</w:t>
      </w:r>
    </w:p>
    <w:p w14:paraId="5BA07435" w14:textId="1C064CBB" w:rsidR="005E23C5" w:rsidRDefault="005E23C5">
      <w:pPr>
        <w:pStyle w:val="TOC2"/>
        <w:rPr>
          <w:rFonts w:asciiTheme="minorHAnsi" w:eastAsiaTheme="minorEastAsia" w:hAnsiTheme="minorHAnsi" w:cstheme="minorBidi"/>
          <w:noProof/>
          <w:sz w:val="22"/>
          <w:szCs w:val="22"/>
        </w:rPr>
      </w:pPr>
      <w:r>
        <w:rPr>
          <w:noProof/>
        </w:rPr>
        <w:t>Outlook for the international economy</w:t>
      </w:r>
      <w:r>
        <w:rPr>
          <w:noProof/>
        </w:rPr>
        <w:tab/>
        <w:t>38</w:t>
      </w:r>
    </w:p>
    <w:p w14:paraId="35970919" w14:textId="628AA1DD" w:rsidR="005E23C5" w:rsidRDefault="005E23C5">
      <w:pPr>
        <w:pStyle w:val="TOC2"/>
        <w:rPr>
          <w:rFonts w:asciiTheme="minorHAnsi" w:eastAsiaTheme="minorEastAsia" w:hAnsiTheme="minorHAnsi" w:cstheme="minorBidi"/>
          <w:noProof/>
          <w:sz w:val="22"/>
          <w:szCs w:val="22"/>
        </w:rPr>
      </w:pPr>
      <w:r>
        <w:rPr>
          <w:noProof/>
        </w:rPr>
        <w:t>Outlook for the domestic economy</w:t>
      </w:r>
      <w:r>
        <w:rPr>
          <w:noProof/>
        </w:rPr>
        <w:tab/>
        <w:t>45</w:t>
      </w:r>
    </w:p>
    <w:p w14:paraId="7E44C784" w14:textId="29660375" w:rsidR="005E23C5" w:rsidRDefault="005E23C5">
      <w:pPr>
        <w:pStyle w:val="TOC2"/>
        <w:rPr>
          <w:rFonts w:asciiTheme="minorHAnsi" w:eastAsiaTheme="minorEastAsia" w:hAnsiTheme="minorHAnsi" w:cstheme="minorBidi"/>
          <w:noProof/>
          <w:sz w:val="22"/>
          <w:szCs w:val="22"/>
        </w:rPr>
      </w:pPr>
      <w:r>
        <w:rPr>
          <w:noProof/>
        </w:rPr>
        <w:t>Medium</w:t>
      </w:r>
      <w:r>
        <w:rPr>
          <w:noProof/>
        </w:rPr>
        <w:noBreakHyphen/>
        <w:t>term projections</w:t>
      </w:r>
      <w:r>
        <w:rPr>
          <w:noProof/>
        </w:rPr>
        <w:tab/>
        <w:t>66</w:t>
      </w:r>
    </w:p>
    <w:p w14:paraId="2FA6FF13" w14:textId="00E5F15C" w:rsidR="005E23C5" w:rsidRDefault="005E23C5">
      <w:pPr>
        <w:pStyle w:val="TOC1"/>
        <w:rPr>
          <w:rFonts w:asciiTheme="minorHAnsi" w:eastAsiaTheme="minorEastAsia" w:hAnsiTheme="minorHAnsi" w:cstheme="minorBidi"/>
          <w:b w:val="0"/>
          <w:noProof/>
          <w:szCs w:val="22"/>
        </w:rPr>
      </w:pPr>
      <w:r>
        <w:rPr>
          <w:noProof/>
        </w:rPr>
        <w:t>Statement 3: Fiscal Strategy and Outlook</w:t>
      </w:r>
      <w:r>
        <w:rPr>
          <w:noProof/>
        </w:rPr>
        <w:tab/>
        <w:t>73</w:t>
      </w:r>
    </w:p>
    <w:p w14:paraId="349459F0" w14:textId="27491E44" w:rsidR="005E23C5" w:rsidRDefault="005E23C5">
      <w:pPr>
        <w:pStyle w:val="TOC2"/>
        <w:rPr>
          <w:rFonts w:asciiTheme="minorHAnsi" w:eastAsiaTheme="minorEastAsia" w:hAnsiTheme="minorHAnsi" w:cstheme="minorBidi"/>
          <w:noProof/>
          <w:sz w:val="22"/>
          <w:szCs w:val="22"/>
        </w:rPr>
      </w:pPr>
      <w:r>
        <w:rPr>
          <w:noProof/>
        </w:rPr>
        <w:t>Overview</w:t>
      </w:r>
      <w:r>
        <w:rPr>
          <w:noProof/>
        </w:rPr>
        <w:tab/>
        <w:t>73</w:t>
      </w:r>
    </w:p>
    <w:p w14:paraId="3A4B2474" w14:textId="114A801A" w:rsidR="005E23C5" w:rsidRDefault="005E23C5">
      <w:pPr>
        <w:pStyle w:val="TOC2"/>
        <w:rPr>
          <w:rFonts w:asciiTheme="minorHAnsi" w:eastAsiaTheme="minorEastAsia" w:hAnsiTheme="minorHAnsi" w:cstheme="minorBidi"/>
          <w:noProof/>
          <w:sz w:val="22"/>
          <w:szCs w:val="22"/>
        </w:rPr>
      </w:pPr>
      <w:r>
        <w:rPr>
          <w:noProof/>
        </w:rPr>
        <w:t>Economic and Fiscal Strategy</w:t>
      </w:r>
      <w:r>
        <w:rPr>
          <w:noProof/>
        </w:rPr>
        <w:tab/>
        <w:t>75</w:t>
      </w:r>
    </w:p>
    <w:p w14:paraId="6FC24EEE" w14:textId="7AEB45B9" w:rsidR="005E23C5" w:rsidRDefault="005E23C5">
      <w:pPr>
        <w:pStyle w:val="TOC2"/>
        <w:rPr>
          <w:rFonts w:asciiTheme="minorHAnsi" w:eastAsiaTheme="minorEastAsia" w:hAnsiTheme="minorHAnsi" w:cstheme="minorBidi"/>
          <w:noProof/>
          <w:sz w:val="22"/>
          <w:szCs w:val="22"/>
        </w:rPr>
      </w:pPr>
      <w:r>
        <w:rPr>
          <w:noProof/>
        </w:rPr>
        <w:t>Fiscal outlook</w:t>
      </w:r>
      <w:r>
        <w:rPr>
          <w:noProof/>
        </w:rPr>
        <w:tab/>
        <w:t>79</w:t>
      </w:r>
    </w:p>
    <w:p w14:paraId="0C5AE3AB" w14:textId="31B20ACB" w:rsidR="005E23C5" w:rsidRDefault="005E23C5">
      <w:pPr>
        <w:pStyle w:val="TOC2"/>
        <w:rPr>
          <w:rFonts w:asciiTheme="minorHAnsi" w:eastAsiaTheme="minorEastAsia" w:hAnsiTheme="minorHAnsi" w:cstheme="minorBidi"/>
          <w:noProof/>
          <w:sz w:val="22"/>
          <w:szCs w:val="22"/>
        </w:rPr>
      </w:pPr>
      <w:r>
        <w:rPr>
          <w:noProof/>
        </w:rPr>
        <w:t>The Government’s balance sheet</w:t>
      </w:r>
      <w:r>
        <w:rPr>
          <w:noProof/>
        </w:rPr>
        <w:tab/>
        <w:t>97</w:t>
      </w:r>
    </w:p>
    <w:p w14:paraId="15DCDD7B" w14:textId="4F79775E" w:rsidR="005E23C5" w:rsidRDefault="005E23C5">
      <w:pPr>
        <w:pStyle w:val="TOC2"/>
        <w:rPr>
          <w:rFonts w:asciiTheme="minorHAnsi" w:eastAsiaTheme="minorEastAsia" w:hAnsiTheme="minorHAnsi" w:cstheme="minorBidi"/>
          <w:noProof/>
          <w:sz w:val="22"/>
          <w:szCs w:val="22"/>
        </w:rPr>
      </w:pPr>
      <w:r>
        <w:rPr>
          <w:noProof/>
        </w:rPr>
        <w:t>Other fiscal aggregates</w:t>
      </w:r>
      <w:r>
        <w:rPr>
          <w:noProof/>
        </w:rPr>
        <w:tab/>
        <w:t>102</w:t>
      </w:r>
    </w:p>
    <w:p w14:paraId="3439D073" w14:textId="7685862B" w:rsidR="005E23C5" w:rsidRDefault="005E23C5">
      <w:pPr>
        <w:pStyle w:val="TOC1"/>
        <w:rPr>
          <w:rFonts w:asciiTheme="minorHAnsi" w:eastAsiaTheme="minorEastAsia" w:hAnsiTheme="minorHAnsi" w:cstheme="minorBidi"/>
          <w:b w:val="0"/>
          <w:noProof/>
          <w:szCs w:val="22"/>
        </w:rPr>
      </w:pPr>
      <w:r>
        <w:rPr>
          <w:noProof/>
        </w:rPr>
        <w:t>Statement 4: Revenue</w:t>
      </w:r>
      <w:r>
        <w:rPr>
          <w:noProof/>
        </w:rPr>
        <w:tab/>
        <w:t>111</w:t>
      </w:r>
    </w:p>
    <w:p w14:paraId="28FEABB0" w14:textId="6F90415D" w:rsidR="005E23C5" w:rsidRDefault="005E23C5">
      <w:pPr>
        <w:pStyle w:val="TOC2"/>
        <w:rPr>
          <w:rFonts w:asciiTheme="minorHAnsi" w:eastAsiaTheme="minorEastAsia" w:hAnsiTheme="minorHAnsi" w:cstheme="minorBidi"/>
          <w:noProof/>
          <w:sz w:val="22"/>
          <w:szCs w:val="22"/>
        </w:rPr>
      </w:pPr>
      <w:r>
        <w:rPr>
          <w:noProof/>
        </w:rPr>
        <w:t>Overview</w:t>
      </w:r>
      <w:r>
        <w:rPr>
          <w:noProof/>
        </w:rPr>
        <w:tab/>
        <w:t>111</w:t>
      </w:r>
    </w:p>
    <w:p w14:paraId="4D0D4598" w14:textId="096826AA" w:rsidR="005E23C5" w:rsidRDefault="005E23C5">
      <w:pPr>
        <w:pStyle w:val="TOC2"/>
        <w:rPr>
          <w:rFonts w:asciiTheme="minorHAnsi" w:eastAsiaTheme="minorEastAsia" w:hAnsiTheme="minorHAnsi" w:cstheme="minorBidi"/>
          <w:noProof/>
          <w:sz w:val="22"/>
          <w:szCs w:val="22"/>
        </w:rPr>
      </w:pPr>
      <w:r>
        <w:rPr>
          <w:noProof/>
        </w:rPr>
        <w:t>Variations in receipts estimates</w:t>
      </w:r>
      <w:r>
        <w:rPr>
          <w:noProof/>
        </w:rPr>
        <w:tab/>
        <w:t>116</w:t>
      </w:r>
    </w:p>
    <w:p w14:paraId="1133BD13" w14:textId="4156B6E9" w:rsidR="005E23C5" w:rsidRDefault="005E23C5">
      <w:pPr>
        <w:pStyle w:val="TOC2"/>
        <w:rPr>
          <w:rFonts w:asciiTheme="minorHAnsi" w:eastAsiaTheme="minorEastAsia" w:hAnsiTheme="minorHAnsi" w:cstheme="minorBidi"/>
          <w:noProof/>
          <w:sz w:val="22"/>
          <w:szCs w:val="22"/>
        </w:rPr>
      </w:pPr>
      <w:r>
        <w:rPr>
          <w:noProof/>
        </w:rPr>
        <w:t>Variations in revenue estimates</w:t>
      </w:r>
      <w:r>
        <w:rPr>
          <w:noProof/>
        </w:rPr>
        <w:tab/>
        <w:t>128</w:t>
      </w:r>
    </w:p>
    <w:p w14:paraId="08E9481D" w14:textId="2FB3AD52" w:rsidR="005E23C5" w:rsidRDefault="005E23C5">
      <w:pPr>
        <w:pStyle w:val="TOC2"/>
        <w:rPr>
          <w:rFonts w:asciiTheme="minorHAnsi" w:eastAsiaTheme="minorEastAsia" w:hAnsiTheme="minorHAnsi" w:cstheme="minorBidi"/>
          <w:noProof/>
          <w:sz w:val="22"/>
          <w:szCs w:val="22"/>
        </w:rPr>
      </w:pPr>
      <w:r>
        <w:rPr>
          <w:noProof/>
        </w:rPr>
        <w:t>Appendix A: Tax Benchmarks and Variations Statement</w:t>
      </w:r>
      <w:r>
        <w:rPr>
          <w:noProof/>
        </w:rPr>
        <w:tab/>
        <w:t>131</w:t>
      </w:r>
    </w:p>
    <w:p w14:paraId="6A7A7BB3" w14:textId="0561976C" w:rsidR="005E23C5" w:rsidRDefault="005E23C5">
      <w:pPr>
        <w:pStyle w:val="TOC1"/>
        <w:rPr>
          <w:rFonts w:asciiTheme="minorHAnsi" w:eastAsiaTheme="minorEastAsia" w:hAnsiTheme="minorHAnsi" w:cstheme="minorBidi"/>
          <w:b w:val="0"/>
          <w:noProof/>
          <w:szCs w:val="22"/>
        </w:rPr>
      </w:pPr>
      <w:r>
        <w:rPr>
          <w:noProof/>
        </w:rPr>
        <w:t>Statement 5: Expenses and Net Capital Investment</w:t>
      </w:r>
      <w:r>
        <w:rPr>
          <w:noProof/>
        </w:rPr>
        <w:tab/>
        <w:t>139</w:t>
      </w:r>
    </w:p>
    <w:p w14:paraId="77E86142" w14:textId="2D863E34" w:rsidR="005E23C5" w:rsidRDefault="005E23C5">
      <w:pPr>
        <w:pStyle w:val="TOC2"/>
        <w:rPr>
          <w:rFonts w:asciiTheme="minorHAnsi" w:eastAsiaTheme="minorEastAsia" w:hAnsiTheme="minorHAnsi" w:cstheme="minorBidi"/>
          <w:noProof/>
          <w:sz w:val="22"/>
          <w:szCs w:val="22"/>
        </w:rPr>
      </w:pPr>
      <w:r>
        <w:rPr>
          <w:noProof/>
        </w:rPr>
        <w:t>Overview</w:t>
      </w:r>
      <w:r>
        <w:rPr>
          <w:noProof/>
        </w:rPr>
        <w:tab/>
        <w:t>139</w:t>
      </w:r>
    </w:p>
    <w:p w14:paraId="28E81C03" w14:textId="1D416436" w:rsidR="005E23C5" w:rsidRDefault="005E23C5">
      <w:pPr>
        <w:pStyle w:val="TOC2"/>
        <w:rPr>
          <w:rFonts w:asciiTheme="minorHAnsi" w:eastAsiaTheme="minorEastAsia" w:hAnsiTheme="minorHAnsi" w:cstheme="minorBidi"/>
          <w:noProof/>
          <w:sz w:val="22"/>
          <w:szCs w:val="22"/>
        </w:rPr>
      </w:pPr>
      <w:r>
        <w:rPr>
          <w:noProof/>
        </w:rPr>
        <w:t>Estimated expenses by function</w:t>
      </w:r>
      <w:r>
        <w:rPr>
          <w:noProof/>
        </w:rPr>
        <w:tab/>
        <w:t>141</w:t>
      </w:r>
    </w:p>
    <w:p w14:paraId="6B875C74" w14:textId="678078A0" w:rsidR="005E23C5" w:rsidRDefault="005E23C5">
      <w:pPr>
        <w:pStyle w:val="TOC2"/>
        <w:rPr>
          <w:rFonts w:asciiTheme="minorHAnsi" w:eastAsiaTheme="minorEastAsia" w:hAnsiTheme="minorHAnsi" w:cstheme="minorBidi"/>
          <w:noProof/>
          <w:sz w:val="22"/>
          <w:szCs w:val="22"/>
        </w:rPr>
      </w:pPr>
      <w:r>
        <w:rPr>
          <w:noProof/>
        </w:rPr>
        <w:t>General government sector expenses</w:t>
      </w:r>
      <w:r>
        <w:rPr>
          <w:noProof/>
        </w:rPr>
        <w:tab/>
        <w:t>145</w:t>
      </w:r>
    </w:p>
    <w:p w14:paraId="42F2C547" w14:textId="144C298B" w:rsidR="005E23C5" w:rsidRDefault="005E23C5">
      <w:pPr>
        <w:pStyle w:val="TOC2"/>
        <w:rPr>
          <w:rFonts w:asciiTheme="minorHAnsi" w:eastAsiaTheme="minorEastAsia" w:hAnsiTheme="minorHAnsi" w:cstheme="minorBidi"/>
          <w:noProof/>
          <w:sz w:val="22"/>
          <w:szCs w:val="22"/>
        </w:rPr>
      </w:pPr>
      <w:r w:rsidRPr="00430F5F">
        <w:rPr>
          <w:noProof/>
        </w:rPr>
        <w:t>General government net capital investment</w:t>
      </w:r>
      <w:r>
        <w:rPr>
          <w:noProof/>
        </w:rPr>
        <w:tab/>
        <w:t>175</w:t>
      </w:r>
    </w:p>
    <w:p w14:paraId="76870770" w14:textId="3147A075" w:rsidR="005E23C5" w:rsidRDefault="005E23C5">
      <w:pPr>
        <w:pStyle w:val="TOC2"/>
        <w:rPr>
          <w:rFonts w:asciiTheme="minorHAnsi" w:eastAsiaTheme="minorEastAsia" w:hAnsiTheme="minorHAnsi" w:cstheme="minorBidi"/>
          <w:noProof/>
          <w:sz w:val="22"/>
          <w:szCs w:val="22"/>
        </w:rPr>
      </w:pPr>
      <w:r w:rsidRPr="009822C2">
        <w:rPr>
          <w:rFonts w:cs="Arial"/>
          <w:noProof/>
        </w:rPr>
        <w:t>Appendix A: Expense by function and sub</w:t>
      </w:r>
      <w:r w:rsidRPr="009822C2">
        <w:rPr>
          <w:rFonts w:cs="Arial"/>
          <w:noProof/>
        </w:rPr>
        <w:noBreakHyphen/>
        <w:t>function</w:t>
      </w:r>
      <w:r>
        <w:rPr>
          <w:noProof/>
        </w:rPr>
        <w:tab/>
        <w:t>180</w:t>
      </w:r>
    </w:p>
    <w:p w14:paraId="35353AF1" w14:textId="699940D0" w:rsidR="005E23C5" w:rsidRDefault="005E23C5">
      <w:pPr>
        <w:pStyle w:val="TOC1"/>
        <w:rPr>
          <w:rFonts w:asciiTheme="minorHAnsi" w:eastAsiaTheme="minorEastAsia" w:hAnsiTheme="minorHAnsi" w:cstheme="minorBidi"/>
          <w:b w:val="0"/>
          <w:noProof/>
          <w:szCs w:val="22"/>
        </w:rPr>
      </w:pPr>
      <w:r>
        <w:rPr>
          <w:noProof/>
        </w:rPr>
        <w:t>Statement 6: Debt Statement</w:t>
      </w:r>
      <w:r>
        <w:rPr>
          <w:noProof/>
        </w:rPr>
        <w:tab/>
        <w:t>185</w:t>
      </w:r>
    </w:p>
    <w:p w14:paraId="5622EEB7" w14:textId="520EFF35" w:rsidR="005E23C5" w:rsidRDefault="005E23C5">
      <w:pPr>
        <w:pStyle w:val="TOC2"/>
        <w:rPr>
          <w:rFonts w:asciiTheme="minorHAnsi" w:eastAsiaTheme="minorEastAsia" w:hAnsiTheme="minorHAnsi" w:cstheme="minorBidi"/>
          <w:noProof/>
          <w:sz w:val="22"/>
          <w:szCs w:val="22"/>
        </w:rPr>
      </w:pPr>
      <w:r>
        <w:rPr>
          <w:noProof/>
        </w:rPr>
        <w:t>Overview</w:t>
      </w:r>
      <w:r>
        <w:rPr>
          <w:noProof/>
        </w:rPr>
        <w:tab/>
        <w:t>185</w:t>
      </w:r>
    </w:p>
    <w:p w14:paraId="152CC10B" w14:textId="4A89CC37" w:rsidR="005E23C5" w:rsidRDefault="005E23C5">
      <w:pPr>
        <w:pStyle w:val="TOC2"/>
        <w:rPr>
          <w:rFonts w:asciiTheme="minorHAnsi" w:eastAsiaTheme="minorEastAsia" w:hAnsiTheme="minorHAnsi" w:cstheme="minorBidi"/>
          <w:noProof/>
          <w:sz w:val="22"/>
          <w:szCs w:val="22"/>
        </w:rPr>
      </w:pPr>
      <w:r>
        <w:rPr>
          <w:noProof/>
        </w:rPr>
        <w:t>Australian Government Securities issuance</w:t>
      </w:r>
      <w:r>
        <w:rPr>
          <w:noProof/>
        </w:rPr>
        <w:tab/>
        <w:t>185</w:t>
      </w:r>
    </w:p>
    <w:p w14:paraId="70F67F50" w14:textId="0A6001B4" w:rsidR="005E23C5" w:rsidRDefault="005E23C5">
      <w:pPr>
        <w:pStyle w:val="TOC2"/>
        <w:rPr>
          <w:rFonts w:asciiTheme="minorHAnsi" w:eastAsiaTheme="minorEastAsia" w:hAnsiTheme="minorHAnsi" w:cstheme="minorBidi"/>
          <w:noProof/>
          <w:sz w:val="22"/>
          <w:szCs w:val="22"/>
        </w:rPr>
      </w:pPr>
      <w:r>
        <w:rPr>
          <w:noProof/>
        </w:rPr>
        <w:t>Estimates of AGS on issue</w:t>
      </w:r>
      <w:r>
        <w:rPr>
          <w:noProof/>
        </w:rPr>
        <w:tab/>
        <w:t>186</w:t>
      </w:r>
    </w:p>
    <w:p w14:paraId="3B7F025E" w14:textId="230946A1" w:rsidR="005E23C5" w:rsidRDefault="005E23C5">
      <w:pPr>
        <w:pStyle w:val="TOC2"/>
        <w:rPr>
          <w:rFonts w:asciiTheme="minorHAnsi" w:eastAsiaTheme="minorEastAsia" w:hAnsiTheme="minorHAnsi" w:cstheme="minorBidi"/>
          <w:noProof/>
          <w:sz w:val="22"/>
          <w:szCs w:val="22"/>
        </w:rPr>
      </w:pPr>
      <w:r>
        <w:rPr>
          <w:noProof/>
        </w:rPr>
        <w:t>Treasury Notes</w:t>
      </w:r>
      <w:r>
        <w:rPr>
          <w:noProof/>
        </w:rPr>
        <w:tab/>
        <w:t>191</w:t>
      </w:r>
    </w:p>
    <w:p w14:paraId="128AB5FB" w14:textId="0874FD62" w:rsidR="005E23C5" w:rsidRDefault="005E23C5">
      <w:pPr>
        <w:pStyle w:val="TOC2"/>
        <w:rPr>
          <w:rFonts w:asciiTheme="minorHAnsi" w:eastAsiaTheme="minorEastAsia" w:hAnsiTheme="minorHAnsi" w:cstheme="minorBidi"/>
          <w:noProof/>
          <w:sz w:val="22"/>
          <w:szCs w:val="22"/>
        </w:rPr>
      </w:pPr>
      <w:r>
        <w:rPr>
          <w:noProof/>
        </w:rPr>
        <w:t>Non</w:t>
      </w:r>
      <w:r>
        <w:rPr>
          <w:noProof/>
        </w:rPr>
        <w:noBreakHyphen/>
        <w:t>resident holdings of AGS on issue</w:t>
      </w:r>
      <w:r>
        <w:rPr>
          <w:noProof/>
        </w:rPr>
        <w:tab/>
        <w:t>192</w:t>
      </w:r>
    </w:p>
    <w:p w14:paraId="6E740BE3" w14:textId="4A07F08F" w:rsidR="005E23C5" w:rsidRDefault="005E23C5">
      <w:pPr>
        <w:pStyle w:val="TOC2"/>
        <w:rPr>
          <w:rFonts w:asciiTheme="minorHAnsi" w:eastAsiaTheme="minorEastAsia" w:hAnsiTheme="minorHAnsi" w:cstheme="minorBidi"/>
          <w:noProof/>
          <w:sz w:val="22"/>
          <w:szCs w:val="22"/>
        </w:rPr>
      </w:pPr>
      <w:r>
        <w:rPr>
          <w:noProof/>
        </w:rPr>
        <w:t>Estimates and projections of net debt</w:t>
      </w:r>
      <w:r>
        <w:rPr>
          <w:noProof/>
        </w:rPr>
        <w:tab/>
        <w:t>193</w:t>
      </w:r>
    </w:p>
    <w:p w14:paraId="74F8FC06" w14:textId="198E9251" w:rsidR="005E23C5" w:rsidRDefault="005E23C5">
      <w:pPr>
        <w:pStyle w:val="TOC2"/>
        <w:rPr>
          <w:rFonts w:asciiTheme="minorHAnsi" w:eastAsiaTheme="minorEastAsia" w:hAnsiTheme="minorHAnsi" w:cstheme="minorBidi"/>
          <w:noProof/>
          <w:sz w:val="22"/>
          <w:szCs w:val="22"/>
        </w:rPr>
      </w:pPr>
      <w:r>
        <w:rPr>
          <w:noProof/>
        </w:rPr>
        <w:t>Interest on AGS</w:t>
      </w:r>
      <w:r>
        <w:rPr>
          <w:noProof/>
        </w:rPr>
        <w:tab/>
        <w:t>195</w:t>
      </w:r>
    </w:p>
    <w:p w14:paraId="28975C3C" w14:textId="520CBF04" w:rsidR="005E23C5" w:rsidRPr="005E23C5" w:rsidRDefault="005E23C5" w:rsidP="005E23C5">
      <w:pPr>
        <w:pStyle w:val="TOC2"/>
        <w:rPr>
          <w:rFonts w:asciiTheme="minorHAnsi" w:eastAsiaTheme="minorEastAsia" w:hAnsiTheme="minorHAnsi" w:cstheme="minorBidi"/>
          <w:noProof/>
          <w:sz w:val="22"/>
          <w:szCs w:val="22"/>
        </w:rPr>
      </w:pPr>
      <w:r>
        <w:rPr>
          <w:noProof/>
        </w:rPr>
        <w:t>Climate spending</w:t>
      </w:r>
      <w:r>
        <w:rPr>
          <w:noProof/>
        </w:rPr>
        <w:tab/>
        <w:t>198</w:t>
      </w:r>
    </w:p>
    <w:p w14:paraId="51BA3B05" w14:textId="46E36376" w:rsidR="005E23C5" w:rsidRDefault="005E23C5">
      <w:pPr>
        <w:pStyle w:val="TOC1"/>
        <w:rPr>
          <w:rFonts w:asciiTheme="minorHAnsi" w:eastAsiaTheme="minorEastAsia" w:hAnsiTheme="minorHAnsi" w:cstheme="minorBidi"/>
          <w:b w:val="0"/>
          <w:noProof/>
          <w:szCs w:val="22"/>
        </w:rPr>
      </w:pPr>
      <w:r>
        <w:rPr>
          <w:noProof/>
        </w:rPr>
        <w:lastRenderedPageBreak/>
        <w:t>Statement 7: Forecasting Performance and Sensitivity Analysis</w:t>
      </w:r>
      <w:r>
        <w:rPr>
          <w:noProof/>
        </w:rPr>
        <w:tab/>
        <w:t>203</w:t>
      </w:r>
    </w:p>
    <w:p w14:paraId="707704C2" w14:textId="558BE1AD" w:rsidR="005E23C5" w:rsidRDefault="005E23C5">
      <w:pPr>
        <w:pStyle w:val="TOC2"/>
        <w:rPr>
          <w:rFonts w:asciiTheme="minorHAnsi" w:eastAsiaTheme="minorEastAsia" w:hAnsiTheme="minorHAnsi" w:cstheme="minorBidi"/>
          <w:noProof/>
          <w:sz w:val="22"/>
          <w:szCs w:val="22"/>
        </w:rPr>
      </w:pPr>
      <w:r>
        <w:rPr>
          <w:noProof/>
        </w:rPr>
        <w:t>Overview</w:t>
      </w:r>
      <w:r>
        <w:rPr>
          <w:noProof/>
        </w:rPr>
        <w:tab/>
        <w:t>203</w:t>
      </w:r>
    </w:p>
    <w:p w14:paraId="20FE6D6E" w14:textId="080D8E90" w:rsidR="005E23C5" w:rsidRDefault="005E23C5">
      <w:pPr>
        <w:pStyle w:val="TOC2"/>
        <w:rPr>
          <w:rFonts w:asciiTheme="minorHAnsi" w:eastAsiaTheme="minorEastAsia" w:hAnsiTheme="minorHAnsi" w:cstheme="minorBidi"/>
          <w:noProof/>
          <w:sz w:val="22"/>
          <w:szCs w:val="22"/>
        </w:rPr>
      </w:pPr>
      <w:r>
        <w:rPr>
          <w:noProof/>
        </w:rPr>
        <w:t>Assessing historical forecasting performance</w:t>
      </w:r>
      <w:r>
        <w:rPr>
          <w:noProof/>
        </w:rPr>
        <w:tab/>
        <w:t>204</w:t>
      </w:r>
    </w:p>
    <w:p w14:paraId="5BB8DE9D" w14:textId="533BE4B6" w:rsidR="005E23C5" w:rsidRDefault="005E23C5">
      <w:pPr>
        <w:pStyle w:val="TOC2"/>
        <w:rPr>
          <w:rFonts w:asciiTheme="minorHAnsi" w:eastAsiaTheme="minorEastAsia" w:hAnsiTheme="minorHAnsi" w:cstheme="minorBidi"/>
          <w:noProof/>
          <w:sz w:val="22"/>
          <w:szCs w:val="22"/>
        </w:rPr>
      </w:pPr>
      <w:r>
        <w:rPr>
          <w:noProof/>
        </w:rPr>
        <w:t>Assessing current forecasts through confidence interval analysis</w:t>
      </w:r>
      <w:r>
        <w:rPr>
          <w:noProof/>
        </w:rPr>
        <w:tab/>
        <w:t>208</w:t>
      </w:r>
    </w:p>
    <w:p w14:paraId="5E411C14" w14:textId="19E41940" w:rsidR="005E23C5" w:rsidRDefault="005E23C5">
      <w:pPr>
        <w:pStyle w:val="TOC2"/>
        <w:rPr>
          <w:rFonts w:asciiTheme="minorHAnsi" w:eastAsiaTheme="minorEastAsia" w:hAnsiTheme="minorHAnsi" w:cstheme="minorBidi"/>
          <w:noProof/>
          <w:sz w:val="22"/>
          <w:szCs w:val="22"/>
        </w:rPr>
      </w:pPr>
      <w:r>
        <w:rPr>
          <w:noProof/>
        </w:rPr>
        <w:t>Assessing current forecasts through sensitivity analysis</w:t>
      </w:r>
      <w:r>
        <w:rPr>
          <w:noProof/>
        </w:rPr>
        <w:tab/>
        <w:t>213</w:t>
      </w:r>
    </w:p>
    <w:p w14:paraId="02DF0C74" w14:textId="226E3862" w:rsidR="005E23C5" w:rsidRDefault="005E23C5">
      <w:pPr>
        <w:pStyle w:val="TOC1"/>
        <w:rPr>
          <w:rFonts w:asciiTheme="minorHAnsi" w:eastAsiaTheme="minorEastAsia" w:hAnsiTheme="minorHAnsi" w:cstheme="minorBidi"/>
          <w:b w:val="0"/>
          <w:noProof/>
          <w:szCs w:val="22"/>
        </w:rPr>
      </w:pPr>
      <w:r w:rsidRPr="00430F5F">
        <w:rPr>
          <w:rFonts w:eastAsia="Book Antiqua"/>
          <w:noProof/>
        </w:rPr>
        <w:t>Statement 8: Statement of Risks</w:t>
      </w:r>
      <w:r>
        <w:rPr>
          <w:noProof/>
        </w:rPr>
        <w:tab/>
        <w:t>223</w:t>
      </w:r>
    </w:p>
    <w:p w14:paraId="41ED61CF" w14:textId="370963BF" w:rsidR="005E23C5" w:rsidRDefault="005E23C5">
      <w:pPr>
        <w:pStyle w:val="TOC2"/>
        <w:rPr>
          <w:rFonts w:asciiTheme="minorHAnsi" w:eastAsiaTheme="minorEastAsia" w:hAnsiTheme="minorHAnsi" w:cstheme="minorBidi"/>
          <w:noProof/>
          <w:sz w:val="22"/>
          <w:szCs w:val="22"/>
        </w:rPr>
      </w:pPr>
      <w:r w:rsidRPr="00430F5F">
        <w:rPr>
          <w:rFonts w:eastAsia="Arial"/>
          <w:noProof/>
        </w:rPr>
        <w:t>Risks to the Budget – Overview</w:t>
      </w:r>
      <w:r>
        <w:rPr>
          <w:noProof/>
        </w:rPr>
        <w:tab/>
        <w:t>223</w:t>
      </w:r>
    </w:p>
    <w:p w14:paraId="4ACE075C" w14:textId="2019CF32" w:rsidR="005E23C5" w:rsidRDefault="005E23C5">
      <w:pPr>
        <w:pStyle w:val="TOC2"/>
        <w:rPr>
          <w:rFonts w:asciiTheme="minorHAnsi" w:eastAsiaTheme="minorEastAsia" w:hAnsiTheme="minorHAnsi" w:cstheme="minorBidi"/>
          <w:noProof/>
          <w:sz w:val="22"/>
          <w:szCs w:val="22"/>
        </w:rPr>
      </w:pPr>
      <w:r>
        <w:rPr>
          <w:noProof/>
        </w:rPr>
        <w:t>Agriculture, Water and the Environment</w:t>
      </w:r>
      <w:r>
        <w:rPr>
          <w:noProof/>
        </w:rPr>
        <w:tab/>
        <w:t>232</w:t>
      </w:r>
    </w:p>
    <w:p w14:paraId="5CFD3800" w14:textId="276F8FDE" w:rsidR="005E23C5" w:rsidRDefault="005E23C5">
      <w:pPr>
        <w:pStyle w:val="TOC2"/>
        <w:rPr>
          <w:rFonts w:asciiTheme="minorHAnsi" w:eastAsiaTheme="minorEastAsia" w:hAnsiTheme="minorHAnsi" w:cstheme="minorBidi"/>
          <w:noProof/>
          <w:sz w:val="22"/>
          <w:szCs w:val="22"/>
        </w:rPr>
      </w:pPr>
      <w:r>
        <w:rPr>
          <w:noProof/>
        </w:rPr>
        <w:t>Attorney</w:t>
      </w:r>
      <w:r>
        <w:rPr>
          <w:noProof/>
        </w:rPr>
        <w:noBreakHyphen/>
        <w:t>General’s</w:t>
      </w:r>
      <w:r>
        <w:rPr>
          <w:noProof/>
        </w:rPr>
        <w:tab/>
        <w:t>233</w:t>
      </w:r>
    </w:p>
    <w:p w14:paraId="795A4132" w14:textId="554593B0" w:rsidR="005E23C5" w:rsidRDefault="005E23C5">
      <w:pPr>
        <w:pStyle w:val="TOC2"/>
        <w:rPr>
          <w:rFonts w:asciiTheme="minorHAnsi" w:eastAsiaTheme="minorEastAsia" w:hAnsiTheme="minorHAnsi" w:cstheme="minorBidi"/>
          <w:noProof/>
          <w:sz w:val="22"/>
          <w:szCs w:val="22"/>
        </w:rPr>
      </w:pPr>
      <w:r>
        <w:rPr>
          <w:noProof/>
        </w:rPr>
        <w:t>Defence</w:t>
      </w:r>
      <w:r>
        <w:rPr>
          <w:noProof/>
        </w:rPr>
        <w:tab/>
        <w:t>234</w:t>
      </w:r>
    </w:p>
    <w:p w14:paraId="16841C45" w14:textId="4A8332E5" w:rsidR="005E23C5" w:rsidRDefault="005E23C5">
      <w:pPr>
        <w:pStyle w:val="TOC2"/>
        <w:rPr>
          <w:rFonts w:asciiTheme="minorHAnsi" w:eastAsiaTheme="minorEastAsia" w:hAnsiTheme="minorHAnsi" w:cstheme="minorBidi"/>
          <w:noProof/>
          <w:sz w:val="22"/>
          <w:szCs w:val="22"/>
        </w:rPr>
      </w:pPr>
      <w:r>
        <w:rPr>
          <w:noProof/>
        </w:rPr>
        <w:t>Education, Skills and Employment</w:t>
      </w:r>
      <w:r>
        <w:rPr>
          <w:noProof/>
        </w:rPr>
        <w:tab/>
        <w:t>236</w:t>
      </w:r>
    </w:p>
    <w:p w14:paraId="653D3557" w14:textId="25653241" w:rsidR="005E23C5" w:rsidRDefault="005E23C5">
      <w:pPr>
        <w:pStyle w:val="TOC2"/>
        <w:rPr>
          <w:rFonts w:asciiTheme="minorHAnsi" w:eastAsiaTheme="minorEastAsia" w:hAnsiTheme="minorHAnsi" w:cstheme="minorBidi"/>
          <w:noProof/>
          <w:sz w:val="22"/>
          <w:szCs w:val="22"/>
        </w:rPr>
      </w:pPr>
      <w:r>
        <w:rPr>
          <w:noProof/>
        </w:rPr>
        <w:t>Finance</w:t>
      </w:r>
      <w:r>
        <w:rPr>
          <w:noProof/>
        </w:rPr>
        <w:tab/>
        <w:t>237</w:t>
      </w:r>
    </w:p>
    <w:p w14:paraId="7834463C" w14:textId="2A5270E3" w:rsidR="005E23C5" w:rsidRDefault="005E23C5">
      <w:pPr>
        <w:pStyle w:val="TOC2"/>
        <w:rPr>
          <w:rFonts w:asciiTheme="minorHAnsi" w:eastAsiaTheme="minorEastAsia" w:hAnsiTheme="minorHAnsi" w:cstheme="minorBidi"/>
          <w:noProof/>
          <w:sz w:val="22"/>
          <w:szCs w:val="22"/>
        </w:rPr>
      </w:pPr>
      <w:r>
        <w:rPr>
          <w:noProof/>
        </w:rPr>
        <w:t>Foreign Affairs and Trade</w:t>
      </w:r>
      <w:r>
        <w:rPr>
          <w:noProof/>
        </w:rPr>
        <w:tab/>
        <w:t>241</w:t>
      </w:r>
    </w:p>
    <w:p w14:paraId="087760C3" w14:textId="155AF095" w:rsidR="005E23C5" w:rsidRDefault="005E23C5">
      <w:pPr>
        <w:pStyle w:val="TOC2"/>
        <w:rPr>
          <w:rFonts w:asciiTheme="minorHAnsi" w:eastAsiaTheme="minorEastAsia" w:hAnsiTheme="minorHAnsi" w:cstheme="minorBidi"/>
          <w:noProof/>
          <w:sz w:val="22"/>
          <w:szCs w:val="22"/>
        </w:rPr>
      </w:pPr>
      <w:r>
        <w:rPr>
          <w:noProof/>
        </w:rPr>
        <w:t>Health</w:t>
      </w:r>
      <w:r>
        <w:rPr>
          <w:noProof/>
        </w:rPr>
        <w:tab/>
        <w:t>242</w:t>
      </w:r>
    </w:p>
    <w:p w14:paraId="66C7E125" w14:textId="23C86C9A" w:rsidR="005E23C5" w:rsidRDefault="005E23C5">
      <w:pPr>
        <w:pStyle w:val="TOC2"/>
        <w:rPr>
          <w:rFonts w:asciiTheme="minorHAnsi" w:eastAsiaTheme="minorEastAsia" w:hAnsiTheme="minorHAnsi" w:cstheme="minorBidi"/>
          <w:noProof/>
          <w:sz w:val="22"/>
          <w:szCs w:val="22"/>
        </w:rPr>
      </w:pPr>
      <w:r>
        <w:rPr>
          <w:noProof/>
        </w:rPr>
        <w:t>Home Affairs</w:t>
      </w:r>
      <w:r>
        <w:rPr>
          <w:noProof/>
        </w:rPr>
        <w:tab/>
        <w:t>247</w:t>
      </w:r>
    </w:p>
    <w:p w14:paraId="1D152D26" w14:textId="6B2C52FD" w:rsidR="005E23C5" w:rsidRDefault="005E23C5">
      <w:pPr>
        <w:pStyle w:val="TOC2"/>
        <w:rPr>
          <w:rFonts w:asciiTheme="minorHAnsi" w:eastAsiaTheme="minorEastAsia" w:hAnsiTheme="minorHAnsi" w:cstheme="minorBidi"/>
          <w:noProof/>
          <w:sz w:val="22"/>
          <w:szCs w:val="22"/>
        </w:rPr>
      </w:pPr>
      <w:r>
        <w:rPr>
          <w:noProof/>
        </w:rPr>
        <w:t>Industry, Science, Energy and Resources</w:t>
      </w:r>
      <w:r>
        <w:rPr>
          <w:noProof/>
        </w:rPr>
        <w:tab/>
        <w:t>249</w:t>
      </w:r>
    </w:p>
    <w:p w14:paraId="5071C313" w14:textId="1718947E" w:rsidR="005E23C5" w:rsidRDefault="005E23C5">
      <w:pPr>
        <w:pStyle w:val="TOC2"/>
        <w:rPr>
          <w:rFonts w:asciiTheme="minorHAnsi" w:eastAsiaTheme="minorEastAsia" w:hAnsiTheme="minorHAnsi" w:cstheme="minorBidi"/>
          <w:noProof/>
          <w:sz w:val="22"/>
          <w:szCs w:val="22"/>
        </w:rPr>
      </w:pPr>
      <w:r>
        <w:rPr>
          <w:noProof/>
        </w:rPr>
        <w:t>Infrastructure, Transport, Regional Development and Communications</w:t>
      </w:r>
      <w:r>
        <w:rPr>
          <w:noProof/>
        </w:rPr>
        <w:tab/>
        <w:t>254</w:t>
      </w:r>
    </w:p>
    <w:p w14:paraId="3755998D" w14:textId="5B1DC853" w:rsidR="005E23C5" w:rsidRDefault="005E23C5">
      <w:pPr>
        <w:pStyle w:val="TOC2"/>
        <w:rPr>
          <w:rFonts w:asciiTheme="minorHAnsi" w:eastAsiaTheme="minorEastAsia" w:hAnsiTheme="minorHAnsi" w:cstheme="minorBidi"/>
          <w:noProof/>
          <w:sz w:val="22"/>
          <w:szCs w:val="22"/>
        </w:rPr>
      </w:pPr>
      <w:r>
        <w:rPr>
          <w:noProof/>
        </w:rPr>
        <w:t>Prime Minister and Cabinet</w:t>
      </w:r>
      <w:r>
        <w:rPr>
          <w:noProof/>
        </w:rPr>
        <w:tab/>
        <w:t>261</w:t>
      </w:r>
    </w:p>
    <w:p w14:paraId="69F09468" w14:textId="738A4BB6" w:rsidR="005E23C5" w:rsidRDefault="005E23C5">
      <w:pPr>
        <w:pStyle w:val="TOC2"/>
        <w:rPr>
          <w:rFonts w:asciiTheme="minorHAnsi" w:eastAsiaTheme="minorEastAsia" w:hAnsiTheme="minorHAnsi" w:cstheme="minorBidi"/>
          <w:noProof/>
          <w:sz w:val="22"/>
          <w:szCs w:val="22"/>
        </w:rPr>
      </w:pPr>
      <w:r>
        <w:rPr>
          <w:noProof/>
        </w:rPr>
        <w:t>Social Services</w:t>
      </w:r>
      <w:r>
        <w:rPr>
          <w:noProof/>
        </w:rPr>
        <w:tab/>
        <w:t>263</w:t>
      </w:r>
    </w:p>
    <w:p w14:paraId="4D7A3FFC" w14:textId="35103AC8" w:rsidR="005E23C5" w:rsidRDefault="005E23C5">
      <w:pPr>
        <w:pStyle w:val="TOC2"/>
        <w:rPr>
          <w:rFonts w:asciiTheme="minorHAnsi" w:eastAsiaTheme="minorEastAsia" w:hAnsiTheme="minorHAnsi" w:cstheme="minorBidi"/>
          <w:noProof/>
          <w:sz w:val="22"/>
          <w:szCs w:val="22"/>
        </w:rPr>
      </w:pPr>
      <w:r>
        <w:rPr>
          <w:noProof/>
        </w:rPr>
        <w:t>Treasury</w:t>
      </w:r>
      <w:r>
        <w:rPr>
          <w:noProof/>
        </w:rPr>
        <w:tab/>
        <w:t>264</w:t>
      </w:r>
    </w:p>
    <w:p w14:paraId="65F57718" w14:textId="3DB1E199" w:rsidR="005E23C5" w:rsidRDefault="005E23C5">
      <w:pPr>
        <w:pStyle w:val="TOC2"/>
        <w:rPr>
          <w:rFonts w:asciiTheme="minorHAnsi" w:eastAsiaTheme="minorEastAsia" w:hAnsiTheme="minorHAnsi" w:cstheme="minorBidi"/>
          <w:noProof/>
          <w:sz w:val="22"/>
          <w:szCs w:val="22"/>
        </w:rPr>
      </w:pPr>
      <w:r w:rsidRPr="00430F5F">
        <w:rPr>
          <w:rFonts w:eastAsia="Arial"/>
          <w:noProof/>
        </w:rPr>
        <w:t>Veterans’ Affairs</w:t>
      </w:r>
      <w:r>
        <w:rPr>
          <w:noProof/>
        </w:rPr>
        <w:tab/>
        <w:t>271</w:t>
      </w:r>
    </w:p>
    <w:p w14:paraId="14E6B7AD" w14:textId="661CFB0E" w:rsidR="005E23C5" w:rsidRDefault="005E23C5">
      <w:pPr>
        <w:pStyle w:val="TOC2"/>
        <w:rPr>
          <w:rFonts w:asciiTheme="minorHAnsi" w:eastAsiaTheme="minorEastAsia" w:hAnsiTheme="minorHAnsi" w:cstheme="minorBidi"/>
          <w:noProof/>
          <w:sz w:val="22"/>
          <w:szCs w:val="22"/>
        </w:rPr>
      </w:pPr>
      <w:r w:rsidRPr="00430F5F">
        <w:rPr>
          <w:rFonts w:eastAsia="Arial"/>
          <w:noProof/>
        </w:rPr>
        <w:t>Government loans</w:t>
      </w:r>
      <w:r>
        <w:rPr>
          <w:noProof/>
        </w:rPr>
        <w:tab/>
        <w:t>271</w:t>
      </w:r>
    </w:p>
    <w:p w14:paraId="72212729" w14:textId="52F6EDA6" w:rsidR="005E23C5" w:rsidRDefault="005E23C5">
      <w:pPr>
        <w:pStyle w:val="TOC1"/>
        <w:rPr>
          <w:rFonts w:asciiTheme="minorHAnsi" w:eastAsiaTheme="minorEastAsia" w:hAnsiTheme="minorHAnsi" w:cstheme="minorBidi"/>
          <w:b w:val="0"/>
          <w:noProof/>
          <w:szCs w:val="22"/>
        </w:rPr>
      </w:pPr>
      <w:r>
        <w:rPr>
          <w:noProof/>
        </w:rPr>
        <w:t>Statement 9: Australian Government Budget Financial Statements</w:t>
      </w:r>
      <w:r>
        <w:rPr>
          <w:noProof/>
        </w:rPr>
        <w:tab/>
        <w:t>289</w:t>
      </w:r>
    </w:p>
    <w:p w14:paraId="7CE83C63" w14:textId="564FF7B2" w:rsidR="005E23C5" w:rsidRDefault="005E23C5">
      <w:pPr>
        <w:pStyle w:val="TOC2"/>
        <w:rPr>
          <w:rFonts w:asciiTheme="minorHAnsi" w:eastAsiaTheme="minorEastAsia" w:hAnsiTheme="minorHAnsi" w:cstheme="minorBidi"/>
          <w:noProof/>
          <w:sz w:val="22"/>
          <w:szCs w:val="22"/>
        </w:rPr>
      </w:pPr>
      <w:r w:rsidRPr="00430F5F">
        <w:rPr>
          <w:noProof/>
          <w:spacing w:val="-2"/>
        </w:rPr>
        <w:t>Notes to the general government sector financial statements</w:t>
      </w:r>
      <w:r>
        <w:rPr>
          <w:noProof/>
        </w:rPr>
        <w:tab/>
        <w:t>305</w:t>
      </w:r>
    </w:p>
    <w:p w14:paraId="7461A2C4" w14:textId="716656C9" w:rsidR="005E23C5" w:rsidRDefault="005E23C5" w:rsidP="005E23C5">
      <w:pPr>
        <w:pStyle w:val="TOC2"/>
        <w:rPr>
          <w:rFonts w:asciiTheme="minorHAnsi" w:eastAsiaTheme="minorEastAsia" w:hAnsiTheme="minorHAnsi" w:cstheme="minorBidi"/>
          <w:b/>
          <w:noProof/>
          <w:szCs w:val="22"/>
        </w:rPr>
      </w:pPr>
      <w:r>
        <w:rPr>
          <w:noProof/>
        </w:rPr>
        <w:t>Appendix A: Financial reporting standards and budget concepts</w:t>
      </w:r>
      <w:r>
        <w:rPr>
          <w:noProof/>
        </w:rPr>
        <w:tab/>
        <w:t>321</w:t>
      </w:r>
    </w:p>
    <w:p w14:paraId="60AE1C55" w14:textId="2028B15B" w:rsidR="005E23C5" w:rsidRDefault="005E23C5">
      <w:pPr>
        <w:pStyle w:val="TOC2"/>
        <w:rPr>
          <w:rFonts w:asciiTheme="minorHAnsi" w:eastAsiaTheme="minorEastAsia" w:hAnsiTheme="minorHAnsi" w:cstheme="minorBidi"/>
          <w:noProof/>
          <w:sz w:val="22"/>
          <w:szCs w:val="22"/>
        </w:rPr>
      </w:pPr>
      <w:r>
        <w:rPr>
          <w:noProof/>
        </w:rPr>
        <w:t>AASB 1049 Conceptual framework</w:t>
      </w:r>
      <w:r>
        <w:rPr>
          <w:noProof/>
        </w:rPr>
        <w:tab/>
        <w:t>321</w:t>
      </w:r>
    </w:p>
    <w:p w14:paraId="1281CEB6" w14:textId="36670CD2" w:rsidR="005E23C5" w:rsidRDefault="005E23C5" w:rsidP="005E23C5">
      <w:pPr>
        <w:pStyle w:val="TOC2"/>
        <w:rPr>
          <w:rFonts w:asciiTheme="minorHAnsi" w:eastAsiaTheme="minorEastAsia" w:hAnsiTheme="minorHAnsi" w:cstheme="minorBidi"/>
          <w:b/>
          <w:noProof/>
          <w:szCs w:val="22"/>
        </w:rPr>
      </w:pPr>
      <w:r>
        <w:rPr>
          <w:noProof/>
        </w:rPr>
        <w:t>Appendix B: Assets and Liabilities</w:t>
      </w:r>
      <w:r>
        <w:rPr>
          <w:noProof/>
        </w:rPr>
        <w:tab/>
        <w:t>329</w:t>
      </w:r>
    </w:p>
    <w:p w14:paraId="18E3C9D3" w14:textId="4CFF3AF4" w:rsidR="005E23C5" w:rsidRDefault="005E23C5">
      <w:pPr>
        <w:pStyle w:val="TOC2"/>
        <w:rPr>
          <w:rFonts w:asciiTheme="minorHAnsi" w:eastAsiaTheme="minorEastAsia" w:hAnsiTheme="minorHAnsi" w:cstheme="minorBidi"/>
          <w:noProof/>
          <w:sz w:val="22"/>
          <w:szCs w:val="22"/>
        </w:rPr>
      </w:pPr>
      <w:r>
        <w:rPr>
          <w:noProof/>
        </w:rPr>
        <w:t>The Australian Government’s major assets and liabilities</w:t>
      </w:r>
      <w:r>
        <w:rPr>
          <w:noProof/>
        </w:rPr>
        <w:tab/>
        <w:t>329</w:t>
      </w:r>
    </w:p>
    <w:p w14:paraId="75C275D9" w14:textId="7A614837" w:rsidR="005E23C5" w:rsidRDefault="005E23C5">
      <w:pPr>
        <w:pStyle w:val="TOC1"/>
        <w:rPr>
          <w:rFonts w:asciiTheme="minorHAnsi" w:eastAsiaTheme="minorEastAsia" w:hAnsiTheme="minorHAnsi" w:cstheme="minorBidi"/>
          <w:b w:val="0"/>
          <w:noProof/>
          <w:szCs w:val="22"/>
        </w:rPr>
      </w:pPr>
      <w:r>
        <w:rPr>
          <w:noProof/>
        </w:rPr>
        <w:t>Statement 10: Historical Australian Government Data</w:t>
      </w:r>
      <w:r>
        <w:rPr>
          <w:noProof/>
        </w:rPr>
        <w:tab/>
        <w:t>337</w:t>
      </w:r>
    </w:p>
    <w:p w14:paraId="402FE9A3" w14:textId="36F9884F" w:rsidR="005E23C5" w:rsidRDefault="005E23C5">
      <w:pPr>
        <w:pStyle w:val="TOC2"/>
        <w:rPr>
          <w:rFonts w:asciiTheme="minorHAnsi" w:eastAsiaTheme="minorEastAsia" w:hAnsiTheme="minorHAnsi" w:cstheme="minorBidi"/>
          <w:noProof/>
          <w:sz w:val="22"/>
          <w:szCs w:val="22"/>
        </w:rPr>
      </w:pPr>
      <w:r>
        <w:rPr>
          <w:noProof/>
        </w:rPr>
        <w:t>Data sources</w:t>
      </w:r>
      <w:r>
        <w:rPr>
          <w:noProof/>
        </w:rPr>
        <w:tab/>
        <w:t>337</w:t>
      </w:r>
    </w:p>
    <w:p w14:paraId="0922E9F6" w14:textId="769BF9A4" w:rsidR="005E23C5" w:rsidRDefault="005E23C5">
      <w:pPr>
        <w:pStyle w:val="TOC2"/>
        <w:rPr>
          <w:rFonts w:asciiTheme="minorHAnsi" w:eastAsiaTheme="minorEastAsia" w:hAnsiTheme="minorHAnsi" w:cstheme="minorBidi"/>
          <w:noProof/>
          <w:sz w:val="22"/>
          <w:szCs w:val="22"/>
        </w:rPr>
      </w:pPr>
      <w:r>
        <w:rPr>
          <w:noProof/>
        </w:rPr>
        <w:t>Comparability of data across years</w:t>
      </w:r>
      <w:r>
        <w:rPr>
          <w:noProof/>
        </w:rPr>
        <w:tab/>
        <w:t>337</w:t>
      </w:r>
    </w:p>
    <w:p w14:paraId="1B762A62" w14:textId="16459C91" w:rsidR="005E23C5" w:rsidRDefault="005E23C5">
      <w:pPr>
        <w:pStyle w:val="TOC2"/>
        <w:rPr>
          <w:rFonts w:asciiTheme="minorHAnsi" w:eastAsiaTheme="minorEastAsia" w:hAnsiTheme="minorHAnsi" w:cstheme="minorBidi"/>
          <w:noProof/>
          <w:sz w:val="22"/>
          <w:szCs w:val="22"/>
        </w:rPr>
      </w:pPr>
      <w:r>
        <w:rPr>
          <w:noProof/>
        </w:rPr>
        <w:t>Revisions to previously published data</w:t>
      </w:r>
      <w:r>
        <w:rPr>
          <w:noProof/>
        </w:rPr>
        <w:tab/>
        <w:t>339</w:t>
      </w:r>
    </w:p>
    <w:p w14:paraId="4A85A06F" w14:textId="1F44A4EE" w:rsidR="00EA0B30" w:rsidRPr="006D3B8C" w:rsidRDefault="00EA0B30" w:rsidP="00EA0B30">
      <w:pPr>
        <w:spacing w:after="0" w:line="240" w:lineRule="auto"/>
        <w:jc w:val="left"/>
        <w:rPr>
          <w:rFonts w:ascii="Arial Bold" w:hAnsi="Arial Bold"/>
          <w:b/>
          <w:smallCaps/>
          <w:noProof/>
          <w:color w:val="000000"/>
          <w:sz w:val="22"/>
        </w:rPr>
      </w:pPr>
      <w:r>
        <w:rPr>
          <w:rFonts w:ascii="Arial" w:hAnsi="Arial"/>
          <w:color w:val="000000"/>
          <w:sz w:val="34"/>
        </w:rPr>
        <w:fldChar w:fldCharType="end"/>
      </w:r>
    </w:p>
    <w:p w14:paraId="727AF918" w14:textId="77777777" w:rsidR="009345C5" w:rsidRPr="006568AA" w:rsidRDefault="009345C5" w:rsidP="00423B4F">
      <w:pPr>
        <w:jc w:val="center"/>
      </w:pPr>
    </w:p>
    <w:sectPr w:rsidR="009345C5" w:rsidRPr="006568AA" w:rsidSect="008253FB">
      <w:headerReference w:type="even" r:id="rId32"/>
      <w:headerReference w:type="default" r:id="rId33"/>
      <w:footerReference w:type="even" r:id="rId34"/>
      <w:footerReference w:type="default" r:id="rId35"/>
      <w:headerReference w:type="first" r:id="rId36"/>
      <w:footerReference w:type="first" r:id="rId37"/>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4FFBB" w14:textId="77777777" w:rsidR="00A15787" w:rsidRDefault="00A15787" w:rsidP="00E40261">
      <w:pPr>
        <w:spacing w:after="0" w:line="240" w:lineRule="auto"/>
      </w:pPr>
      <w:r>
        <w:separator/>
      </w:r>
    </w:p>
  </w:endnote>
  <w:endnote w:type="continuationSeparator" w:id="0">
    <w:p w14:paraId="4BD8F3C7" w14:textId="77777777" w:rsidR="00A15787" w:rsidRDefault="00A15787" w:rsidP="00E40261">
      <w:pPr>
        <w:spacing w:after="0" w:line="240" w:lineRule="auto"/>
      </w:pPr>
      <w:r>
        <w:continuationSeparator/>
      </w:r>
    </w:p>
  </w:endnote>
  <w:endnote w:type="continuationNotice" w:id="1">
    <w:p w14:paraId="562E41A2" w14:textId="77777777" w:rsidR="00A15787" w:rsidRDefault="00A157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Work Sans Light">
    <w:altName w:val="Work Sans Light"/>
    <w:panose1 w:val="00000000000000000000"/>
    <w:charset w:val="00"/>
    <w:family w:val="auto"/>
    <w:pitch w:val="variable"/>
    <w:sig w:usb0="A00000FF" w:usb1="5000E07B" w:usb2="00000000" w:usb3="00000000" w:csb0="00000193" w:csb1="00000000"/>
  </w:font>
  <w:font w:name="Work Sans">
    <w:altName w:val="Calibri"/>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2D3B" w14:textId="77777777" w:rsidR="00062BCD" w:rsidRDefault="00062B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428B" w14:textId="764131BA" w:rsidR="00692105" w:rsidRDefault="00692105" w:rsidP="00360947">
    <w:pPr>
      <w:pStyle w:val="FooterOdd"/>
    </w:pPr>
    <w:r w:rsidRPr="00B3705D">
      <w:rPr>
        <w:b/>
        <w:bCs/>
      </w:rPr>
      <w:t xml:space="preserve">Page </w:t>
    </w:r>
    <w:r w:rsidR="00EA0B30">
      <w:rPr>
        <w:b/>
        <w:bCs/>
      </w:rPr>
      <w:fldChar w:fldCharType="begin"/>
    </w:r>
    <w:r w:rsidR="00EA0B30">
      <w:rPr>
        <w:b/>
        <w:bCs/>
      </w:rPr>
      <w:instrText xml:space="preserve"> PAGE  \* roman  \* MERGEFORMAT </w:instrText>
    </w:r>
    <w:r w:rsidR="00EA0B30">
      <w:rPr>
        <w:b/>
        <w:bCs/>
      </w:rPr>
      <w:fldChar w:fldCharType="separate"/>
    </w:r>
    <w:r w:rsidR="00EA0B30">
      <w:rPr>
        <w:b/>
        <w:bCs/>
        <w:noProof/>
      </w:rPr>
      <w:t>vii</w:t>
    </w:r>
    <w:r w:rsidR="00EA0B3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C2D39" w14:textId="77777777" w:rsidR="00062BCD" w:rsidRDefault="00062B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FB701" w14:textId="77777777" w:rsidR="00062BCD" w:rsidRDefault="00062B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295" w14:textId="77777777" w:rsidR="00EA0B30" w:rsidRDefault="00EA0B3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A6A4" w14:textId="64277FE9" w:rsidR="00EA0B30" w:rsidRPr="005E259A" w:rsidRDefault="00EA0B30" w:rsidP="00D02815">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v</w:t>
    </w:r>
    <w:r>
      <w:rPr>
        <w:b/>
        <w:bCs/>
      </w:rPr>
      <w:fldChar w:fldCharType="end"/>
    </w:r>
    <w:r w:rsidRPr="00B3705D">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1C76B" w14:textId="14D99A10" w:rsidR="00EA0B30" w:rsidRPr="005E259A" w:rsidRDefault="00087E19" w:rsidP="00D02815">
    <w:pPr>
      <w:pStyle w:val="FooterOdd"/>
    </w:pPr>
    <w:fldSimple w:instr=" SUBJECT   \* MERGEFORMAT ">
      <w:r w:rsidR="00062BCD">
        <w:t>Preliminaries</w:t>
      </w:r>
    </w:fldSimple>
    <w:r w:rsidR="00EA0B30" w:rsidRPr="00B3705D">
      <w:t xml:space="preserve">  </w:t>
    </w:r>
    <w:r w:rsidR="00EA0B30" w:rsidRPr="00B3705D">
      <w:rPr>
        <w:b/>
        <w:bCs/>
      </w:rPr>
      <w:t xml:space="preserve">Page </w:t>
    </w:r>
    <w:r w:rsidR="00EA0B30">
      <w:rPr>
        <w:b/>
        <w:bCs/>
      </w:rPr>
      <w:fldChar w:fldCharType="begin"/>
    </w:r>
    <w:r w:rsidR="00EA0B30">
      <w:rPr>
        <w:b/>
        <w:bCs/>
      </w:rPr>
      <w:instrText xml:space="preserve"> PAGE  \* roman  \* MERGEFORMAT </w:instrText>
    </w:r>
    <w:r w:rsidR="00EA0B30">
      <w:rPr>
        <w:b/>
        <w:bCs/>
      </w:rPr>
      <w:fldChar w:fldCharType="separate"/>
    </w:r>
    <w:r w:rsidR="00EA0B30">
      <w:rPr>
        <w:b/>
        <w:bCs/>
      </w:rPr>
      <w:t>iii</w:t>
    </w:r>
    <w:r w:rsidR="00EA0B30">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1045" w14:textId="75166DEE" w:rsidR="00EA0B30" w:rsidRPr="005E259A" w:rsidRDefault="00EA0B30" w:rsidP="00D02815">
    <w:pPr>
      <w:pStyle w:val="FooterOdd"/>
    </w:pPr>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iv</w:t>
    </w:r>
    <w:r>
      <w:rPr>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DA55" w14:textId="0F56C8B8" w:rsidR="00692105" w:rsidRDefault="00692105" w:rsidP="00360947">
    <w:pPr>
      <w:pStyle w:val="FooterEven"/>
    </w:pPr>
    <w:r w:rsidRPr="00B3705D">
      <w:rPr>
        <w:b/>
      </w:rPr>
      <w:t xml:space="preserve">Page </w:t>
    </w:r>
    <w:r w:rsidR="00EA0B30">
      <w:rPr>
        <w:b/>
        <w:bCs/>
      </w:rPr>
      <w:fldChar w:fldCharType="begin"/>
    </w:r>
    <w:r w:rsidR="00EA0B30">
      <w:rPr>
        <w:b/>
        <w:bCs/>
      </w:rPr>
      <w:instrText xml:space="preserve"> PAGE  \* roman  \* MERGEFORMAT </w:instrText>
    </w:r>
    <w:r w:rsidR="00EA0B30">
      <w:rPr>
        <w:b/>
        <w:bCs/>
      </w:rPr>
      <w:fldChar w:fldCharType="separate"/>
    </w:r>
    <w:r w:rsidR="00EA0B30">
      <w:rPr>
        <w:b/>
        <w:bCs/>
        <w:noProof/>
      </w:rPr>
      <w:t>vii</w:t>
    </w:r>
    <w:r w:rsidR="00EA0B30">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2662" w14:textId="25DF61BC" w:rsidR="00692105" w:rsidRDefault="00692105" w:rsidP="002A6A16">
    <w:pPr>
      <w:pStyle w:val="FooterOdd"/>
    </w:pPr>
    <w:r w:rsidRPr="00B3705D">
      <w:rPr>
        <w:b/>
        <w:bCs/>
      </w:rPr>
      <w:t xml:space="preserve">Page </w:t>
    </w:r>
    <w:r w:rsidR="00EA0B30">
      <w:rPr>
        <w:b/>
        <w:bCs/>
      </w:rPr>
      <w:fldChar w:fldCharType="begin"/>
    </w:r>
    <w:r w:rsidR="00EA0B30">
      <w:rPr>
        <w:b/>
        <w:bCs/>
      </w:rPr>
      <w:instrText xml:space="preserve"> PAGE  \* roman  \* MERGEFORMAT </w:instrText>
    </w:r>
    <w:r w:rsidR="00EA0B30">
      <w:rPr>
        <w:b/>
        <w:bCs/>
      </w:rPr>
      <w:fldChar w:fldCharType="separate"/>
    </w:r>
    <w:r w:rsidR="00EA0B30">
      <w:rPr>
        <w:b/>
        <w:bCs/>
        <w:noProof/>
      </w:rPr>
      <w:t>vi</w:t>
    </w:r>
    <w:r w:rsidR="00EA0B3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2A806" w14:textId="77777777" w:rsidR="00A15787" w:rsidRDefault="00A15787" w:rsidP="00E40261">
      <w:pPr>
        <w:spacing w:after="0" w:line="240" w:lineRule="auto"/>
      </w:pPr>
      <w:r>
        <w:separator/>
      </w:r>
    </w:p>
  </w:footnote>
  <w:footnote w:type="continuationSeparator" w:id="0">
    <w:p w14:paraId="6DDADD20" w14:textId="77777777" w:rsidR="00A15787" w:rsidRDefault="00A15787" w:rsidP="00E40261">
      <w:pPr>
        <w:spacing w:after="0" w:line="240" w:lineRule="auto"/>
      </w:pPr>
      <w:r>
        <w:continuationSeparator/>
      </w:r>
    </w:p>
  </w:footnote>
  <w:footnote w:type="continuationNotice" w:id="1">
    <w:p w14:paraId="490031CD" w14:textId="77777777" w:rsidR="00A15787" w:rsidRDefault="00A157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02F8" w14:textId="77777777" w:rsidR="00062BCD" w:rsidRDefault="00062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5BFF" w14:textId="77777777" w:rsidR="00062BCD" w:rsidRDefault="00062B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850E" w14:textId="77777777" w:rsidR="00062BCD" w:rsidRDefault="00062B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EC5E" w14:textId="77777777" w:rsidR="00EA0B30" w:rsidRPr="00AA5439" w:rsidRDefault="00EA0B30" w:rsidP="00D02815">
    <w:pPr>
      <w:pStyle w:val="HeaderEven"/>
      <w:rPr>
        <w:sz w:val="2"/>
        <w:szCs w:val="2"/>
      </w:rPr>
    </w:pPr>
    <w:r>
      <w:t xml:space="preserve"> </w: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EA0B30" w14:paraId="30A1CD16" w14:textId="77777777" w:rsidTr="00D02815">
      <w:trPr>
        <w:trHeight w:hRule="exact" w:val="340"/>
      </w:trPr>
      <w:tc>
        <w:tcPr>
          <w:tcW w:w="7797" w:type="dxa"/>
        </w:tcPr>
        <w:p w14:paraId="584D82DA" w14:textId="11F23486" w:rsidR="00EA0B30" w:rsidRDefault="00EA0B30" w:rsidP="00D02815">
          <w:pPr>
            <w:pStyle w:val="HeaderEven"/>
            <w:ind w:left="-113"/>
          </w:pPr>
          <w:r w:rsidRPr="000635BE">
            <w:rPr>
              <w:rFonts w:ascii="Arial Bold" w:hAnsi="Arial Bold"/>
              <w:b/>
              <w:bCs/>
              <w:noProof/>
              <w:position w:val="-10"/>
            </w:rPr>
            <w:drawing>
              <wp:inline distT="0" distB="0" distL="0" distR="0" wp14:anchorId="1FD7CBB3" wp14:editId="34AE4D85">
                <wp:extent cx="1000760" cy="229870"/>
                <wp:effectExtent l="0" t="0" r="889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r>
            <w:t xml:space="preserve">  |  </w:t>
          </w:r>
          <w:fldSimple w:instr=" TITLE   \* MERGEFORMAT ">
            <w:r w:rsidR="00062BCD">
              <w:t>Budget Paper No. 1</w:t>
            </w:r>
          </w:fldSimple>
        </w:p>
      </w:tc>
    </w:tr>
  </w:tbl>
  <w:p w14:paraId="4A4585BB" w14:textId="77777777" w:rsidR="00EA0B30" w:rsidRPr="000635BE" w:rsidRDefault="00EA0B30" w:rsidP="00D02815">
    <w:pPr>
      <w:pStyle w:val="HeaderOdd"/>
      <w:jc w:val="both"/>
      <w:rPr>
        <w:sz w:val="2"/>
        <w:szCs w:val="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F1BD" w14:textId="77777777" w:rsidR="00EA0B30" w:rsidRPr="000635BE" w:rsidRDefault="00EA0B30"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EA0B30" w14:paraId="56B8D8FA" w14:textId="77777777" w:rsidTr="002A6A16">
      <w:trPr>
        <w:trHeight w:hRule="exact" w:val="340"/>
      </w:trPr>
      <w:tc>
        <w:tcPr>
          <w:tcW w:w="7797" w:type="dxa"/>
        </w:tcPr>
        <w:p w14:paraId="4251C9D5" w14:textId="09FA8C86" w:rsidR="00EA0B30" w:rsidRDefault="00087E19" w:rsidP="000635BE">
          <w:pPr>
            <w:pStyle w:val="HeaderOdd"/>
          </w:pPr>
          <w:fldSimple w:instr=" TITLE   \* MERGEFORMAT ">
            <w:r w:rsidR="00062BCD">
              <w:t>Budget Paper No. 1</w:t>
            </w:r>
          </w:fldSimple>
          <w:r w:rsidR="00EA0B30">
            <w:t xml:space="preserve">  |  </w:t>
          </w:r>
          <w:r w:rsidR="00EA0B30" w:rsidRPr="000635BE">
            <w:rPr>
              <w:rFonts w:ascii="Arial Bold" w:hAnsi="Arial Bold"/>
              <w:b/>
              <w:bCs/>
              <w:noProof/>
              <w:position w:val="-10"/>
            </w:rPr>
            <w:drawing>
              <wp:inline distT="0" distB="0" distL="0" distR="0" wp14:anchorId="1DE0C9B3" wp14:editId="53A69E76">
                <wp:extent cx="1000760" cy="229870"/>
                <wp:effectExtent l="0" t="0" r="889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p>
      </w:tc>
    </w:tr>
  </w:tbl>
  <w:p w14:paraId="0C68DE8B" w14:textId="77777777" w:rsidR="00EA0B30" w:rsidRPr="00B44B25" w:rsidRDefault="00EA0B30" w:rsidP="00D028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034DA" w14:textId="77777777" w:rsidR="00EA0B30" w:rsidRPr="000635BE" w:rsidRDefault="00EA0B30" w:rsidP="00D02815">
    <w:pPr>
      <w:pStyle w:val="HeaderOdd"/>
      <w:rPr>
        <w:sz w:val="2"/>
        <w:szCs w:val="4"/>
      </w:rPr>
    </w:pPr>
  </w:p>
  <w:p w14:paraId="3B48801D" w14:textId="77777777" w:rsidR="00EA0B30" w:rsidRPr="005E259A" w:rsidRDefault="00EA0B30">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2B2D" w14:textId="05277C7A"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35EB37FE" w14:textId="77777777" w:rsidTr="002A6A16">
      <w:trPr>
        <w:trHeight w:hRule="exact" w:val="340"/>
      </w:trPr>
      <w:tc>
        <w:tcPr>
          <w:tcW w:w="7797" w:type="dxa"/>
        </w:tcPr>
        <w:p w14:paraId="2F93031D" w14:textId="19AA9DFD" w:rsidR="00692105" w:rsidRDefault="00692105" w:rsidP="008F55F8">
          <w:pPr>
            <w:pStyle w:val="HeaderEven"/>
            <w:ind w:left="-113"/>
          </w:pPr>
          <w:r w:rsidRPr="000635BE">
            <w:rPr>
              <w:rFonts w:ascii="Arial Bold" w:hAnsi="Arial Bold"/>
              <w:b/>
              <w:bCs/>
              <w:noProof/>
              <w:position w:val="-10"/>
            </w:rPr>
            <w:drawing>
              <wp:inline distT="0" distB="0" distL="0" distR="0" wp14:anchorId="44A2CBA7" wp14:editId="346BAF8B">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062BCD">
              <w:t>Budget Paper No. 1</w:t>
            </w:r>
          </w:fldSimple>
        </w:p>
      </w:tc>
    </w:tr>
  </w:tbl>
  <w:p w14:paraId="1BCFD78E" w14:textId="77777777" w:rsidR="00692105" w:rsidRPr="00AA5439" w:rsidRDefault="00692105" w:rsidP="00AA5439">
    <w:pPr>
      <w:pStyle w:val="HeaderEven"/>
      <w:rPr>
        <w:sz w:val="2"/>
        <w:szCs w:val="4"/>
      </w:rPr>
    </w:pPr>
  </w:p>
  <w:p w14:paraId="0F8D129E" w14:textId="77777777" w:rsidR="00692105" w:rsidRPr="007703C7" w:rsidRDefault="00692105" w:rsidP="007703C7">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A878" w14:textId="52BFDF1E"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2F7D0ECA" w14:textId="77777777" w:rsidTr="002A6A16">
      <w:trPr>
        <w:trHeight w:hRule="exact" w:val="340"/>
      </w:trPr>
      <w:tc>
        <w:tcPr>
          <w:tcW w:w="7797" w:type="dxa"/>
        </w:tcPr>
        <w:p w14:paraId="34A4C096" w14:textId="3FE4730D" w:rsidR="00692105" w:rsidRDefault="00087E19" w:rsidP="000635BE">
          <w:pPr>
            <w:pStyle w:val="HeaderOdd"/>
          </w:pPr>
          <w:fldSimple w:instr=" TITLE   \* MERGEFORMAT ">
            <w:r w:rsidR="00062BCD">
              <w:t>Budget Paper No. 1</w:t>
            </w:r>
          </w:fldSimple>
          <w:r w:rsidR="00692105">
            <w:t xml:space="preserve">  |  </w:t>
          </w:r>
          <w:r w:rsidR="00692105" w:rsidRPr="000635BE">
            <w:rPr>
              <w:rFonts w:ascii="Arial Bold" w:hAnsi="Arial Bold"/>
              <w:b/>
              <w:bCs/>
              <w:noProof/>
              <w:position w:val="-10"/>
            </w:rPr>
            <w:drawing>
              <wp:inline distT="0" distB="0" distL="0" distR="0" wp14:anchorId="42D5F488" wp14:editId="2512DECC">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6BAD1C1E" w14:textId="77777777" w:rsidR="00692105" w:rsidRPr="00AA5439" w:rsidRDefault="00692105" w:rsidP="00AA5439">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FE61" w14:textId="79F14F93" w:rsidR="00692105" w:rsidRDefault="0069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A0B30"/>
    <w:rsid w:val="000049DF"/>
    <w:rsid w:val="00011DBB"/>
    <w:rsid w:val="00013EA8"/>
    <w:rsid w:val="0001532B"/>
    <w:rsid w:val="00034CD6"/>
    <w:rsid w:val="00035D8D"/>
    <w:rsid w:val="000622DA"/>
    <w:rsid w:val="00062BCD"/>
    <w:rsid w:val="000635BE"/>
    <w:rsid w:val="00087E19"/>
    <w:rsid w:val="000A2B52"/>
    <w:rsid w:val="000A70A9"/>
    <w:rsid w:val="000E105B"/>
    <w:rsid w:val="000E149B"/>
    <w:rsid w:val="000E40D7"/>
    <w:rsid w:val="00103F65"/>
    <w:rsid w:val="0011175D"/>
    <w:rsid w:val="00172CFE"/>
    <w:rsid w:val="0019115B"/>
    <w:rsid w:val="001970E6"/>
    <w:rsid w:val="001A11B7"/>
    <w:rsid w:val="001C29BA"/>
    <w:rsid w:val="001D33D6"/>
    <w:rsid w:val="001F08E1"/>
    <w:rsid w:val="001F0D7C"/>
    <w:rsid w:val="00237F04"/>
    <w:rsid w:val="00267200"/>
    <w:rsid w:val="00281716"/>
    <w:rsid w:val="0029458B"/>
    <w:rsid w:val="002A6A16"/>
    <w:rsid w:val="002B3053"/>
    <w:rsid w:val="002B6106"/>
    <w:rsid w:val="002C3DEB"/>
    <w:rsid w:val="002E638A"/>
    <w:rsid w:val="002E7B71"/>
    <w:rsid w:val="003303B0"/>
    <w:rsid w:val="003421CD"/>
    <w:rsid w:val="003451F5"/>
    <w:rsid w:val="003478ED"/>
    <w:rsid w:val="003506C0"/>
    <w:rsid w:val="00360947"/>
    <w:rsid w:val="003779DF"/>
    <w:rsid w:val="00381D29"/>
    <w:rsid w:val="00382E3D"/>
    <w:rsid w:val="003A3AC2"/>
    <w:rsid w:val="003B3670"/>
    <w:rsid w:val="003F0EF3"/>
    <w:rsid w:val="00414D61"/>
    <w:rsid w:val="004233DE"/>
    <w:rsid w:val="00423B4F"/>
    <w:rsid w:val="00437362"/>
    <w:rsid w:val="00447E2C"/>
    <w:rsid w:val="0048563A"/>
    <w:rsid w:val="004C075B"/>
    <w:rsid w:val="004C608E"/>
    <w:rsid w:val="004F3FD9"/>
    <w:rsid w:val="004F60DD"/>
    <w:rsid w:val="004F7E5F"/>
    <w:rsid w:val="005151D9"/>
    <w:rsid w:val="005865B2"/>
    <w:rsid w:val="00597FE7"/>
    <w:rsid w:val="005A43A4"/>
    <w:rsid w:val="005A57E5"/>
    <w:rsid w:val="005B3010"/>
    <w:rsid w:val="005D23CB"/>
    <w:rsid w:val="005E1092"/>
    <w:rsid w:val="005E23C5"/>
    <w:rsid w:val="005E792C"/>
    <w:rsid w:val="006011C8"/>
    <w:rsid w:val="0060305C"/>
    <w:rsid w:val="00614554"/>
    <w:rsid w:val="0061469C"/>
    <w:rsid w:val="00622CDB"/>
    <w:rsid w:val="006568AA"/>
    <w:rsid w:val="00664F1B"/>
    <w:rsid w:val="00677EBB"/>
    <w:rsid w:val="00680768"/>
    <w:rsid w:val="00682D05"/>
    <w:rsid w:val="00692105"/>
    <w:rsid w:val="0069469F"/>
    <w:rsid w:val="006C3E1F"/>
    <w:rsid w:val="006C4A90"/>
    <w:rsid w:val="006E7F46"/>
    <w:rsid w:val="00701FC0"/>
    <w:rsid w:val="00702304"/>
    <w:rsid w:val="0072449F"/>
    <w:rsid w:val="00754CF2"/>
    <w:rsid w:val="00755F34"/>
    <w:rsid w:val="00764A9A"/>
    <w:rsid w:val="007703C7"/>
    <w:rsid w:val="00791275"/>
    <w:rsid w:val="00792F0C"/>
    <w:rsid w:val="007F2B48"/>
    <w:rsid w:val="00824E07"/>
    <w:rsid w:val="008253FB"/>
    <w:rsid w:val="008345EF"/>
    <w:rsid w:val="008412E6"/>
    <w:rsid w:val="00881D59"/>
    <w:rsid w:val="008847A8"/>
    <w:rsid w:val="00885620"/>
    <w:rsid w:val="0088672E"/>
    <w:rsid w:val="00892FC7"/>
    <w:rsid w:val="008D196F"/>
    <w:rsid w:val="008D45DE"/>
    <w:rsid w:val="008D71E5"/>
    <w:rsid w:val="008E7225"/>
    <w:rsid w:val="008F55F8"/>
    <w:rsid w:val="00911E4F"/>
    <w:rsid w:val="00931D4D"/>
    <w:rsid w:val="0093363A"/>
    <w:rsid w:val="009345C5"/>
    <w:rsid w:val="00943C8B"/>
    <w:rsid w:val="009804F5"/>
    <w:rsid w:val="009822C2"/>
    <w:rsid w:val="009A553C"/>
    <w:rsid w:val="009B740C"/>
    <w:rsid w:val="009C37E9"/>
    <w:rsid w:val="009C4905"/>
    <w:rsid w:val="009D7662"/>
    <w:rsid w:val="009E766A"/>
    <w:rsid w:val="00A15787"/>
    <w:rsid w:val="00A268AC"/>
    <w:rsid w:val="00A36880"/>
    <w:rsid w:val="00AA5439"/>
    <w:rsid w:val="00AA6987"/>
    <w:rsid w:val="00AB4C2D"/>
    <w:rsid w:val="00AB63E5"/>
    <w:rsid w:val="00AD1286"/>
    <w:rsid w:val="00AD68DA"/>
    <w:rsid w:val="00B20790"/>
    <w:rsid w:val="00B742E3"/>
    <w:rsid w:val="00B91AED"/>
    <w:rsid w:val="00B96A23"/>
    <w:rsid w:val="00BB207D"/>
    <w:rsid w:val="00BB2D63"/>
    <w:rsid w:val="00BC0BA3"/>
    <w:rsid w:val="00BC74A1"/>
    <w:rsid w:val="00BD61A9"/>
    <w:rsid w:val="00C060D7"/>
    <w:rsid w:val="00C33129"/>
    <w:rsid w:val="00C363AC"/>
    <w:rsid w:val="00C4293F"/>
    <w:rsid w:val="00C44195"/>
    <w:rsid w:val="00C461BE"/>
    <w:rsid w:val="00C601D0"/>
    <w:rsid w:val="00C64CC1"/>
    <w:rsid w:val="00C75ABC"/>
    <w:rsid w:val="00C84050"/>
    <w:rsid w:val="00C879FC"/>
    <w:rsid w:val="00C93398"/>
    <w:rsid w:val="00CC6004"/>
    <w:rsid w:val="00D02815"/>
    <w:rsid w:val="00D1685E"/>
    <w:rsid w:val="00D27078"/>
    <w:rsid w:val="00D31BDD"/>
    <w:rsid w:val="00D65C61"/>
    <w:rsid w:val="00D82B0F"/>
    <w:rsid w:val="00DA42A3"/>
    <w:rsid w:val="00DA58C6"/>
    <w:rsid w:val="00DE71D2"/>
    <w:rsid w:val="00DE799B"/>
    <w:rsid w:val="00E11FAE"/>
    <w:rsid w:val="00E40261"/>
    <w:rsid w:val="00E4685E"/>
    <w:rsid w:val="00E6178D"/>
    <w:rsid w:val="00E66155"/>
    <w:rsid w:val="00E66821"/>
    <w:rsid w:val="00E80210"/>
    <w:rsid w:val="00EA0B30"/>
    <w:rsid w:val="00EA52E4"/>
    <w:rsid w:val="00EA7937"/>
    <w:rsid w:val="00EC799C"/>
    <w:rsid w:val="00EF4C8A"/>
    <w:rsid w:val="00F362DE"/>
    <w:rsid w:val="00F405A8"/>
    <w:rsid w:val="00F421E8"/>
    <w:rsid w:val="00F51DA2"/>
    <w:rsid w:val="00F81E6E"/>
    <w:rsid w:val="00F84F40"/>
    <w:rsid w:val="00FC7371"/>
    <w:rsid w:val="00FE48A3"/>
    <w:rsid w:val="00FE63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CC6B7D"/>
  <w15:chartTrackingRefBased/>
  <w15:docId w15:val="{A17D28FA-0237-465B-AE39-DFBBB0F5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30"/>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437362"/>
    <w:pPr>
      <w:keepNext/>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437362"/>
    <w:pPr>
      <w:keepNext w:val="0"/>
      <w:tabs>
        <w:tab w:val="right" w:leader="dot" w:pos="7700"/>
      </w:tabs>
      <w:spacing w:before="40"/>
      <w:ind w:right="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customStyle="1" w:styleId="Halftitle">
    <w:name w:val="Half title"/>
    <w:basedOn w:val="Normal"/>
    <w:semiHidden/>
    <w:qFormat/>
    <w:rsid w:val="00EA0B30"/>
    <w:pPr>
      <w:spacing w:after="60" w:line="240" w:lineRule="auto"/>
    </w:pPr>
    <w:rPr>
      <w:rFonts w:eastAsia="SimSun"/>
      <w:sz w:val="18"/>
      <w:lang w:eastAsia="zh-CN"/>
    </w:rPr>
  </w:style>
  <w:style w:type="character" w:customStyle="1" w:styleId="A5">
    <w:name w:val="A5"/>
    <w:uiPriority w:val="99"/>
    <w:rsid w:val="00EA0B30"/>
    <w:rPr>
      <w:rFonts w:cs="Swiss 721 B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creativecommons.org/licenses/by/3.0/au/deed.en" TargetMode="External"/><Relationship Id="rId26" Type="http://schemas.openxmlformats.org/officeDocument/2006/relationships/header" Target="header4.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creativecommons.org/licenses/by/3.0/au/deed.en" TargetMode="Externa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udget.gov.au" TargetMode="External"/><Relationship Id="rId32" Type="http://schemas.openxmlformats.org/officeDocument/2006/relationships/header" Target="header7.xml"/><Relationship Id="rId37"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media@treasury.gov.au" TargetMode="External"/><Relationship Id="rId28" Type="http://schemas.openxmlformats.org/officeDocument/2006/relationships/footer" Target="footer5.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creativecommons.org/licenses/by/3.0/au/legalcode"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pmc.gov.au/government/commonwealthcoatarms" TargetMode="Externa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9.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Props1.xml><?xml version="1.0" encoding="utf-8"?>
<ds:datastoreItem xmlns:ds="http://schemas.openxmlformats.org/officeDocument/2006/customXml" ds:itemID="{1816E64B-9D3F-404C-BA3D-2BCA3D8E1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E41D9-B0AA-44AC-9883-04D4FE430635}">
  <ds:schemaRefs>
    <ds:schemaRef ds:uri="http://schemas.openxmlformats.org/officeDocument/2006/bibliography"/>
  </ds:schemaRefs>
</ds:datastoreItem>
</file>

<file path=customXml/itemProps3.xml><?xml version="1.0" encoding="utf-8"?>
<ds:datastoreItem xmlns:ds="http://schemas.openxmlformats.org/officeDocument/2006/customXml" ds:itemID="{343A9FAE-0975-4745-8FAC-D30BDFE52E9E}">
  <ds:schemaRefs>
    <ds:schemaRef ds:uri="http://schemas.microsoft.com/sharepoint/v3/contenttype/forms"/>
  </ds:schemaRefs>
</ds:datastoreItem>
</file>

<file path=customXml/itemProps4.xml><?xml version="1.0" encoding="utf-8"?>
<ds:datastoreItem xmlns:ds="http://schemas.openxmlformats.org/officeDocument/2006/customXml" ds:itemID="{18AE000E-7496-4480-ACD2-CC588C2926A9}">
  <ds:schemaRefs>
    <ds:schemaRef ds:uri="http://purl.org/dc/elements/1.1/"/>
    <ds:schemaRef ds:uri="http://schemas.microsoft.com/office/2006/metadata/propertie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59</TotalTime>
  <Pages>6</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Company>
  <LinksUpToDate>false</LinksUpToDate>
  <CharactersWithSpaces>7107</CharactersWithSpaces>
  <SharedDoc>false</SharedDoc>
  <HLinks>
    <vt:vector size="36" baseType="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2031628</vt:i4>
      </vt:variant>
      <vt:variant>
        <vt:i4>9</vt:i4>
      </vt:variant>
      <vt:variant>
        <vt:i4>0</vt:i4>
      </vt:variant>
      <vt:variant>
        <vt:i4>5</vt:i4>
      </vt:variant>
      <vt:variant>
        <vt:lpwstr>http://www.pmc.gov.au/government/commonwealthcoatarms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Preliminaries</dc:subject>
  <dc:creator>Australian Government</dc:creator>
  <cp:keywords/>
  <dc:description/>
  <cp:lastModifiedBy>Palmer, Selene</cp:lastModifiedBy>
  <cp:revision>48</cp:revision>
  <cp:lastPrinted>2022-03-30T00:05:00Z</cp:lastPrinted>
  <dcterms:created xsi:type="dcterms:W3CDTF">2022-02-19T17:16:00Z</dcterms:created>
  <dcterms:modified xsi:type="dcterms:W3CDTF">2022-03-30T00:05:00Z</dcterms:modified>
</cp:coreProperties>
</file>